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AD3EBE" w14:textId="0CB5077C" w:rsidR="006969B3" w:rsidRPr="006969B3" w:rsidRDefault="006969B3" w:rsidP="006969B3">
      <w:pPr>
        <w:spacing w:after="0" w:line="240" w:lineRule="auto"/>
        <w:ind w:left="1701" w:right="1581"/>
        <w:jc w:val="both"/>
        <w:rPr>
          <w:rFonts w:ascii="Arial" w:eastAsia="Arial" w:hAnsi="Arial" w:cs="Arial"/>
          <w:color w:val="FF0000"/>
          <w:sz w:val="20"/>
          <w:szCs w:val="20"/>
          <w:lang w:val="es-CO"/>
        </w:rPr>
      </w:pPr>
      <w:bookmarkStart w:id="0" w:name="_Hlk48311760"/>
      <w:bookmarkStart w:id="1" w:name="_Hlk48311866"/>
      <w:bookmarkStart w:id="2" w:name="_Hlk47297296"/>
      <w:bookmarkStart w:id="3" w:name="149"/>
      <w:r w:rsidRPr="006969B3">
        <w:rPr>
          <w:rFonts w:ascii="Arial" w:eastAsia="Arial" w:hAnsi="Arial" w:cs="Arial"/>
          <w:b/>
          <w:bCs/>
          <w:color w:val="FF0000"/>
          <w:sz w:val="20"/>
          <w:szCs w:val="20"/>
          <w:lang w:val="es-CO"/>
        </w:rPr>
        <w:t>Nota:</w:t>
      </w:r>
      <w:r w:rsidRPr="006969B3">
        <w:rPr>
          <w:rFonts w:ascii="Arial" w:eastAsia="Arial" w:hAnsi="Arial" w:cs="Arial"/>
          <w:color w:val="FF0000"/>
          <w:sz w:val="20"/>
          <w:szCs w:val="20"/>
          <w:lang w:val="es-CO"/>
        </w:rPr>
        <w:t xml:space="preserve"> la siguiente norma se trascribe completa, pero de ella la Agencia Nacional de Contratación Pública –Colombia Compra Eficiente– solo ha emitido conceptos que interpretan las siguientes disposiciones relacionadas con la contratación estatal: 42, </w:t>
      </w:r>
      <w:r w:rsidR="00935477">
        <w:rPr>
          <w:rFonts w:ascii="Arial" w:eastAsia="Arial" w:hAnsi="Arial" w:cs="Arial"/>
          <w:color w:val="FF0000"/>
          <w:sz w:val="20"/>
          <w:szCs w:val="20"/>
          <w:lang w:val="es-CO"/>
        </w:rPr>
        <w:t xml:space="preserve">43, </w:t>
      </w:r>
      <w:r w:rsidRPr="006969B3">
        <w:rPr>
          <w:rFonts w:ascii="Arial" w:eastAsia="Arial" w:hAnsi="Arial" w:cs="Arial"/>
          <w:color w:val="FF0000"/>
          <w:sz w:val="20"/>
          <w:szCs w:val="20"/>
          <w:lang w:val="es-CO"/>
        </w:rPr>
        <w:t>67,</w:t>
      </w:r>
      <w:r w:rsidR="00555669">
        <w:rPr>
          <w:rFonts w:ascii="Arial" w:eastAsia="Arial" w:hAnsi="Arial" w:cs="Arial"/>
          <w:color w:val="FF0000"/>
          <w:sz w:val="20"/>
          <w:szCs w:val="20"/>
          <w:lang w:val="es-CO"/>
        </w:rPr>
        <w:t xml:space="preserve"> </w:t>
      </w:r>
      <w:r w:rsidRPr="006969B3">
        <w:rPr>
          <w:rFonts w:ascii="Arial" w:eastAsia="Arial" w:hAnsi="Arial" w:cs="Arial"/>
          <w:color w:val="FF0000"/>
          <w:sz w:val="20"/>
          <w:szCs w:val="20"/>
          <w:lang w:val="es-CO"/>
        </w:rPr>
        <w:t>149, 167, 191, 192</w:t>
      </w:r>
      <w:r w:rsidR="00E52940">
        <w:rPr>
          <w:rFonts w:ascii="Arial" w:eastAsia="Arial" w:hAnsi="Arial" w:cs="Arial"/>
          <w:color w:val="FF0000"/>
          <w:sz w:val="20"/>
          <w:szCs w:val="20"/>
          <w:lang w:val="es-CO"/>
        </w:rPr>
        <w:t xml:space="preserve">, </w:t>
      </w:r>
      <w:r w:rsidRPr="006969B3">
        <w:rPr>
          <w:rFonts w:ascii="Arial" w:eastAsia="Arial" w:hAnsi="Arial" w:cs="Arial"/>
          <w:color w:val="FF0000"/>
          <w:sz w:val="20"/>
          <w:szCs w:val="20"/>
          <w:lang w:val="es-CO"/>
        </w:rPr>
        <w:t>244</w:t>
      </w:r>
      <w:r w:rsidR="00CC3E0C">
        <w:rPr>
          <w:rFonts w:ascii="Arial" w:eastAsia="Arial" w:hAnsi="Arial" w:cs="Arial"/>
          <w:color w:val="FF0000"/>
          <w:sz w:val="20"/>
          <w:szCs w:val="20"/>
          <w:lang w:val="es-CO"/>
        </w:rPr>
        <w:t xml:space="preserve"> y</w:t>
      </w:r>
      <w:r w:rsidR="00E52940">
        <w:rPr>
          <w:rFonts w:ascii="Arial" w:eastAsia="Arial" w:hAnsi="Arial" w:cs="Arial"/>
          <w:color w:val="FF0000"/>
          <w:sz w:val="20"/>
          <w:szCs w:val="20"/>
          <w:lang w:val="es-CO"/>
        </w:rPr>
        <w:t xml:space="preserve"> </w:t>
      </w:r>
      <w:r w:rsidR="00691901">
        <w:rPr>
          <w:rFonts w:ascii="Arial" w:eastAsia="Arial" w:hAnsi="Arial" w:cs="Arial"/>
          <w:color w:val="FF0000"/>
          <w:sz w:val="20"/>
          <w:szCs w:val="20"/>
          <w:lang w:val="es-CO"/>
        </w:rPr>
        <w:t>336</w:t>
      </w:r>
      <w:r w:rsidRPr="006969B3">
        <w:rPr>
          <w:rFonts w:ascii="Arial" w:eastAsia="Arial" w:hAnsi="Arial" w:cs="Arial"/>
          <w:color w:val="FF0000"/>
          <w:sz w:val="20"/>
          <w:szCs w:val="20"/>
          <w:lang w:val="es-CO"/>
        </w:rPr>
        <w:t>.</w:t>
      </w:r>
    </w:p>
    <w:p w14:paraId="4C4CF230" w14:textId="77777777" w:rsidR="006969B3" w:rsidRPr="006969B3" w:rsidRDefault="006969B3" w:rsidP="006969B3">
      <w:pPr>
        <w:spacing w:after="0" w:line="240" w:lineRule="auto"/>
        <w:ind w:left="1701" w:right="1581"/>
        <w:jc w:val="both"/>
        <w:rPr>
          <w:rFonts w:ascii="Arial" w:eastAsia="Arial" w:hAnsi="Arial" w:cs="Arial"/>
          <w:color w:val="FF0000"/>
          <w:sz w:val="20"/>
          <w:szCs w:val="20"/>
          <w:lang w:val="es-CO"/>
        </w:rPr>
      </w:pPr>
    </w:p>
    <w:p w14:paraId="552BC6C7" w14:textId="2DDEC36E" w:rsidR="00744904" w:rsidRPr="006969B3" w:rsidRDefault="006969B3" w:rsidP="006969B3">
      <w:pPr>
        <w:spacing w:after="0" w:line="240" w:lineRule="auto"/>
        <w:ind w:left="1701" w:right="1581"/>
        <w:jc w:val="both"/>
        <w:rPr>
          <w:rStyle w:val="baj"/>
          <w:rFonts w:ascii="Arial" w:eastAsia="Arial" w:hAnsi="Arial" w:cs="Arial"/>
          <w:color w:val="FF0000"/>
          <w:sz w:val="20"/>
          <w:szCs w:val="20"/>
          <w:lang w:val="es-CO"/>
        </w:rPr>
      </w:pPr>
      <w:r w:rsidRPr="006969B3">
        <w:rPr>
          <w:rFonts w:ascii="Arial" w:eastAsia="Arial" w:hAnsi="Arial" w:cs="Arial"/>
          <w:color w:val="FF0000"/>
          <w:sz w:val="20"/>
          <w:szCs w:val="20"/>
          <w:lang w:val="es-CO"/>
        </w:rPr>
        <w:t>Los conceptos se relacionan al pie de cada disposición, y abren dando “clic” en el hipervínculo.</w:t>
      </w:r>
      <w:bookmarkEnd w:id="0"/>
      <w:bookmarkEnd w:id="1"/>
      <w:bookmarkEnd w:id="2"/>
    </w:p>
    <w:p w14:paraId="72D57BBD" w14:textId="77777777" w:rsidR="00C62051" w:rsidRPr="006969B3" w:rsidRDefault="00C62051" w:rsidP="00F65283">
      <w:pPr>
        <w:pStyle w:val="centrado"/>
        <w:spacing w:before="0" w:beforeAutospacing="0" w:after="0" w:afterAutospacing="0"/>
        <w:jc w:val="center"/>
        <w:rPr>
          <w:rStyle w:val="baj"/>
          <w:rFonts w:ascii="Arial" w:hAnsi="Arial" w:cs="Arial"/>
          <w:b/>
          <w:bCs/>
          <w:sz w:val="22"/>
          <w:szCs w:val="22"/>
          <w:lang w:val="es-CO"/>
        </w:rPr>
      </w:pPr>
    </w:p>
    <w:p w14:paraId="52E96495" w14:textId="1E17B1E5" w:rsidR="00111EAE" w:rsidRPr="006969B3" w:rsidRDefault="00111EAE" w:rsidP="00F65283">
      <w:pPr>
        <w:pStyle w:val="centrado"/>
        <w:spacing w:before="0" w:beforeAutospacing="0" w:after="0" w:afterAutospacing="0"/>
        <w:jc w:val="center"/>
        <w:rPr>
          <w:rStyle w:val="baj"/>
          <w:rFonts w:ascii="Arial" w:hAnsi="Arial" w:cs="Arial"/>
          <w:b/>
          <w:bCs/>
          <w:sz w:val="22"/>
          <w:szCs w:val="22"/>
          <w:lang w:val="es-CO"/>
        </w:rPr>
      </w:pPr>
      <w:r w:rsidRPr="006969B3">
        <w:rPr>
          <w:rStyle w:val="baj"/>
          <w:rFonts w:ascii="Arial" w:hAnsi="Arial" w:cs="Arial"/>
          <w:b/>
          <w:bCs/>
          <w:sz w:val="22"/>
          <w:szCs w:val="22"/>
          <w:lang w:val="es-CO"/>
        </w:rPr>
        <w:t>LEY 1955 DE 2019</w:t>
      </w:r>
    </w:p>
    <w:p w14:paraId="6200CEB9" w14:textId="77777777" w:rsidR="00C62051" w:rsidRPr="006969B3" w:rsidRDefault="00C62051" w:rsidP="006969B3">
      <w:pPr>
        <w:pStyle w:val="centrado"/>
        <w:spacing w:before="0" w:beforeAutospacing="0" w:after="0" w:afterAutospacing="0"/>
        <w:rPr>
          <w:rFonts w:ascii="Arial" w:hAnsi="Arial" w:cs="Arial"/>
          <w:b/>
          <w:bCs/>
          <w:sz w:val="22"/>
          <w:szCs w:val="22"/>
          <w:lang w:val="es-CO"/>
        </w:rPr>
      </w:pPr>
    </w:p>
    <w:p w14:paraId="01FB8D99" w14:textId="77777777" w:rsidR="00111EAE" w:rsidRPr="006969B3" w:rsidRDefault="00111EAE" w:rsidP="00F65283">
      <w:pPr>
        <w:pStyle w:val="centrado"/>
        <w:spacing w:before="0" w:beforeAutospacing="0" w:after="0" w:afterAutospacing="0"/>
        <w:jc w:val="center"/>
        <w:rPr>
          <w:rFonts w:ascii="Arial" w:hAnsi="Arial" w:cs="Arial"/>
          <w:b/>
          <w:bCs/>
          <w:sz w:val="22"/>
          <w:szCs w:val="22"/>
          <w:lang w:val="es-CO"/>
        </w:rPr>
      </w:pPr>
      <w:r w:rsidRPr="006969B3">
        <w:rPr>
          <w:rFonts w:ascii="Arial" w:hAnsi="Arial" w:cs="Arial"/>
          <w:b/>
          <w:bCs/>
          <w:sz w:val="22"/>
          <w:szCs w:val="22"/>
          <w:lang w:val="es-CO"/>
        </w:rPr>
        <w:t>Por el cual se expide el Plan Nacional de Desarrollo 2018-2022.</w:t>
      </w:r>
    </w:p>
    <w:p w14:paraId="2A73C561" w14:textId="2257A2EB" w:rsidR="00111EAE" w:rsidRPr="006969B3" w:rsidRDefault="00111EAE" w:rsidP="786A21E4">
      <w:pPr>
        <w:pStyle w:val="centrado"/>
        <w:spacing w:before="0" w:beforeAutospacing="0" w:after="0" w:afterAutospacing="0"/>
        <w:jc w:val="center"/>
        <w:rPr>
          <w:rFonts w:ascii="Arial" w:hAnsi="Arial" w:cs="Arial"/>
          <w:b/>
          <w:bCs/>
          <w:sz w:val="22"/>
          <w:szCs w:val="22"/>
          <w:lang w:val="es-CO"/>
        </w:rPr>
      </w:pPr>
      <w:r w:rsidRPr="786A21E4">
        <w:rPr>
          <w:rFonts w:ascii="Arial" w:hAnsi="Arial" w:cs="Arial"/>
          <w:b/>
          <w:bCs/>
          <w:sz w:val="22"/>
          <w:szCs w:val="22"/>
          <w:lang w:val="es-CO"/>
        </w:rPr>
        <w:t>“Pacto por Colombia, Pacto por la Equidad”</w:t>
      </w:r>
    </w:p>
    <w:p w14:paraId="40B3C537" w14:textId="77777777" w:rsidR="00C62051" w:rsidRPr="006969B3" w:rsidRDefault="00C62051" w:rsidP="00F65283">
      <w:pPr>
        <w:pStyle w:val="centrado"/>
        <w:spacing w:before="0" w:beforeAutospacing="0" w:after="0" w:afterAutospacing="0"/>
        <w:jc w:val="center"/>
        <w:rPr>
          <w:rFonts w:ascii="Arial" w:hAnsi="Arial" w:cs="Arial"/>
          <w:b/>
          <w:bCs/>
          <w:sz w:val="22"/>
          <w:szCs w:val="22"/>
          <w:lang w:val="es-CO"/>
        </w:rPr>
      </w:pPr>
    </w:p>
    <w:p w14:paraId="34DFA114" w14:textId="4BA19B08" w:rsidR="00E319CE" w:rsidRPr="006969B3" w:rsidRDefault="00E319CE" w:rsidP="00F65283">
      <w:pPr>
        <w:pStyle w:val="centrado"/>
        <w:spacing w:before="0" w:beforeAutospacing="0" w:after="0" w:afterAutospacing="0"/>
        <w:jc w:val="center"/>
        <w:rPr>
          <w:rStyle w:val="baj"/>
          <w:rFonts w:ascii="Arial" w:hAnsi="Arial" w:cs="Arial"/>
          <w:b/>
          <w:bCs/>
          <w:sz w:val="22"/>
          <w:szCs w:val="22"/>
          <w:lang w:val="es-CO"/>
        </w:rPr>
      </w:pPr>
      <w:r w:rsidRPr="006969B3">
        <w:rPr>
          <w:rStyle w:val="baj"/>
          <w:rFonts w:ascii="Arial" w:hAnsi="Arial" w:cs="Arial"/>
          <w:b/>
          <w:bCs/>
          <w:sz w:val="22"/>
          <w:szCs w:val="22"/>
          <w:lang w:val="es-CO"/>
        </w:rPr>
        <w:t>EL CONGRESO DE COLOMBIA</w:t>
      </w:r>
    </w:p>
    <w:p w14:paraId="11C569C3" w14:textId="77777777" w:rsidR="00C62051" w:rsidRPr="006969B3" w:rsidRDefault="00C62051" w:rsidP="00F65283">
      <w:pPr>
        <w:pStyle w:val="centrado"/>
        <w:spacing w:before="0" w:beforeAutospacing="0" w:after="0" w:afterAutospacing="0"/>
        <w:jc w:val="center"/>
        <w:rPr>
          <w:rFonts w:ascii="Arial" w:hAnsi="Arial" w:cs="Arial"/>
          <w:b/>
          <w:bCs/>
          <w:sz w:val="22"/>
          <w:szCs w:val="22"/>
          <w:lang w:val="es-CO"/>
        </w:rPr>
      </w:pPr>
    </w:p>
    <w:p w14:paraId="023349E5" w14:textId="5D7707E0" w:rsidR="00E319CE" w:rsidRPr="006969B3" w:rsidRDefault="00E319CE" w:rsidP="00F65283">
      <w:pPr>
        <w:pStyle w:val="centrado"/>
        <w:spacing w:before="0" w:beforeAutospacing="0" w:after="0" w:afterAutospacing="0"/>
        <w:jc w:val="center"/>
        <w:rPr>
          <w:rStyle w:val="baj"/>
          <w:rFonts w:ascii="Arial" w:hAnsi="Arial" w:cs="Arial"/>
          <w:b/>
          <w:bCs/>
          <w:sz w:val="22"/>
          <w:szCs w:val="22"/>
          <w:lang w:val="es-CO"/>
        </w:rPr>
      </w:pPr>
      <w:r w:rsidRPr="006969B3">
        <w:rPr>
          <w:rStyle w:val="baj"/>
          <w:rFonts w:ascii="Arial" w:hAnsi="Arial" w:cs="Arial"/>
          <w:b/>
          <w:bCs/>
          <w:sz w:val="22"/>
          <w:szCs w:val="22"/>
          <w:lang w:val="es-CO"/>
        </w:rPr>
        <w:t>DECRETA:</w:t>
      </w:r>
    </w:p>
    <w:p w14:paraId="3A75F265" w14:textId="77777777" w:rsidR="00C62051" w:rsidRPr="006969B3" w:rsidRDefault="00C62051" w:rsidP="00F65283">
      <w:pPr>
        <w:pStyle w:val="centrado"/>
        <w:spacing w:before="0" w:beforeAutospacing="0" w:after="0" w:afterAutospacing="0"/>
        <w:jc w:val="center"/>
        <w:rPr>
          <w:rFonts w:ascii="Arial" w:hAnsi="Arial" w:cs="Arial"/>
          <w:b/>
          <w:bCs/>
          <w:sz w:val="22"/>
          <w:szCs w:val="22"/>
          <w:lang w:val="es-CO"/>
        </w:rPr>
      </w:pPr>
    </w:p>
    <w:p w14:paraId="04A69091" w14:textId="2FCBA36C" w:rsidR="00E319CE" w:rsidRPr="006969B3" w:rsidRDefault="00E319CE" w:rsidP="00F65283">
      <w:pPr>
        <w:pStyle w:val="centrado"/>
        <w:spacing w:before="0" w:beforeAutospacing="0" w:after="0" w:afterAutospacing="0"/>
        <w:jc w:val="center"/>
        <w:rPr>
          <w:rFonts w:ascii="Arial" w:hAnsi="Arial" w:cs="Arial"/>
          <w:b/>
          <w:bCs/>
          <w:sz w:val="22"/>
          <w:szCs w:val="22"/>
          <w:lang w:val="es-CO"/>
        </w:rPr>
      </w:pPr>
      <w:bookmarkStart w:id="4" w:name="TÍTULO_I"/>
      <w:r w:rsidRPr="006969B3">
        <w:rPr>
          <w:rFonts w:ascii="Arial" w:hAnsi="Arial" w:cs="Arial"/>
          <w:b/>
          <w:bCs/>
          <w:sz w:val="22"/>
          <w:szCs w:val="22"/>
          <w:lang w:val="es-CO"/>
        </w:rPr>
        <w:t>TÍTULO I</w:t>
      </w:r>
      <w:bookmarkEnd w:id="4"/>
    </w:p>
    <w:p w14:paraId="213B60A3" w14:textId="77777777" w:rsidR="00C62051" w:rsidRPr="006969B3" w:rsidRDefault="00C62051" w:rsidP="00F65283">
      <w:pPr>
        <w:pStyle w:val="centrado"/>
        <w:spacing w:before="0" w:beforeAutospacing="0" w:after="0" w:afterAutospacing="0"/>
        <w:jc w:val="center"/>
        <w:rPr>
          <w:rFonts w:ascii="Arial" w:hAnsi="Arial" w:cs="Arial"/>
          <w:b/>
          <w:bCs/>
          <w:sz w:val="22"/>
          <w:szCs w:val="22"/>
          <w:lang w:val="es-CO"/>
        </w:rPr>
      </w:pPr>
    </w:p>
    <w:p w14:paraId="0504AAE7" w14:textId="32493788" w:rsidR="00E319CE" w:rsidRPr="006969B3" w:rsidRDefault="00E319CE" w:rsidP="00F65283">
      <w:pPr>
        <w:pStyle w:val="centrado"/>
        <w:spacing w:before="0" w:beforeAutospacing="0" w:after="0" w:afterAutospacing="0"/>
        <w:jc w:val="center"/>
        <w:rPr>
          <w:rStyle w:val="baj"/>
          <w:rFonts w:ascii="Arial" w:hAnsi="Arial" w:cs="Arial"/>
          <w:b/>
          <w:bCs/>
          <w:sz w:val="22"/>
          <w:szCs w:val="22"/>
          <w:lang w:val="es-CO"/>
        </w:rPr>
      </w:pPr>
      <w:r w:rsidRPr="006969B3">
        <w:rPr>
          <w:rStyle w:val="baj"/>
          <w:rFonts w:ascii="Arial" w:hAnsi="Arial" w:cs="Arial"/>
          <w:b/>
          <w:bCs/>
          <w:sz w:val="22"/>
          <w:szCs w:val="22"/>
          <w:lang w:val="es-CO"/>
        </w:rPr>
        <w:t>PARTE GENERAL</w:t>
      </w:r>
    </w:p>
    <w:p w14:paraId="503045D1" w14:textId="77777777" w:rsidR="00F65283" w:rsidRPr="006969B3" w:rsidRDefault="00F65283" w:rsidP="00F65283">
      <w:pPr>
        <w:pStyle w:val="centrado"/>
        <w:spacing w:before="0" w:beforeAutospacing="0" w:after="0" w:afterAutospacing="0"/>
        <w:jc w:val="center"/>
        <w:rPr>
          <w:rFonts w:ascii="Arial" w:hAnsi="Arial" w:cs="Arial"/>
          <w:b/>
          <w:bCs/>
          <w:sz w:val="22"/>
          <w:szCs w:val="22"/>
          <w:lang w:val="es-CO"/>
        </w:rPr>
      </w:pPr>
    </w:p>
    <w:p w14:paraId="1F1D0813" w14:textId="77777777" w:rsidR="00E319CE" w:rsidRPr="006969B3" w:rsidRDefault="00E319CE" w:rsidP="00F65283">
      <w:pPr>
        <w:pStyle w:val="NormalWeb"/>
        <w:spacing w:before="0" w:beforeAutospacing="0" w:after="0" w:afterAutospacing="0"/>
        <w:jc w:val="both"/>
        <w:rPr>
          <w:rFonts w:ascii="Arial" w:hAnsi="Arial" w:cs="Arial"/>
          <w:sz w:val="22"/>
          <w:szCs w:val="22"/>
          <w:lang w:val="es-CO"/>
        </w:rPr>
      </w:pPr>
      <w:bookmarkStart w:id="5" w:name="1"/>
      <w:r w:rsidRPr="006969B3">
        <w:rPr>
          <w:rFonts w:ascii="Arial" w:hAnsi="Arial" w:cs="Arial"/>
          <w:sz w:val="22"/>
          <w:szCs w:val="22"/>
          <w:lang w:val="es-CO"/>
        </w:rPr>
        <w:t>ARTÍCULO 1o. OBJETIVOS DEL PLAN NACIONAL DE DESARROLLO.</w:t>
      </w:r>
      <w:bookmarkEnd w:id="5"/>
      <w:r w:rsidRPr="006969B3">
        <w:rPr>
          <w:rFonts w:ascii="Arial" w:hAnsi="Arial" w:cs="Arial"/>
          <w:sz w:val="22"/>
          <w:szCs w:val="22"/>
          <w:lang w:val="es-CO"/>
        </w:rPr>
        <w:t> El Plan Nacional de Desarrollo 2018-2022 “Pacto por Colombia, pacto por la equidad”, que se expide por medio de la presente Ley, tiene como objetivo sentar las bases de legalidad, emprendimiento y equidad que permitan lograr la igualdad de oportunidades para todos los colombianos, en concordancia con un proyecto de largo plazo con el que Colombia alcance los Objetivos de Desarrollo Sostenible al 2030.</w:t>
      </w:r>
    </w:p>
    <w:p w14:paraId="37CB72E9" w14:textId="3157DBF2" w:rsidR="00E319CE" w:rsidRPr="006969B3" w:rsidRDefault="00E319CE" w:rsidP="00F65283">
      <w:pPr>
        <w:spacing w:after="0" w:line="240" w:lineRule="auto"/>
        <w:rPr>
          <w:rFonts w:ascii="Arial" w:hAnsi="Arial" w:cs="Arial"/>
          <w:lang w:val="es-CO"/>
        </w:rPr>
      </w:pPr>
    </w:p>
    <w:p w14:paraId="13041576" w14:textId="77777777" w:rsidR="00E319CE" w:rsidRPr="006969B3" w:rsidRDefault="00E319CE" w:rsidP="00F65283">
      <w:pPr>
        <w:pStyle w:val="NormalWeb"/>
        <w:spacing w:before="0" w:beforeAutospacing="0" w:after="0" w:afterAutospacing="0"/>
        <w:jc w:val="both"/>
        <w:rPr>
          <w:rFonts w:ascii="Arial" w:hAnsi="Arial" w:cs="Arial"/>
          <w:sz w:val="22"/>
          <w:szCs w:val="22"/>
          <w:lang w:val="es-CO"/>
        </w:rPr>
      </w:pPr>
      <w:bookmarkStart w:id="6" w:name="2"/>
      <w:r w:rsidRPr="006969B3">
        <w:rPr>
          <w:rFonts w:ascii="Arial" w:hAnsi="Arial" w:cs="Arial"/>
          <w:sz w:val="22"/>
          <w:szCs w:val="22"/>
          <w:lang w:val="es-CO"/>
        </w:rPr>
        <w:t>ARTÍCULO 2o. PARTE INTEGRAL DE ESTA LEY.</w:t>
      </w:r>
      <w:bookmarkEnd w:id="6"/>
      <w:r w:rsidRPr="006969B3">
        <w:rPr>
          <w:rFonts w:ascii="Arial" w:hAnsi="Arial" w:cs="Arial"/>
          <w:sz w:val="22"/>
          <w:szCs w:val="22"/>
          <w:lang w:val="es-CO"/>
        </w:rPr>
        <w:t> El documento denominado “Bases del Plan Nacional de Desarrollo 2018-2022: Pacto por Colombia, pacto por la equidad”, elaborado por el Gobierno nacional con la participación del Consejo Superior de la Judicatura y del Consejo Nacional de Planeación, y construido desde los territorios, con las modificaciones realizadas en el trámite legislativo, es parte integral del Plan Nacional de Desarrollo, y se incorpora a la presente Ley como un anexo.</w:t>
      </w:r>
    </w:p>
    <w:p w14:paraId="1EB807EA" w14:textId="129DA976" w:rsidR="00E319CE" w:rsidRPr="006969B3" w:rsidRDefault="00E319CE" w:rsidP="00F65283">
      <w:pPr>
        <w:spacing w:after="0" w:line="240" w:lineRule="auto"/>
        <w:rPr>
          <w:rFonts w:ascii="Arial" w:hAnsi="Arial" w:cs="Arial"/>
          <w:lang w:val="es-CO"/>
        </w:rPr>
      </w:pPr>
    </w:p>
    <w:p w14:paraId="151470C1" w14:textId="77777777" w:rsidR="00E319CE" w:rsidRPr="006969B3" w:rsidRDefault="00E319CE" w:rsidP="00F65283">
      <w:pPr>
        <w:pStyle w:val="NormalWeb"/>
        <w:spacing w:before="0" w:beforeAutospacing="0" w:after="0" w:afterAutospacing="0"/>
        <w:jc w:val="both"/>
        <w:rPr>
          <w:rFonts w:ascii="Arial" w:hAnsi="Arial" w:cs="Arial"/>
          <w:sz w:val="22"/>
          <w:szCs w:val="22"/>
          <w:lang w:val="es-CO"/>
        </w:rPr>
      </w:pPr>
      <w:bookmarkStart w:id="7" w:name="3"/>
      <w:r w:rsidRPr="006969B3">
        <w:rPr>
          <w:rFonts w:ascii="Arial" w:hAnsi="Arial" w:cs="Arial"/>
          <w:sz w:val="22"/>
          <w:szCs w:val="22"/>
          <w:lang w:val="es-CO"/>
        </w:rPr>
        <w:t>ARTÍCULO 3o. PACTOS DEL PLAN NACIONAL DE DESARROLLO.</w:t>
      </w:r>
      <w:bookmarkEnd w:id="7"/>
      <w:r w:rsidRPr="006969B3">
        <w:rPr>
          <w:rFonts w:ascii="Arial" w:hAnsi="Arial" w:cs="Arial"/>
          <w:sz w:val="22"/>
          <w:szCs w:val="22"/>
          <w:lang w:val="es-CO"/>
        </w:rPr>
        <w:t> El Plan Nacional de Desarrollo está compuesto por objetivos de política pública denominados pactos, concepto que refleja la importancia del aporte de todas las facetas de la sociedad en la construcción de una Colombia equitativa.</w:t>
      </w:r>
    </w:p>
    <w:p w14:paraId="308AFB08"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4C36604C" w14:textId="402D9A73"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Plan se basa en los siguientes tres pactos estructurales:</w:t>
      </w:r>
    </w:p>
    <w:p w14:paraId="11107A39"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5D1928B0" w14:textId="457ABF7A"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1. </w:t>
      </w:r>
      <w:r w:rsidRPr="006969B3">
        <w:rPr>
          <w:rStyle w:val="baj"/>
          <w:rFonts w:ascii="Arial" w:hAnsi="Arial" w:cs="Arial"/>
          <w:sz w:val="22"/>
          <w:szCs w:val="22"/>
          <w:lang w:val="es-CO"/>
        </w:rPr>
        <w:t>Legalidad.</w:t>
      </w:r>
      <w:r w:rsidRPr="006969B3">
        <w:rPr>
          <w:rFonts w:ascii="Arial" w:hAnsi="Arial" w:cs="Arial"/>
          <w:sz w:val="22"/>
          <w:szCs w:val="22"/>
          <w:lang w:val="es-CO"/>
        </w:rPr>
        <w:t> El Plan establece las bases para la protección de las libertades individuales y de los bienes públicos, para el imperio de la Ley y la garantía de los derechos humanos, para una lucha certera contra la corrupción y para el fortalecimiento de la Rama Judicial.</w:t>
      </w:r>
    </w:p>
    <w:p w14:paraId="7E49B04B"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293AC30D" w14:textId="5ECD1FCC"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2.</w:t>
      </w:r>
      <w:r w:rsidRPr="006969B3">
        <w:rPr>
          <w:rStyle w:val="baj"/>
          <w:rFonts w:ascii="Arial" w:hAnsi="Arial" w:cs="Arial"/>
          <w:sz w:val="22"/>
          <w:szCs w:val="22"/>
          <w:lang w:val="es-CO"/>
        </w:rPr>
        <w:t> Emprendimiento.</w:t>
      </w:r>
      <w:r w:rsidRPr="006969B3">
        <w:rPr>
          <w:rFonts w:ascii="Arial" w:hAnsi="Arial" w:cs="Arial"/>
          <w:sz w:val="22"/>
          <w:szCs w:val="22"/>
          <w:lang w:val="es-CO"/>
        </w:rPr>
        <w:t> Sobre el sustento de la legalidad, el Plan plantea expandir las oportunidades de los colombianos a través del estímulo al emprendimiento, la formalización del trabajo y las actividades económicas, y el fortalecimiento del tejido empresarial en las ciudades y en el campo.</w:t>
      </w:r>
    </w:p>
    <w:p w14:paraId="6B18C2B2"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4E599EC4" w14:textId="6BFD2F9E"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lastRenderedPageBreak/>
        <w:t>3. </w:t>
      </w:r>
      <w:r w:rsidRPr="006969B3">
        <w:rPr>
          <w:rStyle w:val="baj"/>
          <w:rFonts w:ascii="Arial" w:hAnsi="Arial" w:cs="Arial"/>
          <w:sz w:val="22"/>
          <w:szCs w:val="22"/>
          <w:lang w:val="es-CO"/>
        </w:rPr>
        <w:t>Equidad</w:t>
      </w:r>
      <w:r w:rsidRPr="006969B3">
        <w:rPr>
          <w:rFonts w:ascii="Arial" w:hAnsi="Arial" w:cs="Arial"/>
          <w:sz w:val="22"/>
          <w:szCs w:val="22"/>
          <w:lang w:val="es-CO"/>
        </w:rPr>
        <w:t>. Como resultado final, el Plan busca la igualdad de oportunidades para todos, por medio de una política social moderna orientada a lograr la inclusión social y la inclusión productiva de los colombianos, y que se centra en las familias como los principales vehículos para la construcción de lazos de solidaridad y de tejido social.</w:t>
      </w:r>
    </w:p>
    <w:p w14:paraId="7711ECAB"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5F2CA542" w14:textId="2FF22213"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logro de estos objetivos requiere de algunas condiciones habilitantes que permitan acelerar el cambio social. Por lo tanto, el Plan contempla los siguientes pactos que contienen estrategias transversales:</w:t>
      </w:r>
    </w:p>
    <w:p w14:paraId="0071CB01"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4ECCCFEF" w14:textId="05B15E0D"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4. Pacto por la sostenibilidad: producir conservando y conservar produciendo.</w:t>
      </w:r>
    </w:p>
    <w:p w14:paraId="2251E070" w14:textId="77777777"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5. Pacto por la ciencia, la tecnología y la innovación: un sistema para construir el conocimiento de la Colombia del futuro.</w:t>
      </w:r>
    </w:p>
    <w:p w14:paraId="2795E9AB"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3A1BEFA5" w14:textId="28859445"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6. Pacto por el transporte y la logística para la competitividad y la integración regional.</w:t>
      </w:r>
    </w:p>
    <w:p w14:paraId="45F04F94"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5CC5674E" w14:textId="3D3218DB"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7. Pacto por la transformación digital de Colombia: Gobierno, empresas y hogares conectados con la era del conocimiento.</w:t>
      </w:r>
    </w:p>
    <w:p w14:paraId="704FEDD0"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1C18F76D" w14:textId="2F29C3F9"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8. Pacto por la calidad y eficiencia de los servicios públicos: agua y energía para promover la competitividad y el bienestar de todos.</w:t>
      </w:r>
    </w:p>
    <w:p w14:paraId="09CB2220"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04D8CD25" w14:textId="456333E8"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9. Pacto por los recursos minero-energéticos para el crecimiento sostenible y la expansión de oportunidades.</w:t>
      </w:r>
    </w:p>
    <w:p w14:paraId="12DD0997"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0C42AEEE" w14:textId="50E8ED1B"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10. Pacto por la protección y promoción de nuestra cultura y desarrollo de la economía naranja.</w:t>
      </w:r>
    </w:p>
    <w:p w14:paraId="753D938F" w14:textId="77777777"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11. Pacto por la construcción de paz: cultura de la legalidad, convivencia, estabilización y víctimas.</w:t>
      </w:r>
    </w:p>
    <w:p w14:paraId="6D5B6F3F"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5652D081" w14:textId="44C5A518"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12. Pacto por la equidad de oportunidades para grupos indígenas, negros, afros, raizales, palenqueros y </w:t>
      </w:r>
      <w:proofErr w:type="spellStart"/>
      <w:r w:rsidRPr="006969B3">
        <w:rPr>
          <w:rFonts w:ascii="Arial" w:hAnsi="Arial" w:cs="Arial"/>
          <w:sz w:val="22"/>
          <w:szCs w:val="22"/>
          <w:lang w:val="es-CO"/>
        </w:rPr>
        <w:t>Rrom</w:t>
      </w:r>
      <w:proofErr w:type="spellEnd"/>
      <w:r w:rsidRPr="006969B3">
        <w:rPr>
          <w:rFonts w:ascii="Arial" w:hAnsi="Arial" w:cs="Arial"/>
          <w:sz w:val="22"/>
          <w:szCs w:val="22"/>
          <w:lang w:val="es-CO"/>
        </w:rPr>
        <w:t>.</w:t>
      </w:r>
    </w:p>
    <w:p w14:paraId="70AFD23E"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4215D2EF" w14:textId="67C7A272"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13. Pacto por la inclusión de todas las personas con discapacidad.</w:t>
      </w:r>
    </w:p>
    <w:p w14:paraId="34EF30F0"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5A49EE25" w14:textId="242184C5"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14. Pacto por la equidad de las mujeres.</w:t>
      </w:r>
    </w:p>
    <w:p w14:paraId="32628BD4"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6141DAAE" w14:textId="573549F1"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15. Pacto por una gestión pública efectiva.</w:t>
      </w:r>
    </w:p>
    <w:p w14:paraId="1A4340DE"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366F2BDD" w14:textId="099AFF5D"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Así mismo, el Plan integra una visión territorial basada en la importancia de conectar territorios, gobiernos y poblaciones. Esto se ve reflejado en los siguientes pactos:</w:t>
      </w:r>
    </w:p>
    <w:p w14:paraId="56B5665A"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61F29147" w14:textId="211C5353"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16. Pacto por la descentralización: conectar territorios, gobiernos y poblaciones.</w:t>
      </w:r>
    </w:p>
    <w:p w14:paraId="77290DD4"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31BC4263" w14:textId="08246450"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17 - 25. Pacto por la productividad y la equidad en las regiones:</w:t>
      </w:r>
    </w:p>
    <w:p w14:paraId="2C7449D2"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1E4B9188" w14:textId="7D0463C4"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Región Pacífico: Diversidad para la equidad, la convivencia pacífica y el desarrollo sostenible.</w:t>
      </w:r>
    </w:p>
    <w:p w14:paraId="425C8EC5"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541ABF69" w14:textId="0440BB42"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Región Caribe: Una transformación para la igualdad de oportunidades y la equidad.</w:t>
      </w:r>
    </w:p>
    <w:p w14:paraId="24D1ABD1"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212DF10B" w14:textId="73DDF374"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 </w:t>
      </w:r>
      <w:proofErr w:type="spellStart"/>
      <w:r w:rsidRPr="006969B3">
        <w:rPr>
          <w:rFonts w:ascii="Arial" w:hAnsi="Arial" w:cs="Arial"/>
          <w:sz w:val="22"/>
          <w:szCs w:val="22"/>
          <w:lang w:val="es-CO"/>
        </w:rPr>
        <w:t>Seaflower</w:t>
      </w:r>
      <w:proofErr w:type="spellEnd"/>
      <w:r w:rsidRPr="006969B3">
        <w:rPr>
          <w:rFonts w:ascii="Arial" w:hAnsi="Arial" w:cs="Arial"/>
          <w:sz w:val="22"/>
          <w:szCs w:val="22"/>
          <w:lang w:val="es-CO"/>
        </w:rPr>
        <w:t xml:space="preserve"> Región: Por una región próspera, segura y sostenible.</w:t>
      </w:r>
    </w:p>
    <w:p w14:paraId="7C5DBAB7"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5034215C" w14:textId="7AF0A102" w:rsidR="00F65283"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 Región Central: Centro de innovación y nodo logístico de integración productiva nacional </w:t>
      </w:r>
    </w:p>
    <w:p w14:paraId="7A84FAED" w14:textId="1AB94260"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 internacional.</w:t>
      </w:r>
    </w:p>
    <w:p w14:paraId="1648D704"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5A9B3E52" w14:textId="32D0FB63"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Región Santanderes: Eje logístico, competitivo y sostenible de Colombia.</w:t>
      </w:r>
    </w:p>
    <w:p w14:paraId="16A08DFD"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10B2C31B" w14:textId="036D63F6"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Región Amazonia: Desarrollo sostenible por una Amazonia viva.</w:t>
      </w:r>
    </w:p>
    <w:p w14:paraId="02DF9882"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34F3AB31" w14:textId="2873F08A"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Eje Cafetero y Antioquia: Conectar para la competitividad y el desarrollo logístico sostenible.</w:t>
      </w:r>
    </w:p>
    <w:p w14:paraId="02FB3C1D" w14:textId="77777777"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Región Llanos - Orinoquía: Conectar y potenciar la despensa sostenible de la región con el país y el mundo.</w:t>
      </w:r>
    </w:p>
    <w:p w14:paraId="76901A4C"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7B3DD8AF" w14:textId="114DDD4F"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Región Océanos: Colombia, potencia bioceánica.</w:t>
      </w:r>
    </w:p>
    <w:p w14:paraId="732FD160"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0EAE9B9A" w14:textId="3DE43951" w:rsidR="00E319CE" w:rsidRPr="006969B3" w:rsidRDefault="00E319CE" w:rsidP="00F65283">
      <w:pPr>
        <w:pStyle w:val="centrado"/>
        <w:spacing w:before="0" w:beforeAutospacing="0" w:after="0" w:afterAutospacing="0"/>
        <w:jc w:val="center"/>
        <w:rPr>
          <w:rFonts w:ascii="Arial" w:hAnsi="Arial" w:cs="Arial"/>
          <w:b/>
          <w:bCs/>
          <w:sz w:val="22"/>
          <w:szCs w:val="22"/>
          <w:lang w:val="es-CO"/>
        </w:rPr>
      </w:pPr>
      <w:bookmarkStart w:id="8" w:name="TÍTULO_II"/>
      <w:r w:rsidRPr="006969B3">
        <w:rPr>
          <w:rFonts w:ascii="Arial" w:hAnsi="Arial" w:cs="Arial"/>
          <w:b/>
          <w:bCs/>
          <w:sz w:val="22"/>
          <w:szCs w:val="22"/>
          <w:lang w:val="es-CO"/>
        </w:rPr>
        <w:t>TÍTULO II</w:t>
      </w:r>
      <w:bookmarkEnd w:id="8"/>
    </w:p>
    <w:p w14:paraId="219648F1" w14:textId="77777777" w:rsidR="00C62051" w:rsidRPr="006969B3" w:rsidRDefault="00C62051" w:rsidP="00F65283">
      <w:pPr>
        <w:pStyle w:val="centrado"/>
        <w:spacing w:before="0" w:beforeAutospacing="0" w:after="0" w:afterAutospacing="0"/>
        <w:jc w:val="center"/>
        <w:rPr>
          <w:rFonts w:ascii="Arial" w:hAnsi="Arial" w:cs="Arial"/>
          <w:b/>
          <w:bCs/>
          <w:sz w:val="22"/>
          <w:szCs w:val="22"/>
          <w:lang w:val="es-CO"/>
        </w:rPr>
      </w:pPr>
    </w:p>
    <w:p w14:paraId="5B942E3F" w14:textId="7777BB41" w:rsidR="00E319CE" w:rsidRPr="006969B3" w:rsidRDefault="00E319CE" w:rsidP="00F65283">
      <w:pPr>
        <w:pStyle w:val="centrado"/>
        <w:spacing w:before="0" w:beforeAutospacing="0" w:after="0" w:afterAutospacing="0"/>
        <w:jc w:val="center"/>
        <w:rPr>
          <w:rFonts w:ascii="Arial" w:hAnsi="Arial" w:cs="Arial"/>
          <w:b/>
          <w:bCs/>
          <w:sz w:val="22"/>
          <w:szCs w:val="22"/>
          <w:lang w:val="es-CO"/>
        </w:rPr>
      </w:pPr>
      <w:bookmarkStart w:id="9" w:name="CAPÍTULO_I-II"/>
      <w:r w:rsidRPr="006969B3">
        <w:rPr>
          <w:rFonts w:ascii="Arial" w:hAnsi="Arial" w:cs="Arial"/>
          <w:b/>
          <w:bCs/>
          <w:sz w:val="22"/>
          <w:szCs w:val="22"/>
          <w:lang w:val="es-CO"/>
        </w:rPr>
        <w:t>CAPÍTULO I</w:t>
      </w:r>
      <w:bookmarkEnd w:id="9"/>
    </w:p>
    <w:p w14:paraId="46CAF523" w14:textId="77777777" w:rsidR="00C62051" w:rsidRPr="006969B3" w:rsidRDefault="00C62051" w:rsidP="00F65283">
      <w:pPr>
        <w:pStyle w:val="centrado"/>
        <w:spacing w:before="0" w:beforeAutospacing="0" w:after="0" w:afterAutospacing="0"/>
        <w:jc w:val="center"/>
        <w:rPr>
          <w:rFonts w:ascii="Arial" w:hAnsi="Arial" w:cs="Arial"/>
          <w:b/>
          <w:bCs/>
          <w:sz w:val="22"/>
          <w:szCs w:val="22"/>
          <w:lang w:val="es-CO"/>
        </w:rPr>
      </w:pPr>
    </w:p>
    <w:p w14:paraId="5EBF15C7" w14:textId="77777777" w:rsidR="00E319CE" w:rsidRPr="006969B3" w:rsidRDefault="00E319CE" w:rsidP="00F65283">
      <w:pPr>
        <w:pStyle w:val="centrado"/>
        <w:spacing w:before="0" w:beforeAutospacing="0" w:after="0" w:afterAutospacing="0"/>
        <w:jc w:val="center"/>
        <w:rPr>
          <w:rFonts w:ascii="Arial" w:hAnsi="Arial" w:cs="Arial"/>
          <w:b/>
          <w:bCs/>
          <w:sz w:val="22"/>
          <w:szCs w:val="22"/>
          <w:lang w:val="es-CO"/>
        </w:rPr>
      </w:pPr>
      <w:r w:rsidRPr="006969B3">
        <w:rPr>
          <w:rStyle w:val="baj"/>
          <w:rFonts w:ascii="Arial" w:hAnsi="Arial" w:cs="Arial"/>
          <w:b/>
          <w:bCs/>
          <w:sz w:val="22"/>
          <w:szCs w:val="22"/>
          <w:lang w:val="es-CO"/>
        </w:rPr>
        <w:t>PLAN DE INVERSIONES Y PRESUPUESTOS PLURIANUALES.</w:t>
      </w:r>
    </w:p>
    <w:p w14:paraId="63B36CE6" w14:textId="524FDC51" w:rsidR="00E319CE" w:rsidRPr="006969B3" w:rsidRDefault="00E319CE" w:rsidP="00F65283">
      <w:pPr>
        <w:spacing w:after="0" w:line="240" w:lineRule="auto"/>
        <w:rPr>
          <w:rFonts w:ascii="Arial" w:hAnsi="Arial" w:cs="Arial"/>
          <w:lang w:val="es-CO"/>
        </w:rPr>
      </w:pPr>
    </w:p>
    <w:p w14:paraId="7565AC30" w14:textId="446580E3" w:rsidR="00E319CE" w:rsidRPr="006969B3" w:rsidRDefault="00E319CE" w:rsidP="00F65283">
      <w:pPr>
        <w:pStyle w:val="NormalWeb"/>
        <w:spacing w:before="0" w:beforeAutospacing="0" w:after="0" w:afterAutospacing="0"/>
        <w:jc w:val="both"/>
        <w:rPr>
          <w:rFonts w:ascii="Arial" w:hAnsi="Arial" w:cs="Arial"/>
          <w:sz w:val="22"/>
          <w:szCs w:val="22"/>
          <w:lang w:val="es-CO"/>
        </w:rPr>
      </w:pPr>
      <w:bookmarkStart w:id="10" w:name="4"/>
      <w:r w:rsidRPr="006969B3">
        <w:rPr>
          <w:rFonts w:ascii="Arial" w:hAnsi="Arial" w:cs="Arial"/>
          <w:sz w:val="22"/>
          <w:szCs w:val="22"/>
          <w:lang w:val="es-CO"/>
        </w:rPr>
        <w:t>ARTÍCULO 4o. PLAN NACIONAL DE INVERSIONES PÚBLICAS 2019- 2022.</w:t>
      </w:r>
      <w:bookmarkEnd w:id="10"/>
      <w:r w:rsidRPr="006969B3">
        <w:rPr>
          <w:rFonts w:ascii="Arial" w:hAnsi="Arial" w:cs="Arial"/>
          <w:sz w:val="22"/>
          <w:szCs w:val="22"/>
          <w:lang w:val="es-CO"/>
        </w:rPr>
        <w:t xml:space="preserve"> El Plan Nacional de Inversiones Públicas 2019-2022 se estima en un valor de mil noventa y seis, coma uno ($1.096,1) billones, a pesos constantes de 2018, el cual incluye el componente Plan Plurianual de Inversiones para la Paz de forma transversal y que se estima en un valor de treinta y </w:t>
      </w:r>
      <w:proofErr w:type="gramStart"/>
      <w:r w:rsidRPr="006969B3">
        <w:rPr>
          <w:rFonts w:ascii="Arial" w:hAnsi="Arial" w:cs="Arial"/>
          <w:sz w:val="22"/>
          <w:szCs w:val="22"/>
          <w:lang w:val="es-CO"/>
        </w:rPr>
        <w:t>siete coma</w:t>
      </w:r>
      <w:proofErr w:type="gramEnd"/>
      <w:r w:rsidRPr="006969B3">
        <w:rPr>
          <w:rFonts w:ascii="Arial" w:hAnsi="Arial" w:cs="Arial"/>
          <w:sz w:val="22"/>
          <w:szCs w:val="22"/>
          <w:lang w:val="es-CO"/>
        </w:rPr>
        <w:t xml:space="preserve"> uno ($37,1) billones, a pesos constantes de 2018.</w:t>
      </w:r>
    </w:p>
    <w:p w14:paraId="050E5817"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588B9836" w14:textId="77777777" w:rsidR="00E319CE" w:rsidRPr="006969B3" w:rsidRDefault="00E319CE" w:rsidP="00F65283">
      <w:pPr>
        <w:pStyle w:val="centrado"/>
        <w:spacing w:before="0" w:beforeAutospacing="0" w:after="0" w:afterAutospacing="0"/>
        <w:jc w:val="center"/>
        <w:rPr>
          <w:rFonts w:ascii="Arial" w:hAnsi="Arial" w:cs="Arial"/>
          <w:sz w:val="22"/>
          <w:szCs w:val="22"/>
          <w:lang w:val="es-CO"/>
        </w:rPr>
      </w:pPr>
      <w:r w:rsidRPr="006969B3">
        <w:rPr>
          <w:rStyle w:val="baj"/>
          <w:rFonts w:ascii="Arial" w:hAnsi="Arial" w:cs="Arial"/>
          <w:sz w:val="22"/>
          <w:szCs w:val="22"/>
          <w:lang w:val="es-CO"/>
        </w:rPr>
        <w:t>Tabla I. Fuentes que Financian el PND 2019-2022</w:t>
      </w:r>
    </w:p>
    <w:p w14:paraId="7E5B234F" w14:textId="125612BF" w:rsidR="00E319CE" w:rsidRPr="006969B3" w:rsidRDefault="00E319CE" w:rsidP="00F65283">
      <w:pPr>
        <w:pStyle w:val="centrado"/>
        <w:spacing w:before="0" w:beforeAutospacing="0" w:after="0" w:afterAutospacing="0"/>
        <w:jc w:val="center"/>
        <w:rPr>
          <w:rFonts w:ascii="Arial" w:hAnsi="Arial" w:cs="Arial"/>
          <w:sz w:val="22"/>
          <w:szCs w:val="22"/>
          <w:lang w:val="es-CO"/>
        </w:rPr>
      </w:pPr>
      <w:r w:rsidRPr="006969B3">
        <w:rPr>
          <w:rFonts w:ascii="Arial" w:hAnsi="Arial" w:cs="Arial"/>
          <w:sz w:val="22"/>
          <w:szCs w:val="22"/>
          <w:lang w:val="es-CO"/>
        </w:rPr>
        <w:t>Cifras en billones de pesos de 2018</w:t>
      </w:r>
    </w:p>
    <w:p w14:paraId="0B19D932" w14:textId="77777777" w:rsidR="00F65283" w:rsidRPr="006969B3" w:rsidRDefault="00F65283" w:rsidP="00F65283">
      <w:pPr>
        <w:pStyle w:val="centrado"/>
        <w:spacing w:before="0" w:beforeAutospacing="0" w:after="0" w:afterAutospacing="0"/>
        <w:jc w:val="center"/>
        <w:rPr>
          <w:rFonts w:ascii="Arial" w:hAnsi="Arial" w:cs="Arial"/>
          <w:sz w:val="22"/>
          <w:szCs w:val="22"/>
          <w:lang w:val="es-CO"/>
        </w:rPr>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2916"/>
        <w:gridCol w:w="2989"/>
        <w:gridCol w:w="2917"/>
      </w:tblGrid>
      <w:tr w:rsidR="003D1DF1" w:rsidRPr="006969B3" w14:paraId="1F55C243" w14:textId="77777777" w:rsidTr="00E319CE">
        <w:trPr>
          <w:tblCellSpacing w:w="15" w:type="dxa"/>
        </w:trPr>
        <w:tc>
          <w:tcPr>
            <w:tcW w:w="1650" w:type="pct"/>
            <w:tcBorders>
              <w:top w:val="single" w:sz="6" w:space="0" w:color="auto"/>
              <w:left w:val="single" w:sz="6" w:space="0" w:color="auto"/>
              <w:bottom w:val="single" w:sz="6" w:space="0" w:color="auto"/>
              <w:right w:val="single" w:sz="6" w:space="0" w:color="auto"/>
            </w:tcBorders>
            <w:hideMark/>
          </w:tcPr>
          <w:p w14:paraId="096689C9" w14:textId="77777777" w:rsidR="00E319CE" w:rsidRPr="006969B3" w:rsidRDefault="00E319CE" w:rsidP="00F65283">
            <w:pPr>
              <w:spacing w:after="0" w:line="240" w:lineRule="auto"/>
              <w:jc w:val="center"/>
              <w:rPr>
                <w:rFonts w:ascii="Arial" w:hAnsi="Arial" w:cs="Arial"/>
                <w:lang w:val="es-CO"/>
              </w:rPr>
            </w:pPr>
            <w:r w:rsidRPr="006969B3">
              <w:rPr>
                <w:rStyle w:val="baj"/>
                <w:rFonts w:ascii="Arial" w:hAnsi="Arial" w:cs="Arial"/>
                <w:lang w:val="es-CO"/>
              </w:rPr>
              <w:t>Fuentes de financiación</w:t>
            </w:r>
          </w:p>
        </w:tc>
        <w:tc>
          <w:tcPr>
            <w:tcW w:w="3350" w:type="pct"/>
            <w:gridSpan w:val="2"/>
            <w:tcBorders>
              <w:top w:val="single" w:sz="6" w:space="0" w:color="auto"/>
              <w:left w:val="single" w:sz="6" w:space="0" w:color="auto"/>
              <w:bottom w:val="single" w:sz="6" w:space="0" w:color="auto"/>
              <w:right w:val="single" w:sz="6" w:space="0" w:color="auto"/>
            </w:tcBorders>
            <w:hideMark/>
          </w:tcPr>
          <w:p w14:paraId="3DC08FB4" w14:textId="77777777" w:rsidR="00E319CE" w:rsidRPr="006969B3" w:rsidRDefault="00E319CE" w:rsidP="00F65283">
            <w:pPr>
              <w:spacing w:after="0" w:line="240" w:lineRule="auto"/>
              <w:jc w:val="center"/>
              <w:rPr>
                <w:rFonts w:ascii="Arial" w:hAnsi="Arial" w:cs="Arial"/>
                <w:lang w:val="es-CO"/>
              </w:rPr>
            </w:pPr>
            <w:r w:rsidRPr="006969B3">
              <w:rPr>
                <w:rStyle w:val="baj"/>
                <w:rFonts w:ascii="Arial" w:hAnsi="Arial" w:cs="Arial"/>
                <w:lang w:val="es-CO"/>
              </w:rPr>
              <w:t> </w:t>
            </w:r>
            <w:proofErr w:type="gramStart"/>
            <w:r w:rsidRPr="006969B3">
              <w:rPr>
                <w:rStyle w:val="baj"/>
                <w:rFonts w:ascii="Arial" w:hAnsi="Arial" w:cs="Arial"/>
                <w:lang w:val="es-CO"/>
              </w:rPr>
              <w:t>Total</w:t>
            </w:r>
            <w:proofErr w:type="gramEnd"/>
            <w:r w:rsidRPr="006969B3">
              <w:rPr>
                <w:rStyle w:val="baj"/>
                <w:rFonts w:ascii="Arial" w:hAnsi="Arial" w:cs="Arial"/>
                <w:lang w:val="es-CO"/>
              </w:rPr>
              <w:t xml:space="preserve"> PND</w:t>
            </w:r>
          </w:p>
        </w:tc>
      </w:tr>
      <w:tr w:rsidR="003D1DF1" w:rsidRPr="006969B3" w14:paraId="6D8C9801" w14:textId="77777777" w:rsidTr="00E319CE">
        <w:trPr>
          <w:tblCellSpacing w:w="15" w:type="dxa"/>
        </w:trPr>
        <w:tc>
          <w:tcPr>
            <w:tcW w:w="3350" w:type="pct"/>
            <w:gridSpan w:val="2"/>
            <w:tcBorders>
              <w:top w:val="single" w:sz="6" w:space="0" w:color="auto"/>
              <w:left w:val="single" w:sz="6" w:space="0" w:color="auto"/>
              <w:bottom w:val="single" w:sz="6" w:space="0" w:color="auto"/>
              <w:right w:val="single" w:sz="6" w:space="0" w:color="auto"/>
            </w:tcBorders>
            <w:hideMark/>
          </w:tcPr>
          <w:p w14:paraId="380A3DF6" w14:textId="77777777" w:rsidR="00E319CE" w:rsidRPr="006969B3" w:rsidRDefault="00E319CE" w:rsidP="00F65283">
            <w:pPr>
              <w:spacing w:after="0" w:line="240" w:lineRule="auto"/>
              <w:jc w:val="center"/>
              <w:rPr>
                <w:rFonts w:ascii="Arial" w:hAnsi="Arial" w:cs="Arial"/>
                <w:lang w:val="es-CO"/>
              </w:rPr>
            </w:pPr>
            <w:r w:rsidRPr="006969B3">
              <w:rPr>
                <w:rStyle w:val="baj"/>
                <w:rFonts w:ascii="Arial" w:hAnsi="Arial" w:cs="Arial"/>
                <w:lang w:val="es-CO"/>
              </w:rPr>
              <w:t>Billones de pesos de 2018</w:t>
            </w:r>
          </w:p>
        </w:tc>
        <w:tc>
          <w:tcPr>
            <w:tcW w:w="1650" w:type="pct"/>
            <w:tcBorders>
              <w:top w:val="single" w:sz="6" w:space="0" w:color="auto"/>
              <w:left w:val="single" w:sz="6" w:space="0" w:color="auto"/>
              <w:bottom w:val="single" w:sz="6" w:space="0" w:color="auto"/>
              <w:right w:val="single" w:sz="6" w:space="0" w:color="auto"/>
            </w:tcBorders>
            <w:hideMark/>
          </w:tcPr>
          <w:p w14:paraId="7BF7D3FD" w14:textId="77777777" w:rsidR="00E319CE" w:rsidRPr="006969B3" w:rsidRDefault="00E319CE" w:rsidP="00F65283">
            <w:pPr>
              <w:spacing w:after="0" w:line="240" w:lineRule="auto"/>
              <w:jc w:val="center"/>
              <w:rPr>
                <w:rFonts w:ascii="Arial" w:hAnsi="Arial" w:cs="Arial"/>
                <w:lang w:val="es-CO"/>
              </w:rPr>
            </w:pPr>
            <w:r w:rsidRPr="006969B3">
              <w:rPr>
                <w:rStyle w:val="baj"/>
                <w:rFonts w:ascii="Arial" w:hAnsi="Arial" w:cs="Arial"/>
                <w:lang w:val="es-CO"/>
              </w:rPr>
              <w:t>Participación</w:t>
            </w:r>
          </w:p>
        </w:tc>
      </w:tr>
      <w:tr w:rsidR="003D1DF1" w:rsidRPr="006969B3" w14:paraId="5BF9926A" w14:textId="77777777" w:rsidTr="00E319CE">
        <w:trPr>
          <w:tblCellSpacing w:w="15" w:type="dxa"/>
        </w:trPr>
        <w:tc>
          <w:tcPr>
            <w:tcW w:w="1650" w:type="pct"/>
            <w:tcBorders>
              <w:top w:val="single" w:sz="6" w:space="0" w:color="auto"/>
              <w:left w:val="single" w:sz="6" w:space="0" w:color="auto"/>
              <w:bottom w:val="single" w:sz="6" w:space="0" w:color="auto"/>
              <w:right w:val="single" w:sz="6" w:space="0" w:color="auto"/>
            </w:tcBorders>
            <w:hideMark/>
          </w:tcPr>
          <w:p w14:paraId="45B04B62"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PGN</w:t>
            </w:r>
          </w:p>
        </w:tc>
        <w:tc>
          <w:tcPr>
            <w:tcW w:w="1650" w:type="pct"/>
            <w:tcBorders>
              <w:top w:val="single" w:sz="6" w:space="0" w:color="auto"/>
              <w:left w:val="single" w:sz="6" w:space="0" w:color="auto"/>
              <w:bottom w:val="single" w:sz="6" w:space="0" w:color="auto"/>
              <w:right w:val="single" w:sz="6" w:space="0" w:color="auto"/>
            </w:tcBorders>
            <w:hideMark/>
          </w:tcPr>
          <w:p w14:paraId="1748D388" w14:textId="77777777" w:rsidR="00E319CE" w:rsidRPr="006969B3" w:rsidRDefault="00E319CE" w:rsidP="00F65283">
            <w:pPr>
              <w:spacing w:after="0" w:line="240" w:lineRule="auto"/>
              <w:jc w:val="center"/>
              <w:rPr>
                <w:rFonts w:ascii="Arial" w:hAnsi="Arial" w:cs="Arial"/>
                <w:lang w:val="es-CO"/>
              </w:rPr>
            </w:pPr>
            <w:r w:rsidRPr="006969B3">
              <w:rPr>
                <w:rFonts w:ascii="Arial" w:hAnsi="Arial" w:cs="Arial"/>
                <w:lang w:val="es-CO"/>
              </w:rPr>
              <w:t>352,2</w:t>
            </w:r>
          </w:p>
        </w:tc>
        <w:tc>
          <w:tcPr>
            <w:tcW w:w="1650" w:type="pct"/>
            <w:tcBorders>
              <w:top w:val="single" w:sz="6" w:space="0" w:color="auto"/>
              <w:left w:val="single" w:sz="6" w:space="0" w:color="auto"/>
              <w:bottom w:val="single" w:sz="6" w:space="0" w:color="auto"/>
              <w:right w:val="single" w:sz="6" w:space="0" w:color="auto"/>
            </w:tcBorders>
            <w:hideMark/>
          </w:tcPr>
          <w:p w14:paraId="5FE7D595" w14:textId="77777777" w:rsidR="00E319CE" w:rsidRPr="006969B3" w:rsidRDefault="00E319CE" w:rsidP="00F65283">
            <w:pPr>
              <w:spacing w:after="0" w:line="240" w:lineRule="auto"/>
              <w:jc w:val="center"/>
              <w:rPr>
                <w:rFonts w:ascii="Arial" w:hAnsi="Arial" w:cs="Arial"/>
                <w:lang w:val="es-CO"/>
              </w:rPr>
            </w:pPr>
            <w:r w:rsidRPr="006969B3">
              <w:rPr>
                <w:rFonts w:ascii="Arial" w:hAnsi="Arial" w:cs="Arial"/>
                <w:lang w:val="es-CO"/>
              </w:rPr>
              <w:t>32,1%</w:t>
            </w:r>
          </w:p>
        </w:tc>
      </w:tr>
      <w:tr w:rsidR="003D1DF1" w:rsidRPr="006969B3" w14:paraId="6B7E8223" w14:textId="77777777" w:rsidTr="00E319CE">
        <w:trPr>
          <w:tblCellSpacing w:w="15" w:type="dxa"/>
        </w:trPr>
        <w:tc>
          <w:tcPr>
            <w:tcW w:w="1650" w:type="pct"/>
            <w:tcBorders>
              <w:top w:val="single" w:sz="6" w:space="0" w:color="auto"/>
              <w:left w:val="single" w:sz="6" w:space="0" w:color="auto"/>
              <w:bottom w:val="single" w:sz="6" w:space="0" w:color="auto"/>
              <w:right w:val="single" w:sz="6" w:space="0" w:color="auto"/>
            </w:tcBorders>
            <w:hideMark/>
          </w:tcPr>
          <w:p w14:paraId="1072CBD2"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SGP</w:t>
            </w:r>
          </w:p>
        </w:tc>
        <w:tc>
          <w:tcPr>
            <w:tcW w:w="1650" w:type="pct"/>
            <w:tcBorders>
              <w:top w:val="single" w:sz="6" w:space="0" w:color="auto"/>
              <w:left w:val="single" w:sz="6" w:space="0" w:color="auto"/>
              <w:bottom w:val="single" w:sz="6" w:space="0" w:color="auto"/>
              <w:right w:val="single" w:sz="6" w:space="0" w:color="auto"/>
            </w:tcBorders>
            <w:hideMark/>
          </w:tcPr>
          <w:p w14:paraId="1F01EC91" w14:textId="77777777" w:rsidR="00E319CE" w:rsidRPr="006969B3" w:rsidRDefault="00E319CE" w:rsidP="00F65283">
            <w:pPr>
              <w:spacing w:after="0" w:line="240" w:lineRule="auto"/>
              <w:jc w:val="center"/>
              <w:rPr>
                <w:rFonts w:ascii="Arial" w:hAnsi="Arial" w:cs="Arial"/>
                <w:lang w:val="es-CO"/>
              </w:rPr>
            </w:pPr>
            <w:r w:rsidRPr="006969B3">
              <w:rPr>
                <w:rFonts w:ascii="Arial" w:hAnsi="Arial" w:cs="Arial"/>
                <w:lang w:val="es-CO"/>
              </w:rPr>
              <w:t>169,3</w:t>
            </w:r>
          </w:p>
        </w:tc>
        <w:tc>
          <w:tcPr>
            <w:tcW w:w="1650" w:type="pct"/>
            <w:tcBorders>
              <w:top w:val="single" w:sz="6" w:space="0" w:color="auto"/>
              <w:left w:val="single" w:sz="6" w:space="0" w:color="auto"/>
              <w:bottom w:val="single" w:sz="6" w:space="0" w:color="auto"/>
              <w:right w:val="single" w:sz="6" w:space="0" w:color="auto"/>
            </w:tcBorders>
            <w:hideMark/>
          </w:tcPr>
          <w:p w14:paraId="27DD2FC6" w14:textId="77777777" w:rsidR="00E319CE" w:rsidRPr="006969B3" w:rsidRDefault="00E319CE" w:rsidP="00F65283">
            <w:pPr>
              <w:spacing w:after="0" w:line="240" w:lineRule="auto"/>
              <w:jc w:val="center"/>
              <w:rPr>
                <w:rFonts w:ascii="Arial" w:hAnsi="Arial" w:cs="Arial"/>
                <w:lang w:val="es-CO"/>
              </w:rPr>
            </w:pPr>
            <w:r w:rsidRPr="006969B3">
              <w:rPr>
                <w:rFonts w:ascii="Arial" w:hAnsi="Arial" w:cs="Arial"/>
                <w:lang w:val="es-CO"/>
              </w:rPr>
              <w:t>15,4%</w:t>
            </w:r>
          </w:p>
        </w:tc>
      </w:tr>
      <w:tr w:rsidR="003D1DF1" w:rsidRPr="006969B3" w14:paraId="738B1909" w14:textId="77777777" w:rsidTr="00E319CE">
        <w:trPr>
          <w:tblCellSpacing w:w="15" w:type="dxa"/>
        </w:trPr>
        <w:tc>
          <w:tcPr>
            <w:tcW w:w="1650" w:type="pct"/>
            <w:tcBorders>
              <w:top w:val="single" w:sz="6" w:space="0" w:color="auto"/>
              <w:left w:val="single" w:sz="6" w:space="0" w:color="auto"/>
              <w:bottom w:val="single" w:sz="6" w:space="0" w:color="auto"/>
              <w:right w:val="single" w:sz="6" w:space="0" w:color="auto"/>
            </w:tcBorders>
            <w:hideMark/>
          </w:tcPr>
          <w:p w14:paraId="6F53764B"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Territoriales</w:t>
            </w:r>
          </w:p>
        </w:tc>
        <w:tc>
          <w:tcPr>
            <w:tcW w:w="1650" w:type="pct"/>
            <w:tcBorders>
              <w:top w:val="single" w:sz="6" w:space="0" w:color="auto"/>
              <w:left w:val="single" w:sz="6" w:space="0" w:color="auto"/>
              <w:bottom w:val="single" w:sz="6" w:space="0" w:color="auto"/>
              <w:right w:val="single" w:sz="6" w:space="0" w:color="auto"/>
            </w:tcBorders>
            <w:hideMark/>
          </w:tcPr>
          <w:p w14:paraId="6FEE0591" w14:textId="77777777" w:rsidR="00E319CE" w:rsidRPr="006969B3" w:rsidRDefault="00E319CE" w:rsidP="00F65283">
            <w:pPr>
              <w:spacing w:after="0" w:line="240" w:lineRule="auto"/>
              <w:jc w:val="center"/>
              <w:rPr>
                <w:rFonts w:ascii="Arial" w:hAnsi="Arial" w:cs="Arial"/>
                <w:lang w:val="es-CO"/>
              </w:rPr>
            </w:pPr>
            <w:r w:rsidRPr="006969B3">
              <w:rPr>
                <w:rFonts w:ascii="Arial" w:hAnsi="Arial" w:cs="Arial"/>
                <w:lang w:val="es-CO"/>
              </w:rPr>
              <w:t>115,7</w:t>
            </w:r>
          </w:p>
        </w:tc>
        <w:tc>
          <w:tcPr>
            <w:tcW w:w="1650" w:type="pct"/>
            <w:tcBorders>
              <w:top w:val="single" w:sz="6" w:space="0" w:color="auto"/>
              <w:left w:val="single" w:sz="6" w:space="0" w:color="auto"/>
              <w:bottom w:val="single" w:sz="6" w:space="0" w:color="auto"/>
              <w:right w:val="single" w:sz="6" w:space="0" w:color="auto"/>
            </w:tcBorders>
            <w:hideMark/>
          </w:tcPr>
          <w:p w14:paraId="1958824A" w14:textId="77777777" w:rsidR="00E319CE" w:rsidRPr="006969B3" w:rsidRDefault="00E319CE" w:rsidP="00F65283">
            <w:pPr>
              <w:spacing w:after="0" w:line="240" w:lineRule="auto"/>
              <w:jc w:val="center"/>
              <w:rPr>
                <w:rFonts w:ascii="Arial" w:hAnsi="Arial" w:cs="Arial"/>
                <w:lang w:val="es-CO"/>
              </w:rPr>
            </w:pPr>
            <w:r w:rsidRPr="006969B3">
              <w:rPr>
                <w:rFonts w:ascii="Arial" w:hAnsi="Arial" w:cs="Arial"/>
                <w:lang w:val="es-CO"/>
              </w:rPr>
              <w:t>10,6%</w:t>
            </w:r>
          </w:p>
        </w:tc>
      </w:tr>
      <w:tr w:rsidR="003D1DF1" w:rsidRPr="006969B3" w14:paraId="3F08E76F" w14:textId="77777777" w:rsidTr="00E319CE">
        <w:trPr>
          <w:tblCellSpacing w:w="15" w:type="dxa"/>
        </w:trPr>
        <w:tc>
          <w:tcPr>
            <w:tcW w:w="1650" w:type="pct"/>
            <w:tcBorders>
              <w:top w:val="single" w:sz="6" w:space="0" w:color="auto"/>
              <w:left w:val="single" w:sz="6" w:space="0" w:color="auto"/>
              <w:bottom w:val="single" w:sz="6" w:space="0" w:color="auto"/>
              <w:right w:val="single" w:sz="6" w:space="0" w:color="auto"/>
            </w:tcBorders>
            <w:hideMark/>
          </w:tcPr>
          <w:p w14:paraId="3A4C6B67"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EICE</w:t>
            </w:r>
          </w:p>
        </w:tc>
        <w:tc>
          <w:tcPr>
            <w:tcW w:w="1650" w:type="pct"/>
            <w:tcBorders>
              <w:top w:val="single" w:sz="6" w:space="0" w:color="auto"/>
              <w:left w:val="single" w:sz="6" w:space="0" w:color="auto"/>
              <w:bottom w:val="single" w:sz="6" w:space="0" w:color="auto"/>
              <w:right w:val="single" w:sz="6" w:space="0" w:color="auto"/>
            </w:tcBorders>
            <w:hideMark/>
          </w:tcPr>
          <w:p w14:paraId="20C10F15" w14:textId="77777777" w:rsidR="00E319CE" w:rsidRPr="006969B3" w:rsidRDefault="00E319CE" w:rsidP="00F65283">
            <w:pPr>
              <w:spacing w:after="0" w:line="240" w:lineRule="auto"/>
              <w:jc w:val="center"/>
              <w:rPr>
                <w:rFonts w:ascii="Arial" w:hAnsi="Arial" w:cs="Arial"/>
                <w:lang w:val="es-CO"/>
              </w:rPr>
            </w:pPr>
            <w:r w:rsidRPr="006969B3">
              <w:rPr>
                <w:rFonts w:ascii="Arial" w:hAnsi="Arial" w:cs="Arial"/>
                <w:lang w:val="es-CO"/>
              </w:rPr>
              <w:t>57,8</w:t>
            </w:r>
          </w:p>
        </w:tc>
        <w:tc>
          <w:tcPr>
            <w:tcW w:w="1650" w:type="pct"/>
            <w:tcBorders>
              <w:top w:val="single" w:sz="6" w:space="0" w:color="auto"/>
              <w:left w:val="single" w:sz="6" w:space="0" w:color="auto"/>
              <w:bottom w:val="single" w:sz="6" w:space="0" w:color="auto"/>
              <w:right w:val="single" w:sz="6" w:space="0" w:color="auto"/>
            </w:tcBorders>
            <w:hideMark/>
          </w:tcPr>
          <w:p w14:paraId="296C691B" w14:textId="77777777" w:rsidR="00E319CE" w:rsidRPr="006969B3" w:rsidRDefault="00E319CE" w:rsidP="00F65283">
            <w:pPr>
              <w:spacing w:after="0" w:line="240" w:lineRule="auto"/>
              <w:jc w:val="center"/>
              <w:rPr>
                <w:rFonts w:ascii="Arial" w:hAnsi="Arial" w:cs="Arial"/>
                <w:lang w:val="es-CO"/>
              </w:rPr>
            </w:pPr>
            <w:r w:rsidRPr="006969B3">
              <w:rPr>
                <w:rFonts w:ascii="Arial" w:hAnsi="Arial" w:cs="Arial"/>
                <w:lang w:val="es-CO"/>
              </w:rPr>
              <w:t>5,3%</w:t>
            </w:r>
          </w:p>
        </w:tc>
      </w:tr>
      <w:tr w:rsidR="003D1DF1" w:rsidRPr="006969B3" w14:paraId="467362CB" w14:textId="77777777" w:rsidTr="00E319CE">
        <w:trPr>
          <w:tblCellSpacing w:w="15" w:type="dxa"/>
        </w:trPr>
        <w:tc>
          <w:tcPr>
            <w:tcW w:w="1650" w:type="pct"/>
            <w:tcBorders>
              <w:top w:val="single" w:sz="6" w:space="0" w:color="auto"/>
              <w:left w:val="single" w:sz="6" w:space="0" w:color="auto"/>
              <w:bottom w:val="single" w:sz="6" w:space="0" w:color="auto"/>
              <w:right w:val="single" w:sz="6" w:space="0" w:color="auto"/>
            </w:tcBorders>
            <w:hideMark/>
          </w:tcPr>
          <w:p w14:paraId="53A350C2"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SGR</w:t>
            </w:r>
          </w:p>
        </w:tc>
        <w:tc>
          <w:tcPr>
            <w:tcW w:w="1650" w:type="pct"/>
            <w:tcBorders>
              <w:top w:val="single" w:sz="6" w:space="0" w:color="auto"/>
              <w:left w:val="single" w:sz="6" w:space="0" w:color="auto"/>
              <w:bottom w:val="single" w:sz="6" w:space="0" w:color="auto"/>
              <w:right w:val="single" w:sz="6" w:space="0" w:color="auto"/>
            </w:tcBorders>
            <w:hideMark/>
          </w:tcPr>
          <w:p w14:paraId="3B5E0E99" w14:textId="77777777" w:rsidR="00E319CE" w:rsidRPr="006969B3" w:rsidRDefault="00E319CE" w:rsidP="00F65283">
            <w:pPr>
              <w:spacing w:after="0" w:line="240" w:lineRule="auto"/>
              <w:jc w:val="center"/>
              <w:rPr>
                <w:rFonts w:ascii="Arial" w:hAnsi="Arial" w:cs="Arial"/>
                <w:lang w:val="es-CO"/>
              </w:rPr>
            </w:pPr>
            <w:r w:rsidRPr="006969B3">
              <w:rPr>
                <w:rFonts w:ascii="Arial" w:hAnsi="Arial" w:cs="Arial"/>
                <w:lang w:val="es-CO"/>
              </w:rPr>
              <w:t>33,7</w:t>
            </w:r>
          </w:p>
        </w:tc>
        <w:tc>
          <w:tcPr>
            <w:tcW w:w="1650" w:type="pct"/>
            <w:tcBorders>
              <w:top w:val="single" w:sz="6" w:space="0" w:color="auto"/>
              <w:left w:val="single" w:sz="6" w:space="0" w:color="auto"/>
              <w:bottom w:val="single" w:sz="6" w:space="0" w:color="auto"/>
              <w:right w:val="single" w:sz="6" w:space="0" w:color="auto"/>
            </w:tcBorders>
            <w:hideMark/>
          </w:tcPr>
          <w:p w14:paraId="2262E18B" w14:textId="77777777" w:rsidR="00E319CE" w:rsidRPr="006969B3" w:rsidRDefault="00E319CE" w:rsidP="00F65283">
            <w:pPr>
              <w:spacing w:after="0" w:line="240" w:lineRule="auto"/>
              <w:jc w:val="center"/>
              <w:rPr>
                <w:rFonts w:ascii="Arial" w:hAnsi="Arial" w:cs="Arial"/>
                <w:lang w:val="es-CO"/>
              </w:rPr>
            </w:pPr>
            <w:r w:rsidRPr="006969B3">
              <w:rPr>
                <w:rFonts w:ascii="Arial" w:hAnsi="Arial" w:cs="Arial"/>
                <w:lang w:val="es-CO"/>
              </w:rPr>
              <w:t>3,1%</w:t>
            </w:r>
          </w:p>
        </w:tc>
      </w:tr>
      <w:tr w:rsidR="003D1DF1" w:rsidRPr="006969B3" w14:paraId="46DEA1D8" w14:textId="77777777" w:rsidTr="00E319CE">
        <w:trPr>
          <w:tblCellSpacing w:w="15" w:type="dxa"/>
        </w:trPr>
        <w:tc>
          <w:tcPr>
            <w:tcW w:w="1650" w:type="pct"/>
            <w:tcBorders>
              <w:top w:val="single" w:sz="6" w:space="0" w:color="auto"/>
              <w:left w:val="single" w:sz="6" w:space="0" w:color="auto"/>
              <w:bottom w:val="single" w:sz="6" w:space="0" w:color="auto"/>
              <w:right w:val="single" w:sz="6" w:space="0" w:color="auto"/>
            </w:tcBorders>
            <w:hideMark/>
          </w:tcPr>
          <w:p w14:paraId="53A1E2A8"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Cooperación</w:t>
            </w:r>
          </w:p>
        </w:tc>
        <w:tc>
          <w:tcPr>
            <w:tcW w:w="1650" w:type="pct"/>
            <w:tcBorders>
              <w:top w:val="single" w:sz="6" w:space="0" w:color="auto"/>
              <w:left w:val="single" w:sz="6" w:space="0" w:color="auto"/>
              <w:bottom w:val="single" w:sz="6" w:space="0" w:color="auto"/>
              <w:right w:val="single" w:sz="6" w:space="0" w:color="auto"/>
            </w:tcBorders>
            <w:hideMark/>
          </w:tcPr>
          <w:p w14:paraId="048129DE" w14:textId="77777777" w:rsidR="00E319CE" w:rsidRPr="006969B3" w:rsidRDefault="00E319CE" w:rsidP="00F65283">
            <w:pPr>
              <w:spacing w:after="0" w:line="240" w:lineRule="auto"/>
              <w:jc w:val="center"/>
              <w:rPr>
                <w:rFonts w:ascii="Arial" w:hAnsi="Arial" w:cs="Arial"/>
                <w:lang w:val="es-CO"/>
              </w:rPr>
            </w:pPr>
            <w:r w:rsidRPr="006969B3">
              <w:rPr>
                <w:rFonts w:ascii="Arial" w:hAnsi="Arial" w:cs="Arial"/>
                <w:lang w:val="es-CO"/>
              </w:rPr>
              <w:t>4,1</w:t>
            </w:r>
          </w:p>
        </w:tc>
        <w:tc>
          <w:tcPr>
            <w:tcW w:w="1650" w:type="pct"/>
            <w:tcBorders>
              <w:top w:val="single" w:sz="6" w:space="0" w:color="auto"/>
              <w:left w:val="single" w:sz="6" w:space="0" w:color="auto"/>
              <w:bottom w:val="single" w:sz="6" w:space="0" w:color="auto"/>
              <w:right w:val="single" w:sz="6" w:space="0" w:color="auto"/>
            </w:tcBorders>
            <w:hideMark/>
          </w:tcPr>
          <w:p w14:paraId="6A2FCD2A" w14:textId="77777777" w:rsidR="00E319CE" w:rsidRPr="006969B3" w:rsidRDefault="00E319CE" w:rsidP="00F65283">
            <w:pPr>
              <w:spacing w:after="0" w:line="240" w:lineRule="auto"/>
              <w:jc w:val="center"/>
              <w:rPr>
                <w:rFonts w:ascii="Arial" w:hAnsi="Arial" w:cs="Arial"/>
                <w:lang w:val="es-CO"/>
              </w:rPr>
            </w:pPr>
            <w:r w:rsidRPr="006969B3">
              <w:rPr>
                <w:rFonts w:ascii="Arial" w:hAnsi="Arial" w:cs="Arial"/>
                <w:lang w:val="es-CO"/>
              </w:rPr>
              <w:t>0,4%</w:t>
            </w:r>
          </w:p>
        </w:tc>
      </w:tr>
      <w:tr w:rsidR="003D1DF1" w:rsidRPr="006969B3" w14:paraId="00B98090" w14:textId="77777777" w:rsidTr="00E319CE">
        <w:trPr>
          <w:tblCellSpacing w:w="15" w:type="dxa"/>
        </w:trPr>
        <w:tc>
          <w:tcPr>
            <w:tcW w:w="1650" w:type="pct"/>
            <w:tcBorders>
              <w:top w:val="single" w:sz="6" w:space="0" w:color="auto"/>
              <w:left w:val="single" w:sz="6" w:space="0" w:color="auto"/>
              <w:bottom w:val="single" w:sz="6" w:space="0" w:color="auto"/>
              <w:right w:val="single" w:sz="6" w:space="0" w:color="auto"/>
            </w:tcBorders>
            <w:hideMark/>
          </w:tcPr>
          <w:p w14:paraId="65F3B049"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Privados</w:t>
            </w:r>
          </w:p>
        </w:tc>
        <w:tc>
          <w:tcPr>
            <w:tcW w:w="1650" w:type="pct"/>
            <w:tcBorders>
              <w:top w:val="single" w:sz="6" w:space="0" w:color="auto"/>
              <w:left w:val="single" w:sz="6" w:space="0" w:color="auto"/>
              <w:bottom w:val="single" w:sz="6" w:space="0" w:color="auto"/>
              <w:right w:val="single" w:sz="6" w:space="0" w:color="auto"/>
            </w:tcBorders>
            <w:hideMark/>
          </w:tcPr>
          <w:p w14:paraId="50BED209" w14:textId="77777777" w:rsidR="00E319CE" w:rsidRPr="006969B3" w:rsidRDefault="00E319CE" w:rsidP="00F65283">
            <w:pPr>
              <w:spacing w:after="0" w:line="240" w:lineRule="auto"/>
              <w:jc w:val="center"/>
              <w:rPr>
                <w:rFonts w:ascii="Arial" w:hAnsi="Arial" w:cs="Arial"/>
                <w:lang w:val="es-CO"/>
              </w:rPr>
            </w:pPr>
            <w:r w:rsidRPr="006969B3">
              <w:rPr>
                <w:rFonts w:ascii="Arial" w:hAnsi="Arial" w:cs="Arial"/>
                <w:lang w:val="es-CO"/>
              </w:rPr>
              <w:t>363,2</w:t>
            </w:r>
          </w:p>
        </w:tc>
        <w:tc>
          <w:tcPr>
            <w:tcW w:w="1650" w:type="pct"/>
            <w:tcBorders>
              <w:top w:val="single" w:sz="6" w:space="0" w:color="auto"/>
              <w:left w:val="single" w:sz="6" w:space="0" w:color="auto"/>
              <w:bottom w:val="single" w:sz="6" w:space="0" w:color="auto"/>
              <w:right w:val="single" w:sz="6" w:space="0" w:color="auto"/>
            </w:tcBorders>
            <w:hideMark/>
          </w:tcPr>
          <w:p w14:paraId="438C843A" w14:textId="77777777" w:rsidR="00E319CE" w:rsidRPr="006969B3" w:rsidRDefault="00E319CE" w:rsidP="00F65283">
            <w:pPr>
              <w:spacing w:after="0" w:line="240" w:lineRule="auto"/>
              <w:jc w:val="center"/>
              <w:rPr>
                <w:rFonts w:ascii="Arial" w:hAnsi="Arial" w:cs="Arial"/>
                <w:lang w:val="es-CO"/>
              </w:rPr>
            </w:pPr>
            <w:r w:rsidRPr="006969B3">
              <w:rPr>
                <w:rFonts w:ascii="Arial" w:hAnsi="Arial" w:cs="Arial"/>
                <w:lang w:val="es-CO"/>
              </w:rPr>
              <w:t>33,1%</w:t>
            </w:r>
          </w:p>
        </w:tc>
      </w:tr>
      <w:tr w:rsidR="003D1DF1" w:rsidRPr="006969B3" w14:paraId="16FEF841" w14:textId="77777777" w:rsidTr="00E319CE">
        <w:trPr>
          <w:tblCellSpacing w:w="15" w:type="dxa"/>
        </w:trPr>
        <w:tc>
          <w:tcPr>
            <w:tcW w:w="1650" w:type="pct"/>
            <w:tcBorders>
              <w:top w:val="single" w:sz="6" w:space="0" w:color="auto"/>
              <w:left w:val="single" w:sz="6" w:space="0" w:color="auto"/>
              <w:bottom w:val="single" w:sz="6" w:space="0" w:color="auto"/>
              <w:right w:val="single" w:sz="6" w:space="0" w:color="auto"/>
            </w:tcBorders>
            <w:hideMark/>
          </w:tcPr>
          <w:p w14:paraId="6785BF78"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Total</w:t>
            </w:r>
          </w:p>
        </w:tc>
        <w:tc>
          <w:tcPr>
            <w:tcW w:w="1650" w:type="pct"/>
            <w:tcBorders>
              <w:top w:val="single" w:sz="6" w:space="0" w:color="auto"/>
              <w:left w:val="single" w:sz="6" w:space="0" w:color="auto"/>
              <w:bottom w:val="single" w:sz="6" w:space="0" w:color="auto"/>
              <w:right w:val="single" w:sz="6" w:space="0" w:color="auto"/>
            </w:tcBorders>
            <w:hideMark/>
          </w:tcPr>
          <w:p w14:paraId="110F506A" w14:textId="77777777" w:rsidR="00E319CE" w:rsidRPr="006969B3" w:rsidRDefault="00E319CE" w:rsidP="00F65283">
            <w:pPr>
              <w:spacing w:after="0" w:line="240" w:lineRule="auto"/>
              <w:jc w:val="center"/>
              <w:rPr>
                <w:rFonts w:ascii="Arial" w:hAnsi="Arial" w:cs="Arial"/>
                <w:lang w:val="es-CO"/>
              </w:rPr>
            </w:pPr>
            <w:r w:rsidRPr="006969B3">
              <w:rPr>
                <w:rFonts w:ascii="Arial" w:hAnsi="Arial" w:cs="Arial"/>
                <w:lang w:val="es-CO"/>
              </w:rPr>
              <w:t>1.096,1</w:t>
            </w:r>
          </w:p>
        </w:tc>
        <w:tc>
          <w:tcPr>
            <w:tcW w:w="1650" w:type="pct"/>
            <w:tcBorders>
              <w:top w:val="single" w:sz="6" w:space="0" w:color="auto"/>
              <w:left w:val="single" w:sz="6" w:space="0" w:color="auto"/>
              <w:bottom w:val="single" w:sz="6" w:space="0" w:color="auto"/>
              <w:right w:val="single" w:sz="6" w:space="0" w:color="auto"/>
            </w:tcBorders>
            <w:hideMark/>
          </w:tcPr>
          <w:p w14:paraId="138CAE14" w14:textId="77777777" w:rsidR="00E319CE" w:rsidRPr="006969B3" w:rsidRDefault="00E319CE" w:rsidP="00F65283">
            <w:pPr>
              <w:spacing w:after="0" w:line="240" w:lineRule="auto"/>
              <w:jc w:val="center"/>
              <w:rPr>
                <w:rFonts w:ascii="Arial" w:hAnsi="Arial" w:cs="Arial"/>
                <w:lang w:val="es-CO"/>
              </w:rPr>
            </w:pPr>
            <w:r w:rsidRPr="006969B3">
              <w:rPr>
                <w:rFonts w:ascii="Arial" w:hAnsi="Arial" w:cs="Arial"/>
                <w:lang w:val="es-CO"/>
              </w:rPr>
              <w:t>100%</w:t>
            </w:r>
          </w:p>
        </w:tc>
      </w:tr>
    </w:tbl>
    <w:p w14:paraId="4E8697ED" w14:textId="79AE024A"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Fuente: Dirección de Inversiones y Finanzas Públicas (DNP).</w:t>
      </w:r>
    </w:p>
    <w:p w14:paraId="239ADAC1"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1C7F2F6C" w14:textId="77777777" w:rsidR="00E319CE" w:rsidRPr="006969B3" w:rsidRDefault="00E319CE" w:rsidP="00F65283">
      <w:pPr>
        <w:pStyle w:val="centrado"/>
        <w:spacing w:before="0" w:beforeAutospacing="0" w:after="0" w:afterAutospacing="0"/>
        <w:jc w:val="center"/>
        <w:rPr>
          <w:rFonts w:ascii="Arial" w:hAnsi="Arial" w:cs="Arial"/>
          <w:sz w:val="22"/>
          <w:szCs w:val="22"/>
          <w:lang w:val="es-CO"/>
        </w:rPr>
      </w:pPr>
      <w:r w:rsidRPr="006969B3">
        <w:rPr>
          <w:rStyle w:val="baj"/>
          <w:rFonts w:ascii="Arial" w:hAnsi="Arial" w:cs="Arial"/>
          <w:sz w:val="22"/>
          <w:szCs w:val="22"/>
          <w:lang w:val="es-CO"/>
        </w:rPr>
        <w:t>TABLA II. Distribución por Pactos del PND</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7118"/>
        <w:gridCol w:w="1704"/>
      </w:tblGrid>
      <w:tr w:rsidR="003D1DF1" w:rsidRPr="00E228F9" w14:paraId="54190E89"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564B1148"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Pacto/Línea</w:t>
            </w:r>
          </w:p>
        </w:tc>
        <w:tc>
          <w:tcPr>
            <w:tcW w:w="950" w:type="pct"/>
            <w:tcBorders>
              <w:top w:val="single" w:sz="6" w:space="0" w:color="auto"/>
              <w:left w:val="single" w:sz="6" w:space="0" w:color="auto"/>
              <w:bottom w:val="single" w:sz="6" w:space="0" w:color="auto"/>
              <w:right w:val="single" w:sz="6" w:space="0" w:color="auto"/>
            </w:tcBorders>
            <w:hideMark/>
          </w:tcPr>
          <w:p w14:paraId="18E2E933"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Miles de millones de pesos de 2018</w:t>
            </w:r>
          </w:p>
        </w:tc>
      </w:tr>
      <w:tr w:rsidR="003D1DF1" w:rsidRPr="006969B3" w14:paraId="17E74412"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604F82C5"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lastRenderedPageBreak/>
              <w:t>I. Pacto por la legalidad: seguridad efectiva y justicia transparente para que todos vivamos con libertad y en democracia.</w:t>
            </w:r>
          </w:p>
        </w:tc>
        <w:tc>
          <w:tcPr>
            <w:tcW w:w="950" w:type="pct"/>
            <w:tcBorders>
              <w:top w:val="single" w:sz="6" w:space="0" w:color="auto"/>
              <w:left w:val="single" w:sz="6" w:space="0" w:color="auto"/>
              <w:bottom w:val="single" w:sz="6" w:space="0" w:color="auto"/>
              <w:right w:val="single" w:sz="6" w:space="0" w:color="auto"/>
            </w:tcBorders>
            <w:hideMark/>
          </w:tcPr>
          <w:p w14:paraId="6558BA12"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132.776</w:t>
            </w:r>
          </w:p>
        </w:tc>
      </w:tr>
      <w:tr w:rsidR="003D1DF1" w:rsidRPr="006969B3" w14:paraId="6E51317C"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1E2B1FDD"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 xml:space="preserve">Seguridad, autoridad y orden para la libertad: defensa nacional, </w:t>
            </w:r>
            <w:proofErr w:type="gramStart"/>
            <w:r w:rsidRPr="006969B3">
              <w:rPr>
                <w:rFonts w:ascii="Arial" w:hAnsi="Arial" w:cs="Arial"/>
                <w:lang w:val="es-CO"/>
              </w:rPr>
              <w:t>seguridad ciudadana y colaboración ciudadana</w:t>
            </w:r>
            <w:proofErr w:type="gramEnd"/>
            <w:r w:rsidRPr="006969B3">
              <w:rPr>
                <w:rFonts w:ascii="Arial" w:hAnsi="Arial" w:cs="Arial"/>
                <w:lang w:val="es-CO"/>
              </w:rPr>
              <w:t>.</w:t>
            </w:r>
          </w:p>
        </w:tc>
        <w:tc>
          <w:tcPr>
            <w:tcW w:w="950" w:type="pct"/>
            <w:tcBorders>
              <w:top w:val="single" w:sz="6" w:space="0" w:color="auto"/>
              <w:left w:val="single" w:sz="6" w:space="0" w:color="auto"/>
              <w:bottom w:val="single" w:sz="6" w:space="0" w:color="auto"/>
              <w:right w:val="single" w:sz="6" w:space="0" w:color="auto"/>
            </w:tcBorders>
            <w:hideMark/>
          </w:tcPr>
          <w:p w14:paraId="77721309"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63.616</w:t>
            </w:r>
          </w:p>
        </w:tc>
      </w:tr>
      <w:tr w:rsidR="003D1DF1" w:rsidRPr="006969B3" w14:paraId="2287A72C"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3BE44D92"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Imperio de la ley y convivencia: justicia accesible, oportuna y en toda Colombia, para todos.</w:t>
            </w:r>
          </w:p>
        </w:tc>
        <w:tc>
          <w:tcPr>
            <w:tcW w:w="950" w:type="pct"/>
            <w:tcBorders>
              <w:top w:val="single" w:sz="6" w:space="0" w:color="auto"/>
              <w:left w:val="single" w:sz="6" w:space="0" w:color="auto"/>
              <w:bottom w:val="single" w:sz="6" w:space="0" w:color="auto"/>
              <w:right w:val="single" w:sz="6" w:space="0" w:color="auto"/>
            </w:tcBorders>
            <w:hideMark/>
          </w:tcPr>
          <w:p w14:paraId="4080A6B1"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57.477</w:t>
            </w:r>
          </w:p>
        </w:tc>
      </w:tr>
      <w:tr w:rsidR="003D1DF1" w:rsidRPr="006969B3" w14:paraId="07D29F73"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492518C7"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Alianza contra la corrupción: tolerancia cero con los corruptos.</w:t>
            </w:r>
          </w:p>
        </w:tc>
        <w:tc>
          <w:tcPr>
            <w:tcW w:w="950" w:type="pct"/>
            <w:tcBorders>
              <w:top w:val="single" w:sz="6" w:space="0" w:color="auto"/>
              <w:left w:val="single" w:sz="6" w:space="0" w:color="auto"/>
              <w:bottom w:val="single" w:sz="6" w:space="0" w:color="auto"/>
              <w:right w:val="single" w:sz="6" w:space="0" w:color="auto"/>
            </w:tcBorders>
            <w:hideMark/>
          </w:tcPr>
          <w:p w14:paraId="2F34634F"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3.163</w:t>
            </w:r>
          </w:p>
        </w:tc>
      </w:tr>
      <w:tr w:rsidR="003D1DF1" w:rsidRPr="006969B3" w14:paraId="3ABA7B66"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363BB8C6"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Colombia en la escena global: Política exterior responsable, innovadora y constructiva.</w:t>
            </w:r>
          </w:p>
        </w:tc>
        <w:tc>
          <w:tcPr>
            <w:tcW w:w="950" w:type="pct"/>
            <w:tcBorders>
              <w:top w:val="single" w:sz="6" w:space="0" w:color="auto"/>
              <w:left w:val="single" w:sz="6" w:space="0" w:color="auto"/>
              <w:bottom w:val="single" w:sz="6" w:space="0" w:color="auto"/>
              <w:right w:val="single" w:sz="6" w:space="0" w:color="auto"/>
            </w:tcBorders>
            <w:hideMark/>
          </w:tcPr>
          <w:p w14:paraId="2C2C4E09"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682</w:t>
            </w:r>
          </w:p>
        </w:tc>
      </w:tr>
      <w:tr w:rsidR="003D1DF1" w:rsidRPr="006969B3" w14:paraId="2D76740B"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1F1CC083"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Participación ciudadana: promoviendo el diálogo, la inclusión democrática y la libertad de cultos para la equidad.</w:t>
            </w:r>
          </w:p>
        </w:tc>
        <w:tc>
          <w:tcPr>
            <w:tcW w:w="950" w:type="pct"/>
            <w:tcBorders>
              <w:top w:val="single" w:sz="6" w:space="0" w:color="auto"/>
              <w:left w:val="single" w:sz="6" w:space="0" w:color="auto"/>
              <w:bottom w:val="single" w:sz="6" w:space="0" w:color="auto"/>
              <w:right w:val="single" w:sz="6" w:space="0" w:color="auto"/>
            </w:tcBorders>
            <w:hideMark/>
          </w:tcPr>
          <w:p w14:paraId="2D122DDE"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7.026</w:t>
            </w:r>
          </w:p>
        </w:tc>
      </w:tr>
      <w:tr w:rsidR="003D1DF1" w:rsidRPr="006969B3" w14:paraId="0727CFB8"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344E8E08"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Otros</w:t>
            </w:r>
          </w:p>
        </w:tc>
        <w:tc>
          <w:tcPr>
            <w:tcW w:w="950" w:type="pct"/>
            <w:tcBorders>
              <w:top w:val="single" w:sz="6" w:space="0" w:color="auto"/>
              <w:left w:val="single" w:sz="6" w:space="0" w:color="auto"/>
              <w:bottom w:val="single" w:sz="6" w:space="0" w:color="auto"/>
              <w:right w:val="single" w:sz="6" w:space="0" w:color="auto"/>
            </w:tcBorders>
            <w:hideMark/>
          </w:tcPr>
          <w:p w14:paraId="44ABA00C"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811</w:t>
            </w:r>
          </w:p>
        </w:tc>
      </w:tr>
      <w:tr w:rsidR="003D1DF1" w:rsidRPr="006969B3" w14:paraId="6FB0BC58"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1D5873C7"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II. Pacto por el emprendimiento, la formalización y la productividad: una economía dinámica, incluyente y sostenible que potencie todos nuestros talentos.</w:t>
            </w:r>
          </w:p>
        </w:tc>
        <w:tc>
          <w:tcPr>
            <w:tcW w:w="950" w:type="pct"/>
            <w:tcBorders>
              <w:top w:val="single" w:sz="6" w:space="0" w:color="auto"/>
              <w:left w:val="single" w:sz="6" w:space="0" w:color="auto"/>
              <w:bottom w:val="single" w:sz="6" w:space="0" w:color="auto"/>
              <w:right w:val="single" w:sz="6" w:space="0" w:color="auto"/>
            </w:tcBorders>
            <w:hideMark/>
          </w:tcPr>
          <w:p w14:paraId="655E5A07"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27.183</w:t>
            </w:r>
          </w:p>
        </w:tc>
      </w:tr>
      <w:tr w:rsidR="003D1DF1" w:rsidRPr="006969B3" w14:paraId="5B8EE695"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6A367B32"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Entorno para crecer: formalización, emprendimiento y dinamización empresarial.</w:t>
            </w:r>
          </w:p>
        </w:tc>
        <w:tc>
          <w:tcPr>
            <w:tcW w:w="950" w:type="pct"/>
            <w:tcBorders>
              <w:top w:val="single" w:sz="6" w:space="0" w:color="auto"/>
              <w:left w:val="single" w:sz="6" w:space="0" w:color="auto"/>
              <w:bottom w:val="single" w:sz="6" w:space="0" w:color="auto"/>
              <w:right w:val="single" w:sz="6" w:space="0" w:color="auto"/>
            </w:tcBorders>
            <w:hideMark/>
          </w:tcPr>
          <w:p w14:paraId="4721177D"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10.563</w:t>
            </w:r>
          </w:p>
        </w:tc>
      </w:tr>
      <w:tr w:rsidR="003D1DF1" w:rsidRPr="006969B3" w14:paraId="26F582B2"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1430C99C"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Transformación empresarial: desarrollo productivo, innovación y adopción tecnológica para la productividad.</w:t>
            </w:r>
          </w:p>
        </w:tc>
        <w:tc>
          <w:tcPr>
            <w:tcW w:w="950" w:type="pct"/>
            <w:tcBorders>
              <w:top w:val="single" w:sz="6" w:space="0" w:color="auto"/>
              <w:left w:val="single" w:sz="6" w:space="0" w:color="auto"/>
              <w:bottom w:val="single" w:sz="6" w:space="0" w:color="auto"/>
              <w:right w:val="single" w:sz="6" w:space="0" w:color="auto"/>
            </w:tcBorders>
            <w:hideMark/>
          </w:tcPr>
          <w:p w14:paraId="2EB3133B"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1.488</w:t>
            </w:r>
          </w:p>
        </w:tc>
      </w:tr>
      <w:tr w:rsidR="003D1DF1" w:rsidRPr="006969B3" w14:paraId="0BC7AA93"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33A3AC59"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Un mundo de posibilidades: aprovechamiento de mercados internacionales y atracción de inversiones productivas.</w:t>
            </w:r>
          </w:p>
        </w:tc>
        <w:tc>
          <w:tcPr>
            <w:tcW w:w="950" w:type="pct"/>
            <w:tcBorders>
              <w:top w:val="single" w:sz="6" w:space="0" w:color="auto"/>
              <w:left w:val="single" w:sz="6" w:space="0" w:color="auto"/>
              <w:bottom w:val="single" w:sz="6" w:space="0" w:color="auto"/>
              <w:right w:val="single" w:sz="6" w:space="0" w:color="auto"/>
            </w:tcBorders>
            <w:hideMark/>
          </w:tcPr>
          <w:p w14:paraId="2917A953"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58</w:t>
            </w:r>
          </w:p>
        </w:tc>
      </w:tr>
      <w:tr w:rsidR="003D1DF1" w:rsidRPr="006969B3" w14:paraId="728D9A98"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05E77F94"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Estado simple: menos trámites, regulación clara y más competencia</w:t>
            </w:r>
          </w:p>
        </w:tc>
        <w:tc>
          <w:tcPr>
            <w:tcW w:w="950" w:type="pct"/>
            <w:tcBorders>
              <w:top w:val="single" w:sz="6" w:space="0" w:color="auto"/>
              <w:left w:val="single" w:sz="6" w:space="0" w:color="auto"/>
              <w:bottom w:val="single" w:sz="6" w:space="0" w:color="auto"/>
              <w:right w:val="single" w:sz="6" w:space="0" w:color="auto"/>
            </w:tcBorders>
            <w:hideMark/>
          </w:tcPr>
          <w:p w14:paraId="1D1610C2"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656</w:t>
            </w:r>
          </w:p>
        </w:tc>
      </w:tr>
      <w:tr w:rsidR="003D1DF1" w:rsidRPr="006969B3" w14:paraId="04AF35F1"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3D70BB4B"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Campo con progreso: una alianza para dinamizar el desarrollo y la productividad de la Colombia rural.</w:t>
            </w:r>
          </w:p>
        </w:tc>
        <w:tc>
          <w:tcPr>
            <w:tcW w:w="950" w:type="pct"/>
            <w:tcBorders>
              <w:top w:val="single" w:sz="6" w:space="0" w:color="auto"/>
              <w:left w:val="single" w:sz="6" w:space="0" w:color="auto"/>
              <w:bottom w:val="single" w:sz="6" w:space="0" w:color="auto"/>
              <w:right w:val="single" w:sz="6" w:space="0" w:color="auto"/>
            </w:tcBorders>
            <w:hideMark/>
          </w:tcPr>
          <w:p w14:paraId="28CE12AD"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12.054</w:t>
            </w:r>
          </w:p>
        </w:tc>
      </w:tr>
      <w:tr w:rsidR="003D1DF1" w:rsidRPr="006969B3" w14:paraId="0C4776A7"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50B50FC7"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Turismo: el propósito que nos une.</w:t>
            </w:r>
          </w:p>
        </w:tc>
        <w:tc>
          <w:tcPr>
            <w:tcW w:w="950" w:type="pct"/>
            <w:tcBorders>
              <w:top w:val="single" w:sz="6" w:space="0" w:color="auto"/>
              <w:left w:val="single" w:sz="6" w:space="0" w:color="auto"/>
              <w:bottom w:val="single" w:sz="6" w:space="0" w:color="auto"/>
              <w:right w:val="single" w:sz="6" w:space="0" w:color="auto"/>
            </w:tcBorders>
            <w:hideMark/>
          </w:tcPr>
          <w:p w14:paraId="4D2B2C18"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1.903</w:t>
            </w:r>
          </w:p>
        </w:tc>
      </w:tr>
      <w:tr w:rsidR="003D1DF1" w:rsidRPr="006969B3" w14:paraId="1A00F24B"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2C9FA7A8"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Otros.</w:t>
            </w:r>
          </w:p>
        </w:tc>
        <w:tc>
          <w:tcPr>
            <w:tcW w:w="950" w:type="pct"/>
            <w:tcBorders>
              <w:top w:val="single" w:sz="6" w:space="0" w:color="auto"/>
              <w:left w:val="single" w:sz="6" w:space="0" w:color="auto"/>
              <w:bottom w:val="single" w:sz="6" w:space="0" w:color="auto"/>
              <w:right w:val="single" w:sz="6" w:space="0" w:color="auto"/>
            </w:tcBorders>
            <w:hideMark/>
          </w:tcPr>
          <w:p w14:paraId="03EF9A59"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461</w:t>
            </w:r>
          </w:p>
        </w:tc>
      </w:tr>
      <w:tr w:rsidR="003D1DF1" w:rsidRPr="006969B3" w14:paraId="39AD14E4"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315BF64C"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III. Pacto por la equidad: política social moderna centrada en la familia, eficiente, de calidad y conectada a mercados.</w:t>
            </w:r>
          </w:p>
        </w:tc>
        <w:tc>
          <w:tcPr>
            <w:tcW w:w="950" w:type="pct"/>
            <w:tcBorders>
              <w:top w:val="single" w:sz="6" w:space="0" w:color="auto"/>
              <w:left w:val="single" w:sz="6" w:space="0" w:color="auto"/>
              <w:bottom w:val="single" w:sz="6" w:space="0" w:color="auto"/>
              <w:right w:val="single" w:sz="6" w:space="0" w:color="auto"/>
            </w:tcBorders>
            <w:hideMark/>
          </w:tcPr>
          <w:p w14:paraId="30048D4A"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510.124</w:t>
            </w:r>
          </w:p>
        </w:tc>
      </w:tr>
      <w:tr w:rsidR="003D1DF1" w:rsidRPr="006969B3" w14:paraId="39C37BD8"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400753D5"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 xml:space="preserve">Primero </w:t>
            </w:r>
            <w:proofErr w:type="gramStart"/>
            <w:r w:rsidRPr="006969B3">
              <w:rPr>
                <w:rFonts w:ascii="Arial" w:hAnsi="Arial" w:cs="Arial"/>
                <w:lang w:val="es-CO"/>
              </w:rPr>
              <w:t>las niñas y los niños</w:t>
            </w:r>
            <w:proofErr w:type="gramEnd"/>
            <w:r w:rsidRPr="006969B3">
              <w:rPr>
                <w:rFonts w:ascii="Arial" w:hAnsi="Arial" w:cs="Arial"/>
                <w:lang w:val="es-CO"/>
              </w:rPr>
              <w:t>: desarrollo integral desde la primera infancia hasta la adolescencia.</w:t>
            </w:r>
          </w:p>
        </w:tc>
        <w:tc>
          <w:tcPr>
            <w:tcW w:w="950" w:type="pct"/>
            <w:tcBorders>
              <w:top w:val="single" w:sz="6" w:space="0" w:color="auto"/>
              <w:left w:val="single" w:sz="6" w:space="0" w:color="auto"/>
              <w:bottom w:val="single" w:sz="6" w:space="0" w:color="auto"/>
              <w:right w:val="single" w:sz="6" w:space="0" w:color="auto"/>
            </w:tcBorders>
            <w:hideMark/>
          </w:tcPr>
          <w:p w14:paraId="7427E685"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31.245</w:t>
            </w:r>
          </w:p>
        </w:tc>
      </w:tr>
      <w:tr w:rsidR="003D1DF1" w:rsidRPr="006969B3" w14:paraId="4CC39427"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1B72ED4E"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Salud para todos con calidad y eficiencia, sostenible por todos.</w:t>
            </w:r>
          </w:p>
        </w:tc>
        <w:tc>
          <w:tcPr>
            <w:tcW w:w="950" w:type="pct"/>
            <w:tcBorders>
              <w:top w:val="single" w:sz="6" w:space="0" w:color="auto"/>
              <w:left w:val="single" w:sz="6" w:space="0" w:color="auto"/>
              <w:bottom w:val="single" w:sz="6" w:space="0" w:color="auto"/>
              <w:right w:val="single" w:sz="6" w:space="0" w:color="auto"/>
            </w:tcBorders>
            <w:hideMark/>
          </w:tcPr>
          <w:p w14:paraId="23068907"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157.840</w:t>
            </w:r>
          </w:p>
        </w:tc>
      </w:tr>
      <w:tr w:rsidR="003D1DF1" w:rsidRPr="006969B3" w14:paraId="0F4105A9"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0617885E"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Educación de calidad para un futuro con oportunidades para todos.</w:t>
            </w:r>
          </w:p>
        </w:tc>
        <w:tc>
          <w:tcPr>
            <w:tcW w:w="950" w:type="pct"/>
            <w:tcBorders>
              <w:top w:val="single" w:sz="6" w:space="0" w:color="auto"/>
              <w:left w:val="single" w:sz="6" w:space="0" w:color="auto"/>
              <w:bottom w:val="single" w:sz="6" w:space="0" w:color="auto"/>
              <w:right w:val="single" w:sz="6" w:space="0" w:color="auto"/>
            </w:tcBorders>
            <w:hideMark/>
          </w:tcPr>
          <w:p w14:paraId="4FD73CB7"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216.004</w:t>
            </w:r>
          </w:p>
        </w:tc>
      </w:tr>
      <w:tr w:rsidR="003D1DF1" w:rsidRPr="006969B3" w14:paraId="3CF7B4EF"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4C82DB51"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Alianza por la seguridad alimentaria y la nutrición: ciudadanos con mentes y cuerpos sanos.</w:t>
            </w:r>
          </w:p>
        </w:tc>
        <w:tc>
          <w:tcPr>
            <w:tcW w:w="950" w:type="pct"/>
            <w:tcBorders>
              <w:top w:val="single" w:sz="6" w:space="0" w:color="auto"/>
              <w:left w:val="single" w:sz="6" w:space="0" w:color="auto"/>
              <w:bottom w:val="single" w:sz="6" w:space="0" w:color="auto"/>
              <w:right w:val="single" w:sz="6" w:space="0" w:color="auto"/>
            </w:tcBorders>
            <w:hideMark/>
          </w:tcPr>
          <w:p w14:paraId="532491BC"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192</w:t>
            </w:r>
          </w:p>
        </w:tc>
      </w:tr>
      <w:tr w:rsidR="003D1DF1" w:rsidRPr="006969B3" w14:paraId="23F79827"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05E51449"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Vivienda y entornos dignos e incluyentes.</w:t>
            </w:r>
          </w:p>
        </w:tc>
        <w:tc>
          <w:tcPr>
            <w:tcW w:w="950" w:type="pct"/>
            <w:tcBorders>
              <w:top w:val="single" w:sz="6" w:space="0" w:color="auto"/>
              <w:left w:val="single" w:sz="6" w:space="0" w:color="auto"/>
              <w:bottom w:val="single" w:sz="6" w:space="0" w:color="auto"/>
              <w:right w:val="single" w:sz="6" w:space="0" w:color="auto"/>
            </w:tcBorders>
            <w:hideMark/>
          </w:tcPr>
          <w:p w14:paraId="4047F7BB"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46.470</w:t>
            </w:r>
          </w:p>
        </w:tc>
      </w:tr>
      <w:tr w:rsidR="003D1DF1" w:rsidRPr="006969B3" w14:paraId="60B0FA85"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6C94D420"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Trabajo decente, acceso a mercados e ingresos dignos: acelerando la inclusión productiva.</w:t>
            </w:r>
          </w:p>
        </w:tc>
        <w:tc>
          <w:tcPr>
            <w:tcW w:w="950" w:type="pct"/>
            <w:tcBorders>
              <w:top w:val="single" w:sz="6" w:space="0" w:color="auto"/>
              <w:left w:val="single" w:sz="6" w:space="0" w:color="auto"/>
              <w:bottom w:val="single" w:sz="6" w:space="0" w:color="auto"/>
              <w:right w:val="single" w:sz="6" w:space="0" w:color="auto"/>
            </w:tcBorders>
            <w:hideMark/>
          </w:tcPr>
          <w:p w14:paraId="249AC62A"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31.786</w:t>
            </w:r>
          </w:p>
        </w:tc>
      </w:tr>
      <w:tr w:rsidR="003D1DF1" w:rsidRPr="006969B3" w14:paraId="40626095"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0087A22D"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Juventud naranja: todos los talentos cuentan para construir país.</w:t>
            </w:r>
          </w:p>
        </w:tc>
        <w:tc>
          <w:tcPr>
            <w:tcW w:w="950" w:type="pct"/>
            <w:tcBorders>
              <w:top w:val="single" w:sz="6" w:space="0" w:color="auto"/>
              <w:left w:val="single" w:sz="6" w:space="0" w:color="auto"/>
              <w:bottom w:val="single" w:sz="6" w:space="0" w:color="auto"/>
              <w:right w:val="single" w:sz="6" w:space="0" w:color="auto"/>
            </w:tcBorders>
            <w:hideMark/>
          </w:tcPr>
          <w:p w14:paraId="6E65545D"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75</w:t>
            </w:r>
          </w:p>
        </w:tc>
      </w:tr>
      <w:tr w:rsidR="003D1DF1" w:rsidRPr="006969B3" w14:paraId="7864B62F"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19200F9E"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Dignidad y felicidad para todos los adultos mayores.</w:t>
            </w:r>
          </w:p>
        </w:tc>
        <w:tc>
          <w:tcPr>
            <w:tcW w:w="950" w:type="pct"/>
            <w:tcBorders>
              <w:top w:val="single" w:sz="6" w:space="0" w:color="auto"/>
              <w:left w:val="single" w:sz="6" w:space="0" w:color="auto"/>
              <w:bottom w:val="single" w:sz="6" w:space="0" w:color="auto"/>
              <w:right w:val="single" w:sz="6" w:space="0" w:color="auto"/>
            </w:tcBorders>
            <w:hideMark/>
          </w:tcPr>
          <w:p w14:paraId="7E03F1EB"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5.564</w:t>
            </w:r>
          </w:p>
        </w:tc>
      </w:tr>
      <w:tr w:rsidR="003D1DF1" w:rsidRPr="006969B3" w14:paraId="47EE0D4D"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4AAE25FB"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Deporte y recreación para el desarrollo integral de los individuos, para la convivencia y cohesión social.</w:t>
            </w:r>
          </w:p>
        </w:tc>
        <w:tc>
          <w:tcPr>
            <w:tcW w:w="950" w:type="pct"/>
            <w:tcBorders>
              <w:top w:val="single" w:sz="6" w:space="0" w:color="auto"/>
              <w:left w:val="single" w:sz="6" w:space="0" w:color="auto"/>
              <w:bottom w:val="single" w:sz="6" w:space="0" w:color="auto"/>
              <w:right w:val="single" w:sz="6" w:space="0" w:color="auto"/>
            </w:tcBorders>
            <w:hideMark/>
          </w:tcPr>
          <w:p w14:paraId="15F3E03C"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10.577</w:t>
            </w:r>
          </w:p>
        </w:tc>
      </w:tr>
      <w:tr w:rsidR="003D1DF1" w:rsidRPr="006969B3" w14:paraId="1137A739"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128122F5"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lastRenderedPageBreak/>
              <w:t>Que nadie se quede atrás: acciones coordinadas para la reducción de la pobreza.</w:t>
            </w:r>
          </w:p>
        </w:tc>
        <w:tc>
          <w:tcPr>
            <w:tcW w:w="950" w:type="pct"/>
            <w:tcBorders>
              <w:top w:val="single" w:sz="6" w:space="0" w:color="auto"/>
              <w:left w:val="single" w:sz="6" w:space="0" w:color="auto"/>
              <w:bottom w:val="single" w:sz="6" w:space="0" w:color="auto"/>
              <w:right w:val="single" w:sz="6" w:space="0" w:color="auto"/>
            </w:tcBorders>
            <w:hideMark/>
          </w:tcPr>
          <w:p w14:paraId="7F26DEA0"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7.757</w:t>
            </w:r>
          </w:p>
        </w:tc>
      </w:tr>
      <w:tr w:rsidR="003D1DF1" w:rsidRPr="006969B3" w14:paraId="547439C9"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1F16FC5E"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Herramientas para una política social moderna y conectada a mercados.</w:t>
            </w:r>
          </w:p>
        </w:tc>
        <w:tc>
          <w:tcPr>
            <w:tcW w:w="950" w:type="pct"/>
            <w:tcBorders>
              <w:top w:val="single" w:sz="6" w:space="0" w:color="auto"/>
              <w:left w:val="single" w:sz="6" w:space="0" w:color="auto"/>
              <w:bottom w:val="single" w:sz="6" w:space="0" w:color="auto"/>
              <w:right w:val="single" w:sz="6" w:space="0" w:color="auto"/>
            </w:tcBorders>
            <w:hideMark/>
          </w:tcPr>
          <w:p w14:paraId="4FDC60A3"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343</w:t>
            </w:r>
          </w:p>
        </w:tc>
      </w:tr>
      <w:tr w:rsidR="003D1DF1" w:rsidRPr="006969B3" w14:paraId="4C054191"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09D9B56E"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Otros.</w:t>
            </w:r>
          </w:p>
        </w:tc>
        <w:tc>
          <w:tcPr>
            <w:tcW w:w="950" w:type="pct"/>
            <w:tcBorders>
              <w:top w:val="single" w:sz="6" w:space="0" w:color="auto"/>
              <w:left w:val="single" w:sz="6" w:space="0" w:color="auto"/>
              <w:bottom w:val="single" w:sz="6" w:space="0" w:color="auto"/>
              <w:right w:val="single" w:sz="6" w:space="0" w:color="auto"/>
            </w:tcBorders>
            <w:hideMark/>
          </w:tcPr>
          <w:p w14:paraId="0011F589"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2.270</w:t>
            </w:r>
          </w:p>
        </w:tc>
      </w:tr>
      <w:tr w:rsidR="003D1DF1" w:rsidRPr="006969B3" w14:paraId="717B07B0"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00B12562"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IV. Pacto por la sostenibilidad: producir conservando y conservar produciendo.</w:t>
            </w:r>
          </w:p>
        </w:tc>
        <w:tc>
          <w:tcPr>
            <w:tcW w:w="950" w:type="pct"/>
            <w:tcBorders>
              <w:top w:val="single" w:sz="6" w:space="0" w:color="auto"/>
              <w:left w:val="single" w:sz="6" w:space="0" w:color="auto"/>
              <w:bottom w:val="single" w:sz="6" w:space="0" w:color="auto"/>
              <w:right w:val="single" w:sz="6" w:space="0" w:color="auto"/>
            </w:tcBorders>
            <w:hideMark/>
          </w:tcPr>
          <w:p w14:paraId="26F3C937"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12.672</w:t>
            </w:r>
          </w:p>
        </w:tc>
      </w:tr>
      <w:tr w:rsidR="003D1DF1" w:rsidRPr="006969B3" w14:paraId="525870AC"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17E2E5EF"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Sectores comprometidos con la sostenibilidad y la mitigación del cambio climático.</w:t>
            </w:r>
          </w:p>
        </w:tc>
        <w:tc>
          <w:tcPr>
            <w:tcW w:w="950" w:type="pct"/>
            <w:tcBorders>
              <w:top w:val="single" w:sz="6" w:space="0" w:color="auto"/>
              <w:left w:val="single" w:sz="6" w:space="0" w:color="auto"/>
              <w:bottom w:val="single" w:sz="6" w:space="0" w:color="auto"/>
              <w:right w:val="single" w:sz="6" w:space="0" w:color="auto"/>
            </w:tcBorders>
            <w:hideMark/>
          </w:tcPr>
          <w:p w14:paraId="769BCEC6"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1.833</w:t>
            </w:r>
          </w:p>
        </w:tc>
      </w:tr>
      <w:tr w:rsidR="003D1DF1" w:rsidRPr="006969B3" w14:paraId="4DB02ACD"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25E7624F"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Biodiversidad y riqueza natural: activos estratégicos de la Nación</w:t>
            </w:r>
          </w:p>
        </w:tc>
        <w:tc>
          <w:tcPr>
            <w:tcW w:w="950" w:type="pct"/>
            <w:tcBorders>
              <w:top w:val="single" w:sz="6" w:space="0" w:color="auto"/>
              <w:left w:val="single" w:sz="6" w:space="0" w:color="auto"/>
              <w:bottom w:val="single" w:sz="6" w:space="0" w:color="auto"/>
              <w:right w:val="single" w:sz="6" w:space="0" w:color="auto"/>
            </w:tcBorders>
            <w:hideMark/>
          </w:tcPr>
          <w:p w14:paraId="38B332C9"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2.241</w:t>
            </w:r>
          </w:p>
        </w:tc>
      </w:tr>
      <w:tr w:rsidR="003D1DF1" w:rsidRPr="006969B3" w14:paraId="5EC6FF77"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7A66D5E2"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Colombia resiliente: conocimiento y prevención para la gestión del riesgo de desastres y la adaptación al cambio climático.</w:t>
            </w:r>
          </w:p>
        </w:tc>
        <w:tc>
          <w:tcPr>
            <w:tcW w:w="950" w:type="pct"/>
            <w:tcBorders>
              <w:top w:val="single" w:sz="6" w:space="0" w:color="auto"/>
              <w:left w:val="single" w:sz="6" w:space="0" w:color="auto"/>
              <w:bottom w:val="single" w:sz="6" w:space="0" w:color="auto"/>
              <w:right w:val="single" w:sz="6" w:space="0" w:color="auto"/>
            </w:tcBorders>
            <w:hideMark/>
          </w:tcPr>
          <w:p w14:paraId="56283004"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3.345</w:t>
            </w:r>
          </w:p>
        </w:tc>
      </w:tr>
      <w:tr w:rsidR="003D1DF1" w:rsidRPr="006969B3" w14:paraId="4489104E"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1343554B"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Instituciones ambientales modernas, apropiación social de la biodiversidad y manejo efectivo de los conflictos socioambientales.</w:t>
            </w:r>
          </w:p>
        </w:tc>
        <w:tc>
          <w:tcPr>
            <w:tcW w:w="950" w:type="pct"/>
            <w:tcBorders>
              <w:top w:val="single" w:sz="6" w:space="0" w:color="auto"/>
              <w:left w:val="single" w:sz="6" w:space="0" w:color="auto"/>
              <w:bottom w:val="single" w:sz="6" w:space="0" w:color="auto"/>
              <w:right w:val="single" w:sz="6" w:space="0" w:color="auto"/>
            </w:tcBorders>
            <w:hideMark/>
          </w:tcPr>
          <w:p w14:paraId="192BE8A7"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5.253</w:t>
            </w:r>
          </w:p>
        </w:tc>
      </w:tr>
      <w:tr w:rsidR="003D1DF1" w:rsidRPr="006969B3" w14:paraId="265D64A6"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59435EAB"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V. Pacto por la Ciencia/ la Tecnología y la Innovación: un sistema para construir el conocimiento de la Colombia del futuro.</w:t>
            </w:r>
          </w:p>
        </w:tc>
        <w:tc>
          <w:tcPr>
            <w:tcW w:w="950" w:type="pct"/>
            <w:tcBorders>
              <w:top w:val="single" w:sz="6" w:space="0" w:color="auto"/>
              <w:left w:val="single" w:sz="6" w:space="0" w:color="auto"/>
              <w:bottom w:val="single" w:sz="6" w:space="0" w:color="auto"/>
              <w:right w:val="single" w:sz="6" w:space="0" w:color="auto"/>
            </w:tcBorders>
            <w:hideMark/>
          </w:tcPr>
          <w:p w14:paraId="0893BA43"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21.201</w:t>
            </w:r>
          </w:p>
        </w:tc>
      </w:tr>
      <w:tr w:rsidR="003D1DF1" w:rsidRPr="006969B3" w14:paraId="267D2B0E"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67EAF2A5"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Desarrollo de sistemas nacionales y regionales de innovación integrados y eficaces.</w:t>
            </w:r>
          </w:p>
        </w:tc>
        <w:tc>
          <w:tcPr>
            <w:tcW w:w="950" w:type="pct"/>
            <w:tcBorders>
              <w:top w:val="single" w:sz="6" w:space="0" w:color="auto"/>
              <w:left w:val="single" w:sz="6" w:space="0" w:color="auto"/>
              <w:bottom w:val="single" w:sz="6" w:space="0" w:color="auto"/>
              <w:right w:val="single" w:sz="6" w:space="0" w:color="auto"/>
            </w:tcBorders>
            <w:hideMark/>
          </w:tcPr>
          <w:p w14:paraId="3B6B8294"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46</w:t>
            </w:r>
          </w:p>
        </w:tc>
      </w:tr>
      <w:tr w:rsidR="003D1DF1" w:rsidRPr="006969B3" w14:paraId="67E74E98"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2AE96FE9"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Tecnología e investigación para el desarrollo productivo y social.</w:t>
            </w:r>
          </w:p>
        </w:tc>
        <w:tc>
          <w:tcPr>
            <w:tcW w:w="950" w:type="pct"/>
            <w:tcBorders>
              <w:top w:val="single" w:sz="6" w:space="0" w:color="auto"/>
              <w:left w:val="single" w:sz="6" w:space="0" w:color="auto"/>
              <w:bottom w:val="single" w:sz="6" w:space="0" w:color="auto"/>
              <w:right w:val="single" w:sz="6" w:space="0" w:color="auto"/>
            </w:tcBorders>
            <w:hideMark/>
          </w:tcPr>
          <w:p w14:paraId="5876FD7B"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21.155</w:t>
            </w:r>
          </w:p>
        </w:tc>
      </w:tr>
      <w:tr w:rsidR="003D1DF1" w:rsidRPr="006969B3" w14:paraId="157D71E5"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2FBF012D"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VI. Pacto por el transporte y la logística para la competitividad y la integración regional.</w:t>
            </w:r>
          </w:p>
        </w:tc>
        <w:tc>
          <w:tcPr>
            <w:tcW w:w="950" w:type="pct"/>
            <w:tcBorders>
              <w:top w:val="single" w:sz="6" w:space="0" w:color="auto"/>
              <w:left w:val="single" w:sz="6" w:space="0" w:color="auto"/>
              <w:bottom w:val="single" w:sz="6" w:space="0" w:color="auto"/>
              <w:right w:val="single" w:sz="6" w:space="0" w:color="auto"/>
            </w:tcBorders>
            <w:hideMark/>
          </w:tcPr>
          <w:p w14:paraId="4D9CDAA9"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66.213</w:t>
            </w:r>
          </w:p>
        </w:tc>
      </w:tr>
      <w:tr w:rsidR="003D1DF1" w:rsidRPr="006969B3" w14:paraId="37B4FA43"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08871245"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Gobernanza e Institucionalidad moderna para el transporte y la logística eficientes y seguros.</w:t>
            </w:r>
          </w:p>
        </w:tc>
        <w:tc>
          <w:tcPr>
            <w:tcW w:w="950" w:type="pct"/>
            <w:tcBorders>
              <w:top w:val="single" w:sz="6" w:space="0" w:color="auto"/>
              <w:left w:val="single" w:sz="6" w:space="0" w:color="auto"/>
              <w:bottom w:val="single" w:sz="6" w:space="0" w:color="auto"/>
              <w:right w:val="single" w:sz="6" w:space="0" w:color="auto"/>
            </w:tcBorders>
            <w:hideMark/>
          </w:tcPr>
          <w:p w14:paraId="40D49DC2"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3.533</w:t>
            </w:r>
          </w:p>
        </w:tc>
      </w:tr>
      <w:tr w:rsidR="003D1DF1" w:rsidRPr="006969B3" w14:paraId="23CCFB91"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34F1AD90"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Movilidad urbano-regional sostenible para la equidad, la competitividad y la calidad de vida.</w:t>
            </w:r>
          </w:p>
        </w:tc>
        <w:tc>
          <w:tcPr>
            <w:tcW w:w="950" w:type="pct"/>
            <w:tcBorders>
              <w:top w:val="single" w:sz="6" w:space="0" w:color="auto"/>
              <w:left w:val="single" w:sz="6" w:space="0" w:color="auto"/>
              <w:bottom w:val="single" w:sz="6" w:space="0" w:color="auto"/>
              <w:right w:val="single" w:sz="6" w:space="0" w:color="auto"/>
            </w:tcBorders>
            <w:hideMark/>
          </w:tcPr>
          <w:p w14:paraId="369C4342"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6.339</w:t>
            </w:r>
          </w:p>
        </w:tc>
      </w:tr>
      <w:tr w:rsidR="003D1DF1" w:rsidRPr="006969B3" w14:paraId="5E3F5759"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09DBB32F"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Corredores estratégicos intermodales: red de transporte nacional, nodos logísticos y eficiencia modal.</w:t>
            </w:r>
          </w:p>
        </w:tc>
        <w:tc>
          <w:tcPr>
            <w:tcW w:w="950" w:type="pct"/>
            <w:tcBorders>
              <w:top w:val="single" w:sz="6" w:space="0" w:color="auto"/>
              <w:left w:val="single" w:sz="6" w:space="0" w:color="auto"/>
              <w:bottom w:val="single" w:sz="6" w:space="0" w:color="auto"/>
              <w:right w:val="single" w:sz="6" w:space="0" w:color="auto"/>
            </w:tcBorders>
            <w:hideMark/>
          </w:tcPr>
          <w:p w14:paraId="4C75CCD1"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56.342</w:t>
            </w:r>
          </w:p>
        </w:tc>
      </w:tr>
      <w:tr w:rsidR="003D1DF1" w:rsidRPr="006969B3" w14:paraId="2207EC9B"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3F06E0FA"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VII. Pacto por la transformación digital de Colombia: Gobierno/ empresas y hogares conectados con la era del conocimiento.</w:t>
            </w:r>
          </w:p>
        </w:tc>
        <w:tc>
          <w:tcPr>
            <w:tcW w:w="950" w:type="pct"/>
            <w:tcBorders>
              <w:top w:val="single" w:sz="6" w:space="0" w:color="auto"/>
              <w:left w:val="single" w:sz="6" w:space="0" w:color="auto"/>
              <w:bottom w:val="single" w:sz="6" w:space="0" w:color="auto"/>
              <w:right w:val="single" w:sz="6" w:space="0" w:color="auto"/>
            </w:tcBorders>
            <w:hideMark/>
          </w:tcPr>
          <w:p w14:paraId="05F1A307"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18.023</w:t>
            </w:r>
          </w:p>
        </w:tc>
      </w:tr>
      <w:tr w:rsidR="003D1DF1" w:rsidRPr="006969B3" w14:paraId="44006A83"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250CBE77"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Colombia se conecta: masificación de la banda ancha e inclusión digital de todos los colombianos.</w:t>
            </w:r>
          </w:p>
        </w:tc>
        <w:tc>
          <w:tcPr>
            <w:tcW w:w="950" w:type="pct"/>
            <w:tcBorders>
              <w:top w:val="single" w:sz="6" w:space="0" w:color="auto"/>
              <w:left w:val="single" w:sz="6" w:space="0" w:color="auto"/>
              <w:bottom w:val="single" w:sz="6" w:space="0" w:color="auto"/>
              <w:right w:val="single" w:sz="6" w:space="0" w:color="auto"/>
            </w:tcBorders>
            <w:hideMark/>
          </w:tcPr>
          <w:p w14:paraId="74F3B1FF"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3.344</w:t>
            </w:r>
          </w:p>
        </w:tc>
      </w:tr>
      <w:tr w:rsidR="003D1DF1" w:rsidRPr="006969B3" w14:paraId="62E94C27"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5F030C90"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Hacia una sociedad digital e industria 4.0: por una relación más eficiente, efectiva y transparente entre mercados, ciudadanos y Estado.</w:t>
            </w:r>
          </w:p>
        </w:tc>
        <w:tc>
          <w:tcPr>
            <w:tcW w:w="950" w:type="pct"/>
            <w:tcBorders>
              <w:top w:val="single" w:sz="6" w:space="0" w:color="auto"/>
              <w:left w:val="single" w:sz="6" w:space="0" w:color="auto"/>
              <w:bottom w:val="single" w:sz="6" w:space="0" w:color="auto"/>
              <w:right w:val="single" w:sz="6" w:space="0" w:color="auto"/>
            </w:tcBorders>
            <w:hideMark/>
          </w:tcPr>
          <w:p w14:paraId="1305DC83"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14.679</w:t>
            </w:r>
          </w:p>
        </w:tc>
      </w:tr>
      <w:tr w:rsidR="003D1DF1" w:rsidRPr="006969B3" w14:paraId="54B226F1"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2B1B67B6"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VIII. Pacto por la calidad y eficiencia de servicios públicos: agua y energía para promover la competitividad y el bienestar de todos.</w:t>
            </w:r>
          </w:p>
        </w:tc>
        <w:tc>
          <w:tcPr>
            <w:tcW w:w="950" w:type="pct"/>
            <w:tcBorders>
              <w:top w:val="single" w:sz="6" w:space="0" w:color="auto"/>
              <w:left w:val="single" w:sz="6" w:space="0" w:color="auto"/>
              <w:bottom w:val="single" w:sz="6" w:space="0" w:color="auto"/>
              <w:right w:val="single" w:sz="6" w:space="0" w:color="auto"/>
            </w:tcBorders>
            <w:hideMark/>
          </w:tcPr>
          <w:p w14:paraId="5566680A"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45.383</w:t>
            </w:r>
          </w:p>
        </w:tc>
      </w:tr>
      <w:tr w:rsidR="003D1DF1" w:rsidRPr="006969B3" w14:paraId="5B4C49C4"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518CC730"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Energía que transforma: hacia un sector energético más innovador, competitivo, limpio y equitativo.</w:t>
            </w:r>
          </w:p>
        </w:tc>
        <w:tc>
          <w:tcPr>
            <w:tcW w:w="950" w:type="pct"/>
            <w:tcBorders>
              <w:top w:val="single" w:sz="6" w:space="0" w:color="auto"/>
              <w:left w:val="single" w:sz="6" w:space="0" w:color="auto"/>
              <w:bottom w:val="single" w:sz="6" w:space="0" w:color="auto"/>
              <w:right w:val="single" w:sz="6" w:space="0" w:color="auto"/>
            </w:tcBorders>
            <w:hideMark/>
          </w:tcPr>
          <w:p w14:paraId="20C25BE6"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24.673</w:t>
            </w:r>
          </w:p>
        </w:tc>
      </w:tr>
      <w:tr w:rsidR="003D1DF1" w:rsidRPr="006969B3" w14:paraId="15326857"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18B6BB6C"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Agua limpia y saneamiento básico adecuado: hacia una gestión responsable, sostenible y equitativa.</w:t>
            </w:r>
          </w:p>
        </w:tc>
        <w:tc>
          <w:tcPr>
            <w:tcW w:w="950" w:type="pct"/>
            <w:tcBorders>
              <w:top w:val="single" w:sz="6" w:space="0" w:color="auto"/>
              <w:left w:val="single" w:sz="6" w:space="0" w:color="auto"/>
              <w:bottom w:val="single" w:sz="6" w:space="0" w:color="auto"/>
              <w:right w:val="single" w:sz="6" w:space="0" w:color="auto"/>
            </w:tcBorders>
            <w:hideMark/>
          </w:tcPr>
          <w:p w14:paraId="3540E232"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20.687</w:t>
            </w:r>
          </w:p>
        </w:tc>
      </w:tr>
      <w:tr w:rsidR="003D1DF1" w:rsidRPr="006969B3" w14:paraId="0298D378"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49D992B8"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Otros.</w:t>
            </w:r>
          </w:p>
        </w:tc>
        <w:tc>
          <w:tcPr>
            <w:tcW w:w="950" w:type="pct"/>
            <w:tcBorders>
              <w:top w:val="single" w:sz="6" w:space="0" w:color="auto"/>
              <w:left w:val="single" w:sz="6" w:space="0" w:color="auto"/>
              <w:bottom w:val="single" w:sz="6" w:space="0" w:color="auto"/>
              <w:right w:val="single" w:sz="6" w:space="0" w:color="auto"/>
            </w:tcBorders>
            <w:hideMark/>
          </w:tcPr>
          <w:p w14:paraId="3ADE70C4"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23</w:t>
            </w:r>
          </w:p>
        </w:tc>
      </w:tr>
      <w:tr w:rsidR="003D1DF1" w:rsidRPr="006969B3" w14:paraId="3B713D6C"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3BF541EA"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IX. Pacto por los recursos minero-energéticos para el crecimiento sostenible y la expansión de oportunidades.</w:t>
            </w:r>
          </w:p>
        </w:tc>
        <w:tc>
          <w:tcPr>
            <w:tcW w:w="950" w:type="pct"/>
            <w:tcBorders>
              <w:top w:val="single" w:sz="6" w:space="0" w:color="auto"/>
              <w:left w:val="single" w:sz="6" w:space="0" w:color="auto"/>
              <w:bottom w:val="single" w:sz="6" w:space="0" w:color="auto"/>
              <w:right w:val="single" w:sz="6" w:space="0" w:color="auto"/>
            </w:tcBorders>
            <w:hideMark/>
          </w:tcPr>
          <w:p w14:paraId="4AEE8500"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97.876</w:t>
            </w:r>
          </w:p>
        </w:tc>
      </w:tr>
      <w:tr w:rsidR="003D1DF1" w:rsidRPr="006969B3" w14:paraId="7DFDBC16"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024E2BB5"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Desarrollo minero energético con responsabilidad ambiental y social.</w:t>
            </w:r>
          </w:p>
        </w:tc>
        <w:tc>
          <w:tcPr>
            <w:tcW w:w="950" w:type="pct"/>
            <w:tcBorders>
              <w:top w:val="single" w:sz="6" w:space="0" w:color="auto"/>
              <w:left w:val="single" w:sz="6" w:space="0" w:color="auto"/>
              <w:bottom w:val="single" w:sz="6" w:space="0" w:color="auto"/>
              <w:right w:val="single" w:sz="6" w:space="0" w:color="auto"/>
            </w:tcBorders>
            <w:hideMark/>
          </w:tcPr>
          <w:p w14:paraId="0BEF7F92"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12.812</w:t>
            </w:r>
          </w:p>
        </w:tc>
      </w:tr>
      <w:tr w:rsidR="003D1DF1" w:rsidRPr="006969B3" w14:paraId="6F28E888"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0A2583BC"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lastRenderedPageBreak/>
              <w:t>Seguridad energética para el desarrollo productivo.</w:t>
            </w:r>
          </w:p>
        </w:tc>
        <w:tc>
          <w:tcPr>
            <w:tcW w:w="950" w:type="pct"/>
            <w:tcBorders>
              <w:top w:val="single" w:sz="6" w:space="0" w:color="auto"/>
              <w:left w:val="single" w:sz="6" w:space="0" w:color="auto"/>
              <w:bottom w:val="single" w:sz="6" w:space="0" w:color="auto"/>
              <w:right w:val="single" w:sz="6" w:space="0" w:color="auto"/>
            </w:tcBorders>
            <w:hideMark/>
          </w:tcPr>
          <w:p w14:paraId="5C3B6F47"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85.064</w:t>
            </w:r>
          </w:p>
        </w:tc>
      </w:tr>
      <w:tr w:rsidR="003D1DF1" w:rsidRPr="006969B3" w14:paraId="0E98AF52"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0F6D9F46"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X. Pacto por la protección y promoción de nuestra cultura y desarrollo de la economía naranja.</w:t>
            </w:r>
          </w:p>
        </w:tc>
        <w:tc>
          <w:tcPr>
            <w:tcW w:w="950" w:type="pct"/>
            <w:tcBorders>
              <w:top w:val="single" w:sz="6" w:space="0" w:color="auto"/>
              <w:left w:val="single" w:sz="6" w:space="0" w:color="auto"/>
              <w:bottom w:val="single" w:sz="6" w:space="0" w:color="auto"/>
              <w:right w:val="single" w:sz="6" w:space="0" w:color="auto"/>
            </w:tcBorders>
            <w:hideMark/>
          </w:tcPr>
          <w:p w14:paraId="7B83E943"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6.028</w:t>
            </w:r>
          </w:p>
        </w:tc>
      </w:tr>
      <w:tr w:rsidR="003D1DF1" w:rsidRPr="006969B3" w14:paraId="11F950B6"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128A998F"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Todos somos cultura: la esencia de un país que se transforma desde los territorios.</w:t>
            </w:r>
          </w:p>
        </w:tc>
        <w:tc>
          <w:tcPr>
            <w:tcW w:w="950" w:type="pct"/>
            <w:tcBorders>
              <w:top w:val="single" w:sz="6" w:space="0" w:color="auto"/>
              <w:left w:val="single" w:sz="6" w:space="0" w:color="auto"/>
              <w:bottom w:val="single" w:sz="6" w:space="0" w:color="auto"/>
              <w:right w:val="single" w:sz="6" w:space="0" w:color="auto"/>
            </w:tcBorders>
            <w:hideMark/>
          </w:tcPr>
          <w:p w14:paraId="6A31C256"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6.002</w:t>
            </w:r>
          </w:p>
        </w:tc>
      </w:tr>
      <w:tr w:rsidR="003D1DF1" w:rsidRPr="006969B3" w14:paraId="2D55DC5C"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249A0613"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Colombia naranja: desarrollo del emprendimiento de base artística, creativa y tecnológica para la creación de nuevas industrias.</w:t>
            </w:r>
          </w:p>
        </w:tc>
        <w:tc>
          <w:tcPr>
            <w:tcW w:w="950" w:type="pct"/>
            <w:tcBorders>
              <w:top w:val="single" w:sz="6" w:space="0" w:color="auto"/>
              <w:left w:val="single" w:sz="6" w:space="0" w:color="auto"/>
              <w:bottom w:val="single" w:sz="6" w:space="0" w:color="auto"/>
              <w:right w:val="single" w:sz="6" w:space="0" w:color="auto"/>
            </w:tcBorders>
            <w:hideMark/>
          </w:tcPr>
          <w:p w14:paraId="43E7C3F8"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26</w:t>
            </w:r>
          </w:p>
        </w:tc>
      </w:tr>
      <w:tr w:rsidR="003D1DF1" w:rsidRPr="006969B3" w14:paraId="318C2E1F"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51F3720A"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XI. Pacto por la Construcción de Paz: Cultura de la legalidad, convivencia, estabilización y víctimas.</w:t>
            </w:r>
          </w:p>
        </w:tc>
        <w:tc>
          <w:tcPr>
            <w:tcW w:w="950" w:type="pct"/>
            <w:tcBorders>
              <w:top w:val="single" w:sz="6" w:space="0" w:color="auto"/>
              <w:left w:val="single" w:sz="6" w:space="0" w:color="auto"/>
              <w:bottom w:val="single" w:sz="6" w:space="0" w:color="auto"/>
              <w:right w:val="single" w:sz="6" w:space="0" w:color="auto"/>
            </w:tcBorders>
            <w:hideMark/>
          </w:tcPr>
          <w:p w14:paraId="036AC174"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10.431(*)</w:t>
            </w:r>
          </w:p>
        </w:tc>
      </w:tr>
      <w:tr w:rsidR="003D1DF1" w:rsidRPr="006969B3" w14:paraId="2FCCDC85"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69D230D4"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 xml:space="preserve">XII. Pacto por la equidad de oportunidades para grupos indígenas, negros, afros, raizales, palenqueros y </w:t>
            </w:r>
            <w:proofErr w:type="spellStart"/>
            <w:r w:rsidRPr="006969B3">
              <w:rPr>
                <w:rFonts w:ascii="Arial" w:hAnsi="Arial" w:cs="Arial"/>
                <w:lang w:val="es-CO"/>
              </w:rPr>
              <w:t>Rrom</w:t>
            </w:r>
            <w:proofErr w:type="spellEnd"/>
            <w:r w:rsidRPr="006969B3">
              <w:rPr>
                <w:rFonts w:ascii="Arial" w:hAnsi="Arial" w:cs="Arial"/>
                <w:lang w:val="es-CO"/>
              </w:rPr>
              <w:t>.</w:t>
            </w:r>
          </w:p>
        </w:tc>
        <w:tc>
          <w:tcPr>
            <w:tcW w:w="950" w:type="pct"/>
            <w:tcBorders>
              <w:top w:val="single" w:sz="6" w:space="0" w:color="auto"/>
              <w:left w:val="single" w:sz="6" w:space="0" w:color="auto"/>
              <w:bottom w:val="single" w:sz="6" w:space="0" w:color="auto"/>
              <w:right w:val="single" w:sz="6" w:space="0" w:color="auto"/>
            </w:tcBorders>
            <w:hideMark/>
          </w:tcPr>
          <w:p w14:paraId="3FA81F7D"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29.000(**)</w:t>
            </w:r>
          </w:p>
        </w:tc>
      </w:tr>
      <w:tr w:rsidR="003D1DF1" w:rsidRPr="006969B3" w14:paraId="46DD5068"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6134B98C"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XIII. Pacto por la inclusión de todas las personas con discapacidad.</w:t>
            </w:r>
          </w:p>
        </w:tc>
        <w:tc>
          <w:tcPr>
            <w:tcW w:w="950" w:type="pct"/>
            <w:tcBorders>
              <w:top w:val="single" w:sz="6" w:space="0" w:color="auto"/>
              <w:left w:val="single" w:sz="6" w:space="0" w:color="auto"/>
              <w:bottom w:val="single" w:sz="6" w:space="0" w:color="auto"/>
              <w:right w:val="single" w:sz="6" w:space="0" w:color="auto"/>
            </w:tcBorders>
            <w:hideMark/>
          </w:tcPr>
          <w:p w14:paraId="3EBF2AE4"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834</w:t>
            </w:r>
          </w:p>
        </w:tc>
      </w:tr>
      <w:tr w:rsidR="003D1DF1" w:rsidRPr="006969B3" w14:paraId="0766EF4E"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33628EFB"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Alianza por la inclusión y la dignidad de todas las personas con discapacidad.</w:t>
            </w:r>
          </w:p>
        </w:tc>
        <w:tc>
          <w:tcPr>
            <w:tcW w:w="950" w:type="pct"/>
            <w:tcBorders>
              <w:top w:val="single" w:sz="6" w:space="0" w:color="auto"/>
              <w:left w:val="single" w:sz="6" w:space="0" w:color="auto"/>
              <w:bottom w:val="single" w:sz="6" w:space="0" w:color="auto"/>
              <w:right w:val="single" w:sz="6" w:space="0" w:color="auto"/>
            </w:tcBorders>
            <w:hideMark/>
          </w:tcPr>
          <w:p w14:paraId="67140DEB"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834</w:t>
            </w:r>
          </w:p>
        </w:tc>
      </w:tr>
      <w:tr w:rsidR="003D1DF1" w:rsidRPr="006969B3" w14:paraId="5C3A7306"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12F72B47"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XIV. Pacto por la equidad de las mujeres.</w:t>
            </w:r>
          </w:p>
        </w:tc>
        <w:tc>
          <w:tcPr>
            <w:tcW w:w="950" w:type="pct"/>
            <w:tcBorders>
              <w:top w:val="single" w:sz="6" w:space="0" w:color="auto"/>
              <w:left w:val="single" w:sz="6" w:space="0" w:color="auto"/>
              <w:bottom w:val="single" w:sz="6" w:space="0" w:color="auto"/>
              <w:right w:val="single" w:sz="6" w:space="0" w:color="auto"/>
            </w:tcBorders>
            <w:hideMark/>
          </w:tcPr>
          <w:p w14:paraId="2F43EF27"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5.400(**)</w:t>
            </w:r>
          </w:p>
        </w:tc>
      </w:tr>
      <w:tr w:rsidR="003D1DF1" w:rsidRPr="006969B3" w14:paraId="7C5633F9"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495B8E70"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XV. Pacto por una gestión pública efectiva.</w:t>
            </w:r>
          </w:p>
        </w:tc>
        <w:tc>
          <w:tcPr>
            <w:tcW w:w="950" w:type="pct"/>
            <w:tcBorders>
              <w:top w:val="single" w:sz="6" w:space="0" w:color="auto"/>
              <w:left w:val="single" w:sz="6" w:space="0" w:color="auto"/>
              <w:bottom w:val="single" w:sz="6" w:space="0" w:color="auto"/>
              <w:right w:val="single" w:sz="6" w:space="0" w:color="auto"/>
            </w:tcBorders>
            <w:hideMark/>
          </w:tcPr>
          <w:p w14:paraId="58742FAF"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8.296</w:t>
            </w:r>
          </w:p>
        </w:tc>
      </w:tr>
      <w:tr w:rsidR="003D1DF1" w:rsidRPr="006969B3" w14:paraId="0834603F"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1214CAC6"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Transformación de la administración pública.</w:t>
            </w:r>
          </w:p>
        </w:tc>
        <w:tc>
          <w:tcPr>
            <w:tcW w:w="950" w:type="pct"/>
            <w:tcBorders>
              <w:top w:val="single" w:sz="6" w:space="0" w:color="auto"/>
              <w:left w:val="single" w:sz="6" w:space="0" w:color="auto"/>
              <w:bottom w:val="single" w:sz="6" w:space="0" w:color="auto"/>
              <w:right w:val="single" w:sz="6" w:space="0" w:color="auto"/>
            </w:tcBorders>
            <w:hideMark/>
          </w:tcPr>
          <w:p w14:paraId="42B3D663"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2.320</w:t>
            </w:r>
          </w:p>
        </w:tc>
      </w:tr>
      <w:tr w:rsidR="003D1DF1" w:rsidRPr="006969B3" w14:paraId="48D19BEC"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5C5D00EA"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Gasto público efectivo.</w:t>
            </w:r>
          </w:p>
        </w:tc>
        <w:tc>
          <w:tcPr>
            <w:tcW w:w="950" w:type="pct"/>
            <w:tcBorders>
              <w:top w:val="single" w:sz="6" w:space="0" w:color="auto"/>
              <w:left w:val="single" w:sz="6" w:space="0" w:color="auto"/>
              <w:bottom w:val="single" w:sz="6" w:space="0" w:color="auto"/>
              <w:right w:val="single" w:sz="6" w:space="0" w:color="auto"/>
            </w:tcBorders>
            <w:hideMark/>
          </w:tcPr>
          <w:p w14:paraId="76F8FB67"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5.976</w:t>
            </w:r>
          </w:p>
        </w:tc>
      </w:tr>
      <w:tr w:rsidR="003D1DF1" w:rsidRPr="006969B3" w14:paraId="2EC9AF4C"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2C57902A"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XVI. Pacto por la Descentralización: conectar territorios, gobiernos y poblaciones.</w:t>
            </w:r>
          </w:p>
        </w:tc>
        <w:tc>
          <w:tcPr>
            <w:tcW w:w="950" w:type="pct"/>
            <w:tcBorders>
              <w:top w:val="single" w:sz="6" w:space="0" w:color="auto"/>
              <w:left w:val="single" w:sz="6" w:space="0" w:color="auto"/>
              <w:bottom w:val="single" w:sz="6" w:space="0" w:color="auto"/>
              <w:right w:val="single" w:sz="6" w:space="0" w:color="auto"/>
            </w:tcBorders>
            <w:hideMark/>
          </w:tcPr>
          <w:p w14:paraId="36427685"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57.496</w:t>
            </w:r>
          </w:p>
        </w:tc>
      </w:tr>
      <w:tr w:rsidR="003D1DF1" w:rsidRPr="006969B3" w14:paraId="2F42F31F"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0A56CE6E"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Políticas e inversiones para el desarrollo, el ordenamiento y fortalecimiento de la asociatividad</w:t>
            </w:r>
          </w:p>
        </w:tc>
        <w:tc>
          <w:tcPr>
            <w:tcW w:w="950" w:type="pct"/>
            <w:tcBorders>
              <w:top w:val="single" w:sz="6" w:space="0" w:color="auto"/>
              <w:left w:val="single" w:sz="6" w:space="0" w:color="auto"/>
              <w:bottom w:val="single" w:sz="6" w:space="0" w:color="auto"/>
              <w:right w:val="single" w:sz="6" w:space="0" w:color="auto"/>
            </w:tcBorders>
            <w:hideMark/>
          </w:tcPr>
          <w:p w14:paraId="3F3A00F1"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3.207</w:t>
            </w:r>
          </w:p>
        </w:tc>
      </w:tr>
      <w:tr w:rsidR="003D1DF1" w:rsidRPr="006969B3" w14:paraId="6F3054FE"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3675B05F"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Estimular tanto la productividad como la equidad, a través de la conectividad y los vínculos entre la ciudad y el campo.</w:t>
            </w:r>
          </w:p>
        </w:tc>
        <w:tc>
          <w:tcPr>
            <w:tcW w:w="950" w:type="pct"/>
            <w:tcBorders>
              <w:top w:val="single" w:sz="6" w:space="0" w:color="auto"/>
              <w:left w:val="single" w:sz="6" w:space="0" w:color="auto"/>
              <w:bottom w:val="single" w:sz="6" w:space="0" w:color="auto"/>
              <w:right w:val="single" w:sz="6" w:space="0" w:color="auto"/>
            </w:tcBorders>
            <w:hideMark/>
          </w:tcPr>
          <w:p w14:paraId="5BFC0A9F"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44.603</w:t>
            </w:r>
          </w:p>
        </w:tc>
      </w:tr>
      <w:tr w:rsidR="003D1DF1" w:rsidRPr="006969B3" w14:paraId="01B967F4"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2C398F4F"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Desarrollo urbano y Sistema de Ciudades (SC) para la sostenibilidad, la productividad y la calidad de vida.</w:t>
            </w:r>
          </w:p>
        </w:tc>
        <w:tc>
          <w:tcPr>
            <w:tcW w:w="950" w:type="pct"/>
            <w:tcBorders>
              <w:top w:val="single" w:sz="6" w:space="0" w:color="auto"/>
              <w:left w:val="single" w:sz="6" w:space="0" w:color="auto"/>
              <w:bottom w:val="single" w:sz="6" w:space="0" w:color="auto"/>
              <w:right w:val="single" w:sz="6" w:space="0" w:color="auto"/>
            </w:tcBorders>
            <w:hideMark/>
          </w:tcPr>
          <w:p w14:paraId="373B8711"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4.450</w:t>
            </w:r>
          </w:p>
        </w:tc>
      </w:tr>
      <w:tr w:rsidR="003D1DF1" w:rsidRPr="006969B3" w14:paraId="0651BF26"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40D5A7C6"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Gobiernos territoriales capaces y efectivos: fortalecimiento institucional y modernización para la descentralización efectiva y responsable.</w:t>
            </w:r>
          </w:p>
        </w:tc>
        <w:tc>
          <w:tcPr>
            <w:tcW w:w="950" w:type="pct"/>
            <w:tcBorders>
              <w:top w:val="single" w:sz="6" w:space="0" w:color="auto"/>
              <w:left w:val="single" w:sz="6" w:space="0" w:color="auto"/>
              <w:bottom w:val="single" w:sz="6" w:space="0" w:color="auto"/>
              <w:right w:val="single" w:sz="6" w:space="0" w:color="auto"/>
            </w:tcBorders>
            <w:hideMark/>
          </w:tcPr>
          <w:p w14:paraId="5F92303F"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3.245</w:t>
            </w:r>
          </w:p>
        </w:tc>
      </w:tr>
      <w:tr w:rsidR="003D1DF1" w:rsidRPr="006969B3" w14:paraId="318BAD33"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091EDB9E"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Instrumentos e información para la toma de decisiones que promueven el desarrollo regional.</w:t>
            </w:r>
          </w:p>
        </w:tc>
        <w:tc>
          <w:tcPr>
            <w:tcW w:w="950" w:type="pct"/>
            <w:tcBorders>
              <w:top w:val="single" w:sz="6" w:space="0" w:color="auto"/>
              <w:left w:val="single" w:sz="6" w:space="0" w:color="auto"/>
              <w:bottom w:val="single" w:sz="6" w:space="0" w:color="auto"/>
              <w:right w:val="single" w:sz="6" w:space="0" w:color="auto"/>
            </w:tcBorders>
            <w:hideMark/>
          </w:tcPr>
          <w:p w14:paraId="7FDBE275"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1.991</w:t>
            </w:r>
          </w:p>
        </w:tc>
      </w:tr>
      <w:tr w:rsidR="003D1DF1" w:rsidRPr="006969B3" w14:paraId="3836176A"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56803965"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Gasto privado transversal al Plan Nacional de Desarrollo y otros</w:t>
            </w:r>
          </w:p>
        </w:tc>
        <w:tc>
          <w:tcPr>
            <w:tcW w:w="950" w:type="pct"/>
            <w:tcBorders>
              <w:top w:val="single" w:sz="6" w:space="0" w:color="auto"/>
              <w:left w:val="single" w:sz="6" w:space="0" w:color="auto"/>
              <w:bottom w:val="single" w:sz="6" w:space="0" w:color="auto"/>
              <w:right w:val="single" w:sz="6" w:space="0" w:color="auto"/>
            </w:tcBorders>
            <w:hideMark/>
          </w:tcPr>
          <w:p w14:paraId="1026B68E"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81.587</w:t>
            </w:r>
          </w:p>
        </w:tc>
      </w:tr>
      <w:tr w:rsidR="003D1DF1" w:rsidRPr="006969B3" w14:paraId="52715473"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0E2D0F55" w14:textId="77777777" w:rsidR="00E319CE" w:rsidRPr="006969B3" w:rsidRDefault="00E319CE" w:rsidP="00F65283">
            <w:pPr>
              <w:spacing w:after="0" w:line="240" w:lineRule="auto"/>
              <w:jc w:val="both"/>
              <w:rPr>
                <w:rFonts w:ascii="Arial" w:hAnsi="Arial" w:cs="Arial"/>
                <w:lang w:val="es-CO"/>
              </w:rPr>
            </w:pPr>
            <w:proofErr w:type="gramStart"/>
            <w:r w:rsidRPr="006969B3">
              <w:rPr>
                <w:rFonts w:ascii="Arial" w:hAnsi="Arial" w:cs="Arial"/>
                <w:lang w:val="es-CO"/>
              </w:rPr>
              <w:t>Total</w:t>
            </w:r>
            <w:proofErr w:type="gramEnd"/>
            <w:r w:rsidRPr="006969B3">
              <w:rPr>
                <w:rFonts w:ascii="Arial" w:hAnsi="Arial" w:cs="Arial"/>
                <w:lang w:val="es-CO"/>
              </w:rPr>
              <w:t xml:space="preserve"> General</w:t>
            </w:r>
          </w:p>
        </w:tc>
        <w:tc>
          <w:tcPr>
            <w:tcW w:w="950" w:type="pct"/>
            <w:tcBorders>
              <w:top w:val="single" w:sz="6" w:space="0" w:color="auto"/>
              <w:left w:val="single" w:sz="6" w:space="0" w:color="auto"/>
              <w:bottom w:val="single" w:sz="6" w:space="0" w:color="auto"/>
              <w:right w:val="single" w:sz="6" w:space="0" w:color="auto"/>
            </w:tcBorders>
            <w:hideMark/>
          </w:tcPr>
          <w:p w14:paraId="71B1F0D7"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1.096,1</w:t>
            </w:r>
          </w:p>
        </w:tc>
      </w:tr>
    </w:tbl>
    <w:p w14:paraId="15A5510C"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60C1B2CA" w14:textId="06C6D9FC"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Los recursos de este pacto hacen parte de los $37,1 billones del Plan Plurianual de Inversiones para la Paz.</w:t>
      </w:r>
    </w:p>
    <w:p w14:paraId="10A56243"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1DB63E53" w14:textId="77777777" w:rsidR="00F65283"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 Estos valores NO SUMAN al total del Plan Plurianual de Inversiones por ser recursos </w:t>
      </w:r>
    </w:p>
    <w:p w14:paraId="01F4E89F" w14:textId="33B7654E"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transversales entre los diferentes pactos.</w:t>
      </w:r>
    </w:p>
    <w:p w14:paraId="2B8CCB31" w14:textId="77777777"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Fuente: Dirección de Inversiones y Finanzas Públicas (DNP).</w:t>
      </w:r>
    </w:p>
    <w:p w14:paraId="52B99B9D"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535BEFD1" w14:textId="658731CF"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En cumplimiento del artículo </w:t>
      </w:r>
      <w:r w:rsidR="009F3889">
        <w:rPr>
          <w:rFonts w:ascii="Arial" w:hAnsi="Arial" w:cs="Arial"/>
          <w:sz w:val="22"/>
          <w:szCs w:val="22"/>
          <w:lang w:val="es-CO"/>
        </w:rPr>
        <w:t>3</w:t>
      </w:r>
      <w:r w:rsidRPr="006969B3">
        <w:rPr>
          <w:rFonts w:ascii="Arial" w:hAnsi="Arial" w:cs="Arial"/>
          <w:sz w:val="22"/>
          <w:szCs w:val="22"/>
          <w:lang w:val="es-CO"/>
        </w:rPr>
        <w:t xml:space="preserve"> del Acto Legislativo 01 del 7 de julio de 2016 por el cual “... se establecen instrumentos jurídicos para facilitar y asegurar la implementación y el desarrollo normativo del Acuerdo Final para la terminación del conflicto y la construcción de una paz estable y duradera”, se incluye el Plan Plurianual de Inversiones para la Paz por </w:t>
      </w:r>
      <w:r w:rsidRPr="006969B3">
        <w:rPr>
          <w:rFonts w:ascii="Arial" w:hAnsi="Arial" w:cs="Arial"/>
          <w:sz w:val="22"/>
          <w:szCs w:val="22"/>
          <w:lang w:val="es-CO"/>
        </w:rPr>
        <w:lastRenderedPageBreak/>
        <w:t>un valor de treinta y siete coma uno ($37,1) billones como un componente del Plan Plurianual de Inversiones del Plan Nacional de Desarrollo.</w:t>
      </w:r>
    </w:p>
    <w:p w14:paraId="7E6FEECD"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090C0DAE" w14:textId="77777777" w:rsidR="00E319CE" w:rsidRPr="006969B3" w:rsidRDefault="00E319CE" w:rsidP="00F65283">
      <w:pPr>
        <w:pStyle w:val="centrado"/>
        <w:spacing w:before="0" w:beforeAutospacing="0" w:after="0" w:afterAutospacing="0"/>
        <w:jc w:val="center"/>
        <w:rPr>
          <w:rFonts w:ascii="Arial" w:hAnsi="Arial" w:cs="Arial"/>
          <w:sz w:val="22"/>
          <w:szCs w:val="22"/>
          <w:lang w:val="es-CO"/>
        </w:rPr>
      </w:pPr>
      <w:r w:rsidRPr="006969B3">
        <w:rPr>
          <w:rStyle w:val="baj"/>
          <w:rFonts w:ascii="Arial" w:hAnsi="Arial" w:cs="Arial"/>
          <w:sz w:val="22"/>
          <w:szCs w:val="22"/>
          <w:lang w:val="es-CO"/>
        </w:rPr>
        <w:t>Tabla III. Plan Plurianual de Inversiones para la Paz</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7118"/>
        <w:gridCol w:w="1704"/>
      </w:tblGrid>
      <w:tr w:rsidR="003D1DF1" w:rsidRPr="006969B3" w14:paraId="1E50ADC8"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2E757D24"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Pacto/Línea</w:t>
            </w:r>
          </w:p>
        </w:tc>
        <w:tc>
          <w:tcPr>
            <w:tcW w:w="950" w:type="pct"/>
            <w:tcBorders>
              <w:top w:val="single" w:sz="6" w:space="0" w:color="auto"/>
              <w:left w:val="single" w:sz="6" w:space="0" w:color="auto"/>
              <w:bottom w:val="single" w:sz="6" w:space="0" w:color="auto"/>
              <w:right w:val="single" w:sz="6" w:space="0" w:color="auto"/>
            </w:tcBorders>
            <w:hideMark/>
          </w:tcPr>
          <w:p w14:paraId="6C4E9901"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Miles de millones de 2018</w:t>
            </w:r>
          </w:p>
        </w:tc>
      </w:tr>
      <w:tr w:rsidR="003D1DF1" w:rsidRPr="006969B3" w14:paraId="7439F203"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18279339"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I. Pacto por la Legalidad: seguridad efectiva y justicia transparente para que todos vivamos con libertad y en democracia.</w:t>
            </w:r>
          </w:p>
        </w:tc>
        <w:tc>
          <w:tcPr>
            <w:tcW w:w="950" w:type="pct"/>
            <w:tcBorders>
              <w:top w:val="single" w:sz="6" w:space="0" w:color="auto"/>
              <w:left w:val="single" w:sz="6" w:space="0" w:color="auto"/>
              <w:bottom w:val="single" w:sz="6" w:space="0" w:color="auto"/>
              <w:right w:val="single" w:sz="6" w:space="0" w:color="auto"/>
            </w:tcBorders>
            <w:hideMark/>
          </w:tcPr>
          <w:p w14:paraId="4147A2B6"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1.125,6</w:t>
            </w:r>
          </w:p>
        </w:tc>
      </w:tr>
      <w:tr w:rsidR="003D1DF1" w:rsidRPr="006969B3" w14:paraId="09EC4FF8"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6E064B62"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Inversiones con recursos de cooperación Internacional para la Paz (por demanda).</w:t>
            </w:r>
          </w:p>
        </w:tc>
        <w:tc>
          <w:tcPr>
            <w:tcW w:w="950" w:type="pct"/>
            <w:tcBorders>
              <w:top w:val="single" w:sz="6" w:space="0" w:color="auto"/>
              <w:left w:val="single" w:sz="6" w:space="0" w:color="auto"/>
              <w:bottom w:val="single" w:sz="6" w:space="0" w:color="auto"/>
              <w:right w:val="single" w:sz="6" w:space="0" w:color="auto"/>
            </w:tcBorders>
            <w:hideMark/>
          </w:tcPr>
          <w:p w14:paraId="0286D6D5"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811,4</w:t>
            </w:r>
          </w:p>
        </w:tc>
      </w:tr>
      <w:tr w:rsidR="003D1DF1" w:rsidRPr="006969B3" w14:paraId="49035D49"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49C4A57A"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 xml:space="preserve">Seguridad, autoridad y orden para la libertad: defensa Nacional, </w:t>
            </w:r>
            <w:proofErr w:type="gramStart"/>
            <w:r w:rsidRPr="006969B3">
              <w:rPr>
                <w:rFonts w:ascii="Arial" w:hAnsi="Arial" w:cs="Arial"/>
                <w:lang w:val="es-CO"/>
              </w:rPr>
              <w:t>seguridad ciudadana y colaboración ciudadana</w:t>
            </w:r>
            <w:proofErr w:type="gramEnd"/>
            <w:r w:rsidRPr="006969B3">
              <w:rPr>
                <w:rFonts w:ascii="Arial" w:hAnsi="Arial" w:cs="Arial"/>
                <w:lang w:val="es-CO"/>
              </w:rPr>
              <w:t>.</w:t>
            </w:r>
          </w:p>
        </w:tc>
        <w:tc>
          <w:tcPr>
            <w:tcW w:w="950" w:type="pct"/>
            <w:tcBorders>
              <w:top w:val="single" w:sz="6" w:space="0" w:color="auto"/>
              <w:left w:val="single" w:sz="6" w:space="0" w:color="auto"/>
              <w:bottom w:val="single" w:sz="6" w:space="0" w:color="auto"/>
              <w:right w:val="single" w:sz="6" w:space="0" w:color="auto"/>
            </w:tcBorders>
            <w:hideMark/>
          </w:tcPr>
          <w:p w14:paraId="180D15A0"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8,1</w:t>
            </w:r>
          </w:p>
        </w:tc>
      </w:tr>
      <w:tr w:rsidR="003D1DF1" w:rsidRPr="006969B3" w14:paraId="60017C59"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211EA246"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Imperio de la ley: derechos humanos, justicia accesible, oportuna y en toda Colombia, para todos.</w:t>
            </w:r>
          </w:p>
        </w:tc>
        <w:tc>
          <w:tcPr>
            <w:tcW w:w="950" w:type="pct"/>
            <w:tcBorders>
              <w:top w:val="single" w:sz="6" w:space="0" w:color="auto"/>
              <w:left w:val="single" w:sz="6" w:space="0" w:color="auto"/>
              <w:bottom w:val="single" w:sz="6" w:space="0" w:color="auto"/>
              <w:right w:val="single" w:sz="6" w:space="0" w:color="auto"/>
            </w:tcBorders>
            <w:hideMark/>
          </w:tcPr>
          <w:p w14:paraId="2F44085C"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305,9</w:t>
            </w:r>
          </w:p>
        </w:tc>
      </w:tr>
      <w:tr w:rsidR="003D1DF1" w:rsidRPr="006969B3" w14:paraId="46E7F38F"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340C54C0"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Participación ciudadana: promoviendo el diálogo, la inclusión democrática y la libertad de cultos para la equidad.</w:t>
            </w:r>
          </w:p>
        </w:tc>
        <w:tc>
          <w:tcPr>
            <w:tcW w:w="950" w:type="pct"/>
            <w:tcBorders>
              <w:top w:val="single" w:sz="6" w:space="0" w:color="auto"/>
              <w:left w:val="single" w:sz="6" w:space="0" w:color="auto"/>
              <w:bottom w:val="single" w:sz="6" w:space="0" w:color="auto"/>
              <w:right w:val="single" w:sz="6" w:space="0" w:color="auto"/>
            </w:tcBorders>
            <w:hideMark/>
          </w:tcPr>
          <w:p w14:paraId="581C0B3C"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0,2</w:t>
            </w:r>
          </w:p>
        </w:tc>
      </w:tr>
      <w:tr w:rsidR="003D1DF1" w:rsidRPr="006969B3" w14:paraId="5DCDB30D"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4B778AF7"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II. Pacto por el Emprendimiento, la Formalización y la Productividad: una economía dinámica, incluyente y sostenible que potencie todos nuestros talentos.</w:t>
            </w:r>
          </w:p>
        </w:tc>
        <w:tc>
          <w:tcPr>
            <w:tcW w:w="950" w:type="pct"/>
            <w:tcBorders>
              <w:top w:val="single" w:sz="6" w:space="0" w:color="auto"/>
              <w:left w:val="single" w:sz="6" w:space="0" w:color="auto"/>
              <w:bottom w:val="single" w:sz="6" w:space="0" w:color="auto"/>
              <w:right w:val="single" w:sz="6" w:space="0" w:color="auto"/>
            </w:tcBorders>
            <w:hideMark/>
          </w:tcPr>
          <w:p w14:paraId="441B13A6"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2.508,2</w:t>
            </w:r>
          </w:p>
        </w:tc>
      </w:tr>
      <w:tr w:rsidR="003D1DF1" w:rsidRPr="006969B3" w14:paraId="72D429C8"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375ADB35"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Inversiones con recursos de cooperación Internacional para la Paz (por demanda).</w:t>
            </w:r>
          </w:p>
        </w:tc>
        <w:tc>
          <w:tcPr>
            <w:tcW w:w="950" w:type="pct"/>
            <w:tcBorders>
              <w:top w:val="single" w:sz="6" w:space="0" w:color="auto"/>
              <w:left w:val="single" w:sz="6" w:space="0" w:color="auto"/>
              <w:bottom w:val="single" w:sz="6" w:space="0" w:color="auto"/>
              <w:right w:val="single" w:sz="6" w:space="0" w:color="auto"/>
            </w:tcBorders>
            <w:hideMark/>
          </w:tcPr>
          <w:p w14:paraId="33983FCB"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 460,8</w:t>
            </w:r>
          </w:p>
        </w:tc>
      </w:tr>
      <w:tr w:rsidR="003D1DF1" w:rsidRPr="006969B3" w14:paraId="0473F985"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5053D218"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Entorno para crecer: formalización, emprendimiento y dinamización empresarial.</w:t>
            </w:r>
          </w:p>
        </w:tc>
        <w:tc>
          <w:tcPr>
            <w:tcW w:w="950" w:type="pct"/>
            <w:tcBorders>
              <w:top w:val="single" w:sz="6" w:space="0" w:color="auto"/>
              <w:left w:val="single" w:sz="6" w:space="0" w:color="auto"/>
              <w:bottom w:val="single" w:sz="6" w:space="0" w:color="auto"/>
              <w:right w:val="single" w:sz="6" w:space="0" w:color="auto"/>
            </w:tcBorders>
            <w:hideMark/>
          </w:tcPr>
          <w:p w14:paraId="3AAFC70C"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 31,2</w:t>
            </w:r>
          </w:p>
        </w:tc>
      </w:tr>
      <w:tr w:rsidR="003D1DF1" w:rsidRPr="006969B3" w14:paraId="2000901B"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703814D7"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Campo con progreso: una alianza para dinamizar el desarrollo y la productividad de la Colombia rural.</w:t>
            </w:r>
          </w:p>
        </w:tc>
        <w:tc>
          <w:tcPr>
            <w:tcW w:w="950" w:type="pct"/>
            <w:tcBorders>
              <w:top w:val="single" w:sz="6" w:space="0" w:color="auto"/>
              <w:left w:val="single" w:sz="6" w:space="0" w:color="auto"/>
              <w:bottom w:val="single" w:sz="6" w:space="0" w:color="auto"/>
              <w:right w:val="single" w:sz="6" w:space="0" w:color="auto"/>
            </w:tcBorders>
            <w:hideMark/>
          </w:tcPr>
          <w:p w14:paraId="32847EC8"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2.016,2</w:t>
            </w:r>
          </w:p>
        </w:tc>
      </w:tr>
      <w:tr w:rsidR="003D1DF1" w:rsidRPr="006969B3" w14:paraId="209D575F"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50A5204B"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III. Pacto por la Equidad: política social moderna centrada en la familia, eficiente, de calidad y conectada a mercados.</w:t>
            </w:r>
          </w:p>
        </w:tc>
        <w:tc>
          <w:tcPr>
            <w:tcW w:w="950" w:type="pct"/>
            <w:tcBorders>
              <w:top w:val="single" w:sz="6" w:space="0" w:color="auto"/>
              <w:left w:val="single" w:sz="6" w:space="0" w:color="auto"/>
              <w:bottom w:val="single" w:sz="6" w:space="0" w:color="auto"/>
              <w:right w:val="single" w:sz="6" w:space="0" w:color="auto"/>
            </w:tcBorders>
            <w:hideMark/>
          </w:tcPr>
          <w:p w14:paraId="69D4B7D5"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18.114,0</w:t>
            </w:r>
          </w:p>
        </w:tc>
      </w:tr>
      <w:tr w:rsidR="003D1DF1" w:rsidRPr="006969B3" w14:paraId="5CB00B59"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4F2DAE0E"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Inversiones con recursos de cooperación Internacional para la Paz (por demanda).</w:t>
            </w:r>
          </w:p>
        </w:tc>
        <w:tc>
          <w:tcPr>
            <w:tcW w:w="950" w:type="pct"/>
            <w:tcBorders>
              <w:top w:val="single" w:sz="6" w:space="0" w:color="auto"/>
              <w:left w:val="single" w:sz="6" w:space="0" w:color="auto"/>
              <w:bottom w:val="single" w:sz="6" w:space="0" w:color="auto"/>
              <w:right w:val="single" w:sz="6" w:space="0" w:color="auto"/>
            </w:tcBorders>
            <w:hideMark/>
          </w:tcPr>
          <w:p w14:paraId="267B210F"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2.088,9</w:t>
            </w:r>
          </w:p>
        </w:tc>
      </w:tr>
      <w:tr w:rsidR="003D1DF1" w:rsidRPr="006969B3" w14:paraId="2C7FBD71"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68B0396F"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Fortalecimiento de las capacidades institucionales en transversalización del enfoque de género dentro de las entidades de los niveles nacional y territorial desde el Sector Presidencia.</w:t>
            </w:r>
          </w:p>
        </w:tc>
        <w:tc>
          <w:tcPr>
            <w:tcW w:w="950" w:type="pct"/>
            <w:tcBorders>
              <w:top w:val="single" w:sz="6" w:space="0" w:color="auto"/>
              <w:left w:val="single" w:sz="6" w:space="0" w:color="auto"/>
              <w:bottom w:val="single" w:sz="6" w:space="0" w:color="auto"/>
              <w:right w:val="single" w:sz="6" w:space="0" w:color="auto"/>
            </w:tcBorders>
            <w:hideMark/>
          </w:tcPr>
          <w:p w14:paraId="4B984AF0"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5,8</w:t>
            </w:r>
          </w:p>
        </w:tc>
      </w:tr>
      <w:tr w:rsidR="003D1DF1" w:rsidRPr="006969B3" w14:paraId="25BDBEEC"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3B93733D"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 xml:space="preserve">Primero </w:t>
            </w:r>
            <w:proofErr w:type="gramStart"/>
            <w:r w:rsidRPr="006969B3">
              <w:rPr>
                <w:rFonts w:ascii="Arial" w:hAnsi="Arial" w:cs="Arial"/>
                <w:lang w:val="es-CO"/>
              </w:rPr>
              <w:t>las niñas y los niños</w:t>
            </w:r>
            <w:proofErr w:type="gramEnd"/>
            <w:r w:rsidRPr="006969B3">
              <w:rPr>
                <w:rFonts w:ascii="Arial" w:hAnsi="Arial" w:cs="Arial"/>
                <w:lang w:val="es-CO"/>
              </w:rPr>
              <w:t>: desarrollo integral desde la primera infancia hasta la adolescencia.</w:t>
            </w:r>
          </w:p>
        </w:tc>
        <w:tc>
          <w:tcPr>
            <w:tcW w:w="950" w:type="pct"/>
            <w:tcBorders>
              <w:top w:val="single" w:sz="6" w:space="0" w:color="auto"/>
              <w:left w:val="single" w:sz="6" w:space="0" w:color="auto"/>
              <w:bottom w:val="single" w:sz="6" w:space="0" w:color="auto"/>
              <w:right w:val="single" w:sz="6" w:space="0" w:color="auto"/>
            </w:tcBorders>
            <w:hideMark/>
          </w:tcPr>
          <w:p w14:paraId="22B8C72D"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475,0</w:t>
            </w:r>
          </w:p>
        </w:tc>
      </w:tr>
      <w:tr w:rsidR="003D1DF1" w:rsidRPr="006969B3" w14:paraId="30A8897A"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7B5238B3"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Salud para todos con calidad y eficiencia, sostenible por todos.</w:t>
            </w:r>
          </w:p>
        </w:tc>
        <w:tc>
          <w:tcPr>
            <w:tcW w:w="950" w:type="pct"/>
            <w:tcBorders>
              <w:top w:val="single" w:sz="6" w:space="0" w:color="auto"/>
              <w:left w:val="single" w:sz="6" w:space="0" w:color="auto"/>
              <w:bottom w:val="single" w:sz="6" w:space="0" w:color="auto"/>
              <w:right w:val="single" w:sz="6" w:space="0" w:color="auto"/>
            </w:tcBorders>
            <w:hideMark/>
          </w:tcPr>
          <w:p w14:paraId="1C562A7C"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3.719,2</w:t>
            </w:r>
          </w:p>
        </w:tc>
      </w:tr>
      <w:tr w:rsidR="003D1DF1" w:rsidRPr="006969B3" w14:paraId="3BF63D61"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4CAECA29"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Educación de calidad para un futuro con oportunidades para todos.</w:t>
            </w:r>
          </w:p>
        </w:tc>
        <w:tc>
          <w:tcPr>
            <w:tcW w:w="950" w:type="pct"/>
            <w:tcBorders>
              <w:top w:val="single" w:sz="6" w:space="0" w:color="auto"/>
              <w:left w:val="single" w:sz="6" w:space="0" w:color="auto"/>
              <w:bottom w:val="single" w:sz="6" w:space="0" w:color="auto"/>
              <w:right w:val="single" w:sz="6" w:space="0" w:color="auto"/>
            </w:tcBorders>
            <w:hideMark/>
          </w:tcPr>
          <w:p w14:paraId="688E739D"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9.596,2</w:t>
            </w:r>
          </w:p>
        </w:tc>
      </w:tr>
      <w:tr w:rsidR="003D1DF1" w:rsidRPr="006969B3" w14:paraId="6150ED2B"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709D88ED"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Alianza por la seguridad alimentaria y la nutrición: ciudadanos con mentes y cuerpos sanos.</w:t>
            </w:r>
          </w:p>
        </w:tc>
        <w:tc>
          <w:tcPr>
            <w:tcW w:w="950" w:type="pct"/>
            <w:tcBorders>
              <w:top w:val="single" w:sz="6" w:space="0" w:color="auto"/>
              <w:left w:val="single" w:sz="6" w:space="0" w:color="auto"/>
              <w:bottom w:val="single" w:sz="6" w:space="0" w:color="auto"/>
              <w:right w:val="single" w:sz="6" w:space="0" w:color="auto"/>
            </w:tcBorders>
            <w:hideMark/>
          </w:tcPr>
          <w:p w14:paraId="669AF25E"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44,3</w:t>
            </w:r>
          </w:p>
        </w:tc>
      </w:tr>
      <w:tr w:rsidR="003D1DF1" w:rsidRPr="006969B3" w14:paraId="3AE65986"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78A76F79"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Vivienda y entornos dignos e incluyentes.</w:t>
            </w:r>
          </w:p>
        </w:tc>
        <w:tc>
          <w:tcPr>
            <w:tcW w:w="950" w:type="pct"/>
            <w:tcBorders>
              <w:top w:val="single" w:sz="6" w:space="0" w:color="auto"/>
              <w:left w:val="single" w:sz="6" w:space="0" w:color="auto"/>
              <w:bottom w:val="single" w:sz="6" w:space="0" w:color="auto"/>
              <w:right w:val="single" w:sz="6" w:space="0" w:color="auto"/>
            </w:tcBorders>
            <w:hideMark/>
          </w:tcPr>
          <w:p w14:paraId="4A6C6187"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882,9</w:t>
            </w:r>
          </w:p>
        </w:tc>
      </w:tr>
      <w:tr w:rsidR="003D1DF1" w:rsidRPr="006969B3" w14:paraId="525359B2"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32054F95"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Trabajo decente, acceso a mercados e ingresos dignos: acelerando la inclusión productiva.</w:t>
            </w:r>
          </w:p>
        </w:tc>
        <w:tc>
          <w:tcPr>
            <w:tcW w:w="950" w:type="pct"/>
            <w:tcBorders>
              <w:top w:val="single" w:sz="6" w:space="0" w:color="auto"/>
              <w:left w:val="single" w:sz="6" w:space="0" w:color="auto"/>
              <w:bottom w:val="single" w:sz="6" w:space="0" w:color="auto"/>
              <w:right w:val="single" w:sz="6" w:space="0" w:color="auto"/>
            </w:tcBorders>
            <w:hideMark/>
          </w:tcPr>
          <w:p w14:paraId="10CAE22C"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771,8</w:t>
            </w:r>
          </w:p>
        </w:tc>
      </w:tr>
      <w:tr w:rsidR="003D1DF1" w:rsidRPr="006969B3" w14:paraId="3B873712"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62A4E5D7"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Dignidad y felicidad para todos los adultos mayores.</w:t>
            </w:r>
          </w:p>
        </w:tc>
        <w:tc>
          <w:tcPr>
            <w:tcW w:w="950" w:type="pct"/>
            <w:tcBorders>
              <w:top w:val="single" w:sz="6" w:space="0" w:color="auto"/>
              <w:left w:val="single" w:sz="6" w:space="0" w:color="auto"/>
              <w:bottom w:val="single" w:sz="6" w:space="0" w:color="auto"/>
              <w:right w:val="single" w:sz="6" w:space="0" w:color="auto"/>
            </w:tcBorders>
            <w:hideMark/>
          </w:tcPr>
          <w:p w14:paraId="6B1263B0"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99,8</w:t>
            </w:r>
          </w:p>
        </w:tc>
      </w:tr>
      <w:tr w:rsidR="003D1DF1" w:rsidRPr="006969B3" w14:paraId="29426269"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4D58892D"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lastRenderedPageBreak/>
              <w:t>Deporte y recreación para el desarrollo integral de los individuos, para la convivencia y cohesión social.</w:t>
            </w:r>
          </w:p>
        </w:tc>
        <w:tc>
          <w:tcPr>
            <w:tcW w:w="950" w:type="pct"/>
            <w:tcBorders>
              <w:top w:val="single" w:sz="6" w:space="0" w:color="auto"/>
              <w:left w:val="single" w:sz="6" w:space="0" w:color="auto"/>
              <w:bottom w:val="single" w:sz="6" w:space="0" w:color="auto"/>
              <w:right w:val="single" w:sz="6" w:space="0" w:color="auto"/>
            </w:tcBorders>
            <w:hideMark/>
          </w:tcPr>
          <w:p w14:paraId="589362CE"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430,2</w:t>
            </w:r>
          </w:p>
        </w:tc>
      </w:tr>
      <w:tr w:rsidR="003D1DF1" w:rsidRPr="006969B3" w14:paraId="6A40CBA2"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72C62D5C"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IV. Pacto por la Sostenibilidad: producir conservando y conservar produciendo.</w:t>
            </w:r>
          </w:p>
        </w:tc>
        <w:tc>
          <w:tcPr>
            <w:tcW w:w="950" w:type="pct"/>
            <w:tcBorders>
              <w:top w:val="single" w:sz="6" w:space="0" w:color="auto"/>
              <w:left w:val="single" w:sz="6" w:space="0" w:color="auto"/>
              <w:bottom w:val="single" w:sz="6" w:space="0" w:color="auto"/>
              <w:right w:val="single" w:sz="6" w:space="0" w:color="auto"/>
            </w:tcBorders>
            <w:hideMark/>
          </w:tcPr>
          <w:p w14:paraId="37C70CBF"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213,3</w:t>
            </w:r>
          </w:p>
        </w:tc>
      </w:tr>
      <w:tr w:rsidR="003D1DF1" w:rsidRPr="006969B3" w14:paraId="60AC9BC7"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52D0F44C"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Sectores comprometidos con la sostenibilidad y la mitigación del cambio climático.</w:t>
            </w:r>
          </w:p>
        </w:tc>
        <w:tc>
          <w:tcPr>
            <w:tcW w:w="950" w:type="pct"/>
            <w:tcBorders>
              <w:top w:val="single" w:sz="6" w:space="0" w:color="auto"/>
              <w:left w:val="single" w:sz="6" w:space="0" w:color="auto"/>
              <w:bottom w:val="single" w:sz="6" w:space="0" w:color="auto"/>
              <w:right w:val="single" w:sz="6" w:space="0" w:color="auto"/>
            </w:tcBorders>
            <w:hideMark/>
          </w:tcPr>
          <w:p w14:paraId="3538D769"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56,6</w:t>
            </w:r>
          </w:p>
        </w:tc>
      </w:tr>
      <w:tr w:rsidR="003D1DF1" w:rsidRPr="006969B3" w14:paraId="2E28E724"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58E109D1"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Biodiversidad y riqueza natural: activos estratégicos de la Nación.</w:t>
            </w:r>
          </w:p>
        </w:tc>
        <w:tc>
          <w:tcPr>
            <w:tcW w:w="950" w:type="pct"/>
            <w:tcBorders>
              <w:top w:val="single" w:sz="6" w:space="0" w:color="auto"/>
              <w:left w:val="single" w:sz="6" w:space="0" w:color="auto"/>
              <w:bottom w:val="single" w:sz="6" w:space="0" w:color="auto"/>
              <w:right w:val="single" w:sz="6" w:space="0" w:color="auto"/>
            </w:tcBorders>
            <w:hideMark/>
          </w:tcPr>
          <w:p w14:paraId="4C427FAD"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39,4</w:t>
            </w:r>
          </w:p>
        </w:tc>
      </w:tr>
      <w:tr w:rsidR="003D1DF1" w:rsidRPr="006969B3" w14:paraId="1F78A539"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72381B01"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Instituciones ambientales modernas, apropiación social de la biodiversidad y manejo efectivo de los conflictos socioambientales.</w:t>
            </w:r>
          </w:p>
        </w:tc>
        <w:tc>
          <w:tcPr>
            <w:tcW w:w="950" w:type="pct"/>
            <w:tcBorders>
              <w:top w:val="single" w:sz="6" w:space="0" w:color="auto"/>
              <w:left w:val="single" w:sz="6" w:space="0" w:color="auto"/>
              <w:bottom w:val="single" w:sz="6" w:space="0" w:color="auto"/>
              <w:right w:val="single" w:sz="6" w:space="0" w:color="auto"/>
            </w:tcBorders>
            <w:hideMark/>
          </w:tcPr>
          <w:p w14:paraId="6D70E7C7"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117,3</w:t>
            </w:r>
          </w:p>
        </w:tc>
      </w:tr>
      <w:tr w:rsidR="003D1DF1" w:rsidRPr="006969B3" w14:paraId="2CF20F6D"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72672CC8"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V. Pacto por la Ciencia, la Tecnología y la Innovación: un sistema para construir el conocimiento de la Colombia del futuro.</w:t>
            </w:r>
          </w:p>
        </w:tc>
        <w:tc>
          <w:tcPr>
            <w:tcW w:w="950" w:type="pct"/>
            <w:tcBorders>
              <w:top w:val="single" w:sz="6" w:space="0" w:color="auto"/>
              <w:left w:val="single" w:sz="6" w:space="0" w:color="auto"/>
              <w:bottom w:val="single" w:sz="6" w:space="0" w:color="auto"/>
              <w:right w:val="single" w:sz="6" w:space="0" w:color="auto"/>
            </w:tcBorders>
            <w:hideMark/>
          </w:tcPr>
          <w:p w14:paraId="7B2DF3E2"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167,7</w:t>
            </w:r>
          </w:p>
        </w:tc>
      </w:tr>
      <w:tr w:rsidR="003D1DF1" w:rsidRPr="006969B3" w14:paraId="7691D4CE"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5D4698D8"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Tecnología e investigación para el desarrollo productivo y social.</w:t>
            </w:r>
          </w:p>
        </w:tc>
        <w:tc>
          <w:tcPr>
            <w:tcW w:w="950" w:type="pct"/>
            <w:tcBorders>
              <w:top w:val="single" w:sz="6" w:space="0" w:color="auto"/>
              <w:left w:val="single" w:sz="6" w:space="0" w:color="auto"/>
              <w:bottom w:val="single" w:sz="6" w:space="0" w:color="auto"/>
              <w:right w:val="single" w:sz="6" w:space="0" w:color="auto"/>
            </w:tcBorders>
            <w:hideMark/>
          </w:tcPr>
          <w:p w14:paraId="786284E9"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167,7</w:t>
            </w:r>
          </w:p>
        </w:tc>
      </w:tr>
      <w:tr w:rsidR="003D1DF1" w:rsidRPr="006969B3" w14:paraId="2A526C6E"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539DCDE8"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VI. Pacto por el Transporte y la Logística para la Competitividad y la Integración Regional.</w:t>
            </w:r>
          </w:p>
        </w:tc>
        <w:tc>
          <w:tcPr>
            <w:tcW w:w="950" w:type="pct"/>
            <w:tcBorders>
              <w:top w:val="single" w:sz="6" w:space="0" w:color="auto"/>
              <w:left w:val="single" w:sz="6" w:space="0" w:color="auto"/>
              <w:bottom w:val="single" w:sz="6" w:space="0" w:color="auto"/>
              <w:right w:val="single" w:sz="6" w:space="0" w:color="auto"/>
            </w:tcBorders>
            <w:hideMark/>
          </w:tcPr>
          <w:p w14:paraId="67F12CD9"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68,9</w:t>
            </w:r>
          </w:p>
        </w:tc>
      </w:tr>
      <w:tr w:rsidR="003D1DF1" w:rsidRPr="006969B3" w14:paraId="5A09A104"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37168B82"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Gobernanza e Institucionalidad moderna para el transporte y la logística eficientes y seguros.</w:t>
            </w:r>
          </w:p>
        </w:tc>
        <w:tc>
          <w:tcPr>
            <w:tcW w:w="950" w:type="pct"/>
            <w:tcBorders>
              <w:top w:val="single" w:sz="6" w:space="0" w:color="auto"/>
              <w:left w:val="single" w:sz="6" w:space="0" w:color="auto"/>
              <w:bottom w:val="single" w:sz="6" w:space="0" w:color="auto"/>
              <w:right w:val="single" w:sz="6" w:space="0" w:color="auto"/>
            </w:tcBorders>
            <w:hideMark/>
          </w:tcPr>
          <w:p w14:paraId="76F2C201"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14,0</w:t>
            </w:r>
          </w:p>
        </w:tc>
      </w:tr>
      <w:tr w:rsidR="003D1DF1" w:rsidRPr="006969B3" w14:paraId="4361F18A"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3E72EBA6"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Movilidad urbano-regional sostenible para la equidad, la competitividad y la calidad de vida.</w:t>
            </w:r>
          </w:p>
        </w:tc>
        <w:tc>
          <w:tcPr>
            <w:tcW w:w="950" w:type="pct"/>
            <w:tcBorders>
              <w:top w:val="single" w:sz="6" w:space="0" w:color="auto"/>
              <w:left w:val="single" w:sz="6" w:space="0" w:color="auto"/>
              <w:bottom w:val="single" w:sz="6" w:space="0" w:color="auto"/>
              <w:right w:val="single" w:sz="6" w:space="0" w:color="auto"/>
            </w:tcBorders>
            <w:hideMark/>
          </w:tcPr>
          <w:p w14:paraId="59C706EF"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33,3</w:t>
            </w:r>
          </w:p>
        </w:tc>
      </w:tr>
      <w:tr w:rsidR="003D1DF1" w:rsidRPr="006969B3" w14:paraId="6B714A3D"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1F7C187F"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Corredores estratégicos intermodales: red de transporte nacional, nodos logísticos y eficiencia modal.</w:t>
            </w:r>
          </w:p>
        </w:tc>
        <w:tc>
          <w:tcPr>
            <w:tcW w:w="950" w:type="pct"/>
            <w:tcBorders>
              <w:top w:val="single" w:sz="6" w:space="0" w:color="auto"/>
              <w:left w:val="single" w:sz="6" w:space="0" w:color="auto"/>
              <w:bottom w:val="single" w:sz="6" w:space="0" w:color="auto"/>
              <w:right w:val="single" w:sz="6" w:space="0" w:color="auto"/>
            </w:tcBorders>
            <w:hideMark/>
          </w:tcPr>
          <w:p w14:paraId="76C4800C"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21,5</w:t>
            </w:r>
          </w:p>
        </w:tc>
      </w:tr>
      <w:tr w:rsidR="003D1DF1" w:rsidRPr="006969B3" w14:paraId="67A96412"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7439E5FE"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VII. Pacto por la Transformación Digital de Colombia: Gobierno, empresas y hogares conectados con la era del conocimiento.</w:t>
            </w:r>
          </w:p>
        </w:tc>
        <w:tc>
          <w:tcPr>
            <w:tcW w:w="950" w:type="pct"/>
            <w:tcBorders>
              <w:top w:val="single" w:sz="6" w:space="0" w:color="auto"/>
              <w:left w:val="single" w:sz="6" w:space="0" w:color="auto"/>
              <w:bottom w:val="single" w:sz="6" w:space="0" w:color="auto"/>
              <w:right w:val="single" w:sz="6" w:space="0" w:color="auto"/>
            </w:tcBorders>
            <w:hideMark/>
          </w:tcPr>
          <w:p w14:paraId="6C392766"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44,1</w:t>
            </w:r>
          </w:p>
        </w:tc>
      </w:tr>
      <w:tr w:rsidR="003D1DF1" w:rsidRPr="006969B3" w14:paraId="4F98CEFB"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6870F5A8"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Colombia se conecta: masificación de la banda ancha e inclusión digital de todos los colombianos.</w:t>
            </w:r>
          </w:p>
        </w:tc>
        <w:tc>
          <w:tcPr>
            <w:tcW w:w="950" w:type="pct"/>
            <w:tcBorders>
              <w:top w:val="single" w:sz="6" w:space="0" w:color="auto"/>
              <w:left w:val="single" w:sz="6" w:space="0" w:color="auto"/>
              <w:bottom w:val="single" w:sz="6" w:space="0" w:color="auto"/>
              <w:right w:val="single" w:sz="6" w:space="0" w:color="auto"/>
            </w:tcBorders>
            <w:hideMark/>
          </w:tcPr>
          <w:p w14:paraId="508D162E"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28,7</w:t>
            </w:r>
          </w:p>
        </w:tc>
      </w:tr>
      <w:tr w:rsidR="003D1DF1" w:rsidRPr="006969B3" w14:paraId="6703243C"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34495F15"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Hacia una sociedad digital e industria 4.0: por una relación más eficiente, efectiva y transparente entre mercados, ciudadanos y Estado.</w:t>
            </w:r>
          </w:p>
        </w:tc>
        <w:tc>
          <w:tcPr>
            <w:tcW w:w="950" w:type="pct"/>
            <w:tcBorders>
              <w:top w:val="single" w:sz="6" w:space="0" w:color="auto"/>
              <w:left w:val="single" w:sz="6" w:space="0" w:color="auto"/>
              <w:bottom w:val="single" w:sz="6" w:space="0" w:color="auto"/>
              <w:right w:val="single" w:sz="6" w:space="0" w:color="auto"/>
            </w:tcBorders>
            <w:hideMark/>
          </w:tcPr>
          <w:p w14:paraId="7DD171AE"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15,4</w:t>
            </w:r>
          </w:p>
        </w:tc>
      </w:tr>
      <w:tr w:rsidR="003D1DF1" w:rsidRPr="006969B3" w14:paraId="7EAE7BF0"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7E91EDBB"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VIII. Pacto por la Calidad y Eficiencia de Servicios Públicos: agua y energía para promover la competitividad y el bienestar de todos.</w:t>
            </w:r>
          </w:p>
        </w:tc>
        <w:tc>
          <w:tcPr>
            <w:tcW w:w="950" w:type="pct"/>
            <w:tcBorders>
              <w:top w:val="single" w:sz="6" w:space="0" w:color="auto"/>
              <w:left w:val="single" w:sz="6" w:space="0" w:color="auto"/>
              <w:bottom w:val="single" w:sz="6" w:space="0" w:color="auto"/>
              <w:right w:val="single" w:sz="6" w:space="0" w:color="auto"/>
            </w:tcBorders>
            <w:hideMark/>
          </w:tcPr>
          <w:p w14:paraId="3F5A1A44"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2.335,2</w:t>
            </w:r>
          </w:p>
        </w:tc>
      </w:tr>
      <w:tr w:rsidR="003D1DF1" w:rsidRPr="006969B3" w14:paraId="3116806F"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06D5B335"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Inversiones con recursos de cooperación Internacional para la Paz (por demanda).</w:t>
            </w:r>
          </w:p>
        </w:tc>
        <w:tc>
          <w:tcPr>
            <w:tcW w:w="950" w:type="pct"/>
            <w:tcBorders>
              <w:top w:val="single" w:sz="6" w:space="0" w:color="auto"/>
              <w:left w:val="single" w:sz="6" w:space="0" w:color="auto"/>
              <w:bottom w:val="single" w:sz="6" w:space="0" w:color="auto"/>
              <w:right w:val="single" w:sz="6" w:space="0" w:color="auto"/>
            </w:tcBorders>
            <w:hideMark/>
          </w:tcPr>
          <w:p w14:paraId="4F48A609"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22,7</w:t>
            </w:r>
          </w:p>
        </w:tc>
      </w:tr>
      <w:tr w:rsidR="003D1DF1" w:rsidRPr="006969B3" w14:paraId="7CE0CF52"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474A0202"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Energía que transforma: hacia un sector energético más innovador, competitivo, limpio y equitativo.</w:t>
            </w:r>
          </w:p>
        </w:tc>
        <w:tc>
          <w:tcPr>
            <w:tcW w:w="950" w:type="pct"/>
            <w:tcBorders>
              <w:top w:val="single" w:sz="6" w:space="0" w:color="auto"/>
              <w:left w:val="single" w:sz="6" w:space="0" w:color="auto"/>
              <w:bottom w:val="single" w:sz="6" w:space="0" w:color="auto"/>
              <w:right w:val="single" w:sz="6" w:space="0" w:color="auto"/>
            </w:tcBorders>
            <w:hideMark/>
          </w:tcPr>
          <w:p w14:paraId="7D3BDED7"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991,7</w:t>
            </w:r>
          </w:p>
        </w:tc>
      </w:tr>
      <w:tr w:rsidR="003D1DF1" w:rsidRPr="006969B3" w14:paraId="3E06EC5A"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577E684F"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Agua limpia y saneamiento básico adecuado: hacia una gestión responsable, sostenible y equitativa.</w:t>
            </w:r>
          </w:p>
        </w:tc>
        <w:tc>
          <w:tcPr>
            <w:tcW w:w="950" w:type="pct"/>
            <w:tcBorders>
              <w:top w:val="single" w:sz="6" w:space="0" w:color="auto"/>
              <w:left w:val="single" w:sz="6" w:space="0" w:color="auto"/>
              <w:bottom w:val="single" w:sz="6" w:space="0" w:color="auto"/>
              <w:right w:val="single" w:sz="6" w:space="0" w:color="auto"/>
            </w:tcBorders>
            <w:hideMark/>
          </w:tcPr>
          <w:p w14:paraId="277491B7"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1.320,7</w:t>
            </w:r>
          </w:p>
        </w:tc>
      </w:tr>
      <w:tr w:rsidR="003D1DF1" w:rsidRPr="006969B3" w14:paraId="2C44E959"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2AA60E7D"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IX. Pacto por los Recursos Minero-energéticos para el Crecimiento Sostenible y la Expansión de Oportunidades.</w:t>
            </w:r>
          </w:p>
        </w:tc>
        <w:tc>
          <w:tcPr>
            <w:tcW w:w="950" w:type="pct"/>
            <w:tcBorders>
              <w:top w:val="single" w:sz="6" w:space="0" w:color="auto"/>
              <w:left w:val="single" w:sz="6" w:space="0" w:color="auto"/>
              <w:bottom w:val="single" w:sz="6" w:space="0" w:color="auto"/>
              <w:right w:val="single" w:sz="6" w:space="0" w:color="auto"/>
            </w:tcBorders>
            <w:hideMark/>
          </w:tcPr>
          <w:p w14:paraId="3F86AA6D"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1,5</w:t>
            </w:r>
          </w:p>
        </w:tc>
      </w:tr>
      <w:tr w:rsidR="003D1DF1" w:rsidRPr="006969B3" w14:paraId="6B439CE3"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6AB8B553"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Desarrollo minero energético con responsabilidad ambiental y social.</w:t>
            </w:r>
          </w:p>
        </w:tc>
        <w:tc>
          <w:tcPr>
            <w:tcW w:w="950" w:type="pct"/>
            <w:tcBorders>
              <w:top w:val="single" w:sz="6" w:space="0" w:color="auto"/>
              <w:left w:val="single" w:sz="6" w:space="0" w:color="auto"/>
              <w:bottom w:val="single" w:sz="6" w:space="0" w:color="auto"/>
              <w:right w:val="single" w:sz="6" w:space="0" w:color="auto"/>
            </w:tcBorders>
            <w:hideMark/>
          </w:tcPr>
          <w:p w14:paraId="4B11219F"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1,5</w:t>
            </w:r>
          </w:p>
        </w:tc>
      </w:tr>
      <w:tr w:rsidR="003D1DF1" w:rsidRPr="006969B3" w14:paraId="452B6B5F"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1BE69F49"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X. Pacto por la Protección y Promoción de Nuestra Cultura y Desarrollo de la Economía Naranja.</w:t>
            </w:r>
          </w:p>
        </w:tc>
        <w:tc>
          <w:tcPr>
            <w:tcW w:w="950" w:type="pct"/>
            <w:tcBorders>
              <w:top w:val="single" w:sz="6" w:space="0" w:color="auto"/>
              <w:left w:val="single" w:sz="6" w:space="0" w:color="auto"/>
              <w:bottom w:val="single" w:sz="6" w:space="0" w:color="auto"/>
              <w:right w:val="single" w:sz="6" w:space="0" w:color="auto"/>
            </w:tcBorders>
            <w:hideMark/>
          </w:tcPr>
          <w:p w14:paraId="79797FDE"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177,9</w:t>
            </w:r>
          </w:p>
        </w:tc>
      </w:tr>
      <w:tr w:rsidR="003D1DF1" w:rsidRPr="006969B3" w14:paraId="6166202B"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2DC301F1"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Todos somos cultura: la esencia de un país que se transforma desde los territorios.</w:t>
            </w:r>
          </w:p>
        </w:tc>
        <w:tc>
          <w:tcPr>
            <w:tcW w:w="950" w:type="pct"/>
            <w:tcBorders>
              <w:top w:val="single" w:sz="6" w:space="0" w:color="auto"/>
              <w:left w:val="single" w:sz="6" w:space="0" w:color="auto"/>
              <w:bottom w:val="single" w:sz="6" w:space="0" w:color="auto"/>
              <w:right w:val="single" w:sz="6" w:space="0" w:color="auto"/>
            </w:tcBorders>
            <w:hideMark/>
          </w:tcPr>
          <w:p w14:paraId="2D2E39A4"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174,6</w:t>
            </w:r>
          </w:p>
        </w:tc>
      </w:tr>
      <w:tr w:rsidR="003D1DF1" w:rsidRPr="006969B3" w14:paraId="074F199C"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25ECF86D"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Colombia naranja: desarrollo del emprendimiento de base artística, creativa y tecnológica para la creación de nuevas industrias.</w:t>
            </w:r>
          </w:p>
        </w:tc>
        <w:tc>
          <w:tcPr>
            <w:tcW w:w="950" w:type="pct"/>
            <w:tcBorders>
              <w:top w:val="single" w:sz="6" w:space="0" w:color="auto"/>
              <w:left w:val="single" w:sz="6" w:space="0" w:color="auto"/>
              <w:bottom w:val="single" w:sz="6" w:space="0" w:color="auto"/>
              <w:right w:val="single" w:sz="6" w:space="0" w:color="auto"/>
            </w:tcBorders>
            <w:hideMark/>
          </w:tcPr>
          <w:p w14:paraId="0F03292B"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3,3</w:t>
            </w:r>
          </w:p>
        </w:tc>
      </w:tr>
      <w:tr w:rsidR="003D1DF1" w:rsidRPr="006969B3" w14:paraId="63EBD00F"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009637FD"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lastRenderedPageBreak/>
              <w:t>XI. Pacto por la Construcción de Paz: Cultura de la legalidad, Convivencia, Estabilización y Víctimas.</w:t>
            </w:r>
          </w:p>
        </w:tc>
        <w:tc>
          <w:tcPr>
            <w:tcW w:w="950" w:type="pct"/>
            <w:tcBorders>
              <w:top w:val="single" w:sz="6" w:space="0" w:color="auto"/>
              <w:left w:val="single" w:sz="6" w:space="0" w:color="auto"/>
              <w:bottom w:val="single" w:sz="6" w:space="0" w:color="auto"/>
              <w:right w:val="single" w:sz="6" w:space="0" w:color="auto"/>
            </w:tcBorders>
            <w:hideMark/>
          </w:tcPr>
          <w:p w14:paraId="1DEE8EDF"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10.431</w:t>
            </w:r>
          </w:p>
        </w:tc>
      </w:tr>
      <w:tr w:rsidR="003D1DF1" w:rsidRPr="006969B3" w14:paraId="6ABAC2F0"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6899CCFD"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Inversiones con recursos de cooperación Internacional para la Paz (por demanda).</w:t>
            </w:r>
          </w:p>
        </w:tc>
        <w:tc>
          <w:tcPr>
            <w:tcW w:w="950" w:type="pct"/>
            <w:tcBorders>
              <w:top w:val="single" w:sz="6" w:space="0" w:color="auto"/>
              <w:left w:val="single" w:sz="6" w:space="0" w:color="auto"/>
              <w:bottom w:val="single" w:sz="6" w:space="0" w:color="auto"/>
              <w:right w:val="single" w:sz="6" w:space="0" w:color="auto"/>
            </w:tcBorders>
            <w:hideMark/>
          </w:tcPr>
          <w:p w14:paraId="6F59FFE4"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728,7</w:t>
            </w:r>
          </w:p>
        </w:tc>
      </w:tr>
      <w:tr w:rsidR="003D1DF1" w:rsidRPr="006969B3" w14:paraId="13898DA4"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19D56DCC"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Inversiones aprobadas por OCAD PAZ.</w:t>
            </w:r>
          </w:p>
        </w:tc>
        <w:tc>
          <w:tcPr>
            <w:tcW w:w="950" w:type="pct"/>
            <w:tcBorders>
              <w:top w:val="single" w:sz="6" w:space="0" w:color="auto"/>
              <w:left w:val="single" w:sz="6" w:space="0" w:color="auto"/>
              <w:bottom w:val="single" w:sz="6" w:space="0" w:color="auto"/>
              <w:right w:val="single" w:sz="6" w:space="0" w:color="auto"/>
            </w:tcBorders>
            <w:hideMark/>
          </w:tcPr>
          <w:p w14:paraId="2BE1E136"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 2.852,3</w:t>
            </w:r>
          </w:p>
        </w:tc>
      </w:tr>
      <w:tr w:rsidR="003D1DF1" w:rsidRPr="006969B3" w14:paraId="6A06D312"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1F0B88D3"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Acciones efectivas para la política de estabilización: intervención coordinada en zonas estratégicas con seguridad, justicia y equidad.</w:t>
            </w:r>
          </w:p>
        </w:tc>
        <w:tc>
          <w:tcPr>
            <w:tcW w:w="950" w:type="pct"/>
            <w:tcBorders>
              <w:top w:val="single" w:sz="6" w:space="0" w:color="auto"/>
              <w:left w:val="single" w:sz="6" w:space="0" w:color="auto"/>
              <w:bottom w:val="single" w:sz="6" w:space="0" w:color="auto"/>
              <w:right w:val="single" w:sz="6" w:space="0" w:color="auto"/>
            </w:tcBorders>
            <w:hideMark/>
          </w:tcPr>
          <w:p w14:paraId="188CBBA1"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5.229,2</w:t>
            </w:r>
          </w:p>
        </w:tc>
      </w:tr>
      <w:tr w:rsidR="003D1DF1" w:rsidRPr="006969B3" w14:paraId="3B4C5E05"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22DC5399"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Mayor coordinación y eficiencia del Estado para la estabilización.</w:t>
            </w:r>
          </w:p>
        </w:tc>
        <w:tc>
          <w:tcPr>
            <w:tcW w:w="950" w:type="pct"/>
            <w:tcBorders>
              <w:top w:val="single" w:sz="6" w:space="0" w:color="auto"/>
              <w:left w:val="single" w:sz="6" w:space="0" w:color="auto"/>
              <w:bottom w:val="single" w:sz="6" w:space="0" w:color="auto"/>
              <w:right w:val="single" w:sz="6" w:space="0" w:color="auto"/>
            </w:tcBorders>
            <w:hideMark/>
          </w:tcPr>
          <w:p w14:paraId="797FEA4C"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395,3</w:t>
            </w:r>
          </w:p>
        </w:tc>
      </w:tr>
      <w:tr w:rsidR="003D1DF1" w:rsidRPr="006969B3" w14:paraId="6FEB8D9D"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7BBFBBC1"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Instrumentos y herramientas que orientan la inversión y el gasto eficiente para la estabilización, la construcción de paz y la cultura de la legalidad.</w:t>
            </w:r>
          </w:p>
        </w:tc>
        <w:tc>
          <w:tcPr>
            <w:tcW w:w="950" w:type="pct"/>
            <w:tcBorders>
              <w:top w:val="single" w:sz="6" w:space="0" w:color="auto"/>
              <w:left w:val="single" w:sz="6" w:space="0" w:color="auto"/>
              <w:bottom w:val="single" w:sz="6" w:space="0" w:color="auto"/>
              <w:right w:val="single" w:sz="6" w:space="0" w:color="auto"/>
            </w:tcBorders>
            <w:hideMark/>
          </w:tcPr>
          <w:p w14:paraId="0592E86F"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11,3</w:t>
            </w:r>
          </w:p>
        </w:tc>
      </w:tr>
      <w:tr w:rsidR="003D1DF1" w:rsidRPr="006969B3" w14:paraId="7CA88C8B"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3AA4AF14"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Reparación: Colombia atiende y repara a las víctimas.</w:t>
            </w:r>
          </w:p>
        </w:tc>
        <w:tc>
          <w:tcPr>
            <w:tcW w:w="950" w:type="pct"/>
            <w:tcBorders>
              <w:top w:val="single" w:sz="6" w:space="0" w:color="auto"/>
              <w:left w:val="single" w:sz="6" w:space="0" w:color="auto"/>
              <w:bottom w:val="single" w:sz="6" w:space="0" w:color="auto"/>
              <w:right w:val="single" w:sz="6" w:space="0" w:color="auto"/>
            </w:tcBorders>
            <w:hideMark/>
          </w:tcPr>
          <w:p w14:paraId="5ADD7399"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1.213,6</w:t>
            </w:r>
          </w:p>
        </w:tc>
      </w:tr>
      <w:tr w:rsidR="003D1DF1" w:rsidRPr="006969B3" w14:paraId="154F6E84"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6924BA23"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XIII. Pacto por la Inclusión de todas las Personas con Discapacidad.</w:t>
            </w:r>
          </w:p>
        </w:tc>
        <w:tc>
          <w:tcPr>
            <w:tcW w:w="950" w:type="pct"/>
            <w:tcBorders>
              <w:top w:val="single" w:sz="6" w:space="0" w:color="auto"/>
              <w:left w:val="single" w:sz="6" w:space="0" w:color="auto"/>
              <w:bottom w:val="single" w:sz="6" w:space="0" w:color="auto"/>
              <w:right w:val="single" w:sz="6" w:space="0" w:color="auto"/>
            </w:tcBorders>
            <w:hideMark/>
          </w:tcPr>
          <w:p w14:paraId="4105C47B"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22,5</w:t>
            </w:r>
          </w:p>
        </w:tc>
      </w:tr>
      <w:tr w:rsidR="003D1DF1" w:rsidRPr="006969B3" w14:paraId="5BB6C44C"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234F6A8A"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XV. Pacto por una Gestión Pública Efectiva.</w:t>
            </w:r>
          </w:p>
        </w:tc>
        <w:tc>
          <w:tcPr>
            <w:tcW w:w="950" w:type="pct"/>
            <w:tcBorders>
              <w:top w:val="single" w:sz="6" w:space="0" w:color="auto"/>
              <w:left w:val="single" w:sz="6" w:space="0" w:color="auto"/>
              <w:bottom w:val="single" w:sz="6" w:space="0" w:color="auto"/>
              <w:right w:val="single" w:sz="6" w:space="0" w:color="auto"/>
            </w:tcBorders>
            <w:hideMark/>
          </w:tcPr>
          <w:p w14:paraId="38B6E688"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0,6</w:t>
            </w:r>
          </w:p>
        </w:tc>
      </w:tr>
      <w:tr w:rsidR="003D1DF1" w:rsidRPr="006969B3" w14:paraId="6738B472"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0D959019"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Transformación de la administración pública.</w:t>
            </w:r>
          </w:p>
        </w:tc>
        <w:tc>
          <w:tcPr>
            <w:tcW w:w="950" w:type="pct"/>
            <w:tcBorders>
              <w:top w:val="single" w:sz="6" w:space="0" w:color="auto"/>
              <w:left w:val="single" w:sz="6" w:space="0" w:color="auto"/>
              <w:bottom w:val="single" w:sz="6" w:space="0" w:color="auto"/>
              <w:right w:val="single" w:sz="6" w:space="0" w:color="auto"/>
            </w:tcBorders>
            <w:hideMark/>
          </w:tcPr>
          <w:p w14:paraId="3DC5C58E"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0,6</w:t>
            </w:r>
          </w:p>
        </w:tc>
      </w:tr>
      <w:tr w:rsidR="003D1DF1" w:rsidRPr="006969B3" w14:paraId="2A915535"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056F6DC8"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 xml:space="preserve">XVI. Pacto por la Descentralización: conectar territorios, gobiernos y </w:t>
            </w:r>
            <w:proofErr w:type="spellStart"/>
            <w:r w:rsidRPr="006969B3">
              <w:rPr>
                <w:rFonts w:ascii="Arial" w:hAnsi="Arial" w:cs="Arial"/>
                <w:lang w:val="es-CO"/>
              </w:rPr>
              <w:t>poblacnes</w:t>
            </w:r>
            <w:proofErr w:type="spellEnd"/>
            <w:r w:rsidRPr="006969B3">
              <w:rPr>
                <w:rFonts w:ascii="Arial" w:hAnsi="Arial" w:cs="Arial"/>
                <w:lang w:val="es-CO"/>
              </w:rPr>
              <w:t>.</w:t>
            </w:r>
          </w:p>
        </w:tc>
        <w:tc>
          <w:tcPr>
            <w:tcW w:w="950" w:type="pct"/>
            <w:tcBorders>
              <w:top w:val="single" w:sz="6" w:space="0" w:color="auto"/>
              <w:left w:val="single" w:sz="6" w:space="0" w:color="auto"/>
              <w:bottom w:val="single" w:sz="6" w:space="0" w:color="auto"/>
              <w:right w:val="single" w:sz="6" w:space="0" w:color="auto"/>
            </w:tcBorders>
            <w:hideMark/>
          </w:tcPr>
          <w:p w14:paraId="1ED34882"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1.873,4</w:t>
            </w:r>
          </w:p>
        </w:tc>
      </w:tr>
      <w:tr w:rsidR="003D1DF1" w:rsidRPr="006969B3" w14:paraId="5B26490F"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247E8BA7"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Políticas e inversiones para el desarrollo, el ordenamiento y fortalecimiento de la asociatividad.</w:t>
            </w:r>
          </w:p>
        </w:tc>
        <w:tc>
          <w:tcPr>
            <w:tcW w:w="950" w:type="pct"/>
            <w:tcBorders>
              <w:top w:val="single" w:sz="6" w:space="0" w:color="auto"/>
              <w:left w:val="single" w:sz="6" w:space="0" w:color="auto"/>
              <w:bottom w:val="single" w:sz="6" w:space="0" w:color="auto"/>
              <w:right w:val="single" w:sz="6" w:space="0" w:color="auto"/>
            </w:tcBorders>
            <w:hideMark/>
          </w:tcPr>
          <w:p w14:paraId="25C03E64"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35,7</w:t>
            </w:r>
          </w:p>
        </w:tc>
      </w:tr>
      <w:tr w:rsidR="003D1DF1" w:rsidRPr="006969B3" w14:paraId="485BBCBC"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66CDB045"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Estimular tanto la productividad como la equidad, a través de la conectividad y los vínculos entre la ciudad y el campo.</w:t>
            </w:r>
          </w:p>
        </w:tc>
        <w:tc>
          <w:tcPr>
            <w:tcW w:w="950" w:type="pct"/>
            <w:tcBorders>
              <w:top w:val="single" w:sz="6" w:space="0" w:color="auto"/>
              <w:left w:val="single" w:sz="6" w:space="0" w:color="auto"/>
              <w:bottom w:val="single" w:sz="6" w:space="0" w:color="auto"/>
              <w:right w:val="single" w:sz="6" w:space="0" w:color="auto"/>
            </w:tcBorders>
            <w:hideMark/>
          </w:tcPr>
          <w:p w14:paraId="7BF02F83"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1.693,4</w:t>
            </w:r>
          </w:p>
        </w:tc>
      </w:tr>
      <w:tr w:rsidR="003D1DF1" w:rsidRPr="006969B3" w14:paraId="3866FAF4"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026453CA"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Desarrollo urbano y Sistema de Ciudades (SC) para la sostenibilidad, la productividad y la calidad de vida.</w:t>
            </w:r>
          </w:p>
        </w:tc>
        <w:tc>
          <w:tcPr>
            <w:tcW w:w="950" w:type="pct"/>
            <w:tcBorders>
              <w:top w:val="single" w:sz="6" w:space="0" w:color="auto"/>
              <w:left w:val="single" w:sz="6" w:space="0" w:color="auto"/>
              <w:bottom w:val="single" w:sz="6" w:space="0" w:color="auto"/>
              <w:right w:val="single" w:sz="6" w:space="0" w:color="auto"/>
            </w:tcBorders>
            <w:hideMark/>
          </w:tcPr>
          <w:p w14:paraId="5DEF178A"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125,2</w:t>
            </w:r>
          </w:p>
        </w:tc>
      </w:tr>
      <w:tr w:rsidR="003D1DF1" w:rsidRPr="006969B3" w14:paraId="6E926FC8"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61B629BF"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Instrumentos e información para la toma de decisiones que promueven el desarrollo regional.</w:t>
            </w:r>
          </w:p>
        </w:tc>
        <w:tc>
          <w:tcPr>
            <w:tcW w:w="950" w:type="pct"/>
            <w:tcBorders>
              <w:top w:val="single" w:sz="6" w:space="0" w:color="auto"/>
              <w:left w:val="single" w:sz="6" w:space="0" w:color="auto"/>
              <w:bottom w:val="single" w:sz="6" w:space="0" w:color="auto"/>
              <w:right w:val="single" w:sz="6" w:space="0" w:color="auto"/>
            </w:tcBorders>
            <w:hideMark/>
          </w:tcPr>
          <w:p w14:paraId="246C6CB0" w14:textId="77777777" w:rsidR="00E319CE" w:rsidRPr="006969B3" w:rsidRDefault="00E319CE" w:rsidP="00F65283">
            <w:pPr>
              <w:spacing w:after="0" w:line="240" w:lineRule="auto"/>
              <w:jc w:val="both"/>
              <w:rPr>
                <w:rFonts w:ascii="Arial" w:hAnsi="Arial" w:cs="Arial"/>
                <w:lang w:val="es-CO"/>
              </w:rPr>
            </w:pPr>
            <w:r w:rsidRPr="006969B3">
              <w:rPr>
                <w:rFonts w:ascii="Arial" w:hAnsi="Arial" w:cs="Arial"/>
                <w:lang w:val="es-CO"/>
              </w:rPr>
              <w:t>19,1</w:t>
            </w:r>
          </w:p>
        </w:tc>
      </w:tr>
      <w:tr w:rsidR="003D1DF1" w:rsidRPr="006969B3" w14:paraId="4A3EB002" w14:textId="77777777" w:rsidTr="00E319CE">
        <w:trPr>
          <w:tblCellSpacing w:w="15" w:type="dxa"/>
        </w:trPr>
        <w:tc>
          <w:tcPr>
            <w:tcW w:w="4050" w:type="pct"/>
            <w:tcBorders>
              <w:top w:val="single" w:sz="6" w:space="0" w:color="auto"/>
              <w:left w:val="single" w:sz="6" w:space="0" w:color="auto"/>
              <w:bottom w:val="single" w:sz="6" w:space="0" w:color="auto"/>
              <w:right w:val="single" w:sz="6" w:space="0" w:color="auto"/>
            </w:tcBorders>
            <w:hideMark/>
          </w:tcPr>
          <w:p w14:paraId="02D72F51" w14:textId="77777777" w:rsidR="00E319CE" w:rsidRPr="006969B3" w:rsidRDefault="00E319CE" w:rsidP="00F65283">
            <w:pPr>
              <w:spacing w:after="0" w:line="240" w:lineRule="auto"/>
              <w:jc w:val="both"/>
              <w:rPr>
                <w:rFonts w:ascii="Arial" w:hAnsi="Arial" w:cs="Arial"/>
                <w:lang w:val="es-CO"/>
              </w:rPr>
            </w:pPr>
            <w:proofErr w:type="gramStart"/>
            <w:r w:rsidRPr="006969B3">
              <w:rPr>
                <w:rStyle w:val="baj"/>
                <w:rFonts w:ascii="Arial" w:hAnsi="Arial" w:cs="Arial"/>
                <w:lang w:val="es-CO"/>
              </w:rPr>
              <w:t>Total</w:t>
            </w:r>
            <w:proofErr w:type="gramEnd"/>
            <w:r w:rsidRPr="006969B3">
              <w:rPr>
                <w:rStyle w:val="baj"/>
                <w:rFonts w:ascii="Arial" w:hAnsi="Arial" w:cs="Arial"/>
                <w:lang w:val="es-CO"/>
              </w:rPr>
              <w:t xml:space="preserve"> general</w:t>
            </w:r>
          </w:p>
        </w:tc>
        <w:tc>
          <w:tcPr>
            <w:tcW w:w="950" w:type="pct"/>
            <w:tcBorders>
              <w:top w:val="single" w:sz="6" w:space="0" w:color="auto"/>
              <w:left w:val="single" w:sz="6" w:space="0" w:color="auto"/>
              <w:bottom w:val="single" w:sz="6" w:space="0" w:color="auto"/>
              <w:right w:val="single" w:sz="6" w:space="0" w:color="auto"/>
            </w:tcBorders>
            <w:hideMark/>
          </w:tcPr>
          <w:p w14:paraId="143EDA05" w14:textId="77777777" w:rsidR="00E319CE" w:rsidRPr="006969B3" w:rsidRDefault="00E319CE" w:rsidP="00F65283">
            <w:pPr>
              <w:spacing w:after="0" w:line="240" w:lineRule="auto"/>
              <w:jc w:val="both"/>
              <w:rPr>
                <w:rFonts w:ascii="Arial" w:hAnsi="Arial" w:cs="Arial"/>
                <w:lang w:val="es-CO"/>
              </w:rPr>
            </w:pPr>
            <w:r w:rsidRPr="006969B3">
              <w:rPr>
                <w:rStyle w:val="baj"/>
                <w:rFonts w:ascii="Arial" w:hAnsi="Arial" w:cs="Arial"/>
                <w:lang w:val="es-CO"/>
              </w:rPr>
              <w:t>37.083,4</w:t>
            </w:r>
          </w:p>
        </w:tc>
      </w:tr>
    </w:tbl>
    <w:p w14:paraId="61F3246D" w14:textId="77777777"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Fuente: Dirección de Inversiones y Finanzas Públicas (DNP).</w:t>
      </w:r>
    </w:p>
    <w:p w14:paraId="71C83667" w14:textId="77777777" w:rsidR="00F65283" w:rsidRPr="006969B3" w:rsidRDefault="00F65283" w:rsidP="00F65283">
      <w:pPr>
        <w:pStyle w:val="NormalWeb"/>
        <w:spacing w:before="0" w:beforeAutospacing="0" w:after="0" w:afterAutospacing="0"/>
        <w:jc w:val="both"/>
        <w:rPr>
          <w:rStyle w:val="baj"/>
          <w:rFonts w:ascii="Arial" w:hAnsi="Arial" w:cs="Arial"/>
          <w:sz w:val="22"/>
          <w:szCs w:val="22"/>
          <w:lang w:val="es-CO"/>
        </w:rPr>
      </w:pPr>
    </w:p>
    <w:p w14:paraId="47C9526C" w14:textId="27292DA1"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Los recursos identificados como fuentes de entidades territoriales para financiamiento del Plan Nacional de Inversiones Públicas 2019-2022, corresponde a estimaciones de gastos de los niveles departamental, distrital y municipal en el marco de su autonomía, para la articulación de políticas, estrategias y programas nacionales con los territoriales, según los mecanismos de ejecución definidos en el presente Plan.</w:t>
      </w:r>
    </w:p>
    <w:p w14:paraId="1B235409" w14:textId="77777777" w:rsidR="00F65283" w:rsidRPr="006969B3" w:rsidRDefault="00F65283" w:rsidP="00F65283">
      <w:pPr>
        <w:pStyle w:val="NormalWeb"/>
        <w:spacing w:before="0" w:beforeAutospacing="0" w:after="0" w:afterAutospacing="0"/>
        <w:jc w:val="both"/>
        <w:rPr>
          <w:rStyle w:val="baj"/>
          <w:rFonts w:ascii="Arial" w:hAnsi="Arial" w:cs="Arial"/>
          <w:sz w:val="22"/>
          <w:szCs w:val="22"/>
          <w:lang w:val="es-CO"/>
        </w:rPr>
      </w:pPr>
    </w:p>
    <w:p w14:paraId="116BD77F" w14:textId="28DC011C"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Apruébese como parte integral de la presente ley e incorpórese como anexo el documento “Plan Plurianual de Inversiones” incluido el componente especial para la Paz.</w:t>
      </w:r>
    </w:p>
    <w:p w14:paraId="146265D9" w14:textId="77777777" w:rsidR="00F65283" w:rsidRPr="006969B3" w:rsidRDefault="00F65283" w:rsidP="00F65283">
      <w:pPr>
        <w:pStyle w:val="NormalWeb"/>
        <w:spacing w:before="0" w:beforeAutospacing="0" w:after="0" w:afterAutospacing="0"/>
        <w:jc w:val="both"/>
        <w:rPr>
          <w:rStyle w:val="baj"/>
          <w:rFonts w:ascii="Arial" w:hAnsi="Arial" w:cs="Arial"/>
          <w:sz w:val="22"/>
          <w:szCs w:val="22"/>
          <w:lang w:val="es-CO"/>
        </w:rPr>
      </w:pPr>
    </w:p>
    <w:p w14:paraId="7136E9F1" w14:textId="355B8DF9"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3o.</w:t>
      </w:r>
      <w:r w:rsidRPr="006969B3">
        <w:rPr>
          <w:rFonts w:ascii="Arial" w:hAnsi="Arial" w:cs="Arial"/>
          <w:sz w:val="22"/>
          <w:szCs w:val="22"/>
          <w:lang w:val="es-CO"/>
        </w:rPr>
        <w:t xml:space="preserve"> Como parte integral del Plan Plurianual de Inversiones se incluyen de manera transversal las proyecciones indicativas acordadas en el marco de las consultas previas con los grupos étnicos por veintinueve ($29) billones, estimadas para los pueblos indígenas en diez ($10) billones, los cuales se destinarán para el cumplimiento de los acuerdos que corresponden al Capítulo de los pueblos indígenas, y para las comunidades negras, afrocolombianas, raizales y palenqueras por valor de diecinueve ($19) billones, considerando el Plan Macroeconómico y el Marco Fiscal de Mediano Plazo del Gobierno </w:t>
      </w:r>
      <w:r w:rsidRPr="006969B3">
        <w:rPr>
          <w:rFonts w:ascii="Arial" w:hAnsi="Arial" w:cs="Arial"/>
          <w:sz w:val="22"/>
          <w:szCs w:val="22"/>
          <w:lang w:val="es-CO"/>
        </w:rPr>
        <w:lastRenderedPageBreak/>
        <w:t>nacional de acuerdo con todas las fuentes del presente Plan Plurianual de Inversiones y serán sujetos de control fiscal por el órgano competente.</w:t>
      </w:r>
    </w:p>
    <w:p w14:paraId="3171AFD4" w14:textId="77777777" w:rsidR="00F65283" w:rsidRPr="006969B3" w:rsidRDefault="00F65283" w:rsidP="00F65283">
      <w:pPr>
        <w:pStyle w:val="NormalWeb"/>
        <w:spacing w:before="0" w:beforeAutospacing="0" w:after="0" w:afterAutospacing="0"/>
        <w:jc w:val="both"/>
        <w:rPr>
          <w:rStyle w:val="baj"/>
          <w:rFonts w:ascii="Arial" w:hAnsi="Arial" w:cs="Arial"/>
          <w:sz w:val="22"/>
          <w:szCs w:val="22"/>
          <w:lang w:val="es-CO"/>
        </w:rPr>
      </w:pPr>
    </w:p>
    <w:p w14:paraId="62B9B557" w14:textId="1DE9E7E3"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4o.</w:t>
      </w:r>
      <w:r w:rsidRPr="006969B3">
        <w:rPr>
          <w:rFonts w:ascii="Arial" w:hAnsi="Arial" w:cs="Arial"/>
          <w:sz w:val="22"/>
          <w:szCs w:val="22"/>
          <w:lang w:val="es-CO"/>
        </w:rPr>
        <w:t> El Gobierno nacional tiene el propósito de cumplimiento de lo pactado en los acuerdos con la Minga social por la defensa de la vida, el territorio, la democracia, la justicia y la paz logrado 6 de abril de 2019.</w:t>
      </w:r>
    </w:p>
    <w:p w14:paraId="096EAEF0" w14:textId="717332FA" w:rsidR="00E319CE" w:rsidRPr="006969B3" w:rsidRDefault="00E319CE" w:rsidP="00F65283">
      <w:pPr>
        <w:spacing w:after="0" w:line="240" w:lineRule="auto"/>
        <w:rPr>
          <w:rFonts w:ascii="Arial" w:hAnsi="Arial" w:cs="Arial"/>
          <w:lang w:val="es-CO"/>
        </w:rPr>
      </w:pPr>
    </w:p>
    <w:p w14:paraId="7639E8FA" w14:textId="5596BDF5" w:rsidR="00E319CE" w:rsidRPr="006969B3" w:rsidRDefault="00E319CE" w:rsidP="00F65283">
      <w:pPr>
        <w:pStyle w:val="NormalWeb"/>
        <w:spacing w:before="0" w:beforeAutospacing="0" w:after="0" w:afterAutospacing="0"/>
        <w:jc w:val="both"/>
        <w:rPr>
          <w:rFonts w:ascii="Arial" w:hAnsi="Arial" w:cs="Arial"/>
          <w:sz w:val="22"/>
          <w:szCs w:val="22"/>
          <w:lang w:val="es-CO"/>
        </w:rPr>
      </w:pPr>
      <w:bookmarkStart w:id="11" w:name="5"/>
      <w:r w:rsidRPr="006969B3">
        <w:rPr>
          <w:rFonts w:ascii="Arial" w:hAnsi="Arial" w:cs="Arial"/>
          <w:sz w:val="22"/>
          <w:szCs w:val="22"/>
          <w:lang w:val="es-CO"/>
        </w:rPr>
        <w:t>ARTÍCULO 5o. RECURSOS FINANCIEROS, PRESUPUESTOS PLURIANUALES Y CONSISTENCIA FISCAL DEL PLAN NACIONAL DE INVERSIONES PÚBLICAS.</w:t>
      </w:r>
      <w:bookmarkEnd w:id="11"/>
      <w:r w:rsidRPr="006969B3">
        <w:rPr>
          <w:rFonts w:ascii="Arial" w:hAnsi="Arial" w:cs="Arial"/>
          <w:sz w:val="22"/>
          <w:szCs w:val="22"/>
          <w:lang w:val="es-CO"/>
        </w:rPr>
        <w:t xml:space="preserve"> El valor total de los gastos que se realicen para la ejecución del presente plan financiados con recursos del Presupuesto General de la Nación, no </w:t>
      </w:r>
      <w:proofErr w:type="gramStart"/>
      <w:r w:rsidRPr="006969B3">
        <w:rPr>
          <w:rFonts w:ascii="Arial" w:hAnsi="Arial" w:cs="Arial"/>
          <w:sz w:val="22"/>
          <w:szCs w:val="22"/>
          <w:lang w:val="es-CO"/>
        </w:rPr>
        <w:t>podrán</w:t>
      </w:r>
      <w:proofErr w:type="gramEnd"/>
      <w:r w:rsidRPr="006969B3">
        <w:rPr>
          <w:rFonts w:ascii="Arial" w:hAnsi="Arial" w:cs="Arial"/>
          <w:sz w:val="22"/>
          <w:szCs w:val="22"/>
          <w:lang w:val="es-CO"/>
        </w:rPr>
        <w:t xml:space="preserve"> superar en ningún caso el monto de los recursos disponibles de conformidad con el Plan Macroeconómico y el Marco Fiscal de Mediano Plazo (MFMP) del Gobierno nacional.</w:t>
      </w:r>
    </w:p>
    <w:p w14:paraId="13024443" w14:textId="77777777" w:rsidR="00C62051" w:rsidRPr="006969B3" w:rsidRDefault="00C62051" w:rsidP="00F65283">
      <w:pPr>
        <w:pStyle w:val="NormalWeb"/>
        <w:spacing w:before="0" w:beforeAutospacing="0" w:after="0" w:afterAutospacing="0"/>
        <w:jc w:val="both"/>
        <w:rPr>
          <w:rFonts w:ascii="Arial" w:hAnsi="Arial" w:cs="Arial"/>
          <w:sz w:val="22"/>
          <w:szCs w:val="22"/>
          <w:lang w:val="es-CO"/>
        </w:rPr>
      </w:pPr>
    </w:p>
    <w:p w14:paraId="26ABBD14" w14:textId="4DC56246"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Las metas de los programas contempladas en el Plan Nacional de Desarrollo 2018-2022 se ajustarán de acuerdo con las disponibilidades fiscales que se establezcan en el Marco Fiscal de Mediano Plazo (MFMP), en el Marco de Gasto de Mediano Plazo (MGMP) y en los Presupuestos Generales de la Nación aprobados para cada vigencia, según lo señalado en los artículos</w:t>
      </w:r>
      <w:r w:rsidR="005054B8">
        <w:rPr>
          <w:rFonts w:ascii="Arial" w:hAnsi="Arial" w:cs="Arial"/>
          <w:sz w:val="22"/>
          <w:szCs w:val="22"/>
          <w:lang w:val="es-CO"/>
        </w:rPr>
        <w:t xml:space="preserve"> 4 y 5</w:t>
      </w:r>
      <w:r w:rsidRPr="006969B3">
        <w:rPr>
          <w:rFonts w:ascii="Arial" w:hAnsi="Arial" w:cs="Arial"/>
          <w:sz w:val="22"/>
          <w:szCs w:val="22"/>
          <w:lang w:val="es-CO"/>
        </w:rPr>
        <w:t> de la Ley 1473 de 2011.</w:t>
      </w:r>
    </w:p>
    <w:p w14:paraId="649A9542" w14:textId="77777777" w:rsidR="00F65283" w:rsidRPr="006969B3" w:rsidRDefault="00F65283" w:rsidP="00F65283">
      <w:pPr>
        <w:pStyle w:val="NormalWeb"/>
        <w:spacing w:before="0" w:beforeAutospacing="0" w:after="0" w:afterAutospacing="0"/>
        <w:jc w:val="both"/>
        <w:rPr>
          <w:rFonts w:ascii="Arial" w:hAnsi="Arial" w:cs="Arial"/>
          <w:b/>
          <w:bCs/>
          <w:sz w:val="22"/>
          <w:szCs w:val="22"/>
          <w:lang w:val="es-CO"/>
        </w:rPr>
      </w:pPr>
    </w:p>
    <w:p w14:paraId="25815E4A" w14:textId="58A02F00" w:rsidR="00E319CE" w:rsidRPr="006969B3" w:rsidRDefault="00E319CE" w:rsidP="00F65283">
      <w:pPr>
        <w:pStyle w:val="centrado"/>
        <w:spacing w:before="0" w:beforeAutospacing="0" w:after="0" w:afterAutospacing="0"/>
        <w:jc w:val="center"/>
        <w:rPr>
          <w:rFonts w:ascii="Arial" w:hAnsi="Arial" w:cs="Arial"/>
          <w:b/>
          <w:bCs/>
          <w:sz w:val="22"/>
          <w:szCs w:val="22"/>
          <w:lang w:val="es-CO"/>
        </w:rPr>
      </w:pPr>
      <w:bookmarkStart w:id="12" w:name="CAPÍTULO_II-II"/>
      <w:r w:rsidRPr="006969B3">
        <w:rPr>
          <w:rFonts w:ascii="Arial" w:hAnsi="Arial" w:cs="Arial"/>
          <w:b/>
          <w:bCs/>
          <w:sz w:val="22"/>
          <w:szCs w:val="22"/>
          <w:lang w:val="es-CO"/>
        </w:rPr>
        <w:t>CAPÍTULO II</w:t>
      </w:r>
      <w:bookmarkEnd w:id="12"/>
    </w:p>
    <w:p w14:paraId="27ABEE46" w14:textId="77777777" w:rsidR="00C62051" w:rsidRPr="006969B3" w:rsidRDefault="00C62051" w:rsidP="00F65283">
      <w:pPr>
        <w:pStyle w:val="centrado"/>
        <w:spacing w:before="0" w:beforeAutospacing="0" w:after="0" w:afterAutospacing="0"/>
        <w:jc w:val="center"/>
        <w:rPr>
          <w:rFonts w:ascii="Arial" w:hAnsi="Arial" w:cs="Arial"/>
          <w:b/>
          <w:bCs/>
          <w:sz w:val="22"/>
          <w:szCs w:val="22"/>
          <w:lang w:val="es-CO"/>
        </w:rPr>
      </w:pPr>
    </w:p>
    <w:p w14:paraId="6F0B154C" w14:textId="1437FC47" w:rsidR="00E319CE" w:rsidRPr="006969B3" w:rsidRDefault="00E319CE" w:rsidP="00F65283">
      <w:pPr>
        <w:pStyle w:val="centrado"/>
        <w:spacing w:before="0" w:beforeAutospacing="0" w:after="0" w:afterAutospacing="0"/>
        <w:jc w:val="center"/>
        <w:rPr>
          <w:rStyle w:val="baj"/>
          <w:rFonts w:ascii="Arial" w:hAnsi="Arial" w:cs="Arial"/>
          <w:b/>
          <w:bCs/>
          <w:sz w:val="22"/>
          <w:szCs w:val="22"/>
          <w:lang w:val="es-CO"/>
        </w:rPr>
      </w:pPr>
      <w:r w:rsidRPr="006969B3">
        <w:rPr>
          <w:rStyle w:val="baj"/>
          <w:rFonts w:ascii="Arial" w:hAnsi="Arial" w:cs="Arial"/>
          <w:b/>
          <w:bCs/>
          <w:sz w:val="22"/>
          <w:szCs w:val="22"/>
          <w:lang w:val="es-CO"/>
        </w:rPr>
        <w:t>MECANISMOS DE EJECUCIÓN DEL PLAN</w:t>
      </w:r>
    </w:p>
    <w:p w14:paraId="0AC06056" w14:textId="77777777" w:rsidR="00C62051" w:rsidRPr="006969B3" w:rsidRDefault="00C62051" w:rsidP="00F65283">
      <w:pPr>
        <w:pStyle w:val="centrado"/>
        <w:spacing w:before="0" w:beforeAutospacing="0" w:after="0" w:afterAutospacing="0"/>
        <w:jc w:val="center"/>
        <w:rPr>
          <w:rFonts w:ascii="Arial" w:hAnsi="Arial" w:cs="Arial"/>
          <w:b/>
          <w:bCs/>
          <w:sz w:val="22"/>
          <w:szCs w:val="22"/>
          <w:lang w:val="es-CO"/>
        </w:rPr>
      </w:pPr>
    </w:p>
    <w:p w14:paraId="173CEB57" w14:textId="42D5EB23" w:rsidR="00E319CE" w:rsidRPr="006969B3" w:rsidRDefault="00E319CE" w:rsidP="00F65283">
      <w:pPr>
        <w:pStyle w:val="centrado"/>
        <w:spacing w:before="0" w:beforeAutospacing="0" w:after="0" w:afterAutospacing="0"/>
        <w:jc w:val="center"/>
        <w:rPr>
          <w:rFonts w:ascii="Arial" w:hAnsi="Arial" w:cs="Arial"/>
          <w:b/>
          <w:bCs/>
          <w:sz w:val="22"/>
          <w:szCs w:val="22"/>
          <w:lang w:val="es-CO"/>
        </w:rPr>
      </w:pPr>
      <w:bookmarkStart w:id="13" w:name="SECCIÓN_I-II-II"/>
      <w:r w:rsidRPr="006969B3">
        <w:rPr>
          <w:rFonts w:ascii="Arial" w:hAnsi="Arial" w:cs="Arial"/>
          <w:b/>
          <w:bCs/>
          <w:sz w:val="22"/>
          <w:szCs w:val="22"/>
          <w:lang w:val="es-CO"/>
        </w:rPr>
        <w:t>SECCIÓN I</w:t>
      </w:r>
      <w:bookmarkEnd w:id="13"/>
    </w:p>
    <w:p w14:paraId="578683CF" w14:textId="77777777" w:rsidR="00C62051" w:rsidRPr="006969B3" w:rsidRDefault="00C62051" w:rsidP="00F65283">
      <w:pPr>
        <w:pStyle w:val="centrado"/>
        <w:spacing w:before="0" w:beforeAutospacing="0" w:after="0" w:afterAutospacing="0"/>
        <w:jc w:val="center"/>
        <w:rPr>
          <w:rFonts w:ascii="Arial" w:hAnsi="Arial" w:cs="Arial"/>
          <w:b/>
          <w:bCs/>
          <w:sz w:val="22"/>
          <w:szCs w:val="22"/>
          <w:lang w:val="es-CO"/>
        </w:rPr>
      </w:pPr>
    </w:p>
    <w:p w14:paraId="171D1D48" w14:textId="23AA7229" w:rsidR="00E319CE" w:rsidRPr="006969B3" w:rsidRDefault="00E319CE" w:rsidP="00F65283">
      <w:pPr>
        <w:pStyle w:val="centrado"/>
        <w:spacing w:before="0" w:beforeAutospacing="0" w:after="0" w:afterAutospacing="0"/>
        <w:jc w:val="center"/>
        <w:rPr>
          <w:rStyle w:val="baj"/>
          <w:rFonts w:ascii="Arial" w:hAnsi="Arial" w:cs="Arial"/>
          <w:b/>
          <w:bCs/>
          <w:sz w:val="22"/>
          <w:szCs w:val="22"/>
          <w:lang w:val="es-CO"/>
        </w:rPr>
      </w:pPr>
      <w:r w:rsidRPr="006969B3">
        <w:rPr>
          <w:rStyle w:val="baj"/>
          <w:rFonts w:ascii="Arial" w:hAnsi="Arial" w:cs="Arial"/>
          <w:b/>
          <w:bCs/>
          <w:sz w:val="22"/>
          <w:szCs w:val="22"/>
          <w:lang w:val="es-CO"/>
        </w:rPr>
        <w:t>PACTO POR LA LEGALIDAD: SEGURIDAD EFECTIVA Y JUSTICIA TRANSPARENTE PARA QUE TODOS VIVAMOS CON LIBERTAD Y EN DEMOCRACIA</w:t>
      </w:r>
    </w:p>
    <w:p w14:paraId="4E966049" w14:textId="77777777" w:rsidR="00C62051" w:rsidRPr="006969B3" w:rsidRDefault="00C62051" w:rsidP="00F65283">
      <w:pPr>
        <w:pStyle w:val="centrado"/>
        <w:spacing w:before="0" w:beforeAutospacing="0" w:after="0" w:afterAutospacing="0"/>
        <w:jc w:val="center"/>
        <w:rPr>
          <w:rFonts w:ascii="Arial" w:hAnsi="Arial" w:cs="Arial"/>
          <w:b/>
          <w:bCs/>
          <w:sz w:val="22"/>
          <w:szCs w:val="22"/>
          <w:lang w:val="es-CO"/>
        </w:rPr>
      </w:pPr>
    </w:p>
    <w:p w14:paraId="52F9213B" w14:textId="5CEA5D91" w:rsidR="00E319CE" w:rsidRPr="006969B3" w:rsidRDefault="00E319CE" w:rsidP="00F65283">
      <w:pPr>
        <w:pStyle w:val="centrado"/>
        <w:spacing w:before="0" w:beforeAutospacing="0" w:after="0" w:afterAutospacing="0"/>
        <w:jc w:val="center"/>
        <w:rPr>
          <w:rFonts w:ascii="Arial" w:hAnsi="Arial" w:cs="Arial"/>
          <w:b/>
          <w:bCs/>
          <w:sz w:val="22"/>
          <w:szCs w:val="22"/>
          <w:lang w:val="es-CO"/>
        </w:rPr>
      </w:pPr>
      <w:bookmarkStart w:id="14" w:name="SUBSECCIÓN_1-I-II-II"/>
      <w:r w:rsidRPr="006969B3">
        <w:rPr>
          <w:rFonts w:ascii="Arial" w:hAnsi="Arial" w:cs="Arial"/>
          <w:b/>
          <w:bCs/>
          <w:sz w:val="22"/>
          <w:szCs w:val="22"/>
          <w:lang w:val="es-CO"/>
        </w:rPr>
        <w:t>SUBSECCIÓN 1</w:t>
      </w:r>
      <w:bookmarkEnd w:id="14"/>
    </w:p>
    <w:p w14:paraId="51EBF145" w14:textId="77777777" w:rsidR="00C62051" w:rsidRPr="006969B3" w:rsidRDefault="00C62051" w:rsidP="00F65283">
      <w:pPr>
        <w:pStyle w:val="centrado"/>
        <w:spacing w:before="0" w:beforeAutospacing="0" w:after="0" w:afterAutospacing="0"/>
        <w:jc w:val="center"/>
        <w:rPr>
          <w:rFonts w:ascii="Arial" w:hAnsi="Arial" w:cs="Arial"/>
          <w:b/>
          <w:bCs/>
          <w:sz w:val="22"/>
          <w:szCs w:val="22"/>
          <w:lang w:val="es-CO"/>
        </w:rPr>
      </w:pPr>
    </w:p>
    <w:p w14:paraId="3A7CB89D" w14:textId="2614793D" w:rsidR="00E319CE" w:rsidRPr="006969B3" w:rsidRDefault="00E319CE" w:rsidP="00F65283">
      <w:pPr>
        <w:pStyle w:val="centrado"/>
        <w:spacing w:before="0" w:beforeAutospacing="0" w:after="0" w:afterAutospacing="0"/>
        <w:jc w:val="center"/>
        <w:rPr>
          <w:rFonts w:ascii="Arial" w:hAnsi="Arial" w:cs="Arial"/>
          <w:b/>
          <w:bCs/>
          <w:sz w:val="22"/>
          <w:szCs w:val="22"/>
          <w:lang w:val="es-CO"/>
        </w:rPr>
      </w:pPr>
      <w:r w:rsidRPr="006969B3">
        <w:rPr>
          <w:rStyle w:val="baj"/>
          <w:rFonts w:ascii="Arial" w:hAnsi="Arial" w:cs="Arial"/>
          <w:b/>
          <w:bCs/>
          <w:sz w:val="22"/>
          <w:szCs w:val="22"/>
          <w:lang w:val="es-CO"/>
        </w:rPr>
        <w:t>LEGALIDAD PARA EL SECTOR AMBIENTAL Y MINERO ENERGÉTICO</w:t>
      </w:r>
    </w:p>
    <w:p w14:paraId="5DC33341" w14:textId="2B089671" w:rsidR="00E319CE" w:rsidRPr="006969B3" w:rsidRDefault="00E319CE" w:rsidP="00F65283">
      <w:pPr>
        <w:spacing w:after="0" w:line="240" w:lineRule="auto"/>
        <w:rPr>
          <w:rFonts w:ascii="Arial" w:hAnsi="Arial" w:cs="Arial"/>
          <w:lang w:val="es-CO"/>
        </w:rPr>
      </w:pPr>
    </w:p>
    <w:p w14:paraId="249224C0" w14:textId="77777777" w:rsidR="00E319CE" w:rsidRPr="006969B3" w:rsidRDefault="00E319CE" w:rsidP="00F65283">
      <w:pPr>
        <w:pStyle w:val="NormalWeb"/>
        <w:spacing w:before="0" w:beforeAutospacing="0" w:after="0" w:afterAutospacing="0"/>
        <w:jc w:val="both"/>
        <w:rPr>
          <w:rFonts w:ascii="Arial" w:hAnsi="Arial" w:cs="Arial"/>
          <w:sz w:val="22"/>
          <w:szCs w:val="22"/>
          <w:lang w:val="es-CO"/>
        </w:rPr>
      </w:pPr>
      <w:bookmarkStart w:id="15" w:name="6"/>
      <w:r w:rsidRPr="006969B3">
        <w:rPr>
          <w:rFonts w:ascii="Arial" w:hAnsi="Arial" w:cs="Arial"/>
          <w:sz w:val="22"/>
          <w:szCs w:val="22"/>
          <w:lang w:val="es-CO"/>
        </w:rPr>
        <w:t>ARTÍCULO 6o. ACCESO A RECURSOS GENÉTICOS Y PRODUCTOS DERIVADOS.</w:t>
      </w:r>
      <w:bookmarkEnd w:id="15"/>
      <w:r w:rsidRPr="006969B3">
        <w:rPr>
          <w:rFonts w:ascii="Arial" w:hAnsi="Arial" w:cs="Arial"/>
          <w:sz w:val="22"/>
          <w:szCs w:val="22"/>
          <w:lang w:val="es-CO"/>
        </w:rPr>
        <w:t> Las personas naturales o jurídicas, nacionales o extranjeras, que a la entrada en vigencia de la presente Ley hayan realizado o se encuentren realizando actividades de investigación con fines de prospección biológica, que contemple actividades de acceso a recursos genéticos y/o sus productos derivados sin contar con la autorización del Ministerio de Ambiente y Desarrollo Sostenible (MADS), tendrán dos años a partir de la entrada en vigencia de la presente Ley, para solicitar ante dicha entidad, el Contrato de Acceso a Recursos Genéticos y sus Productos Derivados.</w:t>
      </w:r>
    </w:p>
    <w:p w14:paraId="6A38157E"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15988EF4" w14:textId="03804086"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Ministerio citado podrá otorgar este contrato, aun cuando los especímenes utilizados para las actividades de acceso a recursos genéticos o sus productos derivados señaladas en el inciso anterior no cuenten con los permisos de colecta.</w:t>
      </w:r>
    </w:p>
    <w:p w14:paraId="24A61CD2"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18B0D8C5" w14:textId="049D6130"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Con base en este contrato el Instituto Alexander </w:t>
      </w:r>
      <w:proofErr w:type="spellStart"/>
      <w:r w:rsidRPr="006969B3">
        <w:rPr>
          <w:rFonts w:ascii="Arial" w:hAnsi="Arial" w:cs="Arial"/>
          <w:sz w:val="22"/>
          <w:szCs w:val="22"/>
          <w:lang w:val="es-CO"/>
        </w:rPr>
        <w:t>von</w:t>
      </w:r>
      <w:proofErr w:type="spellEnd"/>
      <w:r w:rsidRPr="006969B3">
        <w:rPr>
          <w:rFonts w:ascii="Arial" w:hAnsi="Arial" w:cs="Arial"/>
          <w:sz w:val="22"/>
          <w:szCs w:val="22"/>
          <w:lang w:val="es-CO"/>
        </w:rPr>
        <w:t xml:space="preserve"> Humboldt registrará la colección biológica de los especímenes. También registrará por una sola vez, dentro de los dos años siguientes a la </w:t>
      </w:r>
      <w:proofErr w:type="gramStart"/>
      <w:r w:rsidRPr="006969B3">
        <w:rPr>
          <w:rFonts w:ascii="Arial" w:hAnsi="Arial" w:cs="Arial"/>
          <w:sz w:val="22"/>
          <w:szCs w:val="22"/>
          <w:lang w:val="es-CO"/>
        </w:rPr>
        <w:t>entrada en vigencia</w:t>
      </w:r>
      <w:proofErr w:type="gramEnd"/>
      <w:r w:rsidRPr="006969B3">
        <w:rPr>
          <w:rFonts w:ascii="Arial" w:hAnsi="Arial" w:cs="Arial"/>
          <w:sz w:val="22"/>
          <w:szCs w:val="22"/>
          <w:lang w:val="es-CO"/>
        </w:rPr>
        <w:t xml:space="preserve"> de la presente Ley, las colecciones biológicas existentes, que no puedan acreditar el material obtenido en el marco de actividades de recolección, de </w:t>
      </w:r>
      <w:r w:rsidRPr="006969B3">
        <w:rPr>
          <w:rFonts w:ascii="Arial" w:hAnsi="Arial" w:cs="Arial"/>
          <w:sz w:val="22"/>
          <w:szCs w:val="22"/>
          <w:lang w:val="es-CO"/>
        </w:rPr>
        <w:lastRenderedPageBreak/>
        <w:t xml:space="preserve">proyectos de investigación científica y/o prácticas docentes universitarias finalizadas, aun cuando las mismas no </w:t>
      </w:r>
      <w:proofErr w:type="spellStart"/>
      <w:r w:rsidRPr="006969B3">
        <w:rPr>
          <w:rFonts w:ascii="Arial" w:hAnsi="Arial" w:cs="Arial"/>
          <w:sz w:val="22"/>
          <w:szCs w:val="22"/>
          <w:lang w:val="es-CO"/>
        </w:rPr>
        <w:t>acreditenlos</w:t>
      </w:r>
      <w:proofErr w:type="spellEnd"/>
      <w:r w:rsidRPr="006969B3">
        <w:rPr>
          <w:rFonts w:ascii="Arial" w:hAnsi="Arial" w:cs="Arial"/>
          <w:sz w:val="22"/>
          <w:szCs w:val="22"/>
          <w:lang w:val="es-CO"/>
        </w:rPr>
        <w:t xml:space="preserve"> permisos de colecta.</w:t>
      </w:r>
    </w:p>
    <w:p w14:paraId="5830CF09"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5378C4E6" w14:textId="13AC687A"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Desde la radicación de la solicitud y hasta la celebración y perfeccionamiento del Contrato de Acceso a Recursos Genéticos y/o sus Productos Derivados o hasta la denegación del trámite, el solicitante podrá continuar accediendo al recurso genético y/o sus productos derivados.</w:t>
      </w:r>
    </w:p>
    <w:p w14:paraId="4321EFA5" w14:textId="77777777" w:rsidR="00F65283" w:rsidRPr="006969B3" w:rsidRDefault="00F65283" w:rsidP="00F65283">
      <w:pPr>
        <w:pStyle w:val="NormalWeb"/>
        <w:spacing w:before="0" w:beforeAutospacing="0" w:after="0" w:afterAutospacing="0"/>
        <w:jc w:val="both"/>
        <w:rPr>
          <w:rStyle w:val="baj"/>
          <w:rFonts w:ascii="Arial" w:hAnsi="Arial" w:cs="Arial"/>
          <w:sz w:val="22"/>
          <w:szCs w:val="22"/>
          <w:lang w:val="es-CO"/>
        </w:rPr>
      </w:pPr>
    </w:p>
    <w:p w14:paraId="5B268265" w14:textId="05485D0B"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xml:space="preserve"> El uso de fauna silvestre en el marco de la investigación científica no </w:t>
      </w:r>
      <w:proofErr w:type="gramStart"/>
      <w:r w:rsidRPr="006969B3">
        <w:rPr>
          <w:rFonts w:ascii="Arial" w:hAnsi="Arial" w:cs="Arial"/>
          <w:sz w:val="22"/>
          <w:szCs w:val="22"/>
          <w:lang w:val="es-CO"/>
        </w:rPr>
        <w:t>comercial,</w:t>
      </w:r>
      <w:proofErr w:type="gramEnd"/>
      <w:r w:rsidRPr="006969B3">
        <w:rPr>
          <w:rFonts w:ascii="Arial" w:hAnsi="Arial" w:cs="Arial"/>
          <w:sz w:val="22"/>
          <w:szCs w:val="22"/>
          <w:lang w:val="es-CO"/>
        </w:rPr>
        <w:t xml:space="preserve"> no constituye hecho generador de la tasa compensatoria de que trata el artículo</w:t>
      </w:r>
      <w:r w:rsidR="005054B8">
        <w:rPr>
          <w:rFonts w:ascii="Arial" w:hAnsi="Arial" w:cs="Arial"/>
          <w:sz w:val="22"/>
          <w:szCs w:val="22"/>
          <w:lang w:val="es-CO"/>
        </w:rPr>
        <w:t xml:space="preserve"> 42</w:t>
      </w:r>
      <w:r w:rsidRPr="006969B3">
        <w:rPr>
          <w:rFonts w:ascii="Arial" w:hAnsi="Arial" w:cs="Arial"/>
          <w:sz w:val="22"/>
          <w:szCs w:val="22"/>
          <w:lang w:val="es-CO"/>
        </w:rPr>
        <w:t> de la Ley 99 de 1993.</w:t>
      </w:r>
    </w:p>
    <w:p w14:paraId="6F654A89" w14:textId="07F36D01" w:rsidR="00E319CE" w:rsidRPr="006969B3" w:rsidRDefault="00E319CE" w:rsidP="00F65283">
      <w:pPr>
        <w:spacing w:after="0" w:line="240" w:lineRule="auto"/>
        <w:rPr>
          <w:rFonts w:ascii="Arial" w:hAnsi="Arial" w:cs="Arial"/>
          <w:lang w:val="es-CO"/>
        </w:rPr>
      </w:pPr>
    </w:p>
    <w:p w14:paraId="1BE94E8D" w14:textId="57687DDE" w:rsidR="00E319CE" w:rsidRPr="006969B3" w:rsidRDefault="00E319CE" w:rsidP="00F65283">
      <w:pPr>
        <w:pStyle w:val="NormalWeb"/>
        <w:spacing w:before="0" w:beforeAutospacing="0" w:after="0" w:afterAutospacing="0"/>
        <w:jc w:val="both"/>
        <w:rPr>
          <w:rFonts w:ascii="Arial" w:hAnsi="Arial" w:cs="Arial"/>
          <w:sz w:val="22"/>
          <w:szCs w:val="22"/>
          <w:lang w:val="es-CO"/>
        </w:rPr>
      </w:pPr>
      <w:bookmarkStart w:id="16" w:name="7"/>
      <w:r w:rsidRPr="006969B3">
        <w:rPr>
          <w:rFonts w:ascii="Arial" w:hAnsi="Arial" w:cs="Arial"/>
          <w:sz w:val="22"/>
          <w:szCs w:val="22"/>
          <w:lang w:val="es-CO"/>
        </w:rPr>
        <w:t>ARTÍCULO 7o. CONFLICTOS SOCIOAMBIENTALES EN ÁREAS PROTEGIDAS DEL SISTEMA NACIONAL EE ÁREAS PROTEGIDAS (SINAP).</w:t>
      </w:r>
      <w:bookmarkEnd w:id="16"/>
      <w:r w:rsidRPr="006969B3">
        <w:rPr>
          <w:rFonts w:ascii="Arial" w:hAnsi="Arial" w:cs="Arial"/>
          <w:sz w:val="22"/>
          <w:szCs w:val="22"/>
          <w:lang w:val="es-CO"/>
        </w:rPr>
        <w:t> Las autoridades ambientales, en coordinación con otras entidades públicas y en el marco de sus funciones podrán celebrar acuerdos con población campesina en condición de vulnerabilidad, que habite, ocupe o realice usos tradicionales asociados a la economía campesina en áreas protegidas del SINAP que deriven su sustento de estos usos y que puedan ser reconocidos por las entidades que suscriben los acuerdos con una relación productiva artesanal y tradicional con el área protegida, con el objeto de contribuir a la atención de los conflictos de uso, ocupación y tenencia que se presenten en estas áreas. Estos acuerdos permitirán generar alternativas de usos compatibles con los objetivos de conservación del área, ordenar y regular los usos asociados a la economía campesina, para mejorar el estado de conservación de las áreas, definir actividades productivas acordes con los objetivos de conservación del área protegida y las condiciones de vida de la población, garantizando sus derechos fundamentales.</w:t>
      </w:r>
    </w:p>
    <w:p w14:paraId="1EDE3CD5"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2F8B839B" w14:textId="77777777" w:rsidR="00F65283"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Estos acuerdos podrán ser celebrados hasta tanto la concurrencia de las distintas entidades del Estado permita atender estos conflictos por uso, ocupación y tenencia con alternativas </w:t>
      </w:r>
    </w:p>
    <w:p w14:paraId="60773689" w14:textId="4ED07E56"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diferenciales, integrales y definitivas.</w:t>
      </w:r>
    </w:p>
    <w:p w14:paraId="63BCDE98"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58741244" w14:textId="1644AD66"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Lo previsto en este artículo no modifica el régimen de propiedad de las áreas, ni su régimen de protección ambiental.</w:t>
      </w:r>
    </w:p>
    <w:p w14:paraId="77ED9523" w14:textId="5FB4646E" w:rsidR="00E319CE" w:rsidRPr="006969B3" w:rsidRDefault="00E319CE" w:rsidP="00F65283">
      <w:pPr>
        <w:spacing w:after="0" w:line="240" w:lineRule="auto"/>
        <w:rPr>
          <w:rFonts w:ascii="Arial" w:hAnsi="Arial" w:cs="Arial"/>
          <w:lang w:val="es-CO"/>
        </w:rPr>
      </w:pPr>
    </w:p>
    <w:p w14:paraId="707F6921" w14:textId="77777777" w:rsidR="00E319CE" w:rsidRPr="006969B3" w:rsidRDefault="00E319CE" w:rsidP="00F65283">
      <w:pPr>
        <w:pStyle w:val="NormalWeb"/>
        <w:spacing w:before="0" w:beforeAutospacing="0" w:after="0" w:afterAutospacing="0"/>
        <w:jc w:val="both"/>
        <w:rPr>
          <w:rFonts w:ascii="Arial" w:hAnsi="Arial" w:cs="Arial"/>
          <w:sz w:val="22"/>
          <w:szCs w:val="22"/>
          <w:lang w:val="es-CO"/>
        </w:rPr>
      </w:pPr>
      <w:bookmarkStart w:id="17" w:name="8"/>
      <w:r w:rsidRPr="006969B3">
        <w:rPr>
          <w:rFonts w:ascii="Arial" w:hAnsi="Arial" w:cs="Arial"/>
          <w:sz w:val="22"/>
          <w:szCs w:val="22"/>
          <w:lang w:val="es-CO"/>
        </w:rPr>
        <w:t>ARTÍCULO 8o. MEDIDAS TENDIENTES A DINAMIZAR PROCESOS DE SANEAMIENTO AL INTERIOR DE LAS ÁREAS DEL SISTEMA DE PARQUES NACIONALES NATURALES.</w:t>
      </w:r>
      <w:bookmarkEnd w:id="17"/>
      <w:r w:rsidRPr="006969B3">
        <w:rPr>
          <w:rFonts w:ascii="Arial" w:hAnsi="Arial" w:cs="Arial"/>
          <w:sz w:val="22"/>
          <w:szCs w:val="22"/>
          <w:lang w:val="es-CO"/>
        </w:rPr>
        <w:t> Para efectos del saneamiento y recuperación ambiental de las áreas del Sistema de Parques Nacionales Naturales de Colombia (SPNN), Parques Nacionales Naturales de Colombia podrá adelantar las siguientes medidas:</w:t>
      </w:r>
    </w:p>
    <w:p w14:paraId="3DD98FCB"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62F11C49" w14:textId="267DA96D"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 Saneamiento automático: En los eventos en que el Estado adquiera inmuebles ubicados al interior de las áreas del SPNN por motivos de utilidad pública, operará el saneamiento automático de vicios en los títulos y la tradición, incluso los que surjan con posterioridad al proceso de adquisición. Lo anterior, sin perjuicio de las acciones indemnizatorias que procedan según la ley.</w:t>
      </w:r>
    </w:p>
    <w:p w14:paraId="42C32397"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56D6FBC1" w14:textId="5E6E2660"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saneamiento automático de que trata este numeral, no aplicará respecto de los vicios que pudieran derivarse de la adquisición de inmuebles en territorios colectivos de comunidades étnicas, afrocolombianas o raizales.</w:t>
      </w:r>
    </w:p>
    <w:p w14:paraId="54BB6542"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1084EFC9" w14:textId="53393537"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lastRenderedPageBreak/>
        <w:t>2. Compra de mejoras: Parques Nacionales Naturales de Colombia u otra entidad pública podrán reconocer mejoras realizadas en predios al interior de las áreas del SPNN con posterioridad a la declaratoria del área protegida y anteriores al 30 de noviembre de 2016, de acuerdo con la reglamentación que se expida para el efecto.</w:t>
      </w:r>
    </w:p>
    <w:p w14:paraId="0DD6FD9C"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56EFAF3C" w14:textId="34286C7E"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Este reconocimiento solo aplica para las personas previamente caracterizadas que reúnan las siguientes condiciones: i) que no sean propietarios de tierras; </w:t>
      </w:r>
      <w:proofErr w:type="spellStart"/>
      <w:r w:rsidRPr="006969B3">
        <w:rPr>
          <w:rFonts w:ascii="Arial" w:hAnsi="Arial" w:cs="Arial"/>
          <w:sz w:val="22"/>
          <w:szCs w:val="22"/>
          <w:lang w:val="es-CO"/>
        </w:rPr>
        <w:t>ii</w:t>
      </w:r>
      <w:proofErr w:type="spellEnd"/>
      <w:r w:rsidRPr="006969B3">
        <w:rPr>
          <w:rFonts w:ascii="Arial" w:hAnsi="Arial" w:cs="Arial"/>
          <w:sz w:val="22"/>
          <w:szCs w:val="22"/>
          <w:lang w:val="es-CO"/>
        </w:rPr>
        <w:t xml:space="preserve">) que se hallen en condiciones de vulnerabilidad o deriven directamente del uso de la tierra y de los recursos naturales su fuente básica de subsistencia; y </w:t>
      </w:r>
      <w:proofErr w:type="spellStart"/>
      <w:r w:rsidRPr="006969B3">
        <w:rPr>
          <w:rFonts w:ascii="Arial" w:hAnsi="Arial" w:cs="Arial"/>
          <w:sz w:val="22"/>
          <w:szCs w:val="22"/>
          <w:lang w:val="es-CO"/>
        </w:rPr>
        <w:t>iii</w:t>
      </w:r>
      <w:proofErr w:type="spellEnd"/>
      <w:r w:rsidRPr="006969B3">
        <w:rPr>
          <w:rFonts w:ascii="Arial" w:hAnsi="Arial" w:cs="Arial"/>
          <w:sz w:val="22"/>
          <w:szCs w:val="22"/>
          <w:lang w:val="es-CO"/>
        </w:rPr>
        <w:t>) siempre y cuando las mejoras no estén asociadas a cultivos ilícitos, o a su procesamiento o comercialización, así como a actividades de extracción ilícita de minerales.</w:t>
      </w:r>
    </w:p>
    <w:p w14:paraId="2D8FF766"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442279FF" w14:textId="0BCC095D"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Para proceder al reconocimiento y pago de indemnizaciones o mejoras en los términos de este artículo, será necesario contar con la disponibilidad presupuestal correspondiente.</w:t>
      </w:r>
    </w:p>
    <w:p w14:paraId="79AF065F" w14:textId="0712C9E4" w:rsidR="00E319CE" w:rsidRPr="006969B3" w:rsidRDefault="00E319CE" w:rsidP="00F65283">
      <w:pPr>
        <w:spacing w:after="0" w:line="240" w:lineRule="auto"/>
        <w:rPr>
          <w:rFonts w:ascii="Arial" w:hAnsi="Arial" w:cs="Arial"/>
          <w:lang w:val="es-CO"/>
        </w:rPr>
      </w:pPr>
    </w:p>
    <w:p w14:paraId="4A946971" w14:textId="77777777" w:rsidR="00E319CE" w:rsidRPr="006969B3" w:rsidRDefault="00E319CE" w:rsidP="00F65283">
      <w:pPr>
        <w:pStyle w:val="NormalWeb"/>
        <w:spacing w:before="0" w:beforeAutospacing="0" w:after="0" w:afterAutospacing="0"/>
        <w:jc w:val="both"/>
        <w:rPr>
          <w:rFonts w:ascii="Arial" w:hAnsi="Arial" w:cs="Arial"/>
          <w:sz w:val="22"/>
          <w:szCs w:val="22"/>
          <w:lang w:val="es-CO"/>
        </w:rPr>
      </w:pPr>
      <w:bookmarkStart w:id="18" w:name="9"/>
      <w:r w:rsidRPr="006969B3">
        <w:rPr>
          <w:rFonts w:ascii="Arial" w:hAnsi="Arial" w:cs="Arial"/>
          <w:sz w:val="22"/>
          <w:szCs w:val="22"/>
          <w:lang w:val="es-CO"/>
        </w:rPr>
        <w:t>ARTÍCULO 9o. COORDINACIÓN INTERINSTITUCIONAL PARA EL CONTROL Y VIGILANCIA CONTRA LA DEFORESTACIÓN Y OTROS CRÍMENES AMBIENTALES.</w:t>
      </w:r>
      <w:bookmarkEnd w:id="18"/>
      <w:r w:rsidRPr="006969B3">
        <w:rPr>
          <w:rFonts w:ascii="Arial" w:hAnsi="Arial" w:cs="Arial"/>
          <w:sz w:val="22"/>
          <w:szCs w:val="22"/>
          <w:lang w:val="es-CO"/>
        </w:rPr>
        <w:t> Créase el Consejo Nacional de Lucha contra la Deforestación y otros Crímenes Ambientales Asociados (</w:t>
      </w:r>
      <w:proofErr w:type="spellStart"/>
      <w:r w:rsidRPr="006969B3">
        <w:rPr>
          <w:rFonts w:ascii="Arial" w:hAnsi="Arial" w:cs="Arial"/>
          <w:sz w:val="22"/>
          <w:szCs w:val="22"/>
          <w:lang w:val="es-CO"/>
        </w:rPr>
        <w:t>Conaldef</w:t>
      </w:r>
      <w:proofErr w:type="spellEnd"/>
      <w:r w:rsidRPr="006969B3">
        <w:rPr>
          <w:rFonts w:ascii="Arial" w:hAnsi="Arial" w:cs="Arial"/>
          <w:sz w:val="22"/>
          <w:szCs w:val="22"/>
          <w:lang w:val="es-CO"/>
        </w:rPr>
        <w:t xml:space="preserve">) para la defensa del agua, la biodiversidad y el medio ambiente, conformado por el </w:t>
      </w:r>
      <w:proofErr w:type="gramStart"/>
      <w:r w:rsidRPr="006969B3">
        <w:rPr>
          <w:rFonts w:ascii="Arial" w:hAnsi="Arial" w:cs="Arial"/>
          <w:sz w:val="22"/>
          <w:szCs w:val="22"/>
          <w:lang w:val="es-CO"/>
        </w:rPr>
        <w:t>Consejero</w:t>
      </w:r>
      <w:proofErr w:type="gramEnd"/>
      <w:r w:rsidRPr="006969B3">
        <w:rPr>
          <w:rFonts w:ascii="Arial" w:hAnsi="Arial" w:cs="Arial"/>
          <w:sz w:val="22"/>
          <w:szCs w:val="22"/>
          <w:lang w:val="es-CO"/>
        </w:rPr>
        <w:t xml:space="preserve"> Presidencial para la Seguridad Nacional, el Ministro de Defensa Nacional, el Ministro de Justicia y del Derecho, el Ministro de Ambiente y Desarrollo Sostenible, quien lo preside, el Procurador General de la Nación y el Fiscal General de la Nación. Deberá participar el </w:t>
      </w:r>
      <w:proofErr w:type="gramStart"/>
      <w:r w:rsidRPr="006969B3">
        <w:rPr>
          <w:rFonts w:ascii="Arial" w:hAnsi="Arial" w:cs="Arial"/>
          <w:sz w:val="22"/>
          <w:szCs w:val="22"/>
          <w:lang w:val="es-CO"/>
        </w:rPr>
        <w:t>Ministro</w:t>
      </w:r>
      <w:proofErr w:type="gramEnd"/>
      <w:r w:rsidRPr="006969B3">
        <w:rPr>
          <w:rFonts w:ascii="Arial" w:hAnsi="Arial" w:cs="Arial"/>
          <w:sz w:val="22"/>
          <w:szCs w:val="22"/>
          <w:lang w:val="es-CO"/>
        </w:rPr>
        <w:t xml:space="preserve"> de Relaciones Exteriores, de existir acciones en zonas fronterizas o que involucren extranjeros, así como los Ministros de Agricultura y Desarrollo Rural, Transporte y Minas y Energía, cuando los asuntos a tratar correspondan a sus competencias.</w:t>
      </w:r>
    </w:p>
    <w:p w14:paraId="7103A7E5" w14:textId="77777777" w:rsidR="001B0E49" w:rsidRDefault="001B0E49" w:rsidP="00F65283">
      <w:pPr>
        <w:pStyle w:val="NormalWeb"/>
        <w:spacing w:before="0" w:beforeAutospacing="0" w:after="0" w:afterAutospacing="0"/>
        <w:jc w:val="both"/>
        <w:rPr>
          <w:rFonts w:ascii="Arial" w:hAnsi="Arial" w:cs="Arial"/>
          <w:sz w:val="22"/>
          <w:szCs w:val="22"/>
          <w:lang w:val="es-CO"/>
        </w:rPr>
      </w:pPr>
    </w:p>
    <w:p w14:paraId="3A9DE280" w14:textId="05678FC8"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Para el logro de su objetivo el Consejo ejercerá las siguientes funciones:</w:t>
      </w:r>
    </w:p>
    <w:p w14:paraId="54E165DE"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56072928" w14:textId="76D7EE64"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 Proponer la política, planes, programas y estrategias de lucha contra la deforestación y otros delitos ambientales asociados, así como definir y coordinar las medidas interinstitucionales para su control.</w:t>
      </w:r>
    </w:p>
    <w:p w14:paraId="3B67B9E0"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6BC2C982" w14:textId="660DD315"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2. Adoptar mediante acuerdo su propio reglamento y dictar las normas necesarias para el debido cumplimiento de sus funciones y proponer al Gobierno la expedición de las que fueren de competencia de éste.</w:t>
      </w:r>
    </w:p>
    <w:p w14:paraId="1CE1FAC7"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2AB9623C" w14:textId="155299C6"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3. Evaluar avances en la lucha contra la deforestación y otros crímenes ambientales asociados.</w:t>
      </w:r>
    </w:p>
    <w:p w14:paraId="53A7633C"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24FA61C1" w14:textId="245E6076"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4. Mantener contactos con Gobiernos o entidades extranjeras en asuntos de su competencia y adelantar gestiones ante los mismos con el fin de coordinar la acción con la de otros Estados y de obtener la asistencia que fuere del caso.</w:t>
      </w:r>
    </w:p>
    <w:p w14:paraId="4C643388"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3484E74E" w14:textId="1AABD056"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5. Las demás relacionadas con su objetivo.</w:t>
      </w:r>
    </w:p>
    <w:p w14:paraId="2A1BCF04"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69AA6C08" w14:textId="50034FDE"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Consejo contará con dos coordinaciones que constituirán instancias técnicas de articulación y evaluación para el estudio y sugerencia de acciones y políticas que permitan el logro de sus funciones:</w:t>
      </w:r>
    </w:p>
    <w:p w14:paraId="7584AAA0"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49FF60CC" w14:textId="07E19E5A"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lastRenderedPageBreak/>
        <w:t>La Coordinación de Monitoreo y Análisis de la Información para efectos de analizar, valorar y hacer seguimiento a las acciones de control y prevención de la deforestación y otros crímenes ambientales asociados, integrada por delegados del Consejero Presidencial de Seguridad Nacional, del Ministro de Defensa Nacional, del Ministro de Ambiente y Desarrollo Sostenible, del Director del Instituto de Hidrología, Meteorología y Estudios Ambientales (IDEAM) Sistema de Monitoreo de Bosques y Carbono y del Fiscal General de la Nación.</w:t>
      </w:r>
    </w:p>
    <w:p w14:paraId="7DB7DDA5"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65314F8B" w14:textId="7D92A459"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La Coordinación Interinstitucional para la unificación de esfuerzos y acciones en la lucha contra la deforestación y otros crímenes ambientales asociados, conformada por delegados del </w:t>
      </w:r>
      <w:proofErr w:type="gramStart"/>
      <w:r w:rsidRPr="006969B3">
        <w:rPr>
          <w:rFonts w:ascii="Arial" w:hAnsi="Arial" w:cs="Arial"/>
          <w:sz w:val="22"/>
          <w:szCs w:val="22"/>
          <w:lang w:val="es-CO"/>
        </w:rPr>
        <w:t>Ministro</w:t>
      </w:r>
      <w:proofErr w:type="gramEnd"/>
      <w:r w:rsidRPr="006969B3">
        <w:rPr>
          <w:rFonts w:ascii="Arial" w:hAnsi="Arial" w:cs="Arial"/>
          <w:sz w:val="22"/>
          <w:szCs w:val="22"/>
          <w:lang w:val="es-CO"/>
        </w:rPr>
        <w:t xml:space="preserve"> de Ambiente y Desarrollo Sostenible, del Ministro de Defensa Nacional y del Fiscal General de la Nación, así como el Director de la Corporación Autónoma Regional -o su delegado- de la zona para la que se planeen las intervenciones, en su calidad de autoridad ambiental.</w:t>
      </w:r>
    </w:p>
    <w:p w14:paraId="654D9231" w14:textId="77777777" w:rsidR="00F65283" w:rsidRPr="006969B3" w:rsidRDefault="00F65283" w:rsidP="00F65283">
      <w:pPr>
        <w:pStyle w:val="NormalWeb"/>
        <w:spacing w:before="0" w:beforeAutospacing="0" w:after="0" w:afterAutospacing="0"/>
        <w:jc w:val="both"/>
        <w:rPr>
          <w:rStyle w:val="baj"/>
          <w:rFonts w:ascii="Arial" w:hAnsi="Arial" w:cs="Arial"/>
          <w:sz w:val="22"/>
          <w:szCs w:val="22"/>
          <w:lang w:val="es-CO"/>
        </w:rPr>
      </w:pPr>
    </w:p>
    <w:p w14:paraId="2FC574BE" w14:textId="11BEF1C3"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Las acciones operativas y operacionales se desarrollarán de conformidad con la misión constitucional asignada a las Fuerzas Militares y la Policía Nacional, por conducto del Ministerio de Defensa Nacional, y de acuerdo con la Política de Defensa y Seguridad para la Legalidad, el Emprendimiento y la Equidad que establece que el agua, la biodiversidad y el medio ambiente son interés nacional principal y prevalente, en coordinación con las autoridades ambientales y judiciales competentes.</w:t>
      </w:r>
    </w:p>
    <w:p w14:paraId="2DF9EE2C" w14:textId="77777777" w:rsidR="00F65283" w:rsidRPr="006969B3" w:rsidRDefault="00F65283" w:rsidP="00F65283">
      <w:pPr>
        <w:pStyle w:val="NormalWeb"/>
        <w:spacing w:before="0" w:beforeAutospacing="0" w:after="0" w:afterAutospacing="0"/>
        <w:jc w:val="both"/>
        <w:rPr>
          <w:rStyle w:val="baj"/>
          <w:rFonts w:ascii="Arial" w:hAnsi="Arial" w:cs="Arial"/>
          <w:sz w:val="22"/>
          <w:szCs w:val="22"/>
          <w:lang w:val="es-CO"/>
        </w:rPr>
      </w:pPr>
    </w:p>
    <w:p w14:paraId="451C706B" w14:textId="6BEE3F29"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El Estado colombiano se obliga a partir de la presente Ley a establecer y ejecutar políticas públicas en el territorio nacional, encaminadas a concretar acciones para detener la deforestación e implementar las nuevas estrategias de reforestación y forestación. Las anteriores políticas públicas se deben desarrollar y ejecutar en el marco de la legalidad, emprendimiento y equidad.</w:t>
      </w:r>
    </w:p>
    <w:p w14:paraId="6F119914" w14:textId="6832E593" w:rsidR="00E319CE" w:rsidRPr="006969B3" w:rsidRDefault="00E319CE" w:rsidP="00F65283">
      <w:pPr>
        <w:spacing w:after="0" w:line="240" w:lineRule="auto"/>
        <w:rPr>
          <w:rFonts w:ascii="Arial" w:hAnsi="Arial" w:cs="Arial"/>
          <w:lang w:val="es-CO"/>
        </w:rPr>
      </w:pPr>
    </w:p>
    <w:p w14:paraId="112A76CD" w14:textId="77777777" w:rsidR="00E319CE" w:rsidRPr="006969B3" w:rsidRDefault="00E319CE" w:rsidP="00F65283">
      <w:pPr>
        <w:pStyle w:val="NormalWeb"/>
        <w:spacing w:before="0" w:beforeAutospacing="0" w:after="0" w:afterAutospacing="0"/>
        <w:jc w:val="both"/>
        <w:rPr>
          <w:rFonts w:ascii="Arial" w:hAnsi="Arial" w:cs="Arial"/>
          <w:sz w:val="22"/>
          <w:szCs w:val="22"/>
          <w:lang w:val="es-CO"/>
        </w:rPr>
      </w:pPr>
      <w:bookmarkStart w:id="19" w:name="10"/>
      <w:r w:rsidRPr="006969B3">
        <w:rPr>
          <w:rFonts w:ascii="Arial" w:hAnsi="Arial" w:cs="Arial"/>
          <w:sz w:val="22"/>
          <w:szCs w:val="22"/>
          <w:lang w:val="es-CO"/>
        </w:rPr>
        <w:t>ARTÍCULO 10. CONSERVACIÓN DE BOSQUES EN LA REGIÓN DE LA AMAZONÍA.</w:t>
      </w:r>
      <w:bookmarkEnd w:id="19"/>
      <w:r w:rsidRPr="006969B3">
        <w:rPr>
          <w:rFonts w:ascii="Arial" w:hAnsi="Arial" w:cs="Arial"/>
          <w:sz w:val="22"/>
          <w:szCs w:val="22"/>
          <w:lang w:val="es-CO"/>
        </w:rPr>
        <w:t> De los recursos provenientes del impuesto al carbono, concretamente del rubro “Colombia en Paz”, se destinará el 15% exclusivo para la conservación de los bosques de la región de la Amazonia; toda vez que esta región contiene la mayor extensión de bosques a nivel nacional, constituyendo al territorio como un centro de desarrollo económico y ambiental sostenible para el país, por la biodiversidad que alberga. Con su preservación coadyuva en forma positiva a revertir el desequilibrio ecológico que existe actualmente por el impacto de las actividades humanas sobre el entorno.</w:t>
      </w:r>
    </w:p>
    <w:p w14:paraId="251C448E" w14:textId="039E1F35" w:rsidR="00E319CE" w:rsidRPr="006969B3" w:rsidRDefault="00E319CE" w:rsidP="00F65283">
      <w:pPr>
        <w:spacing w:after="0" w:line="240" w:lineRule="auto"/>
        <w:rPr>
          <w:rFonts w:ascii="Arial" w:hAnsi="Arial" w:cs="Arial"/>
          <w:lang w:val="es-CO"/>
        </w:rPr>
      </w:pPr>
    </w:p>
    <w:p w14:paraId="487ECA43" w14:textId="6307D1F5" w:rsidR="00E319CE" w:rsidRPr="006969B3" w:rsidRDefault="00E319CE" w:rsidP="00F65283">
      <w:pPr>
        <w:pStyle w:val="NormalWeb"/>
        <w:spacing w:before="0" w:beforeAutospacing="0" w:after="0" w:afterAutospacing="0"/>
        <w:jc w:val="both"/>
        <w:rPr>
          <w:rFonts w:ascii="Arial" w:hAnsi="Arial" w:cs="Arial"/>
          <w:sz w:val="22"/>
          <w:szCs w:val="22"/>
          <w:lang w:val="es-CO"/>
        </w:rPr>
      </w:pPr>
      <w:bookmarkStart w:id="20" w:name="11"/>
      <w:r w:rsidRPr="006969B3">
        <w:rPr>
          <w:rFonts w:ascii="Arial" w:hAnsi="Arial" w:cs="Arial"/>
          <w:sz w:val="22"/>
          <w:szCs w:val="22"/>
          <w:lang w:val="es-CO"/>
        </w:rPr>
        <w:t>ARTÍCULO 11. RECURSOS PARA LA CONSERVACIÓN DE LOS PÁRAMOS.</w:t>
      </w:r>
      <w:bookmarkEnd w:id="20"/>
      <w:r w:rsidRPr="006969B3">
        <w:rPr>
          <w:rFonts w:ascii="Arial" w:hAnsi="Arial" w:cs="Arial"/>
          <w:sz w:val="22"/>
          <w:szCs w:val="22"/>
          <w:lang w:val="es-CO"/>
        </w:rPr>
        <w:t> Los recursos de que tratan los artículos </w:t>
      </w:r>
      <w:r w:rsidR="00F17936">
        <w:rPr>
          <w:rFonts w:ascii="Arial" w:hAnsi="Arial" w:cs="Arial"/>
          <w:sz w:val="22"/>
          <w:szCs w:val="22"/>
          <w:lang w:val="es-CO"/>
        </w:rPr>
        <w:t>43 y 45</w:t>
      </w:r>
      <w:r w:rsidRPr="006969B3">
        <w:rPr>
          <w:rFonts w:ascii="Arial" w:hAnsi="Arial" w:cs="Arial"/>
          <w:sz w:val="22"/>
          <w:szCs w:val="22"/>
          <w:lang w:val="es-CO"/>
        </w:rPr>
        <w:t>de la Ley 99 de 1993, modificados por la Ley</w:t>
      </w:r>
      <w:r w:rsidR="00F17936">
        <w:rPr>
          <w:rFonts w:ascii="Arial" w:hAnsi="Arial" w:cs="Arial"/>
          <w:sz w:val="22"/>
          <w:szCs w:val="22"/>
          <w:lang w:val="es-CO"/>
        </w:rPr>
        <w:t xml:space="preserve"> 1930</w:t>
      </w:r>
      <w:r w:rsidRPr="006969B3">
        <w:rPr>
          <w:rFonts w:ascii="Arial" w:hAnsi="Arial" w:cs="Arial"/>
          <w:sz w:val="22"/>
          <w:szCs w:val="22"/>
          <w:lang w:val="es-CO"/>
        </w:rPr>
        <w:t> de 2018, que le correspondan a las Corporaciones Autónomas Regionales y a los municipios y, que sean destinados a la conservación de los páramos, constituyen rentas propias de estas autoridades por lo que no ingresarán al Fondo Nacional Ambiental (FONAM).</w:t>
      </w:r>
    </w:p>
    <w:p w14:paraId="384034A4"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43223B8A" w14:textId="641FEFD2"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Los recursos que le correspondan a Parques Nacionales Naturales ingresarán a la subcuenta para la administración y manejo del Sistema de Parques Nacionales del FONAM. En todo caso los recursos de los que trata este artículo se destinarán exclusivamente a la preservación, restauración, uso sostenible y generación de conocimiento de los páramos.</w:t>
      </w:r>
    </w:p>
    <w:p w14:paraId="1352F6C0" w14:textId="123039E5" w:rsidR="00E319CE" w:rsidRPr="006969B3" w:rsidRDefault="00E319CE" w:rsidP="00F65283">
      <w:pPr>
        <w:spacing w:after="0" w:line="240" w:lineRule="auto"/>
        <w:rPr>
          <w:rFonts w:ascii="Arial" w:hAnsi="Arial" w:cs="Arial"/>
          <w:lang w:val="es-CO"/>
        </w:rPr>
      </w:pPr>
    </w:p>
    <w:p w14:paraId="70D0E084" w14:textId="77777777" w:rsidR="00E319CE" w:rsidRPr="006969B3" w:rsidRDefault="00E319CE" w:rsidP="00F65283">
      <w:pPr>
        <w:pStyle w:val="NormalWeb"/>
        <w:spacing w:before="0" w:beforeAutospacing="0" w:after="0" w:afterAutospacing="0"/>
        <w:jc w:val="both"/>
        <w:rPr>
          <w:rFonts w:ascii="Arial" w:hAnsi="Arial" w:cs="Arial"/>
          <w:sz w:val="22"/>
          <w:szCs w:val="22"/>
          <w:lang w:val="es-CO"/>
        </w:rPr>
      </w:pPr>
      <w:bookmarkStart w:id="21" w:name="12"/>
      <w:r w:rsidRPr="006969B3">
        <w:rPr>
          <w:rFonts w:ascii="Arial" w:hAnsi="Arial" w:cs="Arial"/>
          <w:sz w:val="22"/>
          <w:szCs w:val="22"/>
          <w:lang w:val="es-CO"/>
        </w:rPr>
        <w:t>ARTÍCULO 12. AUTORIZACIÓN AMBIENTAL PARA PLANTAS DE PROCESAMIENTO MÓVILES PARA LA OBTENCIÓN DE ORO LIBRE DE MERCURIO.</w:t>
      </w:r>
      <w:bookmarkEnd w:id="21"/>
      <w:r w:rsidRPr="006969B3">
        <w:rPr>
          <w:rFonts w:ascii="Arial" w:hAnsi="Arial" w:cs="Arial"/>
          <w:sz w:val="22"/>
          <w:szCs w:val="22"/>
          <w:lang w:val="es-CO"/>
        </w:rPr>
        <w:t xml:space="preserve"> El Gobierno nacional </w:t>
      </w:r>
      <w:r w:rsidRPr="006969B3">
        <w:rPr>
          <w:rFonts w:ascii="Arial" w:hAnsi="Arial" w:cs="Arial"/>
          <w:sz w:val="22"/>
          <w:szCs w:val="22"/>
          <w:lang w:val="es-CO"/>
        </w:rPr>
        <w:lastRenderedPageBreak/>
        <w:t xml:space="preserve">a través del Ministerio de Ambiente y Desarrollo Sostenible reglamentará la autorización ambiental diferencial para la operación de plantas de procesamiento móviles para la obtención de oro libre de mercurio. En la reglamentación se deberá tener en cuenta entre otras cosas, el uso de los recursos naturales renovables que se requieren para el proceso de beneficio, la duración de </w:t>
      </w:r>
      <w:proofErr w:type="gramStart"/>
      <w:r w:rsidRPr="006969B3">
        <w:rPr>
          <w:rFonts w:ascii="Arial" w:hAnsi="Arial" w:cs="Arial"/>
          <w:sz w:val="22"/>
          <w:szCs w:val="22"/>
          <w:lang w:val="es-CO"/>
        </w:rPr>
        <w:t>la misma</w:t>
      </w:r>
      <w:proofErr w:type="gramEnd"/>
      <w:r w:rsidRPr="006969B3">
        <w:rPr>
          <w:rFonts w:ascii="Arial" w:hAnsi="Arial" w:cs="Arial"/>
          <w:sz w:val="22"/>
          <w:szCs w:val="22"/>
          <w:lang w:val="es-CO"/>
        </w:rPr>
        <w:t>, velando por conservar el ambiente.</w:t>
      </w:r>
    </w:p>
    <w:p w14:paraId="18420DB5" w14:textId="5F29B026" w:rsidR="00E319CE" w:rsidRPr="006969B3" w:rsidRDefault="00E319CE" w:rsidP="00F65283">
      <w:pPr>
        <w:spacing w:after="0" w:line="240" w:lineRule="auto"/>
        <w:rPr>
          <w:rFonts w:ascii="Arial" w:hAnsi="Arial" w:cs="Arial"/>
          <w:lang w:val="es-CO"/>
        </w:rPr>
      </w:pPr>
    </w:p>
    <w:p w14:paraId="3914A601" w14:textId="77777777" w:rsidR="00E319CE" w:rsidRPr="006969B3" w:rsidRDefault="00E319CE" w:rsidP="00F65283">
      <w:pPr>
        <w:pStyle w:val="NormalWeb"/>
        <w:spacing w:before="0" w:beforeAutospacing="0" w:after="0" w:afterAutospacing="0"/>
        <w:jc w:val="both"/>
        <w:rPr>
          <w:rFonts w:ascii="Arial" w:hAnsi="Arial" w:cs="Arial"/>
          <w:sz w:val="22"/>
          <w:szCs w:val="22"/>
          <w:lang w:val="es-CO"/>
        </w:rPr>
      </w:pPr>
      <w:bookmarkStart w:id="22" w:name="13"/>
      <w:r w:rsidRPr="006969B3">
        <w:rPr>
          <w:rFonts w:ascii="Arial" w:hAnsi="Arial" w:cs="Arial"/>
          <w:sz w:val="22"/>
          <w:szCs w:val="22"/>
          <w:lang w:val="es-CO"/>
        </w:rPr>
        <w:t>ARTÍCULO 13. REQUERIMIENTO DE PERMISO DE VERTIMIENTO.</w:t>
      </w:r>
      <w:bookmarkEnd w:id="22"/>
      <w:r w:rsidRPr="006969B3">
        <w:rPr>
          <w:rFonts w:ascii="Arial" w:hAnsi="Arial" w:cs="Arial"/>
          <w:sz w:val="22"/>
          <w:szCs w:val="22"/>
          <w:lang w:val="es-CO"/>
        </w:rPr>
        <w:t> Solo requiere permiso de vertimiento la descarga de aguas residuales a las aguas superficiales, a las aguas marinas o al suelo.</w:t>
      </w:r>
    </w:p>
    <w:p w14:paraId="6831589D" w14:textId="5D579737" w:rsidR="00E319CE" w:rsidRPr="006969B3" w:rsidRDefault="00E319CE" w:rsidP="00F65283">
      <w:pPr>
        <w:spacing w:after="0" w:line="240" w:lineRule="auto"/>
        <w:rPr>
          <w:rFonts w:ascii="Arial" w:hAnsi="Arial" w:cs="Arial"/>
          <w:lang w:val="es-CO"/>
        </w:rPr>
      </w:pPr>
    </w:p>
    <w:p w14:paraId="48218096" w14:textId="77777777" w:rsidR="00E319CE" w:rsidRPr="006969B3" w:rsidRDefault="00E319CE" w:rsidP="00F65283">
      <w:pPr>
        <w:pStyle w:val="NormalWeb"/>
        <w:spacing w:before="0" w:beforeAutospacing="0" w:after="0" w:afterAutospacing="0"/>
        <w:jc w:val="both"/>
        <w:rPr>
          <w:rFonts w:ascii="Arial" w:hAnsi="Arial" w:cs="Arial"/>
          <w:sz w:val="22"/>
          <w:szCs w:val="22"/>
          <w:lang w:val="es-CO"/>
        </w:rPr>
      </w:pPr>
      <w:bookmarkStart w:id="23" w:name="14"/>
      <w:r w:rsidRPr="006969B3">
        <w:rPr>
          <w:rFonts w:ascii="Arial" w:hAnsi="Arial" w:cs="Arial"/>
          <w:sz w:val="22"/>
          <w:szCs w:val="22"/>
          <w:lang w:val="es-CO"/>
        </w:rPr>
        <w:t>ARTÍCULO 14. TRATAMIENTO DE AGUAS RESIDUALES.</w:t>
      </w:r>
      <w:bookmarkEnd w:id="23"/>
      <w:r w:rsidRPr="006969B3">
        <w:rPr>
          <w:rFonts w:ascii="Arial" w:hAnsi="Arial" w:cs="Arial"/>
          <w:sz w:val="22"/>
          <w:szCs w:val="22"/>
          <w:lang w:val="es-CO"/>
        </w:rPr>
        <w:t> Los prestadores de alcantarillado estarán en la obligación de permitir la conexión de las redes de recolección a las plantas de tratamiento de aguas residuales de otros prestadores y de facturar esta actividad en la tarifa a los usuarios, siempre que la solución represente menores costos de operación, administración, mantenimiento e inversión a los que pueda presentar el prestador del servicio de alcantarillado. El Gobierno nacional reglamentará la materia.</w:t>
      </w:r>
    </w:p>
    <w:p w14:paraId="3420AA31"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484ED681" w14:textId="04510B06"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Adicionalmente, la disposición de residuos líquidos no domésticos a la red de alcantarillado sin tratamiento podrá ser contratada entre el suscriptor y/o usuario y el prestador del servicio público domiciliario de alcantarillado siempre y cuando este último tenga la capacidad en términos de infraestructura y tecnología para cumplir con los parámetros y los valores límites máximos permisibles en los vertimientos puntuales.</w:t>
      </w:r>
    </w:p>
    <w:p w14:paraId="08B4FDDB" w14:textId="77777777" w:rsidR="001B0E49" w:rsidRDefault="001B0E49" w:rsidP="00F65283">
      <w:pPr>
        <w:pStyle w:val="NormalWeb"/>
        <w:spacing w:before="0" w:beforeAutospacing="0" w:after="0" w:afterAutospacing="0"/>
        <w:jc w:val="both"/>
        <w:rPr>
          <w:rFonts w:ascii="Arial" w:hAnsi="Arial" w:cs="Arial"/>
          <w:sz w:val="22"/>
          <w:szCs w:val="22"/>
          <w:lang w:val="es-CO"/>
        </w:rPr>
      </w:pPr>
      <w:bookmarkStart w:id="24" w:name="15"/>
    </w:p>
    <w:p w14:paraId="60E10371" w14:textId="64403AAC"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15. FUNCIONES DE LA SUPERINTENDENCIA.</w:t>
      </w:r>
      <w:bookmarkEnd w:id="24"/>
      <w:r w:rsidRPr="006969B3">
        <w:rPr>
          <w:rFonts w:ascii="Arial" w:hAnsi="Arial" w:cs="Arial"/>
          <w:sz w:val="22"/>
          <w:szCs w:val="22"/>
          <w:lang w:val="es-CO"/>
        </w:rPr>
        <w:t> Modifíquese el numeral 8 y adiciónense los numerales 34, 35 y 36 al artículo</w:t>
      </w:r>
      <w:r w:rsidR="00F17936">
        <w:rPr>
          <w:rFonts w:ascii="Arial" w:hAnsi="Arial" w:cs="Arial"/>
          <w:sz w:val="22"/>
          <w:szCs w:val="22"/>
          <w:lang w:val="es-CO"/>
        </w:rPr>
        <w:t xml:space="preserve"> </w:t>
      </w:r>
      <w:r w:rsidR="00867C0E">
        <w:rPr>
          <w:rFonts w:ascii="Arial" w:hAnsi="Arial" w:cs="Arial"/>
          <w:sz w:val="22"/>
          <w:szCs w:val="22"/>
          <w:lang w:val="es-CO"/>
        </w:rPr>
        <w:t>79</w:t>
      </w:r>
      <w:r w:rsidRPr="006969B3">
        <w:rPr>
          <w:rFonts w:ascii="Arial" w:hAnsi="Arial" w:cs="Arial"/>
          <w:sz w:val="22"/>
          <w:szCs w:val="22"/>
          <w:lang w:val="es-CO"/>
        </w:rPr>
        <w:t> de la Ley 142 de 1994, así:</w:t>
      </w:r>
    </w:p>
    <w:p w14:paraId="274DD0A5"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334DDF24" w14:textId="04616434"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8. Solicitar documentos, inclusive contables y financieros, a los prestadores, entidades públicas, privadas o mixtas, auditores externos, interventores o supervisores y privados, entre otros, que tengan información relacionada con la prestación de los servicios públicos domiciliarios. Adicionalmente, practicar las visitas, inspecciones y pruebas que sean necesarias para el cumplimiento de sus funciones, en la oportunidad fijada por la Superintendencia.</w:t>
      </w:r>
    </w:p>
    <w:p w14:paraId="080C9B32"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4D7640CB" w14:textId="6F4A14CB"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34. Sancionar a los prestadores de servicios públicos y vigilados, auditores externos y otras entidades con naturaleza pública, privada o mixta, que tengan información relacionada con los servicios públicos domiciliarios, cuando no atiendan de manera oportuna y adecuada las solicitudes y requerimientos que la Superintendencia realice en ejercicio de sus funciones.</w:t>
      </w:r>
    </w:p>
    <w:p w14:paraId="38D345B2"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4CA087FB" w14:textId="66AA92EC"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35. En los casos en los que lo considere necesario para el ejercicio de las funciones de inspección, vigilancia y control, encargar a terceros especializados la toma de muestras de calidad del agua en cualquier lugar del área de prestación del servicio y del sistema que sea técnicamente posible, y contratar un laboratorio para el análisis de </w:t>
      </w:r>
      <w:proofErr w:type="gramStart"/>
      <w:r w:rsidRPr="006969B3">
        <w:rPr>
          <w:rFonts w:ascii="Arial" w:hAnsi="Arial" w:cs="Arial"/>
          <w:sz w:val="22"/>
          <w:szCs w:val="22"/>
          <w:lang w:val="es-CO"/>
        </w:rPr>
        <w:t>las mismas</w:t>
      </w:r>
      <w:proofErr w:type="gramEnd"/>
      <w:r w:rsidRPr="006969B3">
        <w:rPr>
          <w:rFonts w:ascii="Arial" w:hAnsi="Arial" w:cs="Arial"/>
          <w:sz w:val="22"/>
          <w:szCs w:val="22"/>
          <w:lang w:val="es-CO"/>
        </w:rPr>
        <w:t xml:space="preserve">. Los resultados que arrojen las muestras tomadas por la Superintendencia de Servicios Públicos </w:t>
      </w:r>
      <w:proofErr w:type="gramStart"/>
      <w:r w:rsidRPr="006969B3">
        <w:rPr>
          <w:rFonts w:ascii="Arial" w:hAnsi="Arial" w:cs="Arial"/>
          <w:sz w:val="22"/>
          <w:szCs w:val="22"/>
          <w:lang w:val="es-CO"/>
        </w:rPr>
        <w:t>Domiciliarios,</w:t>
      </w:r>
      <w:proofErr w:type="gramEnd"/>
      <w:r w:rsidRPr="006969B3">
        <w:rPr>
          <w:rFonts w:ascii="Arial" w:hAnsi="Arial" w:cs="Arial"/>
          <w:sz w:val="22"/>
          <w:szCs w:val="22"/>
          <w:lang w:val="es-CO"/>
        </w:rPr>
        <w:t xml:space="preserve"> podrán ser utilizados como prueba, dentro de los procesos administrativos sancionatorios que adelante contra prestadores objeto de su vigilancia, y para cualquier otro fin que sea pertinente dentro del ejercicio de las funciones de la Superintendencia de Servicios Públicos Domiciliarios.</w:t>
      </w:r>
    </w:p>
    <w:p w14:paraId="67EA5047"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458D9907" w14:textId="231696A0"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36. Corresponde a la Superintendencia de Servicios Públicos Domiciliarios, en desarrollo de sus funciones de inspección y vigilancia, establecer, administrar, mantener y operar el </w:t>
      </w:r>
      <w:r w:rsidRPr="006969B3">
        <w:rPr>
          <w:rFonts w:ascii="Arial" w:hAnsi="Arial" w:cs="Arial"/>
          <w:sz w:val="22"/>
          <w:szCs w:val="22"/>
          <w:lang w:val="es-CO"/>
        </w:rPr>
        <w:lastRenderedPageBreak/>
        <w:t xml:space="preserve">Sistema Único de Información (SUI) de los Servicios Públicos Domiciliarios que se nutra con la información de los prestadores, auditores externos, entidades públicas, particulares, interventores y/o supervisores relacionados con la prestación de los servicios públicos domiciliarios. El SUI podrá interoperar con otras plataformas públicas y privadas y, adicionalmente, podrá compartir información, inclusive aquella que tenga el carácter </w:t>
      </w:r>
      <w:proofErr w:type="spellStart"/>
      <w:r w:rsidRPr="006969B3">
        <w:rPr>
          <w:rFonts w:ascii="Arial" w:hAnsi="Arial" w:cs="Arial"/>
          <w:sz w:val="22"/>
          <w:szCs w:val="22"/>
          <w:lang w:val="es-CO"/>
        </w:rPr>
        <w:t>deconfidencial</w:t>
      </w:r>
      <w:proofErr w:type="spellEnd"/>
      <w:r w:rsidRPr="006969B3">
        <w:rPr>
          <w:rFonts w:ascii="Arial" w:hAnsi="Arial" w:cs="Arial"/>
          <w:sz w:val="22"/>
          <w:szCs w:val="22"/>
          <w:lang w:val="es-CO"/>
        </w:rPr>
        <w:t xml:space="preserve"> o reservado, garantizando la reserva y confidencialidad de </w:t>
      </w:r>
      <w:proofErr w:type="gramStart"/>
      <w:r w:rsidRPr="006969B3">
        <w:rPr>
          <w:rFonts w:ascii="Arial" w:hAnsi="Arial" w:cs="Arial"/>
          <w:sz w:val="22"/>
          <w:szCs w:val="22"/>
          <w:lang w:val="es-CO"/>
        </w:rPr>
        <w:t>la misma</w:t>
      </w:r>
      <w:proofErr w:type="gramEnd"/>
      <w:r w:rsidRPr="006969B3">
        <w:rPr>
          <w:rFonts w:ascii="Arial" w:hAnsi="Arial" w:cs="Arial"/>
          <w:sz w:val="22"/>
          <w:szCs w:val="22"/>
          <w:lang w:val="es-CO"/>
        </w:rPr>
        <w:t>.</w:t>
      </w:r>
    </w:p>
    <w:p w14:paraId="64346A26" w14:textId="349D4201" w:rsidR="00E319CE" w:rsidRPr="006969B3" w:rsidRDefault="00E319CE" w:rsidP="00F65283">
      <w:pPr>
        <w:spacing w:after="0" w:line="240" w:lineRule="auto"/>
        <w:rPr>
          <w:rFonts w:ascii="Arial" w:hAnsi="Arial" w:cs="Arial"/>
          <w:lang w:val="es-CO"/>
        </w:rPr>
      </w:pPr>
    </w:p>
    <w:p w14:paraId="49D90E05" w14:textId="2BE39093" w:rsidR="00E319CE" w:rsidRPr="006969B3" w:rsidRDefault="00E319CE" w:rsidP="00F65283">
      <w:pPr>
        <w:pStyle w:val="NormalWeb"/>
        <w:spacing w:before="0" w:beforeAutospacing="0" w:after="0" w:afterAutospacing="0"/>
        <w:jc w:val="both"/>
        <w:rPr>
          <w:rFonts w:ascii="Arial" w:hAnsi="Arial" w:cs="Arial"/>
          <w:sz w:val="22"/>
          <w:szCs w:val="22"/>
          <w:lang w:val="es-CO"/>
        </w:rPr>
      </w:pPr>
      <w:bookmarkStart w:id="25" w:name="16"/>
      <w:r w:rsidRPr="006969B3">
        <w:rPr>
          <w:rFonts w:ascii="Arial" w:hAnsi="Arial" w:cs="Arial"/>
          <w:sz w:val="22"/>
          <w:szCs w:val="22"/>
          <w:lang w:val="es-CO"/>
        </w:rPr>
        <w:t>ARTÍCULO 16. FORTALECIMIENTO DEL EJERCICIO DE LAS FUNCIONES DE LA SUPERINTENDENCIA DE SERVICIOS PÚBLICOS DOMICILIARIOS.</w:t>
      </w:r>
      <w:bookmarkEnd w:id="25"/>
      <w:r w:rsidRPr="006969B3">
        <w:rPr>
          <w:rFonts w:ascii="Arial" w:hAnsi="Arial" w:cs="Arial"/>
          <w:sz w:val="22"/>
          <w:szCs w:val="22"/>
          <w:lang w:val="es-CO"/>
        </w:rPr>
        <w:t> Modifíquese el artículo</w:t>
      </w:r>
      <w:r w:rsidR="00867C0E">
        <w:rPr>
          <w:rFonts w:ascii="Arial" w:hAnsi="Arial" w:cs="Arial"/>
          <w:sz w:val="22"/>
          <w:szCs w:val="22"/>
          <w:lang w:val="es-CO"/>
        </w:rPr>
        <w:t xml:space="preserve"> 227</w:t>
      </w:r>
      <w:r w:rsidRPr="006969B3">
        <w:rPr>
          <w:rFonts w:ascii="Arial" w:hAnsi="Arial" w:cs="Arial"/>
          <w:sz w:val="22"/>
          <w:szCs w:val="22"/>
          <w:lang w:val="es-CO"/>
        </w:rPr>
        <w:t> de la Ley 1753 del 2015, el cual quedará así:</w:t>
      </w:r>
    </w:p>
    <w:p w14:paraId="64B785D3"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26FBA3F8" w14:textId="1F8261DA"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w:t>
      </w:r>
      <w:r w:rsidR="00512E1E" w:rsidRPr="00512E1E">
        <w:rPr>
          <w:rFonts w:ascii="Arial" w:hAnsi="Arial" w:cs="Arial"/>
          <w:sz w:val="22"/>
          <w:szCs w:val="22"/>
          <w:lang w:val="es-CO"/>
        </w:rPr>
        <w:t>227</w:t>
      </w:r>
      <w:r w:rsidRPr="006969B3">
        <w:rPr>
          <w:rFonts w:ascii="Arial" w:hAnsi="Arial" w:cs="Arial"/>
          <w:sz w:val="22"/>
          <w:szCs w:val="22"/>
          <w:lang w:val="es-CO"/>
        </w:rPr>
        <w:t>. Fortalecimiento del ejercicio de las funciones de la superintendencia de servicios públicos domiciliarios. En la Superintendencia de Servicios Públicos Domiciliarios seguirá funcionando, con vocación de permanencia, el Fondo Empresarial creado por la Ley</w:t>
      </w:r>
      <w:r w:rsidR="00CF1CD7">
        <w:rPr>
          <w:rFonts w:ascii="Arial" w:hAnsi="Arial" w:cs="Arial"/>
          <w:sz w:val="22"/>
          <w:szCs w:val="22"/>
          <w:lang w:val="es-CO"/>
        </w:rPr>
        <w:t xml:space="preserve"> 812</w:t>
      </w:r>
      <w:r w:rsidRPr="006969B3">
        <w:rPr>
          <w:rFonts w:ascii="Arial" w:hAnsi="Arial" w:cs="Arial"/>
          <w:sz w:val="22"/>
          <w:szCs w:val="22"/>
          <w:lang w:val="es-CO"/>
        </w:rPr>
        <w:t> del 2003, a través de un patrimonio autónomo cuyo ordenador del gasto será el Superintendente de Servicios Públicos Domiciliarios.</w:t>
      </w:r>
    </w:p>
    <w:p w14:paraId="63E64FD6"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1ECE25E1" w14:textId="6F95E104"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Este Fondo podrá financiar a las empresas en toma de posesión para: 1) pagos para la satisfacción de los derechos de los trabajadores que se acojan a los planes de retiro voluntario y en general las obligaciones laborales y, 2) apoyo para salvaguardar la prestación del servicio.</w:t>
      </w:r>
    </w:p>
    <w:p w14:paraId="0FF8FABC"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658FF8D6" w14:textId="0CD98D13"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Igualmente, podrá contratar y/o apoyar el pago de las actividades profesionales requeridas en áreas financieras, técnicas, legales y logísticas a la Superintendencia de Servicios Públicos Domiciliarios y a la empresa objeto de toma de posesión, así como los estudios necesarios para determinar la procedencia de dicha medida y las medidas preventivas de acuerdo con lo establecido en la Ley</w:t>
      </w:r>
      <w:r w:rsidR="00AA05D8">
        <w:rPr>
          <w:rFonts w:ascii="Arial" w:hAnsi="Arial" w:cs="Arial"/>
          <w:sz w:val="22"/>
          <w:szCs w:val="22"/>
          <w:lang w:val="es-CO"/>
        </w:rPr>
        <w:t xml:space="preserve"> 142</w:t>
      </w:r>
      <w:r w:rsidRPr="006969B3">
        <w:rPr>
          <w:rFonts w:ascii="Arial" w:hAnsi="Arial" w:cs="Arial"/>
          <w:sz w:val="22"/>
          <w:szCs w:val="22"/>
          <w:lang w:val="es-CO"/>
        </w:rPr>
        <w:t> de 1994.</w:t>
      </w:r>
    </w:p>
    <w:p w14:paraId="6A121746"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5F4A0A40" w14:textId="5DB7AA6E"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Así mismo, de forma excepcional el Fondo podrá apoyar con recursos a las empresas prestadoras de servicios públicos objeto de la medida de toma de posesión para asegurar la viabilidad de los respetivos esquemas de solución a largo plazo sin importar el resultado en el balance del Fondo de la respectiva operación, siempre y cuando así lo soliciten ante la Superintendencia de Servicios Públicos Domiciliarios y acrediten:</w:t>
      </w:r>
    </w:p>
    <w:p w14:paraId="38A1B099"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3678114B" w14:textId="5313C60D"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 Incapacidad presente y futura de pago de los recursos entregados previamente a título de financiación, con cargo a los recursos del Fondo Empresarial soportada con las modelaciones financieras y demás elementos que lo demuestren.</w:t>
      </w:r>
    </w:p>
    <w:p w14:paraId="6A67547A"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373C2E22" w14:textId="2E00A930"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2. Contar con un esquema de solución de largo plazo que cumpla con los criterios que para el efecto establezca la Superintendencia de Servicios Públicos Domiciliarios, y</w:t>
      </w:r>
    </w:p>
    <w:p w14:paraId="16DDAA30"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1AC2978F" w14:textId="1920B573"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3. El esquema de solución de largo plazo a que hace referencia el numeral anterior solo pueda ser cumplible con la entrega de los recursos mencionados por parte del Fondo, los cuales se considerarán como un ingreso no constitutivo de renta ni ganancia ocasional para las empresas en toma de posesión.</w:t>
      </w:r>
    </w:p>
    <w:p w14:paraId="563B6BC4"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363D0E2F" w14:textId="50D6A9C3"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Lo anteriormente señalado también será aplicable a las empresas que a la </w:t>
      </w:r>
      <w:proofErr w:type="gramStart"/>
      <w:r w:rsidRPr="006969B3">
        <w:rPr>
          <w:rFonts w:ascii="Arial" w:hAnsi="Arial" w:cs="Arial"/>
          <w:sz w:val="22"/>
          <w:szCs w:val="22"/>
          <w:lang w:val="es-CO"/>
        </w:rPr>
        <w:t>entrada en vigencia</w:t>
      </w:r>
      <w:proofErr w:type="gramEnd"/>
      <w:r w:rsidRPr="006969B3">
        <w:rPr>
          <w:rFonts w:ascii="Arial" w:hAnsi="Arial" w:cs="Arial"/>
          <w:sz w:val="22"/>
          <w:szCs w:val="22"/>
          <w:lang w:val="es-CO"/>
        </w:rPr>
        <w:t xml:space="preserve"> de la presente Ley se encuentren en toma de posesión.</w:t>
      </w:r>
    </w:p>
    <w:p w14:paraId="72E24214"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5F55F49E" w14:textId="3ADAB1C2"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Los recursos del Fondo Empresarial estarán conformados por las siguientes fuentes:</w:t>
      </w:r>
    </w:p>
    <w:p w14:paraId="24F735E1"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7F963F8A" w14:textId="40A21472"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lastRenderedPageBreak/>
        <w:t>a) Los excedentes de la Superintendencia de Servicios Públicos Domiciliarios, de la Comisión de Regulación de Agua Potable y Saneamiento Básico (CRA), de la Comisión de Regulación de Energía y Gas (CREG);</w:t>
      </w:r>
    </w:p>
    <w:p w14:paraId="4C61BFC1"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421091C9" w14:textId="6D0DFAF7"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b) El producto de las multas que imponga esta Superintendencia;</w:t>
      </w:r>
    </w:p>
    <w:p w14:paraId="508068C3"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10B5A137" w14:textId="5D0629DA"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c) Los rendimientos que genere el Fondo Empresarial y que se obtengan por la inversión de los recursos que integran su patrimonio;</w:t>
      </w:r>
    </w:p>
    <w:p w14:paraId="4FFA6ACC"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22F6829D" w14:textId="693FCF23"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d) Los recursos que obtenga a través de las operaciones de crédito interno o externo que se celebren a su nombre, y los que reciba por operaciones de tesorería;</w:t>
      </w:r>
    </w:p>
    <w:p w14:paraId="30C631C6"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65FD8D63" w14:textId="54E00254"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 Los rendimientos derivados de las acciones que posea el Fondo o su enajenación los cuales no estarán sometidos al impuesto sobre la renta y complementarios; y,</w:t>
      </w:r>
    </w:p>
    <w:p w14:paraId="74D0F07F"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4B25EC53" w14:textId="3E7049ED"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f) Los demás que obtenga a cualquier título.</w:t>
      </w:r>
    </w:p>
    <w:p w14:paraId="3E3AC999"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08E8126F" w14:textId="0EA72B74"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financiamiento por parte del Fondo Empresarial a las empresas intervenidas podrá instrumentarse a través de contratos de mutuo, otorgamiento de garantías a favor de terceros, o cualquier otro mecanismo de carácter financiero que permita o facilite el cumplimiento del objeto del Fondo Empresarial.</w:t>
      </w:r>
    </w:p>
    <w:p w14:paraId="7458BF84" w14:textId="77777777" w:rsidR="001B0E49" w:rsidRDefault="001B0E49" w:rsidP="00F65283">
      <w:pPr>
        <w:pStyle w:val="NormalWeb"/>
        <w:spacing w:before="0" w:beforeAutospacing="0" w:after="0" w:afterAutospacing="0"/>
        <w:jc w:val="both"/>
        <w:rPr>
          <w:rFonts w:ascii="Arial" w:hAnsi="Arial" w:cs="Arial"/>
          <w:sz w:val="22"/>
          <w:szCs w:val="22"/>
          <w:lang w:val="es-CO"/>
        </w:rPr>
      </w:pPr>
    </w:p>
    <w:p w14:paraId="4A17DD7A" w14:textId="227B6EDC"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Para las operaciones pasivas de crédito interno o externo del literal d) se requerirá si cumplimiento de los requisitos legales ordinarios establecidos para las operaciones de crédito; cuando dichas operaciones de crédito estén dirigidas al desarrollo del giro ordinario de las actividades propias del objeto del Fondo Empresarial para el otorgamiento de la garantía de la Nación no será necesario la constitución de las contragarantías a favor de la Nación normalmente exigidas, ni los aportes al Fondo de Contingencias; para los créditos otorgados directamente por la Nación - Ministerio de Hacienda y Crédito Público no será necesario el otorgamiento de garantías a su favor.</w:t>
      </w:r>
    </w:p>
    <w:p w14:paraId="10987128" w14:textId="52900A68" w:rsidR="00E319CE" w:rsidRPr="006969B3" w:rsidRDefault="00E319CE" w:rsidP="00F65283">
      <w:pPr>
        <w:spacing w:after="0" w:line="240" w:lineRule="auto"/>
        <w:rPr>
          <w:rFonts w:ascii="Arial" w:hAnsi="Arial" w:cs="Arial"/>
          <w:lang w:val="es-CO"/>
        </w:rPr>
      </w:pPr>
    </w:p>
    <w:p w14:paraId="4339CB38" w14:textId="169D4156" w:rsidR="00E319CE" w:rsidRPr="006969B3" w:rsidRDefault="00E319CE" w:rsidP="00F65283">
      <w:pPr>
        <w:pStyle w:val="NormalWeb"/>
        <w:spacing w:before="0" w:beforeAutospacing="0" w:after="0" w:afterAutospacing="0"/>
        <w:jc w:val="both"/>
        <w:rPr>
          <w:rFonts w:ascii="Arial" w:hAnsi="Arial" w:cs="Arial"/>
          <w:sz w:val="22"/>
          <w:szCs w:val="22"/>
          <w:lang w:val="es-CO"/>
        </w:rPr>
      </w:pPr>
      <w:bookmarkStart w:id="26" w:name="17"/>
      <w:r w:rsidRPr="006969B3">
        <w:rPr>
          <w:rFonts w:ascii="Arial" w:hAnsi="Arial" w:cs="Arial"/>
          <w:sz w:val="22"/>
          <w:szCs w:val="22"/>
          <w:lang w:val="es-CO"/>
        </w:rPr>
        <w:t>ARTÍCULO 17. DEFINICIONES.</w:t>
      </w:r>
      <w:bookmarkEnd w:id="26"/>
      <w:r w:rsidRPr="006969B3">
        <w:rPr>
          <w:rFonts w:ascii="Arial" w:hAnsi="Arial" w:cs="Arial"/>
          <w:sz w:val="22"/>
          <w:szCs w:val="22"/>
          <w:lang w:val="es-CO"/>
        </w:rPr>
        <w:t> Adiciónese un parágrafo al artículo</w:t>
      </w:r>
      <w:r w:rsidR="00572CA2">
        <w:rPr>
          <w:rFonts w:ascii="Arial" w:hAnsi="Arial" w:cs="Arial"/>
          <w:sz w:val="22"/>
          <w:szCs w:val="22"/>
          <w:lang w:val="es-CO"/>
        </w:rPr>
        <w:t xml:space="preserve"> 14</w:t>
      </w:r>
      <w:r w:rsidRPr="006969B3">
        <w:rPr>
          <w:rFonts w:ascii="Arial" w:hAnsi="Arial" w:cs="Arial"/>
          <w:sz w:val="22"/>
          <w:szCs w:val="22"/>
          <w:lang w:val="es-CO"/>
        </w:rPr>
        <w:t> de la Ley 142 de 1994, así:</w:t>
      </w:r>
    </w:p>
    <w:p w14:paraId="4F32FE00" w14:textId="77777777" w:rsidR="00F65283" w:rsidRPr="006969B3" w:rsidRDefault="00F65283" w:rsidP="00F65283">
      <w:pPr>
        <w:pStyle w:val="NormalWeb"/>
        <w:spacing w:before="0" w:beforeAutospacing="0" w:after="0" w:afterAutospacing="0"/>
        <w:jc w:val="both"/>
        <w:rPr>
          <w:rStyle w:val="baj"/>
          <w:rFonts w:ascii="Arial" w:hAnsi="Arial" w:cs="Arial"/>
          <w:sz w:val="22"/>
          <w:szCs w:val="22"/>
          <w:lang w:val="es-CO"/>
        </w:rPr>
      </w:pPr>
    </w:p>
    <w:p w14:paraId="1B360C52" w14:textId="7AEC1D75"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Las actividades que inciden determinantemente en la correcta prestación de los servicios públicos se podrán asimilar a alguna de las actividades principales o complementarias que componen las cadenas de valor de los servicios públicos. En consecuencia, quienes desarrollen tales nuevas actividades quedarán sometidos a la regulación, inspección, vigilancia y control por parte de las Comisiones de Regulación respectivas y la Superintendencia de Servicios Públicos Domiciliarios, respectivamente. La Superintendencia de Servicios Públicos Domiciliarios definirá cuándo aplica dicha asimilación y la obligación de constituirse como Empresas de Servicios Públicos Domiciliarios.</w:t>
      </w:r>
    </w:p>
    <w:p w14:paraId="03836BA0" w14:textId="72472070" w:rsidR="00E319CE" w:rsidRPr="006969B3" w:rsidRDefault="00E319CE" w:rsidP="00F65283">
      <w:pPr>
        <w:spacing w:after="0" w:line="240" w:lineRule="auto"/>
        <w:rPr>
          <w:rFonts w:ascii="Arial" w:hAnsi="Arial" w:cs="Arial"/>
          <w:lang w:val="es-CO"/>
        </w:rPr>
      </w:pPr>
    </w:p>
    <w:p w14:paraId="63C497B0" w14:textId="23089FD7" w:rsidR="00E319CE" w:rsidRPr="006969B3" w:rsidRDefault="00E319CE" w:rsidP="00F65283">
      <w:pPr>
        <w:pStyle w:val="NormalWeb"/>
        <w:spacing w:before="0" w:beforeAutospacing="0" w:after="0" w:afterAutospacing="0"/>
        <w:jc w:val="both"/>
        <w:rPr>
          <w:rFonts w:ascii="Arial" w:hAnsi="Arial" w:cs="Arial"/>
          <w:sz w:val="22"/>
          <w:szCs w:val="22"/>
          <w:lang w:val="es-CO"/>
        </w:rPr>
      </w:pPr>
      <w:bookmarkStart w:id="27" w:name="18"/>
      <w:r w:rsidRPr="006969B3">
        <w:rPr>
          <w:rFonts w:ascii="Arial" w:hAnsi="Arial" w:cs="Arial"/>
          <w:sz w:val="22"/>
          <w:szCs w:val="22"/>
          <w:lang w:val="es-CO"/>
        </w:rPr>
        <w:t>ARTÍCULO 18. CONTRIBUCIONES ESPECIALES A FAVOR DE LA COMISIÓN DE REGULACIÓN DE ENERGÍA Y GAS (CREG), DE LA COMISIÓN DE REGULACIÓN DE AGUA POTABLE Y SANEAMIENTO BÁSICO (CRA) Y DE LA SUPERINTENDENCIA DE SERVICIOS PÚBLICOS DOMICILIARIOS (SSPD).</w:t>
      </w:r>
      <w:bookmarkEnd w:id="27"/>
      <w:r w:rsidRPr="006969B3">
        <w:rPr>
          <w:rFonts w:ascii="Arial" w:hAnsi="Arial" w:cs="Arial"/>
          <w:sz w:val="22"/>
          <w:szCs w:val="22"/>
          <w:lang w:val="es-CO"/>
        </w:rPr>
        <w:t> Modifíquese el artículo</w:t>
      </w:r>
      <w:r w:rsidR="00CF1CD7">
        <w:rPr>
          <w:rFonts w:ascii="Arial" w:hAnsi="Arial" w:cs="Arial"/>
          <w:sz w:val="22"/>
          <w:szCs w:val="22"/>
          <w:lang w:val="es-CO"/>
        </w:rPr>
        <w:t xml:space="preserve"> 85</w:t>
      </w:r>
      <w:r w:rsidR="00CF1CD7" w:rsidRPr="0074467C">
        <w:rPr>
          <w:lang w:val="es-CO"/>
        </w:rPr>
        <w:t xml:space="preserve"> </w:t>
      </w:r>
      <w:r w:rsidRPr="006969B3">
        <w:rPr>
          <w:rFonts w:ascii="Arial" w:hAnsi="Arial" w:cs="Arial"/>
          <w:sz w:val="22"/>
          <w:szCs w:val="22"/>
          <w:lang w:val="es-CO"/>
        </w:rPr>
        <w:t>de la Ley 142 de 1994, el cual quedará así:</w:t>
      </w:r>
    </w:p>
    <w:p w14:paraId="78CA96F4"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07FC2E7B" w14:textId="31E9E319"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lastRenderedPageBreak/>
        <w:t>Artícul</w:t>
      </w:r>
      <w:r w:rsidR="00CF1CD7">
        <w:rPr>
          <w:rFonts w:ascii="Arial" w:hAnsi="Arial" w:cs="Arial"/>
          <w:sz w:val="22"/>
          <w:szCs w:val="22"/>
          <w:lang w:val="es-CO"/>
        </w:rPr>
        <w:t>o 85</w:t>
      </w:r>
      <w:r w:rsidRPr="006969B3">
        <w:rPr>
          <w:rFonts w:ascii="Arial" w:hAnsi="Arial" w:cs="Arial"/>
          <w:sz w:val="22"/>
          <w:szCs w:val="22"/>
          <w:lang w:val="es-CO"/>
        </w:rPr>
        <w:t>. Contribuciones especiales a favor de la Comisión de Regulación de Energía y Gas (CREG), de la Comisión de Regulación de Agua Potable y Saneamiento Básico (CRA) y de la Superintendencia de Servicios Públicos Domiciliarios (SSPD). Con el fin de financiar los gastos de funcionamiento e inversión de la CREG, la CRA y la SSPD, y en general recuperar los costos del servicio, las personas prestadoras y entidades sujetas a la regulación, inspección, vigilancia y control de las respectivas entidades, serán sujetos pasivos del pago de las contribuciones especiales anuales descritas en el presente artículo, cuyas tarifas serán determinadas por las entidades respectivas y las cuales no podrán ser superiores al uno por ciento (1%) de las respectivas bases gravables. Los elementos de las contribuciones a que hace referencia el presente artículo serán:</w:t>
      </w:r>
    </w:p>
    <w:p w14:paraId="2A285D1C"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708FDB9A" w14:textId="0F0E142B"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 Base gravable: La base gravable de cada sujeto pasivo se determinará con base en los costos y gastos totales devengados de acuerdo con la técnica contable menos los impuestos, tasas, contribuciones y los intereses devengados a favor de terceros independientes, del año inmediatamente anterior al de la fecha de liquidación, este resultado se denomina costos y gastos totales depurados. Este valor se multiplicará por la división de los ingresos por actividades ordinarias reguladas y el total de ingresos por actividades ordinarias, conforme a los estados financieros de la vigencia fiscal anterior a la cual se haga su cobro. La base gravable descrita se calculará para cada sujeto pasivo así:</w:t>
      </w:r>
    </w:p>
    <w:p w14:paraId="59E8A89E" w14:textId="77777777"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Base gravable = (Costos y Gastos totales depurados) * (Total ingresos actividades ordinarias y sus actividades complementarias de servicios sujetas a inspección vigilancia, control y regulación devengados en el período) / (Total de ingresos de actividades ordinarias devengados en el período).</w:t>
      </w:r>
    </w:p>
    <w:p w14:paraId="323FDC02" w14:textId="77777777" w:rsidR="001B0E49" w:rsidRDefault="001B0E49" w:rsidP="00F65283">
      <w:pPr>
        <w:pStyle w:val="NormalWeb"/>
        <w:spacing w:before="0" w:beforeAutospacing="0" w:after="0" w:afterAutospacing="0"/>
        <w:jc w:val="both"/>
        <w:rPr>
          <w:rFonts w:ascii="Arial" w:hAnsi="Arial" w:cs="Arial"/>
          <w:sz w:val="22"/>
          <w:szCs w:val="22"/>
          <w:lang w:val="es-CO"/>
        </w:rPr>
      </w:pPr>
    </w:p>
    <w:p w14:paraId="4D999109" w14:textId="4B39A65D"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Se entenderá que es un tercero independiente siempre que no cumpla con alguno de los criterios de vinculación previstos en el artículo</w:t>
      </w:r>
      <w:r w:rsidR="00572CA2">
        <w:rPr>
          <w:rFonts w:ascii="Arial" w:hAnsi="Arial" w:cs="Arial"/>
          <w:sz w:val="22"/>
          <w:szCs w:val="22"/>
          <w:lang w:val="es-CO"/>
        </w:rPr>
        <w:t xml:space="preserve"> 260 - 1</w:t>
      </w:r>
      <w:r w:rsidRPr="006969B3">
        <w:rPr>
          <w:rFonts w:ascii="Arial" w:hAnsi="Arial" w:cs="Arial"/>
          <w:sz w:val="22"/>
          <w:szCs w:val="22"/>
          <w:lang w:val="es-CO"/>
        </w:rPr>
        <w:t>del Estatuto Tributario.</w:t>
      </w:r>
    </w:p>
    <w:p w14:paraId="3FCB57FF"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175DE5BB" w14:textId="6988CA72"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2. Tarifa: La tarifa de cada contribución especial se determinará por cada uno de los sujetos activos de la contribución de manera independiente, tomando el valor del presupuesto neto de la entidad correspondiente en el año a financiar, incluidos la totalidad de gastos de funcionamiento e inversión, el cual se dividirá por la suma de las bases gravables determinadas para los sujetos pasivos conforme a los estados financieros de la vigencia fiscal anterior.</w:t>
      </w:r>
    </w:p>
    <w:p w14:paraId="30B49012"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0842FA26" w14:textId="76FBB0A5"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Tarifa de contribución de sujeto activo = (Presupuesto a financiar de sujeto activo) / (Suma de bases gravables de sujetos pasivos).</w:t>
      </w:r>
    </w:p>
    <w:p w14:paraId="383162D8"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0C8334A9" w14:textId="1A07CC32"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3. Hecho generador. El hecho generador de cada contribución especial por parte de los sujetos </w:t>
      </w:r>
      <w:proofErr w:type="gramStart"/>
      <w:r w:rsidRPr="006969B3">
        <w:rPr>
          <w:rFonts w:ascii="Arial" w:hAnsi="Arial" w:cs="Arial"/>
          <w:sz w:val="22"/>
          <w:szCs w:val="22"/>
          <w:lang w:val="es-CO"/>
        </w:rPr>
        <w:t>pasivos,</w:t>
      </w:r>
      <w:proofErr w:type="gramEnd"/>
      <w:r w:rsidRPr="006969B3">
        <w:rPr>
          <w:rFonts w:ascii="Arial" w:hAnsi="Arial" w:cs="Arial"/>
          <w:sz w:val="22"/>
          <w:szCs w:val="22"/>
          <w:lang w:val="es-CO"/>
        </w:rPr>
        <w:t xml:space="preserve"> será la prestación de los servicios sometidos a inspección, control, vigilancia y la venta de sus bienes vigilados o regulados.</w:t>
      </w:r>
    </w:p>
    <w:p w14:paraId="640FA5B2"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2087FB5B" w14:textId="2336FAF6"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4. Sujetos pasivos. Los sujetos pasivos de la contribución especial son las personas prestadoras de servicios públicos domiciliarios, conforme a los artículos</w:t>
      </w:r>
      <w:r w:rsidR="00572CA2">
        <w:rPr>
          <w:rFonts w:ascii="Arial" w:hAnsi="Arial" w:cs="Arial"/>
          <w:sz w:val="22"/>
          <w:szCs w:val="22"/>
          <w:lang w:val="es-CO"/>
        </w:rPr>
        <w:t xml:space="preserve"> 15 y 16</w:t>
      </w:r>
      <w:r w:rsidRPr="006969B3">
        <w:rPr>
          <w:rFonts w:ascii="Arial" w:hAnsi="Arial" w:cs="Arial"/>
          <w:sz w:val="22"/>
          <w:szCs w:val="22"/>
          <w:lang w:val="es-CO"/>
        </w:rPr>
        <w:t> de la Ley 142 de 1994, y todos aquellos que inciden directa o indirectamente en la prestación de los servicios públicos domiciliarios; las personas prestadoras de la cadena de combustibles líquidos y las personas prestadoras del servicio de alumbrado público. Tratándose de la CREG también lo serán las personas prestadoras a que hace referencia el artículo</w:t>
      </w:r>
      <w:r w:rsidR="00572CA2">
        <w:rPr>
          <w:rFonts w:ascii="Arial" w:hAnsi="Arial" w:cs="Arial"/>
          <w:sz w:val="22"/>
          <w:szCs w:val="22"/>
          <w:lang w:val="es-CO"/>
        </w:rPr>
        <w:t xml:space="preserve"> </w:t>
      </w:r>
      <w:proofErr w:type="gramStart"/>
      <w:r w:rsidR="00572CA2">
        <w:rPr>
          <w:rFonts w:ascii="Arial" w:hAnsi="Arial" w:cs="Arial"/>
          <w:sz w:val="22"/>
          <w:szCs w:val="22"/>
          <w:lang w:val="es-CO"/>
        </w:rPr>
        <w:t>61</w:t>
      </w:r>
      <w:r w:rsidRPr="006969B3">
        <w:rPr>
          <w:rFonts w:ascii="Arial" w:hAnsi="Arial" w:cs="Arial"/>
          <w:sz w:val="22"/>
          <w:szCs w:val="22"/>
          <w:lang w:val="es-CO"/>
        </w:rPr>
        <w:t>  de</w:t>
      </w:r>
      <w:proofErr w:type="gramEnd"/>
      <w:r w:rsidRPr="006969B3">
        <w:rPr>
          <w:rFonts w:ascii="Arial" w:hAnsi="Arial" w:cs="Arial"/>
          <w:sz w:val="22"/>
          <w:szCs w:val="22"/>
          <w:lang w:val="es-CO"/>
        </w:rPr>
        <w:t xml:space="preserve"> la Ley 812 de 2003 y el Decreto número 4299 de 2005, o las normas que lo modifiquen, sustituyan o deroguen, con excepción de los distribuidores minoristas en estación de servicio en un municipio ubicado en zona de frontera.</w:t>
      </w:r>
    </w:p>
    <w:p w14:paraId="111FC304" w14:textId="77777777" w:rsidR="00F65283" w:rsidRPr="006969B3" w:rsidRDefault="00F65283" w:rsidP="00F65283">
      <w:pPr>
        <w:pStyle w:val="NormalWeb"/>
        <w:spacing w:before="0" w:beforeAutospacing="0" w:after="0" w:afterAutospacing="0"/>
        <w:jc w:val="both"/>
        <w:rPr>
          <w:rStyle w:val="baj"/>
          <w:rFonts w:ascii="Arial" w:hAnsi="Arial" w:cs="Arial"/>
          <w:sz w:val="22"/>
          <w:szCs w:val="22"/>
          <w:lang w:val="es-CO"/>
        </w:rPr>
      </w:pPr>
    </w:p>
    <w:p w14:paraId="1BC2A23C" w14:textId="47548930"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lastRenderedPageBreak/>
        <w:t>PARÁGRAFO 1o.</w:t>
      </w:r>
      <w:r w:rsidRPr="006969B3">
        <w:rPr>
          <w:rFonts w:ascii="Arial" w:hAnsi="Arial" w:cs="Arial"/>
          <w:sz w:val="22"/>
          <w:szCs w:val="22"/>
          <w:lang w:val="es-CO"/>
        </w:rPr>
        <w:t> El Gobierno nacional reglamentará las características y condiciones especiales que se requieran para la determinación de las contribuciones especiales a que hace referencia el presente artículo, así como los asuntos relacionados con la declaración, administración, fiscalización, el cálculo, cobro, recaudo y aplicación del anticipo y demás aspectos relacionados con obligaciones formales y de procedimiento. Las sanciones e intereses por el incumplimiento de las obligaciones formales y sustanciales relacionadas con la contribución especial serán las mismas establecidas en el Estatuto Tributario para el impuesto sobre la renta y complementarios.</w:t>
      </w:r>
    </w:p>
    <w:p w14:paraId="4DDD48F9" w14:textId="77777777" w:rsidR="00F65283" w:rsidRPr="006969B3" w:rsidRDefault="00F65283" w:rsidP="00F65283">
      <w:pPr>
        <w:pStyle w:val="NormalWeb"/>
        <w:spacing w:before="0" w:beforeAutospacing="0" w:after="0" w:afterAutospacing="0"/>
        <w:jc w:val="both"/>
        <w:rPr>
          <w:rStyle w:val="baj"/>
          <w:rFonts w:ascii="Arial" w:hAnsi="Arial" w:cs="Arial"/>
          <w:sz w:val="22"/>
          <w:szCs w:val="22"/>
          <w:lang w:val="es-CO"/>
        </w:rPr>
      </w:pPr>
    </w:p>
    <w:p w14:paraId="14D698EA" w14:textId="71EB49D8"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El manejo de los recursos del pago de las contribuciones especiales de la CRA y la CREG a que hace referencia el presente artículo se realizará de acuerdo con los mecanismos previstos en los artículos </w:t>
      </w:r>
      <w:r w:rsidR="00FD782C">
        <w:rPr>
          <w:rFonts w:ascii="Arial" w:hAnsi="Arial" w:cs="Arial"/>
          <w:sz w:val="22"/>
          <w:szCs w:val="22"/>
          <w:lang w:val="es-CO"/>
        </w:rPr>
        <w:t>72</w:t>
      </w:r>
      <w:r w:rsidRPr="006969B3">
        <w:rPr>
          <w:rFonts w:ascii="Arial" w:hAnsi="Arial" w:cs="Arial"/>
          <w:sz w:val="22"/>
          <w:szCs w:val="22"/>
          <w:lang w:val="es-CO"/>
        </w:rPr>
        <w:t> de la Ley 142 de 1994 y </w:t>
      </w:r>
      <w:r w:rsidR="00FD782C">
        <w:rPr>
          <w:rFonts w:ascii="Arial" w:hAnsi="Arial" w:cs="Arial"/>
          <w:sz w:val="22"/>
          <w:szCs w:val="22"/>
          <w:lang w:val="es-CO"/>
        </w:rPr>
        <w:t>21</w:t>
      </w:r>
      <w:r w:rsidRPr="006969B3">
        <w:rPr>
          <w:rFonts w:ascii="Arial" w:hAnsi="Arial" w:cs="Arial"/>
          <w:sz w:val="22"/>
          <w:szCs w:val="22"/>
          <w:lang w:val="es-CO"/>
        </w:rPr>
        <w:t> de la Ley 143 de 1994. En el evento de existir excedentes de la contribución especial de la CREG provenientes de las actividades reguladas de combustibles líquidos, debido a recursos no ejecutados en el período presupuestal, dichos excedentes serán compensados al pago de la contribución especial de cada empresa del sector de combustibles líquidos en la siguiente vigencia fiscal.</w:t>
      </w:r>
    </w:p>
    <w:p w14:paraId="2745015A" w14:textId="77777777" w:rsidR="00F65283" w:rsidRPr="006969B3" w:rsidRDefault="00F65283" w:rsidP="00F65283">
      <w:pPr>
        <w:pStyle w:val="NormalWeb"/>
        <w:spacing w:before="0" w:beforeAutospacing="0" w:after="0" w:afterAutospacing="0"/>
        <w:jc w:val="both"/>
        <w:rPr>
          <w:rStyle w:val="baj"/>
          <w:rFonts w:ascii="Arial" w:hAnsi="Arial" w:cs="Arial"/>
          <w:sz w:val="22"/>
          <w:szCs w:val="22"/>
          <w:lang w:val="es-CO"/>
        </w:rPr>
      </w:pPr>
    </w:p>
    <w:p w14:paraId="07B4F691" w14:textId="3D455119"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3o.</w:t>
      </w:r>
      <w:r w:rsidRPr="006969B3">
        <w:rPr>
          <w:rFonts w:ascii="Arial" w:hAnsi="Arial" w:cs="Arial"/>
          <w:sz w:val="22"/>
          <w:szCs w:val="22"/>
          <w:lang w:val="es-CO"/>
        </w:rPr>
        <w:t> Los sujetos pasivos objeto de la presente contribución están obligados a reportar a más tardar el 30 de abril de cada vigencia la información requerida para el cálculo de la tarifa y la liquidación de la contribución especial en el formato que para el efecto defina la CRA, la CREG y la SSPD a través del SUI.</w:t>
      </w:r>
    </w:p>
    <w:p w14:paraId="60B233D7"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4463DCEF" w14:textId="1D51A84C"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no reporte de información, en las condiciones de oportunidad, calidad e integralidad definidos por la SSPD, generará la imposición de las sanciones a que hubiere lugar.</w:t>
      </w:r>
    </w:p>
    <w:p w14:paraId="343CC6DD" w14:textId="77777777" w:rsidR="00F65283" w:rsidRPr="006969B3" w:rsidRDefault="00F65283" w:rsidP="00F65283">
      <w:pPr>
        <w:pStyle w:val="NormalWeb"/>
        <w:spacing w:before="0" w:beforeAutospacing="0" w:after="0" w:afterAutospacing="0"/>
        <w:jc w:val="both"/>
        <w:rPr>
          <w:rStyle w:val="baj"/>
          <w:rFonts w:ascii="Arial" w:hAnsi="Arial" w:cs="Arial"/>
          <w:sz w:val="22"/>
          <w:szCs w:val="22"/>
          <w:lang w:val="es-CO"/>
        </w:rPr>
      </w:pPr>
    </w:p>
    <w:p w14:paraId="461FA8DF" w14:textId="2F7B9CD8"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TRANSITORIO.</w:t>
      </w:r>
      <w:r w:rsidRPr="006969B3">
        <w:rPr>
          <w:rFonts w:ascii="Arial" w:hAnsi="Arial" w:cs="Arial"/>
          <w:sz w:val="22"/>
          <w:szCs w:val="22"/>
          <w:lang w:val="es-CO"/>
        </w:rPr>
        <w:t> Para la vigencia de 2019 el plazo para el cargue de la información será el 31 de julio.</w:t>
      </w:r>
    </w:p>
    <w:p w14:paraId="70685453"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bookmarkStart w:id="28" w:name="19"/>
    </w:p>
    <w:p w14:paraId="45DCCAA7" w14:textId="3D590CAC"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19. SANCIONES.</w:t>
      </w:r>
      <w:bookmarkEnd w:id="28"/>
      <w:r w:rsidRPr="006969B3">
        <w:rPr>
          <w:rFonts w:ascii="Arial" w:hAnsi="Arial" w:cs="Arial"/>
          <w:sz w:val="22"/>
          <w:szCs w:val="22"/>
          <w:lang w:val="es-CO"/>
        </w:rPr>
        <w:t> Modifíquese el numeral 81.2 del artículo</w:t>
      </w:r>
      <w:r w:rsidR="00FD782C">
        <w:rPr>
          <w:rFonts w:ascii="Arial" w:hAnsi="Arial" w:cs="Arial"/>
          <w:sz w:val="22"/>
          <w:szCs w:val="22"/>
          <w:lang w:val="es-CO"/>
        </w:rPr>
        <w:t xml:space="preserve"> 81</w:t>
      </w:r>
      <w:r w:rsidRPr="006969B3">
        <w:rPr>
          <w:rFonts w:ascii="Arial" w:hAnsi="Arial" w:cs="Arial"/>
          <w:sz w:val="22"/>
          <w:szCs w:val="22"/>
          <w:lang w:val="es-CO"/>
        </w:rPr>
        <w:t>de la Ley 142 de 1994, el cual quedará así:</w:t>
      </w:r>
    </w:p>
    <w:p w14:paraId="2BC9B11F"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42574475" w14:textId="4D55FCCB"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81.2 Multas desde 1 hasta 100.000 salarios mínimos legales mensuales vigentes al momento de la imposición de la sanción, a favor del Fondo Empresarial creado por la Ley</w:t>
      </w:r>
      <w:r w:rsidR="00CF1CD7">
        <w:rPr>
          <w:rFonts w:ascii="Arial" w:hAnsi="Arial" w:cs="Arial"/>
          <w:sz w:val="22"/>
          <w:szCs w:val="22"/>
          <w:lang w:val="es-CO"/>
        </w:rPr>
        <w:t xml:space="preserve"> 812</w:t>
      </w:r>
      <w:r w:rsidRPr="006969B3">
        <w:rPr>
          <w:rFonts w:ascii="Arial" w:hAnsi="Arial" w:cs="Arial"/>
          <w:sz w:val="22"/>
          <w:szCs w:val="22"/>
          <w:lang w:val="es-CO"/>
        </w:rPr>
        <w:t> de 2003. El monto de la multa se graduará teniendo en cuenta: 1) el impacto de la infracción sobre la buena marcha del servicio público prestado, 2) el factor de reincidencia considerando el año inmediatamente anterior a la fecha de imposición de la sanción; y 3) La situación financiera de la empresa, para lo cual, se efectuará un análisis de los estados financieros del prestador con corte al 31 de diciembre del año inmediatamente anterior a la fecha de imposición de la sanción. Si la infracción se cometió durante varios años, el monto máximo que arriba se indica se podrá multiplicar por dicho número de años. Si el infractor no proporciona la información necesaria que se le solicite, para determinar el monto de la multa a imponer, dentro de los treinta (30) días siguientes al requerimiento formulado, se le aplicarán las otras sanciones previstas en este artículo.</w:t>
      </w:r>
    </w:p>
    <w:p w14:paraId="5DAB7D04"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28EA038A" w14:textId="739CB3D2"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La multa a imponer a una persona natural que </w:t>
      </w:r>
      <w:proofErr w:type="gramStart"/>
      <w:r w:rsidRPr="006969B3">
        <w:rPr>
          <w:rFonts w:ascii="Arial" w:hAnsi="Arial" w:cs="Arial"/>
          <w:sz w:val="22"/>
          <w:szCs w:val="22"/>
          <w:lang w:val="es-CO"/>
        </w:rPr>
        <w:t>colabore,</w:t>
      </w:r>
      <w:proofErr w:type="gramEnd"/>
      <w:r w:rsidRPr="006969B3">
        <w:rPr>
          <w:rFonts w:ascii="Arial" w:hAnsi="Arial" w:cs="Arial"/>
          <w:sz w:val="22"/>
          <w:szCs w:val="22"/>
          <w:lang w:val="es-CO"/>
        </w:rPr>
        <w:t xml:space="preserve"> facilite, autorice, ejecute o tolere conductas violatorias del régimen de los servicios públicos domiciliarios será de 1 hasta 1.500 salarios mínimos legales mensuales vigentes al momento de la imposición de la sanción. El monto de la multa se graduará teniendo en cuenta:</w:t>
      </w:r>
    </w:p>
    <w:p w14:paraId="5C8FC627"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3496801A" w14:textId="16E7FADE"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lastRenderedPageBreak/>
        <w:t>1) El impacto de la infracción sobre la buena marcha del servicio público prestado y/o sobre el oportuno y efectivo ejercicio de la función de inspección, vigilancia y control a cargo de la Superintendencia; 2) La persistencia en la conducta infractora; 3) El factor de reincidencia considerando el año inmediatamente anterior a la fecha de imposición de la sanción; 4) La colaboración del investigado en el desarrollo de las funciones de inspección, control y vigilancia a cargo de la Superintendencia, y 5) El grado de participación de la persona implicada.</w:t>
      </w:r>
    </w:p>
    <w:p w14:paraId="12A18B6A"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3207AAF5" w14:textId="76DCE09B" w:rsidR="00E319CE" w:rsidRPr="006969B3" w:rsidRDefault="00E319CE" w:rsidP="0BD87144">
      <w:pPr>
        <w:pStyle w:val="NormalWeb"/>
        <w:spacing w:before="0" w:beforeAutospacing="0" w:after="0" w:afterAutospacing="0"/>
        <w:jc w:val="both"/>
        <w:rPr>
          <w:rFonts w:ascii="Arial" w:hAnsi="Arial" w:cs="Arial"/>
          <w:sz w:val="22"/>
          <w:szCs w:val="22"/>
          <w:lang w:val="es-CO"/>
        </w:rPr>
      </w:pPr>
      <w:r w:rsidRPr="0BD87144">
        <w:rPr>
          <w:rFonts w:ascii="Arial" w:hAnsi="Arial" w:cs="Arial"/>
          <w:sz w:val="22"/>
          <w:szCs w:val="22"/>
          <w:lang w:val="es-CO"/>
        </w:rPr>
        <w:t>La facultad para imponer sanciones por la violación al régimen de los servicios públicos domiciliarios caducará a los cinco (5) años de producida la conducta, los cuales se contarán a partir del día siguiente de ocurrido el hecho generador de la sanción o de la última infracción, si la conducta se prolonga en el tiempo.</w:t>
      </w:r>
    </w:p>
    <w:p w14:paraId="20CF6406" w14:textId="400B94D8" w:rsidR="0BD87144" w:rsidRDefault="0BD87144" w:rsidP="0BD87144">
      <w:pPr>
        <w:pStyle w:val="NormalWeb"/>
        <w:spacing w:before="0" w:beforeAutospacing="0" w:after="0" w:afterAutospacing="0"/>
        <w:jc w:val="both"/>
        <w:rPr>
          <w:rFonts w:ascii="Arial" w:hAnsi="Arial" w:cs="Arial"/>
          <w:sz w:val="22"/>
          <w:szCs w:val="22"/>
          <w:lang w:val="es-CO"/>
        </w:rPr>
      </w:pPr>
    </w:p>
    <w:p w14:paraId="0618D31D" w14:textId="42169FE1" w:rsidR="0BD87144" w:rsidRDefault="0BD87144" w:rsidP="0BD87144">
      <w:pPr>
        <w:pStyle w:val="NormalWeb"/>
        <w:spacing w:before="0" w:beforeAutospacing="0" w:after="0" w:afterAutospacing="0"/>
        <w:jc w:val="both"/>
        <w:rPr>
          <w:rFonts w:ascii="Arial" w:hAnsi="Arial" w:cs="Arial"/>
          <w:sz w:val="20"/>
          <w:szCs w:val="20"/>
          <w:lang w:val="es-CO"/>
        </w:rPr>
      </w:pPr>
      <w:r w:rsidRPr="0BD87144">
        <w:rPr>
          <w:rFonts w:ascii="Arial" w:hAnsi="Arial" w:cs="Arial"/>
          <w:sz w:val="20"/>
          <w:szCs w:val="20"/>
          <w:lang w:val="es-CO"/>
        </w:rPr>
        <w:t xml:space="preserve">Ver conceptos: </w:t>
      </w:r>
      <w:hyperlink r:id="rId8">
        <w:r w:rsidRPr="0BD87144">
          <w:rPr>
            <w:rStyle w:val="Hipervnculo"/>
            <w:rFonts w:ascii="Arial" w:hAnsi="Arial" w:cs="Arial"/>
            <w:sz w:val="20"/>
            <w:szCs w:val="20"/>
            <w:lang w:val="es-CO"/>
          </w:rPr>
          <w:t>C-156 del 03/04/2020</w:t>
        </w:r>
      </w:hyperlink>
    </w:p>
    <w:p w14:paraId="6B365025" w14:textId="5A6E2F5B" w:rsidR="00E319CE" w:rsidRPr="006969B3" w:rsidRDefault="00E319CE" w:rsidP="00F65283">
      <w:pPr>
        <w:spacing w:after="0" w:line="240" w:lineRule="auto"/>
        <w:rPr>
          <w:rFonts w:ascii="Arial" w:hAnsi="Arial" w:cs="Arial"/>
          <w:lang w:val="es-CO"/>
        </w:rPr>
      </w:pPr>
    </w:p>
    <w:p w14:paraId="1DAD7ECC" w14:textId="24128BC0" w:rsidR="00E319CE" w:rsidRPr="006969B3" w:rsidRDefault="00E319CE" w:rsidP="00F65283">
      <w:pPr>
        <w:pStyle w:val="NormalWeb"/>
        <w:spacing w:before="0" w:beforeAutospacing="0" w:after="0" w:afterAutospacing="0"/>
        <w:jc w:val="both"/>
        <w:rPr>
          <w:rFonts w:ascii="Arial" w:hAnsi="Arial" w:cs="Arial"/>
          <w:sz w:val="22"/>
          <w:szCs w:val="22"/>
          <w:lang w:val="es-CO"/>
        </w:rPr>
      </w:pPr>
      <w:bookmarkStart w:id="29" w:name="20"/>
      <w:r w:rsidRPr="006969B3">
        <w:rPr>
          <w:rFonts w:ascii="Arial" w:hAnsi="Arial" w:cs="Arial"/>
          <w:sz w:val="22"/>
          <w:szCs w:val="22"/>
          <w:lang w:val="es-CO"/>
        </w:rPr>
        <w:t>ARTÍCULO 20. TARIFA DE COBROS POR LOS SERVICIOS TÉCNICOS DE PLANEACIÓN DE LA UPME.</w:t>
      </w:r>
      <w:bookmarkEnd w:id="29"/>
      <w:r w:rsidRPr="006969B3">
        <w:rPr>
          <w:rFonts w:ascii="Arial" w:hAnsi="Arial" w:cs="Arial"/>
          <w:sz w:val="22"/>
          <w:szCs w:val="22"/>
          <w:lang w:val="es-CO"/>
        </w:rPr>
        <w:t> La Unidad de Planeación Minero Energética (UPME), en los términos del literal i) del artículo</w:t>
      </w:r>
      <w:r w:rsidR="00FD782C">
        <w:rPr>
          <w:rFonts w:ascii="Arial" w:hAnsi="Arial" w:cs="Arial"/>
          <w:sz w:val="22"/>
          <w:szCs w:val="22"/>
          <w:lang w:val="es-CO"/>
        </w:rPr>
        <w:t xml:space="preserve"> </w:t>
      </w:r>
      <w:proofErr w:type="gramStart"/>
      <w:r w:rsidR="00FD782C">
        <w:rPr>
          <w:rFonts w:ascii="Arial" w:hAnsi="Arial" w:cs="Arial"/>
          <w:sz w:val="22"/>
          <w:szCs w:val="22"/>
          <w:lang w:val="es-CO"/>
        </w:rPr>
        <w:t>16</w:t>
      </w:r>
      <w:r w:rsidRPr="006969B3">
        <w:rPr>
          <w:rFonts w:ascii="Arial" w:hAnsi="Arial" w:cs="Arial"/>
          <w:sz w:val="22"/>
          <w:szCs w:val="22"/>
          <w:lang w:val="es-CO"/>
        </w:rPr>
        <w:t>  de</w:t>
      </w:r>
      <w:proofErr w:type="gramEnd"/>
      <w:r w:rsidRPr="006969B3">
        <w:rPr>
          <w:rFonts w:ascii="Arial" w:hAnsi="Arial" w:cs="Arial"/>
          <w:sz w:val="22"/>
          <w:szCs w:val="22"/>
          <w:lang w:val="es-CO"/>
        </w:rPr>
        <w:t xml:space="preserve"> la Ley 143 de 1994, podrá cobrar a aquellas personas naturales o jurídicas que utilicen o soliciten los servicios técnicos de planeación y asesoría relacionados con las actividades de:</w:t>
      </w:r>
    </w:p>
    <w:p w14:paraId="5096AC3F"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23E62C8E" w14:textId="501BABB2"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 Evaluación de proyectos de eficiencia energética y fuentes no convencionales de energía y gestión eficiente de la energía, para acceder a los incentivos tributarios;</w:t>
      </w:r>
    </w:p>
    <w:p w14:paraId="194CF652"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50481243" w14:textId="3F5ACBE5"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b) Evaluación de proyectos del sector energético para acceder a la línea de redescuento con tasa compensada de la Financiera de Desarrollo Territorial S.A. (FINDETER);</w:t>
      </w:r>
    </w:p>
    <w:p w14:paraId="1DF24F4F" w14:textId="77777777" w:rsidR="001B0E49" w:rsidRDefault="001B0E49" w:rsidP="00F65283">
      <w:pPr>
        <w:pStyle w:val="NormalWeb"/>
        <w:spacing w:before="0" w:beforeAutospacing="0" w:after="0" w:afterAutospacing="0"/>
        <w:jc w:val="both"/>
        <w:rPr>
          <w:rFonts w:ascii="Arial" w:hAnsi="Arial" w:cs="Arial"/>
          <w:sz w:val="22"/>
          <w:szCs w:val="22"/>
          <w:lang w:val="es-CO"/>
        </w:rPr>
      </w:pPr>
    </w:p>
    <w:p w14:paraId="77F16389" w14:textId="56E8041A"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c) Emisión de conceptos sobre las conexiones al Sistema Interconectado Nacional, en el marco de la expansión de generación y transmisión de energía, de conformidad con la delegación efectuada por el Ministerio de Minas y Energía.</w:t>
      </w:r>
    </w:p>
    <w:p w14:paraId="7E528FBE"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02847EC0" w14:textId="4CFF6F02"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sistema y método de cálculo de la tarifa incluirá:</w:t>
      </w:r>
    </w:p>
    <w:p w14:paraId="65140B39"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2FFF4885" w14:textId="3892715F"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 El valor total de los honorarios de los profesionales requeridos para la realización de la tarea propuesta. Para este fin se estimará el número de profesionales/mes o contratistas/mes y se aplicarán las categorías y tarifas de honorarios de contratos de la UPME;</w:t>
      </w:r>
    </w:p>
    <w:p w14:paraId="71EF7C81" w14:textId="77777777" w:rsidR="00F65283" w:rsidRPr="006969B3" w:rsidRDefault="00F65283" w:rsidP="00F65283">
      <w:pPr>
        <w:pStyle w:val="NormalWeb"/>
        <w:spacing w:before="0" w:beforeAutospacing="0" w:after="0" w:afterAutospacing="0"/>
        <w:jc w:val="both"/>
        <w:rPr>
          <w:rFonts w:ascii="Arial" w:hAnsi="Arial" w:cs="Arial"/>
          <w:sz w:val="22"/>
          <w:szCs w:val="22"/>
          <w:lang w:val="es-CO"/>
        </w:rPr>
      </w:pPr>
    </w:p>
    <w:p w14:paraId="6F8DD5B5" w14:textId="40615B11"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b) El valor total de los viáticos y gastos de viaje de los profesionales que se ocasionen para el estudio, la expedición, el seguimiento y/o el monitoreo del servicio técnico de planeación y demás instrumentos de control y manejo establecidos en la ley, las resoluciones internas y los reglamentos. Para este fin, sobre el estimativo de visitas a la zona del proyecto se calculará el monto de los gastos de viaje necesarios, valorados de acuerdo con las tarifas del transporte público y la escala de viáticos aplicable a la UPME.</w:t>
      </w:r>
    </w:p>
    <w:p w14:paraId="77B973D1" w14:textId="77777777" w:rsidR="006672C7" w:rsidRPr="006969B3" w:rsidRDefault="006672C7" w:rsidP="00F65283">
      <w:pPr>
        <w:pStyle w:val="NormalWeb"/>
        <w:spacing w:before="0" w:beforeAutospacing="0" w:after="0" w:afterAutospacing="0"/>
        <w:jc w:val="both"/>
        <w:rPr>
          <w:rFonts w:ascii="Arial" w:hAnsi="Arial" w:cs="Arial"/>
          <w:sz w:val="22"/>
          <w:szCs w:val="22"/>
          <w:lang w:val="es-CO"/>
        </w:rPr>
      </w:pPr>
    </w:p>
    <w:p w14:paraId="2F4C64DC" w14:textId="0D3CFCC3"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Las tarifas que se cobrarán por concepto de la prestación de los servicios de planeación y asesoría descritos </w:t>
      </w:r>
      <w:proofErr w:type="gramStart"/>
      <w:r w:rsidRPr="006969B3">
        <w:rPr>
          <w:rFonts w:ascii="Arial" w:hAnsi="Arial" w:cs="Arial"/>
          <w:sz w:val="22"/>
          <w:szCs w:val="22"/>
          <w:lang w:val="es-CO"/>
        </w:rPr>
        <w:t>corresponderá</w:t>
      </w:r>
      <w:proofErr w:type="gramEnd"/>
      <w:r w:rsidRPr="006969B3">
        <w:rPr>
          <w:rFonts w:ascii="Arial" w:hAnsi="Arial" w:cs="Arial"/>
          <w:sz w:val="22"/>
          <w:szCs w:val="22"/>
          <w:lang w:val="es-CO"/>
        </w:rPr>
        <w:t xml:space="preserve"> a una tasa hasta de:</w:t>
      </w:r>
    </w:p>
    <w:p w14:paraId="4536002E" w14:textId="77777777" w:rsidR="006672C7" w:rsidRPr="006969B3" w:rsidRDefault="006672C7" w:rsidP="00F65283">
      <w:pPr>
        <w:pStyle w:val="NormalWeb"/>
        <w:spacing w:before="0" w:beforeAutospacing="0" w:after="0" w:afterAutospacing="0"/>
        <w:jc w:val="both"/>
        <w:rPr>
          <w:rFonts w:ascii="Arial" w:hAnsi="Arial" w:cs="Arial"/>
          <w:sz w:val="22"/>
          <w:szCs w:val="22"/>
          <w:lang w:val="es-CO"/>
        </w:rPr>
      </w:pPr>
    </w:p>
    <w:p w14:paraId="20C6192D" w14:textId="209D14DC"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El 1% de los beneficios tributarios solicitados por el usuario solicitante, en el caso de la evaluación de los proyectos de eficiencia energética y fuentes no convencionales de energía y gestión eficiente de la energía;</w:t>
      </w:r>
    </w:p>
    <w:p w14:paraId="17A27979" w14:textId="77777777" w:rsidR="006672C7" w:rsidRPr="006969B3" w:rsidRDefault="006672C7" w:rsidP="00F65283">
      <w:pPr>
        <w:pStyle w:val="NormalWeb"/>
        <w:spacing w:before="0" w:beforeAutospacing="0" w:after="0" w:afterAutospacing="0"/>
        <w:jc w:val="both"/>
        <w:rPr>
          <w:rFonts w:ascii="Arial" w:hAnsi="Arial" w:cs="Arial"/>
          <w:sz w:val="22"/>
          <w:szCs w:val="22"/>
          <w:lang w:val="es-CO"/>
        </w:rPr>
      </w:pPr>
    </w:p>
    <w:p w14:paraId="6AC0913C" w14:textId="43B1D0C2"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El 1% del valor de los proyectos del sector energético a financiar con la línea de redescuento con tasa compensada de la Financiera de Desarrollo Territorial (S.A.) (FINDETER).</w:t>
      </w:r>
    </w:p>
    <w:p w14:paraId="512B3DA0" w14:textId="77777777" w:rsidR="006672C7" w:rsidRPr="006969B3" w:rsidRDefault="006672C7" w:rsidP="00F65283">
      <w:pPr>
        <w:pStyle w:val="NormalWeb"/>
        <w:spacing w:before="0" w:beforeAutospacing="0" w:after="0" w:afterAutospacing="0"/>
        <w:jc w:val="both"/>
        <w:rPr>
          <w:rFonts w:ascii="Arial" w:hAnsi="Arial" w:cs="Arial"/>
          <w:sz w:val="22"/>
          <w:szCs w:val="22"/>
          <w:lang w:val="es-CO"/>
        </w:rPr>
      </w:pPr>
    </w:p>
    <w:p w14:paraId="7890AC58" w14:textId="4F1AC603"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- 50 </w:t>
      </w:r>
      <w:proofErr w:type="spellStart"/>
      <w:r w:rsidRPr="006969B3">
        <w:rPr>
          <w:rFonts w:ascii="Arial" w:hAnsi="Arial" w:cs="Arial"/>
          <w:sz w:val="22"/>
          <w:szCs w:val="22"/>
          <w:lang w:val="es-CO"/>
        </w:rPr>
        <w:t>smlmv</w:t>
      </w:r>
      <w:proofErr w:type="spellEnd"/>
      <w:r w:rsidRPr="006969B3">
        <w:rPr>
          <w:rFonts w:ascii="Arial" w:hAnsi="Arial" w:cs="Arial"/>
          <w:sz w:val="22"/>
          <w:szCs w:val="22"/>
          <w:lang w:val="es-CO"/>
        </w:rPr>
        <w:t xml:space="preserve"> por solicitud de conexión al Sistema Interconectado Nacional.</w:t>
      </w:r>
    </w:p>
    <w:p w14:paraId="1AC06BCF" w14:textId="77777777" w:rsidR="006672C7" w:rsidRPr="006969B3" w:rsidRDefault="006672C7" w:rsidP="00F65283">
      <w:pPr>
        <w:pStyle w:val="NormalWeb"/>
        <w:spacing w:before="0" w:beforeAutospacing="0" w:after="0" w:afterAutospacing="0"/>
        <w:jc w:val="both"/>
        <w:rPr>
          <w:rFonts w:ascii="Arial" w:hAnsi="Arial" w:cs="Arial"/>
          <w:sz w:val="22"/>
          <w:szCs w:val="22"/>
          <w:lang w:val="es-CO"/>
        </w:rPr>
      </w:pPr>
    </w:p>
    <w:p w14:paraId="6130AE58" w14:textId="02E8097B"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Los recursos que se recauden por concepto del cobro de los citados servicios técnicos de planeación y asesoría de que trata el presente artículo, serán depositados en un patrimonio autónomo que la UPME constituirá a través de un contrato de fiducia mercantil que se someterá a las normas del derecho privado. Dichos recursos serán utilizados para sufragar los costos relacionados con la emisión de conceptos técnicos, la evaluación y el seguimiento en que deba incurrir la UPME para la prestación de estos servicios.</w:t>
      </w:r>
    </w:p>
    <w:p w14:paraId="239D41E8" w14:textId="62F4998C" w:rsidR="00E319CE" w:rsidRPr="006969B3" w:rsidRDefault="00E319CE" w:rsidP="00F65283">
      <w:pPr>
        <w:spacing w:after="0" w:line="240" w:lineRule="auto"/>
        <w:rPr>
          <w:rFonts w:ascii="Arial" w:hAnsi="Arial" w:cs="Arial"/>
          <w:lang w:val="es-CO"/>
        </w:rPr>
      </w:pPr>
    </w:p>
    <w:p w14:paraId="62F63640" w14:textId="5383AC22" w:rsidR="00E319CE" w:rsidRPr="006969B3" w:rsidRDefault="00E319CE" w:rsidP="00F65283">
      <w:pPr>
        <w:pStyle w:val="NormalWeb"/>
        <w:spacing w:before="0" w:beforeAutospacing="0" w:after="0" w:afterAutospacing="0"/>
        <w:jc w:val="both"/>
        <w:rPr>
          <w:rFonts w:ascii="Arial" w:hAnsi="Arial" w:cs="Arial"/>
          <w:sz w:val="22"/>
          <w:szCs w:val="22"/>
          <w:lang w:val="es-CO"/>
        </w:rPr>
      </w:pPr>
      <w:bookmarkStart w:id="30" w:name="21"/>
      <w:r w:rsidRPr="006969B3">
        <w:rPr>
          <w:rFonts w:ascii="Arial" w:hAnsi="Arial" w:cs="Arial"/>
          <w:sz w:val="22"/>
          <w:szCs w:val="22"/>
          <w:lang w:val="es-CO"/>
        </w:rPr>
        <w:t>ARTÍCULO 21. VIGENCIA FONDOS ELÉCTRICOS.</w:t>
      </w:r>
      <w:bookmarkEnd w:id="30"/>
      <w:r w:rsidRPr="006969B3">
        <w:rPr>
          <w:rFonts w:ascii="Arial" w:hAnsi="Arial" w:cs="Arial"/>
          <w:sz w:val="22"/>
          <w:szCs w:val="22"/>
          <w:lang w:val="es-CO"/>
        </w:rPr>
        <w:t> El Fondo de Apoyo Financiero para la Energización de Zonas Rurales Interconectadas (FAER) creado por el artículo</w:t>
      </w:r>
      <w:r w:rsidR="00FD782C">
        <w:rPr>
          <w:rFonts w:ascii="Arial" w:hAnsi="Arial" w:cs="Arial"/>
          <w:sz w:val="22"/>
          <w:szCs w:val="22"/>
          <w:lang w:val="es-CO"/>
        </w:rPr>
        <w:t xml:space="preserve"> </w:t>
      </w:r>
      <w:proofErr w:type="gramStart"/>
      <w:r w:rsidR="00FD782C">
        <w:rPr>
          <w:rFonts w:ascii="Arial" w:hAnsi="Arial" w:cs="Arial"/>
          <w:sz w:val="22"/>
          <w:szCs w:val="22"/>
          <w:lang w:val="es-CO"/>
        </w:rPr>
        <w:t>105</w:t>
      </w:r>
      <w:r w:rsidRPr="006969B3">
        <w:rPr>
          <w:rFonts w:ascii="Arial" w:hAnsi="Arial" w:cs="Arial"/>
          <w:sz w:val="22"/>
          <w:szCs w:val="22"/>
          <w:lang w:val="es-CO"/>
        </w:rPr>
        <w:t>  de</w:t>
      </w:r>
      <w:proofErr w:type="gramEnd"/>
      <w:r w:rsidRPr="006969B3">
        <w:rPr>
          <w:rFonts w:ascii="Arial" w:hAnsi="Arial" w:cs="Arial"/>
          <w:sz w:val="22"/>
          <w:szCs w:val="22"/>
          <w:lang w:val="es-CO"/>
        </w:rPr>
        <w:t xml:space="preserve"> la Ley 788 de 2002, el Programa de Normalización de Redes Eléctricas (PRONE) creado por el artículo</w:t>
      </w:r>
      <w:r w:rsidR="00CF1CD7">
        <w:rPr>
          <w:rFonts w:ascii="Arial" w:hAnsi="Arial" w:cs="Arial"/>
          <w:sz w:val="22"/>
          <w:szCs w:val="22"/>
          <w:lang w:val="es-CO"/>
        </w:rPr>
        <w:t xml:space="preserve"> 1o</w:t>
      </w:r>
      <w:r w:rsidRPr="006969B3">
        <w:rPr>
          <w:rFonts w:ascii="Arial" w:hAnsi="Arial" w:cs="Arial"/>
          <w:sz w:val="22"/>
          <w:szCs w:val="22"/>
          <w:lang w:val="es-CO"/>
        </w:rPr>
        <w:t> de la Ley 1117 de 2006 y el Fondo de Apoyo Financiero para la Energización de las Zonas No Interconectadas (FAZNI) de que trata el artículo</w:t>
      </w:r>
      <w:r w:rsidR="00FD782C">
        <w:rPr>
          <w:rFonts w:ascii="Arial" w:hAnsi="Arial" w:cs="Arial"/>
          <w:sz w:val="22"/>
          <w:szCs w:val="22"/>
          <w:lang w:val="es-CO"/>
        </w:rPr>
        <w:t xml:space="preserve"> 82</w:t>
      </w:r>
      <w:r w:rsidRPr="006969B3">
        <w:rPr>
          <w:rFonts w:ascii="Arial" w:hAnsi="Arial" w:cs="Arial"/>
          <w:sz w:val="22"/>
          <w:szCs w:val="22"/>
          <w:lang w:val="es-CO"/>
        </w:rPr>
        <w:t>  de la Ley 633 de 2000, tendrán vigencia hasta el 31 de diciembre de 2030.</w:t>
      </w:r>
    </w:p>
    <w:p w14:paraId="6F402C44" w14:textId="77777777" w:rsidR="006672C7" w:rsidRPr="006969B3" w:rsidRDefault="006672C7" w:rsidP="00F65283">
      <w:pPr>
        <w:pStyle w:val="NormalWeb"/>
        <w:spacing w:before="0" w:beforeAutospacing="0" w:after="0" w:afterAutospacing="0"/>
        <w:jc w:val="both"/>
        <w:rPr>
          <w:rFonts w:ascii="Arial" w:hAnsi="Arial" w:cs="Arial"/>
          <w:sz w:val="22"/>
          <w:szCs w:val="22"/>
          <w:lang w:val="es-CO"/>
        </w:rPr>
      </w:pPr>
    </w:p>
    <w:p w14:paraId="1A8C0E58" w14:textId="5CB38D4A"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Estos fondos recibirán recursos de conformidad con las condiciones y tarifas que se encuentran vigentes a la fecha de expedición de la presente Ley.</w:t>
      </w:r>
    </w:p>
    <w:p w14:paraId="0A0EF853" w14:textId="0BEF2B7C" w:rsidR="00E319CE" w:rsidRPr="006969B3" w:rsidRDefault="00E319CE" w:rsidP="00F65283">
      <w:pPr>
        <w:spacing w:after="0" w:line="240" w:lineRule="auto"/>
        <w:rPr>
          <w:rFonts w:ascii="Arial" w:hAnsi="Arial" w:cs="Arial"/>
          <w:lang w:val="es-CO"/>
        </w:rPr>
      </w:pPr>
    </w:p>
    <w:p w14:paraId="7B593E06" w14:textId="77777777" w:rsidR="00E319CE" w:rsidRPr="006969B3" w:rsidRDefault="00E319CE" w:rsidP="00F65283">
      <w:pPr>
        <w:pStyle w:val="NormalWeb"/>
        <w:spacing w:before="0" w:beforeAutospacing="0" w:after="0" w:afterAutospacing="0"/>
        <w:jc w:val="both"/>
        <w:rPr>
          <w:rFonts w:ascii="Arial" w:hAnsi="Arial" w:cs="Arial"/>
          <w:sz w:val="22"/>
          <w:szCs w:val="22"/>
          <w:lang w:val="es-CO"/>
        </w:rPr>
      </w:pPr>
      <w:bookmarkStart w:id="31" w:name="22"/>
      <w:r w:rsidRPr="006969B3">
        <w:rPr>
          <w:rFonts w:ascii="Arial" w:hAnsi="Arial" w:cs="Arial"/>
          <w:sz w:val="22"/>
          <w:szCs w:val="22"/>
          <w:lang w:val="es-CO"/>
        </w:rPr>
        <w:t>ARTÍCULO 22. LICENCIA AMBIENTAL TEMPORAL PARA LA FORMALIZACIÓN MINERA.</w:t>
      </w:r>
      <w:bookmarkEnd w:id="31"/>
      <w:r w:rsidRPr="006969B3">
        <w:rPr>
          <w:rFonts w:ascii="Arial" w:hAnsi="Arial" w:cs="Arial"/>
          <w:sz w:val="22"/>
          <w:szCs w:val="22"/>
          <w:lang w:val="es-CO"/>
        </w:rPr>
        <w:t xml:space="preserve"> Las actividades de explotación minera que pretendan obtener su título minero bajo el marco normativo de la formalización de minería tradicional o en virtud de la formalización que ocurra con posterioridad a las declaratorias y delimitaciones de áreas de reserva especial o que pretendan ser cobijadas a través de alguno de los mecanismos para la formalización bajo el amparo de un título minero en la pequeña mi </w:t>
      </w:r>
      <w:proofErr w:type="spellStart"/>
      <w:r w:rsidRPr="006969B3">
        <w:rPr>
          <w:rFonts w:ascii="Arial" w:hAnsi="Arial" w:cs="Arial"/>
          <w:sz w:val="22"/>
          <w:szCs w:val="22"/>
          <w:lang w:val="es-CO"/>
        </w:rPr>
        <w:t>nería</w:t>
      </w:r>
      <w:proofErr w:type="spellEnd"/>
      <w:r w:rsidRPr="006969B3">
        <w:rPr>
          <w:rFonts w:ascii="Arial" w:hAnsi="Arial" w:cs="Arial"/>
          <w:sz w:val="22"/>
          <w:szCs w:val="22"/>
          <w:lang w:val="es-CO"/>
        </w:rPr>
        <w:t>, deberán tramitar y obtener licencia ambiental temporal para la formalización minera.</w:t>
      </w:r>
    </w:p>
    <w:p w14:paraId="22A43B1C" w14:textId="77777777" w:rsidR="006672C7" w:rsidRPr="006969B3" w:rsidRDefault="006672C7" w:rsidP="00F65283">
      <w:pPr>
        <w:pStyle w:val="NormalWeb"/>
        <w:spacing w:before="0" w:beforeAutospacing="0" w:after="0" w:afterAutospacing="0"/>
        <w:jc w:val="both"/>
        <w:rPr>
          <w:rFonts w:ascii="Arial" w:hAnsi="Arial" w:cs="Arial"/>
          <w:sz w:val="22"/>
          <w:szCs w:val="22"/>
          <w:lang w:val="es-CO"/>
        </w:rPr>
      </w:pPr>
    </w:p>
    <w:p w14:paraId="29AD5D06" w14:textId="36E6EF71"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Para el efecto, dentro de los tres meses siguiente a la firmeza del acto administrativo que autoriza el subcontrato de formalización, que aprueba la devolución de áreas para la formalización o que declara y delimita el área de reserva especial de que trata el artículo</w:t>
      </w:r>
      <w:r w:rsidR="00CF1CD7">
        <w:rPr>
          <w:rFonts w:ascii="Arial" w:hAnsi="Arial" w:cs="Arial"/>
          <w:sz w:val="22"/>
          <w:szCs w:val="22"/>
          <w:lang w:val="es-CO"/>
        </w:rPr>
        <w:t xml:space="preserve"> 31</w:t>
      </w:r>
      <w:r w:rsidRPr="006969B3">
        <w:rPr>
          <w:rFonts w:ascii="Arial" w:hAnsi="Arial" w:cs="Arial"/>
          <w:sz w:val="22"/>
          <w:szCs w:val="22"/>
          <w:lang w:val="es-CO"/>
        </w:rPr>
        <w:t> de la Ley 685 de 2001, se deberá radicar por parte del interesado el respectivo Estudio de Impacto Ambiental junto con la solicitud de licencia ambiental temporal para la formalización minera.</w:t>
      </w:r>
    </w:p>
    <w:p w14:paraId="6CBF13D5" w14:textId="77777777" w:rsidR="006672C7" w:rsidRPr="006969B3" w:rsidRDefault="006672C7" w:rsidP="00F65283">
      <w:pPr>
        <w:pStyle w:val="NormalWeb"/>
        <w:spacing w:before="0" w:beforeAutospacing="0" w:after="0" w:afterAutospacing="0"/>
        <w:jc w:val="both"/>
        <w:rPr>
          <w:rFonts w:ascii="Arial" w:hAnsi="Arial" w:cs="Arial"/>
          <w:sz w:val="22"/>
          <w:szCs w:val="22"/>
          <w:lang w:val="es-CO"/>
        </w:rPr>
      </w:pPr>
    </w:p>
    <w:p w14:paraId="7AD677EF" w14:textId="117C686F"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Una vez radicado el Estudio de Impacto Ambiental, la autoridad ambiental, dentro de los treinta (30) días siguientes, se pronunciará, mediante acto administrativo, sobre la viabilidad o no de la licencia ambiental temporal para la formalización minera, la cual tendrá vigencia por el término de duración del trámite de formalización minera y dos (2) meses adicionales después de otorgado el contrato de concesión minera o la anotación del subcontrato en el Registro Minero Nacional, término en el cual deberá presentarse por el interesado la solicitud de licencia ambiental global o definitiva.</w:t>
      </w:r>
    </w:p>
    <w:p w14:paraId="43414873" w14:textId="77777777" w:rsidR="006672C7" w:rsidRPr="006969B3" w:rsidRDefault="006672C7" w:rsidP="00F65283">
      <w:pPr>
        <w:pStyle w:val="NormalWeb"/>
        <w:spacing w:before="0" w:beforeAutospacing="0" w:after="0" w:afterAutospacing="0"/>
        <w:jc w:val="both"/>
        <w:rPr>
          <w:rFonts w:ascii="Arial" w:hAnsi="Arial" w:cs="Arial"/>
          <w:sz w:val="22"/>
          <w:szCs w:val="22"/>
          <w:lang w:val="es-CO"/>
        </w:rPr>
      </w:pPr>
    </w:p>
    <w:p w14:paraId="10C3F3FA" w14:textId="7968C457"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La autoridad ambiental que otorga la licencia ambiental temporal para la formalización </w:t>
      </w:r>
      <w:proofErr w:type="gramStart"/>
      <w:r w:rsidRPr="006969B3">
        <w:rPr>
          <w:rFonts w:ascii="Arial" w:hAnsi="Arial" w:cs="Arial"/>
          <w:sz w:val="22"/>
          <w:szCs w:val="22"/>
          <w:lang w:val="es-CO"/>
        </w:rPr>
        <w:t>minera,</w:t>
      </w:r>
      <w:proofErr w:type="gramEnd"/>
      <w:r w:rsidRPr="006969B3">
        <w:rPr>
          <w:rFonts w:ascii="Arial" w:hAnsi="Arial" w:cs="Arial"/>
          <w:sz w:val="22"/>
          <w:szCs w:val="22"/>
          <w:lang w:val="es-CO"/>
        </w:rPr>
        <w:t xml:space="preserve"> deberá hacer seguimiento y control a los términos y condiciones establecidos en ella y en caso de inobservancia de los mismos procederá a requerir por una sola vez al interesado, para que en un término no mayor a treinta (30) días subsane las faltas </w:t>
      </w:r>
      <w:r w:rsidRPr="006969B3">
        <w:rPr>
          <w:rFonts w:ascii="Arial" w:hAnsi="Arial" w:cs="Arial"/>
          <w:sz w:val="22"/>
          <w:szCs w:val="22"/>
          <w:lang w:val="es-CO"/>
        </w:rPr>
        <w:lastRenderedPageBreak/>
        <w:t>encontradas. Vencido este término, la autoridad ambiental se pronunciará, y en el evento en que el interesado no subsane la falta o no desvirtúe el incumplimiento, comunicará tal situación a la autoridad minera dentro de los cinco (5) días siguientes, a efectos de que dicha entidad proceda de manera inmediata al rechazo de la solicitud de formalización de minería tradicional o a la revocatoria del acto administrativo de autorización del subcontrato de formalización minera, de delimitación y declaración del Área de Reserva Especial o el de la aprobación de la devolución de áreas para la formalización. De la actuación que surta la autoridad minera se correrá traslado a la Policía Nacional, para lo de su competencia.</w:t>
      </w:r>
    </w:p>
    <w:p w14:paraId="223283C0" w14:textId="77777777" w:rsidR="006672C7" w:rsidRPr="006969B3" w:rsidRDefault="006672C7" w:rsidP="00F65283">
      <w:pPr>
        <w:pStyle w:val="NormalWeb"/>
        <w:spacing w:before="0" w:beforeAutospacing="0" w:after="0" w:afterAutospacing="0"/>
        <w:jc w:val="both"/>
        <w:rPr>
          <w:rFonts w:ascii="Arial" w:hAnsi="Arial" w:cs="Arial"/>
          <w:sz w:val="22"/>
          <w:szCs w:val="22"/>
          <w:lang w:val="es-CO"/>
        </w:rPr>
      </w:pPr>
    </w:p>
    <w:p w14:paraId="487383E1" w14:textId="502893E6"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No </w:t>
      </w:r>
      <w:proofErr w:type="gramStart"/>
      <w:r w:rsidRPr="006969B3">
        <w:rPr>
          <w:rFonts w:ascii="Arial" w:hAnsi="Arial" w:cs="Arial"/>
          <w:sz w:val="22"/>
          <w:szCs w:val="22"/>
          <w:lang w:val="es-CO"/>
        </w:rPr>
        <w:t>obstante</w:t>
      </w:r>
      <w:proofErr w:type="gramEnd"/>
      <w:r w:rsidRPr="006969B3">
        <w:rPr>
          <w:rFonts w:ascii="Arial" w:hAnsi="Arial" w:cs="Arial"/>
          <w:sz w:val="22"/>
          <w:szCs w:val="22"/>
          <w:lang w:val="es-CO"/>
        </w:rPr>
        <w:t xml:space="preserve"> lo anterior, una vez otorgado el contrato de concesión minera o realizada la anotación en el Registro Minero Nacional del subcontrato de formalización, su titular deberá tramitar y obtener ante la autoridad ambiental competente la correspondiente licencia ambiental global o definitiva que ampare la actividad. Este trámite deberá ceñirse a los términos y condiciones establecidos en el Título VIII de la Ley</w:t>
      </w:r>
      <w:r w:rsidR="00FD782C">
        <w:rPr>
          <w:rFonts w:ascii="Arial" w:hAnsi="Arial" w:cs="Arial"/>
          <w:sz w:val="22"/>
          <w:szCs w:val="22"/>
          <w:lang w:val="es-CO"/>
        </w:rPr>
        <w:t xml:space="preserve"> 99</w:t>
      </w:r>
      <w:r w:rsidRPr="006969B3">
        <w:rPr>
          <w:rFonts w:ascii="Arial" w:hAnsi="Arial" w:cs="Arial"/>
          <w:sz w:val="22"/>
          <w:szCs w:val="22"/>
          <w:lang w:val="es-CO"/>
        </w:rPr>
        <w:t> de 1993 y sus normas reglamentarias. En todo caso, el acto administrativo de inicio del trámite de la licencia ambiental global antes mencionado, extenderá la vigencia de la licencia ambiental temporal para la formalización hasta que la autoridad ambiental competente se pronuncie sobre la viabilidad o no de la licencia ambiental global o definitiva. El incumplimiento de los términos y condiciones aquí descritos serán causal de rechazo de la solicitudes de formalización de minería tradicional o del subcontrato de formalización minera o de revocatoria de los actos administrativos de aceptación de la devolución de áreas para la formalización o del de declaración y delimitación del Área de Reserva Especial o de caducidad del contrato de concesión minera, según sea el caso; así como de la imposición de las medidas preventivas y sancionatorias consagradas en la Ley</w:t>
      </w:r>
      <w:r w:rsidR="00865406">
        <w:rPr>
          <w:rFonts w:ascii="Arial" w:hAnsi="Arial" w:cs="Arial"/>
          <w:sz w:val="22"/>
          <w:szCs w:val="22"/>
          <w:lang w:val="es-CO"/>
        </w:rPr>
        <w:t xml:space="preserve"> 1333</w:t>
      </w:r>
      <w:r w:rsidRPr="006969B3">
        <w:rPr>
          <w:rFonts w:ascii="Arial" w:hAnsi="Arial" w:cs="Arial"/>
          <w:sz w:val="22"/>
          <w:szCs w:val="22"/>
          <w:lang w:val="es-CO"/>
        </w:rPr>
        <w:t>  de 2009.</w:t>
      </w:r>
    </w:p>
    <w:p w14:paraId="0259D44C" w14:textId="77777777" w:rsidR="006672C7" w:rsidRPr="006969B3" w:rsidRDefault="006672C7" w:rsidP="00F65283">
      <w:pPr>
        <w:pStyle w:val="NormalWeb"/>
        <w:spacing w:before="0" w:beforeAutospacing="0" w:after="0" w:afterAutospacing="0"/>
        <w:jc w:val="both"/>
        <w:rPr>
          <w:rFonts w:ascii="Arial" w:hAnsi="Arial" w:cs="Arial"/>
          <w:sz w:val="22"/>
          <w:szCs w:val="22"/>
          <w:lang w:val="es-CO"/>
        </w:rPr>
      </w:pPr>
    </w:p>
    <w:p w14:paraId="12972236" w14:textId="06F50F55"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En todo caso, tanto las autoridades ambientales competentes como la autoridad minera deberán observar de manera estricta el cumplimiento de los plazos establecidos en las normas que regulan los procesos del presente artículo.</w:t>
      </w:r>
    </w:p>
    <w:p w14:paraId="5DDE1A4D" w14:textId="77777777" w:rsidR="006672C7" w:rsidRPr="006969B3" w:rsidRDefault="006672C7" w:rsidP="00F65283">
      <w:pPr>
        <w:pStyle w:val="NormalWeb"/>
        <w:spacing w:before="0" w:beforeAutospacing="0" w:after="0" w:afterAutospacing="0"/>
        <w:jc w:val="both"/>
        <w:rPr>
          <w:rFonts w:ascii="Arial" w:hAnsi="Arial" w:cs="Arial"/>
          <w:sz w:val="22"/>
          <w:szCs w:val="22"/>
          <w:lang w:val="es-CO"/>
        </w:rPr>
      </w:pPr>
    </w:p>
    <w:p w14:paraId="4B08326E" w14:textId="052D95BB"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El Ministerio de Ambiente y Desarrollo Sostenible deberá expedir los términos de referencia diferenciales para la elaboración del estudio de impacto ambiental de la licencia ambiental temporal para la formalización minera, teniendo en cuenta la particularidad de los procesos de formalización de que trata el presente artículo. Las autoridades ambientales competentes cobrarán los servicios de seguimiento ambiental que se efectúen a las actividades mineras durante la implementación de la licencia ambienta temporal para la formalización minera de conformidad con lo dispuesto en la </w:t>
      </w:r>
      <w:proofErr w:type="gramStart"/>
      <w:r w:rsidRPr="006969B3">
        <w:rPr>
          <w:rFonts w:ascii="Arial" w:hAnsi="Arial" w:cs="Arial"/>
          <w:sz w:val="22"/>
          <w:szCs w:val="22"/>
          <w:lang w:val="es-CO"/>
        </w:rPr>
        <w:t>Ley </w:t>
      </w:r>
      <w:r w:rsidR="002F71E6">
        <w:rPr>
          <w:rFonts w:ascii="Arial" w:hAnsi="Arial" w:cs="Arial"/>
          <w:sz w:val="22"/>
          <w:szCs w:val="22"/>
          <w:lang w:val="es-CO"/>
        </w:rPr>
        <w:t xml:space="preserve"> 633</w:t>
      </w:r>
      <w:proofErr w:type="gramEnd"/>
      <w:r w:rsidRPr="006969B3">
        <w:rPr>
          <w:rFonts w:ascii="Arial" w:hAnsi="Arial" w:cs="Arial"/>
          <w:sz w:val="22"/>
          <w:szCs w:val="22"/>
          <w:lang w:val="es-CO"/>
        </w:rPr>
        <w:t> de 2000, sin perjuicio del cobro del servicio de evaluación que se deba realizar para la imposición del instrumento de manejo y control ambiental que ampare la operación de estas actividades.</w:t>
      </w:r>
    </w:p>
    <w:p w14:paraId="2639E81F" w14:textId="77777777" w:rsidR="006672C7" w:rsidRPr="006969B3" w:rsidRDefault="006672C7" w:rsidP="00F65283">
      <w:pPr>
        <w:pStyle w:val="NormalWeb"/>
        <w:spacing w:before="0" w:beforeAutospacing="0" w:after="0" w:afterAutospacing="0"/>
        <w:jc w:val="both"/>
        <w:rPr>
          <w:rFonts w:ascii="Arial" w:hAnsi="Arial" w:cs="Arial"/>
          <w:sz w:val="22"/>
          <w:szCs w:val="22"/>
          <w:lang w:val="es-CO"/>
        </w:rPr>
      </w:pPr>
    </w:p>
    <w:p w14:paraId="14838460" w14:textId="2CA3E2A0"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Las solicitudes de formalización de minería tradicional que presentaron plan de manejo ambiental no requerirán presentar el estudio de impacto ambiental, por lo tanto, la licencia ambiental temporal para la formalización se otorgará con fundamento en el mencionado plan. En el evento en que el plan de manejo ambiental haya sido aprobado, este será el instrumento de manejo y control ambiental que amparará el proceso.</w:t>
      </w:r>
    </w:p>
    <w:p w14:paraId="62D47B55" w14:textId="77777777" w:rsidR="006672C7" w:rsidRPr="006969B3" w:rsidRDefault="006672C7" w:rsidP="00F65283">
      <w:pPr>
        <w:pStyle w:val="NormalWeb"/>
        <w:spacing w:before="0" w:beforeAutospacing="0" w:after="0" w:afterAutospacing="0"/>
        <w:jc w:val="both"/>
        <w:rPr>
          <w:rFonts w:ascii="Arial" w:hAnsi="Arial" w:cs="Arial"/>
          <w:sz w:val="22"/>
          <w:szCs w:val="22"/>
          <w:lang w:val="es-CO"/>
        </w:rPr>
      </w:pPr>
    </w:p>
    <w:p w14:paraId="147A0542" w14:textId="168AB87E"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Las solicitudes de formalización de minería tradicional que no hayan presentado plan de manejo ambiental, las áreas de reserva especial declaradas y delimitadas, los subcontratos de formalización autorizados y aprobados, y las devoluciones de áreas aprobadas para la formalización antes de la expedición de la presente ley, tendrán un plazo de tres (3) meses para presentar el estudio de impacto ambiental y la solicitud de licencia ambiental temporal para la formalización, contado a partir del día siguiente a la entrada en vigencia de los </w:t>
      </w:r>
      <w:r w:rsidRPr="006969B3">
        <w:rPr>
          <w:rFonts w:ascii="Arial" w:hAnsi="Arial" w:cs="Arial"/>
          <w:sz w:val="22"/>
          <w:szCs w:val="22"/>
          <w:lang w:val="es-CO"/>
        </w:rPr>
        <w:lastRenderedPageBreak/>
        <w:t>términos de referencia diferenciales para la elaboración del estudio de impacto ambiental de la licencia ambiental temporal para la formalización minera por parte del Ministerio de Ambiente y Desarrollo Sostenible.</w:t>
      </w:r>
    </w:p>
    <w:p w14:paraId="2828792A" w14:textId="0C8C699D" w:rsidR="00E319CE" w:rsidRPr="006969B3" w:rsidRDefault="00E319CE" w:rsidP="00F65283">
      <w:pPr>
        <w:spacing w:after="0" w:line="240" w:lineRule="auto"/>
        <w:rPr>
          <w:rFonts w:ascii="Arial" w:hAnsi="Arial" w:cs="Arial"/>
          <w:lang w:val="es-CO"/>
        </w:rPr>
      </w:pPr>
    </w:p>
    <w:p w14:paraId="33BCFEF9" w14:textId="6D0BC5F8" w:rsidR="00E319CE" w:rsidRPr="006969B3" w:rsidRDefault="00E319CE" w:rsidP="00F65283">
      <w:pPr>
        <w:pStyle w:val="NormalWeb"/>
        <w:spacing w:before="0" w:beforeAutospacing="0" w:after="0" w:afterAutospacing="0"/>
        <w:jc w:val="both"/>
        <w:rPr>
          <w:rFonts w:ascii="Arial" w:hAnsi="Arial" w:cs="Arial"/>
          <w:sz w:val="22"/>
          <w:szCs w:val="22"/>
          <w:lang w:val="es-CO"/>
        </w:rPr>
      </w:pPr>
      <w:bookmarkStart w:id="32" w:name="23"/>
      <w:r w:rsidRPr="006969B3">
        <w:rPr>
          <w:rFonts w:ascii="Arial" w:hAnsi="Arial" w:cs="Arial"/>
          <w:sz w:val="22"/>
          <w:szCs w:val="22"/>
          <w:lang w:val="es-CO"/>
        </w:rPr>
        <w:t>ARTÍCULO 23. CESIÓN DE DERECHOS MINEROS.</w:t>
      </w:r>
      <w:bookmarkEnd w:id="32"/>
      <w:r w:rsidRPr="006969B3">
        <w:rPr>
          <w:rFonts w:ascii="Arial" w:hAnsi="Arial" w:cs="Arial"/>
          <w:sz w:val="22"/>
          <w:szCs w:val="22"/>
          <w:lang w:val="es-CO"/>
        </w:rPr>
        <w:t> La cesión de derechos emanados de un título minero requerirá solicitud por parte del beneficiario del título, acompañada del documento de negociación de la cesión de derechos. Esta solicitud deberá ser resuelta por la Autoridad Minera en un término de sesenta (60) días, en los cuales verificará los requisitos de orden legal y económico a que alude el artículo</w:t>
      </w:r>
      <w:r w:rsidR="002F71E6">
        <w:rPr>
          <w:rFonts w:ascii="Arial" w:hAnsi="Arial" w:cs="Arial"/>
          <w:sz w:val="22"/>
          <w:szCs w:val="22"/>
          <w:lang w:val="es-CO"/>
        </w:rPr>
        <w:t xml:space="preserve"> 22</w:t>
      </w:r>
      <w:r w:rsidRPr="006969B3">
        <w:rPr>
          <w:rFonts w:ascii="Arial" w:hAnsi="Arial" w:cs="Arial"/>
          <w:sz w:val="22"/>
          <w:szCs w:val="22"/>
          <w:lang w:val="es-CO"/>
        </w:rPr>
        <w:t> de la Ley 1753 de 2015 o aquella que la sustituya o modifique. En caso de ser aprobada la cesión se inscribirá en el Registro Minero Nacional el acto administrativo de aprobación.</w:t>
      </w:r>
    </w:p>
    <w:p w14:paraId="748E7191" w14:textId="01BC5793" w:rsidR="00E319CE" w:rsidRPr="006969B3" w:rsidRDefault="00E319CE" w:rsidP="00F65283">
      <w:pPr>
        <w:spacing w:after="0" w:line="240" w:lineRule="auto"/>
        <w:rPr>
          <w:rFonts w:ascii="Arial" w:hAnsi="Arial" w:cs="Arial"/>
          <w:lang w:val="es-CO"/>
        </w:rPr>
      </w:pPr>
    </w:p>
    <w:p w14:paraId="17A7C316" w14:textId="77777777" w:rsidR="00E319CE" w:rsidRPr="006969B3" w:rsidRDefault="00E319CE" w:rsidP="00F65283">
      <w:pPr>
        <w:pStyle w:val="NormalWeb"/>
        <w:spacing w:before="0" w:beforeAutospacing="0" w:after="0" w:afterAutospacing="0"/>
        <w:jc w:val="both"/>
        <w:rPr>
          <w:rFonts w:ascii="Arial" w:hAnsi="Arial" w:cs="Arial"/>
          <w:sz w:val="22"/>
          <w:szCs w:val="22"/>
          <w:lang w:val="es-CO"/>
        </w:rPr>
      </w:pPr>
      <w:bookmarkStart w:id="33" w:name="24"/>
      <w:r w:rsidRPr="006969B3">
        <w:rPr>
          <w:rFonts w:ascii="Arial" w:hAnsi="Arial" w:cs="Arial"/>
          <w:sz w:val="22"/>
          <w:szCs w:val="22"/>
          <w:lang w:val="es-CO"/>
        </w:rPr>
        <w:t>ARTÍCULO 24. SISTEMA DE CUADRÍCULA EN LA TITULACIÓN MINERA.</w:t>
      </w:r>
      <w:bookmarkEnd w:id="33"/>
      <w:r w:rsidRPr="006969B3">
        <w:rPr>
          <w:rFonts w:ascii="Arial" w:hAnsi="Arial" w:cs="Arial"/>
          <w:sz w:val="22"/>
          <w:szCs w:val="22"/>
          <w:lang w:val="es-CO"/>
        </w:rPr>
        <w:t> La implementación del sistema de cuadrículas se llevará a cabo de acuerdo con las normas de información geoespacial vigentes y los lineamientos que para el efecto defina la autoridad minera nacional.</w:t>
      </w:r>
    </w:p>
    <w:p w14:paraId="6DD46952" w14:textId="77777777" w:rsidR="006672C7" w:rsidRPr="006969B3" w:rsidRDefault="006672C7" w:rsidP="00F65283">
      <w:pPr>
        <w:pStyle w:val="NormalWeb"/>
        <w:spacing w:before="0" w:beforeAutospacing="0" w:after="0" w:afterAutospacing="0"/>
        <w:jc w:val="both"/>
        <w:rPr>
          <w:rFonts w:ascii="Arial" w:hAnsi="Arial" w:cs="Arial"/>
          <w:sz w:val="22"/>
          <w:szCs w:val="22"/>
          <w:lang w:val="es-CO"/>
        </w:rPr>
      </w:pPr>
    </w:p>
    <w:p w14:paraId="19F3DCC4" w14:textId="317843F9"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Todas las solicitudes y propuestas se evaluarán con base en el sistema de cuadrícula minera implementado por la autoridad minera nacional. Por lo anterior no se permitirá la superposición de propuestas sobre una misma celda, con excepción de las concesiones concurrentes. Se entiende por celda el cuadro definido por la autoridad minera nacional como una unidad de medida para la delimitación del área de las solicitudes y contratos de concesión minera.</w:t>
      </w:r>
    </w:p>
    <w:p w14:paraId="144548E9" w14:textId="77777777" w:rsidR="006672C7" w:rsidRPr="006969B3" w:rsidRDefault="006672C7" w:rsidP="00F65283">
      <w:pPr>
        <w:pStyle w:val="NormalWeb"/>
        <w:spacing w:before="0" w:beforeAutospacing="0" w:after="0" w:afterAutospacing="0"/>
        <w:jc w:val="both"/>
        <w:rPr>
          <w:rFonts w:ascii="Arial" w:hAnsi="Arial" w:cs="Arial"/>
          <w:sz w:val="22"/>
          <w:szCs w:val="22"/>
          <w:lang w:val="es-CO"/>
        </w:rPr>
      </w:pPr>
    </w:p>
    <w:p w14:paraId="3B690067" w14:textId="08D952AC"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Los títulos mineros otorgados con anterioridad a la entrada en operación del sistema de cuadrícula o el que haga sus veces, migrará a este sistema manteniendo las condiciones y coordenadas en las que fueron otorgados, para lo cual se atenderá la metodología que para el efecto establezca la autoridad minera nacional.</w:t>
      </w:r>
    </w:p>
    <w:p w14:paraId="464147E9" w14:textId="410ABD81" w:rsidR="00E319CE" w:rsidRPr="006969B3" w:rsidRDefault="00E319CE" w:rsidP="00F65283">
      <w:pPr>
        <w:spacing w:after="0" w:line="240" w:lineRule="auto"/>
        <w:rPr>
          <w:rFonts w:ascii="Arial" w:hAnsi="Arial" w:cs="Arial"/>
          <w:lang w:val="es-CO"/>
        </w:rPr>
      </w:pPr>
    </w:p>
    <w:p w14:paraId="51707CFA" w14:textId="77777777" w:rsidR="00E319CE" w:rsidRPr="006969B3" w:rsidRDefault="00E319CE" w:rsidP="00F65283">
      <w:pPr>
        <w:pStyle w:val="NormalWeb"/>
        <w:spacing w:before="0" w:beforeAutospacing="0" w:after="0" w:afterAutospacing="0"/>
        <w:jc w:val="both"/>
        <w:rPr>
          <w:rFonts w:ascii="Arial" w:hAnsi="Arial" w:cs="Arial"/>
          <w:sz w:val="22"/>
          <w:szCs w:val="22"/>
          <w:lang w:val="es-CO"/>
        </w:rPr>
      </w:pPr>
      <w:bookmarkStart w:id="34" w:name="25"/>
      <w:r w:rsidRPr="006969B3">
        <w:rPr>
          <w:rFonts w:ascii="Arial" w:hAnsi="Arial" w:cs="Arial"/>
          <w:sz w:val="22"/>
          <w:szCs w:val="22"/>
          <w:lang w:val="es-CO"/>
        </w:rPr>
        <w:t>ARTÍCULO 25. PRÓRROGAS DE LOS CONTRATOS DE CONCESIÓN MINERA DEL DECRETO 2655 DE 1988.</w:t>
      </w:r>
      <w:bookmarkEnd w:id="34"/>
      <w:r w:rsidRPr="006969B3">
        <w:rPr>
          <w:rFonts w:ascii="Arial" w:hAnsi="Arial" w:cs="Arial"/>
          <w:sz w:val="22"/>
          <w:szCs w:val="22"/>
          <w:lang w:val="es-CO"/>
        </w:rPr>
        <w:t> Los Contratos de Concesión de Minería suscritos en vigencia del Decreto 2655 de 1988 podrán prorrogarse. Para el efecto, mínimo seis (6) meses antes de vencerse el período de explotación y encontrándose a paz y salvo con todas las obligaciones derivadas del contrato, el concesionario podrá solicitar la prórroga hasta por treinta (30) años, la cual no será automática.</w:t>
      </w:r>
    </w:p>
    <w:p w14:paraId="3E0E6CCA" w14:textId="77777777" w:rsidR="006672C7" w:rsidRPr="006969B3" w:rsidRDefault="006672C7" w:rsidP="00F65283">
      <w:pPr>
        <w:pStyle w:val="NormalWeb"/>
        <w:spacing w:before="0" w:beforeAutospacing="0" w:after="0" w:afterAutospacing="0"/>
        <w:jc w:val="both"/>
        <w:rPr>
          <w:rFonts w:ascii="Arial" w:hAnsi="Arial" w:cs="Arial"/>
          <w:sz w:val="22"/>
          <w:szCs w:val="22"/>
          <w:lang w:val="es-CO"/>
        </w:rPr>
      </w:pPr>
    </w:p>
    <w:p w14:paraId="637759A9" w14:textId="5414D3CE"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La Autoridad Minera Nacional determinará si concede o no la prórroga, teniendo en cuenta la conveniencia de </w:t>
      </w:r>
      <w:proofErr w:type="gramStart"/>
      <w:r w:rsidRPr="006969B3">
        <w:rPr>
          <w:rFonts w:ascii="Arial" w:hAnsi="Arial" w:cs="Arial"/>
          <w:sz w:val="22"/>
          <w:szCs w:val="22"/>
          <w:lang w:val="es-CO"/>
        </w:rPr>
        <w:t>la misma</w:t>
      </w:r>
      <w:proofErr w:type="gramEnd"/>
      <w:r w:rsidRPr="006969B3">
        <w:rPr>
          <w:rFonts w:ascii="Arial" w:hAnsi="Arial" w:cs="Arial"/>
          <w:sz w:val="22"/>
          <w:szCs w:val="22"/>
          <w:lang w:val="es-CO"/>
        </w:rPr>
        <w:t xml:space="preserve"> para los intereses del Estado, de acuerdo con los criterios que para el efecto establezca dicha autoridad. Adicionalmente, podrá establecer nuevas condiciones contractuales y pactar nuevas contraprestaciones adicionales a las regalías.</w:t>
      </w:r>
    </w:p>
    <w:p w14:paraId="26269209" w14:textId="77777777" w:rsidR="006672C7" w:rsidRPr="006969B3" w:rsidRDefault="006672C7" w:rsidP="00F65283">
      <w:pPr>
        <w:pStyle w:val="NormalWeb"/>
        <w:spacing w:before="0" w:beforeAutospacing="0" w:after="0" w:afterAutospacing="0"/>
        <w:jc w:val="both"/>
        <w:rPr>
          <w:rFonts w:ascii="Arial" w:hAnsi="Arial" w:cs="Arial"/>
          <w:sz w:val="22"/>
          <w:szCs w:val="22"/>
          <w:lang w:val="es-CO"/>
        </w:rPr>
      </w:pPr>
    </w:p>
    <w:p w14:paraId="74B7963D" w14:textId="1D2152CA"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Perfeccionada la prórroga, en los términos del artículo </w:t>
      </w:r>
      <w:r w:rsidR="003A6AAA">
        <w:rPr>
          <w:rFonts w:ascii="Arial" w:hAnsi="Arial" w:cs="Arial"/>
          <w:sz w:val="22"/>
          <w:szCs w:val="22"/>
          <w:lang w:val="es-CO"/>
        </w:rPr>
        <w:t>77</w:t>
      </w:r>
      <w:r w:rsidRPr="006969B3">
        <w:rPr>
          <w:rFonts w:ascii="Arial" w:hAnsi="Arial" w:cs="Arial"/>
          <w:sz w:val="22"/>
          <w:szCs w:val="22"/>
          <w:lang w:val="es-CO"/>
        </w:rPr>
        <w:t> de la Ley 685 de 2001 o la norma que la sustituya o modifique, el contrato prorrogado deberá cumplir con las normas ambientales vigentes. Las labores de explotación no se suspenderán mientras se perfeccione el nuevo contrato y se adecúen los instrumentos ambientales del contrato inicial, de acuerdo con lo que determine la autoridad ambiental.</w:t>
      </w:r>
    </w:p>
    <w:p w14:paraId="4BF81DC1" w14:textId="77777777" w:rsidR="006672C7" w:rsidRPr="006969B3" w:rsidRDefault="006672C7" w:rsidP="00F65283">
      <w:pPr>
        <w:pStyle w:val="NormalWeb"/>
        <w:spacing w:before="0" w:beforeAutospacing="0" w:after="0" w:afterAutospacing="0"/>
        <w:jc w:val="both"/>
        <w:rPr>
          <w:rFonts w:ascii="Arial" w:hAnsi="Arial" w:cs="Arial"/>
          <w:sz w:val="22"/>
          <w:szCs w:val="22"/>
          <w:lang w:val="es-CO"/>
        </w:rPr>
      </w:pPr>
      <w:bookmarkStart w:id="35" w:name="26"/>
    </w:p>
    <w:p w14:paraId="759FAEC5" w14:textId="77A33A15"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26. LIQUIDACIÓN DE CONTRATOS DE CONCESIÓN MINERA.</w:t>
      </w:r>
      <w:bookmarkEnd w:id="35"/>
      <w:r w:rsidRPr="006969B3">
        <w:rPr>
          <w:rFonts w:ascii="Arial" w:hAnsi="Arial" w:cs="Arial"/>
          <w:sz w:val="22"/>
          <w:szCs w:val="22"/>
          <w:lang w:val="es-CO"/>
        </w:rPr>
        <w:t xml:space="preserve"> Los contratos de concesión minera de cualquier régimen deberán ser liquidados de mutuo acuerdo a su terminación y dentro del término fijado en el respectivo contrato, o dentro del que acuerden las partes para el efecto. De no existir tal término, la liquidación se realizará dentro de los </w:t>
      </w:r>
      <w:r w:rsidRPr="006969B3">
        <w:rPr>
          <w:rFonts w:ascii="Arial" w:hAnsi="Arial" w:cs="Arial"/>
          <w:sz w:val="22"/>
          <w:szCs w:val="22"/>
          <w:lang w:val="es-CO"/>
        </w:rPr>
        <w:lastRenderedPageBreak/>
        <w:t>doce (12) meses siguientes a la expedición del acto administrativo que declare su terminación.</w:t>
      </w:r>
    </w:p>
    <w:p w14:paraId="62382262" w14:textId="77777777" w:rsidR="006672C7" w:rsidRPr="006969B3" w:rsidRDefault="006672C7" w:rsidP="00F65283">
      <w:pPr>
        <w:pStyle w:val="NormalWeb"/>
        <w:spacing w:before="0" w:beforeAutospacing="0" w:after="0" w:afterAutospacing="0"/>
        <w:jc w:val="both"/>
        <w:rPr>
          <w:rFonts w:ascii="Arial" w:hAnsi="Arial" w:cs="Arial"/>
          <w:sz w:val="22"/>
          <w:szCs w:val="22"/>
          <w:lang w:val="es-CO"/>
        </w:rPr>
      </w:pPr>
    </w:p>
    <w:p w14:paraId="0A00C0B8" w14:textId="2F615EFA"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En aquellos casos en que el contratista no se presente a la liquidación del contrato previa notificación o convocatoria por parte de la autoridad minera, o las partes no lleguen a un acuerdo, la entidad liquidará el contrato en forma unilateral mediante acto administrativo debidamente motivado dentro de los dos (2) meses siguientes a la convocatoria o a la falta de acuerdo, de conformidad con lo dispuesto en el artículo</w:t>
      </w:r>
      <w:r w:rsidR="007210C2">
        <w:rPr>
          <w:rFonts w:ascii="Arial" w:hAnsi="Arial" w:cs="Arial"/>
          <w:sz w:val="22"/>
          <w:szCs w:val="22"/>
          <w:lang w:val="es-CO"/>
        </w:rPr>
        <w:t xml:space="preserve"> 141</w:t>
      </w:r>
      <w:r w:rsidRPr="006969B3">
        <w:rPr>
          <w:rFonts w:ascii="Arial" w:hAnsi="Arial" w:cs="Arial"/>
          <w:sz w:val="22"/>
          <w:szCs w:val="22"/>
          <w:lang w:val="es-CO"/>
        </w:rPr>
        <w:t>  del Código de Procedimiento Administrativo y de lo Contencioso Administrativo. Vencido el plazo anteriormente establecido sin la realización de la liquidación, la autoridad minera podrá liquidar el contrato en cualquier tiempo dentro de los dos (2) años siguientes de mutuo acuerdo o unilateralmente, sin perjuicio de lo previsto en el artículo</w:t>
      </w:r>
      <w:r w:rsidR="006B0DD7">
        <w:rPr>
          <w:rFonts w:ascii="Arial" w:hAnsi="Arial" w:cs="Arial"/>
          <w:sz w:val="22"/>
          <w:szCs w:val="22"/>
          <w:lang w:val="es-CO"/>
        </w:rPr>
        <w:t xml:space="preserve"> 141</w:t>
      </w:r>
      <w:r w:rsidRPr="006969B3">
        <w:rPr>
          <w:rFonts w:ascii="Arial" w:hAnsi="Arial" w:cs="Arial"/>
          <w:sz w:val="22"/>
          <w:szCs w:val="22"/>
          <w:lang w:val="es-CO"/>
        </w:rPr>
        <w:t> </w:t>
      </w:r>
      <w:proofErr w:type="spellStart"/>
      <w:r w:rsidRPr="006969B3">
        <w:rPr>
          <w:rFonts w:ascii="Arial" w:hAnsi="Arial" w:cs="Arial"/>
          <w:sz w:val="22"/>
          <w:szCs w:val="22"/>
          <w:lang w:val="es-CO"/>
        </w:rPr>
        <w:t>ibídem</w:t>
      </w:r>
      <w:proofErr w:type="spellEnd"/>
      <w:r w:rsidRPr="006969B3">
        <w:rPr>
          <w:rFonts w:ascii="Arial" w:hAnsi="Arial" w:cs="Arial"/>
          <w:sz w:val="22"/>
          <w:szCs w:val="22"/>
          <w:lang w:val="es-CO"/>
        </w:rPr>
        <w:t>.</w:t>
      </w:r>
    </w:p>
    <w:p w14:paraId="27CD2BCB" w14:textId="77777777" w:rsidR="006672C7" w:rsidRPr="006969B3" w:rsidRDefault="006672C7" w:rsidP="00F65283">
      <w:pPr>
        <w:pStyle w:val="NormalWeb"/>
        <w:spacing w:before="0" w:beforeAutospacing="0" w:after="0" w:afterAutospacing="0"/>
        <w:jc w:val="both"/>
        <w:rPr>
          <w:rFonts w:ascii="Arial" w:hAnsi="Arial" w:cs="Arial"/>
          <w:sz w:val="22"/>
          <w:szCs w:val="22"/>
          <w:lang w:val="es-CO"/>
        </w:rPr>
      </w:pPr>
    </w:p>
    <w:p w14:paraId="59EDFDC7" w14:textId="7A479933"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En el evento en que el concesionario minero presente salvedades en la liquidación por mutuo acuerdo, la liquidación unilateral solo procederá en los aspectos que no hayan sido objeto de acuerdo.</w:t>
      </w:r>
    </w:p>
    <w:p w14:paraId="1A2D9835" w14:textId="1E8BF520" w:rsidR="00E319CE" w:rsidRPr="006969B3" w:rsidRDefault="00E319CE" w:rsidP="00F65283">
      <w:pPr>
        <w:spacing w:after="0" w:line="240" w:lineRule="auto"/>
        <w:rPr>
          <w:rFonts w:ascii="Arial" w:hAnsi="Arial" w:cs="Arial"/>
          <w:lang w:val="es-CO"/>
        </w:rPr>
      </w:pPr>
    </w:p>
    <w:p w14:paraId="6234E5B8" w14:textId="20472EBC" w:rsidR="00E319CE" w:rsidRPr="006969B3" w:rsidRDefault="00E319CE" w:rsidP="00F65283">
      <w:pPr>
        <w:pStyle w:val="NormalWeb"/>
        <w:spacing w:before="0" w:beforeAutospacing="0" w:after="0" w:afterAutospacing="0"/>
        <w:jc w:val="both"/>
        <w:rPr>
          <w:rFonts w:ascii="Arial" w:hAnsi="Arial" w:cs="Arial"/>
          <w:sz w:val="22"/>
          <w:szCs w:val="22"/>
          <w:lang w:val="es-CO"/>
        </w:rPr>
      </w:pPr>
      <w:bookmarkStart w:id="36" w:name="27"/>
      <w:r w:rsidRPr="006969B3">
        <w:rPr>
          <w:rFonts w:ascii="Arial" w:hAnsi="Arial" w:cs="Arial"/>
          <w:sz w:val="22"/>
          <w:szCs w:val="22"/>
          <w:lang w:val="es-CO"/>
        </w:rPr>
        <w:t>ARTÍCULO 27. SERVIDUMBRE MINERA.</w:t>
      </w:r>
      <w:bookmarkEnd w:id="36"/>
      <w:r w:rsidRPr="006969B3">
        <w:rPr>
          <w:rFonts w:ascii="Arial" w:hAnsi="Arial" w:cs="Arial"/>
          <w:sz w:val="22"/>
          <w:szCs w:val="22"/>
          <w:lang w:val="es-CO"/>
        </w:rPr>
        <w:t> El procedimiento para la imposición de servidumbres mineras será el previsto en la Ley </w:t>
      </w:r>
      <w:r w:rsidR="007210C2">
        <w:rPr>
          <w:rFonts w:ascii="Arial" w:hAnsi="Arial" w:cs="Arial"/>
          <w:sz w:val="22"/>
          <w:szCs w:val="22"/>
          <w:lang w:val="es-CO"/>
        </w:rPr>
        <w:t xml:space="preserve">1274 </w:t>
      </w:r>
      <w:r w:rsidRPr="006969B3">
        <w:rPr>
          <w:rFonts w:ascii="Arial" w:hAnsi="Arial" w:cs="Arial"/>
          <w:sz w:val="22"/>
          <w:szCs w:val="22"/>
          <w:lang w:val="es-CO"/>
        </w:rPr>
        <w:t>de 2009.</w:t>
      </w:r>
    </w:p>
    <w:p w14:paraId="225DB417" w14:textId="0515E4BD" w:rsidR="00E319CE" w:rsidRPr="006969B3" w:rsidRDefault="00E319CE" w:rsidP="00F65283">
      <w:pPr>
        <w:spacing w:after="0" w:line="240" w:lineRule="auto"/>
        <w:rPr>
          <w:rFonts w:ascii="Arial" w:hAnsi="Arial" w:cs="Arial"/>
          <w:lang w:val="es-CO"/>
        </w:rPr>
      </w:pPr>
    </w:p>
    <w:p w14:paraId="7FD28D93" w14:textId="77777777" w:rsidR="00E319CE" w:rsidRPr="006969B3" w:rsidRDefault="00E319CE" w:rsidP="00F65283">
      <w:pPr>
        <w:pStyle w:val="NormalWeb"/>
        <w:spacing w:before="0" w:beforeAutospacing="0" w:after="0" w:afterAutospacing="0"/>
        <w:jc w:val="both"/>
        <w:rPr>
          <w:rFonts w:ascii="Arial" w:hAnsi="Arial" w:cs="Arial"/>
          <w:sz w:val="22"/>
          <w:szCs w:val="22"/>
          <w:lang w:val="es-CO"/>
        </w:rPr>
      </w:pPr>
      <w:bookmarkStart w:id="37" w:name="28"/>
      <w:r w:rsidRPr="006969B3">
        <w:rPr>
          <w:rFonts w:ascii="Arial" w:hAnsi="Arial" w:cs="Arial"/>
          <w:sz w:val="22"/>
          <w:szCs w:val="22"/>
          <w:lang w:val="es-CO"/>
        </w:rPr>
        <w:t>ARTÍCULO 28. LIBERACIÓN DE ÁREAS.</w:t>
      </w:r>
      <w:bookmarkEnd w:id="37"/>
      <w:r w:rsidRPr="006969B3">
        <w:rPr>
          <w:rFonts w:ascii="Arial" w:hAnsi="Arial" w:cs="Arial"/>
          <w:sz w:val="22"/>
          <w:szCs w:val="22"/>
          <w:lang w:val="es-CO"/>
        </w:rPr>
        <w:t> Las áreas que hayan sido objeto de una solicitud minera y que por cualquier causa queden libres, solo podrán ser objeto de propuesta de contrato de concesión trascurridos quince (15) días después de la firmeza del acto administrativo de rechazo o desistimiento o cualquiera otro que implique la libertad del área.</w:t>
      </w:r>
    </w:p>
    <w:p w14:paraId="4B8E3B96" w14:textId="77777777"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El área que haya sido objeto de un contrato de concesión minera, que termine por cualquier causa, solo se podrá </w:t>
      </w:r>
      <w:proofErr w:type="spellStart"/>
      <w:r w:rsidRPr="006969B3">
        <w:rPr>
          <w:rFonts w:ascii="Arial" w:hAnsi="Arial" w:cs="Arial"/>
          <w:sz w:val="22"/>
          <w:szCs w:val="22"/>
          <w:lang w:val="es-CO"/>
        </w:rPr>
        <w:t>desanotar</w:t>
      </w:r>
      <w:proofErr w:type="spellEnd"/>
      <w:r w:rsidRPr="006969B3">
        <w:rPr>
          <w:rFonts w:ascii="Arial" w:hAnsi="Arial" w:cs="Arial"/>
          <w:sz w:val="22"/>
          <w:szCs w:val="22"/>
          <w:lang w:val="es-CO"/>
        </w:rPr>
        <w:t xml:space="preserve"> del Catastro Minero Nacional dentro de los quince (15) días siguientes a la suscripción del acta de liquidación bilateral o a la liquidación unilateral del mismo. En el caso de los títulos mineros que no son objeto de liquidación se seguirán las reglas de este artículo sobre solicitudes mineras. El acto administrativo a que se refiere el inciso primero de este artículo, el que establece la liquidación del contrato, o el que da por terminado el título minero, deberán ser publicados en la página electrónica de la Autoridad Minera o en el medio que hiciere sus veces dentro de los cinco (5) días siguientes a la ejecutoria o firmeza del acto. Dentro de este último término deberá inscribirse en el Registro Minero Nacional.</w:t>
      </w:r>
    </w:p>
    <w:p w14:paraId="2A90B4A6" w14:textId="33F4DFE8" w:rsidR="00E319CE" w:rsidRPr="006969B3" w:rsidRDefault="00E319CE" w:rsidP="00F65283">
      <w:pPr>
        <w:spacing w:after="0" w:line="240" w:lineRule="auto"/>
        <w:rPr>
          <w:rFonts w:ascii="Arial" w:hAnsi="Arial" w:cs="Arial"/>
          <w:lang w:val="es-CO"/>
        </w:rPr>
      </w:pPr>
    </w:p>
    <w:p w14:paraId="0C6EFEE7" w14:textId="77777777" w:rsidR="00E319CE" w:rsidRPr="006969B3" w:rsidRDefault="00E319CE" w:rsidP="00F65283">
      <w:pPr>
        <w:pStyle w:val="NormalWeb"/>
        <w:spacing w:before="0" w:beforeAutospacing="0" w:after="0" w:afterAutospacing="0"/>
        <w:jc w:val="both"/>
        <w:rPr>
          <w:rFonts w:ascii="Arial" w:hAnsi="Arial" w:cs="Arial"/>
          <w:sz w:val="22"/>
          <w:szCs w:val="22"/>
          <w:lang w:val="es-CO"/>
        </w:rPr>
      </w:pPr>
      <w:bookmarkStart w:id="38" w:name="29"/>
      <w:r w:rsidRPr="006969B3">
        <w:rPr>
          <w:rFonts w:ascii="Arial" w:hAnsi="Arial" w:cs="Arial"/>
          <w:sz w:val="22"/>
          <w:szCs w:val="22"/>
          <w:lang w:val="es-CO"/>
        </w:rPr>
        <w:t>ARTÍCULO 29. REPORTE DE INFORMACIÓN AL MINISTERIO DE MINAS Y ENERGÍA.</w:t>
      </w:r>
      <w:bookmarkEnd w:id="38"/>
      <w:r w:rsidRPr="006969B3">
        <w:rPr>
          <w:rFonts w:ascii="Arial" w:hAnsi="Arial" w:cs="Arial"/>
          <w:sz w:val="22"/>
          <w:szCs w:val="22"/>
          <w:lang w:val="es-CO"/>
        </w:rPr>
        <w:t> El Ministerio de Minas y Energía en su calidad de administrador de los recursos destinados al pago de subsidios, a la ampliación de cobertura y a la mejora de calidad, entre otros, para la asignación de dichos recursos, además de la información reportada por los prestadores al Sistema Único de Información (SUI) podrá solicitar directamente a los prestadores del servicio público de energía la información que requiera, efectuar visitas, adelantar auditorías y realizar todas las gestiones necesarias para verificar la destinación de los recursos asignados.</w:t>
      </w:r>
    </w:p>
    <w:p w14:paraId="006A82F1" w14:textId="77777777" w:rsidR="006672C7" w:rsidRPr="006969B3" w:rsidRDefault="006672C7" w:rsidP="00F65283">
      <w:pPr>
        <w:pStyle w:val="NormalWeb"/>
        <w:spacing w:before="0" w:beforeAutospacing="0" w:after="0" w:afterAutospacing="0"/>
        <w:jc w:val="both"/>
        <w:rPr>
          <w:rStyle w:val="baj"/>
          <w:rFonts w:ascii="Arial" w:hAnsi="Arial" w:cs="Arial"/>
          <w:sz w:val="22"/>
          <w:szCs w:val="22"/>
          <w:lang w:val="es-CO"/>
        </w:rPr>
      </w:pPr>
    </w:p>
    <w:p w14:paraId="1935990B" w14:textId="543E986D"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xml:space="preserve"> El Ministerio de Minas y Energía deberá presentar un informe anual al Congreso de la República sobre los recursos destinados para pago de subsidios y la destinación de </w:t>
      </w:r>
      <w:proofErr w:type="gramStart"/>
      <w:r w:rsidRPr="006969B3">
        <w:rPr>
          <w:rFonts w:ascii="Arial" w:hAnsi="Arial" w:cs="Arial"/>
          <w:sz w:val="22"/>
          <w:szCs w:val="22"/>
          <w:lang w:val="es-CO"/>
        </w:rPr>
        <w:t>los mismos</w:t>
      </w:r>
      <w:proofErr w:type="gramEnd"/>
      <w:r w:rsidRPr="006969B3">
        <w:rPr>
          <w:rFonts w:ascii="Arial" w:hAnsi="Arial" w:cs="Arial"/>
          <w:sz w:val="22"/>
          <w:szCs w:val="22"/>
          <w:lang w:val="es-CO"/>
        </w:rPr>
        <w:t xml:space="preserve"> para mejorar la ampliación, calidad y cobertura.</w:t>
      </w:r>
    </w:p>
    <w:p w14:paraId="383D0C85" w14:textId="0BC66094" w:rsidR="00E319CE" w:rsidRPr="006969B3" w:rsidRDefault="00E319CE" w:rsidP="00F65283">
      <w:pPr>
        <w:spacing w:after="0" w:line="240" w:lineRule="auto"/>
        <w:rPr>
          <w:rFonts w:ascii="Arial" w:hAnsi="Arial" w:cs="Arial"/>
          <w:lang w:val="es-CO"/>
        </w:rPr>
      </w:pPr>
    </w:p>
    <w:p w14:paraId="191615C6" w14:textId="77777777" w:rsidR="00E319CE" w:rsidRPr="006969B3" w:rsidRDefault="00E319CE" w:rsidP="00F65283">
      <w:pPr>
        <w:pStyle w:val="NormalWeb"/>
        <w:spacing w:before="0" w:beforeAutospacing="0" w:after="0" w:afterAutospacing="0"/>
        <w:jc w:val="both"/>
        <w:rPr>
          <w:rFonts w:ascii="Arial" w:hAnsi="Arial" w:cs="Arial"/>
          <w:sz w:val="22"/>
          <w:szCs w:val="22"/>
          <w:lang w:val="es-CO"/>
        </w:rPr>
      </w:pPr>
      <w:bookmarkStart w:id="39" w:name="30"/>
      <w:r w:rsidRPr="006969B3">
        <w:rPr>
          <w:rFonts w:ascii="Arial" w:hAnsi="Arial" w:cs="Arial"/>
          <w:sz w:val="22"/>
          <w:szCs w:val="22"/>
          <w:lang w:val="es-CO"/>
        </w:rPr>
        <w:t>ARTÍCULO 30. FORTALECIMIENTO DE LA FISCALIZACIÓN, SEGUIMIENTO Y CONTROL DE ACTIVIDADES MINERAS.</w:t>
      </w:r>
      <w:bookmarkEnd w:id="39"/>
      <w:r w:rsidRPr="006969B3">
        <w:rPr>
          <w:rFonts w:ascii="Arial" w:hAnsi="Arial" w:cs="Arial"/>
          <w:sz w:val="22"/>
          <w:szCs w:val="22"/>
          <w:lang w:val="es-CO"/>
        </w:rPr>
        <w:t xml:space="preserve"> Las labores de exploración y explotación que se desarrollen a través de las figuras de reconocimientos de propiedad privada, autorizaciones </w:t>
      </w:r>
      <w:r w:rsidRPr="006969B3">
        <w:rPr>
          <w:rFonts w:ascii="Arial" w:hAnsi="Arial" w:cs="Arial"/>
          <w:sz w:val="22"/>
          <w:szCs w:val="22"/>
          <w:lang w:val="es-CO"/>
        </w:rPr>
        <w:lastRenderedPageBreak/>
        <w:t>temporales, áreas de reserva especial declaradas y delimitadas por la autoridad minera nacional, solicitudes de legalización y formalización minera y mecanismos de trabajo bajo el amparo de un título minero serán objeto de fiscalización.</w:t>
      </w:r>
    </w:p>
    <w:p w14:paraId="75849351" w14:textId="77777777" w:rsidR="00C76F1D" w:rsidRPr="006969B3" w:rsidRDefault="00C76F1D" w:rsidP="00F65283">
      <w:pPr>
        <w:pStyle w:val="NormalWeb"/>
        <w:spacing w:before="0" w:beforeAutospacing="0" w:after="0" w:afterAutospacing="0"/>
        <w:jc w:val="both"/>
        <w:rPr>
          <w:rFonts w:ascii="Arial" w:hAnsi="Arial" w:cs="Arial"/>
          <w:sz w:val="22"/>
          <w:szCs w:val="22"/>
          <w:lang w:val="es-CO"/>
        </w:rPr>
      </w:pPr>
    </w:p>
    <w:p w14:paraId="7F4DFD08" w14:textId="5473B21B"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Para la fiscalización de las actividades mineras que se desarrollan en los reconocimientos de propiedad privada, los beneficiarios deberán presentar en el mes de noviembre de cada año, un informe de las labores mineras ejecutadas en dicha anualidad y el programa de las que se realizarán en la siguiente. Así mismo, deberán cumplir con las normas de seguridad e higiene minera, con la declaración de producción de minerales y con la liquidación y pago de las regalías de manera trimestral. La autoridad minera establecerá el detalle de la información a presentar y los requisitos para su entrega.</w:t>
      </w:r>
    </w:p>
    <w:p w14:paraId="7F4B28EC" w14:textId="77777777" w:rsidR="00C76F1D" w:rsidRPr="006969B3" w:rsidRDefault="00C76F1D" w:rsidP="00F65283">
      <w:pPr>
        <w:pStyle w:val="NormalWeb"/>
        <w:spacing w:before="0" w:beforeAutospacing="0" w:after="0" w:afterAutospacing="0"/>
        <w:jc w:val="both"/>
        <w:rPr>
          <w:rFonts w:ascii="Arial" w:hAnsi="Arial" w:cs="Arial"/>
          <w:sz w:val="22"/>
          <w:szCs w:val="22"/>
          <w:lang w:val="es-CO"/>
        </w:rPr>
      </w:pPr>
    </w:p>
    <w:p w14:paraId="6DF10D45" w14:textId="7A147EA3"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Los beneficiarios de autorizaciones temporales deberán contar con la aprobación por parte de la autoridad minera, de un Plan de Trabajo de Explotación para la ejecución de sus actividades mineras y para su fiscalización. Los términos de referencia para la elaboración, contenido, evaluación y aprobación de este Plan se expedirán por la autoridad minera.</w:t>
      </w:r>
    </w:p>
    <w:p w14:paraId="722BE223" w14:textId="77777777" w:rsidR="00C76F1D" w:rsidRPr="006969B3" w:rsidRDefault="00C76F1D" w:rsidP="00F65283">
      <w:pPr>
        <w:pStyle w:val="NormalWeb"/>
        <w:spacing w:before="0" w:beforeAutospacing="0" w:after="0" w:afterAutospacing="0"/>
        <w:jc w:val="both"/>
        <w:rPr>
          <w:rFonts w:ascii="Arial" w:hAnsi="Arial" w:cs="Arial"/>
          <w:sz w:val="22"/>
          <w:szCs w:val="22"/>
          <w:lang w:val="es-CO"/>
        </w:rPr>
      </w:pPr>
    </w:p>
    <w:p w14:paraId="53970986" w14:textId="016DF3BA"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Mientras obtienen el contrato de concesión minera, las actividades mineras realizadas en las Áreas de Reserva Especial declaradas, en las solicitudes de legalización y de formalización minera, y en las devoluciones de áreas para la formalización minera, serán objeto de fiscalización respecto del cumplimiento de los reglamentos de seguridad e higiene minera y el pago de las regalías que genere la explotación. Las Áreas de Reserva Especial que cuenten con condiciones de seguridad e higiene minera y con instrumento ambiental diferencial, luego de su declaratoria, podrán ejecutar operaciones mineras sin restricción. El incumplimiento de las obligaciones establecidas en este inciso ocasionará la suspensión inmediata de las actividades de explotación y el rechazo de la solicitud o la terminación de la declaratoria de Área de Reserva Especial.</w:t>
      </w:r>
    </w:p>
    <w:p w14:paraId="01325FD2" w14:textId="77777777" w:rsidR="00C76F1D" w:rsidRPr="006969B3" w:rsidRDefault="00C76F1D" w:rsidP="00F65283">
      <w:pPr>
        <w:pStyle w:val="NormalWeb"/>
        <w:spacing w:before="0" w:beforeAutospacing="0" w:after="0" w:afterAutospacing="0"/>
        <w:jc w:val="both"/>
        <w:rPr>
          <w:rFonts w:ascii="Arial" w:hAnsi="Arial" w:cs="Arial"/>
          <w:sz w:val="22"/>
          <w:szCs w:val="22"/>
          <w:lang w:val="es-CO"/>
        </w:rPr>
      </w:pPr>
    </w:p>
    <w:p w14:paraId="64554473" w14:textId="243B1641"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incumplimiento de las obligaciones señaladas en los incisos segundo y tercero del presente artículo, serán objeto de multa en los términos previstos por los artículos</w:t>
      </w:r>
      <w:r w:rsidR="006B0DD7">
        <w:rPr>
          <w:rFonts w:ascii="Arial" w:hAnsi="Arial" w:cs="Arial"/>
          <w:sz w:val="22"/>
          <w:szCs w:val="22"/>
          <w:lang w:val="es-CO"/>
        </w:rPr>
        <w:t xml:space="preserve"> 115</w:t>
      </w:r>
      <w:r w:rsidRPr="006969B3">
        <w:rPr>
          <w:rFonts w:ascii="Arial" w:hAnsi="Arial" w:cs="Arial"/>
          <w:sz w:val="22"/>
          <w:szCs w:val="22"/>
          <w:lang w:val="es-CO"/>
        </w:rPr>
        <w:t> y</w:t>
      </w:r>
      <w:r w:rsidR="006B0DD7">
        <w:rPr>
          <w:rFonts w:ascii="Arial" w:hAnsi="Arial" w:cs="Arial"/>
          <w:sz w:val="22"/>
          <w:szCs w:val="22"/>
          <w:lang w:val="es-CO"/>
        </w:rPr>
        <w:t xml:space="preserve"> 287</w:t>
      </w:r>
      <w:r w:rsidRPr="006969B3">
        <w:rPr>
          <w:rFonts w:ascii="Arial" w:hAnsi="Arial" w:cs="Arial"/>
          <w:sz w:val="22"/>
          <w:szCs w:val="22"/>
          <w:lang w:val="es-CO"/>
        </w:rPr>
        <w:t> de la Ley 685 de 2001, sin perjuicio de las sanciones que, de acuerdo con la normativa ambiental, sean aplicables.</w:t>
      </w:r>
    </w:p>
    <w:p w14:paraId="362FE9C3" w14:textId="188F4211" w:rsidR="00E319CE" w:rsidRPr="006969B3" w:rsidRDefault="00E319CE" w:rsidP="00F65283">
      <w:pPr>
        <w:spacing w:after="0" w:line="240" w:lineRule="auto"/>
        <w:rPr>
          <w:rFonts w:ascii="Arial" w:hAnsi="Arial" w:cs="Arial"/>
          <w:lang w:val="es-CO"/>
        </w:rPr>
      </w:pPr>
    </w:p>
    <w:p w14:paraId="6727AC96" w14:textId="77777777" w:rsidR="00E319CE" w:rsidRPr="006969B3" w:rsidRDefault="00E319CE" w:rsidP="00F65283">
      <w:pPr>
        <w:pStyle w:val="NormalWeb"/>
        <w:spacing w:before="0" w:beforeAutospacing="0" w:after="0" w:afterAutospacing="0"/>
        <w:jc w:val="both"/>
        <w:rPr>
          <w:rFonts w:ascii="Arial" w:hAnsi="Arial" w:cs="Arial"/>
          <w:sz w:val="22"/>
          <w:szCs w:val="22"/>
          <w:lang w:val="es-CO"/>
        </w:rPr>
      </w:pPr>
      <w:bookmarkStart w:id="40" w:name="31"/>
      <w:r w:rsidRPr="006969B3">
        <w:rPr>
          <w:rFonts w:ascii="Arial" w:hAnsi="Arial" w:cs="Arial"/>
          <w:sz w:val="22"/>
          <w:szCs w:val="22"/>
          <w:lang w:val="es-CO"/>
        </w:rPr>
        <w:t>ARTÍCULO 31. SECRETARÍA TÉCNICA DEL OCAD PAZ.</w:t>
      </w:r>
      <w:bookmarkEnd w:id="40"/>
      <w:r w:rsidRPr="006969B3">
        <w:rPr>
          <w:rFonts w:ascii="Arial" w:hAnsi="Arial" w:cs="Arial"/>
          <w:sz w:val="22"/>
          <w:szCs w:val="22"/>
          <w:lang w:val="es-CO"/>
        </w:rPr>
        <w:t> El Departamento Nacional de Planeación ejercerá la Secretaría Técnica del OCAD PAZ.</w:t>
      </w:r>
    </w:p>
    <w:p w14:paraId="7814F305" w14:textId="0492B583" w:rsidR="00E319CE" w:rsidRPr="006969B3" w:rsidRDefault="00E319CE" w:rsidP="00F65283">
      <w:pPr>
        <w:spacing w:after="0" w:line="240" w:lineRule="auto"/>
        <w:rPr>
          <w:rFonts w:ascii="Arial" w:hAnsi="Arial" w:cs="Arial"/>
          <w:lang w:val="es-CO"/>
        </w:rPr>
      </w:pPr>
    </w:p>
    <w:p w14:paraId="56BC02AC" w14:textId="72DA7FFB" w:rsidR="00E319CE" w:rsidRPr="006969B3" w:rsidRDefault="00E319CE" w:rsidP="00F65283">
      <w:pPr>
        <w:pStyle w:val="NormalWeb"/>
        <w:spacing w:before="0" w:beforeAutospacing="0" w:after="0" w:afterAutospacing="0"/>
        <w:jc w:val="both"/>
        <w:rPr>
          <w:rFonts w:ascii="Arial" w:hAnsi="Arial" w:cs="Arial"/>
          <w:sz w:val="22"/>
          <w:szCs w:val="22"/>
          <w:lang w:val="es-CO"/>
        </w:rPr>
      </w:pPr>
      <w:bookmarkStart w:id="41" w:name="32"/>
      <w:r w:rsidRPr="006969B3">
        <w:rPr>
          <w:rFonts w:ascii="Arial" w:hAnsi="Arial" w:cs="Arial"/>
          <w:sz w:val="22"/>
          <w:szCs w:val="22"/>
          <w:lang w:val="es-CO"/>
        </w:rPr>
        <w:t>ARTÍCULO 32. CAUSALES PARA ADELANTAR EL PROCEDIMIENTO CORRECTIVO Y SANCIONATORIO.</w:t>
      </w:r>
      <w:bookmarkEnd w:id="41"/>
      <w:r w:rsidRPr="006969B3">
        <w:rPr>
          <w:rFonts w:ascii="Arial" w:hAnsi="Arial" w:cs="Arial"/>
          <w:sz w:val="22"/>
          <w:szCs w:val="22"/>
          <w:lang w:val="es-CO"/>
        </w:rPr>
        <w:t> Modifíquese el literal a) del artículo</w:t>
      </w:r>
      <w:r w:rsidR="003B0B2B">
        <w:rPr>
          <w:rFonts w:ascii="Arial" w:hAnsi="Arial" w:cs="Arial"/>
          <w:sz w:val="22"/>
          <w:szCs w:val="22"/>
          <w:lang w:val="es-CO"/>
        </w:rPr>
        <w:t xml:space="preserve"> 113</w:t>
      </w:r>
      <w:r w:rsidRPr="006969B3">
        <w:rPr>
          <w:rFonts w:ascii="Arial" w:hAnsi="Arial" w:cs="Arial"/>
          <w:sz w:val="22"/>
          <w:szCs w:val="22"/>
          <w:lang w:val="es-CO"/>
        </w:rPr>
        <w:t> de la Ley 1530 de 2012, el cual quedará así:</w:t>
      </w:r>
    </w:p>
    <w:p w14:paraId="3503BE6C" w14:textId="77777777" w:rsidR="00C76F1D" w:rsidRPr="006969B3" w:rsidRDefault="00C76F1D" w:rsidP="00F65283">
      <w:pPr>
        <w:pStyle w:val="NormalWeb"/>
        <w:spacing w:before="0" w:beforeAutospacing="0" w:after="0" w:afterAutospacing="0"/>
        <w:jc w:val="both"/>
        <w:rPr>
          <w:rFonts w:ascii="Arial" w:hAnsi="Arial" w:cs="Arial"/>
          <w:sz w:val="22"/>
          <w:szCs w:val="22"/>
          <w:lang w:val="es-CO"/>
        </w:rPr>
      </w:pPr>
    </w:p>
    <w:p w14:paraId="05BF6411" w14:textId="0B4A1B3E"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 Incumplir con la destinación legal de los recursos del Sistema General de Regalías.</w:t>
      </w:r>
    </w:p>
    <w:p w14:paraId="67C5D588" w14:textId="77777777" w:rsidR="00C76F1D" w:rsidRPr="006969B3" w:rsidRDefault="00C76F1D" w:rsidP="00F65283">
      <w:pPr>
        <w:pStyle w:val="centrado"/>
        <w:spacing w:before="0" w:beforeAutospacing="0" w:after="0" w:afterAutospacing="0"/>
        <w:jc w:val="center"/>
        <w:rPr>
          <w:rFonts w:ascii="Arial" w:hAnsi="Arial" w:cs="Arial"/>
          <w:sz w:val="22"/>
          <w:szCs w:val="22"/>
          <w:lang w:val="es-CO"/>
        </w:rPr>
      </w:pPr>
      <w:bookmarkStart w:id="42" w:name="SUBSECCIÓN_2-I-II-II"/>
    </w:p>
    <w:p w14:paraId="1A6EA304" w14:textId="7A7BF2C5" w:rsidR="00E319CE" w:rsidRPr="006969B3" w:rsidRDefault="00E319CE" w:rsidP="00F65283">
      <w:pPr>
        <w:pStyle w:val="centrado"/>
        <w:spacing w:before="0" w:beforeAutospacing="0" w:after="0" w:afterAutospacing="0"/>
        <w:jc w:val="center"/>
        <w:rPr>
          <w:rFonts w:ascii="Arial" w:hAnsi="Arial" w:cs="Arial"/>
          <w:b/>
          <w:bCs/>
          <w:sz w:val="22"/>
          <w:szCs w:val="22"/>
          <w:lang w:val="es-CO"/>
        </w:rPr>
      </w:pPr>
      <w:r w:rsidRPr="006969B3">
        <w:rPr>
          <w:rFonts w:ascii="Arial" w:hAnsi="Arial" w:cs="Arial"/>
          <w:b/>
          <w:bCs/>
          <w:sz w:val="22"/>
          <w:szCs w:val="22"/>
          <w:lang w:val="es-CO"/>
        </w:rPr>
        <w:t>SUBSECCIÓN 2</w:t>
      </w:r>
      <w:bookmarkEnd w:id="42"/>
    </w:p>
    <w:p w14:paraId="747D172D" w14:textId="77777777" w:rsidR="00C62051" w:rsidRPr="006969B3" w:rsidRDefault="00C62051" w:rsidP="00F65283">
      <w:pPr>
        <w:pStyle w:val="centrado"/>
        <w:spacing w:before="0" w:beforeAutospacing="0" w:after="0" w:afterAutospacing="0"/>
        <w:jc w:val="center"/>
        <w:rPr>
          <w:rFonts w:ascii="Arial" w:hAnsi="Arial" w:cs="Arial"/>
          <w:b/>
          <w:bCs/>
          <w:sz w:val="22"/>
          <w:szCs w:val="22"/>
          <w:lang w:val="es-CO"/>
        </w:rPr>
      </w:pPr>
    </w:p>
    <w:p w14:paraId="217084D5" w14:textId="77777777" w:rsidR="00E319CE" w:rsidRPr="006969B3" w:rsidRDefault="00E319CE" w:rsidP="00F65283">
      <w:pPr>
        <w:pStyle w:val="centrado"/>
        <w:spacing w:before="0" w:beforeAutospacing="0" w:after="0" w:afterAutospacing="0"/>
        <w:jc w:val="center"/>
        <w:rPr>
          <w:rFonts w:ascii="Arial" w:hAnsi="Arial" w:cs="Arial"/>
          <w:b/>
          <w:bCs/>
          <w:sz w:val="22"/>
          <w:szCs w:val="22"/>
          <w:lang w:val="es-CO"/>
        </w:rPr>
      </w:pPr>
      <w:r w:rsidRPr="006969B3">
        <w:rPr>
          <w:rStyle w:val="baj"/>
          <w:rFonts w:ascii="Arial" w:hAnsi="Arial" w:cs="Arial"/>
          <w:b/>
          <w:bCs/>
          <w:sz w:val="22"/>
          <w:szCs w:val="22"/>
          <w:lang w:val="es-CO"/>
        </w:rPr>
        <w:t>LEGALIDAD PARA LA TRANSPARENCIA DE LAS FINANZAS PÚBLICAS.</w:t>
      </w:r>
    </w:p>
    <w:p w14:paraId="74A49194" w14:textId="2B9DA6BD" w:rsidR="00E319CE" w:rsidRPr="006969B3" w:rsidRDefault="00E319CE" w:rsidP="00F65283">
      <w:pPr>
        <w:spacing w:after="0" w:line="240" w:lineRule="auto"/>
        <w:rPr>
          <w:rFonts w:ascii="Arial" w:hAnsi="Arial" w:cs="Arial"/>
          <w:lang w:val="es-CO"/>
        </w:rPr>
      </w:pPr>
    </w:p>
    <w:p w14:paraId="6871CF6D" w14:textId="77777777" w:rsidR="00E319CE" w:rsidRPr="006969B3" w:rsidRDefault="00E319CE" w:rsidP="00F65283">
      <w:pPr>
        <w:pStyle w:val="NormalWeb"/>
        <w:spacing w:before="0" w:beforeAutospacing="0" w:after="0" w:afterAutospacing="0"/>
        <w:jc w:val="both"/>
        <w:rPr>
          <w:rFonts w:ascii="Arial" w:hAnsi="Arial" w:cs="Arial"/>
          <w:sz w:val="22"/>
          <w:szCs w:val="22"/>
          <w:lang w:val="es-CO"/>
        </w:rPr>
      </w:pPr>
      <w:bookmarkStart w:id="43" w:name="33"/>
      <w:r w:rsidRPr="006969B3">
        <w:rPr>
          <w:rFonts w:ascii="Arial" w:hAnsi="Arial" w:cs="Arial"/>
          <w:sz w:val="22"/>
          <w:szCs w:val="22"/>
          <w:lang w:val="es-CO"/>
        </w:rPr>
        <w:t>ARTÍCULO 33. FUNCIONAMIENTO DEL FONDO DE ESTABILIZACIÓN DE PRECIOS DE LOS COMBUSTIBLES (FEPC).</w:t>
      </w:r>
      <w:bookmarkEnd w:id="43"/>
      <w:r w:rsidRPr="006969B3">
        <w:rPr>
          <w:rFonts w:ascii="Arial" w:hAnsi="Arial" w:cs="Arial"/>
          <w:sz w:val="22"/>
          <w:szCs w:val="22"/>
          <w:lang w:val="es-CO"/>
        </w:rPr>
        <w:t xml:space="preserve"> Para garantizar el funcionamiento y sostenibilidad del Fondo de Estabilización de Precios de los Combustibles (FEPC) el Ministerio de Hacienda y Crédito Público, como administrador del FEPC, podrá realizar directamente o a través de entidades especializadas, el diseño, gestión, adquisición y/o celebración de instrumentos </w:t>
      </w:r>
      <w:r w:rsidRPr="006969B3">
        <w:rPr>
          <w:rFonts w:ascii="Arial" w:hAnsi="Arial" w:cs="Arial"/>
          <w:sz w:val="22"/>
          <w:szCs w:val="22"/>
          <w:lang w:val="es-CO"/>
        </w:rPr>
        <w:lastRenderedPageBreak/>
        <w:t>y/o contratos de cobertura financiera sobre los precios del petróleo o de los combustibles líquidos en el mercado internacional, o sobre la tasa de cambio del peso colombiano por el dólar estadounidense.</w:t>
      </w:r>
    </w:p>
    <w:p w14:paraId="0D71A609" w14:textId="77777777" w:rsidR="00C76F1D" w:rsidRPr="006969B3" w:rsidRDefault="00C76F1D" w:rsidP="00F65283">
      <w:pPr>
        <w:pStyle w:val="NormalWeb"/>
        <w:spacing w:before="0" w:beforeAutospacing="0" w:after="0" w:afterAutospacing="0"/>
        <w:jc w:val="both"/>
        <w:rPr>
          <w:rStyle w:val="baj"/>
          <w:rFonts w:ascii="Arial" w:hAnsi="Arial" w:cs="Arial"/>
          <w:sz w:val="22"/>
          <w:szCs w:val="22"/>
          <w:lang w:val="es-CO"/>
        </w:rPr>
      </w:pPr>
    </w:p>
    <w:p w14:paraId="712F81C1" w14:textId="5A125C74"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xml:space="preserve"> Las decisiones de coberturas financieras previstas en este artículo deberán ser evaluadas de forma conjunta y en contexto con la función del FEPC, no por el desempeño de una operación individual sino como parte de una estrategia de estabilidad de los precios internos de los combustibles y de sostenibilidad del FEPC. En algunos periodos determinados por condiciones adversas del mercado, se podrán </w:t>
      </w:r>
      <w:proofErr w:type="spellStart"/>
      <w:r w:rsidRPr="006969B3">
        <w:rPr>
          <w:rFonts w:ascii="Arial" w:hAnsi="Arial" w:cs="Arial"/>
          <w:sz w:val="22"/>
          <w:szCs w:val="22"/>
          <w:lang w:val="es-CO"/>
        </w:rPr>
        <w:t>obser</w:t>
      </w:r>
      <w:proofErr w:type="spellEnd"/>
      <w:r w:rsidRPr="006969B3">
        <w:rPr>
          <w:rFonts w:ascii="Arial" w:hAnsi="Arial" w:cs="Arial"/>
          <w:sz w:val="22"/>
          <w:szCs w:val="22"/>
          <w:lang w:val="es-CO"/>
        </w:rPr>
        <w:t xml:space="preserve"> </w:t>
      </w:r>
      <w:proofErr w:type="spellStart"/>
      <w:r w:rsidRPr="006969B3">
        <w:rPr>
          <w:rFonts w:ascii="Arial" w:hAnsi="Arial" w:cs="Arial"/>
          <w:sz w:val="22"/>
          <w:szCs w:val="22"/>
          <w:lang w:val="es-CO"/>
        </w:rPr>
        <w:t>var</w:t>
      </w:r>
      <w:proofErr w:type="spellEnd"/>
      <w:r w:rsidRPr="006969B3">
        <w:rPr>
          <w:rFonts w:ascii="Arial" w:hAnsi="Arial" w:cs="Arial"/>
          <w:sz w:val="22"/>
          <w:szCs w:val="22"/>
          <w:lang w:val="es-CO"/>
        </w:rPr>
        <w:t xml:space="preserve"> operaciones cuyos resultados sean iguales a cero o negativos por la naturaleza propia de las coberturas.</w:t>
      </w:r>
    </w:p>
    <w:p w14:paraId="5533FECA" w14:textId="77777777" w:rsidR="00C76F1D" w:rsidRPr="006969B3" w:rsidRDefault="00C76F1D" w:rsidP="00F65283">
      <w:pPr>
        <w:pStyle w:val="NormalWeb"/>
        <w:spacing w:before="0" w:beforeAutospacing="0" w:after="0" w:afterAutospacing="0"/>
        <w:jc w:val="both"/>
        <w:rPr>
          <w:rStyle w:val="baj"/>
          <w:rFonts w:ascii="Arial" w:hAnsi="Arial" w:cs="Arial"/>
          <w:sz w:val="22"/>
          <w:szCs w:val="22"/>
          <w:lang w:val="es-CO"/>
        </w:rPr>
      </w:pPr>
    </w:p>
    <w:p w14:paraId="4691BE4D" w14:textId="5BFB5D37"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Los actos o contratos que se ejecuten para el control del riesgo de mercado y de crédito resultante de las operaciones o de la estrategia implementada según lo previsto en el presente artículo, se sujetarán a las normas del derecho privado aplicables a las mismas.</w:t>
      </w:r>
    </w:p>
    <w:p w14:paraId="683CE993" w14:textId="77777777" w:rsidR="00C76F1D" w:rsidRPr="006969B3" w:rsidRDefault="00C76F1D" w:rsidP="00F65283">
      <w:pPr>
        <w:pStyle w:val="NormalWeb"/>
        <w:spacing w:before="0" w:beforeAutospacing="0" w:after="0" w:afterAutospacing="0"/>
        <w:jc w:val="both"/>
        <w:rPr>
          <w:rFonts w:ascii="Arial" w:hAnsi="Arial" w:cs="Arial"/>
          <w:sz w:val="22"/>
          <w:szCs w:val="22"/>
          <w:lang w:val="es-CO"/>
        </w:rPr>
      </w:pPr>
      <w:bookmarkStart w:id="44" w:name="34"/>
    </w:p>
    <w:p w14:paraId="158065C0" w14:textId="063C3832"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34. OBLIGACIONES A CARGO DEL FONDO DE ESTABILIZACIÓN DE PRECIOS DE LOS COMBUSTIBLES (FEPC).</w:t>
      </w:r>
      <w:bookmarkEnd w:id="44"/>
      <w:r w:rsidRPr="006969B3">
        <w:rPr>
          <w:rFonts w:ascii="Arial" w:hAnsi="Arial" w:cs="Arial"/>
          <w:sz w:val="22"/>
          <w:szCs w:val="22"/>
          <w:lang w:val="es-CO"/>
        </w:rPr>
        <w:t> Las obligaciones derivadas de las cuentas por cobrar constituidas por la Nación al Fondo de Estabilización de Precios de los Combustibles (FEPC) creado por el artículo</w:t>
      </w:r>
      <w:r w:rsidR="003B0B2B">
        <w:rPr>
          <w:rFonts w:ascii="Arial" w:hAnsi="Arial" w:cs="Arial"/>
          <w:sz w:val="22"/>
          <w:szCs w:val="22"/>
          <w:lang w:val="es-CO"/>
        </w:rPr>
        <w:t xml:space="preserve"> 69</w:t>
      </w:r>
      <w:r w:rsidRPr="006969B3">
        <w:rPr>
          <w:rFonts w:ascii="Arial" w:hAnsi="Arial" w:cs="Arial"/>
          <w:sz w:val="22"/>
          <w:szCs w:val="22"/>
          <w:lang w:val="es-CO"/>
        </w:rPr>
        <w:t> de la Ley 1151 de 2007, prorrogado por el artículo</w:t>
      </w:r>
      <w:r w:rsidR="003B0B2B">
        <w:rPr>
          <w:rFonts w:ascii="Arial" w:hAnsi="Arial" w:cs="Arial"/>
          <w:sz w:val="22"/>
          <w:szCs w:val="22"/>
          <w:lang w:val="es-CO"/>
        </w:rPr>
        <w:t xml:space="preserve"> 267</w:t>
      </w:r>
      <w:r w:rsidRPr="006969B3">
        <w:rPr>
          <w:rFonts w:ascii="Arial" w:hAnsi="Arial" w:cs="Arial"/>
          <w:sz w:val="22"/>
          <w:szCs w:val="22"/>
          <w:lang w:val="es-CO"/>
        </w:rPr>
        <w:t> de la Ley 1753 de 2015, las cuales fueron autorizadas por la ley en contrapartida de la emisión de bonos u otros títulos de deuda pública, se entenderán extintas a partir del 31 de diciembre de 2019.</w:t>
      </w:r>
    </w:p>
    <w:p w14:paraId="5527B0D6" w14:textId="77777777" w:rsidR="00C62051" w:rsidRPr="006969B3" w:rsidRDefault="00C62051" w:rsidP="00F65283">
      <w:pPr>
        <w:pStyle w:val="NormalWeb"/>
        <w:spacing w:before="0" w:beforeAutospacing="0" w:after="0" w:afterAutospacing="0"/>
        <w:jc w:val="both"/>
        <w:rPr>
          <w:rFonts w:ascii="Arial" w:hAnsi="Arial" w:cs="Arial"/>
          <w:sz w:val="22"/>
          <w:szCs w:val="22"/>
          <w:lang w:val="es-CO"/>
        </w:rPr>
      </w:pPr>
    </w:p>
    <w:p w14:paraId="79CC2A73" w14:textId="77777777"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Para dar cumplimiento a lo establecido en el presente artículo, el Ministerio de Hacienda y Crédito Público realizará las operaciones necesarias para la extinción de la deuda de la que trata el presente artículo, y de sus respectivos intereses.</w:t>
      </w:r>
    </w:p>
    <w:p w14:paraId="28856FDC" w14:textId="03D9965B" w:rsidR="00E319CE" w:rsidRPr="006969B3" w:rsidRDefault="00E319CE" w:rsidP="00F65283">
      <w:pPr>
        <w:spacing w:after="0" w:line="240" w:lineRule="auto"/>
        <w:rPr>
          <w:rFonts w:ascii="Arial" w:hAnsi="Arial" w:cs="Arial"/>
          <w:lang w:val="es-CO"/>
        </w:rPr>
      </w:pPr>
    </w:p>
    <w:p w14:paraId="22210059" w14:textId="77777777" w:rsidR="00E319CE" w:rsidRPr="006969B3" w:rsidRDefault="00E319CE" w:rsidP="00F65283">
      <w:pPr>
        <w:pStyle w:val="NormalWeb"/>
        <w:spacing w:before="0" w:beforeAutospacing="0" w:after="0" w:afterAutospacing="0"/>
        <w:jc w:val="both"/>
        <w:rPr>
          <w:rFonts w:ascii="Arial" w:hAnsi="Arial" w:cs="Arial"/>
          <w:sz w:val="22"/>
          <w:szCs w:val="22"/>
          <w:lang w:val="es-CO"/>
        </w:rPr>
      </w:pPr>
      <w:bookmarkStart w:id="45" w:name="35"/>
      <w:r w:rsidRPr="006969B3">
        <w:rPr>
          <w:rFonts w:ascii="Arial" w:hAnsi="Arial" w:cs="Arial"/>
          <w:sz w:val="22"/>
          <w:szCs w:val="22"/>
          <w:lang w:val="es-CO"/>
        </w:rPr>
        <w:t>ARTÍCULO 35. PRECIO DE LOS COMBUSTIBLES LÍQUIDOS A ESTABILIZAR.</w:t>
      </w:r>
      <w:bookmarkEnd w:id="45"/>
      <w:r w:rsidRPr="006969B3">
        <w:rPr>
          <w:rFonts w:ascii="Arial" w:hAnsi="Arial" w:cs="Arial"/>
          <w:sz w:val="22"/>
          <w:szCs w:val="22"/>
          <w:lang w:val="es-CO"/>
        </w:rPr>
        <w:t> El Ministerio de Hacienda y Crédito Público y el Ministerio de Minas y Energía, o la entidad delegada, establecerá la metodología de cálculo del valor del ingreso al productor de los combustibles líquidos y biocombustibles, así como las tarifas y márgenes asociados a la remuneración de toda la cadena de transporte, logística, comercialización y distribución de dichos combustibles que hacen parte del mercado regulado. El Ministerio de Hacienda y Crédito Público podrá determinar el mecanismo de estabilización de los precios de referencia de venta al público de los combustibles regulados, así como los subsidios a los mismos, que se harán a través del Fondo de Estabilización de Precios de los Combustibles (FEPC). El mecanismo de estabilización previsto por el FEPC no afectará los impuestos de carácter territorial.</w:t>
      </w:r>
    </w:p>
    <w:p w14:paraId="6F1FA80B" w14:textId="77777777" w:rsidR="00C76F1D" w:rsidRPr="006969B3" w:rsidRDefault="00C76F1D" w:rsidP="00F65283">
      <w:pPr>
        <w:pStyle w:val="NormalWeb"/>
        <w:spacing w:before="0" w:beforeAutospacing="0" w:after="0" w:afterAutospacing="0"/>
        <w:jc w:val="both"/>
        <w:rPr>
          <w:rStyle w:val="baj"/>
          <w:rFonts w:ascii="Arial" w:hAnsi="Arial" w:cs="Arial"/>
          <w:sz w:val="22"/>
          <w:szCs w:val="22"/>
          <w:lang w:val="es-CO"/>
        </w:rPr>
      </w:pPr>
    </w:p>
    <w:p w14:paraId="67171D5D" w14:textId="4D69CE64"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Las compensaciones al transporte, los subsidios, los incentivos tributarios y el mecanismo de estabilización de precios, podrán reconocerse y entregarse de manera general, focalizada o directa al consumidor final en la forma que determine el Gobierno nacional mediante el uso de nuevas tecnologías.</w:t>
      </w:r>
    </w:p>
    <w:p w14:paraId="11C2B9BA" w14:textId="77777777" w:rsidR="00C76F1D" w:rsidRPr="006969B3" w:rsidRDefault="00C76F1D" w:rsidP="00F65283">
      <w:pPr>
        <w:pStyle w:val="NormalWeb"/>
        <w:spacing w:before="0" w:beforeAutospacing="0" w:after="0" w:afterAutospacing="0"/>
        <w:jc w:val="both"/>
        <w:rPr>
          <w:rStyle w:val="baj"/>
          <w:rFonts w:ascii="Arial" w:hAnsi="Arial" w:cs="Arial"/>
          <w:sz w:val="22"/>
          <w:szCs w:val="22"/>
          <w:lang w:val="es-CO"/>
        </w:rPr>
      </w:pPr>
    </w:p>
    <w:p w14:paraId="7CCE5A1D" w14:textId="2C7EA668"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Dado que el sector de biocombustibles tiene relación directa con el sector agrícola y tiene un efecto oxigenante en los combustibles líquidos, el porcentaje de biocombustibles dentro de la mezcla de combustibles líquidos deberá ser regulado por el Ministerio de Agricultura y Desarrollo Rural, el Ministerio de Ambiente y Desarrollo Sostenible y el Ministerio de Minas y Energía.</w:t>
      </w:r>
    </w:p>
    <w:p w14:paraId="136408DE" w14:textId="765BD528" w:rsidR="00E319CE" w:rsidRPr="006969B3" w:rsidRDefault="00E319CE" w:rsidP="00F65283">
      <w:pPr>
        <w:spacing w:after="0" w:line="240" w:lineRule="auto"/>
        <w:rPr>
          <w:rFonts w:ascii="Arial" w:hAnsi="Arial" w:cs="Arial"/>
          <w:lang w:val="es-CO"/>
        </w:rPr>
      </w:pPr>
    </w:p>
    <w:p w14:paraId="7FB4E9B6" w14:textId="566C750F" w:rsidR="00E319CE" w:rsidRPr="006969B3" w:rsidRDefault="00E319CE" w:rsidP="00F65283">
      <w:pPr>
        <w:pStyle w:val="NormalWeb"/>
        <w:spacing w:before="0" w:beforeAutospacing="0" w:after="0" w:afterAutospacing="0"/>
        <w:jc w:val="both"/>
        <w:rPr>
          <w:rFonts w:ascii="Arial" w:hAnsi="Arial" w:cs="Arial"/>
          <w:sz w:val="22"/>
          <w:szCs w:val="22"/>
          <w:lang w:val="es-CO"/>
        </w:rPr>
      </w:pPr>
      <w:bookmarkStart w:id="46" w:name="36"/>
      <w:r w:rsidRPr="006969B3">
        <w:rPr>
          <w:rFonts w:ascii="Arial" w:hAnsi="Arial" w:cs="Arial"/>
          <w:sz w:val="22"/>
          <w:szCs w:val="22"/>
          <w:lang w:val="es-CO"/>
        </w:rPr>
        <w:t>ARTÍCULO 36. ADMINISTRACIÓN EFICIENTE DE RECURSOS PÚBLICOS.</w:t>
      </w:r>
      <w:bookmarkEnd w:id="46"/>
      <w:r w:rsidRPr="006969B3">
        <w:rPr>
          <w:rFonts w:ascii="Arial" w:hAnsi="Arial" w:cs="Arial"/>
          <w:sz w:val="22"/>
          <w:szCs w:val="22"/>
          <w:lang w:val="es-CO"/>
        </w:rPr>
        <w:t> Modifíquese el artículo</w:t>
      </w:r>
      <w:r w:rsidR="003B0B2B">
        <w:rPr>
          <w:rFonts w:ascii="Arial" w:hAnsi="Arial" w:cs="Arial"/>
          <w:sz w:val="22"/>
          <w:szCs w:val="22"/>
          <w:lang w:val="es-CO"/>
        </w:rPr>
        <w:t xml:space="preserve"> 149</w:t>
      </w:r>
      <w:r w:rsidRPr="006969B3">
        <w:rPr>
          <w:rFonts w:ascii="Arial" w:hAnsi="Arial" w:cs="Arial"/>
          <w:sz w:val="22"/>
          <w:szCs w:val="22"/>
          <w:lang w:val="es-CO"/>
        </w:rPr>
        <w:t> de la Ley 1753 de 2015, el cual quedará así:</w:t>
      </w:r>
    </w:p>
    <w:p w14:paraId="714F8ABE" w14:textId="77777777" w:rsidR="00C76F1D" w:rsidRPr="006969B3" w:rsidRDefault="00C76F1D" w:rsidP="00F65283">
      <w:pPr>
        <w:pStyle w:val="NormalWeb"/>
        <w:spacing w:before="0" w:beforeAutospacing="0" w:after="0" w:afterAutospacing="0"/>
        <w:jc w:val="both"/>
        <w:rPr>
          <w:rFonts w:ascii="Arial" w:hAnsi="Arial" w:cs="Arial"/>
          <w:sz w:val="22"/>
          <w:szCs w:val="22"/>
          <w:lang w:val="es-CO"/>
        </w:rPr>
      </w:pPr>
    </w:p>
    <w:p w14:paraId="5A76ECBE" w14:textId="0071D707"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w:t>
      </w:r>
      <w:r w:rsidR="006B0DD7">
        <w:rPr>
          <w:rFonts w:ascii="Arial" w:hAnsi="Arial" w:cs="Arial"/>
          <w:sz w:val="22"/>
          <w:szCs w:val="22"/>
          <w:lang w:val="es-CO"/>
        </w:rPr>
        <w:t xml:space="preserve"> 149</w:t>
      </w:r>
      <w:r w:rsidRPr="006969B3">
        <w:rPr>
          <w:rFonts w:ascii="Arial" w:hAnsi="Arial" w:cs="Arial"/>
          <w:sz w:val="22"/>
          <w:szCs w:val="22"/>
          <w:lang w:val="es-CO"/>
        </w:rPr>
        <w:t>. Administración eficiente de recursos públicos. Los recursos provenientes del Presupuesto General de la Nación transferidos a entidades financieras no podrán tener como objeto proveerlas de fondos sino atender los compromisos y obligaciones en desarrollo del objeto de las apropiaciones presupuestales.</w:t>
      </w:r>
    </w:p>
    <w:p w14:paraId="46C55994" w14:textId="77777777" w:rsidR="00C76F1D" w:rsidRPr="006969B3" w:rsidRDefault="00C76F1D" w:rsidP="00F65283">
      <w:pPr>
        <w:pStyle w:val="NormalWeb"/>
        <w:spacing w:before="0" w:beforeAutospacing="0" w:after="0" w:afterAutospacing="0"/>
        <w:jc w:val="both"/>
        <w:rPr>
          <w:rFonts w:ascii="Arial" w:hAnsi="Arial" w:cs="Arial"/>
          <w:sz w:val="22"/>
          <w:szCs w:val="22"/>
          <w:lang w:val="es-CO"/>
        </w:rPr>
      </w:pPr>
    </w:p>
    <w:p w14:paraId="1F651828" w14:textId="138A96BC"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En consecuencia, los saldos de recursos girados a entidades financieras que no se encuentren respaldando compromisos u obligaciones del Presupuesto General de la Nación deberán ser reintegrados a la entidad estatal respectiva, de conformidad con la reglamentación que expida el Ministerio de Hacienda y Crédito Público. Los saldos así reintegrados podrán ser requeridos nuevamente para gastos referentes al cumplimiento de su objeto, sin que implique operación presupuestal alguna.</w:t>
      </w:r>
    </w:p>
    <w:p w14:paraId="52593175" w14:textId="77777777" w:rsidR="00C76F1D" w:rsidRPr="006969B3" w:rsidRDefault="00C76F1D" w:rsidP="00F65283">
      <w:pPr>
        <w:pStyle w:val="NormalWeb"/>
        <w:spacing w:before="0" w:beforeAutospacing="0" w:after="0" w:afterAutospacing="0"/>
        <w:jc w:val="both"/>
        <w:rPr>
          <w:rFonts w:ascii="Arial" w:hAnsi="Arial" w:cs="Arial"/>
          <w:sz w:val="22"/>
          <w:szCs w:val="22"/>
          <w:lang w:val="es-CO"/>
        </w:rPr>
      </w:pPr>
    </w:p>
    <w:p w14:paraId="045C75ED" w14:textId="1C0A4DD9"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Los rendimientos financieros originados con recursos de la Nación deben consignarse en la Dirección General de Crédito Público y Tesoro Nacional, con excepción de aquellos rendimientos en los que la Ley haya determinado específicamente su tratamiento.</w:t>
      </w:r>
    </w:p>
    <w:p w14:paraId="08C16AB0" w14:textId="77777777" w:rsidR="00C76F1D" w:rsidRPr="006969B3" w:rsidRDefault="00C76F1D" w:rsidP="00F65283">
      <w:pPr>
        <w:pStyle w:val="NormalWeb"/>
        <w:spacing w:before="0" w:beforeAutospacing="0" w:after="0" w:afterAutospacing="0"/>
        <w:jc w:val="both"/>
        <w:rPr>
          <w:rFonts w:ascii="Arial" w:hAnsi="Arial" w:cs="Arial"/>
          <w:sz w:val="22"/>
          <w:szCs w:val="22"/>
          <w:lang w:val="es-CO"/>
        </w:rPr>
      </w:pPr>
    </w:p>
    <w:p w14:paraId="6A24ABD5" w14:textId="42CB351D"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Cuando los negocios fiduciarios utilicen la creación de subcuentas, subprogramas, subproyectos, o cualquier otra modalidad de clasificación, deberán implementar de manera temporal la unidad de caja, sin afectar los derechos de los beneficiarios del negocio jurídico, para buscar eficiencia en el manejo de los recursos que les sitúa la Nación.</w:t>
      </w:r>
    </w:p>
    <w:p w14:paraId="7431694C" w14:textId="77777777" w:rsidR="001B0E49" w:rsidRDefault="001B0E49" w:rsidP="00F65283">
      <w:pPr>
        <w:pStyle w:val="NormalWeb"/>
        <w:spacing w:before="0" w:beforeAutospacing="0" w:after="0" w:afterAutospacing="0"/>
        <w:jc w:val="both"/>
        <w:rPr>
          <w:rStyle w:val="baj"/>
          <w:rFonts w:ascii="Arial" w:hAnsi="Arial" w:cs="Arial"/>
          <w:sz w:val="22"/>
          <w:szCs w:val="22"/>
          <w:lang w:val="es-CO"/>
        </w:rPr>
      </w:pPr>
    </w:p>
    <w:p w14:paraId="1BE10710" w14:textId="03B4B25F"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Además de lo dispuesto en los incisos primero y segundo del artículo</w:t>
      </w:r>
      <w:r w:rsidR="003B0B2B">
        <w:rPr>
          <w:rFonts w:ascii="Arial" w:hAnsi="Arial" w:cs="Arial"/>
          <w:sz w:val="22"/>
          <w:szCs w:val="22"/>
          <w:lang w:val="es-CO"/>
        </w:rPr>
        <w:t xml:space="preserve"> </w:t>
      </w:r>
      <w:proofErr w:type="gramStart"/>
      <w:r w:rsidR="003B0B2B">
        <w:rPr>
          <w:rFonts w:ascii="Arial" w:hAnsi="Arial" w:cs="Arial"/>
          <w:sz w:val="22"/>
          <w:szCs w:val="22"/>
          <w:lang w:val="es-CO"/>
        </w:rPr>
        <w:t>261</w:t>
      </w:r>
      <w:r w:rsidRPr="006969B3">
        <w:rPr>
          <w:rFonts w:ascii="Arial" w:hAnsi="Arial" w:cs="Arial"/>
          <w:sz w:val="22"/>
          <w:szCs w:val="22"/>
          <w:lang w:val="es-CO"/>
        </w:rPr>
        <w:t>  de</w:t>
      </w:r>
      <w:proofErr w:type="gramEnd"/>
      <w:r w:rsidRPr="006969B3">
        <w:rPr>
          <w:rFonts w:ascii="Arial" w:hAnsi="Arial" w:cs="Arial"/>
          <w:sz w:val="22"/>
          <w:szCs w:val="22"/>
          <w:lang w:val="es-CO"/>
        </w:rPr>
        <w:t xml:space="preserve"> la Ley 1450 de 2011, las entidades estatales del orden nacional que administren contribuciones parafiscales y los órganos de previsión y seguridad social que administren prestaciones sociales de carácter económico, podrán formar parte del Sistema de Cuenta Única Nacional.</w:t>
      </w:r>
    </w:p>
    <w:p w14:paraId="049E07F0" w14:textId="77777777" w:rsidR="00C76F1D" w:rsidRPr="006969B3" w:rsidRDefault="00C76F1D" w:rsidP="00F65283">
      <w:pPr>
        <w:pStyle w:val="NormalWeb"/>
        <w:spacing w:before="0" w:beforeAutospacing="0" w:after="0" w:afterAutospacing="0"/>
        <w:jc w:val="both"/>
        <w:rPr>
          <w:rStyle w:val="baj"/>
          <w:rFonts w:ascii="Arial" w:hAnsi="Arial" w:cs="Arial"/>
          <w:sz w:val="22"/>
          <w:szCs w:val="22"/>
          <w:lang w:val="es-CO"/>
        </w:rPr>
      </w:pPr>
    </w:p>
    <w:p w14:paraId="22D8ADE2" w14:textId="7F268A8C"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La Dirección General de Crédito Público y Tesoro Nacional podrá administrar excedentes de liquidez de entidades estatales de cualquier orden a través de depósitos en administración, de conformidad con la reglamentación que expida el Ministerio de Hacienda y Crédito Público.</w:t>
      </w:r>
    </w:p>
    <w:p w14:paraId="36D06924" w14:textId="77777777" w:rsidR="00C76F1D" w:rsidRPr="006969B3" w:rsidRDefault="00C76F1D" w:rsidP="00F65283">
      <w:pPr>
        <w:pStyle w:val="NormalWeb"/>
        <w:spacing w:before="0" w:beforeAutospacing="0" w:after="0" w:afterAutospacing="0"/>
        <w:jc w:val="both"/>
        <w:rPr>
          <w:rStyle w:val="baj"/>
          <w:rFonts w:ascii="Arial" w:hAnsi="Arial" w:cs="Arial"/>
          <w:sz w:val="22"/>
          <w:szCs w:val="22"/>
          <w:lang w:val="es-CO"/>
        </w:rPr>
      </w:pPr>
    </w:p>
    <w:p w14:paraId="6D936C00" w14:textId="47595204"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3o.</w:t>
      </w:r>
      <w:r w:rsidRPr="006969B3">
        <w:rPr>
          <w:rFonts w:ascii="Arial" w:hAnsi="Arial" w:cs="Arial"/>
          <w:sz w:val="22"/>
          <w:szCs w:val="22"/>
          <w:lang w:val="es-CO"/>
        </w:rPr>
        <w:t> Lo establecido en el inciso segundo de la presente disposición aplicará de manera especial para los recursos del Fondo de Reserva para la Estabilización de la Cartera Hipotecaria (FRECH) de que tratan los artículos</w:t>
      </w:r>
      <w:r w:rsidR="003B0B2B">
        <w:rPr>
          <w:rFonts w:ascii="Arial" w:hAnsi="Arial" w:cs="Arial"/>
          <w:sz w:val="22"/>
          <w:szCs w:val="22"/>
          <w:lang w:val="es-CO"/>
        </w:rPr>
        <w:t xml:space="preserve"> 48</w:t>
      </w:r>
      <w:r w:rsidRPr="006969B3">
        <w:rPr>
          <w:rFonts w:ascii="Arial" w:hAnsi="Arial" w:cs="Arial"/>
          <w:sz w:val="22"/>
          <w:szCs w:val="22"/>
          <w:lang w:val="es-CO"/>
        </w:rPr>
        <w:t> y </w:t>
      </w:r>
      <w:r w:rsidR="003B0B2B" w:rsidRPr="0074467C">
        <w:rPr>
          <w:lang w:val="es-CO"/>
        </w:rPr>
        <w:t>49</w:t>
      </w:r>
      <w:r w:rsidRPr="006969B3">
        <w:rPr>
          <w:rFonts w:ascii="Arial" w:hAnsi="Arial" w:cs="Arial"/>
          <w:sz w:val="22"/>
          <w:szCs w:val="22"/>
          <w:lang w:val="es-CO"/>
        </w:rPr>
        <w:t> de la Ley 546 de 1999 y el artículo</w:t>
      </w:r>
      <w:r w:rsidR="003B0B2B">
        <w:rPr>
          <w:rFonts w:ascii="Arial" w:hAnsi="Arial" w:cs="Arial"/>
          <w:sz w:val="22"/>
          <w:szCs w:val="22"/>
          <w:lang w:val="es-CO"/>
        </w:rPr>
        <w:t xml:space="preserve"> 88</w:t>
      </w:r>
      <w:r w:rsidRPr="006969B3">
        <w:rPr>
          <w:rFonts w:ascii="Arial" w:hAnsi="Arial" w:cs="Arial"/>
          <w:sz w:val="22"/>
          <w:szCs w:val="22"/>
          <w:lang w:val="es-CO"/>
        </w:rPr>
        <w:t> de la Ley 1151 de 2017 , así como para los recursos del Subsidio de Vivienda de Interés Social Rural (SVISR) depositados por el Banco Agrario, de conformidad con lo establecido en el Capítulo 1 del Título 1 de la Parte 2 del Libro 2 del Decreto 1071 de 2015 y sus normas modificatorias.</w:t>
      </w:r>
    </w:p>
    <w:p w14:paraId="4BA31EFB" w14:textId="745E5D9F" w:rsidR="00E319CE" w:rsidRPr="006969B3" w:rsidRDefault="00E319CE" w:rsidP="00F65283">
      <w:pPr>
        <w:spacing w:after="0" w:line="240" w:lineRule="auto"/>
        <w:rPr>
          <w:rFonts w:ascii="Arial" w:hAnsi="Arial" w:cs="Arial"/>
          <w:lang w:val="es-CO"/>
        </w:rPr>
      </w:pPr>
    </w:p>
    <w:p w14:paraId="4BE85B13" w14:textId="77777777" w:rsidR="00E319CE" w:rsidRPr="006969B3" w:rsidRDefault="00E319CE" w:rsidP="00F65283">
      <w:pPr>
        <w:pStyle w:val="NormalWeb"/>
        <w:spacing w:before="0" w:beforeAutospacing="0" w:after="0" w:afterAutospacing="0"/>
        <w:jc w:val="both"/>
        <w:rPr>
          <w:rFonts w:ascii="Arial" w:hAnsi="Arial" w:cs="Arial"/>
          <w:sz w:val="22"/>
          <w:szCs w:val="22"/>
          <w:lang w:val="es-CO"/>
        </w:rPr>
      </w:pPr>
      <w:bookmarkStart w:id="47" w:name="37"/>
      <w:r w:rsidRPr="006969B3">
        <w:rPr>
          <w:rFonts w:ascii="Arial" w:hAnsi="Arial" w:cs="Arial"/>
          <w:sz w:val="22"/>
          <w:szCs w:val="22"/>
          <w:lang w:val="es-CO"/>
        </w:rPr>
        <w:t>ARTÍCULO 37. ADMINISTRACIÓN DE ACTIVOS Y PASIVOS FINANCIEROS.</w:t>
      </w:r>
      <w:bookmarkEnd w:id="47"/>
      <w:r w:rsidRPr="006969B3">
        <w:rPr>
          <w:rFonts w:ascii="Arial" w:hAnsi="Arial" w:cs="Arial"/>
          <w:sz w:val="22"/>
          <w:szCs w:val="22"/>
          <w:lang w:val="es-CO"/>
        </w:rPr>
        <w:t> El Ministerio de Hacienda y Crédito Público, a través de la Dirección General de Crédito Público y Tesoro Nacional será la encargada de administrar los activos y pasivos financieros de la Nación de forma directa y los activos financieros de los demás entes públicos por delegación de las entidades respectivas.</w:t>
      </w:r>
    </w:p>
    <w:p w14:paraId="57EFC0B8" w14:textId="77777777" w:rsidR="00C76F1D" w:rsidRPr="006969B3" w:rsidRDefault="00C76F1D" w:rsidP="00F65283">
      <w:pPr>
        <w:pStyle w:val="NormalWeb"/>
        <w:spacing w:before="0" w:beforeAutospacing="0" w:after="0" w:afterAutospacing="0"/>
        <w:jc w:val="both"/>
        <w:rPr>
          <w:rFonts w:ascii="Arial" w:hAnsi="Arial" w:cs="Arial"/>
          <w:sz w:val="22"/>
          <w:szCs w:val="22"/>
          <w:lang w:val="es-CO"/>
        </w:rPr>
      </w:pPr>
    </w:p>
    <w:p w14:paraId="2BFAC437" w14:textId="633A8AE8"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lastRenderedPageBreak/>
        <w:t>Para tal efecto, facúltese a la Dirección General de Crédito Público y Tesoro Nacional del Ministerio de Hacienda y Crédito Público para que realice las siguientes operaciones: compra y venta de títulos valores emitidos por la Nación, el Banco de la República, Fondo de Garantías de Instituciones Financieras (FOGAFÍN), entidades sujetas al control y vigilancia de la Superintendencia Financiera de Colombia y otros gobiernos y tesorerías; compra de deuda de la Nación; compras con pacto de retroventa, operaciones repo, simultáneas y transferencia temporal de valores con entidades públicas y con entidades financieras sujetas al control y vigilancia de la Superintendencia Financiera de Colombia; depósitos remunerados e inversiones financieras en entidades sujetas al control y vigilancia de la Superintendencia Financiera de Colombia; depósitos a término y compras de títulos emitidos por entidades bancadas y financieras del exterior; inversiones en instrumentos del mercado monetario administrados por entidades financieras del exterior; operaciones de cubrimiento de riesgos; préstamos transitorios a dicha Dirección General cuyo plazo se podrá prorrogar antes de su vencimiento, depósitos en administración de recursos de las entidades estatales de cualquier orden, eventos que no implican unidad de caja; préstamos de títulos valores a la citada Dirección a tasas de mercado; y las demás que autorice el Gobierno nacional.</w:t>
      </w:r>
    </w:p>
    <w:p w14:paraId="463D9757" w14:textId="77777777" w:rsidR="00C76F1D" w:rsidRPr="006969B3" w:rsidRDefault="00C76F1D" w:rsidP="00F65283">
      <w:pPr>
        <w:pStyle w:val="NormalWeb"/>
        <w:spacing w:before="0" w:beforeAutospacing="0" w:after="0" w:afterAutospacing="0"/>
        <w:jc w:val="both"/>
        <w:rPr>
          <w:rStyle w:val="baj"/>
          <w:rFonts w:ascii="Arial" w:hAnsi="Arial" w:cs="Arial"/>
          <w:sz w:val="22"/>
          <w:szCs w:val="22"/>
          <w:lang w:val="es-CO"/>
        </w:rPr>
      </w:pPr>
    </w:p>
    <w:p w14:paraId="4E46436D" w14:textId="23C135E7"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Las operaciones de las que trata este artículo, así como los actos y contratos necesarios para su ejecución, se sujetarán a las normas de derecho privado y se podrán atender con cargo al servicio de la deuda si lo apropiado por los rendimientos de la colocación de los excedentes de la Dirección General de Crédito Público y Tesoro Nacional, fuera insuficiente.</w:t>
      </w:r>
    </w:p>
    <w:p w14:paraId="11C35BF6" w14:textId="77777777" w:rsidR="00C76F1D" w:rsidRPr="006969B3" w:rsidRDefault="00C76F1D" w:rsidP="00F65283">
      <w:pPr>
        <w:pStyle w:val="NormalWeb"/>
        <w:spacing w:before="0" w:beforeAutospacing="0" w:after="0" w:afterAutospacing="0"/>
        <w:jc w:val="both"/>
        <w:rPr>
          <w:rStyle w:val="baj"/>
          <w:rFonts w:ascii="Arial" w:hAnsi="Arial" w:cs="Arial"/>
          <w:sz w:val="22"/>
          <w:szCs w:val="22"/>
          <w:lang w:val="es-CO"/>
        </w:rPr>
      </w:pPr>
    </w:p>
    <w:p w14:paraId="78959771" w14:textId="43E3B5D4"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En el manejo de los excedentes de liquidez, la Dirección General de Crédito Público y Tesoro Nacional podrá otorgar créditos de tesorería hasta por el plazo de un año a las entidades descentralizadas del orden nacional, de conformidad con los criterios técnicos y condiciones que establezca el Ministerio de Hacienda y Crédito Público.</w:t>
      </w:r>
    </w:p>
    <w:p w14:paraId="1DDFCB01" w14:textId="0EABACF5" w:rsidR="00E319CE" w:rsidRPr="006969B3" w:rsidRDefault="00E319CE" w:rsidP="00F65283">
      <w:pPr>
        <w:spacing w:after="0" w:line="240" w:lineRule="auto"/>
        <w:rPr>
          <w:rFonts w:ascii="Arial" w:hAnsi="Arial" w:cs="Arial"/>
          <w:lang w:val="es-CO"/>
        </w:rPr>
      </w:pPr>
    </w:p>
    <w:p w14:paraId="2D7BB011" w14:textId="0D8B76BC" w:rsidR="00E319CE" w:rsidRPr="006969B3" w:rsidRDefault="00E319CE" w:rsidP="00F65283">
      <w:pPr>
        <w:pStyle w:val="NormalWeb"/>
        <w:spacing w:before="0" w:beforeAutospacing="0" w:after="0" w:afterAutospacing="0"/>
        <w:jc w:val="both"/>
        <w:rPr>
          <w:rFonts w:ascii="Arial" w:hAnsi="Arial" w:cs="Arial"/>
          <w:sz w:val="22"/>
          <w:szCs w:val="22"/>
          <w:lang w:val="es-CO"/>
        </w:rPr>
      </w:pPr>
      <w:bookmarkStart w:id="48" w:name="38"/>
      <w:r w:rsidRPr="006969B3">
        <w:rPr>
          <w:rFonts w:ascii="Arial" w:hAnsi="Arial" w:cs="Arial"/>
          <w:sz w:val="22"/>
          <w:szCs w:val="22"/>
          <w:lang w:val="es-CO"/>
        </w:rPr>
        <w:t>ARTÍCULO 38. ORIENTACIÓN DEL GASTO A RESULTADOS.</w:t>
      </w:r>
      <w:bookmarkEnd w:id="48"/>
      <w:r w:rsidRPr="006969B3">
        <w:rPr>
          <w:rFonts w:ascii="Arial" w:hAnsi="Arial" w:cs="Arial"/>
          <w:sz w:val="22"/>
          <w:szCs w:val="22"/>
          <w:lang w:val="es-CO"/>
        </w:rPr>
        <w:t> Modifíquese el artículo</w:t>
      </w:r>
      <w:r w:rsidR="003B0B2B">
        <w:rPr>
          <w:rFonts w:ascii="Arial" w:hAnsi="Arial" w:cs="Arial"/>
          <w:sz w:val="22"/>
          <w:szCs w:val="22"/>
          <w:lang w:val="es-CO"/>
        </w:rPr>
        <w:t xml:space="preserve"> 148</w:t>
      </w:r>
      <w:r w:rsidRPr="006969B3">
        <w:rPr>
          <w:rFonts w:ascii="Arial" w:hAnsi="Arial" w:cs="Arial"/>
          <w:sz w:val="22"/>
          <w:szCs w:val="22"/>
          <w:lang w:val="es-CO"/>
        </w:rPr>
        <w:t> de la Ley 1753 de 2015, el cual quedará así:</w:t>
      </w:r>
    </w:p>
    <w:p w14:paraId="56B4EFB1" w14:textId="77777777" w:rsidR="00C76F1D" w:rsidRPr="006969B3" w:rsidRDefault="00C76F1D" w:rsidP="00F65283">
      <w:pPr>
        <w:pStyle w:val="NormalWeb"/>
        <w:spacing w:before="0" w:beforeAutospacing="0" w:after="0" w:afterAutospacing="0"/>
        <w:jc w:val="both"/>
        <w:rPr>
          <w:rFonts w:ascii="Arial" w:hAnsi="Arial" w:cs="Arial"/>
          <w:sz w:val="22"/>
          <w:szCs w:val="22"/>
          <w:lang w:val="es-CO"/>
        </w:rPr>
      </w:pPr>
    </w:p>
    <w:p w14:paraId="7D1E59AF" w14:textId="7C74E708"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w:t>
      </w:r>
      <w:r w:rsidR="006B0DD7">
        <w:rPr>
          <w:rFonts w:ascii="Arial" w:hAnsi="Arial" w:cs="Arial"/>
          <w:sz w:val="22"/>
          <w:szCs w:val="22"/>
          <w:lang w:val="es-CO"/>
        </w:rPr>
        <w:t xml:space="preserve"> 148</w:t>
      </w:r>
      <w:r w:rsidRPr="006969B3">
        <w:rPr>
          <w:rFonts w:ascii="Arial" w:hAnsi="Arial" w:cs="Arial"/>
          <w:sz w:val="22"/>
          <w:szCs w:val="22"/>
          <w:lang w:val="es-CO"/>
        </w:rPr>
        <w:t>. Presupuesto orientado a resultados. La programación presupuestal debe orientarse a resultados, promover el uso eficiente y transparente de los recursos públicos y establecer una relación directa entre el ingreso, el gasto y los bienes y servicios entregados a la ciudadanía. Para el efecto, el presupuesto debe clasificarse mediante programas definidos que serán insumo para la elaboración de los planes de desarrollo y los planes plurianuales de inversión.</w:t>
      </w:r>
    </w:p>
    <w:p w14:paraId="6BE1E855" w14:textId="77777777" w:rsidR="00C76F1D" w:rsidRPr="006969B3" w:rsidRDefault="00C76F1D" w:rsidP="00F65283">
      <w:pPr>
        <w:pStyle w:val="NormalWeb"/>
        <w:spacing w:before="0" w:beforeAutospacing="0" w:after="0" w:afterAutospacing="0"/>
        <w:jc w:val="both"/>
        <w:rPr>
          <w:rFonts w:ascii="Arial" w:hAnsi="Arial" w:cs="Arial"/>
          <w:sz w:val="22"/>
          <w:szCs w:val="22"/>
          <w:lang w:val="es-CO"/>
        </w:rPr>
      </w:pPr>
    </w:p>
    <w:p w14:paraId="106382CB" w14:textId="6B16FC82"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 información sobre programación y ejecución presupuestal de los recursos de inversión de las entidades públicas del orden nacional y territorial debe reportarse a través del sistema de información unificada establecido para tal fin, de acuerdo con los lineamientos definidos para el efecto por el Departamento Nacional de Planeación.</w:t>
      </w:r>
    </w:p>
    <w:p w14:paraId="4922E942" w14:textId="77777777" w:rsidR="00C76F1D" w:rsidRPr="006969B3" w:rsidRDefault="00C76F1D" w:rsidP="00F65283">
      <w:pPr>
        <w:pStyle w:val="NormalWeb"/>
        <w:spacing w:before="0" w:beforeAutospacing="0" w:after="0" w:afterAutospacing="0"/>
        <w:jc w:val="both"/>
        <w:rPr>
          <w:rFonts w:ascii="Arial" w:hAnsi="Arial" w:cs="Arial"/>
          <w:sz w:val="22"/>
          <w:szCs w:val="22"/>
          <w:lang w:val="es-CO"/>
        </w:rPr>
      </w:pPr>
    </w:p>
    <w:p w14:paraId="549D4EBB" w14:textId="765C2C78"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presupuesto orientado a resultados y la clasificación por programas aplicará a la Nación, a las entidades territoriales y, a todas las fuentes de financiación del gasto público, de acuerdo con cada uno de los Planes de Desarrollo Territorial (PDT) vigentes.</w:t>
      </w:r>
    </w:p>
    <w:p w14:paraId="31E2437C" w14:textId="5B5B77F2" w:rsidR="00E319CE" w:rsidRPr="006969B3" w:rsidRDefault="00E319CE" w:rsidP="00F65283">
      <w:pPr>
        <w:spacing w:after="0" w:line="240" w:lineRule="auto"/>
        <w:rPr>
          <w:rFonts w:ascii="Arial" w:hAnsi="Arial" w:cs="Arial"/>
          <w:lang w:val="es-CO"/>
        </w:rPr>
      </w:pPr>
    </w:p>
    <w:p w14:paraId="5043C6EF" w14:textId="77777777" w:rsidR="00E319CE" w:rsidRPr="006969B3" w:rsidRDefault="00E319CE" w:rsidP="00F65283">
      <w:pPr>
        <w:pStyle w:val="NormalWeb"/>
        <w:spacing w:before="0" w:beforeAutospacing="0" w:after="0" w:afterAutospacing="0"/>
        <w:jc w:val="both"/>
        <w:rPr>
          <w:rFonts w:ascii="Arial" w:hAnsi="Arial" w:cs="Arial"/>
          <w:sz w:val="22"/>
          <w:szCs w:val="22"/>
          <w:lang w:val="es-CO"/>
        </w:rPr>
      </w:pPr>
      <w:bookmarkStart w:id="49" w:name="39"/>
      <w:r w:rsidRPr="006969B3">
        <w:rPr>
          <w:rFonts w:ascii="Arial" w:hAnsi="Arial" w:cs="Arial"/>
          <w:sz w:val="22"/>
          <w:szCs w:val="22"/>
          <w:lang w:val="es-CO"/>
        </w:rPr>
        <w:t>ARTÍCULO 39. SANEAMIENTO CONTABLE DE LOS ESTADOS FINANCIEROS DE LA NACIÓN.</w:t>
      </w:r>
      <w:bookmarkEnd w:id="49"/>
      <w:r w:rsidRPr="006969B3">
        <w:rPr>
          <w:rFonts w:ascii="Arial" w:hAnsi="Arial" w:cs="Arial"/>
          <w:sz w:val="22"/>
          <w:szCs w:val="22"/>
          <w:lang w:val="es-CO"/>
        </w:rPr>
        <w:t xml:space="preserve"> Con el fin de lograr el saneamiento contable de los estados financieros de la Nación, el Ministerio de Hacienda y Crédito Público hará los registros contables para </w:t>
      </w:r>
      <w:r w:rsidRPr="006969B3">
        <w:rPr>
          <w:rFonts w:ascii="Arial" w:hAnsi="Arial" w:cs="Arial"/>
          <w:sz w:val="22"/>
          <w:szCs w:val="22"/>
          <w:lang w:val="es-CO"/>
        </w:rPr>
        <w:lastRenderedPageBreak/>
        <w:t>depurar y castigar los saldos derivados de embargos judiciales por procesos ejecutivos decretados en contra de las diferentes entidades públicas, antes del 28 de febrero de 1995 y que recayeron contra el Tesoro Nacional - Cuenta Cajero del Banco de la República.</w:t>
      </w:r>
    </w:p>
    <w:p w14:paraId="5333A553" w14:textId="5F155920" w:rsidR="00E319CE" w:rsidRPr="006969B3" w:rsidRDefault="00E319CE" w:rsidP="00F65283">
      <w:pPr>
        <w:spacing w:after="0" w:line="240" w:lineRule="auto"/>
        <w:rPr>
          <w:rFonts w:ascii="Arial" w:hAnsi="Arial" w:cs="Arial"/>
          <w:lang w:val="es-CO"/>
        </w:rPr>
      </w:pPr>
    </w:p>
    <w:p w14:paraId="7F5A4D92" w14:textId="77777777" w:rsidR="00E319CE" w:rsidRPr="006969B3" w:rsidRDefault="00E319CE" w:rsidP="00F65283">
      <w:pPr>
        <w:pStyle w:val="NormalWeb"/>
        <w:spacing w:before="0" w:beforeAutospacing="0" w:after="0" w:afterAutospacing="0"/>
        <w:jc w:val="both"/>
        <w:rPr>
          <w:rFonts w:ascii="Arial" w:hAnsi="Arial" w:cs="Arial"/>
          <w:sz w:val="22"/>
          <w:szCs w:val="22"/>
          <w:lang w:val="es-CO"/>
        </w:rPr>
      </w:pPr>
      <w:bookmarkStart w:id="50" w:name="40"/>
      <w:r w:rsidRPr="006969B3">
        <w:rPr>
          <w:rFonts w:ascii="Arial" w:hAnsi="Arial" w:cs="Arial"/>
          <w:sz w:val="22"/>
          <w:szCs w:val="22"/>
          <w:lang w:val="es-CO"/>
        </w:rPr>
        <w:t>ARTÍCULO 40. SANEAMIENTO DE TÍTULOS DE BIENES INMUEBLES DE LA NACIÓN Y ENTIDADES EXTINTAS O INEXISTENTES DEL ORDEN NACIONAL.</w:t>
      </w:r>
      <w:bookmarkEnd w:id="50"/>
      <w:r w:rsidRPr="006969B3">
        <w:rPr>
          <w:rFonts w:ascii="Arial" w:hAnsi="Arial" w:cs="Arial"/>
          <w:sz w:val="22"/>
          <w:szCs w:val="22"/>
          <w:lang w:val="es-CO"/>
        </w:rPr>
        <w:t> Los bienes inmuebles cuyos títulos de propiedad actualmente figuren en cabeza de entidades, establecimientos públicos, empresas industriales o comerciales del orden nacional, ya extintas o inexistentes o aparezcan asignados de manera indefinida o genérica a nombre de la Nación o el Estado colombiano, o cualquier expresión equivalente en su momento, se inscribirán por las autoridades registrales a título de asignación a nombre del Ministerio y/o Departamento Administrativo cabeza del último sector al que perteneció o debió pertenecer la entidad en ellos mencionada o al Ministerio cuyas funciones estén relacionadas con el objeto o destino del respectivo bien.</w:t>
      </w:r>
    </w:p>
    <w:p w14:paraId="647CCADC" w14:textId="77777777" w:rsidR="00C76F1D" w:rsidRPr="006969B3" w:rsidRDefault="00C76F1D" w:rsidP="00F65283">
      <w:pPr>
        <w:pStyle w:val="NormalWeb"/>
        <w:spacing w:before="0" w:beforeAutospacing="0" w:after="0" w:afterAutospacing="0"/>
        <w:jc w:val="both"/>
        <w:rPr>
          <w:rFonts w:ascii="Arial" w:hAnsi="Arial" w:cs="Arial"/>
          <w:sz w:val="22"/>
          <w:szCs w:val="22"/>
          <w:lang w:val="es-CO"/>
        </w:rPr>
      </w:pPr>
    </w:p>
    <w:p w14:paraId="465ED3DF" w14:textId="51091523"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Para lo anterior, el Ministerio de Hacienda y Crédito Público determinará mediante acto administrativo motivado el Ministerio y/o Departamento Administrativo al que será asignado el inmueble. Si el inmueble no se requiere para la prestación de algún servicio a cargo del Gobierno nacional será asignado a la Central de Inversiones S.A. (CISA). En caso de no poderse determinar la entidad a la que pertenecía o el sector al cual estaba destinado el uso del bien, la titularidad </w:t>
      </w:r>
      <w:proofErr w:type="gramStart"/>
      <w:r w:rsidRPr="006969B3">
        <w:rPr>
          <w:rFonts w:ascii="Arial" w:hAnsi="Arial" w:cs="Arial"/>
          <w:sz w:val="22"/>
          <w:szCs w:val="22"/>
          <w:lang w:val="es-CO"/>
        </w:rPr>
        <w:t>del mismo</w:t>
      </w:r>
      <w:proofErr w:type="gramEnd"/>
      <w:r w:rsidRPr="006969B3">
        <w:rPr>
          <w:rFonts w:ascii="Arial" w:hAnsi="Arial" w:cs="Arial"/>
          <w:sz w:val="22"/>
          <w:szCs w:val="22"/>
          <w:lang w:val="es-CO"/>
        </w:rPr>
        <w:t xml:space="preserve"> quedará en cabeza del Ministerio de Hacienda y Crédito Público, mientras se efectúa la asignación mencionada. El registro de este acto no generará impuestos, tasas o contribuciones.</w:t>
      </w:r>
    </w:p>
    <w:p w14:paraId="093BA01D" w14:textId="77777777" w:rsidR="00C76F1D" w:rsidRPr="006969B3" w:rsidRDefault="00C76F1D" w:rsidP="00F65283">
      <w:pPr>
        <w:pStyle w:val="NormalWeb"/>
        <w:spacing w:before="0" w:beforeAutospacing="0" w:after="0" w:afterAutospacing="0"/>
        <w:jc w:val="both"/>
        <w:rPr>
          <w:rStyle w:val="baj"/>
          <w:rFonts w:ascii="Arial" w:hAnsi="Arial" w:cs="Arial"/>
          <w:sz w:val="22"/>
          <w:szCs w:val="22"/>
          <w:lang w:val="es-CO"/>
        </w:rPr>
      </w:pPr>
    </w:p>
    <w:p w14:paraId="3EF2F957" w14:textId="227F5063" w:rsidR="00E319CE" w:rsidRPr="006969B3" w:rsidRDefault="00E319CE"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Se exceptúa de lo dispuesto en este artículo los bienes baldíos rurales.</w:t>
      </w:r>
    </w:p>
    <w:p w14:paraId="2D84DEE1" w14:textId="77777777" w:rsidR="00E319CE" w:rsidRPr="006969B3" w:rsidRDefault="00E319CE" w:rsidP="00F65283">
      <w:pPr>
        <w:pStyle w:val="centrado"/>
        <w:spacing w:before="0" w:beforeAutospacing="0" w:after="0" w:afterAutospacing="0"/>
        <w:jc w:val="center"/>
        <w:rPr>
          <w:rFonts w:ascii="Arial" w:hAnsi="Arial" w:cs="Arial"/>
          <w:sz w:val="22"/>
          <w:szCs w:val="22"/>
          <w:lang w:val="es-CO"/>
        </w:rPr>
      </w:pPr>
    </w:p>
    <w:p w14:paraId="47B3BAAA" w14:textId="376BE964" w:rsidR="00D713D6" w:rsidRPr="006969B3" w:rsidRDefault="00D713D6" w:rsidP="00F65283">
      <w:pPr>
        <w:pStyle w:val="NormalWeb"/>
        <w:spacing w:before="0" w:beforeAutospacing="0" w:after="0" w:afterAutospacing="0"/>
        <w:jc w:val="both"/>
        <w:rPr>
          <w:rFonts w:ascii="Arial" w:hAnsi="Arial" w:cs="Arial"/>
          <w:sz w:val="22"/>
          <w:szCs w:val="22"/>
          <w:lang w:val="es-CO"/>
        </w:rPr>
      </w:pPr>
      <w:bookmarkStart w:id="51" w:name="41"/>
      <w:r w:rsidRPr="006969B3">
        <w:rPr>
          <w:rFonts w:ascii="Arial" w:hAnsi="Arial" w:cs="Arial"/>
          <w:sz w:val="22"/>
          <w:szCs w:val="22"/>
          <w:lang w:val="es-CO"/>
        </w:rPr>
        <w:t>ARTÍCULO 41. DE LAS MODALIDADES DE SELECCIÓN.</w:t>
      </w:r>
      <w:bookmarkEnd w:id="51"/>
      <w:r w:rsidRPr="006969B3">
        <w:rPr>
          <w:rFonts w:ascii="Arial" w:hAnsi="Arial" w:cs="Arial"/>
          <w:sz w:val="22"/>
          <w:szCs w:val="22"/>
          <w:lang w:val="es-CO"/>
        </w:rPr>
        <w:t> Modifíquese el parágrafo 5 del artículo</w:t>
      </w:r>
      <w:r w:rsidR="00CA07E5">
        <w:rPr>
          <w:rFonts w:ascii="Arial" w:hAnsi="Arial" w:cs="Arial"/>
          <w:sz w:val="22"/>
          <w:szCs w:val="22"/>
          <w:lang w:val="es-CO"/>
        </w:rPr>
        <w:t xml:space="preserve"> 2o</w:t>
      </w:r>
      <w:r w:rsidRPr="006969B3">
        <w:rPr>
          <w:rFonts w:ascii="Arial" w:hAnsi="Arial" w:cs="Arial"/>
          <w:sz w:val="22"/>
          <w:szCs w:val="22"/>
          <w:lang w:val="es-CO"/>
        </w:rPr>
        <w:t> de la Ley 1150 de 2007, el cual quedará así:</w:t>
      </w:r>
    </w:p>
    <w:p w14:paraId="1CB243DE" w14:textId="77777777" w:rsidR="00C76F1D" w:rsidRPr="006969B3" w:rsidRDefault="00C76F1D" w:rsidP="00F65283">
      <w:pPr>
        <w:pStyle w:val="NormalWeb"/>
        <w:spacing w:before="0" w:beforeAutospacing="0" w:after="0" w:afterAutospacing="0"/>
        <w:jc w:val="both"/>
        <w:rPr>
          <w:rStyle w:val="baj"/>
          <w:rFonts w:ascii="Arial" w:hAnsi="Arial" w:cs="Arial"/>
          <w:sz w:val="22"/>
          <w:szCs w:val="22"/>
          <w:lang w:val="es-CO"/>
        </w:rPr>
      </w:pPr>
    </w:p>
    <w:p w14:paraId="550CF7CE" w14:textId="4F7A2A36" w:rsidR="00D713D6" w:rsidRPr="006969B3" w:rsidRDefault="00D713D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5o.</w:t>
      </w:r>
      <w:r w:rsidRPr="006969B3">
        <w:rPr>
          <w:rFonts w:ascii="Arial" w:hAnsi="Arial" w:cs="Arial"/>
          <w:sz w:val="22"/>
          <w:szCs w:val="22"/>
          <w:lang w:val="es-CO"/>
        </w:rPr>
        <w:t> Los acuerdos marco de precios a que se refiere el inciso 2 del literal a) del numeral 2 del presente artículo, permitirán fijar las condiciones de oferta para la adquisición o suministro de bienes y servicios de características técnicas uniformes y de común utilización a las entidades estatales durante un período de tiempo determinado, en la forma, plazo y condiciones de entrega, calidad y garantía establecidas en el acuerdo.</w:t>
      </w:r>
    </w:p>
    <w:p w14:paraId="7143EACA" w14:textId="77777777" w:rsidR="00C76F1D" w:rsidRPr="006969B3" w:rsidRDefault="00C76F1D" w:rsidP="00F65283">
      <w:pPr>
        <w:pStyle w:val="NormalWeb"/>
        <w:spacing w:before="0" w:beforeAutospacing="0" w:after="0" w:afterAutospacing="0"/>
        <w:jc w:val="both"/>
        <w:rPr>
          <w:rFonts w:ascii="Arial" w:hAnsi="Arial" w:cs="Arial"/>
          <w:sz w:val="22"/>
          <w:szCs w:val="22"/>
          <w:lang w:val="es-CO"/>
        </w:rPr>
      </w:pPr>
    </w:p>
    <w:p w14:paraId="6D8B70D3" w14:textId="7DE264DA" w:rsidR="00D713D6" w:rsidRPr="006969B3" w:rsidRDefault="00D713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La selección de proveedores como consecuencia de la realización de un acuerdo marco de precios, </w:t>
      </w:r>
      <w:proofErr w:type="gramStart"/>
      <w:r w:rsidRPr="006969B3">
        <w:rPr>
          <w:rFonts w:ascii="Arial" w:hAnsi="Arial" w:cs="Arial"/>
          <w:sz w:val="22"/>
          <w:szCs w:val="22"/>
          <w:lang w:val="es-CO"/>
        </w:rPr>
        <w:t>le</w:t>
      </w:r>
      <w:proofErr w:type="gramEnd"/>
      <w:r w:rsidRPr="006969B3">
        <w:rPr>
          <w:rFonts w:ascii="Arial" w:hAnsi="Arial" w:cs="Arial"/>
          <w:sz w:val="22"/>
          <w:szCs w:val="22"/>
          <w:lang w:val="es-CO"/>
        </w:rPr>
        <w:t xml:space="preserve"> dará a las entidades estatales que suscriban el acuerdo, la posibilidad que mediante órdenes de compra directa, adquieran los bienes y servicios ofrecidos.</w:t>
      </w:r>
    </w:p>
    <w:p w14:paraId="0D3CA21B" w14:textId="77777777" w:rsidR="00C76F1D" w:rsidRPr="006969B3" w:rsidRDefault="00C76F1D" w:rsidP="00F65283">
      <w:pPr>
        <w:pStyle w:val="NormalWeb"/>
        <w:spacing w:before="0" w:beforeAutospacing="0" w:after="0" w:afterAutospacing="0"/>
        <w:jc w:val="both"/>
        <w:rPr>
          <w:rFonts w:ascii="Arial" w:hAnsi="Arial" w:cs="Arial"/>
          <w:sz w:val="22"/>
          <w:szCs w:val="22"/>
          <w:lang w:val="es-CO"/>
        </w:rPr>
      </w:pPr>
    </w:p>
    <w:p w14:paraId="19744A70" w14:textId="5593414A" w:rsidR="00D713D6" w:rsidRPr="006969B3" w:rsidRDefault="00D713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En consecuencia, entre cada una de las entidades que formulen órdenes directas de compra y el respectivo proveedor, se constituirá un contrato en los términos y condiciones previstos en el respectivo acuerdo.</w:t>
      </w:r>
    </w:p>
    <w:p w14:paraId="73D8EA63" w14:textId="77777777" w:rsidR="00C76F1D" w:rsidRPr="006969B3" w:rsidRDefault="00C76F1D" w:rsidP="00F65283">
      <w:pPr>
        <w:pStyle w:val="NormalWeb"/>
        <w:spacing w:before="0" w:beforeAutospacing="0" w:after="0" w:afterAutospacing="0"/>
        <w:jc w:val="both"/>
        <w:rPr>
          <w:rFonts w:ascii="Arial" w:hAnsi="Arial" w:cs="Arial"/>
          <w:sz w:val="22"/>
          <w:szCs w:val="22"/>
          <w:lang w:val="es-CO"/>
        </w:rPr>
      </w:pPr>
    </w:p>
    <w:p w14:paraId="1D5860DD" w14:textId="6A23A0B3" w:rsidR="00D713D6" w:rsidRPr="006969B3" w:rsidRDefault="00D713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Gobierno nacional señalará la entidad o entidades que tendrán a su cargo el diseño, organización y celebración de los acuerdos marco de precios. El reglamento establecerá las condiciones bajo las cuales el uso de acuerdos marco de precios, se hará obligatorio para todas las entidades sometidas al Estatuto General de Contratación de la Administración Pública.</w:t>
      </w:r>
    </w:p>
    <w:p w14:paraId="424E461A" w14:textId="77777777" w:rsidR="00C76F1D" w:rsidRPr="006969B3" w:rsidRDefault="00C76F1D" w:rsidP="00F65283">
      <w:pPr>
        <w:pStyle w:val="NormalWeb"/>
        <w:spacing w:before="0" w:beforeAutospacing="0" w:after="0" w:afterAutospacing="0"/>
        <w:jc w:val="both"/>
        <w:rPr>
          <w:rFonts w:ascii="Arial" w:hAnsi="Arial" w:cs="Arial"/>
          <w:sz w:val="22"/>
          <w:szCs w:val="22"/>
          <w:lang w:val="es-CO"/>
        </w:rPr>
      </w:pPr>
    </w:p>
    <w:p w14:paraId="3B233368" w14:textId="63A4BF5D" w:rsidR="00D713D6" w:rsidRPr="006969B3" w:rsidRDefault="00D713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lastRenderedPageBreak/>
        <w:t>Los Organismos Autónomos, las Ramas Legislativa y Judicial y las entidades territoriales en ausencia de un acuerdo marco de precios diseñado por la entidad que señale el Gobierno nacional, podrán diseñar, organizar y celebrar acuerdos marco de precios propios.</w:t>
      </w:r>
    </w:p>
    <w:p w14:paraId="3667E6D1" w14:textId="5D13008B" w:rsidR="00111EAE" w:rsidRPr="006969B3" w:rsidRDefault="00111EAE" w:rsidP="00F65283">
      <w:pPr>
        <w:pStyle w:val="NormalWeb"/>
        <w:spacing w:before="0" w:beforeAutospacing="0" w:after="0" w:afterAutospacing="0"/>
        <w:jc w:val="both"/>
        <w:rPr>
          <w:rFonts w:ascii="Arial" w:hAnsi="Arial" w:cs="Arial"/>
          <w:sz w:val="22"/>
          <w:szCs w:val="22"/>
          <w:lang w:val="es-CO"/>
        </w:rPr>
      </w:pPr>
    </w:p>
    <w:p w14:paraId="6ECB0136" w14:textId="2E4CA6F7" w:rsidR="002402E2" w:rsidRPr="006969B3" w:rsidRDefault="002402E2" w:rsidP="00F65283">
      <w:pPr>
        <w:pStyle w:val="NormalWeb"/>
        <w:spacing w:before="0" w:beforeAutospacing="0" w:after="0" w:afterAutospacing="0"/>
        <w:jc w:val="both"/>
        <w:rPr>
          <w:rFonts w:ascii="Arial" w:hAnsi="Arial" w:cs="Arial"/>
          <w:sz w:val="22"/>
          <w:szCs w:val="22"/>
          <w:lang w:val="es-CO"/>
        </w:rPr>
      </w:pPr>
      <w:bookmarkStart w:id="52" w:name="42"/>
      <w:bookmarkStart w:id="53" w:name="43"/>
      <w:r w:rsidRPr="006969B3">
        <w:rPr>
          <w:rFonts w:ascii="Arial" w:hAnsi="Arial" w:cs="Arial"/>
          <w:sz w:val="22"/>
          <w:szCs w:val="22"/>
          <w:lang w:val="es-CO"/>
        </w:rPr>
        <w:t>ARTÍCULO 42. TRANSPARENCIA EN CONTRATACIÓN DE MÍNIMA CUANTÍA.</w:t>
      </w:r>
      <w:bookmarkEnd w:id="52"/>
      <w:r w:rsidRPr="006969B3">
        <w:rPr>
          <w:rFonts w:ascii="Arial" w:hAnsi="Arial" w:cs="Arial"/>
          <w:sz w:val="22"/>
          <w:szCs w:val="22"/>
          <w:lang w:val="es-CO"/>
        </w:rPr>
        <w:t> Adiciónese el parágrafo 3 al artículo</w:t>
      </w:r>
      <w:r w:rsidR="00CA07E5">
        <w:rPr>
          <w:rFonts w:ascii="Arial" w:hAnsi="Arial" w:cs="Arial"/>
          <w:sz w:val="22"/>
          <w:szCs w:val="22"/>
          <w:lang w:val="es-CO"/>
        </w:rPr>
        <w:t xml:space="preserve"> 94 </w:t>
      </w:r>
      <w:r w:rsidRPr="006969B3">
        <w:rPr>
          <w:rFonts w:ascii="Arial" w:hAnsi="Arial" w:cs="Arial"/>
          <w:sz w:val="22"/>
          <w:szCs w:val="22"/>
          <w:lang w:val="es-CO"/>
        </w:rPr>
        <w:t>de la Ley 1474 de 2011, así:</w:t>
      </w:r>
    </w:p>
    <w:p w14:paraId="22B7E595" w14:textId="77777777" w:rsidR="00115065" w:rsidRPr="006969B3" w:rsidRDefault="00115065" w:rsidP="00F65283">
      <w:pPr>
        <w:pStyle w:val="NormalWeb"/>
        <w:spacing w:before="0" w:beforeAutospacing="0" w:after="0" w:afterAutospacing="0"/>
        <w:jc w:val="both"/>
        <w:rPr>
          <w:rFonts w:ascii="Arial" w:hAnsi="Arial" w:cs="Arial"/>
          <w:sz w:val="22"/>
          <w:szCs w:val="22"/>
          <w:lang w:val="es-CO"/>
        </w:rPr>
      </w:pPr>
    </w:p>
    <w:p w14:paraId="7CFA774A" w14:textId="03EF5B60" w:rsidR="002402E2" w:rsidRPr="006969B3" w:rsidRDefault="002402E2"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3o.</w:t>
      </w:r>
      <w:r w:rsidRPr="006969B3">
        <w:rPr>
          <w:rFonts w:ascii="Arial" w:hAnsi="Arial" w:cs="Arial"/>
          <w:sz w:val="22"/>
          <w:szCs w:val="22"/>
          <w:lang w:val="es-CO"/>
        </w:rPr>
        <w:t> En aquellos eventos en que las entidades estatales deban contratar bienes o servicios de características técnicas uniformes que se encuentren en un acuerdo marco de precios y cuyo valor no exceda del diez por ciento (10%) de la menor cuantía, las entidades deberán realizar la adquisición a través de la Tienda Virtual del Estado Colombiano, siempre que el bien o servicio esté disponible por ese medio.</w:t>
      </w:r>
    </w:p>
    <w:p w14:paraId="109127FA" w14:textId="77777777" w:rsidR="00115065" w:rsidRPr="006969B3" w:rsidRDefault="00115065" w:rsidP="00F65283">
      <w:pPr>
        <w:pStyle w:val="NormalWeb"/>
        <w:spacing w:before="0" w:beforeAutospacing="0" w:after="0" w:afterAutospacing="0"/>
        <w:jc w:val="both"/>
        <w:rPr>
          <w:rFonts w:ascii="Arial" w:hAnsi="Arial" w:cs="Arial"/>
          <w:sz w:val="22"/>
          <w:szCs w:val="22"/>
          <w:lang w:val="es-CO"/>
        </w:rPr>
      </w:pPr>
    </w:p>
    <w:p w14:paraId="2FBF49B2" w14:textId="2BB75AD8" w:rsidR="002402E2" w:rsidRPr="006969B3" w:rsidRDefault="002402E2"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Las entidades que no se encuentren obligadas a hacer uso del acuerdo marco de precios igualmente podrán utilizar esta figura antes que la selección por mínima cuantía.</w:t>
      </w:r>
    </w:p>
    <w:p w14:paraId="3424CCB6" w14:textId="77777777" w:rsidR="00115065" w:rsidRPr="006E72EF" w:rsidRDefault="00115065" w:rsidP="00F65283">
      <w:pPr>
        <w:pStyle w:val="NormalWeb"/>
        <w:spacing w:before="0" w:beforeAutospacing="0" w:after="0" w:afterAutospacing="0"/>
        <w:jc w:val="both"/>
        <w:rPr>
          <w:rFonts w:ascii="Arial" w:hAnsi="Arial" w:cs="Arial"/>
          <w:sz w:val="20"/>
          <w:szCs w:val="20"/>
          <w:lang w:val="es-CO"/>
        </w:rPr>
      </w:pPr>
    </w:p>
    <w:p w14:paraId="07FC21C3" w14:textId="16D35679" w:rsidR="00080402" w:rsidRPr="006E72EF" w:rsidRDefault="58DD5587" w:rsidP="0AA3015D">
      <w:pPr>
        <w:pStyle w:val="NormalWeb"/>
        <w:spacing w:before="0" w:beforeAutospacing="0" w:after="0" w:afterAutospacing="0"/>
        <w:jc w:val="both"/>
        <w:rPr>
          <w:rStyle w:val="Hipervnculo"/>
          <w:rFonts w:ascii="Arial" w:hAnsi="Arial" w:cs="Arial"/>
          <w:sz w:val="20"/>
          <w:szCs w:val="20"/>
          <w:lang w:val="es-CO"/>
        </w:rPr>
      </w:pPr>
      <w:r w:rsidRPr="006E72EF">
        <w:rPr>
          <w:rFonts w:ascii="Arial" w:hAnsi="Arial" w:cs="Arial"/>
          <w:sz w:val="20"/>
          <w:szCs w:val="20"/>
          <w:lang w:val="es-CO"/>
        </w:rPr>
        <w:t xml:space="preserve">(Ver conceptos: </w:t>
      </w:r>
      <w:hyperlink r:id="rId9">
        <w:r w:rsidR="13FE5C2F" w:rsidRPr="006E72EF">
          <w:rPr>
            <w:rStyle w:val="Hipervnculo"/>
            <w:rFonts w:ascii="Arial" w:eastAsia="Arial" w:hAnsi="Arial" w:cs="Arial"/>
            <w:sz w:val="20"/>
            <w:szCs w:val="20"/>
            <w:u w:val="none"/>
            <w:lang w:val="es-CO"/>
          </w:rPr>
          <w:t>4201912000007615 del 23/12/2019</w:t>
        </w:r>
      </w:hyperlink>
      <w:r w:rsidR="13FE5C2F" w:rsidRPr="006E72EF">
        <w:rPr>
          <w:rFonts w:ascii="Arial" w:eastAsia="Arial" w:hAnsi="Arial" w:cs="Arial"/>
          <w:sz w:val="20"/>
          <w:szCs w:val="20"/>
          <w:lang w:val="es-CO"/>
        </w:rPr>
        <w:t>,</w:t>
      </w:r>
      <w:r w:rsidR="56BC75C8" w:rsidRPr="006E72EF">
        <w:rPr>
          <w:rFonts w:ascii="Arial" w:eastAsia="Arial" w:hAnsi="Arial" w:cs="Arial"/>
          <w:sz w:val="20"/>
          <w:szCs w:val="20"/>
          <w:lang w:val="es-CO"/>
        </w:rPr>
        <w:t xml:space="preserve"> </w:t>
      </w:r>
      <w:hyperlink r:id="rId10">
        <w:r w:rsidR="56BC75C8" w:rsidRPr="006E72EF">
          <w:rPr>
            <w:rStyle w:val="Hipervnculo"/>
            <w:rFonts w:ascii="Arial" w:eastAsia="Arial" w:hAnsi="Arial" w:cs="Arial"/>
            <w:sz w:val="20"/>
            <w:szCs w:val="20"/>
            <w:u w:val="none"/>
            <w:lang w:val="es-CO"/>
          </w:rPr>
          <w:t>4201912000007785 del 24/12/2019</w:t>
        </w:r>
      </w:hyperlink>
      <w:r w:rsidR="000976E8" w:rsidRPr="006E72EF">
        <w:rPr>
          <w:rFonts w:ascii="Arial" w:eastAsia="Arial" w:hAnsi="Arial" w:cs="Arial"/>
          <w:sz w:val="20"/>
          <w:szCs w:val="20"/>
          <w:lang w:val="es-CO" w:eastAsia="es-CO"/>
        </w:rPr>
        <w:t xml:space="preserve">, </w:t>
      </w:r>
      <w:hyperlink r:id="rId11">
        <w:r w:rsidR="66CAC552" w:rsidRPr="006E72EF">
          <w:rPr>
            <w:rStyle w:val="Hipervnculo"/>
            <w:rFonts w:ascii="Arial" w:eastAsia="Arial" w:hAnsi="Arial" w:cs="Arial"/>
            <w:sz w:val="20"/>
            <w:szCs w:val="20"/>
            <w:u w:val="none"/>
            <w:lang w:val="es-CO"/>
          </w:rPr>
          <w:t>C−107 del 24/02/2020</w:t>
        </w:r>
      </w:hyperlink>
      <w:r w:rsidR="66CAC552" w:rsidRPr="006E72EF">
        <w:rPr>
          <w:rFonts w:ascii="Arial" w:eastAsia="Arial" w:hAnsi="Arial" w:cs="Arial"/>
          <w:sz w:val="20"/>
          <w:szCs w:val="20"/>
          <w:lang w:val="es-CO"/>
        </w:rPr>
        <w:t xml:space="preserve">, </w:t>
      </w:r>
      <w:hyperlink r:id="rId12">
        <w:r w:rsidR="13638FC4" w:rsidRPr="006E72EF">
          <w:rPr>
            <w:rStyle w:val="Hipervnculo"/>
            <w:rFonts w:ascii="Arial" w:eastAsia="Arial" w:hAnsi="Arial" w:cs="Arial"/>
            <w:sz w:val="20"/>
            <w:szCs w:val="20"/>
            <w:u w:val="none"/>
            <w:lang w:val="es-CO"/>
          </w:rPr>
          <w:t>C−108 del 03/03/2020</w:t>
        </w:r>
      </w:hyperlink>
      <w:r w:rsidR="13638FC4" w:rsidRPr="006E72EF">
        <w:rPr>
          <w:rFonts w:ascii="Arial" w:eastAsia="Arial" w:hAnsi="Arial" w:cs="Arial"/>
          <w:sz w:val="20"/>
          <w:szCs w:val="20"/>
          <w:lang w:val="es-CO"/>
        </w:rPr>
        <w:t xml:space="preserve">, </w:t>
      </w:r>
      <w:hyperlink r:id="rId13">
        <w:r w:rsidR="000976E8" w:rsidRPr="006E72EF">
          <w:rPr>
            <w:rStyle w:val="Hipervnculo"/>
            <w:rFonts w:ascii="Arial" w:eastAsia="Arial" w:hAnsi="Arial" w:cs="Arial"/>
            <w:sz w:val="20"/>
            <w:szCs w:val="20"/>
            <w:u w:val="none"/>
            <w:lang w:val="es-CO"/>
          </w:rPr>
          <w:t>C</w:t>
        </w:r>
        <w:r w:rsidR="66CAC552" w:rsidRPr="006E72EF">
          <w:rPr>
            <w:rStyle w:val="Hipervnculo"/>
            <w:rFonts w:ascii="Arial" w:eastAsia="Arial" w:hAnsi="Arial" w:cs="Arial"/>
            <w:sz w:val="20"/>
            <w:szCs w:val="20"/>
            <w:u w:val="none"/>
            <w:lang w:val="es-CO"/>
          </w:rPr>
          <w:t>−</w:t>
        </w:r>
        <w:r w:rsidR="000976E8" w:rsidRPr="006E72EF">
          <w:rPr>
            <w:rStyle w:val="Hipervnculo"/>
            <w:rFonts w:ascii="Arial" w:eastAsia="Arial" w:hAnsi="Arial" w:cs="Arial"/>
            <w:sz w:val="20"/>
            <w:szCs w:val="20"/>
            <w:u w:val="none"/>
            <w:lang w:val="es-CO"/>
          </w:rPr>
          <w:t>121 del 03/03/2020</w:t>
        </w:r>
      </w:hyperlink>
      <w:r w:rsidR="32D45509" w:rsidRPr="006E72EF">
        <w:rPr>
          <w:rFonts w:ascii="Arial" w:eastAsia="Arial" w:hAnsi="Arial" w:cs="Arial"/>
          <w:sz w:val="20"/>
          <w:szCs w:val="20"/>
          <w:lang w:val="es-CO"/>
        </w:rPr>
        <w:t xml:space="preserve">, </w:t>
      </w:r>
      <w:hyperlink r:id="rId14">
        <w:r w:rsidR="32D45509" w:rsidRPr="006E72EF">
          <w:rPr>
            <w:rStyle w:val="Hipervnculo"/>
            <w:rFonts w:ascii="Arial" w:eastAsia="Arial" w:hAnsi="Arial" w:cs="Arial"/>
            <w:sz w:val="20"/>
            <w:szCs w:val="20"/>
            <w:u w:val="none"/>
            <w:lang w:val="es-CO"/>
          </w:rPr>
          <w:t>C</w:t>
        </w:r>
        <w:r w:rsidR="66CAC552" w:rsidRPr="006E72EF">
          <w:rPr>
            <w:rStyle w:val="Hipervnculo"/>
            <w:rFonts w:ascii="Arial" w:eastAsia="Arial" w:hAnsi="Arial" w:cs="Arial"/>
            <w:sz w:val="20"/>
            <w:szCs w:val="20"/>
            <w:u w:val="none"/>
            <w:lang w:val="es-CO"/>
          </w:rPr>
          <w:t>−</w:t>
        </w:r>
        <w:r w:rsidR="32D45509" w:rsidRPr="006E72EF">
          <w:rPr>
            <w:rStyle w:val="Hipervnculo"/>
            <w:rFonts w:ascii="Arial" w:eastAsia="Arial" w:hAnsi="Arial" w:cs="Arial"/>
            <w:sz w:val="20"/>
            <w:szCs w:val="20"/>
            <w:u w:val="none"/>
            <w:lang w:val="es-CO"/>
          </w:rPr>
          <w:t>122 del 25/03/2020</w:t>
        </w:r>
      </w:hyperlink>
      <w:r w:rsidR="3C94AE27" w:rsidRPr="006E72EF">
        <w:rPr>
          <w:rFonts w:ascii="Arial" w:eastAsia="Arial" w:hAnsi="Arial" w:cs="Arial"/>
          <w:sz w:val="20"/>
          <w:szCs w:val="20"/>
          <w:lang w:val="es-CO"/>
        </w:rPr>
        <w:t xml:space="preserve">, </w:t>
      </w:r>
      <w:hyperlink r:id="rId15">
        <w:r w:rsidR="3C94AE27" w:rsidRPr="006E72EF">
          <w:rPr>
            <w:rStyle w:val="Hipervnculo"/>
            <w:rFonts w:ascii="Arial" w:eastAsia="Arial" w:hAnsi="Arial" w:cs="Arial"/>
            <w:sz w:val="20"/>
            <w:szCs w:val="20"/>
            <w:lang w:val="es-CO"/>
          </w:rPr>
          <w:t>C-557 del 21/08/2020</w:t>
        </w:r>
      </w:hyperlink>
      <w:r w:rsidR="13638FC4" w:rsidRPr="006E72EF">
        <w:rPr>
          <w:rFonts w:ascii="Arial" w:eastAsia="Arial" w:hAnsi="Arial" w:cs="Arial"/>
          <w:sz w:val="20"/>
          <w:szCs w:val="20"/>
          <w:lang w:val="es-CO"/>
        </w:rPr>
        <w:t xml:space="preserve">  </w:t>
      </w:r>
      <w:hyperlink r:id="rId16">
        <w:r w:rsidR="13638FC4" w:rsidRPr="006E72EF">
          <w:rPr>
            <w:rStyle w:val="Hipervnculo"/>
            <w:rFonts w:ascii="Arial" w:eastAsia="Arial" w:hAnsi="Arial" w:cs="Arial"/>
            <w:sz w:val="20"/>
            <w:szCs w:val="20"/>
            <w:lang w:val="es-CO"/>
          </w:rPr>
          <w:t>C-761 del 11/02/2021,</w:t>
        </w:r>
      </w:hyperlink>
      <w:r w:rsidR="0AA3015D" w:rsidRPr="006E72EF">
        <w:rPr>
          <w:rFonts w:ascii="Arial" w:eastAsia="Arial" w:hAnsi="Arial" w:cs="Arial"/>
          <w:color w:val="444444"/>
          <w:sz w:val="20"/>
          <w:szCs w:val="20"/>
          <w:lang w:val="es-CO"/>
        </w:rPr>
        <w:t xml:space="preserve"> </w:t>
      </w:r>
      <w:hyperlink r:id="rId17">
        <w:r w:rsidR="0AA3015D" w:rsidRPr="006E72EF">
          <w:rPr>
            <w:rStyle w:val="Hipervnculo"/>
            <w:rFonts w:ascii="Arial" w:eastAsia="Arial" w:hAnsi="Arial" w:cs="Arial"/>
            <w:sz w:val="20"/>
            <w:szCs w:val="20"/>
            <w:lang w:val="es-CO"/>
          </w:rPr>
          <w:t>C-105 del 21/02/2022</w:t>
        </w:r>
      </w:hyperlink>
      <w:r w:rsidR="0AA3015D" w:rsidRPr="006E72EF">
        <w:rPr>
          <w:rFonts w:ascii="Arial" w:eastAsia="Arial" w:hAnsi="Arial" w:cs="Arial"/>
          <w:sz w:val="20"/>
          <w:szCs w:val="20"/>
          <w:lang w:val="es-CO"/>
        </w:rPr>
        <w:t xml:space="preserve"> </w:t>
      </w:r>
      <w:r w:rsidR="0AA3015D" w:rsidRPr="006E72EF">
        <w:rPr>
          <w:rStyle w:val="Hipervnculo"/>
          <w:rFonts w:ascii="Arial" w:eastAsia="Arial" w:hAnsi="Arial" w:cs="Arial"/>
          <w:sz w:val="20"/>
          <w:szCs w:val="20"/>
          <w:lang w:val="es-CO"/>
        </w:rPr>
        <w:t>C-245 de 02/05/2022</w:t>
      </w:r>
    </w:p>
    <w:p w14:paraId="7F3509A4" w14:textId="43A1D1A7" w:rsidR="0AA3015D" w:rsidRDefault="0AA3015D" w:rsidP="0AA3015D">
      <w:pPr>
        <w:pStyle w:val="NormalWeb"/>
        <w:spacing w:before="0" w:beforeAutospacing="0" w:after="0" w:afterAutospacing="0"/>
        <w:jc w:val="both"/>
        <w:rPr>
          <w:rStyle w:val="Hipervnculo"/>
          <w:lang w:val="es-CO"/>
        </w:rPr>
      </w:pPr>
    </w:p>
    <w:p w14:paraId="4B0EC2D5" w14:textId="6BEB0575" w:rsidR="007D4491" w:rsidRPr="006969B3" w:rsidRDefault="007D4491"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43. INHABILIDAD POR INCUMPLIMIENTO REITERADO.</w:t>
      </w:r>
      <w:bookmarkEnd w:id="53"/>
      <w:r w:rsidRPr="006969B3">
        <w:rPr>
          <w:rFonts w:ascii="Arial" w:hAnsi="Arial" w:cs="Arial"/>
          <w:sz w:val="22"/>
          <w:szCs w:val="22"/>
          <w:lang w:val="es-CO"/>
        </w:rPr>
        <w:t> Modifíquese el artículo </w:t>
      </w:r>
      <w:r w:rsidR="00447B78" w:rsidRPr="00447B78">
        <w:rPr>
          <w:rFonts w:ascii="Arial" w:hAnsi="Arial" w:cs="Arial"/>
          <w:sz w:val="22"/>
          <w:szCs w:val="22"/>
          <w:lang w:val="es-CO"/>
        </w:rPr>
        <w:t>90</w:t>
      </w:r>
      <w:r w:rsidRPr="006969B3">
        <w:rPr>
          <w:rFonts w:ascii="Arial" w:hAnsi="Arial" w:cs="Arial"/>
          <w:sz w:val="22"/>
          <w:szCs w:val="22"/>
          <w:lang w:val="es-CO"/>
        </w:rPr>
        <w:t> de la Ley 1474 de 2011, el cual quedará así:</w:t>
      </w:r>
    </w:p>
    <w:p w14:paraId="45F8A2E4"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1055363B" w14:textId="24090A86" w:rsidR="007D4491" w:rsidRDefault="007D4491"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w:t>
      </w:r>
      <w:r w:rsidR="00C63738">
        <w:rPr>
          <w:rFonts w:ascii="Arial" w:hAnsi="Arial" w:cs="Arial"/>
          <w:sz w:val="22"/>
          <w:szCs w:val="22"/>
          <w:lang w:val="es-CO"/>
        </w:rPr>
        <w:t xml:space="preserve"> 90</w:t>
      </w:r>
      <w:r w:rsidRPr="006969B3">
        <w:rPr>
          <w:rFonts w:ascii="Arial" w:hAnsi="Arial" w:cs="Arial"/>
          <w:sz w:val="22"/>
          <w:szCs w:val="22"/>
          <w:lang w:val="es-CO"/>
        </w:rPr>
        <w:t>. Inhabilidad por incumplimiento reiterado. Quedará inhabilitado el contratista que incurra en alguna de las siguientes conductas:</w:t>
      </w:r>
    </w:p>
    <w:p w14:paraId="0A4CD1DE" w14:textId="77777777" w:rsidR="00447B78" w:rsidRPr="006969B3" w:rsidRDefault="00447B78" w:rsidP="00F65283">
      <w:pPr>
        <w:pStyle w:val="NormalWeb"/>
        <w:spacing w:before="0" w:beforeAutospacing="0" w:after="0" w:afterAutospacing="0"/>
        <w:jc w:val="both"/>
        <w:rPr>
          <w:rFonts w:ascii="Arial" w:hAnsi="Arial" w:cs="Arial"/>
          <w:sz w:val="22"/>
          <w:szCs w:val="22"/>
          <w:lang w:val="es-CO"/>
        </w:rPr>
      </w:pPr>
    </w:p>
    <w:p w14:paraId="300E2889" w14:textId="770D1602" w:rsidR="007D4491" w:rsidRDefault="007D4491"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 Haber sido objeto de imposición de cinco (5) o más multas durante la ejecución de uno o varios contratos, con una o varias entidades estatales, durante los últimos tres (3) años;</w:t>
      </w:r>
    </w:p>
    <w:p w14:paraId="4C123BCB" w14:textId="728CB854" w:rsidR="004A4A20" w:rsidRDefault="004A4A20" w:rsidP="00F65283">
      <w:pPr>
        <w:pStyle w:val="NormalWeb"/>
        <w:spacing w:before="0" w:beforeAutospacing="0" w:after="0" w:afterAutospacing="0"/>
        <w:jc w:val="both"/>
        <w:rPr>
          <w:rFonts w:ascii="Arial" w:hAnsi="Arial" w:cs="Arial"/>
          <w:sz w:val="22"/>
          <w:szCs w:val="22"/>
          <w:lang w:val="es-CO"/>
        </w:rPr>
      </w:pPr>
    </w:p>
    <w:p w14:paraId="1B8869B3" w14:textId="7DEB0B6D" w:rsidR="004A4A20" w:rsidRPr="006969B3" w:rsidRDefault="004A4A20" w:rsidP="00F65283">
      <w:pPr>
        <w:pStyle w:val="NormalWeb"/>
        <w:spacing w:before="0" w:beforeAutospacing="0" w:after="0" w:afterAutospacing="0"/>
        <w:jc w:val="both"/>
        <w:rPr>
          <w:rFonts w:ascii="Arial" w:hAnsi="Arial" w:cs="Arial"/>
          <w:sz w:val="22"/>
          <w:szCs w:val="22"/>
          <w:lang w:val="es-CO"/>
        </w:rPr>
      </w:pPr>
      <w:r w:rsidRPr="006B6D12">
        <w:rPr>
          <w:rStyle w:val="Hipervnculo"/>
          <w:rFonts w:ascii="Arial" w:hAnsi="Arial" w:cs="Arial"/>
          <w:color w:val="auto"/>
          <w:sz w:val="20"/>
          <w:szCs w:val="20"/>
          <w:u w:val="none"/>
          <w:lang w:val="es-CO"/>
        </w:rPr>
        <w:t xml:space="preserve">(Ver conceptos: </w:t>
      </w:r>
      <w:hyperlink r:id="rId18" w:history="1">
        <w:r w:rsidRPr="006B6D12">
          <w:rPr>
            <w:rStyle w:val="Hipervnculo"/>
            <w:rFonts w:ascii="Arial" w:hAnsi="Arial" w:cs="Arial"/>
            <w:sz w:val="20"/>
            <w:szCs w:val="20"/>
            <w:lang w:val="es-CO"/>
          </w:rPr>
          <w:t>C-709 del 07/12/2020</w:t>
        </w:r>
      </w:hyperlink>
      <w:r w:rsidRPr="00E228F9">
        <w:rPr>
          <w:rStyle w:val="Hipervnculo"/>
          <w:rFonts w:ascii="Arial" w:hAnsi="Arial" w:cs="Arial"/>
          <w:color w:val="auto"/>
          <w:sz w:val="20"/>
          <w:szCs w:val="20"/>
          <w:u w:val="none"/>
          <w:lang w:val="es-CO"/>
        </w:rPr>
        <w:t>)</w:t>
      </w:r>
    </w:p>
    <w:p w14:paraId="521A4983"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2A35E4F7" w14:textId="5C42B0FC" w:rsidR="007D4491" w:rsidRDefault="007D4491"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b) Haber sido objeto de declaratorias de incumplimiento contractual en por lo menos dos (2) contratos, con una o varias entidades estatales, durante los últimos tres (3) años;</w:t>
      </w:r>
    </w:p>
    <w:p w14:paraId="058C993A" w14:textId="7DDF0C33" w:rsidR="004A4A20" w:rsidRDefault="004A4A20" w:rsidP="00F65283">
      <w:pPr>
        <w:pStyle w:val="NormalWeb"/>
        <w:spacing w:before="0" w:beforeAutospacing="0" w:after="0" w:afterAutospacing="0"/>
        <w:jc w:val="both"/>
        <w:rPr>
          <w:rFonts w:ascii="Arial" w:hAnsi="Arial" w:cs="Arial"/>
          <w:sz w:val="22"/>
          <w:szCs w:val="22"/>
          <w:lang w:val="es-CO"/>
        </w:rPr>
      </w:pPr>
    </w:p>
    <w:p w14:paraId="7613D6A5" w14:textId="4ECD9394" w:rsidR="004A4A20" w:rsidRPr="006B6D12" w:rsidRDefault="004A4A20" w:rsidP="004A4A20">
      <w:pPr>
        <w:pStyle w:val="NormalWeb"/>
        <w:spacing w:before="0" w:beforeAutospacing="0" w:after="0" w:afterAutospacing="0"/>
        <w:jc w:val="both"/>
        <w:rPr>
          <w:rFonts w:ascii="Arial" w:hAnsi="Arial" w:cs="Arial"/>
          <w:sz w:val="20"/>
          <w:szCs w:val="20"/>
          <w:lang w:val="es-CO"/>
        </w:rPr>
      </w:pPr>
      <w:r w:rsidRPr="006B6D12">
        <w:rPr>
          <w:rStyle w:val="Hipervnculo"/>
          <w:rFonts w:ascii="Arial" w:hAnsi="Arial" w:cs="Arial"/>
          <w:color w:val="auto"/>
          <w:sz w:val="20"/>
          <w:szCs w:val="20"/>
          <w:u w:val="none"/>
          <w:lang w:val="es-CO"/>
        </w:rPr>
        <w:t xml:space="preserve">(Ver conceptos: </w:t>
      </w:r>
      <w:hyperlink r:id="rId19" w:history="1">
        <w:r w:rsidRPr="006B6D12">
          <w:rPr>
            <w:rStyle w:val="Hipervnculo"/>
            <w:rFonts w:ascii="Arial" w:hAnsi="Arial" w:cs="Arial"/>
            <w:sz w:val="20"/>
            <w:szCs w:val="20"/>
            <w:lang w:val="es-CO"/>
          </w:rPr>
          <w:t>C-709 del 07/12/2020</w:t>
        </w:r>
      </w:hyperlink>
      <w:r w:rsidRPr="006B6D12">
        <w:rPr>
          <w:rStyle w:val="Hipervnculo"/>
          <w:rFonts w:ascii="Arial" w:hAnsi="Arial" w:cs="Arial"/>
          <w:color w:val="auto"/>
          <w:sz w:val="20"/>
          <w:szCs w:val="20"/>
          <w:u w:val="none"/>
          <w:lang w:val="es-CO"/>
        </w:rPr>
        <w:t>)</w:t>
      </w:r>
    </w:p>
    <w:p w14:paraId="1C052109"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709D9F5C" w14:textId="5582F530" w:rsidR="007D4491" w:rsidRPr="006969B3" w:rsidRDefault="007D4491"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c) Haber sido objeto de imposición de dos (2) multas y un (1) incumplimiento durante una misma vigencia fiscal, con una o varias entidades estatales.</w:t>
      </w:r>
    </w:p>
    <w:p w14:paraId="6E052F55"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69F77F23" w14:textId="0BD10DA5" w:rsidR="007D4491" w:rsidRPr="006969B3" w:rsidRDefault="007D4491"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 inhabilidad se extenderá por un término de tres (3) años, contados a partir de la publicación del acto administrativo que impone la inscripción de la última multa o incumplimiento en el Registro Único de Proponentes, de acuerdo con la información remitida por las entidades públicas. La inhabilidad pertinente se hará explícita en el Registro Único de Proponentes cuando a ello haya lugar.</w:t>
      </w:r>
    </w:p>
    <w:p w14:paraId="08CCEEF4" w14:textId="77777777" w:rsidR="00A76DD4" w:rsidRPr="006969B3" w:rsidRDefault="00A76DD4" w:rsidP="00F65283">
      <w:pPr>
        <w:pStyle w:val="NormalWeb"/>
        <w:spacing w:before="0" w:beforeAutospacing="0" w:after="0" w:afterAutospacing="0"/>
        <w:jc w:val="both"/>
        <w:rPr>
          <w:rStyle w:val="baj"/>
          <w:rFonts w:ascii="Arial" w:hAnsi="Arial" w:cs="Arial"/>
          <w:sz w:val="22"/>
          <w:szCs w:val="22"/>
          <w:lang w:val="es-CO"/>
        </w:rPr>
      </w:pPr>
    </w:p>
    <w:p w14:paraId="56D53F26" w14:textId="57F5B927" w:rsidR="007D4491" w:rsidRPr="006969B3" w:rsidRDefault="007D4491"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La inhabilidad a que se refiere el presente artículo se extenderá a los socios de sociedades de personas a las cuales se haya declarado esta inhabilidad, así como a las sociedades de personas de las que aquellos formen parte con posterioridad a dicha declaratoria.</w:t>
      </w:r>
    </w:p>
    <w:p w14:paraId="6894EE36" w14:textId="56465FEA" w:rsidR="07010795" w:rsidRPr="006969B3" w:rsidRDefault="07010795" w:rsidP="00F65283">
      <w:pPr>
        <w:pStyle w:val="NormalWeb"/>
        <w:spacing w:before="0" w:beforeAutospacing="0" w:after="0" w:afterAutospacing="0"/>
        <w:jc w:val="both"/>
        <w:rPr>
          <w:rFonts w:ascii="Arial" w:hAnsi="Arial" w:cs="Arial"/>
          <w:sz w:val="22"/>
          <w:szCs w:val="22"/>
          <w:lang w:val="es-CO"/>
        </w:rPr>
      </w:pPr>
    </w:p>
    <w:p w14:paraId="6ECB3427" w14:textId="5D513360" w:rsidR="007D4491" w:rsidRPr="006B6D12" w:rsidRDefault="007D4491" w:rsidP="00FE0478">
      <w:pPr>
        <w:spacing w:after="0" w:line="240" w:lineRule="auto"/>
        <w:jc w:val="both"/>
        <w:rPr>
          <w:rFonts w:ascii="Arial" w:hAnsi="Arial" w:cs="Arial"/>
          <w:sz w:val="20"/>
          <w:szCs w:val="20"/>
          <w:lang w:val="es-CO"/>
        </w:rPr>
      </w:pPr>
      <w:r w:rsidRPr="006B6D12">
        <w:rPr>
          <w:rFonts w:ascii="Arial" w:hAnsi="Arial" w:cs="Arial"/>
          <w:sz w:val="20"/>
          <w:szCs w:val="20"/>
          <w:lang w:val="es-CO"/>
        </w:rPr>
        <w:t>(Ver conceptos:</w:t>
      </w:r>
      <w:r w:rsidR="00A76DD4" w:rsidRPr="006B6D12">
        <w:rPr>
          <w:rFonts w:ascii="Arial" w:hAnsi="Arial" w:cs="Arial"/>
          <w:sz w:val="20"/>
          <w:szCs w:val="20"/>
          <w:lang w:val="es-CO"/>
        </w:rPr>
        <w:t xml:space="preserve"> </w:t>
      </w:r>
      <w:hyperlink r:id="rId20" w:history="1">
        <w:r w:rsidR="00A76DD4" w:rsidRPr="006B6D12">
          <w:rPr>
            <w:rStyle w:val="Hipervnculo"/>
            <w:rFonts w:ascii="Arial" w:hAnsi="Arial" w:cs="Arial"/>
            <w:sz w:val="20"/>
            <w:szCs w:val="20"/>
            <w:u w:val="none"/>
            <w:lang w:val="es-CO"/>
          </w:rPr>
          <w:t>4201913000005694 del 03/10/2019</w:t>
        </w:r>
      </w:hyperlink>
      <w:r w:rsidR="00A76DD4" w:rsidRPr="006B6D12">
        <w:rPr>
          <w:rFonts w:ascii="Arial" w:hAnsi="Arial" w:cs="Arial"/>
          <w:sz w:val="20"/>
          <w:szCs w:val="20"/>
          <w:lang w:val="es-CO"/>
        </w:rPr>
        <w:t xml:space="preserve">, </w:t>
      </w:r>
      <w:hyperlink r:id="rId21" w:history="1">
        <w:r w:rsidRPr="006B6D12">
          <w:rPr>
            <w:rStyle w:val="Hipervnculo"/>
            <w:rFonts w:ascii="Arial" w:hAnsi="Arial" w:cs="Arial"/>
            <w:sz w:val="20"/>
            <w:szCs w:val="20"/>
            <w:u w:val="none"/>
            <w:lang w:val="es-CO"/>
          </w:rPr>
          <w:t>4201912000007060 del 11/12/2019</w:t>
        </w:r>
      </w:hyperlink>
      <w:r w:rsidR="006E2F22" w:rsidRPr="006B6D12">
        <w:rPr>
          <w:rFonts w:ascii="Arial" w:hAnsi="Arial" w:cs="Arial"/>
          <w:sz w:val="20"/>
          <w:szCs w:val="20"/>
          <w:lang w:val="es-CO"/>
        </w:rPr>
        <w:t xml:space="preserve">, </w:t>
      </w:r>
      <w:hyperlink r:id="rId22" w:history="1">
        <w:r w:rsidR="00FE0478" w:rsidRPr="006B6D12">
          <w:rPr>
            <w:rStyle w:val="Hipervnculo"/>
            <w:rFonts w:ascii="Arial" w:hAnsi="Arial" w:cs="Arial"/>
            <w:sz w:val="20"/>
            <w:szCs w:val="20"/>
            <w:u w:val="none"/>
            <w:lang w:val="es-CO"/>
          </w:rPr>
          <w:t>420191</w:t>
        </w:r>
        <w:r w:rsidR="00E620AD" w:rsidRPr="006B6D12">
          <w:rPr>
            <w:rStyle w:val="Hipervnculo"/>
            <w:rFonts w:ascii="Arial" w:hAnsi="Arial" w:cs="Arial"/>
            <w:sz w:val="20"/>
            <w:szCs w:val="20"/>
            <w:u w:val="none"/>
            <w:lang w:val="es-CO"/>
          </w:rPr>
          <w:t>2</w:t>
        </w:r>
        <w:r w:rsidR="00FE0478" w:rsidRPr="006B6D12">
          <w:rPr>
            <w:rStyle w:val="Hipervnculo"/>
            <w:rFonts w:ascii="Arial" w:hAnsi="Arial" w:cs="Arial"/>
            <w:sz w:val="20"/>
            <w:szCs w:val="20"/>
            <w:u w:val="none"/>
            <w:lang w:val="es-CO"/>
          </w:rPr>
          <w:t>000006259 del 13/11/2019</w:t>
        </w:r>
      </w:hyperlink>
      <w:r w:rsidR="00FE0478" w:rsidRPr="006B6D12">
        <w:rPr>
          <w:rFonts w:ascii="Arial" w:hAnsi="Arial" w:cs="Arial"/>
          <w:sz w:val="20"/>
          <w:szCs w:val="20"/>
          <w:lang w:val="es-CO"/>
        </w:rPr>
        <w:t xml:space="preserve">, </w:t>
      </w:r>
      <w:hyperlink r:id="rId23" w:history="1">
        <w:r w:rsidR="006E2F22" w:rsidRPr="006B6D12">
          <w:rPr>
            <w:rStyle w:val="Hipervnculo"/>
            <w:rFonts w:ascii="Arial" w:hAnsi="Arial" w:cs="Arial"/>
            <w:sz w:val="20"/>
            <w:szCs w:val="20"/>
            <w:u w:val="none"/>
            <w:lang w:val="es-CO"/>
          </w:rPr>
          <w:t>4201912000007281 del 05/12/2019</w:t>
        </w:r>
      </w:hyperlink>
      <w:r w:rsidR="2E4045D1" w:rsidRPr="006B6D12">
        <w:rPr>
          <w:rFonts w:ascii="Arial" w:hAnsi="Arial" w:cs="Arial"/>
          <w:sz w:val="20"/>
          <w:szCs w:val="20"/>
          <w:lang w:val="es-CO"/>
        </w:rPr>
        <w:t xml:space="preserve">) </w:t>
      </w:r>
    </w:p>
    <w:p w14:paraId="12E83FDC" w14:textId="77777777" w:rsidR="00A76DD4" w:rsidRPr="006969B3" w:rsidRDefault="00A76DD4" w:rsidP="00F65283">
      <w:pPr>
        <w:spacing w:after="0" w:line="240" w:lineRule="auto"/>
        <w:rPr>
          <w:rFonts w:ascii="Arial" w:hAnsi="Arial" w:cs="Arial"/>
          <w:lang w:val="es-CO"/>
        </w:rPr>
      </w:pPr>
    </w:p>
    <w:p w14:paraId="0112250E" w14:textId="3868D165" w:rsidR="00932193" w:rsidRPr="006969B3" w:rsidRDefault="00932193" w:rsidP="00F65283">
      <w:pPr>
        <w:pStyle w:val="NormalWeb"/>
        <w:spacing w:before="0" w:beforeAutospacing="0" w:after="0" w:afterAutospacing="0"/>
        <w:jc w:val="both"/>
        <w:rPr>
          <w:rFonts w:ascii="Arial" w:hAnsi="Arial" w:cs="Arial"/>
          <w:sz w:val="22"/>
          <w:szCs w:val="22"/>
          <w:lang w:val="es-CO"/>
        </w:rPr>
      </w:pPr>
      <w:bookmarkStart w:id="54" w:name="44"/>
      <w:r w:rsidRPr="006969B3">
        <w:rPr>
          <w:rFonts w:ascii="Arial" w:hAnsi="Arial" w:cs="Arial"/>
          <w:sz w:val="22"/>
          <w:szCs w:val="22"/>
          <w:lang w:val="es-CO"/>
        </w:rPr>
        <w:t>ARTÍCULO 44. ENAJENACIÓN DE PARTICIPACIONES MINORITARIAS DE LAS ENTIDADES ESTATALES.</w:t>
      </w:r>
      <w:bookmarkEnd w:id="54"/>
      <w:r w:rsidRPr="006969B3">
        <w:rPr>
          <w:rFonts w:ascii="Arial" w:hAnsi="Arial" w:cs="Arial"/>
          <w:sz w:val="22"/>
          <w:szCs w:val="22"/>
          <w:lang w:val="es-CO"/>
        </w:rPr>
        <w:t> Modifíquese el artículo</w:t>
      </w:r>
      <w:r w:rsidR="008514A7">
        <w:rPr>
          <w:rFonts w:ascii="Arial" w:hAnsi="Arial" w:cs="Arial"/>
          <w:sz w:val="22"/>
          <w:szCs w:val="22"/>
          <w:lang w:val="es-CO"/>
        </w:rPr>
        <w:t xml:space="preserve"> 258</w:t>
      </w:r>
      <w:r w:rsidRPr="006969B3">
        <w:rPr>
          <w:rFonts w:ascii="Arial" w:hAnsi="Arial" w:cs="Arial"/>
          <w:sz w:val="22"/>
          <w:szCs w:val="22"/>
          <w:lang w:val="es-CO"/>
        </w:rPr>
        <w:t> de la Ley 1450 de 2011, modificado por el artículo</w:t>
      </w:r>
      <w:r w:rsidR="00E826C1">
        <w:rPr>
          <w:rFonts w:ascii="Arial" w:hAnsi="Arial" w:cs="Arial"/>
          <w:sz w:val="22"/>
          <w:szCs w:val="22"/>
          <w:lang w:val="es-CO"/>
        </w:rPr>
        <w:t xml:space="preserve"> 162</w:t>
      </w:r>
      <w:r w:rsidRPr="006969B3">
        <w:rPr>
          <w:rFonts w:ascii="Arial" w:hAnsi="Arial" w:cs="Arial"/>
          <w:sz w:val="22"/>
          <w:szCs w:val="22"/>
          <w:lang w:val="es-CO"/>
        </w:rPr>
        <w:t> de la Ley 1753 de 2015, el cual quedará así:</w:t>
      </w:r>
    </w:p>
    <w:p w14:paraId="7EE91894"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30244DE6" w14:textId="25B2DCE0"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w:t>
      </w:r>
      <w:r w:rsidR="00E826C1">
        <w:rPr>
          <w:rFonts w:ascii="Arial" w:hAnsi="Arial" w:cs="Arial"/>
          <w:sz w:val="22"/>
          <w:szCs w:val="22"/>
          <w:lang w:val="es-CO"/>
        </w:rPr>
        <w:t xml:space="preserve"> 258</w:t>
      </w:r>
      <w:r w:rsidRPr="006969B3">
        <w:rPr>
          <w:rFonts w:ascii="Arial" w:hAnsi="Arial" w:cs="Arial"/>
          <w:sz w:val="22"/>
          <w:szCs w:val="22"/>
          <w:lang w:val="es-CO"/>
        </w:rPr>
        <w:t>. Enajenación de participaciones minoritarias de las entidades estatales. Las entidades estatales de cualquier orden o rama podrán enajenar directamente o a través del colector de activos de la Nación, Central de Inversiones (CISA), únicamente aquellas participaciones accionarias en las cuales la propiedad de las mismas haya sido producto de un acto en el que no haya mediado la voluntad expresa de la entidad pública o que provengan de una dación en pago y, siempre y cuando esta participación no supere el cuarenta y nueve por ciento (49%) de la propiedad accionaria de la sociedad. En todo caso, y previo a enajenar las mismas, la entidad propietaria de la participación accionaria deberá comprobar que la propiedad accionaria que ostenta fue producto de un acto en el que no medió la voluntad expresa de la entidad pública o que provino de una dación en pago. Cuando la entidad opte por enajenar la participación en una sociedad deberá dar aplicación al régimen societario al que se encuentra sometida.</w:t>
      </w:r>
    </w:p>
    <w:p w14:paraId="524C5976"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7BCD32CA" w14:textId="5610D4F0"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En el evento en que las entidades a que se refiere este artículo opten por enajenar directamente su participación en una empresa, la valoración de la participación deberá contar con las siguientes aprobaciones: i) Las entidades que hacen parte del sector central del orden nacional deberán contar con la no objeción del Ministerio de Hacienda y Crédito Público, </w:t>
      </w:r>
      <w:proofErr w:type="spellStart"/>
      <w:r w:rsidRPr="006969B3">
        <w:rPr>
          <w:rFonts w:ascii="Arial" w:hAnsi="Arial" w:cs="Arial"/>
          <w:sz w:val="22"/>
          <w:szCs w:val="22"/>
          <w:lang w:val="es-CO"/>
        </w:rPr>
        <w:t>ii</w:t>
      </w:r>
      <w:proofErr w:type="spellEnd"/>
      <w:r w:rsidRPr="006969B3">
        <w:rPr>
          <w:rFonts w:ascii="Arial" w:hAnsi="Arial" w:cs="Arial"/>
          <w:sz w:val="22"/>
          <w:szCs w:val="22"/>
          <w:lang w:val="es-CO"/>
        </w:rPr>
        <w:t xml:space="preserve">) Las entidades que hacen parte del sector descentralizado del orden nacional deberán contar con la aprobación de la junta directiva de la respectiva entidad, y, </w:t>
      </w:r>
      <w:proofErr w:type="spellStart"/>
      <w:r w:rsidRPr="006969B3">
        <w:rPr>
          <w:rFonts w:ascii="Arial" w:hAnsi="Arial" w:cs="Arial"/>
          <w:sz w:val="22"/>
          <w:szCs w:val="22"/>
          <w:lang w:val="es-CO"/>
        </w:rPr>
        <w:t>iii</w:t>
      </w:r>
      <w:proofErr w:type="spellEnd"/>
      <w:r w:rsidRPr="006969B3">
        <w:rPr>
          <w:rFonts w:ascii="Arial" w:hAnsi="Arial" w:cs="Arial"/>
          <w:sz w:val="22"/>
          <w:szCs w:val="22"/>
          <w:lang w:val="es-CO"/>
        </w:rPr>
        <w:t>) las entidades territoriales de cualquier orden deberán contar con la aprobación del representante de la respectiva entidad.</w:t>
      </w:r>
    </w:p>
    <w:p w14:paraId="5EC5E98E"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0A226A9B" w14:textId="699DDBC7"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En los casos en que las entidades a que se refiere este artículo decidan adelantar el proceso de enajenación a través de CISA, este se efectuará conforme al modelo de valoración y al procedimiento establecido por CISA, teniendo en cuenta las condiciones de mercado. Es este caso, la entidad estatal y CISA podrán suscribir un convenio / contrato interadministrativo en el cual se pactará entre otros: i) El valor y forma de pago de la remuneración de CISA, que podrá ser descontado del valor de la venta, </w:t>
      </w:r>
      <w:proofErr w:type="spellStart"/>
      <w:r w:rsidRPr="006969B3">
        <w:rPr>
          <w:rFonts w:ascii="Arial" w:hAnsi="Arial" w:cs="Arial"/>
          <w:sz w:val="22"/>
          <w:szCs w:val="22"/>
          <w:lang w:val="es-CO"/>
        </w:rPr>
        <w:t>ii</w:t>
      </w:r>
      <w:proofErr w:type="spellEnd"/>
      <w:r w:rsidRPr="006969B3">
        <w:rPr>
          <w:rFonts w:ascii="Arial" w:hAnsi="Arial" w:cs="Arial"/>
          <w:sz w:val="22"/>
          <w:szCs w:val="22"/>
          <w:lang w:val="es-CO"/>
        </w:rPr>
        <w:t>) Los métodos de valoración, que se adelantarán siguiendo al efecto el modelo de valoración y el procedimiento establecido por CISA, para lo cual esta última podrá contratar a un tercero que desarrolle actividades de banca de inversión con el fin de que adelante y/o apoye el proceso de valoración.</w:t>
      </w:r>
    </w:p>
    <w:p w14:paraId="68055069"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656077E0" w14:textId="2EEAB44C"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Las entidades a que hace referencia este artículo podrán, a través de CISA, enajenar las acciones que hubieren adquirido con anterioridad a la expedición de esta Ley o aquellas que adquieran posteriormente.</w:t>
      </w:r>
    </w:p>
    <w:p w14:paraId="7D138D84"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187D47FC" w14:textId="256D7147" w:rsidR="00932193" w:rsidRPr="006969B3" w:rsidRDefault="00932193" w:rsidP="00F65283">
      <w:pPr>
        <w:pStyle w:val="NormalWeb"/>
        <w:spacing w:before="0" w:beforeAutospacing="0" w:after="0" w:afterAutospacing="0"/>
        <w:jc w:val="both"/>
        <w:rPr>
          <w:rFonts w:ascii="Arial" w:hAnsi="Arial" w:cs="Arial"/>
          <w:sz w:val="22"/>
          <w:szCs w:val="22"/>
          <w:lang w:val="es-CO"/>
        </w:rPr>
      </w:pPr>
      <w:bookmarkStart w:id="55" w:name="45"/>
      <w:r w:rsidRPr="006969B3">
        <w:rPr>
          <w:rFonts w:ascii="Arial" w:hAnsi="Arial" w:cs="Arial"/>
          <w:sz w:val="22"/>
          <w:szCs w:val="22"/>
          <w:lang w:val="es-CO"/>
        </w:rPr>
        <w:t>ARTÍCULO 45. EXTENSIÓN DE LA MEDIDA CAUTELAR.</w:t>
      </w:r>
      <w:bookmarkEnd w:id="55"/>
      <w:r w:rsidRPr="006969B3">
        <w:rPr>
          <w:rFonts w:ascii="Arial" w:hAnsi="Arial" w:cs="Arial"/>
          <w:sz w:val="22"/>
          <w:szCs w:val="22"/>
          <w:lang w:val="es-CO"/>
        </w:rPr>
        <w:t> Adiciónese el siguiente parágrafo al artículo</w:t>
      </w:r>
      <w:r w:rsidR="00D02E65">
        <w:rPr>
          <w:rFonts w:ascii="Arial" w:hAnsi="Arial" w:cs="Arial"/>
          <w:sz w:val="22"/>
          <w:szCs w:val="22"/>
          <w:lang w:val="es-CO"/>
        </w:rPr>
        <w:t xml:space="preserve"> 100</w:t>
      </w:r>
      <w:r w:rsidRPr="006969B3">
        <w:rPr>
          <w:rFonts w:ascii="Arial" w:hAnsi="Arial" w:cs="Arial"/>
          <w:sz w:val="22"/>
          <w:szCs w:val="22"/>
          <w:lang w:val="es-CO"/>
        </w:rPr>
        <w:t> de la Ley 1708 de 2014, así:</w:t>
      </w:r>
    </w:p>
    <w:p w14:paraId="738EB4A9"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193F538F" w14:textId="77777777"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xml:space="preserve"> La extensión de la medida cautelar a que se refiere este artículo </w:t>
      </w:r>
      <w:proofErr w:type="gramStart"/>
      <w:r w:rsidRPr="006969B3">
        <w:rPr>
          <w:rFonts w:ascii="Arial" w:hAnsi="Arial" w:cs="Arial"/>
          <w:sz w:val="22"/>
          <w:szCs w:val="22"/>
          <w:lang w:val="es-CO"/>
        </w:rPr>
        <w:t>aplica</w:t>
      </w:r>
      <w:proofErr w:type="gramEnd"/>
      <w:r w:rsidRPr="006969B3">
        <w:rPr>
          <w:rFonts w:ascii="Arial" w:hAnsi="Arial" w:cs="Arial"/>
          <w:sz w:val="22"/>
          <w:szCs w:val="22"/>
          <w:lang w:val="es-CO"/>
        </w:rPr>
        <w:t xml:space="preserve"> aunque los bienes no hayan sido plenamente individualizados por la Fiscalía General de la Nación. Los efectos de este artículo aplicarán a los procesos iniciados antes de la </w:t>
      </w:r>
      <w:proofErr w:type="gramStart"/>
      <w:r w:rsidRPr="006969B3">
        <w:rPr>
          <w:rFonts w:ascii="Arial" w:hAnsi="Arial" w:cs="Arial"/>
          <w:sz w:val="22"/>
          <w:szCs w:val="22"/>
          <w:lang w:val="es-CO"/>
        </w:rPr>
        <w:t>entrada en vigencia</w:t>
      </w:r>
      <w:proofErr w:type="gramEnd"/>
      <w:r w:rsidRPr="006969B3">
        <w:rPr>
          <w:rFonts w:ascii="Arial" w:hAnsi="Arial" w:cs="Arial"/>
          <w:sz w:val="22"/>
          <w:szCs w:val="22"/>
          <w:lang w:val="es-CO"/>
        </w:rPr>
        <w:t xml:space="preserve"> de la presente Ley. En consecuencia, el administrador del FRISCO estará habilitado para solicitar a las autoridades con funciones de registro, la inscripción de las </w:t>
      </w:r>
      <w:r w:rsidRPr="006969B3">
        <w:rPr>
          <w:rFonts w:ascii="Arial" w:hAnsi="Arial" w:cs="Arial"/>
          <w:sz w:val="22"/>
          <w:szCs w:val="22"/>
          <w:lang w:val="es-CO"/>
        </w:rPr>
        <w:lastRenderedPageBreak/>
        <w:t>medidas cautelares a los bienes donde opere el fenómeno, siempre que la medida cautelar recaiga en el 100% de la participación accionaria.</w:t>
      </w:r>
    </w:p>
    <w:p w14:paraId="2D755397" w14:textId="5DAC3383" w:rsidR="00932193" w:rsidRPr="006969B3" w:rsidRDefault="00932193" w:rsidP="00F65283">
      <w:pPr>
        <w:spacing w:after="0" w:line="240" w:lineRule="auto"/>
        <w:rPr>
          <w:rFonts w:ascii="Arial" w:hAnsi="Arial" w:cs="Arial"/>
          <w:lang w:val="es-CO"/>
        </w:rPr>
      </w:pPr>
    </w:p>
    <w:p w14:paraId="09149C01" w14:textId="61662C4E" w:rsidR="00932193" w:rsidRPr="006969B3" w:rsidRDefault="00932193" w:rsidP="00F65283">
      <w:pPr>
        <w:pStyle w:val="NormalWeb"/>
        <w:spacing w:before="0" w:beforeAutospacing="0" w:after="0" w:afterAutospacing="0"/>
        <w:jc w:val="both"/>
        <w:rPr>
          <w:rFonts w:ascii="Arial" w:hAnsi="Arial" w:cs="Arial"/>
          <w:sz w:val="22"/>
          <w:szCs w:val="22"/>
          <w:lang w:val="es-CO"/>
        </w:rPr>
      </w:pPr>
      <w:bookmarkStart w:id="56" w:name="46"/>
      <w:r w:rsidRPr="006969B3">
        <w:rPr>
          <w:rFonts w:ascii="Arial" w:hAnsi="Arial" w:cs="Arial"/>
          <w:sz w:val="22"/>
          <w:szCs w:val="22"/>
          <w:lang w:val="es-CO"/>
        </w:rPr>
        <w:t>ARTÍCULO 46. DEL FONDO ADAPTACIÓN.</w:t>
      </w:r>
      <w:bookmarkEnd w:id="56"/>
      <w:r w:rsidRPr="006969B3">
        <w:rPr>
          <w:rFonts w:ascii="Arial" w:hAnsi="Arial" w:cs="Arial"/>
          <w:sz w:val="22"/>
          <w:szCs w:val="22"/>
          <w:lang w:val="es-CO"/>
        </w:rPr>
        <w:t> Modifíquese el artículo</w:t>
      </w:r>
      <w:r w:rsidR="00D02E65">
        <w:rPr>
          <w:rFonts w:ascii="Arial" w:hAnsi="Arial" w:cs="Arial"/>
          <w:sz w:val="22"/>
          <w:szCs w:val="22"/>
          <w:lang w:val="es-CO"/>
        </w:rPr>
        <w:t xml:space="preserve"> 155</w:t>
      </w:r>
      <w:r w:rsidRPr="006969B3">
        <w:rPr>
          <w:rFonts w:ascii="Arial" w:hAnsi="Arial" w:cs="Arial"/>
          <w:sz w:val="22"/>
          <w:szCs w:val="22"/>
          <w:lang w:val="es-CO"/>
        </w:rPr>
        <w:t> de la Ley 1753 de 2015, el cual quedará así:</w:t>
      </w:r>
    </w:p>
    <w:p w14:paraId="044EB8E5"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76B18529" w14:textId="05EBFC44"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w:t>
      </w:r>
      <w:r w:rsidR="00D02E65">
        <w:rPr>
          <w:rFonts w:ascii="Arial" w:hAnsi="Arial" w:cs="Arial"/>
          <w:sz w:val="22"/>
          <w:szCs w:val="22"/>
          <w:lang w:val="es-CO"/>
        </w:rPr>
        <w:t xml:space="preserve"> 155</w:t>
      </w:r>
      <w:r w:rsidRPr="006969B3">
        <w:rPr>
          <w:rFonts w:ascii="Arial" w:hAnsi="Arial" w:cs="Arial"/>
          <w:sz w:val="22"/>
          <w:szCs w:val="22"/>
          <w:lang w:val="es-CO"/>
        </w:rPr>
        <w:t>. Del Fondo Adaptación. El Fondo Adaptación, creado mediante Decreto-Ley</w:t>
      </w:r>
      <w:r w:rsidR="00D02E65">
        <w:rPr>
          <w:rFonts w:ascii="Arial" w:hAnsi="Arial" w:cs="Arial"/>
          <w:sz w:val="22"/>
          <w:szCs w:val="22"/>
          <w:lang w:val="es-CO"/>
        </w:rPr>
        <w:t xml:space="preserve"> 4819</w:t>
      </w:r>
      <w:r w:rsidRPr="006969B3">
        <w:rPr>
          <w:rFonts w:ascii="Arial" w:hAnsi="Arial" w:cs="Arial"/>
          <w:sz w:val="22"/>
          <w:szCs w:val="22"/>
          <w:lang w:val="es-CO"/>
        </w:rPr>
        <w:t> de 2010, hará parte del Sistema Nacional de Gestión del Riesgo de Desastres en los términos de la Ley</w:t>
      </w:r>
      <w:r w:rsidR="00D02E65">
        <w:rPr>
          <w:rFonts w:ascii="Arial" w:hAnsi="Arial" w:cs="Arial"/>
          <w:sz w:val="22"/>
          <w:szCs w:val="22"/>
          <w:lang w:val="es-CO"/>
        </w:rPr>
        <w:t xml:space="preserve"> 1523 </w:t>
      </w:r>
      <w:r w:rsidRPr="006969B3">
        <w:rPr>
          <w:rFonts w:ascii="Arial" w:hAnsi="Arial" w:cs="Arial"/>
          <w:sz w:val="22"/>
          <w:szCs w:val="22"/>
          <w:lang w:val="es-CO"/>
        </w:rPr>
        <w:t>de 2012.</w:t>
      </w:r>
    </w:p>
    <w:p w14:paraId="73A1C82C"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134E7BF2" w14:textId="49457CEE"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Los contratos que celebre el Fondo Adaptación para ejecutar los recursos destinados al programa de reducción de la vulnerabilidad fiscal ante desastres y riesgos </w:t>
      </w:r>
      <w:proofErr w:type="gramStart"/>
      <w:r w:rsidRPr="006969B3">
        <w:rPr>
          <w:rFonts w:ascii="Arial" w:hAnsi="Arial" w:cs="Arial"/>
          <w:sz w:val="22"/>
          <w:szCs w:val="22"/>
          <w:lang w:val="es-CO"/>
        </w:rPr>
        <w:t>climáticos,</w:t>
      </w:r>
      <w:proofErr w:type="gramEnd"/>
      <w:r w:rsidRPr="006969B3">
        <w:rPr>
          <w:rFonts w:ascii="Arial" w:hAnsi="Arial" w:cs="Arial"/>
          <w:sz w:val="22"/>
          <w:szCs w:val="22"/>
          <w:lang w:val="es-CO"/>
        </w:rPr>
        <w:t xml:space="preserve"> se regirán por el derecho privado. Lo anterior, con plena observancia de lo dispuesto en el artículo</w:t>
      </w:r>
      <w:r w:rsidR="00D02E65">
        <w:rPr>
          <w:rFonts w:ascii="Arial" w:hAnsi="Arial" w:cs="Arial"/>
          <w:sz w:val="22"/>
          <w:szCs w:val="22"/>
          <w:lang w:val="es-CO"/>
        </w:rPr>
        <w:t xml:space="preserve"> 13 </w:t>
      </w:r>
      <w:r w:rsidRPr="006969B3">
        <w:rPr>
          <w:rFonts w:ascii="Arial" w:hAnsi="Arial" w:cs="Arial"/>
          <w:sz w:val="22"/>
          <w:szCs w:val="22"/>
          <w:lang w:val="es-CO"/>
        </w:rPr>
        <w:t>de la Ley 1150 de 2007, sin perjuicio de la facultad de incluir las cláusulas excepcionales a que se refieren los artículo</w:t>
      </w:r>
      <w:r w:rsidR="00D02E65">
        <w:rPr>
          <w:rFonts w:ascii="Arial" w:hAnsi="Arial" w:cs="Arial"/>
          <w:sz w:val="22"/>
          <w:szCs w:val="22"/>
          <w:lang w:val="es-CO"/>
        </w:rPr>
        <w:t>s 14</w:t>
      </w:r>
      <w:r w:rsidRPr="006969B3">
        <w:rPr>
          <w:rFonts w:ascii="Arial" w:hAnsi="Arial" w:cs="Arial"/>
          <w:sz w:val="22"/>
          <w:szCs w:val="22"/>
          <w:lang w:val="es-CO"/>
        </w:rPr>
        <w:t> a</w:t>
      </w:r>
      <w:r w:rsidR="00D02E65">
        <w:rPr>
          <w:rFonts w:ascii="Arial" w:hAnsi="Arial" w:cs="Arial"/>
          <w:sz w:val="22"/>
          <w:szCs w:val="22"/>
          <w:lang w:val="es-CO"/>
        </w:rPr>
        <w:t xml:space="preserve"> 18</w:t>
      </w:r>
      <w:r w:rsidRPr="006969B3">
        <w:rPr>
          <w:rFonts w:ascii="Arial" w:hAnsi="Arial" w:cs="Arial"/>
          <w:sz w:val="22"/>
          <w:szCs w:val="22"/>
          <w:lang w:val="es-CO"/>
        </w:rPr>
        <w:t> de la Ley 80 de 1993 y de aplicar lo dispuesto en los artículos</w:t>
      </w:r>
      <w:r w:rsidR="00D02E65">
        <w:rPr>
          <w:rFonts w:ascii="Arial" w:hAnsi="Arial" w:cs="Arial"/>
          <w:sz w:val="22"/>
          <w:szCs w:val="22"/>
          <w:lang w:val="es-CO"/>
        </w:rPr>
        <w:t xml:space="preserve"> 11</w:t>
      </w:r>
      <w:r w:rsidRPr="006969B3">
        <w:rPr>
          <w:rFonts w:ascii="Arial" w:hAnsi="Arial" w:cs="Arial"/>
          <w:sz w:val="22"/>
          <w:szCs w:val="22"/>
          <w:lang w:val="es-CO"/>
        </w:rPr>
        <w:t> y</w:t>
      </w:r>
      <w:r w:rsidR="00D02E65">
        <w:rPr>
          <w:rFonts w:ascii="Arial" w:hAnsi="Arial" w:cs="Arial"/>
          <w:sz w:val="22"/>
          <w:szCs w:val="22"/>
          <w:lang w:val="es-CO"/>
        </w:rPr>
        <w:t xml:space="preserve"> 17</w:t>
      </w:r>
      <w:r w:rsidRPr="006969B3">
        <w:rPr>
          <w:rFonts w:ascii="Arial" w:hAnsi="Arial" w:cs="Arial"/>
          <w:sz w:val="22"/>
          <w:szCs w:val="22"/>
          <w:lang w:val="es-CO"/>
        </w:rPr>
        <w:t> de la Ley 1150 de 2007, a partir del 1 de enero de 2020 los procesos contractuales que adelante el Fondo Adaptación se regirán por lo previsto por la Ley</w:t>
      </w:r>
      <w:r w:rsidR="00D02E65">
        <w:rPr>
          <w:rFonts w:ascii="Arial" w:hAnsi="Arial" w:cs="Arial"/>
          <w:sz w:val="22"/>
          <w:szCs w:val="22"/>
          <w:lang w:val="es-CO"/>
        </w:rPr>
        <w:t xml:space="preserve"> 80</w:t>
      </w:r>
      <w:r w:rsidRPr="006969B3">
        <w:rPr>
          <w:rFonts w:ascii="Arial" w:hAnsi="Arial" w:cs="Arial"/>
          <w:sz w:val="22"/>
          <w:szCs w:val="22"/>
          <w:lang w:val="es-CO"/>
        </w:rPr>
        <w:t> de 1993 y la Ley</w:t>
      </w:r>
      <w:r w:rsidR="00D02E65">
        <w:rPr>
          <w:rFonts w:ascii="Arial" w:hAnsi="Arial" w:cs="Arial"/>
          <w:sz w:val="22"/>
          <w:szCs w:val="22"/>
          <w:lang w:val="es-CO"/>
        </w:rPr>
        <w:t xml:space="preserve"> 1150</w:t>
      </w:r>
      <w:r w:rsidRPr="006969B3">
        <w:rPr>
          <w:rFonts w:ascii="Arial" w:hAnsi="Arial" w:cs="Arial"/>
          <w:sz w:val="22"/>
          <w:szCs w:val="22"/>
          <w:lang w:val="es-CO"/>
        </w:rPr>
        <w:t> de 2007.</w:t>
      </w:r>
    </w:p>
    <w:p w14:paraId="4B0053BD"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44F5A4BE" w14:textId="6699506D"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Con el propósito de fortalecer y contribuir a la reducción de la vulnerabilidad fiscal del Estado, el Fondo Adaptación podrá estructurar y ejecutar proyectos integrales de reducción del riesgo y adaptación al cambio climático, en el marco del Sistema Nacional de Gestión del Riesgo de Desastres o del Plan Nacional de Adaptación y de la Política Nacional de Cambio Climático, o su equivalente, en coordinación con los respectivos sectores.</w:t>
      </w:r>
    </w:p>
    <w:p w14:paraId="22AF4C7A"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1EBDDED9" w14:textId="2A027B41"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Será responsabilidad de las entidades del orden nacional y territorial beneficiarías de los proyectos a cargo del Fondo Adaptación, garantizar su sostenibilidad y la puesta en marcha de los mecanismos jurídicos, técnicos, financieros y operacionales necesarios para su adecuada implementación.</w:t>
      </w:r>
    </w:p>
    <w:p w14:paraId="3C3F487A" w14:textId="77777777" w:rsidR="00FE0478" w:rsidRPr="006969B3" w:rsidRDefault="00FE0478" w:rsidP="00F65283">
      <w:pPr>
        <w:pStyle w:val="NormalWeb"/>
        <w:spacing w:before="0" w:beforeAutospacing="0" w:after="0" w:afterAutospacing="0"/>
        <w:jc w:val="both"/>
        <w:rPr>
          <w:rFonts w:ascii="Arial" w:hAnsi="Arial" w:cs="Arial"/>
          <w:sz w:val="22"/>
          <w:szCs w:val="22"/>
          <w:lang w:val="es-CO"/>
        </w:rPr>
      </w:pPr>
    </w:p>
    <w:p w14:paraId="69B9D864" w14:textId="278E1865" w:rsidR="00932193" w:rsidRPr="006969B3" w:rsidRDefault="00932193" w:rsidP="00D27CAA">
      <w:pPr>
        <w:pStyle w:val="NormalWeb"/>
        <w:tabs>
          <w:tab w:val="left" w:pos="567"/>
        </w:tabs>
        <w:spacing w:before="0" w:beforeAutospacing="0" w:after="0" w:afterAutospacing="0"/>
        <w:jc w:val="both"/>
        <w:rPr>
          <w:rFonts w:ascii="Arial" w:hAnsi="Arial" w:cs="Arial"/>
          <w:sz w:val="22"/>
          <w:szCs w:val="22"/>
          <w:lang w:val="es-CO"/>
        </w:rPr>
      </w:pPr>
      <w:bookmarkStart w:id="57" w:name="47"/>
      <w:r w:rsidRPr="006969B3">
        <w:rPr>
          <w:rFonts w:ascii="Arial" w:hAnsi="Arial" w:cs="Arial"/>
          <w:sz w:val="22"/>
          <w:szCs w:val="22"/>
          <w:lang w:val="es-CO"/>
        </w:rPr>
        <w:t>ARTÍCULO 47. RÉGIMEN PATRIMONIAL.</w:t>
      </w:r>
      <w:bookmarkEnd w:id="57"/>
      <w:r w:rsidRPr="006969B3">
        <w:rPr>
          <w:rFonts w:ascii="Arial" w:hAnsi="Arial" w:cs="Arial"/>
          <w:sz w:val="22"/>
          <w:szCs w:val="22"/>
          <w:lang w:val="es-CO"/>
        </w:rPr>
        <w:t> Adiciónese el literal f) al numeral 2 del artículo</w:t>
      </w:r>
      <w:r w:rsidR="00D27CAA">
        <w:rPr>
          <w:rFonts w:ascii="Arial" w:hAnsi="Arial" w:cs="Arial"/>
          <w:sz w:val="22"/>
          <w:szCs w:val="22"/>
          <w:lang w:val="es-CO"/>
        </w:rPr>
        <w:t xml:space="preserve"> 319</w:t>
      </w:r>
      <w:r w:rsidRPr="006969B3">
        <w:rPr>
          <w:rFonts w:ascii="Arial" w:hAnsi="Arial" w:cs="Arial"/>
          <w:sz w:val="22"/>
          <w:szCs w:val="22"/>
          <w:lang w:val="es-CO"/>
        </w:rPr>
        <w:t> del Estatuto Orgánico del Sistema Financiero, así:</w:t>
      </w:r>
    </w:p>
    <w:p w14:paraId="07C644F6"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19AF73B5" w14:textId="147B8F36"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f) Cuando de acuerdo con consideraciones técnicas referidas a la suficiencia de una reserva, la Junta Directiva del Fondo de Garantías de Instituciones Financieras lo considere necesario, podrá adoptar un plan para incrementarla de manera temporal. Para dicha finalidad, con base en estos criterios, podrá incrementar la prima por encima del límite previsto en el artículo</w:t>
      </w:r>
      <w:r w:rsidR="00D27CAA">
        <w:rPr>
          <w:rFonts w:ascii="Arial" w:hAnsi="Arial" w:cs="Arial"/>
          <w:sz w:val="22"/>
          <w:szCs w:val="22"/>
          <w:lang w:val="es-CO"/>
        </w:rPr>
        <w:t xml:space="preserve"> 323</w:t>
      </w:r>
      <w:r w:rsidRPr="006969B3">
        <w:rPr>
          <w:rFonts w:ascii="Arial" w:hAnsi="Arial" w:cs="Arial"/>
          <w:sz w:val="22"/>
          <w:szCs w:val="22"/>
          <w:lang w:val="es-CO"/>
        </w:rPr>
        <w:t> de este Estatuto.</w:t>
      </w:r>
    </w:p>
    <w:p w14:paraId="7AF6B87F" w14:textId="2C84BD7D" w:rsidR="00932193" w:rsidRPr="006969B3" w:rsidRDefault="00932193" w:rsidP="00F65283">
      <w:pPr>
        <w:spacing w:after="0" w:line="240" w:lineRule="auto"/>
        <w:rPr>
          <w:rFonts w:ascii="Arial" w:hAnsi="Arial" w:cs="Arial"/>
          <w:lang w:val="es-CO"/>
        </w:rPr>
      </w:pPr>
    </w:p>
    <w:p w14:paraId="6610E6DB" w14:textId="1459965F" w:rsidR="00932193" w:rsidRPr="006969B3" w:rsidRDefault="00932193" w:rsidP="00F65283">
      <w:pPr>
        <w:pStyle w:val="NormalWeb"/>
        <w:spacing w:before="0" w:beforeAutospacing="0" w:after="0" w:afterAutospacing="0"/>
        <w:jc w:val="both"/>
        <w:rPr>
          <w:rFonts w:ascii="Arial" w:hAnsi="Arial" w:cs="Arial"/>
          <w:sz w:val="22"/>
          <w:szCs w:val="22"/>
          <w:lang w:val="es-CO"/>
        </w:rPr>
      </w:pPr>
      <w:bookmarkStart w:id="58" w:name="48"/>
      <w:r w:rsidRPr="006969B3">
        <w:rPr>
          <w:rFonts w:ascii="Arial" w:hAnsi="Arial" w:cs="Arial"/>
          <w:sz w:val="22"/>
          <w:szCs w:val="22"/>
          <w:lang w:val="es-CO"/>
        </w:rPr>
        <w:t>ARTÍCULO 48. GARANTÍAS PARA BONOS HIPOTECARIOS PARA FINANCIAR CARTERA VIS SUBSIDIABLE Y PARA TÍTULOS EMITIDOS EN PROCESOS DE TITULARIZACIÓN DE CARTERA VIS SUBSIDIABLE.</w:t>
      </w:r>
      <w:bookmarkEnd w:id="58"/>
      <w:r w:rsidRPr="006969B3">
        <w:rPr>
          <w:rFonts w:ascii="Arial" w:hAnsi="Arial" w:cs="Arial"/>
          <w:sz w:val="22"/>
          <w:szCs w:val="22"/>
          <w:lang w:val="es-CO"/>
        </w:rPr>
        <w:t> Modifíquese el inciso primero del artículo</w:t>
      </w:r>
      <w:r w:rsidR="0042339A">
        <w:rPr>
          <w:rFonts w:ascii="Arial" w:hAnsi="Arial" w:cs="Arial"/>
          <w:sz w:val="22"/>
          <w:szCs w:val="22"/>
          <w:lang w:val="es-CO"/>
        </w:rPr>
        <w:t xml:space="preserve"> 30</w:t>
      </w:r>
      <w:r w:rsidRPr="006969B3">
        <w:rPr>
          <w:rFonts w:ascii="Arial" w:hAnsi="Arial" w:cs="Arial"/>
          <w:sz w:val="22"/>
          <w:szCs w:val="22"/>
          <w:lang w:val="es-CO"/>
        </w:rPr>
        <w:t> de la Ley 546 de 1999, el cual quedará así:</w:t>
      </w:r>
    </w:p>
    <w:p w14:paraId="1CA2AC99"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3175502D" w14:textId="77777777"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Garantías para bonos hipotecarios para financiar cartera VIS subsidiable y para títulos emitidos en procesos de titularización de cartera VIS subsidiable. El Gobierno nacional, a través del Fondo Nacional de Garantías (FNG), otorgará garantías para los bonos hipotecarios para financiar cartera VIS subsidiable y para títulos emitidos en procesos de titularización de cartera VIS subsidiable, que emitan los establecimientos de crédito, en los términos y con las condiciones que señale el Gobierno nacional.</w:t>
      </w:r>
    </w:p>
    <w:p w14:paraId="7C91A868" w14:textId="61280597" w:rsidR="00932193" w:rsidRPr="006969B3" w:rsidRDefault="00932193" w:rsidP="00F65283">
      <w:pPr>
        <w:spacing w:after="0" w:line="240" w:lineRule="auto"/>
        <w:rPr>
          <w:rFonts w:ascii="Arial" w:hAnsi="Arial" w:cs="Arial"/>
          <w:lang w:val="es-CO"/>
        </w:rPr>
      </w:pPr>
    </w:p>
    <w:p w14:paraId="7AF6AAB8" w14:textId="576B4A92" w:rsidR="00932193" w:rsidRPr="006969B3" w:rsidRDefault="00932193" w:rsidP="00F65283">
      <w:pPr>
        <w:pStyle w:val="NormalWeb"/>
        <w:spacing w:before="0" w:beforeAutospacing="0" w:after="0" w:afterAutospacing="0"/>
        <w:jc w:val="both"/>
        <w:rPr>
          <w:rFonts w:ascii="Arial" w:hAnsi="Arial" w:cs="Arial"/>
          <w:sz w:val="22"/>
          <w:szCs w:val="22"/>
          <w:lang w:val="es-CO"/>
        </w:rPr>
      </w:pPr>
      <w:bookmarkStart w:id="59" w:name="49"/>
      <w:r w:rsidRPr="006969B3">
        <w:rPr>
          <w:rFonts w:ascii="Arial" w:hAnsi="Arial" w:cs="Arial"/>
          <w:sz w:val="22"/>
          <w:szCs w:val="22"/>
          <w:lang w:val="es-CO"/>
        </w:rPr>
        <w:lastRenderedPageBreak/>
        <w:t>ARTÍCULO 49. CÁLCULO DE VALORES EN UVT.</w:t>
      </w:r>
      <w:bookmarkEnd w:id="59"/>
      <w:r w:rsidRPr="006969B3">
        <w:rPr>
          <w:rFonts w:ascii="Arial" w:hAnsi="Arial" w:cs="Arial"/>
          <w:sz w:val="22"/>
          <w:szCs w:val="22"/>
          <w:lang w:val="es-CO"/>
        </w:rPr>
        <w:t> A partir del 1 de enero de 2020, todos los cobros, sanciones, multas, tasas, tarifas y estampillas, actualmente denominados y establecidos con base en el salario mínimo mensual legal vigente (</w:t>
      </w:r>
      <w:proofErr w:type="spellStart"/>
      <w:r w:rsidRPr="006969B3">
        <w:rPr>
          <w:rFonts w:ascii="Arial" w:hAnsi="Arial" w:cs="Arial"/>
          <w:sz w:val="22"/>
          <w:szCs w:val="22"/>
          <w:lang w:val="es-CO"/>
        </w:rPr>
        <w:t>smmlv</w:t>
      </w:r>
      <w:proofErr w:type="spellEnd"/>
      <w:r w:rsidRPr="006969B3">
        <w:rPr>
          <w:rFonts w:ascii="Arial" w:hAnsi="Arial" w:cs="Arial"/>
          <w:sz w:val="22"/>
          <w:szCs w:val="22"/>
          <w:lang w:val="es-CO"/>
        </w:rPr>
        <w:t>), deberán ser calculados con base en su equivalencia en términos de la Unidad de Valor Tributario (UVT). En adelante, las actualizaciones de estos valores también se harán con base en el valor de la UVT vigente.</w:t>
      </w:r>
    </w:p>
    <w:p w14:paraId="4A189F47"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6400484E" w14:textId="77777777"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xml:space="preserve"> Los cobros, sanciones, multas, tasas, tarifas y estampillas, que se encuentren ejecutoriados con anterioridad al 1 de enero de 2020 se mantendrán determinados en </w:t>
      </w:r>
      <w:proofErr w:type="spellStart"/>
      <w:r w:rsidRPr="006969B3">
        <w:rPr>
          <w:rFonts w:ascii="Arial" w:hAnsi="Arial" w:cs="Arial"/>
          <w:sz w:val="22"/>
          <w:szCs w:val="22"/>
          <w:lang w:val="es-CO"/>
        </w:rPr>
        <w:t>smmlv</w:t>
      </w:r>
      <w:proofErr w:type="spellEnd"/>
      <w:r w:rsidRPr="006969B3">
        <w:rPr>
          <w:rFonts w:ascii="Arial" w:hAnsi="Arial" w:cs="Arial"/>
          <w:sz w:val="22"/>
          <w:szCs w:val="22"/>
          <w:lang w:val="es-CO"/>
        </w:rPr>
        <w:t>.</w:t>
      </w:r>
    </w:p>
    <w:p w14:paraId="79E2D517" w14:textId="46351A7C" w:rsidR="00932193" w:rsidRPr="006969B3" w:rsidRDefault="00932193" w:rsidP="00F65283">
      <w:pPr>
        <w:spacing w:after="0" w:line="240" w:lineRule="auto"/>
        <w:rPr>
          <w:rFonts w:ascii="Arial" w:hAnsi="Arial" w:cs="Arial"/>
          <w:lang w:val="es-CO"/>
        </w:rPr>
      </w:pPr>
    </w:p>
    <w:p w14:paraId="0E15BDC2" w14:textId="77777777" w:rsidR="00932193" w:rsidRPr="006969B3" w:rsidRDefault="00932193" w:rsidP="00F65283">
      <w:pPr>
        <w:pStyle w:val="NormalWeb"/>
        <w:spacing w:before="0" w:beforeAutospacing="0" w:after="0" w:afterAutospacing="0"/>
        <w:jc w:val="both"/>
        <w:rPr>
          <w:rFonts w:ascii="Arial" w:hAnsi="Arial" w:cs="Arial"/>
          <w:sz w:val="22"/>
          <w:szCs w:val="22"/>
          <w:lang w:val="es-CO"/>
        </w:rPr>
      </w:pPr>
      <w:bookmarkStart w:id="60" w:name="50"/>
      <w:r w:rsidRPr="006969B3">
        <w:rPr>
          <w:rFonts w:ascii="Arial" w:hAnsi="Arial" w:cs="Arial"/>
          <w:sz w:val="22"/>
          <w:szCs w:val="22"/>
          <w:lang w:val="es-CO"/>
        </w:rPr>
        <w:t>ARTÍCULO 50. TRANSFERENCIA DE PARTICIPACIONES EN ORGANISMOS INTERNACIONALES.</w:t>
      </w:r>
      <w:bookmarkEnd w:id="60"/>
      <w:r w:rsidRPr="006969B3">
        <w:rPr>
          <w:rFonts w:ascii="Arial" w:hAnsi="Arial" w:cs="Arial"/>
          <w:sz w:val="22"/>
          <w:szCs w:val="22"/>
          <w:lang w:val="es-CO"/>
        </w:rPr>
        <w:t> Autorícese al Banco de la República para transferir al Gobierno nacional las participaciones (aportes, contribuciones y suscripciones) en organismos internacionales que no constituyan activos de reservas internacionales y los pasivos relacionados con las mismas. Esta operación se efectuará por el valor en libros en la fecha de la operación, con cargo al patrimonio del Banco de la República.</w:t>
      </w:r>
    </w:p>
    <w:p w14:paraId="731D6C41" w14:textId="7E45D532" w:rsidR="00932193" w:rsidRPr="006969B3" w:rsidRDefault="00932193" w:rsidP="00F65283">
      <w:pPr>
        <w:spacing w:after="0" w:line="240" w:lineRule="auto"/>
        <w:rPr>
          <w:rFonts w:ascii="Arial" w:hAnsi="Arial" w:cs="Arial"/>
          <w:lang w:val="es-CO"/>
        </w:rPr>
      </w:pPr>
    </w:p>
    <w:p w14:paraId="4ACEDCF8" w14:textId="2A9FC43C" w:rsidR="00932193" w:rsidRPr="006969B3" w:rsidRDefault="00932193" w:rsidP="00F65283">
      <w:pPr>
        <w:pStyle w:val="NormalWeb"/>
        <w:spacing w:before="0" w:beforeAutospacing="0" w:after="0" w:afterAutospacing="0"/>
        <w:jc w:val="both"/>
        <w:rPr>
          <w:rFonts w:ascii="Arial" w:hAnsi="Arial" w:cs="Arial"/>
          <w:sz w:val="22"/>
          <w:szCs w:val="22"/>
          <w:lang w:val="es-CO"/>
        </w:rPr>
      </w:pPr>
      <w:bookmarkStart w:id="61" w:name="51"/>
      <w:r w:rsidRPr="006969B3">
        <w:rPr>
          <w:rFonts w:ascii="Arial" w:hAnsi="Arial" w:cs="Arial"/>
          <w:sz w:val="22"/>
          <w:szCs w:val="22"/>
          <w:lang w:val="es-CO"/>
        </w:rPr>
        <w:t>ARTÍCULO 51. GASTOS DE PERSONAL DE ENTIDADES PÚBLICAS DEL ORDEN NACIONAL.</w:t>
      </w:r>
      <w:bookmarkEnd w:id="61"/>
      <w:r w:rsidRPr="006969B3">
        <w:rPr>
          <w:rFonts w:ascii="Arial" w:hAnsi="Arial" w:cs="Arial"/>
          <w:sz w:val="22"/>
          <w:szCs w:val="22"/>
          <w:lang w:val="es-CO"/>
        </w:rPr>
        <w:t> Las modificaciones a los gastos de personal de las entidades públicas nacionales no podrán afectar programas y servicios esenciales a cargo de la respectiva entidad. Así mismo, deberán guardar consistencia con el Marco Fiscal de Mediano Plazo, el Marco de Gasto de Mediano Plazo del respectivo sector, y garantizar el cumplimiento de la regla fiscal establecida en la Ley </w:t>
      </w:r>
      <w:r w:rsidR="00737D49">
        <w:rPr>
          <w:rFonts w:ascii="Arial" w:hAnsi="Arial" w:cs="Arial"/>
          <w:sz w:val="22"/>
          <w:szCs w:val="22"/>
          <w:lang w:val="es-CO"/>
        </w:rPr>
        <w:t>1473</w:t>
      </w:r>
      <w:r w:rsidRPr="006969B3">
        <w:rPr>
          <w:rFonts w:ascii="Arial" w:hAnsi="Arial" w:cs="Arial"/>
          <w:sz w:val="22"/>
          <w:szCs w:val="22"/>
          <w:lang w:val="es-CO"/>
        </w:rPr>
        <w:t> de 2011. El Ministerio de Hacienda y Crédito Público verificará el cumplimiento de estas condiciones y otorgará la viabilidad presupuestal.</w:t>
      </w:r>
    </w:p>
    <w:p w14:paraId="7CFFEA89" w14:textId="5810CA4F" w:rsidR="00932193" w:rsidRPr="006969B3" w:rsidRDefault="00932193" w:rsidP="00F65283">
      <w:pPr>
        <w:spacing w:after="0" w:line="240" w:lineRule="auto"/>
        <w:rPr>
          <w:rFonts w:ascii="Arial" w:hAnsi="Arial" w:cs="Arial"/>
          <w:lang w:val="es-CO"/>
        </w:rPr>
      </w:pPr>
    </w:p>
    <w:p w14:paraId="00D57ED0" w14:textId="3FE40BA6" w:rsidR="00932193" w:rsidRPr="006969B3" w:rsidRDefault="00932193" w:rsidP="00F65283">
      <w:pPr>
        <w:pStyle w:val="NormalWeb"/>
        <w:spacing w:before="0" w:beforeAutospacing="0" w:after="0" w:afterAutospacing="0"/>
        <w:jc w:val="both"/>
        <w:rPr>
          <w:rFonts w:ascii="Arial" w:hAnsi="Arial" w:cs="Arial"/>
          <w:sz w:val="22"/>
          <w:szCs w:val="22"/>
          <w:lang w:val="es-CO"/>
        </w:rPr>
      </w:pPr>
      <w:bookmarkStart w:id="62" w:name="52"/>
      <w:r w:rsidRPr="006969B3">
        <w:rPr>
          <w:rFonts w:ascii="Arial" w:hAnsi="Arial" w:cs="Arial"/>
          <w:sz w:val="22"/>
          <w:szCs w:val="22"/>
          <w:lang w:val="es-CO"/>
        </w:rPr>
        <w:t>ARTÍCULO 52. MARCO FISCAL DE MEDIANO PLAZO PARA ENTIDADES TERRITORIALES.</w:t>
      </w:r>
      <w:bookmarkEnd w:id="62"/>
      <w:r w:rsidRPr="006969B3">
        <w:rPr>
          <w:rFonts w:ascii="Arial" w:hAnsi="Arial" w:cs="Arial"/>
          <w:sz w:val="22"/>
          <w:szCs w:val="22"/>
          <w:lang w:val="es-CO"/>
        </w:rPr>
        <w:t> Adiciónese el literal h) y un parágrafo al artículo</w:t>
      </w:r>
      <w:r w:rsidR="00737D49">
        <w:rPr>
          <w:rFonts w:ascii="Arial" w:hAnsi="Arial" w:cs="Arial"/>
          <w:sz w:val="22"/>
          <w:szCs w:val="22"/>
          <w:lang w:val="es-CO"/>
        </w:rPr>
        <w:t xml:space="preserve"> 5</w:t>
      </w:r>
      <w:r w:rsidRPr="006969B3">
        <w:rPr>
          <w:rFonts w:ascii="Arial" w:hAnsi="Arial" w:cs="Arial"/>
          <w:sz w:val="22"/>
          <w:szCs w:val="22"/>
          <w:lang w:val="es-CO"/>
        </w:rPr>
        <w:t> de la Ley 819 de 2003, así:</w:t>
      </w:r>
    </w:p>
    <w:p w14:paraId="507FAD00" w14:textId="77777777" w:rsidR="00FE0478" w:rsidRPr="006969B3" w:rsidRDefault="00FE0478" w:rsidP="00F65283">
      <w:pPr>
        <w:pStyle w:val="NormalWeb"/>
        <w:spacing w:before="0" w:beforeAutospacing="0" w:after="0" w:afterAutospacing="0"/>
        <w:jc w:val="both"/>
        <w:rPr>
          <w:rFonts w:ascii="Arial" w:hAnsi="Arial" w:cs="Arial"/>
          <w:sz w:val="22"/>
          <w:szCs w:val="22"/>
          <w:lang w:val="es-CO"/>
        </w:rPr>
      </w:pPr>
    </w:p>
    <w:p w14:paraId="196E9A8D" w14:textId="172E2F50"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h) Incorporar en su Marco Fiscal de Mediano Plazo el análisis de la situación financiera de las entidades del sector descentralizado y hacer ejercicios de simulación sobre el impacto que puedan tener los resultados de dichas entidades en las finanzas de la entidad territorial y en los indicadores de las normas de responsabilidad fiscal territorial.</w:t>
      </w:r>
    </w:p>
    <w:p w14:paraId="61D9D824"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432BD469" w14:textId="77777777"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El Marco Fiscal de Mediano Plazo de las entidades territoriales deberá contener la descripción de las estrategias e instrumentos para garantizar su cumplimiento. Los concejos municipales y asambleas departamentales al aprobar el presupuesto y el plan de inversiones del plan de desarrollo tendrán en cuenta que estos sean consistentes con el Marco Fiscal de Mediano Plazo de la entidad territorial.</w:t>
      </w:r>
    </w:p>
    <w:p w14:paraId="0380A68A" w14:textId="0DEA050F" w:rsidR="00932193" w:rsidRPr="006969B3" w:rsidRDefault="00932193" w:rsidP="00F65283">
      <w:pPr>
        <w:spacing w:after="0" w:line="240" w:lineRule="auto"/>
        <w:rPr>
          <w:rFonts w:ascii="Arial" w:hAnsi="Arial" w:cs="Arial"/>
          <w:lang w:val="es-CO"/>
        </w:rPr>
      </w:pPr>
    </w:p>
    <w:p w14:paraId="7981A497" w14:textId="65D0D2E9" w:rsidR="00932193" w:rsidRPr="006969B3" w:rsidRDefault="00932193" w:rsidP="00F65283">
      <w:pPr>
        <w:pStyle w:val="NormalWeb"/>
        <w:spacing w:before="0" w:beforeAutospacing="0" w:after="0" w:afterAutospacing="0"/>
        <w:jc w:val="both"/>
        <w:rPr>
          <w:rFonts w:ascii="Arial" w:hAnsi="Arial" w:cs="Arial"/>
          <w:sz w:val="22"/>
          <w:szCs w:val="22"/>
          <w:lang w:val="es-CO"/>
        </w:rPr>
      </w:pPr>
      <w:bookmarkStart w:id="63" w:name="53"/>
      <w:r w:rsidRPr="006969B3">
        <w:rPr>
          <w:rFonts w:ascii="Arial" w:hAnsi="Arial" w:cs="Arial"/>
          <w:sz w:val="22"/>
          <w:szCs w:val="22"/>
          <w:lang w:val="es-CO"/>
        </w:rPr>
        <w:t>ARTÍCULO 53. PAGO DE SENTENCIAS O CONCILIACIONES EN MORA.</w:t>
      </w:r>
      <w:bookmarkEnd w:id="63"/>
      <w:r w:rsidRPr="006969B3">
        <w:rPr>
          <w:rFonts w:ascii="Arial" w:hAnsi="Arial" w:cs="Arial"/>
          <w:sz w:val="22"/>
          <w:szCs w:val="22"/>
          <w:lang w:val="es-CO"/>
        </w:rPr>
        <w:t> Durante la vigencia de la presente Ley, la Nación podrá reconocer como deuda pública las obligaciones de pago originadas en sentencias o conciliaciones debidamente ejecutoriadas y los intereses derivados de las mismas, que se encuentren en mora en su pago a la fecha de expedición de la presente Ley. Este reconocimiento operará exclusivamente para las entidades que hagan parte del Presupuesto General de la Nación y por una sola vez. En estos casos, dichas obligaciones de pago serán reconocidas y pagadas bien sea con cargo al servicio de deuda del Presupuesto General de la Nación o mediante la emisión de Títulos de Tesorería TES Clase B.</w:t>
      </w:r>
    </w:p>
    <w:p w14:paraId="173812E8"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7D94385A" w14:textId="77777777"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Para el cumplimiento de lo señalado en este artículo y con el objetivo de suministrar la respectiva liquidez, la Dirección General de Crédito Público y Tesoro Nacional del Ministerio de Hacienda y Crédito Público administrará, en una cuenta independiente el cupo de emisión de TES que se destine a la atención de las obligaciones de pago originadas en sentencias o conciliaciones ejecutoriadas, y los intereses derivados de las mismas. Para estos efectos, la Dirección General de Crédito Público y Tesoro Nacional estará facultada para realizar las operaciones necesarias en el mercado monetario y de deuda pública.</w:t>
      </w:r>
    </w:p>
    <w:p w14:paraId="1A501040" w14:textId="77777777" w:rsidR="001B0E49" w:rsidRDefault="001B0E49" w:rsidP="00F65283">
      <w:pPr>
        <w:pStyle w:val="NormalWeb"/>
        <w:spacing w:before="0" w:beforeAutospacing="0" w:after="0" w:afterAutospacing="0"/>
        <w:jc w:val="both"/>
        <w:rPr>
          <w:rFonts w:ascii="Arial" w:hAnsi="Arial" w:cs="Arial"/>
          <w:sz w:val="22"/>
          <w:szCs w:val="22"/>
          <w:lang w:val="es-CO"/>
        </w:rPr>
      </w:pPr>
    </w:p>
    <w:p w14:paraId="3A42CC82" w14:textId="26A16FF0"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En todo caso, las entidades de las que trata el inciso primero de este artículo deberán tener en cuenta:</w:t>
      </w:r>
    </w:p>
    <w:p w14:paraId="577DA8B4"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2FAC5BCA" w14:textId="0ABDD949"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 La veracidad, oportunidad, verificación de los requisitos para el pago de las obligaciones, así como la responsabilidad de adelantar las gestiones pertinentes radica exclusivamente en cada una de las entidades, sin que implique responsabilidad alguna para las demás entidades que participan en el proceso de pago de las sentencias o conciliaciones, de conformidad con lo que para el efecto defina el Gobierno nacional. El incumplimiento de lo dispuesto en este numeral acarreará las sanciones penales, disciplinarias y fiscales a que haya lugar.</w:t>
      </w:r>
    </w:p>
    <w:p w14:paraId="16592156"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024A0F95" w14:textId="7F8BCF11"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2. El cumplimiento de lo dispuesto en el artículo</w:t>
      </w:r>
      <w:r w:rsidR="00737D49">
        <w:rPr>
          <w:rFonts w:ascii="Arial" w:hAnsi="Arial" w:cs="Arial"/>
          <w:sz w:val="22"/>
          <w:szCs w:val="22"/>
          <w:lang w:val="es-CO"/>
        </w:rPr>
        <w:t xml:space="preserve"> 262</w:t>
      </w:r>
      <w:r w:rsidRPr="006969B3">
        <w:rPr>
          <w:rFonts w:ascii="Arial" w:hAnsi="Arial" w:cs="Arial"/>
          <w:sz w:val="22"/>
          <w:szCs w:val="22"/>
          <w:lang w:val="es-CO"/>
        </w:rPr>
        <w:t> de la Ley 1819 de 2016.</w:t>
      </w:r>
    </w:p>
    <w:p w14:paraId="03212EB7"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6E446745" w14:textId="2B47F8D1"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3. Podrán celebrar acuerdos de pago o conciliaciones extrajudiciales con los beneficiarios finales, respecto de los montos adeudados.</w:t>
      </w:r>
    </w:p>
    <w:p w14:paraId="31EC3A7E"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513ABF59" w14:textId="2B09CC38"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4. La responsabilidad por el pago de las obligaciones es exclusivamente de la entidad. El Gobierno nacional reglamentará la materia.</w:t>
      </w:r>
    </w:p>
    <w:p w14:paraId="08268F54" w14:textId="77777777" w:rsidR="00A76DD4" w:rsidRPr="006969B3" w:rsidRDefault="00A76DD4" w:rsidP="00F65283">
      <w:pPr>
        <w:pStyle w:val="NormalWeb"/>
        <w:spacing w:before="0" w:beforeAutospacing="0" w:after="0" w:afterAutospacing="0"/>
        <w:jc w:val="both"/>
        <w:rPr>
          <w:rStyle w:val="baj"/>
          <w:rFonts w:ascii="Arial" w:hAnsi="Arial" w:cs="Arial"/>
          <w:sz w:val="22"/>
          <w:szCs w:val="22"/>
          <w:lang w:val="es-CO"/>
        </w:rPr>
      </w:pPr>
    </w:p>
    <w:p w14:paraId="55CB9EDC" w14:textId="154E6CDF"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La emisión de Títulos de Tesorería TES Clase B de que trata el presente artículo no implica operación presupuestal y solo debe presupuestarse para efectos del pago de intereses y la redención de los títulos.</w:t>
      </w:r>
    </w:p>
    <w:p w14:paraId="7CB36DBE" w14:textId="77777777" w:rsidR="00FE0478" w:rsidRPr="006969B3" w:rsidRDefault="00FE0478" w:rsidP="00F65283">
      <w:pPr>
        <w:pStyle w:val="NormalWeb"/>
        <w:spacing w:before="0" w:beforeAutospacing="0" w:after="0" w:afterAutospacing="0"/>
        <w:jc w:val="both"/>
        <w:rPr>
          <w:rFonts w:ascii="Arial" w:hAnsi="Arial" w:cs="Arial"/>
          <w:sz w:val="22"/>
          <w:szCs w:val="22"/>
          <w:lang w:val="es-CO"/>
        </w:rPr>
      </w:pPr>
    </w:p>
    <w:p w14:paraId="7F9A3C7A" w14:textId="77777777"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Las entidades del Presupuesto General de la Nación de las que trata el presente artículo deberán suscribir con el Ministerio de Hacienda y Crédito Público los acuerdos de pago para asumir el principal e intereses de los títulos con cargo a sus presupuestos de gasto y procederán con los registros contables que sean del caso para extinguir dichas obligaciones.</w:t>
      </w:r>
    </w:p>
    <w:p w14:paraId="5B0F1D5D" w14:textId="4A552D2E" w:rsidR="00932193" w:rsidRPr="006969B3" w:rsidRDefault="00932193" w:rsidP="00F65283">
      <w:pPr>
        <w:spacing w:after="0" w:line="240" w:lineRule="auto"/>
        <w:rPr>
          <w:rFonts w:ascii="Arial" w:hAnsi="Arial" w:cs="Arial"/>
          <w:lang w:val="es-CO"/>
        </w:rPr>
      </w:pPr>
    </w:p>
    <w:p w14:paraId="6DE65B2A" w14:textId="4A9D5F0F" w:rsidR="00932193" w:rsidRPr="006969B3" w:rsidRDefault="00932193" w:rsidP="00F65283">
      <w:pPr>
        <w:pStyle w:val="NormalWeb"/>
        <w:spacing w:before="0" w:beforeAutospacing="0" w:after="0" w:afterAutospacing="0"/>
        <w:jc w:val="both"/>
        <w:rPr>
          <w:rFonts w:ascii="Arial" w:hAnsi="Arial" w:cs="Arial"/>
          <w:sz w:val="22"/>
          <w:szCs w:val="22"/>
          <w:lang w:val="es-CO"/>
        </w:rPr>
      </w:pPr>
      <w:bookmarkStart w:id="64" w:name="54"/>
      <w:r w:rsidRPr="006969B3">
        <w:rPr>
          <w:rFonts w:ascii="Arial" w:hAnsi="Arial" w:cs="Arial"/>
          <w:sz w:val="22"/>
          <w:szCs w:val="22"/>
          <w:lang w:val="es-CO"/>
        </w:rPr>
        <w:t>ARTÍCULO 54. AUTORIZACIÓN PARA EL USO DE RECURSOS DE MAYOR RECAUDO.</w:t>
      </w:r>
      <w:bookmarkEnd w:id="64"/>
      <w:r w:rsidRPr="006969B3">
        <w:rPr>
          <w:rFonts w:ascii="Arial" w:hAnsi="Arial" w:cs="Arial"/>
          <w:sz w:val="22"/>
          <w:szCs w:val="22"/>
          <w:lang w:val="es-CO"/>
        </w:rPr>
        <w:t> Los recursos incorporados en el presupuesto bienal del Sistema General de Regalías a través del artículo </w:t>
      </w:r>
      <w:r w:rsidR="00461C72">
        <w:rPr>
          <w:rFonts w:ascii="Arial" w:hAnsi="Arial" w:cs="Arial"/>
          <w:sz w:val="22"/>
          <w:szCs w:val="22"/>
          <w:lang w:val="es-CO"/>
        </w:rPr>
        <w:t>7</w:t>
      </w:r>
      <w:r w:rsidRPr="006969B3">
        <w:rPr>
          <w:rFonts w:ascii="Arial" w:hAnsi="Arial" w:cs="Arial"/>
          <w:sz w:val="22"/>
          <w:szCs w:val="22"/>
          <w:lang w:val="es-CO"/>
        </w:rPr>
        <w:t xml:space="preserve"> de la Ley 1942 de 2018, no estarán </w:t>
      </w:r>
      <w:proofErr w:type="gramStart"/>
      <w:r w:rsidRPr="006969B3">
        <w:rPr>
          <w:rFonts w:ascii="Arial" w:hAnsi="Arial" w:cs="Arial"/>
          <w:sz w:val="22"/>
          <w:szCs w:val="22"/>
          <w:lang w:val="es-CO"/>
        </w:rPr>
        <w:t>imitados  por</w:t>
      </w:r>
      <w:proofErr w:type="gramEnd"/>
      <w:r w:rsidRPr="006969B3">
        <w:rPr>
          <w:rFonts w:ascii="Arial" w:hAnsi="Arial" w:cs="Arial"/>
          <w:sz w:val="22"/>
          <w:szCs w:val="22"/>
          <w:lang w:val="es-CO"/>
        </w:rPr>
        <w:t xml:space="preserve"> lo dispuesto en el artículo</w:t>
      </w:r>
      <w:r w:rsidR="00461C72">
        <w:rPr>
          <w:rFonts w:ascii="Arial" w:hAnsi="Arial" w:cs="Arial"/>
          <w:sz w:val="22"/>
          <w:szCs w:val="22"/>
          <w:lang w:val="es-CO"/>
        </w:rPr>
        <w:t xml:space="preserve"> 40</w:t>
      </w:r>
      <w:r w:rsidRPr="006969B3">
        <w:rPr>
          <w:rFonts w:ascii="Arial" w:hAnsi="Arial" w:cs="Arial"/>
          <w:sz w:val="22"/>
          <w:szCs w:val="22"/>
          <w:lang w:val="es-CO"/>
        </w:rPr>
        <w:t> de la misma Ley.</w:t>
      </w:r>
    </w:p>
    <w:p w14:paraId="3944470E" w14:textId="40B3293C" w:rsidR="00932193" w:rsidRPr="006969B3" w:rsidRDefault="00932193" w:rsidP="00F65283">
      <w:pPr>
        <w:spacing w:after="0" w:line="240" w:lineRule="auto"/>
        <w:rPr>
          <w:rFonts w:ascii="Arial" w:hAnsi="Arial" w:cs="Arial"/>
          <w:lang w:val="es-CO"/>
        </w:rPr>
      </w:pPr>
    </w:p>
    <w:p w14:paraId="0B66B40A" w14:textId="77777777" w:rsidR="00932193" w:rsidRPr="006969B3" w:rsidRDefault="00932193" w:rsidP="00F65283">
      <w:pPr>
        <w:pStyle w:val="NormalWeb"/>
        <w:spacing w:before="0" w:beforeAutospacing="0" w:after="0" w:afterAutospacing="0"/>
        <w:jc w:val="both"/>
        <w:rPr>
          <w:rFonts w:ascii="Arial" w:hAnsi="Arial" w:cs="Arial"/>
          <w:sz w:val="22"/>
          <w:szCs w:val="22"/>
          <w:lang w:val="es-CO"/>
        </w:rPr>
      </w:pPr>
      <w:bookmarkStart w:id="65" w:name="55"/>
      <w:r w:rsidRPr="006969B3">
        <w:rPr>
          <w:rFonts w:ascii="Arial" w:hAnsi="Arial" w:cs="Arial"/>
          <w:sz w:val="22"/>
          <w:szCs w:val="22"/>
          <w:lang w:val="es-CO"/>
        </w:rPr>
        <w:t>ARTÍCULO 55. FONDO DIAN PARA COLOMBIA.</w:t>
      </w:r>
      <w:bookmarkEnd w:id="65"/>
      <w:r w:rsidRPr="006969B3">
        <w:rPr>
          <w:rFonts w:ascii="Arial" w:hAnsi="Arial" w:cs="Arial"/>
          <w:sz w:val="22"/>
          <w:szCs w:val="22"/>
          <w:lang w:val="es-CO"/>
        </w:rPr>
        <w:t xml:space="preserve"> Créase un patrimonio autónomo denominado Fondo DIAN para Colombia, administrado por el Ministerio de Hacienda y Crédito Público o por la entidad o entidades que esta decida, y para el efecto estas entidades se encuentran facultadas para celebrar el </w:t>
      </w:r>
      <w:proofErr w:type="spellStart"/>
      <w:r w:rsidRPr="006969B3">
        <w:rPr>
          <w:rFonts w:ascii="Arial" w:hAnsi="Arial" w:cs="Arial"/>
          <w:sz w:val="22"/>
          <w:szCs w:val="22"/>
          <w:lang w:val="es-CO"/>
        </w:rPr>
        <w:t>espectivo</w:t>
      </w:r>
      <w:proofErr w:type="spellEnd"/>
      <w:r w:rsidRPr="006969B3">
        <w:rPr>
          <w:rFonts w:ascii="Arial" w:hAnsi="Arial" w:cs="Arial"/>
          <w:sz w:val="22"/>
          <w:szCs w:val="22"/>
          <w:lang w:val="es-CO"/>
        </w:rPr>
        <w:t xml:space="preserve"> contrato de fiducia mercantil. Este Fondo tendrá por objeto la financiación y/o la inversión del programa de modernización de la Dirección de Impuestos y Aduanas Nacionales (DIAN). En desarrollo de su propósito el mencionado patrimonio autónomo podrá:</w:t>
      </w:r>
    </w:p>
    <w:p w14:paraId="56F1C1C7"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7E158FD6" w14:textId="3441AF60"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lastRenderedPageBreak/>
        <w:t>1. Recibir total o parcialmente aportes del Gobierno nacional para financiar o cofinanciar los proyectos de desarrollo acordes con la finalidad del patrimonio autónomo.</w:t>
      </w:r>
    </w:p>
    <w:p w14:paraId="0D6ACEE6"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1C3C0B64" w14:textId="13A3C936"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2. Administrar todo tipo de bienes muebles y/o inmuebles de propiedad de la DIAN y comercializarlos a fin de destinarlos al objeto del fondo.</w:t>
      </w:r>
    </w:p>
    <w:p w14:paraId="0FD50978"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468DBE8A" w14:textId="558FFC75"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3. Aceptar donaciones del sector público o privado, nacional e internacional, con el propósito de realizar las actividades del patrimonio.</w:t>
      </w:r>
    </w:p>
    <w:p w14:paraId="73346463"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46D38B59" w14:textId="7AD908D2"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4. Suscribir convenios o contratos con entidades públicas para desarrollar su propósito.</w:t>
      </w:r>
    </w:p>
    <w:p w14:paraId="4F83B810"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3C95BFA8" w14:textId="3BFC0CCC"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5. Celebrar operaciones de financiamiento interno o externo, a nombre de patrimonio autónomo para lo cual la Nación o las Entidades Territoriales podrán otorgar los avales o garantías correspondientes. Para el otorgamiento de la garantía de la Nación no será necesario la constitución de las contragarantías a favor de la Nación ni de la realización de aportes al Fondo de Contingencias.</w:t>
      </w:r>
    </w:p>
    <w:p w14:paraId="29E840D9"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57E66034" w14:textId="0B39225F"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Cumplido el propósito del Fondo DIAN para Colombia, este podrá ser liquidado. El Gobierno nacional reglamentará la materia.</w:t>
      </w:r>
    </w:p>
    <w:p w14:paraId="3C05925E" w14:textId="4E0C905C" w:rsidR="00932193" w:rsidRPr="006969B3" w:rsidRDefault="00932193" w:rsidP="00F65283">
      <w:pPr>
        <w:spacing w:after="0" w:line="240" w:lineRule="auto"/>
        <w:rPr>
          <w:rFonts w:ascii="Arial" w:hAnsi="Arial" w:cs="Arial"/>
          <w:lang w:val="es-CO"/>
        </w:rPr>
      </w:pPr>
    </w:p>
    <w:p w14:paraId="3CCCF412" w14:textId="04B9517A" w:rsidR="00932193" w:rsidRPr="006969B3" w:rsidRDefault="00932193" w:rsidP="00F65283">
      <w:pPr>
        <w:pStyle w:val="NormalWeb"/>
        <w:spacing w:before="0" w:beforeAutospacing="0" w:after="0" w:afterAutospacing="0"/>
        <w:jc w:val="both"/>
        <w:rPr>
          <w:rFonts w:ascii="Arial" w:hAnsi="Arial" w:cs="Arial"/>
          <w:sz w:val="22"/>
          <w:szCs w:val="22"/>
          <w:lang w:val="es-CO"/>
        </w:rPr>
      </w:pPr>
      <w:bookmarkStart w:id="66" w:name="56"/>
      <w:r w:rsidRPr="006969B3">
        <w:rPr>
          <w:rFonts w:ascii="Arial" w:hAnsi="Arial" w:cs="Arial"/>
          <w:sz w:val="22"/>
          <w:szCs w:val="22"/>
          <w:lang w:val="es-CO"/>
        </w:rPr>
        <w:t>ARTÍCULO 56. FONDO NACIONAL PARA EL DESARROLLO DE LA INFRAESTRUCTURA (FONDES).</w:t>
      </w:r>
      <w:bookmarkEnd w:id="66"/>
      <w:r w:rsidRPr="006969B3">
        <w:rPr>
          <w:rFonts w:ascii="Arial" w:hAnsi="Arial" w:cs="Arial"/>
          <w:sz w:val="22"/>
          <w:szCs w:val="22"/>
          <w:lang w:val="es-CO"/>
        </w:rPr>
        <w:t> Modifíquese el artículo</w:t>
      </w:r>
      <w:r w:rsidR="0042339A">
        <w:rPr>
          <w:rFonts w:ascii="Arial" w:hAnsi="Arial" w:cs="Arial"/>
          <w:sz w:val="22"/>
          <w:szCs w:val="22"/>
          <w:lang w:val="es-CO"/>
        </w:rPr>
        <w:t xml:space="preserve"> 144</w:t>
      </w:r>
      <w:r w:rsidRPr="006969B3">
        <w:rPr>
          <w:rFonts w:ascii="Arial" w:hAnsi="Arial" w:cs="Arial"/>
          <w:sz w:val="22"/>
          <w:szCs w:val="22"/>
          <w:lang w:val="es-CO"/>
        </w:rPr>
        <w:t> de la Ley 1753 de 2015 que quedará así:</w:t>
      </w:r>
    </w:p>
    <w:p w14:paraId="66AD1CCD"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1DBC1ACD" w14:textId="62C49345"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w:t>
      </w:r>
      <w:r w:rsidR="0042339A">
        <w:rPr>
          <w:rFonts w:ascii="Arial" w:hAnsi="Arial" w:cs="Arial"/>
          <w:sz w:val="22"/>
          <w:szCs w:val="22"/>
          <w:lang w:val="es-CO"/>
        </w:rPr>
        <w:t xml:space="preserve"> 144</w:t>
      </w:r>
      <w:r w:rsidR="00F17158">
        <w:rPr>
          <w:rFonts w:ascii="Arial" w:hAnsi="Arial" w:cs="Arial"/>
          <w:sz w:val="22"/>
          <w:szCs w:val="22"/>
          <w:lang w:val="es-CO"/>
        </w:rPr>
        <w:t>.</w:t>
      </w:r>
      <w:r w:rsidRPr="006969B3">
        <w:rPr>
          <w:rFonts w:ascii="Arial" w:hAnsi="Arial" w:cs="Arial"/>
          <w:sz w:val="22"/>
          <w:szCs w:val="22"/>
          <w:lang w:val="es-CO"/>
        </w:rPr>
        <w:t xml:space="preserve"> Fondo Nacional para el Desarrollo de la Infraestructura (FONDES). El Fondo Nacional para el Desarrollo de la Infraestructura (FONDES) será administrado por la Financiera de Desarrollo Nacional y/o la entidad que defina el Gobierno nacional, de conformidad con la reglamentación expedida para el efecto y en los términos del contrato que se suscriba.</w:t>
      </w:r>
    </w:p>
    <w:p w14:paraId="45F85DA4"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545CF028" w14:textId="1A36DE3C"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objeto del FONDES será la inversión y financiamiento de proyectos de infraestructura, así como la inversión en el capital social de empresas de servicios públicos mixtas u oficiales y su patrimonio estará constituido, entre otras, por las siguientes fuentes:</w:t>
      </w:r>
    </w:p>
    <w:p w14:paraId="36DAE98B"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0C760587" w14:textId="4D33FB51"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 Cuando el Gobierno nacional lo defina, los recursos producto de la enajenación de la participación accionaria de la Nación, recibidos en virtud de un proceso regulado por la Ley</w:t>
      </w:r>
      <w:r w:rsidR="00F17158">
        <w:rPr>
          <w:rFonts w:ascii="Arial" w:hAnsi="Arial" w:cs="Arial"/>
          <w:sz w:val="22"/>
          <w:szCs w:val="22"/>
          <w:lang w:val="es-CO"/>
        </w:rPr>
        <w:t xml:space="preserve"> 226</w:t>
      </w:r>
      <w:r w:rsidRPr="006969B3">
        <w:rPr>
          <w:rFonts w:ascii="Arial" w:hAnsi="Arial" w:cs="Arial"/>
          <w:sz w:val="22"/>
          <w:szCs w:val="22"/>
          <w:lang w:val="es-CO"/>
        </w:rPr>
        <w:t> de 1995;</w:t>
      </w:r>
    </w:p>
    <w:p w14:paraId="7A583B35"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26BEBB1A" w14:textId="073E4135"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b) Los rendimientos que genere el Fondo;</w:t>
      </w:r>
    </w:p>
    <w:p w14:paraId="453E3B49"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7E1C8A9D" w14:textId="25E45FDC"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c) Los recursos que obtenga el fondo a través de sus propias operaciones de crédito público y de tesorería;</w:t>
      </w:r>
    </w:p>
    <w:p w14:paraId="4F516E27"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27FEB5C1" w14:textId="7F753A7B"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d) Los demás recursos que se dispongan para el efecto.</w:t>
      </w:r>
    </w:p>
    <w:p w14:paraId="3096CD4F"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718F6562" w14:textId="13F2A9DA"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Gobierno nacional reglamentará la administración y funcionamiento del FONDES, así como los demás asuntos necesarios para su financiamiento y el cabal cumplimiento de su objeto, sin perjuicio del cumplimiento de lo dispuesto por el artículo</w:t>
      </w:r>
      <w:r w:rsidR="00F17158">
        <w:rPr>
          <w:rFonts w:ascii="Arial" w:hAnsi="Arial" w:cs="Arial"/>
          <w:sz w:val="22"/>
          <w:szCs w:val="22"/>
          <w:lang w:val="es-CO"/>
        </w:rPr>
        <w:t xml:space="preserve"> 124</w:t>
      </w:r>
      <w:r w:rsidRPr="006969B3">
        <w:rPr>
          <w:rFonts w:ascii="Arial" w:hAnsi="Arial" w:cs="Arial"/>
          <w:sz w:val="22"/>
          <w:szCs w:val="22"/>
          <w:lang w:val="es-CO"/>
        </w:rPr>
        <w:t> del Estatuto Orgánico del Presupuesto.</w:t>
      </w:r>
    </w:p>
    <w:p w14:paraId="0CD3F1FB" w14:textId="77777777" w:rsidR="00A76DD4" w:rsidRPr="006969B3" w:rsidRDefault="00A76DD4" w:rsidP="00F65283">
      <w:pPr>
        <w:pStyle w:val="NormalWeb"/>
        <w:spacing w:before="0" w:beforeAutospacing="0" w:after="0" w:afterAutospacing="0"/>
        <w:jc w:val="both"/>
        <w:rPr>
          <w:rStyle w:val="baj"/>
          <w:rFonts w:ascii="Arial" w:hAnsi="Arial" w:cs="Arial"/>
          <w:sz w:val="22"/>
          <w:szCs w:val="22"/>
          <w:lang w:val="es-CO"/>
        </w:rPr>
      </w:pPr>
    </w:p>
    <w:p w14:paraId="25314A41" w14:textId="244F2F3D"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lastRenderedPageBreak/>
        <w:t>PARÁGRAFO.</w:t>
      </w:r>
      <w:r w:rsidRPr="006969B3">
        <w:rPr>
          <w:rFonts w:ascii="Arial" w:hAnsi="Arial" w:cs="Arial"/>
          <w:sz w:val="22"/>
          <w:szCs w:val="22"/>
          <w:lang w:val="es-CO"/>
        </w:rPr>
        <w:t xml:space="preserve"> Los recursos resultantes de la enajenación de la participación accionaria de la Nación señalados en este artículo, mientras se incorporan al Presupuesto General de la Nación, se mantendrán en una cuenta especial e independiente administrada por el Tesoro Nacional. El Gobierno nacional reglamentará el procedimiento por el que se decidirán los términos y plazos en que los recursos de esta cuenta especial serán incorporados en el Presupuesto General de la Nación, así como la transferencia de </w:t>
      </w:r>
      <w:proofErr w:type="gramStart"/>
      <w:r w:rsidRPr="006969B3">
        <w:rPr>
          <w:rFonts w:ascii="Arial" w:hAnsi="Arial" w:cs="Arial"/>
          <w:sz w:val="22"/>
          <w:szCs w:val="22"/>
          <w:lang w:val="es-CO"/>
        </w:rPr>
        <w:t>los mismos</w:t>
      </w:r>
      <w:proofErr w:type="gramEnd"/>
      <w:r w:rsidRPr="006969B3">
        <w:rPr>
          <w:rFonts w:ascii="Arial" w:hAnsi="Arial" w:cs="Arial"/>
          <w:sz w:val="22"/>
          <w:szCs w:val="22"/>
          <w:lang w:val="es-CO"/>
        </w:rPr>
        <w:t xml:space="preserve"> del Tesoro Nacional a los administradores.</w:t>
      </w:r>
    </w:p>
    <w:p w14:paraId="6EFA5795" w14:textId="39F6F437" w:rsidR="00932193" w:rsidRPr="006969B3" w:rsidRDefault="00932193" w:rsidP="00F65283">
      <w:pPr>
        <w:spacing w:after="0" w:line="240" w:lineRule="auto"/>
        <w:rPr>
          <w:rFonts w:ascii="Arial" w:hAnsi="Arial" w:cs="Arial"/>
          <w:lang w:val="es-CO"/>
        </w:rPr>
      </w:pPr>
    </w:p>
    <w:p w14:paraId="14FEE345" w14:textId="77777777" w:rsidR="00932193" w:rsidRPr="006969B3" w:rsidRDefault="00932193" w:rsidP="00F65283">
      <w:pPr>
        <w:pStyle w:val="NormalWeb"/>
        <w:spacing w:before="0" w:beforeAutospacing="0" w:after="0" w:afterAutospacing="0"/>
        <w:jc w:val="both"/>
        <w:rPr>
          <w:rFonts w:ascii="Arial" w:hAnsi="Arial" w:cs="Arial"/>
          <w:sz w:val="22"/>
          <w:szCs w:val="22"/>
          <w:lang w:val="es-CO"/>
        </w:rPr>
      </w:pPr>
      <w:bookmarkStart w:id="67" w:name="57"/>
      <w:r w:rsidRPr="006969B3">
        <w:rPr>
          <w:rFonts w:ascii="Arial" w:hAnsi="Arial" w:cs="Arial"/>
          <w:sz w:val="22"/>
          <w:szCs w:val="22"/>
          <w:lang w:val="es-CO"/>
        </w:rPr>
        <w:t>ARTÍCULO 57. EFICIENCIA EN LA ADMINISTRACIÓN DE LOS RECURSOS DEL FONDO NACIONAL DE PRESTACIONES SOCIALES DEL MAGISTERIO.</w:t>
      </w:r>
      <w:bookmarkEnd w:id="67"/>
      <w:r w:rsidRPr="006969B3">
        <w:rPr>
          <w:rFonts w:ascii="Arial" w:hAnsi="Arial" w:cs="Arial"/>
          <w:sz w:val="22"/>
          <w:szCs w:val="22"/>
          <w:lang w:val="es-CO"/>
        </w:rPr>
        <w:t> Las cesantías definitivas y parciales de los docentes de que trata la Ley 91 de 1989 serán reconocidas y liquidadas por la Secretaría de Educación de la entidad territorial y pagadas por el Fondo Nacional de Prestaciones Sociales del Magisterio.</w:t>
      </w:r>
    </w:p>
    <w:p w14:paraId="712FDCA7"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11619686" w14:textId="5203A723"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Las pensiones que pagará el Fondo Nacional de Prestaciones Sociales del Magisterio serán reconocidas por el citado Fondo, mediante la aprobación del proyecto de resolución por parte de quien administre el Fondo, el cual debe ser elaborado por el </w:t>
      </w:r>
      <w:proofErr w:type="gramStart"/>
      <w:r w:rsidRPr="006969B3">
        <w:rPr>
          <w:rFonts w:ascii="Arial" w:hAnsi="Arial" w:cs="Arial"/>
          <w:sz w:val="22"/>
          <w:szCs w:val="22"/>
          <w:lang w:val="es-CO"/>
        </w:rPr>
        <w:t>Secretario</w:t>
      </w:r>
      <w:proofErr w:type="gramEnd"/>
      <w:r w:rsidRPr="006969B3">
        <w:rPr>
          <w:rFonts w:ascii="Arial" w:hAnsi="Arial" w:cs="Arial"/>
          <w:sz w:val="22"/>
          <w:szCs w:val="22"/>
          <w:lang w:val="es-CO"/>
        </w:rPr>
        <w:t xml:space="preserve"> de Educación de la Entidad Territorial certificada correspondiente, a la que se encuentre vinculado el docente. El acto administrativo de reconocimiento de la pensión se hará mediante resolución que llevará la firma del </w:t>
      </w:r>
      <w:proofErr w:type="gramStart"/>
      <w:r w:rsidRPr="006969B3">
        <w:rPr>
          <w:rFonts w:ascii="Arial" w:hAnsi="Arial" w:cs="Arial"/>
          <w:sz w:val="22"/>
          <w:szCs w:val="22"/>
          <w:lang w:val="es-CO"/>
        </w:rPr>
        <w:t>Secretario</w:t>
      </w:r>
      <w:proofErr w:type="gramEnd"/>
      <w:r w:rsidRPr="006969B3">
        <w:rPr>
          <w:rFonts w:ascii="Arial" w:hAnsi="Arial" w:cs="Arial"/>
          <w:sz w:val="22"/>
          <w:szCs w:val="22"/>
          <w:lang w:val="es-CO"/>
        </w:rPr>
        <w:t xml:space="preserve"> de Educación de la entidad territorial.</w:t>
      </w:r>
    </w:p>
    <w:p w14:paraId="67D85EF4" w14:textId="77777777"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Para el pago de las prestaciones económicas y los servicios de salud, el Fondo deberá aplicar el principio de unidad de caja con el fin de lograr mayor eficiencia en la administración y pago de las obligaciones definidas por la ley, con excepción de los recursos provenientes del Fondo Nacional de Pensiones de las Entidades Territoriales (FONPET). En todo caso, el Fondo debe priorizar el pago de los servicios de salud y de las mesadas pensionales de los maestros.</w:t>
      </w:r>
    </w:p>
    <w:p w14:paraId="72CB7ECF"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72BFB365" w14:textId="5430E4EF"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Los recursos del Fondo Nacional de Prestaciones Sociales del Magisterio solo podrán destinarse para garantizar el pago de las prestaciones económicas, sociales y asistenciales a sus afiliados docentes, pensionados y beneficiarios. No podrá decretarse el pago de indemnizaciones económicas por vía judicial o administrativa con cargo a los recursos del Fondo Nacional de Prestaciones Sociales del Magisterio.</w:t>
      </w:r>
    </w:p>
    <w:p w14:paraId="63815621" w14:textId="77777777" w:rsidR="00A76DD4" w:rsidRPr="006969B3" w:rsidRDefault="00A76DD4" w:rsidP="00F65283">
      <w:pPr>
        <w:pStyle w:val="NormalWeb"/>
        <w:spacing w:before="0" w:beforeAutospacing="0" w:after="0" w:afterAutospacing="0"/>
        <w:jc w:val="both"/>
        <w:rPr>
          <w:rStyle w:val="baj"/>
          <w:rFonts w:ascii="Arial" w:hAnsi="Arial" w:cs="Arial"/>
          <w:sz w:val="22"/>
          <w:szCs w:val="22"/>
          <w:lang w:val="es-CO"/>
        </w:rPr>
      </w:pPr>
    </w:p>
    <w:p w14:paraId="3F521417" w14:textId="03CCD12D"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La entidad territorial será responsable del pago de la sanción por mora en el pago de las cesantías en aquellos eventos en los que el pago extemporáneo se genere como consecuencia del incumplimiento de los plazos previstos para la radicación o entrega de la solicitud de pago de cesantías por parte de la Secretaría de Educación territorial al Fondo Nacional de Prestaciones Sociales del Magisterio. En estos eventos el Fondo Nacional de Prestaciones Sociales del Magisterio será responsable únicamente del pago de las cesantías.</w:t>
      </w:r>
    </w:p>
    <w:p w14:paraId="5FEECC39" w14:textId="77777777" w:rsidR="00A76DD4" w:rsidRPr="006969B3" w:rsidRDefault="00A76DD4" w:rsidP="00F65283">
      <w:pPr>
        <w:pStyle w:val="NormalWeb"/>
        <w:spacing w:before="0" w:beforeAutospacing="0" w:after="0" w:afterAutospacing="0"/>
        <w:jc w:val="both"/>
        <w:rPr>
          <w:rStyle w:val="baj"/>
          <w:rFonts w:ascii="Arial" w:hAnsi="Arial" w:cs="Arial"/>
          <w:sz w:val="22"/>
          <w:szCs w:val="22"/>
          <w:lang w:val="es-CO"/>
        </w:rPr>
      </w:pPr>
    </w:p>
    <w:p w14:paraId="4AD98D7F" w14:textId="73D22553"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TRANSITORIO.</w:t>
      </w:r>
      <w:r w:rsidRPr="006969B3">
        <w:rPr>
          <w:rFonts w:ascii="Arial" w:hAnsi="Arial" w:cs="Arial"/>
          <w:sz w:val="22"/>
          <w:szCs w:val="22"/>
          <w:lang w:val="es-CO"/>
        </w:rPr>
        <w:t xml:space="preserve"> Para efectos de financiar el pago de las sanciones por mora a cargo Fondo Nacional de Prestaciones Sociales del Magisterio causadas a diciembre de 2019, facúltese al Ministerio de Hacienda y Crédito Público para emitir Títulos de Tesorería que serán administrados por una o varias sociedades fiduciarias públicas; así mismo, el Ministerio de Hacienda y Crédito Público definirá la operación, las reglas de negociación y pago de </w:t>
      </w:r>
      <w:proofErr w:type="gramStart"/>
      <w:r w:rsidRPr="006969B3">
        <w:rPr>
          <w:rFonts w:ascii="Arial" w:hAnsi="Arial" w:cs="Arial"/>
          <w:sz w:val="22"/>
          <w:szCs w:val="22"/>
          <w:lang w:val="es-CO"/>
        </w:rPr>
        <w:t>los mismos</w:t>
      </w:r>
      <w:proofErr w:type="gramEnd"/>
      <w:r w:rsidRPr="006969B3">
        <w:rPr>
          <w:rFonts w:ascii="Arial" w:hAnsi="Arial" w:cs="Arial"/>
          <w:sz w:val="22"/>
          <w:szCs w:val="22"/>
          <w:lang w:val="es-CO"/>
        </w:rPr>
        <w:t>. El Consejo Directivo del FOMAG efectuará la adición presupuestal de los recursos de los que trata el presente parágrafo.</w:t>
      </w:r>
    </w:p>
    <w:p w14:paraId="241DCB17"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1716247F" w14:textId="751AE706"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 emisión de bonos o títulos no implica operación presupuestal alguna y solo debe presupuestarse para efectos de su redención.</w:t>
      </w:r>
    </w:p>
    <w:p w14:paraId="4782CA11" w14:textId="671D9646" w:rsidR="00932193" w:rsidRPr="006969B3" w:rsidRDefault="00932193" w:rsidP="00F65283">
      <w:pPr>
        <w:spacing w:after="0" w:line="240" w:lineRule="auto"/>
        <w:rPr>
          <w:rFonts w:ascii="Arial" w:hAnsi="Arial" w:cs="Arial"/>
          <w:lang w:val="es-CO"/>
        </w:rPr>
      </w:pPr>
    </w:p>
    <w:p w14:paraId="7F8ED546" w14:textId="388E5A9B" w:rsidR="00932193" w:rsidRPr="006969B3" w:rsidRDefault="00932193" w:rsidP="00F65283">
      <w:pPr>
        <w:pStyle w:val="NormalWeb"/>
        <w:spacing w:before="0" w:beforeAutospacing="0" w:after="0" w:afterAutospacing="0"/>
        <w:jc w:val="both"/>
        <w:rPr>
          <w:rFonts w:ascii="Arial" w:hAnsi="Arial" w:cs="Arial"/>
          <w:sz w:val="22"/>
          <w:szCs w:val="22"/>
          <w:lang w:val="es-CO"/>
        </w:rPr>
      </w:pPr>
      <w:bookmarkStart w:id="68" w:name="58"/>
      <w:r w:rsidRPr="006969B3">
        <w:rPr>
          <w:rFonts w:ascii="Arial" w:hAnsi="Arial" w:cs="Arial"/>
          <w:sz w:val="22"/>
          <w:szCs w:val="22"/>
          <w:lang w:val="es-CO"/>
        </w:rPr>
        <w:t>ARTÍCULO 58. PROHIBICIÓN DE TRANSFERENCIAS Y LIQUIDACIÓN DE EMPRESAS INEFICIENTES.</w:t>
      </w:r>
      <w:bookmarkEnd w:id="68"/>
      <w:r w:rsidRPr="006969B3">
        <w:rPr>
          <w:rFonts w:ascii="Arial" w:hAnsi="Arial" w:cs="Arial"/>
          <w:sz w:val="22"/>
          <w:szCs w:val="22"/>
          <w:lang w:val="es-CO"/>
        </w:rPr>
        <w:t> Adiciónese el siguiente parágrafo al artículo</w:t>
      </w:r>
      <w:r w:rsidR="006713AB">
        <w:rPr>
          <w:rFonts w:ascii="Arial" w:hAnsi="Arial" w:cs="Arial"/>
          <w:sz w:val="22"/>
          <w:szCs w:val="22"/>
          <w:lang w:val="es-CO"/>
        </w:rPr>
        <w:t xml:space="preserve"> 14</w:t>
      </w:r>
      <w:r w:rsidRPr="006969B3">
        <w:rPr>
          <w:rFonts w:ascii="Arial" w:hAnsi="Arial" w:cs="Arial"/>
          <w:sz w:val="22"/>
          <w:szCs w:val="22"/>
          <w:lang w:val="es-CO"/>
        </w:rPr>
        <w:t> de la Ley 617 de 2000:</w:t>
      </w:r>
    </w:p>
    <w:p w14:paraId="5B58FB5F" w14:textId="77777777" w:rsidR="00A76DD4" w:rsidRPr="006969B3" w:rsidRDefault="00A76DD4" w:rsidP="00F65283">
      <w:pPr>
        <w:pStyle w:val="NormalWeb"/>
        <w:spacing w:before="0" w:beforeAutospacing="0" w:after="0" w:afterAutospacing="0"/>
        <w:jc w:val="both"/>
        <w:rPr>
          <w:rStyle w:val="baj"/>
          <w:rFonts w:ascii="Arial" w:hAnsi="Arial" w:cs="Arial"/>
          <w:sz w:val="22"/>
          <w:szCs w:val="22"/>
          <w:lang w:val="es-CO"/>
        </w:rPr>
      </w:pPr>
    </w:p>
    <w:p w14:paraId="2598DC3C" w14:textId="27D96DE0"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Las entidades territoriales podrán incluir dentro de sus planes de inversión, partidas destinadas a fortalecer la reserva técnica de las empresas operadoras de juegos de lotería tradicional o de billetes. También podrán hacerlo para el desarrollo e implementación de un plan de desempeño y/o estrategia comercial; el cual deberá contar con la aprobación previa del Consejo Nacional de juegos de Suerte y Azar, en el que se determinará la viabilidad de la empresa y la rentabilidad de la inversión.</w:t>
      </w:r>
    </w:p>
    <w:p w14:paraId="7445C2BC" w14:textId="2604F937" w:rsidR="00932193" w:rsidRPr="006969B3" w:rsidRDefault="00932193" w:rsidP="00F65283">
      <w:pPr>
        <w:spacing w:after="0" w:line="240" w:lineRule="auto"/>
        <w:rPr>
          <w:rFonts w:ascii="Arial" w:hAnsi="Arial" w:cs="Arial"/>
          <w:lang w:val="es-CO"/>
        </w:rPr>
      </w:pPr>
    </w:p>
    <w:p w14:paraId="334C9771" w14:textId="6E61BA7C" w:rsidR="00932193" w:rsidRPr="006969B3" w:rsidRDefault="00932193" w:rsidP="00F65283">
      <w:pPr>
        <w:pStyle w:val="NormalWeb"/>
        <w:spacing w:before="0" w:beforeAutospacing="0" w:after="0" w:afterAutospacing="0"/>
        <w:jc w:val="both"/>
        <w:rPr>
          <w:rFonts w:ascii="Arial" w:hAnsi="Arial" w:cs="Arial"/>
          <w:sz w:val="22"/>
          <w:szCs w:val="22"/>
          <w:lang w:val="es-CO"/>
        </w:rPr>
      </w:pPr>
      <w:bookmarkStart w:id="69" w:name="59"/>
      <w:r w:rsidRPr="006969B3">
        <w:rPr>
          <w:rFonts w:ascii="Arial" w:hAnsi="Arial" w:cs="Arial"/>
          <w:sz w:val="22"/>
          <w:szCs w:val="22"/>
          <w:lang w:val="es-CO"/>
        </w:rPr>
        <w:t>ARTÍCULO 59. CONDICIONES DE OPERACIÓN EN LÍNEA Y EN TIEMPO REAL DE LOS JUEGOS LOCALIZADOS.</w:t>
      </w:r>
      <w:bookmarkEnd w:id="69"/>
      <w:r w:rsidRPr="006969B3">
        <w:rPr>
          <w:rFonts w:ascii="Arial" w:hAnsi="Arial" w:cs="Arial"/>
          <w:sz w:val="22"/>
          <w:szCs w:val="22"/>
          <w:lang w:val="es-CO"/>
        </w:rPr>
        <w:t> Modifíquese el artículo</w:t>
      </w:r>
      <w:r w:rsidR="006713AB">
        <w:rPr>
          <w:rFonts w:ascii="Arial" w:hAnsi="Arial" w:cs="Arial"/>
          <w:sz w:val="22"/>
          <w:szCs w:val="22"/>
          <w:lang w:val="es-CO"/>
        </w:rPr>
        <w:t xml:space="preserve"> 14</w:t>
      </w:r>
      <w:r w:rsidRPr="006969B3">
        <w:rPr>
          <w:rFonts w:ascii="Arial" w:hAnsi="Arial" w:cs="Arial"/>
          <w:sz w:val="22"/>
          <w:szCs w:val="22"/>
          <w:lang w:val="es-CO"/>
        </w:rPr>
        <w:t> de la Ley 1393 de 2010, el cual quedará así:</w:t>
      </w:r>
    </w:p>
    <w:p w14:paraId="2A69A7F6"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1C5A8852" w14:textId="137EED1E"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w:t>
      </w:r>
      <w:r w:rsidR="00F17158">
        <w:rPr>
          <w:rFonts w:ascii="Arial" w:hAnsi="Arial" w:cs="Arial"/>
          <w:sz w:val="22"/>
          <w:szCs w:val="22"/>
          <w:lang w:val="es-CO"/>
        </w:rPr>
        <w:t xml:space="preserve"> 14</w:t>
      </w:r>
      <w:r w:rsidRPr="006969B3">
        <w:rPr>
          <w:rFonts w:ascii="Arial" w:hAnsi="Arial" w:cs="Arial"/>
          <w:sz w:val="22"/>
          <w:szCs w:val="22"/>
          <w:lang w:val="es-CO"/>
        </w:rPr>
        <w:t>. Condiciones de operación en línea y en tiempo real de los juegos localizados. Los operadores de Juegos de Suerte y Azar Localizados que cumplan con las condiciones de conectividad y confiabilidad Restablecidos por la entidad administradora del monopolio pagarán a título de derecho de explotación el doce por ciento (12%) sobre los Ingresos brutos menos el monto de los premios pagados calculados sobre la totalidad de los elementos de juego autorizados en el contrato de concesión.</w:t>
      </w:r>
    </w:p>
    <w:p w14:paraId="373FDF98"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582C6317" w14:textId="3162D2DB"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Una vez dispuesta la obligación de conectividad, se presumirá ilegal la máquina que no lo esté y además de las sanciones por ilegalidad correspondiente, será objeto del respectivo decomiso.</w:t>
      </w:r>
    </w:p>
    <w:p w14:paraId="40F27AEE" w14:textId="77777777" w:rsidR="00A76DD4" w:rsidRPr="006969B3" w:rsidRDefault="00A76DD4" w:rsidP="00F65283">
      <w:pPr>
        <w:pStyle w:val="NormalWeb"/>
        <w:spacing w:before="0" w:beforeAutospacing="0" w:after="0" w:afterAutospacing="0"/>
        <w:jc w:val="both"/>
        <w:rPr>
          <w:rStyle w:val="baj"/>
          <w:rFonts w:ascii="Arial" w:hAnsi="Arial" w:cs="Arial"/>
          <w:sz w:val="22"/>
          <w:szCs w:val="22"/>
          <w:lang w:val="es-CO"/>
        </w:rPr>
      </w:pPr>
    </w:p>
    <w:p w14:paraId="39E25720" w14:textId="325D50D3"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Entiéndase por ingresos brutos la totalidad del valor registrado en el contador de entrada de las máquinas del contrato de concesión.</w:t>
      </w:r>
    </w:p>
    <w:p w14:paraId="3B354470" w14:textId="77777777"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Para el caso de Bingos, los ingresos brutos son el total del valor de los cartones vendidos en el periodo de liquidación.</w:t>
      </w:r>
    </w:p>
    <w:p w14:paraId="74F5CE3B" w14:textId="77777777" w:rsidR="001B0E49" w:rsidRDefault="001B0E49" w:rsidP="00F65283">
      <w:pPr>
        <w:pStyle w:val="NormalWeb"/>
        <w:spacing w:before="0" w:beforeAutospacing="0" w:after="0" w:afterAutospacing="0"/>
        <w:jc w:val="both"/>
        <w:rPr>
          <w:rStyle w:val="baj"/>
          <w:rFonts w:ascii="Arial" w:hAnsi="Arial" w:cs="Arial"/>
          <w:sz w:val="22"/>
          <w:szCs w:val="22"/>
          <w:lang w:val="es-CO"/>
        </w:rPr>
      </w:pPr>
    </w:p>
    <w:p w14:paraId="058F400D" w14:textId="0C8C145C"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En ningún caso el impuesto del IVA formará parte de la base para el cálculo de los derechos de explotación previstos en el siguiente artículo.</w:t>
      </w:r>
    </w:p>
    <w:p w14:paraId="6398F183" w14:textId="2871A15D" w:rsidR="00932193" w:rsidRPr="006969B3" w:rsidRDefault="00932193" w:rsidP="00F65283">
      <w:pPr>
        <w:spacing w:after="0" w:line="240" w:lineRule="auto"/>
        <w:rPr>
          <w:rFonts w:ascii="Arial" w:hAnsi="Arial" w:cs="Arial"/>
          <w:lang w:val="es-CO"/>
        </w:rPr>
      </w:pPr>
    </w:p>
    <w:p w14:paraId="7D7610AB" w14:textId="5351D7D2" w:rsidR="00932193" w:rsidRPr="006969B3" w:rsidRDefault="00932193" w:rsidP="00F65283">
      <w:pPr>
        <w:pStyle w:val="NormalWeb"/>
        <w:spacing w:before="0" w:beforeAutospacing="0" w:after="0" w:afterAutospacing="0"/>
        <w:jc w:val="both"/>
        <w:rPr>
          <w:rFonts w:ascii="Arial" w:hAnsi="Arial" w:cs="Arial"/>
          <w:sz w:val="22"/>
          <w:szCs w:val="22"/>
          <w:lang w:val="es-CO"/>
        </w:rPr>
      </w:pPr>
      <w:bookmarkStart w:id="70" w:name="60"/>
      <w:r w:rsidRPr="006969B3">
        <w:rPr>
          <w:rFonts w:ascii="Arial" w:hAnsi="Arial" w:cs="Arial"/>
          <w:sz w:val="22"/>
          <w:szCs w:val="22"/>
          <w:lang w:val="es-CO"/>
        </w:rPr>
        <w:t>ARTÍCULO 60. PLAN DE PREMIOS Y RENTABILIDAD MÍNIMA ANUAL.</w:t>
      </w:r>
      <w:bookmarkEnd w:id="70"/>
      <w:r w:rsidRPr="006969B3">
        <w:rPr>
          <w:rFonts w:ascii="Arial" w:hAnsi="Arial" w:cs="Arial"/>
          <w:sz w:val="22"/>
          <w:szCs w:val="22"/>
          <w:lang w:val="es-CO"/>
        </w:rPr>
        <w:t> Modifíquese el artículo</w:t>
      </w:r>
      <w:r w:rsidR="00385E8F">
        <w:rPr>
          <w:rFonts w:ascii="Arial" w:hAnsi="Arial" w:cs="Arial"/>
          <w:sz w:val="22"/>
          <w:szCs w:val="22"/>
          <w:lang w:val="es-CO"/>
        </w:rPr>
        <w:t xml:space="preserve"> 24</w:t>
      </w:r>
      <w:r w:rsidRPr="006969B3">
        <w:rPr>
          <w:rFonts w:ascii="Arial" w:hAnsi="Arial" w:cs="Arial"/>
          <w:sz w:val="22"/>
          <w:szCs w:val="22"/>
          <w:lang w:val="es-CO"/>
        </w:rPr>
        <w:t> de la Ley 643 de 2001, el cual quedará así:</w:t>
      </w:r>
    </w:p>
    <w:p w14:paraId="60DEFEA9"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356A6768" w14:textId="59028CBE"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w:t>
      </w:r>
      <w:r w:rsidR="00385E8F">
        <w:rPr>
          <w:rFonts w:ascii="Arial" w:hAnsi="Arial" w:cs="Arial"/>
          <w:sz w:val="22"/>
          <w:szCs w:val="22"/>
          <w:lang w:val="es-CO"/>
        </w:rPr>
        <w:t xml:space="preserve"> 24</w:t>
      </w:r>
      <w:r w:rsidRPr="006969B3">
        <w:rPr>
          <w:rFonts w:ascii="Arial" w:hAnsi="Arial" w:cs="Arial"/>
          <w:sz w:val="22"/>
          <w:szCs w:val="22"/>
          <w:lang w:val="es-CO"/>
        </w:rPr>
        <w:t>. Plan de Premios y Rentabilidad Mínima Anual. El Gobierno nacional fijará la estructura del plan de premios del juego de apuestas permanentes o chance que regirá en todo el país.</w:t>
      </w:r>
    </w:p>
    <w:p w14:paraId="2D778B97"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4E0DE137" w14:textId="0A85FDD9"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La rentabilidad mínima anual del juego de chance para cada </w:t>
      </w:r>
      <w:proofErr w:type="gramStart"/>
      <w:r w:rsidRPr="006969B3">
        <w:rPr>
          <w:rFonts w:ascii="Arial" w:hAnsi="Arial" w:cs="Arial"/>
          <w:sz w:val="22"/>
          <w:szCs w:val="22"/>
          <w:lang w:val="es-CO"/>
        </w:rPr>
        <w:t>concesionario,</w:t>
      </w:r>
      <w:proofErr w:type="gramEnd"/>
      <w:r w:rsidRPr="006969B3">
        <w:rPr>
          <w:rFonts w:ascii="Arial" w:hAnsi="Arial" w:cs="Arial"/>
          <w:sz w:val="22"/>
          <w:szCs w:val="22"/>
          <w:lang w:val="es-CO"/>
        </w:rPr>
        <w:t xml:space="preserve"> será el valor pagado por concepto de derechos de explotación en el año inmediatamente anterior, para lo cual, la única referencia son los ingresos brutos del juego.</w:t>
      </w:r>
    </w:p>
    <w:p w14:paraId="51682FFE" w14:textId="77777777" w:rsidR="00FE0478" w:rsidRPr="006969B3" w:rsidRDefault="00FE0478" w:rsidP="00F65283">
      <w:pPr>
        <w:pStyle w:val="NormalWeb"/>
        <w:spacing w:before="0" w:beforeAutospacing="0" w:after="0" w:afterAutospacing="0"/>
        <w:jc w:val="both"/>
        <w:rPr>
          <w:rFonts w:ascii="Arial" w:hAnsi="Arial" w:cs="Arial"/>
          <w:sz w:val="22"/>
          <w:szCs w:val="22"/>
          <w:lang w:val="es-CO"/>
        </w:rPr>
      </w:pPr>
    </w:p>
    <w:p w14:paraId="0585CC0F" w14:textId="77777777"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Para los pliegos de condiciones, la legalización y la tasación de las garantías anuales de los contratos de concesión, el valor contractual será el 12% de los ingresos brutos del juego de chance de los últimos 5 años. La garantía de cumplimiento se constituirá por los concesionarios, por períodos sucesivos de un (1) año durante la vigencia de los contratos de concesión, con base en el valor del contrato por cada año, con la obligación de obtener </w:t>
      </w:r>
      <w:r w:rsidRPr="006969B3">
        <w:rPr>
          <w:rFonts w:ascii="Arial" w:hAnsi="Arial" w:cs="Arial"/>
          <w:sz w:val="22"/>
          <w:szCs w:val="22"/>
          <w:lang w:val="es-CO"/>
        </w:rPr>
        <w:lastRenderedPageBreak/>
        <w:t>la correspondiente prórroga con anticipación al vencimiento de la garantía en la etapa respectiva.</w:t>
      </w:r>
    </w:p>
    <w:p w14:paraId="55183826"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78F1FD17" w14:textId="65DC7242"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Cuando el monto de los derechos de explotación, de un año, resulte inferior al valor absoluto pagado durante el año inmediatamente anterior, el concesionario estará obligado al pago de la diferencia a título de compensación contractual.</w:t>
      </w:r>
    </w:p>
    <w:p w14:paraId="70A94DC4"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76874A8C" w14:textId="4B0096E3"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No habrá lugar a conceptos, ni actos administrativos que varíen los derechos de explotación, la rentabilidad mínima ni el valor de los contratos.</w:t>
      </w:r>
    </w:p>
    <w:p w14:paraId="26C95D54"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bookmarkStart w:id="71" w:name="61"/>
    </w:p>
    <w:p w14:paraId="26F51E0C" w14:textId="29C5DB54"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61. PROHIBICIÓN DE GRAVAR EL MONOPOLIO RENTÍSTICO.</w:t>
      </w:r>
      <w:bookmarkEnd w:id="71"/>
      <w:r w:rsidRPr="006969B3">
        <w:rPr>
          <w:rFonts w:ascii="Arial" w:hAnsi="Arial" w:cs="Arial"/>
          <w:sz w:val="22"/>
          <w:szCs w:val="22"/>
          <w:lang w:val="es-CO"/>
        </w:rPr>
        <w:t> Modifíquese el artículo</w:t>
      </w:r>
      <w:r w:rsidR="006713AB">
        <w:rPr>
          <w:rFonts w:ascii="Arial" w:hAnsi="Arial" w:cs="Arial"/>
          <w:sz w:val="22"/>
          <w:szCs w:val="22"/>
          <w:lang w:val="es-CO"/>
        </w:rPr>
        <w:t xml:space="preserve"> 49</w:t>
      </w:r>
      <w:r w:rsidRPr="006969B3">
        <w:rPr>
          <w:rFonts w:ascii="Arial" w:hAnsi="Arial" w:cs="Arial"/>
          <w:sz w:val="22"/>
          <w:szCs w:val="22"/>
          <w:lang w:val="es-CO"/>
        </w:rPr>
        <w:t> de la Ley 643 de 2001, el cual quedará así:</w:t>
      </w:r>
    </w:p>
    <w:p w14:paraId="3998D6CB"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248E7F3D" w14:textId="76B93E89"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w:t>
      </w:r>
      <w:r w:rsidR="00385E8F">
        <w:rPr>
          <w:rFonts w:ascii="Arial" w:hAnsi="Arial" w:cs="Arial"/>
          <w:sz w:val="22"/>
          <w:szCs w:val="22"/>
          <w:lang w:val="es-CO"/>
        </w:rPr>
        <w:t xml:space="preserve"> 49</w:t>
      </w:r>
      <w:r w:rsidRPr="006969B3">
        <w:rPr>
          <w:rFonts w:ascii="Arial" w:hAnsi="Arial" w:cs="Arial"/>
          <w:sz w:val="22"/>
          <w:szCs w:val="22"/>
          <w:lang w:val="es-CO"/>
        </w:rPr>
        <w:t>. Prohibición de gravar el monopolio rentístico. En las concesiones o autorizaciones para operar juegos de suerte y azar, en las cuales el precio pagado por el aportador incluye el IVA, de pleno derecho, se efectuará el ajuste del valor del contrato respectivo en caso de incremento en la tarifa de este impuesto.</w:t>
      </w:r>
    </w:p>
    <w:p w14:paraId="1E28CDE7"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09B40894" w14:textId="3774FD5E"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 suscripción, ejecución y liquidación de los contratos para la operación de todas las modalidades de juegos de suerte y azar, los puntos de venta, las agencias, establecimientos de comercio donde ellos operan, los premios y, en general todos los actos de la operación comercial de la actividad de juegos de suerte y azar, no pueden estas gravados con ningún impuesto directo o indirecto, tasas, contribuciones fiscales o parafiscales, estampillas, ni tarifas diferenciales por concepto de impuestos de carácter municipal, distrital o departamental.</w:t>
      </w:r>
    </w:p>
    <w:p w14:paraId="5AB9B8D5" w14:textId="1E6FC6B9" w:rsidR="00932193" w:rsidRPr="006969B3" w:rsidRDefault="00932193" w:rsidP="00F65283">
      <w:pPr>
        <w:spacing w:after="0" w:line="240" w:lineRule="auto"/>
        <w:rPr>
          <w:rFonts w:ascii="Arial" w:hAnsi="Arial" w:cs="Arial"/>
          <w:lang w:val="es-CO"/>
        </w:rPr>
      </w:pPr>
    </w:p>
    <w:p w14:paraId="21F49D85" w14:textId="267BE309" w:rsidR="00932193" w:rsidRDefault="00932193" w:rsidP="00F65283">
      <w:pPr>
        <w:pStyle w:val="NormalWeb"/>
        <w:spacing w:before="0" w:beforeAutospacing="0" w:after="0" w:afterAutospacing="0"/>
        <w:jc w:val="both"/>
        <w:rPr>
          <w:rFonts w:ascii="Arial" w:hAnsi="Arial" w:cs="Arial"/>
          <w:sz w:val="22"/>
          <w:szCs w:val="22"/>
          <w:lang w:val="es-CO"/>
        </w:rPr>
      </w:pPr>
      <w:bookmarkStart w:id="72" w:name="62"/>
      <w:r w:rsidRPr="006969B3">
        <w:rPr>
          <w:rFonts w:ascii="Arial" w:hAnsi="Arial" w:cs="Arial"/>
          <w:sz w:val="22"/>
          <w:szCs w:val="22"/>
          <w:lang w:val="es-CO"/>
        </w:rPr>
        <w:t>ARTÍCULO 62. CRÉDITOS DE TESORERÍA DE CORTO PLAZO.</w:t>
      </w:r>
      <w:bookmarkEnd w:id="72"/>
      <w:r w:rsidRPr="006969B3">
        <w:rPr>
          <w:rFonts w:ascii="Arial" w:hAnsi="Arial" w:cs="Arial"/>
          <w:sz w:val="22"/>
          <w:szCs w:val="22"/>
          <w:lang w:val="es-CO"/>
        </w:rPr>
        <w:t> En las Empresas Industriales y Comerciales del Estado y en las Sociedades de Economía Mixta que tengan régimen de Empresa Industrial y Comercial del Estado, que desarrollen su objeto social en mercados en competencia, y que tengan una calificación de crédito mínimo de A+ (Col) podrán celebrar créditos de tesorería de corto plazo previa aprobación de su Junta Directiva, sin superar el 10% de los ingresos de explotación de la vigencia en curso y sin requerirse concepto de otro órgano y entidad.</w:t>
      </w:r>
    </w:p>
    <w:p w14:paraId="79C1889D" w14:textId="77777777" w:rsidR="006713AB" w:rsidRPr="006969B3" w:rsidRDefault="006713AB" w:rsidP="00F65283">
      <w:pPr>
        <w:pStyle w:val="NormalWeb"/>
        <w:spacing w:before="0" w:beforeAutospacing="0" w:after="0" w:afterAutospacing="0"/>
        <w:jc w:val="both"/>
        <w:rPr>
          <w:rFonts w:ascii="Arial" w:hAnsi="Arial" w:cs="Arial"/>
          <w:sz w:val="22"/>
          <w:szCs w:val="22"/>
          <w:lang w:val="es-CO"/>
        </w:rPr>
      </w:pPr>
    </w:p>
    <w:p w14:paraId="404BBE80" w14:textId="77777777"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xml:space="preserve"> Los créditos de tesorería de corto </w:t>
      </w:r>
      <w:proofErr w:type="gramStart"/>
      <w:r w:rsidRPr="006969B3">
        <w:rPr>
          <w:rFonts w:ascii="Arial" w:hAnsi="Arial" w:cs="Arial"/>
          <w:sz w:val="22"/>
          <w:szCs w:val="22"/>
          <w:lang w:val="es-CO"/>
        </w:rPr>
        <w:t>plazo,</w:t>
      </w:r>
      <w:proofErr w:type="gramEnd"/>
      <w:r w:rsidRPr="006969B3">
        <w:rPr>
          <w:rFonts w:ascii="Arial" w:hAnsi="Arial" w:cs="Arial"/>
          <w:sz w:val="22"/>
          <w:szCs w:val="22"/>
          <w:lang w:val="es-CO"/>
        </w:rPr>
        <w:t xml:space="preserve"> no servirán para modificar el presupuesto de la vigencia en curso, ni para soportar adiciones al presupuesto de gastos.</w:t>
      </w:r>
    </w:p>
    <w:p w14:paraId="34D7FD68" w14:textId="41277CB3" w:rsidR="00932193" w:rsidRPr="006969B3" w:rsidRDefault="00932193" w:rsidP="00F65283">
      <w:pPr>
        <w:spacing w:after="0" w:line="240" w:lineRule="auto"/>
        <w:rPr>
          <w:rFonts w:ascii="Arial" w:hAnsi="Arial" w:cs="Arial"/>
          <w:lang w:val="es-CO"/>
        </w:rPr>
      </w:pPr>
    </w:p>
    <w:p w14:paraId="5D214E81" w14:textId="003023FC" w:rsidR="00932193" w:rsidRPr="006969B3" w:rsidRDefault="00932193" w:rsidP="00F65283">
      <w:pPr>
        <w:pStyle w:val="NormalWeb"/>
        <w:spacing w:before="0" w:beforeAutospacing="0" w:after="0" w:afterAutospacing="0"/>
        <w:jc w:val="both"/>
        <w:rPr>
          <w:rFonts w:ascii="Arial" w:hAnsi="Arial" w:cs="Arial"/>
          <w:sz w:val="22"/>
          <w:szCs w:val="22"/>
          <w:lang w:val="es-CO"/>
        </w:rPr>
      </w:pPr>
      <w:bookmarkStart w:id="73" w:name="63"/>
      <w:r w:rsidRPr="006969B3">
        <w:rPr>
          <w:rFonts w:ascii="Arial" w:hAnsi="Arial" w:cs="Arial"/>
          <w:sz w:val="22"/>
          <w:szCs w:val="22"/>
          <w:lang w:val="es-CO"/>
        </w:rPr>
        <w:t>ARTÍCULO 63. OPERACIONES FINAGRO.</w:t>
      </w:r>
      <w:bookmarkEnd w:id="73"/>
      <w:r w:rsidRPr="006969B3">
        <w:rPr>
          <w:rFonts w:ascii="Arial" w:hAnsi="Arial" w:cs="Arial"/>
          <w:sz w:val="22"/>
          <w:szCs w:val="22"/>
          <w:lang w:val="es-CO"/>
        </w:rPr>
        <w:t> Adiciónese los numerales 6 y 7 al artículo 10 de la Ley 16 de 1990 modificado por el artículo</w:t>
      </w:r>
      <w:r w:rsidR="00385E8F">
        <w:rPr>
          <w:rFonts w:ascii="Arial" w:hAnsi="Arial" w:cs="Arial"/>
          <w:sz w:val="22"/>
          <w:szCs w:val="22"/>
          <w:lang w:val="es-CO"/>
        </w:rPr>
        <w:t xml:space="preserve"> 4o</w:t>
      </w:r>
      <w:r w:rsidRPr="006969B3">
        <w:rPr>
          <w:rFonts w:ascii="Arial" w:hAnsi="Arial" w:cs="Arial"/>
          <w:sz w:val="22"/>
          <w:szCs w:val="22"/>
          <w:lang w:val="es-CO"/>
        </w:rPr>
        <w:t> del Decreto 2371 de 2015 e incorporado en el artículo </w:t>
      </w:r>
      <w:r w:rsidR="006713AB">
        <w:rPr>
          <w:rFonts w:ascii="Arial" w:hAnsi="Arial" w:cs="Arial"/>
          <w:sz w:val="22"/>
          <w:szCs w:val="22"/>
          <w:lang w:val="es-CO"/>
        </w:rPr>
        <w:t>230</w:t>
      </w:r>
      <w:r w:rsidRPr="006969B3">
        <w:rPr>
          <w:rFonts w:ascii="Arial" w:hAnsi="Arial" w:cs="Arial"/>
          <w:sz w:val="22"/>
          <w:szCs w:val="22"/>
          <w:lang w:val="es-CO"/>
        </w:rPr>
        <w:t> del Estatuto Orgánico del Sistema financiero, el cual quedará así:</w:t>
      </w:r>
    </w:p>
    <w:p w14:paraId="301EBDA3"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61CD8EE4" w14:textId="22E7C289"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6. Transferir recursos al fondo de microfinanzas rurales hasta en un 20% de su patrimonio técnico conforme a las directrices de su junta directiva.</w:t>
      </w:r>
    </w:p>
    <w:p w14:paraId="7D8FB217"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25EFAD7A" w14:textId="265DF513"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7. Realizar operaciones de redescuento con entidades microfinancieras no vigiladas por la Superintendencia Financiera de Colombia, sujeto a los límites aplicables a las cooperativas de ahorro y crédito vigiladas por la superintendencia de economía solidaria y a los límites aplicables a las cooperativas de ahorro y crédito vigiladas por la Superintendencia de Economía Solidaria y a las operaciones que en desarrollo de este artículo reglamente la Comisión Nacional de Crédito Agropecuario. La junta directiva de FINAGRO autorizará los </w:t>
      </w:r>
      <w:r w:rsidRPr="006969B3">
        <w:rPr>
          <w:rFonts w:ascii="Arial" w:hAnsi="Arial" w:cs="Arial"/>
          <w:sz w:val="22"/>
          <w:szCs w:val="22"/>
          <w:lang w:val="es-CO"/>
        </w:rPr>
        <w:lastRenderedPageBreak/>
        <w:t>cupos a cada entidad precio estudios de riesgos realizados por FINAGRO a cada entidad no vigilada.</w:t>
      </w:r>
    </w:p>
    <w:p w14:paraId="76DEE354" w14:textId="0CB0148B" w:rsidR="00932193" w:rsidRPr="006969B3" w:rsidRDefault="00932193" w:rsidP="00F65283">
      <w:pPr>
        <w:spacing w:after="0" w:line="240" w:lineRule="auto"/>
        <w:rPr>
          <w:rFonts w:ascii="Arial" w:hAnsi="Arial" w:cs="Arial"/>
          <w:lang w:val="es-CO"/>
        </w:rPr>
      </w:pPr>
    </w:p>
    <w:p w14:paraId="5FC40EB1" w14:textId="5FBE0B92" w:rsidR="00932193" w:rsidRPr="006969B3" w:rsidRDefault="00932193" w:rsidP="00F65283">
      <w:pPr>
        <w:pStyle w:val="NormalWeb"/>
        <w:spacing w:before="0" w:beforeAutospacing="0" w:after="0" w:afterAutospacing="0"/>
        <w:jc w:val="both"/>
        <w:rPr>
          <w:rFonts w:ascii="Arial" w:hAnsi="Arial" w:cs="Arial"/>
          <w:sz w:val="22"/>
          <w:szCs w:val="22"/>
          <w:lang w:val="es-CO"/>
        </w:rPr>
      </w:pPr>
      <w:bookmarkStart w:id="74" w:name="64"/>
      <w:r w:rsidRPr="006969B3">
        <w:rPr>
          <w:rFonts w:ascii="Arial" w:hAnsi="Arial" w:cs="Arial"/>
          <w:sz w:val="22"/>
          <w:szCs w:val="22"/>
          <w:lang w:val="es-CO"/>
        </w:rPr>
        <w:t>ARTÍCULO 64. RENTAS EXENTAS A PARTIR DEL AÑO GRAVABLE 2019.</w:t>
      </w:r>
      <w:bookmarkEnd w:id="74"/>
      <w:r w:rsidRPr="006969B3">
        <w:rPr>
          <w:rFonts w:ascii="Arial" w:hAnsi="Arial" w:cs="Arial"/>
          <w:sz w:val="22"/>
          <w:szCs w:val="22"/>
          <w:lang w:val="es-CO"/>
        </w:rPr>
        <w:t> Interprétese con autoridad el primer inciso del artículo</w:t>
      </w:r>
      <w:r w:rsidR="00DE49E9">
        <w:rPr>
          <w:rFonts w:ascii="Arial" w:hAnsi="Arial" w:cs="Arial"/>
          <w:sz w:val="22"/>
          <w:szCs w:val="22"/>
          <w:lang w:val="es-CO"/>
        </w:rPr>
        <w:t xml:space="preserve"> 235-2</w:t>
      </w:r>
      <w:r w:rsidRPr="006969B3">
        <w:rPr>
          <w:rFonts w:ascii="Arial" w:hAnsi="Arial" w:cs="Arial"/>
          <w:sz w:val="22"/>
          <w:szCs w:val="22"/>
          <w:lang w:val="es-CO"/>
        </w:rPr>
        <w:t> del Estatuto Tributario, modificado por el artículo</w:t>
      </w:r>
      <w:r w:rsidR="00DE49E9">
        <w:rPr>
          <w:rFonts w:ascii="Arial" w:hAnsi="Arial" w:cs="Arial"/>
          <w:sz w:val="22"/>
          <w:szCs w:val="22"/>
          <w:lang w:val="es-CO"/>
        </w:rPr>
        <w:t xml:space="preserve"> 79</w:t>
      </w:r>
      <w:r w:rsidRPr="006969B3">
        <w:rPr>
          <w:rFonts w:ascii="Arial" w:hAnsi="Arial" w:cs="Arial"/>
          <w:sz w:val="22"/>
          <w:szCs w:val="22"/>
          <w:lang w:val="es-CO"/>
        </w:rPr>
        <w:t> de la Ley 1943 de 2018, y entiéndase que las rentas exentas de las personas naturales comprenden las de los artículos</w:t>
      </w:r>
      <w:r w:rsidR="00DE49E9">
        <w:rPr>
          <w:rFonts w:ascii="Arial" w:hAnsi="Arial" w:cs="Arial"/>
          <w:sz w:val="22"/>
          <w:szCs w:val="22"/>
          <w:lang w:val="es-CO"/>
        </w:rPr>
        <w:t xml:space="preserve"> 126-1</w:t>
      </w:r>
      <w:r w:rsidRPr="006969B3">
        <w:rPr>
          <w:rFonts w:ascii="Arial" w:hAnsi="Arial" w:cs="Arial"/>
          <w:sz w:val="22"/>
          <w:szCs w:val="22"/>
          <w:lang w:val="es-CO"/>
        </w:rPr>
        <w:t>, </w:t>
      </w:r>
      <w:r w:rsidR="00DE49E9">
        <w:rPr>
          <w:rFonts w:ascii="Arial" w:hAnsi="Arial" w:cs="Arial"/>
          <w:sz w:val="22"/>
          <w:szCs w:val="22"/>
          <w:lang w:val="es-CO"/>
        </w:rPr>
        <w:t>126-4</w:t>
      </w:r>
      <w:r w:rsidRPr="006969B3">
        <w:rPr>
          <w:rFonts w:ascii="Arial" w:hAnsi="Arial" w:cs="Arial"/>
          <w:sz w:val="22"/>
          <w:szCs w:val="22"/>
          <w:lang w:val="es-CO"/>
        </w:rPr>
        <w:t>,</w:t>
      </w:r>
      <w:r w:rsidR="00DE49E9">
        <w:rPr>
          <w:rFonts w:ascii="Arial" w:hAnsi="Arial" w:cs="Arial"/>
          <w:sz w:val="22"/>
          <w:szCs w:val="22"/>
          <w:lang w:val="es-CO"/>
        </w:rPr>
        <w:t xml:space="preserve"> 206</w:t>
      </w:r>
      <w:r w:rsidRPr="006969B3">
        <w:rPr>
          <w:rFonts w:ascii="Arial" w:hAnsi="Arial" w:cs="Arial"/>
          <w:sz w:val="22"/>
          <w:szCs w:val="22"/>
          <w:lang w:val="es-CO"/>
        </w:rPr>
        <w:t> y</w:t>
      </w:r>
      <w:r w:rsidR="00DE49E9">
        <w:rPr>
          <w:rFonts w:ascii="Arial" w:hAnsi="Arial" w:cs="Arial"/>
          <w:sz w:val="22"/>
          <w:szCs w:val="22"/>
          <w:lang w:val="es-CO"/>
        </w:rPr>
        <w:t xml:space="preserve"> 206-1</w:t>
      </w:r>
      <w:r w:rsidR="00DE49E9" w:rsidRPr="0074467C">
        <w:rPr>
          <w:lang w:val="es-CO"/>
        </w:rPr>
        <w:t xml:space="preserve"> </w:t>
      </w:r>
      <w:r w:rsidRPr="006969B3">
        <w:rPr>
          <w:rFonts w:ascii="Arial" w:hAnsi="Arial" w:cs="Arial"/>
          <w:sz w:val="22"/>
          <w:szCs w:val="22"/>
          <w:lang w:val="es-CO"/>
        </w:rPr>
        <w:t>del Estatuto Tributario y las reconocidas en convenios internacionales, desde el 1 de enero de 2019 inclusive.</w:t>
      </w:r>
    </w:p>
    <w:p w14:paraId="7F747BD5" w14:textId="5A10D975" w:rsidR="00932193" w:rsidRPr="006969B3" w:rsidRDefault="00932193" w:rsidP="00F65283">
      <w:pPr>
        <w:spacing w:after="0" w:line="240" w:lineRule="auto"/>
        <w:rPr>
          <w:rFonts w:ascii="Arial" w:hAnsi="Arial" w:cs="Arial"/>
          <w:lang w:val="es-CO"/>
        </w:rPr>
      </w:pPr>
    </w:p>
    <w:p w14:paraId="32BF8AEC" w14:textId="573834D9" w:rsidR="00932193" w:rsidRPr="006969B3" w:rsidRDefault="00932193" w:rsidP="00F65283">
      <w:pPr>
        <w:pStyle w:val="NormalWeb"/>
        <w:spacing w:before="0" w:beforeAutospacing="0" w:after="0" w:afterAutospacing="0"/>
        <w:jc w:val="both"/>
        <w:rPr>
          <w:rFonts w:ascii="Arial" w:hAnsi="Arial" w:cs="Arial"/>
          <w:sz w:val="22"/>
          <w:szCs w:val="22"/>
          <w:lang w:val="es-CO"/>
        </w:rPr>
      </w:pPr>
      <w:bookmarkStart w:id="75" w:name="65"/>
      <w:r w:rsidRPr="006969B3">
        <w:rPr>
          <w:rFonts w:ascii="Arial" w:hAnsi="Arial" w:cs="Arial"/>
          <w:sz w:val="22"/>
          <w:szCs w:val="22"/>
          <w:lang w:val="es-CO"/>
        </w:rPr>
        <w:t>ARTÍCULO 65. TARIFA ESPECIAL PARA DIVIDENDOS O PARTICIPACIONES RECIBIDAS POR SOCIEDADES NACIONALES.</w:t>
      </w:r>
      <w:bookmarkEnd w:id="75"/>
      <w:r w:rsidRPr="006969B3">
        <w:rPr>
          <w:rFonts w:ascii="Arial" w:hAnsi="Arial" w:cs="Arial"/>
          <w:sz w:val="22"/>
          <w:szCs w:val="22"/>
          <w:lang w:val="es-CO"/>
        </w:rPr>
        <w:t> Modificar el parágrafo 3 del artículo </w:t>
      </w:r>
      <w:r w:rsidR="00385E8F">
        <w:rPr>
          <w:rFonts w:ascii="Arial" w:hAnsi="Arial" w:cs="Arial"/>
          <w:sz w:val="22"/>
          <w:szCs w:val="22"/>
          <w:lang w:val="es-CO"/>
        </w:rPr>
        <w:t>50</w:t>
      </w:r>
      <w:r w:rsidRPr="006969B3">
        <w:rPr>
          <w:rFonts w:ascii="Arial" w:hAnsi="Arial" w:cs="Arial"/>
          <w:sz w:val="22"/>
          <w:szCs w:val="22"/>
          <w:lang w:val="es-CO"/>
        </w:rPr>
        <w:t> de la Ley 1943 de 2018 que adicionó el artículo</w:t>
      </w:r>
      <w:r w:rsidR="00DE49E9">
        <w:rPr>
          <w:rFonts w:ascii="Arial" w:hAnsi="Arial" w:cs="Arial"/>
          <w:sz w:val="22"/>
          <w:szCs w:val="22"/>
          <w:lang w:val="es-CO"/>
        </w:rPr>
        <w:t xml:space="preserve"> 242-1</w:t>
      </w:r>
      <w:r w:rsidRPr="006969B3">
        <w:rPr>
          <w:rFonts w:ascii="Arial" w:hAnsi="Arial" w:cs="Arial"/>
          <w:sz w:val="22"/>
          <w:szCs w:val="22"/>
          <w:lang w:val="es-CO"/>
        </w:rPr>
        <w:t>del Estatuto Tributario referido a la tarifa especial para dividendos o participaciones recibidas por sociedades nacionales, el cual quedará así:</w:t>
      </w:r>
    </w:p>
    <w:p w14:paraId="08E4FCB3" w14:textId="77777777" w:rsidR="00A76DD4" w:rsidRPr="006969B3" w:rsidRDefault="00A76DD4" w:rsidP="00F65283">
      <w:pPr>
        <w:pStyle w:val="NormalWeb"/>
        <w:spacing w:before="0" w:beforeAutospacing="0" w:after="0" w:afterAutospacing="0"/>
        <w:jc w:val="both"/>
        <w:rPr>
          <w:rStyle w:val="baj"/>
          <w:rFonts w:ascii="Arial" w:hAnsi="Arial" w:cs="Arial"/>
          <w:sz w:val="22"/>
          <w:szCs w:val="22"/>
          <w:lang w:val="es-CO"/>
        </w:rPr>
      </w:pPr>
    </w:p>
    <w:p w14:paraId="794152FA" w14:textId="537349D9"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3o.</w:t>
      </w:r>
      <w:r w:rsidRPr="006969B3">
        <w:rPr>
          <w:rFonts w:ascii="Arial" w:hAnsi="Arial" w:cs="Arial"/>
          <w:sz w:val="22"/>
          <w:szCs w:val="22"/>
          <w:lang w:val="es-CO"/>
        </w:rPr>
        <w:t> Los dividendos que se distribuyen dentro de los grupos empresariales o dentro de sociedades en situación de control debidamente registrados ante la Cámara de Comercio, no estarán sujetos a la retención en la fuente regulada en este artículo. Lo anterior, siempre y cuando no se trate de una entidad intermedia dispuesta para el diferimiento del impuesto sobre los dividendos.</w:t>
      </w:r>
    </w:p>
    <w:p w14:paraId="5A193974" w14:textId="53BF23F6" w:rsidR="00932193" w:rsidRPr="006969B3" w:rsidRDefault="00932193" w:rsidP="00F65283">
      <w:pPr>
        <w:spacing w:after="0" w:line="240" w:lineRule="auto"/>
        <w:rPr>
          <w:rFonts w:ascii="Arial" w:hAnsi="Arial" w:cs="Arial"/>
          <w:lang w:val="es-CO"/>
        </w:rPr>
      </w:pPr>
    </w:p>
    <w:p w14:paraId="14BE0211" w14:textId="77777777" w:rsidR="00932193" w:rsidRPr="006969B3" w:rsidRDefault="00932193" w:rsidP="00F65283">
      <w:pPr>
        <w:pStyle w:val="NormalWeb"/>
        <w:spacing w:before="0" w:beforeAutospacing="0" w:after="0" w:afterAutospacing="0"/>
        <w:jc w:val="both"/>
        <w:rPr>
          <w:rFonts w:ascii="Arial" w:hAnsi="Arial" w:cs="Arial"/>
          <w:sz w:val="22"/>
          <w:szCs w:val="22"/>
          <w:lang w:val="es-CO"/>
        </w:rPr>
      </w:pPr>
      <w:bookmarkStart w:id="76" w:name="66"/>
      <w:r w:rsidRPr="006969B3">
        <w:rPr>
          <w:rFonts w:ascii="Arial" w:hAnsi="Arial" w:cs="Arial"/>
          <w:sz w:val="22"/>
          <w:szCs w:val="22"/>
          <w:lang w:val="es-CO"/>
        </w:rPr>
        <w:t>ARTÍCULO 66. MOVILIZACIÓN DE CARTERA.</w:t>
      </w:r>
      <w:bookmarkEnd w:id="76"/>
      <w:r w:rsidRPr="006969B3">
        <w:rPr>
          <w:rFonts w:ascii="Arial" w:hAnsi="Arial" w:cs="Arial"/>
          <w:sz w:val="22"/>
          <w:szCs w:val="22"/>
          <w:lang w:val="es-CO"/>
        </w:rPr>
        <w:t xml:space="preserve"> A partir de la expedición de la adicionado </w:t>
      </w:r>
      <w:proofErr w:type="spellStart"/>
      <w:r w:rsidRPr="006969B3">
        <w:rPr>
          <w:rFonts w:ascii="Arial" w:hAnsi="Arial" w:cs="Arial"/>
          <w:sz w:val="22"/>
          <w:szCs w:val="22"/>
          <w:lang w:val="es-CO"/>
        </w:rPr>
        <w:t>adicionado</w:t>
      </w:r>
      <w:proofErr w:type="spellEnd"/>
      <w:r w:rsidRPr="006969B3">
        <w:rPr>
          <w:rFonts w:ascii="Arial" w:hAnsi="Arial" w:cs="Arial"/>
          <w:sz w:val="22"/>
          <w:szCs w:val="22"/>
          <w:lang w:val="es-CO"/>
        </w:rPr>
        <w:t xml:space="preserve"> presente Ley, las entidades estatales o públicas del orden nacional con excepción de las entidades financieras de carácter estatal, las Empresas Industriales y Comerciales del Estado, las Sociedades de Economía Mixta y las entidades en liquidación, deberán vender la cartera con más de ciento ochenta (180) días de vencida al colector de activos de la Nación, Central de Inversiones (CISA), para que este las gestione.</w:t>
      </w:r>
    </w:p>
    <w:p w14:paraId="58D8B1AF"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5862015E" w14:textId="4B0286B6"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Respecto de la cartera de naturaleza coactiva, las entidades de que trata este artículo, al igual que las de orden territorial, podrán enajenarla a CISA, quien para su recuperación podrá aplicar sus políticas de descuento y podrá dar aplicación al mecanismo de notificación electrónica de que trata el artículo</w:t>
      </w:r>
      <w:r w:rsidR="00DE49E9">
        <w:rPr>
          <w:rFonts w:ascii="Arial" w:hAnsi="Arial" w:cs="Arial"/>
          <w:sz w:val="22"/>
          <w:szCs w:val="22"/>
          <w:lang w:val="es-CO"/>
        </w:rPr>
        <w:t xml:space="preserve"> 566 -1</w:t>
      </w:r>
      <w:r w:rsidRPr="006969B3">
        <w:rPr>
          <w:rFonts w:ascii="Arial" w:hAnsi="Arial" w:cs="Arial"/>
          <w:sz w:val="22"/>
          <w:szCs w:val="22"/>
          <w:lang w:val="es-CO"/>
        </w:rPr>
        <w:t>  del Estatuto Tributario, que también aplicará para cualquier acto derivado del procedimiento establecido en el artículo </w:t>
      </w:r>
      <w:r w:rsidR="00DE49E9">
        <w:rPr>
          <w:rFonts w:ascii="Arial" w:hAnsi="Arial" w:cs="Arial"/>
          <w:sz w:val="22"/>
          <w:szCs w:val="22"/>
          <w:lang w:val="es-CO"/>
        </w:rPr>
        <w:t>823</w:t>
      </w:r>
      <w:r w:rsidRPr="006969B3">
        <w:rPr>
          <w:rFonts w:ascii="Arial" w:hAnsi="Arial" w:cs="Arial"/>
          <w:sz w:val="22"/>
          <w:szCs w:val="22"/>
          <w:lang w:val="es-CO"/>
        </w:rPr>
        <w:t> del referido Estatuto y demás normas que lo complementen o modifiquen. Se entenderá que los titulares de datos personales autorizan expresamente la notificación a través de este medio, de conformidad con lo previsto en el artículo </w:t>
      </w:r>
      <w:r w:rsidR="00DE49E9">
        <w:rPr>
          <w:rFonts w:ascii="Arial" w:hAnsi="Arial" w:cs="Arial"/>
          <w:sz w:val="22"/>
          <w:szCs w:val="22"/>
          <w:lang w:val="es-CO"/>
        </w:rPr>
        <w:t>56</w:t>
      </w:r>
      <w:r w:rsidRPr="006969B3">
        <w:rPr>
          <w:rFonts w:ascii="Arial" w:hAnsi="Arial" w:cs="Arial"/>
          <w:sz w:val="22"/>
          <w:szCs w:val="22"/>
          <w:lang w:val="es-CO"/>
        </w:rPr>
        <w:t> de la Ley 1437 de 2011.</w:t>
      </w:r>
    </w:p>
    <w:p w14:paraId="076C8AD6"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42DB6005" w14:textId="7097B7A1"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CISA en su condición de colector de activos públicos de la Nación, tendrá acceso a las bases del Registro Único Tributario (RUT) y el Registro Único Nacional de Tránsito (RUNT) para obtener la información de correo electrónico de los deudores.</w:t>
      </w:r>
    </w:p>
    <w:p w14:paraId="10C855FE"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74FF76BB" w14:textId="327006B6"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En los eventos en que la cartera sea de imposible recudo por la prescripción o caducidad de la acción, por la pérdida de fuerza ejecutoria del acto administrativo que le dio origen o por la inexistencia probada del deudor o su insolvencia demostrada y por tanto no sea posible ejercer los derechos de cobro o bien porque la relación costo-beneficio al realizar su cobro no resulta eficiente; las entidades estatales o públicas del orden nacional, podrán realizar la depuración definitiva de estos saldos contables, realizando un informe detallado de las causales por las cuales se depura y las excluirá de la gestión. El Gobierno nacional reglamentará la materia. Los recursos obtenidos por esta venta serán girados por los plazos fijados por CISA atendiendo sus disponibilidades de caja así: i) Al Tesoro Nacional en el caso de las entidades que hacen parte del presupuesto nacional; y </w:t>
      </w:r>
      <w:proofErr w:type="spellStart"/>
      <w:r w:rsidRPr="006969B3">
        <w:rPr>
          <w:rFonts w:ascii="Arial" w:hAnsi="Arial" w:cs="Arial"/>
          <w:sz w:val="22"/>
          <w:szCs w:val="22"/>
          <w:lang w:val="es-CO"/>
        </w:rPr>
        <w:t>ii</w:t>
      </w:r>
      <w:proofErr w:type="spellEnd"/>
      <w:r w:rsidRPr="006969B3">
        <w:rPr>
          <w:rFonts w:ascii="Arial" w:hAnsi="Arial" w:cs="Arial"/>
          <w:sz w:val="22"/>
          <w:szCs w:val="22"/>
          <w:lang w:val="es-CO"/>
        </w:rPr>
        <w:t xml:space="preserve">) directamente a los </w:t>
      </w:r>
      <w:r w:rsidRPr="006969B3">
        <w:rPr>
          <w:rFonts w:ascii="Arial" w:hAnsi="Arial" w:cs="Arial"/>
          <w:sz w:val="22"/>
          <w:szCs w:val="22"/>
          <w:lang w:val="es-CO"/>
        </w:rPr>
        <w:lastRenderedPageBreak/>
        <w:t>patrimonios autónomos de remanentes y a las entidades pertenecientes al sector descentralizado del nivel nacional, cobijados por lo dispuesto en el artículo</w:t>
      </w:r>
      <w:r w:rsidR="00BC20EB">
        <w:rPr>
          <w:rFonts w:ascii="Arial" w:hAnsi="Arial" w:cs="Arial"/>
          <w:sz w:val="22"/>
          <w:szCs w:val="22"/>
          <w:lang w:val="es-CO"/>
        </w:rPr>
        <w:t xml:space="preserve"> 238</w:t>
      </w:r>
      <w:r w:rsidRPr="006969B3">
        <w:rPr>
          <w:rFonts w:ascii="Arial" w:hAnsi="Arial" w:cs="Arial"/>
          <w:sz w:val="22"/>
          <w:szCs w:val="22"/>
          <w:lang w:val="es-CO"/>
        </w:rPr>
        <w:t> de la Ley 1450 de 2011, así como los fondos especiales cuya ley de creación incluya ingresos de capital por venta de bienes propios de las entidades a las que están adscritos como fuentes de recursos.</w:t>
      </w:r>
    </w:p>
    <w:p w14:paraId="0B3E2631"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077AD8C0" w14:textId="6A16E438" w:rsidR="00932193" w:rsidRPr="006969B3" w:rsidRDefault="0093219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CISA causará para efectos fiscales los ingresos que genere el cobro de cartera, solamente cuando se produzca el recaudo efectivo o se produzca su enajenación.</w:t>
      </w:r>
    </w:p>
    <w:p w14:paraId="562D6C36" w14:textId="2B5E7C87" w:rsidR="07010795" w:rsidRPr="006969B3" w:rsidRDefault="07010795" w:rsidP="00F65283">
      <w:pPr>
        <w:pStyle w:val="NormalWeb"/>
        <w:spacing w:before="0" w:beforeAutospacing="0" w:after="0" w:afterAutospacing="0"/>
        <w:jc w:val="both"/>
        <w:rPr>
          <w:rFonts w:ascii="Arial" w:hAnsi="Arial" w:cs="Arial"/>
          <w:sz w:val="22"/>
          <w:szCs w:val="22"/>
          <w:lang w:val="es-CO"/>
        </w:rPr>
      </w:pPr>
    </w:p>
    <w:p w14:paraId="525E001E" w14:textId="77777777" w:rsidR="00F7327E" w:rsidRPr="006969B3" w:rsidRDefault="00F7327E" w:rsidP="00F65283">
      <w:pPr>
        <w:spacing w:after="0" w:line="240" w:lineRule="auto"/>
        <w:jc w:val="both"/>
        <w:rPr>
          <w:rFonts w:ascii="Arial" w:eastAsia="Times New Roman" w:hAnsi="Arial" w:cs="Arial"/>
          <w:lang w:val="es-CO"/>
        </w:rPr>
      </w:pPr>
      <w:bookmarkStart w:id="77" w:name="67"/>
      <w:r w:rsidRPr="006969B3">
        <w:rPr>
          <w:rFonts w:ascii="Arial" w:eastAsia="Times New Roman" w:hAnsi="Arial" w:cs="Arial"/>
          <w:lang w:val="es-CO"/>
        </w:rPr>
        <w:t>ARTÍCULO 67. AEROPUERTO DEL CAFÉ (AEROCAFÉ).</w:t>
      </w:r>
      <w:bookmarkEnd w:id="77"/>
      <w:r w:rsidRPr="006969B3">
        <w:rPr>
          <w:rFonts w:ascii="Arial" w:eastAsia="Times New Roman" w:hAnsi="Arial" w:cs="Arial"/>
          <w:lang w:val="es-CO"/>
        </w:rPr>
        <w:t> Los recursos destinados al desarrollo del Proyecto del Aeropuerto del Café (AEROCAFÉ), serán ejecutados a través de un patrimonio autónomo que para tal efecto constituya la Aeronáutica Civil.</w:t>
      </w:r>
    </w:p>
    <w:p w14:paraId="7672AFAA" w14:textId="77777777" w:rsidR="00A76DD4" w:rsidRPr="006969B3" w:rsidRDefault="00A76DD4" w:rsidP="00F65283">
      <w:pPr>
        <w:spacing w:after="0" w:line="240" w:lineRule="auto"/>
        <w:jc w:val="both"/>
        <w:rPr>
          <w:rFonts w:ascii="Arial" w:eastAsia="Times New Roman" w:hAnsi="Arial" w:cs="Arial"/>
          <w:lang w:val="es-CO"/>
        </w:rPr>
      </w:pPr>
    </w:p>
    <w:p w14:paraId="7B375F1A" w14:textId="2DECF4A8" w:rsidR="00F7327E" w:rsidRPr="006969B3" w:rsidRDefault="00F7327E" w:rsidP="00F65283">
      <w:pPr>
        <w:spacing w:after="0" w:line="240" w:lineRule="auto"/>
        <w:jc w:val="both"/>
        <w:rPr>
          <w:rFonts w:ascii="Arial" w:eastAsia="Times New Roman" w:hAnsi="Arial" w:cs="Arial"/>
          <w:lang w:val="es-CO"/>
        </w:rPr>
      </w:pPr>
      <w:r w:rsidRPr="006969B3">
        <w:rPr>
          <w:rFonts w:ascii="Arial" w:eastAsia="Times New Roman" w:hAnsi="Arial" w:cs="Arial"/>
          <w:lang w:val="es-CO"/>
        </w:rPr>
        <w:t>El patrimonio autónomo podrá recibir aportes del Gobierno nacional, del departamento de Caldas y de sus municipios; y aceptar donaciones del sector público o privado, nacional e internacional. Así mismo, podrá celebrar operaciones de financiamiento interno o externo a nombre del patrimonio autónomo para lo cual la Nación o las entidades territoriales podrán otorgar los avales o garantías respectivas, hasta por el monto de los aportes que cada uno se haya comprometido.</w:t>
      </w:r>
    </w:p>
    <w:p w14:paraId="7C7EF794" w14:textId="77777777" w:rsidR="00A76DD4" w:rsidRPr="006969B3" w:rsidRDefault="00A76DD4" w:rsidP="00F65283">
      <w:pPr>
        <w:spacing w:after="0" w:line="240" w:lineRule="auto"/>
        <w:jc w:val="both"/>
        <w:rPr>
          <w:rFonts w:ascii="Arial" w:eastAsia="Times New Roman" w:hAnsi="Arial" w:cs="Arial"/>
          <w:lang w:val="es-CO"/>
        </w:rPr>
      </w:pPr>
    </w:p>
    <w:p w14:paraId="16487158" w14:textId="6A4BE437" w:rsidR="00F7327E" w:rsidRPr="006969B3" w:rsidRDefault="00F7327E" w:rsidP="00F65283">
      <w:pPr>
        <w:spacing w:after="0" w:line="240" w:lineRule="auto"/>
        <w:jc w:val="both"/>
        <w:rPr>
          <w:rFonts w:ascii="Arial" w:eastAsia="Times New Roman" w:hAnsi="Arial" w:cs="Arial"/>
          <w:lang w:val="es-CO"/>
        </w:rPr>
      </w:pPr>
      <w:r w:rsidRPr="006969B3">
        <w:rPr>
          <w:rFonts w:ascii="Arial" w:eastAsia="Times New Roman" w:hAnsi="Arial" w:cs="Arial"/>
          <w:lang w:val="es-CO"/>
        </w:rPr>
        <w:t>El régimen de contratación y administración de sus recursos se regirá por el derecho privado, con plena observancia de los principios de transparencia, economía, igualdad y publicidad, definidos por la Constitución y la Ley. El control fiscal de los recursos lo ejercerá la Contraloría General de la República.</w:t>
      </w:r>
    </w:p>
    <w:p w14:paraId="223E560B" w14:textId="77777777" w:rsidR="00A76DD4" w:rsidRPr="006969B3" w:rsidRDefault="00A76DD4" w:rsidP="00F65283">
      <w:pPr>
        <w:spacing w:after="0" w:line="240" w:lineRule="auto"/>
        <w:jc w:val="both"/>
        <w:rPr>
          <w:rFonts w:ascii="Arial" w:eastAsia="Times New Roman" w:hAnsi="Arial" w:cs="Arial"/>
          <w:lang w:val="es-CO"/>
        </w:rPr>
      </w:pPr>
    </w:p>
    <w:p w14:paraId="7430EB0C" w14:textId="6F4AC396" w:rsidR="00F7327E" w:rsidRPr="006969B3" w:rsidRDefault="00F7327E" w:rsidP="00F65283">
      <w:pPr>
        <w:spacing w:after="0" w:line="240" w:lineRule="auto"/>
        <w:jc w:val="both"/>
        <w:rPr>
          <w:rFonts w:ascii="Arial" w:eastAsia="Times New Roman" w:hAnsi="Arial" w:cs="Arial"/>
          <w:lang w:val="es-CO"/>
        </w:rPr>
      </w:pPr>
      <w:r w:rsidRPr="006969B3">
        <w:rPr>
          <w:rFonts w:ascii="Arial" w:eastAsia="Times New Roman" w:hAnsi="Arial" w:cs="Arial"/>
          <w:lang w:val="es-CO"/>
        </w:rPr>
        <w:t>La administración del patrimonio autónomo presentará informes sobre los avances y resultados de la gestión de los recursos al menos una vez al año, que se remitirán a la Aeronáutica Civil para ser publicados en su página web.</w:t>
      </w:r>
    </w:p>
    <w:p w14:paraId="6B10BA9F"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p>
    <w:p w14:paraId="13B62067" w14:textId="4965A0CF" w:rsidR="007D4491" w:rsidRPr="006969B3" w:rsidRDefault="00F7327E" w:rsidP="00F65283">
      <w:pPr>
        <w:pStyle w:val="NormalWeb"/>
        <w:spacing w:before="0" w:beforeAutospacing="0" w:after="0" w:afterAutospacing="0"/>
        <w:jc w:val="both"/>
        <w:rPr>
          <w:rFonts w:ascii="Arial" w:hAnsi="Arial" w:cs="Arial"/>
          <w:sz w:val="20"/>
          <w:szCs w:val="20"/>
          <w:lang w:val="es-CO"/>
        </w:rPr>
      </w:pPr>
      <w:r w:rsidRPr="006969B3">
        <w:rPr>
          <w:rFonts w:ascii="Arial" w:hAnsi="Arial" w:cs="Arial"/>
          <w:sz w:val="20"/>
          <w:szCs w:val="20"/>
          <w:lang w:val="es-CO"/>
        </w:rPr>
        <w:t>(</w:t>
      </w:r>
      <w:r w:rsidRPr="006969B3">
        <w:rPr>
          <w:rFonts w:ascii="Arial" w:hAnsi="Arial" w:cs="Arial"/>
          <w:sz w:val="20"/>
          <w:szCs w:val="20"/>
          <w:lang w:val="es-CO" w:eastAsia="es-CO"/>
        </w:rPr>
        <w:t xml:space="preserve">Ver conceptos: </w:t>
      </w:r>
      <w:hyperlink r:id="rId24" w:history="1">
        <w:r w:rsidRPr="006969B3">
          <w:rPr>
            <w:rStyle w:val="Hipervnculo"/>
            <w:rFonts w:ascii="Arial" w:hAnsi="Arial" w:cs="Arial"/>
            <w:sz w:val="20"/>
            <w:szCs w:val="20"/>
            <w:u w:val="none"/>
            <w:lang w:val="es-CO" w:eastAsia="es-CO"/>
          </w:rPr>
          <w:t>4201912000007305 del 19/11/2019</w:t>
        </w:r>
      </w:hyperlink>
      <w:r w:rsidR="00E73F70" w:rsidRPr="006969B3">
        <w:rPr>
          <w:rFonts w:ascii="Arial" w:hAnsi="Arial" w:cs="Arial"/>
          <w:sz w:val="20"/>
          <w:szCs w:val="20"/>
          <w:lang w:val="es-CO" w:eastAsia="es-CO"/>
        </w:rPr>
        <w:t>)</w:t>
      </w:r>
      <w:r w:rsidR="003D69DC" w:rsidRPr="006969B3">
        <w:rPr>
          <w:rFonts w:ascii="Arial" w:hAnsi="Arial" w:cs="Arial"/>
          <w:sz w:val="20"/>
          <w:szCs w:val="20"/>
          <w:lang w:val="es-CO" w:eastAsia="es-CO"/>
        </w:rPr>
        <w:t xml:space="preserve"> </w:t>
      </w:r>
    </w:p>
    <w:p w14:paraId="24D7F92A" w14:textId="77777777" w:rsidR="00A76DD4" w:rsidRPr="006969B3" w:rsidRDefault="00A76DD4" w:rsidP="00F65283">
      <w:pPr>
        <w:pStyle w:val="NormalWeb"/>
        <w:spacing w:before="0" w:beforeAutospacing="0" w:after="0" w:afterAutospacing="0"/>
        <w:jc w:val="both"/>
        <w:rPr>
          <w:rFonts w:ascii="Arial" w:hAnsi="Arial" w:cs="Arial"/>
          <w:sz w:val="22"/>
          <w:szCs w:val="22"/>
          <w:lang w:val="es-CO"/>
        </w:rPr>
      </w:pPr>
      <w:bookmarkStart w:id="78" w:name="68"/>
    </w:p>
    <w:p w14:paraId="50B354E5" w14:textId="086DFC5E"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68. ADMINISTRACIÓN DEL IMPUESTO AL TURISMO.</w:t>
      </w:r>
      <w:bookmarkEnd w:id="78"/>
      <w:r w:rsidRPr="006969B3">
        <w:rPr>
          <w:rFonts w:ascii="Arial" w:hAnsi="Arial" w:cs="Arial"/>
          <w:sz w:val="22"/>
          <w:szCs w:val="22"/>
          <w:lang w:val="es-CO"/>
        </w:rPr>
        <w:t> Los recursos recaudados por concepto del impuesto con destino al turismo de que trata el artículo</w:t>
      </w:r>
      <w:r w:rsidR="00417E8C">
        <w:rPr>
          <w:rFonts w:ascii="Arial" w:hAnsi="Arial" w:cs="Arial"/>
          <w:sz w:val="22"/>
          <w:szCs w:val="22"/>
          <w:lang w:val="es-CO"/>
        </w:rPr>
        <w:t xml:space="preserve"> 4</w:t>
      </w:r>
      <w:r w:rsidRPr="006969B3">
        <w:rPr>
          <w:rFonts w:ascii="Arial" w:hAnsi="Arial" w:cs="Arial"/>
          <w:sz w:val="22"/>
          <w:szCs w:val="22"/>
          <w:lang w:val="es-CO"/>
        </w:rPr>
        <w:t> de la Ley 1101 de 2006, o la norma que la modifique, adicione o sustituya, no servirán de base en el proceso de programación para la financiación de otros programas del sector en el Presupuesto General de la Nación.</w:t>
      </w:r>
    </w:p>
    <w:p w14:paraId="0ACCB062" w14:textId="4F3917B2" w:rsidR="00A357C0" w:rsidRPr="006969B3" w:rsidRDefault="00A357C0" w:rsidP="00F65283">
      <w:pPr>
        <w:spacing w:after="0" w:line="240" w:lineRule="auto"/>
        <w:rPr>
          <w:rFonts w:ascii="Arial" w:hAnsi="Arial" w:cs="Arial"/>
          <w:lang w:val="es-CO"/>
        </w:rPr>
      </w:pPr>
    </w:p>
    <w:p w14:paraId="6997553F" w14:textId="1CD73DE3" w:rsidR="00A357C0" w:rsidRPr="006969B3" w:rsidRDefault="00A357C0" w:rsidP="00F65283">
      <w:pPr>
        <w:pStyle w:val="NormalWeb"/>
        <w:spacing w:before="0" w:beforeAutospacing="0" w:after="0" w:afterAutospacing="0"/>
        <w:jc w:val="both"/>
        <w:rPr>
          <w:rFonts w:ascii="Arial" w:hAnsi="Arial" w:cs="Arial"/>
          <w:sz w:val="22"/>
          <w:szCs w:val="22"/>
          <w:lang w:val="es-CO"/>
        </w:rPr>
      </w:pPr>
      <w:bookmarkStart w:id="79" w:name="69"/>
      <w:r w:rsidRPr="006969B3">
        <w:rPr>
          <w:rFonts w:ascii="Arial" w:hAnsi="Arial" w:cs="Arial"/>
          <w:sz w:val="22"/>
          <w:szCs w:val="22"/>
          <w:lang w:val="es-CO"/>
        </w:rPr>
        <w:t>ARTÍCULO 69. DECLARACIÓN Y PAGO NACIONAL.</w:t>
      </w:r>
      <w:bookmarkEnd w:id="79"/>
      <w:r w:rsidRPr="006969B3">
        <w:rPr>
          <w:rFonts w:ascii="Arial" w:hAnsi="Arial" w:cs="Arial"/>
          <w:sz w:val="22"/>
          <w:szCs w:val="22"/>
          <w:lang w:val="es-CO"/>
        </w:rPr>
        <w:t> Modifíquese el artículo</w:t>
      </w:r>
      <w:r w:rsidR="00417E8C">
        <w:rPr>
          <w:rFonts w:ascii="Arial" w:hAnsi="Arial" w:cs="Arial"/>
          <w:sz w:val="22"/>
          <w:szCs w:val="22"/>
          <w:lang w:val="es-CO"/>
        </w:rPr>
        <w:t xml:space="preserve"> 344</w:t>
      </w:r>
      <w:r w:rsidRPr="006969B3">
        <w:rPr>
          <w:rFonts w:ascii="Arial" w:hAnsi="Arial" w:cs="Arial"/>
          <w:sz w:val="22"/>
          <w:szCs w:val="22"/>
          <w:lang w:val="es-CO"/>
        </w:rPr>
        <w:t> de la Ley 1819 de 2016, el cual quedará así:</w:t>
      </w:r>
    </w:p>
    <w:p w14:paraId="59EE7ADE"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6DAE542F" w14:textId="353638F2"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w:t>
      </w:r>
      <w:r w:rsidR="00BC20EB">
        <w:rPr>
          <w:rFonts w:ascii="Arial" w:hAnsi="Arial" w:cs="Arial"/>
          <w:sz w:val="22"/>
          <w:szCs w:val="22"/>
          <w:lang w:val="es-CO"/>
        </w:rPr>
        <w:t xml:space="preserve"> 344</w:t>
      </w:r>
      <w:r w:rsidRPr="006969B3">
        <w:rPr>
          <w:rFonts w:ascii="Arial" w:hAnsi="Arial" w:cs="Arial"/>
          <w:sz w:val="22"/>
          <w:szCs w:val="22"/>
          <w:lang w:val="es-CO"/>
        </w:rPr>
        <w:t>. Declaración y pago nacional. Las administraciones departamentales, municipales y distritales deberán adoptar y exigir a los contribuyentes presentar la declaración del Impuesto de Industria y Comercio en el formulario único nacional diseñado por la Dirección General de Apoyo Fiscal del Ministerio de Hacienda y Crédito Público.</w:t>
      </w:r>
    </w:p>
    <w:p w14:paraId="53E08A68" w14:textId="77777777"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En el evento en que los municipios o distritos establezcan mecanismos de retención en la fuente del impuesto de industria y comercio, tales formularios serán adaptados a partir del formulario único nacional por cada entidad.</w:t>
      </w:r>
    </w:p>
    <w:p w14:paraId="0A3068B5"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682A9105" w14:textId="2CEC8ED6"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Para efectos de la presentación de la declaración y el pago, los municipios y distritos podrán suscribir convenios con las entidades financieras vigiladas por la Superintendencia Financiera de Colombia, con cobertura nacional, de tal forma que los sujetos pasivos </w:t>
      </w:r>
      <w:r w:rsidRPr="006969B3">
        <w:rPr>
          <w:rFonts w:ascii="Arial" w:hAnsi="Arial" w:cs="Arial"/>
          <w:sz w:val="22"/>
          <w:szCs w:val="22"/>
          <w:lang w:val="es-CO"/>
        </w:rPr>
        <w:lastRenderedPageBreak/>
        <w:t>puedan cumplir con sus obligaciones tributarias desde cualquier lugar del país, y a través de medios electrónicos de pago, sin perjuicio de remitir la constancia de declaración y pago a la entidad territorial sujeto activo del tributo. La declaración se entenderá presentada en la fecha de pago siempre y cuando, el pago se haya realizado dentro del término establecido, y se remita dentro de los 15 días hábiles siguientes a dicha fecha.</w:t>
      </w:r>
    </w:p>
    <w:p w14:paraId="396EF82A"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440A5378" w14:textId="7E2DADBC"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Las administraciones departamentales, municipales y distritales deberán permitir a los contribuyentes del impuesto de industria y comercio y de los demás tributos por ellas administrados, el cumplimiento de las obligaciones tributarias desde cualquier lugar del país, incluyendo la utilización de medios electrónicos.</w:t>
      </w:r>
    </w:p>
    <w:p w14:paraId="529C9DB5"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5B30F696" w14:textId="71332844"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Las administraciones departamentales, municipales y distritales deberán armonizar la clasificación de actividades económicas de sus registros de información tributaria (RIT) y de las tarifas del impuesto de industria y comercio a la Clasificación de Actividades Económicas que adopte o que se encuentra vigente por parte de la Dirección de Impuestos y Aduanas Nacionales (DIAN) para efectos del control y determinación de los impuestos y demás obligaciones tributarias.</w:t>
      </w:r>
    </w:p>
    <w:p w14:paraId="06A4DCB9"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0070CA16" w14:textId="5D5AFCE6"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Lo dispuesto en el presente artículo se aplicará en relación con las declaraciones que deban presentarse a partir de la vigencia 2020.</w:t>
      </w:r>
    </w:p>
    <w:p w14:paraId="02056F8F" w14:textId="7DB45E86" w:rsidR="00A357C0" w:rsidRPr="006969B3" w:rsidRDefault="00A357C0" w:rsidP="00F65283">
      <w:pPr>
        <w:spacing w:after="0" w:line="240" w:lineRule="auto"/>
        <w:rPr>
          <w:rFonts w:ascii="Arial" w:hAnsi="Arial" w:cs="Arial"/>
          <w:lang w:val="es-CO"/>
        </w:rPr>
      </w:pPr>
    </w:p>
    <w:p w14:paraId="259571F5" w14:textId="6020B360" w:rsidR="00A357C0" w:rsidRPr="006969B3" w:rsidRDefault="00A357C0" w:rsidP="00F65283">
      <w:pPr>
        <w:pStyle w:val="NormalWeb"/>
        <w:spacing w:before="0" w:beforeAutospacing="0" w:after="0" w:afterAutospacing="0"/>
        <w:jc w:val="both"/>
        <w:rPr>
          <w:rFonts w:ascii="Arial" w:hAnsi="Arial" w:cs="Arial"/>
          <w:sz w:val="22"/>
          <w:szCs w:val="22"/>
          <w:lang w:val="es-CO"/>
        </w:rPr>
      </w:pPr>
      <w:bookmarkStart w:id="80" w:name="70"/>
      <w:r w:rsidRPr="006969B3">
        <w:rPr>
          <w:rFonts w:ascii="Arial" w:hAnsi="Arial" w:cs="Arial"/>
          <w:sz w:val="22"/>
          <w:szCs w:val="22"/>
          <w:lang w:val="es-CO"/>
        </w:rPr>
        <w:t>ARTÍCULO 70. INSPECCIÓN Y VIGILANCIA.</w:t>
      </w:r>
      <w:bookmarkEnd w:id="80"/>
      <w:r w:rsidRPr="006969B3">
        <w:rPr>
          <w:rFonts w:ascii="Arial" w:hAnsi="Arial" w:cs="Arial"/>
          <w:sz w:val="22"/>
          <w:szCs w:val="22"/>
          <w:lang w:val="es-CO"/>
        </w:rPr>
        <w:t> Modifíquese el artículo</w:t>
      </w:r>
      <w:r w:rsidR="00417E8C">
        <w:rPr>
          <w:rFonts w:ascii="Arial" w:hAnsi="Arial" w:cs="Arial"/>
          <w:sz w:val="22"/>
          <w:szCs w:val="22"/>
          <w:lang w:val="es-CO"/>
        </w:rPr>
        <w:t xml:space="preserve"> </w:t>
      </w:r>
      <w:proofErr w:type="gramStart"/>
      <w:r w:rsidR="00417E8C">
        <w:rPr>
          <w:rFonts w:ascii="Arial" w:hAnsi="Arial" w:cs="Arial"/>
          <w:sz w:val="22"/>
          <w:szCs w:val="22"/>
          <w:lang w:val="es-CO"/>
        </w:rPr>
        <w:t>14</w:t>
      </w:r>
      <w:r w:rsidRPr="006969B3">
        <w:rPr>
          <w:rFonts w:ascii="Arial" w:hAnsi="Arial" w:cs="Arial"/>
          <w:sz w:val="22"/>
          <w:szCs w:val="22"/>
          <w:lang w:val="es-CO"/>
        </w:rPr>
        <w:t>  de</w:t>
      </w:r>
      <w:proofErr w:type="gramEnd"/>
      <w:r w:rsidRPr="006969B3">
        <w:rPr>
          <w:rFonts w:ascii="Arial" w:hAnsi="Arial" w:cs="Arial"/>
          <w:sz w:val="22"/>
          <w:szCs w:val="22"/>
          <w:lang w:val="es-CO"/>
        </w:rPr>
        <w:t xml:space="preserve"> la Ley 432 de 1998, el cual quedará así:</w:t>
      </w:r>
    </w:p>
    <w:p w14:paraId="5CECA4BF"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71417B09" w14:textId="1B7E922E"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w:t>
      </w:r>
      <w:r w:rsidR="00BC20EB">
        <w:rPr>
          <w:rFonts w:ascii="Arial" w:hAnsi="Arial" w:cs="Arial"/>
          <w:sz w:val="22"/>
          <w:szCs w:val="22"/>
          <w:lang w:val="es-CO"/>
        </w:rPr>
        <w:t xml:space="preserve"> 14</w:t>
      </w:r>
      <w:r w:rsidRPr="006969B3">
        <w:rPr>
          <w:rFonts w:ascii="Arial" w:hAnsi="Arial" w:cs="Arial"/>
          <w:sz w:val="22"/>
          <w:szCs w:val="22"/>
          <w:lang w:val="es-CO"/>
        </w:rPr>
        <w:t>. Inspección y vigilancia. De conformidad con la reglamentación especial que al efecto expida el Gobierno nacional, el Fondo Nacional del Ahorro (FNA) estará sometido a la inspección y vigilancia de la Superintendencia Financiera de Colombia.</w:t>
      </w:r>
    </w:p>
    <w:p w14:paraId="7819EE35" w14:textId="7D791ED5" w:rsidR="00A357C0" w:rsidRPr="006969B3" w:rsidRDefault="00A357C0" w:rsidP="00F65283">
      <w:pPr>
        <w:spacing w:after="0" w:line="240" w:lineRule="auto"/>
        <w:rPr>
          <w:rFonts w:ascii="Arial" w:hAnsi="Arial" w:cs="Arial"/>
          <w:lang w:val="es-CO"/>
        </w:rPr>
      </w:pPr>
    </w:p>
    <w:p w14:paraId="15D45913" w14:textId="77777777" w:rsidR="00A357C0" w:rsidRPr="006969B3" w:rsidRDefault="00A357C0" w:rsidP="00F65283">
      <w:pPr>
        <w:pStyle w:val="NormalWeb"/>
        <w:spacing w:before="0" w:beforeAutospacing="0" w:after="0" w:afterAutospacing="0"/>
        <w:jc w:val="both"/>
        <w:rPr>
          <w:rFonts w:ascii="Arial" w:hAnsi="Arial" w:cs="Arial"/>
          <w:sz w:val="22"/>
          <w:szCs w:val="22"/>
          <w:lang w:val="es-CO"/>
        </w:rPr>
      </w:pPr>
      <w:bookmarkStart w:id="81" w:name="71"/>
      <w:r w:rsidRPr="006969B3">
        <w:rPr>
          <w:rFonts w:ascii="Arial" w:hAnsi="Arial" w:cs="Arial"/>
          <w:sz w:val="22"/>
          <w:szCs w:val="22"/>
          <w:lang w:val="es-CO"/>
        </w:rPr>
        <w:t>ARTÍCULO 71. POLÍTICA DE USO Y APROVECHAMIENTO DEL ESPACIO PÚBLICO.</w:t>
      </w:r>
      <w:bookmarkEnd w:id="81"/>
      <w:r w:rsidRPr="006969B3">
        <w:rPr>
          <w:rFonts w:ascii="Arial" w:hAnsi="Arial" w:cs="Arial"/>
          <w:sz w:val="22"/>
          <w:szCs w:val="22"/>
          <w:lang w:val="es-CO"/>
        </w:rPr>
        <w:t> El Gobierno nacional acompañará a los entes territoriales en la formulación de la política de uso y aprovechamiento del espacio público, a fin de procurar alternativas para los vendedores Informales en el marco del principio de la confianza legítima y del derecho al trabajo. También promoverá su acceso a la seguridad social, según su capacidad de pago, y su acceso a los programas de Beneficios Económicos Periódicos (BEPS), promoviendo la capacitación y desarrollo de proyectos productivos.</w:t>
      </w:r>
    </w:p>
    <w:p w14:paraId="738CF5CA"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0E69DE16" w14:textId="2AA0BD5A"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Los Concejos Municipales y Distritales podrán reglamentar, previo estudio de impacto fiscal, que parte del cobro para el uso y aprovechamiento del espacio público se podrá destinar a programas de ahorro para la vejez.</w:t>
      </w:r>
    </w:p>
    <w:p w14:paraId="0E799D9B" w14:textId="01BE4D42" w:rsidR="00A357C0" w:rsidRPr="006969B3" w:rsidRDefault="00A357C0" w:rsidP="00F65283">
      <w:pPr>
        <w:spacing w:after="0" w:line="240" w:lineRule="auto"/>
        <w:rPr>
          <w:rFonts w:ascii="Arial" w:hAnsi="Arial" w:cs="Arial"/>
          <w:lang w:val="es-CO"/>
        </w:rPr>
      </w:pPr>
    </w:p>
    <w:p w14:paraId="6A9FEBD8" w14:textId="70F060E6" w:rsidR="00A357C0" w:rsidRPr="006969B3" w:rsidRDefault="00A357C0" w:rsidP="00F65283">
      <w:pPr>
        <w:pStyle w:val="NormalWeb"/>
        <w:spacing w:before="0" w:beforeAutospacing="0" w:after="0" w:afterAutospacing="0"/>
        <w:jc w:val="both"/>
        <w:rPr>
          <w:rFonts w:ascii="Arial" w:hAnsi="Arial" w:cs="Arial"/>
          <w:sz w:val="22"/>
          <w:szCs w:val="22"/>
          <w:lang w:val="es-CO"/>
        </w:rPr>
      </w:pPr>
      <w:bookmarkStart w:id="82" w:name="72"/>
      <w:r w:rsidRPr="006969B3">
        <w:rPr>
          <w:rFonts w:ascii="Arial" w:hAnsi="Arial" w:cs="Arial"/>
          <w:sz w:val="22"/>
          <w:szCs w:val="22"/>
          <w:lang w:val="es-CO"/>
        </w:rPr>
        <w:t>ARTÍCULO 72. MECANISMO PARA FACILITAR LA ADMINISTRACIÓN DE BIENES.</w:t>
      </w:r>
      <w:bookmarkEnd w:id="82"/>
      <w:r w:rsidRPr="006969B3">
        <w:rPr>
          <w:rFonts w:ascii="Arial" w:hAnsi="Arial" w:cs="Arial"/>
          <w:sz w:val="22"/>
          <w:szCs w:val="22"/>
          <w:lang w:val="es-CO"/>
        </w:rPr>
        <w:t> Adiciónense los siguientes parágrafos al artículo</w:t>
      </w:r>
      <w:r w:rsidR="00417E8C">
        <w:rPr>
          <w:rFonts w:ascii="Arial" w:hAnsi="Arial" w:cs="Arial"/>
          <w:sz w:val="22"/>
          <w:szCs w:val="22"/>
          <w:lang w:val="es-CO"/>
        </w:rPr>
        <w:t xml:space="preserve"> 92</w:t>
      </w:r>
      <w:r w:rsidRPr="006969B3">
        <w:rPr>
          <w:rFonts w:ascii="Arial" w:hAnsi="Arial" w:cs="Arial"/>
          <w:sz w:val="22"/>
          <w:szCs w:val="22"/>
          <w:lang w:val="es-CO"/>
        </w:rPr>
        <w:t> de la Ley 1708 de 2014, los cuales quedarán así:</w:t>
      </w:r>
    </w:p>
    <w:p w14:paraId="1CBB86EC"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1427A193" w14:textId="7CA68EA7"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3o.</w:t>
      </w:r>
      <w:r w:rsidRPr="006969B3">
        <w:rPr>
          <w:rFonts w:ascii="Arial" w:hAnsi="Arial" w:cs="Arial"/>
          <w:sz w:val="22"/>
          <w:szCs w:val="22"/>
          <w:lang w:val="es-CO"/>
        </w:rPr>
        <w:t> En los casos de venta masiva de bienes, el administrador del FRISCO podrá expedir acto administrativo que servirá de título traslaticio de dominio del bien a favor del comprador, el cual deberá inscribirse en el evento en que los bienes sean sujetos a registro. Lo anterior, sin perjuicio de las acciones de verificación que puedan adelantarse para establecer el origen lícito de los recursos que destine el comprador para la adquisición.</w:t>
      </w:r>
    </w:p>
    <w:p w14:paraId="6FBCA304"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4F6E51A7" w14:textId="3AB00E4F"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lastRenderedPageBreak/>
        <w:t>PARÁGRAFO 4o.</w:t>
      </w:r>
      <w:r w:rsidRPr="006969B3">
        <w:rPr>
          <w:rFonts w:ascii="Arial" w:hAnsi="Arial" w:cs="Arial"/>
          <w:sz w:val="22"/>
          <w:szCs w:val="22"/>
          <w:lang w:val="es-CO"/>
        </w:rPr>
        <w:t> Cuando el administrador del FRISCO emplee la enajenación temprana podrá expedir acto administrativo que servirá de título traslaticio de dominio del bien a favor del FRISCO y tendrá las mismas consecuencias fijadas en el artículo </w:t>
      </w:r>
      <w:r w:rsidR="00417E8C">
        <w:rPr>
          <w:rFonts w:ascii="Arial" w:hAnsi="Arial" w:cs="Arial"/>
          <w:sz w:val="22"/>
          <w:szCs w:val="22"/>
          <w:lang w:val="es-CO"/>
        </w:rPr>
        <w:t>18</w:t>
      </w:r>
      <w:r w:rsidRPr="006969B3">
        <w:rPr>
          <w:rFonts w:ascii="Arial" w:hAnsi="Arial" w:cs="Arial"/>
          <w:sz w:val="22"/>
          <w:szCs w:val="22"/>
          <w:lang w:val="es-CO"/>
        </w:rPr>
        <w:t> de la Ley 793 de 2002.</w:t>
      </w:r>
    </w:p>
    <w:p w14:paraId="1A32812B"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563F57EC" w14:textId="6133C5A7"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5o.</w:t>
      </w:r>
      <w:r w:rsidRPr="006969B3">
        <w:rPr>
          <w:rFonts w:ascii="Arial" w:hAnsi="Arial" w:cs="Arial"/>
          <w:sz w:val="22"/>
          <w:szCs w:val="22"/>
          <w:lang w:val="es-CO"/>
        </w:rPr>
        <w:t> Sin perjuicio de la comercialización individual de los bienes, el administrador del FRISCO podrá, con el apoyo de expertos, adoptar mediante acto administrativo, metodologías fundamentales en factores econométricos para la valoración de activos urbanos con información catastral disponible, que sean susceptibles de enajenación a través de ventas masivas.</w:t>
      </w:r>
    </w:p>
    <w:p w14:paraId="0BA7E3C0"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571CD3EC" w14:textId="32C6B203"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6o.</w:t>
      </w:r>
      <w:r w:rsidRPr="006969B3">
        <w:rPr>
          <w:rFonts w:ascii="Arial" w:hAnsi="Arial" w:cs="Arial"/>
          <w:sz w:val="22"/>
          <w:szCs w:val="22"/>
          <w:lang w:val="es-CO"/>
        </w:rPr>
        <w:t xml:space="preserve"> Será causal de terminación anticipada de los contratos de arrendamiento suscritos por el FRISCO, i) Condiciones no acordes al mercado, de acuerdo con los estudios técnicos que para el caso determine el administrador en su metodología; </w:t>
      </w:r>
      <w:proofErr w:type="spellStart"/>
      <w:r w:rsidRPr="006969B3">
        <w:rPr>
          <w:rFonts w:ascii="Arial" w:hAnsi="Arial" w:cs="Arial"/>
          <w:sz w:val="22"/>
          <w:szCs w:val="22"/>
          <w:lang w:val="es-CO"/>
        </w:rPr>
        <w:t>ii</w:t>
      </w:r>
      <w:proofErr w:type="spellEnd"/>
      <w:r w:rsidRPr="006969B3">
        <w:rPr>
          <w:rFonts w:ascii="Arial" w:hAnsi="Arial" w:cs="Arial"/>
          <w:sz w:val="22"/>
          <w:szCs w:val="22"/>
          <w:lang w:val="es-CO"/>
        </w:rPr>
        <w:t xml:space="preserve">) La destinación definitiva de los inmuebles de conformidad con lo previsto en esta Ley; </w:t>
      </w:r>
      <w:proofErr w:type="spellStart"/>
      <w:r w:rsidRPr="006969B3">
        <w:rPr>
          <w:rFonts w:ascii="Arial" w:hAnsi="Arial" w:cs="Arial"/>
          <w:sz w:val="22"/>
          <w:szCs w:val="22"/>
          <w:lang w:val="es-CO"/>
        </w:rPr>
        <w:t>iii</w:t>
      </w:r>
      <w:proofErr w:type="spellEnd"/>
      <w:r w:rsidRPr="006969B3">
        <w:rPr>
          <w:rFonts w:ascii="Arial" w:hAnsi="Arial" w:cs="Arial"/>
          <w:sz w:val="22"/>
          <w:szCs w:val="22"/>
          <w:lang w:val="es-CO"/>
        </w:rPr>
        <w:t>) Los contratos celebrados que no se acojan a las condiciones establecidas en la metodología de administración del FRISCO.</w:t>
      </w:r>
    </w:p>
    <w:p w14:paraId="192B3FBC"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07FAE0C0" w14:textId="42D8FB3E"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Configurada la causal de terminación anticipada, el administrador del FRISCO podrá ejercer las facultades de policía administrativa previstas en esta Ley para la recuperación del activo. En todo caso, el administrador del </w:t>
      </w:r>
      <w:proofErr w:type="gramStart"/>
      <w:r w:rsidRPr="006969B3">
        <w:rPr>
          <w:rFonts w:ascii="Arial" w:hAnsi="Arial" w:cs="Arial"/>
          <w:sz w:val="22"/>
          <w:szCs w:val="22"/>
          <w:lang w:val="es-CO"/>
        </w:rPr>
        <w:t>FRISCO,</w:t>
      </w:r>
      <w:proofErr w:type="gramEnd"/>
      <w:r w:rsidRPr="006969B3">
        <w:rPr>
          <w:rFonts w:ascii="Arial" w:hAnsi="Arial" w:cs="Arial"/>
          <w:sz w:val="22"/>
          <w:szCs w:val="22"/>
          <w:lang w:val="es-CO"/>
        </w:rPr>
        <w:t xml:space="preserve"> no podrá celebrar contratos de arrendamiento con el afectado dentro del proceso de extinción de dominio o sus familiares dentro del cuarto grado de consanguinidad, segundo de afinidad y primero civil.</w:t>
      </w:r>
    </w:p>
    <w:p w14:paraId="3E8CDB53" w14:textId="2B38CA58" w:rsidR="00A357C0" w:rsidRPr="006969B3" w:rsidRDefault="00A357C0" w:rsidP="00F65283">
      <w:pPr>
        <w:spacing w:after="0" w:line="240" w:lineRule="auto"/>
        <w:rPr>
          <w:rFonts w:ascii="Arial" w:hAnsi="Arial" w:cs="Arial"/>
          <w:lang w:val="es-CO"/>
        </w:rPr>
      </w:pPr>
    </w:p>
    <w:p w14:paraId="3CC6D41F" w14:textId="71724C55" w:rsidR="00A357C0" w:rsidRPr="006969B3" w:rsidRDefault="00A357C0" w:rsidP="00F65283">
      <w:pPr>
        <w:pStyle w:val="NormalWeb"/>
        <w:spacing w:before="0" w:beforeAutospacing="0" w:after="0" w:afterAutospacing="0"/>
        <w:jc w:val="both"/>
        <w:rPr>
          <w:rFonts w:ascii="Arial" w:hAnsi="Arial" w:cs="Arial"/>
          <w:sz w:val="22"/>
          <w:szCs w:val="22"/>
          <w:lang w:val="es-CO"/>
        </w:rPr>
      </w:pPr>
      <w:bookmarkStart w:id="83" w:name="73"/>
      <w:r w:rsidRPr="006969B3">
        <w:rPr>
          <w:rFonts w:ascii="Arial" w:hAnsi="Arial" w:cs="Arial"/>
          <w:sz w:val="22"/>
          <w:szCs w:val="22"/>
          <w:lang w:val="es-CO"/>
        </w:rPr>
        <w:t>ARTÍCULO 73. ENAJENACIÓN TEMPRANA, CHATARRIZACIÓN, DEMOLICIÓN Y DESTRUCCIÓN.</w:t>
      </w:r>
      <w:bookmarkEnd w:id="83"/>
      <w:r w:rsidRPr="006969B3">
        <w:rPr>
          <w:rFonts w:ascii="Arial" w:hAnsi="Arial" w:cs="Arial"/>
          <w:sz w:val="22"/>
          <w:szCs w:val="22"/>
          <w:lang w:val="es-CO"/>
        </w:rPr>
        <w:t> Adiciónese un parágrafo al artículo</w:t>
      </w:r>
      <w:r w:rsidR="00417E8C">
        <w:rPr>
          <w:rFonts w:ascii="Arial" w:hAnsi="Arial" w:cs="Arial"/>
          <w:sz w:val="22"/>
          <w:szCs w:val="22"/>
          <w:lang w:val="es-CO"/>
        </w:rPr>
        <w:t xml:space="preserve"> 93 </w:t>
      </w:r>
      <w:r w:rsidRPr="006969B3">
        <w:rPr>
          <w:rFonts w:ascii="Arial" w:hAnsi="Arial" w:cs="Arial"/>
          <w:sz w:val="22"/>
          <w:szCs w:val="22"/>
          <w:lang w:val="es-CO"/>
        </w:rPr>
        <w:t>de la Ley 1708 de 2014, el cual quedará así:</w:t>
      </w:r>
    </w:p>
    <w:p w14:paraId="5EB36F4A"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32C4825A" w14:textId="183B88F2" w:rsidR="00A357C0"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Cuando se trate de bienes inmuebles rurales en proceso de extinción de dominio que no tengan la vocación descrita en el artículo</w:t>
      </w:r>
      <w:r w:rsidR="00417E8C">
        <w:rPr>
          <w:rFonts w:ascii="Arial" w:hAnsi="Arial" w:cs="Arial"/>
          <w:sz w:val="22"/>
          <w:szCs w:val="22"/>
          <w:lang w:val="es-CO"/>
        </w:rPr>
        <w:t xml:space="preserve"> 91</w:t>
      </w:r>
      <w:r w:rsidRPr="006969B3">
        <w:rPr>
          <w:rFonts w:ascii="Arial" w:hAnsi="Arial" w:cs="Arial"/>
          <w:sz w:val="22"/>
          <w:szCs w:val="22"/>
          <w:lang w:val="es-CO"/>
        </w:rPr>
        <w:t> de la presente Ley, la entidad beneficiaria de dichos inmuebles comunicará tal situación y el administrador del FRISCO quedará habilitado para enajenarlos tempranamente.</w:t>
      </w:r>
    </w:p>
    <w:p w14:paraId="3F015C78" w14:textId="77777777" w:rsidR="00417E8C" w:rsidRPr="006969B3" w:rsidRDefault="00417E8C" w:rsidP="00F65283">
      <w:pPr>
        <w:pStyle w:val="NormalWeb"/>
        <w:spacing w:before="0" w:beforeAutospacing="0" w:after="0" w:afterAutospacing="0"/>
        <w:jc w:val="both"/>
        <w:rPr>
          <w:rFonts w:ascii="Arial" w:hAnsi="Arial" w:cs="Arial"/>
          <w:sz w:val="22"/>
          <w:szCs w:val="22"/>
          <w:lang w:val="es-CO"/>
        </w:rPr>
      </w:pPr>
    </w:p>
    <w:p w14:paraId="37C98F69" w14:textId="77777777"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Los recursos que se obtengan de la comercialización de estos predios serán entregados en su totalidad al Gobierno nacional, para ser destinados a los programas de generación de acceso a tierra administrados por este.</w:t>
      </w:r>
    </w:p>
    <w:p w14:paraId="4A8F8B62" w14:textId="24C15DF3" w:rsidR="00A357C0" w:rsidRPr="006969B3" w:rsidRDefault="00A357C0" w:rsidP="00F65283">
      <w:pPr>
        <w:spacing w:after="0" w:line="240" w:lineRule="auto"/>
        <w:rPr>
          <w:rFonts w:ascii="Arial" w:hAnsi="Arial" w:cs="Arial"/>
          <w:lang w:val="es-CO"/>
        </w:rPr>
      </w:pPr>
    </w:p>
    <w:p w14:paraId="7FE2F914" w14:textId="46012046" w:rsidR="00A357C0" w:rsidRPr="006969B3" w:rsidRDefault="00A357C0" w:rsidP="00F65283">
      <w:pPr>
        <w:pStyle w:val="NormalWeb"/>
        <w:spacing w:before="0" w:beforeAutospacing="0" w:after="0" w:afterAutospacing="0"/>
        <w:jc w:val="both"/>
        <w:rPr>
          <w:rFonts w:ascii="Arial" w:hAnsi="Arial" w:cs="Arial"/>
          <w:sz w:val="22"/>
          <w:szCs w:val="22"/>
          <w:lang w:val="es-CO"/>
        </w:rPr>
      </w:pPr>
      <w:bookmarkStart w:id="84" w:name="74"/>
      <w:r w:rsidRPr="006969B3">
        <w:rPr>
          <w:rFonts w:ascii="Arial" w:hAnsi="Arial" w:cs="Arial"/>
          <w:sz w:val="22"/>
          <w:szCs w:val="22"/>
          <w:lang w:val="es-CO"/>
        </w:rPr>
        <w:t>ARTÍCULO 74. BIENES GRAVADOS CON LA TARIFA DEL CINCO POR CIENTO (5%).</w:t>
      </w:r>
      <w:bookmarkEnd w:id="84"/>
      <w:r w:rsidRPr="006969B3">
        <w:rPr>
          <w:rFonts w:ascii="Arial" w:hAnsi="Arial" w:cs="Arial"/>
          <w:sz w:val="22"/>
          <w:szCs w:val="22"/>
          <w:lang w:val="es-CO"/>
        </w:rPr>
        <w:t> Adiciónese un numeral y dos parágrafos transitorios al artículo</w:t>
      </w:r>
      <w:r w:rsidR="00417E8C">
        <w:rPr>
          <w:rFonts w:ascii="Arial" w:hAnsi="Arial" w:cs="Arial"/>
          <w:sz w:val="22"/>
          <w:szCs w:val="22"/>
          <w:lang w:val="es-CO"/>
        </w:rPr>
        <w:t xml:space="preserve"> 468-1</w:t>
      </w:r>
      <w:r w:rsidRPr="006969B3">
        <w:rPr>
          <w:rFonts w:ascii="Arial" w:hAnsi="Arial" w:cs="Arial"/>
          <w:sz w:val="22"/>
          <w:szCs w:val="22"/>
          <w:lang w:val="es-CO"/>
        </w:rPr>
        <w:t> del Estatuto Tributario, así:</w:t>
      </w:r>
    </w:p>
    <w:p w14:paraId="48DE13DC"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417A633C" w14:textId="5CF48845"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4. El ingreso al productor en la venta de Gasolina y ACPM. Para efectos de este numeral se considera gasolina y ACPM lo definido en el parágrafo 1 del artículo</w:t>
      </w:r>
      <w:r w:rsidR="00DE2F81">
        <w:rPr>
          <w:rFonts w:ascii="Arial" w:hAnsi="Arial" w:cs="Arial"/>
          <w:sz w:val="22"/>
          <w:szCs w:val="22"/>
          <w:lang w:val="es-CO"/>
        </w:rPr>
        <w:t xml:space="preserve"> 167</w:t>
      </w:r>
      <w:r w:rsidRPr="006969B3">
        <w:rPr>
          <w:rFonts w:ascii="Arial" w:hAnsi="Arial" w:cs="Arial"/>
          <w:sz w:val="22"/>
          <w:szCs w:val="22"/>
          <w:lang w:val="es-CO"/>
        </w:rPr>
        <w:t> de la Ley 1607 de 2012.</w:t>
      </w:r>
    </w:p>
    <w:p w14:paraId="1FE27AE2"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0F3DCF17" w14:textId="72FA1C0B"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 la base gravable determinada de conformidad con el artículo</w:t>
      </w:r>
      <w:r w:rsidR="00DE2F81">
        <w:rPr>
          <w:rFonts w:ascii="Arial" w:hAnsi="Arial" w:cs="Arial"/>
          <w:sz w:val="22"/>
          <w:szCs w:val="22"/>
          <w:lang w:val="es-CO"/>
        </w:rPr>
        <w:t xml:space="preserve"> 467</w:t>
      </w:r>
      <w:r w:rsidRPr="006969B3">
        <w:rPr>
          <w:rFonts w:ascii="Arial" w:hAnsi="Arial" w:cs="Arial"/>
          <w:sz w:val="22"/>
          <w:szCs w:val="22"/>
          <w:lang w:val="es-CO"/>
        </w:rPr>
        <w:t>del Estatuto Tributario, se detrae el ingreso al productor y se le aplica la tarifa general del impuesto sobre las ventas IVA.</w:t>
      </w:r>
    </w:p>
    <w:p w14:paraId="2B34AB60"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513E541C" w14:textId="5571CA5A"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TRANSITORIO 2o.</w:t>
      </w:r>
      <w:r w:rsidRPr="006969B3">
        <w:rPr>
          <w:rFonts w:ascii="Arial" w:hAnsi="Arial" w:cs="Arial"/>
          <w:sz w:val="22"/>
          <w:szCs w:val="22"/>
          <w:lang w:val="es-CO"/>
        </w:rPr>
        <w:t xml:space="preserve"> Para efectos del numeral 4 de este artículo, el exceso de impuesto descontable por la diferencia de tarifa será un mayor valor del costo o gasto hasta </w:t>
      </w:r>
      <w:r w:rsidRPr="006969B3">
        <w:rPr>
          <w:rFonts w:ascii="Arial" w:hAnsi="Arial" w:cs="Arial"/>
          <w:sz w:val="22"/>
          <w:szCs w:val="22"/>
          <w:lang w:val="es-CO"/>
        </w:rPr>
        <w:lastRenderedPageBreak/>
        <w:t>el 31 de diciembre de 2021. El exceso de impuesto descontable por la diferencia de tarifa, generado a partir del 1 de enero de 2022 por la venta de productos del numeral 4 de este artículo, se regirá por lo establecido en el parágrafo del artículo</w:t>
      </w:r>
      <w:r w:rsidR="000424E7">
        <w:rPr>
          <w:rFonts w:ascii="Arial" w:hAnsi="Arial" w:cs="Arial"/>
          <w:sz w:val="22"/>
          <w:szCs w:val="22"/>
          <w:lang w:val="es-CO"/>
        </w:rPr>
        <w:t xml:space="preserve"> 485</w:t>
      </w:r>
      <w:r w:rsidR="000424E7" w:rsidRPr="0074467C">
        <w:rPr>
          <w:lang w:val="es-CO"/>
        </w:rPr>
        <w:t xml:space="preserve"> </w:t>
      </w:r>
      <w:r w:rsidRPr="006969B3">
        <w:rPr>
          <w:rFonts w:ascii="Arial" w:hAnsi="Arial" w:cs="Arial"/>
          <w:sz w:val="22"/>
          <w:szCs w:val="22"/>
          <w:lang w:val="es-CO"/>
        </w:rPr>
        <w:t>de este Estatuto.</w:t>
      </w:r>
    </w:p>
    <w:p w14:paraId="5E0DA103"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5F2D9D32" w14:textId="4BE6CC67"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TRANSITORIO 3o.</w:t>
      </w:r>
      <w:r w:rsidRPr="006969B3">
        <w:rPr>
          <w:rFonts w:ascii="Arial" w:hAnsi="Arial" w:cs="Arial"/>
          <w:sz w:val="22"/>
          <w:szCs w:val="22"/>
          <w:lang w:val="es-CO"/>
        </w:rPr>
        <w:t> Lo dispuesto en el numeral 4 de este artículo inicia su aplicación a partir del bimestre siguiente a la vigencia de la presente Ley.</w:t>
      </w:r>
    </w:p>
    <w:p w14:paraId="703C5CDD" w14:textId="380BC8EA" w:rsidR="00E73F70" w:rsidRDefault="00E73F70" w:rsidP="00F65283">
      <w:pPr>
        <w:pStyle w:val="NormalWeb"/>
        <w:spacing w:before="0" w:beforeAutospacing="0" w:after="0" w:afterAutospacing="0"/>
        <w:jc w:val="both"/>
        <w:rPr>
          <w:rFonts w:ascii="Arial" w:hAnsi="Arial" w:cs="Arial"/>
          <w:sz w:val="22"/>
          <w:szCs w:val="22"/>
          <w:lang w:val="es-CO"/>
        </w:rPr>
      </w:pPr>
    </w:p>
    <w:p w14:paraId="147876FA" w14:textId="77777777" w:rsidR="00555669" w:rsidRPr="006969B3" w:rsidRDefault="00555669" w:rsidP="00F65283">
      <w:pPr>
        <w:pStyle w:val="NormalWeb"/>
        <w:spacing w:before="0" w:beforeAutospacing="0" w:after="0" w:afterAutospacing="0"/>
        <w:jc w:val="both"/>
        <w:rPr>
          <w:rFonts w:ascii="Arial" w:hAnsi="Arial" w:cs="Arial"/>
          <w:sz w:val="22"/>
          <w:szCs w:val="22"/>
          <w:lang w:val="es-CO"/>
        </w:rPr>
      </w:pPr>
    </w:p>
    <w:p w14:paraId="73F47DFF" w14:textId="001D7910" w:rsidR="00A357C0" w:rsidRPr="006969B3" w:rsidRDefault="00A357C0" w:rsidP="00F65283">
      <w:pPr>
        <w:pStyle w:val="centrado"/>
        <w:spacing w:before="0" w:beforeAutospacing="0" w:after="0" w:afterAutospacing="0"/>
        <w:jc w:val="center"/>
        <w:rPr>
          <w:rFonts w:ascii="Arial" w:hAnsi="Arial" w:cs="Arial"/>
          <w:b/>
          <w:bCs/>
          <w:sz w:val="22"/>
          <w:szCs w:val="22"/>
          <w:lang w:val="es-CO"/>
        </w:rPr>
      </w:pPr>
      <w:bookmarkStart w:id="85" w:name="SUBSECCIÓN_3-I-II-II"/>
      <w:r w:rsidRPr="006969B3">
        <w:rPr>
          <w:rFonts w:ascii="Arial" w:hAnsi="Arial" w:cs="Arial"/>
          <w:b/>
          <w:bCs/>
          <w:sz w:val="22"/>
          <w:szCs w:val="22"/>
          <w:lang w:val="es-CO"/>
        </w:rPr>
        <w:t>SUBSECCIÓN 3</w:t>
      </w:r>
      <w:bookmarkEnd w:id="85"/>
    </w:p>
    <w:p w14:paraId="62DB4BA3" w14:textId="77777777" w:rsidR="00D83E14" w:rsidRPr="006969B3" w:rsidRDefault="00D83E14" w:rsidP="00F65283">
      <w:pPr>
        <w:pStyle w:val="centrado"/>
        <w:spacing w:before="0" w:beforeAutospacing="0" w:after="0" w:afterAutospacing="0"/>
        <w:jc w:val="center"/>
        <w:rPr>
          <w:rFonts w:ascii="Arial" w:hAnsi="Arial" w:cs="Arial"/>
          <w:b/>
          <w:bCs/>
          <w:sz w:val="22"/>
          <w:szCs w:val="22"/>
          <w:lang w:val="es-CO"/>
        </w:rPr>
      </w:pPr>
    </w:p>
    <w:p w14:paraId="0592A2FD" w14:textId="05BA1A48" w:rsidR="00A357C0" w:rsidRPr="006969B3" w:rsidRDefault="00A357C0" w:rsidP="00F65283">
      <w:pPr>
        <w:pStyle w:val="centrado"/>
        <w:spacing w:before="0" w:beforeAutospacing="0" w:after="0" w:afterAutospacing="0"/>
        <w:jc w:val="center"/>
        <w:rPr>
          <w:rFonts w:ascii="Arial" w:hAnsi="Arial" w:cs="Arial"/>
          <w:b/>
          <w:bCs/>
          <w:sz w:val="22"/>
          <w:szCs w:val="22"/>
          <w:lang w:val="es-CO"/>
        </w:rPr>
      </w:pPr>
      <w:r w:rsidRPr="006969B3">
        <w:rPr>
          <w:rStyle w:val="baj"/>
          <w:rFonts w:ascii="Arial" w:hAnsi="Arial" w:cs="Arial"/>
          <w:b/>
          <w:bCs/>
          <w:sz w:val="22"/>
          <w:szCs w:val="22"/>
          <w:lang w:val="es-CO"/>
        </w:rPr>
        <w:t>LEGALIDAD PARA LA PROTECCIÓN SOCIAL</w:t>
      </w:r>
    </w:p>
    <w:p w14:paraId="6583876B" w14:textId="527F6EEB" w:rsidR="00A357C0" w:rsidRPr="006969B3" w:rsidRDefault="00A357C0" w:rsidP="00F65283">
      <w:pPr>
        <w:spacing w:after="0" w:line="240" w:lineRule="auto"/>
        <w:rPr>
          <w:rFonts w:ascii="Arial" w:hAnsi="Arial" w:cs="Arial"/>
          <w:lang w:val="es-CO"/>
        </w:rPr>
      </w:pPr>
    </w:p>
    <w:p w14:paraId="01EF06F7" w14:textId="77777777" w:rsidR="00A357C0" w:rsidRPr="006969B3" w:rsidRDefault="00A357C0" w:rsidP="00F65283">
      <w:pPr>
        <w:pStyle w:val="NormalWeb"/>
        <w:spacing w:before="0" w:beforeAutospacing="0" w:after="0" w:afterAutospacing="0"/>
        <w:jc w:val="both"/>
        <w:rPr>
          <w:rFonts w:ascii="Arial" w:hAnsi="Arial" w:cs="Arial"/>
          <w:sz w:val="22"/>
          <w:szCs w:val="22"/>
          <w:lang w:val="es-CO"/>
        </w:rPr>
      </w:pPr>
      <w:bookmarkStart w:id="86" w:name="75"/>
      <w:r w:rsidRPr="006969B3">
        <w:rPr>
          <w:rFonts w:ascii="Arial" w:hAnsi="Arial" w:cs="Arial"/>
          <w:sz w:val="22"/>
          <w:szCs w:val="22"/>
          <w:lang w:val="es-CO"/>
        </w:rPr>
        <w:t>ARTÍCULO 75. COMPETENCIAS DE INSPECCIÓN, VIGILANCIA Y CONTROL DE LA SUPERINTENDENCIA NACIONAL DE SALUD RESPECTO DE LA COMPOSICIÓN DE CAPITAL O DEL PATRIMONIO DE LAS EPS.</w:t>
      </w:r>
      <w:bookmarkEnd w:id="86"/>
      <w:r w:rsidRPr="006969B3">
        <w:rPr>
          <w:rFonts w:ascii="Arial" w:hAnsi="Arial" w:cs="Arial"/>
          <w:sz w:val="22"/>
          <w:szCs w:val="22"/>
          <w:lang w:val="es-CO"/>
        </w:rPr>
        <w:t> Todo acto jurídico sin consideración a su naturaleza, de nacionales o extranjeros que tenga por objeto o efecto la adquisición directa o indirecta del diez por ciento (10%) o más de la composición de capital o del patrimonio de una Entidad Promotora de Salud, ya se realice mediante una o varias operaciones de cualquier naturaleza, simultáneas o sucesivas o aquellas por medio de las cuales se incremente dicho porcentaje, requerirá, so pena de ineficacia de pleno derecho, la aprobación del Superintendente Nacional de Salud, quien examinará la idoneidad, responsabilidad y carácter de las personas interesadas en adquirirlas. El Superintendente, además, se cerciorará que el bienestar público será fomentado con dicha transacción.</w:t>
      </w:r>
    </w:p>
    <w:p w14:paraId="0E5985FE"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49EAE535" w14:textId="7DCF2208"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Superintendente Nacional de Salud verificará que el interesado o potencial adquirente haya acreditado como mínimo los siguientes requisitos, para obtener la aprobación:</w:t>
      </w:r>
    </w:p>
    <w:p w14:paraId="1F14B83F"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5367F3ED" w14:textId="1B762922"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 El origen de los recursos objeto del acto o negocio jurídico;</w:t>
      </w:r>
    </w:p>
    <w:p w14:paraId="3B06DA81"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5605BB7D" w14:textId="78ED19E2"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b) Tener un patrimonio equivalente a, por lo menos, 1.3 veces el capital que se compromete a aportar en el negocio o acto jurídico, incluyendo este último;</w:t>
      </w:r>
    </w:p>
    <w:p w14:paraId="4811414E"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34F695EF" w14:textId="11F19797"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c) Que por lo menos una tercera parte de los recursos con los que se realiza el negocio o acto jurídico, sean propios y no producto de operaciones de endeudamiento u otras análogas.</w:t>
      </w:r>
    </w:p>
    <w:p w14:paraId="7C513A7E" w14:textId="77777777" w:rsidR="00D83E14" w:rsidRPr="006969B3" w:rsidRDefault="00D83E14" w:rsidP="00F65283">
      <w:pPr>
        <w:pStyle w:val="NormalWeb"/>
        <w:spacing w:before="0" w:beforeAutospacing="0" w:after="0" w:afterAutospacing="0"/>
        <w:jc w:val="both"/>
        <w:rPr>
          <w:rFonts w:ascii="Arial" w:hAnsi="Arial" w:cs="Arial"/>
          <w:sz w:val="22"/>
          <w:szCs w:val="22"/>
          <w:lang w:val="es-CO"/>
        </w:rPr>
      </w:pPr>
    </w:p>
    <w:p w14:paraId="72E2BE66" w14:textId="77777777"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En todo caso, el Superintendente Nacional de Salud, mediante acto administrativo motivado, negará la aprobación de que trata el presente artículo, cuando el interesado o potencial adquirente, o alguno de sus socios, cuando aplique, se encuentren incursos en alguna o varias de las siguientes situaciones:</w:t>
      </w:r>
    </w:p>
    <w:p w14:paraId="6BAEDC3D"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7FAF4151" w14:textId="59033902"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 Haber sido condenado por delitos relacionados con el manejo de recursos públicos.</w:t>
      </w:r>
    </w:p>
    <w:p w14:paraId="00E1B7D1"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0169C0C8" w14:textId="2E43FA2F"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2. Haber sido condenado por delitos contra el patrimonio económico, lavado de activos, enriquecimiento ilícito y los establecidos en los Capítulos Segundo del Título X, Primero del Título XV y Segundo del Título XIII del Libro Segundo del Código Penal y las normas que los modifiquen o sustituyan.</w:t>
      </w:r>
    </w:p>
    <w:p w14:paraId="60FAE34A"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511571FA" w14:textId="1C3AD2CC"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3. Haber sido objeto de declaración de extinción de dominio, por incurrir en las causales previstas en el artículo</w:t>
      </w:r>
      <w:r w:rsidR="00BC20EB">
        <w:rPr>
          <w:rFonts w:ascii="Arial" w:hAnsi="Arial" w:cs="Arial"/>
          <w:sz w:val="22"/>
          <w:szCs w:val="22"/>
          <w:lang w:val="es-CO"/>
        </w:rPr>
        <w:t xml:space="preserve"> 16</w:t>
      </w:r>
      <w:r w:rsidRPr="006969B3">
        <w:rPr>
          <w:rFonts w:ascii="Arial" w:hAnsi="Arial" w:cs="Arial"/>
          <w:sz w:val="22"/>
          <w:szCs w:val="22"/>
          <w:lang w:val="es-CO"/>
        </w:rPr>
        <w:t> de la Ley 1708 de 2014 o disposiciones que la modifican o sustituyan.</w:t>
      </w:r>
    </w:p>
    <w:p w14:paraId="3CBA6E1F"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3EC25BF0" w14:textId="13EE6C38"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4. Haber sido sancionado por infringir las normas legales o reglamentarias sobre la integración vertical y de posición dominante.</w:t>
      </w:r>
    </w:p>
    <w:p w14:paraId="6A3B9661"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414DDC81" w14:textId="571F6391"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El Gobierno nacional adecuará, en lo pertinente, las normas vigentes sobre la habilitación y la permanencia de las Entidades Promotoras de Salud.</w:t>
      </w:r>
    </w:p>
    <w:p w14:paraId="55F385A9"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6311244B" w14:textId="0B04E5E0"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El Ministerio de Salud y Protección Social establecerá los parámetros necesarios para definir el beneficiario real de la transferencia, así como su identificación.</w:t>
      </w:r>
    </w:p>
    <w:p w14:paraId="23AD4DF8"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23AA2C83" w14:textId="7A5B8293"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3o.</w:t>
      </w:r>
      <w:r w:rsidRPr="006969B3">
        <w:rPr>
          <w:rFonts w:ascii="Arial" w:hAnsi="Arial" w:cs="Arial"/>
          <w:sz w:val="22"/>
          <w:szCs w:val="22"/>
          <w:lang w:val="es-CO"/>
        </w:rPr>
        <w:t> El presente artículo aplicará a la inversión extranjera en Entidades Promotoras de Salud sin perjuicio de lo establecido en régimen de la inversión de capitales del exterior en el país.</w:t>
      </w:r>
    </w:p>
    <w:p w14:paraId="527A5A35" w14:textId="4A94F3A4" w:rsidR="00A357C0" w:rsidRPr="006969B3" w:rsidRDefault="00A357C0" w:rsidP="00F65283">
      <w:pPr>
        <w:spacing w:after="0" w:line="240" w:lineRule="auto"/>
        <w:rPr>
          <w:rFonts w:ascii="Arial" w:hAnsi="Arial" w:cs="Arial"/>
          <w:lang w:val="es-CO"/>
        </w:rPr>
      </w:pPr>
    </w:p>
    <w:p w14:paraId="3AE37B12" w14:textId="6980D2F9" w:rsidR="00A357C0" w:rsidRPr="006969B3" w:rsidRDefault="00A357C0" w:rsidP="00F65283">
      <w:pPr>
        <w:pStyle w:val="NormalWeb"/>
        <w:spacing w:before="0" w:beforeAutospacing="0" w:after="0" w:afterAutospacing="0"/>
        <w:jc w:val="both"/>
        <w:rPr>
          <w:rFonts w:ascii="Arial" w:hAnsi="Arial" w:cs="Arial"/>
          <w:sz w:val="22"/>
          <w:szCs w:val="22"/>
          <w:lang w:val="es-CO"/>
        </w:rPr>
      </w:pPr>
      <w:bookmarkStart w:id="87" w:name="76"/>
      <w:r w:rsidRPr="006969B3">
        <w:rPr>
          <w:rFonts w:ascii="Arial" w:hAnsi="Arial" w:cs="Arial"/>
          <w:sz w:val="22"/>
          <w:szCs w:val="22"/>
          <w:lang w:val="es-CO"/>
        </w:rPr>
        <w:t>ARTÍCULO 76. CONTRIBUCIÓN DE VIGILANCIA A FAVOR DE LA SUPERINTENDENCIA NACIONAL DE SALUD.</w:t>
      </w:r>
      <w:bookmarkEnd w:id="87"/>
      <w:r w:rsidRPr="006969B3">
        <w:rPr>
          <w:rFonts w:ascii="Arial" w:hAnsi="Arial" w:cs="Arial"/>
          <w:sz w:val="22"/>
          <w:szCs w:val="22"/>
          <w:lang w:val="es-CO"/>
        </w:rPr>
        <w:t> Modifíquese el artículo</w:t>
      </w:r>
      <w:r w:rsidR="000424E7">
        <w:rPr>
          <w:rFonts w:ascii="Arial" w:hAnsi="Arial" w:cs="Arial"/>
          <w:sz w:val="22"/>
          <w:szCs w:val="22"/>
          <w:lang w:val="es-CO"/>
        </w:rPr>
        <w:t xml:space="preserve"> 98</w:t>
      </w:r>
      <w:r w:rsidRPr="006969B3">
        <w:rPr>
          <w:rFonts w:ascii="Arial" w:hAnsi="Arial" w:cs="Arial"/>
          <w:sz w:val="22"/>
          <w:szCs w:val="22"/>
          <w:lang w:val="es-CO"/>
        </w:rPr>
        <w:t> de la Ley 488 de 1998, el cual quedará así:</w:t>
      </w:r>
    </w:p>
    <w:p w14:paraId="5AC14D15"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43F536E2" w14:textId="6F1BFC11"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w:t>
      </w:r>
      <w:r w:rsidR="00BC20EB">
        <w:rPr>
          <w:rFonts w:ascii="Arial" w:hAnsi="Arial" w:cs="Arial"/>
          <w:sz w:val="22"/>
          <w:szCs w:val="22"/>
          <w:lang w:val="es-CO"/>
        </w:rPr>
        <w:t xml:space="preserve"> 98</w:t>
      </w:r>
      <w:r w:rsidRPr="006969B3">
        <w:rPr>
          <w:rFonts w:ascii="Arial" w:hAnsi="Arial" w:cs="Arial"/>
          <w:sz w:val="22"/>
          <w:szCs w:val="22"/>
          <w:lang w:val="es-CO"/>
        </w:rPr>
        <w:t>. Contribución de vigilancia a favor de la Superintendencia Nacional de Salud. La contribución de vigilancia a favor de la Superintendencia Nacional de Salud tendrá como fin apoyar el cubrimiento de los costos y gastos que ocasione el funcionamiento e inversión de dicha Superintendencia, la cual deberán cancelar anualmente las personas jurídicas de derecho privado y derecho público sometidos a Inspección, Vigilancia y Control (IVC) de acuerdo con la ley o el reglamento.</w:t>
      </w:r>
    </w:p>
    <w:p w14:paraId="3D32A510"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314751AC" w14:textId="44B70B20"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La contribución impuesta se causará el primer día calendario de enero. Si una entidad no permaneció bajo IVC durante todo el año anterior a la </w:t>
      </w:r>
      <w:proofErr w:type="spellStart"/>
      <w:r w:rsidRPr="006969B3">
        <w:rPr>
          <w:rFonts w:ascii="Arial" w:hAnsi="Arial" w:cs="Arial"/>
          <w:sz w:val="22"/>
          <w:szCs w:val="22"/>
          <w:lang w:val="es-CO"/>
        </w:rPr>
        <w:t>causación</w:t>
      </w:r>
      <w:proofErr w:type="spellEnd"/>
      <w:r w:rsidRPr="006969B3">
        <w:rPr>
          <w:rFonts w:ascii="Arial" w:hAnsi="Arial" w:cs="Arial"/>
          <w:sz w:val="22"/>
          <w:szCs w:val="22"/>
          <w:lang w:val="es-CO"/>
        </w:rPr>
        <w:t>, pagará la contribución, con base en los ingresos operacionales del sector obtenidos durante el tiempo que estuvo activa.</w:t>
      </w:r>
    </w:p>
    <w:p w14:paraId="3FFFD86F"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1814F799" w14:textId="5AF339DE"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 contribución se fijará por parte de la Superintendencia Nacional de Salud conforme a los siguientes criterios:</w:t>
      </w:r>
    </w:p>
    <w:p w14:paraId="1E3F2FCE"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776B6053" w14:textId="551EEB8C"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 El total de las contribuciones apoyará el presupuesto anual de funcionamiento e inversión de la Superintendencia.</w:t>
      </w:r>
    </w:p>
    <w:p w14:paraId="30C27000" w14:textId="77777777" w:rsidR="001B0E49" w:rsidRDefault="001B0E49" w:rsidP="00F65283">
      <w:pPr>
        <w:pStyle w:val="NormalWeb"/>
        <w:spacing w:before="0" w:beforeAutospacing="0" w:after="0" w:afterAutospacing="0"/>
        <w:jc w:val="both"/>
        <w:rPr>
          <w:rFonts w:ascii="Arial" w:hAnsi="Arial" w:cs="Arial"/>
          <w:sz w:val="22"/>
          <w:szCs w:val="22"/>
          <w:lang w:val="es-CO"/>
        </w:rPr>
      </w:pPr>
    </w:p>
    <w:p w14:paraId="6D5B55BF" w14:textId="14F5B236"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2. Con base en los ingresos operacionales del sector causados a 31 de diciembre del año inmediatamente anterior, la Superintendencia Nacional de Salud, mediante resolución, establecerá anualmente la tarifa de la contribución a cobrar que no podrá ser superior al cero coma dos por ciento (0,2%) de dichos ingresos.</w:t>
      </w:r>
    </w:p>
    <w:p w14:paraId="69DEC91A"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63F57B7E" w14:textId="71D20266"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3. La contribución deberá pagarse en los plazos que para tal efecto determine la Superintendencia Nacional de Salud. De conformidad con el artículo</w:t>
      </w:r>
      <w:r w:rsidR="00BC20EB">
        <w:rPr>
          <w:rFonts w:ascii="Arial" w:hAnsi="Arial" w:cs="Arial"/>
          <w:sz w:val="22"/>
          <w:szCs w:val="22"/>
          <w:lang w:val="es-CO"/>
        </w:rPr>
        <w:t xml:space="preserve"> 3o</w:t>
      </w:r>
      <w:r w:rsidRPr="006969B3">
        <w:rPr>
          <w:rFonts w:ascii="Arial" w:hAnsi="Arial" w:cs="Arial"/>
          <w:sz w:val="22"/>
          <w:szCs w:val="22"/>
          <w:lang w:val="es-CO"/>
        </w:rPr>
        <w:t> de la Ley 1066 de 2006, los responsables de la contribución aquí establecida que no las cancelen oportunamente deberán liquidar y pagar intereses moratorios a la tasa prevista en el Estatuto Tributario.</w:t>
      </w:r>
    </w:p>
    <w:p w14:paraId="7EF1A984"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5B8F7B65" w14:textId="22D5CBA1"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xml:space="preserve"> Los recursos que administra la ADRES e INDUMIL, los prestadores de servicios de salud con objeto social diferente, los profesionales independientes, las EPS e IPS Indígenas, las Empresas Sociales del Estado acreditadas, así como las Instituciones Prestadoras de Servicios de Salud y los Hospitales Universitarios debidamente acreditados </w:t>
      </w:r>
      <w:r w:rsidRPr="006969B3">
        <w:rPr>
          <w:rFonts w:ascii="Arial" w:hAnsi="Arial" w:cs="Arial"/>
          <w:sz w:val="22"/>
          <w:szCs w:val="22"/>
          <w:lang w:val="es-CO"/>
        </w:rPr>
        <w:lastRenderedPageBreak/>
        <w:t>quedarán exonerados del pago de contribución de vigilancia a favor de la Superintendencia Nacional de Salud.</w:t>
      </w:r>
    </w:p>
    <w:p w14:paraId="7D14CCF8"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2A7DBDBD" w14:textId="43D1AD59"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La implementación de esta disposición se hará a partir del 1 de enero de 2020, la liquidación y recaudo de la tasa correspondiente a la anualidad 2019 se regirá por lo dispuesto en el artículo</w:t>
      </w:r>
      <w:r w:rsidR="000424E7">
        <w:rPr>
          <w:rFonts w:ascii="Arial" w:hAnsi="Arial" w:cs="Arial"/>
          <w:sz w:val="22"/>
          <w:szCs w:val="22"/>
          <w:lang w:val="es-CO"/>
        </w:rPr>
        <w:t xml:space="preserve"> 98</w:t>
      </w:r>
      <w:r w:rsidRPr="006969B3">
        <w:rPr>
          <w:rFonts w:ascii="Arial" w:hAnsi="Arial" w:cs="Arial"/>
          <w:sz w:val="22"/>
          <w:szCs w:val="22"/>
          <w:lang w:val="es-CO"/>
        </w:rPr>
        <w:t> de la Ley 488 de 1998.</w:t>
      </w:r>
    </w:p>
    <w:p w14:paraId="34E4D2A7" w14:textId="22083F54" w:rsidR="00A357C0" w:rsidRPr="006969B3" w:rsidRDefault="00A357C0" w:rsidP="00F65283">
      <w:pPr>
        <w:spacing w:after="0" w:line="240" w:lineRule="auto"/>
        <w:rPr>
          <w:rFonts w:ascii="Arial" w:hAnsi="Arial" w:cs="Arial"/>
          <w:lang w:val="es-CO"/>
        </w:rPr>
      </w:pPr>
    </w:p>
    <w:p w14:paraId="49722616" w14:textId="357AA404" w:rsidR="00A357C0" w:rsidRPr="006969B3" w:rsidRDefault="00A357C0" w:rsidP="00F65283">
      <w:pPr>
        <w:pStyle w:val="NormalWeb"/>
        <w:spacing w:before="0" w:beforeAutospacing="0" w:after="0" w:afterAutospacing="0"/>
        <w:jc w:val="both"/>
        <w:rPr>
          <w:rFonts w:ascii="Arial" w:hAnsi="Arial" w:cs="Arial"/>
          <w:sz w:val="22"/>
          <w:szCs w:val="22"/>
          <w:lang w:val="es-CO"/>
        </w:rPr>
      </w:pPr>
      <w:bookmarkStart w:id="88" w:name="77"/>
      <w:r w:rsidRPr="006969B3">
        <w:rPr>
          <w:rFonts w:ascii="Arial" w:hAnsi="Arial" w:cs="Arial"/>
          <w:sz w:val="22"/>
          <w:szCs w:val="22"/>
          <w:lang w:val="es-CO"/>
        </w:rPr>
        <w:t>ARTÍCULO 77. PROGRAMA DE SANEAMIENTO FISCAL Y FINANCIERO.</w:t>
      </w:r>
      <w:bookmarkEnd w:id="88"/>
      <w:r w:rsidRPr="006969B3">
        <w:rPr>
          <w:rFonts w:ascii="Arial" w:hAnsi="Arial" w:cs="Arial"/>
          <w:sz w:val="22"/>
          <w:szCs w:val="22"/>
          <w:lang w:val="es-CO"/>
        </w:rPr>
        <w:t>  Se entiende por Programa de Saneamiento Fiscal y Financiero de Empresas Sociales del Estado, un programa integral, institucional, financiero y administrativo, que tiene por objeto restablecer la solidez económica y financiera de estas Empresas y asegurar la continuidad, la calidad y la oportunidad en la prestación del servicio público de salud, respetando, en todo caso, lo señalado por el artículo</w:t>
      </w:r>
      <w:r w:rsidR="000424E7">
        <w:rPr>
          <w:rFonts w:ascii="Arial" w:hAnsi="Arial" w:cs="Arial"/>
          <w:sz w:val="22"/>
          <w:szCs w:val="22"/>
          <w:lang w:val="es-CO"/>
        </w:rPr>
        <w:t xml:space="preserve"> 24</w:t>
      </w:r>
      <w:r w:rsidRPr="006969B3">
        <w:rPr>
          <w:rFonts w:ascii="Arial" w:hAnsi="Arial" w:cs="Arial"/>
          <w:sz w:val="22"/>
          <w:szCs w:val="22"/>
          <w:lang w:val="es-CO"/>
        </w:rPr>
        <w:t> de la Ley 1751 de 2015.</w:t>
      </w:r>
    </w:p>
    <w:p w14:paraId="09EB1966" w14:textId="77777777" w:rsidR="00D83E14" w:rsidRPr="006969B3" w:rsidRDefault="00D83E14" w:rsidP="00F65283">
      <w:pPr>
        <w:pStyle w:val="NormalWeb"/>
        <w:spacing w:before="0" w:beforeAutospacing="0" w:after="0" w:afterAutospacing="0"/>
        <w:jc w:val="both"/>
        <w:rPr>
          <w:rFonts w:ascii="Arial" w:hAnsi="Arial" w:cs="Arial"/>
          <w:sz w:val="22"/>
          <w:szCs w:val="22"/>
          <w:lang w:val="es-CO"/>
        </w:rPr>
      </w:pPr>
    </w:p>
    <w:p w14:paraId="3B2BF687" w14:textId="77777777"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El Ministerio de Hacienda y Crédito Público definirá los parámetros generales de adopción, seguimiento y evaluación de los programas a que hace referencia este artículo y tendrá a cargo la viabilidad y evaluación de </w:t>
      </w:r>
      <w:proofErr w:type="gramStart"/>
      <w:r w:rsidRPr="006969B3">
        <w:rPr>
          <w:rFonts w:ascii="Arial" w:hAnsi="Arial" w:cs="Arial"/>
          <w:sz w:val="22"/>
          <w:szCs w:val="22"/>
          <w:lang w:val="es-CO"/>
        </w:rPr>
        <w:t>los mismos</w:t>
      </w:r>
      <w:proofErr w:type="gramEnd"/>
      <w:r w:rsidRPr="006969B3">
        <w:rPr>
          <w:rFonts w:ascii="Arial" w:hAnsi="Arial" w:cs="Arial"/>
          <w:sz w:val="22"/>
          <w:szCs w:val="22"/>
          <w:lang w:val="es-CO"/>
        </w:rPr>
        <w:t>.</w:t>
      </w:r>
    </w:p>
    <w:p w14:paraId="095F2276"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209D7F66" w14:textId="31724F76"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Las Empresas Sociales del Estado categorizadas en riesgo medio o alto, deberán adoptar un programa de saneamiento fiscal y financiero, con el acompañamiento de la dirección departamental o distrital de salud, conforme a la reglamentación y la metodología que defina el Ministerio de Hacienda y Crédito Público.</w:t>
      </w:r>
    </w:p>
    <w:p w14:paraId="6B08A9D5"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552D242D" w14:textId="21B9AC03"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Las Empresas Sociales del Estado cuyos Programas de Saneamiento Fiscal y Financiero se encuentren en proceso de viabilidad o debidamente viabilizados por el Ministerio de Hacienda y Crédito Público, a la fecha de </w:t>
      </w:r>
      <w:proofErr w:type="gramStart"/>
      <w:r w:rsidRPr="006969B3">
        <w:rPr>
          <w:rFonts w:ascii="Arial" w:hAnsi="Arial" w:cs="Arial"/>
          <w:sz w:val="22"/>
          <w:szCs w:val="22"/>
          <w:lang w:val="es-CO"/>
        </w:rPr>
        <w:t>entrada en vigencia</w:t>
      </w:r>
      <w:proofErr w:type="gramEnd"/>
      <w:r w:rsidRPr="006969B3">
        <w:rPr>
          <w:rFonts w:ascii="Arial" w:hAnsi="Arial" w:cs="Arial"/>
          <w:sz w:val="22"/>
          <w:szCs w:val="22"/>
          <w:lang w:val="es-CO"/>
        </w:rPr>
        <w:t xml:space="preserve"> de la presente Ley, no serán objeto de categorización del riesgo hasta tanto el Programa no se encuentre culminado.</w:t>
      </w:r>
    </w:p>
    <w:p w14:paraId="1FA162C3"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3FD1AE0F" w14:textId="573C2AD7"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Los recursos que destine la Nación, las entidades territoriales, las</w:t>
      </w:r>
      <w:r w:rsidR="00072838">
        <w:rPr>
          <w:rFonts w:ascii="Arial" w:hAnsi="Arial" w:cs="Arial"/>
          <w:sz w:val="22"/>
          <w:szCs w:val="22"/>
          <w:lang w:val="es-CO"/>
        </w:rPr>
        <w:t xml:space="preserve"> </w:t>
      </w:r>
      <w:r w:rsidRPr="006969B3">
        <w:rPr>
          <w:rFonts w:ascii="Arial" w:hAnsi="Arial" w:cs="Arial"/>
          <w:sz w:val="22"/>
          <w:szCs w:val="22"/>
          <w:lang w:val="es-CO"/>
        </w:rPr>
        <w:t>Leyes</w:t>
      </w:r>
      <w:r w:rsidR="00072838">
        <w:rPr>
          <w:rFonts w:ascii="Arial" w:hAnsi="Arial" w:cs="Arial"/>
          <w:sz w:val="22"/>
          <w:szCs w:val="22"/>
          <w:lang w:val="es-CO"/>
        </w:rPr>
        <w:t xml:space="preserve"> 1608 de 2013, 1797 de 2016</w:t>
      </w:r>
      <w:r w:rsidRPr="006969B3">
        <w:rPr>
          <w:rFonts w:ascii="Arial" w:hAnsi="Arial" w:cs="Arial"/>
          <w:sz w:val="22"/>
          <w:szCs w:val="22"/>
          <w:lang w:val="es-CO"/>
        </w:rPr>
        <w:t xml:space="preserve"> y demás disposiciones, se podrán aplicar conforme a la reglamentación definida por el Ministerio de Hacienda y Crédito Público.</w:t>
      </w:r>
    </w:p>
    <w:p w14:paraId="277E5D31"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6A0F5BE0" w14:textId="5327224F"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xml:space="preserve"> Las Empresas Sociales del Estado que hayan sido remitidas por el Ministerio de Hacienda y Crédito Público a la Superintendencia Nacional de Salud, antes de la </w:t>
      </w:r>
      <w:proofErr w:type="gramStart"/>
      <w:r w:rsidRPr="006969B3">
        <w:rPr>
          <w:rFonts w:ascii="Arial" w:hAnsi="Arial" w:cs="Arial"/>
          <w:sz w:val="22"/>
          <w:szCs w:val="22"/>
          <w:lang w:val="es-CO"/>
        </w:rPr>
        <w:t>entrada en vigencia</w:t>
      </w:r>
      <w:proofErr w:type="gramEnd"/>
      <w:r w:rsidRPr="006969B3">
        <w:rPr>
          <w:rFonts w:ascii="Arial" w:hAnsi="Arial" w:cs="Arial"/>
          <w:sz w:val="22"/>
          <w:szCs w:val="22"/>
          <w:lang w:val="es-CO"/>
        </w:rPr>
        <w:t xml:space="preserve"> de la presente ley y que en virtud de la competencia establecida en el artículo</w:t>
      </w:r>
      <w:r w:rsidR="00072838">
        <w:rPr>
          <w:rFonts w:ascii="Arial" w:hAnsi="Arial" w:cs="Arial"/>
          <w:sz w:val="22"/>
          <w:szCs w:val="22"/>
          <w:lang w:val="es-CO"/>
        </w:rPr>
        <w:t xml:space="preserve"> 80</w:t>
      </w:r>
      <w:r w:rsidRPr="006969B3">
        <w:rPr>
          <w:rFonts w:ascii="Arial" w:hAnsi="Arial" w:cs="Arial"/>
          <w:sz w:val="22"/>
          <w:szCs w:val="22"/>
          <w:lang w:val="es-CO"/>
        </w:rPr>
        <w:t> de la Ley 1438 de 2011, sean categorizadas en riesgo medio o alto por el Ministerio de Salud y Protección Social, podrán presentar un nuevo Programa de Saneamiento Fiscal y Financiero ante el Ministerio de Hacienda y Crédito Público.</w:t>
      </w:r>
    </w:p>
    <w:p w14:paraId="4E935EC2"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6A4485D3" w14:textId="78DB0301"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Las fundaciones que sean categorizadas en riesgo medio o alto por el Ministerio de Salud y Protección Social podrán adoptar un Programa de Saneamiento Fiscal y Financiero en las condiciones establecidas en el presente artículo, de conformidad con la reglamentación que para el efecto expida el Ministerio de Hacienda y Crédito Público y acceder a los recursos del Programa de Saneamiento Fiscal y Financiero de que trata la Ley</w:t>
      </w:r>
      <w:r w:rsidR="00BC20EB">
        <w:rPr>
          <w:rFonts w:ascii="Arial" w:hAnsi="Arial" w:cs="Arial"/>
          <w:sz w:val="22"/>
          <w:szCs w:val="22"/>
          <w:lang w:val="es-CO"/>
        </w:rPr>
        <w:t xml:space="preserve"> 1608</w:t>
      </w:r>
      <w:r w:rsidR="00BC20EB" w:rsidRPr="0074467C">
        <w:rPr>
          <w:lang w:val="es-CO"/>
        </w:rPr>
        <w:t xml:space="preserve"> </w:t>
      </w:r>
      <w:r w:rsidRPr="006969B3">
        <w:rPr>
          <w:rFonts w:ascii="Arial" w:hAnsi="Arial" w:cs="Arial"/>
          <w:sz w:val="22"/>
          <w:szCs w:val="22"/>
          <w:lang w:val="es-CO"/>
        </w:rPr>
        <w:t>de 2013 y demás normas.</w:t>
      </w:r>
    </w:p>
    <w:p w14:paraId="15673AB5"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61CEED9B" w14:textId="252EF484"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3o.</w:t>
      </w:r>
      <w:r w:rsidRPr="006969B3">
        <w:rPr>
          <w:rFonts w:ascii="Arial" w:hAnsi="Arial" w:cs="Arial"/>
          <w:sz w:val="22"/>
          <w:szCs w:val="22"/>
          <w:lang w:val="es-CO"/>
        </w:rPr>
        <w:t> El incumplimiento de lo dispuesto en el presente artículo genera responsabilidad disciplinaria y fiscal para los representantes legales y revisores fiscales, de las entidades territoriales y de las Empresas Sociales del Estado, según corresponda.</w:t>
      </w:r>
    </w:p>
    <w:p w14:paraId="51542C29"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5A7E3A1C" w14:textId="06A70AC0"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lastRenderedPageBreak/>
        <w:t>PARÁGRAFO 4o.</w:t>
      </w:r>
      <w:r w:rsidRPr="006969B3">
        <w:rPr>
          <w:rFonts w:ascii="Arial" w:hAnsi="Arial" w:cs="Arial"/>
          <w:sz w:val="22"/>
          <w:szCs w:val="22"/>
          <w:lang w:val="es-CO"/>
        </w:rPr>
        <w:t> El Ministerio de Hacienda y Crédito Público remitirá a la Superintendencia Nacional de Salud la información de las Empresas Sociales del Estado que, de acuerdo con las evaluaciones realizadas por el Ministerio incumplan el Programa de Saneamiento Fiscal y Financiero, para que la Superintendencia Nacional de Salud adelante las actuaciones a que haya lugar, de conformidad con el marco de sus competencias.</w:t>
      </w:r>
    </w:p>
    <w:p w14:paraId="1C5BB5CD"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bookmarkStart w:id="89" w:name="78"/>
    </w:p>
    <w:p w14:paraId="1045BFDF" w14:textId="055A3771"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78. AUTORIZACIÓN PARA EL USO DE LOS RECURSOS DE LAS ENTIDADES TERRITORIALES.</w:t>
      </w:r>
      <w:bookmarkEnd w:id="89"/>
      <w:r w:rsidRPr="006969B3">
        <w:rPr>
          <w:rFonts w:ascii="Arial" w:hAnsi="Arial" w:cs="Arial"/>
          <w:sz w:val="22"/>
          <w:szCs w:val="22"/>
          <w:lang w:val="es-CO"/>
        </w:rPr>
        <w:t> Las entidades territoriales podrán destinar al saneamiento fiscal y financiero de las Empresas Sociales del Estado categorizadas en riesgo medio o alto de la red de prestación de servicios de salud de su departamento, incluidas aquellas que no sean de su propiedad, los recursos dispuestos para este fin por la normatividad vigente y las demás que en adelante los dispongan. En todo caso, los citados recursos se podrán disponer siempre y cuando no sean requeridos para el saneamiento de aquellas ESE de propiedad de la entidad territorial. Los términos y condiciones para la transferencia y uso de los recursos se deben consignar en un documento debidamente firmado por las partes.</w:t>
      </w:r>
    </w:p>
    <w:p w14:paraId="710DA5D7"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5EDE9591" w14:textId="4F8EE9DD" w:rsidR="00A357C0" w:rsidRPr="006969B3" w:rsidRDefault="00A357C0" w:rsidP="00F65283">
      <w:pPr>
        <w:pStyle w:val="centrado"/>
        <w:spacing w:before="0" w:beforeAutospacing="0" w:after="0" w:afterAutospacing="0"/>
        <w:jc w:val="center"/>
        <w:rPr>
          <w:rFonts w:ascii="Arial" w:hAnsi="Arial" w:cs="Arial"/>
          <w:b/>
          <w:bCs/>
          <w:sz w:val="22"/>
          <w:szCs w:val="22"/>
          <w:lang w:val="es-CO"/>
        </w:rPr>
      </w:pPr>
      <w:bookmarkStart w:id="90" w:name="SUBSECCIÓN_4-I-II-II"/>
      <w:r w:rsidRPr="006969B3">
        <w:rPr>
          <w:rFonts w:ascii="Arial" w:hAnsi="Arial" w:cs="Arial"/>
          <w:b/>
          <w:bCs/>
          <w:sz w:val="22"/>
          <w:szCs w:val="22"/>
          <w:lang w:val="es-CO"/>
        </w:rPr>
        <w:t>SUBSECCIÓN 4</w:t>
      </w:r>
      <w:bookmarkEnd w:id="90"/>
    </w:p>
    <w:p w14:paraId="1FAAE9F7" w14:textId="77777777" w:rsidR="00D83E14" w:rsidRPr="006969B3" w:rsidRDefault="00D83E14" w:rsidP="0074467C">
      <w:pPr>
        <w:pStyle w:val="centrado"/>
        <w:spacing w:before="0" w:beforeAutospacing="0" w:after="0" w:afterAutospacing="0"/>
        <w:rPr>
          <w:rFonts w:ascii="Arial" w:hAnsi="Arial" w:cs="Arial"/>
          <w:b/>
          <w:bCs/>
          <w:sz w:val="22"/>
          <w:szCs w:val="22"/>
          <w:lang w:val="es-CO"/>
        </w:rPr>
      </w:pPr>
    </w:p>
    <w:p w14:paraId="2212D0D0" w14:textId="38AEA3DB" w:rsidR="00E73F70" w:rsidRPr="006969B3" w:rsidRDefault="00A357C0" w:rsidP="00E73F70">
      <w:pPr>
        <w:pStyle w:val="centrado"/>
        <w:spacing w:before="0" w:beforeAutospacing="0" w:after="0" w:afterAutospacing="0"/>
        <w:jc w:val="center"/>
        <w:rPr>
          <w:rFonts w:ascii="Arial" w:hAnsi="Arial" w:cs="Arial"/>
          <w:b/>
          <w:bCs/>
          <w:sz w:val="22"/>
          <w:szCs w:val="22"/>
          <w:lang w:val="es-CO"/>
        </w:rPr>
      </w:pPr>
      <w:r w:rsidRPr="006969B3">
        <w:rPr>
          <w:rStyle w:val="baj"/>
          <w:rFonts w:ascii="Arial" w:hAnsi="Arial" w:cs="Arial"/>
          <w:b/>
          <w:bCs/>
          <w:sz w:val="22"/>
          <w:szCs w:val="22"/>
          <w:lang w:val="es-CO"/>
        </w:rPr>
        <w:t>LEGALIDAD DE LA PROPIEDAD</w:t>
      </w:r>
    </w:p>
    <w:p w14:paraId="171B5BB8" w14:textId="46E16D9D" w:rsidR="00A357C0" w:rsidRPr="006969B3" w:rsidRDefault="00A357C0" w:rsidP="00F65283">
      <w:pPr>
        <w:spacing w:after="0" w:line="240" w:lineRule="auto"/>
        <w:rPr>
          <w:rFonts w:ascii="Arial" w:hAnsi="Arial" w:cs="Arial"/>
          <w:lang w:val="es-CO"/>
        </w:rPr>
      </w:pPr>
    </w:p>
    <w:p w14:paraId="0F9A6163" w14:textId="77777777" w:rsidR="00A357C0" w:rsidRPr="006969B3" w:rsidRDefault="00A357C0" w:rsidP="00F65283">
      <w:pPr>
        <w:pStyle w:val="NormalWeb"/>
        <w:spacing w:before="0" w:beforeAutospacing="0" w:after="0" w:afterAutospacing="0"/>
        <w:jc w:val="both"/>
        <w:rPr>
          <w:rFonts w:ascii="Arial" w:hAnsi="Arial" w:cs="Arial"/>
          <w:sz w:val="22"/>
          <w:szCs w:val="22"/>
          <w:lang w:val="es-CO"/>
        </w:rPr>
      </w:pPr>
      <w:bookmarkStart w:id="91" w:name="79"/>
      <w:r w:rsidRPr="006969B3">
        <w:rPr>
          <w:rFonts w:ascii="Arial" w:hAnsi="Arial" w:cs="Arial"/>
          <w:sz w:val="22"/>
          <w:szCs w:val="22"/>
          <w:lang w:val="es-CO"/>
        </w:rPr>
        <w:t>ARTÍCULO 79. NATURALEZA Y ORGANIZACIÓN DE LA GESTIÓN CATASTRAL.</w:t>
      </w:r>
      <w:bookmarkEnd w:id="91"/>
      <w:r w:rsidRPr="006969B3">
        <w:rPr>
          <w:rFonts w:ascii="Arial" w:hAnsi="Arial" w:cs="Arial"/>
          <w:sz w:val="22"/>
          <w:szCs w:val="22"/>
          <w:lang w:val="es-CO"/>
        </w:rPr>
        <w:t> La gestión catastral es un servicio público que comprende un conjunto de operaciones técnicas y administrativas orientadas a la adecuada formación, actualización, conservación y difusión de la información catastral, así como los procedimientos del enfoque catastral multipropósito que sean adoptados.</w:t>
      </w:r>
    </w:p>
    <w:p w14:paraId="2CD0220B"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3096C7A4" w14:textId="0A5CFFDB"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La gestión catastral será prestada por: i) Una autoridad catastral nacional que regulará la gestión catastral, y estará a cargo del Instituto Geográfico Agustín Codazzi (IGAC); </w:t>
      </w:r>
      <w:proofErr w:type="spellStart"/>
      <w:r w:rsidRPr="006969B3">
        <w:rPr>
          <w:rFonts w:ascii="Arial" w:hAnsi="Arial" w:cs="Arial"/>
          <w:sz w:val="22"/>
          <w:szCs w:val="22"/>
          <w:lang w:val="es-CO"/>
        </w:rPr>
        <w:t>ii</w:t>
      </w:r>
      <w:proofErr w:type="spellEnd"/>
      <w:r w:rsidRPr="006969B3">
        <w:rPr>
          <w:rFonts w:ascii="Arial" w:hAnsi="Arial" w:cs="Arial"/>
          <w:sz w:val="22"/>
          <w:szCs w:val="22"/>
          <w:lang w:val="es-CO"/>
        </w:rPr>
        <w:t xml:space="preserve">) Por gestores catastrales, encargados de adelantar la formación, actualización, conservación y difusión catastral, así como los procedimientos del enfoque catastral multipropósito adoptados para el efecto; y </w:t>
      </w:r>
      <w:proofErr w:type="spellStart"/>
      <w:r w:rsidRPr="006969B3">
        <w:rPr>
          <w:rFonts w:ascii="Arial" w:hAnsi="Arial" w:cs="Arial"/>
          <w:sz w:val="22"/>
          <w:szCs w:val="22"/>
          <w:lang w:val="es-CO"/>
        </w:rPr>
        <w:t>ii</w:t>
      </w:r>
      <w:proofErr w:type="spellEnd"/>
      <w:r w:rsidRPr="006969B3">
        <w:rPr>
          <w:rFonts w:ascii="Arial" w:hAnsi="Arial" w:cs="Arial"/>
          <w:sz w:val="22"/>
          <w:szCs w:val="22"/>
          <w:lang w:val="es-CO"/>
        </w:rPr>
        <w:t>) Por operadores catastrales, quienes desarrollarán labores operativas relativas a la gestión catastral.</w:t>
      </w:r>
    </w:p>
    <w:p w14:paraId="488889B0"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2375ACA8" w14:textId="47B6BD4A"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Instituto Geográfico Agustín Codazzi (IGAC) será la máxima autoridad catastral nacional y prestador por excepción del servicio público de catastro, en ausencia de gestores catastrales habilitados. En su rol de autoridad catastral, el IGAC mantendrá la función reguladora y ejecutora en materia de gestión catastral, agrología, cartografía, geografía y geodesia.</w:t>
      </w:r>
    </w:p>
    <w:p w14:paraId="41BD4F87"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746D66D8" w14:textId="3916FB8E"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Con el fin de garantizar el adecuado cumplimiento de los estándares de rigor y pertinencia de la gestión catastral, el Instituto Geográfico Agustín Codazzi (IGAC), convocará una instancia técnica asesora que asegure la idoneidad de la regulación técnica bajo su responsabilidad.</w:t>
      </w:r>
    </w:p>
    <w:p w14:paraId="2EDF34C5"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240F670E" w14:textId="16A0B8D3"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IGAC, a solicitud de parte, y previo cumplimiento de las condiciones jurídicas, técnicas, económicas y financieras, definidas en el respectivo marco regulatorio, habilitará como gestores catastrales para la prestación del servicio catastral a las entidades públicas nacionales o territoriales, incluyendo, entre otros, esquemas asociativos de entidades territoriales.</w:t>
      </w:r>
    </w:p>
    <w:p w14:paraId="23D4BA43"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7DF13DDA" w14:textId="43F8334C"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Los gestores catastrales podrán adelantar la gestión catastral para la formación, actualización y conservación catastral, así como los procedimientos del enfoque catastral multipropósito que sean adoptados, directamente o mediante la contratación de operadores catastrales.</w:t>
      </w:r>
    </w:p>
    <w:p w14:paraId="48507109"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2ADED61F" w14:textId="32FA530A"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Los operadores catastrales son las personas jurídicas, de derecho público o privado, </w:t>
      </w:r>
      <w:proofErr w:type="gramStart"/>
      <w:r w:rsidRPr="006969B3">
        <w:rPr>
          <w:rFonts w:ascii="Arial" w:hAnsi="Arial" w:cs="Arial"/>
          <w:sz w:val="22"/>
          <w:szCs w:val="22"/>
          <w:lang w:val="es-CO"/>
        </w:rPr>
        <w:t>que</w:t>
      </w:r>
      <w:proofErr w:type="gramEnd"/>
      <w:r w:rsidRPr="006969B3">
        <w:rPr>
          <w:rFonts w:ascii="Arial" w:hAnsi="Arial" w:cs="Arial"/>
          <w:sz w:val="22"/>
          <w:szCs w:val="22"/>
          <w:lang w:val="es-CO"/>
        </w:rPr>
        <w:t xml:space="preserve"> mediante contrato con uno o varios gestores catastrales, desarrollan labores operativas que sirven de insumo para adelantar los procesos de formación, actualización y conservación catastral, así como los procedimientos del enfoque catastral multipropósito que sean adoptados, conforme a la regulación que para el efecto expida el Gobierno nacional. Los operadores catastrales deberán cumplir con los requisitos de idoneidad que defina el Gobierno nacional. El IGAC será gestor catastral por excepción, en ausencia de gestores catastrales habilitados.</w:t>
      </w:r>
    </w:p>
    <w:p w14:paraId="06808B68"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41C93BE7" w14:textId="510D4E45"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 Superintendencia de Notariado y Registro (SNR) o la entidad que haga sus veces, ejercerá las funciones de inspección, vigilancia y control al ejercicio de la gestión catastral que adelantan todos los sujetos encargados de la gestión catastral incluyendo los gestores y operadores catastrales, así como los usuarios de este servicio.</w:t>
      </w:r>
    </w:p>
    <w:p w14:paraId="5BF09278"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600BE22F" w14:textId="0C70BC32"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 custodia y gestión de la información catastral corresponde al Estado a través del Instituto Geográfico Agustín Codazzi (IGAC), quien promoverá su producción y difusión. La información generada por los gestores catastrales en ejercicio de sus funciones deberá ser registrada, en los términos y condiciones definidos por la autoridad reguladora, en el Sistema Nacional de Información Catastral (SINIC), el cual será el instrumento para la gestión de la información catastral y debe ser interoperable con otros sistemas de información de acuerdo con los criterios que para el efecto defina la autoridad reguladora. La información registrada en el sistema se considera oficial para todos los fines.</w:t>
      </w:r>
    </w:p>
    <w:p w14:paraId="443C443E"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42F11A0A" w14:textId="693EBC51"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En todo caso, los gestores y operadores catastrales actuarán dando estricto cumplimiento a las disposiciones contenidas en las Leyes</w:t>
      </w:r>
      <w:r w:rsidR="00072838">
        <w:rPr>
          <w:rFonts w:ascii="Arial" w:hAnsi="Arial" w:cs="Arial"/>
          <w:sz w:val="22"/>
          <w:szCs w:val="22"/>
          <w:lang w:val="es-CO"/>
        </w:rPr>
        <w:t xml:space="preserve"> 1581</w:t>
      </w:r>
      <w:r w:rsidR="00072838" w:rsidRPr="0074467C">
        <w:rPr>
          <w:lang w:val="es-CO"/>
        </w:rPr>
        <w:t xml:space="preserve"> </w:t>
      </w:r>
      <w:r w:rsidRPr="006969B3">
        <w:rPr>
          <w:rFonts w:ascii="Arial" w:hAnsi="Arial" w:cs="Arial"/>
          <w:sz w:val="22"/>
          <w:szCs w:val="22"/>
          <w:lang w:val="es-CO"/>
        </w:rPr>
        <w:t>de 2012 y</w:t>
      </w:r>
      <w:r w:rsidR="00072838">
        <w:rPr>
          <w:rFonts w:ascii="Arial" w:hAnsi="Arial" w:cs="Arial"/>
          <w:sz w:val="22"/>
          <w:szCs w:val="22"/>
          <w:lang w:val="es-CO"/>
        </w:rPr>
        <w:t xml:space="preserve"> 1712</w:t>
      </w:r>
      <w:r w:rsidR="00072838" w:rsidRPr="0074467C">
        <w:rPr>
          <w:lang w:val="es-CO"/>
        </w:rPr>
        <w:t xml:space="preserve"> </w:t>
      </w:r>
      <w:r w:rsidRPr="006969B3">
        <w:rPr>
          <w:rFonts w:ascii="Arial" w:hAnsi="Arial" w:cs="Arial"/>
          <w:sz w:val="22"/>
          <w:szCs w:val="22"/>
          <w:lang w:val="es-CO"/>
        </w:rPr>
        <w:t>de 2014, o las normas que las modifiquen, complementen o adicionen.</w:t>
      </w:r>
    </w:p>
    <w:p w14:paraId="0B61BE2C"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3680B9DD" w14:textId="7ADE73F5"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Los departamentos podrán apoyar financiera, técnica y administrativamente a los municipios que asuman su gestión catastral y promoverán la coordinación entre gestores catastrales, asociaciones de municipios y municipios para la prestación del servicio público catastral en su jurisdicción.</w:t>
      </w:r>
    </w:p>
    <w:p w14:paraId="431365EE" w14:textId="77777777" w:rsidR="00D83E14" w:rsidRPr="006969B3" w:rsidRDefault="00D83E14" w:rsidP="00F65283">
      <w:pPr>
        <w:pStyle w:val="NormalWeb"/>
        <w:spacing w:before="0" w:beforeAutospacing="0" w:after="0" w:afterAutospacing="0"/>
        <w:jc w:val="both"/>
        <w:rPr>
          <w:rFonts w:ascii="Arial" w:hAnsi="Arial" w:cs="Arial"/>
          <w:sz w:val="22"/>
          <w:szCs w:val="22"/>
          <w:lang w:val="es-CO"/>
        </w:rPr>
      </w:pPr>
    </w:p>
    <w:p w14:paraId="03673106" w14:textId="77777777"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xml:space="preserve"> Conservarán su condición de gestor catastral aquellas entidades que, a la promulgación de la presente Ley, sean titulares de catastros descentralizados o mediante delegación ejerzan la gestión sin necesidad de trámite adicional alguno. Respecto de los catastros descentralizados, a la fecha de </w:t>
      </w:r>
      <w:proofErr w:type="gramStart"/>
      <w:r w:rsidRPr="006969B3">
        <w:rPr>
          <w:rFonts w:ascii="Arial" w:hAnsi="Arial" w:cs="Arial"/>
          <w:sz w:val="22"/>
          <w:szCs w:val="22"/>
          <w:lang w:val="es-CO"/>
        </w:rPr>
        <w:t>entrada en vigencia</w:t>
      </w:r>
      <w:proofErr w:type="gramEnd"/>
      <w:r w:rsidRPr="006969B3">
        <w:rPr>
          <w:rFonts w:ascii="Arial" w:hAnsi="Arial" w:cs="Arial"/>
          <w:sz w:val="22"/>
          <w:szCs w:val="22"/>
          <w:lang w:val="es-CO"/>
        </w:rPr>
        <w:t xml:space="preserve"> de la presente Ley, estos conservarán su calidad de autoridades catastrales por lo cual podrán promover, facilitar y planear el ejercicio de la gestión catastral en concordancia con la regulación nacional en materia catastral sin perjuicio de las competencias legales de la SNR, del IGAC y de la ANT.</w:t>
      </w:r>
    </w:p>
    <w:p w14:paraId="2B213834"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28D06F93" w14:textId="3FC95DD3"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Los gastos asociados a la gestión catastral constituyen gastos de inversión, sin perjuicio de los gastos de funcionamiento que requieran los gestores catastrales para desarrollar sus funciones.</w:t>
      </w:r>
    </w:p>
    <w:p w14:paraId="5EC8E7A9" w14:textId="77777777" w:rsidR="00E73F70" w:rsidRDefault="00E73F70" w:rsidP="00F65283">
      <w:pPr>
        <w:pStyle w:val="NormalWeb"/>
        <w:spacing w:before="0" w:beforeAutospacing="0" w:after="0" w:afterAutospacing="0"/>
        <w:jc w:val="both"/>
        <w:rPr>
          <w:rFonts w:ascii="Arial" w:hAnsi="Arial" w:cs="Arial"/>
          <w:sz w:val="22"/>
          <w:szCs w:val="22"/>
          <w:lang w:val="es-CO"/>
        </w:rPr>
      </w:pPr>
      <w:bookmarkStart w:id="92" w:name="80"/>
    </w:p>
    <w:p w14:paraId="18D09F26" w14:textId="184188A9" w:rsidR="00E228F9" w:rsidRPr="002C7C74" w:rsidRDefault="00E228F9" w:rsidP="4E526BFA">
      <w:pPr>
        <w:pStyle w:val="NormalWeb"/>
        <w:spacing w:before="0" w:beforeAutospacing="0" w:after="0" w:afterAutospacing="0"/>
        <w:jc w:val="both"/>
        <w:rPr>
          <w:rFonts w:ascii="Arial" w:hAnsi="Arial" w:cs="Arial"/>
          <w:sz w:val="20"/>
          <w:szCs w:val="20"/>
          <w:lang w:val="es-CO"/>
        </w:rPr>
      </w:pPr>
      <w:r w:rsidRPr="002C7C74">
        <w:rPr>
          <w:rFonts w:ascii="Arial" w:hAnsi="Arial" w:cs="Arial"/>
          <w:sz w:val="20"/>
          <w:szCs w:val="20"/>
          <w:lang w:val="es-CO"/>
        </w:rPr>
        <w:t xml:space="preserve">(Ver concepto: </w:t>
      </w:r>
      <w:hyperlink r:id="rId25">
        <w:r w:rsidRPr="002C7C74">
          <w:rPr>
            <w:rStyle w:val="Hipervnculo"/>
            <w:rFonts w:ascii="Arial" w:hAnsi="Arial" w:cs="Arial"/>
            <w:sz w:val="20"/>
            <w:szCs w:val="20"/>
            <w:lang w:val="es-CO"/>
          </w:rPr>
          <w:t>C-261 del 26/06/2022</w:t>
        </w:r>
      </w:hyperlink>
      <w:r w:rsidRPr="002C7C74">
        <w:rPr>
          <w:rFonts w:ascii="Arial" w:hAnsi="Arial" w:cs="Arial"/>
          <w:sz w:val="20"/>
          <w:szCs w:val="20"/>
          <w:lang w:val="es-CO"/>
        </w:rPr>
        <w:t xml:space="preserve"> </w:t>
      </w:r>
      <w:hyperlink r:id="rId26">
        <w:r w:rsidRPr="002C7C74">
          <w:rPr>
            <w:rStyle w:val="Hipervnculo"/>
            <w:rFonts w:ascii="Arial" w:hAnsi="Arial" w:cs="Arial"/>
            <w:sz w:val="20"/>
            <w:szCs w:val="20"/>
            <w:lang w:val="es-CO"/>
          </w:rPr>
          <w:t>C-731 del 26/01/202</w:t>
        </w:r>
        <w:r w:rsidR="095E2132" w:rsidRPr="002C7C74">
          <w:rPr>
            <w:rStyle w:val="Hipervnculo"/>
            <w:rFonts w:ascii="Arial" w:hAnsi="Arial" w:cs="Arial"/>
            <w:sz w:val="20"/>
            <w:szCs w:val="20"/>
            <w:lang w:val="es-CO"/>
          </w:rPr>
          <w:t>1</w:t>
        </w:r>
      </w:hyperlink>
    </w:p>
    <w:p w14:paraId="07726AB6" w14:textId="492C58EF" w:rsidR="58154AE7" w:rsidRDefault="58154AE7" w:rsidP="58154AE7">
      <w:pPr>
        <w:pStyle w:val="NormalWeb"/>
        <w:spacing w:before="0" w:beforeAutospacing="0" w:after="0" w:afterAutospacing="0"/>
        <w:jc w:val="both"/>
        <w:rPr>
          <w:lang w:val="es-CO"/>
        </w:rPr>
      </w:pPr>
    </w:p>
    <w:p w14:paraId="4767788D" w14:textId="2151EB9F"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80. GESTIÓN CATASTRAL A CARGO DE LA AGENCIA NACIONAL DE TIERRAS (ANT).</w:t>
      </w:r>
      <w:bookmarkEnd w:id="92"/>
      <w:r w:rsidRPr="006969B3">
        <w:rPr>
          <w:rFonts w:ascii="Arial" w:hAnsi="Arial" w:cs="Arial"/>
          <w:sz w:val="22"/>
          <w:szCs w:val="22"/>
          <w:lang w:val="es-CO"/>
        </w:rPr>
        <w:t> La Agencia Nacional de Tierras (ANT) en su calidad de gestor catastral, de acuerdo con los estándares y las especificaciones técnicas determinadas por el Instituto Geográfico Agustín Codazzi (IGAC), levantará los componentes físico y jurídico del catastro, necesarios para los procesos de ordenamiento social de la propiedad o los asociados al desarrollo de proyectos estratégicos del orden nacional priorizados por el Ministerio de Agricultura y Desarrollo Rural.</w:t>
      </w:r>
    </w:p>
    <w:p w14:paraId="3B4937B1"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6788A0C5" w14:textId="5C6C2160"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 Agencia Nacional de Tierras (ANT) incorporará la información levantada en el suelo rural de su competencia y alimentará con dicha información el sistema de información que el Instituto Geográfico Agustín Codazzi (IGAC) defina para el efecto. Para el levantamiento de los demás componentes, así como la información correspondiente al suelo urbano, el gestor catastral o el Instituto Geográfico Agustín Codazzi (IGAC) deberán coordinar con la Agencia Nacional de Tierras (ANT) para completar la intervención integral catastral. En este caso se procurará el levantamiento de la Información en campo con un único operador catastral. La Agencia Nacional de Tierras (ANT) no tendrá a su cargo la conservación catastral.</w:t>
      </w:r>
    </w:p>
    <w:p w14:paraId="7F8CA6D0" w14:textId="02EA56A6" w:rsidR="00A357C0" w:rsidRPr="006969B3" w:rsidRDefault="00A357C0" w:rsidP="00F65283">
      <w:pPr>
        <w:spacing w:after="0" w:line="240" w:lineRule="auto"/>
        <w:rPr>
          <w:rFonts w:ascii="Arial" w:hAnsi="Arial" w:cs="Arial"/>
          <w:lang w:val="es-CO"/>
        </w:rPr>
      </w:pPr>
    </w:p>
    <w:p w14:paraId="51E8866D" w14:textId="77777777" w:rsidR="00A357C0" w:rsidRPr="006969B3" w:rsidRDefault="00A357C0" w:rsidP="00F65283">
      <w:pPr>
        <w:pStyle w:val="NormalWeb"/>
        <w:spacing w:before="0" w:beforeAutospacing="0" w:after="0" w:afterAutospacing="0"/>
        <w:jc w:val="both"/>
        <w:rPr>
          <w:rFonts w:ascii="Arial" w:hAnsi="Arial" w:cs="Arial"/>
          <w:sz w:val="22"/>
          <w:szCs w:val="22"/>
          <w:lang w:val="es-CO"/>
        </w:rPr>
      </w:pPr>
      <w:bookmarkStart w:id="93" w:name="81"/>
      <w:r w:rsidRPr="006969B3">
        <w:rPr>
          <w:rFonts w:ascii="Arial" w:hAnsi="Arial" w:cs="Arial"/>
          <w:sz w:val="22"/>
          <w:szCs w:val="22"/>
          <w:lang w:val="es-CO"/>
        </w:rPr>
        <w:t>ARTÍCULO 81. INFRACCIONES AL RÉGIMEN DE PRESTACIÓN DEL SERVICIO PÚBLICO DE GESTIÓN CATASTRAL.</w:t>
      </w:r>
      <w:bookmarkEnd w:id="93"/>
      <w:r w:rsidRPr="006969B3">
        <w:rPr>
          <w:rFonts w:ascii="Arial" w:hAnsi="Arial" w:cs="Arial"/>
          <w:sz w:val="22"/>
          <w:szCs w:val="22"/>
          <w:lang w:val="es-CO"/>
        </w:rPr>
        <w:t> Los propietarios, ocupantes, tenedores o poseedores, titulares de derechos reales o quien tenga cualquier relación fáctica o jurídica con el predio, se encuentran obligados a permitir la entrada de los operadores del catastro a las diferentes unidades prediales cuando se les requiera, a suministrar información veraz y útil, así como a participar en las actividades derivadas del proceso de gestión catastral multipropósito; en igual sentido, les corresponde solicitar la anotación, modificación o rectificación de la Información predial de su Interés, no hacerlo será considerado una Infracción al régimen de gestión catastral.</w:t>
      </w:r>
    </w:p>
    <w:p w14:paraId="007ADEB5"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6079F004" w14:textId="730ACD82"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De otra parte, los gestores y operadores del servicio público de catastro serán sujetos del siguiente régimen de infracciones;</w:t>
      </w:r>
    </w:p>
    <w:p w14:paraId="18943140"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40F9C349" w14:textId="04BE6E25"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 No suministrar información oportunamente, o no suministrar información requerida por el Instituto Geográfico Agustín Codazzi (IGAC), relacionada con el Sistema Nacional de Información Catastral.</w:t>
      </w:r>
    </w:p>
    <w:p w14:paraId="05D761E8"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48C5AEB2" w14:textId="08321EE1"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2. Incumplir los procedimientos, protocolos o requisitos previstos por el Instituto Geográfico Agustín Codazzi (IGAC) para el suministro y consolidación de la Información catastral.</w:t>
      </w:r>
    </w:p>
    <w:p w14:paraId="01A68F35"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62CBC112" w14:textId="32D3C7D9"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3. Efectuar modificaciones en el Sistema Nacional de Información Catastral sin el cumplimiento de los requisitos documentales de orden técnico o jurídico, fijados por el Instituto Geográfico Agustín Codazzi (IGAC).</w:t>
      </w:r>
    </w:p>
    <w:p w14:paraId="759EDB03"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3DBACAA6" w14:textId="6DD092DB"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4. Efectuar modificaciones catastrales por fuera de los términos establecidos en los estándares, metodologías y procedimientos definidos por el Instituto Geográfico Agustín Codazzi (IGAC).</w:t>
      </w:r>
    </w:p>
    <w:p w14:paraId="70487919"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41FD067D" w14:textId="6A44E66B"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5. Exigir requisitos adicionales a los señalados para la ejecución de trámites o servicios catastrales.</w:t>
      </w:r>
    </w:p>
    <w:p w14:paraId="5E83BDAD"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22EECE7E" w14:textId="275AB94E"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6. No adelantar las labores de formación, conservación y actualización catastral, pese a haber sido habilitado para el efecto, por el Instituto Geográfico Agustín Codazzi (IGAC).</w:t>
      </w:r>
    </w:p>
    <w:p w14:paraId="357C9A65"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3E746C86" w14:textId="7F10759A"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7. Aplicar incorrectamente o no aplicar las metodologías, los estándares, metodologías y procedimientos técnicos definidos por el Instituto Geográfico Agustín Codazzi (IGAC) en el desarrollo de las actividades propias del catastro.</w:t>
      </w:r>
    </w:p>
    <w:p w14:paraId="7B6089EC"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137425BA" w14:textId="083BDB81"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8. Atrasar injustificadamente la validación de documentos en el Sistema Nacional de Información Catastral.</w:t>
      </w:r>
    </w:p>
    <w:p w14:paraId="061390D5"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69D80A43" w14:textId="41982D6D"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9. Realizar modificaciones catastrales sin los respectivos soportes.</w:t>
      </w:r>
    </w:p>
    <w:p w14:paraId="4143B091"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200EA74D" w14:textId="37A7F3E0"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10. Presentar desactualización injustificada de la gestión catastral.</w:t>
      </w:r>
    </w:p>
    <w:p w14:paraId="1E89FB77"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6D34EB38" w14:textId="5CD97C7F"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11. Incumplir los estándares en la entrega adecuada y oportuna de Información a los ciudadanos y en la atención de los trámites relacionados con la gestión catastral.</w:t>
      </w:r>
    </w:p>
    <w:p w14:paraId="1DDA6C7C"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2230B0AB" w14:textId="2E80CA37"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12. No cargar la información, o cargarla de manera incompleta, inoportuna y/o no veraz, al Sistema Nacional de Información Catastral.</w:t>
      </w:r>
    </w:p>
    <w:p w14:paraId="63069C37"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40F64432" w14:textId="5F8095FB"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13. Incumplir las disposiciones contenidas en la presente ley, la normativa proferida por el Instituto Geográfico Agustín Codazzi (IGAC) en ejercicio de su función regulatoria, las instrucciones y órdenes impartidas por la Superintendencia de Notariado y Registro y demás leyes, decretos y reglamentos que regulen la gestión catastral.</w:t>
      </w:r>
    </w:p>
    <w:p w14:paraId="1E1F8177"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42A31538" w14:textId="0FA3E89D"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xml:space="preserve"> Las infracciones establecidas en el presente artículo podrán ser aplicables al Instituto Geográfico Agustín Codazzi (IGAC) cuando ejerza funciones de gestor catastral por excepción, salvo las conductas relacionadas con la causal décima (10) de este artículo, para lo cual la Superintendencia de Notariado y Registro, o quien haga sus veces, se abstendrá de sancionar al IGAC por un término de cuatro (4) años contados a partir de la </w:t>
      </w:r>
      <w:proofErr w:type="gramStart"/>
      <w:r w:rsidRPr="006969B3">
        <w:rPr>
          <w:rFonts w:ascii="Arial" w:hAnsi="Arial" w:cs="Arial"/>
          <w:sz w:val="22"/>
          <w:szCs w:val="22"/>
          <w:lang w:val="es-CO"/>
        </w:rPr>
        <w:t>entrada en vigencia</w:t>
      </w:r>
      <w:proofErr w:type="gramEnd"/>
      <w:r w:rsidRPr="006969B3">
        <w:rPr>
          <w:rFonts w:ascii="Arial" w:hAnsi="Arial" w:cs="Arial"/>
          <w:sz w:val="22"/>
          <w:szCs w:val="22"/>
          <w:lang w:val="es-CO"/>
        </w:rPr>
        <w:t xml:space="preserve"> de la presente ley.</w:t>
      </w:r>
    </w:p>
    <w:p w14:paraId="0571E422" w14:textId="39B66F13" w:rsidR="00A357C0" w:rsidRPr="006969B3" w:rsidRDefault="00A357C0" w:rsidP="00F65283">
      <w:pPr>
        <w:spacing w:after="0" w:line="240" w:lineRule="auto"/>
        <w:rPr>
          <w:rFonts w:ascii="Arial" w:hAnsi="Arial" w:cs="Arial"/>
          <w:lang w:val="es-CO"/>
        </w:rPr>
      </w:pPr>
    </w:p>
    <w:p w14:paraId="7D499735" w14:textId="77777777" w:rsidR="00A357C0" w:rsidRPr="006969B3" w:rsidRDefault="00A357C0" w:rsidP="00F65283">
      <w:pPr>
        <w:pStyle w:val="NormalWeb"/>
        <w:spacing w:before="0" w:beforeAutospacing="0" w:after="0" w:afterAutospacing="0"/>
        <w:jc w:val="both"/>
        <w:rPr>
          <w:rFonts w:ascii="Arial" w:hAnsi="Arial" w:cs="Arial"/>
          <w:sz w:val="22"/>
          <w:szCs w:val="22"/>
          <w:lang w:val="es-CO"/>
        </w:rPr>
      </w:pPr>
      <w:bookmarkStart w:id="94" w:name="82"/>
      <w:r w:rsidRPr="006969B3">
        <w:rPr>
          <w:rFonts w:ascii="Arial" w:hAnsi="Arial" w:cs="Arial"/>
          <w:sz w:val="22"/>
          <w:szCs w:val="22"/>
          <w:lang w:val="es-CO"/>
        </w:rPr>
        <w:t>ARTÍCULO 82. RÉGIMEN SANCIONATORIO.</w:t>
      </w:r>
      <w:bookmarkEnd w:id="94"/>
      <w:r w:rsidRPr="006969B3">
        <w:rPr>
          <w:rFonts w:ascii="Arial" w:hAnsi="Arial" w:cs="Arial"/>
          <w:sz w:val="22"/>
          <w:szCs w:val="22"/>
          <w:lang w:val="es-CO"/>
        </w:rPr>
        <w:t> La comisión de las infracciones previstas en el artículo anterior, sin perjuicio de la responsabilidad penal, fiscal o disciplinaria, dará lugar a la imposición por parte de la Superintendencia de Notariado y Registro, o quien haga sus veces, de las siguientes sanciones:</w:t>
      </w:r>
    </w:p>
    <w:p w14:paraId="128DBD53"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0B3AC890" w14:textId="26CFF243"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 Multa entre veinticinco (25) y doscientos cuarenta y un mil seiscientos cuarenta y cinco (241.645) Unidades de Valor Tributario (UVT). Si la infracción se cometió durante varios años, el monto máximo de la multa se podrá aumentar hasta en ciento veinte mil ochocientos veintitrés (120.823) Unidades de Valor Tributario (UVT), por cada año adicional que dure la infracción.</w:t>
      </w:r>
    </w:p>
    <w:p w14:paraId="66D25397"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692CFCF9" w14:textId="62A4C97B"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2. Suspensión temporal de la habilitación en todas o algunas de las actividades que comprenden el servicio de gestión catastral.</w:t>
      </w:r>
    </w:p>
    <w:p w14:paraId="2D70DA3B"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7DF1D34A" w14:textId="2DDDB4E1"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3. Revocatoria de la habilitación como gestor catastral.</w:t>
      </w:r>
    </w:p>
    <w:p w14:paraId="158846D8"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4143C13B" w14:textId="61B6D7B4"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 Superintendencia de Notariado y Registro, o quien haga sus veces, seguirá el procedimiento administrativo general previsto en el Título III de la Ley</w:t>
      </w:r>
      <w:r w:rsidR="00F34431">
        <w:rPr>
          <w:rFonts w:ascii="Arial" w:hAnsi="Arial" w:cs="Arial"/>
          <w:sz w:val="22"/>
          <w:szCs w:val="22"/>
          <w:lang w:val="es-CO"/>
        </w:rPr>
        <w:t xml:space="preserve"> 1437</w:t>
      </w:r>
      <w:r w:rsidR="00F34431" w:rsidRPr="0074467C">
        <w:rPr>
          <w:lang w:val="es-CO"/>
        </w:rPr>
        <w:t xml:space="preserve"> </w:t>
      </w:r>
      <w:r w:rsidRPr="006969B3">
        <w:rPr>
          <w:rFonts w:ascii="Arial" w:hAnsi="Arial" w:cs="Arial"/>
          <w:sz w:val="22"/>
          <w:szCs w:val="22"/>
          <w:lang w:val="es-CO"/>
        </w:rPr>
        <w:t>de 2011 o las disposiciones que hagan sus veces.</w:t>
      </w:r>
    </w:p>
    <w:p w14:paraId="4BDAA7FC"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5F58DE4E" w14:textId="71B7AD4F"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lastRenderedPageBreak/>
        <w:t>Dentro de los criterios de atenuación se tendrán en cuenta las condiciones socioeconómicas del infractor aquí previstas, así como las contempladas en la Ley </w:t>
      </w:r>
      <w:r w:rsidR="00F34431">
        <w:rPr>
          <w:rFonts w:ascii="Arial" w:hAnsi="Arial" w:cs="Arial"/>
          <w:sz w:val="22"/>
          <w:szCs w:val="22"/>
          <w:lang w:val="es-CO"/>
        </w:rPr>
        <w:t>1437</w:t>
      </w:r>
      <w:r w:rsidRPr="006969B3">
        <w:rPr>
          <w:rFonts w:ascii="Arial" w:hAnsi="Arial" w:cs="Arial"/>
          <w:sz w:val="22"/>
          <w:szCs w:val="22"/>
          <w:lang w:val="es-CO"/>
        </w:rPr>
        <w:t> de 2011. Serán atenuantes específicas para la imposición de sanciones las siguientes conductas y situaciones:</w:t>
      </w:r>
    </w:p>
    <w:p w14:paraId="6CB14B52"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6F55496C" w14:textId="28129A2C"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 Informar de manera voluntaria a la Superintendencia de Notariado y Registro, o quien haga sus veces, la infracción antes de la notificación del auto de apertura de investigación.</w:t>
      </w:r>
    </w:p>
    <w:p w14:paraId="614A725E"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35EEB470" w14:textId="68A3719D"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2. Que las inconsistencias en el ejercicio de la prestación del servicio de gestión catastral no afecten la veracidad de la información.</w:t>
      </w:r>
    </w:p>
    <w:p w14:paraId="5F040330"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218CFE70" w14:textId="0012744B"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3. Corregir o mitigar por su cuenta las inconsistencias en la información catastral antes de la notificación del auto de práctica de pruebas.</w:t>
      </w:r>
    </w:p>
    <w:p w14:paraId="39FFAA5A"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3909C8AF" w14:textId="7EDA49ED"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 sanción la impondrá la Superintendencia de Notariado y Registro, o quien haga sus veces, según el grado de impacto en la gestión catastral y el factor de reincidencia y los demás agravantes contemplados en la Ley</w:t>
      </w:r>
      <w:r w:rsidR="00F34431">
        <w:rPr>
          <w:rFonts w:ascii="Arial" w:hAnsi="Arial" w:cs="Arial"/>
          <w:sz w:val="22"/>
          <w:szCs w:val="22"/>
          <w:lang w:val="es-CO"/>
        </w:rPr>
        <w:t xml:space="preserve"> 1437</w:t>
      </w:r>
      <w:r w:rsidRPr="006969B3">
        <w:rPr>
          <w:rFonts w:ascii="Arial" w:hAnsi="Arial" w:cs="Arial"/>
          <w:sz w:val="22"/>
          <w:szCs w:val="22"/>
          <w:lang w:val="es-CO"/>
        </w:rPr>
        <w:t> de 2011.</w:t>
      </w:r>
    </w:p>
    <w:p w14:paraId="79AA147C"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4764ABAE" w14:textId="2037043B"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 Superintendencia de Notariado y Registro, o quien haga sus veces, podrá imponer las medidas preventivas que determine necesarias y proporcionales, como la suspensión inmediata de todas o algunas de las actividades del infractor. Cuando la sanción sea la de suspensión o revocatoria de la gestión catastral, el Instituto Geográfico Agustín Codazzi (IGAC) asumirá temporalmente su ejercicio hasta cuando se habilite un gestor catastral, directamente o a través de un tercero.</w:t>
      </w:r>
    </w:p>
    <w:p w14:paraId="7C1AFE56" w14:textId="0CE0DD13" w:rsidR="00A357C0" w:rsidRPr="006969B3" w:rsidRDefault="00A357C0" w:rsidP="00F65283">
      <w:pPr>
        <w:spacing w:after="0" w:line="240" w:lineRule="auto"/>
        <w:rPr>
          <w:rFonts w:ascii="Arial" w:hAnsi="Arial" w:cs="Arial"/>
          <w:lang w:val="es-CO"/>
        </w:rPr>
      </w:pPr>
    </w:p>
    <w:p w14:paraId="329C1810" w14:textId="660C58D7" w:rsidR="00A357C0" w:rsidRPr="006969B3" w:rsidRDefault="00A357C0" w:rsidP="00F65283">
      <w:pPr>
        <w:pStyle w:val="NormalWeb"/>
        <w:spacing w:before="0" w:beforeAutospacing="0" w:after="0" w:afterAutospacing="0"/>
        <w:jc w:val="both"/>
        <w:rPr>
          <w:rFonts w:ascii="Arial" w:hAnsi="Arial" w:cs="Arial"/>
          <w:sz w:val="22"/>
          <w:szCs w:val="22"/>
          <w:lang w:val="es-CO"/>
        </w:rPr>
      </w:pPr>
      <w:bookmarkStart w:id="95" w:name="83"/>
      <w:r w:rsidRPr="006969B3">
        <w:rPr>
          <w:rFonts w:ascii="Arial" w:hAnsi="Arial" w:cs="Arial"/>
          <w:sz w:val="22"/>
          <w:szCs w:val="22"/>
          <w:lang w:val="es-CO"/>
        </w:rPr>
        <w:t>ARTÍCULO 83. INEMBARGABILIDAD, IMPRESCRIPTIBILIDAD E INALIENABILIDAD.</w:t>
      </w:r>
      <w:bookmarkEnd w:id="95"/>
      <w:r w:rsidRPr="006969B3">
        <w:rPr>
          <w:rFonts w:ascii="Arial" w:hAnsi="Arial" w:cs="Arial"/>
          <w:sz w:val="22"/>
          <w:szCs w:val="22"/>
          <w:lang w:val="es-CO"/>
        </w:rPr>
        <w:t>  Modifíquese el artículo</w:t>
      </w:r>
      <w:r w:rsidR="00F34431">
        <w:rPr>
          <w:rFonts w:ascii="Arial" w:hAnsi="Arial" w:cs="Arial"/>
          <w:sz w:val="22"/>
          <w:szCs w:val="22"/>
          <w:lang w:val="es-CO"/>
        </w:rPr>
        <w:t xml:space="preserve"> 10</w:t>
      </w:r>
      <w:r w:rsidR="00F34431" w:rsidRPr="0074467C">
        <w:rPr>
          <w:lang w:val="es-CO"/>
        </w:rPr>
        <w:t xml:space="preserve"> </w:t>
      </w:r>
      <w:r w:rsidRPr="006969B3">
        <w:rPr>
          <w:rFonts w:ascii="Arial" w:hAnsi="Arial" w:cs="Arial"/>
          <w:sz w:val="22"/>
          <w:szCs w:val="22"/>
          <w:lang w:val="es-CO"/>
        </w:rPr>
        <w:t>de la Ley 397 de 1997, el cual quedará así.</w:t>
      </w:r>
    </w:p>
    <w:p w14:paraId="2953EA2B" w14:textId="2C49FB39"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w:t>
      </w:r>
      <w:r w:rsidR="00BC20EB">
        <w:rPr>
          <w:rFonts w:ascii="Arial" w:hAnsi="Arial" w:cs="Arial"/>
          <w:sz w:val="22"/>
          <w:szCs w:val="22"/>
          <w:lang w:val="es-CO"/>
        </w:rPr>
        <w:t xml:space="preserve"> 10</w:t>
      </w:r>
      <w:r w:rsidRPr="006969B3">
        <w:rPr>
          <w:rFonts w:ascii="Arial" w:hAnsi="Arial" w:cs="Arial"/>
          <w:sz w:val="22"/>
          <w:szCs w:val="22"/>
          <w:lang w:val="es-CO"/>
        </w:rPr>
        <w:t>. Inembargabilidad, Imprescriptibilidad e Inalienabilidad. Los bienes de interés cultural de propiedad de entidades públicas son inembargables, imprescriptibles e inalienables.</w:t>
      </w:r>
    </w:p>
    <w:p w14:paraId="4190384A"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134B2A9F" w14:textId="4DFCE143"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Excepcionalmente podrán enajenarse a particulares bienes de interés cultural de propiedad de entidades públicas, previo concepto favorable del Consejo Nacional de Patrimonio Cultural o de los respectivos consejos departamentales o distritales de patrimonio cultural, según el caso, en los siguientes eventos:</w:t>
      </w:r>
    </w:p>
    <w:p w14:paraId="68067A6C"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1C91D374" w14:textId="5429F0C4"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 Cuando el bien de interés cultural se encuentre en el marco del régimen de propiedad horizontal y la entidad pública sea propietaria de una o varias unidades de vivienda, comercio o industria, y la enajenación se requiera para garantizar la integridad y protección del inmueble.</w:t>
      </w:r>
    </w:p>
    <w:p w14:paraId="446F1C25"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2169CBE7" w14:textId="5B937EAA"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2. Cuando la entidad pública sea propietaria del derecho proindiviso o cuota sobre bienes inmuebles, así como derechos fiduciarios en fideicomisos que tienen como bien(es) fideicomitido(s) inmuebles enajenación se requiera para garantizar la integridad y protección del inmueble.</w:t>
      </w:r>
    </w:p>
    <w:p w14:paraId="5276AB49"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72C030AF" w14:textId="75978FDB"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3. Cuando el bien de interés cultural haya sido objeto de extinción de dominio.</w:t>
      </w:r>
    </w:p>
    <w:p w14:paraId="6B543E06"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5218AC9F" w14:textId="2D95EA8F"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4. Cuando el bien de interés cultural tenga uso comercial, de servicios o industrial y la entidad pública no pueda usarlo o mantenerlo, de forma que el bien tenga riesgo de deterioro.</w:t>
      </w:r>
    </w:p>
    <w:p w14:paraId="3403ADB8"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17A34421" w14:textId="19DC505D"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5. Cuando la enajenación se haga a instituciones de educación superior o a entidades de derecho privado sin ánimo de lucro que desarrollen de forma principal actividades culturales o de defensa del patrimonio cultural.</w:t>
      </w:r>
    </w:p>
    <w:p w14:paraId="15B72793"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6D795CD5" w14:textId="0C2C2C96"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En todos los casos previstos en este artículo, el respectivo bien mantendrá su condición de bien de interés cultural y quien lo adquiera estará obligado a cumplir las normas aplicables en el régimen especial de protección.</w:t>
      </w:r>
    </w:p>
    <w:p w14:paraId="7BDB5C17"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63EB5615" w14:textId="2E75E4E8"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Dentro de los títulos jurídicos de enajenación a particulares y/o entidades públicas se incluye el aporte fiduciario. En todo caso la enajenación se regirá por el régimen de contratación que cobije a la respectiva entidad pública enajenante y demás normas aplicables.</w:t>
      </w:r>
    </w:p>
    <w:p w14:paraId="33A56E5C"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56524376" w14:textId="67DBFE15"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El Ministerio de Cultura podrá autorizar la enajenación o el préstamo de bienes de interés cultural del ámbito nacional entre entidades públicas. Los municipios, los departamentos, las autoridades de los territorios indígenas y de las comunidades negras de que trata la Ley</w:t>
      </w:r>
      <w:r w:rsidR="00F34431">
        <w:rPr>
          <w:rFonts w:ascii="Arial" w:hAnsi="Arial" w:cs="Arial"/>
          <w:sz w:val="22"/>
          <w:szCs w:val="22"/>
          <w:lang w:val="es-CO"/>
        </w:rPr>
        <w:t xml:space="preserve"> 70</w:t>
      </w:r>
      <w:r w:rsidR="00F34431" w:rsidRPr="0074467C">
        <w:rPr>
          <w:lang w:val="es-CO"/>
        </w:rPr>
        <w:t xml:space="preserve"> </w:t>
      </w:r>
      <w:r w:rsidRPr="006969B3">
        <w:rPr>
          <w:rFonts w:ascii="Arial" w:hAnsi="Arial" w:cs="Arial"/>
          <w:sz w:val="22"/>
          <w:szCs w:val="22"/>
          <w:lang w:val="es-CO"/>
        </w:rPr>
        <w:t>de 1993, serán las encargadas de dar aplicación a lo previsto en este parágrafo respecto de los bienes de interés cultural declarados por ellas.</w:t>
      </w:r>
    </w:p>
    <w:p w14:paraId="280F9C86"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2CF2EBEC" w14:textId="52DF05F1"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Las autoridades señaladas en este parágrafo podrán autorizar a las entidades públicas propietarias de bienes de interés cultural para darlos en comodato a entidades privadas sin ánimo de lucro de reconocida idoneidad, hasta por el término de cinco (5) años prorrogables con sujeción a lo previsto en el artículo</w:t>
      </w:r>
      <w:r w:rsidR="00F34431">
        <w:rPr>
          <w:rFonts w:ascii="Arial" w:hAnsi="Arial" w:cs="Arial"/>
          <w:sz w:val="22"/>
          <w:szCs w:val="22"/>
          <w:lang w:val="es-CO"/>
        </w:rPr>
        <w:t xml:space="preserve"> 355</w:t>
      </w:r>
      <w:r w:rsidRPr="006969B3">
        <w:rPr>
          <w:rFonts w:ascii="Arial" w:hAnsi="Arial" w:cs="Arial"/>
          <w:sz w:val="22"/>
          <w:szCs w:val="22"/>
          <w:lang w:val="es-CO"/>
        </w:rPr>
        <w:t>  de la Constitución Política, celebrar convenios interadministrativos y de asociación en la forma prevista en los artículos</w:t>
      </w:r>
      <w:r w:rsidR="00F34431">
        <w:rPr>
          <w:rFonts w:ascii="Arial" w:hAnsi="Arial" w:cs="Arial"/>
          <w:sz w:val="22"/>
          <w:szCs w:val="22"/>
          <w:lang w:val="es-CO"/>
        </w:rPr>
        <w:t xml:space="preserve"> 95 y 96</w:t>
      </w:r>
      <w:r w:rsidRPr="006969B3">
        <w:rPr>
          <w:rFonts w:ascii="Arial" w:hAnsi="Arial" w:cs="Arial"/>
          <w:sz w:val="22"/>
          <w:szCs w:val="22"/>
          <w:lang w:val="es-CO"/>
        </w:rPr>
        <w:t>  de la Ley 489 de 1998 o en las normas que los modifiquen o sustituyan, y en general, celebrar cualquier tipo de contrato, incluidos los de concesión y alianzas público-privadas, que impliquen la entrega de dichos bienes a particulares, siempre que cualquiera de las modalidades que se utilicen se dirijan a proveer y garantizar lo necesario para la protección, recuperación, conservación, sostenibilidad y divulgación de los mismos, sin afectar su inalienabilidad, imprescriptibilidad e inembargabilidad.</w:t>
      </w:r>
    </w:p>
    <w:p w14:paraId="7E517F58" w14:textId="79F48948" w:rsidR="00A357C0" w:rsidRPr="006969B3" w:rsidRDefault="00A357C0" w:rsidP="00F65283">
      <w:pPr>
        <w:spacing w:after="0" w:line="240" w:lineRule="auto"/>
        <w:rPr>
          <w:rFonts w:ascii="Arial" w:hAnsi="Arial" w:cs="Arial"/>
          <w:lang w:val="es-CO"/>
        </w:rPr>
      </w:pPr>
    </w:p>
    <w:p w14:paraId="178F3F2B" w14:textId="5614F4BE" w:rsidR="00A357C0" w:rsidRPr="006969B3" w:rsidRDefault="00A357C0" w:rsidP="00F65283">
      <w:pPr>
        <w:pStyle w:val="NormalWeb"/>
        <w:spacing w:before="0" w:beforeAutospacing="0" w:after="0" w:afterAutospacing="0"/>
        <w:jc w:val="both"/>
        <w:rPr>
          <w:rFonts w:ascii="Arial" w:hAnsi="Arial" w:cs="Arial"/>
          <w:sz w:val="22"/>
          <w:szCs w:val="22"/>
          <w:lang w:val="es-CO"/>
        </w:rPr>
      </w:pPr>
      <w:bookmarkStart w:id="96" w:name="84"/>
      <w:r w:rsidRPr="006969B3">
        <w:rPr>
          <w:rFonts w:ascii="Arial" w:hAnsi="Arial" w:cs="Arial"/>
          <w:sz w:val="22"/>
          <w:szCs w:val="22"/>
          <w:lang w:val="es-CO"/>
        </w:rPr>
        <w:t>ARTÍCULO 84. REGISTRO ÚNICO DE PREDIOS Y TERRITORIOS ABANDONADOS (RUPTA).</w:t>
      </w:r>
      <w:bookmarkEnd w:id="96"/>
      <w:r w:rsidRPr="006969B3">
        <w:rPr>
          <w:rFonts w:ascii="Arial" w:hAnsi="Arial" w:cs="Arial"/>
          <w:sz w:val="22"/>
          <w:szCs w:val="22"/>
          <w:lang w:val="es-CO"/>
        </w:rPr>
        <w:t> Adiciónese a la Ley</w:t>
      </w:r>
      <w:r w:rsidR="00F34431">
        <w:rPr>
          <w:rFonts w:ascii="Arial" w:hAnsi="Arial" w:cs="Arial"/>
          <w:sz w:val="22"/>
          <w:szCs w:val="22"/>
          <w:lang w:val="es-CO"/>
        </w:rPr>
        <w:t xml:space="preserve"> 387</w:t>
      </w:r>
      <w:r w:rsidRPr="006969B3">
        <w:rPr>
          <w:rFonts w:ascii="Arial" w:hAnsi="Arial" w:cs="Arial"/>
          <w:sz w:val="22"/>
          <w:szCs w:val="22"/>
          <w:lang w:val="es-CO"/>
        </w:rPr>
        <w:t> de 1995</w:t>
      </w:r>
      <w:r w:rsidR="00710605">
        <w:rPr>
          <w:rFonts w:ascii="Arial" w:hAnsi="Arial" w:cs="Arial"/>
          <w:sz w:val="22"/>
          <w:szCs w:val="22"/>
          <w:lang w:val="es-CO"/>
        </w:rPr>
        <w:t xml:space="preserve"> </w:t>
      </w:r>
      <w:r w:rsidRPr="006969B3">
        <w:rPr>
          <w:rFonts w:ascii="Arial" w:hAnsi="Arial" w:cs="Arial"/>
          <w:sz w:val="22"/>
          <w:szCs w:val="22"/>
          <w:lang w:val="es-CO"/>
        </w:rPr>
        <w:t>un nuevo artículo, el cual quedará así:</w:t>
      </w:r>
    </w:p>
    <w:p w14:paraId="7BEDED72"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6D77132F" w14:textId="3BC7327D"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w:t>
      </w:r>
      <w:r w:rsidR="00BC20EB">
        <w:rPr>
          <w:rFonts w:ascii="Arial" w:hAnsi="Arial" w:cs="Arial"/>
          <w:sz w:val="22"/>
          <w:szCs w:val="22"/>
          <w:lang w:val="es-CO"/>
        </w:rPr>
        <w:t xml:space="preserve"> 33A</w:t>
      </w:r>
      <w:r w:rsidR="00BC20EB" w:rsidRPr="0074467C">
        <w:rPr>
          <w:lang w:val="es-CO"/>
        </w:rPr>
        <w:t>.</w:t>
      </w:r>
      <w:r w:rsidRPr="006969B3">
        <w:rPr>
          <w:rFonts w:ascii="Arial" w:hAnsi="Arial" w:cs="Arial"/>
          <w:sz w:val="22"/>
          <w:szCs w:val="22"/>
          <w:lang w:val="es-CO"/>
        </w:rPr>
        <w:t xml:space="preserve"> La inscripción en el Registro Único de Predios y Territorios Abandonados (</w:t>
      </w:r>
      <w:proofErr w:type="spellStart"/>
      <w:r w:rsidRPr="006969B3">
        <w:rPr>
          <w:rFonts w:ascii="Arial" w:hAnsi="Arial" w:cs="Arial"/>
          <w:sz w:val="22"/>
          <w:szCs w:val="22"/>
          <w:lang w:val="es-CO"/>
        </w:rPr>
        <w:t>Rupta</w:t>
      </w:r>
      <w:proofErr w:type="spellEnd"/>
      <w:r w:rsidRPr="006969B3">
        <w:rPr>
          <w:rFonts w:ascii="Arial" w:hAnsi="Arial" w:cs="Arial"/>
          <w:sz w:val="22"/>
          <w:szCs w:val="22"/>
          <w:lang w:val="es-CO"/>
        </w:rPr>
        <w:t>), creado por la Ley</w:t>
      </w:r>
      <w:r w:rsidR="00F34431">
        <w:rPr>
          <w:rFonts w:ascii="Arial" w:hAnsi="Arial" w:cs="Arial"/>
          <w:sz w:val="22"/>
          <w:szCs w:val="22"/>
          <w:lang w:val="es-CO"/>
        </w:rPr>
        <w:t xml:space="preserve"> 387</w:t>
      </w:r>
      <w:r w:rsidRPr="006969B3">
        <w:rPr>
          <w:rFonts w:ascii="Arial" w:hAnsi="Arial" w:cs="Arial"/>
          <w:sz w:val="22"/>
          <w:szCs w:val="22"/>
          <w:lang w:val="es-CO"/>
        </w:rPr>
        <w:t xml:space="preserve"> de 1995, procederá de oficio, o por solicitud del interesado y deberá realizarse dentro de los dos (2) años siguientes al hecho </w:t>
      </w:r>
      <w:proofErr w:type="spellStart"/>
      <w:r w:rsidRPr="006969B3">
        <w:rPr>
          <w:rFonts w:ascii="Arial" w:hAnsi="Arial" w:cs="Arial"/>
          <w:sz w:val="22"/>
          <w:szCs w:val="22"/>
          <w:lang w:val="es-CO"/>
        </w:rPr>
        <w:t>victimizante</w:t>
      </w:r>
      <w:proofErr w:type="spellEnd"/>
      <w:r w:rsidRPr="006969B3">
        <w:rPr>
          <w:rFonts w:ascii="Arial" w:hAnsi="Arial" w:cs="Arial"/>
          <w:sz w:val="22"/>
          <w:szCs w:val="22"/>
          <w:lang w:val="es-CO"/>
        </w:rPr>
        <w:t>, salvo fuerza mayor o caso fortuito.</w:t>
      </w:r>
    </w:p>
    <w:p w14:paraId="31D07990"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0C27E59E" w14:textId="76340C83"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La cancelación en el </w:t>
      </w:r>
      <w:proofErr w:type="spellStart"/>
      <w:r w:rsidRPr="006969B3">
        <w:rPr>
          <w:rFonts w:ascii="Arial" w:hAnsi="Arial" w:cs="Arial"/>
          <w:sz w:val="22"/>
          <w:szCs w:val="22"/>
          <w:lang w:val="es-CO"/>
        </w:rPr>
        <w:t>Rupta</w:t>
      </w:r>
      <w:proofErr w:type="spellEnd"/>
      <w:r w:rsidRPr="006969B3">
        <w:rPr>
          <w:rFonts w:ascii="Arial" w:hAnsi="Arial" w:cs="Arial"/>
          <w:sz w:val="22"/>
          <w:szCs w:val="22"/>
          <w:lang w:val="es-CO"/>
        </w:rPr>
        <w:t xml:space="preserve"> procederá en cualquier tiempo respecto de medidas individuales o colectivas, de oficio o por solicitud del beneficiario de la medida o del propietario del predio. Una vez recibida la solicitud, o iniciado el trámite de oficio, la Unidad Administrativa Especial de Gestión de Restitución de Tierras Despojadas, comunicará dicho trámite a través del medio más eficaz a quienes puedan verse directamente afectados por la decisión, a fin de que puedan intervenir en el trámite administrativo para aportar las pruebas que se pretendan hacer valer. La referida Unidad tendrá un término de sesenta (60) días contados a partir del momento en que acometa el estudio para decidir sobre la inclusión o cancelación en el </w:t>
      </w:r>
      <w:proofErr w:type="spellStart"/>
      <w:r w:rsidRPr="006969B3">
        <w:rPr>
          <w:rFonts w:ascii="Arial" w:hAnsi="Arial" w:cs="Arial"/>
          <w:sz w:val="22"/>
          <w:szCs w:val="22"/>
          <w:lang w:val="es-CO"/>
        </w:rPr>
        <w:t>Rupta</w:t>
      </w:r>
      <w:proofErr w:type="spellEnd"/>
      <w:r w:rsidRPr="006969B3">
        <w:rPr>
          <w:rFonts w:ascii="Arial" w:hAnsi="Arial" w:cs="Arial"/>
          <w:sz w:val="22"/>
          <w:szCs w:val="22"/>
          <w:lang w:val="es-CO"/>
        </w:rPr>
        <w:t>. Este término podrá ser prorrogado hasta por treinta (30) días, cuando existan o sobrevengan circunstancias que lo justifiquen. El Gobierno nacional reglamentará este procedimiento administrativo especial, en armonía con la Ley</w:t>
      </w:r>
      <w:r w:rsidR="006E3936">
        <w:rPr>
          <w:rFonts w:ascii="Arial" w:hAnsi="Arial" w:cs="Arial"/>
          <w:sz w:val="22"/>
          <w:szCs w:val="22"/>
          <w:lang w:val="es-CO"/>
        </w:rPr>
        <w:t xml:space="preserve"> 1448</w:t>
      </w:r>
      <w:r w:rsidR="006E3936" w:rsidRPr="0074467C">
        <w:rPr>
          <w:lang w:val="es-CO"/>
        </w:rPr>
        <w:t xml:space="preserve"> </w:t>
      </w:r>
      <w:r w:rsidRPr="006969B3">
        <w:rPr>
          <w:rFonts w:ascii="Arial" w:hAnsi="Arial" w:cs="Arial"/>
          <w:sz w:val="22"/>
          <w:szCs w:val="22"/>
          <w:lang w:val="es-CO"/>
        </w:rPr>
        <w:t>de 2011.</w:t>
      </w:r>
    </w:p>
    <w:p w14:paraId="71A09578" w14:textId="25D45178" w:rsidR="00A357C0" w:rsidRPr="006969B3" w:rsidRDefault="00A357C0" w:rsidP="00F65283">
      <w:pPr>
        <w:spacing w:after="0" w:line="240" w:lineRule="auto"/>
        <w:rPr>
          <w:rFonts w:ascii="Arial" w:hAnsi="Arial" w:cs="Arial"/>
          <w:lang w:val="es-CO"/>
        </w:rPr>
      </w:pPr>
    </w:p>
    <w:p w14:paraId="6AF9934C" w14:textId="54E6DEDD" w:rsidR="00E73F70" w:rsidRPr="006969B3" w:rsidRDefault="00A357C0" w:rsidP="00F65283">
      <w:pPr>
        <w:pStyle w:val="NormalWeb"/>
        <w:spacing w:before="0" w:beforeAutospacing="0" w:after="0" w:afterAutospacing="0"/>
        <w:jc w:val="both"/>
        <w:rPr>
          <w:rFonts w:ascii="Arial" w:hAnsi="Arial" w:cs="Arial"/>
          <w:sz w:val="22"/>
          <w:szCs w:val="22"/>
          <w:lang w:val="es-CO"/>
        </w:rPr>
      </w:pPr>
      <w:bookmarkStart w:id="97" w:name="85"/>
      <w:r w:rsidRPr="006969B3">
        <w:rPr>
          <w:rFonts w:ascii="Arial" w:hAnsi="Arial" w:cs="Arial"/>
          <w:sz w:val="22"/>
          <w:szCs w:val="22"/>
          <w:lang w:val="es-CO"/>
        </w:rPr>
        <w:t>ARTÍCULO 85. CONCEPTO DE VIVIENDA DE INTERÉS SOCIAL.</w:t>
      </w:r>
      <w:bookmarkEnd w:id="97"/>
      <w:r w:rsidRPr="006969B3">
        <w:rPr>
          <w:rFonts w:ascii="Arial" w:hAnsi="Arial" w:cs="Arial"/>
          <w:sz w:val="22"/>
          <w:szCs w:val="22"/>
          <w:lang w:val="es-CO"/>
        </w:rPr>
        <w:t> De conformidad con lo previsto en el artículo</w:t>
      </w:r>
      <w:r w:rsidR="006E3936">
        <w:rPr>
          <w:rFonts w:ascii="Arial" w:hAnsi="Arial" w:cs="Arial"/>
          <w:sz w:val="22"/>
          <w:szCs w:val="22"/>
          <w:lang w:val="es-CO"/>
        </w:rPr>
        <w:t xml:space="preserve"> 91</w:t>
      </w:r>
      <w:r w:rsidRPr="006969B3">
        <w:rPr>
          <w:rFonts w:ascii="Arial" w:hAnsi="Arial" w:cs="Arial"/>
          <w:sz w:val="22"/>
          <w:szCs w:val="22"/>
          <w:lang w:val="es-CO"/>
        </w:rPr>
        <w:t xml:space="preserve"> de la Ley 388 de 1997, la vivienda de interés social es aquella que se desarrolla para garantizar el derecho a la vivienda de los hogares de menores ingresos, que cumple con los estándares de calidad en diseño urbanístico, arquitectónico y de construcción sostenible, y cuyo valor no exceda ciento treinta y cinco salarios mínimos mensuales legales vigentes (135 </w:t>
      </w:r>
      <w:proofErr w:type="spellStart"/>
      <w:r w:rsidRPr="006969B3">
        <w:rPr>
          <w:rFonts w:ascii="Arial" w:hAnsi="Arial" w:cs="Arial"/>
          <w:sz w:val="22"/>
          <w:szCs w:val="22"/>
          <w:lang w:val="es-CO"/>
        </w:rPr>
        <w:t>smmlv</w:t>
      </w:r>
      <w:proofErr w:type="spellEnd"/>
      <w:r w:rsidRPr="006969B3">
        <w:rPr>
          <w:rFonts w:ascii="Arial" w:hAnsi="Arial" w:cs="Arial"/>
          <w:sz w:val="22"/>
          <w:szCs w:val="22"/>
          <w:lang w:val="es-CO"/>
        </w:rPr>
        <w:t xml:space="preserve">). Excepcionalmente, para las aglomeraciones urbanas definidas por el </w:t>
      </w:r>
      <w:proofErr w:type="spellStart"/>
      <w:r w:rsidRPr="006969B3">
        <w:rPr>
          <w:rFonts w:ascii="Arial" w:hAnsi="Arial" w:cs="Arial"/>
          <w:sz w:val="22"/>
          <w:szCs w:val="22"/>
          <w:lang w:val="es-CO"/>
        </w:rPr>
        <w:t>Conpes</w:t>
      </w:r>
      <w:proofErr w:type="spellEnd"/>
      <w:r w:rsidRPr="006969B3">
        <w:rPr>
          <w:rFonts w:ascii="Arial" w:hAnsi="Arial" w:cs="Arial"/>
          <w:sz w:val="22"/>
          <w:szCs w:val="22"/>
          <w:lang w:val="es-CO"/>
        </w:rPr>
        <w:t xml:space="preserve"> y cuya población supere un millón (1.000.000) de habitantes, el Gobierno nacional podrá establecer como precio máximo de la vivienda de interés social la suma de ciento cincuenta salarios mínimos mensuales legales vigentes (150 </w:t>
      </w:r>
      <w:proofErr w:type="spellStart"/>
      <w:r w:rsidRPr="006969B3">
        <w:rPr>
          <w:rFonts w:ascii="Arial" w:hAnsi="Arial" w:cs="Arial"/>
          <w:sz w:val="22"/>
          <w:szCs w:val="22"/>
          <w:lang w:val="es-CO"/>
        </w:rPr>
        <w:t>smmlv</w:t>
      </w:r>
      <w:proofErr w:type="spellEnd"/>
      <w:r w:rsidRPr="006969B3">
        <w:rPr>
          <w:rFonts w:ascii="Arial" w:hAnsi="Arial" w:cs="Arial"/>
          <w:sz w:val="22"/>
          <w:szCs w:val="22"/>
          <w:lang w:val="es-CO"/>
        </w:rPr>
        <w:t xml:space="preserve">). Para el caso de los municipios que hacen parte de dichas aglomeraciones, el valor aplicará únicamente para aquellos en que el Gobierno nacional demuestre presiones en el valor del suelo, que generan dificultades en la provisión de vivienda de interés social. </w:t>
      </w:r>
    </w:p>
    <w:p w14:paraId="389309D7" w14:textId="5D463F5C"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El valor máximo de la Vivienda de Interés </w:t>
      </w:r>
      <w:proofErr w:type="gramStart"/>
      <w:r w:rsidRPr="006969B3">
        <w:rPr>
          <w:rFonts w:ascii="Arial" w:hAnsi="Arial" w:cs="Arial"/>
          <w:sz w:val="22"/>
          <w:szCs w:val="22"/>
          <w:lang w:val="es-CO"/>
        </w:rPr>
        <w:t>Prioritario,</w:t>
      </w:r>
      <w:proofErr w:type="gramEnd"/>
      <w:r w:rsidRPr="006969B3">
        <w:rPr>
          <w:rFonts w:ascii="Arial" w:hAnsi="Arial" w:cs="Arial"/>
          <w:sz w:val="22"/>
          <w:szCs w:val="22"/>
          <w:lang w:val="es-CO"/>
        </w:rPr>
        <w:t xml:space="preserve"> será de noventa salarios mínimos mensuales legales vigentes (90 </w:t>
      </w:r>
      <w:proofErr w:type="spellStart"/>
      <w:r w:rsidRPr="006969B3">
        <w:rPr>
          <w:rFonts w:ascii="Arial" w:hAnsi="Arial" w:cs="Arial"/>
          <w:sz w:val="22"/>
          <w:szCs w:val="22"/>
          <w:lang w:val="es-CO"/>
        </w:rPr>
        <w:t>smmlv</w:t>
      </w:r>
      <w:proofErr w:type="spellEnd"/>
      <w:r w:rsidRPr="006969B3">
        <w:rPr>
          <w:rFonts w:ascii="Arial" w:hAnsi="Arial" w:cs="Arial"/>
          <w:sz w:val="22"/>
          <w:szCs w:val="22"/>
          <w:lang w:val="es-CO"/>
        </w:rPr>
        <w:t>).</w:t>
      </w:r>
    </w:p>
    <w:p w14:paraId="7AB76774"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7BED50A6" w14:textId="0394B383"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Tratándose de programas y/o proyectos de renovación urbana, la vivienda de interés social podrá tener un precio superior a los ciento treinta y cinco salarios mínimos mensuales legales vigentes (135 </w:t>
      </w:r>
      <w:proofErr w:type="spellStart"/>
      <w:r w:rsidRPr="006969B3">
        <w:rPr>
          <w:rFonts w:ascii="Arial" w:hAnsi="Arial" w:cs="Arial"/>
          <w:sz w:val="22"/>
          <w:szCs w:val="22"/>
          <w:lang w:val="es-CO"/>
        </w:rPr>
        <w:t>smmlv</w:t>
      </w:r>
      <w:proofErr w:type="spellEnd"/>
      <w:r w:rsidRPr="006969B3">
        <w:rPr>
          <w:rFonts w:ascii="Arial" w:hAnsi="Arial" w:cs="Arial"/>
          <w:sz w:val="22"/>
          <w:szCs w:val="22"/>
          <w:lang w:val="es-CO"/>
        </w:rPr>
        <w:t xml:space="preserve">), sin que este exceda los ciento setenta y cinco salarios mínimos mensuales legales vigentes (175 </w:t>
      </w:r>
      <w:proofErr w:type="spellStart"/>
      <w:r w:rsidRPr="006969B3">
        <w:rPr>
          <w:rFonts w:ascii="Arial" w:hAnsi="Arial" w:cs="Arial"/>
          <w:sz w:val="22"/>
          <w:szCs w:val="22"/>
          <w:lang w:val="es-CO"/>
        </w:rPr>
        <w:t>smmlv</w:t>
      </w:r>
      <w:proofErr w:type="spellEnd"/>
      <w:r w:rsidRPr="006969B3">
        <w:rPr>
          <w:rFonts w:ascii="Arial" w:hAnsi="Arial" w:cs="Arial"/>
          <w:sz w:val="22"/>
          <w:szCs w:val="22"/>
          <w:lang w:val="es-CO"/>
        </w:rPr>
        <w:t xml:space="preserve">). La vivienda de interés prioritario en renovación urbana podrá tener un precio superior a los noventa salarios mínimos mensuales legales vigentes (90 </w:t>
      </w:r>
      <w:proofErr w:type="spellStart"/>
      <w:r w:rsidRPr="006969B3">
        <w:rPr>
          <w:rFonts w:ascii="Arial" w:hAnsi="Arial" w:cs="Arial"/>
          <w:sz w:val="22"/>
          <w:szCs w:val="22"/>
          <w:lang w:val="es-CO"/>
        </w:rPr>
        <w:t>smmlv</w:t>
      </w:r>
      <w:proofErr w:type="spellEnd"/>
      <w:r w:rsidRPr="006969B3">
        <w:rPr>
          <w:rFonts w:ascii="Arial" w:hAnsi="Arial" w:cs="Arial"/>
          <w:sz w:val="22"/>
          <w:szCs w:val="22"/>
          <w:lang w:val="es-CO"/>
        </w:rPr>
        <w:t xml:space="preserve">), sin que este exceda los ciento diez salarios mínimos mensuales legales vigentes (110 </w:t>
      </w:r>
      <w:proofErr w:type="spellStart"/>
      <w:r w:rsidRPr="006969B3">
        <w:rPr>
          <w:rFonts w:ascii="Arial" w:hAnsi="Arial" w:cs="Arial"/>
          <w:sz w:val="22"/>
          <w:szCs w:val="22"/>
          <w:lang w:val="es-CO"/>
        </w:rPr>
        <w:t>smmlv</w:t>
      </w:r>
      <w:proofErr w:type="spellEnd"/>
      <w:r w:rsidRPr="006969B3">
        <w:rPr>
          <w:rFonts w:ascii="Arial" w:hAnsi="Arial" w:cs="Arial"/>
          <w:sz w:val="22"/>
          <w:szCs w:val="22"/>
          <w:lang w:val="es-CO"/>
        </w:rPr>
        <w:t>).</w:t>
      </w:r>
    </w:p>
    <w:p w14:paraId="0E4242C1"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5A3BDE73" w14:textId="6908B630"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xml:space="preserve"> Los proyectos de Vivienda de Interés Social implementarán las medidas establecidas por el Gobierno nacional para el ahorro de agua y energía, entre las que se incluyen la iluminación y ventilación natural, de acuerdo con las condiciones climáticas. Asimismo, los proyectos de vivienda, de equipamiento (recreación, deporte, salud, educación) y de espacio público implementarán los criterios de sostenibilidad establecidos por el </w:t>
      </w:r>
      <w:proofErr w:type="spellStart"/>
      <w:r w:rsidRPr="006969B3">
        <w:rPr>
          <w:rFonts w:ascii="Arial" w:hAnsi="Arial" w:cs="Arial"/>
          <w:sz w:val="22"/>
          <w:szCs w:val="22"/>
          <w:lang w:val="es-CO"/>
        </w:rPr>
        <w:t>Conpes</w:t>
      </w:r>
      <w:proofErr w:type="spellEnd"/>
      <w:r w:rsidRPr="006969B3">
        <w:rPr>
          <w:rFonts w:ascii="Arial" w:hAnsi="Arial" w:cs="Arial"/>
          <w:sz w:val="22"/>
          <w:szCs w:val="22"/>
          <w:lang w:val="es-CO"/>
        </w:rPr>
        <w:t xml:space="preserve"> 3919 de 2018.</w:t>
      </w:r>
    </w:p>
    <w:p w14:paraId="04BE0373"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45D1BC37" w14:textId="1F07AE7F"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En ningún caso se podrán otorgar subsidios por encima del tope de recursos previstos en el Marco Fiscal de Mediano Plazo y en el Marco de Gasto del sector.</w:t>
      </w:r>
    </w:p>
    <w:p w14:paraId="24F19C20"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1A2E6D0A" w14:textId="089706EE"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3o.</w:t>
      </w:r>
      <w:r w:rsidRPr="006969B3">
        <w:rPr>
          <w:rFonts w:ascii="Arial" w:hAnsi="Arial" w:cs="Arial"/>
          <w:sz w:val="22"/>
          <w:szCs w:val="22"/>
          <w:lang w:val="es-CO"/>
        </w:rPr>
        <w:t> Los recursos correspondientes a subsidios familiares de vivienda urbana que sean objeto de renuncia por parte de su beneficiario, que se venzan, o que correspondan a aquellos recuperados mediante actuaciones administrativas, deberán ser incorporados en el presupuesto del Fondo Nacional de Vivienda (Fonvivienda), y serán destinados a la financiación o cofinanciación de programas o proyectos de vivienda de interés social, a la construcción y/o dotación de equipamientos públicos colectivos y/o a la infraestructura de servicios públicos domiciliarios. Lo anterior, independientemente de la vigencia presupuestal en la que hayan sido asignados los subsidios.</w:t>
      </w:r>
    </w:p>
    <w:p w14:paraId="4F44F4B2"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0219D10F" w14:textId="63FF2BEC"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Los mencionados recursos podrán ser transferidos directamente, total o parcialmente, a cualquiera de los patrimonios autónomos en los que sea fideicomitente el Fonvivienda, o la entidad que indique el Gobierno nacional.</w:t>
      </w:r>
    </w:p>
    <w:p w14:paraId="068AD558"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3375D74F" w14:textId="60801CBB"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Respecto de los subsidios familiares de vivienda urbana que se encuentren sin aplicar, Fonvivienda podrá proceder a su vencimiento sin que se requiera surtir previamente el proceso a que se refiere el parágrafo 1 del artículo</w:t>
      </w:r>
      <w:r w:rsidR="006E3936">
        <w:rPr>
          <w:rFonts w:ascii="Arial" w:hAnsi="Arial" w:cs="Arial"/>
          <w:sz w:val="22"/>
          <w:szCs w:val="22"/>
          <w:lang w:val="es-CO"/>
        </w:rPr>
        <w:t xml:space="preserve"> 8</w:t>
      </w:r>
      <w:r w:rsidR="006E3936" w:rsidRPr="0074467C">
        <w:rPr>
          <w:lang w:val="es-CO"/>
        </w:rPr>
        <w:t xml:space="preserve"> </w:t>
      </w:r>
      <w:r w:rsidRPr="006969B3">
        <w:rPr>
          <w:rFonts w:ascii="Arial" w:hAnsi="Arial" w:cs="Arial"/>
          <w:sz w:val="22"/>
          <w:szCs w:val="22"/>
          <w:lang w:val="es-CO"/>
        </w:rPr>
        <w:t>de la Ley 1537 de 2012.</w:t>
      </w:r>
    </w:p>
    <w:p w14:paraId="564ED40B"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4AD1C7A5" w14:textId="172735FC"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lastRenderedPageBreak/>
        <w:t>En todo caso, los recursos del Presupuesto General de la Nación asignados a Fonvivienda y que se incorporen a patrimonios autónomos en los cuales dicha entidad sea Fideicomitente, independiente del rubro presupuestal de los referidos recursos, podrán ser destinados para la construcción y/o dotación de equipamientos públicos colectivo y/o infraestructura de servicios públicos domiciliarios, incluida la adquisición de predios para esos propósitos, para los proyectos de vivienda de interés social y prioritaria que se ejecuten en el marco de los patrimonios autónomos. La entidad aportante de los recursos definirá los porcentajes de los recursos aportados que pueden ser destinados a estos propósitos.</w:t>
      </w:r>
    </w:p>
    <w:p w14:paraId="3CD82AB1"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6CE4DC88" w14:textId="3E4B6C2F"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4o.</w:t>
      </w:r>
      <w:r w:rsidRPr="006969B3">
        <w:rPr>
          <w:rFonts w:ascii="Arial" w:hAnsi="Arial" w:cs="Arial"/>
          <w:sz w:val="22"/>
          <w:szCs w:val="22"/>
          <w:lang w:val="es-CO"/>
        </w:rPr>
        <w:t> Cuando la entidad otorgante de subsidios familiares de vivienda 100% en especie (SFVE) advierta el acaecimiento de una causal para su restitución, de acuerdo con lo establecido en el artículo</w:t>
      </w:r>
      <w:r w:rsidR="006E3936">
        <w:rPr>
          <w:rFonts w:ascii="Arial" w:hAnsi="Arial" w:cs="Arial"/>
          <w:sz w:val="22"/>
          <w:szCs w:val="22"/>
          <w:lang w:val="es-CO"/>
        </w:rPr>
        <w:t xml:space="preserve"> 21</w:t>
      </w:r>
      <w:r w:rsidRPr="006969B3">
        <w:rPr>
          <w:rFonts w:ascii="Arial" w:hAnsi="Arial" w:cs="Arial"/>
          <w:sz w:val="22"/>
          <w:szCs w:val="22"/>
          <w:lang w:val="es-CO"/>
        </w:rPr>
        <w:t> de la Ley 1537 de 2012, adelantará un procedimiento administrativo para lograr la restitución formal del título de dominio del bien inmueble y, con el fin de lograr la restitución material, se podrán Incoar las acciones policivas a que haya lugar, según los términos y condiciones dispuestos en la legislación vigente.</w:t>
      </w:r>
    </w:p>
    <w:p w14:paraId="055D999B"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22ED3436" w14:textId="4BEAAF8D"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Sin perjuicio de lo anterior, una vez surtido el proceso administrativo, por virtud de la ley e independientemente del negocio jurídico suscrito para que el hogar beneficiario se convirtiera en propietario de la vivienda, la entidad otorgante del SFVE o los fideicomisos en los cuales esta sea fideicomitente, podrán convertirse en titulares del derecho de dominio de las viviendas restituidas, para lo cual solo se requerirá la inscripción del acto administrativo correspondiente en el folio de matrícula inmobiliaria de la vivienda.</w:t>
      </w:r>
    </w:p>
    <w:p w14:paraId="42769A99"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00F8B730" w14:textId="57EDE258"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Cuando, en virtud de acreditación emitida por autoridad competente, se determine que las viviendas han sido utilizadas como medio o instrumento para la ejecución de actividades ilícitas, podrán ser restituidas por parte de la entidad otorgante, para ser asignadas a otros hogares que se encuentren en las condiciones señaladas en el artículo</w:t>
      </w:r>
      <w:r w:rsidR="006E3936">
        <w:rPr>
          <w:rFonts w:ascii="Arial" w:hAnsi="Arial" w:cs="Arial"/>
          <w:sz w:val="22"/>
          <w:szCs w:val="22"/>
          <w:lang w:val="es-CO"/>
        </w:rPr>
        <w:t xml:space="preserve"> 12</w:t>
      </w:r>
      <w:r w:rsidRPr="006969B3">
        <w:rPr>
          <w:rFonts w:ascii="Arial" w:hAnsi="Arial" w:cs="Arial"/>
          <w:sz w:val="22"/>
          <w:szCs w:val="22"/>
          <w:lang w:val="es-CO"/>
        </w:rPr>
        <w:t> de la Ley 1537 de 2012, aún en el evento en que no se cuente con decisión judicial.</w:t>
      </w:r>
    </w:p>
    <w:p w14:paraId="6CA22874"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60986F6C" w14:textId="5B15C136"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Las viviendas que sean objeto de restitución de acuerdo con lo establecido en el presente artículo podrán ser transferidas a Fonvivienda o a patrimonios autónomos constituidos por la entidad otorgante de los subsidios, hasta el momento en que sean transferidas a un nuevo hogar beneficiario.</w:t>
      </w:r>
    </w:p>
    <w:p w14:paraId="517ACFDF"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52F76AE9" w14:textId="23F6E34D"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En el caso de solicitarse renuncias al Subsidio Familiar de Vivienda en Especie (SFVE), la restitución del título de dominio del bien inmueble procederá con la sola inscripción del acto administrativo que acepta la renuncia en el folio de matrícula inmobiliaria, sin ser necesaria la resciliación de la escritura pública de transferencia. En estos casos, el título de dominio se establecerá en la entidad otorgante del SFVE o los fideicomisos en las cuales esta sea fideicomitente.</w:t>
      </w:r>
    </w:p>
    <w:p w14:paraId="78CD486E" w14:textId="6F85821D" w:rsidR="00A357C0" w:rsidRPr="006969B3" w:rsidRDefault="00A357C0" w:rsidP="00F65283">
      <w:pPr>
        <w:spacing w:after="0" w:line="240" w:lineRule="auto"/>
        <w:rPr>
          <w:rFonts w:ascii="Arial" w:hAnsi="Arial" w:cs="Arial"/>
          <w:lang w:val="es-CO"/>
        </w:rPr>
      </w:pPr>
    </w:p>
    <w:p w14:paraId="7660915A" w14:textId="0C3FB805" w:rsidR="00A357C0" w:rsidRPr="006969B3" w:rsidRDefault="00A357C0" w:rsidP="00F65283">
      <w:pPr>
        <w:pStyle w:val="NormalWeb"/>
        <w:spacing w:before="0" w:beforeAutospacing="0" w:after="0" w:afterAutospacing="0"/>
        <w:jc w:val="both"/>
        <w:rPr>
          <w:rFonts w:ascii="Arial" w:hAnsi="Arial" w:cs="Arial"/>
          <w:sz w:val="22"/>
          <w:szCs w:val="22"/>
          <w:lang w:val="es-CO"/>
        </w:rPr>
      </w:pPr>
      <w:bookmarkStart w:id="98" w:name="86"/>
      <w:r w:rsidRPr="006969B3">
        <w:rPr>
          <w:rFonts w:ascii="Arial" w:hAnsi="Arial" w:cs="Arial"/>
          <w:sz w:val="22"/>
          <w:szCs w:val="22"/>
          <w:lang w:val="es-CO"/>
        </w:rPr>
        <w:t>ARTÍCULO 86. TRÁMITE DE REPARTO NOTARIAL.</w:t>
      </w:r>
      <w:bookmarkEnd w:id="98"/>
      <w:r w:rsidRPr="006969B3">
        <w:rPr>
          <w:rFonts w:ascii="Arial" w:hAnsi="Arial" w:cs="Arial"/>
          <w:sz w:val="22"/>
          <w:szCs w:val="22"/>
          <w:lang w:val="es-CO"/>
        </w:rPr>
        <w:t> Modifíquese el artículo</w:t>
      </w:r>
      <w:r w:rsidR="006E3936">
        <w:rPr>
          <w:rFonts w:ascii="Arial" w:hAnsi="Arial" w:cs="Arial"/>
          <w:sz w:val="22"/>
          <w:szCs w:val="22"/>
          <w:lang w:val="es-CO"/>
        </w:rPr>
        <w:t xml:space="preserve"> 15 </w:t>
      </w:r>
      <w:r w:rsidRPr="006969B3">
        <w:rPr>
          <w:rFonts w:ascii="Arial" w:hAnsi="Arial" w:cs="Arial"/>
          <w:sz w:val="22"/>
          <w:szCs w:val="22"/>
          <w:lang w:val="es-CO"/>
        </w:rPr>
        <w:t>de la Ley 29 de 1973, el cual quedará así:</w:t>
      </w:r>
    </w:p>
    <w:p w14:paraId="20704423"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71B53163" w14:textId="6FDD8626"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Artículo 15. Trámite de Reparto Notarial. El trámite de reparto notarial para los actos que involucren la constitución de propiedad horizontal, constitución o levantamiento de gravámenes, adquisición o trasferencia del derecho de propiedad y adquisición o transferencia de inmuebles donde comparezcan las entidades financieras del Estado de orden nacional que otorguen o que otorgaron el crédito para la adquisición de vivienda, cuando en el círculo de que se trate haya más de una notaría, se asignarán eficientemente entre las que exista, de tal modo que la administración no establezca privilegios a favor de </w:t>
      </w:r>
      <w:r w:rsidRPr="006969B3">
        <w:rPr>
          <w:rFonts w:ascii="Arial" w:hAnsi="Arial" w:cs="Arial"/>
          <w:sz w:val="22"/>
          <w:szCs w:val="22"/>
          <w:lang w:val="es-CO"/>
        </w:rPr>
        <w:lastRenderedPageBreak/>
        <w:t>ningún notario. El mecanismo mediante el cual se dará cumplimiento a lo anterior deberá ser auditado anualmente por un tercero independiente, con criterios de eficiencia y transparencia.</w:t>
      </w:r>
    </w:p>
    <w:p w14:paraId="4F34A15E" w14:textId="0DF2AE96" w:rsidR="00A357C0" w:rsidRPr="006969B3" w:rsidRDefault="00A357C0" w:rsidP="00F65283">
      <w:pPr>
        <w:spacing w:after="0" w:line="240" w:lineRule="auto"/>
        <w:rPr>
          <w:rFonts w:ascii="Arial" w:hAnsi="Arial" w:cs="Arial"/>
          <w:lang w:val="es-CO"/>
        </w:rPr>
      </w:pPr>
    </w:p>
    <w:p w14:paraId="311F7D79" w14:textId="77777777" w:rsidR="00A357C0" w:rsidRPr="006969B3" w:rsidRDefault="00A357C0" w:rsidP="00F65283">
      <w:pPr>
        <w:pStyle w:val="NormalWeb"/>
        <w:spacing w:before="0" w:beforeAutospacing="0" w:after="0" w:afterAutospacing="0"/>
        <w:jc w:val="both"/>
        <w:rPr>
          <w:rFonts w:ascii="Arial" w:hAnsi="Arial" w:cs="Arial"/>
          <w:sz w:val="22"/>
          <w:szCs w:val="22"/>
          <w:lang w:val="es-CO"/>
        </w:rPr>
      </w:pPr>
      <w:bookmarkStart w:id="99" w:name="87"/>
      <w:r w:rsidRPr="006969B3">
        <w:rPr>
          <w:rFonts w:ascii="Arial" w:hAnsi="Arial" w:cs="Arial"/>
          <w:sz w:val="22"/>
          <w:szCs w:val="22"/>
          <w:lang w:val="es-CO"/>
        </w:rPr>
        <w:t>ARTÍCULO 87. SEGURIDAD JURÍDICA EN EL ORDENAMIENTO TERRITORIAL.</w:t>
      </w:r>
      <w:bookmarkEnd w:id="99"/>
      <w:r w:rsidRPr="006969B3">
        <w:rPr>
          <w:rFonts w:ascii="Arial" w:hAnsi="Arial" w:cs="Arial"/>
          <w:sz w:val="22"/>
          <w:szCs w:val="22"/>
          <w:lang w:val="es-CO"/>
        </w:rPr>
        <w:t> El principio de seguridad jurídica deberá estar inmerso en las acciones y actuaciones urbanísticas, a fin de propender por la inversión y estabilidad a mediano y largo plazo del sector edificador.</w:t>
      </w:r>
    </w:p>
    <w:p w14:paraId="20688A1A"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201D5B22" w14:textId="322068FD"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otorgamiento de una licencia urbanística en cualquiera de sus modalidades crea derechos y obligaciones de carácter particular para el titular de la licencia, y de carácter colectivo para la comunidad en general y las entidades territoriales correspondientes.</w:t>
      </w:r>
    </w:p>
    <w:p w14:paraId="0149ED09"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213DE877" w14:textId="6586D944"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Para los titulares de las licencias urbanísticas, el otorgamiento de una licencia reconoce derechos de construcción y desarrollo, ya sea parcelando, urbanizando o construyendo en los predios objeto de </w:t>
      </w:r>
      <w:proofErr w:type="gramStart"/>
      <w:r w:rsidRPr="006969B3">
        <w:rPr>
          <w:rFonts w:ascii="Arial" w:hAnsi="Arial" w:cs="Arial"/>
          <w:sz w:val="22"/>
          <w:szCs w:val="22"/>
          <w:lang w:val="es-CO"/>
        </w:rPr>
        <w:t>la misma</w:t>
      </w:r>
      <w:proofErr w:type="gramEnd"/>
      <w:r w:rsidRPr="006969B3">
        <w:rPr>
          <w:rFonts w:ascii="Arial" w:hAnsi="Arial" w:cs="Arial"/>
          <w:sz w:val="22"/>
          <w:szCs w:val="22"/>
          <w:lang w:val="es-CO"/>
        </w:rPr>
        <w:t>; y, genera para su titular una serie de deberes en los términos y condiciones autorizados en el acto administrativo que la adopta.</w:t>
      </w:r>
    </w:p>
    <w:p w14:paraId="6C162454"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5F0BF126" w14:textId="0C1711E5"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En los eventos en que la licencia urbanística comprenda obligaciones de cesión de áreas para espacio público, o construcción de equipamiento público, se entenderá que la licencia urbanística reconoce derechos colectivos al espacio público de las áreas de cesión que surgen como consecuencia del proyecto urbanístico licenciado y de las obras de infraestructura en servicios públicos y vías de la malla vial arterial que se ejecuten por efecto de la concesión de la licencia.</w:t>
      </w:r>
    </w:p>
    <w:p w14:paraId="504566C8"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682F296D" w14:textId="1184F601"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El acto administrativo que adopte la concertación ambiental en el proceso de formulación de un plan parcial se sujetará a las determinantes ambientales incorporadas en el trámite de revisión o modificación de los planes de ordenamiento territorial.</w:t>
      </w:r>
    </w:p>
    <w:p w14:paraId="34DE34B1"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745526A4" w14:textId="1ED0D0B8" w:rsidR="00A357C0" w:rsidRPr="006969B3" w:rsidRDefault="00A357C0" w:rsidP="00F65283">
      <w:pPr>
        <w:pStyle w:val="centrado"/>
        <w:spacing w:before="0" w:beforeAutospacing="0" w:after="0" w:afterAutospacing="0"/>
        <w:jc w:val="center"/>
        <w:rPr>
          <w:rFonts w:ascii="Arial" w:hAnsi="Arial" w:cs="Arial"/>
          <w:b/>
          <w:bCs/>
          <w:sz w:val="22"/>
          <w:szCs w:val="22"/>
          <w:lang w:val="es-CO"/>
        </w:rPr>
      </w:pPr>
      <w:bookmarkStart w:id="100" w:name="SUBSECCIÓN_5-I-II-II"/>
      <w:r w:rsidRPr="006969B3">
        <w:rPr>
          <w:rFonts w:ascii="Arial" w:hAnsi="Arial" w:cs="Arial"/>
          <w:b/>
          <w:bCs/>
          <w:sz w:val="22"/>
          <w:szCs w:val="22"/>
          <w:lang w:val="es-CO"/>
        </w:rPr>
        <w:t>SUBSECCIÓN 5</w:t>
      </w:r>
      <w:bookmarkEnd w:id="100"/>
    </w:p>
    <w:p w14:paraId="05BFA0C9" w14:textId="77777777" w:rsidR="00D83E14" w:rsidRPr="006969B3" w:rsidRDefault="00D83E14" w:rsidP="00F65283">
      <w:pPr>
        <w:pStyle w:val="centrado"/>
        <w:spacing w:before="0" w:beforeAutospacing="0" w:after="0" w:afterAutospacing="0"/>
        <w:jc w:val="center"/>
        <w:rPr>
          <w:rFonts w:ascii="Arial" w:hAnsi="Arial" w:cs="Arial"/>
          <w:b/>
          <w:bCs/>
          <w:sz w:val="22"/>
          <w:szCs w:val="22"/>
          <w:lang w:val="es-CO"/>
        </w:rPr>
      </w:pPr>
    </w:p>
    <w:p w14:paraId="01B85EF0" w14:textId="4BE3D33F" w:rsidR="00A357C0" w:rsidRPr="006969B3" w:rsidRDefault="00A357C0" w:rsidP="00F65283">
      <w:pPr>
        <w:pStyle w:val="centrado"/>
        <w:spacing w:before="0" w:beforeAutospacing="0" w:after="0" w:afterAutospacing="0"/>
        <w:jc w:val="center"/>
        <w:rPr>
          <w:rFonts w:ascii="Arial" w:hAnsi="Arial" w:cs="Arial"/>
          <w:b/>
          <w:bCs/>
          <w:sz w:val="22"/>
          <w:szCs w:val="22"/>
          <w:lang w:val="es-CO"/>
        </w:rPr>
      </w:pPr>
      <w:r w:rsidRPr="006969B3">
        <w:rPr>
          <w:rStyle w:val="baj"/>
          <w:rFonts w:ascii="Arial" w:hAnsi="Arial" w:cs="Arial"/>
          <w:b/>
          <w:bCs/>
          <w:sz w:val="22"/>
          <w:szCs w:val="22"/>
          <w:lang w:val="es-CO"/>
        </w:rPr>
        <w:t>LEGALIDAD EN MATERIA DE INFRAESTRUCTURA</w:t>
      </w:r>
    </w:p>
    <w:p w14:paraId="191ECC52" w14:textId="09D42249" w:rsidR="00A357C0" w:rsidRPr="006969B3" w:rsidRDefault="00A357C0" w:rsidP="00F65283">
      <w:pPr>
        <w:spacing w:after="0" w:line="240" w:lineRule="auto"/>
        <w:rPr>
          <w:rFonts w:ascii="Arial" w:hAnsi="Arial" w:cs="Arial"/>
          <w:lang w:val="es-CO"/>
        </w:rPr>
      </w:pPr>
    </w:p>
    <w:p w14:paraId="4D9122EF" w14:textId="761FE1FB" w:rsidR="00A357C0" w:rsidRPr="006969B3" w:rsidRDefault="00A357C0" w:rsidP="00F65283">
      <w:pPr>
        <w:pStyle w:val="NormalWeb"/>
        <w:spacing w:before="0" w:beforeAutospacing="0" w:after="0" w:afterAutospacing="0"/>
        <w:jc w:val="both"/>
        <w:rPr>
          <w:rFonts w:ascii="Arial" w:hAnsi="Arial" w:cs="Arial"/>
          <w:sz w:val="22"/>
          <w:szCs w:val="22"/>
          <w:lang w:val="es-CO"/>
        </w:rPr>
      </w:pPr>
      <w:bookmarkStart w:id="101" w:name="88"/>
      <w:r w:rsidRPr="006969B3">
        <w:rPr>
          <w:rFonts w:ascii="Arial" w:hAnsi="Arial" w:cs="Arial"/>
          <w:sz w:val="22"/>
          <w:szCs w:val="22"/>
          <w:lang w:val="es-CO"/>
        </w:rPr>
        <w:t>ARTÍCULO 88. FONDO DE CONTINGENCIAS Y TRASLADOS.</w:t>
      </w:r>
      <w:bookmarkEnd w:id="101"/>
      <w:r w:rsidRPr="006969B3">
        <w:rPr>
          <w:rFonts w:ascii="Arial" w:hAnsi="Arial" w:cs="Arial"/>
          <w:sz w:val="22"/>
          <w:szCs w:val="22"/>
          <w:lang w:val="es-CO"/>
        </w:rPr>
        <w:t> Modifíquese el artículo</w:t>
      </w:r>
      <w:r w:rsidR="006E3936">
        <w:rPr>
          <w:rFonts w:ascii="Arial" w:hAnsi="Arial" w:cs="Arial"/>
          <w:sz w:val="22"/>
          <w:szCs w:val="22"/>
          <w:lang w:val="es-CO"/>
        </w:rPr>
        <w:t xml:space="preserve"> </w:t>
      </w:r>
      <w:proofErr w:type="gramStart"/>
      <w:r w:rsidR="006E3936">
        <w:rPr>
          <w:rFonts w:ascii="Arial" w:hAnsi="Arial" w:cs="Arial"/>
          <w:sz w:val="22"/>
          <w:szCs w:val="22"/>
          <w:lang w:val="es-CO"/>
        </w:rPr>
        <w:t>35</w:t>
      </w:r>
      <w:r w:rsidRPr="006969B3">
        <w:rPr>
          <w:rFonts w:ascii="Arial" w:hAnsi="Arial" w:cs="Arial"/>
          <w:sz w:val="22"/>
          <w:szCs w:val="22"/>
          <w:lang w:val="es-CO"/>
        </w:rPr>
        <w:t>  de</w:t>
      </w:r>
      <w:proofErr w:type="gramEnd"/>
      <w:r w:rsidRPr="006969B3">
        <w:rPr>
          <w:rFonts w:ascii="Arial" w:hAnsi="Arial" w:cs="Arial"/>
          <w:sz w:val="22"/>
          <w:szCs w:val="22"/>
          <w:lang w:val="es-CO"/>
        </w:rPr>
        <w:t xml:space="preserve"> la Ley 1753 de 2015, el cual quedará así:</w:t>
      </w:r>
    </w:p>
    <w:p w14:paraId="2A7290FB"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53F5FDB2" w14:textId="3FE45613"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w:t>
      </w:r>
      <w:r w:rsidR="00BC20EB">
        <w:rPr>
          <w:rFonts w:ascii="Arial" w:hAnsi="Arial" w:cs="Arial"/>
          <w:sz w:val="22"/>
          <w:szCs w:val="22"/>
          <w:lang w:val="es-CO"/>
        </w:rPr>
        <w:t xml:space="preserve"> 35</w:t>
      </w:r>
      <w:r w:rsidRPr="006969B3">
        <w:rPr>
          <w:rFonts w:ascii="Arial" w:hAnsi="Arial" w:cs="Arial"/>
          <w:sz w:val="22"/>
          <w:szCs w:val="22"/>
          <w:lang w:val="es-CO"/>
        </w:rPr>
        <w:t>. Fondo de Contingencias y Traslados. El Fondo de Contingencias de las Entidades Estatales creado por la Ley</w:t>
      </w:r>
      <w:r w:rsidR="00BC20EB">
        <w:rPr>
          <w:rFonts w:ascii="Arial" w:hAnsi="Arial" w:cs="Arial"/>
          <w:sz w:val="22"/>
          <w:szCs w:val="22"/>
          <w:lang w:val="es-CO"/>
        </w:rPr>
        <w:t xml:space="preserve"> 448</w:t>
      </w:r>
      <w:r w:rsidRPr="006969B3">
        <w:rPr>
          <w:rFonts w:ascii="Arial" w:hAnsi="Arial" w:cs="Arial"/>
          <w:sz w:val="22"/>
          <w:szCs w:val="22"/>
          <w:lang w:val="es-CO"/>
        </w:rPr>
        <w:t> de 1998 es el mecanismo de primera instancia autorizado para atender el pago de las obligaciones contingentes que contraigan las entidades sometidas al régimen obligatorio de contingencias contractuales del Estado, en cuanto se trate de riesgos comprendidos por este Fondo. Lo anterior sin perjuicio de la aplicación de los mecanismos alternativos para la atención de las obligaciones contingentes, de acuerdo con los lineamientos que para el efecto defina el Ministerio de Hacienda y Crédito Público, los cuales podrán contemplar la posibilidad de que dichos mecanismos se pacten contractualmente.</w:t>
      </w:r>
    </w:p>
    <w:p w14:paraId="4D53BC46"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1F126B76" w14:textId="0830A5C2"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Las obligaciones contingentes que son atendidas por el Fondo mantendrán su naturaleza y condición de contingentes, siempre y cuando estén aprobadas en el respectivo plan de aportes y hasta el monto estipulado en este, sin que su cobertura quede condicionada al momento de la realización de los aportes al Fondo.</w:t>
      </w:r>
    </w:p>
    <w:p w14:paraId="7F649319"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20B14085" w14:textId="6504ACC3"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lastRenderedPageBreak/>
        <w:t>Así mismo, con cargo a los recursos del Fondo de Contingencias se podrán atender los intereses asociados a las obligaciones contingentes, exclusivamente dentro de los plazos establecidos en cada contrato. Se podrán cubrir con plazos adicionales las contingencias que se presenten en las concesiones viales de cuarta generación 4G.</w:t>
      </w:r>
    </w:p>
    <w:p w14:paraId="3434B4B1"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4B050010" w14:textId="206A9722"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xml:space="preserve"> La entidad que administre el Fondo de Contingencias de las Entidades Estatales podrá, previa solicitud de la entidad aportante, transferir recursos de uno a otro riesgo </w:t>
      </w:r>
      <w:proofErr w:type="gramStart"/>
      <w:r w:rsidRPr="006969B3">
        <w:rPr>
          <w:rFonts w:ascii="Arial" w:hAnsi="Arial" w:cs="Arial"/>
          <w:sz w:val="22"/>
          <w:szCs w:val="22"/>
          <w:lang w:val="es-CO"/>
        </w:rPr>
        <w:t>del mismo</w:t>
      </w:r>
      <w:proofErr w:type="gramEnd"/>
      <w:r w:rsidRPr="006969B3">
        <w:rPr>
          <w:rFonts w:ascii="Arial" w:hAnsi="Arial" w:cs="Arial"/>
          <w:sz w:val="22"/>
          <w:szCs w:val="22"/>
          <w:lang w:val="es-CO"/>
        </w:rPr>
        <w:t xml:space="preserve"> u otro proyecto de la misma entidad, con la finalidad de atender las obligaciones contingentes amparadas. Dicha transferencia deberá contar con la aprobación previa del plan de aportes por parte de la Dirección General de Crédito Público y Tesoro Nacional del Ministerio de Hacienda y Crédito Público, siempre y cuando cumpla los siguientes requisitos: (i) cuando la entidad aportante determine a través del seguimiento que el riesgo ha disminuido totalmente, caso en el que el valor a transferir será el 100% del saldo de la subcuenta; o (</w:t>
      </w:r>
      <w:proofErr w:type="spellStart"/>
      <w:r w:rsidRPr="006969B3">
        <w:rPr>
          <w:rFonts w:ascii="Arial" w:hAnsi="Arial" w:cs="Arial"/>
          <w:sz w:val="22"/>
          <w:szCs w:val="22"/>
          <w:lang w:val="es-CO"/>
        </w:rPr>
        <w:t>ii</w:t>
      </w:r>
      <w:proofErr w:type="spellEnd"/>
      <w:r w:rsidRPr="006969B3">
        <w:rPr>
          <w:rFonts w:ascii="Arial" w:hAnsi="Arial" w:cs="Arial"/>
          <w:sz w:val="22"/>
          <w:szCs w:val="22"/>
          <w:lang w:val="es-CO"/>
        </w:rPr>
        <w:t>) cuando la entidad aportante determine a través del seguimiento que el riesgo ha disminuido parcialmente, caso en el cual el valor a transferir será el exceso del saldo en la subcuenta.</w:t>
      </w:r>
    </w:p>
    <w:p w14:paraId="19E0462C" w14:textId="506C1340" w:rsidR="00A357C0" w:rsidRPr="006969B3" w:rsidRDefault="00A357C0" w:rsidP="00F65283">
      <w:pPr>
        <w:spacing w:after="0" w:line="240" w:lineRule="auto"/>
        <w:rPr>
          <w:rFonts w:ascii="Arial" w:hAnsi="Arial" w:cs="Arial"/>
          <w:lang w:val="es-CO"/>
        </w:rPr>
      </w:pPr>
    </w:p>
    <w:p w14:paraId="4BF0D017" w14:textId="003A8BD0" w:rsidR="00A357C0" w:rsidRPr="006969B3" w:rsidRDefault="00A357C0" w:rsidP="00F65283">
      <w:pPr>
        <w:pStyle w:val="NormalWeb"/>
        <w:spacing w:before="0" w:beforeAutospacing="0" w:after="0" w:afterAutospacing="0"/>
        <w:jc w:val="both"/>
        <w:rPr>
          <w:rFonts w:ascii="Arial" w:hAnsi="Arial" w:cs="Arial"/>
          <w:sz w:val="22"/>
          <w:szCs w:val="22"/>
          <w:lang w:val="es-CO"/>
        </w:rPr>
      </w:pPr>
      <w:bookmarkStart w:id="102" w:name="89"/>
      <w:r w:rsidRPr="006969B3">
        <w:rPr>
          <w:rFonts w:ascii="Arial" w:hAnsi="Arial" w:cs="Arial"/>
          <w:sz w:val="22"/>
          <w:szCs w:val="22"/>
          <w:lang w:val="es-CO"/>
        </w:rPr>
        <w:t>ARTÍCULO 89. FONDO DE CONTINGENCIAS DE LAS ENTIDADES ESTATALES.</w:t>
      </w:r>
      <w:bookmarkEnd w:id="102"/>
      <w:r w:rsidRPr="006969B3">
        <w:rPr>
          <w:rFonts w:ascii="Arial" w:hAnsi="Arial" w:cs="Arial"/>
          <w:sz w:val="22"/>
          <w:szCs w:val="22"/>
          <w:lang w:val="es-CO"/>
        </w:rPr>
        <w:t> Modifíquese el artículo</w:t>
      </w:r>
      <w:r w:rsidR="006E3936">
        <w:rPr>
          <w:rFonts w:ascii="Arial" w:hAnsi="Arial" w:cs="Arial"/>
          <w:sz w:val="22"/>
          <w:szCs w:val="22"/>
          <w:lang w:val="es-CO"/>
        </w:rPr>
        <w:t xml:space="preserve"> 2</w:t>
      </w:r>
      <w:r w:rsidRPr="006969B3">
        <w:rPr>
          <w:rFonts w:ascii="Arial" w:hAnsi="Arial" w:cs="Arial"/>
          <w:sz w:val="22"/>
          <w:szCs w:val="22"/>
          <w:lang w:val="es-CO"/>
        </w:rPr>
        <w:t> de la Ley 448 de 1998, el cual quedará así:</w:t>
      </w:r>
    </w:p>
    <w:p w14:paraId="23E09D18" w14:textId="77777777" w:rsidR="006E3936" w:rsidRDefault="006E3936" w:rsidP="00F65283">
      <w:pPr>
        <w:pStyle w:val="NormalWeb"/>
        <w:spacing w:before="0" w:beforeAutospacing="0" w:after="0" w:afterAutospacing="0"/>
        <w:jc w:val="both"/>
        <w:rPr>
          <w:rFonts w:ascii="Arial" w:hAnsi="Arial" w:cs="Arial"/>
          <w:sz w:val="22"/>
          <w:szCs w:val="22"/>
          <w:lang w:val="es-CO"/>
        </w:rPr>
      </w:pPr>
    </w:p>
    <w:p w14:paraId="706BCE7B" w14:textId="10E6CC23"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w:t>
      </w:r>
      <w:r w:rsidR="00443CDF">
        <w:rPr>
          <w:rFonts w:ascii="Arial" w:hAnsi="Arial" w:cs="Arial"/>
          <w:sz w:val="22"/>
          <w:szCs w:val="22"/>
          <w:lang w:val="es-CO"/>
        </w:rPr>
        <w:t xml:space="preserve"> 2o. </w:t>
      </w:r>
      <w:r w:rsidRPr="006969B3">
        <w:rPr>
          <w:rFonts w:ascii="Arial" w:hAnsi="Arial" w:cs="Arial"/>
          <w:sz w:val="22"/>
          <w:szCs w:val="22"/>
          <w:lang w:val="es-CO"/>
        </w:rPr>
        <w:t>Fondo de Contingencias de las Entidades Estatales. El Fondo de Contingencias de las Entidades Estatales es una cuenta especial sin personería jurídica administrada por el Ministerio de Hacienda y Crédito Público. Los recursos, así como los asuntos relacionados con pasivos del Fondo, serán administrados por la Dirección General de Crédito Público y Tesoro Nacional.</w:t>
      </w:r>
    </w:p>
    <w:p w14:paraId="72DD3380" w14:textId="5D2B711D" w:rsidR="00A357C0" w:rsidRPr="006969B3" w:rsidRDefault="00A357C0" w:rsidP="00F65283">
      <w:pPr>
        <w:spacing w:after="0" w:line="240" w:lineRule="auto"/>
        <w:rPr>
          <w:rFonts w:ascii="Arial" w:hAnsi="Arial" w:cs="Arial"/>
          <w:lang w:val="es-CO"/>
        </w:rPr>
      </w:pPr>
    </w:p>
    <w:p w14:paraId="2B0DA838" w14:textId="526CBEDA" w:rsidR="00A357C0" w:rsidRPr="006969B3" w:rsidRDefault="00A357C0" w:rsidP="00F65283">
      <w:pPr>
        <w:pStyle w:val="NormalWeb"/>
        <w:spacing w:before="0" w:beforeAutospacing="0" w:after="0" w:afterAutospacing="0"/>
        <w:jc w:val="both"/>
        <w:rPr>
          <w:rFonts w:ascii="Arial" w:hAnsi="Arial" w:cs="Arial"/>
          <w:sz w:val="22"/>
          <w:szCs w:val="22"/>
          <w:lang w:val="es-CO"/>
        </w:rPr>
      </w:pPr>
      <w:bookmarkStart w:id="103" w:name="90"/>
      <w:r w:rsidRPr="006969B3">
        <w:rPr>
          <w:rFonts w:ascii="Arial" w:hAnsi="Arial" w:cs="Arial"/>
          <w:sz w:val="22"/>
          <w:szCs w:val="22"/>
          <w:lang w:val="es-CO"/>
        </w:rPr>
        <w:t>ARTÍCULO 90. APROBACIÓN Y SEGUIMIENTO DE LA VALORACIÓN DE LAS CONTINGENCIAS.</w:t>
      </w:r>
      <w:bookmarkEnd w:id="103"/>
      <w:r w:rsidRPr="006969B3">
        <w:rPr>
          <w:rFonts w:ascii="Arial" w:hAnsi="Arial" w:cs="Arial"/>
          <w:sz w:val="22"/>
          <w:szCs w:val="22"/>
          <w:lang w:val="es-CO"/>
        </w:rPr>
        <w:t> Adiciónese un parágrafo al artículo</w:t>
      </w:r>
      <w:r w:rsidR="006E3936">
        <w:rPr>
          <w:rFonts w:ascii="Arial" w:hAnsi="Arial" w:cs="Arial"/>
          <w:sz w:val="22"/>
          <w:szCs w:val="22"/>
          <w:lang w:val="es-CO"/>
        </w:rPr>
        <w:t xml:space="preserve"> 6</w:t>
      </w:r>
      <w:r w:rsidRPr="006969B3">
        <w:rPr>
          <w:rFonts w:ascii="Arial" w:hAnsi="Arial" w:cs="Arial"/>
          <w:sz w:val="22"/>
          <w:szCs w:val="22"/>
          <w:lang w:val="es-CO"/>
        </w:rPr>
        <w:t> de la Ley 448 de 1998, así:</w:t>
      </w:r>
    </w:p>
    <w:p w14:paraId="1886391F" w14:textId="77777777" w:rsidR="006E3936" w:rsidRDefault="006E3936" w:rsidP="00F65283">
      <w:pPr>
        <w:pStyle w:val="NormalWeb"/>
        <w:spacing w:before="0" w:beforeAutospacing="0" w:after="0" w:afterAutospacing="0"/>
        <w:jc w:val="both"/>
        <w:rPr>
          <w:rStyle w:val="baj"/>
          <w:rFonts w:ascii="Arial" w:hAnsi="Arial" w:cs="Arial"/>
          <w:sz w:val="22"/>
          <w:szCs w:val="22"/>
          <w:lang w:val="es-CO"/>
        </w:rPr>
      </w:pPr>
    </w:p>
    <w:p w14:paraId="45FB236A" w14:textId="692793F0"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Las entidades territoriales y sus descentralizadas deberán crear su propio fondo de contingencias; para tal efecto determinarán las metodologías de valoración según el tipo de pasivo contingente previsto en el artículo</w:t>
      </w:r>
      <w:r w:rsidR="006E3936">
        <w:rPr>
          <w:rFonts w:ascii="Arial" w:hAnsi="Arial" w:cs="Arial"/>
          <w:sz w:val="22"/>
          <w:szCs w:val="22"/>
          <w:lang w:val="es-CO"/>
        </w:rPr>
        <w:t xml:space="preserve"> 3</w:t>
      </w:r>
      <w:r w:rsidR="006E3936" w:rsidRPr="0074467C">
        <w:rPr>
          <w:lang w:val="es-CO"/>
        </w:rPr>
        <w:t xml:space="preserve"> </w:t>
      </w:r>
      <w:r w:rsidRPr="006969B3">
        <w:rPr>
          <w:rFonts w:ascii="Arial" w:hAnsi="Arial" w:cs="Arial"/>
          <w:sz w:val="22"/>
          <w:szCs w:val="22"/>
          <w:lang w:val="es-CO"/>
        </w:rPr>
        <w:t>de la Ley 819 de 2003, las condiciones de cada entidad y deberán incluir en sus presupuestos de servicio de deuda, las apropiaciones necesarias. Los aportes realizados al Fondo se entenderán ejecutados una vez transferidos al mismo y sólo podrán ser reembolsados al presupuesto de la entidad aportante como recursos de capital cuando se verifique en forma definitiva la no realización de los riesgos previstos.</w:t>
      </w:r>
    </w:p>
    <w:p w14:paraId="08ECD96B"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4E8A86C1" w14:textId="1F3AB10D"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 aprobación y seguimiento de las valoraciones de las que trata el presente parágrafo solamente se efectuarán por parte de la Dirección General de Crédito Público y Tesoro Nacional cuando los aportes al fondo de contingencias de las entidades estatales se deriven de contingencias relacionadas con riesgos contractuales, providencias que impongan condenas o aprueben conciliaciones, y garantías, en los casos en los que se cuente con participación de recursos públicos de orden nacional y/o haya asunción de obligaciones contingentes por parte de la Nación o las entidades descentralizadas del orden nacional.</w:t>
      </w:r>
    </w:p>
    <w:p w14:paraId="71AD9C3F"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bookmarkStart w:id="104" w:name="91"/>
    </w:p>
    <w:p w14:paraId="4DAE0E7C" w14:textId="3810A598"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91. BIENES INMUEBLES FISCALES.</w:t>
      </w:r>
      <w:bookmarkEnd w:id="104"/>
      <w:r w:rsidRPr="006969B3">
        <w:rPr>
          <w:rFonts w:ascii="Arial" w:hAnsi="Arial" w:cs="Arial"/>
          <w:sz w:val="22"/>
          <w:szCs w:val="22"/>
          <w:lang w:val="es-CO"/>
        </w:rPr>
        <w:t xml:space="preserve"> Los bienes inmuebles fiscales de propiedad de entidades públicas del orden nacional y territorial podrán utilizarse como medio de pago, garantía o fuente de financiación para adelantar la formulación, estructuración y ejecución de proyectos inmobiliarios que tengan como propósito o consecuencia resolver necesidades en materia de infraestructura para sedes </w:t>
      </w:r>
      <w:r w:rsidRPr="006969B3">
        <w:rPr>
          <w:rFonts w:ascii="Arial" w:hAnsi="Arial" w:cs="Arial"/>
          <w:sz w:val="22"/>
          <w:szCs w:val="22"/>
          <w:lang w:val="es-CO"/>
        </w:rPr>
        <w:lastRenderedPageBreak/>
        <w:t>administrativas, o misionales de entidades públicas, incluyendo instalaciones militares y carcelarias, así como de defensa y seguridad del Estado, y en consecuencia se entenderá que los respectivos inmuebles se requieren para el ejercicio de sus funciones.</w:t>
      </w:r>
    </w:p>
    <w:p w14:paraId="158A8EEF"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296E83EA" w14:textId="698FF34A"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En los proyectos inmobiliarios que se adelanten para resolver necesidades del sector defensa, y se desarrollen a través de otros organismos del Presupuesto General de la Nación, que involucren o no mecanismos como la fiducia mercantil, podrán diseñarse procesos de selección de contratistas entre aspirantes a contratar que cuenten con el respaldo de países con los cuales el Ministerio de Defensa Nacional hubiere firmado acuerdos o convenios. Los contratos que se celebren con el alcance descrito en este inciso son de defensa y seguridad del Estado para todos los efectos y en especial para lo dispuesto en el artículo</w:t>
      </w:r>
      <w:r w:rsidR="00DA3997">
        <w:rPr>
          <w:rFonts w:ascii="Arial" w:hAnsi="Arial" w:cs="Arial"/>
          <w:sz w:val="22"/>
          <w:szCs w:val="22"/>
          <w:lang w:val="es-CO"/>
        </w:rPr>
        <w:t xml:space="preserve"> </w:t>
      </w:r>
      <w:proofErr w:type="gramStart"/>
      <w:r w:rsidR="00DA3997">
        <w:rPr>
          <w:rFonts w:ascii="Arial" w:hAnsi="Arial" w:cs="Arial"/>
          <w:sz w:val="22"/>
          <w:szCs w:val="22"/>
          <w:lang w:val="es-CO"/>
        </w:rPr>
        <w:t>33</w:t>
      </w:r>
      <w:r w:rsidRPr="006969B3">
        <w:rPr>
          <w:rFonts w:ascii="Arial" w:hAnsi="Arial" w:cs="Arial"/>
          <w:sz w:val="22"/>
          <w:szCs w:val="22"/>
          <w:lang w:val="es-CO"/>
        </w:rPr>
        <w:t>  de</w:t>
      </w:r>
      <w:proofErr w:type="gramEnd"/>
      <w:r w:rsidRPr="006969B3">
        <w:rPr>
          <w:rFonts w:ascii="Arial" w:hAnsi="Arial" w:cs="Arial"/>
          <w:sz w:val="22"/>
          <w:szCs w:val="22"/>
          <w:lang w:val="es-CO"/>
        </w:rPr>
        <w:t xml:space="preserve"> la Ley 996 de 2005, o la norma que lo modifique, adicione o sustituya.</w:t>
      </w:r>
    </w:p>
    <w:p w14:paraId="582BD3E8"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0FC76BD2" w14:textId="7F9A2935"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Si los proyectos a que se refiere este artículo son encargados para su ejecución a un particular, la remuneración, total o parcial podrá hacerse con los aportes, en dinero o en especie, según el mecanismo jurídico diseñado para tal fin.</w:t>
      </w:r>
    </w:p>
    <w:p w14:paraId="12881F54"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70801986" w14:textId="246D5CA6"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Ministerio de Defensa Nacional y la Policía Nacional podrán suscribir convenios con entidades públicas o privadas que les permitan recibir aportes para fortalecer las capacidades de la Fuerza Pública en áreas en donde se concentre la infraestructura crítica, productiva y de desarrollo.</w:t>
      </w:r>
    </w:p>
    <w:p w14:paraId="7D601965" w14:textId="0B2696E3" w:rsidR="00A357C0" w:rsidRPr="006969B3" w:rsidRDefault="00A357C0" w:rsidP="00F65283">
      <w:pPr>
        <w:spacing w:after="0" w:line="240" w:lineRule="auto"/>
        <w:rPr>
          <w:rFonts w:ascii="Arial" w:hAnsi="Arial" w:cs="Arial"/>
          <w:lang w:val="es-CO"/>
        </w:rPr>
      </w:pPr>
    </w:p>
    <w:p w14:paraId="6ABB314C" w14:textId="77777777" w:rsidR="00A357C0" w:rsidRPr="006969B3" w:rsidRDefault="00A357C0" w:rsidP="00F65283">
      <w:pPr>
        <w:pStyle w:val="NormalWeb"/>
        <w:spacing w:before="0" w:beforeAutospacing="0" w:after="0" w:afterAutospacing="0"/>
        <w:jc w:val="both"/>
        <w:rPr>
          <w:rFonts w:ascii="Arial" w:hAnsi="Arial" w:cs="Arial"/>
          <w:sz w:val="22"/>
          <w:szCs w:val="22"/>
          <w:lang w:val="es-CO"/>
        </w:rPr>
      </w:pPr>
      <w:bookmarkStart w:id="105" w:name="92"/>
      <w:r w:rsidRPr="006969B3">
        <w:rPr>
          <w:rFonts w:ascii="Arial" w:hAnsi="Arial" w:cs="Arial"/>
          <w:sz w:val="22"/>
          <w:szCs w:val="22"/>
          <w:lang w:val="es-CO"/>
        </w:rPr>
        <w:t>ARTÍCULO 92. ESTRUCTURACIÓN DE PROYECTOS POR PARTE DE LA AGENCIA NACIONAL INMOBILIARIA “VIRGILIO BARCO VARGAS”.</w:t>
      </w:r>
      <w:bookmarkEnd w:id="105"/>
      <w:r w:rsidRPr="006969B3">
        <w:rPr>
          <w:rFonts w:ascii="Arial" w:hAnsi="Arial" w:cs="Arial"/>
          <w:sz w:val="22"/>
          <w:szCs w:val="22"/>
          <w:lang w:val="es-CO"/>
        </w:rPr>
        <w:t> La estructuración y ejecución de los proyectos inmobiliarios que lleve a cabo la Agencia Nacional Inmobiliaria “Virgilio Barco Vargas”, se podrá realizar sin requerir desembolso de recursos públicos y de acuerdo con la normativa aplicable al mecanismo fiduciario utilizado por la Agencia, como si se tratara de una asociación público-privada de iniciativa privada.</w:t>
      </w:r>
    </w:p>
    <w:p w14:paraId="11015FE0"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2A5F2952" w14:textId="62772CDF"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Los recursos que se generen en los proyectos inmobiliarios que se desarrollan mediante contratos de fiducia mercantil, provenientes del intercambio u operación predial que realice la Agencia Nacional Inmobiliaria “Virgilio Barco Vargas”, así como del ejercicio de su actividad, harán parte de los proyectos que se adelanten por este mecanismo y se ejecutarán y administrarán a través de los respectivos patrimonios autónomos, sin operación presupuestal alguna por parte de la Agencia.</w:t>
      </w:r>
    </w:p>
    <w:p w14:paraId="1FC0FA2B" w14:textId="7CC7C753" w:rsidR="00A357C0" w:rsidRPr="006969B3" w:rsidRDefault="00A357C0" w:rsidP="00F65283">
      <w:pPr>
        <w:spacing w:after="0" w:line="240" w:lineRule="auto"/>
        <w:rPr>
          <w:rFonts w:ascii="Arial" w:hAnsi="Arial" w:cs="Arial"/>
          <w:lang w:val="es-CO"/>
        </w:rPr>
      </w:pPr>
    </w:p>
    <w:p w14:paraId="494A131F" w14:textId="77777777" w:rsidR="00A357C0" w:rsidRPr="006969B3" w:rsidRDefault="00A357C0" w:rsidP="00F65283">
      <w:pPr>
        <w:pStyle w:val="NormalWeb"/>
        <w:spacing w:before="0" w:beforeAutospacing="0" w:after="0" w:afterAutospacing="0"/>
        <w:jc w:val="both"/>
        <w:rPr>
          <w:rFonts w:ascii="Arial" w:hAnsi="Arial" w:cs="Arial"/>
          <w:sz w:val="22"/>
          <w:szCs w:val="22"/>
          <w:lang w:val="es-CO"/>
        </w:rPr>
      </w:pPr>
      <w:bookmarkStart w:id="106" w:name="93"/>
      <w:r w:rsidRPr="006969B3">
        <w:rPr>
          <w:rFonts w:ascii="Arial" w:hAnsi="Arial" w:cs="Arial"/>
          <w:sz w:val="22"/>
          <w:szCs w:val="22"/>
          <w:lang w:val="es-CO"/>
        </w:rPr>
        <w:t>ARTÍCULO 93. INFRAESTRUCTURA INMOBILIARIA PARA LA ADMINISTRACIÓN PÚBLICA.</w:t>
      </w:r>
      <w:bookmarkEnd w:id="106"/>
      <w:r w:rsidRPr="006969B3">
        <w:rPr>
          <w:rFonts w:ascii="Arial" w:hAnsi="Arial" w:cs="Arial"/>
          <w:sz w:val="22"/>
          <w:szCs w:val="22"/>
          <w:lang w:val="es-CO"/>
        </w:rPr>
        <w:t> La Agencia Nacional Inmobiliaria Virgilio Barco Vargas, en desarrollo de su objeto de construir o gestionar, mediante Asociaciones Público-Privadas o contratación de obras, inmuebles destinados a entidades oficiales del orden nacional o territorial y a otros usos complementarios que pueda tener el mismo proyecto, podrá suscribir contratos de tracto sucesivo ya sea de arrendamiento o con cualquier otro compromiso contractual, por el mismo plazo que la Asociación Público-Privada o vehículo contractual de ejecución del proyecto inmobiliario requiera para la financiación del mismo y recuperación de la inversión antes de la reversión del inmueble a la misma Agencia cuando a ello hubiere lugar.</w:t>
      </w:r>
    </w:p>
    <w:p w14:paraId="39CC5B63" w14:textId="1736A8C6" w:rsidR="00A357C0" w:rsidRPr="006969B3" w:rsidRDefault="00A357C0" w:rsidP="00F65283">
      <w:pPr>
        <w:spacing w:after="0" w:line="240" w:lineRule="auto"/>
        <w:rPr>
          <w:rFonts w:ascii="Arial" w:hAnsi="Arial" w:cs="Arial"/>
          <w:lang w:val="es-CO"/>
        </w:rPr>
      </w:pPr>
    </w:p>
    <w:p w14:paraId="6FDAB79C" w14:textId="77777777" w:rsidR="00A357C0" w:rsidRPr="006969B3" w:rsidRDefault="00A357C0" w:rsidP="00F65283">
      <w:pPr>
        <w:pStyle w:val="NormalWeb"/>
        <w:spacing w:before="0" w:beforeAutospacing="0" w:after="0" w:afterAutospacing="0"/>
        <w:jc w:val="both"/>
        <w:rPr>
          <w:rFonts w:ascii="Arial" w:hAnsi="Arial" w:cs="Arial"/>
          <w:sz w:val="22"/>
          <w:szCs w:val="22"/>
          <w:lang w:val="es-CO"/>
        </w:rPr>
      </w:pPr>
      <w:bookmarkStart w:id="107" w:name="94"/>
      <w:r w:rsidRPr="006969B3">
        <w:rPr>
          <w:rFonts w:ascii="Arial" w:hAnsi="Arial" w:cs="Arial"/>
          <w:sz w:val="22"/>
          <w:szCs w:val="22"/>
          <w:lang w:val="es-CO"/>
        </w:rPr>
        <w:t>ARTÍCULO 94. VIGENCIAS FUTURAS AGENCIA NACIONAL INMOBILIARIA VIRGILIO BARCO VARGAS.</w:t>
      </w:r>
      <w:bookmarkEnd w:id="107"/>
      <w:r w:rsidRPr="006969B3">
        <w:rPr>
          <w:rFonts w:ascii="Arial" w:hAnsi="Arial" w:cs="Arial"/>
          <w:sz w:val="22"/>
          <w:szCs w:val="22"/>
          <w:lang w:val="es-CO"/>
        </w:rPr>
        <w:t xml:space="preserve"> La autorización de compromisos de vigencias futuras de cualquier naturaleza para atender gastos de proyectos en que participa la Agencia Nacional </w:t>
      </w:r>
      <w:r w:rsidRPr="006969B3">
        <w:rPr>
          <w:rFonts w:ascii="Arial" w:hAnsi="Arial" w:cs="Arial"/>
          <w:sz w:val="22"/>
          <w:szCs w:val="22"/>
          <w:lang w:val="es-CO"/>
        </w:rPr>
        <w:lastRenderedPageBreak/>
        <w:t xml:space="preserve">Inmobiliaria Virgilio Barco </w:t>
      </w:r>
      <w:proofErr w:type="gramStart"/>
      <w:r w:rsidRPr="006969B3">
        <w:rPr>
          <w:rFonts w:ascii="Arial" w:hAnsi="Arial" w:cs="Arial"/>
          <w:sz w:val="22"/>
          <w:szCs w:val="22"/>
          <w:lang w:val="es-CO"/>
        </w:rPr>
        <w:t>Vargas,</w:t>
      </w:r>
      <w:proofErr w:type="gramEnd"/>
      <w:r w:rsidRPr="006969B3">
        <w:rPr>
          <w:rFonts w:ascii="Arial" w:hAnsi="Arial" w:cs="Arial"/>
          <w:sz w:val="22"/>
          <w:szCs w:val="22"/>
          <w:lang w:val="es-CO"/>
        </w:rPr>
        <w:t xml:space="preserve"> no estará sujeta al límite de autorizaciones para comprometer vigencias futuras.</w:t>
      </w:r>
    </w:p>
    <w:p w14:paraId="34C2C2ED" w14:textId="26F583E1" w:rsidR="00A357C0" w:rsidRPr="006969B3" w:rsidRDefault="00A357C0" w:rsidP="00F65283">
      <w:pPr>
        <w:spacing w:after="0" w:line="240" w:lineRule="auto"/>
        <w:rPr>
          <w:rFonts w:ascii="Arial" w:hAnsi="Arial" w:cs="Arial"/>
          <w:lang w:val="es-CO"/>
        </w:rPr>
      </w:pPr>
    </w:p>
    <w:p w14:paraId="2EBCBD43" w14:textId="238802D5" w:rsidR="00A357C0" w:rsidRPr="006969B3" w:rsidRDefault="00A357C0" w:rsidP="00F65283">
      <w:pPr>
        <w:pStyle w:val="NormalWeb"/>
        <w:spacing w:before="0" w:beforeAutospacing="0" w:after="0" w:afterAutospacing="0"/>
        <w:jc w:val="both"/>
        <w:rPr>
          <w:rFonts w:ascii="Arial" w:hAnsi="Arial" w:cs="Arial"/>
          <w:sz w:val="22"/>
          <w:szCs w:val="22"/>
          <w:lang w:val="es-CO"/>
        </w:rPr>
      </w:pPr>
      <w:bookmarkStart w:id="108" w:name="95"/>
      <w:r w:rsidRPr="006969B3">
        <w:rPr>
          <w:rFonts w:ascii="Arial" w:hAnsi="Arial" w:cs="Arial"/>
          <w:sz w:val="22"/>
          <w:szCs w:val="22"/>
          <w:lang w:val="es-CO"/>
        </w:rPr>
        <w:t>ARTÍCULO 95. FORTALECIMIENTO DE LA INFRAESTRUCTURA FÍSICA DE LAS ENTIDADES DEL ESTADO.</w:t>
      </w:r>
      <w:bookmarkEnd w:id="108"/>
      <w:r w:rsidRPr="006969B3">
        <w:rPr>
          <w:rFonts w:ascii="Arial" w:hAnsi="Arial" w:cs="Arial"/>
          <w:sz w:val="22"/>
          <w:szCs w:val="22"/>
          <w:lang w:val="es-CO"/>
        </w:rPr>
        <w:t> Con el propósito de modernizar, tecnificar y consolidar la institucionalidad de las entidades públicas, el Gobierno nacional podrá apropiar recursos para que dentro del Plan Plurianual de Inversiones y con cargo al Presupuesto General de la Nación, a partir de la vigencia de la presente ley se corrija la deficiencia en la capacidad de la infraestructura física de las instalaciones.</w:t>
      </w:r>
    </w:p>
    <w:p w14:paraId="33E1679E" w14:textId="77777777" w:rsidR="00D83E14" w:rsidRPr="006969B3" w:rsidRDefault="00D83E14" w:rsidP="00F65283">
      <w:pPr>
        <w:pStyle w:val="NormalWeb"/>
        <w:spacing w:before="0" w:beforeAutospacing="0" w:after="0" w:afterAutospacing="0"/>
        <w:jc w:val="both"/>
        <w:rPr>
          <w:rFonts w:ascii="Arial" w:hAnsi="Arial" w:cs="Arial"/>
          <w:sz w:val="22"/>
          <w:szCs w:val="22"/>
          <w:lang w:val="es-CO"/>
        </w:rPr>
      </w:pPr>
    </w:p>
    <w:p w14:paraId="19B591E7" w14:textId="77777777"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En concurrencia con los recursos que aporte el sector público del orden nacional, también se tendrán como fuente los procedentes del sector privado en alianza con Asociaciones Público-Privadas y los de cooperación internacional, con el objetivo de lograr la eficiencia en las inversiones.</w:t>
      </w:r>
    </w:p>
    <w:p w14:paraId="65AB073C" w14:textId="33D1214F" w:rsidR="00A357C0" w:rsidRPr="006969B3" w:rsidRDefault="00A357C0" w:rsidP="00F65283">
      <w:pPr>
        <w:spacing w:after="0" w:line="240" w:lineRule="auto"/>
        <w:rPr>
          <w:rFonts w:ascii="Arial" w:hAnsi="Arial" w:cs="Arial"/>
          <w:lang w:val="es-CO"/>
        </w:rPr>
      </w:pPr>
    </w:p>
    <w:p w14:paraId="6D416B1A" w14:textId="0FA361C3" w:rsidR="00A357C0" w:rsidRPr="006969B3" w:rsidRDefault="00A357C0" w:rsidP="00F65283">
      <w:pPr>
        <w:pStyle w:val="NormalWeb"/>
        <w:spacing w:before="0" w:beforeAutospacing="0" w:after="0" w:afterAutospacing="0"/>
        <w:jc w:val="both"/>
        <w:rPr>
          <w:rFonts w:ascii="Arial" w:hAnsi="Arial" w:cs="Arial"/>
          <w:sz w:val="22"/>
          <w:szCs w:val="22"/>
          <w:lang w:val="es-CO"/>
        </w:rPr>
      </w:pPr>
      <w:bookmarkStart w:id="109" w:name="96"/>
      <w:r w:rsidRPr="006969B3">
        <w:rPr>
          <w:rFonts w:ascii="Arial" w:hAnsi="Arial" w:cs="Arial"/>
          <w:sz w:val="22"/>
          <w:szCs w:val="22"/>
          <w:lang w:val="es-CO"/>
        </w:rPr>
        <w:t>ARTÍCULO 96. PLANES DE MOVILIDAD SOSTENIBLE Y SEGURA PARA MUNICIPIOS, DISTRITOS Y ÁREAS METROPOLITANAS.</w:t>
      </w:r>
      <w:bookmarkEnd w:id="109"/>
      <w:r w:rsidRPr="006969B3">
        <w:rPr>
          <w:rFonts w:ascii="Arial" w:hAnsi="Arial" w:cs="Arial"/>
          <w:sz w:val="22"/>
          <w:szCs w:val="22"/>
          <w:lang w:val="es-CO"/>
        </w:rPr>
        <w:t> Modifíquese el artículo</w:t>
      </w:r>
      <w:r w:rsidR="00443CDF">
        <w:rPr>
          <w:rFonts w:ascii="Arial" w:hAnsi="Arial" w:cs="Arial"/>
          <w:sz w:val="22"/>
          <w:szCs w:val="22"/>
          <w:lang w:val="es-CO"/>
        </w:rPr>
        <w:t xml:space="preserve"> 1o.</w:t>
      </w:r>
      <w:r w:rsidRPr="006969B3">
        <w:rPr>
          <w:rFonts w:ascii="Arial" w:hAnsi="Arial" w:cs="Arial"/>
          <w:sz w:val="22"/>
          <w:szCs w:val="22"/>
          <w:lang w:val="es-CO"/>
        </w:rPr>
        <w:t> de la Ley 1083 de 2006, el cual quedará así:</w:t>
      </w:r>
    </w:p>
    <w:p w14:paraId="51C08DAF"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01B6AA47" w14:textId="6B39B211"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w:t>
      </w:r>
      <w:r w:rsidR="00443CDF">
        <w:rPr>
          <w:rFonts w:ascii="Arial" w:hAnsi="Arial" w:cs="Arial"/>
          <w:sz w:val="22"/>
          <w:szCs w:val="22"/>
          <w:lang w:val="es-CO"/>
        </w:rPr>
        <w:t xml:space="preserve"> 1o.</w:t>
      </w:r>
      <w:r w:rsidRPr="006969B3">
        <w:rPr>
          <w:rFonts w:ascii="Arial" w:hAnsi="Arial" w:cs="Arial"/>
          <w:sz w:val="22"/>
          <w:szCs w:val="22"/>
          <w:lang w:val="es-CO"/>
        </w:rPr>
        <w:t xml:space="preserve"> Planes de Movilidad Sostenible y Segura para Municipios, Distritos y Áreas Metropolitanas. Los municipios y distritos que deben adoptar planes de ordenamiento territorial en los términos del literal a) del artículo</w:t>
      </w:r>
      <w:r w:rsidR="00443CDF">
        <w:rPr>
          <w:rFonts w:ascii="Arial" w:hAnsi="Arial" w:cs="Arial"/>
          <w:sz w:val="22"/>
          <w:szCs w:val="22"/>
          <w:lang w:val="es-CO"/>
        </w:rPr>
        <w:t xml:space="preserve"> 9o</w:t>
      </w:r>
      <w:r w:rsidRPr="006969B3">
        <w:rPr>
          <w:rFonts w:ascii="Arial" w:hAnsi="Arial" w:cs="Arial"/>
          <w:sz w:val="22"/>
          <w:szCs w:val="22"/>
          <w:lang w:val="es-CO"/>
        </w:rPr>
        <w:t> de la Ley 388 de 1997, formularán, adoptarán y ejecutarán planes de movilidad. Los planes de movilidad sostenible y segura darán prelación a los medios de transporte no motorizados (peatón y bicicleta) y al transporte público con energéticos y tecnologías de bajas o cero emisiones.</w:t>
      </w:r>
    </w:p>
    <w:p w14:paraId="0E3F6FB8"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57AF1393" w14:textId="29A3DC19"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En todo caso, los planes de movilidad deberán determinar objetivos y metas de movilidad sostenible, articulados con los respectivos planes de ordenamiento territorial, cuyo total cumplimiento deberá garantizarse mediante la formulación y ejecución de estrategias, programas y proyectos.</w:t>
      </w:r>
    </w:p>
    <w:p w14:paraId="4EF860BC"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728EC791" w14:textId="630842D2"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Cualquier municipio que esté fuera de esta obligación podrá formular, adoptar y ejecutar su plan de movilidad en el marco de los objetivos y metas de movilidad sostenible y segura, en especial capitales departamentales, municipios con nodos de comercio exterior, con intensidad turística, o con altos índices de contaminación o siniestralidad.</w:t>
      </w:r>
    </w:p>
    <w:p w14:paraId="4B13171D"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6A8AFC5C" w14:textId="0B247B67"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Las áreas metropolitanas definidas por el artículo</w:t>
      </w:r>
      <w:r w:rsidR="006D2929">
        <w:rPr>
          <w:rFonts w:ascii="Arial" w:hAnsi="Arial" w:cs="Arial"/>
          <w:sz w:val="22"/>
          <w:szCs w:val="22"/>
          <w:lang w:val="es-CO"/>
        </w:rPr>
        <w:t xml:space="preserve"> 319</w:t>
      </w:r>
      <w:r w:rsidR="006D2929" w:rsidRPr="0074467C">
        <w:rPr>
          <w:lang w:val="es-CO"/>
        </w:rPr>
        <w:t xml:space="preserve"> </w:t>
      </w:r>
      <w:r w:rsidRPr="006969B3">
        <w:rPr>
          <w:rFonts w:ascii="Arial" w:hAnsi="Arial" w:cs="Arial"/>
          <w:sz w:val="22"/>
          <w:szCs w:val="22"/>
          <w:lang w:val="es-CO"/>
        </w:rPr>
        <w:t>de la Constitución Política de Colombia y que se encuentren legalmente conformadas, deberán formular, adoptar y ejecutar planes de movilidad sobre la totalidad del territorio de los municipios que la conforman. Los planes de movilidad metropolitanos deberán formularse, adoptarse y ejecutarse con los mismos parámetros definidos para los municipios y distritos; así mismo, deberán garantizar concordancia con el nivel de prevalencia tanto de los planes integrales de desarrollo metropolitano como de los planes estratégicos de ordenamiento territorial metropolitano definidos por la Ley</w:t>
      </w:r>
      <w:r w:rsidR="00DA3997">
        <w:rPr>
          <w:rFonts w:ascii="Arial" w:hAnsi="Arial" w:cs="Arial"/>
          <w:sz w:val="22"/>
          <w:szCs w:val="22"/>
          <w:lang w:val="es-CO"/>
        </w:rPr>
        <w:t xml:space="preserve"> 1625</w:t>
      </w:r>
      <w:r w:rsidRPr="006969B3">
        <w:rPr>
          <w:rFonts w:ascii="Arial" w:hAnsi="Arial" w:cs="Arial"/>
          <w:sz w:val="22"/>
          <w:szCs w:val="22"/>
          <w:lang w:val="es-CO"/>
        </w:rPr>
        <w:t> de 2013, que le corresponda a cada área metropolitana.</w:t>
      </w:r>
    </w:p>
    <w:p w14:paraId="305CB1F2"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71004AD5" w14:textId="6B80CDCD"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Los contenidos de los planes de desarrollo municipal y distrital de que trata la Ley</w:t>
      </w:r>
      <w:r w:rsidR="00DA3997">
        <w:rPr>
          <w:rFonts w:ascii="Arial" w:hAnsi="Arial" w:cs="Arial"/>
          <w:sz w:val="22"/>
          <w:szCs w:val="22"/>
          <w:lang w:val="es-CO"/>
        </w:rPr>
        <w:t xml:space="preserve"> 152</w:t>
      </w:r>
      <w:r w:rsidRPr="006969B3">
        <w:rPr>
          <w:rFonts w:ascii="Arial" w:hAnsi="Arial" w:cs="Arial"/>
          <w:sz w:val="22"/>
          <w:szCs w:val="22"/>
          <w:lang w:val="es-CO"/>
        </w:rPr>
        <w:t> de 1994, deben armonizarse con los objetivos y metas de los planes de movilidad.</w:t>
      </w:r>
    </w:p>
    <w:p w14:paraId="3AB25795"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3343BF6C" w14:textId="6F235CF7"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lastRenderedPageBreak/>
        <w:t>Los municipios y distritos que integran y hacen parte del territorio de un área metropolitana, deben armonizar igualmente sus planes de desarrollo con el plan de movilidad de la respectiva área metropolitana, en los términos del presente artículo.</w:t>
      </w:r>
    </w:p>
    <w:p w14:paraId="578433CD"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49135765" w14:textId="66D6BFAD"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 formulación de los planes de movilidad sostenible y segura deberá enmarcarse en la estrategia para la implementación de los Objetivos de Desarrollo Sostenible en Colombia.</w:t>
      </w:r>
    </w:p>
    <w:p w14:paraId="50D20F4D"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060C8A46" w14:textId="05C42527"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xml:space="preserve"> El Ministerio de Minas y Energía y el Ministerio de Ambiente y Desarrollo Sostenible, dentro de los seis (6) meses </w:t>
      </w:r>
      <w:proofErr w:type="spellStart"/>
      <w:r w:rsidRPr="006969B3">
        <w:rPr>
          <w:rFonts w:ascii="Arial" w:hAnsi="Arial" w:cs="Arial"/>
          <w:sz w:val="22"/>
          <w:szCs w:val="22"/>
          <w:lang w:val="es-CO"/>
        </w:rPr>
        <w:t>siguien</w:t>
      </w:r>
      <w:proofErr w:type="spellEnd"/>
      <w:r w:rsidRPr="006969B3">
        <w:rPr>
          <w:rFonts w:ascii="Arial" w:hAnsi="Arial" w:cs="Arial"/>
          <w:sz w:val="22"/>
          <w:szCs w:val="22"/>
          <w:lang w:val="es-CO"/>
        </w:rPr>
        <w:t xml:space="preserve"> tes a la promulgación de esta ley, establecerá mediante reglamentación la definición de energéticos de bajas o cero emisiones, teniendo como criterio fundamental su contenido de componentes nocivos para la salud y el medio ambiente. El Ministerio de Transporte y el Ministerio de Ambiente y Desarrollo Sostenible expedirán la reglamentación de tecnologías vehiculares de bajas o cero emisiones. Las definiciones y reglamentaciones deberán ser actualizadas de manera cuatrienal considerando los constantes avances en los energéticos y en las tecnologías.</w:t>
      </w:r>
    </w:p>
    <w:p w14:paraId="2A2144F8" w14:textId="25A1D76A" w:rsidR="00A357C0" w:rsidRPr="006969B3" w:rsidRDefault="00A357C0" w:rsidP="00F65283">
      <w:pPr>
        <w:spacing w:after="0" w:line="240" w:lineRule="auto"/>
        <w:rPr>
          <w:rFonts w:ascii="Arial" w:hAnsi="Arial" w:cs="Arial"/>
          <w:lang w:val="es-CO"/>
        </w:rPr>
      </w:pPr>
    </w:p>
    <w:p w14:paraId="595FB802" w14:textId="1A71E2A1" w:rsidR="00A357C0" w:rsidRPr="006969B3" w:rsidRDefault="00A357C0" w:rsidP="00F65283">
      <w:pPr>
        <w:pStyle w:val="NormalWeb"/>
        <w:spacing w:before="0" w:beforeAutospacing="0" w:after="0" w:afterAutospacing="0"/>
        <w:jc w:val="both"/>
        <w:rPr>
          <w:rFonts w:ascii="Arial" w:hAnsi="Arial" w:cs="Arial"/>
          <w:sz w:val="22"/>
          <w:szCs w:val="22"/>
          <w:lang w:val="es-CO"/>
        </w:rPr>
      </w:pPr>
      <w:bookmarkStart w:id="110" w:name="97"/>
      <w:r w:rsidRPr="006969B3">
        <w:rPr>
          <w:rFonts w:ascii="Arial" w:hAnsi="Arial" w:cs="Arial"/>
          <w:sz w:val="22"/>
          <w:szCs w:val="22"/>
          <w:lang w:val="es-CO"/>
        </w:rPr>
        <w:t>ARTÍCULO 97. OTRAS FUENTES DE FINANCIACIÓN PARA LOS SISTEMAS DE TRANSPORTE.</w:t>
      </w:r>
      <w:bookmarkEnd w:id="110"/>
      <w:r w:rsidRPr="006969B3">
        <w:rPr>
          <w:rFonts w:ascii="Arial" w:hAnsi="Arial" w:cs="Arial"/>
          <w:sz w:val="22"/>
          <w:szCs w:val="22"/>
          <w:lang w:val="es-CO"/>
        </w:rPr>
        <w:t> Modifíquese el artículo</w:t>
      </w:r>
      <w:r w:rsidR="00887A37">
        <w:rPr>
          <w:rFonts w:ascii="Arial" w:hAnsi="Arial" w:cs="Arial"/>
          <w:sz w:val="22"/>
          <w:szCs w:val="22"/>
          <w:lang w:val="es-CO"/>
        </w:rPr>
        <w:t xml:space="preserve"> 33</w:t>
      </w:r>
      <w:r w:rsidRPr="006969B3">
        <w:rPr>
          <w:rFonts w:ascii="Arial" w:hAnsi="Arial" w:cs="Arial"/>
          <w:sz w:val="22"/>
          <w:szCs w:val="22"/>
          <w:lang w:val="es-CO"/>
        </w:rPr>
        <w:t> de la Ley 1753 de 2015, el cual quedará así:</w:t>
      </w:r>
    </w:p>
    <w:p w14:paraId="5EF17C48" w14:textId="77777777" w:rsidR="00D83E14" w:rsidRPr="006969B3" w:rsidRDefault="00D83E14" w:rsidP="00F65283">
      <w:pPr>
        <w:pStyle w:val="NormalWeb"/>
        <w:spacing w:before="0" w:beforeAutospacing="0" w:after="0" w:afterAutospacing="0"/>
        <w:jc w:val="both"/>
        <w:rPr>
          <w:rFonts w:ascii="Arial" w:hAnsi="Arial" w:cs="Arial"/>
          <w:sz w:val="22"/>
          <w:szCs w:val="22"/>
          <w:lang w:val="es-CO"/>
        </w:rPr>
      </w:pPr>
    </w:p>
    <w:p w14:paraId="4822FD5E" w14:textId="03BFEA53"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w:t>
      </w:r>
      <w:r w:rsidR="006D2929">
        <w:rPr>
          <w:rFonts w:ascii="Arial" w:hAnsi="Arial" w:cs="Arial"/>
          <w:sz w:val="22"/>
          <w:szCs w:val="22"/>
          <w:lang w:val="es-CO"/>
        </w:rPr>
        <w:t xml:space="preserve"> 33</w:t>
      </w:r>
      <w:r w:rsidRPr="006969B3">
        <w:rPr>
          <w:rFonts w:ascii="Arial" w:hAnsi="Arial" w:cs="Arial"/>
          <w:sz w:val="22"/>
          <w:szCs w:val="22"/>
          <w:lang w:val="es-CO"/>
        </w:rPr>
        <w:t>. Otras Fuentes de Financiación para los Sistemas de Transporte. Con el objeto de contribuir a la sostenibilidad de los sistemas de transporte, a la calidad del servicio y de su infraestructura, incrementar la seguridad ciudadana, la atención y protección al usuario, al mejoramiento continuo del sistema y contar con mecanismos de gestión de la demanda, las entidades territoriales podrán establecer recursos complementarios a los ingresos por recaudo de la tarifa al usuario, que podrán ser canalizados a través de fondos de estabilización y subvención. Las fuentes podrán ser las siguientes:</w:t>
      </w:r>
    </w:p>
    <w:p w14:paraId="23D65F67"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015ED46C" w14:textId="72042397"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1. Recursos propios territoriales. Las autoridades de los departamentos, municipios, distritos o áreas metropolitanas podrán destinar recursos propios, incluyendo rentas y recursos de capital. La decisión anterior se adoptará mediante decreto municipal, distrital o mediante acuerdo metropolitano, el cual deberá contener como mínimo la destinación de los recursos, la fuente presupuestal y la garantía de la permanencia en el tiempo de los recursos, así como contar con concepto del </w:t>
      </w:r>
      <w:proofErr w:type="spellStart"/>
      <w:r w:rsidRPr="006969B3">
        <w:rPr>
          <w:rFonts w:ascii="Arial" w:hAnsi="Arial" w:cs="Arial"/>
          <w:sz w:val="22"/>
          <w:szCs w:val="22"/>
          <w:lang w:val="es-CO"/>
        </w:rPr>
        <w:t>Confis</w:t>
      </w:r>
      <w:proofErr w:type="spellEnd"/>
      <w:r w:rsidRPr="006969B3">
        <w:rPr>
          <w:rFonts w:ascii="Arial" w:hAnsi="Arial" w:cs="Arial"/>
          <w:sz w:val="22"/>
          <w:szCs w:val="22"/>
          <w:lang w:val="es-CO"/>
        </w:rPr>
        <w:t xml:space="preserve"> territorial o quien haga sus veces, y estar previstos en el Marco de Gasto de Mediano Plazo territorial con criterios de sostenibilidad fiscal.</w:t>
      </w:r>
    </w:p>
    <w:p w14:paraId="6D4B2CCE"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2E07DB79" w14:textId="7216BC85"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2. Contribución por el servicio de parqueadero o de estacionamiento en vía. Los órganos territoriales podrán establecer una contribución a las tarifas al usuario de parqueaderos fuera de vía o estacionamientos en vía y podrán destinar recursos obtenidos por esta fuente para la sostenibilidad y calidad de sus sistemas de transporte. El hecho generador del tributo corresponde al uso del servicio de parqueaderos fuera de vía o estacionamiento en vía, los sujetos activos serán los municipios, distritos y áreas metropolitanas. Serán sujetos pasivos los usuarios del servicio gravado.</w:t>
      </w:r>
    </w:p>
    <w:p w14:paraId="1DFEFE63"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7E7B7930" w14:textId="7802C9A7"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Corresponderá a las asambleas o concejos pertinentes definir los elementos del tributo y el sistema y método para definir los costos, y los responsables del cobro, declaración y consignación de los recursos recaudados, de manera que el tributo se ajuste a las condiciones locales.</w:t>
      </w:r>
    </w:p>
    <w:p w14:paraId="5BB9ED83"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61E50FAC" w14:textId="5A71D309"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lastRenderedPageBreak/>
        <w:t>Deberá cobrarse a todos aquellos usuarios que los estudios técnicos recomienden, considerando las vulnerabilidades de siniestralidad vial y la promoción de energéticos y tecnologías de cero o bajas emisiones.</w:t>
      </w:r>
    </w:p>
    <w:p w14:paraId="68E89A8A"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2B972B01" w14:textId="06D9B45A"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3. Estacionamiento en vía pública. Las autoridades territoriales podrán destinar para la sostenibilidad y calidad de sus sistemas de transporte, una parte de los recursos que se hayan obtenido de las contraprestaciones económicas percibidas por el uso de vías públicas para estacionamiento.</w:t>
      </w:r>
    </w:p>
    <w:p w14:paraId="700A8820"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61597FF5" w14:textId="3E7D82AA"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4. Infraestructura nueva para minimizar la congestión. Las autoridades territoriales que hayan adoptado plan de movilidad podrán establecer precios públicos diferenciales por acceso o uso de infraestructura de transporte nueva construida para minimizar la congestión. Las autoridades territoriales podrán destinar recursos obtenidos por esta fuente para la sostenibilidad y calidad de sus sistemas de transporte.</w:t>
      </w:r>
    </w:p>
    <w:p w14:paraId="48BA7D0F"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418EB57E" w14:textId="5F1521B1"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precio será fijado teniendo en cuenta el tipo de vía o zona; los meses, días u horas determinadas de uso; y el tipo de servicio del vehículo, el número de pasajeros o el tipo de vehículo.</w:t>
      </w:r>
    </w:p>
    <w:p w14:paraId="39F37790"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1AD5744C" w14:textId="355C88A8"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Deberá cobrarse a todos aquellos usuarios que los estudios técnicos recomienden, considerando las vulnerabilidades de siniestralidad vial y la promoción de energéticos y tecnologías de cero o bajas emisiones.</w:t>
      </w:r>
    </w:p>
    <w:p w14:paraId="1A1A3849"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09DB5311" w14:textId="4C3EA3AE"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5. Áreas con restricción vehicular. Las autoridades territoriales podrán definir áreas de congestión en las que sea necesario condicionar o restringir espacial o temporalmente el tránsito vehicular. El acceso a estas áreas podrá generar contraprestaciones o precios públicos a favor de la entidad territorial, quien definirá su tarifa y condiciones con base en estudios técnicos, con fundamento en el tipo de vía o zona; los meses, días u horas determinadas de uso; y el tipo de servicio del vehículo, el número de pasajeros o el tipo de vehículo, entre otros. Las autoridades territoriales podrán destinar recursos obtenidos por esta fuente para la sostenibilidad y calidad de sus sistemas de transporte.</w:t>
      </w:r>
    </w:p>
    <w:p w14:paraId="7CCC08EB"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27E29BBD" w14:textId="5BDE5E14"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6. Las entidades territoriales podrán destinar un porcentaje hasta del 60% del recaudo correspondiente a la entidad territorial por concepto de multas de tránsito para el funcionamiento sostenible de sus sistemas de transporte público masivo y colectivo o transporte no motorizado. Dicho porcentaje deberá ser definido y soportado por un análisis técnico y financiero que identifique los costos y gastos financiados por el concepto de multas, los programas y proyectos que se pueden financiar y los indicadores de seguimiento a los objetivos de seguridad vial.</w:t>
      </w:r>
    </w:p>
    <w:p w14:paraId="3783F7D3"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3B7D726F" w14:textId="3A7F0F8A"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7. Las autoridades territoriales podrán modificar las tarifas de los servicios de transporte público complementario a partir de la aplicación de factores tarifarios que permitirán obtener recursos para la sostenibilidad de otros servicios colectivos o masivos que operen en su jurisdicción.</w:t>
      </w:r>
    </w:p>
    <w:p w14:paraId="61F80FF8"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569BDED2" w14:textId="493CEE01"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8. Derecho real accesorio de superficie en infraestructura de transporte. Una entidad pública denominada </w:t>
      </w:r>
      <w:proofErr w:type="spellStart"/>
      <w:r w:rsidRPr="006969B3">
        <w:rPr>
          <w:rFonts w:ascii="Arial" w:hAnsi="Arial" w:cs="Arial"/>
          <w:sz w:val="22"/>
          <w:szCs w:val="22"/>
          <w:lang w:val="es-CO"/>
        </w:rPr>
        <w:t>superficiante</w:t>
      </w:r>
      <w:proofErr w:type="spellEnd"/>
      <w:r w:rsidRPr="006969B3">
        <w:rPr>
          <w:rFonts w:ascii="Arial" w:hAnsi="Arial" w:cs="Arial"/>
          <w:sz w:val="22"/>
          <w:szCs w:val="22"/>
          <w:lang w:val="es-CO"/>
        </w:rPr>
        <w:t>, titular absoluta de un bien inmueble fiscal o de uso público destinado a la infraestructura de Transporte conforme a lo establecido en el artículo</w:t>
      </w:r>
      <w:r w:rsidR="006D2929">
        <w:rPr>
          <w:rFonts w:ascii="Arial" w:hAnsi="Arial" w:cs="Arial"/>
          <w:sz w:val="22"/>
          <w:szCs w:val="22"/>
          <w:lang w:val="es-CO"/>
        </w:rPr>
        <w:t xml:space="preserve"> 4o</w:t>
      </w:r>
      <w:r w:rsidRPr="006969B3">
        <w:rPr>
          <w:rFonts w:ascii="Arial" w:hAnsi="Arial" w:cs="Arial"/>
          <w:sz w:val="22"/>
          <w:szCs w:val="22"/>
          <w:lang w:val="es-CO"/>
        </w:rPr>
        <w:t xml:space="preserve"> de la Ley 1682 de 2013, podrá otorgar el derecho real de superficie de origen contractual, enajenable y oneroso, a un tercero denominado superficiario, por un plazo máximo de treinta (30) años, prorrogables hasta máximo veinte (20) años adicionales. El superficiario </w:t>
      </w:r>
      <w:r w:rsidRPr="006969B3">
        <w:rPr>
          <w:rFonts w:ascii="Arial" w:hAnsi="Arial" w:cs="Arial"/>
          <w:sz w:val="22"/>
          <w:szCs w:val="22"/>
          <w:lang w:val="es-CO"/>
        </w:rPr>
        <w:lastRenderedPageBreak/>
        <w:t xml:space="preserve">tendrá la facultad, conforme a la normatividad de ordenamiento territorial del lugar donde se ubique el bien inmueble y las disposiciones urbanísticas vigentes, de realizar y explotar por su exclusiva cuenta y riesgo, construcciones o edificaciones en áreas libres aprovechables con todos los atributos de uso, goce y disposición de las mismas, a fin de que tales desarrollos puedan soportar gravámenes y limitaciones al dominio, sin afectar el uso público, la prestación del servicio de transporte, ni restringir la propiedad del inmueble base del </w:t>
      </w:r>
      <w:proofErr w:type="spellStart"/>
      <w:r w:rsidRPr="006969B3">
        <w:rPr>
          <w:rFonts w:ascii="Arial" w:hAnsi="Arial" w:cs="Arial"/>
          <w:sz w:val="22"/>
          <w:szCs w:val="22"/>
          <w:lang w:val="es-CO"/>
        </w:rPr>
        <w:t>superficiante</w:t>
      </w:r>
      <w:proofErr w:type="spellEnd"/>
      <w:r w:rsidRPr="006969B3">
        <w:rPr>
          <w:rFonts w:ascii="Arial" w:hAnsi="Arial" w:cs="Arial"/>
          <w:sz w:val="22"/>
          <w:szCs w:val="22"/>
          <w:lang w:val="es-CO"/>
        </w:rPr>
        <w:t>.</w:t>
      </w:r>
    </w:p>
    <w:p w14:paraId="2A4B0D7D"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34BFF79B" w14:textId="048981F4"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El derecho real de superficie se constituye mediante contratos elevados a escritura pública suscritos entre el titular del inmueble base y los terceros que serán superficiarios, los cuales contendrán la delimitación del área aprovechable, el plazo de otorgamiento del derecho, las condiciones de reversión de las construcciones, las causales de terminación del contrato, las obligaciones de las partes y la retribución que corresponde al </w:t>
      </w:r>
      <w:proofErr w:type="spellStart"/>
      <w:r w:rsidRPr="006969B3">
        <w:rPr>
          <w:rFonts w:ascii="Arial" w:hAnsi="Arial" w:cs="Arial"/>
          <w:sz w:val="22"/>
          <w:szCs w:val="22"/>
          <w:lang w:val="es-CO"/>
        </w:rPr>
        <w:t>superficiante</w:t>
      </w:r>
      <w:proofErr w:type="spellEnd"/>
      <w:r w:rsidRPr="006969B3">
        <w:rPr>
          <w:rFonts w:ascii="Arial" w:hAnsi="Arial" w:cs="Arial"/>
          <w:sz w:val="22"/>
          <w:szCs w:val="22"/>
          <w:lang w:val="es-CO"/>
        </w:rPr>
        <w:t>, debiendo además inscribirse ante la Oficina de Registro de Instrumentos Públicos en el folio de matrícula inmobiliaria del predio sobre el cual se confiere el derecho real de superficie, en el que deberá realizarse una anotación de este como derecho accesorio, identificándose el área conferida al superficiario y los linderos de la misma y las construcciones, además deberán registrarse los actos jurídicos que se efectúen en relación con el derecho real de superficie.</w:t>
      </w:r>
    </w:p>
    <w:p w14:paraId="71965412"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438ABC91" w14:textId="1C512F75"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 cancelación de la constitución de este derecho real accesorio de superficie procederá mediante escritura pública suscrita por las partes constituyentes, que será objeto de registro en el folio de matrícula inmobiliaria correspondiente y ante la Oficina de Registro competente.</w:t>
      </w:r>
    </w:p>
    <w:p w14:paraId="1C20FFAA"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3C70D68D" w14:textId="2F243C10"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Para otorgar el derecho real de superficie el </w:t>
      </w:r>
      <w:proofErr w:type="spellStart"/>
      <w:r w:rsidRPr="006969B3">
        <w:rPr>
          <w:rFonts w:ascii="Arial" w:hAnsi="Arial" w:cs="Arial"/>
          <w:sz w:val="22"/>
          <w:szCs w:val="22"/>
          <w:lang w:val="es-CO"/>
        </w:rPr>
        <w:t>superficiante</w:t>
      </w:r>
      <w:proofErr w:type="spellEnd"/>
      <w:r w:rsidRPr="006969B3">
        <w:rPr>
          <w:rFonts w:ascii="Arial" w:hAnsi="Arial" w:cs="Arial"/>
          <w:sz w:val="22"/>
          <w:szCs w:val="22"/>
          <w:lang w:val="es-CO"/>
        </w:rPr>
        <w:t xml:space="preserve"> deberá contar con un estudio técnico, financiero y jurídico, que valide y determine las condiciones y beneficios financieros y económicos que se generan a partir de su implementación y para la selección del superficiario el </w:t>
      </w:r>
      <w:proofErr w:type="spellStart"/>
      <w:r w:rsidRPr="006969B3">
        <w:rPr>
          <w:rFonts w:ascii="Arial" w:hAnsi="Arial" w:cs="Arial"/>
          <w:sz w:val="22"/>
          <w:szCs w:val="22"/>
          <w:lang w:val="es-CO"/>
        </w:rPr>
        <w:t>superficiante</w:t>
      </w:r>
      <w:proofErr w:type="spellEnd"/>
      <w:r w:rsidRPr="006969B3">
        <w:rPr>
          <w:rFonts w:ascii="Arial" w:hAnsi="Arial" w:cs="Arial"/>
          <w:sz w:val="22"/>
          <w:szCs w:val="22"/>
          <w:lang w:val="es-CO"/>
        </w:rPr>
        <w:t xml:space="preserve"> deberá sujetarse a las reglas propias de contratación que le apliquen a la entidad pública que actúe en tal calidad.</w:t>
      </w:r>
    </w:p>
    <w:p w14:paraId="59F7CF7D"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4FE3AAD3" w14:textId="38FCEC08"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9. Además de las anteriores fuentes de financiación y pago, se podrán utilizar recursos de otras fuentes como valor residual de concesiones, valorización, subasta de norma urbanística, herramientas de captura del valor del suelo, sobretasa a la gasolina o al ACPM, cobro o aportes por edificabilidad adicional y mayores valores de recaudo futuro generados en las zonas de influencia de proyectos de renovación urbana, así como recursos obtenidos a través de ingresos no operacionales.</w:t>
      </w:r>
    </w:p>
    <w:p w14:paraId="6C1D450E" w14:textId="12DFCD6C" w:rsidR="00A357C0" w:rsidRPr="006969B3" w:rsidRDefault="00A357C0" w:rsidP="00F65283">
      <w:pPr>
        <w:spacing w:after="0" w:line="240" w:lineRule="auto"/>
        <w:rPr>
          <w:rFonts w:ascii="Arial" w:hAnsi="Arial" w:cs="Arial"/>
          <w:lang w:val="es-CO"/>
        </w:rPr>
      </w:pPr>
    </w:p>
    <w:p w14:paraId="39EF1336" w14:textId="69241D8D" w:rsidR="00A357C0" w:rsidRPr="006969B3" w:rsidRDefault="00A357C0" w:rsidP="00F65283">
      <w:pPr>
        <w:pStyle w:val="NormalWeb"/>
        <w:spacing w:before="0" w:beforeAutospacing="0" w:after="0" w:afterAutospacing="0"/>
        <w:jc w:val="both"/>
        <w:rPr>
          <w:rFonts w:ascii="Arial" w:hAnsi="Arial" w:cs="Arial"/>
          <w:sz w:val="22"/>
          <w:szCs w:val="22"/>
          <w:lang w:val="es-CO"/>
        </w:rPr>
      </w:pPr>
      <w:bookmarkStart w:id="111" w:name="98"/>
      <w:r w:rsidRPr="006969B3">
        <w:rPr>
          <w:rFonts w:ascii="Arial" w:hAnsi="Arial" w:cs="Arial"/>
          <w:sz w:val="22"/>
          <w:szCs w:val="22"/>
          <w:lang w:val="es-CO"/>
        </w:rPr>
        <w:t>ARTÍCULO 98. SOSTENIBILIDAD DE SISTEMAS DE TRANSPORTE.</w:t>
      </w:r>
      <w:bookmarkEnd w:id="111"/>
      <w:r w:rsidR="00710605" w:rsidRPr="006969B3">
        <w:rPr>
          <w:rFonts w:ascii="Arial" w:hAnsi="Arial" w:cs="Arial"/>
          <w:sz w:val="22"/>
          <w:szCs w:val="22"/>
          <w:lang w:val="es-CO"/>
        </w:rPr>
        <w:t xml:space="preserve"> </w:t>
      </w:r>
      <w:r w:rsidRPr="006969B3">
        <w:rPr>
          <w:rFonts w:ascii="Arial" w:hAnsi="Arial" w:cs="Arial"/>
          <w:sz w:val="22"/>
          <w:szCs w:val="22"/>
          <w:lang w:val="es-CO"/>
        </w:rPr>
        <w:t>Modifíquese el artículo</w:t>
      </w:r>
      <w:r w:rsidR="00887A37">
        <w:rPr>
          <w:rFonts w:ascii="Arial" w:hAnsi="Arial" w:cs="Arial"/>
          <w:sz w:val="22"/>
          <w:szCs w:val="22"/>
          <w:lang w:val="es-CO"/>
        </w:rPr>
        <w:t xml:space="preserve"> </w:t>
      </w:r>
      <w:proofErr w:type="gramStart"/>
      <w:r w:rsidR="00887A37">
        <w:rPr>
          <w:rFonts w:ascii="Arial" w:hAnsi="Arial" w:cs="Arial"/>
          <w:sz w:val="22"/>
          <w:szCs w:val="22"/>
          <w:lang w:val="es-CO"/>
        </w:rPr>
        <w:t>14</w:t>
      </w:r>
      <w:r w:rsidRPr="006969B3">
        <w:rPr>
          <w:rFonts w:ascii="Arial" w:hAnsi="Arial" w:cs="Arial"/>
          <w:sz w:val="22"/>
          <w:szCs w:val="22"/>
          <w:lang w:val="es-CO"/>
        </w:rPr>
        <w:t xml:space="preserve">  de</w:t>
      </w:r>
      <w:proofErr w:type="gramEnd"/>
      <w:r w:rsidRPr="006969B3">
        <w:rPr>
          <w:rFonts w:ascii="Arial" w:hAnsi="Arial" w:cs="Arial"/>
          <w:sz w:val="22"/>
          <w:szCs w:val="22"/>
          <w:lang w:val="es-CO"/>
        </w:rPr>
        <w:t xml:space="preserve"> la Ley 86 de 1989, el cual quedará así:</w:t>
      </w:r>
    </w:p>
    <w:p w14:paraId="3F1A9194"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23C0D277" w14:textId="2ED86800"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14. Sostenibilidad de Sistemas de Transporte. Los sistemas de transporte colectivo y masivo deben ser sostenibles basados en la calidad en la prestación del servicio y en el control de la ilegalidad y la informalidad por parte de las entidades territoriales. Para ello las tarifas que se cobren por la prestación del servicio, sumadas a otras fuentes de pago de origen territorial si las hubiere, deberán ser suficientes para cubrir los costos de operación, administración, mantenimiento, y reposición de los equipos. En ningún caso el Gobierno nacional podrá realizar transferencias para cubrir los costos de operación, administración y mantenimiento.</w:t>
      </w:r>
    </w:p>
    <w:p w14:paraId="14560E6F"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3756DC86" w14:textId="1D63AFA5"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lastRenderedPageBreak/>
        <w:t>Los contratos de concesión y operación deben contemplar el concepto de sostenibilidad, y para el efecto se podrán realizar las modificaciones contractuales a que haya lugar.</w:t>
      </w:r>
    </w:p>
    <w:p w14:paraId="1A56CA7D" w14:textId="311E6B9C" w:rsidR="00A357C0" w:rsidRPr="006969B3" w:rsidRDefault="00A357C0" w:rsidP="00F65283">
      <w:pPr>
        <w:spacing w:after="0" w:line="240" w:lineRule="auto"/>
        <w:rPr>
          <w:rFonts w:ascii="Arial" w:hAnsi="Arial" w:cs="Arial"/>
          <w:lang w:val="es-CO"/>
        </w:rPr>
      </w:pPr>
    </w:p>
    <w:p w14:paraId="0EA2CDAB" w14:textId="4DEC4809" w:rsidR="00A357C0" w:rsidRPr="006969B3" w:rsidRDefault="00A357C0" w:rsidP="00F65283">
      <w:pPr>
        <w:pStyle w:val="NormalWeb"/>
        <w:spacing w:before="0" w:beforeAutospacing="0" w:after="0" w:afterAutospacing="0"/>
        <w:jc w:val="both"/>
        <w:rPr>
          <w:rFonts w:ascii="Arial" w:hAnsi="Arial" w:cs="Arial"/>
          <w:sz w:val="22"/>
          <w:szCs w:val="22"/>
          <w:lang w:val="es-CO"/>
        </w:rPr>
      </w:pPr>
      <w:bookmarkStart w:id="112" w:name="99"/>
      <w:r w:rsidRPr="006969B3">
        <w:rPr>
          <w:rFonts w:ascii="Arial" w:hAnsi="Arial" w:cs="Arial"/>
          <w:sz w:val="22"/>
          <w:szCs w:val="22"/>
          <w:lang w:val="es-CO"/>
        </w:rPr>
        <w:t>ARTÍCULO 99. APOYO A LOS SISTEMAS DE TRANSPORTE.</w:t>
      </w:r>
      <w:bookmarkEnd w:id="112"/>
      <w:r w:rsidRPr="006969B3">
        <w:rPr>
          <w:rFonts w:ascii="Arial" w:hAnsi="Arial" w:cs="Arial"/>
          <w:sz w:val="22"/>
          <w:szCs w:val="22"/>
          <w:lang w:val="es-CO"/>
        </w:rPr>
        <w:t> El Gobierno nacional podrá apoyar técnica o financieramente la implementación de sistemas de transporte público colectivo o masivo terrestres, marítimos o fluviales en cualquiera de las jurisdicciones del territorio nacional, en sus etapas de diseño, ejecución u operación. Lo anterior de conformidad con el Marco Fiscal de Mediano Plazo y lo establecido en el artículo 14 de la Ley 86 de 1989 y en la Ley</w:t>
      </w:r>
      <w:r w:rsidR="003F77F6">
        <w:rPr>
          <w:rFonts w:ascii="Arial" w:hAnsi="Arial" w:cs="Arial"/>
          <w:sz w:val="22"/>
          <w:szCs w:val="22"/>
          <w:lang w:val="es-CO"/>
        </w:rPr>
        <w:t xml:space="preserve"> 310</w:t>
      </w:r>
      <w:r w:rsidRPr="006969B3">
        <w:rPr>
          <w:rFonts w:ascii="Arial" w:hAnsi="Arial" w:cs="Arial"/>
          <w:sz w:val="22"/>
          <w:szCs w:val="22"/>
          <w:lang w:val="es-CO"/>
        </w:rPr>
        <w:t> de 1996.</w:t>
      </w:r>
    </w:p>
    <w:p w14:paraId="3C156BAD"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16B8CBB3" w14:textId="6C4F5FA7"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Los sistemas de transporte cofinanciados por la Nación deberán ser soluciones de transporte que cumplan condiciones de calidad, utilizar eficientemente los recursos, incorporar energéticos y tecnologías vehiculares de cero o bajas emisiones y facilitar el acceso a personas con discapacidad o movilidad reducida, contemplar herramientas que contribuyan a la gestión del tráfico e involucran en los diseños la integración operacional de los sistemas de transporte con los terminales de transporte habilitados por el Ministerio de Transporte, aeropuertos, puertos y pasos de frontera según sea el caso, siempre que estas infraestructuras se encuentren ubicadas dentro de la jurisdicción donde operan los sistemas de transporte; así como contar con medidas orientadas a incrementar el uso de medios no motorizados y con empresas administradoras integrales encargadas de la operación.</w:t>
      </w:r>
    </w:p>
    <w:p w14:paraId="090FBE08"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4A6B5CCE" w14:textId="1CD095CE"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Estos sistemas podrán ser: i) Sistemas Integrados de Transporte Masivo (SITM) entendidos como aquellos que cuentan con infraestructura segregada para su uso exclusivo y cuyos agentes operadores y de recaudo sean concesionados o públicos; </w:t>
      </w:r>
      <w:proofErr w:type="spellStart"/>
      <w:r w:rsidRPr="006969B3">
        <w:rPr>
          <w:rFonts w:ascii="Arial" w:hAnsi="Arial" w:cs="Arial"/>
          <w:sz w:val="22"/>
          <w:szCs w:val="22"/>
          <w:lang w:val="es-CO"/>
        </w:rPr>
        <w:t>ii</w:t>
      </w:r>
      <w:proofErr w:type="spellEnd"/>
      <w:r w:rsidRPr="006969B3">
        <w:rPr>
          <w:rFonts w:ascii="Arial" w:hAnsi="Arial" w:cs="Arial"/>
          <w:sz w:val="22"/>
          <w:szCs w:val="22"/>
          <w:lang w:val="es-CO"/>
        </w:rPr>
        <w:t xml:space="preserve">) Sistemas Estratégicos de Transporte Público (SETP) como servicios de transporte colectivo integrados; </w:t>
      </w:r>
      <w:proofErr w:type="spellStart"/>
      <w:r w:rsidRPr="006969B3">
        <w:rPr>
          <w:rFonts w:ascii="Arial" w:hAnsi="Arial" w:cs="Arial"/>
          <w:sz w:val="22"/>
          <w:szCs w:val="22"/>
          <w:lang w:val="es-CO"/>
        </w:rPr>
        <w:t>iii</w:t>
      </w:r>
      <w:proofErr w:type="spellEnd"/>
      <w:r w:rsidRPr="006969B3">
        <w:rPr>
          <w:rFonts w:ascii="Arial" w:hAnsi="Arial" w:cs="Arial"/>
          <w:sz w:val="22"/>
          <w:szCs w:val="22"/>
          <w:lang w:val="es-CO"/>
        </w:rPr>
        <w:t xml:space="preserve">) Sistemas Integrados de Transporte Público (SITP) conformados por más de un modo o medio de transporte público integrados operacional y tarifariamente entre sí; </w:t>
      </w:r>
      <w:proofErr w:type="spellStart"/>
      <w:r w:rsidRPr="006969B3">
        <w:rPr>
          <w:rFonts w:ascii="Arial" w:hAnsi="Arial" w:cs="Arial"/>
          <w:sz w:val="22"/>
          <w:szCs w:val="22"/>
          <w:lang w:val="es-CO"/>
        </w:rPr>
        <w:t>iv</w:t>
      </w:r>
      <w:proofErr w:type="spellEnd"/>
      <w:r w:rsidRPr="006969B3">
        <w:rPr>
          <w:rFonts w:ascii="Arial" w:hAnsi="Arial" w:cs="Arial"/>
          <w:sz w:val="22"/>
          <w:szCs w:val="22"/>
          <w:lang w:val="es-CO"/>
        </w:rPr>
        <w:t>) Sistemas Integrados de Transporte Regional (SITR).</w:t>
      </w:r>
    </w:p>
    <w:p w14:paraId="7C8F8D0C"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13D42F51" w14:textId="3BF9E33E"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Dentro de los Sistemas de Transporte podrá existir un subsistema de transporte complementario el cual atenderá la demanda de transporte público que no cubra el sistema de transporte masivo, integrado, estratégico o regional.</w:t>
      </w:r>
    </w:p>
    <w:p w14:paraId="1D2330DB"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4E280028" w14:textId="2A230929"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 estructuración de los sistemas de transporte se realizará con autonomía por parte de las entidades territoriales, de conformidad con las necesidades propias de la ciudad o región. En caso de pretender la cofinanciación del Gobierno nacional se deberá involucrar a las entidades competentes de la Nación durante la elaboración de los estudios.</w:t>
      </w:r>
    </w:p>
    <w:p w14:paraId="677A4B09"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6F9ACE2D" w14:textId="6A15F58E"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Las autoridades territoriales podrán realizar acciones que conduzcan a la sostenibilidad, calidad y cobertura de los sistemas de transporte público para lo cual pueden recurrir a la complementación, integración y articulación de las diferentes modalidades y servicios autorizados, haciendo uso de herramientas como los convenios de colaboración empresarial, acuerdos comerciales y todas aquellas acciones contra el transporte ilegal.</w:t>
      </w:r>
    </w:p>
    <w:p w14:paraId="098B3E33"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20E497C6" w14:textId="599D7B2C"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servido de transporte automotor mixto podrá complementar o alimentar los sistemas de transporte para brindar conectividad entre las zonas rurales y urbanas.</w:t>
      </w:r>
    </w:p>
    <w:p w14:paraId="038C3EB0"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7C9F517B" w14:textId="3DDDDDA1"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Para la integración con el transporte intermunicipal de pasajeros de corta distancia, las autoridades territoriales, junto con el Ministerio de Transporte y la sociedad titular del sistema de transporte, según sea el caso, podrán aplicar las herramientas indicadas, para iniciar, terminar o hacer paradas intermedias de sus recorridos en nodos del sistema de </w:t>
      </w:r>
      <w:r w:rsidRPr="006969B3">
        <w:rPr>
          <w:rFonts w:ascii="Arial" w:hAnsi="Arial" w:cs="Arial"/>
          <w:sz w:val="22"/>
          <w:szCs w:val="22"/>
          <w:lang w:val="es-CO"/>
        </w:rPr>
        <w:lastRenderedPageBreak/>
        <w:t>transporte o en las terminales de transporte intermunicipal habilitadas por el Ministerio de Transporte, incluidas las de operación satélite periférica, para lo cual deberán disponer de la infraestructura o señalización necesaria que permita la integración. En todo caso, los vehículos de transporte intermunicipal que cubran rutas de media y larga distancia deberán iniciar y terminar sus recorridos en las terminales de transporte intermunicipales habilitadas para tal fin.</w:t>
      </w:r>
    </w:p>
    <w:p w14:paraId="5748C89B"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0705D1A0" w14:textId="364D8735"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Es deber de las autoridades locales, entes gestores, concesionarios de operación y de recaudo, así como de las empresas operadoras del servicio de transporte, suministrar cualquier tipo de información solicitada por el Gobierno nacional.</w:t>
      </w:r>
    </w:p>
    <w:p w14:paraId="4E79E966"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05479702" w14:textId="1F1A2C36"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xml:space="preserve"> Se podrán realizar proyectos bajo esquemas de asociaciones público-privadas, de conformidad con la </w:t>
      </w:r>
      <w:proofErr w:type="gramStart"/>
      <w:r w:rsidRPr="006969B3">
        <w:rPr>
          <w:rFonts w:ascii="Arial" w:hAnsi="Arial" w:cs="Arial"/>
          <w:sz w:val="22"/>
          <w:szCs w:val="22"/>
          <w:lang w:val="es-CO"/>
        </w:rPr>
        <w:t>Ley </w:t>
      </w:r>
      <w:r w:rsidR="00887A37">
        <w:rPr>
          <w:rFonts w:ascii="Arial" w:hAnsi="Arial" w:cs="Arial"/>
          <w:sz w:val="22"/>
          <w:szCs w:val="22"/>
          <w:lang w:val="es-CO"/>
        </w:rPr>
        <w:t xml:space="preserve"> 1508</w:t>
      </w:r>
      <w:proofErr w:type="gramEnd"/>
      <w:r w:rsidRPr="006969B3">
        <w:rPr>
          <w:rFonts w:ascii="Arial" w:hAnsi="Arial" w:cs="Arial"/>
          <w:sz w:val="22"/>
          <w:szCs w:val="22"/>
          <w:lang w:val="es-CO"/>
        </w:rPr>
        <w:t xml:space="preserve"> de 2012 o la norma que lo modifique o sustituya, para el desarrollo de sistemas de transporte público colectivo o masivo o de algunos de sus componentes o unidades funcionales, con recursos de cofinanciación de la Nación. Dicha cofinanciación será de hasta el 70% del menor valor que resulte entre 1) los desembolsos de recursos públicos solicitados para la ejecución del proyecto y 2) el valor estimado del costo y la financiación de las actividades de diseño, </w:t>
      </w:r>
      <w:proofErr w:type="spellStart"/>
      <w:r w:rsidRPr="006969B3">
        <w:rPr>
          <w:rFonts w:ascii="Arial" w:hAnsi="Arial" w:cs="Arial"/>
          <w:sz w:val="22"/>
          <w:szCs w:val="22"/>
          <w:lang w:val="es-CO"/>
        </w:rPr>
        <w:t>preconstrucción</w:t>
      </w:r>
      <w:proofErr w:type="spellEnd"/>
      <w:r w:rsidRPr="006969B3">
        <w:rPr>
          <w:rFonts w:ascii="Arial" w:hAnsi="Arial" w:cs="Arial"/>
          <w:sz w:val="22"/>
          <w:szCs w:val="22"/>
          <w:lang w:val="es-CO"/>
        </w:rPr>
        <w:t xml:space="preserve"> y construcción del proyecto. Dicho porcentaje será certificado por parte de la Entidad Territorial Beneficiaria de los recursos de cofinanciación.</w:t>
      </w:r>
    </w:p>
    <w:p w14:paraId="16D751E0"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2678DDD4" w14:textId="35FBC592"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3o.</w:t>
      </w:r>
      <w:r w:rsidRPr="006969B3">
        <w:rPr>
          <w:rFonts w:ascii="Arial" w:hAnsi="Arial" w:cs="Arial"/>
          <w:sz w:val="22"/>
          <w:szCs w:val="22"/>
          <w:lang w:val="es-CO"/>
        </w:rPr>
        <w:t> El Ministerio de Transporte reglamentará la definición de transporte intermunicipal de corta, media y larga distancia. Basados en la calidad de la prestación del servicio y en el control de la ilegalidad y la informalidad por parte de las autoridades competentes.</w:t>
      </w:r>
    </w:p>
    <w:p w14:paraId="2FC454CA"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05E2C70A" w14:textId="5D6CBE10"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4o.</w:t>
      </w:r>
      <w:r w:rsidRPr="006969B3">
        <w:rPr>
          <w:rFonts w:ascii="Arial" w:hAnsi="Arial" w:cs="Arial"/>
          <w:sz w:val="22"/>
          <w:szCs w:val="22"/>
          <w:lang w:val="es-CO"/>
        </w:rPr>
        <w:t xml:space="preserve"> Las autoridades territoriales </w:t>
      </w:r>
      <w:proofErr w:type="gramStart"/>
      <w:r w:rsidRPr="006969B3">
        <w:rPr>
          <w:rFonts w:ascii="Arial" w:hAnsi="Arial" w:cs="Arial"/>
          <w:sz w:val="22"/>
          <w:szCs w:val="22"/>
          <w:lang w:val="es-CO"/>
        </w:rPr>
        <w:t>conjuntamente con</w:t>
      </w:r>
      <w:proofErr w:type="gramEnd"/>
      <w:r w:rsidRPr="006969B3">
        <w:rPr>
          <w:rFonts w:ascii="Arial" w:hAnsi="Arial" w:cs="Arial"/>
          <w:sz w:val="22"/>
          <w:szCs w:val="22"/>
          <w:lang w:val="es-CO"/>
        </w:rPr>
        <w:t xml:space="preserve"> el Ministerio de Transporte, según sea el caso, podrán promover mecanismos de organización entre los sistemas de transporte público colectivo o masivo y las empresas de transporte intermunicipal de pasajeros de corta distancia.</w:t>
      </w:r>
    </w:p>
    <w:p w14:paraId="67FA86E0" w14:textId="19F58F38" w:rsidR="00A357C0" w:rsidRPr="006969B3" w:rsidRDefault="00A357C0" w:rsidP="00F65283">
      <w:pPr>
        <w:spacing w:after="0" w:line="240" w:lineRule="auto"/>
        <w:rPr>
          <w:rFonts w:ascii="Arial" w:hAnsi="Arial" w:cs="Arial"/>
          <w:lang w:val="es-CO"/>
        </w:rPr>
      </w:pPr>
    </w:p>
    <w:p w14:paraId="11151AB7" w14:textId="65FB1BE1" w:rsidR="00A357C0" w:rsidRPr="006969B3" w:rsidRDefault="00A357C0" w:rsidP="00F65283">
      <w:pPr>
        <w:pStyle w:val="NormalWeb"/>
        <w:spacing w:before="0" w:beforeAutospacing="0" w:after="0" w:afterAutospacing="0"/>
        <w:jc w:val="both"/>
        <w:rPr>
          <w:rFonts w:ascii="Arial" w:hAnsi="Arial" w:cs="Arial"/>
          <w:sz w:val="22"/>
          <w:szCs w:val="22"/>
          <w:lang w:val="es-CO"/>
        </w:rPr>
      </w:pPr>
      <w:bookmarkStart w:id="113" w:name="100"/>
      <w:r w:rsidRPr="006969B3">
        <w:rPr>
          <w:rFonts w:ascii="Arial" w:hAnsi="Arial" w:cs="Arial"/>
          <w:sz w:val="22"/>
          <w:szCs w:val="22"/>
          <w:lang w:val="es-CO"/>
        </w:rPr>
        <w:t>ARTÍCULO 100. COFINANCIACIÓN DE SISTEMAS DE TRANSPORTE.</w:t>
      </w:r>
      <w:bookmarkEnd w:id="113"/>
      <w:r w:rsidR="00710605" w:rsidRPr="006969B3">
        <w:rPr>
          <w:rFonts w:ascii="Arial" w:hAnsi="Arial" w:cs="Arial"/>
          <w:sz w:val="22"/>
          <w:szCs w:val="22"/>
          <w:lang w:val="es-CO"/>
        </w:rPr>
        <w:t xml:space="preserve"> </w:t>
      </w:r>
      <w:r w:rsidRPr="006969B3">
        <w:rPr>
          <w:rFonts w:ascii="Arial" w:hAnsi="Arial" w:cs="Arial"/>
          <w:sz w:val="22"/>
          <w:szCs w:val="22"/>
          <w:lang w:val="es-CO"/>
        </w:rPr>
        <w:t>Modifíquese el artículo</w:t>
      </w:r>
      <w:r w:rsidR="00887A37">
        <w:rPr>
          <w:rFonts w:ascii="Arial" w:hAnsi="Arial" w:cs="Arial"/>
          <w:sz w:val="22"/>
          <w:szCs w:val="22"/>
          <w:lang w:val="es-CO"/>
        </w:rPr>
        <w:t xml:space="preserve"> 2</w:t>
      </w:r>
      <w:r w:rsidRPr="006969B3">
        <w:rPr>
          <w:rFonts w:ascii="Arial" w:hAnsi="Arial" w:cs="Arial"/>
          <w:sz w:val="22"/>
          <w:szCs w:val="22"/>
          <w:lang w:val="es-CO"/>
        </w:rPr>
        <w:t> de la Ley 310 de 1996, el cual quedará así:</w:t>
      </w:r>
    </w:p>
    <w:p w14:paraId="724958D1"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71AEA210" w14:textId="1EDB7F3E"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w:t>
      </w:r>
      <w:r w:rsidR="003F77F6">
        <w:rPr>
          <w:rFonts w:ascii="Arial" w:hAnsi="Arial" w:cs="Arial"/>
          <w:sz w:val="22"/>
          <w:szCs w:val="22"/>
          <w:lang w:val="es-CO"/>
        </w:rPr>
        <w:t xml:space="preserve"> 2º. </w:t>
      </w:r>
      <w:r w:rsidRPr="006969B3">
        <w:rPr>
          <w:rFonts w:ascii="Arial" w:hAnsi="Arial" w:cs="Arial"/>
          <w:sz w:val="22"/>
          <w:szCs w:val="22"/>
          <w:lang w:val="es-CO"/>
        </w:rPr>
        <w:t>Cofinanciación de Sistemas de Transporte. La Nación y sus entidades descentralizadas podrán realizar inversiones dentro del Marco Fiscal de Mediano Plazo con un mínimo del 40% y hasta por un 70% en proyectos de sistemas de transporte público colectivo o masivo, con dinero a través de una fiducia, o en especie de acuerdo con la reglamentación que para el efecto expida el Ministerio de Transporte.</w:t>
      </w:r>
    </w:p>
    <w:p w14:paraId="186F9F88"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538C39DF" w14:textId="02E14DBB"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Las inversiones financiables podrán ser el servicio de deuda; infraestructura física; sistemas inteligentes de transporte; y adquisición total o parcial de vehículos nuevos o material rodante nuevo con estándares de bajas o cero emisiones, sin afectar el monto inicial de los recursos aprobados en el </w:t>
      </w:r>
      <w:proofErr w:type="spellStart"/>
      <w:r w:rsidRPr="006969B3">
        <w:rPr>
          <w:rFonts w:ascii="Arial" w:hAnsi="Arial" w:cs="Arial"/>
          <w:sz w:val="22"/>
          <w:szCs w:val="22"/>
          <w:lang w:val="es-CO"/>
        </w:rPr>
        <w:t>Conpes</w:t>
      </w:r>
      <w:proofErr w:type="spellEnd"/>
      <w:r w:rsidRPr="006969B3">
        <w:rPr>
          <w:rFonts w:ascii="Arial" w:hAnsi="Arial" w:cs="Arial"/>
          <w:sz w:val="22"/>
          <w:szCs w:val="22"/>
          <w:lang w:val="es-CO"/>
        </w:rPr>
        <w:t xml:space="preserve"> que dio origen a cada proyecto; que garanticen accesibilidad para población en condición de discapacidad o movilidad reducida. La adquisición, operación y mantenimiento de los activos cofinanciados son responsabilidad del ente territorial o de quien este delegue. Las disposiciones de este artículo tendrán vocación de permanencia en el tiempo.</w:t>
      </w:r>
    </w:p>
    <w:p w14:paraId="184600E0"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4594F5CE" w14:textId="0D47D86A"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Ministerio de Transporte verifica el cumplimiento de los siguientes requisitos:</w:t>
      </w:r>
    </w:p>
    <w:p w14:paraId="160A30DF"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7EA6B8D9" w14:textId="509C44DA"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lastRenderedPageBreak/>
        <w:t>1. Que exista o se constituya una sociedad titular de carácter público que se encargue de la gestión del sistema de transporte. Esta sociedad deberá implementar los lineamientos de Gobierno corporativo emitidos por el Ministerio de Hacienda y Crédito Público para tal fin.</w:t>
      </w:r>
    </w:p>
    <w:p w14:paraId="76B2E3DB"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5D0E54F1" w14:textId="20018E0A"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2. Que el proyecto respectivo tenga estudios de factibilidad técnica, ambiental, legales y financieros, aprobados por la entidad territorial que soporten, para las fases de planeación, construcción, operación y seguimiento, lo siguiente:</w:t>
      </w:r>
    </w:p>
    <w:p w14:paraId="66C3CAE6"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09DD81FD" w14:textId="47DC3AAD"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 Definición del esquema operacional y financiero.</w:t>
      </w:r>
    </w:p>
    <w:p w14:paraId="7547832D"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11D0719F" w14:textId="004BC169"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b) Definición del esquema institucional.</w:t>
      </w:r>
    </w:p>
    <w:p w14:paraId="7CCC48DF"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04A3A8C6" w14:textId="538051BB"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c) Aplicación de medidas para controlar y minimizar la ilegalidad.</w:t>
      </w:r>
    </w:p>
    <w:p w14:paraId="6657802B"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158E5666" w14:textId="4414A054"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d) Evaluación social y económica.</w:t>
      </w:r>
    </w:p>
    <w:p w14:paraId="45A3BAF1"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10954FD0" w14:textId="45DCE0AA"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 Definición de estrategias para su sostenibilidad, mantenimiento y actualización.</w:t>
      </w:r>
    </w:p>
    <w:p w14:paraId="12100E4A"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4B23A059" w14:textId="35477995"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f) Identificación de fuentes de pago para alimentar el fondo de estabilización tarifaria.</w:t>
      </w:r>
    </w:p>
    <w:p w14:paraId="796EEFC4"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30CB629B" w14:textId="0D00F977"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g) Análisis de la viabilidad fiscal.</w:t>
      </w:r>
    </w:p>
    <w:p w14:paraId="532A7153"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059299D9" w14:textId="2FF1327B"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3. Que el proyecto respectivo cuente con un documento </w:t>
      </w:r>
      <w:proofErr w:type="spellStart"/>
      <w:r w:rsidRPr="006969B3">
        <w:rPr>
          <w:rFonts w:ascii="Arial" w:hAnsi="Arial" w:cs="Arial"/>
          <w:sz w:val="22"/>
          <w:szCs w:val="22"/>
          <w:lang w:val="es-CO"/>
        </w:rPr>
        <w:t>Conpes</w:t>
      </w:r>
      <w:proofErr w:type="spellEnd"/>
      <w:r w:rsidRPr="006969B3">
        <w:rPr>
          <w:rFonts w:ascii="Arial" w:hAnsi="Arial" w:cs="Arial"/>
          <w:sz w:val="22"/>
          <w:szCs w:val="22"/>
          <w:lang w:val="es-CO"/>
        </w:rPr>
        <w:t>, que defina el sistema de transporte, así como las entidades encargadas de su diseño, construcción y operación con el cronograma respectivo, a partir del cual se autorizarán los desembolsos de manera progresiva de acuerdo con las necesidades y logros del proyecto, en especial aquellos hitos relacionados con la sostenibilidad operacional del sistema.</w:t>
      </w:r>
    </w:p>
    <w:p w14:paraId="2448C7D6"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6424BC86" w14:textId="1E4A526C"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4. Que el sistema de transporte sea coherente con los objetivos del plan de movilidad adoptado en los casos ordenados por la ley, el plan de ordenamiento territorial y el plan de desarrollo territorial.</w:t>
      </w:r>
    </w:p>
    <w:p w14:paraId="53C24231"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70613E56" w14:textId="172724FA"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5. Que el proyecto propuesto esté debidamente registrado en el Banco de Proyectos de Inversión Nacional, y cumpla los requisitos establecidos en las disposiciones vigentes sobre la materia.</w:t>
      </w:r>
    </w:p>
    <w:p w14:paraId="5E5714DC"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5DA16B64" w14:textId="5E72348E"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6. Que esté formalmente constituida una autoridad de transporte del sistema de transporte propuesto.</w:t>
      </w:r>
    </w:p>
    <w:p w14:paraId="11257DF0"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14A1C8CD" w14:textId="4DC81DA1"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Los estudios ambientales, técnicos, legales o financieros que sean realizados por parte de las entidades territoriales o quien estas deleguen hacen parte de su autonomía territorial; el Gobierno nacional, brindará el acompañamiento técnico necesario sin que esto implique su validación o aprobación a los estudios realizados.</w:t>
      </w:r>
    </w:p>
    <w:p w14:paraId="00AA886C" w14:textId="77777777" w:rsidR="00887A37" w:rsidRDefault="00887A37" w:rsidP="00F65283">
      <w:pPr>
        <w:pStyle w:val="NormalWeb"/>
        <w:spacing w:before="0" w:beforeAutospacing="0" w:after="0" w:afterAutospacing="0"/>
        <w:jc w:val="both"/>
        <w:rPr>
          <w:rFonts w:ascii="Arial" w:hAnsi="Arial" w:cs="Arial"/>
          <w:sz w:val="22"/>
          <w:szCs w:val="22"/>
          <w:lang w:val="es-CO"/>
        </w:rPr>
      </w:pPr>
    </w:p>
    <w:p w14:paraId="1DA12269" w14:textId="6D696DE9"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Los estudios a los que hace alusión este parágrafo deberán realizarse bajo el marco de la estrategia para la implementación de los Objetivos de Desarrollo Sostenible en Colombia.</w:t>
      </w:r>
    </w:p>
    <w:p w14:paraId="57223CD5"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49B1E9FD" w14:textId="5FFF1053"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xml:space="preserve"> Para el caso de cofinanciación de sistemas transporte, el </w:t>
      </w:r>
      <w:proofErr w:type="spellStart"/>
      <w:r w:rsidRPr="006969B3">
        <w:rPr>
          <w:rFonts w:ascii="Arial" w:hAnsi="Arial" w:cs="Arial"/>
          <w:sz w:val="22"/>
          <w:szCs w:val="22"/>
          <w:lang w:val="es-CO"/>
        </w:rPr>
        <w:t>Confis</w:t>
      </w:r>
      <w:proofErr w:type="spellEnd"/>
      <w:r w:rsidRPr="006969B3">
        <w:rPr>
          <w:rFonts w:ascii="Arial" w:hAnsi="Arial" w:cs="Arial"/>
          <w:sz w:val="22"/>
          <w:szCs w:val="22"/>
          <w:lang w:val="es-CO"/>
        </w:rPr>
        <w:t xml:space="preserve"> podrá autorizar vigencias futuras de acuerdo con el respectivo cupo sectorial para el desarrollo de Asociaciones Público-Privadas.</w:t>
      </w:r>
    </w:p>
    <w:p w14:paraId="496A7291" w14:textId="3B47DDA4" w:rsidR="00A357C0" w:rsidRPr="006969B3" w:rsidRDefault="00A357C0" w:rsidP="00F65283">
      <w:pPr>
        <w:spacing w:after="0" w:line="240" w:lineRule="auto"/>
        <w:rPr>
          <w:rFonts w:ascii="Arial" w:hAnsi="Arial" w:cs="Arial"/>
          <w:lang w:val="es-CO"/>
        </w:rPr>
      </w:pPr>
    </w:p>
    <w:p w14:paraId="13B9EE7C" w14:textId="77777777" w:rsidR="00A357C0" w:rsidRPr="006969B3" w:rsidRDefault="00A357C0" w:rsidP="00F65283">
      <w:pPr>
        <w:pStyle w:val="NormalWeb"/>
        <w:spacing w:before="0" w:beforeAutospacing="0" w:after="0" w:afterAutospacing="0"/>
        <w:jc w:val="both"/>
        <w:rPr>
          <w:rFonts w:ascii="Arial" w:hAnsi="Arial" w:cs="Arial"/>
          <w:sz w:val="22"/>
          <w:szCs w:val="22"/>
          <w:lang w:val="es-CO"/>
        </w:rPr>
      </w:pPr>
      <w:bookmarkStart w:id="114" w:name="101"/>
      <w:r w:rsidRPr="006969B3">
        <w:rPr>
          <w:rFonts w:ascii="Arial" w:hAnsi="Arial" w:cs="Arial"/>
          <w:sz w:val="22"/>
          <w:szCs w:val="22"/>
          <w:lang w:val="es-CO"/>
        </w:rPr>
        <w:lastRenderedPageBreak/>
        <w:t>ARTÍCULO 101. CONCESIONES PORTUARIAS SOBRE NUEVOS EMPLAZAMIENTOS.</w:t>
      </w:r>
      <w:bookmarkEnd w:id="114"/>
      <w:r w:rsidRPr="006969B3">
        <w:rPr>
          <w:rFonts w:ascii="Arial" w:hAnsi="Arial" w:cs="Arial"/>
          <w:sz w:val="22"/>
          <w:szCs w:val="22"/>
          <w:lang w:val="es-CO"/>
        </w:rPr>
        <w:t xml:space="preserve"> Tratándose de concesiones portuarias entiéndase como puerto </w:t>
      </w:r>
      <w:proofErr w:type="spellStart"/>
      <w:r w:rsidRPr="006969B3">
        <w:rPr>
          <w:rFonts w:ascii="Arial" w:hAnsi="Arial" w:cs="Arial"/>
          <w:sz w:val="22"/>
          <w:szCs w:val="22"/>
          <w:lang w:val="es-CO"/>
        </w:rPr>
        <w:t>Greenfield</w:t>
      </w:r>
      <w:proofErr w:type="spellEnd"/>
      <w:r w:rsidRPr="006969B3">
        <w:rPr>
          <w:rFonts w:ascii="Arial" w:hAnsi="Arial" w:cs="Arial"/>
          <w:sz w:val="22"/>
          <w:szCs w:val="22"/>
          <w:lang w:val="es-CO"/>
        </w:rPr>
        <w:t xml:space="preserve"> el nuevo emplazamiento portuario construido en aguas profundas, es decir con profundidades naturales iguales o mayores a 17 metros en marea cero, que requieren el desarrollo de toda la infraestructura complementaria de accesos marítimos y terrestres o fluviales, así como la conectividad con otros modos de transporte y de comunicaciones con el resto del país y el mundo. Para este tipo de concesiones, el financiamiento de las inversiones requeridas en accesos y conectividad podrá ser contemplado en el Plan de Negocio del concesionario, y el plazo inicial de la concesión podrá ser hasta de 40 años, de conformidad con el parágrafo 1 del presente artículo.</w:t>
      </w:r>
    </w:p>
    <w:p w14:paraId="1533D277"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5EFEBB4D" w14:textId="57849ACF"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xml:space="preserve"> El plazo de concesión podrá ser prorrogado hasta por el plazo inicialmente pactado, siempre que se cuente con el concepto previo y favorable del </w:t>
      </w:r>
      <w:proofErr w:type="spellStart"/>
      <w:r w:rsidRPr="006969B3">
        <w:rPr>
          <w:rFonts w:ascii="Arial" w:hAnsi="Arial" w:cs="Arial"/>
          <w:sz w:val="22"/>
          <w:szCs w:val="22"/>
          <w:lang w:val="es-CO"/>
        </w:rPr>
        <w:t>Conpes</w:t>
      </w:r>
      <w:proofErr w:type="spellEnd"/>
      <w:r w:rsidRPr="006969B3">
        <w:rPr>
          <w:rFonts w:ascii="Arial" w:hAnsi="Arial" w:cs="Arial"/>
          <w:sz w:val="22"/>
          <w:szCs w:val="22"/>
          <w:lang w:val="es-CO"/>
        </w:rPr>
        <w:t>, si fuere necesario para que, en condiciones razonables de operación, los titulares de los contratos de concesión portuaria recuperen el valor de las inversiones hechas o para estimular a estos a prestar el servicio público portuario y deberán soportarse en el modelo financiero que establezca el tiempo que se requiera para la recuperación de las inversiones efectuadas.</w:t>
      </w:r>
    </w:p>
    <w:p w14:paraId="1487EBA7"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6D6451E9" w14:textId="001DDBDA"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Las condiciones de prórroga y reversión serán las mismas contempladas en el artículo 8o de la Ley 1 de 1991 o aquel que lo modifique o complemente.</w:t>
      </w:r>
    </w:p>
    <w:p w14:paraId="3CA748C9" w14:textId="3D6814A6" w:rsidR="00A357C0" w:rsidRPr="006969B3" w:rsidRDefault="00A357C0" w:rsidP="00F65283">
      <w:pPr>
        <w:spacing w:after="0" w:line="240" w:lineRule="auto"/>
        <w:rPr>
          <w:rFonts w:ascii="Arial" w:hAnsi="Arial" w:cs="Arial"/>
          <w:lang w:val="es-CO"/>
        </w:rPr>
      </w:pPr>
    </w:p>
    <w:p w14:paraId="78A02BA5" w14:textId="77777777" w:rsidR="00A357C0" w:rsidRPr="006969B3" w:rsidRDefault="00A357C0" w:rsidP="00F65283">
      <w:pPr>
        <w:pStyle w:val="NormalWeb"/>
        <w:spacing w:before="0" w:beforeAutospacing="0" w:after="0" w:afterAutospacing="0"/>
        <w:jc w:val="both"/>
        <w:rPr>
          <w:rFonts w:ascii="Arial" w:hAnsi="Arial" w:cs="Arial"/>
          <w:sz w:val="22"/>
          <w:szCs w:val="22"/>
          <w:lang w:val="es-CO"/>
        </w:rPr>
      </w:pPr>
      <w:bookmarkStart w:id="115" w:name="102"/>
      <w:r w:rsidRPr="006969B3">
        <w:rPr>
          <w:rFonts w:ascii="Arial" w:hAnsi="Arial" w:cs="Arial"/>
          <w:sz w:val="22"/>
          <w:szCs w:val="22"/>
          <w:lang w:val="es-CO"/>
        </w:rPr>
        <w:t>ARTÍCULO 102. CAMBIO EN LAS CONDICIONES DE LA CONCESIÓN.</w:t>
      </w:r>
      <w:bookmarkEnd w:id="115"/>
      <w:r w:rsidRPr="006969B3">
        <w:rPr>
          <w:rFonts w:ascii="Arial" w:hAnsi="Arial" w:cs="Arial"/>
          <w:sz w:val="22"/>
          <w:szCs w:val="22"/>
          <w:lang w:val="es-CO"/>
        </w:rPr>
        <w:t> Modifíquese el artículo 17 de la Ley 1 de 1991, el cual quedará así:</w:t>
      </w:r>
    </w:p>
    <w:p w14:paraId="0C61F9B5"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33B756F9" w14:textId="5CED083D"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17. Cambio en las condiciones de la Concesión. Para que una sociedad portuaria pueda cambiar las condiciones en las cuales se le aprobó una concesión portuaria, debe obtener permiso previo y escrito de la entidad concedente, que sólo lo otorgará si con ello no se infiere perjuicio grave e injustificado a terceros, y si el cambio no es de tal naturaleza que desvirtúe los propósitos de competencia en los que se inspiran los procedimientos descritos en los artículos 9o, 10, 11 y 12, de esta ley. En el caso que ocurran modificaciones sustanciales podrá variarse la metodología de la contraprestación que se paga a la Nación. Se entiende por modificación sustancial a la concesión portuaria, el plazo, como la modificación en la ubicación, linderos y/o extensión zona de uso público otorgada en concesión.</w:t>
      </w:r>
    </w:p>
    <w:p w14:paraId="39D6EC1E"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1B905604" w14:textId="25B55DA9"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La entidad concedente efectuará el estudio de las solicitudes de modificación a los contratos de concesión portuaria y establecerá, en cada caso y conforme las disposiciones contractuales, si lo pretendido con la solicitud implica una modificación sustancial de la concesión portuaria, caso en el cual deberá surtirse el procedimiento que para tal efecto se establece en el artículo 2.2.3.3.3.5 del Decreto 1079 de 2015, o aquel que lo sustituya, modifique o complemente.</w:t>
      </w:r>
    </w:p>
    <w:p w14:paraId="0B409CD7" w14:textId="052D1EEE" w:rsidR="00A357C0" w:rsidRPr="006969B3" w:rsidRDefault="00A357C0" w:rsidP="00F65283">
      <w:pPr>
        <w:spacing w:after="0" w:line="240" w:lineRule="auto"/>
        <w:rPr>
          <w:rFonts w:ascii="Arial" w:hAnsi="Arial" w:cs="Arial"/>
          <w:lang w:val="es-CO"/>
        </w:rPr>
      </w:pPr>
    </w:p>
    <w:p w14:paraId="48CD9F39" w14:textId="7139C7D2" w:rsidR="00A357C0" w:rsidRPr="006969B3" w:rsidRDefault="00A357C0" w:rsidP="00F65283">
      <w:pPr>
        <w:pStyle w:val="NormalWeb"/>
        <w:spacing w:before="0" w:beforeAutospacing="0" w:after="0" w:afterAutospacing="0"/>
        <w:jc w:val="both"/>
        <w:rPr>
          <w:rFonts w:ascii="Arial" w:hAnsi="Arial" w:cs="Arial"/>
          <w:sz w:val="22"/>
          <w:szCs w:val="22"/>
          <w:lang w:val="es-CO"/>
        </w:rPr>
      </w:pPr>
      <w:bookmarkStart w:id="116" w:name="103"/>
      <w:r w:rsidRPr="006969B3">
        <w:rPr>
          <w:rFonts w:ascii="Arial" w:hAnsi="Arial" w:cs="Arial"/>
          <w:sz w:val="22"/>
          <w:szCs w:val="22"/>
          <w:lang w:val="es-CO"/>
        </w:rPr>
        <w:t>ARTÍCULO 103. INTERVENCIÓN DE LA RED VIAL, FLUVIAL Y AEROPUERTOS REGIONALES.</w:t>
      </w:r>
      <w:bookmarkEnd w:id="116"/>
      <w:r w:rsidRPr="006969B3">
        <w:rPr>
          <w:rFonts w:ascii="Arial" w:hAnsi="Arial" w:cs="Arial"/>
          <w:sz w:val="22"/>
          <w:szCs w:val="22"/>
          <w:lang w:val="es-CO"/>
        </w:rPr>
        <w:t> El Instituto Nacional de Vías (</w:t>
      </w:r>
      <w:proofErr w:type="spellStart"/>
      <w:r w:rsidRPr="006969B3">
        <w:rPr>
          <w:rFonts w:ascii="Arial" w:hAnsi="Arial" w:cs="Arial"/>
          <w:sz w:val="22"/>
          <w:szCs w:val="22"/>
          <w:lang w:val="es-CO"/>
        </w:rPr>
        <w:t>Invías</w:t>
      </w:r>
      <w:proofErr w:type="spellEnd"/>
      <w:r w:rsidRPr="006969B3">
        <w:rPr>
          <w:rFonts w:ascii="Arial" w:hAnsi="Arial" w:cs="Arial"/>
          <w:sz w:val="22"/>
          <w:szCs w:val="22"/>
          <w:lang w:val="es-CO"/>
        </w:rPr>
        <w:t>) y la Unidad Administrativa Especial de Aeronáutica Civil podrán apoyar la financiación de proyectos para la intervención de la red vial, fluvial y los aeropuertos regionales de competencia de las entidades territoriales, previo a los criterios de priorización definidos por el Gobierno nacional y de acuerdo con lo previsto en el Marco Fiscal de Mediano Plazo y con el Marco de Gasto del correspondiente sector.</w:t>
      </w:r>
    </w:p>
    <w:p w14:paraId="50B3B22F" w14:textId="77777777" w:rsidR="00D83E14" w:rsidRPr="006969B3" w:rsidRDefault="00D83E14" w:rsidP="00F65283">
      <w:pPr>
        <w:pStyle w:val="NormalWeb"/>
        <w:spacing w:before="0" w:beforeAutospacing="0" w:after="0" w:afterAutospacing="0"/>
        <w:jc w:val="both"/>
        <w:rPr>
          <w:rFonts w:ascii="Arial" w:hAnsi="Arial" w:cs="Arial"/>
          <w:sz w:val="22"/>
          <w:szCs w:val="22"/>
          <w:lang w:val="es-CO"/>
        </w:rPr>
      </w:pPr>
    </w:p>
    <w:p w14:paraId="1362339D" w14:textId="77777777"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lastRenderedPageBreak/>
        <w:t xml:space="preserve">En virtud del apoyo a las entidades territoriales, el </w:t>
      </w:r>
      <w:proofErr w:type="spellStart"/>
      <w:r w:rsidRPr="006969B3">
        <w:rPr>
          <w:rFonts w:ascii="Arial" w:hAnsi="Arial" w:cs="Arial"/>
          <w:sz w:val="22"/>
          <w:szCs w:val="22"/>
          <w:lang w:val="es-CO"/>
        </w:rPr>
        <w:t>Invías</w:t>
      </w:r>
      <w:proofErr w:type="spellEnd"/>
      <w:r w:rsidRPr="006969B3">
        <w:rPr>
          <w:rFonts w:ascii="Arial" w:hAnsi="Arial" w:cs="Arial"/>
          <w:sz w:val="22"/>
          <w:szCs w:val="22"/>
          <w:lang w:val="es-CO"/>
        </w:rPr>
        <w:t xml:space="preserve"> y la Unidad Administrativa Especial de Aeronáutica Civil podrán adquirir, materiales, equipos, y la mano de obra requerida para su ejecución y podrán concurrir en la cofinanciación entidades de carácter privado. En todo caso, el </w:t>
      </w:r>
      <w:proofErr w:type="spellStart"/>
      <w:r w:rsidRPr="006969B3">
        <w:rPr>
          <w:rFonts w:ascii="Arial" w:hAnsi="Arial" w:cs="Arial"/>
          <w:sz w:val="22"/>
          <w:szCs w:val="22"/>
          <w:lang w:val="es-CO"/>
        </w:rPr>
        <w:t>Invías</w:t>
      </w:r>
      <w:proofErr w:type="spellEnd"/>
      <w:r w:rsidRPr="006969B3">
        <w:rPr>
          <w:rFonts w:ascii="Arial" w:hAnsi="Arial" w:cs="Arial"/>
          <w:sz w:val="22"/>
          <w:szCs w:val="22"/>
          <w:lang w:val="es-CO"/>
        </w:rPr>
        <w:t xml:space="preserve"> y la Aeronáutica Civil adoptarán las medidas requeridas para la ejecución de los recursos, entre otros, en convenio con los municipios.</w:t>
      </w:r>
    </w:p>
    <w:p w14:paraId="3962C2B6" w14:textId="2F0856BF" w:rsidR="00A357C0" w:rsidRPr="006969B3" w:rsidRDefault="00A357C0" w:rsidP="00F65283">
      <w:pPr>
        <w:spacing w:after="0" w:line="240" w:lineRule="auto"/>
        <w:rPr>
          <w:rFonts w:ascii="Arial" w:hAnsi="Arial" w:cs="Arial"/>
          <w:lang w:val="es-CO"/>
        </w:rPr>
      </w:pPr>
    </w:p>
    <w:p w14:paraId="1CD48E32" w14:textId="1C42CF85" w:rsidR="00A357C0" w:rsidRPr="006969B3" w:rsidRDefault="00A357C0" w:rsidP="00F65283">
      <w:pPr>
        <w:pStyle w:val="NormalWeb"/>
        <w:spacing w:before="0" w:beforeAutospacing="0" w:after="0" w:afterAutospacing="0"/>
        <w:jc w:val="both"/>
        <w:rPr>
          <w:rFonts w:ascii="Arial" w:hAnsi="Arial" w:cs="Arial"/>
          <w:sz w:val="22"/>
          <w:szCs w:val="22"/>
          <w:lang w:val="es-CO"/>
        </w:rPr>
      </w:pPr>
      <w:bookmarkStart w:id="117" w:name="104"/>
      <w:r w:rsidRPr="006969B3">
        <w:rPr>
          <w:rFonts w:ascii="Arial" w:hAnsi="Arial" w:cs="Arial"/>
          <w:sz w:val="22"/>
          <w:szCs w:val="22"/>
          <w:lang w:val="es-CO"/>
        </w:rPr>
        <w:t>ARTÍCULO 104. PARTICIPACIÓN DE ENTIDADES DE NATURALEZA PÚBLICA O MIXTA.</w:t>
      </w:r>
      <w:bookmarkEnd w:id="117"/>
      <w:r w:rsidRPr="006969B3">
        <w:rPr>
          <w:rFonts w:ascii="Arial" w:hAnsi="Arial" w:cs="Arial"/>
          <w:sz w:val="22"/>
          <w:szCs w:val="22"/>
          <w:lang w:val="es-CO"/>
        </w:rPr>
        <w:t> Modifíquese el parágrafo del artículo</w:t>
      </w:r>
      <w:r w:rsidR="00887A37">
        <w:rPr>
          <w:rFonts w:ascii="Arial" w:hAnsi="Arial" w:cs="Arial"/>
          <w:sz w:val="22"/>
          <w:szCs w:val="22"/>
          <w:lang w:val="es-CO"/>
        </w:rPr>
        <w:t xml:space="preserve"> 8</w:t>
      </w:r>
      <w:r w:rsidRPr="006969B3">
        <w:rPr>
          <w:rFonts w:ascii="Arial" w:hAnsi="Arial" w:cs="Arial"/>
          <w:sz w:val="22"/>
          <w:szCs w:val="22"/>
          <w:lang w:val="es-CO"/>
        </w:rPr>
        <w:t> de la Ley 1508 de 2012, el cual quedará así:</w:t>
      </w:r>
    </w:p>
    <w:p w14:paraId="5C93E6DE"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215FD1FB" w14:textId="6DF49F65"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Podrán ser contratantes de esquemas de Asociación Público- Privada bajo el régimen previsto en la presente ley, las Empresas Industriales y Comerciales del Estado, las Sociedades de Economía Mixta en las que el Estado tenga participación superior al cincuenta por ciento (50%), sus filiales y las Sociedades entre Entidades Públicas con participación mayoritaria del Estado superior al cincuenta por ciento (50%) y las empresas de servicios públicos domiciliarios oficiales o mixtas.</w:t>
      </w:r>
    </w:p>
    <w:p w14:paraId="4F1C7F41"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74075E66" w14:textId="310CB22F"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En el caso en que las entidades a que se refiere el inciso anterior decidan optar por esquemas de Asociación </w:t>
      </w:r>
      <w:proofErr w:type="gramStart"/>
      <w:r w:rsidRPr="006969B3">
        <w:rPr>
          <w:rFonts w:ascii="Arial" w:hAnsi="Arial" w:cs="Arial"/>
          <w:sz w:val="22"/>
          <w:szCs w:val="22"/>
          <w:lang w:val="es-CO"/>
        </w:rPr>
        <w:t>Público Privada</w:t>
      </w:r>
      <w:proofErr w:type="gramEnd"/>
      <w:r w:rsidRPr="006969B3">
        <w:rPr>
          <w:rFonts w:ascii="Arial" w:hAnsi="Arial" w:cs="Arial"/>
          <w:sz w:val="22"/>
          <w:szCs w:val="22"/>
          <w:lang w:val="es-CO"/>
        </w:rPr>
        <w:t xml:space="preserve"> bajo el régimen previsto en la presente ley, dichas empresas o sociedades deberán dar cumplimiento a lo previsto en la misma y sujetarse a las disposiciones particulares que les sean aplicables en materia contractual y presupuestal.</w:t>
      </w:r>
    </w:p>
    <w:p w14:paraId="59BD758D" w14:textId="5A438179"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Cuando las entidades a que se refiere el primer inciso del presente parágrafo decidan no acogerse a los esquemas de Asociación </w:t>
      </w:r>
      <w:proofErr w:type="gramStart"/>
      <w:r w:rsidRPr="006969B3">
        <w:rPr>
          <w:rFonts w:ascii="Arial" w:hAnsi="Arial" w:cs="Arial"/>
          <w:sz w:val="22"/>
          <w:szCs w:val="22"/>
          <w:lang w:val="es-CO"/>
        </w:rPr>
        <w:t>Público Privada</w:t>
      </w:r>
      <w:proofErr w:type="gramEnd"/>
      <w:r w:rsidRPr="006969B3">
        <w:rPr>
          <w:rFonts w:ascii="Arial" w:hAnsi="Arial" w:cs="Arial"/>
          <w:sz w:val="22"/>
          <w:szCs w:val="22"/>
          <w:lang w:val="es-CO"/>
        </w:rPr>
        <w:t xml:space="preserve"> bajo el régimen previsto en la presente ley, podrán contratar esquemas de participación privada en infraestructura conforme a su régimen de contratación, incluyendo la utilización, cuando a ello haya lugar, de la concesión de que trata el numeral 4 del artículo</w:t>
      </w:r>
      <w:r w:rsidR="005F226E">
        <w:rPr>
          <w:rFonts w:ascii="Arial" w:hAnsi="Arial" w:cs="Arial"/>
          <w:sz w:val="22"/>
          <w:szCs w:val="22"/>
          <w:lang w:val="es-CO"/>
        </w:rPr>
        <w:t xml:space="preserve"> 32 </w:t>
      </w:r>
      <w:r w:rsidRPr="006969B3">
        <w:rPr>
          <w:rFonts w:ascii="Arial" w:hAnsi="Arial" w:cs="Arial"/>
          <w:sz w:val="22"/>
          <w:szCs w:val="22"/>
          <w:lang w:val="es-CO"/>
        </w:rPr>
        <w:t>de la Ley 80 de 1993.</w:t>
      </w:r>
    </w:p>
    <w:p w14:paraId="33DD1174"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54537DDC" w14:textId="134AB3B6"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Lo anterior, sin perjuicio de que las entidades a las que se refiere el primer inciso de este parágrafo puedan presentar oferta para participar en los procesos de selección de esquemas de asociación público- privada regidos por esta ley, siempre que cumplan con los requisitos establecidos para el efecto en el respectivo proceso de selección.</w:t>
      </w:r>
    </w:p>
    <w:p w14:paraId="22104062" w14:textId="42F35BCB" w:rsidR="00A357C0" w:rsidRPr="006969B3" w:rsidRDefault="00A357C0" w:rsidP="00F65283">
      <w:pPr>
        <w:spacing w:after="0" w:line="240" w:lineRule="auto"/>
        <w:rPr>
          <w:rFonts w:ascii="Arial" w:hAnsi="Arial" w:cs="Arial"/>
          <w:lang w:val="es-CO"/>
        </w:rPr>
      </w:pPr>
    </w:p>
    <w:p w14:paraId="6482B2CF" w14:textId="5EBB9365" w:rsidR="00A357C0" w:rsidRPr="006969B3" w:rsidRDefault="00A357C0" w:rsidP="00F65283">
      <w:pPr>
        <w:pStyle w:val="NormalWeb"/>
        <w:spacing w:before="0" w:beforeAutospacing="0" w:after="0" w:afterAutospacing="0"/>
        <w:jc w:val="both"/>
        <w:rPr>
          <w:rFonts w:ascii="Arial" w:hAnsi="Arial" w:cs="Arial"/>
          <w:sz w:val="22"/>
          <w:szCs w:val="22"/>
          <w:lang w:val="es-CO"/>
        </w:rPr>
      </w:pPr>
      <w:bookmarkStart w:id="118" w:name="105"/>
      <w:r w:rsidRPr="006969B3">
        <w:rPr>
          <w:rFonts w:ascii="Arial" w:hAnsi="Arial" w:cs="Arial"/>
          <w:sz w:val="22"/>
          <w:szCs w:val="22"/>
          <w:lang w:val="es-CO"/>
        </w:rPr>
        <w:t>ARTÍCULO 105. CELEBRACIÓN DE CONTRATOS DE OBRA PÚBLICA.</w:t>
      </w:r>
      <w:bookmarkEnd w:id="118"/>
      <w:r w:rsidRPr="006969B3">
        <w:rPr>
          <w:rFonts w:ascii="Arial" w:hAnsi="Arial" w:cs="Arial"/>
          <w:sz w:val="22"/>
          <w:szCs w:val="22"/>
          <w:lang w:val="es-CO"/>
        </w:rPr>
        <w:t> Modifíquese el artículo</w:t>
      </w:r>
      <w:r w:rsidR="004A0D6A">
        <w:rPr>
          <w:rFonts w:ascii="Arial" w:hAnsi="Arial" w:cs="Arial"/>
          <w:sz w:val="22"/>
          <w:szCs w:val="22"/>
          <w:lang w:val="es-CO"/>
        </w:rPr>
        <w:t xml:space="preserve"> 205</w:t>
      </w:r>
      <w:r w:rsidR="004A0D6A" w:rsidRPr="0074467C">
        <w:rPr>
          <w:lang w:val="es-CO"/>
        </w:rPr>
        <w:t xml:space="preserve"> </w:t>
      </w:r>
      <w:r w:rsidRPr="006969B3">
        <w:rPr>
          <w:rFonts w:ascii="Arial" w:hAnsi="Arial" w:cs="Arial"/>
          <w:sz w:val="22"/>
          <w:szCs w:val="22"/>
          <w:lang w:val="es-CO"/>
        </w:rPr>
        <w:t>de la Ley 1753 de 2015, el cual quedará así:</w:t>
      </w:r>
    </w:p>
    <w:p w14:paraId="39C58410" w14:textId="77777777" w:rsidR="00D83E14" w:rsidRPr="006969B3" w:rsidRDefault="00D83E14" w:rsidP="00F65283">
      <w:pPr>
        <w:pStyle w:val="NormalWeb"/>
        <w:spacing w:before="0" w:beforeAutospacing="0" w:after="0" w:afterAutospacing="0"/>
        <w:jc w:val="both"/>
        <w:rPr>
          <w:rFonts w:ascii="Arial" w:hAnsi="Arial" w:cs="Arial"/>
          <w:sz w:val="22"/>
          <w:szCs w:val="22"/>
          <w:lang w:val="es-CO"/>
        </w:rPr>
      </w:pPr>
    </w:p>
    <w:p w14:paraId="0512ACC8" w14:textId="27E76A02"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w:t>
      </w:r>
      <w:r w:rsidR="00D02AD3">
        <w:rPr>
          <w:rFonts w:ascii="Arial" w:hAnsi="Arial" w:cs="Arial"/>
          <w:sz w:val="22"/>
          <w:szCs w:val="22"/>
          <w:lang w:val="es-CO"/>
        </w:rPr>
        <w:t xml:space="preserve"> 205</w:t>
      </w:r>
      <w:r w:rsidRPr="006969B3">
        <w:rPr>
          <w:rFonts w:ascii="Arial" w:hAnsi="Arial" w:cs="Arial"/>
          <w:sz w:val="22"/>
          <w:szCs w:val="22"/>
          <w:lang w:val="es-CO"/>
        </w:rPr>
        <w:t>. Celebración de Contratos de Obra Pública en infraestructura concesionada. El Instituto Nacional de Vías (</w:t>
      </w:r>
      <w:proofErr w:type="spellStart"/>
      <w:r w:rsidRPr="006969B3">
        <w:rPr>
          <w:rFonts w:ascii="Arial" w:hAnsi="Arial" w:cs="Arial"/>
          <w:sz w:val="22"/>
          <w:szCs w:val="22"/>
          <w:lang w:val="es-CO"/>
        </w:rPr>
        <w:t>Invías</w:t>
      </w:r>
      <w:proofErr w:type="spellEnd"/>
      <w:r w:rsidRPr="006969B3">
        <w:rPr>
          <w:rFonts w:ascii="Arial" w:hAnsi="Arial" w:cs="Arial"/>
          <w:sz w:val="22"/>
          <w:szCs w:val="22"/>
          <w:lang w:val="es-CO"/>
        </w:rPr>
        <w:t xml:space="preserve">) y la Unidad Administrativa Especial de Aeronáutica Civil (Aerocivil) podrán, excepcionalmente, celebrar y ejecutar contratos de obra pública para realizar obras complementarias sobre infraestructura concesionada, sin que sea necesaria la desafectación de la infraestructura a intervenir, con el fin de garantizar la continuidad de la prestación del servicio en condiciones de seguridad, </w:t>
      </w:r>
      <w:proofErr w:type="spellStart"/>
      <w:r w:rsidRPr="006969B3">
        <w:rPr>
          <w:rFonts w:ascii="Arial" w:hAnsi="Arial" w:cs="Arial"/>
          <w:sz w:val="22"/>
          <w:szCs w:val="22"/>
          <w:lang w:val="es-CO"/>
        </w:rPr>
        <w:t>transitabilidad</w:t>
      </w:r>
      <w:proofErr w:type="spellEnd"/>
      <w:r w:rsidRPr="006969B3">
        <w:rPr>
          <w:rFonts w:ascii="Arial" w:hAnsi="Arial" w:cs="Arial"/>
          <w:sz w:val="22"/>
          <w:szCs w:val="22"/>
          <w:lang w:val="es-CO"/>
        </w:rPr>
        <w:t>, funcionalidad y/o seguridad de la infraestructura de transporte; impedir el deterioro de la infraestructura o la afectación de la comunidad; y mitigar el riesgo de pérdida del patrimonio vial.</w:t>
      </w:r>
    </w:p>
    <w:p w14:paraId="210B69B7"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387B389E" w14:textId="14266C0A"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El objeto de dichos contratos de obra pública no podrá comprender obras o inversiones que cambien sustancialmente el alcance del proyecto. La realización de la obra pública deberá ser pactada mediante convenio a celebrarse entre el </w:t>
      </w:r>
      <w:proofErr w:type="spellStart"/>
      <w:r w:rsidRPr="006969B3">
        <w:rPr>
          <w:rFonts w:ascii="Arial" w:hAnsi="Arial" w:cs="Arial"/>
          <w:sz w:val="22"/>
          <w:szCs w:val="22"/>
          <w:lang w:val="es-CO"/>
        </w:rPr>
        <w:t>Invías</w:t>
      </w:r>
      <w:proofErr w:type="spellEnd"/>
      <w:r w:rsidRPr="006969B3">
        <w:rPr>
          <w:rFonts w:ascii="Arial" w:hAnsi="Arial" w:cs="Arial"/>
          <w:sz w:val="22"/>
          <w:szCs w:val="22"/>
          <w:lang w:val="es-CO"/>
        </w:rPr>
        <w:t xml:space="preserve"> o la Aerocivil y la entidad pública a cargo del contrato de concesión. En estos convenios se definirá la fuente de financiación y entidad responsable de la ejecución y mantenimiento de la obra, así como las demás condiciones necesarias para el efecto. Previamente, la entidad estatal concedente de la </w:t>
      </w:r>
      <w:r w:rsidRPr="006969B3">
        <w:rPr>
          <w:rFonts w:ascii="Arial" w:hAnsi="Arial" w:cs="Arial"/>
          <w:sz w:val="22"/>
          <w:szCs w:val="22"/>
          <w:lang w:val="es-CO"/>
        </w:rPr>
        <w:lastRenderedPageBreak/>
        <w:t>infraestructura y el concesionario, deberán acordar los términos en que este colaborará y apoyará la realización de dichas obras.</w:t>
      </w:r>
    </w:p>
    <w:p w14:paraId="26ECADBB"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6A37D592" w14:textId="4DE36028"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La infraestructura de transporte-modo carretero a cargo de la Nación, construida a partir de la fecha de expedición de la presente ley, entendiéndose tanto la concesionada como no concesionada deberá garantizar la adecuada disponibilidad de zonas de servicios complementarios como: estaciones de combustible, zonas de descanso, servicios sanitarios y de alimentación para los usuarios de las carreteras.</w:t>
      </w:r>
    </w:p>
    <w:p w14:paraId="7B092983" w14:textId="60D1B88C" w:rsidR="00A357C0" w:rsidRPr="006969B3" w:rsidRDefault="00A357C0" w:rsidP="00F65283">
      <w:pPr>
        <w:spacing w:after="0" w:line="240" w:lineRule="auto"/>
        <w:rPr>
          <w:rFonts w:ascii="Arial" w:hAnsi="Arial" w:cs="Arial"/>
          <w:lang w:val="es-CO"/>
        </w:rPr>
      </w:pPr>
    </w:p>
    <w:p w14:paraId="298A80E0" w14:textId="77777777" w:rsidR="00A357C0" w:rsidRPr="006969B3" w:rsidRDefault="00A357C0" w:rsidP="00F65283">
      <w:pPr>
        <w:pStyle w:val="NormalWeb"/>
        <w:spacing w:before="0" w:beforeAutospacing="0" w:after="0" w:afterAutospacing="0"/>
        <w:jc w:val="both"/>
        <w:rPr>
          <w:rFonts w:ascii="Arial" w:hAnsi="Arial" w:cs="Arial"/>
          <w:sz w:val="22"/>
          <w:szCs w:val="22"/>
          <w:lang w:val="es-CO"/>
        </w:rPr>
      </w:pPr>
      <w:bookmarkStart w:id="119" w:name="106"/>
      <w:r w:rsidRPr="006969B3">
        <w:rPr>
          <w:rFonts w:ascii="Arial" w:hAnsi="Arial" w:cs="Arial"/>
          <w:sz w:val="22"/>
          <w:szCs w:val="22"/>
          <w:lang w:val="es-CO"/>
        </w:rPr>
        <w:t>ARTÍCULO 106. DESTINACIÓN DE APORTES DE LA AGENCIA NACIONAL DE INFRAESTRUCTURA (ANI) EN SITUACIONES DE REVERSIÓN DE INFRAESTRUCTURA POR TERMINACIÓN ANTICIPADA.</w:t>
      </w:r>
      <w:bookmarkEnd w:id="119"/>
      <w:r w:rsidRPr="006969B3">
        <w:rPr>
          <w:rFonts w:ascii="Arial" w:hAnsi="Arial" w:cs="Arial"/>
          <w:sz w:val="22"/>
          <w:szCs w:val="22"/>
          <w:lang w:val="es-CO"/>
        </w:rPr>
        <w:t xml:space="preserve"> Cuando por la terminación anticipada del contrato de concesión, se efectúe la reversión de infraestructura, se podrán destinar parcial o totalmente los aportes previstos para la Agencia Nacional de Infraestructura que habrían de ser transferidos a los concesionarios en las vigencias anuales sucesivas respetando la anualidad correspondiente, así como los ingresos provenientes de los peajes previstos en el modelo financiero como ingresos de los concesionarios, para dar continuidad a las obras, garantizar la </w:t>
      </w:r>
      <w:proofErr w:type="spellStart"/>
      <w:r w:rsidRPr="006969B3">
        <w:rPr>
          <w:rFonts w:ascii="Arial" w:hAnsi="Arial" w:cs="Arial"/>
          <w:sz w:val="22"/>
          <w:szCs w:val="22"/>
          <w:lang w:val="es-CO"/>
        </w:rPr>
        <w:t>transitabilidad</w:t>
      </w:r>
      <w:proofErr w:type="spellEnd"/>
      <w:r w:rsidRPr="006969B3">
        <w:rPr>
          <w:rFonts w:ascii="Arial" w:hAnsi="Arial" w:cs="Arial"/>
          <w:sz w:val="22"/>
          <w:szCs w:val="22"/>
          <w:lang w:val="es-CO"/>
        </w:rPr>
        <w:t>, funcionalidad y seguridad de la infraestructura de transporte revertida, así como para atender necesidades del sector transporte.</w:t>
      </w:r>
    </w:p>
    <w:p w14:paraId="1ECF90AA"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417ED5A3" w14:textId="68A1B5FD"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Para ello, el Ministerio de Transporte y sus entidades adscritas y vinculadas podrán reprogramar vigencias futuras autorizadas en los diferentes proyectos de inversión en la vigencia en la cual ocurra la reversión.</w:t>
      </w:r>
    </w:p>
    <w:p w14:paraId="39D693E6" w14:textId="1BED96DD" w:rsidR="00A357C0" w:rsidRPr="006969B3" w:rsidRDefault="00A357C0" w:rsidP="00F65283">
      <w:pPr>
        <w:spacing w:after="0" w:line="240" w:lineRule="auto"/>
        <w:rPr>
          <w:rFonts w:ascii="Arial" w:hAnsi="Arial" w:cs="Arial"/>
          <w:lang w:val="es-CO"/>
        </w:rPr>
      </w:pPr>
    </w:p>
    <w:p w14:paraId="77F4B58B" w14:textId="453F8987" w:rsidR="00A357C0" w:rsidRPr="006969B3" w:rsidRDefault="00A357C0" w:rsidP="00F65283">
      <w:pPr>
        <w:pStyle w:val="NormalWeb"/>
        <w:spacing w:before="0" w:beforeAutospacing="0" w:after="0" w:afterAutospacing="0"/>
        <w:jc w:val="both"/>
        <w:rPr>
          <w:rFonts w:ascii="Arial" w:hAnsi="Arial" w:cs="Arial"/>
          <w:sz w:val="22"/>
          <w:szCs w:val="22"/>
          <w:lang w:val="es-CO"/>
        </w:rPr>
      </w:pPr>
      <w:bookmarkStart w:id="120" w:name="107"/>
      <w:r w:rsidRPr="006969B3">
        <w:rPr>
          <w:rFonts w:ascii="Arial" w:hAnsi="Arial" w:cs="Arial"/>
          <w:sz w:val="22"/>
          <w:szCs w:val="22"/>
          <w:lang w:val="es-CO"/>
        </w:rPr>
        <w:t>ARTÍCULO 107. AVALES Y GARANTÍAS EN EL MARCO DE LA COFINANCIACIÓN DE SISTEMAS DE TRANSPORTE.</w:t>
      </w:r>
      <w:bookmarkEnd w:id="120"/>
      <w:r w:rsidRPr="006969B3">
        <w:rPr>
          <w:rFonts w:ascii="Arial" w:hAnsi="Arial" w:cs="Arial"/>
          <w:sz w:val="22"/>
          <w:szCs w:val="22"/>
          <w:lang w:val="es-CO"/>
        </w:rPr>
        <w:t>  La Nación podrá otorgar los avales o garantías a las operaciones de financiamiento que realicen las entidades en el marco de la cofinanciación de la que trata el inciso 2 del artículo 14 de la Ley 86 de 1989, modificada por el artículo</w:t>
      </w:r>
      <w:r w:rsidR="00D02AD3">
        <w:rPr>
          <w:rFonts w:ascii="Arial" w:hAnsi="Arial" w:cs="Arial"/>
          <w:sz w:val="22"/>
          <w:szCs w:val="22"/>
          <w:lang w:val="es-CO"/>
        </w:rPr>
        <w:t xml:space="preserve"> 31</w:t>
      </w:r>
      <w:r w:rsidRPr="006969B3">
        <w:rPr>
          <w:rFonts w:ascii="Arial" w:hAnsi="Arial" w:cs="Arial"/>
          <w:sz w:val="22"/>
          <w:szCs w:val="22"/>
          <w:lang w:val="es-CO"/>
        </w:rPr>
        <w:t> de la Ley 1753 de 2015. En estos eventos, las entidades estatales podrán utilizar para la constitución de las contragarantías a favor de la Nación, entre otras, los flujos correspondientes a las vigencias futuras aprobadas por la instancia correspondiente.</w:t>
      </w:r>
    </w:p>
    <w:p w14:paraId="3A082604"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408F9B23" w14:textId="6F01FB07"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Para la constitución de las contragarantías a favor de la Nación, se podrán otorgar como contragarantía los flujos correspondientes a las vigencias futuras de las entidades de los órdenes nacionales o territoriales aprobados por las instancias correspondientes.</w:t>
      </w:r>
    </w:p>
    <w:p w14:paraId="5D27646A"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603F605C" w14:textId="65A745A3"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En lo no previsto en el presente artículo se aplicará lo dispuesto en el Decreto 1068 de 2015 y demás normas vigentes.</w:t>
      </w:r>
    </w:p>
    <w:p w14:paraId="7A6090AB" w14:textId="4B442D6B" w:rsidR="00A357C0" w:rsidRPr="006969B3" w:rsidRDefault="00A357C0" w:rsidP="00F65283">
      <w:pPr>
        <w:spacing w:after="0" w:line="240" w:lineRule="auto"/>
        <w:rPr>
          <w:rFonts w:ascii="Arial" w:hAnsi="Arial" w:cs="Arial"/>
          <w:lang w:val="es-CO"/>
        </w:rPr>
      </w:pPr>
    </w:p>
    <w:p w14:paraId="659AFBDC" w14:textId="3208B803" w:rsidR="00A357C0" w:rsidRPr="006969B3" w:rsidRDefault="00A357C0" w:rsidP="00F65283">
      <w:pPr>
        <w:pStyle w:val="NormalWeb"/>
        <w:spacing w:before="0" w:beforeAutospacing="0" w:after="0" w:afterAutospacing="0"/>
        <w:jc w:val="both"/>
        <w:rPr>
          <w:rFonts w:ascii="Arial" w:hAnsi="Arial" w:cs="Arial"/>
          <w:sz w:val="22"/>
          <w:szCs w:val="22"/>
          <w:lang w:val="es-CO"/>
        </w:rPr>
      </w:pPr>
      <w:bookmarkStart w:id="121" w:name="108"/>
      <w:r w:rsidRPr="006969B3">
        <w:rPr>
          <w:rFonts w:ascii="Arial" w:hAnsi="Arial" w:cs="Arial"/>
          <w:sz w:val="22"/>
          <w:szCs w:val="22"/>
          <w:lang w:val="es-CO"/>
        </w:rPr>
        <w:t>ARTÍCULO 108. CONTRIBUCIÓN ESPECIAL DE VIGILANCIA PARA LA SUPERINTENDENCIA DE TRANSPORTE.</w:t>
      </w:r>
      <w:bookmarkEnd w:id="121"/>
      <w:r w:rsidRPr="006969B3">
        <w:rPr>
          <w:rFonts w:ascii="Arial" w:hAnsi="Arial" w:cs="Arial"/>
          <w:sz w:val="22"/>
          <w:szCs w:val="22"/>
          <w:lang w:val="es-CO"/>
        </w:rPr>
        <w:t> Modifíquese el artículo</w:t>
      </w:r>
      <w:r w:rsidR="00D02AD3">
        <w:rPr>
          <w:rFonts w:ascii="Arial" w:hAnsi="Arial" w:cs="Arial"/>
          <w:sz w:val="22"/>
          <w:szCs w:val="22"/>
          <w:lang w:val="es-CO"/>
        </w:rPr>
        <w:t xml:space="preserve"> 36</w:t>
      </w:r>
      <w:r w:rsidRPr="006969B3">
        <w:rPr>
          <w:rFonts w:ascii="Arial" w:hAnsi="Arial" w:cs="Arial"/>
          <w:sz w:val="22"/>
          <w:szCs w:val="22"/>
          <w:lang w:val="es-CO"/>
        </w:rPr>
        <w:t> de la Ley 1753 de 2015, el cual quedará así:</w:t>
      </w:r>
    </w:p>
    <w:p w14:paraId="39291427" w14:textId="77777777" w:rsidR="001B0E49" w:rsidRDefault="001B0E49" w:rsidP="00F65283">
      <w:pPr>
        <w:pStyle w:val="NormalWeb"/>
        <w:spacing w:before="0" w:beforeAutospacing="0" w:after="0" w:afterAutospacing="0"/>
        <w:jc w:val="both"/>
        <w:rPr>
          <w:rFonts w:ascii="Arial" w:hAnsi="Arial" w:cs="Arial"/>
          <w:sz w:val="22"/>
          <w:szCs w:val="22"/>
          <w:lang w:val="es-CO"/>
        </w:rPr>
      </w:pPr>
    </w:p>
    <w:p w14:paraId="05BD1DFD" w14:textId="1D3EDAB6"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w:t>
      </w:r>
      <w:r w:rsidR="00D02AD3">
        <w:rPr>
          <w:rFonts w:ascii="Arial" w:hAnsi="Arial" w:cs="Arial"/>
          <w:sz w:val="22"/>
          <w:szCs w:val="22"/>
          <w:lang w:val="es-CO"/>
        </w:rPr>
        <w:t xml:space="preserve"> 36</w:t>
      </w:r>
      <w:r w:rsidRPr="006969B3">
        <w:rPr>
          <w:rFonts w:ascii="Arial" w:hAnsi="Arial" w:cs="Arial"/>
          <w:sz w:val="22"/>
          <w:szCs w:val="22"/>
          <w:lang w:val="es-CO"/>
        </w:rPr>
        <w:t xml:space="preserve">. Contribución Especial de Vigilancia para la Superintendencia de Transporte. La Superintendencia de Transporte como establecimiento público con personería jurídica, cobrará una contribución especial de vigilancia, la cual, junto con las multas impuestas en ejercicio de sus funciones, tendrán como destino el presupuesto de la Superintendencia. La contribución será cancelada anualmente por todas las personas naturales y/o jurídicas que </w:t>
      </w:r>
      <w:r w:rsidRPr="006969B3">
        <w:rPr>
          <w:rFonts w:ascii="Arial" w:hAnsi="Arial" w:cs="Arial"/>
          <w:sz w:val="22"/>
          <w:szCs w:val="22"/>
          <w:lang w:val="es-CO"/>
        </w:rPr>
        <w:lastRenderedPageBreak/>
        <w:t>estén sometidas a su vigilancia, inspección y/o control de acuerdo con la ley o el reglamento.</w:t>
      </w:r>
    </w:p>
    <w:p w14:paraId="40769555"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43341813" w14:textId="118F45D4"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 contribución especial de vigilancia se fijará por parte de la Superintendencia de Transporte conforme a los siguientes criterios:</w:t>
      </w:r>
    </w:p>
    <w:p w14:paraId="10DFE188"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408C6E57" w14:textId="204BA404"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1. Con base en los ingresos brutos derivados de la actividad de transporte que perciba el sujeto supervisado durante el período anual anterior, la Superintendencia de Transporte, mediante resolución, establecerá la tarifa de la contribución a cobrar que no podrá ser superior al cero coma veintiuno </w:t>
      </w:r>
      <w:proofErr w:type="spellStart"/>
      <w:r w:rsidRPr="006969B3">
        <w:rPr>
          <w:rFonts w:ascii="Arial" w:hAnsi="Arial" w:cs="Arial"/>
          <w:sz w:val="22"/>
          <w:szCs w:val="22"/>
          <w:lang w:val="es-CO"/>
        </w:rPr>
        <w:t>porciento</w:t>
      </w:r>
      <w:proofErr w:type="spellEnd"/>
      <w:r w:rsidRPr="006969B3">
        <w:rPr>
          <w:rFonts w:ascii="Arial" w:hAnsi="Arial" w:cs="Arial"/>
          <w:sz w:val="22"/>
          <w:szCs w:val="22"/>
          <w:lang w:val="es-CO"/>
        </w:rPr>
        <w:t xml:space="preserve"> (0,21%) de dichos ingresos brutos.</w:t>
      </w:r>
    </w:p>
    <w:p w14:paraId="48712CDE"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6671C67C" w14:textId="77DBDB18"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2. La contribución deberá cancelarse anualmente, en el plazo que para tal efecto determine la entidad y será diferencial dependiendo de si la supervisión es integral, objetiva o subjetiva.</w:t>
      </w:r>
    </w:p>
    <w:p w14:paraId="14644DD4"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35D87CCE" w14:textId="38D311F2"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Para efectos del presente artículo, se entenderá por ingresos brutos derivados de la actividad de transporte, todos aquellos que recibe el supervisado por las actividades relacionadas con el tránsito, transporte, su infraestructura o sus servicios conexos y complementarios, durante el período anual anterior, sin restarle las contribuciones, gastos, costos, tributos, descuentos y deducciones.</w:t>
      </w:r>
    </w:p>
    <w:p w14:paraId="1809B0EE"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4D38CB0B" w14:textId="670A7A7B"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Para concesiones y otras formas de asociaciones público- privadas se entenderá por ingresos brutos derivados de la actividad de transporte, aquellos ingresos del concesionario en virtud del contrato, y que se liquidarán teniendo en cuenta los ingresos brutos ordinarios y extraordinarios determinados con base en las normas establecidas para el impuesto sobre la renta y complementarios fijadas en el estatuto tributario y su reglamentación, diferentes de los ingresos recibidos con fuente Presupuesto General de la Nación, entidades territoriales u otros fondos públicos.</w:t>
      </w:r>
    </w:p>
    <w:p w14:paraId="00AB7B66"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16D24788" w14:textId="46D551AF"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3o.</w:t>
      </w:r>
      <w:r w:rsidRPr="006969B3">
        <w:rPr>
          <w:rFonts w:ascii="Arial" w:hAnsi="Arial" w:cs="Arial"/>
          <w:sz w:val="22"/>
          <w:szCs w:val="22"/>
          <w:lang w:val="es-CO"/>
        </w:rPr>
        <w:t> Los concesionarios de puertos de servicio privado pagarán la contribución especial de vigilancia teniendo en cuenta como base de liquidación, la cifra resultante de multiplicar las toneladas movilizadas en el año inmediatamente anterior por la tarifa calculada anualmente por la Superintendencia de Transporte para cada tipo de carga de acuerdo con la metodología establecida en los planes de expansión portuaria y demás normas concordantes.</w:t>
      </w:r>
    </w:p>
    <w:p w14:paraId="7EF2EB6C"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1C0EDA6A" w14:textId="4DA99CD8"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4o.</w:t>
      </w:r>
      <w:r w:rsidRPr="006969B3">
        <w:rPr>
          <w:rFonts w:ascii="Arial" w:hAnsi="Arial" w:cs="Arial"/>
          <w:sz w:val="22"/>
          <w:szCs w:val="22"/>
          <w:lang w:val="es-CO"/>
        </w:rPr>
        <w:t> Para efectos del control en el pago de la contribución aquí prevista, la Superintendencia de Transporte reglamentará la inscripción y registro de los operadores portuarios, marítimos y fluviales.</w:t>
      </w:r>
    </w:p>
    <w:p w14:paraId="00DDDC38" w14:textId="483E9B8D" w:rsidR="00A357C0" w:rsidRPr="006969B3" w:rsidRDefault="00A357C0" w:rsidP="00F65283">
      <w:pPr>
        <w:spacing w:after="0" w:line="240" w:lineRule="auto"/>
        <w:rPr>
          <w:rFonts w:ascii="Arial" w:hAnsi="Arial" w:cs="Arial"/>
          <w:lang w:val="es-CO"/>
        </w:rPr>
      </w:pPr>
    </w:p>
    <w:p w14:paraId="5A55FD4D" w14:textId="77777777" w:rsidR="00A357C0" w:rsidRPr="006969B3" w:rsidRDefault="00A357C0" w:rsidP="00F65283">
      <w:pPr>
        <w:pStyle w:val="NormalWeb"/>
        <w:spacing w:before="0" w:beforeAutospacing="0" w:after="0" w:afterAutospacing="0"/>
        <w:jc w:val="both"/>
        <w:rPr>
          <w:rFonts w:ascii="Arial" w:hAnsi="Arial" w:cs="Arial"/>
          <w:sz w:val="22"/>
          <w:szCs w:val="22"/>
          <w:lang w:val="es-CO"/>
        </w:rPr>
      </w:pPr>
      <w:bookmarkStart w:id="122" w:name="109"/>
      <w:r w:rsidRPr="006969B3">
        <w:rPr>
          <w:rFonts w:ascii="Arial" w:hAnsi="Arial" w:cs="Arial"/>
          <w:sz w:val="22"/>
          <w:szCs w:val="22"/>
          <w:lang w:val="es-CO"/>
        </w:rPr>
        <w:t>ARTÍCULO 109. PROTECCIÓN DE USUARIOS DE TRANSPORTE AÉREO.</w:t>
      </w:r>
      <w:bookmarkEnd w:id="122"/>
      <w:r w:rsidRPr="006969B3">
        <w:rPr>
          <w:rFonts w:ascii="Arial" w:hAnsi="Arial" w:cs="Arial"/>
          <w:sz w:val="22"/>
          <w:szCs w:val="22"/>
          <w:lang w:val="es-CO"/>
        </w:rPr>
        <w:t> La Superintendencia de Transporte es la autoridad competente para velar por la observancia de las disposiciones sobre protección al usuario del transporte aéreo, así como para adelantar las investigaciones e imponer las sanciones o medidas administrativas a que haya lugar por las infracciones a las normas aeronáuticas en lo referente a los derechos y deberes de los usuarios del transporte aéreo, excluyendo aquellas disposiciones relacionadas con la seguridad operacional y seguridad de la aviación civil; cuya competencia permanecerá en la Unidad Administrativa Especial de Aeronáutica Civil. Las multas impuestas por la Superintendencia de Transporte tendrán como destino el presupuesto de esta.</w:t>
      </w:r>
    </w:p>
    <w:p w14:paraId="15D3356C"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2FE34C37" w14:textId="24E239E1"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lastRenderedPageBreak/>
        <w:t>PARÁGRAFO.</w:t>
      </w:r>
      <w:r w:rsidRPr="006969B3">
        <w:rPr>
          <w:rFonts w:ascii="Arial" w:hAnsi="Arial" w:cs="Arial"/>
          <w:sz w:val="22"/>
          <w:szCs w:val="22"/>
          <w:lang w:val="es-CO"/>
        </w:rPr>
        <w:t> Los cargos y recursos de la Unidad Administrativa Especial de Aeronáutica Civil para la protección de usuarios del modo de transporte aéreo serán trasladados a la Superintendencia de Transporte. En todo caso, el Gobierno nacional garantizará que la Superintendencia de Transporte cuente con el presupuesto necesario para la protección de los usuarios del sector.</w:t>
      </w:r>
    </w:p>
    <w:p w14:paraId="3DEFA5BC" w14:textId="62B52B0D" w:rsidR="00A357C0" w:rsidRPr="006969B3" w:rsidRDefault="00A357C0" w:rsidP="00F65283">
      <w:pPr>
        <w:spacing w:after="0" w:line="240" w:lineRule="auto"/>
        <w:rPr>
          <w:rFonts w:ascii="Arial" w:hAnsi="Arial" w:cs="Arial"/>
          <w:lang w:val="es-CO"/>
        </w:rPr>
      </w:pPr>
    </w:p>
    <w:p w14:paraId="2DB5E947" w14:textId="6DF5904D" w:rsidR="00A357C0" w:rsidRPr="006969B3" w:rsidRDefault="00A357C0" w:rsidP="00F65283">
      <w:pPr>
        <w:pStyle w:val="NormalWeb"/>
        <w:spacing w:before="0" w:beforeAutospacing="0" w:after="0" w:afterAutospacing="0"/>
        <w:jc w:val="both"/>
        <w:rPr>
          <w:rFonts w:ascii="Arial" w:hAnsi="Arial" w:cs="Arial"/>
          <w:sz w:val="22"/>
          <w:szCs w:val="22"/>
          <w:lang w:val="es-CO"/>
        </w:rPr>
      </w:pPr>
      <w:bookmarkStart w:id="123" w:name="110"/>
      <w:r w:rsidRPr="006969B3">
        <w:rPr>
          <w:rFonts w:ascii="Arial" w:hAnsi="Arial" w:cs="Arial"/>
          <w:sz w:val="22"/>
          <w:szCs w:val="22"/>
          <w:lang w:val="es-CO"/>
        </w:rPr>
        <w:t>ARTÍCULO 110. PROTECCIÓN AL TURISTA.</w:t>
      </w:r>
      <w:bookmarkEnd w:id="123"/>
      <w:r w:rsidRPr="006969B3">
        <w:rPr>
          <w:rFonts w:ascii="Arial" w:hAnsi="Arial" w:cs="Arial"/>
          <w:sz w:val="22"/>
          <w:szCs w:val="22"/>
          <w:lang w:val="es-CO"/>
        </w:rPr>
        <w:t> Modifíquese el parágrafo 2 y adiciónese un parágrafo transitorio al artículo</w:t>
      </w:r>
      <w:r w:rsidR="004A0D6A">
        <w:rPr>
          <w:rFonts w:ascii="Arial" w:hAnsi="Arial" w:cs="Arial"/>
          <w:sz w:val="22"/>
          <w:szCs w:val="22"/>
          <w:lang w:val="es-CO"/>
        </w:rPr>
        <w:t xml:space="preserve"> 25</w:t>
      </w:r>
      <w:r w:rsidRPr="006969B3">
        <w:rPr>
          <w:rFonts w:ascii="Arial" w:hAnsi="Arial" w:cs="Arial"/>
          <w:sz w:val="22"/>
          <w:szCs w:val="22"/>
          <w:lang w:val="es-CO"/>
        </w:rPr>
        <w:t> de la Ley 1558 de 2012 el cual quedará así:</w:t>
      </w:r>
    </w:p>
    <w:p w14:paraId="7B297E0E"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36C30350" w14:textId="5B41821D"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xml:space="preserve"> Las reclamaciones que se susciten en desarrollo de la prestación y comercialización del servicio del transporte </w:t>
      </w:r>
      <w:proofErr w:type="gramStart"/>
      <w:r w:rsidRPr="006969B3">
        <w:rPr>
          <w:rFonts w:ascii="Arial" w:hAnsi="Arial" w:cs="Arial"/>
          <w:sz w:val="22"/>
          <w:szCs w:val="22"/>
          <w:lang w:val="es-CO"/>
        </w:rPr>
        <w:t>aéreo,</w:t>
      </w:r>
      <w:proofErr w:type="gramEnd"/>
      <w:r w:rsidRPr="006969B3">
        <w:rPr>
          <w:rFonts w:ascii="Arial" w:hAnsi="Arial" w:cs="Arial"/>
          <w:sz w:val="22"/>
          <w:szCs w:val="22"/>
          <w:lang w:val="es-CO"/>
        </w:rPr>
        <w:t xml:space="preserve"> serán resueltas por la Superintendencia de Transporte como única entidad competente del sector, dando aplicación al procedimiento sancionatorio del Código de Procedimiento Administrativo y de lo Contencioso Administrativo y demás normas concordantes.</w:t>
      </w:r>
    </w:p>
    <w:p w14:paraId="02E72299"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7262E894" w14:textId="01D5D208"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TRANSITORIO.</w:t>
      </w:r>
      <w:r w:rsidRPr="006969B3">
        <w:rPr>
          <w:rFonts w:ascii="Arial" w:hAnsi="Arial" w:cs="Arial"/>
          <w:sz w:val="22"/>
          <w:szCs w:val="22"/>
          <w:lang w:val="es-CO"/>
        </w:rPr>
        <w:t xml:space="preserve"> Las investigaciones iniciadas con anterioridad a la </w:t>
      </w:r>
      <w:proofErr w:type="gramStart"/>
      <w:r w:rsidRPr="006969B3">
        <w:rPr>
          <w:rFonts w:ascii="Arial" w:hAnsi="Arial" w:cs="Arial"/>
          <w:sz w:val="22"/>
          <w:szCs w:val="22"/>
          <w:lang w:val="es-CO"/>
        </w:rPr>
        <w:t>entrada en vigencia</w:t>
      </w:r>
      <w:proofErr w:type="gramEnd"/>
      <w:r w:rsidRPr="006969B3">
        <w:rPr>
          <w:rFonts w:ascii="Arial" w:hAnsi="Arial" w:cs="Arial"/>
          <w:sz w:val="22"/>
          <w:szCs w:val="22"/>
          <w:lang w:val="es-CO"/>
        </w:rPr>
        <w:t xml:space="preserve"> de esta ley seguirán en cabeza de la Unidad Administrativa Especial de Aeronáutica Civil y culminarán de conformidad con el régimen jurídico y procedimiento con el cual se iniciaron.</w:t>
      </w:r>
    </w:p>
    <w:p w14:paraId="578171C5" w14:textId="78270912" w:rsidR="00A357C0" w:rsidRPr="006969B3" w:rsidRDefault="00A357C0" w:rsidP="00F65283">
      <w:pPr>
        <w:spacing w:after="0" w:line="240" w:lineRule="auto"/>
        <w:rPr>
          <w:rFonts w:ascii="Arial" w:hAnsi="Arial" w:cs="Arial"/>
          <w:lang w:val="es-CO"/>
        </w:rPr>
      </w:pPr>
    </w:p>
    <w:p w14:paraId="1BF68416" w14:textId="77777777" w:rsidR="00A357C0" w:rsidRPr="006969B3" w:rsidRDefault="00A357C0" w:rsidP="00F65283">
      <w:pPr>
        <w:pStyle w:val="NormalWeb"/>
        <w:spacing w:before="0" w:beforeAutospacing="0" w:after="0" w:afterAutospacing="0"/>
        <w:jc w:val="both"/>
        <w:rPr>
          <w:rFonts w:ascii="Arial" w:hAnsi="Arial" w:cs="Arial"/>
          <w:sz w:val="22"/>
          <w:szCs w:val="22"/>
          <w:lang w:val="es-CO"/>
        </w:rPr>
      </w:pPr>
      <w:bookmarkStart w:id="124" w:name="111"/>
      <w:r w:rsidRPr="006969B3">
        <w:rPr>
          <w:rFonts w:ascii="Arial" w:hAnsi="Arial" w:cs="Arial"/>
          <w:sz w:val="22"/>
          <w:szCs w:val="22"/>
          <w:lang w:val="es-CO"/>
        </w:rPr>
        <w:t>ARTÍCULO 111. REPROGRAMACIÓN DE VIGENCIAS FUTURAS DEL SECTOR TRANSPORTE.</w:t>
      </w:r>
      <w:bookmarkEnd w:id="124"/>
      <w:r w:rsidRPr="006969B3">
        <w:rPr>
          <w:rFonts w:ascii="Arial" w:hAnsi="Arial" w:cs="Arial"/>
          <w:sz w:val="22"/>
          <w:szCs w:val="22"/>
          <w:lang w:val="es-CO"/>
        </w:rPr>
        <w:t> Con el fin de atender gastos prioritarios del Sector Transporte y mantener la consistencia fiscal del Presupuesto General de la Nación, las entidades que conforman el Sector podrán recomponer el presupuesto a través de la reprogramación de los compromisos realizados con cargo a vigencias futuras, autorizadas en los diferentes proyectos de inversión.</w:t>
      </w:r>
    </w:p>
    <w:p w14:paraId="1FDC62A6"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5B35FA96" w14:textId="0C93DEF0"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Gobierno nacional hará los ajustes necesarios mediante decreto anual, debidamente motivado, sin cambiar, en todo caso, el monto total de gasto de inversión del sector para la vigencia fiscal, aprobado por el Congreso.</w:t>
      </w:r>
    </w:p>
    <w:p w14:paraId="40DB27FB" w14:textId="64C13C64" w:rsidR="00A357C0" w:rsidRPr="006969B3" w:rsidRDefault="00A357C0" w:rsidP="00F65283">
      <w:pPr>
        <w:spacing w:after="0" w:line="240" w:lineRule="auto"/>
        <w:rPr>
          <w:rFonts w:ascii="Arial" w:hAnsi="Arial" w:cs="Arial"/>
          <w:lang w:val="es-CO"/>
        </w:rPr>
      </w:pPr>
    </w:p>
    <w:p w14:paraId="329999B5" w14:textId="6DEFCDD0" w:rsidR="00A357C0" w:rsidRPr="006969B3" w:rsidRDefault="00A357C0" w:rsidP="00F65283">
      <w:pPr>
        <w:pStyle w:val="NormalWeb"/>
        <w:spacing w:before="0" w:beforeAutospacing="0" w:after="0" w:afterAutospacing="0"/>
        <w:jc w:val="both"/>
        <w:rPr>
          <w:rFonts w:ascii="Arial" w:hAnsi="Arial" w:cs="Arial"/>
          <w:sz w:val="22"/>
          <w:szCs w:val="22"/>
          <w:lang w:val="es-CO"/>
        </w:rPr>
      </w:pPr>
      <w:bookmarkStart w:id="125" w:name="112"/>
      <w:r w:rsidRPr="006969B3">
        <w:rPr>
          <w:rFonts w:ascii="Arial" w:hAnsi="Arial" w:cs="Arial"/>
          <w:sz w:val="22"/>
          <w:szCs w:val="22"/>
          <w:lang w:val="es-CO"/>
        </w:rPr>
        <w:t>ARTÍCULO 112. VIGENCIAS FUTURAS DE LA NACIÓN Y LAS ENTIDADES ESTATALES DEL ORDEN NACIONAL PARA PROYECTOS DE ASOCIACIÓN PÚBLICO PRIVADA.</w:t>
      </w:r>
      <w:bookmarkEnd w:id="125"/>
      <w:r w:rsidRPr="006969B3">
        <w:rPr>
          <w:rFonts w:ascii="Arial" w:hAnsi="Arial" w:cs="Arial"/>
          <w:sz w:val="22"/>
          <w:szCs w:val="22"/>
          <w:lang w:val="es-CO"/>
        </w:rPr>
        <w:t> Adiciónese el siguiente parágrafo al artículo</w:t>
      </w:r>
      <w:r w:rsidR="004A0D6A">
        <w:rPr>
          <w:rFonts w:ascii="Arial" w:hAnsi="Arial" w:cs="Arial"/>
          <w:sz w:val="22"/>
          <w:szCs w:val="22"/>
          <w:lang w:val="es-CO"/>
        </w:rPr>
        <w:t xml:space="preserve"> </w:t>
      </w:r>
      <w:proofErr w:type="gramStart"/>
      <w:r w:rsidR="004A0D6A">
        <w:rPr>
          <w:rFonts w:ascii="Arial" w:hAnsi="Arial" w:cs="Arial"/>
          <w:sz w:val="22"/>
          <w:szCs w:val="22"/>
          <w:lang w:val="es-CO"/>
        </w:rPr>
        <w:t>26</w:t>
      </w:r>
      <w:r w:rsidRPr="006969B3">
        <w:rPr>
          <w:rFonts w:ascii="Arial" w:hAnsi="Arial" w:cs="Arial"/>
          <w:sz w:val="22"/>
          <w:szCs w:val="22"/>
          <w:lang w:val="es-CO"/>
        </w:rPr>
        <w:t>  de</w:t>
      </w:r>
      <w:proofErr w:type="gramEnd"/>
      <w:r w:rsidRPr="006969B3">
        <w:rPr>
          <w:rFonts w:ascii="Arial" w:hAnsi="Arial" w:cs="Arial"/>
          <w:sz w:val="22"/>
          <w:szCs w:val="22"/>
          <w:lang w:val="es-CO"/>
        </w:rPr>
        <w:t xml:space="preserve"> la Ley 1508 de 2012:</w:t>
      </w:r>
    </w:p>
    <w:p w14:paraId="2028CF96"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2D0547B9" w14:textId="69681E38" w:rsidR="00A357C0" w:rsidRPr="006969B3" w:rsidRDefault="00A357C0" w:rsidP="00E73F70">
      <w:pPr>
        <w:pStyle w:val="NormalWeb"/>
        <w:spacing w:before="0" w:beforeAutospacing="0" w:after="0" w:afterAutospacing="0"/>
        <w:jc w:val="both"/>
        <w:rPr>
          <w:rFonts w:ascii="Arial" w:hAnsi="Arial" w:cs="Arial"/>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xml:space="preserve"> Las entidades estatales del orden nacional que cuenten con recursos propios o fondos especiales destinados al desarrollo de proyectos de </w:t>
      </w:r>
      <w:proofErr w:type="gramStart"/>
      <w:r w:rsidRPr="006969B3">
        <w:rPr>
          <w:rFonts w:ascii="Arial" w:hAnsi="Arial" w:cs="Arial"/>
          <w:sz w:val="22"/>
          <w:szCs w:val="22"/>
          <w:lang w:val="es-CO"/>
        </w:rPr>
        <w:t>Infraestructura,</w:t>
      </w:r>
      <w:proofErr w:type="gramEnd"/>
      <w:r w:rsidRPr="006969B3">
        <w:rPr>
          <w:rFonts w:ascii="Arial" w:hAnsi="Arial" w:cs="Arial"/>
          <w:sz w:val="22"/>
          <w:szCs w:val="22"/>
          <w:lang w:val="es-CO"/>
        </w:rPr>
        <w:t xml:space="preserve"> podrán destinar estos recursos para el desarrollo de proyectos de Asociación Público Privada (APP), sin que estos sean contabilizados dentro del límite anual de autorizaciones de vigencias futuras establecido por el Consejo Nacional de Política Económica y Social (</w:t>
      </w:r>
      <w:proofErr w:type="spellStart"/>
      <w:r w:rsidRPr="006969B3">
        <w:rPr>
          <w:rFonts w:ascii="Arial" w:hAnsi="Arial" w:cs="Arial"/>
          <w:sz w:val="22"/>
          <w:szCs w:val="22"/>
          <w:lang w:val="es-CO"/>
        </w:rPr>
        <w:t>Conpes</w:t>
      </w:r>
      <w:proofErr w:type="spellEnd"/>
      <w:r w:rsidRPr="006969B3">
        <w:rPr>
          <w:rFonts w:ascii="Arial" w:hAnsi="Arial" w:cs="Arial"/>
          <w:sz w:val="22"/>
          <w:szCs w:val="22"/>
          <w:lang w:val="es-CO"/>
        </w:rPr>
        <w:t>) para el desarrollo de dichos proyectos. Sin perjuicio de lo anterior, la solicitud de autorización de vigencia futuras al Consejo de Política Fiscal (</w:t>
      </w:r>
      <w:proofErr w:type="spellStart"/>
      <w:r w:rsidRPr="006969B3">
        <w:rPr>
          <w:rFonts w:ascii="Arial" w:hAnsi="Arial" w:cs="Arial"/>
          <w:sz w:val="22"/>
          <w:szCs w:val="22"/>
          <w:lang w:val="es-CO"/>
        </w:rPr>
        <w:t>Confis</w:t>
      </w:r>
      <w:proofErr w:type="spellEnd"/>
      <w:r w:rsidRPr="006969B3">
        <w:rPr>
          <w:rFonts w:ascii="Arial" w:hAnsi="Arial" w:cs="Arial"/>
          <w:sz w:val="22"/>
          <w:szCs w:val="22"/>
          <w:lang w:val="es-CO"/>
        </w:rPr>
        <w:t xml:space="preserve">) para proyectos de Asociación </w:t>
      </w:r>
      <w:proofErr w:type="gramStart"/>
      <w:r w:rsidRPr="006969B3">
        <w:rPr>
          <w:rFonts w:ascii="Arial" w:hAnsi="Arial" w:cs="Arial"/>
          <w:sz w:val="22"/>
          <w:szCs w:val="22"/>
          <w:lang w:val="es-CO"/>
        </w:rPr>
        <w:t>Público Privada</w:t>
      </w:r>
      <w:proofErr w:type="gramEnd"/>
      <w:r w:rsidRPr="006969B3">
        <w:rPr>
          <w:rFonts w:ascii="Arial" w:hAnsi="Arial" w:cs="Arial"/>
          <w:sz w:val="22"/>
          <w:szCs w:val="22"/>
          <w:lang w:val="es-CO"/>
        </w:rPr>
        <w:t xml:space="preserve"> deberá estar acompañada de un análisis de disponibilidad y sostenibilidad de los ingresos propios o de la fuente de ingreso del respectivo fondo público durante el periodo que demande la ejecución del proyecto, de conformidad con los compromisos de pago proyectados.</w:t>
      </w:r>
      <w:r w:rsidR="00E73F70" w:rsidRPr="006969B3">
        <w:rPr>
          <w:rFonts w:ascii="Arial" w:hAnsi="Arial" w:cs="Arial"/>
          <w:lang w:val="es-CO"/>
        </w:rPr>
        <w:t xml:space="preserve"> </w:t>
      </w:r>
    </w:p>
    <w:p w14:paraId="5A5C4453" w14:textId="77777777" w:rsidR="00D83E14" w:rsidRPr="006969B3" w:rsidRDefault="00D83E14" w:rsidP="00E73F70">
      <w:pPr>
        <w:pStyle w:val="NormalWeb"/>
        <w:spacing w:before="0" w:beforeAutospacing="0" w:after="0" w:afterAutospacing="0"/>
        <w:jc w:val="both"/>
        <w:rPr>
          <w:rFonts w:ascii="Arial" w:hAnsi="Arial" w:cs="Arial"/>
          <w:sz w:val="22"/>
          <w:szCs w:val="22"/>
          <w:lang w:val="es-CO"/>
        </w:rPr>
      </w:pPr>
    </w:p>
    <w:p w14:paraId="3E9D4F36" w14:textId="3DB4BCA4" w:rsidR="00A357C0" w:rsidRPr="006969B3" w:rsidRDefault="00A357C0" w:rsidP="00F65283">
      <w:pPr>
        <w:pStyle w:val="NormalWeb"/>
        <w:spacing w:before="0" w:beforeAutospacing="0" w:after="0" w:afterAutospacing="0"/>
        <w:jc w:val="both"/>
        <w:rPr>
          <w:rFonts w:ascii="Arial" w:hAnsi="Arial" w:cs="Arial"/>
          <w:sz w:val="22"/>
          <w:szCs w:val="22"/>
          <w:lang w:val="es-CO"/>
        </w:rPr>
      </w:pPr>
      <w:bookmarkStart w:id="126" w:name="113"/>
      <w:r w:rsidRPr="006969B3">
        <w:rPr>
          <w:rFonts w:ascii="Arial" w:hAnsi="Arial" w:cs="Arial"/>
          <w:sz w:val="22"/>
          <w:szCs w:val="22"/>
          <w:lang w:val="es-CO"/>
        </w:rPr>
        <w:t>ARTÍCULO 113. REQUISITOS PARA PROYECTOS DE ASOCIACIÓN PÚBLICO PRIVADA QUE REQUIEREN DESEMBOLSOS DE RECURSOS PÚBLICOS EN ENTIDADES TERRITORIALES.</w:t>
      </w:r>
      <w:bookmarkEnd w:id="126"/>
      <w:r w:rsidRPr="006969B3">
        <w:rPr>
          <w:rFonts w:ascii="Arial" w:hAnsi="Arial" w:cs="Arial"/>
          <w:sz w:val="22"/>
          <w:szCs w:val="22"/>
          <w:lang w:val="es-CO"/>
        </w:rPr>
        <w:t> Modifica el numeral 6, 7 y el parágrafo 2 del artículo </w:t>
      </w:r>
      <w:r w:rsidR="004A0D6A">
        <w:rPr>
          <w:rFonts w:ascii="Arial" w:hAnsi="Arial" w:cs="Arial"/>
          <w:sz w:val="22"/>
          <w:szCs w:val="22"/>
          <w:lang w:val="es-CO"/>
        </w:rPr>
        <w:t>27</w:t>
      </w:r>
      <w:r w:rsidRPr="006969B3">
        <w:rPr>
          <w:rFonts w:ascii="Arial" w:hAnsi="Arial" w:cs="Arial"/>
          <w:sz w:val="22"/>
          <w:szCs w:val="22"/>
          <w:lang w:val="es-CO"/>
        </w:rPr>
        <w:t> de la Ley 1508 de 2012, así:</w:t>
      </w:r>
    </w:p>
    <w:p w14:paraId="39A5300A"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33F49DA4" w14:textId="2C12A9FC"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6. La autorización por parte de la Asamblea o Concejo respectivo, para asumir obligaciones con cargo al presupuesto de vigencias futuras para proyectos de Asociación </w:t>
      </w:r>
      <w:proofErr w:type="gramStart"/>
      <w:r w:rsidRPr="006969B3">
        <w:rPr>
          <w:rFonts w:ascii="Arial" w:hAnsi="Arial" w:cs="Arial"/>
          <w:sz w:val="22"/>
          <w:szCs w:val="22"/>
          <w:lang w:val="es-CO"/>
        </w:rPr>
        <w:t>Público Privada</w:t>
      </w:r>
      <w:proofErr w:type="gramEnd"/>
      <w:r w:rsidRPr="006969B3">
        <w:rPr>
          <w:rFonts w:ascii="Arial" w:hAnsi="Arial" w:cs="Arial"/>
          <w:sz w:val="22"/>
          <w:szCs w:val="22"/>
          <w:lang w:val="es-CO"/>
        </w:rPr>
        <w:t xml:space="preserve"> podrá efectuarse en cualquier momento y superar el período de Gobierno del respectivo gobernador o alcalde. El plazo de dicha autorización no podrá exceder el plazo previsto en el artículo </w:t>
      </w:r>
      <w:r w:rsidR="004A0D6A">
        <w:rPr>
          <w:rFonts w:ascii="Arial" w:hAnsi="Arial" w:cs="Arial"/>
          <w:sz w:val="22"/>
          <w:szCs w:val="22"/>
          <w:lang w:val="es-CO"/>
        </w:rPr>
        <w:t>6</w:t>
      </w:r>
      <w:r w:rsidRPr="006969B3">
        <w:rPr>
          <w:rFonts w:ascii="Arial" w:hAnsi="Arial" w:cs="Arial"/>
          <w:sz w:val="22"/>
          <w:szCs w:val="22"/>
          <w:lang w:val="es-CO"/>
        </w:rPr>
        <w:t> de la Ley 1508 de 2012.</w:t>
      </w:r>
    </w:p>
    <w:p w14:paraId="14C859FF"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4A5059F2" w14:textId="1130B625"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7. Las vigencias futuras que se expidan deberán cumplir las normas vigentes que regulan la materia y los parámetros previstos en el presente artículo, incluyendo la aprobación previa de la valoración de riesgos y pasivos contingentes por parte del Ministerio de Hacienda y Crédito Público.</w:t>
      </w:r>
    </w:p>
    <w:p w14:paraId="3159DEA7"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079769B1" w14:textId="65315A16"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Estas vigencias futuras podrán ser aprobadas en el último año de Gobierno, hasta por el plazo de duración del proyecto respectivo.</w:t>
      </w:r>
    </w:p>
    <w:p w14:paraId="4DA9E829"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56BE576F" w14:textId="5FBF6C48"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Para la presentación de estos proyectos al Ministerio de Hacienda y Crédito Público se deberá contar con la validación financiera por parte de alguna de las entidades financieras públicas de segundo piso o estructuradoras públicas del orden nacional.</w:t>
      </w:r>
    </w:p>
    <w:p w14:paraId="48D0C52C"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5F2D16A3" w14:textId="0A3C5D37"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Se exceptúan de la mencionada validación, aquellos proyectos que han sido estructurados por una estructuradora pública del orden nacional o el Departamento Nacional de Planeación.</w:t>
      </w:r>
    </w:p>
    <w:p w14:paraId="19638BC8"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bookmarkStart w:id="127" w:name="114"/>
    </w:p>
    <w:p w14:paraId="04E04A6B" w14:textId="1A4D0FCB"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114. TRÁMITES DE PROYECTOS DE INTERÉS NACIONAL Y ESTRATÉGICO.</w:t>
      </w:r>
      <w:bookmarkEnd w:id="127"/>
      <w:r w:rsidRPr="006969B3">
        <w:rPr>
          <w:rFonts w:ascii="Arial" w:hAnsi="Arial" w:cs="Arial"/>
          <w:sz w:val="22"/>
          <w:szCs w:val="22"/>
          <w:lang w:val="es-CO"/>
        </w:rPr>
        <w:t xml:space="preserve"> Las entidades que determinan la viabilidad o que expidan permisos y licencias para el desarrollo de los Proyectos de Interés Nacional y Estratégico, deberán </w:t>
      </w:r>
      <w:proofErr w:type="gramStart"/>
      <w:r w:rsidRPr="006969B3">
        <w:rPr>
          <w:rFonts w:ascii="Arial" w:hAnsi="Arial" w:cs="Arial"/>
          <w:sz w:val="22"/>
          <w:szCs w:val="22"/>
          <w:lang w:val="es-CO"/>
        </w:rPr>
        <w:t>darle</w:t>
      </w:r>
      <w:proofErr w:type="gramEnd"/>
      <w:r w:rsidRPr="006969B3">
        <w:rPr>
          <w:rFonts w:ascii="Arial" w:hAnsi="Arial" w:cs="Arial"/>
          <w:sz w:val="22"/>
          <w:szCs w:val="22"/>
          <w:lang w:val="es-CO"/>
        </w:rPr>
        <w:t xml:space="preserve"> prioridad a dichos proyectos sobre cualquier otro proyecto.</w:t>
      </w:r>
    </w:p>
    <w:p w14:paraId="2B939428" w14:textId="1AF63181" w:rsidR="00A357C0" w:rsidRPr="006969B3" w:rsidRDefault="00A357C0" w:rsidP="00F65283">
      <w:pPr>
        <w:spacing w:after="0" w:line="240" w:lineRule="auto"/>
        <w:rPr>
          <w:rFonts w:ascii="Arial" w:hAnsi="Arial" w:cs="Arial"/>
          <w:lang w:val="es-CO"/>
        </w:rPr>
      </w:pPr>
    </w:p>
    <w:p w14:paraId="57A79F97" w14:textId="77777777" w:rsidR="00A357C0" w:rsidRPr="006969B3" w:rsidRDefault="00A357C0" w:rsidP="00F65283">
      <w:pPr>
        <w:pStyle w:val="NormalWeb"/>
        <w:spacing w:before="0" w:beforeAutospacing="0" w:after="0" w:afterAutospacing="0"/>
        <w:jc w:val="both"/>
        <w:rPr>
          <w:rFonts w:ascii="Arial" w:hAnsi="Arial" w:cs="Arial"/>
          <w:sz w:val="22"/>
          <w:szCs w:val="22"/>
          <w:lang w:val="es-CO"/>
        </w:rPr>
      </w:pPr>
      <w:bookmarkStart w:id="128" w:name="115"/>
      <w:r w:rsidRPr="006969B3">
        <w:rPr>
          <w:rFonts w:ascii="Arial" w:hAnsi="Arial" w:cs="Arial"/>
          <w:sz w:val="22"/>
          <w:szCs w:val="22"/>
          <w:lang w:val="es-CO"/>
        </w:rPr>
        <w:t>ARTÍCULO 115. ASOCIACIONES PÚBLICO-PRIVADAS PARA ESCENARIOS PÚBLICOS.</w:t>
      </w:r>
      <w:bookmarkEnd w:id="128"/>
      <w:r w:rsidRPr="006969B3">
        <w:rPr>
          <w:rFonts w:ascii="Arial" w:hAnsi="Arial" w:cs="Arial"/>
          <w:sz w:val="22"/>
          <w:szCs w:val="22"/>
          <w:lang w:val="es-CO"/>
        </w:rPr>
        <w:t xml:space="preserve"> Para el trámite de asociaciones </w:t>
      </w:r>
      <w:proofErr w:type="gramStart"/>
      <w:r w:rsidRPr="006969B3">
        <w:rPr>
          <w:rFonts w:ascii="Arial" w:hAnsi="Arial" w:cs="Arial"/>
          <w:sz w:val="22"/>
          <w:szCs w:val="22"/>
          <w:lang w:val="es-CO"/>
        </w:rPr>
        <w:t>público privadas</w:t>
      </w:r>
      <w:proofErr w:type="gramEnd"/>
      <w:r w:rsidRPr="006969B3">
        <w:rPr>
          <w:rFonts w:ascii="Arial" w:hAnsi="Arial" w:cs="Arial"/>
          <w:sz w:val="22"/>
          <w:szCs w:val="22"/>
          <w:lang w:val="es-CO"/>
        </w:rPr>
        <w:t xml:space="preserve"> de Iniciativa privada para la construcción, administración, mantenimiento y adecuación de escenarios públicos tales como estadios, coliseos deportivos, centros de convenciones o similares, los tiempos para la evaluación se podrán reducir hasta la mitad.</w:t>
      </w:r>
    </w:p>
    <w:p w14:paraId="54A2549F" w14:textId="71D5DE07" w:rsidR="00A357C0" w:rsidRPr="006969B3" w:rsidRDefault="00A357C0" w:rsidP="00F65283">
      <w:pPr>
        <w:spacing w:after="0" w:line="240" w:lineRule="auto"/>
        <w:rPr>
          <w:rFonts w:ascii="Arial" w:hAnsi="Arial" w:cs="Arial"/>
          <w:lang w:val="es-CO"/>
        </w:rPr>
      </w:pPr>
    </w:p>
    <w:p w14:paraId="72953FC2" w14:textId="56A5900C" w:rsidR="00A357C0" w:rsidRPr="006969B3" w:rsidRDefault="00A357C0" w:rsidP="00F65283">
      <w:pPr>
        <w:pStyle w:val="NormalWeb"/>
        <w:spacing w:before="0" w:beforeAutospacing="0" w:after="0" w:afterAutospacing="0"/>
        <w:jc w:val="both"/>
        <w:rPr>
          <w:rFonts w:ascii="Arial" w:hAnsi="Arial" w:cs="Arial"/>
          <w:sz w:val="22"/>
          <w:szCs w:val="22"/>
          <w:lang w:val="es-CO"/>
        </w:rPr>
      </w:pPr>
      <w:bookmarkStart w:id="129" w:name="116"/>
      <w:r w:rsidRPr="006969B3">
        <w:rPr>
          <w:rFonts w:ascii="Arial" w:hAnsi="Arial" w:cs="Arial"/>
          <w:sz w:val="22"/>
          <w:szCs w:val="22"/>
          <w:lang w:val="es-CO"/>
        </w:rPr>
        <w:t>ARTÍCULO 116. EVALUACIÓN DE LOS PROYECTOS DE ASOCIACIÓN PÚBLICO PRIVADA DE INICIATIVA PRIVADA.</w:t>
      </w:r>
      <w:bookmarkEnd w:id="129"/>
      <w:r w:rsidRPr="006969B3">
        <w:rPr>
          <w:rFonts w:ascii="Arial" w:hAnsi="Arial" w:cs="Arial"/>
          <w:sz w:val="22"/>
          <w:szCs w:val="22"/>
          <w:lang w:val="es-CO"/>
        </w:rPr>
        <w:t> El artículo</w:t>
      </w:r>
      <w:r w:rsidR="004A0D6A">
        <w:rPr>
          <w:rFonts w:ascii="Arial" w:hAnsi="Arial" w:cs="Arial"/>
          <w:sz w:val="22"/>
          <w:szCs w:val="22"/>
          <w:lang w:val="es-CO"/>
        </w:rPr>
        <w:t xml:space="preserve"> 19</w:t>
      </w:r>
      <w:r w:rsidRPr="006969B3">
        <w:rPr>
          <w:rFonts w:ascii="Arial" w:hAnsi="Arial" w:cs="Arial"/>
          <w:sz w:val="22"/>
          <w:szCs w:val="22"/>
          <w:lang w:val="es-CO"/>
        </w:rPr>
        <w:t> de la Ley 1882 de 2018 quedará así:</w:t>
      </w:r>
    </w:p>
    <w:p w14:paraId="748BE675"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62BBFA2C" w14:textId="16B2CA03"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w:t>
      </w:r>
      <w:r w:rsidR="00D02AD3">
        <w:rPr>
          <w:rFonts w:ascii="Arial" w:hAnsi="Arial" w:cs="Arial"/>
          <w:sz w:val="22"/>
          <w:szCs w:val="22"/>
          <w:lang w:val="es-CO"/>
        </w:rPr>
        <w:t xml:space="preserve"> 19</w:t>
      </w:r>
      <w:r w:rsidRPr="006969B3">
        <w:rPr>
          <w:rFonts w:ascii="Arial" w:hAnsi="Arial" w:cs="Arial"/>
          <w:sz w:val="22"/>
          <w:szCs w:val="22"/>
          <w:lang w:val="es-CO"/>
        </w:rPr>
        <w:t xml:space="preserve">. Evaluación de los Proyectos de Asociación </w:t>
      </w:r>
      <w:proofErr w:type="gramStart"/>
      <w:r w:rsidRPr="006969B3">
        <w:rPr>
          <w:rFonts w:ascii="Arial" w:hAnsi="Arial" w:cs="Arial"/>
          <w:sz w:val="22"/>
          <w:szCs w:val="22"/>
          <w:lang w:val="es-CO"/>
        </w:rPr>
        <w:t>Público Privada</w:t>
      </w:r>
      <w:proofErr w:type="gramEnd"/>
      <w:r w:rsidRPr="006969B3">
        <w:rPr>
          <w:rFonts w:ascii="Arial" w:hAnsi="Arial" w:cs="Arial"/>
          <w:sz w:val="22"/>
          <w:szCs w:val="22"/>
          <w:lang w:val="es-CO"/>
        </w:rPr>
        <w:t xml:space="preserve"> de Iniciativa Privada. Los originadores de proyectos de Asociación Pública Privada de Iniciativa privada, asumirán por su propia cuenta y riesgo, el costo estimado de su revisión y/o evaluación en la etapa de factibilidad.</w:t>
      </w:r>
    </w:p>
    <w:p w14:paraId="6C0B44A6"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60795E32" w14:textId="34B3AD47"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Para el efecto, el originador deberá aportar, según corresponda:</w:t>
      </w:r>
    </w:p>
    <w:p w14:paraId="60742254"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2B1F99CE" w14:textId="36150BD8"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 El equivalente a 500 SMLMV en caso de proyectos cuyo presupuesto estimado de inversión sea inferior a 400.000 SMLMV, calculado en precios constantes al momento en que la entidad pública competente una vez finalizada la etapa de prefactibilidad manifiesta que el proyecto es de su interés, o</w:t>
      </w:r>
    </w:p>
    <w:p w14:paraId="0FD67B85"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765C2E0D" w14:textId="6255C795"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lastRenderedPageBreak/>
        <w:t xml:space="preserve">b) El equivalente al 0,1% del presupuesto estimado de Inversión para proyectos cuyo presupuesto estimado de inversión sea igual o superior a 400.000 </w:t>
      </w:r>
      <w:proofErr w:type="spellStart"/>
      <w:r w:rsidRPr="006969B3">
        <w:rPr>
          <w:rFonts w:ascii="Arial" w:hAnsi="Arial" w:cs="Arial"/>
          <w:sz w:val="22"/>
          <w:szCs w:val="22"/>
          <w:lang w:val="es-CO"/>
        </w:rPr>
        <w:t>smlmv</w:t>
      </w:r>
      <w:proofErr w:type="spellEnd"/>
      <w:r w:rsidRPr="006969B3">
        <w:rPr>
          <w:rFonts w:ascii="Arial" w:hAnsi="Arial" w:cs="Arial"/>
          <w:sz w:val="22"/>
          <w:szCs w:val="22"/>
          <w:lang w:val="es-CO"/>
        </w:rPr>
        <w:t>, calculado en precios constantes al momento en que la entidad pública competente una vez finalizada la etapa de prefactibilidad manifiesta que el proyecto es de su interés.</w:t>
      </w:r>
    </w:p>
    <w:p w14:paraId="5AEAAFE0"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495FAE18" w14:textId="324D4F5F"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 administración y manejo de los recursos aportados por el originador destinados a la revisión y/o evaluación del proyecto en etapa de factibilidad se realizará a través de un patrimonio autónomo que constituirá el originador. Los costos que genere la administración de dicho patrimonio autónomo deberán ser cubiertos por el originador de la iniciativa privada.</w:t>
      </w:r>
    </w:p>
    <w:p w14:paraId="157573B7"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76A6B4D8" w14:textId="7869FF56"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La entidad estatal encargada de la revisión y/o evaluación del proyecto será la beneficiaria del patrimonio autónomo y la encargada de autorizar la celebración de los contratos requeridos para el efecto, así como autorizar los pagos a que hubiere lugar en desarrollo de </w:t>
      </w:r>
      <w:proofErr w:type="gramStart"/>
      <w:r w:rsidRPr="006969B3">
        <w:rPr>
          <w:rFonts w:ascii="Arial" w:hAnsi="Arial" w:cs="Arial"/>
          <w:sz w:val="22"/>
          <w:szCs w:val="22"/>
          <w:lang w:val="es-CO"/>
        </w:rPr>
        <w:t>los mismos</w:t>
      </w:r>
      <w:proofErr w:type="gramEnd"/>
      <w:r w:rsidRPr="006969B3">
        <w:rPr>
          <w:rFonts w:ascii="Arial" w:hAnsi="Arial" w:cs="Arial"/>
          <w:sz w:val="22"/>
          <w:szCs w:val="22"/>
          <w:lang w:val="es-CO"/>
        </w:rPr>
        <w:t>.</w:t>
      </w:r>
    </w:p>
    <w:p w14:paraId="4BAABD96"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7474B269" w14:textId="55E4F57E"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costo estimado de la evaluación del proyecto en la etapa de factibilidad deberá girarse al patrimonio autónomo en el plazo establecido por la entidad al momento de pronunciarse sobre el mismo una vez finalizada la etapa de prefactibilidad. En caso de que el originador no consigne el valor de la evaluación del proyecto la entidad estatal no adelantará su respectiva evaluación.</w:t>
      </w:r>
    </w:p>
    <w:p w14:paraId="2FD8EDB9"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3BED4E5F" w14:textId="70380306"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Finalizada la evaluación del proyecto, se procederá a la liquidación del patrimonio autónomo y sus excedentes si los hubiere serán consignados a orden del tesoro nacional.</w:t>
      </w:r>
    </w:p>
    <w:p w14:paraId="19E45F77" w14:textId="3024A574" w:rsidR="00A357C0" w:rsidRPr="006969B3" w:rsidRDefault="00A357C0" w:rsidP="00F65283">
      <w:pPr>
        <w:spacing w:after="0" w:line="240" w:lineRule="auto"/>
        <w:rPr>
          <w:rFonts w:ascii="Arial" w:hAnsi="Arial" w:cs="Arial"/>
          <w:lang w:val="es-CO"/>
        </w:rPr>
      </w:pPr>
    </w:p>
    <w:p w14:paraId="692F209C" w14:textId="77777777" w:rsidR="00A357C0" w:rsidRPr="006969B3" w:rsidRDefault="00A357C0" w:rsidP="00F65283">
      <w:pPr>
        <w:pStyle w:val="NormalWeb"/>
        <w:spacing w:before="0" w:beforeAutospacing="0" w:after="0" w:afterAutospacing="0"/>
        <w:jc w:val="both"/>
        <w:rPr>
          <w:rFonts w:ascii="Arial" w:hAnsi="Arial" w:cs="Arial"/>
          <w:sz w:val="22"/>
          <w:szCs w:val="22"/>
          <w:lang w:val="es-CO"/>
        </w:rPr>
      </w:pPr>
      <w:bookmarkStart w:id="130" w:name="117"/>
      <w:r w:rsidRPr="006969B3">
        <w:rPr>
          <w:rFonts w:ascii="Arial" w:hAnsi="Arial" w:cs="Arial"/>
          <w:sz w:val="22"/>
          <w:szCs w:val="22"/>
          <w:lang w:val="es-CO"/>
        </w:rPr>
        <w:t>ARTÍCULO 117. SISTEMA DE RECAUDO Y SISTEMA DE GESTIÓN Y CONTROL DE FLOTA DE TRANSPORTE.</w:t>
      </w:r>
      <w:bookmarkEnd w:id="130"/>
      <w:r w:rsidRPr="006969B3">
        <w:rPr>
          <w:rFonts w:ascii="Arial" w:hAnsi="Arial" w:cs="Arial"/>
          <w:sz w:val="22"/>
          <w:szCs w:val="22"/>
          <w:lang w:val="es-CO"/>
        </w:rPr>
        <w:t> Los sistemas de transporte que sean cofinanciados con recursos de la nación, adoptarán un sistema de recaudo centralizado, así como un sistema de gestión y control de flota, que integre los subsistemas de transporte complementario y de transporte masivo, integrado, estratégico o regional, utilizando mecanismos que así lo permitan, en especial el sistema de recaudo unificado, el cual permitirá el pago electrónico y en efectivo validado por medios electrónicos, y los sistemas de compensación entre operadores, de conformidad con lo dispuesto por la autoridad de transporte competente de acuerdo con los resultados de los estudios técnicos.</w:t>
      </w:r>
    </w:p>
    <w:p w14:paraId="666417EA"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5002EC58" w14:textId="08EC256A"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Se entiende como recaudo centralizado, aquel sistema mediante el cual se recaudan los dineros por concepto de la tarifa al usuario del sistema de transporte, los cuales se administran a través de un patrimonio autónomo o cualquier otro esquema de administración de recursos autorizado y administrado por una entidad vigilada por la Superintendencia Financiera de Colombia, constituido por el agente recaudador el cual estará sujeto a la auditoría permanente e irrestricta de la autoridad de transporte correspondiente.</w:t>
      </w:r>
    </w:p>
    <w:p w14:paraId="0FB39007"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1B31C67C" w14:textId="28F665FE"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Los sistemas de recaudo centralizado, de control de flota y de información y servicio al usuario, se constituyen en la herramienta tecnológica que controla la calidad, la cobertura y la continuidad del servicio del respectivo sistema de transporte, que deberá ser interoperable y suministrar información para que las autoridades definan políticas de movilidad, incluyendo demanda, oferta, tarifa y derechos de participación de los agentes. La totalidad de la información recolectada es propiedad del ente territorial o quien este delegue, teniendo libre acceso a las bases de datos.</w:t>
      </w:r>
    </w:p>
    <w:p w14:paraId="4E4B87D3"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5F9846B5" w14:textId="29512BB7"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lastRenderedPageBreak/>
        <w:t>En los sistemas de transporte masivos, ni los operadores o empresas de transporte, ni sus vinculados económicos podrán participar en la operación y administración de sistema de recaudo, salvo que se trate de una entidad pública. Vinculados económicos entendidos como tales los que se encuentren en los supuestos previstos por los artículos</w:t>
      </w:r>
      <w:r w:rsidR="001A6393">
        <w:rPr>
          <w:rFonts w:ascii="Arial" w:hAnsi="Arial" w:cs="Arial"/>
          <w:sz w:val="22"/>
          <w:szCs w:val="22"/>
          <w:lang w:val="es-CO"/>
        </w:rPr>
        <w:t xml:space="preserve"> 450 </w:t>
      </w:r>
      <w:r w:rsidRPr="006969B3">
        <w:rPr>
          <w:rFonts w:ascii="Arial" w:hAnsi="Arial" w:cs="Arial"/>
          <w:sz w:val="22"/>
          <w:szCs w:val="22"/>
          <w:lang w:val="es-CO"/>
        </w:rPr>
        <w:t>a</w:t>
      </w:r>
      <w:r w:rsidR="001A6393">
        <w:rPr>
          <w:rFonts w:ascii="Arial" w:hAnsi="Arial" w:cs="Arial"/>
          <w:sz w:val="22"/>
          <w:szCs w:val="22"/>
          <w:lang w:val="es-CO"/>
        </w:rPr>
        <w:t xml:space="preserve"> 452</w:t>
      </w:r>
      <w:r w:rsidRPr="006969B3">
        <w:rPr>
          <w:rFonts w:ascii="Arial" w:hAnsi="Arial" w:cs="Arial"/>
          <w:sz w:val="22"/>
          <w:szCs w:val="22"/>
          <w:lang w:val="es-CO"/>
        </w:rPr>
        <w:t> del Estatuto Tributario.</w:t>
      </w:r>
    </w:p>
    <w:p w14:paraId="0A84F9A3"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6FDD686A" w14:textId="42A68D3B"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Para los sistemas estratégicos de transporte público una entidad pública, o el agente operador de transporte o sus vinculados podrán operar el sistema de recaudo centralizado, caso en el cual el Ministerio de Transporte reglamentará las condiciones, garantizando la estabilidad jurídica de los actos administrativos expedidos a la </w:t>
      </w:r>
      <w:proofErr w:type="gramStart"/>
      <w:r w:rsidRPr="006969B3">
        <w:rPr>
          <w:rFonts w:ascii="Arial" w:hAnsi="Arial" w:cs="Arial"/>
          <w:sz w:val="22"/>
          <w:szCs w:val="22"/>
          <w:lang w:val="es-CO"/>
        </w:rPr>
        <w:t>entrada en vigencia</w:t>
      </w:r>
      <w:proofErr w:type="gramEnd"/>
      <w:r w:rsidRPr="006969B3">
        <w:rPr>
          <w:rFonts w:ascii="Arial" w:hAnsi="Arial" w:cs="Arial"/>
          <w:sz w:val="22"/>
          <w:szCs w:val="22"/>
          <w:lang w:val="es-CO"/>
        </w:rPr>
        <w:t xml:space="preserve"> de la presente ley por las entidades territoriales.</w:t>
      </w:r>
    </w:p>
    <w:p w14:paraId="2FC2F76C" w14:textId="77777777" w:rsidR="00E73F70" w:rsidRPr="006969B3" w:rsidRDefault="00E73F70" w:rsidP="00F65283">
      <w:pPr>
        <w:pStyle w:val="NormalWeb"/>
        <w:spacing w:before="0" w:beforeAutospacing="0" w:after="0" w:afterAutospacing="0"/>
        <w:jc w:val="both"/>
        <w:rPr>
          <w:rFonts w:ascii="Arial" w:hAnsi="Arial" w:cs="Arial"/>
          <w:sz w:val="22"/>
          <w:szCs w:val="22"/>
          <w:lang w:val="es-CO"/>
        </w:rPr>
      </w:pPr>
    </w:p>
    <w:p w14:paraId="1BFBA278" w14:textId="2A699697"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Cuando existan dos o más agentes operadores de transporte, estos y sus vinculados económicos podrán participar en la operación y administración del sistema de recaudo, siempre y cuando todos ellos conformen un único agente recaudador; cuando no se logre la participación de todos los operadores de transporte en el agente de recaudo, la entidad territorial, el ente gestor o quien estos deleguen deberá adjudicar la operación del servicio de recaudo centralizado mediante licitación pública o convenio interadministrativo.</w:t>
      </w:r>
    </w:p>
    <w:p w14:paraId="53388795" w14:textId="77777777" w:rsidR="00BF3A9E" w:rsidRDefault="00BF3A9E" w:rsidP="00F65283">
      <w:pPr>
        <w:pStyle w:val="NormalWeb"/>
        <w:spacing w:before="0" w:beforeAutospacing="0" w:after="0" w:afterAutospacing="0"/>
        <w:jc w:val="both"/>
        <w:rPr>
          <w:rFonts w:ascii="Arial" w:hAnsi="Arial" w:cs="Arial"/>
          <w:sz w:val="22"/>
          <w:szCs w:val="22"/>
          <w:lang w:val="es-CO"/>
        </w:rPr>
      </w:pPr>
    </w:p>
    <w:p w14:paraId="1F94A818" w14:textId="2894100D"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 autoridad competente cancelará las habilitaciones correspondientes a las empresas de transporte masivo, integrado, estratégico, regional o complementario que no se integren al sistema de recaudo centralizado siempre y cuando los sistemas a integrar hayan sido cofinanciados con recursos de la Nación.</w:t>
      </w:r>
    </w:p>
    <w:p w14:paraId="7BA6327D"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250153AC" w14:textId="659AB888"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La entidad territorial, el ente gestor o quien estos deleguen podrá ostentar la calidad de operador del sistema de recaudo, del sistema de control y gestión de flota y del sistema de información al usuario, siempre y cuando los estudios así lo recomienden. En todo caso se garantizará la estabilidad jurídica de los actos administrativos expedidos a la entrada en vigor de la presente ley por las entidades territoriales. El Gobierno nacional reglamentará las condiciones técnicas, operativas y de seguridad de los sistemas de recaudo en el país.</w:t>
      </w:r>
    </w:p>
    <w:p w14:paraId="3F22A8D2" w14:textId="77777777" w:rsidR="00E73F70" w:rsidRPr="006969B3" w:rsidRDefault="00E73F70" w:rsidP="00F65283">
      <w:pPr>
        <w:pStyle w:val="NormalWeb"/>
        <w:spacing w:before="0" w:beforeAutospacing="0" w:after="0" w:afterAutospacing="0"/>
        <w:jc w:val="both"/>
        <w:rPr>
          <w:rStyle w:val="baj"/>
          <w:rFonts w:ascii="Arial" w:hAnsi="Arial" w:cs="Arial"/>
          <w:sz w:val="22"/>
          <w:szCs w:val="22"/>
          <w:lang w:val="es-CO"/>
        </w:rPr>
      </w:pPr>
    </w:p>
    <w:p w14:paraId="3EF3B4BE" w14:textId="31EBD3A2"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Los agentes recaudadores de transporte público podrán ser habilitados por la autoridad competente para que además de recaudar la tarifa del servicio de transporte público, en sus diferentes modalidades, puedan recaudar el precio de otros productos o servicios afines o conexos a la movilidad. Para el efecto en el patrimonio autónomo o esquema financiero constituido para el recaudo centralizado se deberán generar subcuentas por cada concepto de pago.</w:t>
      </w:r>
    </w:p>
    <w:p w14:paraId="2669ACE6" w14:textId="2FB35842" w:rsidR="00A357C0" w:rsidRPr="006969B3" w:rsidRDefault="00A357C0" w:rsidP="00F65283">
      <w:pPr>
        <w:spacing w:after="0" w:line="240" w:lineRule="auto"/>
        <w:rPr>
          <w:rFonts w:ascii="Arial" w:hAnsi="Arial" w:cs="Arial"/>
          <w:lang w:val="es-CO"/>
        </w:rPr>
      </w:pPr>
    </w:p>
    <w:p w14:paraId="3F1ABF28" w14:textId="20B61944" w:rsidR="00A357C0" w:rsidRPr="006969B3" w:rsidRDefault="00A357C0" w:rsidP="00F65283">
      <w:pPr>
        <w:pStyle w:val="NormalWeb"/>
        <w:spacing w:before="0" w:beforeAutospacing="0" w:after="0" w:afterAutospacing="0"/>
        <w:jc w:val="both"/>
        <w:rPr>
          <w:rFonts w:ascii="Arial" w:hAnsi="Arial" w:cs="Arial"/>
          <w:sz w:val="22"/>
          <w:szCs w:val="22"/>
          <w:lang w:val="es-CO"/>
        </w:rPr>
      </w:pPr>
      <w:bookmarkStart w:id="131" w:name="118"/>
      <w:r w:rsidRPr="006969B3">
        <w:rPr>
          <w:rFonts w:ascii="Arial" w:hAnsi="Arial" w:cs="Arial"/>
          <w:sz w:val="22"/>
          <w:szCs w:val="22"/>
          <w:lang w:val="es-CO"/>
        </w:rPr>
        <w:t>ARTÍCULO 118. NUEVAS FUENTES DE MATERIALES PARA MANTENIMIENTO, MEJORAMIENTO Y REHABILITACIÓN DE VÍAS TERCIARIAS Y PARA EL PROGRAMA “COLOMBIA RURAL”.</w:t>
      </w:r>
      <w:bookmarkEnd w:id="131"/>
      <w:r w:rsidRPr="006969B3">
        <w:rPr>
          <w:rFonts w:ascii="Arial" w:hAnsi="Arial" w:cs="Arial"/>
          <w:sz w:val="22"/>
          <w:szCs w:val="22"/>
          <w:lang w:val="es-CO"/>
        </w:rPr>
        <w:t> En el evento que no utilicen fuentes de material titulado y licenciado ambientalmente para el mantenimiento, mejoramiento y rehabilitación de vías terciarias; previo a la ejecución de las obras, la entidad territorial definirá conjuntamente con la autoridad ambiental regional y la autoridad minera competentes, la ubicación y el volumen estimado de las fuentes de material requerido para el mantenimiento, mejoramiento y rehabilitación de vías terciarias y del programa “Colombia Rural” en el respectivo municipio. Con base en esta información la autoridad ambiental, una vez otorgada la autorización temporal por parte de la autoridad minera competente, procederá a pronunciarse, en un término máximo de dos (2) meses sobre la viabilidad de la licencia ambiental a estas fuentes de materiales, cuya vigencia no podrá ser inferior a la de la autorización minera.</w:t>
      </w:r>
    </w:p>
    <w:p w14:paraId="04F41BE0" w14:textId="77777777" w:rsidR="00D83E14" w:rsidRPr="006969B3" w:rsidRDefault="00D83E14" w:rsidP="00F65283">
      <w:pPr>
        <w:pStyle w:val="NormalWeb"/>
        <w:spacing w:before="0" w:beforeAutospacing="0" w:after="0" w:afterAutospacing="0"/>
        <w:jc w:val="both"/>
        <w:rPr>
          <w:rFonts w:ascii="Arial" w:hAnsi="Arial" w:cs="Arial"/>
          <w:sz w:val="22"/>
          <w:szCs w:val="22"/>
          <w:lang w:val="es-CO"/>
        </w:rPr>
      </w:pPr>
    </w:p>
    <w:p w14:paraId="002445F0" w14:textId="77777777"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El Ministerio de Ambiente y Desarrollo Sostenible expedirá los términos de referencia para la elaboración del estudio de impacto ambiental de la licencia ambiental de que trata el presente artículo, dentro del mes siguiente a la expedición de la presente ley.</w:t>
      </w:r>
    </w:p>
    <w:p w14:paraId="0A9BCAF4" w14:textId="4E0818E5" w:rsidR="00A357C0" w:rsidRPr="006969B3" w:rsidRDefault="00A357C0" w:rsidP="00F65283">
      <w:pPr>
        <w:spacing w:after="0" w:line="240" w:lineRule="auto"/>
        <w:rPr>
          <w:rFonts w:ascii="Arial" w:hAnsi="Arial" w:cs="Arial"/>
          <w:lang w:val="es-CO"/>
        </w:rPr>
      </w:pPr>
    </w:p>
    <w:p w14:paraId="15C5A00D" w14:textId="77777777" w:rsidR="00A357C0" w:rsidRPr="006969B3" w:rsidRDefault="00A357C0" w:rsidP="00F65283">
      <w:pPr>
        <w:pStyle w:val="NormalWeb"/>
        <w:spacing w:before="0" w:beforeAutospacing="0" w:after="0" w:afterAutospacing="0"/>
        <w:jc w:val="both"/>
        <w:rPr>
          <w:rFonts w:ascii="Arial" w:hAnsi="Arial" w:cs="Arial"/>
          <w:sz w:val="22"/>
          <w:szCs w:val="22"/>
          <w:lang w:val="es-CO"/>
        </w:rPr>
      </w:pPr>
      <w:bookmarkStart w:id="132" w:name="119"/>
      <w:r w:rsidRPr="006969B3">
        <w:rPr>
          <w:rFonts w:ascii="Arial" w:hAnsi="Arial" w:cs="Arial"/>
          <w:sz w:val="22"/>
          <w:szCs w:val="22"/>
          <w:lang w:val="es-CO"/>
        </w:rPr>
        <w:t>ARTÍCULO 119. PRIORIZACIÓN PARA PROYECTOS DE INVERSIÓN EN AGUA POTABLE, SANEAMIENTO BÁSICO, VÍAS TERCIARIAS Y ENERGÍA ELÉCTRICA.</w:t>
      </w:r>
      <w:bookmarkEnd w:id="132"/>
      <w:r w:rsidRPr="006969B3">
        <w:rPr>
          <w:rFonts w:ascii="Arial" w:hAnsi="Arial" w:cs="Arial"/>
          <w:sz w:val="22"/>
          <w:szCs w:val="22"/>
          <w:lang w:val="es-CO"/>
        </w:rPr>
        <w:t> A partir de la expedición de la presente ley y durante su vigencia, el Órgano Colegiado de Administración y Decisión PAZ (</w:t>
      </w:r>
      <w:proofErr w:type="spellStart"/>
      <w:r w:rsidRPr="006969B3">
        <w:rPr>
          <w:rFonts w:ascii="Arial" w:hAnsi="Arial" w:cs="Arial"/>
          <w:sz w:val="22"/>
          <w:szCs w:val="22"/>
          <w:lang w:val="es-CO"/>
        </w:rPr>
        <w:t>Ocad</w:t>
      </w:r>
      <w:proofErr w:type="spellEnd"/>
      <w:r w:rsidRPr="006969B3">
        <w:rPr>
          <w:rFonts w:ascii="Arial" w:hAnsi="Arial" w:cs="Arial"/>
          <w:sz w:val="22"/>
          <w:szCs w:val="22"/>
          <w:lang w:val="es-CO"/>
        </w:rPr>
        <w:t xml:space="preserve"> Paz) garantizará la priorización de proyectos para mejorar los índices de cobertura de agua potable, saneamiento básico, desarrollo de vías terciarias y generación y ampliación de cobertura del servicio público de energía eléctrica hasta por la suma de uno punto cinco billones de pesos discriminados así: quinientos mil millones de pesos para agua y saneamiento básico, quinientos mil millones de pesos para vías terciarias y quinientos mil millones de pesos para generación y ampliación y cobertura del servicio público de energía eléctrica. La presente partida corresponde al bienio 2019-2020 del Presupuesto del Sistema General de Regalías y se mantendrá en similar proporción para el bienio 2021-2022.</w:t>
      </w:r>
    </w:p>
    <w:p w14:paraId="216EF50A" w14:textId="77777777" w:rsidR="00D601EF" w:rsidRPr="006969B3" w:rsidRDefault="00D601EF" w:rsidP="00F65283">
      <w:pPr>
        <w:pStyle w:val="NormalWeb"/>
        <w:spacing w:before="0" w:beforeAutospacing="0" w:after="0" w:afterAutospacing="0"/>
        <w:jc w:val="both"/>
        <w:rPr>
          <w:rFonts w:ascii="Arial" w:hAnsi="Arial" w:cs="Arial"/>
          <w:sz w:val="22"/>
          <w:szCs w:val="22"/>
          <w:lang w:val="es-CO"/>
        </w:rPr>
      </w:pPr>
    </w:p>
    <w:p w14:paraId="5999D76C" w14:textId="413CAA32"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 contratación de proyectos para el desarrollo de vías terciarias, se realizará atendiendo las normas vigentes, en particular las Leyes</w:t>
      </w:r>
      <w:r w:rsidR="00BF3A9E">
        <w:rPr>
          <w:rFonts w:ascii="Arial" w:hAnsi="Arial" w:cs="Arial"/>
          <w:sz w:val="22"/>
          <w:szCs w:val="22"/>
          <w:lang w:val="es-CO"/>
        </w:rPr>
        <w:t xml:space="preserve"> 1682</w:t>
      </w:r>
      <w:r w:rsidRPr="006969B3">
        <w:rPr>
          <w:rFonts w:ascii="Arial" w:hAnsi="Arial" w:cs="Arial"/>
          <w:sz w:val="22"/>
          <w:szCs w:val="22"/>
          <w:lang w:val="es-CO"/>
        </w:rPr>
        <w:t xml:space="preserve"> de 2013 </w:t>
      </w:r>
      <w:proofErr w:type="gramStart"/>
      <w:r w:rsidRPr="006969B3">
        <w:rPr>
          <w:rFonts w:ascii="Arial" w:hAnsi="Arial" w:cs="Arial"/>
          <w:sz w:val="22"/>
          <w:szCs w:val="22"/>
          <w:lang w:val="es-CO"/>
        </w:rPr>
        <w:t>y </w:t>
      </w:r>
      <w:r w:rsidR="00BF3A9E">
        <w:rPr>
          <w:rFonts w:ascii="Arial" w:hAnsi="Arial" w:cs="Arial"/>
          <w:sz w:val="22"/>
          <w:szCs w:val="22"/>
          <w:lang w:val="es-CO"/>
        </w:rPr>
        <w:t xml:space="preserve"> 1882</w:t>
      </w:r>
      <w:proofErr w:type="gramEnd"/>
      <w:r w:rsidRPr="006969B3">
        <w:rPr>
          <w:rFonts w:ascii="Arial" w:hAnsi="Arial" w:cs="Arial"/>
          <w:sz w:val="22"/>
          <w:szCs w:val="22"/>
          <w:lang w:val="es-CO"/>
        </w:rPr>
        <w:t> de 2018, y aquellas que las modifiquen o sustituyan.</w:t>
      </w:r>
    </w:p>
    <w:p w14:paraId="5B3C567B" w14:textId="77777777" w:rsidR="00D601EF" w:rsidRPr="006969B3" w:rsidRDefault="00D601EF" w:rsidP="00F65283">
      <w:pPr>
        <w:pStyle w:val="NormalWeb"/>
        <w:spacing w:before="0" w:beforeAutospacing="0" w:after="0" w:afterAutospacing="0"/>
        <w:jc w:val="both"/>
        <w:rPr>
          <w:rFonts w:ascii="Arial" w:hAnsi="Arial" w:cs="Arial"/>
          <w:sz w:val="22"/>
          <w:szCs w:val="22"/>
          <w:lang w:val="es-CO"/>
        </w:rPr>
      </w:pPr>
    </w:p>
    <w:p w14:paraId="7DEA2A7A" w14:textId="65E69DB0"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En la financiación de las iniciativas de desarrollo de </w:t>
      </w:r>
      <w:proofErr w:type="spellStart"/>
      <w:r w:rsidRPr="006969B3">
        <w:rPr>
          <w:rFonts w:ascii="Arial" w:hAnsi="Arial" w:cs="Arial"/>
          <w:sz w:val="22"/>
          <w:szCs w:val="22"/>
          <w:lang w:val="es-CO"/>
        </w:rPr>
        <w:t>que</w:t>
      </w:r>
      <w:proofErr w:type="spellEnd"/>
      <w:r w:rsidRPr="006969B3">
        <w:rPr>
          <w:rFonts w:ascii="Arial" w:hAnsi="Arial" w:cs="Arial"/>
          <w:sz w:val="22"/>
          <w:szCs w:val="22"/>
          <w:lang w:val="es-CO"/>
        </w:rPr>
        <w:t xml:space="preserve"> trata este artículo podrán concurrir diferentes fuentes o mecanismos, entre otros, recursos provenientes de Asociaciones Público - Privadas (APP), obras por impuestos y otros aportes del Presupuesto General de la Nación.</w:t>
      </w:r>
    </w:p>
    <w:p w14:paraId="7541AF5D" w14:textId="77777777" w:rsidR="00D601EF" w:rsidRPr="006969B3" w:rsidRDefault="00D601EF" w:rsidP="00F65283">
      <w:pPr>
        <w:pStyle w:val="NormalWeb"/>
        <w:spacing w:before="0" w:beforeAutospacing="0" w:after="0" w:afterAutospacing="0"/>
        <w:jc w:val="both"/>
        <w:rPr>
          <w:rFonts w:ascii="Arial" w:hAnsi="Arial" w:cs="Arial"/>
          <w:sz w:val="22"/>
          <w:szCs w:val="22"/>
          <w:lang w:val="es-CO"/>
        </w:rPr>
      </w:pPr>
    </w:p>
    <w:p w14:paraId="1B6C838F" w14:textId="649DCFE0"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Para definir la priorización de los proyectos de </w:t>
      </w:r>
      <w:proofErr w:type="spellStart"/>
      <w:r w:rsidRPr="006969B3">
        <w:rPr>
          <w:rFonts w:ascii="Arial" w:hAnsi="Arial" w:cs="Arial"/>
          <w:sz w:val="22"/>
          <w:szCs w:val="22"/>
          <w:lang w:val="es-CO"/>
        </w:rPr>
        <w:t>que</w:t>
      </w:r>
      <w:proofErr w:type="spellEnd"/>
      <w:r w:rsidRPr="006969B3">
        <w:rPr>
          <w:rFonts w:ascii="Arial" w:hAnsi="Arial" w:cs="Arial"/>
          <w:sz w:val="22"/>
          <w:szCs w:val="22"/>
          <w:lang w:val="es-CO"/>
        </w:rPr>
        <w:t xml:space="preserve"> trata el inciso primero del presente artículo, se tendrán en cuenta los criterios establecidos en el Decreto-ley</w:t>
      </w:r>
      <w:r w:rsidR="00681F15">
        <w:rPr>
          <w:rFonts w:ascii="Arial" w:hAnsi="Arial" w:cs="Arial"/>
          <w:sz w:val="22"/>
          <w:szCs w:val="22"/>
          <w:lang w:val="es-CO"/>
        </w:rPr>
        <w:t xml:space="preserve"> 413</w:t>
      </w:r>
      <w:r w:rsidRPr="006969B3">
        <w:rPr>
          <w:rFonts w:ascii="Arial" w:hAnsi="Arial" w:cs="Arial"/>
          <w:sz w:val="22"/>
          <w:szCs w:val="22"/>
          <w:lang w:val="es-CO"/>
        </w:rPr>
        <w:t> del 2018.</w:t>
      </w:r>
    </w:p>
    <w:p w14:paraId="56D578DE" w14:textId="77777777" w:rsidR="00681F15" w:rsidRDefault="00681F15" w:rsidP="00F65283">
      <w:pPr>
        <w:pStyle w:val="NormalWeb"/>
        <w:spacing w:before="0" w:beforeAutospacing="0" w:after="0" w:afterAutospacing="0"/>
        <w:jc w:val="both"/>
        <w:rPr>
          <w:rFonts w:ascii="Arial" w:hAnsi="Arial" w:cs="Arial"/>
          <w:sz w:val="22"/>
          <w:szCs w:val="22"/>
          <w:lang w:val="es-CO"/>
        </w:rPr>
      </w:pPr>
    </w:p>
    <w:p w14:paraId="2CFFB488" w14:textId="153CC16F"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Lo dispuesto en el presente artículo guardará concordancia con el mecanismo de hoja de ruta establecido en el artículo</w:t>
      </w:r>
      <w:r w:rsidR="00BF3A9E">
        <w:rPr>
          <w:rFonts w:ascii="Arial" w:hAnsi="Arial" w:cs="Arial"/>
          <w:sz w:val="22"/>
          <w:szCs w:val="22"/>
          <w:lang w:val="es-CO"/>
        </w:rPr>
        <w:t xml:space="preserve"> 281</w:t>
      </w:r>
      <w:r w:rsidRPr="006969B3">
        <w:rPr>
          <w:rFonts w:ascii="Arial" w:hAnsi="Arial" w:cs="Arial"/>
          <w:sz w:val="22"/>
          <w:szCs w:val="22"/>
          <w:lang w:val="es-CO"/>
        </w:rPr>
        <w:t>de la presente ley.</w:t>
      </w:r>
    </w:p>
    <w:p w14:paraId="68BD85FE" w14:textId="73F166D0" w:rsidR="00A357C0" w:rsidRPr="006969B3" w:rsidRDefault="00A357C0" w:rsidP="00F65283">
      <w:pPr>
        <w:spacing w:after="0" w:line="240" w:lineRule="auto"/>
        <w:rPr>
          <w:rFonts w:ascii="Arial" w:hAnsi="Arial" w:cs="Arial"/>
          <w:lang w:val="es-CO"/>
        </w:rPr>
      </w:pPr>
    </w:p>
    <w:p w14:paraId="49CA5124" w14:textId="77777777" w:rsidR="00A357C0" w:rsidRPr="006969B3" w:rsidRDefault="00A357C0" w:rsidP="00F65283">
      <w:pPr>
        <w:pStyle w:val="NormalWeb"/>
        <w:spacing w:before="0" w:beforeAutospacing="0" w:after="0" w:afterAutospacing="0"/>
        <w:jc w:val="both"/>
        <w:rPr>
          <w:rFonts w:ascii="Arial" w:hAnsi="Arial" w:cs="Arial"/>
          <w:sz w:val="22"/>
          <w:szCs w:val="22"/>
          <w:lang w:val="es-CO"/>
        </w:rPr>
      </w:pPr>
      <w:bookmarkStart w:id="133" w:name="120"/>
      <w:r w:rsidRPr="006969B3">
        <w:rPr>
          <w:rFonts w:ascii="Arial" w:hAnsi="Arial" w:cs="Arial"/>
          <w:sz w:val="22"/>
          <w:szCs w:val="22"/>
          <w:lang w:val="es-CO"/>
        </w:rPr>
        <w:t>ARTÍCULO 120. PERMISOS ESPECIALES Y TEMPORALES DE VEHÍCULOS COMBINADOS DE CARGA (VCC).</w:t>
      </w:r>
      <w:bookmarkEnd w:id="133"/>
      <w:r w:rsidRPr="006969B3">
        <w:rPr>
          <w:rFonts w:ascii="Arial" w:hAnsi="Arial" w:cs="Arial"/>
          <w:sz w:val="22"/>
          <w:szCs w:val="22"/>
          <w:lang w:val="es-CO"/>
        </w:rPr>
        <w:t> El Instituto Nacional de Vías concederá permisos especiales, individuales o colectivos, temporales, con una vigencia máxima de dos (2) años, para el transporte de carga divisible por las vías nacionales, concesionadas o no, con vehículos combinados de carga, de conformidad con los criterios técnicos y jurídicos, determinados por el Ministerio de Transporte y el Instituto Nacional de Vías, relativos a la seguridad vial, infraestructura, movilidad y logística. Tales permisos se concederán por el Instituto Nacional de Vías hasta tanto se establezca la regulación que especifique los criterios definitivos para la operación de los vehículos combinados de carga siempre y cuando los estudios técnicos determinen su viabilidad.</w:t>
      </w:r>
    </w:p>
    <w:p w14:paraId="30F4F010" w14:textId="77777777" w:rsidR="00D601EF" w:rsidRPr="006969B3" w:rsidRDefault="00D601EF" w:rsidP="00F65283">
      <w:pPr>
        <w:pStyle w:val="NormalWeb"/>
        <w:spacing w:before="0" w:beforeAutospacing="0" w:after="0" w:afterAutospacing="0"/>
        <w:jc w:val="both"/>
        <w:rPr>
          <w:rFonts w:ascii="Arial" w:hAnsi="Arial" w:cs="Arial"/>
          <w:sz w:val="22"/>
          <w:szCs w:val="22"/>
          <w:lang w:val="es-CO"/>
        </w:rPr>
      </w:pPr>
    </w:p>
    <w:p w14:paraId="7197B32F" w14:textId="60838793"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Cuando el permiso verse sobre vías concesionadas, se deberá contar con el concepto previo de la Agencia Nacional de Infraestructura.</w:t>
      </w:r>
    </w:p>
    <w:p w14:paraId="63C1FB7F" w14:textId="0F022649" w:rsidR="00A357C0" w:rsidRPr="006969B3" w:rsidRDefault="00A357C0" w:rsidP="00F65283">
      <w:pPr>
        <w:spacing w:after="0" w:line="240" w:lineRule="auto"/>
        <w:rPr>
          <w:rFonts w:ascii="Arial" w:hAnsi="Arial" w:cs="Arial"/>
          <w:lang w:val="es-CO"/>
        </w:rPr>
      </w:pPr>
    </w:p>
    <w:p w14:paraId="23DA26DB" w14:textId="0317EEBD" w:rsidR="00A357C0" w:rsidRPr="006969B3" w:rsidRDefault="00A357C0" w:rsidP="00F65283">
      <w:pPr>
        <w:pStyle w:val="NormalWeb"/>
        <w:spacing w:before="0" w:beforeAutospacing="0" w:after="0" w:afterAutospacing="0"/>
        <w:jc w:val="both"/>
        <w:rPr>
          <w:rFonts w:ascii="Arial" w:hAnsi="Arial" w:cs="Arial"/>
          <w:sz w:val="22"/>
          <w:szCs w:val="22"/>
          <w:lang w:val="es-CO"/>
        </w:rPr>
      </w:pPr>
      <w:bookmarkStart w:id="134" w:name="121"/>
      <w:r w:rsidRPr="006969B3">
        <w:rPr>
          <w:rFonts w:ascii="Arial" w:hAnsi="Arial" w:cs="Arial"/>
          <w:sz w:val="22"/>
          <w:szCs w:val="22"/>
          <w:lang w:val="es-CO"/>
        </w:rPr>
        <w:t>ARTÍCULO 121. VEHÍCULOS CON MATRÍCULA EXTRANJERA EN ZONAS DE FRONTERA CUYO MODELO NO SUPERE EL AÑO 2016.</w:t>
      </w:r>
      <w:bookmarkEnd w:id="134"/>
      <w:r w:rsidRPr="006969B3">
        <w:rPr>
          <w:rFonts w:ascii="Arial" w:hAnsi="Arial" w:cs="Arial"/>
          <w:sz w:val="22"/>
          <w:szCs w:val="22"/>
          <w:lang w:val="es-CO"/>
        </w:rPr>
        <w:t> Los residentes de las Unidades Especiales de Desarrollo Fronterizo (UEDF) de que trata el artículo </w:t>
      </w:r>
      <w:r w:rsidR="00681F15">
        <w:rPr>
          <w:rFonts w:ascii="Arial" w:hAnsi="Arial" w:cs="Arial"/>
          <w:sz w:val="22"/>
          <w:szCs w:val="22"/>
          <w:lang w:val="es-CO"/>
        </w:rPr>
        <w:t>4o</w:t>
      </w:r>
      <w:r w:rsidRPr="006969B3">
        <w:rPr>
          <w:rFonts w:ascii="Arial" w:hAnsi="Arial" w:cs="Arial"/>
          <w:sz w:val="22"/>
          <w:szCs w:val="22"/>
          <w:lang w:val="es-CO"/>
        </w:rPr>
        <w:t xml:space="preserve"> de la Ley 191 de 1995, propietarios o tenedores de vehículos, motocicletas y embarcaciones fluviales </w:t>
      </w:r>
      <w:r w:rsidRPr="006969B3">
        <w:rPr>
          <w:rFonts w:ascii="Arial" w:hAnsi="Arial" w:cs="Arial"/>
          <w:sz w:val="22"/>
          <w:szCs w:val="22"/>
          <w:lang w:val="es-CO"/>
        </w:rPr>
        <w:lastRenderedPageBreak/>
        <w:t>menores, de matrícula del país vecino, cuyo modelo no supere el año 2016, que al 19 de agosto de 2015 hubieren ingresado y se encuentren circulando en la jurisdicción de los departamentos al que pertenecen las UEDF, deberán proceder al registro de dichos bienes ante los municipios de la UEDF o ante las autoridades locales que estos deleguen, dentro de los tres (3) meses siguientes al vencimiento del plazo de que trata el siguiente inciso, con el fin de poder circular de manera legal dentro de la jurisdicción de ese departamento.</w:t>
      </w:r>
    </w:p>
    <w:p w14:paraId="4A1B86C8" w14:textId="77777777" w:rsidR="00D601EF"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Dentro de los treinta (30) días hábiles siguientes a la promulgación de la presente ley, el municipio de la UEDF informará a los interesados el procedimiento para adelantar el registro de que trata el presente artículo, el cual deberá contener como mínimo la siguiente información:</w:t>
      </w:r>
    </w:p>
    <w:p w14:paraId="509DD739" w14:textId="77777777" w:rsidR="00D601EF" w:rsidRPr="006969B3" w:rsidRDefault="00D601EF" w:rsidP="00F65283">
      <w:pPr>
        <w:pStyle w:val="NormalWeb"/>
        <w:spacing w:before="0" w:beforeAutospacing="0" w:after="0" w:afterAutospacing="0"/>
        <w:jc w:val="both"/>
        <w:rPr>
          <w:rFonts w:ascii="Arial" w:hAnsi="Arial" w:cs="Arial"/>
          <w:sz w:val="22"/>
          <w:szCs w:val="22"/>
          <w:lang w:val="es-CO"/>
        </w:rPr>
      </w:pPr>
    </w:p>
    <w:p w14:paraId="4F6B3B3C" w14:textId="1D0E81FF"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 La identificación del propietario o tenedor, indicando el número de identificación correspondiente.</w:t>
      </w:r>
    </w:p>
    <w:p w14:paraId="5A7C3A22" w14:textId="77777777" w:rsidR="00D601EF" w:rsidRPr="006969B3" w:rsidRDefault="00D601EF" w:rsidP="00F65283">
      <w:pPr>
        <w:pStyle w:val="NormalWeb"/>
        <w:spacing w:before="0" w:beforeAutospacing="0" w:after="0" w:afterAutospacing="0"/>
        <w:jc w:val="both"/>
        <w:rPr>
          <w:rFonts w:ascii="Arial" w:hAnsi="Arial" w:cs="Arial"/>
          <w:sz w:val="22"/>
          <w:szCs w:val="22"/>
          <w:lang w:val="es-CO"/>
        </w:rPr>
      </w:pPr>
    </w:p>
    <w:p w14:paraId="5FCC5BB1" w14:textId="52567967"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2. La individualización del bien objeto de registro, indicando cuando aplique para el tipo de bien, el número VIN, el número de serie del motor, o el número de serie que identifique el bien, el número de placa.</w:t>
      </w:r>
    </w:p>
    <w:p w14:paraId="277568B6" w14:textId="77777777" w:rsidR="00D601EF" w:rsidRPr="006969B3" w:rsidRDefault="00D601EF" w:rsidP="00F65283">
      <w:pPr>
        <w:pStyle w:val="NormalWeb"/>
        <w:spacing w:before="0" w:beforeAutospacing="0" w:after="0" w:afterAutospacing="0"/>
        <w:jc w:val="both"/>
        <w:rPr>
          <w:rFonts w:ascii="Arial" w:hAnsi="Arial" w:cs="Arial"/>
          <w:sz w:val="22"/>
          <w:szCs w:val="22"/>
          <w:lang w:val="es-CO"/>
        </w:rPr>
      </w:pPr>
    </w:p>
    <w:p w14:paraId="3DE67F8D" w14:textId="6ACF22C2"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3. Declaración del propietario o tenedor en la que manifieste:</w:t>
      </w:r>
    </w:p>
    <w:p w14:paraId="29872B07" w14:textId="77777777" w:rsidR="00D601EF" w:rsidRPr="006969B3" w:rsidRDefault="00D601EF" w:rsidP="00F65283">
      <w:pPr>
        <w:pStyle w:val="NormalWeb"/>
        <w:spacing w:before="0" w:beforeAutospacing="0" w:after="0" w:afterAutospacing="0"/>
        <w:jc w:val="both"/>
        <w:rPr>
          <w:rFonts w:ascii="Arial" w:hAnsi="Arial" w:cs="Arial"/>
          <w:sz w:val="22"/>
          <w:szCs w:val="22"/>
          <w:lang w:val="es-CO"/>
        </w:rPr>
      </w:pPr>
    </w:p>
    <w:p w14:paraId="4EB80D6D" w14:textId="5E3EC7E3"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3.1. Ser residente en la Unidad Especial de Desarrollo Fronterizo en la que está realizando el registro correspondiente.</w:t>
      </w:r>
    </w:p>
    <w:p w14:paraId="79F81499" w14:textId="77777777" w:rsidR="00D601EF" w:rsidRPr="006969B3" w:rsidRDefault="00D601EF" w:rsidP="00F65283">
      <w:pPr>
        <w:pStyle w:val="NormalWeb"/>
        <w:spacing w:before="0" w:beforeAutospacing="0" w:after="0" w:afterAutospacing="0"/>
        <w:jc w:val="both"/>
        <w:rPr>
          <w:rFonts w:ascii="Arial" w:hAnsi="Arial" w:cs="Arial"/>
          <w:sz w:val="22"/>
          <w:szCs w:val="22"/>
          <w:lang w:val="es-CO"/>
        </w:rPr>
      </w:pPr>
    </w:p>
    <w:p w14:paraId="05E7FA33" w14:textId="418A8409"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3.2. Que el origen del bien objeto de registro es legal.</w:t>
      </w:r>
    </w:p>
    <w:p w14:paraId="2F7623B6" w14:textId="77777777"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Esta declaración se entenderá prestada bajo la gravedad del juramento con la firma del registro correspondiente.</w:t>
      </w:r>
    </w:p>
    <w:p w14:paraId="227EC2F1" w14:textId="77777777" w:rsidR="00D601EF" w:rsidRPr="006969B3" w:rsidRDefault="00D601EF" w:rsidP="00F65283">
      <w:pPr>
        <w:pStyle w:val="NormalWeb"/>
        <w:spacing w:before="0" w:beforeAutospacing="0" w:after="0" w:afterAutospacing="0"/>
        <w:jc w:val="both"/>
        <w:rPr>
          <w:rFonts w:ascii="Arial" w:hAnsi="Arial" w:cs="Arial"/>
          <w:sz w:val="22"/>
          <w:szCs w:val="22"/>
          <w:lang w:val="es-CO"/>
        </w:rPr>
      </w:pPr>
    </w:p>
    <w:p w14:paraId="6244C4E6" w14:textId="3D3B2ECA"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4. Para vehículos y motocicletas deberá acreditar la existencia del Certificado de Revisión Técnico - mecánica y del Seguro Obligatorio de Accidentes de Tránsito, vigentes.</w:t>
      </w:r>
    </w:p>
    <w:p w14:paraId="7D965553" w14:textId="77777777" w:rsidR="00D601EF" w:rsidRPr="006969B3" w:rsidRDefault="00D601EF" w:rsidP="00F65283">
      <w:pPr>
        <w:pStyle w:val="NormalWeb"/>
        <w:spacing w:before="0" w:beforeAutospacing="0" w:after="0" w:afterAutospacing="0"/>
        <w:jc w:val="both"/>
        <w:rPr>
          <w:rFonts w:ascii="Arial" w:hAnsi="Arial" w:cs="Arial"/>
          <w:sz w:val="22"/>
          <w:szCs w:val="22"/>
          <w:lang w:val="es-CO"/>
        </w:rPr>
      </w:pPr>
    </w:p>
    <w:p w14:paraId="263F1E4F" w14:textId="43E9DB7E" w:rsidR="00D601EF"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Los bienes que hayan sido objeto del registro de que trata el presente artículo, no deberán </w:t>
      </w:r>
    </w:p>
    <w:p w14:paraId="034285D9" w14:textId="74095CEE"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ser sometidos al trámite de internación temporal previsto en el Decreto 2229 de 2017 o en las normas que lo modifiquen.</w:t>
      </w:r>
    </w:p>
    <w:p w14:paraId="1BFFEB12" w14:textId="77777777" w:rsidR="00D601EF" w:rsidRPr="006969B3" w:rsidRDefault="00D601EF" w:rsidP="00F65283">
      <w:pPr>
        <w:pStyle w:val="NormalWeb"/>
        <w:spacing w:before="0" w:beforeAutospacing="0" w:after="0" w:afterAutospacing="0"/>
        <w:jc w:val="both"/>
        <w:rPr>
          <w:rStyle w:val="baj"/>
          <w:rFonts w:ascii="Arial" w:hAnsi="Arial" w:cs="Arial"/>
          <w:sz w:val="22"/>
          <w:szCs w:val="22"/>
          <w:lang w:val="es-CO"/>
        </w:rPr>
      </w:pPr>
    </w:p>
    <w:p w14:paraId="2A158497" w14:textId="5E7A7C50"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El Registro de que trata el presente artículo deberá exhibirse ante las autoridades que lo requieran como documento que acredita la circulación legal permanente del bien, dentro de la jurisdicción del respectivo departamento.</w:t>
      </w:r>
    </w:p>
    <w:p w14:paraId="3B633195" w14:textId="77777777" w:rsidR="00D601EF" w:rsidRPr="006969B3" w:rsidRDefault="00D601EF" w:rsidP="00F65283">
      <w:pPr>
        <w:pStyle w:val="NormalWeb"/>
        <w:spacing w:before="0" w:beforeAutospacing="0" w:after="0" w:afterAutospacing="0"/>
        <w:jc w:val="both"/>
        <w:rPr>
          <w:rStyle w:val="baj"/>
          <w:rFonts w:ascii="Arial" w:hAnsi="Arial" w:cs="Arial"/>
          <w:sz w:val="22"/>
          <w:szCs w:val="22"/>
          <w:lang w:val="es-CO"/>
        </w:rPr>
      </w:pPr>
    </w:p>
    <w:p w14:paraId="168C5586" w14:textId="0B544838"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El registro de que trata el presente artículo no determina la propiedad cuando este sea adelantado por el poseedor. Así mismo, no subsana irregularidades en su posesión o eventuales hechos ilícitos que se hayan presentado en su adquisición, y su disposición se encuentra restringida a la circulación del bien dentro de la jurisdicción del departamento en donde se hizo el registro.</w:t>
      </w:r>
    </w:p>
    <w:p w14:paraId="1C4B1B88" w14:textId="77777777" w:rsidR="00D601EF" w:rsidRPr="006969B3" w:rsidRDefault="00D601EF" w:rsidP="00F65283">
      <w:pPr>
        <w:pStyle w:val="NormalWeb"/>
        <w:spacing w:before="0" w:beforeAutospacing="0" w:after="0" w:afterAutospacing="0"/>
        <w:jc w:val="both"/>
        <w:rPr>
          <w:rStyle w:val="baj"/>
          <w:rFonts w:ascii="Arial" w:hAnsi="Arial" w:cs="Arial"/>
          <w:sz w:val="22"/>
          <w:szCs w:val="22"/>
          <w:lang w:val="es-CO"/>
        </w:rPr>
      </w:pPr>
    </w:p>
    <w:p w14:paraId="0FA65DAB" w14:textId="098C1762" w:rsidR="00A357C0" w:rsidRPr="006969B3" w:rsidRDefault="00A357C0" w:rsidP="00D601EF">
      <w:pPr>
        <w:pStyle w:val="NormalWeb"/>
        <w:spacing w:before="0" w:beforeAutospacing="0" w:after="0" w:afterAutospacing="0"/>
        <w:jc w:val="both"/>
        <w:rPr>
          <w:rFonts w:ascii="Arial" w:hAnsi="Arial" w:cs="Arial"/>
          <w:lang w:val="es-CO"/>
        </w:rPr>
      </w:pPr>
      <w:r w:rsidRPr="006969B3">
        <w:rPr>
          <w:rStyle w:val="baj"/>
          <w:rFonts w:ascii="Arial" w:hAnsi="Arial" w:cs="Arial"/>
          <w:sz w:val="22"/>
          <w:szCs w:val="22"/>
          <w:lang w:val="es-CO"/>
        </w:rPr>
        <w:t>PARÁGRAFO 3o.</w:t>
      </w:r>
      <w:r w:rsidRPr="006969B3">
        <w:rPr>
          <w:rFonts w:ascii="Arial" w:hAnsi="Arial" w:cs="Arial"/>
          <w:sz w:val="22"/>
          <w:szCs w:val="22"/>
          <w:lang w:val="es-CO"/>
        </w:rPr>
        <w:t xml:space="preserve"> La Dirección de Impuestos y Aduanas Nacionales podrá aprehender y decomisar los bienes de que trata el presente artículo en los siguientes casos: i) Cuando los vehículos, motocicletas y embarcaciones fluviales menores, de matrícula del país vecino, no cuenten con el registro dentro de los plazos y términos aquí señalados y </w:t>
      </w:r>
      <w:proofErr w:type="spellStart"/>
      <w:r w:rsidRPr="006969B3">
        <w:rPr>
          <w:rFonts w:ascii="Arial" w:hAnsi="Arial" w:cs="Arial"/>
          <w:sz w:val="22"/>
          <w:szCs w:val="22"/>
          <w:lang w:val="es-CO"/>
        </w:rPr>
        <w:t>ii</w:t>
      </w:r>
      <w:proofErr w:type="spellEnd"/>
      <w:r w:rsidRPr="006969B3">
        <w:rPr>
          <w:rFonts w:ascii="Arial" w:hAnsi="Arial" w:cs="Arial"/>
          <w:sz w:val="22"/>
          <w:szCs w:val="22"/>
          <w:lang w:val="es-CO"/>
        </w:rPr>
        <w:t>) cuando se encuentren vehículos, motocicletas y embarcaciones fluviales menores, de matrícula del país vecino, por fuera de la jurisdicción del departamento que fuera señalada en el registro, de que trata este artículo.</w:t>
      </w:r>
      <w:r w:rsidR="00D601EF" w:rsidRPr="006969B3">
        <w:rPr>
          <w:rFonts w:ascii="Arial" w:hAnsi="Arial" w:cs="Arial"/>
          <w:lang w:val="es-CO"/>
        </w:rPr>
        <w:t xml:space="preserve"> </w:t>
      </w:r>
    </w:p>
    <w:p w14:paraId="5E69C319" w14:textId="77777777" w:rsidR="00D83E14" w:rsidRPr="006969B3" w:rsidRDefault="00D83E14" w:rsidP="00D601EF">
      <w:pPr>
        <w:pStyle w:val="NormalWeb"/>
        <w:spacing w:before="0" w:beforeAutospacing="0" w:after="0" w:afterAutospacing="0"/>
        <w:jc w:val="both"/>
        <w:rPr>
          <w:rFonts w:ascii="Arial" w:hAnsi="Arial" w:cs="Arial"/>
          <w:sz w:val="22"/>
          <w:szCs w:val="22"/>
          <w:lang w:val="es-CO"/>
        </w:rPr>
      </w:pPr>
    </w:p>
    <w:p w14:paraId="7C642D61" w14:textId="77777777" w:rsidR="00A357C0" w:rsidRPr="006969B3" w:rsidRDefault="00A357C0" w:rsidP="00F65283">
      <w:pPr>
        <w:pStyle w:val="NormalWeb"/>
        <w:spacing w:before="0" w:beforeAutospacing="0" w:after="0" w:afterAutospacing="0"/>
        <w:jc w:val="both"/>
        <w:rPr>
          <w:rFonts w:ascii="Arial" w:hAnsi="Arial" w:cs="Arial"/>
          <w:sz w:val="22"/>
          <w:szCs w:val="22"/>
          <w:lang w:val="es-CO"/>
        </w:rPr>
      </w:pPr>
      <w:bookmarkStart w:id="135" w:name="122"/>
      <w:r w:rsidRPr="006969B3">
        <w:rPr>
          <w:rFonts w:ascii="Arial" w:hAnsi="Arial" w:cs="Arial"/>
          <w:sz w:val="22"/>
          <w:szCs w:val="22"/>
          <w:lang w:val="es-CO"/>
        </w:rPr>
        <w:t>ARTÍCULO 122. INTERNACIÓN TEMPORAL DE VEHÍCULOS CON MATRÍCULA EXTRANJERA EN ZONAS DE FRONTERA CUYO MODELO SEA AÑO 2017 Y SIGUIENTES.</w:t>
      </w:r>
      <w:bookmarkEnd w:id="135"/>
      <w:r w:rsidRPr="006969B3">
        <w:rPr>
          <w:rFonts w:ascii="Arial" w:hAnsi="Arial" w:cs="Arial"/>
          <w:sz w:val="22"/>
          <w:szCs w:val="22"/>
          <w:lang w:val="es-CO"/>
        </w:rPr>
        <w:t xml:space="preserve"> Lo previsto en el artículo anterior no aplica para vehículos, motocicletas y embarcaciones fluviales menores, de matrícula del país vecino, cuyo modelo sea posterior al año 2016. En consecuencia, los bienes cuyo modelo sea 2017 y posteriores, dentro de los tres (3) meses siguientes a la </w:t>
      </w:r>
      <w:proofErr w:type="gramStart"/>
      <w:r w:rsidRPr="006969B3">
        <w:rPr>
          <w:rFonts w:ascii="Arial" w:hAnsi="Arial" w:cs="Arial"/>
          <w:sz w:val="22"/>
          <w:szCs w:val="22"/>
          <w:lang w:val="es-CO"/>
        </w:rPr>
        <w:t>entrada en vigencia</w:t>
      </w:r>
      <w:proofErr w:type="gramEnd"/>
      <w:r w:rsidRPr="006969B3">
        <w:rPr>
          <w:rFonts w:ascii="Arial" w:hAnsi="Arial" w:cs="Arial"/>
          <w:sz w:val="22"/>
          <w:szCs w:val="22"/>
          <w:lang w:val="es-CO"/>
        </w:rPr>
        <w:t xml:space="preserve"> de la presente ley deberán cumplir los requisitos previstos en el Decreto 2229 de 2017, modificado por el Decreto 2453 de 2018, so pena de la aprehensión y decomiso realizada por la Dirección de Impuestos y Aduanas Nacionales.</w:t>
      </w:r>
    </w:p>
    <w:p w14:paraId="2A2DCE49" w14:textId="0E5E89E9" w:rsidR="00A357C0" w:rsidRPr="006969B3" w:rsidRDefault="00A357C0" w:rsidP="00F65283">
      <w:pPr>
        <w:spacing w:after="0" w:line="240" w:lineRule="auto"/>
        <w:rPr>
          <w:rFonts w:ascii="Arial" w:hAnsi="Arial" w:cs="Arial"/>
          <w:lang w:val="es-CO"/>
        </w:rPr>
      </w:pPr>
    </w:p>
    <w:p w14:paraId="3A4F9DA9" w14:textId="2FFEBE66" w:rsidR="00A357C0" w:rsidRDefault="00A357C0" w:rsidP="00F65283">
      <w:pPr>
        <w:pStyle w:val="NormalWeb"/>
        <w:spacing w:before="0" w:beforeAutospacing="0" w:after="0" w:afterAutospacing="0"/>
        <w:jc w:val="both"/>
        <w:rPr>
          <w:rFonts w:ascii="Arial" w:hAnsi="Arial" w:cs="Arial"/>
          <w:sz w:val="22"/>
          <w:szCs w:val="22"/>
          <w:lang w:val="es-CO"/>
        </w:rPr>
      </w:pPr>
      <w:bookmarkStart w:id="136" w:name="123"/>
      <w:r w:rsidRPr="006969B3">
        <w:rPr>
          <w:rFonts w:ascii="Arial" w:hAnsi="Arial" w:cs="Arial"/>
          <w:sz w:val="22"/>
          <w:szCs w:val="22"/>
          <w:lang w:val="es-CO"/>
        </w:rPr>
        <w:t>ARTÍCULO 123. IMPUESTO DE VEHÍCULOS AUTOMOTORES PARA VEHÍCULOS DE MATRÍCULA EXTRANJERA EN ZONAS DE FRONTERA.</w:t>
      </w:r>
      <w:bookmarkEnd w:id="136"/>
      <w:r w:rsidRPr="006969B3">
        <w:rPr>
          <w:rFonts w:ascii="Arial" w:hAnsi="Arial" w:cs="Arial"/>
          <w:sz w:val="22"/>
          <w:szCs w:val="22"/>
          <w:lang w:val="es-CO"/>
        </w:rPr>
        <w:t> Los vehículos, motocicletas y embarcaciones fluviales menores, de matrícula de un país vecino inscritos en el registro de que trata el artículo</w:t>
      </w:r>
      <w:r w:rsidR="00BF3A9E">
        <w:rPr>
          <w:rFonts w:ascii="Arial" w:hAnsi="Arial" w:cs="Arial"/>
          <w:sz w:val="22"/>
          <w:szCs w:val="22"/>
          <w:lang w:val="es-CO"/>
        </w:rPr>
        <w:t xml:space="preserve"> 121 </w:t>
      </w:r>
      <w:r w:rsidRPr="006969B3">
        <w:rPr>
          <w:rFonts w:ascii="Arial" w:hAnsi="Arial" w:cs="Arial"/>
          <w:sz w:val="22"/>
          <w:szCs w:val="22"/>
          <w:lang w:val="es-CO"/>
        </w:rPr>
        <w:t>de esta ley, y aquellos que se hayan acogido a la medida de internación temporal de que trata el artículo anterior, causarán anualmente, en su totalidad, y a favor de las Unidades Especiales de Desarrollo Fronterizo, el impuesto de vehículos automotores de que trata la Ley</w:t>
      </w:r>
      <w:r w:rsidR="00BF3A9E">
        <w:rPr>
          <w:rFonts w:ascii="Arial" w:hAnsi="Arial" w:cs="Arial"/>
          <w:sz w:val="22"/>
          <w:szCs w:val="22"/>
          <w:lang w:val="es-CO"/>
        </w:rPr>
        <w:t xml:space="preserve"> 488 </w:t>
      </w:r>
      <w:r w:rsidRPr="006969B3">
        <w:rPr>
          <w:rFonts w:ascii="Arial" w:hAnsi="Arial" w:cs="Arial"/>
          <w:sz w:val="22"/>
          <w:szCs w:val="22"/>
          <w:lang w:val="es-CO"/>
        </w:rPr>
        <w:t>de 1998. El Ministerio de Transporte fijará la tabla de avalúo de los vehículos a que se refiere el presente artículo.</w:t>
      </w:r>
    </w:p>
    <w:p w14:paraId="58795A33" w14:textId="77777777" w:rsidR="001B0E49" w:rsidRPr="006969B3" w:rsidRDefault="001B0E49" w:rsidP="00F65283">
      <w:pPr>
        <w:pStyle w:val="NormalWeb"/>
        <w:spacing w:before="0" w:beforeAutospacing="0" w:after="0" w:afterAutospacing="0"/>
        <w:jc w:val="both"/>
        <w:rPr>
          <w:rFonts w:ascii="Arial" w:hAnsi="Arial" w:cs="Arial"/>
          <w:sz w:val="22"/>
          <w:szCs w:val="22"/>
          <w:lang w:val="es-CO"/>
        </w:rPr>
      </w:pPr>
    </w:p>
    <w:p w14:paraId="1B603FC1" w14:textId="7E2BFEC3" w:rsidR="00A357C0" w:rsidRPr="006969B3" w:rsidRDefault="00A357C0" w:rsidP="00F65283">
      <w:pPr>
        <w:pStyle w:val="centrado"/>
        <w:spacing w:before="0" w:beforeAutospacing="0" w:after="0" w:afterAutospacing="0"/>
        <w:jc w:val="center"/>
        <w:rPr>
          <w:rFonts w:ascii="Arial" w:hAnsi="Arial" w:cs="Arial"/>
          <w:b/>
          <w:bCs/>
          <w:sz w:val="22"/>
          <w:szCs w:val="22"/>
          <w:lang w:val="es-CO"/>
        </w:rPr>
      </w:pPr>
      <w:bookmarkStart w:id="137" w:name="SUBSECCIÓN_6-I-II-II"/>
      <w:r w:rsidRPr="006969B3">
        <w:rPr>
          <w:rFonts w:ascii="Arial" w:hAnsi="Arial" w:cs="Arial"/>
          <w:b/>
          <w:bCs/>
          <w:sz w:val="22"/>
          <w:szCs w:val="22"/>
          <w:lang w:val="es-CO"/>
        </w:rPr>
        <w:t>SUBSECCIÓN 6</w:t>
      </w:r>
      <w:bookmarkEnd w:id="137"/>
    </w:p>
    <w:p w14:paraId="19894541" w14:textId="77777777" w:rsidR="00D83E14" w:rsidRPr="006969B3" w:rsidRDefault="00D83E14" w:rsidP="00F65283">
      <w:pPr>
        <w:pStyle w:val="centrado"/>
        <w:spacing w:before="0" w:beforeAutospacing="0" w:after="0" w:afterAutospacing="0"/>
        <w:jc w:val="center"/>
        <w:rPr>
          <w:rFonts w:ascii="Arial" w:hAnsi="Arial" w:cs="Arial"/>
          <w:b/>
          <w:bCs/>
          <w:sz w:val="22"/>
          <w:szCs w:val="22"/>
          <w:lang w:val="es-CO"/>
        </w:rPr>
      </w:pPr>
    </w:p>
    <w:p w14:paraId="567A7D0B" w14:textId="78D967BC" w:rsidR="00A357C0" w:rsidRPr="006969B3" w:rsidRDefault="00A357C0" w:rsidP="00F65283">
      <w:pPr>
        <w:pStyle w:val="centrado"/>
        <w:spacing w:before="0" w:beforeAutospacing="0" w:after="0" w:afterAutospacing="0"/>
        <w:jc w:val="center"/>
        <w:rPr>
          <w:rFonts w:ascii="Arial" w:hAnsi="Arial" w:cs="Arial"/>
          <w:b/>
          <w:bCs/>
          <w:sz w:val="22"/>
          <w:szCs w:val="22"/>
          <w:lang w:val="es-CO"/>
        </w:rPr>
      </w:pPr>
      <w:r w:rsidRPr="006969B3">
        <w:rPr>
          <w:rStyle w:val="baj"/>
          <w:rFonts w:ascii="Arial" w:hAnsi="Arial" w:cs="Arial"/>
          <w:b/>
          <w:bCs/>
          <w:sz w:val="22"/>
          <w:szCs w:val="22"/>
          <w:lang w:val="es-CO"/>
        </w:rPr>
        <w:t>LEGALIDAD - OTRAS DISPOSICIONES</w:t>
      </w:r>
    </w:p>
    <w:p w14:paraId="341BF619" w14:textId="15D6222F" w:rsidR="00A357C0" w:rsidRPr="006969B3" w:rsidRDefault="00A357C0" w:rsidP="00F65283">
      <w:pPr>
        <w:spacing w:after="0" w:line="240" w:lineRule="auto"/>
        <w:rPr>
          <w:rFonts w:ascii="Arial" w:hAnsi="Arial" w:cs="Arial"/>
          <w:lang w:val="es-CO"/>
        </w:rPr>
      </w:pPr>
    </w:p>
    <w:p w14:paraId="2FBCF486" w14:textId="7073751C" w:rsidR="00A357C0" w:rsidRPr="006969B3" w:rsidRDefault="00A357C0" w:rsidP="00F65283">
      <w:pPr>
        <w:pStyle w:val="NormalWeb"/>
        <w:spacing w:before="0" w:beforeAutospacing="0" w:after="0" w:afterAutospacing="0"/>
        <w:jc w:val="both"/>
        <w:rPr>
          <w:rFonts w:ascii="Arial" w:hAnsi="Arial" w:cs="Arial"/>
          <w:sz w:val="22"/>
          <w:szCs w:val="22"/>
          <w:lang w:val="es-CO"/>
        </w:rPr>
      </w:pPr>
      <w:bookmarkStart w:id="138" w:name="124"/>
      <w:r w:rsidRPr="006969B3">
        <w:rPr>
          <w:rFonts w:ascii="Arial" w:hAnsi="Arial" w:cs="Arial"/>
          <w:sz w:val="22"/>
          <w:szCs w:val="22"/>
          <w:lang w:val="es-CO"/>
        </w:rPr>
        <w:t>ARTÍCULO 124. REQUISITOS PARA LA CREACIÓN DE DISTRITOS.</w:t>
      </w:r>
      <w:bookmarkEnd w:id="138"/>
      <w:r w:rsidRPr="006969B3">
        <w:rPr>
          <w:rFonts w:ascii="Arial" w:hAnsi="Arial" w:cs="Arial"/>
          <w:sz w:val="22"/>
          <w:szCs w:val="22"/>
          <w:lang w:val="es-CO"/>
        </w:rPr>
        <w:t> Modifíquese el artículo</w:t>
      </w:r>
      <w:r w:rsidR="00681F15">
        <w:rPr>
          <w:rFonts w:ascii="Arial" w:hAnsi="Arial" w:cs="Arial"/>
          <w:sz w:val="22"/>
          <w:szCs w:val="22"/>
          <w:lang w:val="es-CO"/>
        </w:rPr>
        <w:t xml:space="preserve"> 8o</w:t>
      </w:r>
      <w:r w:rsidRPr="006969B3">
        <w:rPr>
          <w:rFonts w:ascii="Arial" w:hAnsi="Arial" w:cs="Arial"/>
          <w:sz w:val="22"/>
          <w:szCs w:val="22"/>
          <w:lang w:val="es-CO"/>
        </w:rPr>
        <w:t> de la Ley 1617 de 2013, el cual quedará así:</w:t>
      </w:r>
    </w:p>
    <w:p w14:paraId="68305374" w14:textId="77777777" w:rsidR="00D83E14" w:rsidRPr="006969B3" w:rsidRDefault="00D83E14" w:rsidP="00F65283">
      <w:pPr>
        <w:pStyle w:val="NormalWeb"/>
        <w:spacing w:before="0" w:beforeAutospacing="0" w:after="0" w:afterAutospacing="0"/>
        <w:jc w:val="both"/>
        <w:rPr>
          <w:rFonts w:ascii="Arial" w:hAnsi="Arial" w:cs="Arial"/>
          <w:sz w:val="22"/>
          <w:szCs w:val="22"/>
          <w:lang w:val="es-CO"/>
        </w:rPr>
      </w:pPr>
    </w:p>
    <w:p w14:paraId="7EFD918B" w14:textId="36F487E4"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w:t>
      </w:r>
      <w:r w:rsidR="00681F15">
        <w:rPr>
          <w:rFonts w:ascii="Arial" w:hAnsi="Arial" w:cs="Arial"/>
          <w:sz w:val="22"/>
          <w:szCs w:val="22"/>
          <w:lang w:val="es-CO"/>
        </w:rPr>
        <w:t xml:space="preserve"> 8o</w:t>
      </w:r>
      <w:r w:rsidRPr="006969B3">
        <w:rPr>
          <w:rFonts w:ascii="Arial" w:hAnsi="Arial" w:cs="Arial"/>
          <w:sz w:val="22"/>
          <w:szCs w:val="22"/>
          <w:lang w:val="es-CO"/>
        </w:rPr>
        <w:t>. Requisitos para la Creación de Distritos. La ley podrá decretar la conformación de nuevos distritos, siempre que se cumplan las siguientes condiciones:</w:t>
      </w:r>
    </w:p>
    <w:p w14:paraId="7891B857" w14:textId="77777777" w:rsidR="00D601EF" w:rsidRPr="006969B3" w:rsidRDefault="00D601EF" w:rsidP="00F65283">
      <w:pPr>
        <w:pStyle w:val="NormalWeb"/>
        <w:spacing w:before="0" w:beforeAutospacing="0" w:after="0" w:afterAutospacing="0"/>
        <w:jc w:val="both"/>
        <w:rPr>
          <w:rFonts w:ascii="Arial" w:hAnsi="Arial" w:cs="Arial"/>
          <w:sz w:val="22"/>
          <w:szCs w:val="22"/>
          <w:lang w:val="es-CO"/>
        </w:rPr>
      </w:pPr>
    </w:p>
    <w:p w14:paraId="60C56BAB" w14:textId="52EA10C2"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 Contar por lo menos con quinientos mil (500.000) habitantes, según certificación expedida por el Departamento Administrativo Nacional de Estadística (DANE), de acuerdo con el último censo realizado por esta entidad o estar ubicado en zonas costeras, ser capital de departamento, municipio fronterizo o contar con declaratoria de Patrimonio Histórico de la Humanidad por parte de la Unesco.</w:t>
      </w:r>
    </w:p>
    <w:p w14:paraId="59244957" w14:textId="77777777" w:rsidR="00D601EF" w:rsidRPr="006969B3" w:rsidRDefault="00D601EF" w:rsidP="00F65283">
      <w:pPr>
        <w:pStyle w:val="NormalWeb"/>
        <w:spacing w:before="0" w:beforeAutospacing="0" w:after="0" w:afterAutospacing="0"/>
        <w:jc w:val="both"/>
        <w:rPr>
          <w:rFonts w:ascii="Arial" w:hAnsi="Arial" w:cs="Arial"/>
          <w:sz w:val="22"/>
          <w:szCs w:val="22"/>
          <w:lang w:val="es-CO"/>
        </w:rPr>
      </w:pPr>
    </w:p>
    <w:p w14:paraId="10C067CD" w14:textId="0959E7F5"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2. Presentar un documento con la sustentación técnica del potencial para el desarrollo de puertos o para el desarrollo de actividades turísticas, industriales, o económicas de gran relevancia y/o culturales, que acredite la capacidad institucional, de gestión y financiación para el desarrollo de dicha vocación.</w:t>
      </w:r>
    </w:p>
    <w:p w14:paraId="0BAD772A" w14:textId="77777777" w:rsidR="00D601EF" w:rsidRPr="006969B3" w:rsidRDefault="00D601EF" w:rsidP="00F65283">
      <w:pPr>
        <w:pStyle w:val="NormalWeb"/>
        <w:spacing w:before="0" w:beforeAutospacing="0" w:after="0" w:afterAutospacing="0"/>
        <w:jc w:val="both"/>
        <w:rPr>
          <w:rFonts w:ascii="Arial" w:hAnsi="Arial" w:cs="Arial"/>
          <w:sz w:val="22"/>
          <w:szCs w:val="22"/>
          <w:lang w:val="es-CO"/>
        </w:rPr>
      </w:pPr>
    </w:p>
    <w:p w14:paraId="405ACD6F" w14:textId="601E764E"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3. Presentar un análisis de la capacidad fiscal que demuestre su suficiencia para asumir las necesidades institucionales y estructura administrativa asociada a la conformación de localidades.</w:t>
      </w:r>
    </w:p>
    <w:p w14:paraId="487A4B57" w14:textId="77777777" w:rsidR="00D601EF" w:rsidRPr="006969B3" w:rsidRDefault="00D601EF" w:rsidP="00F65283">
      <w:pPr>
        <w:pStyle w:val="NormalWeb"/>
        <w:spacing w:before="0" w:beforeAutospacing="0" w:after="0" w:afterAutospacing="0"/>
        <w:jc w:val="both"/>
        <w:rPr>
          <w:rFonts w:ascii="Arial" w:hAnsi="Arial" w:cs="Arial"/>
          <w:sz w:val="22"/>
          <w:szCs w:val="22"/>
          <w:lang w:val="es-CO"/>
        </w:rPr>
      </w:pPr>
    </w:p>
    <w:p w14:paraId="7687EA5F" w14:textId="071D3422"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4. Presentar los resultados de la diligencia de deslinde efectuada por el Instituto Geográfico Agustín Codazzi (IGAC) de conformidad con lo establecido en el artículo</w:t>
      </w:r>
      <w:r w:rsidR="00BF3A9E">
        <w:rPr>
          <w:rFonts w:ascii="Arial" w:hAnsi="Arial" w:cs="Arial"/>
          <w:sz w:val="22"/>
          <w:szCs w:val="22"/>
          <w:lang w:val="es-CO"/>
        </w:rPr>
        <w:t xml:space="preserve"> 10</w:t>
      </w:r>
      <w:r w:rsidRPr="006969B3">
        <w:rPr>
          <w:rFonts w:ascii="Arial" w:hAnsi="Arial" w:cs="Arial"/>
          <w:sz w:val="22"/>
          <w:szCs w:val="22"/>
          <w:lang w:val="es-CO"/>
        </w:rPr>
        <w:t> de la Ley 1617 de 2013.</w:t>
      </w:r>
    </w:p>
    <w:p w14:paraId="6F98B83C" w14:textId="77777777" w:rsidR="00D601EF" w:rsidRPr="006969B3" w:rsidRDefault="00D601EF" w:rsidP="00F65283">
      <w:pPr>
        <w:pStyle w:val="NormalWeb"/>
        <w:spacing w:before="0" w:beforeAutospacing="0" w:after="0" w:afterAutospacing="0"/>
        <w:jc w:val="both"/>
        <w:rPr>
          <w:rFonts w:ascii="Arial" w:hAnsi="Arial" w:cs="Arial"/>
          <w:sz w:val="22"/>
          <w:szCs w:val="22"/>
          <w:lang w:val="es-CO"/>
        </w:rPr>
      </w:pPr>
    </w:p>
    <w:p w14:paraId="5737308D" w14:textId="16A91509"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5. Contar con concepto previo y favorable sobre la conveniencia de crear el nuevo distrito, emitido por las Comisiones Especiales de Seguimiento al Proceso de Descentralización y </w:t>
      </w:r>
      <w:r w:rsidRPr="006969B3">
        <w:rPr>
          <w:rFonts w:ascii="Arial" w:hAnsi="Arial" w:cs="Arial"/>
          <w:sz w:val="22"/>
          <w:szCs w:val="22"/>
          <w:lang w:val="es-CO"/>
        </w:rPr>
        <w:lastRenderedPageBreak/>
        <w:t>Ordenamiento Territorial del Senado de la República y la Cámara de Representantes, y la Comisión de Ordenamiento Territorial como organismo técnico asesor, o el organismo que haga sus veces, concepto que será sometido a consideración de las Plenarias del Senado de la República y de la Cámara de Representantes, respectivamente.</w:t>
      </w:r>
    </w:p>
    <w:p w14:paraId="57FDE3AE" w14:textId="77777777" w:rsidR="00D601EF" w:rsidRPr="006969B3" w:rsidRDefault="00D601EF" w:rsidP="00F65283">
      <w:pPr>
        <w:pStyle w:val="NormalWeb"/>
        <w:spacing w:before="0" w:beforeAutospacing="0" w:after="0" w:afterAutospacing="0"/>
        <w:jc w:val="both"/>
        <w:rPr>
          <w:rFonts w:ascii="Arial" w:hAnsi="Arial" w:cs="Arial"/>
          <w:sz w:val="22"/>
          <w:szCs w:val="22"/>
          <w:lang w:val="es-CO"/>
        </w:rPr>
      </w:pPr>
    </w:p>
    <w:p w14:paraId="7B4E7CBE" w14:textId="50E0B7F4"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6. Contar con concepto previo y favorable de los concejos municipales.</w:t>
      </w:r>
    </w:p>
    <w:p w14:paraId="0F25F04A" w14:textId="77777777" w:rsidR="00D601EF" w:rsidRPr="006969B3" w:rsidRDefault="00D601EF" w:rsidP="00F65283">
      <w:pPr>
        <w:pStyle w:val="NormalWeb"/>
        <w:spacing w:before="0" w:beforeAutospacing="0" w:after="0" w:afterAutospacing="0"/>
        <w:jc w:val="both"/>
        <w:rPr>
          <w:rStyle w:val="baj"/>
          <w:rFonts w:ascii="Arial" w:hAnsi="Arial" w:cs="Arial"/>
          <w:sz w:val="22"/>
          <w:szCs w:val="22"/>
          <w:lang w:val="es-CO"/>
        </w:rPr>
      </w:pPr>
    </w:p>
    <w:p w14:paraId="0D1477F8" w14:textId="28A64EB3"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TRANSITORIO.</w:t>
      </w:r>
      <w:r w:rsidRPr="006969B3">
        <w:rPr>
          <w:rFonts w:ascii="Arial" w:hAnsi="Arial" w:cs="Arial"/>
          <w:sz w:val="22"/>
          <w:szCs w:val="22"/>
          <w:lang w:val="es-CO"/>
        </w:rPr>
        <w:t xml:space="preserve"> Los distritos conformados con anterioridad a la </w:t>
      </w:r>
      <w:proofErr w:type="gramStart"/>
      <w:r w:rsidRPr="006969B3">
        <w:rPr>
          <w:rFonts w:ascii="Arial" w:hAnsi="Arial" w:cs="Arial"/>
          <w:sz w:val="22"/>
          <w:szCs w:val="22"/>
          <w:lang w:val="es-CO"/>
        </w:rPr>
        <w:t>entrada en vigencia</w:t>
      </w:r>
      <w:proofErr w:type="gramEnd"/>
      <w:r w:rsidRPr="006969B3">
        <w:rPr>
          <w:rFonts w:ascii="Arial" w:hAnsi="Arial" w:cs="Arial"/>
          <w:sz w:val="22"/>
          <w:szCs w:val="22"/>
          <w:lang w:val="es-CO"/>
        </w:rPr>
        <w:t xml:space="preserve"> de la presente ley continuarán sometiéndose a sus respectivas normas de creación. Los municipios que hayan iniciado el trámite para convertirse en Distritos antes del 30 de abril de </w:t>
      </w:r>
      <w:proofErr w:type="gramStart"/>
      <w:r w:rsidRPr="006969B3">
        <w:rPr>
          <w:rFonts w:ascii="Arial" w:hAnsi="Arial" w:cs="Arial"/>
          <w:sz w:val="22"/>
          <w:szCs w:val="22"/>
          <w:lang w:val="es-CO"/>
        </w:rPr>
        <w:t>2019,</w:t>
      </w:r>
      <w:proofErr w:type="gramEnd"/>
      <w:r w:rsidRPr="006969B3">
        <w:rPr>
          <w:rFonts w:ascii="Arial" w:hAnsi="Arial" w:cs="Arial"/>
          <w:sz w:val="22"/>
          <w:szCs w:val="22"/>
          <w:lang w:val="es-CO"/>
        </w:rPr>
        <w:t xml:space="preserve"> seguirán rigiéndose por las normas constitucionales o legales con que iniciaron.</w:t>
      </w:r>
    </w:p>
    <w:p w14:paraId="6F54F0C9" w14:textId="77777777" w:rsidR="00D601EF" w:rsidRPr="006969B3" w:rsidRDefault="00D601EF" w:rsidP="00F65283">
      <w:pPr>
        <w:pStyle w:val="NormalWeb"/>
        <w:spacing w:before="0" w:beforeAutospacing="0" w:after="0" w:afterAutospacing="0"/>
        <w:jc w:val="both"/>
        <w:rPr>
          <w:rFonts w:ascii="Arial" w:hAnsi="Arial" w:cs="Arial"/>
          <w:sz w:val="22"/>
          <w:szCs w:val="22"/>
          <w:lang w:val="es-CO"/>
        </w:rPr>
      </w:pPr>
      <w:bookmarkStart w:id="139" w:name="125"/>
    </w:p>
    <w:p w14:paraId="512B4FFF" w14:textId="5C16BCC6"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125. FUSIÓN Y DENOMINACIÓN.</w:t>
      </w:r>
      <w:bookmarkEnd w:id="139"/>
      <w:r w:rsidRPr="006969B3">
        <w:rPr>
          <w:rFonts w:ascii="Arial" w:hAnsi="Arial" w:cs="Arial"/>
          <w:sz w:val="22"/>
          <w:szCs w:val="22"/>
          <w:lang w:val="es-CO"/>
        </w:rPr>
        <w:t> Fusiónese el Departamento Administrativo de Ciencia, Tecnología e Innovación (Colciencias), en el Ministerio de Ciencia, Tecnología e Innovación, el cual continuará con la misma denominación y como organismo principal de la Administración Pública del Sector Administrativo de Ciencia, Tecnología e Innovación.</w:t>
      </w:r>
    </w:p>
    <w:p w14:paraId="04EC3724" w14:textId="77777777" w:rsidR="00BF3A9E" w:rsidRDefault="00BF3A9E" w:rsidP="00F65283">
      <w:pPr>
        <w:pStyle w:val="NormalWeb"/>
        <w:spacing w:before="0" w:beforeAutospacing="0" w:after="0" w:afterAutospacing="0"/>
        <w:jc w:val="both"/>
        <w:rPr>
          <w:rFonts w:ascii="Arial" w:hAnsi="Arial" w:cs="Arial"/>
          <w:sz w:val="22"/>
          <w:szCs w:val="22"/>
          <w:lang w:val="es-CO"/>
        </w:rPr>
      </w:pPr>
    </w:p>
    <w:p w14:paraId="05A8D563" w14:textId="010E74B6"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Ministerio de Ciencia, Tecnología e Innovación tendrá como domicilio principal la ciudad de Bogotá, D.C., y cumplirá los objetivos señalados en el acto de creación contenido en la Ley</w:t>
      </w:r>
      <w:r w:rsidR="00681F15">
        <w:rPr>
          <w:rFonts w:ascii="Arial" w:hAnsi="Arial" w:cs="Arial"/>
          <w:sz w:val="22"/>
          <w:szCs w:val="22"/>
          <w:lang w:val="es-CO"/>
        </w:rPr>
        <w:t xml:space="preserve"> 1951</w:t>
      </w:r>
      <w:r w:rsidRPr="006969B3">
        <w:rPr>
          <w:rFonts w:ascii="Arial" w:hAnsi="Arial" w:cs="Arial"/>
          <w:sz w:val="22"/>
          <w:szCs w:val="22"/>
          <w:lang w:val="es-CO"/>
        </w:rPr>
        <w:t> de 2019.</w:t>
      </w:r>
    </w:p>
    <w:p w14:paraId="70361E4B" w14:textId="77777777" w:rsidR="00D601EF" w:rsidRPr="006969B3" w:rsidRDefault="00D601EF" w:rsidP="00F65283">
      <w:pPr>
        <w:pStyle w:val="NormalWeb"/>
        <w:spacing w:before="0" w:beforeAutospacing="0" w:after="0" w:afterAutospacing="0"/>
        <w:jc w:val="both"/>
        <w:rPr>
          <w:rFonts w:ascii="Arial" w:hAnsi="Arial" w:cs="Arial"/>
          <w:sz w:val="22"/>
          <w:szCs w:val="22"/>
          <w:lang w:val="es-CO"/>
        </w:rPr>
      </w:pPr>
    </w:p>
    <w:p w14:paraId="390EF216" w14:textId="00FFAFC7"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Gobierno nacional, en ejercicio de las competencias permanentes conferidas mediante la Ley</w:t>
      </w:r>
      <w:r w:rsidR="00681F15">
        <w:rPr>
          <w:rFonts w:ascii="Arial" w:hAnsi="Arial" w:cs="Arial"/>
          <w:sz w:val="22"/>
          <w:szCs w:val="22"/>
          <w:lang w:val="es-CO"/>
        </w:rPr>
        <w:t xml:space="preserve"> 489</w:t>
      </w:r>
      <w:r w:rsidRPr="006969B3">
        <w:rPr>
          <w:rFonts w:ascii="Arial" w:hAnsi="Arial" w:cs="Arial"/>
          <w:sz w:val="22"/>
          <w:szCs w:val="22"/>
          <w:lang w:val="es-CO"/>
        </w:rPr>
        <w:t> de 1998, adoptará la estructura interna y la planta de personal que requiera el Ministerio de Ciencia, Tecnología e Innovación para su funcionamiento. Los actuales servidores de la planta de personal del Departamento Administrativo de Ciencia, Tecnología e Innovación continuarán ejerciendo las atribuciones a ellos asignadas, bajo la misma estructura y percibiendo la misma remuneración, hasta tanto sean incorporados a la planta de personal adoptada de conformidad con lo dispuesto en el presente artículo.</w:t>
      </w:r>
    </w:p>
    <w:p w14:paraId="321989C5" w14:textId="77777777" w:rsidR="00D601EF" w:rsidRPr="006969B3" w:rsidRDefault="00D601EF" w:rsidP="00F65283">
      <w:pPr>
        <w:pStyle w:val="NormalWeb"/>
        <w:spacing w:before="0" w:beforeAutospacing="0" w:after="0" w:afterAutospacing="0"/>
        <w:jc w:val="both"/>
        <w:rPr>
          <w:rFonts w:ascii="Arial" w:hAnsi="Arial" w:cs="Arial"/>
          <w:sz w:val="22"/>
          <w:szCs w:val="22"/>
          <w:lang w:val="es-CO"/>
        </w:rPr>
      </w:pPr>
    </w:p>
    <w:p w14:paraId="0D69F589" w14:textId="7B7AD3BA"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Dentro de lo seis (6) meses siguientes a la expedición de la presente ley, el </w:t>
      </w:r>
      <w:proofErr w:type="gramStart"/>
      <w:r w:rsidRPr="006969B3">
        <w:rPr>
          <w:rFonts w:ascii="Arial" w:hAnsi="Arial" w:cs="Arial"/>
          <w:sz w:val="22"/>
          <w:szCs w:val="22"/>
          <w:lang w:val="es-CO"/>
        </w:rPr>
        <w:t>Director</w:t>
      </w:r>
      <w:proofErr w:type="gramEnd"/>
      <w:r w:rsidRPr="006969B3">
        <w:rPr>
          <w:rFonts w:ascii="Arial" w:hAnsi="Arial" w:cs="Arial"/>
          <w:sz w:val="22"/>
          <w:szCs w:val="22"/>
          <w:lang w:val="es-CO"/>
        </w:rPr>
        <w:t xml:space="preserve"> del Departamento Administrativo de Ciencia, Tecnología e Innovación deberá ordenar y ejecutar las medidas administrativas necesarias, así como la adecuación y operación de los sistemas contables, financieros, de tesorería, almacenes y demás servicios de apoyo, para asegurar la correcta puesta en funcionamiento del Ministerio. Los acuerdos, contratos y convenios vigentes al momento de la expedición de esta ley, suscritos por el Departamento Administrativo de Ciencia, Tecnología e Innovación se entienden subrogados al Ministerio de Ciencia, Tecnología e Innovación, quien continuará con su ejecución en los mismos términos y condiciones, sin que para ello sea necesaria la suscripción de documento adicional alguno.</w:t>
      </w:r>
    </w:p>
    <w:p w14:paraId="7873546D" w14:textId="77777777" w:rsidR="00D601EF" w:rsidRPr="006969B3" w:rsidRDefault="00D601EF" w:rsidP="00F65283">
      <w:pPr>
        <w:pStyle w:val="NormalWeb"/>
        <w:spacing w:before="0" w:beforeAutospacing="0" w:after="0" w:afterAutospacing="0"/>
        <w:jc w:val="both"/>
        <w:rPr>
          <w:rFonts w:ascii="Arial" w:hAnsi="Arial" w:cs="Arial"/>
          <w:sz w:val="22"/>
          <w:szCs w:val="22"/>
          <w:lang w:val="es-CO"/>
        </w:rPr>
      </w:pPr>
    </w:p>
    <w:p w14:paraId="34FD3D72" w14:textId="673507A6"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 partir de la fecha de expedición de la presente ley, se entienden transferidos los derechos y bienes muebles e inmuebles, así como subrogadas las obligaciones en las que sea parte el Departamento Administrativo de Ciencia, Tecnología e Innovación al Ministerio de Ciencia, Tecnología e Innovación, en los mismos términos y condiciones bajo las cuales se encuentran pactadas.</w:t>
      </w:r>
    </w:p>
    <w:p w14:paraId="2B1CF7D5" w14:textId="77777777" w:rsidR="00D601EF" w:rsidRPr="006969B3" w:rsidRDefault="00D601EF" w:rsidP="00F65283">
      <w:pPr>
        <w:pStyle w:val="NormalWeb"/>
        <w:spacing w:before="0" w:beforeAutospacing="0" w:after="0" w:afterAutospacing="0"/>
        <w:jc w:val="both"/>
        <w:rPr>
          <w:rFonts w:ascii="Arial" w:hAnsi="Arial" w:cs="Arial"/>
          <w:sz w:val="22"/>
          <w:szCs w:val="22"/>
          <w:lang w:val="es-CO"/>
        </w:rPr>
      </w:pPr>
    </w:p>
    <w:p w14:paraId="722B0C7D" w14:textId="18C72682"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Los procedimientos administrativos, las acciones constitucionales y, en general, todos los procesos judiciales en los que sea parte el Departamento Administrativo de Ciencia, Tecnología e Innovación continuarán siendo atendidos por el Ministerio de Ciencia, Tecnología e Innovación.</w:t>
      </w:r>
    </w:p>
    <w:p w14:paraId="2492F750" w14:textId="77777777" w:rsidR="00D601EF" w:rsidRPr="006969B3" w:rsidRDefault="00D601EF" w:rsidP="00F65283">
      <w:pPr>
        <w:pStyle w:val="NormalWeb"/>
        <w:spacing w:before="0" w:beforeAutospacing="0" w:after="0" w:afterAutospacing="0"/>
        <w:jc w:val="both"/>
        <w:rPr>
          <w:rFonts w:ascii="Arial" w:hAnsi="Arial" w:cs="Arial"/>
          <w:sz w:val="22"/>
          <w:szCs w:val="22"/>
          <w:lang w:val="es-CO"/>
        </w:rPr>
      </w:pPr>
    </w:p>
    <w:p w14:paraId="788AFB96" w14:textId="115C7F79"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Ministerio de Ciencia, Tecnología e Innovación continuará a cargo del Fondo Nacional de Financiamiento para la Ciencia, la Tecnología y la Innovación, Fondo Francisco José de Caldas y cumpliendo las funciones que en relación con los demás fondos le fueron asignadas por la Constitución y la ley al Departamento Administrativo de Ciencia, Tecnología e Innovación (Colciencias).</w:t>
      </w:r>
    </w:p>
    <w:p w14:paraId="1E545AAB" w14:textId="77777777" w:rsidR="00D601EF" w:rsidRPr="006969B3" w:rsidRDefault="00D601EF" w:rsidP="00F65283">
      <w:pPr>
        <w:pStyle w:val="NormalWeb"/>
        <w:spacing w:before="0" w:beforeAutospacing="0" w:after="0" w:afterAutospacing="0"/>
        <w:jc w:val="both"/>
        <w:rPr>
          <w:rFonts w:ascii="Arial" w:hAnsi="Arial" w:cs="Arial"/>
          <w:sz w:val="22"/>
          <w:szCs w:val="22"/>
          <w:lang w:val="es-CO"/>
        </w:rPr>
      </w:pPr>
    </w:p>
    <w:p w14:paraId="06E2A427" w14:textId="35266DF0"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A partir de la </w:t>
      </w:r>
      <w:proofErr w:type="gramStart"/>
      <w:r w:rsidRPr="006969B3">
        <w:rPr>
          <w:rFonts w:ascii="Arial" w:hAnsi="Arial" w:cs="Arial"/>
          <w:sz w:val="22"/>
          <w:szCs w:val="22"/>
          <w:lang w:val="es-CO"/>
        </w:rPr>
        <w:t>entrada en vigencia</w:t>
      </w:r>
      <w:proofErr w:type="gramEnd"/>
      <w:r w:rsidRPr="006969B3">
        <w:rPr>
          <w:rFonts w:ascii="Arial" w:hAnsi="Arial" w:cs="Arial"/>
          <w:sz w:val="22"/>
          <w:szCs w:val="22"/>
          <w:lang w:val="es-CO"/>
        </w:rPr>
        <w:t xml:space="preserve"> de la presente ley, todas las referencias que hagan las normas vigentes al Departamento Administrativo de Ciencia, Tecnología e Innovación, se entenderán efectuadas al Ministerio de Ciencia, Tecnología e Innovación.</w:t>
      </w:r>
    </w:p>
    <w:p w14:paraId="3FC02CFB" w14:textId="4CF94981"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Para todos los efectos legales, el Ministerio de Ciencia, Tecnología e Innovación creado mediante la </w:t>
      </w:r>
      <w:proofErr w:type="gramStart"/>
      <w:r w:rsidRPr="006969B3">
        <w:rPr>
          <w:rFonts w:ascii="Arial" w:hAnsi="Arial" w:cs="Arial"/>
          <w:sz w:val="22"/>
          <w:szCs w:val="22"/>
          <w:lang w:val="es-CO"/>
        </w:rPr>
        <w:t>Ley </w:t>
      </w:r>
      <w:r w:rsidR="003E632B">
        <w:rPr>
          <w:rFonts w:ascii="Arial" w:hAnsi="Arial" w:cs="Arial"/>
          <w:sz w:val="22"/>
          <w:szCs w:val="22"/>
          <w:lang w:val="es-CO"/>
        </w:rPr>
        <w:t xml:space="preserve"> 1951</w:t>
      </w:r>
      <w:proofErr w:type="gramEnd"/>
      <w:r w:rsidRPr="006969B3">
        <w:rPr>
          <w:rFonts w:ascii="Arial" w:hAnsi="Arial" w:cs="Arial"/>
          <w:sz w:val="22"/>
          <w:szCs w:val="22"/>
          <w:lang w:val="es-CO"/>
        </w:rPr>
        <w:t> de 2019, sustituye al Departamento Administrativo de Ciencia, Tecnología e Innovación.</w:t>
      </w:r>
    </w:p>
    <w:p w14:paraId="4A8A7798" w14:textId="25271ABB" w:rsidR="00A357C0" w:rsidRPr="006969B3" w:rsidRDefault="00A357C0" w:rsidP="00F65283">
      <w:pPr>
        <w:spacing w:after="0" w:line="240" w:lineRule="auto"/>
        <w:rPr>
          <w:rFonts w:ascii="Arial" w:hAnsi="Arial" w:cs="Arial"/>
          <w:lang w:val="es-CO"/>
        </w:rPr>
      </w:pPr>
    </w:p>
    <w:p w14:paraId="3D1AD6F7" w14:textId="2A7F2416" w:rsidR="00A357C0" w:rsidRPr="006969B3" w:rsidRDefault="00A357C0" w:rsidP="00F65283">
      <w:pPr>
        <w:pStyle w:val="NormalWeb"/>
        <w:spacing w:before="0" w:beforeAutospacing="0" w:after="0" w:afterAutospacing="0"/>
        <w:jc w:val="both"/>
        <w:rPr>
          <w:rFonts w:ascii="Arial" w:hAnsi="Arial" w:cs="Arial"/>
          <w:sz w:val="22"/>
          <w:szCs w:val="22"/>
          <w:lang w:val="es-CO"/>
        </w:rPr>
      </w:pPr>
      <w:bookmarkStart w:id="140" w:name="126"/>
      <w:r w:rsidRPr="006969B3">
        <w:rPr>
          <w:rFonts w:ascii="Arial" w:hAnsi="Arial" w:cs="Arial"/>
          <w:sz w:val="22"/>
          <w:szCs w:val="22"/>
          <w:lang w:val="es-CO"/>
        </w:rPr>
        <w:t>ARTÍCULO 126. OBJETIVOS GENERALES Y ESPECÍFICOS DEL MINISTERIO DE CIENCIA, TECNOLOGÍA E INNOVACIÓN.</w:t>
      </w:r>
      <w:bookmarkEnd w:id="140"/>
      <w:r w:rsidRPr="006969B3">
        <w:rPr>
          <w:rFonts w:ascii="Arial" w:hAnsi="Arial" w:cs="Arial"/>
          <w:sz w:val="22"/>
          <w:szCs w:val="22"/>
          <w:lang w:val="es-CO"/>
        </w:rPr>
        <w:t> Modifíquese el artículo</w:t>
      </w:r>
      <w:r w:rsidR="00681F15">
        <w:rPr>
          <w:rFonts w:ascii="Arial" w:hAnsi="Arial" w:cs="Arial"/>
          <w:sz w:val="22"/>
          <w:szCs w:val="22"/>
          <w:lang w:val="es-CO"/>
        </w:rPr>
        <w:t xml:space="preserve"> 2o</w:t>
      </w:r>
      <w:r w:rsidRPr="006969B3">
        <w:rPr>
          <w:rFonts w:ascii="Arial" w:hAnsi="Arial" w:cs="Arial"/>
          <w:sz w:val="22"/>
          <w:szCs w:val="22"/>
          <w:lang w:val="es-CO"/>
        </w:rPr>
        <w:t> de la Ley 1951 de 2019, el cual quedará así:</w:t>
      </w:r>
    </w:p>
    <w:p w14:paraId="74518C2B" w14:textId="77777777" w:rsidR="00D601EF" w:rsidRPr="006969B3" w:rsidRDefault="00D601EF" w:rsidP="00F65283">
      <w:pPr>
        <w:pStyle w:val="NormalWeb"/>
        <w:spacing w:before="0" w:beforeAutospacing="0" w:after="0" w:afterAutospacing="0"/>
        <w:jc w:val="both"/>
        <w:rPr>
          <w:rFonts w:ascii="Arial" w:hAnsi="Arial" w:cs="Arial"/>
          <w:sz w:val="22"/>
          <w:szCs w:val="22"/>
          <w:lang w:val="es-CO"/>
        </w:rPr>
      </w:pPr>
    </w:p>
    <w:p w14:paraId="49B585EA" w14:textId="59190810"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w:t>
      </w:r>
      <w:r w:rsidR="00681F15">
        <w:rPr>
          <w:rFonts w:ascii="Arial" w:hAnsi="Arial" w:cs="Arial"/>
          <w:sz w:val="22"/>
          <w:szCs w:val="22"/>
          <w:lang w:val="es-CO"/>
        </w:rPr>
        <w:t xml:space="preserve"> 2o.</w:t>
      </w:r>
      <w:r w:rsidRPr="006969B3">
        <w:rPr>
          <w:rFonts w:ascii="Arial" w:hAnsi="Arial" w:cs="Arial"/>
          <w:sz w:val="22"/>
          <w:szCs w:val="22"/>
          <w:lang w:val="es-CO"/>
        </w:rPr>
        <w:t xml:space="preserve"> Objetivos generales y específicos. Por medio de la presente ley se reconocen y actualizan los derechos de los ciudadanos y los deberes del Estado en materia del desarrollo del conocimiento científico, tecnológico y de innovación, que consolidan los avances hechos por las Leyes 29 de 1990 y </w:t>
      </w:r>
      <w:r w:rsidR="003E632B">
        <w:rPr>
          <w:rFonts w:ascii="Arial" w:hAnsi="Arial" w:cs="Arial"/>
          <w:sz w:val="22"/>
          <w:szCs w:val="22"/>
          <w:lang w:val="es-CO"/>
        </w:rPr>
        <w:t>1286</w:t>
      </w:r>
      <w:r w:rsidRPr="006969B3">
        <w:rPr>
          <w:rFonts w:ascii="Arial" w:hAnsi="Arial" w:cs="Arial"/>
          <w:sz w:val="22"/>
          <w:szCs w:val="22"/>
          <w:lang w:val="es-CO"/>
        </w:rPr>
        <w:t> de 2009, mediante los siguientes objetivos generales y específicos:</w:t>
      </w:r>
    </w:p>
    <w:p w14:paraId="4D3DADD0" w14:textId="77777777" w:rsidR="00D601EF" w:rsidRPr="006969B3" w:rsidRDefault="00D601EF" w:rsidP="00F65283">
      <w:pPr>
        <w:pStyle w:val="NormalWeb"/>
        <w:spacing w:before="0" w:beforeAutospacing="0" w:after="0" w:afterAutospacing="0"/>
        <w:jc w:val="both"/>
        <w:rPr>
          <w:rFonts w:ascii="Arial" w:hAnsi="Arial" w:cs="Arial"/>
          <w:sz w:val="22"/>
          <w:szCs w:val="22"/>
          <w:lang w:val="es-CO"/>
        </w:rPr>
      </w:pPr>
    </w:p>
    <w:p w14:paraId="53DF4716" w14:textId="777B38C4"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OBJETIVOS GENERALES</w:t>
      </w:r>
    </w:p>
    <w:p w14:paraId="47174365" w14:textId="77777777" w:rsidR="00D601EF" w:rsidRPr="006969B3" w:rsidRDefault="00D601EF" w:rsidP="00F65283">
      <w:pPr>
        <w:pStyle w:val="NormalWeb"/>
        <w:spacing w:before="0" w:beforeAutospacing="0" w:after="0" w:afterAutospacing="0"/>
        <w:jc w:val="both"/>
        <w:rPr>
          <w:rFonts w:ascii="Arial" w:hAnsi="Arial" w:cs="Arial"/>
          <w:sz w:val="22"/>
          <w:szCs w:val="22"/>
          <w:lang w:val="es-CO"/>
        </w:rPr>
      </w:pPr>
    </w:p>
    <w:p w14:paraId="37B6F21B" w14:textId="5241F315"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 Formular la política pública de ciencia, tecnología e innovación del país.</w:t>
      </w:r>
    </w:p>
    <w:p w14:paraId="18628394" w14:textId="77777777" w:rsidR="00D601EF" w:rsidRPr="006969B3" w:rsidRDefault="00D601EF" w:rsidP="00F65283">
      <w:pPr>
        <w:pStyle w:val="NormalWeb"/>
        <w:spacing w:before="0" w:beforeAutospacing="0" w:after="0" w:afterAutospacing="0"/>
        <w:jc w:val="both"/>
        <w:rPr>
          <w:rFonts w:ascii="Arial" w:hAnsi="Arial" w:cs="Arial"/>
          <w:sz w:val="22"/>
          <w:szCs w:val="22"/>
          <w:lang w:val="es-CO"/>
        </w:rPr>
      </w:pPr>
    </w:p>
    <w:p w14:paraId="0072CADB" w14:textId="62816091"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2. Establecer estrategias de transferencia y apropiación Social de la Ciencia, la Tecnología, la Innovación para la consolidación de una sociedad basada en el conocimiento.</w:t>
      </w:r>
    </w:p>
    <w:p w14:paraId="42ECA08A" w14:textId="77777777" w:rsidR="00D601EF" w:rsidRPr="006969B3" w:rsidRDefault="00D601EF" w:rsidP="00F65283">
      <w:pPr>
        <w:pStyle w:val="NormalWeb"/>
        <w:spacing w:before="0" w:beforeAutospacing="0" w:after="0" w:afterAutospacing="0"/>
        <w:jc w:val="both"/>
        <w:rPr>
          <w:rFonts w:ascii="Arial" w:hAnsi="Arial" w:cs="Arial"/>
          <w:sz w:val="22"/>
          <w:szCs w:val="22"/>
          <w:lang w:val="es-CO"/>
        </w:rPr>
      </w:pPr>
    </w:p>
    <w:p w14:paraId="4EDCED41" w14:textId="165E83A2"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3. Impulsar el desarrollo científico, tecnológico y la innovación de la Nación, programados en la Constitución Política de 1991 y en el Plan Nacional de Desarrollo, de acuerdo con las orientaciones trazadas por el Gobierno nacional.</w:t>
      </w:r>
    </w:p>
    <w:p w14:paraId="0C5FA3A3" w14:textId="77777777" w:rsidR="00D601EF" w:rsidRPr="006969B3" w:rsidRDefault="00D601EF" w:rsidP="00F65283">
      <w:pPr>
        <w:pStyle w:val="NormalWeb"/>
        <w:spacing w:before="0" w:beforeAutospacing="0" w:after="0" w:afterAutospacing="0"/>
        <w:jc w:val="both"/>
        <w:rPr>
          <w:rFonts w:ascii="Arial" w:hAnsi="Arial" w:cs="Arial"/>
          <w:sz w:val="22"/>
          <w:szCs w:val="22"/>
          <w:lang w:val="es-CO"/>
        </w:rPr>
      </w:pPr>
    </w:p>
    <w:p w14:paraId="0C86AB36" w14:textId="0AD79AF0"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4. Garantizar las condiciones necesarias para que los desarrollos científicos, tecnológicos e innovadores, se relacionen con el sector productivo y favorezcan la productividad y la competitividad.</w:t>
      </w:r>
    </w:p>
    <w:p w14:paraId="67FA882E" w14:textId="77777777" w:rsidR="00D601EF" w:rsidRPr="006969B3" w:rsidRDefault="00D601EF" w:rsidP="00F65283">
      <w:pPr>
        <w:pStyle w:val="NormalWeb"/>
        <w:spacing w:before="0" w:beforeAutospacing="0" w:after="0" w:afterAutospacing="0"/>
        <w:jc w:val="both"/>
        <w:rPr>
          <w:rFonts w:ascii="Arial" w:hAnsi="Arial" w:cs="Arial"/>
          <w:sz w:val="22"/>
          <w:szCs w:val="22"/>
          <w:lang w:val="es-CO"/>
        </w:rPr>
      </w:pPr>
    </w:p>
    <w:p w14:paraId="2562F855" w14:textId="4C154B67"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5. Velar por la consolidación y fortalecimiento del Sistema Nacional de Ciencia, Tecnología e Innovación (SNCTI).</w:t>
      </w:r>
    </w:p>
    <w:p w14:paraId="7519D8CD" w14:textId="77777777" w:rsidR="00D601EF" w:rsidRPr="006969B3" w:rsidRDefault="00D601EF" w:rsidP="00F65283">
      <w:pPr>
        <w:pStyle w:val="NormalWeb"/>
        <w:spacing w:before="0" w:beforeAutospacing="0" w:after="0" w:afterAutospacing="0"/>
        <w:jc w:val="both"/>
        <w:rPr>
          <w:rFonts w:ascii="Arial" w:hAnsi="Arial" w:cs="Arial"/>
          <w:sz w:val="22"/>
          <w:szCs w:val="22"/>
          <w:lang w:val="es-CO"/>
        </w:rPr>
      </w:pPr>
    </w:p>
    <w:p w14:paraId="60DD93D1" w14:textId="11473DC8" w:rsidR="00A357C0" w:rsidRPr="006969B3" w:rsidRDefault="00A357C0" w:rsidP="00D83E14">
      <w:pPr>
        <w:pStyle w:val="NormalWeb"/>
        <w:spacing w:before="0" w:beforeAutospacing="0" w:after="0" w:afterAutospacing="0"/>
        <w:jc w:val="center"/>
        <w:rPr>
          <w:rFonts w:ascii="Arial" w:hAnsi="Arial" w:cs="Arial"/>
          <w:b/>
          <w:bCs/>
          <w:sz w:val="22"/>
          <w:szCs w:val="22"/>
          <w:lang w:val="es-CO"/>
        </w:rPr>
      </w:pPr>
      <w:r w:rsidRPr="006969B3">
        <w:rPr>
          <w:rFonts w:ascii="Arial" w:hAnsi="Arial" w:cs="Arial"/>
          <w:b/>
          <w:bCs/>
          <w:sz w:val="22"/>
          <w:szCs w:val="22"/>
          <w:lang w:val="es-CO"/>
        </w:rPr>
        <w:t>OBJETIVOS ESPECÍFICOS</w:t>
      </w:r>
    </w:p>
    <w:p w14:paraId="234F434A" w14:textId="77777777" w:rsidR="00D601EF" w:rsidRPr="006969B3" w:rsidRDefault="00D601EF" w:rsidP="00F65283">
      <w:pPr>
        <w:pStyle w:val="NormalWeb"/>
        <w:spacing w:before="0" w:beforeAutospacing="0" w:after="0" w:afterAutospacing="0"/>
        <w:jc w:val="both"/>
        <w:rPr>
          <w:rFonts w:ascii="Arial" w:hAnsi="Arial" w:cs="Arial"/>
          <w:sz w:val="22"/>
          <w:szCs w:val="22"/>
          <w:lang w:val="es-CO"/>
        </w:rPr>
      </w:pPr>
    </w:p>
    <w:p w14:paraId="2F7CA8F2" w14:textId="7B9F24AF"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 Fortalecer una cultura basada en la generación, apropiación y divulgación del conocimiento y la investigación científica, el desarrollo tecnológico, la innovación y el aprendizaje permanente.</w:t>
      </w:r>
    </w:p>
    <w:p w14:paraId="377E804C" w14:textId="77777777" w:rsidR="00D601EF" w:rsidRPr="006969B3" w:rsidRDefault="00D601EF" w:rsidP="00F65283">
      <w:pPr>
        <w:pStyle w:val="NormalWeb"/>
        <w:spacing w:before="0" w:beforeAutospacing="0" w:after="0" w:afterAutospacing="0"/>
        <w:jc w:val="both"/>
        <w:rPr>
          <w:rFonts w:ascii="Arial" w:hAnsi="Arial" w:cs="Arial"/>
          <w:sz w:val="22"/>
          <w:szCs w:val="22"/>
          <w:lang w:val="es-CO"/>
        </w:rPr>
      </w:pPr>
    </w:p>
    <w:p w14:paraId="5C6A1498" w14:textId="32D52F26"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2. Definir las bases para la formulación de un Plan Nacional de Ciencia, Tecnología e Innovación.</w:t>
      </w:r>
    </w:p>
    <w:p w14:paraId="041467B6" w14:textId="77777777" w:rsidR="00D601EF" w:rsidRPr="006969B3" w:rsidRDefault="00D601EF" w:rsidP="00F65283">
      <w:pPr>
        <w:pStyle w:val="NormalWeb"/>
        <w:spacing w:before="0" w:beforeAutospacing="0" w:after="0" w:afterAutospacing="0"/>
        <w:jc w:val="both"/>
        <w:rPr>
          <w:rFonts w:ascii="Arial" w:hAnsi="Arial" w:cs="Arial"/>
          <w:sz w:val="22"/>
          <w:szCs w:val="22"/>
          <w:lang w:val="es-CO"/>
        </w:rPr>
      </w:pPr>
    </w:p>
    <w:p w14:paraId="6CA4EC66" w14:textId="51E2907F"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lastRenderedPageBreak/>
        <w:t>3. Incorporar la Ciencia, Tecnología e Innovación, como ejes transversales de la política económica y social del país.</w:t>
      </w:r>
    </w:p>
    <w:p w14:paraId="7BCE477A" w14:textId="77777777" w:rsidR="00D83E14" w:rsidRPr="006969B3" w:rsidRDefault="00D83E14" w:rsidP="00F65283">
      <w:pPr>
        <w:pStyle w:val="NormalWeb"/>
        <w:spacing w:before="0" w:beforeAutospacing="0" w:after="0" w:afterAutospacing="0"/>
        <w:jc w:val="both"/>
        <w:rPr>
          <w:rFonts w:ascii="Arial" w:hAnsi="Arial" w:cs="Arial"/>
          <w:sz w:val="22"/>
          <w:szCs w:val="22"/>
          <w:lang w:val="es-CO"/>
        </w:rPr>
      </w:pPr>
    </w:p>
    <w:p w14:paraId="0E0DF573" w14:textId="77777777"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4. Fortalecer el Sistema Nacional de Ciencia, Tecnología e Innovación (SNCTI), otorgando al nuevo Ministerio el liderazgo que conlleve a la óptima articulación de las organizaciones públicas y privadas, regionales, nacionales e internacionales, que permitan el desarrollo de una sociedad del conocimiento.</w:t>
      </w:r>
    </w:p>
    <w:p w14:paraId="03337DF7" w14:textId="77777777" w:rsidR="00D601EF" w:rsidRPr="006969B3" w:rsidRDefault="00D601EF" w:rsidP="00F65283">
      <w:pPr>
        <w:pStyle w:val="NormalWeb"/>
        <w:spacing w:before="0" w:beforeAutospacing="0" w:after="0" w:afterAutospacing="0"/>
        <w:jc w:val="both"/>
        <w:rPr>
          <w:rFonts w:ascii="Arial" w:hAnsi="Arial" w:cs="Arial"/>
          <w:sz w:val="22"/>
          <w:szCs w:val="22"/>
          <w:lang w:val="es-CO"/>
        </w:rPr>
      </w:pPr>
    </w:p>
    <w:p w14:paraId="488E01F0" w14:textId="1DDB5AB4"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5. Definir las instancias e instrumentos administrativos y financieros por medio de los cuales se promueve la destinación de recursos públicos y privados al fomento de la Ciencia, Tecnología e Innovación.</w:t>
      </w:r>
    </w:p>
    <w:p w14:paraId="27FB97CF" w14:textId="77777777" w:rsidR="00D601EF" w:rsidRPr="006969B3" w:rsidRDefault="00D601EF" w:rsidP="00F65283">
      <w:pPr>
        <w:pStyle w:val="NormalWeb"/>
        <w:spacing w:before="0" w:beforeAutospacing="0" w:after="0" w:afterAutospacing="0"/>
        <w:jc w:val="both"/>
        <w:rPr>
          <w:rFonts w:ascii="Arial" w:hAnsi="Arial" w:cs="Arial"/>
          <w:sz w:val="22"/>
          <w:szCs w:val="22"/>
          <w:lang w:val="es-CO"/>
        </w:rPr>
      </w:pPr>
    </w:p>
    <w:p w14:paraId="0AED20C5" w14:textId="697426A6"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6. Fortalecer la capacidad de transferencia de la tecnología producida en las universidades y centros de investigación y desarrollo tecnológico en beneficio del sector productivo nacional, a través del mejoramiento de la conectividad de las redes académicas de investigación y educación.</w:t>
      </w:r>
    </w:p>
    <w:p w14:paraId="455FAE5F" w14:textId="77777777" w:rsidR="00D601EF" w:rsidRPr="006969B3" w:rsidRDefault="00D601EF" w:rsidP="00F65283">
      <w:pPr>
        <w:pStyle w:val="NormalWeb"/>
        <w:spacing w:before="0" w:beforeAutospacing="0" w:after="0" w:afterAutospacing="0"/>
        <w:jc w:val="both"/>
        <w:rPr>
          <w:rFonts w:ascii="Arial" w:hAnsi="Arial" w:cs="Arial"/>
          <w:sz w:val="22"/>
          <w:szCs w:val="22"/>
          <w:lang w:val="es-CO"/>
        </w:rPr>
      </w:pPr>
    </w:p>
    <w:p w14:paraId="460ECB1B" w14:textId="79FBA115"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7. Articular y optimizar las instancias de liderazgo, coordinación y ejecución del Gobierno nacional y la participación de los diferentes actores de la política de Ciencia, Tecnología e Innovación.</w:t>
      </w:r>
    </w:p>
    <w:p w14:paraId="656C3A25" w14:textId="77777777" w:rsidR="00D601EF" w:rsidRPr="006969B3" w:rsidRDefault="00D601EF" w:rsidP="00F65283">
      <w:pPr>
        <w:pStyle w:val="NormalWeb"/>
        <w:spacing w:before="0" w:beforeAutospacing="0" w:after="0" w:afterAutospacing="0"/>
        <w:jc w:val="both"/>
        <w:rPr>
          <w:rFonts w:ascii="Arial" w:hAnsi="Arial" w:cs="Arial"/>
          <w:sz w:val="22"/>
          <w:szCs w:val="22"/>
          <w:lang w:val="es-CO"/>
        </w:rPr>
      </w:pPr>
    </w:p>
    <w:p w14:paraId="4092A4B9" w14:textId="02B14337"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8. Fortalecer el desarrollo regional a través de políticas integrales de descentralización de las actividades científicas, de desarrollo tecnológico y de innovación.</w:t>
      </w:r>
    </w:p>
    <w:p w14:paraId="7B19E79F" w14:textId="77777777" w:rsidR="00D601EF" w:rsidRPr="006969B3" w:rsidRDefault="00D601EF" w:rsidP="00F65283">
      <w:pPr>
        <w:pStyle w:val="NormalWeb"/>
        <w:spacing w:before="0" w:beforeAutospacing="0" w:after="0" w:afterAutospacing="0"/>
        <w:jc w:val="both"/>
        <w:rPr>
          <w:rFonts w:ascii="Arial" w:hAnsi="Arial" w:cs="Arial"/>
          <w:sz w:val="22"/>
          <w:szCs w:val="22"/>
          <w:lang w:val="es-CO"/>
        </w:rPr>
      </w:pPr>
    </w:p>
    <w:p w14:paraId="54C625D9" w14:textId="03FF7AE2"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9. Fortalecer la internacionalización de las actividades científicas, de desarrollo tecnológico y de innovación, de acuerdo con las dinámicas internacionales.</w:t>
      </w:r>
    </w:p>
    <w:p w14:paraId="0C72D62D" w14:textId="77777777" w:rsidR="00D601EF" w:rsidRPr="006969B3" w:rsidRDefault="00D601EF" w:rsidP="00F65283">
      <w:pPr>
        <w:pStyle w:val="NormalWeb"/>
        <w:spacing w:before="0" w:beforeAutospacing="0" w:after="0" w:afterAutospacing="0"/>
        <w:jc w:val="both"/>
        <w:rPr>
          <w:rFonts w:ascii="Arial" w:hAnsi="Arial" w:cs="Arial"/>
          <w:sz w:val="22"/>
          <w:szCs w:val="22"/>
          <w:lang w:val="es-CO"/>
        </w:rPr>
      </w:pPr>
    </w:p>
    <w:p w14:paraId="50A6CB1A" w14:textId="2BD7AF75"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10. Orientar el fomento de actividades de ciencia, tecnología e innovación hacia el mejoramiento de la competitividad, estableciendo vínculos desde el Sistema Nacional de Ciencia, Tecnología e Innovación (SNCTI), con otros sistemas tales como el Sistema Nacional de Innovación Agropecuaria SNIA), el Sistema Nacional Ambiental (SINA), el sistema educativo, entre otros, en el marco del Sistema Nacional de Competitividad (SNC).</w:t>
      </w:r>
    </w:p>
    <w:p w14:paraId="0D751475" w14:textId="77777777" w:rsidR="00D601EF" w:rsidRPr="006969B3" w:rsidRDefault="00D601EF" w:rsidP="00F65283">
      <w:pPr>
        <w:pStyle w:val="NormalWeb"/>
        <w:spacing w:before="0" w:beforeAutospacing="0" w:after="0" w:afterAutospacing="0"/>
        <w:jc w:val="both"/>
        <w:rPr>
          <w:rFonts w:ascii="Arial" w:hAnsi="Arial" w:cs="Arial"/>
          <w:sz w:val="22"/>
          <w:szCs w:val="22"/>
          <w:lang w:val="es-CO"/>
        </w:rPr>
      </w:pPr>
    </w:p>
    <w:p w14:paraId="29CA730C" w14:textId="2C8F3871" w:rsidR="00A357C0" w:rsidRPr="006969B3" w:rsidRDefault="00A357C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11. Establecer disposiciones generales que conlleven al fortalecimiento del conocimiento científico y el desarrollo de la innovación para el efectivo cumplimiento de la presente ley.</w:t>
      </w:r>
    </w:p>
    <w:p w14:paraId="56AC5B97" w14:textId="5F9E71F7" w:rsidR="00A357C0" w:rsidRPr="006969B3" w:rsidRDefault="00A357C0" w:rsidP="00F65283">
      <w:pPr>
        <w:spacing w:after="0" w:line="240" w:lineRule="auto"/>
        <w:rPr>
          <w:rFonts w:ascii="Arial" w:hAnsi="Arial" w:cs="Arial"/>
          <w:lang w:val="es-CO"/>
        </w:rPr>
      </w:pPr>
    </w:p>
    <w:p w14:paraId="2D428D98" w14:textId="77777777" w:rsidR="00A357C0" w:rsidRPr="006969B3" w:rsidRDefault="00A357C0" w:rsidP="00F65283">
      <w:pPr>
        <w:pStyle w:val="NormalWeb"/>
        <w:spacing w:before="0" w:beforeAutospacing="0" w:after="0" w:afterAutospacing="0"/>
        <w:jc w:val="both"/>
        <w:rPr>
          <w:rFonts w:ascii="Arial" w:hAnsi="Arial" w:cs="Arial"/>
          <w:sz w:val="22"/>
          <w:szCs w:val="22"/>
          <w:lang w:val="es-CO"/>
        </w:rPr>
      </w:pPr>
      <w:bookmarkStart w:id="141" w:name="127"/>
      <w:r w:rsidRPr="006969B3">
        <w:rPr>
          <w:rFonts w:ascii="Arial" w:hAnsi="Arial" w:cs="Arial"/>
          <w:sz w:val="22"/>
          <w:szCs w:val="22"/>
          <w:lang w:val="es-CO"/>
        </w:rPr>
        <w:t>ARTÍCULO 127. LIBERTAD RELIGIOSA, DE CULTOS Y CONCIENCIA.</w:t>
      </w:r>
      <w:bookmarkEnd w:id="141"/>
      <w:r w:rsidRPr="006969B3">
        <w:rPr>
          <w:rFonts w:ascii="Arial" w:hAnsi="Arial" w:cs="Arial"/>
          <w:sz w:val="22"/>
          <w:szCs w:val="22"/>
          <w:lang w:val="es-CO"/>
        </w:rPr>
        <w:t xml:space="preserve"> El Gobierno nacional con la coordinación del Ministerio del Interior, emprenderá acciones que promuevan la articulación intersectorial, interinstitucional y territorial para la garantía y goce efectivo del ejercicio del derecho a la libertad religiosa, de cultos y conciencia en el territorio nacional. Para el efecto, promoverá e impulsará la participación de los representantes de las entidades religiosas, el reconocimiento de </w:t>
      </w:r>
      <w:proofErr w:type="gramStart"/>
      <w:r w:rsidRPr="006969B3">
        <w:rPr>
          <w:rFonts w:ascii="Arial" w:hAnsi="Arial" w:cs="Arial"/>
          <w:sz w:val="22"/>
          <w:szCs w:val="22"/>
          <w:lang w:val="es-CO"/>
        </w:rPr>
        <w:t>las mismas</w:t>
      </w:r>
      <w:proofErr w:type="gramEnd"/>
      <w:r w:rsidRPr="006969B3">
        <w:rPr>
          <w:rFonts w:ascii="Arial" w:hAnsi="Arial" w:cs="Arial"/>
          <w:sz w:val="22"/>
          <w:szCs w:val="22"/>
          <w:lang w:val="es-CO"/>
        </w:rPr>
        <w:t>, la garantía del libre ejercicio de estos derechos y realizará las acciones que permitan determinar el impacto social de las organizaciones y entidades religiosas, conforme a la Constitución y la ley.</w:t>
      </w:r>
    </w:p>
    <w:p w14:paraId="3F4DACB6" w14:textId="1A990A46" w:rsidR="47D2FA32" w:rsidRPr="006969B3" w:rsidRDefault="47D2FA32" w:rsidP="00F65283">
      <w:pPr>
        <w:pStyle w:val="NormalWeb"/>
        <w:spacing w:before="0" w:beforeAutospacing="0" w:after="0" w:afterAutospacing="0"/>
        <w:jc w:val="both"/>
        <w:rPr>
          <w:rFonts w:ascii="Arial" w:hAnsi="Arial" w:cs="Arial"/>
          <w:sz w:val="22"/>
          <w:szCs w:val="22"/>
          <w:lang w:val="es-CO" w:eastAsia="es-CO"/>
        </w:rPr>
      </w:pPr>
    </w:p>
    <w:p w14:paraId="182B52A6" w14:textId="31E83032" w:rsidR="1A2A99EF" w:rsidRPr="006969B3" w:rsidRDefault="1A2A99EF" w:rsidP="00F65283">
      <w:pPr>
        <w:spacing w:after="0" w:line="240" w:lineRule="auto"/>
        <w:jc w:val="both"/>
        <w:rPr>
          <w:rFonts w:ascii="Arial" w:eastAsia="Times New Roman" w:hAnsi="Arial" w:cs="Arial"/>
          <w:lang w:val="es-CO"/>
        </w:rPr>
      </w:pPr>
      <w:r w:rsidRPr="006969B3">
        <w:rPr>
          <w:rFonts w:ascii="Arial" w:hAnsi="Arial" w:cs="Arial"/>
          <w:lang w:val="es-CO"/>
        </w:rPr>
        <w:t xml:space="preserve">ARTÍCULO 128. FUNCIONES DE LOS MUNICIPIOS. </w:t>
      </w:r>
      <w:r w:rsidRPr="006969B3">
        <w:rPr>
          <w:rFonts w:ascii="Arial" w:eastAsia="Times New Roman" w:hAnsi="Arial" w:cs="Arial"/>
          <w:lang w:val="es-CO"/>
        </w:rPr>
        <w:t>Adiciónese el siguiente parágrafo al artículo</w:t>
      </w:r>
      <w:r w:rsidR="003E632B">
        <w:rPr>
          <w:rFonts w:ascii="Arial" w:eastAsia="Times New Roman" w:hAnsi="Arial" w:cs="Arial"/>
          <w:lang w:val="es-CO"/>
        </w:rPr>
        <w:t xml:space="preserve"> 6</w:t>
      </w:r>
      <w:r w:rsidRPr="006969B3">
        <w:rPr>
          <w:rFonts w:ascii="Arial" w:eastAsia="Times New Roman" w:hAnsi="Arial" w:cs="Arial"/>
          <w:lang w:val="es-CO"/>
        </w:rPr>
        <w:t xml:space="preserve"> de la Ley 1551 de 2012 el cual quedará así:</w:t>
      </w:r>
    </w:p>
    <w:p w14:paraId="07E692F4" w14:textId="611091E2" w:rsidR="47D2FA32" w:rsidRPr="006969B3" w:rsidRDefault="47D2FA32" w:rsidP="00F65283">
      <w:pPr>
        <w:spacing w:after="0" w:line="240" w:lineRule="auto"/>
        <w:jc w:val="both"/>
        <w:rPr>
          <w:rFonts w:ascii="Arial" w:eastAsia="Times New Roman" w:hAnsi="Arial" w:cs="Arial"/>
          <w:lang w:val="es-CO"/>
        </w:rPr>
      </w:pPr>
    </w:p>
    <w:p w14:paraId="4712634E" w14:textId="3AB163A9" w:rsidR="1A2A99EF" w:rsidRPr="006969B3" w:rsidRDefault="1A2A99EF" w:rsidP="00F65283">
      <w:pPr>
        <w:spacing w:after="0" w:line="240" w:lineRule="auto"/>
        <w:jc w:val="both"/>
        <w:rPr>
          <w:rFonts w:ascii="Arial" w:eastAsia="Times New Roman" w:hAnsi="Arial" w:cs="Arial"/>
          <w:lang w:val="es-CO"/>
        </w:rPr>
      </w:pPr>
      <w:r w:rsidRPr="006969B3">
        <w:rPr>
          <w:rFonts w:ascii="Arial" w:eastAsia="Times New Roman" w:hAnsi="Arial" w:cs="Arial"/>
          <w:lang w:val="es-CO"/>
        </w:rPr>
        <w:t xml:space="preserve">PARÁGRAFO 5o. Los denominados convenios solidarios de que trata el parágrafo 3 del presente artículo también podrán ser celebrados entre las entidades del orden nacional y </w:t>
      </w:r>
      <w:r w:rsidRPr="006969B3">
        <w:rPr>
          <w:rFonts w:ascii="Arial" w:eastAsia="Times New Roman" w:hAnsi="Arial" w:cs="Arial"/>
          <w:lang w:val="es-CO"/>
        </w:rPr>
        <w:lastRenderedPageBreak/>
        <w:t>los organismos de acción comunal para la ejecución de proyectos incluidos en el respectivo Plan Nacional de Desarrollo.</w:t>
      </w:r>
    </w:p>
    <w:p w14:paraId="121612DC" w14:textId="77777777" w:rsidR="00D83E14" w:rsidRPr="006969B3" w:rsidRDefault="00D83E14" w:rsidP="00F65283">
      <w:pPr>
        <w:spacing w:after="0" w:line="240" w:lineRule="auto"/>
        <w:rPr>
          <w:rFonts w:ascii="Arial" w:eastAsia="Times New Roman" w:hAnsi="Arial" w:cs="Arial"/>
          <w:sz w:val="20"/>
          <w:szCs w:val="20"/>
          <w:lang w:val="es-CO"/>
        </w:rPr>
      </w:pPr>
    </w:p>
    <w:p w14:paraId="4FD49401" w14:textId="00BE11B9" w:rsidR="009D46C3" w:rsidRPr="006969B3" w:rsidRDefault="009D46C3" w:rsidP="00F65283">
      <w:pPr>
        <w:pStyle w:val="NormalWeb"/>
        <w:spacing w:before="0" w:beforeAutospacing="0" w:after="0" w:afterAutospacing="0"/>
        <w:jc w:val="both"/>
        <w:rPr>
          <w:rFonts w:ascii="Arial" w:hAnsi="Arial" w:cs="Arial"/>
          <w:sz w:val="22"/>
          <w:szCs w:val="22"/>
          <w:lang w:val="es-CO"/>
        </w:rPr>
      </w:pPr>
      <w:bookmarkStart w:id="142" w:name="129"/>
      <w:r w:rsidRPr="006969B3">
        <w:rPr>
          <w:rFonts w:ascii="Arial" w:hAnsi="Arial" w:cs="Arial"/>
          <w:sz w:val="22"/>
          <w:szCs w:val="22"/>
          <w:lang w:val="es-CO"/>
        </w:rPr>
        <w:t>ARTÍCULO 129. RESERVA LEGAL DE LAS ESTRATEGIAS DE DEFENSA JURÍDICA NACIONAL E INTERNACIONAL.</w:t>
      </w:r>
      <w:bookmarkEnd w:id="142"/>
      <w:r w:rsidRPr="006969B3">
        <w:rPr>
          <w:rFonts w:ascii="Arial" w:hAnsi="Arial" w:cs="Arial"/>
          <w:sz w:val="22"/>
          <w:szCs w:val="22"/>
          <w:lang w:val="es-CO"/>
        </w:rPr>
        <w:t> Las estrategias de defensa jurídica nacional e internacional gozarán de reserva legal conforme lo dispuesto en los literales e) y h) y el parágrafo del artículo</w:t>
      </w:r>
      <w:r w:rsidR="003E632B">
        <w:rPr>
          <w:rFonts w:ascii="Arial" w:hAnsi="Arial" w:cs="Arial"/>
          <w:sz w:val="22"/>
          <w:szCs w:val="22"/>
          <w:lang w:val="es-CO"/>
        </w:rPr>
        <w:t xml:space="preserve"> 19</w:t>
      </w:r>
      <w:r w:rsidRPr="006969B3">
        <w:rPr>
          <w:rFonts w:ascii="Arial" w:hAnsi="Arial" w:cs="Arial"/>
          <w:sz w:val="22"/>
          <w:szCs w:val="22"/>
          <w:lang w:val="es-CO"/>
        </w:rPr>
        <w:t> de la Ley 1712 de 2014, o la norma que los modifique, adicione o sustituya.</w:t>
      </w:r>
    </w:p>
    <w:p w14:paraId="4FA705A3"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293EBA9D" w14:textId="27FA7D56" w:rsidR="009D46C3" w:rsidRPr="006969B3" w:rsidRDefault="009D46C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Las estrategias de defensa jurídica nacional e internacional son los documentos, conceptos, lineamientos e información a los que acuden la Agencia Nacional de Defensa Jurídica del Estado y/o las entidades públicas encargadas de hacer efectiva la defensa jurídica del Estado y de proteger sus intereses litigiosos.</w:t>
      </w:r>
    </w:p>
    <w:p w14:paraId="77309210"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6689E11D" w14:textId="456CBA36" w:rsidR="009D46C3" w:rsidRPr="006969B3" w:rsidRDefault="009D46C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 reserva cubrirá todas las etapas de la controversia o del proceso respectivo. Podrán publicarse parcialmente documentos y piezas de información cuya revelación no afecte la estrategia de defensa o los intereses legítimos del Estado.</w:t>
      </w:r>
    </w:p>
    <w:p w14:paraId="14C0D9B5" w14:textId="77777777" w:rsidR="0063239B" w:rsidRPr="006969B3" w:rsidRDefault="0063239B" w:rsidP="00F65283">
      <w:pPr>
        <w:pStyle w:val="NormalWeb"/>
        <w:spacing w:before="0" w:beforeAutospacing="0" w:after="0" w:afterAutospacing="0"/>
        <w:jc w:val="both"/>
        <w:rPr>
          <w:rStyle w:val="baj"/>
          <w:rFonts w:ascii="Arial" w:hAnsi="Arial" w:cs="Arial"/>
          <w:sz w:val="22"/>
          <w:szCs w:val="22"/>
          <w:lang w:val="es-CO"/>
        </w:rPr>
      </w:pPr>
    </w:p>
    <w:p w14:paraId="528E0BB2" w14:textId="55901D4C" w:rsidR="009D46C3" w:rsidRPr="006969B3" w:rsidRDefault="009D46C3"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Cuando la publicación de los acuerdos o contratos producto del uso de los mecanismos alternativos de arreglo directo o negociaciones en materia de conflictos de inversión en el ámbito internacional, pueda incidir en la gestión de otros procesos o acuerdos, estos podrán ser materia de reserva.</w:t>
      </w:r>
    </w:p>
    <w:p w14:paraId="18E6CD7E" w14:textId="77777777" w:rsidR="0063239B" w:rsidRPr="006969B3" w:rsidRDefault="0063239B" w:rsidP="00F65283">
      <w:pPr>
        <w:pStyle w:val="NormalWeb"/>
        <w:spacing w:before="0" w:beforeAutospacing="0" w:after="0" w:afterAutospacing="0"/>
        <w:jc w:val="both"/>
        <w:rPr>
          <w:rStyle w:val="baj"/>
          <w:rFonts w:ascii="Arial" w:hAnsi="Arial" w:cs="Arial"/>
          <w:sz w:val="22"/>
          <w:szCs w:val="22"/>
          <w:lang w:val="es-CO"/>
        </w:rPr>
      </w:pPr>
    </w:p>
    <w:p w14:paraId="2E6396AA" w14:textId="1D6077F6" w:rsidR="009D46C3" w:rsidRPr="006969B3" w:rsidRDefault="009D46C3"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El término de la reserva sobre las estrategias de defensa jurídica nacional e internacional del Estado, podrá extenderse por el término máximo autorizado en la ley.</w:t>
      </w:r>
    </w:p>
    <w:p w14:paraId="0FBE2B11" w14:textId="77777777" w:rsidR="0063239B" w:rsidRPr="006969B3" w:rsidRDefault="0063239B" w:rsidP="00F65283">
      <w:pPr>
        <w:pStyle w:val="NormalWeb"/>
        <w:spacing w:before="0" w:beforeAutospacing="0" w:after="0" w:afterAutospacing="0"/>
        <w:jc w:val="both"/>
        <w:rPr>
          <w:rStyle w:val="baj"/>
          <w:rFonts w:ascii="Arial" w:hAnsi="Arial" w:cs="Arial"/>
          <w:sz w:val="22"/>
          <w:szCs w:val="22"/>
          <w:lang w:val="es-CO"/>
        </w:rPr>
      </w:pPr>
    </w:p>
    <w:p w14:paraId="3D97B9EC" w14:textId="69662C4B" w:rsidR="009D46C3" w:rsidRPr="006969B3" w:rsidRDefault="009D46C3"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3o.</w:t>
      </w:r>
      <w:r w:rsidRPr="006969B3">
        <w:rPr>
          <w:rFonts w:ascii="Arial" w:hAnsi="Arial" w:cs="Arial"/>
          <w:sz w:val="22"/>
          <w:szCs w:val="22"/>
          <w:lang w:val="es-CO"/>
        </w:rPr>
        <w:t> La reserva no abarcará aquellos documentos e informes que constituyan prueba necesaria a favor de quien los solicita y que se encuentren en poder del Estado en ejercicio de una función prevista en el ordenamiento jurídico.</w:t>
      </w:r>
    </w:p>
    <w:p w14:paraId="00C45520" w14:textId="0D86DB48" w:rsidR="009D46C3" w:rsidRPr="006969B3" w:rsidRDefault="009D46C3" w:rsidP="00F65283">
      <w:pPr>
        <w:spacing w:after="0" w:line="240" w:lineRule="auto"/>
        <w:rPr>
          <w:rFonts w:ascii="Arial" w:hAnsi="Arial" w:cs="Arial"/>
          <w:lang w:val="es-CO"/>
        </w:rPr>
      </w:pPr>
    </w:p>
    <w:p w14:paraId="07025D8F" w14:textId="77777777" w:rsidR="009D46C3" w:rsidRPr="006969B3" w:rsidRDefault="009D46C3" w:rsidP="00F65283">
      <w:pPr>
        <w:pStyle w:val="NormalWeb"/>
        <w:spacing w:before="0" w:beforeAutospacing="0" w:after="0" w:afterAutospacing="0"/>
        <w:jc w:val="both"/>
        <w:rPr>
          <w:rFonts w:ascii="Arial" w:hAnsi="Arial" w:cs="Arial"/>
          <w:sz w:val="22"/>
          <w:szCs w:val="22"/>
          <w:lang w:val="es-CO"/>
        </w:rPr>
      </w:pPr>
      <w:bookmarkStart w:id="143" w:name="130"/>
      <w:r w:rsidRPr="006969B3">
        <w:rPr>
          <w:rFonts w:ascii="Arial" w:hAnsi="Arial" w:cs="Arial"/>
          <w:sz w:val="22"/>
          <w:szCs w:val="22"/>
          <w:lang w:val="es-CO"/>
        </w:rPr>
        <w:t>ARTÍCULO 130. CONTRIBUCIÓN ESPECIAL PARA LAUDOS ARBITRALES DE CONTENIDO ECONÓMICO.</w:t>
      </w:r>
      <w:bookmarkEnd w:id="143"/>
      <w:r w:rsidRPr="006969B3">
        <w:rPr>
          <w:rFonts w:ascii="Arial" w:hAnsi="Arial" w:cs="Arial"/>
          <w:sz w:val="22"/>
          <w:szCs w:val="22"/>
          <w:lang w:val="es-CO"/>
        </w:rPr>
        <w:t> Créase la contribución especial para laudos arbitrales de contenido económico a cargo de la persona natural o jurídica o el patrimonio autónomo a cuyo favor se ordene el pago de valor superior a setenta y tres (73) salarios mínimos legales mensuales vigentes. Estos recursos se destinarán a la financiación del sector Justicia y de la Rama Judicial.</w:t>
      </w:r>
    </w:p>
    <w:p w14:paraId="06530BEB"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00CBDB85" w14:textId="0997242A" w:rsidR="009D46C3" w:rsidRPr="006969B3" w:rsidRDefault="009D46C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Serán sujetos activos de la contribución especial, el Consejo Superior de la Judicatura, Dirección Ejecutiva de Administración Judicial, o quien haga sus veces, con destino al Fondo para la Modernización, Descongestión y Bienestar de la Administración de Justicia. La contribución especial se causa cuando se haga el pago voluntario o por ejecución forzosa del correspondiente laudo.</w:t>
      </w:r>
    </w:p>
    <w:p w14:paraId="151F6A70"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27B12E82" w14:textId="3AFCF3BD" w:rsidR="009D46C3" w:rsidRPr="006969B3" w:rsidRDefault="009D46C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 base gravable de la contribución especial será el valor total de los pagos ordenados en el correspondiente laudo, providencia o sentencia condenatoria. La tarifa será el dos por ciento (2%). En todo caso, el valor a pagar por concepto del impuesto no podrá exceder de mil (1.000) salarios mínimos legales mensuales vigentes.</w:t>
      </w:r>
    </w:p>
    <w:p w14:paraId="3103AF9B"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5352015D" w14:textId="7C998A2E" w:rsidR="009D46C3" w:rsidRPr="006969B3" w:rsidRDefault="009D46C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La entidad pagadora, ya sea persona natural o entidad pública o privada, en el momento en que efectúe pagos totales o parciales de las cuantías ordenadas en el laudo arbitral, </w:t>
      </w:r>
      <w:r w:rsidRPr="006969B3">
        <w:rPr>
          <w:rFonts w:ascii="Arial" w:hAnsi="Arial" w:cs="Arial"/>
          <w:sz w:val="22"/>
          <w:szCs w:val="22"/>
          <w:lang w:val="es-CO"/>
        </w:rPr>
        <w:lastRenderedPageBreak/>
        <w:t>deberá retener en la fuente la totalidad de la contribución especial causada con el respectivo pago. La retención practicada deberá ser incluida y pagada en la respectiva declaración mensual de retenciones en la fuente del agente retenedor, de acuerdo con las normas que regulan la retención en la fuente contenidas en el Estatuto Tributario. En el evento de que el pagador no tenga la calidad de agente retenedor, el perceptor del pago deberá autorretener el monto de la contribución especial causada de acuerdo con las disposiciones establecidas sobre el particular en el Estatuto Tributario.</w:t>
      </w:r>
    </w:p>
    <w:p w14:paraId="295710CE" w14:textId="77777777" w:rsidR="00D17D59" w:rsidRPr="006969B3" w:rsidRDefault="00D17D59" w:rsidP="00F65283">
      <w:pPr>
        <w:pStyle w:val="NormalWeb"/>
        <w:spacing w:before="0" w:beforeAutospacing="0" w:after="0" w:afterAutospacing="0"/>
        <w:jc w:val="both"/>
        <w:rPr>
          <w:rFonts w:ascii="Arial" w:hAnsi="Arial" w:cs="Arial"/>
          <w:sz w:val="22"/>
          <w:szCs w:val="22"/>
          <w:lang w:val="es-CO"/>
        </w:rPr>
      </w:pPr>
    </w:p>
    <w:p w14:paraId="0C0B291A" w14:textId="77777777" w:rsidR="009D46C3" w:rsidRPr="006969B3" w:rsidRDefault="009D46C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Esta contribución no aplica para laudos arbitrales internacionales.</w:t>
      </w:r>
    </w:p>
    <w:p w14:paraId="14744E8D" w14:textId="77777777" w:rsidR="0063239B" w:rsidRPr="006969B3" w:rsidRDefault="0063239B" w:rsidP="00F65283">
      <w:pPr>
        <w:pStyle w:val="NormalWeb"/>
        <w:spacing w:before="0" w:beforeAutospacing="0" w:after="0" w:afterAutospacing="0"/>
        <w:jc w:val="both"/>
        <w:rPr>
          <w:rStyle w:val="baj"/>
          <w:rFonts w:ascii="Arial" w:hAnsi="Arial" w:cs="Arial"/>
          <w:sz w:val="22"/>
          <w:szCs w:val="22"/>
          <w:lang w:val="es-CO"/>
        </w:rPr>
      </w:pPr>
    </w:p>
    <w:p w14:paraId="23347588" w14:textId="75749490" w:rsidR="009D46C3" w:rsidRPr="006969B3" w:rsidRDefault="009D46C3"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El Gobierno nacional deberá girar en la primera quincena de cada semestre al Fondo para la Modernización, Descongestión y Bienestar de la Administración de Justicia, el monto recaudado por concepto de la contribución especial para laudos arbitrales de contenido económico.</w:t>
      </w:r>
    </w:p>
    <w:p w14:paraId="7311AA00"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bookmarkStart w:id="144" w:name="131"/>
    </w:p>
    <w:p w14:paraId="5718930B" w14:textId="63B35D5D" w:rsidR="009D46C3" w:rsidRPr="006969B3" w:rsidRDefault="009D46C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131. REGISTRO ÚNICO DE DECISIONES JUDICIALES EN MATERIA PENAL Y JURISDICCIONES ESPECIALES.</w:t>
      </w:r>
      <w:bookmarkEnd w:id="144"/>
      <w:r w:rsidRPr="006969B3">
        <w:rPr>
          <w:rFonts w:ascii="Arial" w:hAnsi="Arial" w:cs="Arial"/>
          <w:sz w:val="22"/>
          <w:szCs w:val="22"/>
          <w:lang w:val="es-CO"/>
        </w:rPr>
        <w:t> Créase el Registro Único de Decisiones Judiciales en Materia Penal y Jurisdicciones Especiales, administrado por la Policía Nacional - Dirección de Investigación Criminal e Interpol.</w:t>
      </w:r>
    </w:p>
    <w:p w14:paraId="1311DA8A"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64CDE2DD" w14:textId="07B3AD73" w:rsidR="009D46C3" w:rsidRPr="006969B3" w:rsidRDefault="009D46C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El administrador garantizará a la </w:t>
      </w:r>
      <w:proofErr w:type="gramStart"/>
      <w:r w:rsidRPr="006969B3">
        <w:rPr>
          <w:rFonts w:ascii="Arial" w:hAnsi="Arial" w:cs="Arial"/>
          <w:sz w:val="22"/>
          <w:szCs w:val="22"/>
          <w:lang w:val="es-CO"/>
        </w:rPr>
        <w:t>Fiscalía General</w:t>
      </w:r>
      <w:proofErr w:type="gramEnd"/>
      <w:r w:rsidRPr="006969B3">
        <w:rPr>
          <w:rFonts w:ascii="Arial" w:hAnsi="Arial" w:cs="Arial"/>
          <w:sz w:val="22"/>
          <w:szCs w:val="22"/>
          <w:lang w:val="es-CO"/>
        </w:rPr>
        <w:t xml:space="preserve"> de la Nación y demás autoridades judiciales, el acceso, consulta y actualización al Registro así como la protección del derecho del hábeas data de los ciudadanos. Este registro contendrá los antecedentes penales, requerimientos, anotaciones, sentencias y demás decisiones judiciales que hagan tránsito a cosa juzgada, proferidas por la Jurisdicción Ordinaria, la Justicia Penal Militar, la Jurisdicción Especial para la Paz y demás jurisdicciones especiales reconocidas por la Constitución Política.</w:t>
      </w:r>
    </w:p>
    <w:p w14:paraId="383EB23B"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49851845" w14:textId="6EC4F2D3" w:rsidR="009D46C3" w:rsidRPr="006969B3" w:rsidRDefault="009D46C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Gobierno nacional reglamentará las materias necesarias para garantizar el funcionamiento del registro y el proceso de actualización de la información.</w:t>
      </w:r>
    </w:p>
    <w:p w14:paraId="14A476A6" w14:textId="77777777" w:rsidR="00D17D59" w:rsidRPr="006969B3" w:rsidRDefault="00D17D59" w:rsidP="00F65283">
      <w:pPr>
        <w:pStyle w:val="NormalWeb"/>
        <w:spacing w:before="0" w:beforeAutospacing="0" w:after="0" w:afterAutospacing="0"/>
        <w:jc w:val="both"/>
        <w:rPr>
          <w:rFonts w:ascii="Arial" w:hAnsi="Arial" w:cs="Arial"/>
          <w:sz w:val="22"/>
          <w:szCs w:val="22"/>
          <w:lang w:val="es-CO"/>
        </w:rPr>
      </w:pPr>
    </w:p>
    <w:p w14:paraId="1200DCB2" w14:textId="77777777" w:rsidR="009D46C3" w:rsidRPr="006969B3" w:rsidRDefault="009D46C3"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xml:space="preserve"> El Consejo Superior de la Judicatura, la Justicia Penal Militar, la Jurisdicción Especial para la Paz, la </w:t>
      </w:r>
      <w:proofErr w:type="gramStart"/>
      <w:r w:rsidRPr="006969B3">
        <w:rPr>
          <w:rFonts w:ascii="Arial" w:hAnsi="Arial" w:cs="Arial"/>
          <w:sz w:val="22"/>
          <w:szCs w:val="22"/>
          <w:lang w:val="es-CO"/>
        </w:rPr>
        <w:t>Fiscalía General</w:t>
      </w:r>
      <w:proofErr w:type="gramEnd"/>
      <w:r w:rsidRPr="006969B3">
        <w:rPr>
          <w:rFonts w:ascii="Arial" w:hAnsi="Arial" w:cs="Arial"/>
          <w:sz w:val="22"/>
          <w:szCs w:val="22"/>
          <w:lang w:val="es-CO"/>
        </w:rPr>
        <w:t xml:space="preserve"> de la Nación deberán actualizar el sistema de información de acuerdo con los parámetros y protocolos que para tal efecto disponga el administrador del registro. Con este fin en un término de doce (12) meses, adoptarán las soluciones administrativas y tecnológicas necesaria para garantizar el suministro, registro y actualización de la información a través de canales seguros que garanticen su integridad, seguridad y confiabilidad.</w:t>
      </w:r>
    </w:p>
    <w:p w14:paraId="6B5838CC" w14:textId="77777777" w:rsidR="0063239B" w:rsidRPr="006969B3" w:rsidRDefault="0063239B" w:rsidP="00F65283">
      <w:pPr>
        <w:pStyle w:val="NormalWeb"/>
        <w:spacing w:before="0" w:beforeAutospacing="0" w:after="0" w:afterAutospacing="0"/>
        <w:jc w:val="both"/>
        <w:rPr>
          <w:rStyle w:val="baj"/>
          <w:rFonts w:ascii="Arial" w:hAnsi="Arial" w:cs="Arial"/>
          <w:sz w:val="22"/>
          <w:szCs w:val="22"/>
          <w:lang w:val="es-CO"/>
        </w:rPr>
      </w:pPr>
    </w:p>
    <w:p w14:paraId="461F5308" w14:textId="58485E58" w:rsidR="009D46C3" w:rsidRPr="006969B3" w:rsidRDefault="009D46C3"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El Instituto Nacional Penitenciario y Carcelario y demás Centros Carcelarios como ejecutores de las decisiones judiciales, deberán actualizar y proporcionar la información necesaria, de acuerdo con los parámetros y protocolos que para tal efecto disponga el administrador del registro.</w:t>
      </w:r>
    </w:p>
    <w:p w14:paraId="20D08C6F" w14:textId="77777777" w:rsidR="0063239B" w:rsidRPr="006969B3" w:rsidRDefault="0063239B" w:rsidP="00F65283">
      <w:pPr>
        <w:pStyle w:val="NormalWeb"/>
        <w:spacing w:before="0" w:beforeAutospacing="0" w:after="0" w:afterAutospacing="0"/>
        <w:jc w:val="both"/>
        <w:rPr>
          <w:rStyle w:val="baj"/>
          <w:rFonts w:ascii="Arial" w:hAnsi="Arial" w:cs="Arial"/>
          <w:sz w:val="22"/>
          <w:szCs w:val="22"/>
          <w:lang w:val="es-CO"/>
        </w:rPr>
      </w:pPr>
    </w:p>
    <w:p w14:paraId="3AC146DA" w14:textId="5766CEC4" w:rsidR="009D46C3" w:rsidRPr="006969B3" w:rsidRDefault="009D46C3"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3o.</w:t>
      </w:r>
      <w:r w:rsidRPr="006969B3">
        <w:rPr>
          <w:rFonts w:ascii="Arial" w:hAnsi="Arial" w:cs="Arial"/>
          <w:sz w:val="22"/>
          <w:szCs w:val="22"/>
          <w:lang w:val="es-CO"/>
        </w:rPr>
        <w:t> Los registros referidos en los artículos</w:t>
      </w:r>
      <w:r w:rsidR="003E632B">
        <w:rPr>
          <w:rFonts w:ascii="Arial" w:hAnsi="Arial" w:cs="Arial"/>
          <w:sz w:val="22"/>
          <w:szCs w:val="22"/>
          <w:lang w:val="es-CO"/>
        </w:rPr>
        <w:t xml:space="preserve"> 166, 167, 299, 305A y 320</w:t>
      </w:r>
      <w:r w:rsidR="003E632B" w:rsidRPr="0074467C">
        <w:rPr>
          <w:lang w:val="es-CO"/>
        </w:rPr>
        <w:t xml:space="preserve"> </w:t>
      </w:r>
      <w:r w:rsidRPr="006969B3">
        <w:rPr>
          <w:rFonts w:ascii="Arial" w:hAnsi="Arial" w:cs="Arial"/>
          <w:sz w:val="22"/>
          <w:szCs w:val="22"/>
          <w:lang w:val="es-CO"/>
        </w:rPr>
        <w:t>de la Ley 906 de 2004 formarán parte del registro de que trata el presente artículo.</w:t>
      </w:r>
    </w:p>
    <w:p w14:paraId="00AFD76E"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bookmarkStart w:id="145" w:name="132"/>
    </w:p>
    <w:p w14:paraId="6CE7C5F8" w14:textId="56C5E35A" w:rsidR="009D46C3" w:rsidRPr="006969B3" w:rsidRDefault="009D46C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132. ARMONIZACIÓN DEL PLAN DECENAL DEL SISTEMA DE JUSTICIA CON LOS PLANES NACIONALES DE DESARROLLO.</w:t>
      </w:r>
      <w:bookmarkEnd w:id="145"/>
      <w:r w:rsidRPr="006969B3">
        <w:rPr>
          <w:rFonts w:ascii="Arial" w:hAnsi="Arial" w:cs="Arial"/>
          <w:sz w:val="22"/>
          <w:szCs w:val="22"/>
          <w:lang w:val="es-CO"/>
        </w:rPr>
        <w:t xml:space="preserve"> Con el objeto de promover la coordinación, eficiencia, eficacia y modernización en la administración de justicia y en las funciones de los organismos de control, el Ministerio de Justicia y del Derecho, el </w:t>
      </w:r>
      <w:r w:rsidRPr="006969B3">
        <w:rPr>
          <w:rFonts w:ascii="Arial" w:hAnsi="Arial" w:cs="Arial"/>
          <w:sz w:val="22"/>
          <w:szCs w:val="22"/>
          <w:lang w:val="es-CO"/>
        </w:rPr>
        <w:lastRenderedPageBreak/>
        <w:t>Departamento Nacional de Planeación, el Consejo Superior de la Judicatura, la Fiscalía General de la Nación, el Instituto Nacional de Medicina Legal y Ciencias Forenses, la Contraloría General de la República, la Procuraduría General de la Nación y la Defensoría del Pueblo o quienes hagan sus veces, concurrirán para adelantar las armonizaciones necesarias al Plan Decenal del Sistema de Justicia en concordancia con los Planes Nacionales de Desarrollo, de acuerdo con las prioridades que dichas entidades identifiquen en el sistema de justicia, y teniendo en cuenta el proceso continuo de planeación que comprende la formulación, la aprobación, la ejecución, el seguimiento y la evaluación.</w:t>
      </w:r>
    </w:p>
    <w:p w14:paraId="12A2AD4A" w14:textId="74E8415E" w:rsidR="009D46C3" w:rsidRPr="006969B3" w:rsidRDefault="009D46C3" w:rsidP="00F65283">
      <w:pPr>
        <w:spacing w:after="0" w:line="240" w:lineRule="auto"/>
        <w:rPr>
          <w:rFonts w:ascii="Arial" w:hAnsi="Arial" w:cs="Arial"/>
          <w:lang w:val="es-CO"/>
        </w:rPr>
      </w:pPr>
    </w:p>
    <w:p w14:paraId="05DE9C78" w14:textId="4F96850C" w:rsidR="009D46C3" w:rsidRPr="006969B3" w:rsidRDefault="009D46C3" w:rsidP="00F65283">
      <w:pPr>
        <w:pStyle w:val="NormalWeb"/>
        <w:spacing w:before="0" w:beforeAutospacing="0" w:after="0" w:afterAutospacing="0"/>
        <w:jc w:val="both"/>
        <w:rPr>
          <w:rFonts w:ascii="Arial" w:hAnsi="Arial" w:cs="Arial"/>
          <w:sz w:val="22"/>
          <w:szCs w:val="22"/>
          <w:lang w:val="es-CO"/>
        </w:rPr>
      </w:pPr>
      <w:bookmarkStart w:id="146" w:name="133"/>
      <w:r w:rsidRPr="006969B3">
        <w:rPr>
          <w:rFonts w:ascii="Arial" w:hAnsi="Arial" w:cs="Arial"/>
          <w:sz w:val="22"/>
          <w:szCs w:val="22"/>
          <w:lang w:val="es-CO"/>
        </w:rPr>
        <w:t>ARTÍCULO 133. ESTRATEGIA DE CÁRCELES DEL ORDEN NACIONAL.</w:t>
      </w:r>
      <w:bookmarkEnd w:id="146"/>
      <w:r w:rsidRPr="006969B3">
        <w:rPr>
          <w:rFonts w:ascii="Arial" w:hAnsi="Arial" w:cs="Arial"/>
          <w:sz w:val="22"/>
          <w:szCs w:val="22"/>
          <w:lang w:val="es-CO"/>
        </w:rPr>
        <w:t xml:space="preserve"> La Nación podrá adelantar gestiones para la creación, fusión, supresión, dirección, organización, administración, sostenimiento y vigilancia de cárceles para personas detenidas preventivamente; sin perjuicio de la responsabilidad que hoy </w:t>
      </w:r>
      <w:proofErr w:type="gramStart"/>
      <w:r w:rsidRPr="006969B3">
        <w:rPr>
          <w:rFonts w:ascii="Arial" w:hAnsi="Arial" w:cs="Arial"/>
          <w:sz w:val="22"/>
          <w:szCs w:val="22"/>
          <w:lang w:val="es-CO"/>
        </w:rPr>
        <w:t>le</w:t>
      </w:r>
      <w:proofErr w:type="gramEnd"/>
      <w:r w:rsidRPr="006969B3">
        <w:rPr>
          <w:rFonts w:ascii="Arial" w:hAnsi="Arial" w:cs="Arial"/>
          <w:sz w:val="22"/>
          <w:szCs w:val="22"/>
          <w:lang w:val="es-CO"/>
        </w:rPr>
        <w:t xml:space="preserve"> asiste a las entidades territoriales, de acuerdo con el artículo</w:t>
      </w:r>
      <w:r w:rsidR="003E632B">
        <w:rPr>
          <w:rFonts w:ascii="Arial" w:hAnsi="Arial" w:cs="Arial"/>
          <w:sz w:val="22"/>
          <w:szCs w:val="22"/>
          <w:lang w:val="es-CO"/>
        </w:rPr>
        <w:t xml:space="preserve"> 17</w:t>
      </w:r>
      <w:r w:rsidRPr="006969B3">
        <w:rPr>
          <w:rFonts w:ascii="Arial" w:hAnsi="Arial" w:cs="Arial"/>
          <w:sz w:val="22"/>
          <w:szCs w:val="22"/>
          <w:lang w:val="es-CO"/>
        </w:rPr>
        <w:t>de la Ley 65 de 1993. Lo anterior, teniendo en cuenta las siguientes disposiciones:</w:t>
      </w:r>
    </w:p>
    <w:p w14:paraId="3973ADA8"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48255DFE" w14:textId="0D20AC03" w:rsidR="009D46C3" w:rsidRPr="006969B3" w:rsidRDefault="009D46C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 Las entidades territoriales identificarán predios para la localización de las cárceles, sobre los cuales la USPEC y el INPEC realizarán una evaluación a fin de establecer la viabilidad operativa de los mismos. Los predios identificados como viables deberán ser incorporados a los instrumentos de planeación territorial que correspondan con el uso del suelo requerido para la localización del equipamiento.</w:t>
      </w:r>
    </w:p>
    <w:p w14:paraId="3088758A"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5C93AE2A" w14:textId="25D9D336" w:rsidR="009D46C3" w:rsidRPr="006969B3" w:rsidRDefault="009D46C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b) Las entidades territoriales podrán identificar, adquirir, habilitar y ceder a título gratuito al INPEC, el suelo con urbanismo y servicios públicos para la construcción de los establecimientos de reclusión nacionales, sin perjuicio de la facultad que les asiste para construir, administrar y operar cárceles del orden territorial.</w:t>
      </w:r>
    </w:p>
    <w:p w14:paraId="005D46FB"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288D79BF" w14:textId="49669B36" w:rsidR="009D46C3" w:rsidRPr="006969B3" w:rsidRDefault="009D46C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c) Las entidades territoriales podrán convenir entre ellas la habilitación de suelo para la construcción de establecimientos de reclusión, así como su operación y mantenimiento conjunto. Igualmente, podrán celebrar convenios con la USPEC para la construcción, operación y mantenimiento de centros de reclusión.</w:t>
      </w:r>
    </w:p>
    <w:p w14:paraId="51DB863A"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56844ADC" w14:textId="3515AD5A" w:rsidR="009D46C3" w:rsidRPr="006969B3" w:rsidRDefault="009D46C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d) Habilítese a la USPEC a realizar gestiones para la construcción conjunta de ciudadelas judiciales, establecidas en el artículo</w:t>
      </w:r>
      <w:r w:rsidR="003E632B">
        <w:rPr>
          <w:rFonts w:ascii="Arial" w:hAnsi="Arial" w:cs="Arial"/>
          <w:sz w:val="22"/>
          <w:szCs w:val="22"/>
          <w:lang w:val="es-CO"/>
        </w:rPr>
        <w:t xml:space="preserve"> 21</w:t>
      </w:r>
      <w:r w:rsidRPr="006969B3">
        <w:rPr>
          <w:rFonts w:ascii="Arial" w:hAnsi="Arial" w:cs="Arial"/>
          <w:sz w:val="22"/>
          <w:szCs w:val="22"/>
          <w:lang w:val="es-CO"/>
        </w:rPr>
        <w:t> de la Ley 65 de 1993.</w:t>
      </w:r>
    </w:p>
    <w:p w14:paraId="7555618A" w14:textId="77777777" w:rsidR="0063239B" w:rsidRPr="006969B3" w:rsidRDefault="0063239B" w:rsidP="00F65283">
      <w:pPr>
        <w:pStyle w:val="NormalWeb"/>
        <w:spacing w:before="0" w:beforeAutospacing="0" w:after="0" w:afterAutospacing="0"/>
        <w:jc w:val="both"/>
        <w:rPr>
          <w:rStyle w:val="baj"/>
          <w:rFonts w:ascii="Arial" w:hAnsi="Arial" w:cs="Arial"/>
          <w:sz w:val="22"/>
          <w:szCs w:val="22"/>
          <w:lang w:val="es-CO"/>
        </w:rPr>
      </w:pPr>
    </w:p>
    <w:p w14:paraId="2C38B5C9" w14:textId="6DB935E4" w:rsidR="009D46C3" w:rsidRPr="006969B3" w:rsidRDefault="009D46C3"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xml:space="preserve"> Las disposiciones establecidas en el presente </w:t>
      </w:r>
      <w:proofErr w:type="gramStart"/>
      <w:r w:rsidRPr="006969B3">
        <w:rPr>
          <w:rFonts w:ascii="Arial" w:hAnsi="Arial" w:cs="Arial"/>
          <w:sz w:val="22"/>
          <w:szCs w:val="22"/>
          <w:lang w:val="es-CO"/>
        </w:rPr>
        <w:t>artículo,</w:t>
      </w:r>
      <w:proofErr w:type="gramEnd"/>
      <w:r w:rsidRPr="006969B3">
        <w:rPr>
          <w:rFonts w:ascii="Arial" w:hAnsi="Arial" w:cs="Arial"/>
          <w:sz w:val="22"/>
          <w:szCs w:val="22"/>
          <w:lang w:val="es-CO"/>
        </w:rPr>
        <w:t xml:space="preserve"> podrán desarrollarse mediante el esquema de asociación público privado, concesión u otras formas de contratación establecidas en la ley.</w:t>
      </w:r>
    </w:p>
    <w:p w14:paraId="7A213E68" w14:textId="77777777" w:rsidR="0063239B" w:rsidRPr="006969B3" w:rsidRDefault="0063239B" w:rsidP="00F65283">
      <w:pPr>
        <w:pStyle w:val="NormalWeb"/>
        <w:spacing w:before="0" w:beforeAutospacing="0" w:after="0" w:afterAutospacing="0"/>
        <w:jc w:val="both"/>
        <w:rPr>
          <w:rStyle w:val="baj"/>
          <w:rFonts w:ascii="Arial" w:hAnsi="Arial" w:cs="Arial"/>
          <w:sz w:val="22"/>
          <w:szCs w:val="22"/>
          <w:lang w:val="es-CO"/>
        </w:rPr>
      </w:pPr>
    </w:p>
    <w:p w14:paraId="16A2AE06" w14:textId="678BD2C2" w:rsidR="009D46C3" w:rsidRPr="006969B3" w:rsidRDefault="009D46C3"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El Gobierno nacional tendrá en cuenta el análisis de impacto fiscal que se genera con la implementación de la medida y señalará la correspondiente fuente sustitutiva.</w:t>
      </w:r>
    </w:p>
    <w:p w14:paraId="6025ABD0" w14:textId="77777777" w:rsidR="0063239B" w:rsidRPr="006969B3" w:rsidRDefault="0063239B" w:rsidP="00F65283">
      <w:pPr>
        <w:pStyle w:val="NormalWeb"/>
        <w:spacing w:before="0" w:beforeAutospacing="0" w:after="0" w:afterAutospacing="0"/>
        <w:jc w:val="both"/>
        <w:rPr>
          <w:rStyle w:val="baj"/>
          <w:rFonts w:ascii="Arial" w:hAnsi="Arial" w:cs="Arial"/>
          <w:sz w:val="22"/>
          <w:szCs w:val="22"/>
          <w:lang w:val="es-CO"/>
        </w:rPr>
      </w:pPr>
    </w:p>
    <w:p w14:paraId="79FAD306" w14:textId="68640521" w:rsidR="009D46C3" w:rsidRPr="006969B3" w:rsidRDefault="009D46C3"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3o.</w:t>
      </w:r>
      <w:r w:rsidRPr="006969B3">
        <w:rPr>
          <w:rFonts w:ascii="Arial" w:hAnsi="Arial" w:cs="Arial"/>
          <w:sz w:val="22"/>
          <w:szCs w:val="22"/>
          <w:lang w:val="es-CO"/>
        </w:rPr>
        <w:t> Con el fin de garantizar la financiación de la política carcelaria para personas detenidas preventivamente y condenadas por contravenciones que impliquen privación de la libertad, las entidades territoriales podrán crear un fondo de infraestructura carcelaria con ingresos provenientes de las siguientes fuentes:</w:t>
      </w:r>
    </w:p>
    <w:p w14:paraId="6553ED75"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267E8BE3" w14:textId="041DDDD4" w:rsidR="009D46C3" w:rsidRPr="006969B3" w:rsidRDefault="009D46C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 Contribución especial de obra pública establecida en el artículo</w:t>
      </w:r>
      <w:r w:rsidR="003E632B">
        <w:rPr>
          <w:rFonts w:ascii="Arial" w:hAnsi="Arial" w:cs="Arial"/>
          <w:sz w:val="22"/>
          <w:szCs w:val="22"/>
          <w:lang w:val="es-CO"/>
        </w:rPr>
        <w:t xml:space="preserve"> 6</w:t>
      </w:r>
      <w:r w:rsidRPr="006969B3">
        <w:rPr>
          <w:rFonts w:ascii="Arial" w:hAnsi="Arial" w:cs="Arial"/>
          <w:sz w:val="22"/>
          <w:szCs w:val="22"/>
          <w:lang w:val="es-CO"/>
        </w:rPr>
        <w:t> de la Ley 1106 de 2006.</w:t>
      </w:r>
    </w:p>
    <w:p w14:paraId="534AE593"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5FC93CEF" w14:textId="3F7647A7" w:rsidR="009D46C3" w:rsidRPr="006969B3" w:rsidRDefault="009D46C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2. Las tasas y sobretasas de seguridad de que trata el artículo</w:t>
      </w:r>
      <w:r w:rsidR="003E632B">
        <w:rPr>
          <w:rFonts w:ascii="Arial" w:hAnsi="Arial" w:cs="Arial"/>
          <w:sz w:val="22"/>
          <w:szCs w:val="22"/>
          <w:lang w:val="es-CO"/>
        </w:rPr>
        <w:t xml:space="preserve"> </w:t>
      </w:r>
      <w:r w:rsidR="00AC4234">
        <w:rPr>
          <w:rFonts w:ascii="Arial" w:hAnsi="Arial" w:cs="Arial"/>
          <w:sz w:val="22"/>
          <w:szCs w:val="22"/>
          <w:lang w:val="es-CO"/>
        </w:rPr>
        <w:t>8</w:t>
      </w:r>
      <w:r w:rsidRPr="006969B3">
        <w:rPr>
          <w:rFonts w:ascii="Arial" w:hAnsi="Arial" w:cs="Arial"/>
          <w:sz w:val="22"/>
          <w:szCs w:val="22"/>
          <w:lang w:val="es-CO"/>
        </w:rPr>
        <w:t> de la Ley 1421 de 2010.</w:t>
      </w:r>
    </w:p>
    <w:p w14:paraId="463382E0" w14:textId="7B561A8E" w:rsidR="009D46C3" w:rsidRPr="006969B3" w:rsidRDefault="009D46C3" w:rsidP="00F65283">
      <w:pPr>
        <w:spacing w:after="0" w:line="240" w:lineRule="auto"/>
        <w:rPr>
          <w:rFonts w:ascii="Arial" w:hAnsi="Arial" w:cs="Arial"/>
          <w:lang w:val="es-CO"/>
        </w:rPr>
      </w:pPr>
    </w:p>
    <w:p w14:paraId="4130B45A" w14:textId="35B0580E" w:rsidR="009D46C3" w:rsidRPr="006969B3" w:rsidRDefault="009D46C3" w:rsidP="00F65283">
      <w:pPr>
        <w:pStyle w:val="NormalWeb"/>
        <w:spacing w:before="0" w:beforeAutospacing="0" w:after="0" w:afterAutospacing="0"/>
        <w:jc w:val="both"/>
        <w:rPr>
          <w:rFonts w:ascii="Arial" w:hAnsi="Arial" w:cs="Arial"/>
          <w:sz w:val="22"/>
          <w:szCs w:val="22"/>
          <w:lang w:val="es-CO"/>
        </w:rPr>
      </w:pPr>
      <w:bookmarkStart w:id="147" w:name="134"/>
      <w:r w:rsidRPr="006969B3">
        <w:rPr>
          <w:rFonts w:ascii="Arial" w:hAnsi="Arial" w:cs="Arial"/>
          <w:sz w:val="22"/>
          <w:szCs w:val="22"/>
          <w:lang w:val="es-CO"/>
        </w:rPr>
        <w:t>ARTÍCULO 134. COMPORTAMIENTOS RELACIONADOS CON EL CUMPLIMIENTO DE LA NORMATIVIDAD QUE AFECTAN LA ACTIVIDAD ECONÓMICA.</w:t>
      </w:r>
      <w:bookmarkEnd w:id="147"/>
      <w:r w:rsidRPr="006969B3">
        <w:rPr>
          <w:rFonts w:ascii="Arial" w:hAnsi="Arial" w:cs="Arial"/>
          <w:sz w:val="22"/>
          <w:szCs w:val="22"/>
          <w:lang w:val="es-CO"/>
        </w:rPr>
        <w:t> Adiciónese un parágrafo nuevo al artículo</w:t>
      </w:r>
      <w:r w:rsidR="00AC4234">
        <w:rPr>
          <w:rFonts w:ascii="Arial" w:hAnsi="Arial" w:cs="Arial"/>
          <w:sz w:val="22"/>
          <w:szCs w:val="22"/>
          <w:lang w:val="es-CO"/>
        </w:rPr>
        <w:t xml:space="preserve"> 92</w:t>
      </w:r>
      <w:r w:rsidRPr="006969B3">
        <w:rPr>
          <w:rFonts w:ascii="Arial" w:hAnsi="Arial" w:cs="Arial"/>
          <w:sz w:val="22"/>
          <w:szCs w:val="22"/>
          <w:lang w:val="es-CO"/>
        </w:rPr>
        <w:t> de la Ley 1801 de 2016, Código Nacional de Policía y Convivencia, el cual quedará así:</w:t>
      </w:r>
    </w:p>
    <w:p w14:paraId="5AAA8F7E" w14:textId="77777777" w:rsidR="0063239B" w:rsidRPr="006969B3" w:rsidRDefault="0063239B" w:rsidP="00F65283">
      <w:pPr>
        <w:pStyle w:val="NormalWeb"/>
        <w:spacing w:before="0" w:beforeAutospacing="0" w:after="0" w:afterAutospacing="0"/>
        <w:jc w:val="both"/>
        <w:rPr>
          <w:rStyle w:val="baj"/>
          <w:rFonts w:ascii="Arial" w:hAnsi="Arial" w:cs="Arial"/>
          <w:sz w:val="22"/>
          <w:szCs w:val="22"/>
          <w:lang w:val="es-CO"/>
        </w:rPr>
      </w:pPr>
    </w:p>
    <w:p w14:paraId="0483A688" w14:textId="5A9BE5EF" w:rsidR="009D46C3" w:rsidRPr="006969B3" w:rsidRDefault="009D46C3"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7o.</w:t>
      </w:r>
      <w:r w:rsidRPr="006969B3">
        <w:rPr>
          <w:rFonts w:ascii="Arial" w:hAnsi="Arial" w:cs="Arial"/>
          <w:sz w:val="22"/>
          <w:szCs w:val="22"/>
          <w:lang w:val="es-CO"/>
        </w:rPr>
        <w:t> Para efecto de la aplicación del numeral 16 del presente artículo, sobre comportamientos relacionados con desarrollar la actividad económica sin cumplir cualquiera de los requisitos establecidos en la normatividad vigente, el mismo se deberá interpretar y aplicar únicamente teniendo en cuenta los requisitos de apertura y funcionamiento que se establecen en el artículo </w:t>
      </w:r>
      <w:r w:rsidR="00AC4234">
        <w:rPr>
          <w:rFonts w:ascii="Arial" w:hAnsi="Arial" w:cs="Arial"/>
          <w:sz w:val="22"/>
          <w:szCs w:val="22"/>
          <w:lang w:val="es-CO"/>
        </w:rPr>
        <w:t>87</w:t>
      </w:r>
      <w:r w:rsidRPr="006969B3">
        <w:rPr>
          <w:rFonts w:ascii="Arial" w:hAnsi="Arial" w:cs="Arial"/>
          <w:sz w:val="22"/>
          <w:szCs w:val="22"/>
          <w:lang w:val="es-CO"/>
        </w:rPr>
        <w:t> de la Ley 1801 de 2016.</w:t>
      </w:r>
    </w:p>
    <w:p w14:paraId="77B3F129"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49986DF9" w14:textId="5C4FAD30" w:rsidR="009D46C3" w:rsidRPr="006969B3" w:rsidRDefault="009D46C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En todo caso, el control de uso reglamentado del suelo y las disposiciones de ubicación, destinación o finalidad, para la que fue construida la edificación, es exclusiva de los Inspectores de Policía de conformidad con el numeral 12 del presente artículo. No procederá la medida de suspensión temporal de actividades.</w:t>
      </w:r>
    </w:p>
    <w:p w14:paraId="77BFB6A1" w14:textId="4D37B338" w:rsidR="009D46C3" w:rsidRPr="006969B3" w:rsidRDefault="009D46C3" w:rsidP="00F65283">
      <w:pPr>
        <w:spacing w:after="0" w:line="240" w:lineRule="auto"/>
        <w:rPr>
          <w:rFonts w:ascii="Arial" w:hAnsi="Arial" w:cs="Arial"/>
          <w:lang w:val="es-CO"/>
        </w:rPr>
      </w:pPr>
    </w:p>
    <w:p w14:paraId="10CE4224" w14:textId="77777777" w:rsidR="009D46C3" w:rsidRPr="006969B3" w:rsidRDefault="009D46C3" w:rsidP="00F65283">
      <w:pPr>
        <w:pStyle w:val="NormalWeb"/>
        <w:spacing w:before="0" w:beforeAutospacing="0" w:after="0" w:afterAutospacing="0"/>
        <w:jc w:val="both"/>
        <w:rPr>
          <w:rFonts w:ascii="Arial" w:hAnsi="Arial" w:cs="Arial"/>
          <w:sz w:val="22"/>
          <w:szCs w:val="22"/>
          <w:lang w:val="es-CO"/>
        </w:rPr>
      </w:pPr>
      <w:bookmarkStart w:id="148" w:name="135"/>
      <w:r w:rsidRPr="006969B3">
        <w:rPr>
          <w:rFonts w:ascii="Arial" w:hAnsi="Arial" w:cs="Arial"/>
          <w:sz w:val="22"/>
          <w:szCs w:val="22"/>
          <w:lang w:val="es-CO"/>
        </w:rPr>
        <w:t>ARTÍCULO 135. DISPOSITIVOS DE ESCANEO PARA LA VIGILANCIA FRONTERIZA Y NACIONAL.</w:t>
      </w:r>
      <w:bookmarkEnd w:id="148"/>
      <w:r w:rsidRPr="006969B3">
        <w:rPr>
          <w:rFonts w:ascii="Arial" w:hAnsi="Arial" w:cs="Arial"/>
          <w:sz w:val="22"/>
          <w:szCs w:val="22"/>
          <w:lang w:val="es-CO"/>
        </w:rPr>
        <w:t> El Gobierno nacional, a través del Ministerio de Defensa Nacional y la Policía Nacional o por intermedio de los órganos que este determine, en desarrollo de la estrategia de política pública sobre la consolidación de control institucional de los territorios, que enfrente la criminalidad y las economías ilegales, implementará y dispondrá de los mecanismos e inversiones necesarias que permitan la adquisición a cualquier título de equipos e infraestructura tecnológica que facilite y coadyuve a la vigilancia móvil fronteriza y nacional, buscando con ello, salvaguardar la Seguridad y Defensa Nacional del Estado, controlar los pasos de frontera, luchar contra las economías ilegales, defender y proteger a la población civil y las estructuras militares del Estado frente a eventuales ataques terroristas, combatir el tráfico de drogas, armas, explosivos, el contrabando y combatir la trata de personas, entre otras conductas delictivas.</w:t>
      </w:r>
    </w:p>
    <w:p w14:paraId="68D8CB9A"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53CC1819" w14:textId="6CE358F6" w:rsidR="009D46C3" w:rsidRPr="006969B3" w:rsidRDefault="009D46C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Los equipos, infraestructura o software que se adquieran deberán facilitar y permitir de manera estacionaria, móvil o remota, el rastreo, escaneo, detección y transmisión de imágenes que faciliten el control, vigilancia y lucha contra las conductas antijurídicas antes referidas o para cualquier otra que llegare a ser considerada de importancia para la defensa y seguridad nacional y deberán permitir entre otros aspectos, (detección de objetos y personas) y visualización de rayos x, gamma, neutrones, retrodispersión u otras tecnologías, que permitan a la transmisión de las imágenes detectadas por los dispositivos que llegaren a ser adquiridos para las finalidades previamente mencionadas.</w:t>
      </w:r>
    </w:p>
    <w:p w14:paraId="57C559B0" w14:textId="6007C50F" w:rsidR="009D46C3" w:rsidRPr="006969B3" w:rsidRDefault="009D46C3" w:rsidP="00F65283">
      <w:pPr>
        <w:spacing w:after="0" w:line="240" w:lineRule="auto"/>
        <w:rPr>
          <w:rFonts w:ascii="Arial" w:hAnsi="Arial" w:cs="Arial"/>
          <w:lang w:val="es-CO"/>
        </w:rPr>
      </w:pPr>
    </w:p>
    <w:p w14:paraId="490E9046" w14:textId="77777777" w:rsidR="009D46C3" w:rsidRPr="006969B3" w:rsidRDefault="009D46C3" w:rsidP="00F65283">
      <w:pPr>
        <w:pStyle w:val="NormalWeb"/>
        <w:spacing w:before="0" w:beforeAutospacing="0" w:after="0" w:afterAutospacing="0"/>
        <w:jc w:val="both"/>
        <w:rPr>
          <w:rFonts w:ascii="Arial" w:hAnsi="Arial" w:cs="Arial"/>
          <w:sz w:val="22"/>
          <w:szCs w:val="22"/>
          <w:lang w:val="es-CO"/>
        </w:rPr>
      </w:pPr>
      <w:bookmarkStart w:id="149" w:name="136"/>
      <w:r w:rsidRPr="006969B3">
        <w:rPr>
          <w:rFonts w:ascii="Arial" w:hAnsi="Arial" w:cs="Arial"/>
          <w:sz w:val="22"/>
          <w:szCs w:val="22"/>
          <w:lang w:val="es-CO"/>
        </w:rPr>
        <w:t>ARTÍCULO 136. ACCESO A LA INFORMACIÓN.</w:t>
      </w:r>
      <w:bookmarkEnd w:id="149"/>
      <w:r w:rsidRPr="006969B3">
        <w:rPr>
          <w:rFonts w:ascii="Arial" w:hAnsi="Arial" w:cs="Arial"/>
          <w:sz w:val="22"/>
          <w:szCs w:val="22"/>
          <w:lang w:val="es-CO"/>
        </w:rPr>
        <w:t> La Contraloría General de la República para el cumplimiento de sus funciones, tendrá acceso sin restricciones a los sistemas de Información o bases de datos de las entidades públicas y privadas que dispongan o administren recursos y/o ejerzan funciones públicas.</w:t>
      </w:r>
    </w:p>
    <w:p w14:paraId="4E80A044"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4EC1B761" w14:textId="251FC2CB" w:rsidR="009D46C3" w:rsidRPr="006969B3" w:rsidRDefault="009D46C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 reserva legal de información o documentos no le será oponible a la Contraloría General de la República y se entenderá extendida exclusivamente para su uso en el marco de sus funciones constitucionales y legales.</w:t>
      </w:r>
    </w:p>
    <w:p w14:paraId="564DD159" w14:textId="77777777" w:rsidR="0063239B" w:rsidRPr="006969B3" w:rsidRDefault="0063239B" w:rsidP="00F65283">
      <w:pPr>
        <w:pStyle w:val="NormalWeb"/>
        <w:spacing w:before="0" w:beforeAutospacing="0" w:after="0" w:afterAutospacing="0"/>
        <w:jc w:val="both"/>
        <w:rPr>
          <w:rStyle w:val="baj"/>
          <w:rFonts w:ascii="Arial" w:hAnsi="Arial" w:cs="Arial"/>
          <w:sz w:val="22"/>
          <w:szCs w:val="22"/>
          <w:lang w:val="es-CO"/>
        </w:rPr>
      </w:pPr>
    </w:p>
    <w:p w14:paraId="78A4D7EE" w14:textId="37912539" w:rsidR="009D46C3" w:rsidRPr="006969B3" w:rsidRDefault="009D46C3"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Cada entidad deberá disponer de lo necesario para garantizar el suministro oportuno y en tiempo real de la información requerida por la Contraloría General de la República.</w:t>
      </w:r>
    </w:p>
    <w:p w14:paraId="7FA669EA" w14:textId="77777777" w:rsidR="0063239B" w:rsidRPr="006969B3" w:rsidRDefault="0063239B" w:rsidP="00F65283">
      <w:pPr>
        <w:pStyle w:val="NormalWeb"/>
        <w:spacing w:before="0" w:beforeAutospacing="0" w:after="0" w:afterAutospacing="0"/>
        <w:jc w:val="both"/>
        <w:rPr>
          <w:rStyle w:val="baj"/>
          <w:rFonts w:ascii="Arial" w:hAnsi="Arial" w:cs="Arial"/>
          <w:sz w:val="22"/>
          <w:szCs w:val="22"/>
          <w:lang w:val="es-CO"/>
        </w:rPr>
      </w:pPr>
    </w:p>
    <w:p w14:paraId="66FCC18A" w14:textId="026534C7" w:rsidR="009D46C3" w:rsidRPr="006969B3" w:rsidRDefault="009D46C3"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Además de las sanciones ya previstas en la ley, la Contraloría General de la República podrá suspender en el ejercicio del cargo, hasta por el término de 180 días y con el fin de impulsar el correcto ejercicio del control fiscal, a los servidores públicos que impidan o entorpezcan el acceso a la información, previo agotamiento del procedimiento legal administrativo correspondiente, en el cual se garantizará el derecho al debido proceso. El Contralor General de la República reglamentará la materia.</w:t>
      </w:r>
    </w:p>
    <w:p w14:paraId="0999C38C" w14:textId="2E3A3BFC" w:rsidR="009D46C3" w:rsidRPr="006969B3" w:rsidRDefault="009D46C3" w:rsidP="00F65283">
      <w:pPr>
        <w:spacing w:after="0" w:line="240" w:lineRule="auto"/>
        <w:rPr>
          <w:rFonts w:ascii="Arial" w:hAnsi="Arial" w:cs="Arial"/>
          <w:lang w:val="es-CO"/>
        </w:rPr>
      </w:pPr>
    </w:p>
    <w:p w14:paraId="6AEF815D" w14:textId="44D2AC9D" w:rsidR="009D46C3" w:rsidRPr="006969B3" w:rsidRDefault="009D46C3" w:rsidP="00F65283">
      <w:pPr>
        <w:pStyle w:val="NormalWeb"/>
        <w:spacing w:before="0" w:beforeAutospacing="0" w:after="0" w:afterAutospacing="0"/>
        <w:jc w:val="both"/>
        <w:rPr>
          <w:rFonts w:ascii="Arial" w:hAnsi="Arial" w:cs="Arial"/>
          <w:sz w:val="22"/>
          <w:szCs w:val="22"/>
          <w:lang w:val="es-CO"/>
        </w:rPr>
      </w:pPr>
      <w:bookmarkStart w:id="150" w:name="137"/>
      <w:r w:rsidRPr="006969B3">
        <w:rPr>
          <w:rFonts w:ascii="Arial" w:hAnsi="Arial" w:cs="Arial"/>
          <w:sz w:val="22"/>
          <w:szCs w:val="22"/>
          <w:lang w:val="es-CO"/>
        </w:rPr>
        <w:t>ARTÍCULO 137. TARIFA DE CONTROL FISCAL.</w:t>
      </w:r>
      <w:bookmarkEnd w:id="150"/>
      <w:r w:rsidRPr="006969B3">
        <w:rPr>
          <w:rFonts w:ascii="Arial" w:hAnsi="Arial" w:cs="Arial"/>
          <w:sz w:val="22"/>
          <w:szCs w:val="22"/>
          <w:lang w:val="es-CO"/>
        </w:rPr>
        <w:t> La liquidación y recaudo de la Tarifa de Control Fiscal a la que se refiere el artículo </w:t>
      </w:r>
      <w:r w:rsidR="00AC4234">
        <w:rPr>
          <w:rFonts w:ascii="Arial" w:hAnsi="Arial" w:cs="Arial"/>
          <w:sz w:val="22"/>
          <w:szCs w:val="22"/>
          <w:lang w:val="es-CO"/>
        </w:rPr>
        <w:t>4</w:t>
      </w:r>
      <w:r w:rsidRPr="006969B3">
        <w:rPr>
          <w:rFonts w:ascii="Arial" w:hAnsi="Arial" w:cs="Arial"/>
          <w:sz w:val="22"/>
          <w:szCs w:val="22"/>
          <w:lang w:val="es-CO"/>
        </w:rPr>
        <w:t> de la Ley 106 de 1993, será de competencia del Ministerio de Hacienda y Crédito Público a partir de la presente vigencia fiscal.</w:t>
      </w:r>
    </w:p>
    <w:p w14:paraId="0142ACC6" w14:textId="0B1BF46A" w:rsidR="009D46C3" w:rsidRPr="006969B3" w:rsidRDefault="009D46C3" w:rsidP="00F65283">
      <w:pPr>
        <w:spacing w:after="0" w:line="240" w:lineRule="auto"/>
        <w:rPr>
          <w:rFonts w:ascii="Arial" w:hAnsi="Arial" w:cs="Arial"/>
          <w:lang w:val="es-CO"/>
        </w:rPr>
      </w:pPr>
    </w:p>
    <w:p w14:paraId="75EACF44" w14:textId="143F0BA9" w:rsidR="009D46C3" w:rsidRPr="006969B3" w:rsidRDefault="009D46C3" w:rsidP="00F65283">
      <w:pPr>
        <w:pStyle w:val="NormalWeb"/>
        <w:spacing w:before="0" w:beforeAutospacing="0" w:after="0" w:afterAutospacing="0"/>
        <w:jc w:val="both"/>
        <w:rPr>
          <w:rFonts w:ascii="Arial" w:hAnsi="Arial" w:cs="Arial"/>
          <w:sz w:val="22"/>
          <w:szCs w:val="22"/>
          <w:lang w:val="es-CO"/>
        </w:rPr>
      </w:pPr>
      <w:bookmarkStart w:id="151" w:name="138"/>
      <w:r w:rsidRPr="006969B3">
        <w:rPr>
          <w:rFonts w:ascii="Arial" w:hAnsi="Arial" w:cs="Arial"/>
          <w:sz w:val="22"/>
          <w:szCs w:val="22"/>
          <w:lang w:val="es-CO"/>
        </w:rPr>
        <w:t>ARTÍCULO 138. RECURSOS PARA EL FONDO BIENESTAR DE LA CONTRALORÍA GENERAL DE LA REPÚBLICA.</w:t>
      </w:r>
      <w:bookmarkEnd w:id="151"/>
      <w:r w:rsidRPr="006969B3">
        <w:rPr>
          <w:rFonts w:ascii="Arial" w:hAnsi="Arial" w:cs="Arial"/>
          <w:sz w:val="22"/>
          <w:szCs w:val="22"/>
          <w:lang w:val="es-CO"/>
        </w:rPr>
        <w:t> Adiciónese un parágrafo al artículo</w:t>
      </w:r>
      <w:r w:rsidR="00681F15">
        <w:rPr>
          <w:rFonts w:ascii="Arial" w:hAnsi="Arial" w:cs="Arial"/>
          <w:sz w:val="22"/>
          <w:szCs w:val="22"/>
          <w:lang w:val="es-CO"/>
        </w:rPr>
        <w:t xml:space="preserve"> 91</w:t>
      </w:r>
      <w:r w:rsidRPr="006969B3">
        <w:rPr>
          <w:rFonts w:ascii="Arial" w:hAnsi="Arial" w:cs="Arial"/>
          <w:sz w:val="22"/>
          <w:szCs w:val="22"/>
          <w:lang w:val="es-CO"/>
        </w:rPr>
        <w:t> de la Ley 106 de 1993, el cual quedará así:</w:t>
      </w:r>
    </w:p>
    <w:p w14:paraId="18D80098" w14:textId="77777777" w:rsidR="0063239B" w:rsidRPr="006969B3" w:rsidRDefault="0063239B" w:rsidP="00F65283">
      <w:pPr>
        <w:pStyle w:val="NormalWeb"/>
        <w:spacing w:before="0" w:beforeAutospacing="0" w:after="0" w:afterAutospacing="0"/>
        <w:jc w:val="both"/>
        <w:rPr>
          <w:rStyle w:val="baj"/>
          <w:rFonts w:ascii="Arial" w:hAnsi="Arial" w:cs="Arial"/>
          <w:sz w:val="22"/>
          <w:szCs w:val="22"/>
          <w:lang w:val="es-CO"/>
        </w:rPr>
      </w:pPr>
    </w:p>
    <w:p w14:paraId="4C1E4B68" w14:textId="4A7C2D05" w:rsidR="009D46C3" w:rsidRPr="006969B3" w:rsidRDefault="009D46C3"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xml:space="preserve"> Sin perjuicio de lo dispuesto en el presente artículo, la Contraloría General de la República podrá destinar recursos de su presupuesto, para la ejecución directa de planes y programas o el </w:t>
      </w:r>
      <w:proofErr w:type="spellStart"/>
      <w:r w:rsidRPr="006969B3">
        <w:rPr>
          <w:rFonts w:ascii="Arial" w:hAnsi="Arial" w:cs="Arial"/>
          <w:sz w:val="22"/>
          <w:szCs w:val="22"/>
          <w:lang w:val="es-CO"/>
        </w:rPr>
        <w:t>desarro</w:t>
      </w:r>
      <w:proofErr w:type="spellEnd"/>
      <w:r w:rsidRPr="006969B3">
        <w:rPr>
          <w:rFonts w:ascii="Arial" w:hAnsi="Arial" w:cs="Arial"/>
          <w:sz w:val="22"/>
          <w:szCs w:val="22"/>
          <w:lang w:val="es-CO"/>
        </w:rPr>
        <w:t xml:space="preserve"> </w:t>
      </w:r>
      <w:proofErr w:type="spellStart"/>
      <w:r w:rsidRPr="006969B3">
        <w:rPr>
          <w:rFonts w:ascii="Arial" w:hAnsi="Arial" w:cs="Arial"/>
          <w:sz w:val="22"/>
          <w:szCs w:val="22"/>
          <w:lang w:val="es-CO"/>
        </w:rPr>
        <w:t>llo</w:t>
      </w:r>
      <w:proofErr w:type="spellEnd"/>
      <w:r w:rsidRPr="006969B3">
        <w:rPr>
          <w:rFonts w:ascii="Arial" w:hAnsi="Arial" w:cs="Arial"/>
          <w:sz w:val="22"/>
          <w:szCs w:val="22"/>
          <w:lang w:val="es-CO"/>
        </w:rPr>
        <w:t xml:space="preserve"> de actividades de bienestar social para los servidores de la entidad, lo cual realizará en coordinación con el Fondo de Bienestar Social.</w:t>
      </w:r>
    </w:p>
    <w:p w14:paraId="413FA2C8" w14:textId="319B90A6" w:rsidR="009D46C3" w:rsidRPr="006969B3" w:rsidRDefault="009D46C3" w:rsidP="00F65283">
      <w:pPr>
        <w:spacing w:after="0" w:line="240" w:lineRule="auto"/>
        <w:rPr>
          <w:rFonts w:ascii="Arial" w:hAnsi="Arial" w:cs="Arial"/>
          <w:lang w:val="es-CO"/>
        </w:rPr>
      </w:pPr>
    </w:p>
    <w:p w14:paraId="4154AFDE" w14:textId="77777777" w:rsidR="009D46C3" w:rsidRPr="006969B3" w:rsidRDefault="009D46C3" w:rsidP="00F65283">
      <w:pPr>
        <w:pStyle w:val="NormalWeb"/>
        <w:spacing w:before="0" w:beforeAutospacing="0" w:after="0" w:afterAutospacing="0"/>
        <w:jc w:val="both"/>
        <w:rPr>
          <w:rFonts w:ascii="Arial" w:hAnsi="Arial" w:cs="Arial"/>
          <w:sz w:val="22"/>
          <w:szCs w:val="22"/>
          <w:lang w:val="es-CO"/>
        </w:rPr>
      </w:pPr>
      <w:bookmarkStart w:id="152" w:name="139"/>
      <w:r w:rsidRPr="006969B3">
        <w:rPr>
          <w:rFonts w:ascii="Arial" w:hAnsi="Arial" w:cs="Arial"/>
          <w:sz w:val="22"/>
          <w:szCs w:val="22"/>
          <w:lang w:val="es-CO"/>
        </w:rPr>
        <w:t>ARTÍCULO 139. PLAN DECENAL DEL MINISTERIO PÚBLICO.</w:t>
      </w:r>
      <w:bookmarkEnd w:id="152"/>
      <w:r w:rsidRPr="006969B3">
        <w:rPr>
          <w:rFonts w:ascii="Arial" w:hAnsi="Arial" w:cs="Arial"/>
          <w:sz w:val="22"/>
          <w:szCs w:val="22"/>
          <w:lang w:val="es-CO"/>
        </w:rPr>
        <w:t> Con el objeto de promover la coordinación, eficiencia, eficacia y modernización del Ministerio Público, la Procuraduría General de la Nación coordinará con la Defensoría del Pueblo, las personerías distritales y municipales y la Vicepresidencia de la República, la elaboración del Plan decenal del Ministerio Público, el cual deberá formularse dentro de los dos (2) años siguientes a la promulgación de esta ley. La secretaría técnica a cargo de la elaboración y seguimiento del plan estará a cargo del Instituto de Estudios del Ministerio Público, y la Procuraduría General de la Nación presentará sus avances anualmente al Congreso de la República.</w:t>
      </w:r>
    </w:p>
    <w:p w14:paraId="4DE27E98"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68EBAFFD" w14:textId="38090A72" w:rsidR="009D46C3" w:rsidRPr="006969B3" w:rsidRDefault="009D46C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Plan debe contener, por lo menos, los objetivos interinstitucionales, un plan de acción para lograrlos, las metas interinstitucionales, las actividades y la definición de los mecanismos de seguimiento dirigidas a preservar el interés general, luchar contra la corrupción y la efectividad de los derechos en Colombia.</w:t>
      </w:r>
    </w:p>
    <w:p w14:paraId="46ED130D"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34CB5CAB" w14:textId="0C26C8AC" w:rsidR="009D46C3" w:rsidRPr="006969B3" w:rsidRDefault="009D46C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Las entidades y organismos del Gobierno nacional, las universidades y los centros de investigación y las organizaciones de trabajadores, podrán</w:t>
      </w:r>
    </w:p>
    <w:p w14:paraId="78AEEB34" w14:textId="77777777" w:rsidR="009D46C3" w:rsidRPr="006969B3" w:rsidRDefault="009D46C3"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formular recomendaciones.</w:t>
      </w:r>
    </w:p>
    <w:p w14:paraId="03E484C9" w14:textId="77777777" w:rsidR="0063239B" w:rsidRPr="006969B3" w:rsidRDefault="0063239B" w:rsidP="00F65283">
      <w:pPr>
        <w:pStyle w:val="NormalWeb"/>
        <w:spacing w:before="0" w:beforeAutospacing="0" w:after="0" w:afterAutospacing="0"/>
        <w:jc w:val="both"/>
        <w:rPr>
          <w:rStyle w:val="baj"/>
          <w:rFonts w:ascii="Arial" w:hAnsi="Arial" w:cs="Arial"/>
          <w:sz w:val="22"/>
          <w:szCs w:val="22"/>
          <w:lang w:val="es-CO"/>
        </w:rPr>
      </w:pPr>
    </w:p>
    <w:p w14:paraId="698216FC" w14:textId="7E6731FF" w:rsidR="009D46C3" w:rsidRPr="006969B3" w:rsidRDefault="009D46C3"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Las personerías distritales y municipales, oficinas de control interno disciplinario de todas las entidades públicas u órganos internos de control disciplinario estarán obligadas a reportar la información de todos los procesos que adelanten como operadores disciplinarios al Sistema de Información Misional de la Procuraduría General de la Nación, o el que haga sus veces, en el marco exclusivo de las leyes</w:t>
      </w:r>
      <w:r w:rsidR="00681F15">
        <w:rPr>
          <w:rFonts w:ascii="Arial" w:hAnsi="Arial" w:cs="Arial"/>
          <w:sz w:val="22"/>
          <w:szCs w:val="22"/>
          <w:lang w:val="es-CO"/>
        </w:rPr>
        <w:t xml:space="preserve"> 734</w:t>
      </w:r>
      <w:r w:rsidRPr="006969B3">
        <w:rPr>
          <w:rFonts w:ascii="Arial" w:hAnsi="Arial" w:cs="Arial"/>
          <w:sz w:val="22"/>
          <w:szCs w:val="22"/>
          <w:lang w:val="es-CO"/>
        </w:rPr>
        <w:t> de 2002 y</w:t>
      </w:r>
      <w:r w:rsidR="00486A58">
        <w:rPr>
          <w:rFonts w:ascii="Arial" w:hAnsi="Arial" w:cs="Arial"/>
          <w:sz w:val="22"/>
          <w:szCs w:val="22"/>
          <w:lang w:val="es-CO"/>
        </w:rPr>
        <w:t xml:space="preserve"> 1952</w:t>
      </w:r>
      <w:r w:rsidR="00486A58" w:rsidRPr="0074467C">
        <w:rPr>
          <w:lang w:val="es-CO"/>
        </w:rPr>
        <w:t xml:space="preserve"> </w:t>
      </w:r>
      <w:r w:rsidRPr="006969B3">
        <w:rPr>
          <w:rFonts w:ascii="Arial" w:hAnsi="Arial" w:cs="Arial"/>
          <w:sz w:val="22"/>
          <w:szCs w:val="22"/>
          <w:lang w:val="es-CO"/>
        </w:rPr>
        <w:t>de 2019, de forma que habrá un sistema unificado del registro disciplinario. Este sistema será coordinado por la Procuraduría General de la Nación como supremo director del Ministerio Público y para lo cual dispondrá las medidas necesarias para la adopción y uso del sistema de información en cada una de las entidades y dependencias enunciadas.</w:t>
      </w:r>
    </w:p>
    <w:p w14:paraId="134F981B"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bookmarkStart w:id="153" w:name="140"/>
    </w:p>
    <w:p w14:paraId="58FAD746" w14:textId="72ACB03C"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140. PRÓRROGA CÓDIGO GENERAL DISCIPLINARIO.</w:t>
      </w:r>
      <w:bookmarkEnd w:id="153"/>
      <w:r w:rsidRPr="006969B3">
        <w:rPr>
          <w:rFonts w:ascii="Arial" w:hAnsi="Arial" w:cs="Arial"/>
          <w:sz w:val="22"/>
          <w:szCs w:val="22"/>
          <w:lang w:val="es-CO"/>
        </w:rPr>
        <w:t xml:space="preserve"> Prorróguese hasta el 1 de julio de 2021 la </w:t>
      </w:r>
      <w:proofErr w:type="gramStart"/>
      <w:r w:rsidRPr="006969B3">
        <w:rPr>
          <w:rFonts w:ascii="Arial" w:hAnsi="Arial" w:cs="Arial"/>
          <w:sz w:val="22"/>
          <w:szCs w:val="22"/>
          <w:lang w:val="es-CO"/>
        </w:rPr>
        <w:t>entrada en vigencia</w:t>
      </w:r>
      <w:proofErr w:type="gramEnd"/>
      <w:r w:rsidRPr="006969B3">
        <w:rPr>
          <w:rFonts w:ascii="Arial" w:hAnsi="Arial" w:cs="Arial"/>
          <w:sz w:val="22"/>
          <w:szCs w:val="22"/>
          <w:lang w:val="es-CO"/>
        </w:rPr>
        <w:t xml:space="preserve"> de la Ley</w:t>
      </w:r>
      <w:r w:rsidR="00486A58">
        <w:rPr>
          <w:rFonts w:ascii="Arial" w:hAnsi="Arial" w:cs="Arial"/>
          <w:sz w:val="22"/>
          <w:szCs w:val="22"/>
          <w:lang w:val="es-CO"/>
        </w:rPr>
        <w:t xml:space="preserve"> 1952</w:t>
      </w:r>
      <w:r w:rsidRPr="006969B3">
        <w:rPr>
          <w:rFonts w:ascii="Arial" w:hAnsi="Arial" w:cs="Arial"/>
          <w:sz w:val="22"/>
          <w:szCs w:val="22"/>
          <w:lang w:val="es-CO"/>
        </w:rPr>
        <w:t> de 2019.</w:t>
      </w:r>
    </w:p>
    <w:p w14:paraId="49637812" w14:textId="1C89D651" w:rsidR="00FD16D6" w:rsidRPr="006969B3" w:rsidRDefault="00FD16D6" w:rsidP="00F65283">
      <w:pPr>
        <w:spacing w:after="0" w:line="240" w:lineRule="auto"/>
        <w:rPr>
          <w:rFonts w:ascii="Arial" w:hAnsi="Arial" w:cs="Arial"/>
          <w:lang w:val="es-CO"/>
        </w:rPr>
      </w:pPr>
    </w:p>
    <w:p w14:paraId="080237A3" w14:textId="7CB53174" w:rsidR="00FD16D6" w:rsidRPr="006969B3" w:rsidRDefault="00FD16D6" w:rsidP="00F65283">
      <w:pPr>
        <w:pStyle w:val="NormalWeb"/>
        <w:spacing w:before="0" w:beforeAutospacing="0" w:after="0" w:afterAutospacing="0"/>
        <w:jc w:val="both"/>
        <w:rPr>
          <w:rFonts w:ascii="Arial" w:hAnsi="Arial" w:cs="Arial"/>
          <w:sz w:val="22"/>
          <w:szCs w:val="22"/>
          <w:lang w:val="es-CO"/>
        </w:rPr>
      </w:pPr>
      <w:bookmarkStart w:id="154" w:name="141"/>
      <w:r w:rsidRPr="006969B3">
        <w:rPr>
          <w:rFonts w:ascii="Arial" w:hAnsi="Arial" w:cs="Arial"/>
          <w:sz w:val="22"/>
          <w:szCs w:val="22"/>
          <w:lang w:val="es-CO"/>
        </w:rPr>
        <w:t>ARTÍCULO 141. UNIDAD DE INVESTIGACIÓN Y ACUSACIÓN (UIA) DE LA JURISDICCIÓN ESPECIAL PARA LA PAZ (JEP).</w:t>
      </w:r>
      <w:bookmarkEnd w:id="154"/>
      <w:r w:rsidR="00710605" w:rsidRPr="006969B3">
        <w:rPr>
          <w:rFonts w:ascii="Arial" w:hAnsi="Arial" w:cs="Arial"/>
          <w:sz w:val="22"/>
          <w:szCs w:val="22"/>
          <w:lang w:val="es-CO"/>
        </w:rPr>
        <w:t xml:space="preserve"> </w:t>
      </w:r>
      <w:r w:rsidRPr="006969B3">
        <w:rPr>
          <w:rFonts w:ascii="Arial" w:hAnsi="Arial" w:cs="Arial"/>
          <w:sz w:val="22"/>
          <w:szCs w:val="22"/>
          <w:lang w:val="es-CO"/>
        </w:rPr>
        <w:t>El Estado, por intermedio del Gobierno nacional, garantizará la autonomía administrativa, técnica y presupuestal de la Unidad de Investigación y Acusación (UIA) de la Jurisdicción Especial para la Paz, para lo cual podrá hacer uso del plan de inversiones para la paz, contenido en el artículo</w:t>
      </w:r>
      <w:r w:rsidR="00486A58">
        <w:rPr>
          <w:rFonts w:ascii="Arial" w:hAnsi="Arial" w:cs="Arial"/>
          <w:sz w:val="22"/>
          <w:szCs w:val="22"/>
          <w:lang w:val="es-CO"/>
        </w:rPr>
        <w:t xml:space="preserve"> 3o</w:t>
      </w:r>
      <w:r w:rsidRPr="006969B3">
        <w:rPr>
          <w:rFonts w:ascii="Arial" w:hAnsi="Arial" w:cs="Arial"/>
          <w:sz w:val="22"/>
          <w:szCs w:val="22"/>
          <w:lang w:val="es-CO"/>
        </w:rPr>
        <w:t> del Acto Legislativo número 01 de 2016.</w:t>
      </w:r>
    </w:p>
    <w:p w14:paraId="77ABF989"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581D2DAC" w14:textId="6EEF9174"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Con el fin de garantizar el funcionamiento y autonomía administrativa, técnica y presupuestal de la Unidad de Investigación y Acusación (UIA), el </w:t>
      </w:r>
      <w:proofErr w:type="gramStart"/>
      <w:r w:rsidRPr="006969B3">
        <w:rPr>
          <w:rFonts w:ascii="Arial" w:hAnsi="Arial" w:cs="Arial"/>
          <w:sz w:val="22"/>
          <w:szCs w:val="22"/>
          <w:lang w:val="es-CO"/>
        </w:rPr>
        <w:t>Director</w:t>
      </w:r>
      <w:proofErr w:type="gramEnd"/>
      <w:r w:rsidRPr="006969B3">
        <w:rPr>
          <w:rFonts w:ascii="Arial" w:hAnsi="Arial" w:cs="Arial"/>
          <w:sz w:val="22"/>
          <w:szCs w:val="22"/>
          <w:lang w:val="es-CO"/>
        </w:rPr>
        <w:t xml:space="preserve"> ejercerá de manera exclusiva e independiente todas las funciones que correspondan para determinar la estructura y funcionamiento de la Unidad de Investigación y Acusación (UIA) de la Jurisdicción Especial para la Paz.</w:t>
      </w:r>
    </w:p>
    <w:p w14:paraId="23DE32DD" w14:textId="77777777" w:rsidR="0063239B" w:rsidRPr="006969B3" w:rsidRDefault="0063239B" w:rsidP="00F65283">
      <w:pPr>
        <w:pStyle w:val="NormalWeb"/>
        <w:spacing w:before="0" w:beforeAutospacing="0" w:after="0" w:afterAutospacing="0"/>
        <w:jc w:val="both"/>
        <w:rPr>
          <w:rStyle w:val="baj"/>
          <w:rFonts w:ascii="Arial" w:hAnsi="Arial" w:cs="Arial"/>
          <w:sz w:val="22"/>
          <w:szCs w:val="22"/>
          <w:lang w:val="es-CO"/>
        </w:rPr>
      </w:pPr>
    </w:p>
    <w:p w14:paraId="726E07EF" w14:textId="1B90FA47"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xml:space="preserve"> El </w:t>
      </w:r>
      <w:proofErr w:type="gramStart"/>
      <w:r w:rsidRPr="006969B3">
        <w:rPr>
          <w:rFonts w:ascii="Arial" w:hAnsi="Arial" w:cs="Arial"/>
          <w:sz w:val="22"/>
          <w:szCs w:val="22"/>
          <w:lang w:val="es-CO"/>
        </w:rPr>
        <w:t>Director</w:t>
      </w:r>
      <w:proofErr w:type="gramEnd"/>
      <w:r w:rsidRPr="006969B3">
        <w:rPr>
          <w:rFonts w:ascii="Arial" w:hAnsi="Arial" w:cs="Arial"/>
          <w:sz w:val="22"/>
          <w:szCs w:val="22"/>
          <w:lang w:val="es-CO"/>
        </w:rPr>
        <w:t xml:space="preserve"> de la Unidad de Investigación y Acusación (UIA) en desarrollo de tal facultad, asignará la planta de personal que corresponda a cada dependencia, podrá variarla cuando lo considere necesario y establecerá el manual de requisitos y funciones de cada uno de los empleos.</w:t>
      </w:r>
    </w:p>
    <w:p w14:paraId="4A6AD70E"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02333D9C" w14:textId="1E51FD30"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 unidad de investigación y acusación de la Jurisdicción Especial para la Paz se identificará como una sección en el Presupuesto General de la Nación.</w:t>
      </w:r>
    </w:p>
    <w:p w14:paraId="2D57F29C"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02CF3ECD" w14:textId="4ADA2205"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En ejercicio de estas atribuciones, el </w:t>
      </w:r>
      <w:proofErr w:type="gramStart"/>
      <w:r w:rsidRPr="006969B3">
        <w:rPr>
          <w:rFonts w:ascii="Arial" w:hAnsi="Arial" w:cs="Arial"/>
          <w:sz w:val="22"/>
          <w:szCs w:val="22"/>
          <w:lang w:val="es-CO"/>
        </w:rPr>
        <w:t>Director</w:t>
      </w:r>
      <w:proofErr w:type="gramEnd"/>
      <w:r w:rsidRPr="006969B3">
        <w:rPr>
          <w:rFonts w:ascii="Arial" w:hAnsi="Arial" w:cs="Arial"/>
          <w:sz w:val="22"/>
          <w:szCs w:val="22"/>
          <w:lang w:val="es-CO"/>
        </w:rPr>
        <w:t xml:space="preserve"> de la Unidad de Investigación Acusación (UIA), no podrá crear, con cargo al Tesoro, obligaciones que excedan el monto global fijado asignado en el Presupuesto a la unidad de investigación y acusación de la JEP.</w:t>
      </w:r>
    </w:p>
    <w:p w14:paraId="5DC432B5"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bookmarkStart w:id="155" w:name="142"/>
    </w:p>
    <w:p w14:paraId="0E5F6E83" w14:textId="2B2BB8F9"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142. CUENTAS DE DEPÓSITO EN EL BANCO DE LA REPÚBLICA.</w:t>
      </w:r>
      <w:bookmarkEnd w:id="155"/>
      <w:r w:rsidRPr="006969B3">
        <w:rPr>
          <w:rFonts w:ascii="Arial" w:hAnsi="Arial" w:cs="Arial"/>
          <w:sz w:val="22"/>
          <w:szCs w:val="22"/>
          <w:lang w:val="es-CO"/>
        </w:rPr>
        <w:t> No serán susceptibles de medidas cautelares por parte de cualquier autoridad judicial o administrativa las cuentas de depósito en el Banco de la República, salvo aquellas derivadas de la adopción de institutos de salvamento y protección de la confianza pública y/o de la toma de posesión y liquidación forzosa administrativa establecidos en el Estatuto Orgánico del Sistema Financiero y de las contempladas en el artículo</w:t>
      </w:r>
      <w:r w:rsidR="00486A58">
        <w:rPr>
          <w:rFonts w:ascii="Arial" w:hAnsi="Arial" w:cs="Arial"/>
          <w:sz w:val="22"/>
          <w:szCs w:val="22"/>
          <w:lang w:val="es-CO"/>
        </w:rPr>
        <w:t xml:space="preserve"> 6o</w:t>
      </w:r>
      <w:r w:rsidRPr="006969B3">
        <w:rPr>
          <w:rFonts w:ascii="Arial" w:hAnsi="Arial" w:cs="Arial"/>
          <w:sz w:val="22"/>
          <w:szCs w:val="22"/>
          <w:lang w:val="es-CO"/>
        </w:rPr>
        <w:t> de la Ley 964 de 2005.</w:t>
      </w:r>
    </w:p>
    <w:p w14:paraId="7E1F4E22" w14:textId="22030784" w:rsidR="00FD16D6" w:rsidRPr="006969B3" w:rsidRDefault="00FD16D6" w:rsidP="00F65283">
      <w:pPr>
        <w:spacing w:after="0" w:line="240" w:lineRule="auto"/>
        <w:rPr>
          <w:rFonts w:ascii="Arial" w:hAnsi="Arial" w:cs="Arial"/>
          <w:lang w:val="es-CO"/>
        </w:rPr>
      </w:pPr>
    </w:p>
    <w:p w14:paraId="1205778C" w14:textId="4FFA82E5" w:rsidR="00FD16D6" w:rsidRPr="006969B3" w:rsidRDefault="00FD16D6" w:rsidP="00F65283">
      <w:pPr>
        <w:pStyle w:val="NormalWeb"/>
        <w:spacing w:before="0" w:beforeAutospacing="0" w:after="0" w:afterAutospacing="0"/>
        <w:jc w:val="both"/>
        <w:rPr>
          <w:rFonts w:ascii="Arial" w:hAnsi="Arial" w:cs="Arial"/>
          <w:sz w:val="22"/>
          <w:szCs w:val="22"/>
          <w:lang w:val="es-CO"/>
        </w:rPr>
      </w:pPr>
      <w:bookmarkStart w:id="156" w:name="143"/>
      <w:r w:rsidRPr="006969B3">
        <w:rPr>
          <w:rFonts w:ascii="Arial" w:hAnsi="Arial" w:cs="Arial"/>
          <w:sz w:val="22"/>
          <w:szCs w:val="22"/>
          <w:lang w:val="es-CO"/>
        </w:rPr>
        <w:t>ARTÍCULO 143. BICENTENARIO DE LA INDEPENDENCIA NACIONAL.</w:t>
      </w:r>
      <w:bookmarkEnd w:id="156"/>
      <w:r w:rsidRPr="006969B3">
        <w:rPr>
          <w:rFonts w:ascii="Arial" w:hAnsi="Arial" w:cs="Arial"/>
          <w:sz w:val="22"/>
          <w:szCs w:val="22"/>
          <w:lang w:val="es-CO"/>
        </w:rPr>
        <w:t> Modifíquese el artículo </w:t>
      </w:r>
      <w:r w:rsidR="00486A58">
        <w:rPr>
          <w:rFonts w:ascii="Arial" w:hAnsi="Arial" w:cs="Arial"/>
          <w:sz w:val="22"/>
          <w:szCs w:val="22"/>
          <w:lang w:val="es-CO"/>
        </w:rPr>
        <w:t>13</w:t>
      </w:r>
      <w:r w:rsidRPr="006969B3">
        <w:rPr>
          <w:rFonts w:ascii="Arial" w:hAnsi="Arial" w:cs="Arial"/>
          <w:sz w:val="22"/>
          <w:szCs w:val="22"/>
          <w:lang w:val="es-CO"/>
        </w:rPr>
        <w:t> de la Ley 1916 de 2018, el cual quedará así:</w:t>
      </w:r>
    </w:p>
    <w:p w14:paraId="60DBC4BF" w14:textId="77777777" w:rsidR="00486A58" w:rsidRDefault="00486A58" w:rsidP="00F65283">
      <w:pPr>
        <w:pStyle w:val="NormalWeb"/>
        <w:spacing w:before="0" w:beforeAutospacing="0" w:after="0" w:afterAutospacing="0"/>
        <w:jc w:val="both"/>
        <w:rPr>
          <w:rFonts w:ascii="Arial" w:hAnsi="Arial" w:cs="Arial"/>
          <w:sz w:val="22"/>
          <w:szCs w:val="22"/>
          <w:lang w:val="es-CO"/>
        </w:rPr>
      </w:pPr>
    </w:p>
    <w:p w14:paraId="76C7FFD0" w14:textId="58AAA8FD"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w:t>
      </w:r>
      <w:r w:rsidR="00486A58">
        <w:rPr>
          <w:rFonts w:ascii="Arial" w:hAnsi="Arial" w:cs="Arial"/>
          <w:sz w:val="22"/>
          <w:szCs w:val="22"/>
          <w:lang w:val="es-CO"/>
        </w:rPr>
        <w:t xml:space="preserve"> 13</w:t>
      </w:r>
      <w:r w:rsidRPr="006969B3">
        <w:rPr>
          <w:rFonts w:ascii="Arial" w:hAnsi="Arial" w:cs="Arial"/>
          <w:sz w:val="22"/>
          <w:szCs w:val="22"/>
          <w:lang w:val="es-CO"/>
        </w:rPr>
        <w:t>. Para efectos de la conmemoración del Bicentenario de la Campaña Libertadora de 1819 en todo el territorio nacional y sin perjuicio de las asignaciones que definan las entidades territoriales comprendidas en esta Ley u otros sujetos de derecho público o privado, se crea un fondo cuenta sin personería jurídica denominado Fondo del Bicentenario.</w:t>
      </w:r>
    </w:p>
    <w:p w14:paraId="748BDB0A"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71ADB31D" w14:textId="6944194F"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Este Fondo estará adscrito al Departamento Administrativo de la Presidencia de la República - Vicepresidencia de la República y se integra con los siguientes recursos:</w:t>
      </w:r>
    </w:p>
    <w:p w14:paraId="3D503EEC"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2FBD56BF" w14:textId="345F0BB0"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 Recursos que se le asignen en el Presupuesto General de la Nación.</w:t>
      </w:r>
    </w:p>
    <w:p w14:paraId="45C2F727"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0DB5B6EE" w14:textId="4A8AB15C"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2. Recursos que se le asignen del Presupuesto de las entidades territoriales.</w:t>
      </w:r>
    </w:p>
    <w:p w14:paraId="398FB66C"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0F377E43" w14:textId="6390801D"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3. Recursos que el Ministerio de Cultura designe para la finalidad señalada.</w:t>
      </w:r>
    </w:p>
    <w:p w14:paraId="56D2D058"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5EF393D9" w14:textId="59561790"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lastRenderedPageBreak/>
        <w:t>4. Recursos que otras entidades nacionales destinen para la conmemoración del Bicentenario de la Campaña Libertadora de 1819 a través de los convenios interadministrativos con el Ministerio de Cultura mediante los cuales podrán transferirse los recursos indicados.</w:t>
      </w:r>
    </w:p>
    <w:p w14:paraId="5156FCFF"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417BDEEC" w14:textId="708FA26C"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5. Aportes de Cooperación Internacional.</w:t>
      </w:r>
    </w:p>
    <w:p w14:paraId="2E0CDBD5"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4823DD93" w14:textId="1134B4E8"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6. Donaciones, transferencias o aportes en dinero que reciba.</w:t>
      </w:r>
    </w:p>
    <w:p w14:paraId="2A2FBC16"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22F82214" w14:textId="3E5A5305"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7. Los recursos derivados de las operaciones que se realicen con los recursos del Fondo.</w:t>
      </w:r>
    </w:p>
    <w:p w14:paraId="751F9D72"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24400C4B" w14:textId="044F6699"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Para la vigencia de 2019 se harán las asignaciones presupuestales necesarias para el funcionamiento del fondo cuenta sin menoscabo de las apropiaciones existentes en entidades nacionales que se transfieran al mismo.</w:t>
      </w:r>
    </w:p>
    <w:p w14:paraId="5C80DE6B" w14:textId="77777777" w:rsidR="0063239B" w:rsidRPr="006969B3" w:rsidRDefault="0063239B" w:rsidP="00F65283">
      <w:pPr>
        <w:pStyle w:val="NormalWeb"/>
        <w:spacing w:before="0" w:beforeAutospacing="0" w:after="0" w:afterAutospacing="0"/>
        <w:jc w:val="both"/>
        <w:rPr>
          <w:rStyle w:val="baj"/>
          <w:rFonts w:ascii="Arial" w:hAnsi="Arial" w:cs="Arial"/>
          <w:sz w:val="22"/>
          <w:szCs w:val="22"/>
          <w:lang w:val="es-CO"/>
        </w:rPr>
      </w:pPr>
    </w:p>
    <w:p w14:paraId="48246779" w14:textId="04688AA9"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Como conmemoración del Bicentenario de la Independencia de Colombia el Banco de la República emitirá, por una sola vez, monedas conmemorativas de dichas efemérides.</w:t>
      </w:r>
    </w:p>
    <w:p w14:paraId="399C2C65" w14:textId="375FDE9B" w:rsidR="00D17D59" w:rsidRPr="006969B3" w:rsidRDefault="00D17D59" w:rsidP="00F65283">
      <w:pPr>
        <w:pStyle w:val="NormalWeb"/>
        <w:spacing w:before="0" w:beforeAutospacing="0" w:after="0" w:afterAutospacing="0"/>
        <w:jc w:val="both"/>
        <w:rPr>
          <w:rFonts w:ascii="Arial" w:hAnsi="Arial" w:cs="Arial"/>
          <w:sz w:val="22"/>
          <w:szCs w:val="22"/>
          <w:lang w:val="es-CO"/>
        </w:rPr>
      </w:pPr>
    </w:p>
    <w:p w14:paraId="37A258B6" w14:textId="77777777"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Los recursos del fondo cuenta establecidos en este artículo podrán manejarse en un patrimonio autónomo.</w:t>
      </w:r>
    </w:p>
    <w:p w14:paraId="4B86C3C8" w14:textId="77777777" w:rsidR="0063239B" w:rsidRPr="006969B3" w:rsidRDefault="0063239B" w:rsidP="00F65283">
      <w:pPr>
        <w:pStyle w:val="NormalWeb"/>
        <w:spacing w:before="0" w:beforeAutospacing="0" w:after="0" w:afterAutospacing="0"/>
        <w:jc w:val="both"/>
        <w:rPr>
          <w:rStyle w:val="baj"/>
          <w:rFonts w:ascii="Arial" w:hAnsi="Arial" w:cs="Arial"/>
          <w:sz w:val="22"/>
          <w:szCs w:val="22"/>
          <w:lang w:val="es-CO"/>
        </w:rPr>
      </w:pPr>
    </w:p>
    <w:p w14:paraId="28A1F91F" w14:textId="68DEEF14" w:rsidR="0063239B"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3o.</w:t>
      </w:r>
      <w:r w:rsidRPr="006969B3">
        <w:rPr>
          <w:rFonts w:ascii="Arial" w:hAnsi="Arial" w:cs="Arial"/>
          <w:sz w:val="22"/>
          <w:szCs w:val="22"/>
          <w:lang w:val="es-CO"/>
        </w:rPr>
        <w:t xml:space="preserve"> El fondo cuenta establecido en el presente artículo tendrá vigencia hasta </w:t>
      </w:r>
    </w:p>
    <w:p w14:paraId="6A320A18" w14:textId="56E19F1D"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31 de diciembre de 2022.</w:t>
      </w:r>
    </w:p>
    <w:p w14:paraId="1CBA1B9A" w14:textId="0C11B09E" w:rsidR="00FD16D6" w:rsidRPr="006969B3" w:rsidRDefault="00FD16D6" w:rsidP="00F65283">
      <w:pPr>
        <w:spacing w:after="0" w:line="240" w:lineRule="auto"/>
        <w:rPr>
          <w:rFonts w:ascii="Arial" w:hAnsi="Arial" w:cs="Arial"/>
          <w:lang w:val="es-CO"/>
        </w:rPr>
      </w:pPr>
    </w:p>
    <w:p w14:paraId="2AC1B777" w14:textId="77777777" w:rsidR="00FD16D6" w:rsidRPr="006969B3" w:rsidRDefault="00FD16D6" w:rsidP="00F65283">
      <w:pPr>
        <w:pStyle w:val="NormalWeb"/>
        <w:spacing w:before="0" w:beforeAutospacing="0" w:after="0" w:afterAutospacing="0"/>
        <w:jc w:val="both"/>
        <w:rPr>
          <w:rFonts w:ascii="Arial" w:hAnsi="Arial" w:cs="Arial"/>
          <w:sz w:val="22"/>
          <w:szCs w:val="22"/>
          <w:lang w:val="es-CO"/>
        </w:rPr>
      </w:pPr>
      <w:bookmarkStart w:id="157" w:name="144"/>
      <w:r w:rsidRPr="006969B3">
        <w:rPr>
          <w:rFonts w:ascii="Arial" w:hAnsi="Arial" w:cs="Arial"/>
          <w:sz w:val="22"/>
          <w:szCs w:val="22"/>
          <w:lang w:val="es-CO"/>
        </w:rPr>
        <w:t>ARTÍCULO 144. LIQUIDACIÓN DE SOCIEDADES NO OPERATIVAS SUJETAS A LA INSPECCIÓN, VIGILANCIA Y CONTROL DE LA SUPERINTENDENCIA DE SOCIEDADES.</w:t>
      </w:r>
      <w:bookmarkEnd w:id="157"/>
      <w:r w:rsidRPr="006969B3">
        <w:rPr>
          <w:rFonts w:ascii="Arial" w:hAnsi="Arial" w:cs="Arial"/>
          <w:sz w:val="22"/>
          <w:szCs w:val="22"/>
          <w:lang w:val="es-CO"/>
        </w:rPr>
        <w:t> Las sociedades mercantiles sujetas a la supervisión de la Superintendencia de Sociedades, que no renueven su matrícula mercantil por un término de tres (3) años o que no envíen la información requerida por dicha Superintendencia durante el mismo término, se presumirán como no operativas y, podrán ser declaradas de oficio como disueltas por la Superintendencia de Sociedades, salvo demostración en contrario de su parte.</w:t>
      </w:r>
    </w:p>
    <w:p w14:paraId="36B7B034" w14:textId="77777777" w:rsidR="0063239B" w:rsidRPr="006969B3" w:rsidRDefault="0063239B" w:rsidP="00F65283">
      <w:pPr>
        <w:pStyle w:val="NormalWeb"/>
        <w:spacing w:before="0" w:beforeAutospacing="0" w:after="0" w:afterAutospacing="0"/>
        <w:jc w:val="both"/>
        <w:rPr>
          <w:rStyle w:val="baj"/>
          <w:rFonts w:ascii="Arial" w:hAnsi="Arial" w:cs="Arial"/>
          <w:sz w:val="22"/>
          <w:szCs w:val="22"/>
          <w:lang w:val="es-CO"/>
        </w:rPr>
      </w:pPr>
    </w:p>
    <w:p w14:paraId="64A825DF" w14:textId="1DB15286"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El Gobierno nacional establecerá y reglamentará la aplicación del procedimiento objeto del presente artículo.</w:t>
      </w:r>
    </w:p>
    <w:p w14:paraId="21C1CD75" w14:textId="3FEF8658" w:rsidR="00FD16D6" w:rsidRPr="006969B3" w:rsidRDefault="00FD16D6" w:rsidP="00F65283">
      <w:pPr>
        <w:spacing w:after="0" w:line="240" w:lineRule="auto"/>
        <w:rPr>
          <w:rFonts w:ascii="Arial" w:hAnsi="Arial" w:cs="Arial"/>
          <w:lang w:val="es-CO"/>
        </w:rPr>
      </w:pPr>
    </w:p>
    <w:p w14:paraId="22F3B522" w14:textId="788C19E2" w:rsidR="00FD16D6" w:rsidRPr="006969B3" w:rsidRDefault="00FD16D6" w:rsidP="00F65283">
      <w:pPr>
        <w:pStyle w:val="NormalWeb"/>
        <w:spacing w:before="0" w:beforeAutospacing="0" w:after="0" w:afterAutospacing="0"/>
        <w:jc w:val="both"/>
        <w:rPr>
          <w:rFonts w:ascii="Arial" w:hAnsi="Arial" w:cs="Arial"/>
          <w:sz w:val="22"/>
          <w:szCs w:val="22"/>
          <w:lang w:val="es-CO"/>
        </w:rPr>
      </w:pPr>
      <w:bookmarkStart w:id="158" w:name="145"/>
      <w:r w:rsidRPr="006969B3">
        <w:rPr>
          <w:rFonts w:ascii="Arial" w:hAnsi="Arial" w:cs="Arial"/>
          <w:sz w:val="22"/>
          <w:szCs w:val="22"/>
          <w:lang w:val="es-CO"/>
        </w:rPr>
        <w:t>ARTÍCULO 145. TARIFAS A FAVOR DE LAS CÁMARAS DE COMERCIO.</w:t>
      </w:r>
      <w:bookmarkEnd w:id="158"/>
      <w:r w:rsidRPr="006969B3">
        <w:rPr>
          <w:rFonts w:ascii="Arial" w:hAnsi="Arial" w:cs="Arial"/>
          <w:sz w:val="22"/>
          <w:szCs w:val="22"/>
          <w:lang w:val="es-CO"/>
        </w:rPr>
        <w:t> Modifíquese el artículo</w:t>
      </w:r>
      <w:r w:rsidR="00486A58">
        <w:rPr>
          <w:rFonts w:ascii="Arial" w:hAnsi="Arial" w:cs="Arial"/>
          <w:sz w:val="22"/>
          <w:szCs w:val="22"/>
          <w:lang w:val="es-CO"/>
        </w:rPr>
        <w:t xml:space="preserve"> 124</w:t>
      </w:r>
      <w:r w:rsidRPr="006969B3">
        <w:rPr>
          <w:rFonts w:ascii="Arial" w:hAnsi="Arial" w:cs="Arial"/>
          <w:sz w:val="22"/>
          <w:szCs w:val="22"/>
          <w:lang w:val="es-CO"/>
        </w:rPr>
        <w:t> de la Ley 6 de 1992, el cual quedará así:</w:t>
      </w:r>
    </w:p>
    <w:p w14:paraId="5373F7B1"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7A789298" w14:textId="387AC300"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w:t>
      </w:r>
      <w:r w:rsidR="00486A58">
        <w:rPr>
          <w:rFonts w:ascii="Arial" w:hAnsi="Arial" w:cs="Arial"/>
          <w:sz w:val="22"/>
          <w:szCs w:val="22"/>
          <w:lang w:val="es-CO"/>
        </w:rPr>
        <w:t xml:space="preserve"> 124.</w:t>
      </w:r>
      <w:r w:rsidRPr="006969B3">
        <w:rPr>
          <w:rFonts w:ascii="Arial" w:hAnsi="Arial" w:cs="Arial"/>
          <w:sz w:val="22"/>
          <w:szCs w:val="22"/>
          <w:lang w:val="es-CO"/>
        </w:rPr>
        <w:t xml:space="preserve"> Tarifas a favor de las Cámaras de Comercio. El Gobierno nacional fijará el monto de las tarifas que deban sufragarse en favor de las Cámaras de Comercio por concepto de las matrículas, sus renovaciones, cancelaciones e inscripciones de los actos, libros y documentos que la ley determine efectuar en el registro mercantil, así como el valor de los certificados que dichas entidades expidan en ejercicio de sus funciones.</w:t>
      </w:r>
    </w:p>
    <w:p w14:paraId="21F2A88A" w14:textId="77777777" w:rsidR="00D17D59" w:rsidRPr="006969B3" w:rsidRDefault="00D17D59" w:rsidP="00F65283">
      <w:pPr>
        <w:pStyle w:val="NormalWeb"/>
        <w:spacing w:before="0" w:beforeAutospacing="0" w:after="0" w:afterAutospacing="0"/>
        <w:jc w:val="both"/>
        <w:rPr>
          <w:rFonts w:ascii="Arial" w:hAnsi="Arial" w:cs="Arial"/>
          <w:sz w:val="22"/>
          <w:szCs w:val="22"/>
          <w:lang w:val="es-CO"/>
        </w:rPr>
      </w:pPr>
    </w:p>
    <w:p w14:paraId="7E9CC8BA" w14:textId="77777777"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Para el señalamiento de los derechos relacionados con la obligación de la matrícula mercantil y su renovación, el Gobierno nacional establecerá tarifas diferenciales en función del monto de los activos o de los Ingresos de actividades ordinarias del comerciante o del establecimiento de comercio, según sea el caso, con base en el criterio más favorable para la formalización de las empresas.</w:t>
      </w:r>
    </w:p>
    <w:p w14:paraId="3C027185"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5FCD7CFB" w14:textId="124CB7EE"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Las cuotas anuales que el reglamento de las Cámaras de Comercio señale para los comerciantes afiliados son de naturaleza voluntaria.</w:t>
      </w:r>
    </w:p>
    <w:p w14:paraId="2438E72D" w14:textId="77777777" w:rsidR="00D17D59" w:rsidRPr="006969B3" w:rsidRDefault="00D17D59" w:rsidP="00F65283">
      <w:pPr>
        <w:pStyle w:val="NormalWeb"/>
        <w:spacing w:before="0" w:beforeAutospacing="0" w:after="0" w:afterAutospacing="0"/>
        <w:jc w:val="both"/>
        <w:rPr>
          <w:rFonts w:ascii="Arial" w:hAnsi="Arial" w:cs="Arial"/>
          <w:sz w:val="22"/>
          <w:szCs w:val="22"/>
          <w:lang w:val="es-CO"/>
        </w:rPr>
      </w:pPr>
    </w:p>
    <w:p w14:paraId="69409B4C" w14:textId="77777777"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Los derechos relacionados con la obligación de la matricula mercantil y su renovación en el caso de personas naturales que realicen una actividad comercial, serán establecidos en función del monto de los activos o de los ingresos relacionados con el desarrollo de su actividad comercial.</w:t>
      </w:r>
    </w:p>
    <w:p w14:paraId="6E92A4F3" w14:textId="44C9CC17" w:rsidR="00FD16D6" w:rsidRPr="006969B3" w:rsidRDefault="00FD16D6" w:rsidP="00F65283">
      <w:pPr>
        <w:spacing w:after="0" w:line="240" w:lineRule="auto"/>
        <w:rPr>
          <w:rFonts w:ascii="Arial" w:hAnsi="Arial" w:cs="Arial"/>
          <w:lang w:val="es-CO"/>
        </w:rPr>
      </w:pPr>
    </w:p>
    <w:p w14:paraId="0ACEDF2A" w14:textId="1E587DE5" w:rsidR="00FD16D6" w:rsidRPr="006969B3" w:rsidRDefault="00FD16D6" w:rsidP="00F65283">
      <w:pPr>
        <w:pStyle w:val="NormalWeb"/>
        <w:spacing w:before="0" w:beforeAutospacing="0" w:after="0" w:afterAutospacing="0"/>
        <w:jc w:val="both"/>
        <w:rPr>
          <w:rFonts w:ascii="Arial" w:hAnsi="Arial" w:cs="Arial"/>
          <w:sz w:val="22"/>
          <w:szCs w:val="22"/>
          <w:lang w:val="es-CO"/>
        </w:rPr>
      </w:pPr>
      <w:bookmarkStart w:id="159" w:name="146"/>
      <w:r w:rsidRPr="006969B3">
        <w:rPr>
          <w:rFonts w:ascii="Arial" w:hAnsi="Arial" w:cs="Arial"/>
          <w:sz w:val="22"/>
          <w:szCs w:val="22"/>
          <w:lang w:val="es-CO"/>
        </w:rPr>
        <w:t>ARTÍCULO 146. ABOGACÍA DE LA COMPETENCIA.</w:t>
      </w:r>
      <w:bookmarkEnd w:id="159"/>
      <w:r w:rsidRPr="006969B3">
        <w:rPr>
          <w:rFonts w:ascii="Arial" w:hAnsi="Arial" w:cs="Arial"/>
          <w:sz w:val="22"/>
          <w:szCs w:val="22"/>
          <w:lang w:val="es-CO"/>
        </w:rPr>
        <w:t> Modifíquese el artículo </w:t>
      </w:r>
      <w:r w:rsidR="00486A58">
        <w:rPr>
          <w:rFonts w:ascii="Arial" w:hAnsi="Arial" w:cs="Arial"/>
          <w:sz w:val="22"/>
          <w:szCs w:val="22"/>
          <w:lang w:val="es-CO"/>
        </w:rPr>
        <w:t>7o</w:t>
      </w:r>
      <w:r w:rsidRPr="006969B3">
        <w:rPr>
          <w:rFonts w:ascii="Arial" w:hAnsi="Arial" w:cs="Arial"/>
          <w:sz w:val="22"/>
          <w:szCs w:val="22"/>
          <w:lang w:val="es-CO"/>
        </w:rPr>
        <w:t> de la Ley 1340 de 2009, el cual quedará así:</w:t>
      </w:r>
    </w:p>
    <w:p w14:paraId="0C3B6483"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3D53FC7D" w14:textId="3D038FBC"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w:t>
      </w:r>
      <w:r w:rsidR="00486A58">
        <w:rPr>
          <w:rFonts w:ascii="Arial" w:hAnsi="Arial" w:cs="Arial"/>
          <w:sz w:val="22"/>
          <w:szCs w:val="22"/>
          <w:lang w:val="es-CO"/>
        </w:rPr>
        <w:t xml:space="preserve"> 7o</w:t>
      </w:r>
      <w:r w:rsidRPr="006969B3">
        <w:rPr>
          <w:rFonts w:ascii="Arial" w:hAnsi="Arial" w:cs="Arial"/>
          <w:sz w:val="22"/>
          <w:szCs w:val="22"/>
          <w:lang w:val="es-CO"/>
        </w:rPr>
        <w:t>. Abogacía de la Competencia. Además de las disposiciones consagradas en el artículo segundo del Decreto</w:t>
      </w:r>
      <w:r w:rsidR="00486A58">
        <w:rPr>
          <w:rFonts w:ascii="Arial" w:hAnsi="Arial" w:cs="Arial"/>
          <w:sz w:val="22"/>
          <w:szCs w:val="22"/>
          <w:lang w:val="es-CO"/>
        </w:rPr>
        <w:t xml:space="preserve"> 2153</w:t>
      </w:r>
      <w:r w:rsidRPr="006969B3">
        <w:rPr>
          <w:rFonts w:ascii="Arial" w:hAnsi="Arial" w:cs="Arial"/>
          <w:sz w:val="22"/>
          <w:szCs w:val="22"/>
          <w:lang w:val="es-CO"/>
        </w:rPr>
        <w:t> de 1992, la Superintendencia de Industria y Comercio podrá rendir concepto previo, a solicitud o de oficio, sobre los proyectos de regulación estatal que puedan tener incidencia sobre la libre competencia en los mercados. Para estos efectos las autoridades deberán informar a la Superintendencia de Industria y Comercio los actos administrativos que pretendan expedir. El concepto emitido por la Superintendencia de Industria y Comercio en este sentido no será vinculante. Sin embargo, si la autoridad respectiva se aparta de dicho concepto, la misma deberá manifestar de manera expresa dentro de las consideraciones de la decisión los motivos por los cuales se aparta.</w:t>
      </w:r>
    </w:p>
    <w:p w14:paraId="5A0A2405" w14:textId="5D8BBCD8" w:rsidR="00FD16D6" w:rsidRPr="006969B3" w:rsidRDefault="00FD16D6" w:rsidP="00F65283">
      <w:pPr>
        <w:spacing w:after="0" w:line="240" w:lineRule="auto"/>
        <w:rPr>
          <w:rFonts w:ascii="Arial" w:hAnsi="Arial" w:cs="Arial"/>
          <w:lang w:val="es-CO"/>
        </w:rPr>
      </w:pPr>
    </w:p>
    <w:p w14:paraId="5214C123" w14:textId="75387ECF" w:rsidR="00FD16D6" w:rsidRPr="006969B3" w:rsidRDefault="00FD16D6" w:rsidP="00F65283">
      <w:pPr>
        <w:pStyle w:val="NormalWeb"/>
        <w:spacing w:before="0" w:beforeAutospacing="0" w:after="0" w:afterAutospacing="0"/>
        <w:jc w:val="both"/>
        <w:rPr>
          <w:rFonts w:ascii="Arial" w:hAnsi="Arial" w:cs="Arial"/>
          <w:sz w:val="22"/>
          <w:szCs w:val="22"/>
          <w:lang w:val="es-CO"/>
        </w:rPr>
      </w:pPr>
      <w:bookmarkStart w:id="160" w:name="147"/>
      <w:r w:rsidRPr="006969B3">
        <w:rPr>
          <w:rFonts w:ascii="Arial" w:hAnsi="Arial" w:cs="Arial"/>
          <w:sz w:val="22"/>
          <w:szCs w:val="22"/>
          <w:lang w:val="es-CO"/>
        </w:rPr>
        <w:t>ARTÍCULO 147. TRANSFORMACIÓN DIGITAL PÚBLICA.</w:t>
      </w:r>
      <w:bookmarkEnd w:id="160"/>
      <w:r w:rsidRPr="006969B3">
        <w:rPr>
          <w:rFonts w:ascii="Arial" w:hAnsi="Arial" w:cs="Arial"/>
          <w:sz w:val="22"/>
          <w:szCs w:val="22"/>
          <w:lang w:val="es-CO"/>
        </w:rPr>
        <w:t> Las entidades estatales del orden nacional deberán incorporar en sus respectivos planes de acción el componente de transformación digital siguiendo los estándares que para este propósito defina el Ministerio de Tecnologías de la Información y las Comunicaciones. En todos los escenarios la transformación digital deberá incorporar los componentes asociados a tecnologías emergentes, definidos como aquellos de la Cuarta Revolución Industrial, entre otros.</w:t>
      </w:r>
    </w:p>
    <w:p w14:paraId="1365D2BF" w14:textId="77777777" w:rsidR="00D17D59" w:rsidRPr="006969B3" w:rsidRDefault="00D17D59" w:rsidP="00F65283">
      <w:pPr>
        <w:pStyle w:val="NormalWeb"/>
        <w:spacing w:before="0" w:beforeAutospacing="0" w:after="0" w:afterAutospacing="0"/>
        <w:jc w:val="both"/>
        <w:rPr>
          <w:rFonts w:ascii="Arial" w:hAnsi="Arial" w:cs="Arial"/>
          <w:sz w:val="22"/>
          <w:szCs w:val="22"/>
          <w:lang w:val="es-CO"/>
        </w:rPr>
      </w:pPr>
    </w:p>
    <w:p w14:paraId="01423615" w14:textId="77777777"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Las entidades territoriales podrán definir estrategias de ciudades y territorios inteligentes, para lo cual deberán incorporar los lineamientos técnicos en el componente de transformación digital que elabore el Ministerio de Tecnologías de la Información y las Comunicaciones.</w:t>
      </w:r>
    </w:p>
    <w:p w14:paraId="159A0B5C"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6421795A" w14:textId="54D8A0B4"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Los proyectos estratégicos de transformación digital se orientarán por los siguientes principios:</w:t>
      </w:r>
    </w:p>
    <w:p w14:paraId="48DD45FE"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73395499" w14:textId="51B28676"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 Uso y aprovechamiento de la infraestructura de datos públicos, con un enfoque de apertura por defecto.</w:t>
      </w:r>
    </w:p>
    <w:p w14:paraId="170F83AF"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796F7441" w14:textId="6BD2F50A"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2. Aplicación y aprovechamiento de estándares, modelos, normas y herramientas que permitan la adecuada gestión de riesgos de seguridad digital, para generar confianza en los procesos de las entidades públicas y garantizar la protección de datos personales.</w:t>
      </w:r>
    </w:p>
    <w:p w14:paraId="0F3F4A9E"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43CBD96C" w14:textId="493B9E93"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3. Plena interoperabilidad entre los sistemas de información públicos que garantice el suministro e intercambio de la información de manera ágil y eficiente a través de una plataforma de interoperabilidad. Se habilita de forma plena, permanente y en tiempo real cuando se requiera, el intercambio de información de forma electrónica en los estándares definidos por el Ministerio TIC, entre entidades públicas. Dando cumplimiento a la protección de datos personales y salvaguarda de la información.</w:t>
      </w:r>
    </w:p>
    <w:p w14:paraId="45BEDFA2"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7E60EF27" w14:textId="4452B37E"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lastRenderedPageBreak/>
        <w:t>4. Optimización de la gestión de recursos públicos en proyectos de Tecnologías de la Información a través del uso de los instrumentos de agregación de demanda y priorización de los servicios de nube.</w:t>
      </w:r>
    </w:p>
    <w:p w14:paraId="33BCB4E7" w14:textId="77777777" w:rsidR="00D17D59" w:rsidRPr="006969B3" w:rsidRDefault="00D17D59" w:rsidP="00F65283">
      <w:pPr>
        <w:pStyle w:val="NormalWeb"/>
        <w:spacing w:before="0" w:beforeAutospacing="0" w:after="0" w:afterAutospacing="0"/>
        <w:jc w:val="both"/>
        <w:rPr>
          <w:rFonts w:ascii="Arial" w:hAnsi="Arial" w:cs="Arial"/>
          <w:sz w:val="22"/>
          <w:szCs w:val="22"/>
          <w:lang w:val="es-CO"/>
        </w:rPr>
      </w:pPr>
    </w:p>
    <w:p w14:paraId="67C3B316" w14:textId="77777777"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5. Promoción de tecnologías basadas en software libre o código abierto, lo anterior, sin perjuicio de la inversión en tecnologías cerradas. En todos los casos la necesidad tecnológica deberá justificarse teniendo en cuenta análisis de costo-beneficio.</w:t>
      </w:r>
    </w:p>
    <w:p w14:paraId="09AD45EC"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59BA4003" w14:textId="469628EF"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6. Priorización de tecnologías emergentes de la Cuarta Revolución Industrial que faciliten la prestación de servicios del Estado a través de nuevos modelos incluyendo, pero no limitado a, tecnologías de desintermediación, DLT (</w:t>
      </w:r>
      <w:proofErr w:type="spellStart"/>
      <w:r w:rsidRPr="006969B3">
        <w:rPr>
          <w:rFonts w:ascii="Arial" w:hAnsi="Arial" w:cs="Arial"/>
          <w:sz w:val="22"/>
          <w:szCs w:val="22"/>
          <w:lang w:val="es-CO"/>
        </w:rPr>
        <w:t>Distributed</w:t>
      </w:r>
      <w:proofErr w:type="spellEnd"/>
      <w:r w:rsidRPr="006969B3">
        <w:rPr>
          <w:rFonts w:ascii="Arial" w:hAnsi="Arial" w:cs="Arial"/>
          <w:sz w:val="22"/>
          <w:szCs w:val="22"/>
          <w:lang w:val="es-CO"/>
        </w:rPr>
        <w:t xml:space="preserve"> </w:t>
      </w:r>
      <w:proofErr w:type="spellStart"/>
      <w:r w:rsidRPr="006969B3">
        <w:rPr>
          <w:rFonts w:ascii="Arial" w:hAnsi="Arial" w:cs="Arial"/>
          <w:sz w:val="22"/>
          <w:szCs w:val="22"/>
          <w:lang w:val="es-CO"/>
        </w:rPr>
        <w:t>Ledger</w:t>
      </w:r>
      <w:proofErr w:type="spellEnd"/>
      <w:r w:rsidRPr="006969B3">
        <w:rPr>
          <w:rFonts w:ascii="Arial" w:hAnsi="Arial" w:cs="Arial"/>
          <w:sz w:val="22"/>
          <w:szCs w:val="22"/>
          <w:lang w:val="es-CO"/>
        </w:rPr>
        <w:t xml:space="preserve"> </w:t>
      </w:r>
      <w:proofErr w:type="spellStart"/>
      <w:r w:rsidRPr="006969B3">
        <w:rPr>
          <w:rFonts w:ascii="Arial" w:hAnsi="Arial" w:cs="Arial"/>
          <w:sz w:val="22"/>
          <w:szCs w:val="22"/>
          <w:lang w:val="es-CO"/>
        </w:rPr>
        <w:t>Technology</w:t>
      </w:r>
      <w:proofErr w:type="spellEnd"/>
      <w:r w:rsidRPr="006969B3">
        <w:rPr>
          <w:rFonts w:ascii="Arial" w:hAnsi="Arial" w:cs="Arial"/>
          <w:sz w:val="22"/>
          <w:szCs w:val="22"/>
          <w:lang w:val="es-CO"/>
        </w:rPr>
        <w:t>), análisis masivo de datos (Big data), inteligencia artificial (AI), Internet de las Cosas (</w:t>
      </w:r>
      <w:proofErr w:type="spellStart"/>
      <w:r w:rsidRPr="006969B3">
        <w:rPr>
          <w:rFonts w:ascii="Arial" w:hAnsi="Arial" w:cs="Arial"/>
          <w:sz w:val="22"/>
          <w:szCs w:val="22"/>
          <w:lang w:val="es-CO"/>
        </w:rPr>
        <w:t>IoT</w:t>
      </w:r>
      <w:proofErr w:type="spellEnd"/>
      <w:r w:rsidRPr="006969B3">
        <w:rPr>
          <w:rFonts w:ascii="Arial" w:hAnsi="Arial" w:cs="Arial"/>
          <w:sz w:val="22"/>
          <w:szCs w:val="22"/>
          <w:lang w:val="es-CO"/>
        </w:rPr>
        <w:t>), Robótica y similares.</w:t>
      </w:r>
    </w:p>
    <w:p w14:paraId="20BF2441"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593697F1" w14:textId="57603431"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7. Vinculación de todas las interacciones digitales entre el Estado y sus usuarios a través del Portal Único del Estado colombiano.</w:t>
      </w:r>
    </w:p>
    <w:p w14:paraId="77D54751"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1E6FE520" w14:textId="6974CA5F"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8. Implementación de todos los trámites nuevos en forma digital o electrónica sin ninguna excepción, en consecuencia, la interacción del Ciudadano-Estado sólo será presencial cuando sea la única opción.</w:t>
      </w:r>
    </w:p>
    <w:p w14:paraId="40849127" w14:textId="77777777" w:rsidR="00D17D59" w:rsidRPr="006969B3" w:rsidRDefault="00D17D59" w:rsidP="00F65283">
      <w:pPr>
        <w:pStyle w:val="NormalWeb"/>
        <w:spacing w:before="0" w:beforeAutospacing="0" w:after="0" w:afterAutospacing="0"/>
        <w:jc w:val="both"/>
        <w:rPr>
          <w:rFonts w:ascii="Arial" w:hAnsi="Arial" w:cs="Arial"/>
          <w:sz w:val="22"/>
          <w:szCs w:val="22"/>
          <w:lang w:val="es-CO"/>
        </w:rPr>
      </w:pPr>
    </w:p>
    <w:p w14:paraId="45B5B7AB" w14:textId="77777777"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9. Implementación de la política de racionalización de trámites para todos los trámites, eliminación de los que no se requieran, así como en el aprovechamiento de las tecnologías emergentes y exponenciales.</w:t>
      </w:r>
    </w:p>
    <w:p w14:paraId="310E029E"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6753FA0E" w14:textId="4C1DDF58"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10. Inclusión de programas de uso de tecnología para participación ciudadana y Gobierno abierto en los procesos misionales de las entidades públicas.</w:t>
      </w:r>
    </w:p>
    <w:p w14:paraId="3D5A2D45"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1BACCA3F" w14:textId="01874477"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11. Inclusión y actualización permanente de políticas de seguridad y confianza digital.</w:t>
      </w:r>
    </w:p>
    <w:p w14:paraId="37E1ADFA"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4ED7A096" w14:textId="47879811"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12. Implementación de estrategias público-privadas que propendan por el uso de medios de pago electrónicos, siguiendo los lineamientos que se establezcan en el Programa de Digitalización de la Economía que adopte el Gobierno nacional.</w:t>
      </w:r>
    </w:p>
    <w:p w14:paraId="199086C6"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41388231" w14:textId="115589B4"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13. Promoción del uso de medios de pago electrónico en la economía, conforme a la estrategia que defina el Gobierno nacional para generar una red masiva de aceptación de medios de pago electrónicos por parte de las entidades públicas y privadas.</w:t>
      </w:r>
    </w:p>
    <w:p w14:paraId="05AE41AD" w14:textId="77777777" w:rsidR="0063239B" w:rsidRPr="006969B3" w:rsidRDefault="0063239B" w:rsidP="00F65283">
      <w:pPr>
        <w:pStyle w:val="NormalWeb"/>
        <w:spacing w:before="0" w:beforeAutospacing="0" w:after="0" w:afterAutospacing="0"/>
        <w:jc w:val="both"/>
        <w:rPr>
          <w:rStyle w:val="baj"/>
          <w:rFonts w:ascii="Arial" w:hAnsi="Arial" w:cs="Arial"/>
          <w:sz w:val="22"/>
          <w:szCs w:val="22"/>
          <w:lang w:val="es-CO"/>
        </w:rPr>
      </w:pPr>
    </w:p>
    <w:p w14:paraId="2FE77AA0" w14:textId="588F1F3D"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Los trámites y servicios que se deriven de los anteriores principios podrán ser ofrecidos tanto por personas jurídicas privadas como públicas, incluyendo a la entidad que haga las veces de articulador de servicios ciudadanos digitales, o la que defina el Ministerio TIC para tal fin.</w:t>
      </w:r>
    </w:p>
    <w:p w14:paraId="511C4EE4" w14:textId="77777777" w:rsidR="0063239B" w:rsidRPr="006969B3" w:rsidRDefault="0063239B" w:rsidP="00F65283">
      <w:pPr>
        <w:spacing w:after="0" w:line="240" w:lineRule="auto"/>
        <w:rPr>
          <w:rFonts w:ascii="Arial" w:hAnsi="Arial" w:cs="Arial"/>
          <w:lang w:val="es-CO"/>
        </w:rPr>
      </w:pPr>
    </w:p>
    <w:p w14:paraId="775EDEC5" w14:textId="17B9428D" w:rsidR="00FD16D6" w:rsidRPr="006969B3" w:rsidRDefault="00FD16D6" w:rsidP="00F65283">
      <w:pPr>
        <w:pStyle w:val="NormalWeb"/>
        <w:spacing w:before="0" w:beforeAutospacing="0" w:after="0" w:afterAutospacing="0"/>
        <w:jc w:val="both"/>
        <w:rPr>
          <w:rFonts w:ascii="Arial" w:hAnsi="Arial" w:cs="Arial"/>
          <w:sz w:val="22"/>
          <w:szCs w:val="22"/>
          <w:lang w:val="es-CO"/>
        </w:rPr>
      </w:pPr>
      <w:bookmarkStart w:id="161" w:name="148"/>
      <w:r w:rsidRPr="006969B3">
        <w:rPr>
          <w:rFonts w:ascii="Arial" w:hAnsi="Arial" w:cs="Arial"/>
          <w:sz w:val="22"/>
          <w:szCs w:val="22"/>
          <w:lang w:val="es-CO"/>
        </w:rPr>
        <w:t>ARTÍCULO 148. GOBIERNO DIGITAL COMO POLÍTICA DE GESTIÓN Y DESEMPEÑO INSTITUCIONAL.</w:t>
      </w:r>
      <w:bookmarkEnd w:id="161"/>
      <w:r w:rsidRPr="006969B3">
        <w:rPr>
          <w:rFonts w:ascii="Arial" w:hAnsi="Arial" w:cs="Arial"/>
          <w:sz w:val="22"/>
          <w:szCs w:val="22"/>
          <w:lang w:val="es-CO"/>
        </w:rPr>
        <w:t> Modifíquese el artículo</w:t>
      </w:r>
      <w:r w:rsidR="00486A58">
        <w:rPr>
          <w:rFonts w:ascii="Arial" w:hAnsi="Arial" w:cs="Arial"/>
          <w:sz w:val="22"/>
          <w:szCs w:val="22"/>
          <w:lang w:val="es-CO"/>
        </w:rPr>
        <w:t xml:space="preserve"> 230</w:t>
      </w:r>
      <w:r w:rsidRPr="006969B3">
        <w:rPr>
          <w:rFonts w:ascii="Arial" w:hAnsi="Arial" w:cs="Arial"/>
          <w:sz w:val="22"/>
          <w:szCs w:val="22"/>
          <w:lang w:val="es-CO"/>
        </w:rPr>
        <w:t> de la Ley 1450 de 2011, el cual quedará así:</w:t>
      </w:r>
    </w:p>
    <w:p w14:paraId="21BC27D2" w14:textId="77777777" w:rsidR="00486A58" w:rsidRDefault="00486A58" w:rsidP="00F65283">
      <w:pPr>
        <w:pStyle w:val="NormalWeb"/>
        <w:spacing w:before="0" w:beforeAutospacing="0" w:after="0" w:afterAutospacing="0"/>
        <w:jc w:val="both"/>
        <w:rPr>
          <w:rFonts w:ascii="Arial" w:hAnsi="Arial" w:cs="Arial"/>
          <w:sz w:val="22"/>
          <w:szCs w:val="22"/>
          <w:lang w:val="es-CO"/>
        </w:rPr>
      </w:pPr>
    </w:p>
    <w:p w14:paraId="0D951E5C" w14:textId="07E208C5"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w:t>
      </w:r>
      <w:r w:rsidR="00486A58">
        <w:rPr>
          <w:rFonts w:ascii="Arial" w:hAnsi="Arial" w:cs="Arial"/>
          <w:sz w:val="22"/>
          <w:szCs w:val="22"/>
          <w:lang w:val="es-CO"/>
        </w:rPr>
        <w:t xml:space="preserve"> 230</w:t>
      </w:r>
      <w:r w:rsidRPr="006969B3">
        <w:rPr>
          <w:rFonts w:ascii="Arial" w:hAnsi="Arial" w:cs="Arial"/>
          <w:sz w:val="22"/>
          <w:szCs w:val="22"/>
          <w:lang w:val="es-CO"/>
        </w:rPr>
        <w:t>. Gobierno Digital como Política de Gestión y Desempeño Institucional. Todas las entidades de la administración pública deberán adelantar las acciones que señale el Gobierno nacional a través del Ministerio de Tecnologías de la Información y las Comunicaciones para la implementación de la política de Gobierno Digital.</w:t>
      </w:r>
    </w:p>
    <w:p w14:paraId="3B65F205"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2CBA6D64" w14:textId="460B526D"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lastRenderedPageBreak/>
        <w:t>Esta política liderada por el Ministerio de Tecnologías de la Información y las Comunicaciones contemplará como acciones prioritarias el cumplimiento de los lineamientos y estándares para la Integración de trámites al Portal Único del Estado Colombiano, la publicación y el aprovechamiento de datos públicos, la adopción del modelo de territorios y ciudades inteligentes, la optimización de compras públicas de tecnologías de la información, la oferta y uso de software público, el aprovechamiento de tecnologías emergentes en el sector público, incremento de la confianza y la seguridad digital y el fomento a la participación y la democracia por medios digitales.</w:t>
      </w:r>
    </w:p>
    <w:p w14:paraId="676222A2"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07035120" w14:textId="51027C29"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Gobierno implementará mecanismos que permitan un monitoreo permanente sobre el uso, calidad, nivel de satisfacción e impacto de estas acciones.</w:t>
      </w:r>
    </w:p>
    <w:p w14:paraId="63F973F3" w14:textId="785B24B9" w:rsidR="47D2FA32" w:rsidRPr="006969B3" w:rsidRDefault="47D2FA32" w:rsidP="00F65283">
      <w:pPr>
        <w:pStyle w:val="NormalWeb"/>
        <w:spacing w:before="0" w:beforeAutospacing="0" w:after="0" w:afterAutospacing="0"/>
        <w:jc w:val="both"/>
        <w:rPr>
          <w:rFonts w:ascii="Arial" w:hAnsi="Arial" w:cs="Arial"/>
          <w:sz w:val="22"/>
          <w:szCs w:val="22"/>
          <w:lang w:val="es-CO" w:eastAsia="es-CO"/>
        </w:rPr>
      </w:pPr>
    </w:p>
    <w:p w14:paraId="4D05B867" w14:textId="65D6D5D6" w:rsidR="00111EAE" w:rsidRPr="006969B3" w:rsidRDefault="00111EA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149. INFRACCIONES POSTALES.</w:t>
      </w:r>
      <w:bookmarkEnd w:id="3"/>
      <w:r w:rsidRPr="006969B3">
        <w:rPr>
          <w:rFonts w:ascii="Arial" w:hAnsi="Arial" w:cs="Arial"/>
          <w:sz w:val="22"/>
          <w:szCs w:val="22"/>
          <w:lang w:val="es-CO"/>
        </w:rPr>
        <w:t> Modifíquese el artículo</w:t>
      </w:r>
      <w:r w:rsidR="00DA3286">
        <w:rPr>
          <w:rFonts w:ascii="Arial" w:hAnsi="Arial" w:cs="Arial"/>
          <w:sz w:val="22"/>
          <w:szCs w:val="22"/>
          <w:lang w:val="es-CO"/>
        </w:rPr>
        <w:t xml:space="preserve"> 37</w:t>
      </w:r>
      <w:r w:rsidRPr="006969B3">
        <w:rPr>
          <w:rFonts w:ascii="Arial" w:hAnsi="Arial" w:cs="Arial"/>
          <w:sz w:val="22"/>
          <w:szCs w:val="22"/>
          <w:lang w:val="es-CO"/>
        </w:rPr>
        <w:t> de la Ley 1369 de 2009, el cual quedará así:</w:t>
      </w:r>
    </w:p>
    <w:p w14:paraId="6BBACF0F"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6F802EF7" w14:textId="41B435B4" w:rsidR="00111EAE" w:rsidRPr="006969B3" w:rsidRDefault="00111EA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w:t>
      </w:r>
      <w:r w:rsidR="00DA3286">
        <w:rPr>
          <w:rFonts w:ascii="Arial" w:hAnsi="Arial" w:cs="Arial"/>
          <w:sz w:val="22"/>
          <w:szCs w:val="22"/>
          <w:lang w:val="es-CO"/>
        </w:rPr>
        <w:t xml:space="preserve"> 37</w:t>
      </w:r>
      <w:r w:rsidRPr="006969B3">
        <w:rPr>
          <w:rFonts w:ascii="Arial" w:hAnsi="Arial" w:cs="Arial"/>
          <w:sz w:val="22"/>
          <w:szCs w:val="22"/>
          <w:lang w:val="es-CO"/>
        </w:rPr>
        <w:t>. Infracciones postales. Constituyen las infracciones a este ordenamiento las siguientes:</w:t>
      </w:r>
    </w:p>
    <w:p w14:paraId="2030D464"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2396BAFC" w14:textId="78A655A7" w:rsidR="00111EAE" w:rsidRPr="006969B3" w:rsidRDefault="00111EA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 Prestar el Servicio de correo sin estar legalmente habilitado para ello.</w:t>
      </w:r>
    </w:p>
    <w:p w14:paraId="7F2CF7C4"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689015C2" w14:textId="4C414626" w:rsidR="00111EAE" w:rsidRPr="006969B3" w:rsidRDefault="00111EA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2. La suspensión total o parcial de la prestación del Servicio Postal Universal por parte del operador postal oficial.</w:t>
      </w:r>
    </w:p>
    <w:p w14:paraId="30DDE906"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7A9FA6DD" w14:textId="51D9F020" w:rsidR="00111EAE" w:rsidRPr="006969B3" w:rsidRDefault="00111EA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3. La utilización de oferta o anuncio de servicios que corresponden de manera exclusiva al Operador Postal Oficial o Concesionario de Correo.</w:t>
      </w:r>
    </w:p>
    <w:p w14:paraId="124A9244"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59D161FF" w14:textId="0C50C963" w:rsidR="00111EAE" w:rsidRPr="006969B3" w:rsidRDefault="00111EA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4. El incumplimiento en la implementación, actualización o aplicación de los sistemas de administración y mitigación de riesgos por parte de los operadores postales de pago.</w:t>
      </w:r>
    </w:p>
    <w:p w14:paraId="55ACDD11"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50A95B43" w14:textId="14107032" w:rsidR="00111EAE" w:rsidRPr="006969B3" w:rsidRDefault="00111EA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5. No cumplir los operadores postales de pago en todo tiempo con los requisitos patrimoniales fijados por el Ministerio de Tecnologías de la Información y las Comunicaciones que deben respaldar la operación o cualquier situación que afecte su capacidad de responder por sus obligaciones y pueda poner en riesgo los recursos recibidos del público.</w:t>
      </w:r>
    </w:p>
    <w:p w14:paraId="5431C2F1"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0C1EFB33" w14:textId="21A50EB4" w:rsidR="00111EAE" w:rsidRPr="006969B3" w:rsidRDefault="00111EA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6. Cualquier forma de violación a la libertad y confidencialidad de los envíos postales.</w:t>
      </w:r>
    </w:p>
    <w:p w14:paraId="03BC8F50"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736E3014" w14:textId="77777777" w:rsidR="0063239B" w:rsidRPr="006969B3" w:rsidRDefault="00111EA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7. La prestación de servicios postales sin la debida inscripción en el registro de Operadores </w:t>
      </w:r>
    </w:p>
    <w:p w14:paraId="1B978F8C" w14:textId="73D2A76F" w:rsidR="00111EAE" w:rsidRPr="006969B3" w:rsidRDefault="00111EA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Postales del Ministerio de Tecnologías de la Información y las Comunicaciones.</w:t>
      </w:r>
    </w:p>
    <w:p w14:paraId="175247A9"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206AB44B" w14:textId="653758B0" w:rsidR="00111EAE" w:rsidRPr="006969B3" w:rsidRDefault="00111EA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8. No pagar la contraprestación periódica.</w:t>
      </w:r>
    </w:p>
    <w:p w14:paraId="22E75532"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38937132" w14:textId="4A93CB34" w:rsidR="00111EAE" w:rsidRPr="006969B3" w:rsidRDefault="00111EA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9. No pagar oportunamente la contraprestación periódica.</w:t>
      </w:r>
    </w:p>
    <w:p w14:paraId="104BAAEA"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0B6A5DBD" w14:textId="1FBC27B2" w:rsidR="00111EAE" w:rsidRPr="006969B3" w:rsidRDefault="00111EA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10. Pagar la contraprestación periódica fijando como base para su cálculo ingresos inferiores a los realmente percibidos por concepto de prestación de servicios postales.</w:t>
      </w:r>
    </w:p>
    <w:p w14:paraId="0F59C1C9"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0A9AD595" w14:textId="41E87EEA" w:rsidR="00111EAE" w:rsidRPr="006969B3" w:rsidRDefault="00111EA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11. El incumplimiento de uno o más indicadores técnicos y de calidad de los servicios postales.</w:t>
      </w:r>
    </w:p>
    <w:p w14:paraId="23E1178B"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71007843" w14:textId="016BE948" w:rsidR="00111EAE" w:rsidRPr="006969B3" w:rsidRDefault="00111EA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lastRenderedPageBreak/>
        <w:t>12. La negativa, obstrucción o resistencia a ser inspeccionado dentro de la visita administrativa para esclarecer hechos por la prestación del servicio.</w:t>
      </w:r>
    </w:p>
    <w:p w14:paraId="78532BC0"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3A1298F4" w14:textId="5174AFD5" w:rsidR="00111EAE" w:rsidRDefault="00111EA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13. La actuación destinada a ocasionar fraude en el franqueo.</w:t>
      </w:r>
    </w:p>
    <w:p w14:paraId="048A5633" w14:textId="77777777" w:rsidR="00BB1C63" w:rsidRPr="006969B3" w:rsidRDefault="00BB1C63" w:rsidP="00F65283">
      <w:pPr>
        <w:pStyle w:val="NormalWeb"/>
        <w:spacing w:before="0" w:beforeAutospacing="0" w:after="0" w:afterAutospacing="0"/>
        <w:jc w:val="both"/>
        <w:rPr>
          <w:rFonts w:ascii="Arial" w:hAnsi="Arial" w:cs="Arial"/>
          <w:sz w:val="22"/>
          <w:szCs w:val="22"/>
          <w:lang w:val="es-CO"/>
        </w:rPr>
      </w:pPr>
    </w:p>
    <w:p w14:paraId="768290CB" w14:textId="77777777" w:rsidR="00111EAE" w:rsidRPr="006969B3" w:rsidRDefault="00111EA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14. No cumplir el Operador de Servicios Postales con la obligación de divulgar, en sitio visible en todos los puntos de atención al público, las condiciones de prestación de cada servicio postal.</w:t>
      </w:r>
    </w:p>
    <w:p w14:paraId="1F8CBE9A"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09F9B8E1" w14:textId="29C256E8" w:rsidR="00111EAE" w:rsidRPr="006969B3" w:rsidRDefault="00111EA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15. No cumplir el Operador de Servicios Postales con la obligación de divulgar, en la página web de la empresa y/o en medio de comunicación escrito, las condiciones de prestación de cada servicio postal.</w:t>
      </w:r>
    </w:p>
    <w:p w14:paraId="37B24B4B"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4C365067" w14:textId="7578D5E3" w:rsidR="00111EAE" w:rsidRPr="006969B3" w:rsidRDefault="00111EA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16. La demora por parte de los Operadores de Servicios Postales, en facilitar la información requerida por el Ministerio de Tecnologías de la Información y las Comunicaciones, con el objeto de cumplir con las funciones asignadas.</w:t>
      </w:r>
    </w:p>
    <w:p w14:paraId="56BBE57E"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5AB74FE4" w14:textId="4DFF5064" w:rsidR="00111EAE" w:rsidRPr="006969B3" w:rsidRDefault="00111EA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17. La consolidación de objetos postales por parte del operador con el fin de evadir la contraprestación fijada en esta ley.</w:t>
      </w:r>
    </w:p>
    <w:p w14:paraId="58E54A9E"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p>
    <w:p w14:paraId="4580BAD0" w14:textId="015FF276" w:rsidR="00111EAE" w:rsidRPr="006969B3" w:rsidRDefault="00111EA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18. Cualquiera otra forma de incumplimiento o violación de las disposiciones legales, reglamentarias o contractuales o regulatorias en materia de servicios postales.</w:t>
      </w:r>
    </w:p>
    <w:p w14:paraId="3BE3DA33" w14:textId="77777777" w:rsidR="0063239B" w:rsidRPr="006969B3" w:rsidRDefault="0063239B" w:rsidP="00F65283">
      <w:pPr>
        <w:spacing w:after="0" w:line="240" w:lineRule="auto"/>
        <w:jc w:val="both"/>
        <w:rPr>
          <w:rFonts w:ascii="Arial" w:hAnsi="Arial" w:cs="Arial"/>
          <w:lang w:val="es-CO"/>
        </w:rPr>
      </w:pPr>
    </w:p>
    <w:p w14:paraId="768BA75C" w14:textId="2502607C" w:rsidR="00111EAE" w:rsidRPr="006969B3" w:rsidRDefault="00111EAE" w:rsidP="00F65283">
      <w:pPr>
        <w:spacing w:after="0" w:line="240" w:lineRule="auto"/>
        <w:jc w:val="both"/>
        <w:rPr>
          <w:rFonts w:ascii="Arial" w:eastAsia="Times New Roman" w:hAnsi="Arial" w:cs="Arial"/>
          <w:sz w:val="20"/>
          <w:szCs w:val="20"/>
          <w:lang w:val="es-CO"/>
        </w:rPr>
      </w:pPr>
      <w:r w:rsidRPr="006969B3">
        <w:rPr>
          <w:rFonts w:ascii="Arial" w:hAnsi="Arial" w:cs="Arial"/>
          <w:sz w:val="20"/>
          <w:szCs w:val="20"/>
          <w:lang w:val="es-CO"/>
        </w:rPr>
        <w:t xml:space="preserve">(Ver concepto: </w:t>
      </w:r>
      <w:hyperlink r:id="rId27" w:history="1">
        <w:r w:rsidRPr="006969B3">
          <w:rPr>
            <w:rStyle w:val="Hipervnculo"/>
            <w:rFonts w:ascii="Arial" w:eastAsia="Times New Roman" w:hAnsi="Arial" w:cs="Arial"/>
            <w:sz w:val="20"/>
            <w:szCs w:val="20"/>
            <w:u w:val="none"/>
            <w:lang w:val="es-CO"/>
          </w:rPr>
          <w:t>4201912000008090 del 27/12/2019</w:t>
        </w:r>
      </w:hyperlink>
      <w:r w:rsidR="0063239B" w:rsidRPr="006969B3">
        <w:rPr>
          <w:rFonts w:ascii="Arial" w:eastAsia="Times New Roman" w:hAnsi="Arial" w:cs="Arial"/>
          <w:sz w:val="20"/>
          <w:szCs w:val="20"/>
          <w:lang w:val="es-CO"/>
        </w:rPr>
        <w:t>)</w:t>
      </w:r>
    </w:p>
    <w:p w14:paraId="308EFDF3" w14:textId="77777777" w:rsidR="0063239B" w:rsidRPr="006969B3" w:rsidRDefault="0063239B" w:rsidP="00F65283">
      <w:pPr>
        <w:pStyle w:val="NormalWeb"/>
        <w:spacing w:before="0" w:beforeAutospacing="0" w:after="0" w:afterAutospacing="0"/>
        <w:jc w:val="both"/>
        <w:rPr>
          <w:rFonts w:ascii="Arial" w:hAnsi="Arial" w:cs="Arial"/>
          <w:sz w:val="22"/>
          <w:szCs w:val="22"/>
          <w:lang w:val="es-CO"/>
        </w:rPr>
      </w:pPr>
      <w:bookmarkStart w:id="162" w:name="150"/>
    </w:p>
    <w:p w14:paraId="029E005E" w14:textId="4B8DEDAA"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150. SANCIONES POSTALES.</w:t>
      </w:r>
      <w:bookmarkEnd w:id="162"/>
      <w:r w:rsidRPr="006969B3">
        <w:rPr>
          <w:rFonts w:ascii="Arial" w:hAnsi="Arial" w:cs="Arial"/>
          <w:sz w:val="22"/>
          <w:szCs w:val="22"/>
          <w:lang w:val="es-CO"/>
        </w:rPr>
        <w:t> Modifíquese el artículo</w:t>
      </w:r>
      <w:r w:rsidR="00DA3286">
        <w:rPr>
          <w:rFonts w:ascii="Arial" w:hAnsi="Arial" w:cs="Arial"/>
          <w:sz w:val="22"/>
          <w:szCs w:val="22"/>
          <w:lang w:val="es-CO"/>
        </w:rPr>
        <w:t xml:space="preserve"> 38</w:t>
      </w:r>
      <w:r w:rsidRPr="006969B3">
        <w:rPr>
          <w:rFonts w:ascii="Arial" w:hAnsi="Arial" w:cs="Arial"/>
          <w:sz w:val="22"/>
          <w:szCs w:val="22"/>
          <w:lang w:val="es-CO"/>
        </w:rPr>
        <w:t> de la Ley 1369 de 2009, el cual quedará así:</w:t>
      </w:r>
    </w:p>
    <w:p w14:paraId="6441576D"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0280D2B2" w14:textId="638ADB9C"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w:t>
      </w:r>
      <w:r w:rsidR="00DA3286">
        <w:rPr>
          <w:rFonts w:ascii="Arial" w:hAnsi="Arial" w:cs="Arial"/>
          <w:sz w:val="22"/>
          <w:szCs w:val="22"/>
          <w:lang w:val="es-CO"/>
        </w:rPr>
        <w:t xml:space="preserve"> 38</w:t>
      </w:r>
      <w:r w:rsidRPr="006969B3">
        <w:rPr>
          <w:rFonts w:ascii="Arial" w:hAnsi="Arial" w:cs="Arial"/>
          <w:sz w:val="22"/>
          <w:szCs w:val="22"/>
          <w:lang w:val="es-CO"/>
        </w:rPr>
        <w:t xml:space="preserve">. Sanciones Postales. Previo el trámite del procedimiento administrativo señalado en el Código de Procedimiento Administrativo y de lo Contencioso Administrativo, y con la plenitud de las garantías constitucionales, el </w:t>
      </w:r>
      <w:proofErr w:type="gramStart"/>
      <w:r w:rsidRPr="006969B3">
        <w:rPr>
          <w:rFonts w:ascii="Arial" w:hAnsi="Arial" w:cs="Arial"/>
          <w:sz w:val="22"/>
          <w:szCs w:val="22"/>
          <w:lang w:val="es-CO"/>
        </w:rPr>
        <w:t>Ministro</w:t>
      </w:r>
      <w:proofErr w:type="gramEnd"/>
      <w:r w:rsidRPr="006969B3">
        <w:rPr>
          <w:rFonts w:ascii="Arial" w:hAnsi="Arial" w:cs="Arial"/>
          <w:sz w:val="22"/>
          <w:szCs w:val="22"/>
          <w:lang w:val="es-CO"/>
        </w:rPr>
        <w:t xml:space="preserve"> de Tecnologías de la Información y las Comunicaciones o su delegado podrá imponer las siguientes sanciones:</w:t>
      </w:r>
    </w:p>
    <w:p w14:paraId="29E8FD74"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231FA127" w14:textId="39C3DC58"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 Amonestación escrita. La cual podrá ser publicada por un término de un (1) año en el registro de operadores postales.</w:t>
      </w:r>
    </w:p>
    <w:p w14:paraId="1BB69040"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0F761F45" w14:textId="6A500AAD"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2. Multa de hasta cuatrocientos (400) salarios mínimos legales mensuales vigentes.</w:t>
      </w:r>
    </w:p>
    <w:p w14:paraId="3FE11555"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419A5E8D" w14:textId="45C8B553"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3. Suspensión de operaciones hasta por dos (2) meses.</w:t>
      </w:r>
    </w:p>
    <w:p w14:paraId="3E1AC937"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5A2A21CF" w14:textId="38FC3219"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4. Cancelación del título habilitante para la prestación de servicios postales y si eliminación del Registro de Operadores Postales.</w:t>
      </w:r>
    </w:p>
    <w:p w14:paraId="13EE92FD" w14:textId="77777777" w:rsidR="002B52AE" w:rsidRPr="006969B3" w:rsidRDefault="002B52AE" w:rsidP="00F65283">
      <w:pPr>
        <w:pStyle w:val="NormalWeb"/>
        <w:spacing w:before="0" w:beforeAutospacing="0" w:after="0" w:afterAutospacing="0"/>
        <w:jc w:val="both"/>
        <w:rPr>
          <w:rStyle w:val="baj"/>
          <w:rFonts w:ascii="Arial" w:hAnsi="Arial" w:cs="Arial"/>
          <w:sz w:val="22"/>
          <w:szCs w:val="22"/>
          <w:lang w:val="es-CO"/>
        </w:rPr>
      </w:pPr>
    </w:p>
    <w:p w14:paraId="1D5FF332" w14:textId="35D91B73"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Se podrá declarar la caducidad del Contrato de Concesión a Operador Postal Oficial o Concesionario de Correo, de acuerdo con los requisitos legales aplicables, cuando se constante la ocurrencia de cualquiera de las causales previstas en los numerales 1, 2, 3, 4, 7, 8, 9, 10, 12, 13, del artículo</w:t>
      </w:r>
      <w:r w:rsidR="00DA3286">
        <w:rPr>
          <w:rFonts w:ascii="Arial" w:hAnsi="Arial" w:cs="Arial"/>
          <w:sz w:val="22"/>
          <w:szCs w:val="22"/>
          <w:lang w:val="es-CO"/>
        </w:rPr>
        <w:t xml:space="preserve"> 37</w:t>
      </w:r>
      <w:r w:rsidRPr="006969B3">
        <w:rPr>
          <w:rFonts w:ascii="Arial" w:hAnsi="Arial" w:cs="Arial"/>
          <w:sz w:val="22"/>
          <w:szCs w:val="22"/>
          <w:lang w:val="es-CO"/>
        </w:rPr>
        <w:t> de la presente ley.</w:t>
      </w:r>
    </w:p>
    <w:p w14:paraId="05017559" w14:textId="4289BB3E" w:rsidR="00FD16D6" w:rsidRPr="006969B3" w:rsidRDefault="00FD16D6" w:rsidP="00F65283">
      <w:pPr>
        <w:spacing w:after="0" w:line="240" w:lineRule="auto"/>
        <w:rPr>
          <w:rFonts w:ascii="Arial" w:hAnsi="Arial" w:cs="Arial"/>
          <w:lang w:val="es-CO"/>
        </w:rPr>
      </w:pPr>
    </w:p>
    <w:p w14:paraId="23FF82F1" w14:textId="61889D9F" w:rsidR="00FD16D6" w:rsidRPr="006969B3" w:rsidRDefault="00FD16D6" w:rsidP="00F65283">
      <w:pPr>
        <w:pStyle w:val="NormalWeb"/>
        <w:spacing w:before="0" w:beforeAutospacing="0" w:after="0" w:afterAutospacing="0"/>
        <w:jc w:val="both"/>
        <w:rPr>
          <w:rFonts w:ascii="Arial" w:hAnsi="Arial" w:cs="Arial"/>
          <w:sz w:val="22"/>
          <w:szCs w:val="22"/>
          <w:lang w:val="es-CO"/>
        </w:rPr>
      </w:pPr>
      <w:bookmarkStart w:id="163" w:name="151"/>
      <w:r w:rsidRPr="006969B3">
        <w:rPr>
          <w:rFonts w:ascii="Arial" w:hAnsi="Arial" w:cs="Arial"/>
          <w:sz w:val="22"/>
          <w:szCs w:val="22"/>
          <w:lang w:val="es-CO"/>
        </w:rPr>
        <w:t>ARTÍCULO 151. GRADUACIÓN DE LAS SANCIONES POSTALES.</w:t>
      </w:r>
      <w:bookmarkEnd w:id="163"/>
      <w:r w:rsidRPr="006969B3">
        <w:rPr>
          <w:rFonts w:ascii="Arial" w:hAnsi="Arial" w:cs="Arial"/>
          <w:sz w:val="22"/>
          <w:szCs w:val="22"/>
          <w:lang w:val="es-CO"/>
        </w:rPr>
        <w:t> Modifíquese el artículo</w:t>
      </w:r>
      <w:r w:rsidR="00DA3286">
        <w:rPr>
          <w:rFonts w:ascii="Arial" w:hAnsi="Arial" w:cs="Arial"/>
          <w:sz w:val="22"/>
          <w:szCs w:val="22"/>
          <w:lang w:val="es-CO"/>
        </w:rPr>
        <w:t xml:space="preserve"> 39</w:t>
      </w:r>
      <w:r w:rsidRPr="006969B3">
        <w:rPr>
          <w:rFonts w:ascii="Arial" w:hAnsi="Arial" w:cs="Arial"/>
          <w:sz w:val="22"/>
          <w:szCs w:val="22"/>
          <w:lang w:val="es-CO"/>
        </w:rPr>
        <w:t> de la Ley 1369 de 2009, el cual quedará así:</w:t>
      </w:r>
    </w:p>
    <w:p w14:paraId="176DBC4F"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2D3DADA2" w14:textId="55BAC33E" w:rsidR="002B52AE"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lastRenderedPageBreak/>
        <w:t>Artículo</w:t>
      </w:r>
      <w:r w:rsidR="00DA3286">
        <w:rPr>
          <w:rFonts w:ascii="Arial" w:hAnsi="Arial" w:cs="Arial"/>
          <w:sz w:val="22"/>
          <w:szCs w:val="22"/>
          <w:lang w:val="es-CO"/>
        </w:rPr>
        <w:t xml:space="preserve"> 39</w:t>
      </w:r>
      <w:r w:rsidRPr="006969B3">
        <w:rPr>
          <w:rFonts w:ascii="Arial" w:hAnsi="Arial" w:cs="Arial"/>
          <w:sz w:val="22"/>
          <w:szCs w:val="22"/>
          <w:lang w:val="es-CO"/>
        </w:rPr>
        <w:t xml:space="preserve">. Graduación de las Sanciones Postales. Para definir las sanciones se aplicarán los criterios consagrados en el Código de Procedimiento Administrativo y de lo Contencioso </w:t>
      </w:r>
    </w:p>
    <w:p w14:paraId="1C4F2674" w14:textId="673C285F"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Administrativo.</w:t>
      </w:r>
    </w:p>
    <w:p w14:paraId="09E5AE9D" w14:textId="77777777" w:rsidR="00672D82" w:rsidRPr="006969B3" w:rsidRDefault="00672D82" w:rsidP="00F65283">
      <w:pPr>
        <w:pStyle w:val="NormalWeb"/>
        <w:spacing w:before="0" w:beforeAutospacing="0" w:after="0" w:afterAutospacing="0"/>
        <w:jc w:val="both"/>
        <w:rPr>
          <w:rFonts w:ascii="Arial" w:hAnsi="Arial" w:cs="Arial"/>
          <w:sz w:val="22"/>
          <w:szCs w:val="22"/>
          <w:lang w:val="es-CO"/>
        </w:rPr>
      </w:pPr>
    </w:p>
    <w:p w14:paraId="2382EDE2" w14:textId="77777777"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En el procedimiento administrativo sancionador que adelante el Ministerio de Tecnologías de la Información y las Comunicaciones, podrán tenerse como factores atenuantes, los siguientes criterios:</w:t>
      </w:r>
    </w:p>
    <w:p w14:paraId="462EB9D8"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70ECC45A" w14:textId="67DDE1DD"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 Cuando, dentro de los cinco (5) días siguientes a la notificación del acto mediante el cual se formulan cargos, el investigado acredite que se ha producido el cese de los actos u omisiones que dieron lugar al inicio de la actuación administrativa, la sanción administrativa podrá reducirse hasta en las tres cuartas partes de la que resultare pertinente imponer.</w:t>
      </w:r>
    </w:p>
    <w:p w14:paraId="526D721C"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463594F3" w14:textId="099C7627"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2. Cuando, dentro de los quince (15) días siguientes a la notificación del acto mediante el cual se formulan cargos, el investigado acredite que se ha producido el cese de los actos u omisiones que dieron lugar al inicio de la actuación administrativa, la sanción administrativa podrá reducirse hasta en la mitad de la que resultare pertinente imponer.</w:t>
      </w:r>
    </w:p>
    <w:p w14:paraId="0CEB0E13"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10A0099E" w14:textId="4BBF8200"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3. Cuando, hasta antes de la culminación del periodo probatorio, el investigado acredite que se ha producido el cese de los actos u omisiones que dieron lugar al inicio de la actuación administrativa, la sanción administrativa podrá reducirse hasta en la tercera parte de la que resultare pertinente imponer.</w:t>
      </w:r>
    </w:p>
    <w:p w14:paraId="669DB5FB" w14:textId="30879ABD" w:rsidR="00FD16D6" w:rsidRPr="006969B3" w:rsidRDefault="00FD16D6" w:rsidP="00F65283">
      <w:pPr>
        <w:spacing w:after="0" w:line="240" w:lineRule="auto"/>
        <w:rPr>
          <w:rFonts w:ascii="Arial" w:hAnsi="Arial" w:cs="Arial"/>
          <w:lang w:val="es-CO"/>
        </w:rPr>
      </w:pPr>
    </w:p>
    <w:p w14:paraId="4B5B583E" w14:textId="77777777" w:rsidR="00FD16D6" w:rsidRPr="006969B3" w:rsidRDefault="00FD16D6" w:rsidP="00F65283">
      <w:pPr>
        <w:pStyle w:val="NormalWeb"/>
        <w:spacing w:before="0" w:beforeAutospacing="0" w:after="0" w:afterAutospacing="0"/>
        <w:jc w:val="both"/>
        <w:rPr>
          <w:rFonts w:ascii="Arial" w:hAnsi="Arial" w:cs="Arial"/>
          <w:sz w:val="22"/>
          <w:szCs w:val="22"/>
          <w:lang w:val="es-CO"/>
        </w:rPr>
      </w:pPr>
      <w:bookmarkStart w:id="164" w:name="152"/>
      <w:r w:rsidRPr="006969B3">
        <w:rPr>
          <w:rFonts w:ascii="Arial" w:hAnsi="Arial" w:cs="Arial"/>
          <w:sz w:val="22"/>
          <w:szCs w:val="22"/>
          <w:lang w:val="es-CO"/>
        </w:rPr>
        <w:t>ARTÍCULO 152. RECURSOS DEL FONTIC PARA INSPECCIÓN, VIGILANCIA Y CONTROL.</w:t>
      </w:r>
      <w:bookmarkEnd w:id="164"/>
      <w:r w:rsidRPr="006969B3">
        <w:rPr>
          <w:rFonts w:ascii="Arial" w:hAnsi="Arial" w:cs="Arial"/>
          <w:sz w:val="22"/>
          <w:szCs w:val="22"/>
          <w:lang w:val="es-CO"/>
        </w:rPr>
        <w:t> El Fondo de Tecnologías de la Información y las Comunicaciones, o quien haga sus veces, deberá transferir a la Superintendencia de Industria y Comercio los recursos para el ejercicio de la función de inspección, vigilancia y control en materia de comunicaciones adelantada por esta Entidad.</w:t>
      </w:r>
    </w:p>
    <w:p w14:paraId="0F41366B" w14:textId="7B19BD8C" w:rsidR="00FD16D6" w:rsidRPr="006969B3" w:rsidRDefault="00FD16D6" w:rsidP="00F65283">
      <w:pPr>
        <w:spacing w:after="0" w:line="240" w:lineRule="auto"/>
        <w:rPr>
          <w:rFonts w:ascii="Arial" w:hAnsi="Arial" w:cs="Arial"/>
          <w:lang w:val="es-CO"/>
        </w:rPr>
      </w:pPr>
    </w:p>
    <w:p w14:paraId="53D15C12" w14:textId="029BBDE2" w:rsidR="00FD16D6" w:rsidRPr="006969B3" w:rsidRDefault="00FD16D6" w:rsidP="00F65283">
      <w:pPr>
        <w:pStyle w:val="NormalWeb"/>
        <w:spacing w:before="0" w:beforeAutospacing="0" w:after="0" w:afterAutospacing="0"/>
        <w:jc w:val="both"/>
        <w:rPr>
          <w:rFonts w:ascii="Arial" w:hAnsi="Arial" w:cs="Arial"/>
          <w:sz w:val="22"/>
          <w:szCs w:val="22"/>
          <w:lang w:val="es-CO"/>
        </w:rPr>
      </w:pPr>
      <w:bookmarkStart w:id="165" w:name="153"/>
      <w:r w:rsidRPr="006969B3">
        <w:rPr>
          <w:rFonts w:ascii="Arial" w:hAnsi="Arial" w:cs="Arial"/>
          <w:sz w:val="22"/>
          <w:szCs w:val="22"/>
          <w:lang w:val="es-CO"/>
        </w:rPr>
        <w:t>ARTÍCULO 153. REDES Y SERVICIOS DE TELECOMUNICACIONES.</w:t>
      </w:r>
      <w:bookmarkEnd w:id="165"/>
      <w:r w:rsidRPr="006969B3">
        <w:rPr>
          <w:rFonts w:ascii="Arial" w:hAnsi="Arial" w:cs="Arial"/>
          <w:sz w:val="22"/>
          <w:szCs w:val="22"/>
          <w:lang w:val="es-CO"/>
        </w:rPr>
        <w:t> El manejo, tratamiento o procesamiento de información no configuran, por sí mismos, la provisión de redes y servicios de telecomunicaciones que se rige por la Ley </w:t>
      </w:r>
      <w:r w:rsidR="00DA3286">
        <w:rPr>
          <w:rFonts w:ascii="Arial" w:hAnsi="Arial" w:cs="Arial"/>
          <w:sz w:val="22"/>
          <w:szCs w:val="22"/>
          <w:lang w:val="es-CO"/>
        </w:rPr>
        <w:t>1341</w:t>
      </w:r>
      <w:r w:rsidRPr="006969B3">
        <w:rPr>
          <w:rFonts w:ascii="Arial" w:hAnsi="Arial" w:cs="Arial"/>
          <w:sz w:val="22"/>
          <w:szCs w:val="22"/>
          <w:lang w:val="es-CO"/>
        </w:rPr>
        <w:t> de 2009, aunque se soporten en redes y servicios de telecomunicaciones.</w:t>
      </w:r>
    </w:p>
    <w:p w14:paraId="08CCAE9B"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21C5F708" w14:textId="66BAE872"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Cuando en un mismo negocio jurídico se involucre la provisión de redes y servicios de telecomunicaciones, y el manejo, tratamiento o procesamiento de información, deberá realizarse la separación contable de los ingresos derivados del manejo, tratamiento o procesamiento de información y de los ingresos derivados de la provisión de redes y servicios de telecomunicaciones que se rigen por la Ley </w:t>
      </w:r>
      <w:r w:rsidR="00DA3286">
        <w:rPr>
          <w:rFonts w:ascii="Arial" w:hAnsi="Arial" w:cs="Arial"/>
          <w:sz w:val="22"/>
          <w:szCs w:val="22"/>
          <w:lang w:val="es-CO"/>
        </w:rPr>
        <w:t>1341</w:t>
      </w:r>
      <w:r w:rsidRPr="006969B3">
        <w:rPr>
          <w:rFonts w:ascii="Arial" w:hAnsi="Arial" w:cs="Arial"/>
          <w:sz w:val="22"/>
          <w:szCs w:val="22"/>
          <w:lang w:val="es-CO"/>
        </w:rPr>
        <w:t> de 2009, respectivamente.</w:t>
      </w:r>
    </w:p>
    <w:p w14:paraId="42A2B53D" w14:textId="7451E1E0" w:rsidR="00FD16D6" w:rsidRPr="006969B3" w:rsidRDefault="00FD16D6" w:rsidP="00F65283">
      <w:pPr>
        <w:spacing w:after="0" w:line="240" w:lineRule="auto"/>
        <w:rPr>
          <w:rFonts w:ascii="Arial" w:hAnsi="Arial" w:cs="Arial"/>
          <w:lang w:val="es-CO"/>
        </w:rPr>
      </w:pPr>
    </w:p>
    <w:p w14:paraId="770FBC00" w14:textId="77777777" w:rsidR="00FD16D6" w:rsidRPr="006969B3" w:rsidRDefault="00FD16D6" w:rsidP="00F65283">
      <w:pPr>
        <w:pStyle w:val="NormalWeb"/>
        <w:spacing w:before="0" w:beforeAutospacing="0" w:after="0" w:afterAutospacing="0"/>
        <w:jc w:val="both"/>
        <w:rPr>
          <w:rFonts w:ascii="Arial" w:hAnsi="Arial" w:cs="Arial"/>
          <w:sz w:val="22"/>
          <w:szCs w:val="22"/>
          <w:lang w:val="es-CO"/>
        </w:rPr>
      </w:pPr>
      <w:bookmarkStart w:id="166" w:name="154"/>
      <w:r w:rsidRPr="006969B3">
        <w:rPr>
          <w:rFonts w:ascii="Arial" w:hAnsi="Arial" w:cs="Arial"/>
          <w:sz w:val="22"/>
          <w:szCs w:val="22"/>
          <w:lang w:val="es-CO"/>
        </w:rPr>
        <w:t>ARTÍCULO 154. PRODUCCIÓN Y CONTENIDO LOCAL EN SERVICIOS DE VIDEO BAJO DEMANDA.</w:t>
      </w:r>
      <w:bookmarkEnd w:id="166"/>
      <w:r w:rsidRPr="006969B3">
        <w:rPr>
          <w:rFonts w:ascii="Arial" w:hAnsi="Arial" w:cs="Arial"/>
          <w:sz w:val="22"/>
          <w:szCs w:val="22"/>
          <w:lang w:val="es-CO"/>
        </w:rPr>
        <w:t> Los servicios bajo demanda (</w:t>
      </w:r>
      <w:proofErr w:type="spellStart"/>
      <w:r w:rsidRPr="006969B3">
        <w:rPr>
          <w:rFonts w:ascii="Arial" w:hAnsi="Arial" w:cs="Arial"/>
          <w:sz w:val="22"/>
          <w:szCs w:val="22"/>
          <w:lang w:val="es-CO"/>
        </w:rPr>
        <w:t>Suscription</w:t>
      </w:r>
      <w:proofErr w:type="spellEnd"/>
      <w:r w:rsidRPr="006969B3">
        <w:rPr>
          <w:rFonts w:ascii="Arial" w:hAnsi="Arial" w:cs="Arial"/>
          <w:sz w:val="22"/>
          <w:szCs w:val="22"/>
          <w:lang w:val="es-CO"/>
        </w:rPr>
        <w:t xml:space="preserve"> Video </w:t>
      </w:r>
      <w:proofErr w:type="spellStart"/>
      <w:r w:rsidRPr="006969B3">
        <w:rPr>
          <w:rFonts w:ascii="Arial" w:hAnsi="Arial" w:cs="Arial"/>
          <w:sz w:val="22"/>
          <w:szCs w:val="22"/>
          <w:lang w:val="es-CO"/>
        </w:rPr>
        <w:t>on</w:t>
      </w:r>
      <w:proofErr w:type="spellEnd"/>
      <w:r w:rsidRPr="006969B3">
        <w:rPr>
          <w:rFonts w:ascii="Arial" w:hAnsi="Arial" w:cs="Arial"/>
          <w:sz w:val="22"/>
          <w:szCs w:val="22"/>
          <w:lang w:val="es-CO"/>
        </w:rPr>
        <w:t xml:space="preserve"> </w:t>
      </w:r>
      <w:proofErr w:type="spellStart"/>
      <w:r w:rsidRPr="006969B3">
        <w:rPr>
          <w:rFonts w:ascii="Arial" w:hAnsi="Arial" w:cs="Arial"/>
          <w:sz w:val="22"/>
          <w:szCs w:val="22"/>
          <w:lang w:val="es-CO"/>
        </w:rPr>
        <w:t>Demand</w:t>
      </w:r>
      <w:proofErr w:type="spellEnd"/>
      <w:r w:rsidRPr="006969B3">
        <w:rPr>
          <w:rFonts w:ascii="Arial" w:hAnsi="Arial" w:cs="Arial"/>
          <w:sz w:val="22"/>
          <w:szCs w:val="22"/>
          <w:lang w:val="es-CO"/>
        </w:rPr>
        <w:t xml:space="preserve"> -SVOD-) que se prestan a través de Internet (</w:t>
      </w:r>
      <w:proofErr w:type="spellStart"/>
      <w:r w:rsidRPr="006969B3">
        <w:rPr>
          <w:rFonts w:ascii="Arial" w:hAnsi="Arial" w:cs="Arial"/>
          <w:sz w:val="22"/>
          <w:szCs w:val="22"/>
          <w:lang w:val="es-CO"/>
        </w:rPr>
        <w:t>Over</w:t>
      </w:r>
      <w:proofErr w:type="spellEnd"/>
      <w:r w:rsidRPr="006969B3">
        <w:rPr>
          <w:rFonts w:ascii="Arial" w:hAnsi="Arial" w:cs="Arial"/>
          <w:sz w:val="22"/>
          <w:szCs w:val="22"/>
          <w:lang w:val="es-CO"/>
        </w:rPr>
        <w:t xml:space="preserve"> </w:t>
      </w:r>
      <w:proofErr w:type="spellStart"/>
      <w:r w:rsidRPr="006969B3">
        <w:rPr>
          <w:rFonts w:ascii="Arial" w:hAnsi="Arial" w:cs="Arial"/>
          <w:sz w:val="22"/>
          <w:szCs w:val="22"/>
          <w:lang w:val="es-CO"/>
        </w:rPr>
        <w:t>the</w:t>
      </w:r>
      <w:proofErr w:type="spellEnd"/>
      <w:r w:rsidRPr="006969B3">
        <w:rPr>
          <w:rFonts w:ascii="Arial" w:hAnsi="Arial" w:cs="Arial"/>
          <w:sz w:val="22"/>
          <w:szCs w:val="22"/>
          <w:lang w:val="es-CO"/>
        </w:rPr>
        <w:t xml:space="preserve"> Top-OTT-), deberán disponer, para los usuarios en Colombia, de una sección fácilmente accesible para el usuario en la que se incluyan obras audiovisuales de origen nacional.</w:t>
      </w:r>
    </w:p>
    <w:p w14:paraId="239F070C"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31AC39D9" w14:textId="2F532429"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El Gobierno nacional expedirá, dentro de los doce meses siguientes a la expedición de la presente ley, los aspectos necesarios para dar cum </w:t>
      </w:r>
      <w:proofErr w:type="spellStart"/>
      <w:r w:rsidRPr="006969B3">
        <w:rPr>
          <w:rFonts w:ascii="Arial" w:hAnsi="Arial" w:cs="Arial"/>
          <w:sz w:val="22"/>
          <w:szCs w:val="22"/>
          <w:lang w:val="es-CO"/>
        </w:rPr>
        <w:t>plimiento</w:t>
      </w:r>
      <w:proofErr w:type="spellEnd"/>
      <w:r w:rsidRPr="006969B3">
        <w:rPr>
          <w:rFonts w:ascii="Arial" w:hAnsi="Arial" w:cs="Arial"/>
          <w:sz w:val="22"/>
          <w:szCs w:val="22"/>
          <w:lang w:val="es-CO"/>
        </w:rPr>
        <w:t xml:space="preserve"> al presente artículo teniendo en cuenta las disposiciones de los tratados internacionales firmados por Colombia.</w:t>
      </w:r>
    </w:p>
    <w:p w14:paraId="3733F866" w14:textId="26DE1C25" w:rsidR="00FD16D6" w:rsidRPr="006969B3" w:rsidRDefault="00FD16D6" w:rsidP="00F65283">
      <w:pPr>
        <w:spacing w:after="0" w:line="240" w:lineRule="auto"/>
        <w:rPr>
          <w:rFonts w:ascii="Arial" w:hAnsi="Arial" w:cs="Arial"/>
          <w:lang w:val="es-CO"/>
        </w:rPr>
      </w:pPr>
    </w:p>
    <w:p w14:paraId="5FCD2E3B" w14:textId="408F63E2" w:rsidR="00FD16D6" w:rsidRPr="006969B3" w:rsidRDefault="00FD16D6" w:rsidP="00F65283">
      <w:pPr>
        <w:pStyle w:val="NormalWeb"/>
        <w:spacing w:before="0" w:beforeAutospacing="0" w:after="0" w:afterAutospacing="0"/>
        <w:jc w:val="both"/>
        <w:rPr>
          <w:rFonts w:ascii="Arial" w:hAnsi="Arial" w:cs="Arial"/>
          <w:sz w:val="22"/>
          <w:szCs w:val="22"/>
          <w:lang w:val="es-CO"/>
        </w:rPr>
      </w:pPr>
      <w:bookmarkStart w:id="167" w:name="155"/>
      <w:r w:rsidRPr="006969B3">
        <w:rPr>
          <w:rFonts w:ascii="Arial" w:hAnsi="Arial" w:cs="Arial"/>
          <w:sz w:val="22"/>
          <w:szCs w:val="22"/>
          <w:lang w:val="es-CO"/>
        </w:rPr>
        <w:lastRenderedPageBreak/>
        <w:t>ARTÍCULO 155. SISTEMA ESTADÍSTICO NACIONAL.</w:t>
      </w:r>
      <w:bookmarkEnd w:id="167"/>
      <w:r w:rsidRPr="006969B3">
        <w:rPr>
          <w:rFonts w:ascii="Arial" w:hAnsi="Arial" w:cs="Arial"/>
          <w:sz w:val="22"/>
          <w:szCs w:val="22"/>
          <w:lang w:val="es-CO"/>
        </w:rPr>
        <w:t> Modifíquese el artículo</w:t>
      </w:r>
      <w:r w:rsidR="00D931A8">
        <w:rPr>
          <w:rFonts w:ascii="Arial" w:hAnsi="Arial" w:cs="Arial"/>
          <w:sz w:val="22"/>
          <w:szCs w:val="22"/>
          <w:lang w:val="es-CO"/>
        </w:rPr>
        <w:t xml:space="preserve"> </w:t>
      </w:r>
      <w:r w:rsidR="00DA3286">
        <w:rPr>
          <w:rFonts w:ascii="Arial" w:hAnsi="Arial" w:cs="Arial"/>
          <w:sz w:val="22"/>
          <w:szCs w:val="22"/>
          <w:lang w:val="es-CO"/>
        </w:rPr>
        <w:t>160</w:t>
      </w:r>
      <w:r w:rsidRPr="006969B3">
        <w:rPr>
          <w:rFonts w:ascii="Arial" w:hAnsi="Arial" w:cs="Arial"/>
          <w:sz w:val="22"/>
          <w:szCs w:val="22"/>
          <w:lang w:val="es-CO"/>
        </w:rPr>
        <w:t> de la Ley 1753 de 2015, el cual quedará así:</w:t>
      </w:r>
    </w:p>
    <w:p w14:paraId="0D5E99A5"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5D736AB8" w14:textId="50D873B8"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w:t>
      </w:r>
      <w:r w:rsidR="00D931A8">
        <w:rPr>
          <w:rFonts w:ascii="Arial" w:hAnsi="Arial" w:cs="Arial"/>
          <w:sz w:val="22"/>
          <w:szCs w:val="22"/>
          <w:lang w:val="es-CO"/>
        </w:rPr>
        <w:t>160</w:t>
      </w:r>
      <w:r w:rsidRPr="006969B3">
        <w:rPr>
          <w:rFonts w:ascii="Arial" w:hAnsi="Arial" w:cs="Arial"/>
          <w:sz w:val="22"/>
          <w:szCs w:val="22"/>
          <w:lang w:val="es-CO"/>
        </w:rPr>
        <w:t>. sistema estadístico nacional. Créase el Sistema Estadístico Nacional, en adelante SEN, con el objetivo de suministrar a la sociedad y al Estado, estadísticas oficiales nacionales y territoriales de calidad. El SEN utilizará los lenguajes y procedimientos comunes, respetando los estándares estadísticos internacionales y los objetivos del código de buenas prácticas en materia estadística. Además, el SEN optimizará el uso de los registros administrativos producidos por todas las entidades que lo conforman y contribuirá con la transparencia, pertinencia, interoperabilidad, acceso, oportunidad y coherencia de las estadísticas del país, con un enfoque diferencial.</w:t>
      </w:r>
    </w:p>
    <w:p w14:paraId="02D997A7"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2FD1F427" w14:textId="0139009F"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Sistema Estadístico Nacional (SEN) estará integrado por las entidades que produzcan y difundan estadísticas o sean responsables de registros administrativos, así:</w:t>
      </w:r>
    </w:p>
    <w:p w14:paraId="19376653"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249057CF" w14:textId="709B8482"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 Pertenecientes a las Ramas del Poder Público, en todos los niveles de la estructura estatal, central o descentralizada por servicios o territorialmente; del orden nacional, departamental, municipal y distrital.</w:t>
      </w:r>
    </w:p>
    <w:p w14:paraId="7ED7D608"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5085594B" w14:textId="7D5D4974"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2. Los órganos, organismos o entidades estatales independientes o autónomos de control.</w:t>
      </w:r>
    </w:p>
    <w:p w14:paraId="24439C4D"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26BF7BD2" w14:textId="393AEA84"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3. Las personas jurídicas, públicas o privadas, que presten servicios públicos.</w:t>
      </w:r>
    </w:p>
    <w:p w14:paraId="56D0A931"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1AFDFE82" w14:textId="50D0015A"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4. Cualquier persona jurídica o dependencia de persona jurídica que desempeñe función pública o de </w:t>
      </w:r>
      <w:proofErr w:type="gramStart"/>
      <w:r w:rsidRPr="006969B3">
        <w:rPr>
          <w:rFonts w:ascii="Arial" w:hAnsi="Arial" w:cs="Arial"/>
          <w:sz w:val="22"/>
          <w:szCs w:val="22"/>
          <w:lang w:val="es-CO"/>
        </w:rPr>
        <w:t>autoridad pública</w:t>
      </w:r>
      <w:proofErr w:type="gramEnd"/>
      <w:r w:rsidRPr="006969B3">
        <w:rPr>
          <w:rFonts w:ascii="Arial" w:hAnsi="Arial" w:cs="Arial"/>
          <w:sz w:val="22"/>
          <w:szCs w:val="22"/>
          <w:lang w:val="es-CO"/>
        </w:rPr>
        <w:t>.</w:t>
      </w:r>
    </w:p>
    <w:p w14:paraId="427F9387"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1D198530" w14:textId="1DF7B24A"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5. Personas jurídicas que posean, produzcan o administren registros administrativos en el desarrollo de su objeto social, que sean insumos necesarios para la producción de estadísticas oficiales.</w:t>
      </w:r>
    </w:p>
    <w:p w14:paraId="73DEE79F"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7717529C" w14:textId="334B894C"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Departamento Administrativo Nacional de Estadística (DANE) será el ente rector y por tanto el coordinador y regulador del SEN. El DANE establecerá las condiciones y características que deberán cumplir las estadísticas oficiales en Colombia, respetando los estándares internacionales que usen las entidades productoras de estadísticas. Dichas condiciones y características serán consignadas en el Plan Estadístico Nacional y otros actos administrativos proferidos por el DANE, los cuales serán de obligatorio cumplimiento para los miembros del SEN.</w:t>
      </w:r>
    </w:p>
    <w:p w14:paraId="51114B4F"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54C91226" w14:textId="4968B5BF"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Plan Estadístico Nacional se expedirá cada cinco (5) años, previa concertación y socialización a los integrantes del SEN; tendrá un enfoque diferencial y se actualizará cuando el DANE lo considere pertinente previo aval del Consejo Asesor Técnico del Sistema Estadístico Nacional del que habla el parágrafo 3 de este artículo. El Gobierno nacional reglamentará las demás disposiciones relacionadas con el Plan Estadístico Nacional y las condiciones que garanticen el intercambio de información y la calidad de las estadísticas de que trata este artículo.</w:t>
      </w:r>
    </w:p>
    <w:p w14:paraId="7E54657B" w14:textId="77777777" w:rsidR="002B52AE" w:rsidRPr="006969B3" w:rsidRDefault="002B52AE" w:rsidP="00F65283">
      <w:pPr>
        <w:pStyle w:val="NormalWeb"/>
        <w:spacing w:before="0" w:beforeAutospacing="0" w:after="0" w:afterAutospacing="0"/>
        <w:jc w:val="both"/>
        <w:rPr>
          <w:rStyle w:val="baj"/>
          <w:rFonts w:ascii="Arial" w:hAnsi="Arial" w:cs="Arial"/>
          <w:sz w:val="22"/>
          <w:szCs w:val="22"/>
          <w:lang w:val="es-CO"/>
        </w:rPr>
      </w:pPr>
    </w:p>
    <w:p w14:paraId="40CA0FCD" w14:textId="411C1CEC"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Para la producción y difusión de estadísticas oficiales y de conformidad con la Ley</w:t>
      </w:r>
      <w:r w:rsidR="00D931A8">
        <w:rPr>
          <w:rFonts w:ascii="Arial" w:hAnsi="Arial" w:cs="Arial"/>
          <w:sz w:val="22"/>
          <w:szCs w:val="22"/>
          <w:lang w:val="es-CO"/>
        </w:rPr>
        <w:t xml:space="preserve"> 1266</w:t>
      </w:r>
      <w:r w:rsidRPr="006969B3">
        <w:rPr>
          <w:rFonts w:ascii="Arial" w:hAnsi="Arial" w:cs="Arial"/>
          <w:sz w:val="22"/>
          <w:szCs w:val="22"/>
          <w:lang w:val="es-CO"/>
        </w:rPr>
        <w:t> de 2008 y la Ley</w:t>
      </w:r>
      <w:r w:rsidR="00D931A8">
        <w:rPr>
          <w:rFonts w:ascii="Arial" w:hAnsi="Arial" w:cs="Arial"/>
          <w:sz w:val="22"/>
          <w:szCs w:val="22"/>
          <w:lang w:val="es-CO"/>
        </w:rPr>
        <w:t xml:space="preserve"> 1712</w:t>
      </w:r>
      <w:r w:rsidRPr="006969B3">
        <w:rPr>
          <w:rFonts w:ascii="Arial" w:hAnsi="Arial" w:cs="Arial"/>
          <w:sz w:val="22"/>
          <w:szCs w:val="22"/>
          <w:lang w:val="es-CO"/>
        </w:rPr>
        <w:t xml:space="preserve"> de 2014, los integrantes del SEN deberán poner a disposición del DANE, de manera inmediata y de forma gratuita, las bases de datos completas de los registros administrativos que sean solicitados por el departamento, para lo cual no será oponible la reserva legal, especialmente la contenida en el Estatuto </w:t>
      </w:r>
      <w:r w:rsidRPr="006969B3">
        <w:rPr>
          <w:rFonts w:ascii="Arial" w:hAnsi="Arial" w:cs="Arial"/>
          <w:sz w:val="22"/>
          <w:szCs w:val="22"/>
          <w:lang w:val="es-CO"/>
        </w:rPr>
        <w:lastRenderedPageBreak/>
        <w:t>Tributario. El DANE garantizará la reserva y confidencialidad de la información en concordancia con el artículo </w:t>
      </w:r>
      <w:r w:rsidR="00D931A8">
        <w:rPr>
          <w:rFonts w:ascii="Arial" w:hAnsi="Arial" w:cs="Arial"/>
          <w:sz w:val="22"/>
          <w:szCs w:val="22"/>
          <w:lang w:val="es-CO"/>
        </w:rPr>
        <w:t xml:space="preserve">5o. </w:t>
      </w:r>
      <w:r w:rsidRPr="006969B3">
        <w:rPr>
          <w:rFonts w:ascii="Arial" w:hAnsi="Arial" w:cs="Arial"/>
          <w:sz w:val="22"/>
          <w:szCs w:val="22"/>
          <w:lang w:val="es-CO"/>
        </w:rPr>
        <w:t>de la Ley 79 de 1993. Los Integrantes del SEN que incumplan u obstaculicen los requerimientos de información realizados por el DANE, asociados a la entrega de bases de datos de los registros administrativos, estarán sujetos a las sanciones y multas señaladas en el artículo </w:t>
      </w:r>
      <w:r w:rsidR="00D931A8">
        <w:rPr>
          <w:rFonts w:ascii="Arial" w:hAnsi="Arial" w:cs="Arial"/>
          <w:sz w:val="22"/>
          <w:szCs w:val="22"/>
          <w:lang w:val="es-CO"/>
        </w:rPr>
        <w:t>6o</w:t>
      </w:r>
      <w:r w:rsidRPr="006969B3">
        <w:rPr>
          <w:rFonts w:ascii="Arial" w:hAnsi="Arial" w:cs="Arial"/>
          <w:sz w:val="22"/>
          <w:szCs w:val="22"/>
          <w:lang w:val="es-CO"/>
        </w:rPr>
        <w:t> de la Ley 79 de 1993.</w:t>
      </w:r>
    </w:p>
    <w:p w14:paraId="7E8DB82A" w14:textId="77777777" w:rsidR="001B0E49" w:rsidRDefault="001B0E49" w:rsidP="00F65283">
      <w:pPr>
        <w:pStyle w:val="NormalWeb"/>
        <w:spacing w:before="0" w:beforeAutospacing="0" w:after="0" w:afterAutospacing="0"/>
        <w:jc w:val="both"/>
        <w:rPr>
          <w:rStyle w:val="baj"/>
          <w:rFonts w:ascii="Arial" w:hAnsi="Arial" w:cs="Arial"/>
          <w:sz w:val="22"/>
          <w:szCs w:val="22"/>
          <w:lang w:val="es-CO"/>
        </w:rPr>
      </w:pPr>
    </w:p>
    <w:p w14:paraId="22CCF6B4" w14:textId="24DE4870"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xml:space="preserve"> Con el fin de garantizar y contribuir al fortalecimiento de la calidad y coherencia de la información de que trata este artículo, los integrantes del SEN atenderán las obligaciones derivadas de las evaluaciones y requisitos de calidad estadística establecidos por el DANE. Adicionalmente, los integrantes del SEN podrán intercambiar información estadística, hasta el nivel de microdato, de forma gratuita y oportuna, de acuerdo con la reglamentación que para el efecto expida el Gobierno nacional. Las entidades que hagan parte del Intercambio de información deben salvaguardar la confidencialidad y reserva de </w:t>
      </w:r>
      <w:proofErr w:type="gramStart"/>
      <w:r w:rsidRPr="006969B3">
        <w:rPr>
          <w:rFonts w:ascii="Arial" w:hAnsi="Arial" w:cs="Arial"/>
          <w:sz w:val="22"/>
          <w:szCs w:val="22"/>
          <w:lang w:val="es-CO"/>
        </w:rPr>
        <w:t>la misma</w:t>
      </w:r>
      <w:proofErr w:type="gramEnd"/>
      <w:r w:rsidRPr="006969B3">
        <w:rPr>
          <w:rFonts w:ascii="Arial" w:hAnsi="Arial" w:cs="Arial"/>
          <w:sz w:val="22"/>
          <w:szCs w:val="22"/>
          <w:lang w:val="es-CO"/>
        </w:rPr>
        <w:t>.</w:t>
      </w:r>
    </w:p>
    <w:p w14:paraId="7951FE2D" w14:textId="77777777" w:rsidR="002B52AE" w:rsidRPr="006969B3" w:rsidRDefault="002B52AE" w:rsidP="00F65283">
      <w:pPr>
        <w:pStyle w:val="NormalWeb"/>
        <w:spacing w:before="0" w:beforeAutospacing="0" w:after="0" w:afterAutospacing="0"/>
        <w:jc w:val="both"/>
        <w:rPr>
          <w:rStyle w:val="baj"/>
          <w:rFonts w:ascii="Arial" w:hAnsi="Arial" w:cs="Arial"/>
          <w:sz w:val="22"/>
          <w:szCs w:val="22"/>
          <w:lang w:val="es-CO"/>
        </w:rPr>
      </w:pPr>
    </w:p>
    <w:p w14:paraId="2C2118F4" w14:textId="06C61CF8"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3o.</w:t>
      </w:r>
      <w:r w:rsidRPr="006969B3">
        <w:rPr>
          <w:rFonts w:ascii="Arial" w:hAnsi="Arial" w:cs="Arial"/>
          <w:sz w:val="22"/>
          <w:szCs w:val="22"/>
          <w:lang w:val="es-CO"/>
        </w:rPr>
        <w:t> Con el fin de asesorar y evaluar el desarrollo del SEN y la producción estadística nacional, créase el Consejo Asesor Técnico del Sistema Estadístico Nacional como órgano de carácter consultivo. El Gobierno nacional reglamentará los principios, la composición y funcionamiento de este consejo.</w:t>
      </w:r>
    </w:p>
    <w:p w14:paraId="2C6DFB47" w14:textId="77777777" w:rsidR="002B52AE" w:rsidRPr="006969B3" w:rsidRDefault="002B52AE" w:rsidP="00F65283">
      <w:pPr>
        <w:pStyle w:val="NormalWeb"/>
        <w:spacing w:before="0" w:beforeAutospacing="0" w:after="0" w:afterAutospacing="0"/>
        <w:jc w:val="both"/>
        <w:rPr>
          <w:rStyle w:val="baj"/>
          <w:rFonts w:ascii="Arial" w:hAnsi="Arial" w:cs="Arial"/>
          <w:sz w:val="22"/>
          <w:szCs w:val="22"/>
          <w:lang w:val="es-CO"/>
        </w:rPr>
      </w:pPr>
    </w:p>
    <w:p w14:paraId="0CC72003" w14:textId="59910B5E"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4o.</w:t>
      </w:r>
      <w:r w:rsidRPr="006969B3">
        <w:rPr>
          <w:rFonts w:ascii="Arial" w:hAnsi="Arial" w:cs="Arial"/>
          <w:sz w:val="22"/>
          <w:szCs w:val="22"/>
          <w:lang w:val="es-CO"/>
        </w:rPr>
        <w:t> Con el fin de garantizar una plena identificación y caracterización de la oferta de información estadística en el país, los miembros del SEN estarán obligados a reportar la creación, actualización y cualquier otra novedad en la producción y difusión de información estadística o registros administrativos en el sistema informático que defina para este efecto el DANE y de acuerdo con la periodicidad establecida en el Plan Estadístico Nacional. Este sistema informático contendrá los metadatos de las operaciones estadísticas y de los registros administrativos para aprovechamiento estadístico.</w:t>
      </w:r>
    </w:p>
    <w:p w14:paraId="4674D096" w14:textId="77777777" w:rsidR="002B52AE" w:rsidRPr="006969B3" w:rsidRDefault="002B52AE" w:rsidP="00F65283">
      <w:pPr>
        <w:pStyle w:val="NormalWeb"/>
        <w:spacing w:before="0" w:beforeAutospacing="0" w:after="0" w:afterAutospacing="0"/>
        <w:jc w:val="both"/>
        <w:rPr>
          <w:rStyle w:val="baj"/>
          <w:rFonts w:ascii="Arial" w:hAnsi="Arial" w:cs="Arial"/>
          <w:sz w:val="22"/>
          <w:szCs w:val="22"/>
          <w:lang w:val="es-CO"/>
        </w:rPr>
      </w:pPr>
    </w:p>
    <w:p w14:paraId="4E23BE9F" w14:textId="124D9C60"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5o.</w:t>
      </w:r>
      <w:r w:rsidRPr="006969B3">
        <w:rPr>
          <w:rFonts w:ascii="Arial" w:hAnsi="Arial" w:cs="Arial"/>
          <w:sz w:val="22"/>
          <w:szCs w:val="22"/>
          <w:lang w:val="es-CO"/>
        </w:rPr>
        <w:t xml:space="preserve"> El Gobierno nacional dispondrá de los recursos necesarios para que, bajo la coordinación del DANE, las operaciones estadísticas que hacen parte del Sistema Estadístico </w:t>
      </w:r>
      <w:proofErr w:type="gramStart"/>
      <w:r w:rsidRPr="006969B3">
        <w:rPr>
          <w:rFonts w:ascii="Arial" w:hAnsi="Arial" w:cs="Arial"/>
          <w:sz w:val="22"/>
          <w:szCs w:val="22"/>
          <w:lang w:val="es-CO"/>
        </w:rPr>
        <w:t>Nacional,</w:t>
      </w:r>
      <w:proofErr w:type="gramEnd"/>
      <w:r w:rsidRPr="006969B3">
        <w:rPr>
          <w:rFonts w:ascii="Arial" w:hAnsi="Arial" w:cs="Arial"/>
          <w:sz w:val="22"/>
          <w:szCs w:val="22"/>
          <w:lang w:val="es-CO"/>
        </w:rPr>
        <w:t xml:space="preserve"> aumenten su cobertura y difundan sus resultados con desagregación a nivel territorial de distritos y municipios que sean capitales de departamentos y los departamentos de categoría especial. En todo caso, deberá surtir una evaluación de viabilidad técnica a fin de preservar la reserva estadística y atributos de calidad de la operación.</w:t>
      </w:r>
    </w:p>
    <w:p w14:paraId="76662EC3" w14:textId="77777777" w:rsidR="002B52AE" w:rsidRPr="006969B3" w:rsidRDefault="002B52AE" w:rsidP="00F65283">
      <w:pPr>
        <w:pStyle w:val="NormalWeb"/>
        <w:spacing w:before="0" w:beforeAutospacing="0" w:after="0" w:afterAutospacing="0"/>
        <w:jc w:val="both"/>
        <w:rPr>
          <w:rStyle w:val="baj"/>
          <w:rFonts w:ascii="Arial" w:hAnsi="Arial" w:cs="Arial"/>
          <w:sz w:val="22"/>
          <w:szCs w:val="22"/>
          <w:lang w:val="es-CO"/>
        </w:rPr>
      </w:pPr>
    </w:p>
    <w:p w14:paraId="4C54C80E" w14:textId="0A72EFCD"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6o.</w:t>
      </w:r>
      <w:r w:rsidRPr="006969B3">
        <w:rPr>
          <w:rFonts w:ascii="Arial" w:hAnsi="Arial" w:cs="Arial"/>
          <w:sz w:val="22"/>
          <w:szCs w:val="22"/>
          <w:lang w:val="es-CO"/>
        </w:rPr>
        <w:t> El Departamento Administrativo Nacional de Estadística (DANE) brindará asesoría y asistencia técnica en la formulación de Planes Estadísticos Territoriales, así como en los lineamientos y estándares para la producción y difusión de información estadística en los distritos y municipios que sean capitales de departamentos y los departamentos de categoría especial.</w:t>
      </w:r>
    </w:p>
    <w:p w14:paraId="6B8BA94F" w14:textId="491CDDE2" w:rsidR="00FD16D6" w:rsidRPr="006969B3" w:rsidRDefault="00FD16D6" w:rsidP="00F65283">
      <w:pPr>
        <w:spacing w:after="0" w:line="240" w:lineRule="auto"/>
        <w:rPr>
          <w:rFonts w:ascii="Arial" w:hAnsi="Arial" w:cs="Arial"/>
          <w:lang w:val="es-CO"/>
        </w:rPr>
      </w:pPr>
    </w:p>
    <w:p w14:paraId="67EB2EF0" w14:textId="77777777" w:rsidR="00FD16D6" w:rsidRPr="006969B3" w:rsidRDefault="00FD16D6" w:rsidP="00F65283">
      <w:pPr>
        <w:pStyle w:val="NormalWeb"/>
        <w:spacing w:before="0" w:beforeAutospacing="0" w:after="0" w:afterAutospacing="0"/>
        <w:jc w:val="both"/>
        <w:rPr>
          <w:rFonts w:ascii="Arial" w:hAnsi="Arial" w:cs="Arial"/>
          <w:sz w:val="22"/>
          <w:szCs w:val="22"/>
          <w:lang w:val="es-CO"/>
        </w:rPr>
      </w:pPr>
      <w:bookmarkStart w:id="168" w:name="156"/>
      <w:r w:rsidRPr="006969B3">
        <w:rPr>
          <w:rFonts w:ascii="Arial" w:hAnsi="Arial" w:cs="Arial"/>
          <w:sz w:val="22"/>
          <w:szCs w:val="22"/>
          <w:lang w:val="es-CO"/>
        </w:rPr>
        <w:t>ARTÍCULO 156. POTESTAD SANCIONATORIA DEL ICA E INFRACCIONES.</w:t>
      </w:r>
      <w:bookmarkEnd w:id="168"/>
      <w:r w:rsidRPr="006969B3">
        <w:rPr>
          <w:rFonts w:ascii="Arial" w:hAnsi="Arial" w:cs="Arial"/>
          <w:sz w:val="22"/>
          <w:szCs w:val="22"/>
          <w:lang w:val="es-CO"/>
        </w:rPr>
        <w:t> El Estado es el titular de la potestad sancionatoria en materia sanitaria, fitosanitaria, de inocuidad y forestal comercial y la ejerce, sin perjuicio de las competencias legales de otras autoridades, a través del Instituto Colombiano Agropecuario (ICA), conforme lo dispuesto en la presente ley.</w:t>
      </w:r>
    </w:p>
    <w:p w14:paraId="0545624B"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4474951D" w14:textId="7379086E"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Será infracción toda acción u omisión que contravenga las disposiciones establecidas en el ordenamiento jurídico en materia sanitaria, fitosanitaria, de inocuidad y forestal comercial, </w:t>
      </w:r>
      <w:r w:rsidRPr="006969B3">
        <w:rPr>
          <w:rFonts w:ascii="Arial" w:hAnsi="Arial" w:cs="Arial"/>
          <w:sz w:val="22"/>
          <w:szCs w:val="22"/>
          <w:lang w:val="es-CO"/>
        </w:rPr>
        <w:lastRenderedPageBreak/>
        <w:t>en especial cuando impida u obstruya el desarrollo o la ejecución de cualquiera de las siguientes actividades:</w:t>
      </w:r>
    </w:p>
    <w:p w14:paraId="7CBE9C52"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478950E7" w14:textId="51D89450"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 Campañas de prevención, erradicación y manejo de plagas y enfermedades.</w:t>
      </w:r>
    </w:p>
    <w:p w14:paraId="446B933E"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79F17FD0" w14:textId="377FFF22"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2. Desarrollo de cuarentena agropecuaria.</w:t>
      </w:r>
    </w:p>
    <w:p w14:paraId="0CDA1C31"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40C13CDB" w14:textId="6DFC8DD5"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3. Actividades de inspección, vigilancia y control sanitario, fitosanitario y de inocuidad.</w:t>
      </w:r>
    </w:p>
    <w:p w14:paraId="6F7CD2FA"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504885C8" w14:textId="2678485D"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4. Diagnóstico, la vigilancia epidemiológica y sanitaria animal y vegetal.</w:t>
      </w:r>
    </w:p>
    <w:p w14:paraId="5532364B"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09413CE6" w14:textId="22B6ADB1"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5. Exportación e importación de animales, vegetales, sus productos y sus subproductos y </w:t>
      </w:r>
      <w:proofErr w:type="spellStart"/>
      <w:r w:rsidRPr="006969B3">
        <w:rPr>
          <w:rFonts w:ascii="Arial" w:hAnsi="Arial" w:cs="Arial"/>
          <w:sz w:val="22"/>
          <w:szCs w:val="22"/>
          <w:lang w:val="es-CO"/>
        </w:rPr>
        <w:t>agroinsumos</w:t>
      </w:r>
      <w:proofErr w:type="spellEnd"/>
      <w:r w:rsidRPr="006969B3">
        <w:rPr>
          <w:rFonts w:ascii="Arial" w:hAnsi="Arial" w:cs="Arial"/>
          <w:sz w:val="22"/>
          <w:szCs w:val="22"/>
          <w:lang w:val="es-CO"/>
        </w:rPr>
        <w:t>.</w:t>
      </w:r>
    </w:p>
    <w:p w14:paraId="45DB464B"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26CA04F8" w14:textId="0259B0AB"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6. Control técnico de los insumos agropecuarios, material genético animal, vegetal y semillas para siembra.</w:t>
      </w:r>
    </w:p>
    <w:p w14:paraId="7DF29011"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2F2D6786" w14:textId="0824919B"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7. Operación de establecimientos comerciales agropecuarios.</w:t>
      </w:r>
    </w:p>
    <w:p w14:paraId="25385367"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7BE959D1" w14:textId="5D8DD52F"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8. Inscripción o expedición de certificados de movilización de plantaciones forestales comerciales.</w:t>
      </w:r>
    </w:p>
    <w:p w14:paraId="5FB9A7EB" w14:textId="77777777" w:rsidR="002B52AE" w:rsidRPr="006969B3" w:rsidRDefault="002B52AE" w:rsidP="00F65283">
      <w:pPr>
        <w:pStyle w:val="NormalWeb"/>
        <w:spacing w:before="0" w:beforeAutospacing="0" w:after="0" w:afterAutospacing="0"/>
        <w:jc w:val="both"/>
        <w:rPr>
          <w:rStyle w:val="baj"/>
          <w:rFonts w:ascii="Arial" w:hAnsi="Arial" w:cs="Arial"/>
          <w:sz w:val="22"/>
          <w:szCs w:val="22"/>
          <w:lang w:val="es-CO"/>
        </w:rPr>
      </w:pPr>
    </w:p>
    <w:p w14:paraId="42279479" w14:textId="386B9248"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La aplicación del régimen administrativo sancionatorio establecido en la presente ley, por parte del Instituto Colombiano Agropecuario (ICA), se regirá por lo previsto en el Título III de la Ley </w:t>
      </w:r>
      <w:r w:rsidR="00D931A8">
        <w:rPr>
          <w:rFonts w:ascii="Arial" w:hAnsi="Arial" w:cs="Arial"/>
          <w:sz w:val="22"/>
          <w:szCs w:val="22"/>
          <w:lang w:val="es-CO"/>
        </w:rPr>
        <w:t>1437</w:t>
      </w:r>
      <w:r w:rsidRPr="006969B3">
        <w:rPr>
          <w:rFonts w:ascii="Arial" w:hAnsi="Arial" w:cs="Arial"/>
          <w:sz w:val="22"/>
          <w:szCs w:val="22"/>
          <w:lang w:val="es-CO"/>
        </w:rPr>
        <w:t> de 2011 y demás normas que lo modifiquen, adicionen o sustituyan.</w:t>
      </w:r>
    </w:p>
    <w:p w14:paraId="5F95682D"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0377AF04" w14:textId="6B05FBAF"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Lo anterior, para asegurar el debido proceso en el trámite.</w:t>
      </w:r>
    </w:p>
    <w:p w14:paraId="72C0D706" w14:textId="77777777" w:rsidR="002B52AE" w:rsidRPr="006969B3" w:rsidRDefault="002B52AE" w:rsidP="00F65283">
      <w:pPr>
        <w:pStyle w:val="NormalWeb"/>
        <w:spacing w:before="0" w:beforeAutospacing="0" w:after="0" w:afterAutospacing="0"/>
        <w:jc w:val="both"/>
        <w:rPr>
          <w:rStyle w:val="baj"/>
          <w:rFonts w:ascii="Arial" w:hAnsi="Arial" w:cs="Arial"/>
          <w:sz w:val="22"/>
          <w:szCs w:val="22"/>
          <w:lang w:val="es-CO"/>
        </w:rPr>
      </w:pPr>
    </w:p>
    <w:p w14:paraId="2181E3C1" w14:textId="706BCDBE"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xml:space="preserve"> El Ministerio de Agricultura y Desarrollo Rural en conjunto con </w:t>
      </w:r>
      <w:proofErr w:type="spellStart"/>
      <w:r w:rsidRPr="006969B3">
        <w:rPr>
          <w:rFonts w:ascii="Arial" w:hAnsi="Arial" w:cs="Arial"/>
          <w:sz w:val="22"/>
          <w:szCs w:val="22"/>
          <w:lang w:val="es-CO"/>
        </w:rPr>
        <w:t>Agrosavia</w:t>
      </w:r>
      <w:proofErr w:type="spellEnd"/>
      <w:r w:rsidRPr="006969B3">
        <w:rPr>
          <w:rFonts w:ascii="Arial" w:hAnsi="Arial" w:cs="Arial"/>
          <w:sz w:val="22"/>
          <w:szCs w:val="22"/>
          <w:lang w:val="es-CO"/>
        </w:rPr>
        <w:t xml:space="preserve"> y el ICA, formularán un programa de fomento y apoyo a los sistemas locales de semillas para el rescate, conservación, uso, promoción y protección de semillas criollas y nativas.</w:t>
      </w:r>
    </w:p>
    <w:p w14:paraId="4DC74CDD" w14:textId="77777777" w:rsidR="002B52AE" w:rsidRPr="006969B3" w:rsidRDefault="002B52AE" w:rsidP="00F65283">
      <w:pPr>
        <w:pStyle w:val="NormalWeb"/>
        <w:spacing w:before="0" w:beforeAutospacing="0" w:after="0" w:afterAutospacing="0"/>
        <w:jc w:val="both"/>
        <w:rPr>
          <w:rStyle w:val="baj"/>
          <w:rFonts w:ascii="Arial" w:hAnsi="Arial" w:cs="Arial"/>
          <w:sz w:val="22"/>
          <w:szCs w:val="22"/>
          <w:lang w:val="es-CO"/>
        </w:rPr>
      </w:pPr>
    </w:p>
    <w:p w14:paraId="0F0B188A" w14:textId="01CA6D14"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3o.</w:t>
      </w:r>
      <w:r w:rsidRPr="006969B3">
        <w:rPr>
          <w:rFonts w:ascii="Arial" w:hAnsi="Arial" w:cs="Arial"/>
          <w:sz w:val="22"/>
          <w:szCs w:val="22"/>
          <w:lang w:val="es-CO"/>
        </w:rPr>
        <w:t> El Ministerio de Agricultura y Desarrollo Rural y el ICA rendirán informe escrito, durante los meses de septiembre y abril de cada año, a las comisiones quintas de Senado y Cámara sobre el avance del ICA en el fortalecimiento de sus competencias, en materia de sanidad, y trazabilidad en materia agropecuaria.</w:t>
      </w:r>
    </w:p>
    <w:p w14:paraId="37B92D2A" w14:textId="71DCA7C1" w:rsidR="00FD16D6" w:rsidRPr="006969B3" w:rsidRDefault="00FD16D6" w:rsidP="00F65283">
      <w:pPr>
        <w:spacing w:after="0" w:line="240" w:lineRule="auto"/>
        <w:rPr>
          <w:rFonts w:ascii="Arial" w:hAnsi="Arial" w:cs="Arial"/>
          <w:lang w:val="es-CO"/>
        </w:rPr>
      </w:pPr>
    </w:p>
    <w:p w14:paraId="56068597" w14:textId="77777777" w:rsidR="00FD16D6" w:rsidRPr="006969B3" w:rsidRDefault="00FD16D6" w:rsidP="00F65283">
      <w:pPr>
        <w:pStyle w:val="NormalWeb"/>
        <w:spacing w:before="0" w:beforeAutospacing="0" w:after="0" w:afterAutospacing="0"/>
        <w:jc w:val="both"/>
        <w:rPr>
          <w:rFonts w:ascii="Arial" w:hAnsi="Arial" w:cs="Arial"/>
          <w:sz w:val="22"/>
          <w:szCs w:val="22"/>
          <w:lang w:val="es-CO"/>
        </w:rPr>
      </w:pPr>
      <w:bookmarkStart w:id="169" w:name="157"/>
      <w:r w:rsidRPr="006969B3">
        <w:rPr>
          <w:rFonts w:ascii="Arial" w:hAnsi="Arial" w:cs="Arial"/>
          <w:sz w:val="22"/>
          <w:szCs w:val="22"/>
          <w:lang w:val="es-CO"/>
        </w:rPr>
        <w:t>ARTÍCULO 157. SANCIONES ADMINISTRATIVAS.</w:t>
      </w:r>
      <w:bookmarkEnd w:id="169"/>
      <w:r w:rsidRPr="006969B3">
        <w:rPr>
          <w:rFonts w:ascii="Arial" w:hAnsi="Arial" w:cs="Arial"/>
          <w:sz w:val="22"/>
          <w:szCs w:val="22"/>
          <w:lang w:val="es-CO"/>
        </w:rPr>
        <w:t> Las infracciones a que se refiere la presente ley serán objeto de sanción administrativa por parte del Instituto Colombiano Agropecuario (ICA), sin perjuicio de las acciones penales y civiles a que haya lugar. Las sanciones serán las siguientes:</w:t>
      </w:r>
    </w:p>
    <w:p w14:paraId="18C351BA"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533FC9D2" w14:textId="391C966B"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 Amonestación escrita o llamado de atención, con un plazo para que el infractor cese su incumplimiento.</w:t>
      </w:r>
    </w:p>
    <w:p w14:paraId="14691FA5"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512E6091" w14:textId="182311A8"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2. Multa, representada en salarios mínimos legales mensuales vigentes, que oscilan </w:t>
      </w:r>
      <w:proofErr w:type="gramStart"/>
      <w:r w:rsidRPr="006969B3">
        <w:rPr>
          <w:rFonts w:ascii="Arial" w:hAnsi="Arial" w:cs="Arial"/>
          <w:sz w:val="22"/>
          <w:szCs w:val="22"/>
          <w:lang w:val="es-CO"/>
        </w:rPr>
        <w:t>de acuerdo a</w:t>
      </w:r>
      <w:proofErr w:type="gramEnd"/>
      <w:r w:rsidRPr="006969B3">
        <w:rPr>
          <w:rFonts w:ascii="Arial" w:hAnsi="Arial" w:cs="Arial"/>
          <w:sz w:val="22"/>
          <w:szCs w:val="22"/>
          <w:lang w:val="es-CO"/>
        </w:rPr>
        <w:t xml:space="preserve"> la gravedad de la conducta, desde un (1) salario hasta diez mil (10.000) salarios mínimos legales mensuales vigentes, para la fecha de ocurrencia de los hechos.</w:t>
      </w:r>
    </w:p>
    <w:p w14:paraId="47D73B7C"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7B3B8E5D" w14:textId="1FEFA69B"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lastRenderedPageBreak/>
        <w:t>El ICA podrá imponer multas sucesivas cuando corrobore que el sancionado ha persistido en su incumplimiento.</w:t>
      </w:r>
    </w:p>
    <w:p w14:paraId="73D33B20"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36D17102" w14:textId="2711E036"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3. La prohibición temporal o definitiva de la producción de especies animales y/o vegetales.</w:t>
      </w:r>
    </w:p>
    <w:p w14:paraId="7B369F51"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1BE930DF" w14:textId="09902DB8"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4. La suspensión o cancelación de registros, permisos, certificaciones o autorizaciones concedidas por el ICA, hasta por el término de dos (2) años.</w:t>
      </w:r>
    </w:p>
    <w:p w14:paraId="5C049801" w14:textId="77777777"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5. La suspensión o cancelación, hasta por el término de dos (2) años, de los servicios que el ICA preste al infractor.</w:t>
      </w:r>
    </w:p>
    <w:p w14:paraId="5F852E68" w14:textId="77777777" w:rsidR="002B52AE" w:rsidRPr="006969B3" w:rsidRDefault="002B52AE" w:rsidP="00F65283">
      <w:pPr>
        <w:pStyle w:val="NormalWeb"/>
        <w:spacing w:before="0" w:beforeAutospacing="0" w:after="0" w:afterAutospacing="0"/>
        <w:jc w:val="both"/>
        <w:rPr>
          <w:rStyle w:val="baj"/>
          <w:rFonts w:ascii="Arial" w:hAnsi="Arial" w:cs="Arial"/>
          <w:sz w:val="22"/>
          <w:szCs w:val="22"/>
          <w:lang w:val="es-CO"/>
        </w:rPr>
      </w:pPr>
    </w:p>
    <w:p w14:paraId="374832A9" w14:textId="1D9DA281"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Dependiendo de la gravedad de la infracción, el ICA podrá imponer una o varias de las sanciones contempladas en la presente ley, atendiendo a los criterios de graduación contenidos en el artículo </w:t>
      </w:r>
      <w:r w:rsidR="00D931A8">
        <w:rPr>
          <w:rFonts w:ascii="Arial" w:hAnsi="Arial" w:cs="Arial"/>
          <w:sz w:val="22"/>
          <w:szCs w:val="22"/>
          <w:lang w:val="es-CO"/>
        </w:rPr>
        <w:t>50</w:t>
      </w:r>
      <w:r w:rsidRPr="006969B3">
        <w:rPr>
          <w:rFonts w:ascii="Arial" w:hAnsi="Arial" w:cs="Arial"/>
          <w:sz w:val="22"/>
          <w:szCs w:val="22"/>
          <w:lang w:val="es-CO"/>
        </w:rPr>
        <w:t> de la Ley 1437 de 2011. En todo caso, la imposición de las sanciones aquí señaladas no exime al infractor del deber de ejecutar las acciones a que esté obligado.</w:t>
      </w:r>
    </w:p>
    <w:p w14:paraId="51D6124B" w14:textId="77777777" w:rsidR="002B52AE" w:rsidRPr="006969B3" w:rsidRDefault="002B52AE" w:rsidP="00F65283">
      <w:pPr>
        <w:pStyle w:val="NormalWeb"/>
        <w:spacing w:before="0" w:beforeAutospacing="0" w:after="0" w:afterAutospacing="0"/>
        <w:jc w:val="both"/>
        <w:rPr>
          <w:rStyle w:val="baj"/>
          <w:rFonts w:ascii="Arial" w:hAnsi="Arial" w:cs="Arial"/>
          <w:sz w:val="22"/>
          <w:szCs w:val="22"/>
          <w:lang w:val="es-CO"/>
        </w:rPr>
      </w:pPr>
    </w:p>
    <w:p w14:paraId="67CC3E21" w14:textId="13522805"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Los actos administrativos expedidos por el ICA que impongan sanciones pecuniarias, una vez ejecutoriados, prestan mérito ejecutivo y su cobro podrá hacerse a través de la jurisdicción coactiva.</w:t>
      </w:r>
    </w:p>
    <w:p w14:paraId="43C33632" w14:textId="77777777" w:rsidR="002B52AE" w:rsidRPr="006969B3" w:rsidRDefault="002B52AE" w:rsidP="00F65283">
      <w:pPr>
        <w:pStyle w:val="NormalWeb"/>
        <w:spacing w:before="0" w:beforeAutospacing="0" w:after="0" w:afterAutospacing="0"/>
        <w:jc w:val="both"/>
        <w:rPr>
          <w:rStyle w:val="baj"/>
          <w:rFonts w:ascii="Arial" w:hAnsi="Arial" w:cs="Arial"/>
          <w:sz w:val="22"/>
          <w:szCs w:val="22"/>
          <w:lang w:val="es-CO"/>
        </w:rPr>
      </w:pPr>
    </w:p>
    <w:p w14:paraId="217875CC" w14:textId="1C88B638"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3o.</w:t>
      </w:r>
      <w:r w:rsidRPr="006969B3">
        <w:rPr>
          <w:rFonts w:ascii="Arial" w:hAnsi="Arial" w:cs="Arial"/>
          <w:sz w:val="22"/>
          <w:szCs w:val="22"/>
          <w:lang w:val="es-CO"/>
        </w:rPr>
        <w:t> El no pago de la sanción pecuniaria dentro del término de cinco (5) días siguientes a la ejecutoria del acto a través del cual se impone la sanción, o el incumplimiento al acuerdo de pago suscrito con el Instituto Colombiano Agropecuario (ICA), dará lugar a la liquidación y pago de intereses moratorios a la tasa prevista para el impuesto de renta y complementarios.</w:t>
      </w:r>
    </w:p>
    <w:p w14:paraId="11E3EA37" w14:textId="77777777" w:rsidR="002B52AE" w:rsidRPr="006969B3" w:rsidRDefault="002B52AE" w:rsidP="00F65283">
      <w:pPr>
        <w:pStyle w:val="NormalWeb"/>
        <w:spacing w:before="0" w:beforeAutospacing="0" w:after="0" w:afterAutospacing="0"/>
        <w:jc w:val="both"/>
        <w:rPr>
          <w:rStyle w:val="baj"/>
          <w:rFonts w:ascii="Arial" w:hAnsi="Arial" w:cs="Arial"/>
          <w:sz w:val="22"/>
          <w:szCs w:val="22"/>
          <w:lang w:val="es-CO"/>
        </w:rPr>
      </w:pPr>
    </w:p>
    <w:p w14:paraId="254BC59D" w14:textId="3302EA51"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4o.</w:t>
      </w:r>
      <w:r w:rsidRPr="006969B3">
        <w:rPr>
          <w:rFonts w:ascii="Arial" w:hAnsi="Arial" w:cs="Arial"/>
          <w:sz w:val="22"/>
          <w:szCs w:val="22"/>
          <w:lang w:val="es-CO"/>
        </w:rPr>
        <w:t> Las sumas recaudadas por concepto de multas ingresarán al Instituto Colombiano Agropecuario (ICA), y serán considerados como ingresos propios de la Entidad para financiar los planes y programas de control y vigilancia.</w:t>
      </w:r>
    </w:p>
    <w:p w14:paraId="66E8DBD8" w14:textId="6F9CE9B7" w:rsidR="00FD16D6" w:rsidRPr="006969B3" w:rsidRDefault="00FD16D6" w:rsidP="00F65283">
      <w:pPr>
        <w:spacing w:after="0" w:line="240" w:lineRule="auto"/>
        <w:rPr>
          <w:rFonts w:ascii="Arial" w:hAnsi="Arial" w:cs="Arial"/>
          <w:lang w:val="es-CO"/>
        </w:rPr>
      </w:pPr>
    </w:p>
    <w:p w14:paraId="0E46D612" w14:textId="77777777" w:rsidR="00FD16D6" w:rsidRPr="006969B3" w:rsidRDefault="00FD16D6" w:rsidP="00F65283">
      <w:pPr>
        <w:pStyle w:val="NormalWeb"/>
        <w:spacing w:before="0" w:beforeAutospacing="0" w:after="0" w:afterAutospacing="0"/>
        <w:jc w:val="both"/>
        <w:rPr>
          <w:rFonts w:ascii="Arial" w:hAnsi="Arial" w:cs="Arial"/>
          <w:sz w:val="22"/>
          <w:szCs w:val="22"/>
          <w:lang w:val="es-CO"/>
        </w:rPr>
      </w:pPr>
      <w:bookmarkStart w:id="170" w:name="158"/>
      <w:r w:rsidRPr="006969B3">
        <w:rPr>
          <w:rFonts w:ascii="Arial" w:hAnsi="Arial" w:cs="Arial"/>
          <w:sz w:val="22"/>
          <w:szCs w:val="22"/>
          <w:lang w:val="es-CO"/>
        </w:rPr>
        <w:t>ARTÍCULO 158. TASA, SUJETO ACTIVO Y PASIVO Y HECHOS GENERADORES.</w:t>
      </w:r>
      <w:bookmarkEnd w:id="170"/>
      <w:r w:rsidRPr="006969B3">
        <w:rPr>
          <w:rFonts w:ascii="Arial" w:hAnsi="Arial" w:cs="Arial"/>
          <w:sz w:val="22"/>
          <w:szCs w:val="22"/>
          <w:lang w:val="es-CO"/>
        </w:rPr>
        <w:t> Créase la tasa para la recuperación de los costos de los servicios prestados por el Instituto Colombiano Agropecuario (ICA), en ejercicio de su función misional, para garantizar y proteger la sanidad animal, vegetal e inocuidad de la producción primaria.</w:t>
      </w:r>
    </w:p>
    <w:p w14:paraId="45564EF3"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4E8F39E5" w14:textId="71BEF1FC"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sujeto activo de la tasa creada por la presente ley será el Instituto Colombiano Agropecuario (ICA). Tendrán la condición de sujeto pasivo de la tasa, las personas naturales o jurídicas que soliciten cualquiera de los servicios prestados por el Instituto Colombiano Agropecuario (ICA).</w:t>
      </w:r>
    </w:p>
    <w:p w14:paraId="52819ACB"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67ACD95C" w14:textId="4D51B460"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Son hechos generadores de la tasa que se crea en la presente ley, los siguientes:</w:t>
      </w:r>
    </w:p>
    <w:p w14:paraId="28E0A61F"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6D1B9016" w14:textId="1B1FAA9A"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 Expedición de registros, autorizaciones, habilitaciones, certificados, licencias, permisos, remisiones, publicaciones, inscripciones y conceptos en materia sanitaria, fitosanitaria, de inocuidad y forestal comercial.</w:t>
      </w:r>
    </w:p>
    <w:p w14:paraId="45112A32"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55738AE3" w14:textId="511C485E"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2. Realización de pruebas de laboratorio analíticas y diagnósticas de enfermedades y plagas, de verificación de requisitos técnicos de insumos agropecuarios y semillas y de detección de residuos y contaminantes en productos agropecuarios.</w:t>
      </w:r>
    </w:p>
    <w:p w14:paraId="328FAEF3"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4CA3F9B6" w14:textId="3E8C9728"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lastRenderedPageBreak/>
        <w:t>3. Realización de inspección física y cuarentenas agropecuarias para importación, exportación y reexportación.</w:t>
      </w:r>
    </w:p>
    <w:p w14:paraId="64BC1DEA" w14:textId="77777777" w:rsidR="002B52AE" w:rsidRPr="006969B3" w:rsidRDefault="002B52AE" w:rsidP="00F65283">
      <w:pPr>
        <w:pStyle w:val="NormalWeb"/>
        <w:spacing w:before="0" w:beforeAutospacing="0" w:after="0" w:afterAutospacing="0"/>
        <w:jc w:val="both"/>
        <w:rPr>
          <w:rStyle w:val="baj"/>
          <w:rFonts w:ascii="Arial" w:hAnsi="Arial" w:cs="Arial"/>
          <w:sz w:val="22"/>
          <w:szCs w:val="22"/>
          <w:lang w:val="es-CO"/>
        </w:rPr>
      </w:pPr>
    </w:p>
    <w:p w14:paraId="49AF8D63" w14:textId="4D377CD0"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La base para la liquidación de la tasa será el costo de los servicios correspondientes a cada uno de los hechos generadores establecidos en el artículo anterior, conforme la metodología de cálculo que establezca el Gobierno nacional.</w:t>
      </w:r>
    </w:p>
    <w:p w14:paraId="6ECFF9BC" w14:textId="1FD4787F" w:rsidR="00FD16D6" w:rsidRPr="006969B3" w:rsidRDefault="00FD16D6" w:rsidP="00F65283">
      <w:pPr>
        <w:spacing w:after="0" w:line="240" w:lineRule="auto"/>
        <w:rPr>
          <w:rFonts w:ascii="Arial" w:hAnsi="Arial" w:cs="Arial"/>
          <w:lang w:val="es-CO"/>
        </w:rPr>
      </w:pPr>
    </w:p>
    <w:p w14:paraId="3BAC9B48" w14:textId="77777777" w:rsidR="00FD16D6" w:rsidRPr="006969B3" w:rsidRDefault="00FD16D6" w:rsidP="00F65283">
      <w:pPr>
        <w:pStyle w:val="NormalWeb"/>
        <w:spacing w:before="0" w:beforeAutospacing="0" w:after="0" w:afterAutospacing="0"/>
        <w:jc w:val="both"/>
        <w:rPr>
          <w:rFonts w:ascii="Arial" w:hAnsi="Arial" w:cs="Arial"/>
          <w:sz w:val="22"/>
          <w:szCs w:val="22"/>
          <w:lang w:val="es-CO"/>
        </w:rPr>
      </w:pPr>
      <w:bookmarkStart w:id="171" w:name="159"/>
      <w:r w:rsidRPr="006969B3">
        <w:rPr>
          <w:rFonts w:ascii="Arial" w:hAnsi="Arial" w:cs="Arial"/>
          <w:sz w:val="22"/>
          <w:szCs w:val="22"/>
          <w:lang w:val="es-CO"/>
        </w:rPr>
        <w:t>ARTÍCULO 159. MÉTODO Y SISTEMA PARA LA DETERMINACIÓN DE LAS TARIFAS.</w:t>
      </w:r>
      <w:bookmarkEnd w:id="171"/>
      <w:r w:rsidRPr="006969B3">
        <w:rPr>
          <w:rFonts w:ascii="Arial" w:hAnsi="Arial" w:cs="Arial"/>
          <w:sz w:val="22"/>
          <w:szCs w:val="22"/>
          <w:lang w:val="es-CO"/>
        </w:rPr>
        <w:t> El Instituto Colombiano Agropecuario (ICA) fijará y actualizará anualmente las tarifas de los servicios que preste, por cada uno de los hechos generadores de la tasa. Las tarifas se fijarán en salarios mínimos legales diarios vigentes y se cobrarán como recuperación de los costos de los servicios prestados por la entidad, para lo cual se utilizarán el siguiente método y sistema, teniendo en cuenta los costos administrativos, financieros, directos e indirectos, de operación y los costos de los programas de tecnificación.</w:t>
      </w:r>
    </w:p>
    <w:p w14:paraId="0E1F5C7A" w14:textId="77777777" w:rsidR="002B52AE" w:rsidRPr="006969B3" w:rsidRDefault="002B52AE" w:rsidP="00F65283">
      <w:pPr>
        <w:pStyle w:val="NormalWeb"/>
        <w:spacing w:before="0" w:beforeAutospacing="0" w:after="0" w:afterAutospacing="0"/>
        <w:jc w:val="both"/>
        <w:rPr>
          <w:rStyle w:val="baj"/>
          <w:rFonts w:ascii="Arial" w:hAnsi="Arial" w:cs="Arial"/>
          <w:sz w:val="22"/>
          <w:szCs w:val="22"/>
          <w:lang w:val="es-CO"/>
        </w:rPr>
      </w:pPr>
    </w:p>
    <w:p w14:paraId="67CDE7E7" w14:textId="351F557D"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A) Método</w:t>
      </w:r>
    </w:p>
    <w:p w14:paraId="50763203"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71F75ABC" w14:textId="3960C519" w:rsidR="002B52AE"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a) Elaboración y normalización de flujogramas para los diferentes procesos con el propósito </w:t>
      </w:r>
    </w:p>
    <w:p w14:paraId="61468572" w14:textId="642B7368"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de determinar sus rutinas;</w:t>
      </w:r>
    </w:p>
    <w:p w14:paraId="28575F5D"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697A6245" w14:textId="61698670"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b) Cuantificación de los materiales, suministros y los demás insumos tecnológicos y de recurso humano utilizados anualmente, en cada uno de los procesos y procedimientos definidos en el literal anterior. Estos insumos deben incluir unos porcentajes de los gastos de administración general del ICA cuantificados siguiendo las normas y principios aceptados de contabilidad de costos;</w:t>
      </w:r>
    </w:p>
    <w:p w14:paraId="7B055838"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1718D493" w14:textId="3AF2431C"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c) Valoración a precios de mercado de los insumos descritos en el literal anterior para cada uno de los procesos y procedimientos, incluidos los relativos a transporte y almacenamiento. Cuando uno de los procedimientos deba contratarse con terceros, se tomará el valor del servicio contratado;</w:t>
      </w:r>
    </w:p>
    <w:p w14:paraId="4DC9F120"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2E9FC745" w14:textId="17164E63"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d) Valoración del recurso humano utilizado directamente en la prestación del servicio, tomando como base los salarios y prestaciones de la planta de personal del ICA, así como el valor de los contratos que se celebren para el efecto;</w:t>
      </w:r>
    </w:p>
    <w:p w14:paraId="068407CC"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42AC80ED" w14:textId="57342533"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 Cuantificación de los costos en función de los equipos, técnicas y tecnologías disponibles para la operación de los servicios;</w:t>
      </w:r>
    </w:p>
    <w:p w14:paraId="35F0BC09"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6EDADC49" w14:textId="122BD0AA"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f) Estimación de las frecuencias de utilización de los servicios. La frecuencia se entiende como el número de operaciones o ejecuciones de cada uno de los servicios prestados por el ICA.</w:t>
      </w:r>
    </w:p>
    <w:p w14:paraId="62EBCEBB" w14:textId="77777777" w:rsidR="002B52AE" w:rsidRPr="006969B3" w:rsidRDefault="002B52AE" w:rsidP="00F65283">
      <w:pPr>
        <w:pStyle w:val="NormalWeb"/>
        <w:spacing w:before="0" w:beforeAutospacing="0" w:after="0" w:afterAutospacing="0"/>
        <w:jc w:val="both"/>
        <w:rPr>
          <w:rStyle w:val="baj"/>
          <w:rFonts w:ascii="Arial" w:hAnsi="Arial" w:cs="Arial"/>
          <w:sz w:val="22"/>
          <w:szCs w:val="22"/>
          <w:lang w:val="es-CO"/>
        </w:rPr>
      </w:pPr>
    </w:p>
    <w:p w14:paraId="5D41D4B4" w14:textId="6F6A7A89"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B) Sistema de costos</w:t>
      </w:r>
    </w:p>
    <w:p w14:paraId="01775AA7"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4189E4B8" w14:textId="0B66CA9B"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sistema para definir las tarifas es un sistema de costos estandarizables, en el que la valoración y ponderación de los factores que intervienen en su definición se realizará por medio de los procedimientos de costeo técnicamente aceptados.</w:t>
      </w:r>
    </w:p>
    <w:p w14:paraId="4C4819AA"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62182CD3" w14:textId="20BB4B65"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La tarifa para cada uno de los servicios prestados por el Instituto Colombiano Agropecuario (ICA), será el resultado de sumar el valor de los insumos y de los recursos humanos </w:t>
      </w:r>
      <w:r w:rsidRPr="006969B3">
        <w:rPr>
          <w:rFonts w:ascii="Arial" w:hAnsi="Arial" w:cs="Arial"/>
          <w:sz w:val="22"/>
          <w:szCs w:val="22"/>
          <w:lang w:val="es-CO"/>
        </w:rPr>
        <w:lastRenderedPageBreak/>
        <w:t>utilizados, de conformidad con los literales c), d) y e) del artículo anterior de esta ley, divididos cada uno por la frecuencia de utilización de que trata el literal f) del mismo artículo.</w:t>
      </w:r>
    </w:p>
    <w:p w14:paraId="7C4290D6" w14:textId="77777777" w:rsidR="002B52AE" w:rsidRPr="006969B3" w:rsidRDefault="002B52AE" w:rsidP="00F65283">
      <w:pPr>
        <w:pStyle w:val="NormalWeb"/>
        <w:spacing w:before="0" w:beforeAutospacing="0" w:after="0" w:afterAutospacing="0"/>
        <w:jc w:val="both"/>
        <w:rPr>
          <w:rStyle w:val="baj"/>
          <w:rFonts w:ascii="Arial" w:hAnsi="Arial" w:cs="Arial"/>
          <w:sz w:val="22"/>
          <w:szCs w:val="22"/>
          <w:lang w:val="es-CO"/>
        </w:rPr>
      </w:pPr>
    </w:p>
    <w:p w14:paraId="547C8D84" w14:textId="5ADD70F0"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El Gobierno nacional podrá revisar periódicamente los criterios para la determinación de las tarifas considerando mejoras en eficiencia que puedan resultar en menores costos en la prestación de los servicios a cargo del ICA, así como utilizar ponderaciones regionales para la fijación de las tarifas.</w:t>
      </w:r>
    </w:p>
    <w:p w14:paraId="494DEC40" w14:textId="050D5C8A" w:rsidR="00FD16D6" w:rsidRPr="006969B3" w:rsidRDefault="00FD16D6" w:rsidP="00F65283">
      <w:pPr>
        <w:spacing w:after="0" w:line="240" w:lineRule="auto"/>
        <w:rPr>
          <w:rFonts w:ascii="Arial" w:hAnsi="Arial" w:cs="Arial"/>
          <w:lang w:val="es-CO"/>
        </w:rPr>
      </w:pPr>
    </w:p>
    <w:p w14:paraId="4D6D3149" w14:textId="77777777" w:rsidR="00FD16D6" w:rsidRPr="006969B3" w:rsidRDefault="00FD16D6" w:rsidP="00F65283">
      <w:pPr>
        <w:pStyle w:val="NormalWeb"/>
        <w:spacing w:before="0" w:beforeAutospacing="0" w:after="0" w:afterAutospacing="0"/>
        <w:jc w:val="both"/>
        <w:rPr>
          <w:rFonts w:ascii="Arial" w:hAnsi="Arial" w:cs="Arial"/>
          <w:sz w:val="22"/>
          <w:szCs w:val="22"/>
          <w:lang w:val="es-CO"/>
        </w:rPr>
      </w:pPr>
      <w:bookmarkStart w:id="172" w:name="160"/>
      <w:r w:rsidRPr="006969B3">
        <w:rPr>
          <w:rFonts w:ascii="Arial" w:hAnsi="Arial" w:cs="Arial"/>
          <w:sz w:val="22"/>
          <w:szCs w:val="22"/>
          <w:lang w:val="es-CO"/>
        </w:rPr>
        <w:t>ARTÍCULO 160. PAGO, RECAUDO Y DESTINACIÓN ESPECÍFICA DE LOS RECURSOS.</w:t>
      </w:r>
      <w:bookmarkEnd w:id="172"/>
      <w:r w:rsidRPr="006969B3">
        <w:rPr>
          <w:rFonts w:ascii="Arial" w:hAnsi="Arial" w:cs="Arial"/>
          <w:sz w:val="22"/>
          <w:szCs w:val="22"/>
          <w:lang w:val="es-CO"/>
        </w:rPr>
        <w:t> El sujeto pasivo o usuario deberá acreditar el pago de la tarifa correspondiente al momento de solicitar el servicio al Instituto Colombiano Agropecuario (ICA).</w:t>
      </w:r>
    </w:p>
    <w:p w14:paraId="6073099B"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710895C8" w14:textId="6CA3BC13"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recaudo de las tarifas de que trata la presente ley estará a cargo del Instituto Colombiano Agropecuario (ICA), y tendrá una destinación específica encaminada a la prevención, control y la erradicación de enfermedades y plagas en animales y vegetales y la inocuidad en la producción primaria.</w:t>
      </w:r>
    </w:p>
    <w:p w14:paraId="31D4D033" w14:textId="77777777" w:rsidR="002B52AE" w:rsidRPr="006969B3" w:rsidRDefault="002B52AE" w:rsidP="00F65283">
      <w:pPr>
        <w:pStyle w:val="NormalWeb"/>
        <w:spacing w:before="0" w:beforeAutospacing="0" w:after="0" w:afterAutospacing="0"/>
        <w:jc w:val="both"/>
        <w:rPr>
          <w:rStyle w:val="baj"/>
          <w:rFonts w:ascii="Arial" w:hAnsi="Arial" w:cs="Arial"/>
          <w:sz w:val="22"/>
          <w:szCs w:val="22"/>
          <w:lang w:val="es-CO"/>
        </w:rPr>
      </w:pPr>
    </w:p>
    <w:p w14:paraId="716718CF" w14:textId="38445DF2"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Los recursos serán incorporados en el presupuesto del ICA de conformidad con lo previsto en la Ley Orgánica de Presupuesto y se destinarán a financiar los programas de prevención, control y erradicación.</w:t>
      </w:r>
    </w:p>
    <w:p w14:paraId="1B2FA07B" w14:textId="4C4412B6" w:rsidR="00FD16D6" w:rsidRPr="006969B3" w:rsidRDefault="00FD16D6" w:rsidP="00F65283">
      <w:pPr>
        <w:spacing w:after="0" w:line="240" w:lineRule="auto"/>
        <w:rPr>
          <w:rFonts w:ascii="Arial" w:hAnsi="Arial" w:cs="Arial"/>
          <w:lang w:val="es-CO"/>
        </w:rPr>
      </w:pPr>
    </w:p>
    <w:p w14:paraId="0D2C5C17" w14:textId="77777777" w:rsidR="00FD16D6" w:rsidRPr="006969B3" w:rsidRDefault="00FD16D6" w:rsidP="00F65283">
      <w:pPr>
        <w:pStyle w:val="NormalWeb"/>
        <w:spacing w:before="0" w:beforeAutospacing="0" w:after="0" w:afterAutospacing="0"/>
        <w:jc w:val="both"/>
        <w:rPr>
          <w:rFonts w:ascii="Arial" w:hAnsi="Arial" w:cs="Arial"/>
          <w:sz w:val="22"/>
          <w:szCs w:val="22"/>
          <w:lang w:val="es-CO"/>
        </w:rPr>
      </w:pPr>
      <w:bookmarkStart w:id="173" w:name="161"/>
      <w:r w:rsidRPr="006969B3">
        <w:rPr>
          <w:rFonts w:ascii="Arial" w:hAnsi="Arial" w:cs="Arial"/>
          <w:sz w:val="22"/>
          <w:szCs w:val="22"/>
          <w:lang w:val="es-CO"/>
        </w:rPr>
        <w:t>ARTÍCULO 161. TASA POR LA REALIZACIÓN DE LA CONSULTA PREVIA.</w:t>
      </w:r>
      <w:bookmarkEnd w:id="173"/>
      <w:r w:rsidRPr="006969B3">
        <w:rPr>
          <w:rFonts w:ascii="Arial" w:hAnsi="Arial" w:cs="Arial"/>
          <w:sz w:val="22"/>
          <w:szCs w:val="22"/>
          <w:lang w:val="es-CO"/>
        </w:rPr>
        <w:t> El interesado en que se adelante una consulta previa deberá pagar al Ministerio del Interior- Fondo de la Dirección de Consulta Previa que se constituya como patrimonio autónomo a través de un contrato de fiducia mercantil, una tasa por los servicios de coordinación para la realización de la consulta previa y por el uso y acceso a la información sobre presencia de comunidades. Los recursos del cobro de esta tasa entrarán al Fondo de la Dirección de Consulta Previa y serán utilizados para sufragar los servicios a los que hace referencia el presente artículo.</w:t>
      </w:r>
    </w:p>
    <w:p w14:paraId="7FF53855"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79D583D1" w14:textId="5DB9D71B"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De conformidad con el artículo</w:t>
      </w:r>
      <w:r w:rsidR="00D931A8">
        <w:rPr>
          <w:rFonts w:ascii="Arial" w:hAnsi="Arial" w:cs="Arial"/>
          <w:sz w:val="22"/>
          <w:szCs w:val="22"/>
          <w:lang w:val="es-CO"/>
        </w:rPr>
        <w:t xml:space="preserve"> 338</w:t>
      </w:r>
      <w:r w:rsidRPr="006969B3">
        <w:rPr>
          <w:rFonts w:ascii="Arial" w:hAnsi="Arial" w:cs="Arial"/>
          <w:sz w:val="22"/>
          <w:szCs w:val="22"/>
          <w:lang w:val="es-CO"/>
        </w:rPr>
        <w:t> de la Constitución Política, la tasa incluirá:</w:t>
      </w:r>
    </w:p>
    <w:p w14:paraId="10DCA6FF"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0F2EE23D" w14:textId="7D7F1F31"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 Los costos de honorarios de los profesionales necesarios para realizar la ruta metodológica y la preconsulta, así como, los costos de viáticos y gastos de viaje de traslado de los mencionados profesionales.</w:t>
      </w:r>
    </w:p>
    <w:p w14:paraId="083E0C0A"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14A9F4A3" w14:textId="7BFF326A"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b) Los costos de honorarios de los profesionales necesarios para el desarrollo del procedimiento de consulta previa, así como, los costos de viáticos y gastos de viaje de traslado de los mencionados profesionales.</w:t>
      </w:r>
    </w:p>
    <w:p w14:paraId="4744EC7F"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571AC6B6" w14:textId="4F60951A"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c) Los costos correspondientes al uso y acceso a la Información sobre presencia de comunidades.</w:t>
      </w:r>
    </w:p>
    <w:p w14:paraId="1ECAF75F"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3946287B" w14:textId="3A31AD1D"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Los costos señalados en el literal b) del presente artículo se calcularán de conformidad con la ruta metodológica acordada entre las partes y la preconsulta. A este cálculo se adicionará un porcentaje del 1% del valor inicial para imprevistos.</w:t>
      </w:r>
    </w:p>
    <w:p w14:paraId="27F1584B"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538BD3E5" w14:textId="008FCE7E"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costo señalado en el literal c) del presente artículo corresponderá al 1% del valor final de los componentes a) y b).</w:t>
      </w:r>
    </w:p>
    <w:p w14:paraId="43D5EA71"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364CD088" w14:textId="6B80B613"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lastRenderedPageBreak/>
        <w:t>El Ministerio del Interior deberá fijar anualmente el valor de los honorarios y viáticos de los profesionales contratados para llevar a cabo el procedimiento de la consulta previa.</w:t>
      </w:r>
    </w:p>
    <w:p w14:paraId="37B9674A"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3BE8D12A" w14:textId="64F17E9F"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 tarifa será liquidada en dos etapas. En una primera se determinará el valor de los costos señalados en el literal a) que deberá ser pagada antes del inicio del trámite. Una segunda correspondiente a los numerales b) y c) dentro de los quince (15) días hábiles siguientes al acuerdo de la ruta metodológica.</w:t>
      </w:r>
    </w:p>
    <w:p w14:paraId="1F938955"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2E2B0C49" w14:textId="476DA2E3" w:rsidR="00FD16D6" w:rsidRPr="006969B3" w:rsidRDefault="00FD16D6" w:rsidP="00F65283">
      <w:pPr>
        <w:pStyle w:val="centrado"/>
        <w:spacing w:before="0" w:beforeAutospacing="0" w:after="0" w:afterAutospacing="0"/>
        <w:jc w:val="center"/>
        <w:rPr>
          <w:rFonts w:ascii="Arial" w:hAnsi="Arial" w:cs="Arial"/>
          <w:b/>
          <w:bCs/>
          <w:sz w:val="22"/>
          <w:szCs w:val="22"/>
          <w:lang w:val="es-CO"/>
        </w:rPr>
      </w:pPr>
      <w:bookmarkStart w:id="174" w:name="SECCIÓN_II-II-II"/>
      <w:r w:rsidRPr="006969B3">
        <w:rPr>
          <w:rFonts w:ascii="Arial" w:hAnsi="Arial" w:cs="Arial"/>
          <w:b/>
          <w:bCs/>
          <w:sz w:val="22"/>
          <w:szCs w:val="22"/>
          <w:lang w:val="es-CO"/>
        </w:rPr>
        <w:t>SECCIÓN II</w:t>
      </w:r>
      <w:bookmarkEnd w:id="174"/>
    </w:p>
    <w:p w14:paraId="01DC15D1" w14:textId="77777777" w:rsidR="00672D82" w:rsidRPr="006969B3" w:rsidRDefault="00672D82" w:rsidP="00F65283">
      <w:pPr>
        <w:pStyle w:val="centrado"/>
        <w:spacing w:before="0" w:beforeAutospacing="0" w:after="0" w:afterAutospacing="0"/>
        <w:jc w:val="center"/>
        <w:rPr>
          <w:rFonts w:ascii="Arial" w:hAnsi="Arial" w:cs="Arial"/>
          <w:b/>
          <w:bCs/>
          <w:sz w:val="22"/>
          <w:szCs w:val="22"/>
          <w:lang w:val="es-CO"/>
        </w:rPr>
      </w:pPr>
    </w:p>
    <w:p w14:paraId="448307F0" w14:textId="02807005" w:rsidR="00FD16D6" w:rsidRPr="006969B3" w:rsidRDefault="00FD16D6" w:rsidP="0074467C">
      <w:pPr>
        <w:pStyle w:val="centrado"/>
        <w:spacing w:before="0" w:beforeAutospacing="0" w:after="0" w:afterAutospacing="0"/>
        <w:jc w:val="center"/>
        <w:rPr>
          <w:rFonts w:ascii="Arial" w:hAnsi="Arial" w:cs="Arial"/>
          <w:b/>
          <w:bCs/>
          <w:sz w:val="22"/>
          <w:szCs w:val="22"/>
          <w:lang w:val="es-CO"/>
        </w:rPr>
      </w:pPr>
      <w:r w:rsidRPr="006969B3">
        <w:rPr>
          <w:rStyle w:val="baj"/>
          <w:rFonts w:ascii="Arial" w:hAnsi="Arial" w:cs="Arial"/>
          <w:b/>
          <w:bCs/>
          <w:sz w:val="22"/>
          <w:szCs w:val="22"/>
          <w:lang w:val="es-CO"/>
        </w:rPr>
        <w:t>PACTO POR EL EMPRENDIMIENTO, LA FORMALIZACIÓN Y LA PRODUCTIVIDAD:</w:t>
      </w:r>
      <w:r w:rsidR="0074467C">
        <w:rPr>
          <w:rStyle w:val="baj"/>
          <w:rFonts w:ascii="Arial" w:hAnsi="Arial" w:cs="Arial"/>
          <w:b/>
          <w:bCs/>
          <w:sz w:val="22"/>
          <w:szCs w:val="22"/>
          <w:lang w:val="es-CO"/>
        </w:rPr>
        <w:t xml:space="preserve"> </w:t>
      </w:r>
      <w:r w:rsidRPr="006969B3">
        <w:rPr>
          <w:rStyle w:val="baj"/>
          <w:rFonts w:ascii="Arial" w:hAnsi="Arial" w:cs="Arial"/>
          <w:b/>
          <w:bCs/>
          <w:sz w:val="22"/>
          <w:szCs w:val="22"/>
          <w:lang w:val="es-CO"/>
        </w:rPr>
        <w:t>UNA ECONOMÍA DINÁMICA, INCLUYENTE Y SOSTENIBLE QUE POTENCIE TODOS NUESTROS TALENTOS</w:t>
      </w:r>
    </w:p>
    <w:p w14:paraId="71D45D99" w14:textId="62BFA87C" w:rsidR="00FD16D6" w:rsidRPr="006969B3" w:rsidRDefault="00FD16D6" w:rsidP="00F65283">
      <w:pPr>
        <w:spacing w:after="0" w:line="240" w:lineRule="auto"/>
        <w:rPr>
          <w:rFonts w:ascii="Arial" w:hAnsi="Arial" w:cs="Arial"/>
          <w:b/>
          <w:bCs/>
          <w:lang w:val="es-CO"/>
        </w:rPr>
      </w:pPr>
    </w:p>
    <w:p w14:paraId="7B17A77F" w14:textId="77777777" w:rsidR="00FD16D6" w:rsidRPr="006969B3" w:rsidRDefault="00FD16D6" w:rsidP="00F65283">
      <w:pPr>
        <w:pStyle w:val="NormalWeb"/>
        <w:spacing w:before="0" w:beforeAutospacing="0" w:after="0" w:afterAutospacing="0"/>
        <w:jc w:val="both"/>
        <w:rPr>
          <w:rFonts w:ascii="Arial" w:hAnsi="Arial" w:cs="Arial"/>
          <w:sz w:val="22"/>
          <w:szCs w:val="22"/>
          <w:lang w:val="es-CO"/>
        </w:rPr>
      </w:pPr>
      <w:bookmarkStart w:id="175" w:name="162"/>
      <w:r w:rsidRPr="006969B3">
        <w:rPr>
          <w:rFonts w:ascii="Arial" w:hAnsi="Arial" w:cs="Arial"/>
          <w:sz w:val="22"/>
          <w:szCs w:val="22"/>
          <w:lang w:val="es-CO"/>
        </w:rPr>
        <w:t>ARTÍCULO 162. EMISIONES PARA PEQUEÑAS Y MEDIANAS EMPRESAS.</w:t>
      </w:r>
      <w:bookmarkEnd w:id="175"/>
      <w:r w:rsidRPr="006969B3">
        <w:rPr>
          <w:rFonts w:ascii="Arial" w:hAnsi="Arial" w:cs="Arial"/>
          <w:sz w:val="22"/>
          <w:szCs w:val="22"/>
          <w:lang w:val="es-CO"/>
        </w:rPr>
        <w:t> El Gobierno nacional creará un modelo de emisiones de acciones e instrumentos de crédito, hasta 584.000 Unidades de Valor Tributario (UVT) por cada emisor, para pequeñas y medianas empresas, en el cual se establecerán condiciones que faciliten su proceso de emisión. Así mismo, serán negociados a través de un sistema autorizado por la Superintendencia Financiera de Colombia, al cual concurrirán inversionistas y emisores, para efectuar operaciones primarias y secundarias de compra y venta. El Gobierno nacional reglamentará la materia.</w:t>
      </w:r>
    </w:p>
    <w:p w14:paraId="5581A926" w14:textId="6DAF7E4D" w:rsidR="00FD16D6" w:rsidRPr="006969B3" w:rsidRDefault="00FD16D6" w:rsidP="00F65283">
      <w:pPr>
        <w:spacing w:after="0" w:line="240" w:lineRule="auto"/>
        <w:rPr>
          <w:rFonts w:ascii="Arial" w:hAnsi="Arial" w:cs="Arial"/>
          <w:lang w:val="es-CO"/>
        </w:rPr>
      </w:pPr>
    </w:p>
    <w:p w14:paraId="6A42F3F0" w14:textId="138B8330" w:rsidR="00FD16D6" w:rsidRPr="006969B3" w:rsidRDefault="00FD16D6" w:rsidP="00F65283">
      <w:pPr>
        <w:pStyle w:val="NormalWeb"/>
        <w:spacing w:before="0" w:beforeAutospacing="0" w:after="0" w:afterAutospacing="0"/>
        <w:jc w:val="both"/>
        <w:rPr>
          <w:rFonts w:ascii="Arial" w:hAnsi="Arial" w:cs="Arial"/>
          <w:sz w:val="22"/>
          <w:szCs w:val="22"/>
          <w:lang w:val="es-CO"/>
        </w:rPr>
      </w:pPr>
      <w:bookmarkStart w:id="176" w:name="163"/>
      <w:r w:rsidRPr="006969B3">
        <w:rPr>
          <w:rFonts w:ascii="Arial" w:hAnsi="Arial" w:cs="Arial"/>
          <w:sz w:val="22"/>
          <w:szCs w:val="22"/>
          <w:lang w:val="es-CO"/>
        </w:rPr>
        <w:t>ARTÍCULO 163. COLOMBIA PRODUCTIVA.</w:t>
      </w:r>
      <w:bookmarkEnd w:id="176"/>
      <w:r w:rsidRPr="006969B3">
        <w:rPr>
          <w:rFonts w:ascii="Arial" w:hAnsi="Arial" w:cs="Arial"/>
          <w:sz w:val="22"/>
          <w:szCs w:val="22"/>
          <w:lang w:val="es-CO"/>
        </w:rPr>
        <w:t> Modifíquese el artículo </w:t>
      </w:r>
      <w:r w:rsidR="00D931A8">
        <w:rPr>
          <w:rFonts w:ascii="Arial" w:hAnsi="Arial" w:cs="Arial"/>
          <w:sz w:val="22"/>
          <w:szCs w:val="22"/>
          <w:lang w:val="es-CO"/>
        </w:rPr>
        <w:t>50</w:t>
      </w:r>
      <w:r w:rsidRPr="006969B3">
        <w:rPr>
          <w:rFonts w:ascii="Arial" w:hAnsi="Arial" w:cs="Arial"/>
          <w:sz w:val="22"/>
          <w:szCs w:val="22"/>
          <w:lang w:val="es-CO"/>
        </w:rPr>
        <w:t> de la Ley 1450 de 2011, modificado por el artículo</w:t>
      </w:r>
      <w:r w:rsidR="00D931A8">
        <w:rPr>
          <w:rFonts w:ascii="Arial" w:hAnsi="Arial" w:cs="Arial"/>
          <w:sz w:val="22"/>
          <w:szCs w:val="22"/>
          <w:lang w:val="es-CO"/>
        </w:rPr>
        <w:t xml:space="preserve"> 11</w:t>
      </w:r>
      <w:r w:rsidRPr="006969B3">
        <w:rPr>
          <w:rFonts w:ascii="Arial" w:hAnsi="Arial" w:cs="Arial"/>
          <w:sz w:val="22"/>
          <w:szCs w:val="22"/>
          <w:lang w:val="es-CO"/>
        </w:rPr>
        <w:t> de la Ley 1753 de 2015, el cual quedará así:</w:t>
      </w:r>
    </w:p>
    <w:p w14:paraId="2613F02B" w14:textId="77777777" w:rsidR="00D931A8" w:rsidRDefault="00D931A8" w:rsidP="00F65283">
      <w:pPr>
        <w:pStyle w:val="NormalWeb"/>
        <w:spacing w:before="0" w:beforeAutospacing="0" w:after="0" w:afterAutospacing="0"/>
        <w:jc w:val="both"/>
        <w:rPr>
          <w:rFonts w:ascii="Arial" w:hAnsi="Arial" w:cs="Arial"/>
          <w:sz w:val="22"/>
          <w:szCs w:val="22"/>
          <w:lang w:val="es-CO"/>
        </w:rPr>
      </w:pPr>
    </w:p>
    <w:p w14:paraId="259535ED" w14:textId="4A16F410"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w:t>
      </w:r>
      <w:r w:rsidR="00D931A8">
        <w:rPr>
          <w:rFonts w:ascii="Arial" w:hAnsi="Arial" w:cs="Arial"/>
          <w:sz w:val="22"/>
          <w:szCs w:val="22"/>
          <w:lang w:val="es-CO"/>
        </w:rPr>
        <w:t xml:space="preserve"> 50</w:t>
      </w:r>
      <w:r w:rsidRPr="006969B3">
        <w:rPr>
          <w:rFonts w:ascii="Arial" w:hAnsi="Arial" w:cs="Arial"/>
          <w:sz w:val="22"/>
          <w:szCs w:val="22"/>
          <w:lang w:val="es-CO"/>
        </w:rPr>
        <w:t xml:space="preserve">. Colombia Productiva. El Programa de Transformación Productiva, que en adelante se llamará Colombia Productiva, será el encargado de promover la productividad, la competitividad y los encadenamientos productivos para fortalecer cadenas de valor sostenibles; implementar estrategias público-privadas que permitan el aprovechamiento de ventajas comparativas y competitivas para afrontar los retos del mercado global; y, fortalecer las capacidades empresariales, la sofisticación, la calidad y el valor agregado de los productos y </w:t>
      </w:r>
      <w:proofErr w:type="spellStart"/>
      <w:r w:rsidRPr="006969B3">
        <w:rPr>
          <w:rFonts w:ascii="Arial" w:hAnsi="Arial" w:cs="Arial"/>
          <w:sz w:val="22"/>
          <w:szCs w:val="22"/>
          <w:lang w:val="es-CO"/>
        </w:rPr>
        <w:t>servicos</w:t>
      </w:r>
      <w:proofErr w:type="spellEnd"/>
      <w:r w:rsidRPr="006969B3">
        <w:rPr>
          <w:rFonts w:ascii="Arial" w:hAnsi="Arial" w:cs="Arial"/>
          <w:sz w:val="22"/>
          <w:szCs w:val="22"/>
          <w:lang w:val="es-CO"/>
        </w:rPr>
        <w:t>, de acuerdo a la política que defina el Ministerio de Comercio, Industria y Turismo.</w:t>
      </w:r>
    </w:p>
    <w:p w14:paraId="46F66F5B"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6842829D" w14:textId="008D4756"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Los recursos que integrarán el patrimonio autónomo son los siguientes:</w:t>
      </w:r>
    </w:p>
    <w:p w14:paraId="59C371E8"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5A999FBE" w14:textId="771AC9FA"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 Recursos provenientes del Presupuesto General de la Nación.</w:t>
      </w:r>
    </w:p>
    <w:p w14:paraId="22398459"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52922CA4" w14:textId="39F5B550"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2. Recursos aportados por las entidades nacionales, internacionales, territoriales o por particulares a través de convenios o transferencias.</w:t>
      </w:r>
    </w:p>
    <w:p w14:paraId="24C166C9"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4CC769A4" w14:textId="13970C59"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3. Donaciones.</w:t>
      </w:r>
    </w:p>
    <w:p w14:paraId="13DBAFFC"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192C9F28" w14:textId="2A90E631"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4. Recursos de cooperación nacional o internacional.</w:t>
      </w:r>
    </w:p>
    <w:p w14:paraId="51B9A57D"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5FE28E8E" w14:textId="6DFB0347"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5. Rendimientos financieros generados por los recursos entregados, los cuales se reinvertirán de pleno derecho en el Patrimonio Autónomo.</w:t>
      </w:r>
    </w:p>
    <w:p w14:paraId="7E06EB77"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1183D34D" w14:textId="5A0E9F6C"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6. Los dividendos que sean decretados en favor de la Nación por la Asamblea General de Accionistas del Banco de Comercio Exterior (</w:t>
      </w:r>
      <w:proofErr w:type="spellStart"/>
      <w:r w:rsidRPr="006969B3">
        <w:rPr>
          <w:rFonts w:ascii="Arial" w:hAnsi="Arial" w:cs="Arial"/>
          <w:sz w:val="22"/>
          <w:szCs w:val="22"/>
          <w:lang w:val="es-CO"/>
        </w:rPr>
        <w:t>Bancoldex</w:t>
      </w:r>
      <w:proofErr w:type="spellEnd"/>
      <w:r w:rsidRPr="006969B3">
        <w:rPr>
          <w:rFonts w:ascii="Arial" w:hAnsi="Arial" w:cs="Arial"/>
          <w:sz w:val="22"/>
          <w:szCs w:val="22"/>
          <w:lang w:val="es-CO"/>
        </w:rPr>
        <w:t>).</w:t>
      </w:r>
    </w:p>
    <w:p w14:paraId="6C411F0D"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094DF22A" w14:textId="6A843062"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7. Los demás recursos que obtenga o se le asignen a cualquier título.</w:t>
      </w:r>
    </w:p>
    <w:p w14:paraId="23C2BE31"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0E4FE9C9" w14:textId="121AA899"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Este programa será un patrimonio autónomo con régimen privado y será administrado directamente por el Banco de Comercio Exterior (</w:t>
      </w:r>
      <w:proofErr w:type="spellStart"/>
      <w:r w:rsidRPr="006969B3">
        <w:rPr>
          <w:rFonts w:ascii="Arial" w:hAnsi="Arial" w:cs="Arial"/>
          <w:sz w:val="22"/>
          <w:szCs w:val="22"/>
          <w:lang w:val="es-CO"/>
        </w:rPr>
        <w:t>Bancoldex</w:t>
      </w:r>
      <w:proofErr w:type="spellEnd"/>
      <w:r w:rsidRPr="006969B3">
        <w:rPr>
          <w:rFonts w:ascii="Arial" w:hAnsi="Arial" w:cs="Arial"/>
          <w:sz w:val="22"/>
          <w:szCs w:val="22"/>
          <w:lang w:val="es-CO"/>
        </w:rPr>
        <w:t>), sus filiales o por la entidad que defina el Ministerio de Comercio, Industria y Turismo.</w:t>
      </w:r>
    </w:p>
    <w:p w14:paraId="5B6378B5"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2AC88429" w14:textId="195134CE"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Todas las referencias que se hayan hecho o que se hagan al Programa de Transformación Productiva deben entenderse referidas a Colombia Productiva.</w:t>
      </w:r>
    </w:p>
    <w:p w14:paraId="6982DEF3" w14:textId="010711A8" w:rsidR="00FD16D6" w:rsidRPr="006969B3" w:rsidRDefault="00FD16D6" w:rsidP="00F65283">
      <w:pPr>
        <w:spacing w:after="0" w:line="240" w:lineRule="auto"/>
        <w:rPr>
          <w:rFonts w:ascii="Arial" w:hAnsi="Arial" w:cs="Arial"/>
          <w:lang w:val="es-CO"/>
        </w:rPr>
      </w:pPr>
    </w:p>
    <w:p w14:paraId="5CB00A1C" w14:textId="1E48E5C2" w:rsidR="00FD16D6" w:rsidRPr="006969B3" w:rsidRDefault="00FD16D6" w:rsidP="00F65283">
      <w:pPr>
        <w:pStyle w:val="NormalWeb"/>
        <w:spacing w:before="0" w:beforeAutospacing="0" w:after="0" w:afterAutospacing="0"/>
        <w:jc w:val="both"/>
        <w:rPr>
          <w:rFonts w:ascii="Arial" w:hAnsi="Arial" w:cs="Arial"/>
          <w:sz w:val="22"/>
          <w:szCs w:val="22"/>
          <w:lang w:val="es-CO"/>
        </w:rPr>
      </w:pPr>
      <w:bookmarkStart w:id="177" w:name="164"/>
      <w:r w:rsidRPr="006969B3">
        <w:rPr>
          <w:rFonts w:ascii="Arial" w:hAnsi="Arial" w:cs="Arial"/>
          <w:sz w:val="22"/>
          <w:szCs w:val="22"/>
          <w:lang w:val="es-CO"/>
        </w:rPr>
        <w:t>ARTÍCULO 164. FORTALECIMIENTO EMPRESARIAL DE LAS ORGANIZACIONES DE LA ECONOMÍA SOLIDARIA.</w:t>
      </w:r>
      <w:bookmarkEnd w:id="177"/>
      <w:r w:rsidRPr="006969B3">
        <w:rPr>
          <w:rFonts w:ascii="Arial" w:hAnsi="Arial" w:cs="Arial"/>
          <w:sz w:val="22"/>
          <w:szCs w:val="22"/>
          <w:lang w:val="es-CO"/>
        </w:rPr>
        <w:t> Le corresponderá al Gobierno nacional diseñar, formular e implementar la política pública integral estatal para la promoción, planeación, protección, fortalecimiento y desarrollo empresarial de las organizaciones de la economía solidaria, determinadas en la Ley</w:t>
      </w:r>
      <w:r w:rsidR="007E72F8">
        <w:rPr>
          <w:rFonts w:ascii="Arial" w:hAnsi="Arial" w:cs="Arial"/>
          <w:sz w:val="22"/>
          <w:szCs w:val="22"/>
          <w:lang w:val="es-CO"/>
        </w:rPr>
        <w:t xml:space="preserve"> 454</w:t>
      </w:r>
      <w:r w:rsidRPr="006969B3">
        <w:rPr>
          <w:rFonts w:ascii="Arial" w:hAnsi="Arial" w:cs="Arial"/>
          <w:sz w:val="22"/>
          <w:szCs w:val="22"/>
          <w:lang w:val="es-CO"/>
        </w:rPr>
        <w:t> de 1998; con especial énfasis en la economía solidaria rural y campesina, por el fomento de la equidad de género, en favor de las madres cabeza de hogar y por el emprendimiento y asociatividad de la juventud y los trabajadores. La política pública establecerá los mecanismos para el fomento y desarrollo del servicio de ahorro y crédito solidario que mediante los Fondos de Empleados se construyen a nivel nacional.</w:t>
      </w:r>
    </w:p>
    <w:p w14:paraId="664A6BB1" w14:textId="77777777" w:rsidR="002B52AE" w:rsidRPr="006969B3" w:rsidRDefault="002B52AE" w:rsidP="00F65283">
      <w:pPr>
        <w:pStyle w:val="NormalWeb"/>
        <w:spacing w:before="0" w:beforeAutospacing="0" w:after="0" w:afterAutospacing="0"/>
        <w:jc w:val="both"/>
        <w:rPr>
          <w:rStyle w:val="baj"/>
          <w:rFonts w:ascii="Arial" w:hAnsi="Arial" w:cs="Arial"/>
          <w:sz w:val="22"/>
          <w:szCs w:val="22"/>
          <w:lang w:val="es-CO"/>
        </w:rPr>
      </w:pPr>
    </w:p>
    <w:p w14:paraId="6880BB59" w14:textId="02D2A682"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Para el efecto se creará la Comisión Intersectorial para la Economía Solidaria en la cual confluirán e interactuarán las diversas entidades del orden nacional de la rama ejecutiva con el objetivo de coordinar y armonizar las políticas, planes programas y acciones necesarias para la ejecución transversal e integral de la política pública de la economía solidaria y su articulación con otras políticas de desarrollo económico y empresarial.</w:t>
      </w:r>
    </w:p>
    <w:p w14:paraId="4A7B9A13" w14:textId="77777777" w:rsidR="002B52AE" w:rsidRPr="006969B3" w:rsidRDefault="002B52AE" w:rsidP="00F65283">
      <w:pPr>
        <w:pStyle w:val="NormalWeb"/>
        <w:spacing w:before="0" w:beforeAutospacing="0" w:after="0" w:afterAutospacing="0"/>
        <w:jc w:val="both"/>
        <w:rPr>
          <w:rStyle w:val="baj"/>
          <w:rFonts w:ascii="Arial" w:hAnsi="Arial" w:cs="Arial"/>
          <w:sz w:val="22"/>
          <w:szCs w:val="22"/>
          <w:lang w:val="es-CO"/>
        </w:rPr>
      </w:pPr>
    </w:p>
    <w:p w14:paraId="2DA023BE" w14:textId="073D01D2"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xml:space="preserve"> En la política de la que trata este artículo, el Gobierno nacional deberá diseñar los incentivos y estrategias para las empresas que fomenten la creación, desarrollo y subvención de Fondos de Em </w:t>
      </w:r>
      <w:proofErr w:type="spellStart"/>
      <w:r w:rsidRPr="006969B3">
        <w:rPr>
          <w:rFonts w:ascii="Arial" w:hAnsi="Arial" w:cs="Arial"/>
          <w:sz w:val="22"/>
          <w:szCs w:val="22"/>
          <w:lang w:val="es-CO"/>
        </w:rPr>
        <w:t>pleados</w:t>
      </w:r>
      <w:proofErr w:type="spellEnd"/>
      <w:r w:rsidRPr="006969B3">
        <w:rPr>
          <w:rFonts w:ascii="Arial" w:hAnsi="Arial" w:cs="Arial"/>
          <w:sz w:val="22"/>
          <w:szCs w:val="22"/>
          <w:lang w:val="es-CO"/>
        </w:rPr>
        <w:t xml:space="preserve"> que beneficien directa e indirectamente a sus trabajadores con el ánimo de incrementar actores dentro de la economía solidaria en el territorio nacional.</w:t>
      </w:r>
    </w:p>
    <w:p w14:paraId="738804C4" w14:textId="5012546C" w:rsidR="00FD16D6" w:rsidRPr="006969B3" w:rsidRDefault="00FD16D6" w:rsidP="00F65283">
      <w:pPr>
        <w:spacing w:after="0" w:line="240" w:lineRule="auto"/>
        <w:rPr>
          <w:rFonts w:ascii="Arial" w:hAnsi="Arial" w:cs="Arial"/>
          <w:lang w:val="es-CO"/>
        </w:rPr>
      </w:pPr>
    </w:p>
    <w:p w14:paraId="442BBDC0" w14:textId="77777777" w:rsidR="00FD16D6" w:rsidRPr="006969B3" w:rsidRDefault="00FD16D6" w:rsidP="00F65283">
      <w:pPr>
        <w:pStyle w:val="NormalWeb"/>
        <w:spacing w:before="0" w:beforeAutospacing="0" w:after="0" w:afterAutospacing="0"/>
        <w:jc w:val="both"/>
        <w:rPr>
          <w:rFonts w:ascii="Arial" w:hAnsi="Arial" w:cs="Arial"/>
          <w:sz w:val="22"/>
          <w:szCs w:val="22"/>
          <w:lang w:val="es-CO"/>
        </w:rPr>
      </w:pPr>
      <w:bookmarkStart w:id="178" w:name="165"/>
      <w:r w:rsidRPr="006969B3">
        <w:rPr>
          <w:rFonts w:ascii="Arial" w:hAnsi="Arial" w:cs="Arial"/>
          <w:sz w:val="22"/>
          <w:szCs w:val="22"/>
          <w:lang w:val="es-CO"/>
        </w:rPr>
        <w:t>ARTÍCULO 165. LÍNEAS DE CRÉDITO PARA INVERSIÓN EN ACTIVIDADES DE CIENCIA, TECNOLOGÍA E INNOVACIÓN.</w:t>
      </w:r>
      <w:bookmarkEnd w:id="178"/>
      <w:r w:rsidRPr="006969B3">
        <w:rPr>
          <w:rFonts w:ascii="Arial" w:hAnsi="Arial" w:cs="Arial"/>
          <w:sz w:val="22"/>
          <w:szCs w:val="22"/>
          <w:lang w:val="es-CO"/>
        </w:rPr>
        <w:t> Podrán destinarse recursos públicos que pertenezcan a fondos de Ciencia, Tecnología e Innovación para apalancar inversión privada en actividades de Ciencia, Tecnología e Innovación, haciendo uso de líneas de crédito a través de entidades financieras de segundo piso.</w:t>
      </w:r>
    </w:p>
    <w:p w14:paraId="5631A562" w14:textId="77777777" w:rsidR="002B52AE" w:rsidRPr="006969B3" w:rsidRDefault="002B52AE" w:rsidP="00F65283">
      <w:pPr>
        <w:pStyle w:val="NormalWeb"/>
        <w:spacing w:before="0" w:beforeAutospacing="0" w:after="0" w:afterAutospacing="0"/>
        <w:jc w:val="both"/>
        <w:rPr>
          <w:rStyle w:val="baj"/>
          <w:rFonts w:ascii="Arial" w:hAnsi="Arial" w:cs="Arial"/>
          <w:sz w:val="22"/>
          <w:szCs w:val="22"/>
          <w:lang w:val="es-CO"/>
        </w:rPr>
      </w:pPr>
    </w:p>
    <w:p w14:paraId="5D1B53FA" w14:textId="6A3D8C06"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Como apoyo a estas entidades se crearán centros de dinamización financiera que direccionen e incentiven a las empresas para acceder y obtener los recursos públicos existentes para fines de ciencia, tecnología e innovación.</w:t>
      </w:r>
    </w:p>
    <w:p w14:paraId="7C7186DE" w14:textId="49A28D52" w:rsidR="00FD16D6" w:rsidRPr="006969B3" w:rsidRDefault="00FD16D6" w:rsidP="00F65283">
      <w:pPr>
        <w:spacing w:after="0" w:line="240" w:lineRule="auto"/>
        <w:rPr>
          <w:rFonts w:ascii="Arial" w:hAnsi="Arial" w:cs="Arial"/>
          <w:lang w:val="es-CO"/>
        </w:rPr>
      </w:pPr>
    </w:p>
    <w:p w14:paraId="2A4FE5D1" w14:textId="77777777" w:rsidR="00FD16D6" w:rsidRPr="006969B3" w:rsidRDefault="00FD16D6" w:rsidP="00F65283">
      <w:pPr>
        <w:pStyle w:val="NormalWeb"/>
        <w:spacing w:before="0" w:beforeAutospacing="0" w:after="0" w:afterAutospacing="0"/>
        <w:jc w:val="both"/>
        <w:rPr>
          <w:rFonts w:ascii="Arial" w:hAnsi="Arial" w:cs="Arial"/>
          <w:sz w:val="22"/>
          <w:szCs w:val="22"/>
          <w:lang w:val="es-CO"/>
        </w:rPr>
      </w:pPr>
      <w:bookmarkStart w:id="179" w:name="166"/>
      <w:r w:rsidRPr="006969B3">
        <w:rPr>
          <w:rFonts w:ascii="Arial" w:hAnsi="Arial" w:cs="Arial"/>
          <w:sz w:val="22"/>
          <w:szCs w:val="22"/>
          <w:lang w:val="es-CO"/>
        </w:rPr>
        <w:t>ARTÍCULO 166. CONSTITUCIÓN DE EMPRESAS DE DESARROLLOS TECNOLÓGICOS INNOVADORES.</w:t>
      </w:r>
      <w:bookmarkEnd w:id="179"/>
      <w:r w:rsidRPr="006969B3">
        <w:rPr>
          <w:rFonts w:ascii="Arial" w:hAnsi="Arial" w:cs="Arial"/>
          <w:sz w:val="22"/>
          <w:szCs w:val="22"/>
          <w:lang w:val="es-CO"/>
        </w:rPr>
        <w:t xml:space="preserve"> Quienes se propongan implementar desarrollos tecnológicos innovadores para realizar actividades propias de las entidades vigiladas por la Superintendencia Financiera, podrán constituir una de estas entidades y obtener un certificado para operar temporalmente, de acuerdo con las condiciones, requisitos y requerimientos prudenciales, incluyendo la determinación o aplicación de capitales mínimos, de acuerdo con la reglamentación que para el efecto expida el Gobierno nacional. Dicho certificado de </w:t>
      </w:r>
      <w:r w:rsidRPr="006969B3">
        <w:rPr>
          <w:rFonts w:ascii="Arial" w:hAnsi="Arial" w:cs="Arial"/>
          <w:sz w:val="22"/>
          <w:szCs w:val="22"/>
          <w:lang w:val="es-CO"/>
        </w:rPr>
        <w:lastRenderedPageBreak/>
        <w:t>operación temporal no excederá de dos (2) años y podrá ser revocado en cualquier momento por la Superintendencia Financiera.</w:t>
      </w:r>
    </w:p>
    <w:p w14:paraId="376B590B"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p>
    <w:p w14:paraId="56303D72" w14:textId="4639F421"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 Superintendencia Financiera autorizará la constitución de estas entidades y otorgará el respectivo certificado de funcionamiento, conforme al procedimiento que se establezca para el efecto. En desarrollo de esta disposición, el Gobierno nacional podrá determinar los montos mínimos de capital que deberán acreditarse para solicitar la constitución de las entidades sometidas al control y vigilancia de la Superintendencia Financiera de Colombia, el cual podrá estar diferenciado en función de las operaciones autorizadas por la Superintendencia Financiera de Colombia, en los términos del numeral 2 del artículo</w:t>
      </w:r>
      <w:r w:rsidR="007E72F8">
        <w:rPr>
          <w:rFonts w:ascii="Arial" w:hAnsi="Arial" w:cs="Arial"/>
          <w:sz w:val="22"/>
          <w:szCs w:val="22"/>
          <w:lang w:val="es-CO"/>
        </w:rPr>
        <w:t xml:space="preserve"> 53</w:t>
      </w:r>
      <w:r w:rsidRPr="006969B3">
        <w:rPr>
          <w:rFonts w:ascii="Arial" w:hAnsi="Arial" w:cs="Arial"/>
          <w:sz w:val="22"/>
          <w:szCs w:val="22"/>
          <w:lang w:val="es-CO"/>
        </w:rPr>
        <w:t> del Estatuto Orgánico del Sistema Financiero.</w:t>
      </w:r>
    </w:p>
    <w:p w14:paraId="76E89F1B" w14:textId="77777777" w:rsidR="00672D82" w:rsidRPr="006969B3" w:rsidRDefault="00672D82" w:rsidP="00F65283">
      <w:pPr>
        <w:pStyle w:val="NormalWeb"/>
        <w:spacing w:before="0" w:beforeAutospacing="0" w:after="0" w:afterAutospacing="0"/>
        <w:jc w:val="both"/>
        <w:rPr>
          <w:rFonts w:ascii="Arial" w:hAnsi="Arial" w:cs="Arial"/>
          <w:sz w:val="22"/>
          <w:szCs w:val="22"/>
          <w:lang w:val="es-CO"/>
        </w:rPr>
      </w:pPr>
    </w:p>
    <w:p w14:paraId="13B212F0" w14:textId="77777777"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Con sujeción a las condiciones, requisitos y requerimientos prudenciales que establezca la reglamentación a la que se refiere el presente artículo, las entidades vigiladas por la Superintendencia Financiera de Colombia podrán implementar desarrollos tecnológicos innovadores para probar temporalmente nuevos productos o servicios, bajo la supervisión de dicha Superintendencia, por el término indicado en este artículo.</w:t>
      </w:r>
    </w:p>
    <w:p w14:paraId="42349CCF" w14:textId="77777777" w:rsidR="002B52AE" w:rsidRPr="006969B3" w:rsidRDefault="002B52AE" w:rsidP="00F65283">
      <w:pPr>
        <w:pStyle w:val="NormalWeb"/>
        <w:spacing w:before="0" w:beforeAutospacing="0" w:after="0" w:afterAutospacing="0"/>
        <w:jc w:val="both"/>
        <w:rPr>
          <w:rStyle w:val="baj"/>
          <w:rFonts w:ascii="Arial" w:hAnsi="Arial" w:cs="Arial"/>
          <w:sz w:val="22"/>
          <w:szCs w:val="22"/>
          <w:lang w:val="es-CO"/>
        </w:rPr>
      </w:pPr>
    </w:p>
    <w:p w14:paraId="318D3078" w14:textId="2C43DAFB" w:rsidR="00FD16D6" w:rsidRPr="006969B3" w:rsidRDefault="00FD16D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El Gobierno nacional a través de la Comisión Intersectorial para la Inclusión Financiera articulará las medidas y políticas tendientes a desarrollar mecanismos de financiación para empresas y emprendedores, con el propósito de evitar duplicidad y que se diseñen instrumentos adecuados para las diferentes etapas de desarrollo empresarial.</w:t>
      </w:r>
    </w:p>
    <w:p w14:paraId="3FEFC836" w14:textId="77777777" w:rsidR="00FD16D6" w:rsidRPr="006969B3" w:rsidRDefault="00FD16D6" w:rsidP="00F65283">
      <w:pPr>
        <w:spacing w:after="0" w:line="240" w:lineRule="auto"/>
        <w:jc w:val="both"/>
        <w:rPr>
          <w:rFonts w:ascii="Arial" w:eastAsia="Times New Roman" w:hAnsi="Arial" w:cs="Arial"/>
          <w:lang w:val="es-CO"/>
        </w:rPr>
      </w:pPr>
    </w:p>
    <w:p w14:paraId="74D402ED" w14:textId="617CD57E" w:rsidR="009C6A6D" w:rsidRPr="006969B3" w:rsidRDefault="2D54AF4A" w:rsidP="00F65283">
      <w:pPr>
        <w:spacing w:after="0" w:line="240" w:lineRule="auto"/>
        <w:jc w:val="both"/>
        <w:rPr>
          <w:rFonts w:ascii="Arial" w:hAnsi="Arial" w:cs="Arial"/>
          <w:lang w:val="es-CO"/>
        </w:rPr>
      </w:pPr>
      <w:r w:rsidRPr="006969B3">
        <w:rPr>
          <w:rFonts w:ascii="Arial" w:eastAsia="Arial" w:hAnsi="Arial" w:cs="Arial"/>
          <w:lang w:val="es-CO"/>
        </w:rPr>
        <w:t>ARTÍCULO 167. BIENES INTANGIBLES O DERECHOS DE PROPIEDAD INTELECTUAL DE LAS ENTIDADES PÚBLICAS. La entidad pública que sea titular de bienes intangibles y derechos de propiedad intelectual podrá negociar su explotación comercial.</w:t>
      </w:r>
    </w:p>
    <w:p w14:paraId="0A8255F8" w14:textId="77777777" w:rsidR="002B52AE" w:rsidRPr="006969B3" w:rsidRDefault="002B52AE" w:rsidP="00F65283">
      <w:pPr>
        <w:spacing w:after="0" w:line="240" w:lineRule="auto"/>
        <w:jc w:val="both"/>
        <w:rPr>
          <w:rFonts w:ascii="Arial" w:eastAsia="Arial" w:hAnsi="Arial" w:cs="Arial"/>
          <w:lang w:val="es-CO"/>
        </w:rPr>
      </w:pPr>
    </w:p>
    <w:p w14:paraId="50247E01" w14:textId="43B1792C" w:rsidR="009C6A6D" w:rsidRPr="006969B3" w:rsidRDefault="2D54AF4A" w:rsidP="00F65283">
      <w:pPr>
        <w:spacing w:after="0" w:line="240" w:lineRule="auto"/>
        <w:jc w:val="both"/>
        <w:rPr>
          <w:rFonts w:ascii="Arial" w:hAnsi="Arial" w:cs="Arial"/>
          <w:lang w:val="es-CO"/>
        </w:rPr>
      </w:pPr>
      <w:r w:rsidRPr="006969B3">
        <w:rPr>
          <w:rFonts w:ascii="Arial" w:eastAsia="Arial" w:hAnsi="Arial" w:cs="Arial"/>
          <w:lang w:val="es-CO"/>
        </w:rPr>
        <w:t xml:space="preserve">Los beneficios o regalías que se generen de la explotación comercial del bien intangible o derecho de propiedad intelectual de titularidad de la entidad </w:t>
      </w:r>
      <w:proofErr w:type="gramStart"/>
      <w:r w:rsidRPr="006969B3">
        <w:rPr>
          <w:rFonts w:ascii="Arial" w:eastAsia="Arial" w:hAnsi="Arial" w:cs="Arial"/>
          <w:lang w:val="es-CO"/>
        </w:rPr>
        <w:t>pública,</w:t>
      </w:r>
      <w:proofErr w:type="gramEnd"/>
      <w:r w:rsidRPr="006969B3">
        <w:rPr>
          <w:rFonts w:ascii="Arial" w:eastAsia="Arial" w:hAnsi="Arial" w:cs="Arial"/>
          <w:lang w:val="es-CO"/>
        </w:rPr>
        <w:t xml:space="preserve"> deberán ser destinados para el apoyo e inversión a los programas, proyectos, actividades e iniciativas de ciencia, tecnología e innovación de la entidad pública. Para lo anterior, la entidad pública podrá suscribir convenios de ejecución con fondos o fiducias que garanticen dicha destinación.</w:t>
      </w:r>
    </w:p>
    <w:p w14:paraId="46AAFE24" w14:textId="77777777" w:rsidR="002B52AE" w:rsidRPr="006969B3" w:rsidRDefault="002B52AE" w:rsidP="00F65283">
      <w:pPr>
        <w:spacing w:after="0" w:line="240" w:lineRule="auto"/>
        <w:jc w:val="both"/>
        <w:rPr>
          <w:rFonts w:ascii="Arial" w:eastAsia="Arial" w:hAnsi="Arial" w:cs="Arial"/>
          <w:lang w:val="es-CO"/>
        </w:rPr>
      </w:pPr>
    </w:p>
    <w:p w14:paraId="188469C1" w14:textId="41E3BDCE" w:rsidR="009C6A6D" w:rsidRPr="006969B3" w:rsidRDefault="2D54AF4A" w:rsidP="00F65283">
      <w:pPr>
        <w:spacing w:after="0" w:line="240" w:lineRule="auto"/>
        <w:jc w:val="both"/>
        <w:rPr>
          <w:rFonts w:ascii="Arial" w:hAnsi="Arial" w:cs="Arial"/>
          <w:lang w:val="es-CO"/>
        </w:rPr>
      </w:pPr>
      <w:r w:rsidRPr="006969B3">
        <w:rPr>
          <w:rFonts w:ascii="Arial" w:eastAsia="Arial" w:hAnsi="Arial" w:cs="Arial"/>
          <w:lang w:val="es-CO"/>
        </w:rPr>
        <w:t>Para aquellas entidades públicas que no desarrollen o ejecuten programas, proyectos, actividades e iniciativas de ciencia, tecnología e innovación, los beneficios o regalías que genere la explotación comercial de sus bienes intangibles o propiedad intelectual, deberá ser destinada a la promoción de industrias creativas de conformidad con el artículo</w:t>
      </w:r>
      <w:r w:rsidR="007E72F8">
        <w:rPr>
          <w:rFonts w:ascii="Arial" w:eastAsia="Arial" w:hAnsi="Arial" w:cs="Arial"/>
          <w:lang w:val="es-CO"/>
        </w:rPr>
        <w:t xml:space="preserve"> 2o</w:t>
      </w:r>
      <w:r w:rsidRPr="006969B3">
        <w:rPr>
          <w:rFonts w:ascii="Arial" w:eastAsia="Arial" w:hAnsi="Arial" w:cs="Arial"/>
          <w:lang w:val="es-CO"/>
        </w:rPr>
        <w:t xml:space="preserve"> de la Ley 1834 de 2017.</w:t>
      </w:r>
    </w:p>
    <w:p w14:paraId="64ABDBEF" w14:textId="77777777" w:rsidR="002B52AE" w:rsidRPr="006969B3" w:rsidRDefault="002B52AE" w:rsidP="00F65283">
      <w:pPr>
        <w:spacing w:after="0" w:line="240" w:lineRule="auto"/>
        <w:jc w:val="both"/>
        <w:rPr>
          <w:rFonts w:ascii="Arial" w:eastAsia="Times New Roman" w:hAnsi="Arial" w:cs="Arial"/>
          <w:lang w:val="es-CO"/>
        </w:rPr>
      </w:pPr>
    </w:p>
    <w:p w14:paraId="07116893" w14:textId="0E101BAC" w:rsidR="009C6A6D" w:rsidRPr="006969B3" w:rsidRDefault="2D54AF4A" w:rsidP="00F65283">
      <w:pPr>
        <w:spacing w:after="0" w:line="240" w:lineRule="auto"/>
        <w:jc w:val="both"/>
        <w:rPr>
          <w:rFonts w:ascii="Arial" w:eastAsia="Times New Roman" w:hAnsi="Arial" w:cs="Arial"/>
          <w:sz w:val="20"/>
          <w:szCs w:val="20"/>
          <w:lang w:val="es-CO"/>
        </w:rPr>
      </w:pPr>
      <w:r w:rsidRPr="006969B3">
        <w:rPr>
          <w:rFonts w:ascii="Arial" w:eastAsia="Times New Roman" w:hAnsi="Arial" w:cs="Arial"/>
          <w:sz w:val="20"/>
          <w:szCs w:val="20"/>
          <w:lang w:val="es-CO"/>
        </w:rPr>
        <w:t xml:space="preserve">(Ver concepto: </w:t>
      </w:r>
      <w:hyperlink r:id="rId28" w:history="1">
        <w:r w:rsidRPr="006969B3">
          <w:rPr>
            <w:rStyle w:val="Hipervnculo"/>
            <w:rFonts w:ascii="Arial" w:eastAsia="Times New Roman" w:hAnsi="Arial" w:cs="Arial"/>
            <w:sz w:val="20"/>
            <w:szCs w:val="20"/>
            <w:u w:val="none"/>
            <w:lang w:val="es-CO"/>
          </w:rPr>
          <w:t>C</w:t>
        </w:r>
        <w:r w:rsidR="002B52AE" w:rsidRPr="006969B3">
          <w:rPr>
            <w:rStyle w:val="Hipervnculo"/>
            <w:rFonts w:ascii="Arial" w:eastAsia="Times New Roman" w:hAnsi="Arial" w:cs="Arial"/>
            <w:sz w:val="20"/>
            <w:szCs w:val="20"/>
            <w:u w:val="none"/>
            <w:lang w:val="es-CO"/>
          </w:rPr>
          <w:t>−</w:t>
        </w:r>
        <w:r w:rsidRPr="006969B3">
          <w:rPr>
            <w:rStyle w:val="Hipervnculo"/>
            <w:rFonts w:ascii="Arial" w:eastAsia="Times New Roman" w:hAnsi="Arial" w:cs="Arial"/>
            <w:sz w:val="20"/>
            <w:szCs w:val="20"/>
            <w:u w:val="none"/>
            <w:lang w:val="es-CO"/>
          </w:rPr>
          <w:t>488 del 28/07/2020</w:t>
        </w:r>
      </w:hyperlink>
      <w:r w:rsidRPr="006969B3">
        <w:rPr>
          <w:rFonts w:ascii="Arial" w:eastAsia="Times New Roman" w:hAnsi="Arial" w:cs="Arial"/>
          <w:sz w:val="20"/>
          <w:szCs w:val="20"/>
          <w:lang w:val="es-CO"/>
        </w:rPr>
        <w:t>)</w:t>
      </w:r>
    </w:p>
    <w:p w14:paraId="087CA01A" w14:textId="77777777" w:rsidR="002B52AE" w:rsidRPr="006969B3" w:rsidRDefault="002B52AE" w:rsidP="00F65283">
      <w:pPr>
        <w:pStyle w:val="NormalWeb"/>
        <w:spacing w:before="0" w:beforeAutospacing="0" w:after="0" w:afterAutospacing="0"/>
        <w:jc w:val="both"/>
        <w:rPr>
          <w:rFonts w:ascii="Arial" w:hAnsi="Arial" w:cs="Arial"/>
          <w:sz w:val="22"/>
          <w:szCs w:val="22"/>
          <w:lang w:val="es-CO"/>
        </w:rPr>
      </w:pPr>
      <w:bookmarkStart w:id="180" w:name="168"/>
    </w:p>
    <w:p w14:paraId="305AE11E" w14:textId="4D628F4D"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168. CRÉDITO FISCAL PARA INVERSIONES EN PROYECTOS DE INVESTIGACIÓN, DESARROLLO TECNOLÓGICO E INNOVACIÓN O VINCULACIÓN DE CAPITAL HUMANO DE ALTO NIVEL.</w:t>
      </w:r>
      <w:bookmarkEnd w:id="180"/>
      <w:r w:rsidRPr="006969B3">
        <w:rPr>
          <w:rFonts w:ascii="Arial" w:hAnsi="Arial" w:cs="Arial"/>
          <w:sz w:val="22"/>
          <w:szCs w:val="22"/>
          <w:lang w:val="es-CO"/>
        </w:rPr>
        <w:t> Adiciónese al Libro Primero, Título I, Capítulo X del Estatuto Tributario el artículo</w:t>
      </w:r>
      <w:r w:rsidR="004175FD">
        <w:rPr>
          <w:rFonts w:ascii="Arial" w:hAnsi="Arial" w:cs="Arial"/>
          <w:sz w:val="22"/>
          <w:szCs w:val="22"/>
          <w:lang w:val="es-CO"/>
        </w:rPr>
        <w:t xml:space="preserve"> 256-</w:t>
      </w:r>
      <w:proofErr w:type="gramStart"/>
      <w:r w:rsidR="004175FD">
        <w:rPr>
          <w:rFonts w:ascii="Arial" w:hAnsi="Arial" w:cs="Arial"/>
          <w:sz w:val="22"/>
          <w:szCs w:val="22"/>
          <w:lang w:val="es-CO"/>
        </w:rPr>
        <w:t>1</w:t>
      </w:r>
      <w:r w:rsidRPr="006969B3">
        <w:rPr>
          <w:rFonts w:ascii="Arial" w:hAnsi="Arial" w:cs="Arial"/>
          <w:sz w:val="22"/>
          <w:szCs w:val="22"/>
          <w:lang w:val="es-CO"/>
        </w:rPr>
        <w:t> ,</w:t>
      </w:r>
      <w:proofErr w:type="gramEnd"/>
      <w:r w:rsidRPr="006969B3">
        <w:rPr>
          <w:rFonts w:ascii="Arial" w:hAnsi="Arial" w:cs="Arial"/>
          <w:sz w:val="22"/>
          <w:szCs w:val="22"/>
          <w:lang w:val="es-CO"/>
        </w:rPr>
        <w:t xml:space="preserve"> así:</w:t>
      </w:r>
    </w:p>
    <w:p w14:paraId="5AEA2098"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p>
    <w:p w14:paraId="297B0CAC" w14:textId="7BE5345C"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w:t>
      </w:r>
      <w:r w:rsidR="007B5FFA">
        <w:rPr>
          <w:rFonts w:ascii="Arial" w:hAnsi="Arial" w:cs="Arial"/>
          <w:sz w:val="22"/>
          <w:szCs w:val="22"/>
          <w:lang w:val="es-CO"/>
        </w:rPr>
        <w:t xml:space="preserve"> 256-1</w:t>
      </w:r>
      <w:r w:rsidRPr="006969B3">
        <w:rPr>
          <w:rFonts w:ascii="Arial" w:hAnsi="Arial" w:cs="Arial"/>
          <w:sz w:val="22"/>
          <w:szCs w:val="22"/>
          <w:lang w:val="es-CO"/>
        </w:rPr>
        <w:t xml:space="preserve">. Crédito fiscal para inversiones en proyectos de investigación, desarrollo tecnológico e innovación o vinculación de capital humano de alto nivel. Las inversiones que realicen las Micro, Pequeñas y Medianas empresas en proyectos calificados como de Investigación, Desarrollo Tecnológico e Innovación, de acuerdo con los criterios y </w:t>
      </w:r>
      <w:r w:rsidRPr="006969B3">
        <w:rPr>
          <w:rFonts w:ascii="Arial" w:hAnsi="Arial" w:cs="Arial"/>
          <w:sz w:val="22"/>
          <w:szCs w:val="22"/>
          <w:lang w:val="es-CO"/>
        </w:rPr>
        <w:lastRenderedPageBreak/>
        <w:t>condiciones definidas por el Consejo Nacional de Beneficios Tributarios en Ciencia, Tecnología e Innovación (CNBT), podrán acceder a un crédito fiscal por un valor del 50% de la inversión realizada y certificada por el CNBT aplicable para la compensación de impuestos nacionales. El crédito fiscal aquí establecido no generará saldo a favor susceptible de devolución, excepto únicamente respecto de lo previsto en los parágrafos 3 y 4 del presente artículo.</w:t>
      </w:r>
    </w:p>
    <w:p w14:paraId="5EA413BD"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p>
    <w:p w14:paraId="70A1F4FA" w14:textId="62F15057"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Igual tratamiento será aplicable a la remuneración correspondiente a la vinculación de personal con título de doctorado en las </w:t>
      </w:r>
      <w:proofErr w:type="spellStart"/>
      <w:r w:rsidRPr="006969B3">
        <w:rPr>
          <w:rFonts w:ascii="Arial" w:hAnsi="Arial" w:cs="Arial"/>
          <w:sz w:val="22"/>
          <w:szCs w:val="22"/>
          <w:lang w:val="es-CO"/>
        </w:rPr>
        <w:t>Mipymes</w:t>
      </w:r>
      <w:proofErr w:type="spellEnd"/>
      <w:r w:rsidRPr="006969B3">
        <w:rPr>
          <w:rFonts w:ascii="Arial" w:hAnsi="Arial" w:cs="Arial"/>
          <w:sz w:val="22"/>
          <w:szCs w:val="22"/>
          <w:lang w:val="es-CO"/>
        </w:rPr>
        <w:t>, que se realice con posterioridad a la expedición de la presente ley, siempre y cuando se cumplan con los criterios y condiciones definidos por el CNBT para tal fin y su vinculación esté asociada al desarrollo de actividades de I+D+i. El crédito fiscal corresponde al 50% de la remuneración efectivamente pagada durante la vigencia fiscal y deberá solicitarse cada año una vez demostrada la vinculación del personal con título de doctorado. Para el caso de títulos de doctorado obtenidos en el exterior, se deberán cumplir los requisitos de convalidación previstos en la normatividad vigente, de manera previa a su vinculación.</w:t>
      </w:r>
    </w:p>
    <w:p w14:paraId="33E42242" w14:textId="77777777" w:rsidR="00B507AB" w:rsidRPr="006969B3" w:rsidRDefault="00B507AB" w:rsidP="00F65283">
      <w:pPr>
        <w:pStyle w:val="NormalWeb"/>
        <w:spacing w:before="0" w:beforeAutospacing="0" w:after="0" w:afterAutospacing="0"/>
        <w:jc w:val="both"/>
        <w:rPr>
          <w:rStyle w:val="baj"/>
          <w:rFonts w:ascii="Arial" w:hAnsi="Arial" w:cs="Arial"/>
          <w:sz w:val="22"/>
          <w:szCs w:val="22"/>
          <w:lang w:val="es-CO"/>
        </w:rPr>
      </w:pPr>
    </w:p>
    <w:p w14:paraId="10401A80" w14:textId="153A9860"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Los proyectos presentados y calificados bajo la modalidad de crédito fiscal no podrán acceder a la deducción y descuento definido en el artículo </w:t>
      </w:r>
      <w:r w:rsidRPr="000A2938">
        <w:rPr>
          <w:rFonts w:ascii="Arial" w:hAnsi="Arial" w:cs="Arial"/>
          <w:sz w:val="22"/>
          <w:szCs w:val="22"/>
          <w:lang w:val="es-CO"/>
        </w:rPr>
        <w:t>158-1</w:t>
      </w:r>
      <w:r w:rsidRPr="006969B3">
        <w:rPr>
          <w:rFonts w:ascii="Arial" w:hAnsi="Arial" w:cs="Arial"/>
          <w:sz w:val="22"/>
          <w:szCs w:val="22"/>
          <w:lang w:val="es-CO"/>
        </w:rPr>
        <w:t> y </w:t>
      </w:r>
      <w:r w:rsidRPr="000A2938">
        <w:rPr>
          <w:rFonts w:ascii="Arial" w:hAnsi="Arial" w:cs="Arial"/>
          <w:sz w:val="22"/>
          <w:szCs w:val="22"/>
          <w:lang w:val="es-CO"/>
        </w:rPr>
        <w:t>256</w:t>
      </w:r>
      <w:r w:rsidRPr="006969B3">
        <w:rPr>
          <w:rFonts w:ascii="Arial" w:hAnsi="Arial" w:cs="Arial"/>
          <w:sz w:val="22"/>
          <w:szCs w:val="22"/>
          <w:lang w:val="es-CO"/>
        </w:rPr>
        <w:t> del Estatuto Tributario, respectivamente. Igual tratamiento aplica para la remuneración derivada de la vinculación del nuevo personal con título de doctorado.</w:t>
      </w:r>
    </w:p>
    <w:p w14:paraId="5B2B84CE" w14:textId="77777777" w:rsidR="00B507AB" w:rsidRPr="006969B3" w:rsidRDefault="00B507AB" w:rsidP="00F65283">
      <w:pPr>
        <w:pStyle w:val="NormalWeb"/>
        <w:spacing w:before="0" w:beforeAutospacing="0" w:after="0" w:afterAutospacing="0"/>
        <w:jc w:val="both"/>
        <w:rPr>
          <w:rStyle w:val="baj"/>
          <w:rFonts w:ascii="Arial" w:hAnsi="Arial" w:cs="Arial"/>
          <w:sz w:val="22"/>
          <w:szCs w:val="22"/>
          <w:lang w:val="es-CO"/>
        </w:rPr>
      </w:pPr>
    </w:p>
    <w:p w14:paraId="064567C3" w14:textId="14DDCB71"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El CNBT definirá el cupo máximo de inversiones que podrá certificar bajo esta modalidad, el cual hará parte del cupo establecido en el parágrafo 1 del artículo </w:t>
      </w:r>
      <w:r w:rsidRPr="007B5FFA">
        <w:rPr>
          <w:rFonts w:ascii="Arial" w:hAnsi="Arial" w:cs="Arial"/>
          <w:sz w:val="22"/>
          <w:szCs w:val="22"/>
          <w:lang w:val="es-CO"/>
        </w:rPr>
        <w:t>158-1</w:t>
      </w:r>
      <w:r w:rsidRPr="006969B3">
        <w:rPr>
          <w:rFonts w:ascii="Arial" w:hAnsi="Arial" w:cs="Arial"/>
          <w:sz w:val="22"/>
          <w:szCs w:val="22"/>
          <w:lang w:val="es-CO"/>
        </w:rPr>
        <w:t> del Estatuto Tributario.</w:t>
      </w:r>
    </w:p>
    <w:p w14:paraId="29CBF0F3" w14:textId="77777777" w:rsidR="00B507AB" w:rsidRPr="006969B3" w:rsidRDefault="00B507AB" w:rsidP="00F65283">
      <w:pPr>
        <w:pStyle w:val="NormalWeb"/>
        <w:spacing w:before="0" w:beforeAutospacing="0" w:after="0" w:afterAutospacing="0"/>
        <w:jc w:val="both"/>
        <w:rPr>
          <w:rStyle w:val="baj"/>
          <w:rFonts w:ascii="Arial" w:hAnsi="Arial" w:cs="Arial"/>
          <w:sz w:val="22"/>
          <w:szCs w:val="22"/>
          <w:lang w:val="es-CO"/>
        </w:rPr>
      </w:pPr>
    </w:p>
    <w:p w14:paraId="2FAA4D5A" w14:textId="2F92B239"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3o.</w:t>
      </w:r>
      <w:r w:rsidRPr="006969B3">
        <w:rPr>
          <w:rFonts w:ascii="Arial" w:hAnsi="Arial" w:cs="Arial"/>
          <w:sz w:val="22"/>
          <w:szCs w:val="22"/>
          <w:lang w:val="es-CO"/>
        </w:rPr>
        <w:t> Las micro, pequeñas y medianas empresas que cuenten con créditos fiscales vigentes superiores a mil UVT (1000 UVT) por inversiones en proyectos calificados como de Investigación, Desarrollo Tecnológico e Innovación, de acuerdo con los criterios y condiciones definidas por el Consejo Nacional de Beneficios Tributarios en Ciencia, Tecnología e Innovación (CNBT), podrán solicitar Títulos de Devolución de Impuestos (TIDIS) por el valor del crédito fiscal.</w:t>
      </w:r>
    </w:p>
    <w:p w14:paraId="3D97F1FC" w14:textId="77777777" w:rsidR="00B507AB" w:rsidRPr="006969B3" w:rsidRDefault="00B507AB" w:rsidP="00F65283">
      <w:pPr>
        <w:pStyle w:val="NormalWeb"/>
        <w:spacing w:before="0" w:beforeAutospacing="0" w:after="0" w:afterAutospacing="0"/>
        <w:jc w:val="both"/>
        <w:rPr>
          <w:rStyle w:val="baj"/>
          <w:rFonts w:ascii="Arial" w:hAnsi="Arial" w:cs="Arial"/>
          <w:sz w:val="22"/>
          <w:szCs w:val="22"/>
          <w:lang w:val="es-CO"/>
        </w:rPr>
      </w:pPr>
    </w:p>
    <w:p w14:paraId="3366414D" w14:textId="0FE7759E"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4o.</w:t>
      </w:r>
      <w:r w:rsidRPr="006969B3">
        <w:rPr>
          <w:rFonts w:ascii="Arial" w:hAnsi="Arial" w:cs="Arial"/>
          <w:sz w:val="22"/>
          <w:szCs w:val="22"/>
          <w:lang w:val="es-CO"/>
        </w:rPr>
        <w:t xml:space="preserve"> La remuneración pagada por la vinculación de personal con título de doctorado en las </w:t>
      </w:r>
      <w:proofErr w:type="spellStart"/>
      <w:r w:rsidRPr="006969B3">
        <w:rPr>
          <w:rFonts w:ascii="Arial" w:hAnsi="Arial" w:cs="Arial"/>
          <w:sz w:val="22"/>
          <w:szCs w:val="22"/>
          <w:lang w:val="es-CO"/>
        </w:rPr>
        <w:t>Mipymes</w:t>
      </w:r>
      <w:proofErr w:type="spellEnd"/>
      <w:r w:rsidRPr="006969B3">
        <w:rPr>
          <w:rFonts w:ascii="Arial" w:hAnsi="Arial" w:cs="Arial"/>
          <w:sz w:val="22"/>
          <w:szCs w:val="22"/>
          <w:lang w:val="es-CO"/>
        </w:rPr>
        <w:t xml:space="preserve"> podrá ser solicitada como TIDIS (Títulos de Devolución de Impuestos) siempre y cuando se cumplan con los criterios y condiciones definidos por el Consejo Nacional de Beneficios Tributarios y cuenten con un crédito fiscal vigente superior a los 1000 UVT.</w:t>
      </w:r>
    </w:p>
    <w:p w14:paraId="571A343E" w14:textId="77777777" w:rsidR="00B507AB" w:rsidRPr="006969B3" w:rsidRDefault="00B507AB" w:rsidP="00F65283">
      <w:pPr>
        <w:pStyle w:val="NormalWeb"/>
        <w:spacing w:before="0" w:beforeAutospacing="0" w:after="0" w:afterAutospacing="0"/>
        <w:jc w:val="both"/>
        <w:rPr>
          <w:rStyle w:val="baj"/>
          <w:rFonts w:ascii="Arial" w:hAnsi="Arial" w:cs="Arial"/>
          <w:sz w:val="22"/>
          <w:szCs w:val="22"/>
          <w:lang w:val="es-CO"/>
        </w:rPr>
      </w:pPr>
    </w:p>
    <w:p w14:paraId="74E3E503" w14:textId="092B243F"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5o.</w:t>
      </w:r>
      <w:r w:rsidRPr="006969B3">
        <w:rPr>
          <w:rFonts w:ascii="Arial" w:hAnsi="Arial" w:cs="Arial"/>
          <w:sz w:val="22"/>
          <w:szCs w:val="22"/>
          <w:lang w:val="es-CO"/>
        </w:rPr>
        <w:t> Los créditos fiscales tendrán una vigencia de dos años una vez expedido el respectivo certificado.</w:t>
      </w:r>
    </w:p>
    <w:p w14:paraId="65D58D36" w14:textId="23530092" w:rsidR="00A85B74" w:rsidRPr="006969B3" w:rsidRDefault="00A85B74" w:rsidP="00F65283">
      <w:pPr>
        <w:spacing w:after="0" w:line="240" w:lineRule="auto"/>
        <w:rPr>
          <w:rFonts w:ascii="Arial" w:hAnsi="Arial" w:cs="Arial"/>
          <w:lang w:val="es-CO"/>
        </w:rPr>
      </w:pPr>
    </w:p>
    <w:p w14:paraId="4C974AD3" w14:textId="77777777" w:rsidR="00A85B74" w:rsidRPr="006969B3" w:rsidRDefault="00A85B74" w:rsidP="00F65283">
      <w:pPr>
        <w:pStyle w:val="NormalWeb"/>
        <w:spacing w:before="0" w:beforeAutospacing="0" w:after="0" w:afterAutospacing="0"/>
        <w:jc w:val="both"/>
        <w:rPr>
          <w:rFonts w:ascii="Arial" w:hAnsi="Arial" w:cs="Arial"/>
          <w:sz w:val="22"/>
          <w:szCs w:val="22"/>
          <w:lang w:val="es-CO"/>
        </w:rPr>
      </w:pPr>
      <w:bookmarkStart w:id="181" w:name="169"/>
      <w:r w:rsidRPr="006969B3">
        <w:rPr>
          <w:rFonts w:ascii="Arial" w:hAnsi="Arial" w:cs="Arial"/>
          <w:sz w:val="22"/>
          <w:szCs w:val="22"/>
          <w:lang w:val="es-CO"/>
        </w:rPr>
        <w:t>ARTÍCULO 169. DERECHOS DE PROPIEDAD INTELECTUAL SOBRE RESULTADOS DE PROGRAMAS Y PROYECTOS DE CIENCIA, TECNOLOGÍA E INNOVACIÓN Y DE TECNOLOGÍAS DE LA INFORMACIÓN Y LAS COMUNICACIONES FINANCIADOS CON RECURSOS PÚBLICOS.</w:t>
      </w:r>
      <w:bookmarkEnd w:id="181"/>
      <w:r w:rsidRPr="006969B3">
        <w:rPr>
          <w:rFonts w:ascii="Arial" w:hAnsi="Arial" w:cs="Arial"/>
          <w:sz w:val="22"/>
          <w:szCs w:val="22"/>
          <w:lang w:val="es-CO"/>
        </w:rPr>
        <w:t xml:space="preserve"> En los casos de proyectos de investigación y desarrollo de ciencia, tecnología e innovación y de tecnologías de la información y las comunicaciones, adelantados con recursos públicos, el Estado como titular de los derechos de propiedad intelectual derivados de estos proyectos podrá ceder dichos derechos a través de la entidad financiadora, y autorizará su transferencia, comercialización y explotación a quien adelante </w:t>
      </w:r>
      <w:r w:rsidRPr="006969B3">
        <w:rPr>
          <w:rFonts w:ascii="Arial" w:hAnsi="Arial" w:cs="Arial"/>
          <w:sz w:val="22"/>
          <w:szCs w:val="22"/>
          <w:lang w:val="es-CO"/>
        </w:rPr>
        <w:lastRenderedPageBreak/>
        <w:t xml:space="preserve">y ejecute el proyecto, sin que ello le constituya daño </w:t>
      </w:r>
      <w:proofErr w:type="spellStart"/>
      <w:r w:rsidRPr="006969B3">
        <w:rPr>
          <w:rFonts w:ascii="Arial" w:hAnsi="Arial" w:cs="Arial"/>
          <w:sz w:val="22"/>
          <w:szCs w:val="22"/>
          <w:lang w:val="es-CO"/>
        </w:rPr>
        <w:t>patri</w:t>
      </w:r>
      <w:proofErr w:type="spellEnd"/>
      <w:r w:rsidRPr="006969B3">
        <w:rPr>
          <w:rFonts w:ascii="Arial" w:hAnsi="Arial" w:cs="Arial"/>
          <w:sz w:val="22"/>
          <w:szCs w:val="22"/>
          <w:lang w:val="es-CO"/>
        </w:rPr>
        <w:t xml:space="preserve"> </w:t>
      </w:r>
      <w:proofErr w:type="spellStart"/>
      <w:r w:rsidRPr="006969B3">
        <w:rPr>
          <w:rFonts w:ascii="Arial" w:hAnsi="Arial" w:cs="Arial"/>
          <w:sz w:val="22"/>
          <w:szCs w:val="22"/>
          <w:lang w:val="es-CO"/>
        </w:rPr>
        <w:t>monial</w:t>
      </w:r>
      <w:proofErr w:type="spellEnd"/>
      <w:r w:rsidRPr="006969B3">
        <w:rPr>
          <w:rFonts w:ascii="Arial" w:hAnsi="Arial" w:cs="Arial"/>
          <w:sz w:val="22"/>
          <w:szCs w:val="22"/>
          <w:lang w:val="es-CO"/>
        </w:rPr>
        <w:t>. Las condiciones de esta cesión serán fijadas en el respectivo contrato o convenio.</w:t>
      </w:r>
    </w:p>
    <w:p w14:paraId="20FAC244"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p>
    <w:p w14:paraId="631E644E" w14:textId="4249B6E8"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En todo caso, el Estado, a través de la entidad financiadora, se reserva el derecho de obtener una licencia no exclusiva y gratuita de estos derechos de propiedad intelectual por motivos de interés público. Así mismo, en caso de presentarse motivos de seguridad y defensa nacional, el titular de los derechos de propiedad intelectual deberá ceder a título gratuito y sin limitación alguna al Estado, los derechos de propiedad intelectual que le correspondan. Los derechos de propiedad intelectual a ceder, así como sus condiciones de uso, serán fijados en el respectivo contrato o convenio.</w:t>
      </w:r>
    </w:p>
    <w:p w14:paraId="20440F40" w14:textId="77777777" w:rsidR="00B507AB" w:rsidRPr="006969B3" w:rsidRDefault="00B507AB" w:rsidP="00F65283">
      <w:pPr>
        <w:pStyle w:val="NormalWeb"/>
        <w:spacing w:before="0" w:beforeAutospacing="0" w:after="0" w:afterAutospacing="0"/>
        <w:jc w:val="both"/>
        <w:rPr>
          <w:rStyle w:val="baj"/>
          <w:rFonts w:ascii="Arial" w:hAnsi="Arial" w:cs="Arial"/>
          <w:sz w:val="22"/>
          <w:szCs w:val="22"/>
          <w:lang w:val="es-CO"/>
        </w:rPr>
      </w:pPr>
    </w:p>
    <w:p w14:paraId="1FFAF482" w14:textId="4EFB7854"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Cuando en el respectivo contrato o convenio se defina que el titular de derechos de propiedad intelectual es quien adelante y ejecute el proyecto, y este realice la explotación de dichos derechos, obteniendo ganancias económicas, deberá garantizar al Estado, a través de la entidad financiadora, un porcentaje de las ganancias netas obtenidas en la explotación de la propiedad intelectual de la cual es titular, porcentaje que deberá ser acordado por mutuo acuerdo con el Estado, a través de la entidad financiadora. El Estado a través de la entidad financiadora, deberá invertir los dineros obtenidos, en programas y proyectos de Ciencia, Tecnología e Innovación y de tecnologías de la información y las comunicaciones.</w:t>
      </w:r>
    </w:p>
    <w:p w14:paraId="7982CF7A" w14:textId="5320D116" w:rsidR="00A85B74" w:rsidRPr="006969B3" w:rsidRDefault="00A85B74" w:rsidP="00F65283">
      <w:pPr>
        <w:spacing w:after="0" w:line="240" w:lineRule="auto"/>
        <w:rPr>
          <w:rFonts w:ascii="Arial" w:hAnsi="Arial" w:cs="Arial"/>
          <w:lang w:val="es-CO"/>
        </w:rPr>
      </w:pPr>
    </w:p>
    <w:p w14:paraId="2A5E7AA0" w14:textId="7D5C64E8" w:rsidR="00A85B74" w:rsidRPr="006969B3" w:rsidRDefault="00A85B74" w:rsidP="00F65283">
      <w:pPr>
        <w:pStyle w:val="NormalWeb"/>
        <w:spacing w:before="0" w:beforeAutospacing="0" w:after="0" w:afterAutospacing="0"/>
        <w:jc w:val="both"/>
        <w:rPr>
          <w:rFonts w:ascii="Arial" w:hAnsi="Arial" w:cs="Arial"/>
          <w:sz w:val="22"/>
          <w:szCs w:val="22"/>
          <w:lang w:val="es-CO"/>
        </w:rPr>
      </w:pPr>
      <w:bookmarkStart w:id="182" w:name="170"/>
      <w:r w:rsidRPr="006969B3">
        <w:rPr>
          <w:rFonts w:ascii="Arial" w:hAnsi="Arial" w:cs="Arial"/>
          <w:sz w:val="22"/>
          <w:szCs w:val="22"/>
          <w:lang w:val="es-CO"/>
        </w:rPr>
        <w:t>ARTÍCULO 170. DEDUCCIÓN POR DONACIONES E INVERSIONES EN INVESTIGACIÓN, DESARROLLO TECNOLÓGICO E INNOVACIÓN.</w:t>
      </w:r>
      <w:bookmarkEnd w:id="182"/>
      <w:r w:rsidRPr="006969B3">
        <w:rPr>
          <w:rFonts w:ascii="Arial" w:hAnsi="Arial" w:cs="Arial"/>
          <w:sz w:val="22"/>
          <w:szCs w:val="22"/>
          <w:lang w:val="es-CO"/>
        </w:rPr>
        <w:t> Modifíquese el artículo </w:t>
      </w:r>
      <w:r w:rsidRPr="007B5FFA">
        <w:rPr>
          <w:rFonts w:ascii="Arial" w:hAnsi="Arial" w:cs="Arial"/>
          <w:sz w:val="22"/>
          <w:szCs w:val="22"/>
          <w:lang w:val="es-CO"/>
        </w:rPr>
        <w:t>158-1</w:t>
      </w:r>
      <w:r w:rsidRPr="006969B3">
        <w:rPr>
          <w:rFonts w:ascii="Arial" w:hAnsi="Arial" w:cs="Arial"/>
          <w:sz w:val="22"/>
          <w:szCs w:val="22"/>
          <w:lang w:val="es-CO"/>
        </w:rPr>
        <w:t> del Estatuto Tributario, modificado por el artículo </w:t>
      </w:r>
      <w:r w:rsidRPr="007B5FFA">
        <w:rPr>
          <w:rFonts w:ascii="Arial" w:hAnsi="Arial" w:cs="Arial"/>
          <w:sz w:val="22"/>
          <w:szCs w:val="22"/>
          <w:lang w:val="es-CO"/>
        </w:rPr>
        <w:t>91</w:t>
      </w:r>
      <w:r w:rsidRPr="006969B3">
        <w:rPr>
          <w:rFonts w:ascii="Arial" w:hAnsi="Arial" w:cs="Arial"/>
          <w:sz w:val="22"/>
          <w:szCs w:val="22"/>
          <w:lang w:val="es-CO"/>
        </w:rPr>
        <w:t> de la Ley 1819 de 2016, el cual quedará así:</w:t>
      </w:r>
    </w:p>
    <w:p w14:paraId="7476501B"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p>
    <w:p w14:paraId="059316FB" w14:textId="2C48B8FC"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w:t>
      </w:r>
      <w:r w:rsidRPr="007B5FFA">
        <w:rPr>
          <w:rFonts w:ascii="Arial" w:hAnsi="Arial" w:cs="Arial"/>
          <w:sz w:val="22"/>
          <w:szCs w:val="22"/>
          <w:lang w:val="es-CO"/>
        </w:rPr>
        <w:t>158-1</w:t>
      </w:r>
      <w:r w:rsidRPr="006969B3">
        <w:rPr>
          <w:rFonts w:ascii="Arial" w:hAnsi="Arial" w:cs="Arial"/>
          <w:sz w:val="22"/>
          <w:szCs w:val="22"/>
          <w:lang w:val="es-CO"/>
        </w:rPr>
        <w:t>. Deducción por donaciones e inversiones en investigación, desarrollo tecnológico e innovación. Las inversiones que se realicen en investigación, desarrollo tecnológico e innovación, de acuerdo con los criterios y las condiciones señaladas por el Consejo Nacional de Beneficios Tributarios en Ciencia, Tecnología e Innovación (CNBT), serán deducidles en el período gravable en que se realicen. Lo anterior, no excluye la aplicación del descuento de que trata el artículo </w:t>
      </w:r>
      <w:r w:rsidRPr="007B5FFA">
        <w:rPr>
          <w:rFonts w:ascii="Arial" w:hAnsi="Arial" w:cs="Arial"/>
          <w:sz w:val="22"/>
          <w:szCs w:val="22"/>
          <w:lang w:val="es-CO"/>
        </w:rPr>
        <w:t>256</w:t>
      </w:r>
      <w:r w:rsidRPr="006969B3">
        <w:rPr>
          <w:rFonts w:ascii="Arial" w:hAnsi="Arial" w:cs="Arial"/>
          <w:sz w:val="22"/>
          <w:szCs w:val="22"/>
          <w:lang w:val="es-CO"/>
        </w:rPr>
        <w:t> del Estatuto Tributario cuando se cumplan las condiciones y requisitos allí previstos.</w:t>
      </w:r>
    </w:p>
    <w:p w14:paraId="6E5AFA88"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p>
    <w:p w14:paraId="76E56044" w14:textId="62AE2006"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mismo tratamiento previsto en este artículo será aplicable en los siguientes casos: i) a las donaciones que se realicen por intermedio de las Instituciones de Educación Superior o del Instituto Colombiano de Crédito Educativo y Estudios Técnicos en el Exterior (</w:t>
      </w:r>
      <w:proofErr w:type="spellStart"/>
      <w:r w:rsidRPr="006969B3">
        <w:rPr>
          <w:rFonts w:ascii="Arial" w:hAnsi="Arial" w:cs="Arial"/>
          <w:sz w:val="22"/>
          <w:szCs w:val="22"/>
          <w:lang w:val="es-CO"/>
        </w:rPr>
        <w:t>Icetex</w:t>
      </w:r>
      <w:proofErr w:type="spellEnd"/>
      <w:r w:rsidRPr="006969B3">
        <w:rPr>
          <w:rFonts w:ascii="Arial" w:hAnsi="Arial" w:cs="Arial"/>
          <w:sz w:val="22"/>
          <w:szCs w:val="22"/>
          <w:lang w:val="es-CO"/>
        </w:rPr>
        <w:t xml:space="preserve">) dirigidas a programas de becas o créditos </w:t>
      </w:r>
      <w:proofErr w:type="spellStart"/>
      <w:r w:rsidRPr="006969B3">
        <w:rPr>
          <w:rFonts w:ascii="Arial" w:hAnsi="Arial" w:cs="Arial"/>
          <w:sz w:val="22"/>
          <w:szCs w:val="22"/>
          <w:lang w:val="es-CO"/>
        </w:rPr>
        <w:t>condonables</w:t>
      </w:r>
      <w:proofErr w:type="spellEnd"/>
      <w:r w:rsidRPr="006969B3">
        <w:rPr>
          <w:rFonts w:ascii="Arial" w:hAnsi="Arial" w:cs="Arial"/>
          <w:sz w:val="22"/>
          <w:szCs w:val="22"/>
          <w:lang w:val="es-CO"/>
        </w:rPr>
        <w:t xml:space="preserve"> que sean aprobados por el Ministerio de Educación Nacional, y que beneficien a estudiantes de estratos 1, 2 y 3 a través de becas de estudio total o parcial, o créditos </w:t>
      </w:r>
      <w:proofErr w:type="spellStart"/>
      <w:r w:rsidRPr="006969B3">
        <w:rPr>
          <w:rFonts w:ascii="Arial" w:hAnsi="Arial" w:cs="Arial"/>
          <w:sz w:val="22"/>
          <w:szCs w:val="22"/>
          <w:lang w:val="es-CO"/>
        </w:rPr>
        <w:t>condonables</w:t>
      </w:r>
      <w:proofErr w:type="spellEnd"/>
      <w:r w:rsidRPr="006969B3">
        <w:rPr>
          <w:rFonts w:ascii="Arial" w:hAnsi="Arial" w:cs="Arial"/>
          <w:sz w:val="22"/>
          <w:szCs w:val="22"/>
          <w:lang w:val="es-CO"/>
        </w:rPr>
        <w:t xml:space="preserve"> que podrán incluir manutención, hospedaje, transporte, matrícula, útiles y libros, de acuerdo a la reglamentación expedida por el Gobierno nacional respecto de las condiciones de asignación y funcionamiento de los programas de becas y créditos </w:t>
      </w:r>
      <w:proofErr w:type="spellStart"/>
      <w:r w:rsidRPr="006969B3">
        <w:rPr>
          <w:rFonts w:ascii="Arial" w:hAnsi="Arial" w:cs="Arial"/>
          <w:sz w:val="22"/>
          <w:szCs w:val="22"/>
          <w:lang w:val="es-CO"/>
        </w:rPr>
        <w:t>condonables</w:t>
      </w:r>
      <w:proofErr w:type="spellEnd"/>
      <w:r w:rsidRPr="006969B3">
        <w:rPr>
          <w:rFonts w:ascii="Arial" w:hAnsi="Arial" w:cs="Arial"/>
          <w:sz w:val="22"/>
          <w:szCs w:val="22"/>
          <w:lang w:val="es-CO"/>
        </w:rPr>
        <w:t xml:space="preserve"> a los que hace referencia el presente artículo, i) a las donaciones recibidas por el Fondo Nacional de Financiamiento para la Ciencia, la Tecnología y la Innovación, Fondo Francisco José de Caldas, y que sean destinadas al financiamiento de Programas y/o Proyectos de Ciencia, Tecnología e Innovación, de acuerdo con los criterios y las condiciones señaladas por el Consejo Nacional de Beneficios Tributarios en Ciencia, Tecnología e Innovación (CNBT), y </w:t>
      </w:r>
      <w:proofErr w:type="spellStart"/>
      <w:r w:rsidRPr="006969B3">
        <w:rPr>
          <w:rFonts w:ascii="Arial" w:hAnsi="Arial" w:cs="Arial"/>
          <w:sz w:val="22"/>
          <w:szCs w:val="22"/>
          <w:lang w:val="es-CO"/>
        </w:rPr>
        <w:t>iii</w:t>
      </w:r>
      <w:proofErr w:type="spellEnd"/>
      <w:r w:rsidRPr="006969B3">
        <w:rPr>
          <w:rFonts w:ascii="Arial" w:hAnsi="Arial" w:cs="Arial"/>
          <w:sz w:val="22"/>
          <w:szCs w:val="22"/>
          <w:lang w:val="es-CO"/>
        </w:rPr>
        <w:t xml:space="preserve">) a la remuneración correspondiente a la vinculación de personal con título de Doctorado en las empresas contribuyentes de renta, que se realice con posterioridad a la expedición de la presente ley, siempre y cuando se cumplan con los criterios y condiciones definidos </w:t>
      </w:r>
      <w:r w:rsidRPr="006969B3">
        <w:rPr>
          <w:rFonts w:ascii="Arial" w:hAnsi="Arial" w:cs="Arial"/>
          <w:sz w:val="22"/>
          <w:szCs w:val="22"/>
          <w:lang w:val="es-CO"/>
        </w:rPr>
        <w:lastRenderedPageBreak/>
        <w:t>por el CNBT para tal fin y su vinculación esté asociada al desarrollo de actividades de I+D+i. Para el caso de títulos de Doctorado obtenidos en el exterior, se deberán cumplir los requisitos de convalidación previstos en la normatividad vigente, de manera previa a su vinculación.</w:t>
      </w:r>
    </w:p>
    <w:p w14:paraId="3EDECE1C" w14:textId="77777777" w:rsidR="00B507AB" w:rsidRPr="006969B3" w:rsidRDefault="00B507AB" w:rsidP="00F65283">
      <w:pPr>
        <w:pStyle w:val="NormalWeb"/>
        <w:spacing w:before="0" w:beforeAutospacing="0" w:after="0" w:afterAutospacing="0"/>
        <w:jc w:val="both"/>
        <w:rPr>
          <w:rStyle w:val="baj"/>
          <w:rFonts w:ascii="Arial" w:hAnsi="Arial" w:cs="Arial"/>
          <w:sz w:val="22"/>
          <w:szCs w:val="22"/>
          <w:lang w:val="es-CO"/>
        </w:rPr>
      </w:pPr>
    </w:p>
    <w:p w14:paraId="58AAFCAC" w14:textId="7EB4C852"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El Consejo Nacional de Beneficios Tributarios en Ciencia, Tecnología e Innovación (CNBT) definirá anualmente un monto máximo total de la deducción prevista en el presente artículo y del descuento establecido en el artículo </w:t>
      </w:r>
      <w:r w:rsidRPr="007B5FFA">
        <w:rPr>
          <w:rFonts w:ascii="Arial" w:hAnsi="Arial" w:cs="Arial"/>
          <w:sz w:val="22"/>
          <w:szCs w:val="22"/>
          <w:lang w:val="es-CO"/>
        </w:rPr>
        <w:t>256</w:t>
      </w:r>
      <w:r w:rsidRPr="006969B3">
        <w:rPr>
          <w:rFonts w:ascii="Arial" w:hAnsi="Arial" w:cs="Arial"/>
          <w:sz w:val="22"/>
          <w:szCs w:val="22"/>
          <w:lang w:val="es-CO"/>
        </w:rPr>
        <w:t xml:space="preserve"> del Estatuto Tributario y del Crédito Fiscal por Inversiones en </w:t>
      </w:r>
      <w:proofErr w:type="spellStart"/>
      <w:r w:rsidRPr="006969B3">
        <w:rPr>
          <w:rFonts w:ascii="Arial" w:hAnsi="Arial" w:cs="Arial"/>
          <w:sz w:val="22"/>
          <w:szCs w:val="22"/>
          <w:lang w:val="es-CO"/>
        </w:rPr>
        <w:t>CTel</w:t>
      </w:r>
      <w:proofErr w:type="spellEnd"/>
      <w:r w:rsidRPr="006969B3">
        <w:rPr>
          <w:rFonts w:ascii="Arial" w:hAnsi="Arial" w:cs="Arial"/>
          <w:sz w:val="22"/>
          <w:szCs w:val="22"/>
          <w:lang w:val="es-CO"/>
        </w:rPr>
        <w:t>, así como el monto máximo anual que individualmente pueden solicitar las empresas como deducción y descuento por inversiones o donaciones de que trata el Parágrafo 2 del artículo </w:t>
      </w:r>
      <w:r w:rsidRPr="007B5FFA">
        <w:rPr>
          <w:rFonts w:ascii="Arial" w:hAnsi="Arial" w:cs="Arial"/>
          <w:sz w:val="22"/>
          <w:szCs w:val="22"/>
          <w:lang w:val="es-CO"/>
        </w:rPr>
        <w:t>256</w:t>
      </w:r>
      <w:r w:rsidRPr="006969B3">
        <w:rPr>
          <w:rFonts w:ascii="Arial" w:hAnsi="Arial" w:cs="Arial"/>
          <w:sz w:val="22"/>
          <w:szCs w:val="22"/>
          <w:lang w:val="es-CO"/>
        </w:rPr>
        <w:t> del Estatuto Tributario, efectivamente realizadas en el año. El Gobierno nacional definirá mediante reglamento que un porcentaje específico del monto máximo total de la deducción de que trata el presente artículo y del descuento de que trata el artículo </w:t>
      </w:r>
      <w:r w:rsidRPr="007B5FFA">
        <w:rPr>
          <w:rFonts w:ascii="Arial" w:hAnsi="Arial" w:cs="Arial"/>
          <w:sz w:val="22"/>
          <w:szCs w:val="22"/>
          <w:lang w:val="es-CO"/>
        </w:rPr>
        <w:t>256</w:t>
      </w:r>
      <w:r w:rsidRPr="006969B3">
        <w:rPr>
          <w:rFonts w:ascii="Arial" w:hAnsi="Arial" w:cs="Arial"/>
          <w:sz w:val="22"/>
          <w:szCs w:val="22"/>
          <w:lang w:val="es-CO"/>
        </w:rPr>
        <w:t> del Estatuto Tributario, se invierta en proyectos de investigación, desarrollo tecnológico e innovación en Pequeñas y medianas empresas (Pymes).</w:t>
      </w:r>
    </w:p>
    <w:p w14:paraId="071A6719"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p>
    <w:p w14:paraId="32AC48F2" w14:textId="0495EFBA"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Cuando se presenten proyectos en CT+I que establezcan inversiones superiores al monto señalado anteriormente, el contribuyente podrá solicitar al CNBT la ampliación de dicho tope, justificando los beneficios y la conveniencia </w:t>
      </w:r>
      <w:proofErr w:type="gramStart"/>
      <w:r w:rsidRPr="006969B3">
        <w:rPr>
          <w:rFonts w:ascii="Arial" w:hAnsi="Arial" w:cs="Arial"/>
          <w:sz w:val="22"/>
          <w:szCs w:val="22"/>
          <w:lang w:val="es-CO"/>
        </w:rPr>
        <w:t>del mismo</w:t>
      </w:r>
      <w:proofErr w:type="gramEnd"/>
      <w:r w:rsidRPr="006969B3">
        <w:rPr>
          <w:rFonts w:ascii="Arial" w:hAnsi="Arial" w:cs="Arial"/>
          <w:sz w:val="22"/>
          <w:szCs w:val="22"/>
          <w:lang w:val="es-CO"/>
        </w:rPr>
        <w:t>. En los casos de proyectos plurianuales, el monto máximo establecido en este inciso se mantendrá vigente durante los años de ejecución del proyecto calificado, sin perjuicio de tomar en un año un valor superior, cuando el CNBT establezca un monto superior al mismo para dicho año.</w:t>
      </w:r>
    </w:p>
    <w:p w14:paraId="4DB352C4" w14:textId="77777777" w:rsidR="00B507AB" w:rsidRPr="006969B3" w:rsidRDefault="00B507AB" w:rsidP="00F65283">
      <w:pPr>
        <w:pStyle w:val="NormalWeb"/>
        <w:spacing w:before="0" w:beforeAutospacing="0" w:after="0" w:afterAutospacing="0"/>
        <w:jc w:val="both"/>
        <w:rPr>
          <w:rStyle w:val="baj"/>
          <w:rFonts w:ascii="Arial" w:hAnsi="Arial" w:cs="Arial"/>
          <w:sz w:val="22"/>
          <w:szCs w:val="22"/>
          <w:lang w:val="es-CO"/>
        </w:rPr>
      </w:pPr>
    </w:p>
    <w:p w14:paraId="16774C6D" w14:textId="750E019D"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Los costos y gastos que dan lugar a la deducción de que trata este artículo y al descuento del artículo </w:t>
      </w:r>
      <w:r w:rsidRPr="007B5FFA">
        <w:rPr>
          <w:rFonts w:ascii="Arial" w:hAnsi="Arial" w:cs="Arial"/>
          <w:sz w:val="22"/>
          <w:szCs w:val="22"/>
          <w:lang w:val="es-CO"/>
        </w:rPr>
        <w:t>256</w:t>
      </w:r>
      <w:r w:rsidRPr="006969B3">
        <w:rPr>
          <w:rFonts w:ascii="Arial" w:hAnsi="Arial" w:cs="Arial"/>
          <w:sz w:val="22"/>
          <w:szCs w:val="22"/>
          <w:lang w:val="es-CO"/>
        </w:rPr>
        <w:t> del Estatuto Tributario, no podrán ser capitalizados ni tomados como costo o deducción nuevamente por el mismo contribuyente.</w:t>
      </w:r>
    </w:p>
    <w:p w14:paraId="503C39A9" w14:textId="77777777" w:rsidR="00B507AB" w:rsidRPr="006969B3" w:rsidRDefault="00B507AB" w:rsidP="00F65283">
      <w:pPr>
        <w:pStyle w:val="NormalWeb"/>
        <w:spacing w:before="0" w:beforeAutospacing="0" w:after="0" w:afterAutospacing="0"/>
        <w:jc w:val="both"/>
        <w:rPr>
          <w:rStyle w:val="baj"/>
          <w:rFonts w:ascii="Arial" w:hAnsi="Arial" w:cs="Arial"/>
          <w:sz w:val="22"/>
          <w:szCs w:val="22"/>
          <w:lang w:val="es-CO"/>
        </w:rPr>
      </w:pPr>
    </w:p>
    <w:p w14:paraId="79BBA346" w14:textId="6BE9D25C"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3o.</w:t>
      </w:r>
      <w:r w:rsidRPr="006969B3">
        <w:rPr>
          <w:rFonts w:ascii="Arial" w:hAnsi="Arial" w:cs="Arial"/>
          <w:sz w:val="22"/>
          <w:szCs w:val="22"/>
          <w:lang w:val="es-CO"/>
        </w:rPr>
        <w:t> Los contribuyentes del impuesto sobre la renta y complementarios que hayan accedido al beneficio contemplado en el artículo </w:t>
      </w:r>
      <w:r w:rsidRPr="007B5FFA">
        <w:rPr>
          <w:rFonts w:ascii="Arial" w:hAnsi="Arial" w:cs="Arial"/>
          <w:sz w:val="22"/>
          <w:szCs w:val="22"/>
          <w:lang w:val="es-CO"/>
        </w:rPr>
        <w:t>158-1</w:t>
      </w:r>
      <w:r w:rsidRPr="006969B3">
        <w:rPr>
          <w:rFonts w:ascii="Arial" w:hAnsi="Arial" w:cs="Arial"/>
          <w:sz w:val="22"/>
          <w:szCs w:val="22"/>
          <w:lang w:val="es-CO"/>
        </w:rPr>
        <w:t xml:space="preserve"> del Estatuto Tributario antes de 31 de diciembre de 2016 en un proyecto plurianual, conservarán las condiciones previstas al momento de obtener la aprobación por parte del CNBT respecto del proyecto correspondiente. Las inversiones en los proyectos de </w:t>
      </w:r>
      <w:proofErr w:type="spellStart"/>
      <w:r w:rsidRPr="006969B3">
        <w:rPr>
          <w:rFonts w:ascii="Arial" w:hAnsi="Arial" w:cs="Arial"/>
          <w:sz w:val="22"/>
          <w:szCs w:val="22"/>
          <w:lang w:val="es-CO"/>
        </w:rPr>
        <w:t>que</w:t>
      </w:r>
      <w:proofErr w:type="spellEnd"/>
      <w:r w:rsidRPr="006969B3">
        <w:rPr>
          <w:rFonts w:ascii="Arial" w:hAnsi="Arial" w:cs="Arial"/>
          <w:sz w:val="22"/>
          <w:szCs w:val="22"/>
          <w:lang w:val="es-CO"/>
        </w:rPr>
        <w:t xml:space="preserve"> trata este Parágrafo, no se someten a lo previsto en el artículo </w:t>
      </w:r>
      <w:r w:rsidRPr="007B5FFA">
        <w:rPr>
          <w:rFonts w:ascii="Arial" w:hAnsi="Arial" w:cs="Arial"/>
          <w:sz w:val="22"/>
          <w:szCs w:val="22"/>
          <w:lang w:val="es-CO"/>
        </w:rPr>
        <w:t>256</w:t>
      </w:r>
      <w:r w:rsidRPr="006969B3">
        <w:rPr>
          <w:rFonts w:ascii="Arial" w:hAnsi="Arial" w:cs="Arial"/>
          <w:sz w:val="22"/>
          <w:szCs w:val="22"/>
          <w:lang w:val="es-CO"/>
        </w:rPr>
        <w:t> del Estatuto Tributario.</w:t>
      </w:r>
    </w:p>
    <w:p w14:paraId="1FB22174" w14:textId="77777777" w:rsidR="00B507AB" w:rsidRPr="006969B3" w:rsidRDefault="00B507AB" w:rsidP="00F65283">
      <w:pPr>
        <w:pStyle w:val="NormalWeb"/>
        <w:spacing w:before="0" w:beforeAutospacing="0" w:after="0" w:afterAutospacing="0"/>
        <w:jc w:val="both"/>
        <w:rPr>
          <w:rStyle w:val="baj"/>
          <w:rFonts w:ascii="Arial" w:hAnsi="Arial" w:cs="Arial"/>
          <w:sz w:val="22"/>
          <w:szCs w:val="22"/>
          <w:lang w:val="es-CO"/>
        </w:rPr>
      </w:pPr>
    </w:p>
    <w:p w14:paraId="2E739EAE" w14:textId="317CE6E1"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4o.</w:t>
      </w:r>
      <w:r w:rsidRPr="006969B3">
        <w:rPr>
          <w:rFonts w:ascii="Arial" w:hAnsi="Arial" w:cs="Arial"/>
          <w:sz w:val="22"/>
          <w:szCs w:val="22"/>
          <w:lang w:val="es-CO"/>
        </w:rPr>
        <w:t> La deducción prevista por la remuneración de personal con título de doctorado se causará cuando dicho personal no esté vinculado a los proyectos a los que hace mención el presente artículo en su primer inciso.</w:t>
      </w:r>
    </w:p>
    <w:p w14:paraId="249B4291" w14:textId="12E8F34D" w:rsidR="00A85B74" w:rsidRPr="006969B3" w:rsidRDefault="00A85B74" w:rsidP="00F65283">
      <w:pPr>
        <w:spacing w:after="0" w:line="240" w:lineRule="auto"/>
        <w:rPr>
          <w:rFonts w:ascii="Arial" w:hAnsi="Arial" w:cs="Arial"/>
          <w:lang w:val="es-CO"/>
        </w:rPr>
      </w:pPr>
    </w:p>
    <w:p w14:paraId="735587D8" w14:textId="4CA3D508" w:rsidR="00A85B74" w:rsidRPr="006969B3" w:rsidRDefault="00A85B74" w:rsidP="00F65283">
      <w:pPr>
        <w:pStyle w:val="NormalWeb"/>
        <w:spacing w:before="0" w:beforeAutospacing="0" w:after="0" w:afterAutospacing="0"/>
        <w:jc w:val="both"/>
        <w:rPr>
          <w:rFonts w:ascii="Arial" w:hAnsi="Arial" w:cs="Arial"/>
          <w:sz w:val="22"/>
          <w:szCs w:val="22"/>
          <w:lang w:val="es-CO"/>
        </w:rPr>
      </w:pPr>
      <w:bookmarkStart w:id="183" w:name="171"/>
      <w:r w:rsidRPr="006969B3">
        <w:rPr>
          <w:rFonts w:ascii="Arial" w:hAnsi="Arial" w:cs="Arial"/>
          <w:sz w:val="22"/>
          <w:szCs w:val="22"/>
          <w:lang w:val="es-CO"/>
        </w:rPr>
        <w:t>ARTÍCULO 171. DESCUENTO PARA INVERSIONES Y DONACIONES REALIZADAS EN INVESTIGACIÓN, DESARROLLO TECNOLÓGICO O INNOVACIÓN.</w:t>
      </w:r>
      <w:bookmarkEnd w:id="183"/>
      <w:r w:rsidRPr="006969B3">
        <w:rPr>
          <w:rFonts w:ascii="Arial" w:hAnsi="Arial" w:cs="Arial"/>
          <w:sz w:val="22"/>
          <w:szCs w:val="22"/>
          <w:lang w:val="es-CO"/>
        </w:rPr>
        <w:t> Modifíquese el artículo </w:t>
      </w:r>
      <w:r w:rsidRPr="007B5FFA">
        <w:rPr>
          <w:rFonts w:ascii="Arial" w:hAnsi="Arial" w:cs="Arial"/>
          <w:sz w:val="22"/>
          <w:szCs w:val="22"/>
          <w:lang w:val="es-CO"/>
        </w:rPr>
        <w:t>256</w:t>
      </w:r>
      <w:r w:rsidRPr="006969B3">
        <w:rPr>
          <w:rFonts w:ascii="Arial" w:hAnsi="Arial" w:cs="Arial"/>
          <w:sz w:val="22"/>
          <w:szCs w:val="22"/>
          <w:lang w:val="es-CO"/>
        </w:rPr>
        <w:t> del Estatuto Tributario, modificado por el artículo </w:t>
      </w:r>
      <w:r w:rsidRPr="007B5FFA">
        <w:rPr>
          <w:rFonts w:ascii="Arial" w:hAnsi="Arial" w:cs="Arial"/>
          <w:sz w:val="22"/>
          <w:szCs w:val="22"/>
          <w:lang w:val="es-CO"/>
        </w:rPr>
        <w:t>104</w:t>
      </w:r>
      <w:r w:rsidRPr="006969B3">
        <w:rPr>
          <w:rFonts w:ascii="Arial" w:hAnsi="Arial" w:cs="Arial"/>
          <w:sz w:val="22"/>
          <w:szCs w:val="22"/>
          <w:lang w:val="es-CO"/>
        </w:rPr>
        <w:t> de la Ley 1819 de 2016, el cual quedará así;</w:t>
      </w:r>
    </w:p>
    <w:p w14:paraId="66C34E8F"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p>
    <w:p w14:paraId="33495B23" w14:textId="0B1D4204"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w:t>
      </w:r>
      <w:r w:rsidRPr="007B5FFA">
        <w:rPr>
          <w:rFonts w:ascii="Arial" w:hAnsi="Arial" w:cs="Arial"/>
          <w:sz w:val="22"/>
          <w:szCs w:val="22"/>
          <w:lang w:val="es-CO"/>
        </w:rPr>
        <w:t>256</w:t>
      </w:r>
      <w:r w:rsidRPr="006969B3">
        <w:rPr>
          <w:rFonts w:ascii="Arial" w:hAnsi="Arial" w:cs="Arial"/>
          <w:sz w:val="22"/>
          <w:szCs w:val="22"/>
          <w:lang w:val="es-CO"/>
        </w:rPr>
        <w:t>. Descuento para inversiones realizadas en investigación, desarrollo tecnológico o innovación. Las personas que realicen inversiones en proyectos calificados por el Consejo Nacional de Beneficios Tributarios en Ciencia y Tecnología en Innovación como de investigación, desarrollo tecnológico o innovación, de acuerdo con los criterios y condiciones definidas por dicho Consejo, tendrán derecho a descontar de su impuesto sobre la renta a cargo el 25% del valor invertido en dichos proyectos en el período gravable en que se realizó la inversión.</w:t>
      </w:r>
    </w:p>
    <w:p w14:paraId="210B498E"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p>
    <w:p w14:paraId="203A1653" w14:textId="6DA9AAD3"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Las inversiones de que trata este </w:t>
      </w:r>
      <w:proofErr w:type="gramStart"/>
      <w:r w:rsidRPr="006969B3">
        <w:rPr>
          <w:rFonts w:ascii="Arial" w:hAnsi="Arial" w:cs="Arial"/>
          <w:sz w:val="22"/>
          <w:szCs w:val="22"/>
          <w:lang w:val="es-CO"/>
        </w:rPr>
        <w:t>artículo,</w:t>
      </w:r>
      <w:proofErr w:type="gramEnd"/>
      <w:r w:rsidRPr="006969B3">
        <w:rPr>
          <w:rFonts w:ascii="Arial" w:hAnsi="Arial" w:cs="Arial"/>
          <w:sz w:val="22"/>
          <w:szCs w:val="22"/>
          <w:lang w:val="es-CO"/>
        </w:rPr>
        <w:t xml:space="preserve"> podrán ser realizadas a través de los actores reconocidos por Colciencias de acuerdo con la normatividad vigente. El Consejo Nacional de Beneficios Tributarios, definirá los procedimientos de control, seguimiento y evaluación de los proyectos calificados, y las condiciones para garantizar la divulgación de los resultados de los proyectos calificados, sin perjuicio de la aplicación de las normas sobre propiedad intelectual, y que además servirán de mecanismo de control de la inversión de los recursos.</w:t>
      </w:r>
    </w:p>
    <w:p w14:paraId="411FA3D4" w14:textId="77777777" w:rsidR="00B507AB" w:rsidRPr="006969B3" w:rsidRDefault="00B507AB" w:rsidP="00F65283">
      <w:pPr>
        <w:pStyle w:val="NormalWeb"/>
        <w:spacing w:before="0" w:beforeAutospacing="0" w:after="0" w:afterAutospacing="0"/>
        <w:jc w:val="both"/>
        <w:rPr>
          <w:rStyle w:val="baj"/>
          <w:rFonts w:ascii="Arial" w:hAnsi="Arial" w:cs="Arial"/>
          <w:sz w:val="22"/>
          <w:szCs w:val="22"/>
          <w:lang w:val="es-CO"/>
        </w:rPr>
      </w:pPr>
    </w:p>
    <w:p w14:paraId="6F772200" w14:textId="49118B73"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Para que proceda el descuento de que trata el presente artículo, al calificar el proyecto se deberán tener en cuenta criterios de impacto ambiental.</w:t>
      </w:r>
    </w:p>
    <w:p w14:paraId="3210DABC" w14:textId="77777777" w:rsidR="00B507AB" w:rsidRPr="006969B3" w:rsidRDefault="00B507AB" w:rsidP="00F65283">
      <w:pPr>
        <w:pStyle w:val="NormalWeb"/>
        <w:spacing w:before="0" w:beforeAutospacing="0" w:after="0" w:afterAutospacing="0"/>
        <w:jc w:val="both"/>
        <w:rPr>
          <w:rStyle w:val="baj"/>
          <w:rFonts w:ascii="Arial" w:hAnsi="Arial" w:cs="Arial"/>
          <w:sz w:val="22"/>
          <w:szCs w:val="22"/>
          <w:lang w:val="es-CO"/>
        </w:rPr>
      </w:pPr>
    </w:p>
    <w:p w14:paraId="48604E83" w14:textId="75DCC8D0"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El mismo tratamiento previsto en este artículo será aplicable en los siguientes casos: i) a las donaciones hechas a programas creados por las instituciones de educación superior, o del Instituto Colombiano de Crédito Educativo y Estudios Técnicos en el Exterior (</w:t>
      </w:r>
      <w:proofErr w:type="spellStart"/>
      <w:r w:rsidRPr="006969B3">
        <w:rPr>
          <w:rFonts w:ascii="Arial" w:hAnsi="Arial" w:cs="Arial"/>
          <w:sz w:val="22"/>
          <w:szCs w:val="22"/>
          <w:lang w:val="es-CO"/>
        </w:rPr>
        <w:t>Icetex</w:t>
      </w:r>
      <w:proofErr w:type="spellEnd"/>
      <w:r w:rsidRPr="006969B3">
        <w:rPr>
          <w:rFonts w:ascii="Arial" w:hAnsi="Arial" w:cs="Arial"/>
          <w:sz w:val="22"/>
          <w:szCs w:val="22"/>
          <w:lang w:val="es-CO"/>
        </w:rPr>
        <w:t xml:space="preserve">) dirigidas a programas de becas o créditos </w:t>
      </w:r>
      <w:proofErr w:type="spellStart"/>
      <w:r w:rsidRPr="006969B3">
        <w:rPr>
          <w:rFonts w:ascii="Arial" w:hAnsi="Arial" w:cs="Arial"/>
          <w:sz w:val="22"/>
          <w:szCs w:val="22"/>
          <w:lang w:val="es-CO"/>
        </w:rPr>
        <w:t>condonables</w:t>
      </w:r>
      <w:proofErr w:type="spellEnd"/>
      <w:r w:rsidRPr="006969B3">
        <w:rPr>
          <w:rFonts w:ascii="Arial" w:hAnsi="Arial" w:cs="Arial"/>
          <w:sz w:val="22"/>
          <w:szCs w:val="22"/>
          <w:lang w:val="es-CO"/>
        </w:rPr>
        <w:t xml:space="preserve"> que sean aprobados por el Ministerio de Educación Nacional y que beneficien a estudiantes de estratos 1, 2 y 3 a través de becas de estudio total o parcial o créditos </w:t>
      </w:r>
      <w:proofErr w:type="spellStart"/>
      <w:r w:rsidRPr="006969B3">
        <w:rPr>
          <w:rFonts w:ascii="Arial" w:hAnsi="Arial" w:cs="Arial"/>
          <w:sz w:val="22"/>
          <w:szCs w:val="22"/>
          <w:lang w:val="es-CO"/>
        </w:rPr>
        <w:t>condonables</w:t>
      </w:r>
      <w:proofErr w:type="spellEnd"/>
      <w:r w:rsidRPr="006969B3">
        <w:rPr>
          <w:rFonts w:ascii="Arial" w:hAnsi="Arial" w:cs="Arial"/>
          <w:sz w:val="22"/>
          <w:szCs w:val="22"/>
          <w:lang w:val="es-CO"/>
        </w:rPr>
        <w:t xml:space="preserve"> que podrán incluir manutención, hospedaje, transporte, matrícula, útiles y libros de acuerdo a la reglamentación expedida por el Gobierno nacional respecto de las condiciones de asignación y funcionamiento de los programas de becas y créditos </w:t>
      </w:r>
      <w:proofErr w:type="spellStart"/>
      <w:r w:rsidRPr="006969B3">
        <w:rPr>
          <w:rFonts w:ascii="Arial" w:hAnsi="Arial" w:cs="Arial"/>
          <w:sz w:val="22"/>
          <w:szCs w:val="22"/>
          <w:lang w:val="es-CO"/>
        </w:rPr>
        <w:t>condonables</w:t>
      </w:r>
      <w:proofErr w:type="spellEnd"/>
      <w:r w:rsidRPr="006969B3">
        <w:rPr>
          <w:rFonts w:ascii="Arial" w:hAnsi="Arial" w:cs="Arial"/>
          <w:sz w:val="22"/>
          <w:szCs w:val="22"/>
          <w:lang w:val="es-CO"/>
        </w:rPr>
        <w:t xml:space="preserve"> a los que se refiere el presente artículo, </w:t>
      </w:r>
      <w:proofErr w:type="spellStart"/>
      <w:r w:rsidRPr="006969B3">
        <w:rPr>
          <w:rFonts w:ascii="Arial" w:hAnsi="Arial" w:cs="Arial"/>
          <w:sz w:val="22"/>
          <w:szCs w:val="22"/>
          <w:lang w:val="es-CO"/>
        </w:rPr>
        <w:t>ii</w:t>
      </w:r>
      <w:proofErr w:type="spellEnd"/>
      <w:r w:rsidRPr="006969B3">
        <w:rPr>
          <w:rFonts w:ascii="Arial" w:hAnsi="Arial" w:cs="Arial"/>
          <w:sz w:val="22"/>
          <w:szCs w:val="22"/>
          <w:lang w:val="es-CO"/>
        </w:rPr>
        <w:t xml:space="preserve">) a las donaciones recibidas por el Fondo Nacional de Financiamiento para la Ciencia, la Tecnología y la Innovación, Fondo Francisco José de Caldas, y que sean destinadas al financiamiento de Programas y/o Proyectos de Ciencia, Tecnología e Innovación, de acuerdo con los criterios y las condiciones señaladas por el Consejo Nacional de Beneficios Tributarios en Ciencia, Tecnología e Innovación (CNBT), y </w:t>
      </w:r>
      <w:proofErr w:type="spellStart"/>
      <w:r w:rsidRPr="006969B3">
        <w:rPr>
          <w:rFonts w:ascii="Arial" w:hAnsi="Arial" w:cs="Arial"/>
          <w:sz w:val="22"/>
          <w:szCs w:val="22"/>
          <w:lang w:val="es-CO"/>
        </w:rPr>
        <w:t>iii</w:t>
      </w:r>
      <w:proofErr w:type="spellEnd"/>
      <w:r w:rsidRPr="006969B3">
        <w:rPr>
          <w:rFonts w:ascii="Arial" w:hAnsi="Arial" w:cs="Arial"/>
          <w:sz w:val="22"/>
          <w:szCs w:val="22"/>
          <w:lang w:val="es-CO"/>
        </w:rPr>
        <w:t>) a la remuneración correspondiente a la vinculación de personal con título de doctorado en las empresas contribuyentes de renta, que se realice con posterioridad a la expedición de la presente ley, siempre y cuando se cumplan con los criterios y condiciones definidos por el CNBT para tal fin y su vinculación esté asociada al desarrollo de actividades de I+D+i. Para el caso de títulos de Doctorado obtenidos en el exterior, se deberán cumplir los requisitos de convalidación previstos en la normatividad vigente, de manera previa a su vinculación.</w:t>
      </w:r>
    </w:p>
    <w:p w14:paraId="7432FD98" w14:textId="77777777" w:rsidR="00B507AB" w:rsidRPr="006969B3" w:rsidRDefault="00B507AB" w:rsidP="00F65283">
      <w:pPr>
        <w:pStyle w:val="NormalWeb"/>
        <w:spacing w:before="0" w:beforeAutospacing="0" w:after="0" w:afterAutospacing="0"/>
        <w:jc w:val="both"/>
        <w:rPr>
          <w:rStyle w:val="baj"/>
          <w:rFonts w:ascii="Arial" w:hAnsi="Arial" w:cs="Arial"/>
          <w:sz w:val="22"/>
          <w:szCs w:val="22"/>
          <w:lang w:val="es-CO"/>
        </w:rPr>
      </w:pPr>
    </w:p>
    <w:p w14:paraId="31B0E2D0" w14:textId="4BA42BD9"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3o.</w:t>
      </w:r>
      <w:r w:rsidRPr="006969B3">
        <w:rPr>
          <w:rFonts w:ascii="Arial" w:hAnsi="Arial" w:cs="Arial"/>
          <w:sz w:val="22"/>
          <w:szCs w:val="22"/>
          <w:lang w:val="es-CO"/>
        </w:rPr>
        <w:t> El descuento previsto por la remuneración de personal con título de doctorado se causará cuando dicho personal no esté vinculado a los proyectos a los que hace mención el presente artículo en su primer inciso.</w:t>
      </w:r>
    </w:p>
    <w:p w14:paraId="1603E4BC" w14:textId="77777777" w:rsidR="001B0E49" w:rsidRDefault="001B0E49" w:rsidP="00F65283">
      <w:pPr>
        <w:pStyle w:val="NormalWeb"/>
        <w:spacing w:before="0" w:beforeAutospacing="0" w:after="0" w:afterAutospacing="0"/>
        <w:jc w:val="both"/>
        <w:rPr>
          <w:rStyle w:val="baj"/>
          <w:rFonts w:ascii="Arial" w:hAnsi="Arial" w:cs="Arial"/>
          <w:sz w:val="22"/>
          <w:szCs w:val="22"/>
          <w:lang w:val="es-CO"/>
        </w:rPr>
      </w:pPr>
    </w:p>
    <w:p w14:paraId="69FA1CA0" w14:textId="3E3D5B60"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4o.</w:t>
      </w:r>
      <w:r w:rsidRPr="006969B3">
        <w:rPr>
          <w:rFonts w:ascii="Arial" w:hAnsi="Arial" w:cs="Arial"/>
          <w:sz w:val="22"/>
          <w:szCs w:val="22"/>
          <w:lang w:val="es-CO"/>
        </w:rPr>
        <w:t> El descuento aquí previsto se somete a lo establecido en los parágrafos 1 y 2 del artículo </w:t>
      </w:r>
      <w:r w:rsidRPr="007B5FFA">
        <w:rPr>
          <w:rFonts w:ascii="Arial" w:hAnsi="Arial" w:cs="Arial"/>
          <w:sz w:val="22"/>
          <w:szCs w:val="22"/>
          <w:lang w:val="es-CO"/>
        </w:rPr>
        <w:t>158-1</w:t>
      </w:r>
      <w:r w:rsidRPr="006969B3">
        <w:rPr>
          <w:rFonts w:ascii="Arial" w:hAnsi="Arial" w:cs="Arial"/>
          <w:sz w:val="22"/>
          <w:szCs w:val="22"/>
          <w:lang w:val="es-CO"/>
        </w:rPr>
        <w:t> del Estatuto Tributario.</w:t>
      </w:r>
    </w:p>
    <w:p w14:paraId="3B2928E0" w14:textId="6B2FD385" w:rsidR="00A85B74" w:rsidRPr="006969B3" w:rsidRDefault="00A85B74" w:rsidP="00F65283">
      <w:pPr>
        <w:spacing w:after="0" w:line="240" w:lineRule="auto"/>
        <w:rPr>
          <w:rFonts w:ascii="Arial" w:hAnsi="Arial" w:cs="Arial"/>
          <w:lang w:val="es-CO"/>
        </w:rPr>
      </w:pPr>
    </w:p>
    <w:p w14:paraId="3511F1CB" w14:textId="77777777" w:rsidR="00A85B74" w:rsidRPr="006969B3" w:rsidRDefault="00A85B74" w:rsidP="00F65283">
      <w:pPr>
        <w:pStyle w:val="NormalWeb"/>
        <w:spacing w:before="0" w:beforeAutospacing="0" w:after="0" w:afterAutospacing="0"/>
        <w:jc w:val="both"/>
        <w:rPr>
          <w:rFonts w:ascii="Arial" w:hAnsi="Arial" w:cs="Arial"/>
          <w:sz w:val="22"/>
          <w:szCs w:val="22"/>
          <w:lang w:val="es-CO"/>
        </w:rPr>
      </w:pPr>
      <w:bookmarkStart w:id="184" w:name="172"/>
      <w:r w:rsidRPr="006969B3">
        <w:rPr>
          <w:rFonts w:ascii="Arial" w:hAnsi="Arial" w:cs="Arial"/>
          <w:sz w:val="22"/>
          <w:szCs w:val="22"/>
          <w:lang w:val="es-CO"/>
        </w:rPr>
        <w:t>ARTÍCULO 172. SISTEMA NACIONAL DE COMPETITIVIDAD E INNOVACIÓN (SNCI).</w:t>
      </w:r>
      <w:bookmarkEnd w:id="184"/>
      <w:r w:rsidRPr="006969B3">
        <w:rPr>
          <w:rFonts w:ascii="Arial" w:hAnsi="Arial" w:cs="Arial"/>
          <w:sz w:val="22"/>
          <w:szCs w:val="22"/>
          <w:lang w:val="es-CO"/>
        </w:rPr>
        <w:t> Créese el Sistema Nacional de Competitividad e Innovación (SNCI) con el objetivo de fortalecer la competitividad, en el marco de este sistema y a través de la Comisión Nacional de Competitividad e Innovación, se articularán los siguientes sistemas: el Sistema Nacional de Ciencia, Tecnología e Innovación (SNCTI); el Sistema Nacional de Innovación Agropecuaria (SNIA); la Comisión Intersectorial de Propiedad Intelectual (CIPI); el Consejo Nacional de Economía Naranja (CNEN); el Sistema Nacional Ambiental (SINA) y los demás sistemas, órganos e instancias relacionadas con competitividad, productividad e innovación, y coordinar la elaboración, implementación y seguimiento de la agenda Nacional de Competitividad e Innovación.</w:t>
      </w:r>
    </w:p>
    <w:p w14:paraId="34A92A89"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p>
    <w:p w14:paraId="0C75B91D" w14:textId="152B2EA5"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Las distintas instancias regionales, departamentales y territoriales de los sistemas que coordinan en la Comisión Nacional de Competitividad e Innovación se articularán en las Comisiones Regionales de Competitividad e Innovación con el objetivo de fortalecer la competitividad.</w:t>
      </w:r>
    </w:p>
    <w:p w14:paraId="12D51FA1"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p>
    <w:p w14:paraId="1B4B4223" w14:textId="68334B1A"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Las comisiones Regionales de Competitividad e Innovación promoverán la implementación de la Agenda Departamental de Competitividad e Innovación, la cual se articulará con la Agenda Nacional en el marco del Sistema Nacional de Competitividad e Innovación.</w:t>
      </w:r>
    </w:p>
    <w:p w14:paraId="3134FFD3" w14:textId="1B024A89"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La coordinación general y secretaria técnica de la Comisión Nacional de Competitividad e Innovación estará a cargo del Departamento Administrativo de la Presidencia de la República.</w:t>
      </w:r>
    </w:p>
    <w:p w14:paraId="41F23453" w14:textId="77777777" w:rsidR="00042931" w:rsidRPr="006969B3" w:rsidRDefault="00042931" w:rsidP="00F65283">
      <w:pPr>
        <w:pStyle w:val="NormalWeb"/>
        <w:spacing w:before="0" w:beforeAutospacing="0" w:after="0" w:afterAutospacing="0"/>
        <w:jc w:val="both"/>
        <w:rPr>
          <w:rFonts w:ascii="Arial" w:hAnsi="Arial" w:cs="Arial"/>
          <w:sz w:val="22"/>
          <w:szCs w:val="22"/>
          <w:lang w:val="es-CO"/>
        </w:rPr>
      </w:pPr>
    </w:p>
    <w:p w14:paraId="59470397" w14:textId="77777777"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El Gobierno nacional reglamentará la organización, articulación y funcionamiento del Sistema Nacional de Competitividad e Innovación.</w:t>
      </w:r>
    </w:p>
    <w:p w14:paraId="14618BB4" w14:textId="5120D5E8" w:rsidR="00A85B74" w:rsidRPr="006969B3" w:rsidRDefault="00A85B74" w:rsidP="00F65283">
      <w:pPr>
        <w:spacing w:after="0" w:line="240" w:lineRule="auto"/>
        <w:rPr>
          <w:rFonts w:ascii="Arial" w:hAnsi="Arial" w:cs="Arial"/>
          <w:lang w:val="es-CO"/>
        </w:rPr>
      </w:pPr>
    </w:p>
    <w:p w14:paraId="7D3935AE" w14:textId="77777777" w:rsidR="00A85B74" w:rsidRPr="006969B3" w:rsidRDefault="00A85B74" w:rsidP="00F65283">
      <w:pPr>
        <w:pStyle w:val="NormalWeb"/>
        <w:spacing w:before="0" w:beforeAutospacing="0" w:after="0" w:afterAutospacing="0"/>
        <w:jc w:val="both"/>
        <w:rPr>
          <w:rFonts w:ascii="Arial" w:hAnsi="Arial" w:cs="Arial"/>
          <w:sz w:val="22"/>
          <w:szCs w:val="22"/>
          <w:lang w:val="es-CO"/>
        </w:rPr>
      </w:pPr>
      <w:bookmarkStart w:id="185" w:name="173"/>
      <w:r w:rsidRPr="006969B3">
        <w:rPr>
          <w:rFonts w:ascii="Arial" w:hAnsi="Arial" w:cs="Arial"/>
          <w:sz w:val="22"/>
          <w:szCs w:val="22"/>
          <w:lang w:val="es-CO"/>
        </w:rPr>
        <w:t>ARTÍCULO 173. INNOVACIÓN E IMPLEMENTACIÓN DE NUEVAS TECNOLOGÍAS EN PROYECTOS DE INFRAESTRUCTURA DE TRANSPORTE.</w:t>
      </w:r>
      <w:bookmarkEnd w:id="185"/>
      <w:r w:rsidRPr="006969B3">
        <w:rPr>
          <w:rFonts w:ascii="Arial" w:hAnsi="Arial" w:cs="Arial"/>
          <w:sz w:val="22"/>
          <w:szCs w:val="22"/>
          <w:lang w:val="es-CO"/>
        </w:rPr>
        <w:t xml:space="preserve"> Para la promoción del emprendimiento, investigación y desarrollo de nuevas tecnologías e innovación en la infraestructura de transporte, el </w:t>
      </w:r>
      <w:proofErr w:type="spellStart"/>
      <w:r w:rsidRPr="006969B3">
        <w:rPr>
          <w:rFonts w:ascii="Arial" w:hAnsi="Arial" w:cs="Arial"/>
          <w:sz w:val="22"/>
          <w:szCs w:val="22"/>
          <w:lang w:val="es-CO"/>
        </w:rPr>
        <w:t>Invías</w:t>
      </w:r>
      <w:proofErr w:type="spellEnd"/>
      <w:r w:rsidRPr="006969B3">
        <w:rPr>
          <w:rFonts w:ascii="Arial" w:hAnsi="Arial" w:cs="Arial"/>
          <w:sz w:val="22"/>
          <w:szCs w:val="22"/>
          <w:lang w:val="es-CO"/>
        </w:rPr>
        <w:t xml:space="preserve"> podrá incentivar la promoción del uso de nuevas tecnologías, mediante la cofinanciación de ejecución de tramos de prueba, con cargo a los presupuestos de los respectivos proyectos de infraestructura en desarrollo de los respectivos contratos.</w:t>
      </w:r>
    </w:p>
    <w:p w14:paraId="4C3A322F" w14:textId="77777777" w:rsidR="00B507AB" w:rsidRPr="006969B3" w:rsidRDefault="00B507AB" w:rsidP="00F65283">
      <w:pPr>
        <w:pStyle w:val="NormalWeb"/>
        <w:spacing w:before="0" w:beforeAutospacing="0" w:after="0" w:afterAutospacing="0"/>
        <w:jc w:val="both"/>
        <w:rPr>
          <w:rStyle w:val="baj"/>
          <w:rFonts w:ascii="Arial" w:hAnsi="Arial" w:cs="Arial"/>
          <w:sz w:val="22"/>
          <w:szCs w:val="22"/>
          <w:lang w:val="es-CO"/>
        </w:rPr>
      </w:pPr>
    </w:p>
    <w:p w14:paraId="16CD4462" w14:textId="6FA947F3"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xml:space="preserve"> La regulación técnica para la implementación, estandarización, seguimiento, metodologías y protocolos de nuevas tecnologías para la intervención de la infraestructura de </w:t>
      </w:r>
      <w:proofErr w:type="gramStart"/>
      <w:r w:rsidRPr="006969B3">
        <w:rPr>
          <w:rFonts w:ascii="Arial" w:hAnsi="Arial" w:cs="Arial"/>
          <w:sz w:val="22"/>
          <w:szCs w:val="22"/>
          <w:lang w:val="es-CO"/>
        </w:rPr>
        <w:t>transporte,</w:t>
      </w:r>
      <w:proofErr w:type="gramEnd"/>
      <w:r w:rsidRPr="006969B3">
        <w:rPr>
          <w:rFonts w:ascii="Arial" w:hAnsi="Arial" w:cs="Arial"/>
          <w:sz w:val="22"/>
          <w:szCs w:val="22"/>
          <w:lang w:val="es-CO"/>
        </w:rPr>
        <w:t xml:space="preserve"> se definirá por el </w:t>
      </w:r>
      <w:proofErr w:type="spellStart"/>
      <w:r w:rsidRPr="006969B3">
        <w:rPr>
          <w:rFonts w:ascii="Arial" w:hAnsi="Arial" w:cs="Arial"/>
          <w:sz w:val="22"/>
          <w:szCs w:val="22"/>
          <w:lang w:val="es-CO"/>
        </w:rPr>
        <w:t>Invías</w:t>
      </w:r>
      <w:proofErr w:type="spellEnd"/>
      <w:r w:rsidRPr="006969B3">
        <w:rPr>
          <w:rFonts w:ascii="Arial" w:hAnsi="Arial" w:cs="Arial"/>
          <w:sz w:val="22"/>
          <w:szCs w:val="22"/>
          <w:lang w:val="es-CO"/>
        </w:rPr>
        <w:t>.</w:t>
      </w:r>
    </w:p>
    <w:p w14:paraId="5BC513EE" w14:textId="21ABBAF5" w:rsidR="00A85B74" w:rsidRPr="006969B3" w:rsidRDefault="00A85B74" w:rsidP="00F65283">
      <w:pPr>
        <w:spacing w:after="0" w:line="240" w:lineRule="auto"/>
        <w:rPr>
          <w:rFonts w:ascii="Arial" w:hAnsi="Arial" w:cs="Arial"/>
          <w:lang w:val="es-CO"/>
        </w:rPr>
      </w:pPr>
    </w:p>
    <w:p w14:paraId="329A715F" w14:textId="1DEF5614" w:rsidR="00A85B74" w:rsidRPr="006969B3" w:rsidRDefault="00A85B74" w:rsidP="00F65283">
      <w:pPr>
        <w:pStyle w:val="NormalWeb"/>
        <w:spacing w:before="0" w:beforeAutospacing="0" w:after="0" w:afterAutospacing="0"/>
        <w:jc w:val="both"/>
        <w:rPr>
          <w:rFonts w:ascii="Arial" w:hAnsi="Arial" w:cs="Arial"/>
          <w:sz w:val="22"/>
          <w:szCs w:val="22"/>
          <w:lang w:val="es-CO"/>
        </w:rPr>
      </w:pPr>
      <w:bookmarkStart w:id="186" w:name="174"/>
      <w:r w:rsidRPr="006969B3">
        <w:rPr>
          <w:rFonts w:ascii="Arial" w:hAnsi="Arial" w:cs="Arial"/>
          <w:sz w:val="22"/>
          <w:szCs w:val="22"/>
          <w:lang w:val="es-CO"/>
        </w:rPr>
        <w:t>ARTÍCULO 174. INCENTIVOS A LA GENERACIÓN DE ENERGÍA ELÉCTRICA CON FUENTES NO CONVENCIONALES (FNCE).</w:t>
      </w:r>
      <w:bookmarkEnd w:id="186"/>
      <w:r w:rsidRPr="006969B3">
        <w:rPr>
          <w:rFonts w:ascii="Arial" w:hAnsi="Arial" w:cs="Arial"/>
          <w:sz w:val="22"/>
          <w:szCs w:val="22"/>
          <w:lang w:val="es-CO"/>
        </w:rPr>
        <w:t> Modifíquese el artículo </w:t>
      </w:r>
      <w:r w:rsidRPr="007B5FFA">
        <w:rPr>
          <w:rFonts w:ascii="Arial" w:hAnsi="Arial" w:cs="Arial"/>
          <w:sz w:val="22"/>
          <w:szCs w:val="22"/>
          <w:lang w:val="es-CO"/>
        </w:rPr>
        <w:t>11</w:t>
      </w:r>
      <w:r w:rsidRPr="006969B3">
        <w:rPr>
          <w:rFonts w:ascii="Arial" w:hAnsi="Arial" w:cs="Arial"/>
          <w:sz w:val="22"/>
          <w:szCs w:val="22"/>
          <w:lang w:val="es-CO"/>
        </w:rPr>
        <w:t> de la Ley 1715 de 2014, el cual quedará así:</w:t>
      </w:r>
    </w:p>
    <w:p w14:paraId="02B20622"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p>
    <w:p w14:paraId="69FC102B" w14:textId="556E1B4E"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w:t>
      </w:r>
      <w:r w:rsidRPr="007B5FFA">
        <w:rPr>
          <w:rFonts w:ascii="Arial" w:hAnsi="Arial" w:cs="Arial"/>
          <w:sz w:val="22"/>
          <w:szCs w:val="22"/>
          <w:lang w:val="es-CO"/>
        </w:rPr>
        <w:t>11</w:t>
      </w:r>
      <w:r w:rsidRPr="006969B3">
        <w:rPr>
          <w:rFonts w:ascii="Arial" w:hAnsi="Arial" w:cs="Arial"/>
          <w:sz w:val="22"/>
          <w:szCs w:val="22"/>
          <w:lang w:val="es-CO"/>
        </w:rPr>
        <w:t>. Incentivos a la generación de energía eléctrica con fuentes no convencionales (FNCE). Como Fomento a la Investigación, desarrollo e inversión en el ámbito de la producción de energía eléctrica con FNCE y la gestión eficiente de la energía, los obligados a declarar renta que realicen directamente inversiones en este sentido, tendrán derecho a deducir de su renta, en un período no mayor de 15 años, contados a partir del año gravable siguiente en el que haya entrado en operación la inversión, el 50% del total de la inversión realizada.</w:t>
      </w:r>
    </w:p>
    <w:p w14:paraId="06CDC9B0"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p>
    <w:p w14:paraId="0605267A" w14:textId="03CE23BB" w:rsidR="00A85B74" w:rsidRPr="006969B3" w:rsidRDefault="00A85B74" w:rsidP="00F65283">
      <w:pPr>
        <w:pStyle w:val="NormalWeb"/>
        <w:spacing w:before="0" w:beforeAutospacing="0" w:after="0" w:afterAutospacing="0"/>
        <w:jc w:val="both"/>
        <w:rPr>
          <w:rFonts w:ascii="Arial" w:hAnsi="Arial" w:cs="Arial"/>
          <w:sz w:val="22"/>
          <w:szCs w:val="22"/>
          <w:lang w:val="es-CO"/>
        </w:rPr>
      </w:pPr>
      <w:proofErr w:type="gramStart"/>
      <w:r w:rsidRPr="006969B3">
        <w:rPr>
          <w:rFonts w:ascii="Arial" w:hAnsi="Arial" w:cs="Arial"/>
          <w:sz w:val="22"/>
          <w:szCs w:val="22"/>
          <w:lang w:val="es-CO"/>
        </w:rPr>
        <w:t>El valor a deducir</w:t>
      </w:r>
      <w:proofErr w:type="gramEnd"/>
      <w:r w:rsidRPr="006969B3">
        <w:rPr>
          <w:rFonts w:ascii="Arial" w:hAnsi="Arial" w:cs="Arial"/>
          <w:sz w:val="22"/>
          <w:szCs w:val="22"/>
          <w:lang w:val="es-CO"/>
        </w:rPr>
        <w:t xml:space="preserve"> por este concepto en ningún caso podrá ser superior al 50% de la Renta Líquida del contribuyente, determinada antes de restar el valor de la inversión.</w:t>
      </w:r>
    </w:p>
    <w:p w14:paraId="163D6CAA" w14:textId="77777777" w:rsidR="00042931" w:rsidRPr="006969B3" w:rsidRDefault="00042931" w:rsidP="00F65283">
      <w:pPr>
        <w:pStyle w:val="NormalWeb"/>
        <w:spacing w:before="0" w:beforeAutospacing="0" w:after="0" w:afterAutospacing="0"/>
        <w:jc w:val="both"/>
        <w:rPr>
          <w:rFonts w:ascii="Arial" w:hAnsi="Arial" w:cs="Arial"/>
          <w:sz w:val="22"/>
          <w:szCs w:val="22"/>
          <w:lang w:val="es-CO"/>
        </w:rPr>
      </w:pPr>
    </w:p>
    <w:p w14:paraId="0EA1DC88" w14:textId="77777777"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Para los efectos de la obtención del presente beneficio tributario, la inversión causante del mismo deberá ser certificada como proyecto de generación de energía eléctrica a partir de FNCE por la Unidad de Planeación </w:t>
      </w:r>
      <w:proofErr w:type="gramStart"/>
      <w:r w:rsidRPr="006969B3">
        <w:rPr>
          <w:rFonts w:ascii="Arial" w:hAnsi="Arial" w:cs="Arial"/>
          <w:sz w:val="22"/>
          <w:szCs w:val="22"/>
          <w:lang w:val="es-CO"/>
        </w:rPr>
        <w:t>Minero Energética</w:t>
      </w:r>
      <w:proofErr w:type="gramEnd"/>
      <w:r w:rsidRPr="006969B3">
        <w:rPr>
          <w:rFonts w:ascii="Arial" w:hAnsi="Arial" w:cs="Arial"/>
          <w:sz w:val="22"/>
          <w:szCs w:val="22"/>
          <w:lang w:val="es-CO"/>
        </w:rPr>
        <w:t xml:space="preserve"> (UPME).</w:t>
      </w:r>
    </w:p>
    <w:p w14:paraId="72960872" w14:textId="6B2A155E" w:rsidR="00A85B74" w:rsidRPr="006969B3" w:rsidRDefault="00A85B74" w:rsidP="00F65283">
      <w:pPr>
        <w:spacing w:after="0" w:line="240" w:lineRule="auto"/>
        <w:rPr>
          <w:rFonts w:ascii="Arial" w:hAnsi="Arial" w:cs="Arial"/>
          <w:lang w:val="es-CO"/>
        </w:rPr>
      </w:pPr>
    </w:p>
    <w:p w14:paraId="00CF02B7" w14:textId="788D8EDD" w:rsidR="00A85B74" w:rsidRPr="006969B3" w:rsidRDefault="00A85B74" w:rsidP="00F65283">
      <w:pPr>
        <w:pStyle w:val="NormalWeb"/>
        <w:spacing w:before="0" w:beforeAutospacing="0" w:after="0" w:afterAutospacing="0"/>
        <w:jc w:val="both"/>
        <w:rPr>
          <w:rFonts w:ascii="Arial" w:hAnsi="Arial" w:cs="Arial"/>
          <w:sz w:val="22"/>
          <w:szCs w:val="22"/>
          <w:lang w:val="es-CO"/>
        </w:rPr>
      </w:pPr>
      <w:bookmarkStart w:id="187" w:name="175"/>
      <w:r w:rsidRPr="006969B3">
        <w:rPr>
          <w:rFonts w:ascii="Arial" w:hAnsi="Arial" w:cs="Arial"/>
          <w:sz w:val="22"/>
          <w:szCs w:val="22"/>
          <w:lang w:val="es-CO"/>
        </w:rPr>
        <w:t>ARTÍCULO 175. PARTIDAS ARANCELARIAS PARA PROYECTOS DE ENERGÍA SOLAR.</w:t>
      </w:r>
      <w:bookmarkEnd w:id="187"/>
      <w:r w:rsidRPr="006969B3">
        <w:rPr>
          <w:rFonts w:ascii="Arial" w:hAnsi="Arial" w:cs="Arial"/>
          <w:sz w:val="22"/>
          <w:szCs w:val="22"/>
          <w:lang w:val="es-CO"/>
        </w:rPr>
        <w:t> Adiciónense las siguientes partidas arancelarias al cuadro del primer inciso del artículo </w:t>
      </w:r>
      <w:r w:rsidRPr="007B5FFA">
        <w:rPr>
          <w:rFonts w:ascii="Arial" w:hAnsi="Arial" w:cs="Arial"/>
          <w:sz w:val="22"/>
          <w:szCs w:val="22"/>
          <w:lang w:val="es-CO"/>
        </w:rPr>
        <w:t>424</w:t>
      </w:r>
      <w:r w:rsidRPr="006969B3">
        <w:rPr>
          <w:rFonts w:ascii="Arial" w:hAnsi="Arial" w:cs="Arial"/>
          <w:sz w:val="22"/>
          <w:szCs w:val="22"/>
          <w:lang w:val="es-CO"/>
        </w:rPr>
        <w:t> del Estatuto Tributario:</w:t>
      </w:r>
    </w:p>
    <w:p w14:paraId="6064DF63"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p>
    <w:p w14:paraId="20A7DF5A" w14:textId="7EB427B9"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lastRenderedPageBreak/>
        <w:t>- 85.04.40.90.90 Inversor de energía para sistema de energía solar con paneles.</w:t>
      </w:r>
    </w:p>
    <w:p w14:paraId="1C96B1A5"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p>
    <w:p w14:paraId="6330545D" w14:textId="18DACA7C"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- 85.41.40.10.00 Paneles solares.</w:t>
      </w:r>
    </w:p>
    <w:p w14:paraId="4820A9B3"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p>
    <w:p w14:paraId="502162DE" w14:textId="5C29BC10"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- 90.32.89.90.00 Controlador de carga para sistema de energía solar con paneles.</w:t>
      </w:r>
    </w:p>
    <w:p w14:paraId="2BDAB02C" w14:textId="34780653" w:rsidR="00A85B74" w:rsidRPr="006969B3" w:rsidRDefault="00A85B74" w:rsidP="00F65283">
      <w:pPr>
        <w:spacing w:after="0" w:line="240" w:lineRule="auto"/>
        <w:rPr>
          <w:rFonts w:ascii="Arial" w:hAnsi="Arial" w:cs="Arial"/>
          <w:lang w:val="es-CO"/>
        </w:rPr>
      </w:pPr>
    </w:p>
    <w:p w14:paraId="7FA5536F" w14:textId="2813C5AB" w:rsidR="00A85B74" w:rsidRPr="006969B3" w:rsidRDefault="00A85B74" w:rsidP="00F65283">
      <w:pPr>
        <w:pStyle w:val="NormalWeb"/>
        <w:spacing w:before="0" w:beforeAutospacing="0" w:after="0" w:afterAutospacing="0"/>
        <w:jc w:val="both"/>
        <w:rPr>
          <w:rFonts w:ascii="Arial" w:hAnsi="Arial" w:cs="Arial"/>
          <w:sz w:val="22"/>
          <w:szCs w:val="22"/>
          <w:lang w:val="es-CO"/>
        </w:rPr>
      </w:pPr>
      <w:bookmarkStart w:id="188" w:name="176"/>
      <w:r w:rsidRPr="006969B3">
        <w:rPr>
          <w:rFonts w:ascii="Arial" w:hAnsi="Arial" w:cs="Arial"/>
          <w:sz w:val="22"/>
          <w:szCs w:val="22"/>
          <w:lang w:val="es-CO"/>
        </w:rPr>
        <w:t>ARTÍCULO 176. DEL ESTABLECIMIENTO DEL SEGURO AGROPECUARIO.</w:t>
      </w:r>
      <w:bookmarkEnd w:id="188"/>
      <w:r w:rsidRPr="006969B3">
        <w:rPr>
          <w:rFonts w:ascii="Arial" w:hAnsi="Arial" w:cs="Arial"/>
          <w:sz w:val="22"/>
          <w:szCs w:val="22"/>
          <w:lang w:val="es-CO"/>
        </w:rPr>
        <w:t> Mediante el cual se modifica el artículo </w:t>
      </w:r>
      <w:r w:rsidRPr="007B5FFA">
        <w:rPr>
          <w:rFonts w:ascii="Arial" w:hAnsi="Arial" w:cs="Arial"/>
          <w:sz w:val="22"/>
          <w:szCs w:val="22"/>
          <w:lang w:val="es-CO"/>
        </w:rPr>
        <w:t>1o</w:t>
      </w:r>
      <w:r w:rsidRPr="006969B3">
        <w:rPr>
          <w:rFonts w:ascii="Arial" w:hAnsi="Arial" w:cs="Arial"/>
          <w:sz w:val="22"/>
          <w:szCs w:val="22"/>
          <w:lang w:val="es-CO"/>
        </w:rPr>
        <w:t> de la Ley 69 de 1993.</w:t>
      </w:r>
    </w:p>
    <w:p w14:paraId="45190F2C"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p>
    <w:p w14:paraId="047EC629" w14:textId="3DE9F840"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w:t>
      </w:r>
      <w:r w:rsidRPr="007B5FFA">
        <w:rPr>
          <w:rFonts w:ascii="Arial" w:hAnsi="Arial" w:cs="Arial"/>
          <w:sz w:val="22"/>
          <w:szCs w:val="22"/>
          <w:lang w:val="es-CO"/>
        </w:rPr>
        <w:t>1o</w:t>
      </w:r>
      <w:r w:rsidRPr="006969B3">
        <w:rPr>
          <w:rFonts w:ascii="Arial" w:hAnsi="Arial" w:cs="Arial"/>
          <w:sz w:val="22"/>
          <w:szCs w:val="22"/>
          <w:lang w:val="es-CO"/>
        </w:rPr>
        <w:t>. Del establecimiento del seguro agropecuario. Establézcase el seguro agropecuario en Colombia, como instrumento para incentivar y proteger la producción de alimentos, buscar el mejoramiento económico del sector agropecuario, promover el ordenamiento económico del sector agropecuario y como estrategia para coadyuvar al desarrollo global del país.</w:t>
      </w:r>
    </w:p>
    <w:p w14:paraId="09A5A5C9" w14:textId="77777777" w:rsidR="00042931" w:rsidRPr="006969B3" w:rsidRDefault="00042931" w:rsidP="00F65283">
      <w:pPr>
        <w:pStyle w:val="NormalWeb"/>
        <w:spacing w:before="0" w:beforeAutospacing="0" w:after="0" w:afterAutospacing="0"/>
        <w:jc w:val="both"/>
        <w:rPr>
          <w:rFonts w:ascii="Arial" w:hAnsi="Arial" w:cs="Arial"/>
          <w:sz w:val="22"/>
          <w:szCs w:val="22"/>
          <w:lang w:val="es-CO"/>
        </w:rPr>
      </w:pPr>
    </w:p>
    <w:p w14:paraId="0E84B7B0" w14:textId="77777777"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objeto del seguro es la protección de la totalidad o parte de las inversiones agropecuarias financiadas con recursos de crédito provenientes del sistema nacional de crédito agropecuario o con recursos propios del productor. El seguro agropecuario podrá abarcar tanto el daño emergente como el lucro cesante, previendo las necesidades de producción y comercialización, y el desarrollo integral del sector económico primario.</w:t>
      </w:r>
    </w:p>
    <w:p w14:paraId="514B4466" w14:textId="77777777" w:rsidR="001B0E49" w:rsidRDefault="001B0E49" w:rsidP="00F65283">
      <w:pPr>
        <w:pStyle w:val="NormalWeb"/>
        <w:spacing w:before="0" w:beforeAutospacing="0" w:after="0" w:afterAutospacing="0"/>
        <w:jc w:val="both"/>
        <w:rPr>
          <w:rStyle w:val="baj"/>
          <w:rFonts w:ascii="Arial" w:hAnsi="Arial" w:cs="Arial"/>
          <w:sz w:val="22"/>
          <w:szCs w:val="22"/>
          <w:lang w:val="es-CO"/>
        </w:rPr>
      </w:pPr>
    </w:p>
    <w:p w14:paraId="14879589" w14:textId="2E6AC66E"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El seguro agropecuario podrá ofrecerse bajo la modalidad de seguro paramétrico, de manera que el pago de la indemnización se hará exigible ante la realización de un índice definido en el contrato de seguro.</w:t>
      </w:r>
    </w:p>
    <w:p w14:paraId="44BCB018"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p>
    <w:p w14:paraId="30805DE5" w14:textId="6D67DE01"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Esta modalidad de seguro podrá ser tomada por cualquier persona natural o jurídica de derecho privado o de derecho público. En este último caso, la entidad de derecho público podrá actuar como tomador, asegurado y/o beneficiario del seguro agropecuario paramétrico, asumir el pago de la prima del seguro y disponer de los recursos recibidos por concepto de indemnización para resarcir a las personas o infraestructura afectada por el riesgo amparado en el seguro. En este último caso, tal erogación se entenderá como gasto público social.</w:t>
      </w:r>
    </w:p>
    <w:p w14:paraId="75C4E923" w14:textId="77777777" w:rsidR="00B507AB" w:rsidRPr="006969B3" w:rsidRDefault="00B507AB" w:rsidP="00F65283">
      <w:pPr>
        <w:pStyle w:val="NormalWeb"/>
        <w:spacing w:before="0" w:beforeAutospacing="0" w:after="0" w:afterAutospacing="0"/>
        <w:jc w:val="both"/>
        <w:rPr>
          <w:rStyle w:val="baj"/>
          <w:rFonts w:ascii="Arial" w:hAnsi="Arial" w:cs="Arial"/>
          <w:sz w:val="22"/>
          <w:szCs w:val="22"/>
          <w:lang w:val="es-CO"/>
        </w:rPr>
      </w:pPr>
    </w:p>
    <w:p w14:paraId="479EEBB7" w14:textId="15BC5992"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La Comisión Nacional de Crédito Agropecuario definirá las condiciones para acceder al Incentivo al Seguro Agropecuario bajo la modalidad de seguro paramétrico o por índice, con el fin de garantizar que el diseño del incentivo apoye la política de Gestión de Riesgos Agropecuarios trazada por el Ministerio de Agricultura y Desarrollo Rural.</w:t>
      </w:r>
    </w:p>
    <w:p w14:paraId="36C596EF" w14:textId="1EDBB783" w:rsidR="00A85B74" w:rsidRPr="006969B3" w:rsidRDefault="00A85B74" w:rsidP="00F65283">
      <w:pPr>
        <w:spacing w:after="0" w:line="240" w:lineRule="auto"/>
        <w:rPr>
          <w:rFonts w:ascii="Arial" w:hAnsi="Arial" w:cs="Arial"/>
          <w:lang w:val="es-CO"/>
        </w:rPr>
      </w:pPr>
    </w:p>
    <w:p w14:paraId="553C254A" w14:textId="6C327C5A" w:rsidR="00A85B74" w:rsidRPr="006969B3" w:rsidRDefault="00A85B74" w:rsidP="00F65283">
      <w:pPr>
        <w:pStyle w:val="NormalWeb"/>
        <w:spacing w:before="0" w:beforeAutospacing="0" w:after="0" w:afterAutospacing="0"/>
        <w:jc w:val="both"/>
        <w:rPr>
          <w:rFonts w:ascii="Arial" w:hAnsi="Arial" w:cs="Arial"/>
          <w:sz w:val="22"/>
          <w:szCs w:val="22"/>
          <w:lang w:val="es-CO"/>
        </w:rPr>
      </w:pPr>
      <w:bookmarkStart w:id="189" w:name="177"/>
      <w:r w:rsidRPr="006969B3">
        <w:rPr>
          <w:rFonts w:ascii="Arial" w:hAnsi="Arial" w:cs="Arial"/>
          <w:sz w:val="22"/>
          <w:szCs w:val="22"/>
          <w:lang w:val="es-CO"/>
        </w:rPr>
        <w:t>ARTÍCULO 177. PRÓRROGA DE LA LEY 1556 DE 2012.</w:t>
      </w:r>
      <w:bookmarkEnd w:id="189"/>
      <w:r w:rsidRPr="006969B3">
        <w:rPr>
          <w:rFonts w:ascii="Arial" w:hAnsi="Arial" w:cs="Arial"/>
          <w:sz w:val="22"/>
          <w:szCs w:val="22"/>
          <w:lang w:val="es-CO"/>
        </w:rPr>
        <w:t> Prorróguese la vigencia de la Ley </w:t>
      </w:r>
      <w:r w:rsidRPr="007B5FFA">
        <w:rPr>
          <w:rFonts w:ascii="Arial" w:hAnsi="Arial" w:cs="Arial"/>
          <w:sz w:val="22"/>
          <w:szCs w:val="22"/>
          <w:lang w:val="es-CO"/>
        </w:rPr>
        <w:t>1556</w:t>
      </w:r>
      <w:r w:rsidRPr="006969B3">
        <w:rPr>
          <w:rFonts w:ascii="Arial" w:hAnsi="Arial" w:cs="Arial"/>
          <w:sz w:val="22"/>
          <w:szCs w:val="22"/>
          <w:lang w:val="es-CO"/>
        </w:rPr>
        <w:t> de 2012 y del Fondo Fílmico Colombia allí establecido, hasta el 9 de julio de 2032. El Gobierno nacional promoverá la inclusión de las partidas presupuestales necesarias, convenientes y crecientes a los fines del Fondo Fílmico Colombia, teniendo en consideración la relación positiva de los aportes nacionales por la contraprestación allí establecida y la inversión real en servicios locales, imagen de país y otros fines de la referida Ley.</w:t>
      </w:r>
    </w:p>
    <w:p w14:paraId="10C63A0A" w14:textId="77777777" w:rsidR="00B507AB" w:rsidRPr="006969B3" w:rsidRDefault="00B507AB" w:rsidP="00F65283">
      <w:pPr>
        <w:pStyle w:val="NormalWeb"/>
        <w:spacing w:before="0" w:beforeAutospacing="0" w:after="0" w:afterAutospacing="0"/>
        <w:jc w:val="both"/>
        <w:rPr>
          <w:rStyle w:val="baj"/>
          <w:rFonts w:ascii="Arial" w:hAnsi="Arial" w:cs="Arial"/>
          <w:sz w:val="22"/>
          <w:szCs w:val="22"/>
          <w:lang w:val="es-CO"/>
        </w:rPr>
      </w:pPr>
    </w:p>
    <w:p w14:paraId="7F6F793F" w14:textId="4C45B58E"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La contraprestación del Fondo Fílmico Colombia establecida en la Ley </w:t>
      </w:r>
      <w:r w:rsidRPr="007B5FFA">
        <w:rPr>
          <w:rFonts w:ascii="Arial" w:hAnsi="Arial" w:cs="Arial"/>
          <w:sz w:val="22"/>
          <w:szCs w:val="22"/>
          <w:lang w:val="es-CO"/>
        </w:rPr>
        <w:t>1556</w:t>
      </w:r>
      <w:r w:rsidRPr="006969B3">
        <w:rPr>
          <w:rFonts w:ascii="Arial" w:hAnsi="Arial" w:cs="Arial"/>
          <w:sz w:val="22"/>
          <w:szCs w:val="22"/>
          <w:lang w:val="es-CO"/>
        </w:rPr>
        <w:t xml:space="preserve"> de 2012, puede otorgarse igualmente a otros géneros audiovisuales realizados en Colombia conforme al Manual de Asignación de Recursos que expide el Comité Promoción Fílmica Colombia. No menos de un cincuenta por ciento (50%) del Fondo Fílmico </w:t>
      </w:r>
      <w:r w:rsidRPr="006969B3">
        <w:rPr>
          <w:rFonts w:ascii="Arial" w:hAnsi="Arial" w:cs="Arial"/>
          <w:sz w:val="22"/>
          <w:szCs w:val="22"/>
          <w:lang w:val="es-CO"/>
        </w:rPr>
        <w:lastRenderedPageBreak/>
        <w:t>Colombia será asignado a obras cinematográficas, salvo que no haya postulaciones suficientes o avaladas por el Comité Promoción Fílmica Colombia.</w:t>
      </w:r>
    </w:p>
    <w:p w14:paraId="728B5F45" w14:textId="13B64862" w:rsidR="00A85B74" w:rsidRPr="006969B3" w:rsidRDefault="00A85B74" w:rsidP="00F65283">
      <w:pPr>
        <w:spacing w:after="0" w:line="240" w:lineRule="auto"/>
        <w:rPr>
          <w:rFonts w:ascii="Arial" w:hAnsi="Arial" w:cs="Arial"/>
          <w:lang w:val="es-CO"/>
        </w:rPr>
      </w:pPr>
    </w:p>
    <w:p w14:paraId="67D2BDCB" w14:textId="7F8A7D73" w:rsidR="00A85B74" w:rsidRPr="006969B3" w:rsidRDefault="00A85B74" w:rsidP="00F65283">
      <w:pPr>
        <w:pStyle w:val="NormalWeb"/>
        <w:spacing w:before="0" w:beforeAutospacing="0" w:after="0" w:afterAutospacing="0"/>
        <w:jc w:val="both"/>
        <w:rPr>
          <w:rFonts w:ascii="Arial" w:hAnsi="Arial" w:cs="Arial"/>
          <w:sz w:val="22"/>
          <w:szCs w:val="22"/>
          <w:lang w:val="es-CO"/>
        </w:rPr>
      </w:pPr>
      <w:bookmarkStart w:id="190" w:name="178"/>
      <w:r w:rsidRPr="006969B3">
        <w:rPr>
          <w:rFonts w:ascii="Arial" w:hAnsi="Arial" w:cs="Arial"/>
          <w:sz w:val="22"/>
          <w:szCs w:val="22"/>
          <w:lang w:val="es-CO"/>
        </w:rPr>
        <w:t>ARTÍCULO 178. CONTRAPRESTACIÓN Y ESTÍMULO A LA PRODUCCIÓN DE OBRAS AUDIOVISUALES EN COLOMBIA.</w:t>
      </w:r>
      <w:bookmarkEnd w:id="190"/>
      <w:r w:rsidRPr="006969B3">
        <w:rPr>
          <w:rFonts w:ascii="Arial" w:hAnsi="Arial" w:cs="Arial"/>
          <w:sz w:val="22"/>
          <w:szCs w:val="22"/>
          <w:lang w:val="es-CO"/>
        </w:rPr>
        <w:t> Modifíquese el artículo </w:t>
      </w:r>
      <w:r w:rsidRPr="007B5FFA">
        <w:rPr>
          <w:rFonts w:ascii="Arial" w:hAnsi="Arial" w:cs="Arial"/>
          <w:sz w:val="22"/>
          <w:szCs w:val="22"/>
          <w:lang w:val="es-CO"/>
        </w:rPr>
        <w:t>9o</w:t>
      </w:r>
      <w:r w:rsidRPr="006969B3">
        <w:rPr>
          <w:rFonts w:ascii="Arial" w:hAnsi="Arial" w:cs="Arial"/>
          <w:sz w:val="22"/>
          <w:szCs w:val="22"/>
          <w:lang w:val="es-CO"/>
        </w:rPr>
        <w:t> de la Ley 1556 de 2012, el cual quedará así:</w:t>
      </w:r>
    </w:p>
    <w:p w14:paraId="4A962CBC"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p>
    <w:p w14:paraId="1AC80BF6" w14:textId="27B31A11"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w:t>
      </w:r>
      <w:r w:rsidRPr="007B5FFA">
        <w:rPr>
          <w:rFonts w:ascii="Arial" w:hAnsi="Arial" w:cs="Arial"/>
          <w:sz w:val="22"/>
          <w:szCs w:val="22"/>
          <w:lang w:val="es-CO"/>
        </w:rPr>
        <w:t>9o</w:t>
      </w:r>
      <w:r w:rsidRPr="006969B3">
        <w:rPr>
          <w:rFonts w:ascii="Arial" w:hAnsi="Arial" w:cs="Arial"/>
          <w:sz w:val="22"/>
          <w:szCs w:val="22"/>
          <w:lang w:val="es-CO"/>
        </w:rPr>
        <w:t>. Contraprestación y estímulo a la producción de obras audiovisuales en Colombia. Las empresas productoras de obras audiovisuales, rodadas total o parcialmente dentro del territorio colombiano que celebren los Contratos Filmación Colombia, tendrán una contra prestación equivalente al cuarenta por ciento (40%) del valor de los gastos realizados en el país por concepto de servicios cinematográficos contratados con sociedades colombianas de servicios cinematográficos y al veinte por ciento (20%) del valor de los gastos en hotelería, alimentación y transporte, siempre y cuando se cumplan las condiciones establecidas en el manual de asignación de recursos.</w:t>
      </w:r>
    </w:p>
    <w:p w14:paraId="5011439B"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p>
    <w:p w14:paraId="077F8F79" w14:textId="7E3EF385"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Las obras audiovisuales no nacionales de cualquier género o formato, producidas o </w:t>
      </w:r>
      <w:proofErr w:type="spellStart"/>
      <w:r w:rsidRPr="006969B3">
        <w:rPr>
          <w:rFonts w:ascii="Arial" w:hAnsi="Arial" w:cs="Arial"/>
          <w:sz w:val="22"/>
          <w:szCs w:val="22"/>
          <w:lang w:val="es-CO"/>
        </w:rPr>
        <w:t>posproducidas</w:t>
      </w:r>
      <w:proofErr w:type="spellEnd"/>
      <w:r w:rsidRPr="006969B3">
        <w:rPr>
          <w:rFonts w:ascii="Arial" w:hAnsi="Arial" w:cs="Arial"/>
          <w:sz w:val="22"/>
          <w:szCs w:val="22"/>
          <w:lang w:val="es-CO"/>
        </w:rPr>
        <w:t xml:space="preserve"> en Colombia de manera total o parcial cuando sean previamente aprobadas por el Comité Promoción Fílmica Colombia, darán derecho a la solicitud de un Certificado de Inversión Audiovisual en Colombia, descontable del impuesto de renta hasta por un valor equivalente al treinta y cinco por ciento (35%) del valor de la inversión que realicen en Colombia.</w:t>
      </w:r>
    </w:p>
    <w:p w14:paraId="6ACE669D"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p>
    <w:p w14:paraId="43AFC3CA" w14:textId="415B68C0"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Para poder acceder al Certificado de Inversión Audiovisual en Colombia debe demostrarse que la inversión se realizó sobre la contratación de personas naturales o jurídicas colombianas que provean servicios audiovisuales necesarios para las diversas etapas de la realización, producción o posproducción, incluidos servicios de hotelería, alimentación y transporte para la obra respectiva.</w:t>
      </w:r>
    </w:p>
    <w:p w14:paraId="3773FCEE" w14:textId="77777777" w:rsidR="00B507AB" w:rsidRPr="006969B3" w:rsidRDefault="00B507AB" w:rsidP="00F65283">
      <w:pPr>
        <w:pStyle w:val="NormalWeb"/>
        <w:spacing w:before="0" w:beforeAutospacing="0" w:after="0" w:afterAutospacing="0"/>
        <w:jc w:val="both"/>
        <w:rPr>
          <w:rStyle w:val="baj"/>
          <w:rFonts w:ascii="Arial" w:hAnsi="Arial" w:cs="Arial"/>
          <w:sz w:val="22"/>
          <w:szCs w:val="22"/>
          <w:lang w:val="es-CO"/>
        </w:rPr>
      </w:pPr>
    </w:p>
    <w:p w14:paraId="48F6E404" w14:textId="0B437F36"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En el caso de las empresas productoras de obras cinematográficas nacionales, estas podrán o no realizar la contratación a través de sociedades colombianas de servicios cinematográficos.</w:t>
      </w:r>
    </w:p>
    <w:p w14:paraId="5D001C11" w14:textId="77777777" w:rsidR="00B507AB" w:rsidRPr="006969B3" w:rsidRDefault="00B507AB" w:rsidP="00F65283">
      <w:pPr>
        <w:pStyle w:val="NormalWeb"/>
        <w:spacing w:before="0" w:beforeAutospacing="0" w:after="0" w:afterAutospacing="0"/>
        <w:jc w:val="both"/>
        <w:rPr>
          <w:rStyle w:val="baj"/>
          <w:rFonts w:ascii="Arial" w:hAnsi="Arial" w:cs="Arial"/>
          <w:sz w:val="22"/>
          <w:szCs w:val="22"/>
          <w:lang w:val="es-CO"/>
        </w:rPr>
      </w:pPr>
    </w:p>
    <w:p w14:paraId="429639CE" w14:textId="77BB06C8"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El titular o productor cinematográfico deberá garantizar integralmente al personal que contrate o vincule laboralmente en el país, los derechos y prestaciones sociales consagrados en la legislación colombiana.</w:t>
      </w:r>
    </w:p>
    <w:p w14:paraId="4F69B760" w14:textId="77777777" w:rsidR="00B507AB" w:rsidRPr="006969B3" w:rsidRDefault="00B507AB" w:rsidP="00F65283">
      <w:pPr>
        <w:pStyle w:val="NormalWeb"/>
        <w:spacing w:before="0" w:beforeAutospacing="0" w:after="0" w:afterAutospacing="0"/>
        <w:jc w:val="both"/>
        <w:rPr>
          <w:rStyle w:val="baj"/>
          <w:rFonts w:ascii="Arial" w:hAnsi="Arial" w:cs="Arial"/>
          <w:sz w:val="22"/>
          <w:szCs w:val="22"/>
          <w:lang w:val="es-CO"/>
        </w:rPr>
      </w:pPr>
    </w:p>
    <w:p w14:paraId="18347133" w14:textId="30372A97"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3o.</w:t>
      </w:r>
      <w:r w:rsidRPr="006969B3">
        <w:rPr>
          <w:rFonts w:ascii="Arial" w:hAnsi="Arial" w:cs="Arial"/>
          <w:sz w:val="22"/>
          <w:szCs w:val="22"/>
          <w:lang w:val="es-CO"/>
        </w:rPr>
        <w:t> Las obras audiovisuales a las que se refiere este artículo podrán optar por la contraprestación o el certificado. Ambos mecanismos de estímulo no son compatibles en una misma obra.</w:t>
      </w:r>
    </w:p>
    <w:p w14:paraId="3A2ECB39" w14:textId="77777777" w:rsidR="00B507AB" w:rsidRPr="006969B3" w:rsidRDefault="00B507AB" w:rsidP="00F65283">
      <w:pPr>
        <w:pStyle w:val="NormalWeb"/>
        <w:spacing w:before="0" w:beforeAutospacing="0" w:after="0" w:afterAutospacing="0"/>
        <w:jc w:val="both"/>
        <w:rPr>
          <w:rStyle w:val="baj"/>
          <w:rFonts w:ascii="Arial" w:hAnsi="Arial" w:cs="Arial"/>
          <w:sz w:val="22"/>
          <w:szCs w:val="22"/>
          <w:lang w:val="es-CO"/>
        </w:rPr>
      </w:pPr>
    </w:p>
    <w:p w14:paraId="2EE77171" w14:textId="6841AA4A"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4o.</w:t>
      </w:r>
      <w:r w:rsidRPr="006969B3">
        <w:rPr>
          <w:rFonts w:ascii="Arial" w:hAnsi="Arial" w:cs="Arial"/>
          <w:sz w:val="22"/>
          <w:szCs w:val="22"/>
          <w:lang w:val="es-CO"/>
        </w:rPr>
        <w:t> El Certificado de Inversión Audiovisual en Colombia es un valor negociable que se emite a nombre del productor extranjero responsable del proyecto, el cual puede negociarlo con personas naturales o jurídicas declarantes del impuesto de renta en Colombia. El ingreso que obtenga el productor extranjero por la transferencia del Certificado no constituye para él ingreso tributario en Colombia, y no es susceptible de retención en la fuente en el país.</w:t>
      </w:r>
    </w:p>
    <w:p w14:paraId="6D6FC064" w14:textId="77777777" w:rsidR="00B507AB" w:rsidRPr="006969B3" w:rsidRDefault="00B507AB" w:rsidP="00F65283">
      <w:pPr>
        <w:pStyle w:val="NormalWeb"/>
        <w:spacing w:before="0" w:beforeAutospacing="0" w:after="0" w:afterAutospacing="0"/>
        <w:jc w:val="both"/>
        <w:rPr>
          <w:rStyle w:val="baj"/>
          <w:rFonts w:ascii="Arial" w:hAnsi="Arial" w:cs="Arial"/>
          <w:sz w:val="22"/>
          <w:szCs w:val="22"/>
          <w:lang w:val="es-CO"/>
        </w:rPr>
      </w:pPr>
    </w:p>
    <w:p w14:paraId="7FF7D390" w14:textId="25ACB385"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5o.</w:t>
      </w:r>
      <w:r w:rsidRPr="006969B3">
        <w:rPr>
          <w:rFonts w:ascii="Arial" w:hAnsi="Arial" w:cs="Arial"/>
          <w:sz w:val="22"/>
          <w:szCs w:val="22"/>
          <w:lang w:val="es-CO"/>
        </w:rPr>
        <w:t> Para el uso del certificado de inversión audiovisual el Gobierno nacional reglamentará la materia.</w:t>
      </w:r>
    </w:p>
    <w:p w14:paraId="49373EE5" w14:textId="77777777" w:rsidR="00B507AB" w:rsidRPr="006969B3" w:rsidRDefault="00B507AB" w:rsidP="00F65283">
      <w:pPr>
        <w:pStyle w:val="NormalWeb"/>
        <w:spacing w:before="0" w:beforeAutospacing="0" w:after="0" w:afterAutospacing="0"/>
        <w:jc w:val="both"/>
        <w:rPr>
          <w:rStyle w:val="baj"/>
          <w:rFonts w:ascii="Arial" w:hAnsi="Arial" w:cs="Arial"/>
          <w:sz w:val="22"/>
          <w:szCs w:val="22"/>
          <w:lang w:val="es-CO"/>
        </w:rPr>
      </w:pPr>
    </w:p>
    <w:p w14:paraId="617C4182" w14:textId="7334BCAD"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lastRenderedPageBreak/>
        <w:t>PARÁGRAFO 6o.</w:t>
      </w:r>
      <w:r w:rsidRPr="006969B3">
        <w:rPr>
          <w:rFonts w:ascii="Arial" w:hAnsi="Arial" w:cs="Arial"/>
          <w:sz w:val="22"/>
          <w:szCs w:val="22"/>
          <w:lang w:val="es-CO"/>
        </w:rPr>
        <w:t> El Comité Promoción Fílmica Colombia fijará en los dos últimos meses de cada año, el monto máximo de Certificados de Inversión Audiovisual en Colombia que podrán otorgarse en el año calendario siguiente, en perspectiva de las condiciones de sector audiovisual, así como el monto mínimo de las inversiones requeridas en el país, el porcentaje de inversión para la operación del sistema de evaluación, seguimiento de proyectos y otorgamiento de los Certificados sin superar un cinco por ciento (5%), requisitos de inversión, sectores audiovisuales destinatarios y demás aspectos operativos correspondientes. El manejo del sistema pertinente de evaluación, seguimiento de proyectos y emisión de los Certificados podrá hacerse, de ser preciso según decisión del Ministerio de Cultura, mediante un contrato de asociación o cooperación con una entidad sin ánimo de lucro afín con los propósitos de esta Ley.</w:t>
      </w:r>
    </w:p>
    <w:p w14:paraId="0279146D"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p>
    <w:p w14:paraId="09CFB2A4" w14:textId="32D5CB84" w:rsidR="00A85B74" w:rsidRPr="006969B3" w:rsidRDefault="00A85B74" w:rsidP="00B507AB">
      <w:pPr>
        <w:pStyle w:val="NormalWeb"/>
        <w:spacing w:before="0" w:beforeAutospacing="0" w:after="0" w:afterAutospacing="0"/>
        <w:jc w:val="both"/>
        <w:rPr>
          <w:rFonts w:ascii="Arial" w:hAnsi="Arial" w:cs="Arial"/>
          <w:lang w:val="es-CO"/>
        </w:rPr>
      </w:pPr>
      <w:r w:rsidRPr="006969B3">
        <w:rPr>
          <w:rFonts w:ascii="Arial" w:hAnsi="Arial" w:cs="Arial"/>
          <w:sz w:val="22"/>
          <w:szCs w:val="22"/>
          <w:lang w:val="es-CO"/>
        </w:rPr>
        <w:t>El Manual de Asignación de Recursos que corresponde expedir al Comité Promoción Fílmica Colombia determinará mecanismos similares de operatividad para el sistema de contraprestación del Fondo Fílmico Colombia y el de los Certificados de Inversión Audiovisual en Colombia.</w:t>
      </w:r>
      <w:r w:rsidR="00B507AB" w:rsidRPr="006969B3">
        <w:rPr>
          <w:rFonts w:ascii="Arial" w:hAnsi="Arial" w:cs="Arial"/>
          <w:lang w:val="es-CO"/>
        </w:rPr>
        <w:t xml:space="preserve"> </w:t>
      </w:r>
    </w:p>
    <w:p w14:paraId="4EED42F8" w14:textId="77777777" w:rsidR="00042931" w:rsidRPr="006969B3" w:rsidRDefault="00042931" w:rsidP="00B507AB">
      <w:pPr>
        <w:pStyle w:val="NormalWeb"/>
        <w:spacing w:before="0" w:beforeAutospacing="0" w:after="0" w:afterAutospacing="0"/>
        <w:jc w:val="both"/>
        <w:rPr>
          <w:rFonts w:ascii="Arial" w:hAnsi="Arial" w:cs="Arial"/>
          <w:sz w:val="22"/>
          <w:szCs w:val="22"/>
          <w:lang w:val="es-CO"/>
        </w:rPr>
      </w:pPr>
    </w:p>
    <w:p w14:paraId="0004FF72" w14:textId="17385774" w:rsidR="00A85B74" w:rsidRPr="006969B3" w:rsidRDefault="00A85B74" w:rsidP="00F65283">
      <w:pPr>
        <w:pStyle w:val="NormalWeb"/>
        <w:spacing w:before="0" w:beforeAutospacing="0" w:after="0" w:afterAutospacing="0"/>
        <w:jc w:val="both"/>
        <w:rPr>
          <w:rFonts w:ascii="Arial" w:hAnsi="Arial" w:cs="Arial"/>
          <w:sz w:val="22"/>
          <w:szCs w:val="22"/>
          <w:lang w:val="es-CO"/>
        </w:rPr>
      </w:pPr>
      <w:bookmarkStart w:id="191" w:name="179"/>
      <w:r w:rsidRPr="006969B3">
        <w:rPr>
          <w:rFonts w:ascii="Arial" w:hAnsi="Arial" w:cs="Arial"/>
          <w:sz w:val="22"/>
          <w:szCs w:val="22"/>
          <w:lang w:val="es-CO"/>
        </w:rPr>
        <w:t>ARTÍCULO 179. ÁREAS DE DESARROLLO NARANJA.</w:t>
      </w:r>
      <w:bookmarkEnd w:id="191"/>
      <w:r w:rsidRPr="006969B3">
        <w:rPr>
          <w:rFonts w:ascii="Arial" w:hAnsi="Arial" w:cs="Arial"/>
          <w:sz w:val="22"/>
          <w:szCs w:val="22"/>
          <w:lang w:val="es-CO"/>
        </w:rPr>
        <w:t> Se entiende por áreas de desarrollo naranja (ADN) los espacios geográficos que sean delimitados y reconocidos a través de instrumentos de ordenamiento territorial o decisiones administrativas de la entidad territorial, que tengan por objeto incentivar y fortalecer las actividades culturales y creativas previstas en el artículo </w:t>
      </w:r>
      <w:r w:rsidRPr="007B5FFA">
        <w:rPr>
          <w:rFonts w:ascii="Arial" w:hAnsi="Arial" w:cs="Arial"/>
          <w:sz w:val="22"/>
          <w:szCs w:val="22"/>
          <w:lang w:val="es-CO"/>
        </w:rPr>
        <w:t>2o</w:t>
      </w:r>
      <w:r w:rsidRPr="006969B3">
        <w:rPr>
          <w:rFonts w:ascii="Arial" w:hAnsi="Arial" w:cs="Arial"/>
          <w:sz w:val="22"/>
          <w:szCs w:val="22"/>
          <w:lang w:val="es-CO"/>
        </w:rPr>
        <w:t> de la Ley 1834 de 2017. Las ADN basadas en la oferta cultural y creativa son espacios que operan como centros de actividad económica y creativa, contribuyen a la renovación urbana y al mejoramiento del área de ubicación, crean un ambiente propicio en el que confluyen iniciativas en estos campos, fortalecen el emprendimiento, el empleo basado en la creatividad, el turismo, la recuperación del patrimonio cultural construido, la conservación medioambiental, la transferencia de conocimientos, el sentido de pertenencia, la inclusión social y el acceso ciudadano a la oferta cultural y creativa.</w:t>
      </w:r>
    </w:p>
    <w:p w14:paraId="591F186C"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p>
    <w:p w14:paraId="5AC85EED" w14:textId="299BCD48"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Para el desarrollo de cada ADN la autoridad competente podrá definir las actividades culturales y creativas a desarrollar, así como los beneficios normativos y tributarios respectivos.</w:t>
      </w:r>
    </w:p>
    <w:p w14:paraId="1E2458C3"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p>
    <w:p w14:paraId="53EE91E0" w14:textId="18F8DC33"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Para estimular la localización de actividades culturales y creativas en los espacios identificados y crear un ambiente que permita atraer la inversión para mejoras locativas, se podrá promover la exención de un porcentaje del impuesto predial por un tiempo establecido, la exención de un porcentaje del impuesto por la compra o venta de inmuebles y la exención del pago del impuesto de delineación urbana.</w:t>
      </w:r>
    </w:p>
    <w:p w14:paraId="5A72425F"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p>
    <w:p w14:paraId="025F15AC" w14:textId="736DE836"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En todo caso, las autoridades competentes deben establecer los procedimientos de identificación y registro de los beneficiarios, los procedimientos legales para su operación y los mecanismos de control y seguimiento pertinentes.</w:t>
      </w:r>
    </w:p>
    <w:p w14:paraId="17FB0378"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p>
    <w:p w14:paraId="14CF0C0D" w14:textId="6C691FEF"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En la identificación de los beneficiarios se tendrá en cuenta a los residentes de la zona y a aquellos que realizan allí sus actividades culturales y creativas, para buscar un equilibrio con la inversión público y privada que se atraiga.</w:t>
      </w:r>
    </w:p>
    <w:p w14:paraId="6935C746" w14:textId="77777777" w:rsidR="00B507AB" w:rsidRPr="006969B3" w:rsidRDefault="00B507AB" w:rsidP="00F65283">
      <w:pPr>
        <w:pStyle w:val="NormalWeb"/>
        <w:spacing w:before="0" w:beforeAutospacing="0" w:after="0" w:afterAutospacing="0"/>
        <w:jc w:val="both"/>
        <w:rPr>
          <w:rStyle w:val="baj"/>
          <w:rFonts w:ascii="Arial" w:hAnsi="Arial" w:cs="Arial"/>
          <w:sz w:val="22"/>
          <w:szCs w:val="22"/>
          <w:lang w:val="es-CO"/>
        </w:rPr>
      </w:pPr>
    </w:p>
    <w:p w14:paraId="660E1AC6" w14:textId="6A10F1CF"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Las inversiones que se realicen en Áreas de Desarrollo Naranja (ADN) tendrán el mismo beneficio de obras por impuestos previsto en el artículo </w:t>
      </w:r>
      <w:r w:rsidRPr="007B5FFA">
        <w:rPr>
          <w:rFonts w:ascii="Arial" w:hAnsi="Arial" w:cs="Arial"/>
          <w:sz w:val="22"/>
          <w:szCs w:val="22"/>
          <w:lang w:val="es-CO"/>
        </w:rPr>
        <w:t>71</w:t>
      </w:r>
      <w:r w:rsidRPr="006969B3">
        <w:rPr>
          <w:rFonts w:ascii="Arial" w:hAnsi="Arial" w:cs="Arial"/>
          <w:sz w:val="22"/>
          <w:szCs w:val="22"/>
          <w:lang w:val="es-CO"/>
        </w:rPr>
        <w:t> de la Ley 1943 de 2018, que adiciona el artículo </w:t>
      </w:r>
      <w:r w:rsidRPr="007B5FFA">
        <w:rPr>
          <w:rFonts w:ascii="Arial" w:hAnsi="Arial" w:cs="Arial"/>
          <w:sz w:val="22"/>
          <w:szCs w:val="22"/>
          <w:lang w:val="es-CO"/>
        </w:rPr>
        <w:t>800-1</w:t>
      </w:r>
      <w:r w:rsidRPr="006969B3">
        <w:rPr>
          <w:rFonts w:ascii="Arial" w:hAnsi="Arial" w:cs="Arial"/>
          <w:sz w:val="22"/>
          <w:szCs w:val="22"/>
          <w:lang w:val="es-CO"/>
        </w:rPr>
        <w:t xml:space="preserve"> al Estatuto Tributario. Las entidades estales </w:t>
      </w:r>
      <w:r w:rsidRPr="006969B3">
        <w:rPr>
          <w:rFonts w:ascii="Arial" w:hAnsi="Arial" w:cs="Arial"/>
          <w:sz w:val="22"/>
          <w:szCs w:val="22"/>
          <w:lang w:val="es-CO"/>
        </w:rPr>
        <w:lastRenderedPageBreak/>
        <w:t xml:space="preserve">declarantes de renta y los particulares que participen en asociaciones </w:t>
      </w:r>
      <w:proofErr w:type="gramStart"/>
      <w:r w:rsidRPr="006969B3">
        <w:rPr>
          <w:rFonts w:ascii="Arial" w:hAnsi="Arial" w:cs="Arial"/>
          <w:sz w:val="22"/>
          <w:szCs w:val="22"/>
          <w:lang w:val="es-CO"/>
        </w:rPr>
        <w:t>público privadas</w:t>
      </w:r>
      <w:proofErr w:type="gramEnd"/>
      <w:r w:rsidRPr="006969B3">
        <w:rPr>
          <w:rFonts w:ascii="Arial" w:hAnsi="Arial" w:cs="Arial"/>
          <w:sz w:val="22"/>
          <w:szCs w:val="22"/>
          <w:lang w:val="es-CO"/>
        </w:rPr>
        <w:t xml:space="preserve"> regidas por la Ley </w:t>
      </w:r>
      <w:r w:rsidRPr="007B5FFA">
        <w:rPr>
          <w:rFonts w:ascii="Arial" w:hAnsi="Arial" w:cs="Arial"/>
          <w:sz w:val="22"/>
          <w:szCs w:val="22"/>
          <w:lang w:val="es-CO"/>
        </w:rPr>
        <w:t>1508</w:t>
      </w:r>
      <w:r w:rsidRPr="006969B3">
        <w:rPr>
          <w:rFonts w:ascii="Arial" w:hAnsi="Arial" w:cs="Arial"/>
          <w:sz w:val="22"/>
          <w:szCs w:val="22"/>
          <w:lang w:val="es-CO"/>
        </w:rPr>
        <w:t> de 2012 para la realización de proyectos de economía creativa y que desarrollen infraestructuras en la forma descrita en el precitado artículo </w:t>
      </w:r>
      <w:r w:rsidRPr="007B5FFA">
        <w:rPr>
          <w:rFonts w:ascii="Arial" w:hAnsi="Arial" w:cs="Arial"/>
          <w:sz w:val="22"/>
          <w:szCs w:val="22"/>
          <w:lang w:val="es-CO"/>
        </w:rPr>
        <w:t>71</w:t>
      </w:r>
      <w:r w:rsidRPr="006969B3">
        <w:rPr>
          <w:rFonts w:ascii="Arial" w:hAnsi="Arial" w:cs="Arial"/>
          <w:sz w:val="22"/>
          <w:szCs w:val="22"/>
          <w:lang w:val="es-CO"/>
        </w:rPr>
        <w:t>, también serán destinatarias de este mecanismo.</w:t>
      </w:r>
    </w:p>
    <w:p w14:paraId="337D2D45"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p>
    <w:p w14:paraId="46261CC9" w14:textId="4F2AAEB5"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Las instancias de evaluación, </w:t>
      </w:r>
      <w:proofErr w:type="spellStart"/>
      <w:r w:rsidRPr="006969B3">
        <w:rPr>
          <w:rFonts w:ascii="Arial" w:hAnsi="Arial" w:cs="Arial"/>
          <w:sz w:val="22"/>
          <w:szCs w:val="22"/>
          <w:lang w:val="es-CO"/>
        </w:rPr>
        <w:t>viabilización</w:t>
      </w:r>
      <w:proofErr w:type="spellEnd"/>
      <w:r w:rsidRPr="006969B3">
        <w:rPr>
          <w:rFonts w:ascii="Arial" w:hAnsi="Arial" w:cs="Arial"/>
          <w:sz w:val="22"/>
          <w:szCs w:val="22"/>
          <w:lang w:val="es-CO"/>
        </w:rPr>
        <w:t xml:space="preserve"> y aprobación deberán contar con el concepto previo favorable del Ministerio de Cultura. Esta entidad deberá conformar un banco de proyectos susceptibles de contar con viabilidad técnica y presupuestal para recibir el amparo de que trata este artículo y que puedan llevarse a cabo en las ADN que se establezcan.</w:t>
      </w:r>
    </w:p>
    <w:p w14:paraId="4F23509B"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p>
    <w:p w14:paraId="3F2B125A" w14:textId="643E8FE6"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Gobierno nacional reglamentará lo previsto en este artículo y tendrá la facultad para definir los topes o montos máximos de los proyectos beneficiarios de obras por impuestos en Áreas de Desarrollo Naranja.</w:t>
      </w:r>
    </w:p>
    <w:p w14:paraId="726BDD89" w14:textId="5C08DA44" w:rsidR="00A85B74" w:rsidRPr="006969B3" w:rsidRDefault="00A85B74" w:rsidP="00F65283">
      <w:pPr>
        <w:spacing w:after="0" w:line="240" w:lineRule="auto"/>
        <w:rPr>
          <w:rFonts w:ascii="Arial" w:hAnsi="Arial" w:cs="Arial"/>
          <w:lang w:val="es-CO"/>
        </w:rPr>
      </w:pPr>
    </w:p>
    <w:p w14:paraId="2F1EBE9E" w14:textId="33C655E0" w:rsidR="00A85B74" w:rsidRPr="006969B3" w:rsidRDefault="00A85B74" w:rsidP="00F65283">
      <w:pPr>
        <w:pStyle w:val="NormalWeb"/>
        <w:spacing w:before="0" w:beforeAutospacing="0" w:after="0" w:afterAutospacing="0"/>
        <w:jc w:val="both"/>
        <w:rPr>
          <w:rFonts w:ascii="Arial" w:hAnsi="Arial" w:cs="Arial"/>
          <w:sz w:val="22"/>
          <w:szCs w:val="22"/>
          <w:lang w:val="es-CO"/>
        </w:rPr>
      </w:pPr>
      <w:bookmarkStart w:id="192" w:name="180"/>
      <w:r w:rsidRPr="006969B3">
        <w:rPr>
          <w:rFonts w:ascii="Arial" w:hAnsi="Arial" w:cs="Arial"/>
          <w:sz w:val="22"/>
          <w:szCs w:val="22"/>
          <w:lang w:val="es-CO"/>
        </w:rPr>
        <w:t>ARTÍCULO 180. PROYECTOS DE ECONOMÍA CREATIVA.</w:t>
      </w:r>
      <w:bookmarkEnd w:id="192"/>
      <w:r w:rsidRPr="006969B3">
        <w:rPr>
          <w:rFonts w:ascii="Arial" w:hAnsi="Arial" w:cs="Arial"/>
          <w:sz w:val="22"/>
          <w:szCs w:val="22"/>
          <w:lang w:val="es-CO"/>
        </w:rPr>
        <w:t> El Ministerio de Cultura podrá realizar una convocatoria anual de proyectos de economía creativa en los campos definidos en el artículo </w:t>
      </w:r>
      <w:r w:rsidRPr="007B5FFA">
        <w:rPr>
          <w:rFonts w:ascii="Arial" w:hAnsi="Arial" w:cs="Arial"/>
          <w:sz w:val="22"/>
          <w:szCs w:val="22"/>
          <w:lang w:val="es-CO"/>
        </w:rPr>
        <w:t>2o</w:t>
      </w:r>
      <w:r w:rsidRPr="006969B3">
        <w:rPr>
          <w:rFonts w:ascii="Arial" w:hAnsi="Arial" w:cs="Arial"/>
          <w:sz w:val="22"/>
          <w:szCs w:val="22"/>
          <w:lang w:val="es-CO"/>
        </w:rPr>
        <w:t> de la Ley 1834 de 2017, así como planes especiales de salvaguardia de manifestaciones culturales incorporadas a listas representativas de patrimonio cultural inmaterial acordes con la Ley </w:t>
      </w:r>
      <w:r w:rsidRPr="007B5FFA">
        <w:rPr>
          <w:rFonts w:ascii="Arial" w:hAnsi="Arial" w:cs="Arial"/>
          <w:sz w:val="22"/>
          <w:szCs w:val="22"/>
          <w:lang w:val="es-CO"/>
        </w:rPr>
        <w:t>1185</w:t>
      </w:r>
      <w:r w:rsidRPr="006969B3">
        <w:rPr>
          <w:rFonts w:ascii="Arial" w:hAnsi="Arial" w:cs="Arial"/>
          <w:sz w:val="22"/>
          <w:szCs w:val="22"/>
          <w:lang w:val="es-CO"/>
        </w:rPr>
        <w:t> de 2008, e infraestructura de espectáculos públicos de artes escénicas previstos en el artículo </w:t>
      </w:r>
      <w:r w:rsidRPr="007B5FFA">
        <w:rPr>
          <w:rFonts w:ascii="Arial" w:hAnsi="Arial" w:cs="Arial"/>
          <w:sz w:val="22"/>
          <w:szCs w:val="22"/>
          <w:lang w:val="es-CO"/>
        </w:rPr>
        <w:t>4o</w:t>
      </w:r>
      <w:r w:rsidRPr="006969B3">
        <w:rPr>
          <w:rFonts w:ascii="Arial" w:hAnsi="Arial" w:cs="Arial"/>
          <w:sz w:val="22"/>
          <w:szCs w:val="22"/>
          <w:lang w:val="es-CO"/>
        </w:rPr>
        <w:t> de la Ley 1493 de 2011, respecto de las cuales las inversiones o donaciones recibirán similar deducción a la prevista en el artículo </w:t>
      </w:r>
      <w:r w:rsidRPr="007B5FFA">
        <w:rPr>
          <w:rFonts w:ascii="Arial" w:hAnsi="Arial" w:cs="Arial"/>
          <w:sz w:val="22"/>
          <w:szCs w:val="22"/>
          <w:lang w:val="es-CO"/>
        </w:rPr>
        <w:t>195</w:t>
      </w:r>
      <w:r w:rsidRPr="006969B3">
        <w:rPr>
          <w:rFonts w:ascii="Arial" w:hAnsi="Arial" w:cs="Arial"/>
          <w:sz w:val="22"/>
          <w:szCs w:val="22"/>
          <w:lang w:val="es-CO"/>
        </w:rPr>
        <w:t> de la Ley 1607 de 2012. Los certificados de inversión que se generen para amparar el incentivo serán a la orden negociables en el mercado.</w:t>
      </w:r>
    </w:p>
    <w:p w14:paraId="4A007B9B"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p>
    <w:p w14:paraId="498371F7" w14:textId="7EF64D4D"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Consejo Nacional de la Economía Naranja establecerá un cupo anual máximo para estos efectos.</w:t>
      </w:r>
    </w:p>
    <w:p w14:paraId="24228AA0" w14:textId="77777777" w:rsidR="00B507AB" w:rsidRPr="006969B3" w:rsidRDefault="00B507AB" w:rsidP="00F65283">
      <w:pPr>
        <w:pStyle w:val="NormalWeb"/>
        <w:spacing w:before="0" w:beforeAutospacing="0" w:after="0" w:afterAutospacing="0"/>
        <w:jc w:val="both"/>
        <w:rPr>
          <w:rStyle w:val="baj"/>
          <w:rFonts w:ascii="Arial" w:hAnsi="Arial" w:cs="Arial"/>
          <w:sz w:val="22"/>
          <w:szCs w:val="22"/>
          <w:lang w:val="es-CO"/>
        </w:rPr>
      </w:pPr>
    </w:p>
    <w:p w14:paraId="52B7DDE8" w14:textId="39343D5A"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El Ministerio de Cultura podrá definir, de considerarlo necesario, que la convocatoria se realice por intermedio de una entidad sin ánimo de lucro adscrita a esa entidad, para lo cual celebrará de manera directa el respectivo convenio. Las inversiones o donaciones que se canalicen mediante el mecanismo previsto en este artículo deberán cubrir los costos que la convocatoria demande.</w:t>
      </w:r>
    </w:p>
    <w:p w14:paraId="0EE4BCFE" w14:textId="77777777" w:rsidR="00B507AB" w:rsidRPr="006969B3" w:rsidRDefault="00B507AB" w:rsidP="00F65283">
      <w:pPr>
        <w:pStyle w:val="NormalWeb"/>
        <w:spacing w:before="0" w:beforeAutospacing="0" w:after="0" w:afterAutospacing="0"/>
        <w:jc w:val="both"/>
        <w:rPr>
          <w:rStyle w:val="baj"/>
          <w:rFonts w:ascii="Arial" w:hAnsi="Arial" w:cs="Arial"/>
          <w:sz w:val="22"/>
          <w:szCs w:val="22"/>
          <w:lang w:val="es-CO"/>
        </w:rPr>
      </w:pPr>
    </w:p>
    <w:p w14:paraId="72C8EA90" w14:textId="0F92D43C"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El Gobierno nacional reglamentará la materia teniendo en perspectiva las tipologías de proyectos y sectores susceptibles de ser destinatarios del incentivo, los montos máximos que pueden ser cobijados con el mismo. En el caso de los proyectos diferentes a los de artes y patrimonio, el incentivo de que trata el presente artículo solo será aplicable para proyectos presentados por micro, pequeñas y medianas empresas.</w:t>
      </w:r>
    </w:p>
    <w:p w14:paraId="20DB9BFD" w14:textId="36FB25E1" w:rsidR="00A85B74" w:rsidRPr="006969B3" w:rsidRDefault="00A85B74" w:rsidP="00F65283">
      <w:pPr>
        <w:spacing w:after="0" w:line="240" w:lineRule="auto"/>
        <w:rPr>
          <w:rFonts w:ascii="Arial" w:hAnsi="Arial" w:cs="Arial"/>
          <w:lang w:val="es-CO"/>
        </w:rPr>
      </w:pPr>
    </w:p>
    <w:p w14:paraId="23FBEE30" w14:textId="77777777" w:rsidR="00A85B74" w:rsidRPr="006969B3" w:rsidRDefault="00A85B74" w:rsidP="00F65283">
      <w:pPr>
        <w:pStyle w:val="NormalWeb"/>
        <w:spacing w:before="0" w:beforeAutospacing="0" w:after="0" w:afterAutospacing="0"/>
        <w:jc w:val="both"/>
        <w:rPr>
          <w:rFonts w:ascii="Arial" w:hAnsi="Arial" w:cs="Arial"/>
          <w:sz w:val="22"/>
          <w:szCs w:val="22"/>
          <w:lang w:val="es-CO"/>
        </w:rPr>
      </w:pPr>
      <w:bookmarkStart w:id="193" w:name="181"/>
      <w:r w:rsidRPr="006969B3">
        <w:rPr>
          <w:rFonts w:ascii="Arial" w:hAnsi="Arial" w:cs="Arial"/>
          <w:sz w:val="22"/>
          <w:szCs w:val="22"/>
          <w:lang w:val="es-CO"/>
        </w:rPr>
        <w:t>ARTÍCULO 181. ACUERDOS SOBRE DERECHOS PATRIMONIALES.</w:t>
      </w:r>
      <w:bookmarkEnd w:id="193"/>
      <w:r w:rsidRPr="006969B3">
        <w:rPr>
          <w:rFonts w:ascii="Arial" w:hAnsi="Arial" w:cs="Arial"/>
          <w:sz w:val="22"/>
          <w:szCs w:val="22"/>
          <w:lang w:val="es-CO"/>
        </w:rPr>
        <w:t> Modifíquese el artículo 183 de la Ley 23 de 1982, el cual quedará así:</w:t>
      </w:r>
    </w:p>
    <w:p w14:paraId="38F01A2C"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p>
    <w:p w14:paraId="12ED6089" w14:textId="54721DDA"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183. Acuerdos sobre derechos patrimoniales. Los acuerdos sobre derechos patrimoniales de autor o conexos, deberán guiarse por las siguientes reglas:</w:t>
      </w:r>
    </w:p>
    <w:p w14:paraId="52A9BADA"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p>
    <w:p w14:paraId="379D2AFB" w14:textId="5CCA2992"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Los derechos patrimoniales de autor o conexos pueden transferirse, o licenciarse por acto entre vivos, quedando limitada dicha transferencia o licencia a las modalidades de explotación previstas y al tiempo y ámbito territorial que se determinen contractualmente.</w:t>
      </w:r>
    </w:p>
    <w:p w14:paraId="01608CB3"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p>
    <w:p w14:paraId="2386B667" w14:textId="118A4AB4"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lastRenderedPageBreak/>
        <w:t>La falta de mención del tiempo limita la transferencia o licencia a cinco (5) años, y la del ámbito territorial, al país en el que se realice la transferencia o licencia.</w:t>
      </w:r>
    </w:p>
    <w:p w14:paraId="32F2393B"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p>
    <w:p w14:paraId="02105162" w14:textId="6E28EBFD"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Los actos o contratos por los cuales se transfieren, parcial o totalmente, los derechos patrimoniales de autor o conexos deberán constar por escrito como condición de validez.</w:t>
      </w:r>
    </w:p>
    <w:p w14:paraId="23C6A05A"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p>
    <w:p w14:paraId="470EC669" w14:textId="70025011"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Todo acto por el cual se </w:t>
      </w:r>
      <w:proofErr w:type="gramStart"/>
      <w:r w:rsidRPr="006969B3">
        <w:rPr>
          <w:rFonts w:ascii="Arial" w:hAnsi="Arial" w:cs="Arial"/>
          <w:sz w:val="22"/>
          <w:szCs w:val="22"/>
          <w:lang w:val="es-CO"/>
        </w:rPr>
        <w:t>enajene,</w:t>
      </w:r>
      <w:proofErr w:type="gramEnd"/>
      <w:r w:rsidRPr="006969B3">
        <w:rPr>
          <w:rFonts w:ascii="Arial" w:hAnsi="Arial" w:cs="Arial"/>
          <w:sz w:val="22"/>
          <w:szCs w:val="22"/>
          <w:lang w:val="es-CO"/>
        </w:rPr>
        <w:t xml:space="preserve"> transfiera, cambie o limite el dominio sobre el derecho de autor, o los derechos conexos, así como cualquier otro acto o contrato que implique exclusividad, deberá ser inscrito en el Registro Nacional del Derecho de Autor, para efectos de publicidad y oponibilidad ante terceros.</w:t>
      </w:r>
    </w:p>
    <w:p w14:paraId="75E68A52"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p>
    <w:p w14:paraId="1CDE91A0" w14:textId="16026B99"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Será ineficaz toda estipulación en virtud de la cual el autor transfiera de modo general o indeterminable la producción futura, o se obligue a restringir su producción intelectual o a no producir.</w:t>
      </w:r>
    </w:p>
    <w:p w14:paraId="6E39D6BF"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p>
    <w:p w14:paraId="1680FA22" w14:textId="103FBD6B" w:rsidR="00A85B74" w:rsidRPr="006969B3" w:rsidRDefault="00A85B74" w:rsidP="00B507AB">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Será ineficaz toda estipulación que prevea formas de explotación o modalidades de utilización de derechos patrimoniales de autor o conexos, que sean inexistentes o desconocidas al tiempo de convenir la transferencia, autorización o licencia.</w:t>
      </w:r>
      <w:r w:rsidR="00B507AB" w:rsidRPr="006969B3">
        <w:rPr>
          <w:rFonts w:ascii="Arial" w:hAnsi="Arial" w:cs="Arial"/>
          <w:lang w:val="es-CO"/>
        </w:rPr>
        <w:t xml:space="preserve"> </w:t>
      </w:r>
    </w:p>
    <w:p w14:paraId="442170F5" w14:textId="77777777" w:rsidR="001B0E49" w:rsidRDefault="001B0E49" w:rsidP="00F65283">
      <w:pPr>
        <w:pStyle w:val="NormalWeb"/>
        <w:spacing w:before="0" w:beforeAutospacing="0" w:after="0" w:afterAutospacing="0"/>
        <w:jc w:val="both"/>
        <w:rPr>
          <w:rFonts w:ascii="Arial" w:hAnsi="Arial" w:cs="Arial"/>
          <w:sz w:val="22"/>
          <w:szCs w:val="22"/>
          <w:lang w:val="es-CO"/>
        </w:rPr>
      </w:pPr>
      <w:bookmarkStart w:id="194" w:name="182"/>
    </w:p>
    <w:p w14:paraId="6D08B0DB" w14:textId="4F8BE01C"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182. FOMENTO DE LOS MICROCRÉDITOS.</w:t>
      </w:r>
      <w:bookmarkEnd w:id="194"/>
      <w:r w:rsidRPr="006969B3">
        <w:rPr>
          <w:rFonts w:ascii="Arial" w:hAnsi="Arial" w:cs="Arial"/>
          <w:sz w:val="22"/>
          <w:szCs w:val="22"/>
          <w:lang w:val="es-CO"/>
        </w:rPr>
        <w:t> En armonía con las Bases del “Plan Nacional de Desarrollo 2018-2022 Pacto por Colombia, Pacto por la Equidad”, el Gobierno nacional reglamentará la manera en que se profundicen los microcréditos a través de las entidades del sector financiero como instrumento de formalización de generación de empleo e instrumento para combatir el “gota a gota” o “paga diario”.</w:t>
      </w:r>
    </w:p>
    <w:p w14:paraId="1434DF04" w14:textId="77777777" w:rsidR="001B0E49" w:rsidRDefault="001B0E49" w:rsidP="00F65283">
      <w:pPr>
        <w:pStyle w:val="NormalWeb"/>
        <w:spacing w:before="0" w:beforeAutospacing="0" w:after="0" w:afterAutospacing="0"/>
        <w:jc w:val="both"/>
        <w:rPr>
          <w:rStyle w:val="baj"/>
          <w:rFonts w:ascii="Arial" w:hAnsi="Arial" w:cs="Arial"/>
          <w:sz w:val="22"/>
          <w:szCs w:val="22"/>
          <w:lang w:val="es-CO"/>
        </w:rPr>
      </w:pPr>
    </w:p>
    <w:p w14:paraId="0175BED8" w14:textId="51F7383A"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El Gobierno nacional fomentará el desarrollo de cadenas productivas entre empresarios MiPymes a través de figuras como la Asociatividad que generen valor agregado al producto final y permitan mayor innovación tecnológica entre las unidades productivas.</w:t>
      </w:r>
    </w:p>
    <w:p w14:paraId="0B1563DF" w14:textId="77777777" w:rsidR="00B507AB" w:rsidRPr="006969B3" w:rsidRDefault="00B507AB" w:rsidP="00F65283">
      <w:pPr>
        <w:pStyle w:val="centrado"/>
        <w:spacing w:before="0" w:beforeAutospacing="0" w:after="0" w:afterAutospacing="0"/>
        <w:jc w:val="center"/>
        <w:rPr>
          <w:rFonts w:ascii="Arial" w:hAnsi="Arial" w:cs="Arial"/>
          <w:b/>
          <w:bCs/>
          <w:sz w:val="22"/>
          <w:szCs w:val="22"/>
          <w:lang w:val="es-CO"/>
        </w:rPr>
      </w:pPr>
      <w:bookmarkStart w:id="195" w:name="SECCIÓN_III-II-II"/>
    </w:p>
    <w:p w14:paraId="1D270C8F" w14:textId="14563427" w:rsidR="00A85B74" w:rsidRPr="006969B3" w:rsidRDefault="00A85B74" w:rsidP="00F65283">
      <w:pPr>
        <w:pStyle w:val="centrado"/>
        <w:spacing w:before="0" w:beforeAutospacing="0" w:after="0" w:afterAutospacing="0"/>
        <w:jc w:val="center"/>
        <w:rPr>
          <w:rFonts w:ascii="Arial" w:hAnsi="Arial" w:cs="Arial"/>
          <w:b/>
          <w:bCs/>
          <w:sz w:val="22"/>
          <w:szCs w:val="22"/>
          <w:lang w:val="es-CO"/>
        </w:rPr>
      </w:pPr>
      <w:r w:rsidRPr="006969B3">
        <w:rPr>
          <w:rFonts w:ascii="Arial" w:hAnsi="Arial" w:cs="Arial"/>
          <w:b/>
          <w:bCs/>
          <w:sz w:val="22"/>
          <w:szCs w:val="22"/>
          <w:lang w:val="es-CO"/>
        </w:rPr>
        <w:t>SECCIÓN III</w:t>
      </w:r>
      <w:bookmarkEnd w:id="195"/>
    </w:p>
    <w:p w14:paraId="4BA7CAC7" w14:textId="77777777" w:rsidR="00042931" w:rsidRPr="006969B3" w:rsidRDefault="00042931" w:rsidP="00F65283">
      <w:pPr>
        <w:pStyle w:val="centrado"/>
        <w:spacing w:before="0" w:beforeAutospacing="0" w:after="0" w:afterAutospacing="0"/>
        <w:jc w:val="center"/>
        <w:rPr>
          <w:rFonts w:ascii="Arial" w:hAnsi="Arial" w:cs="Arial"/>
          <w:b/>
          <w:bCs/>
          <w:sz w:val="22"/>
          <w:szCs w:val="22"/>
          <w:lang w:val="es-CO"/>
        </w:rPr>
      </w:pPr>
    </w:p>
    <w:p w14:paraId="7E19843E" w14:textId="1D5CCA2A" w:rsidR="00A85B74" w:rsidRPr="006969B3" w:rsidRDefault="00A85B74" w:rsidP="00F65283">
      <w:pPr>
        <w:pStyle w:val="centrado"/>
        <w:spacing w:before="0" w:beforeAutospacing="0" w:after="0" w:afterAutospacing="0"/>
        <w:jc w:val="center"/>
        <w:rPr>
          <w:rStyle w:val="baj"/>
          <w:rFonts w:ascii="Arial" w:hAnsi="Arial" w:cs="Arial"/>
          <w:b/>
          <w:bCs/>
          <w:sz w:val="22"/>
          <w:szCs w:val="22"/>
          <w:lang w:val="es-CO"/>
        </w:rPr>
      </w:pPr>
      <w:r w:rsidRPr="006969B3">
        <w:rPr>
          <w:rStyle w:val="baj"/>
          <w:rFonts w:ascii="Arial" w:hAnsi="Arial" w:cs="Arial"/>
          <w:b/>
          <w:bCs/>
          <w:sz w:val="22"/>
          <w:szCs w:val="22"/>
          <w:lang w:val="es-CO"/>
        </w:rPr>
        <w:t>PACTO POR LA EQUIDAD: POLÍTICA SOCIAL MODERNA CENTRADA EN LA FAMILIA, EFICIENTE, DE CALIDAD Y CONECTADA A MERCADOS</w:t>
      </w:r>
    </w:p>
    <w:p w14:paraId="762CBE89" w14:textId="77777777" w:rsidR="00042931" w:rsidRPr="006969B3" w:rsidRDefault="00042931" w:rsidP="00F65283">
      <w:pPr>
        <w:pStyle w:val="centrado"/>
        <w:spacing w:before="0" w:beforeAutospacing="0" w:after="0" w:afterAutospacing="0"/>
        <w:jc w:val="center"/>
        <w:rPr>
          <w:rFonts w:ascii="Arial" w:hAnsi="Arial" w:cs="Arial"/>
          <w:b/>
          <w:bCs/>
          <w:sz w:val="22"/>
          <w:szCs w:val="22"/>
          <w:lang w:val="es-CO"/>
        </w:rPr>
      </w:pPr>
    </w:p>
    <w:p w14:paraId="33F33001" w14:textId="4A1B88D2" w:rsidR="00A85B74" w:rsidRPr="006969B3" w:rsidRDefault="00A85B74" w:rsidP="00F65283">
      <w:pPr>
        <w:pStyle w:val="centrado"/>
        <w:spacing w:before="0" w:beforeAutospacing="0" w:after="0" w:afterAutospacing="0"/>
        <w:jc w:val="center"/>
        <w:rPr>
          <w:rFonts w:ascii="Arial" w:hAnsi="Arial" w:cs="Arial"/>
          <w:b/>
          <w:bCs/>
          <w:sz w:val="22"/>
          <w:szCs w:val="22"/>
          <w:lang w:val="es-CO"/>
        </w:rPr>
      </w:pPr>
      <w:bookmarkStart w:id="196" w:name="SUBSECCIÓN_1-III-II-II"/>
      <w:r w:rsidRPr="006969B3">
        <w:rPr>
          <w:rFonts w:ascii="Arial" w:hAnsi="Arial" w:cs="Arial"/>
          <w:b/>
          <w:bCs/>
          <w:sz w:val="22"/>
          <w:szCs w:val="22"/>
          <w:lang w:val="es-CO"/>
        </w:rPr>
        <w:t>SUBSECCIÓN 1</w:t>
      </w:r>
      <w:bookmarkEnd w:id="196"/>
    </w:p>
    <w:p w14:paraId="052A4BB0" w14:textId="77777777" w:rsidR="00042931" w:rsidRPr="006969B3" w:rsidRDefault="00042931" w:rsidP="00F65283">
      <w:pPr>
        <w:pStyle w:val="centrado"/>
        <w:spacing w:before="0" w:beforeAutospacing="0" w:after="0" w:afterAutospacing="0"/>
        <w:jc w:val="center"/>
        <w:rPr>
          <w:rFonts w:ascii="Arial" w:hAnsi="Arial" w:cs="Arial"/>
          <w:b/>
          <w:bCs/>
          <w:sz w:val="22"/>
          <w:szCs w:val="22"/>
          <w:lang w:val="es-CO"/>
        </w:rPr>
      </w:pPr>
    </w:p>
    <w:p w14:paraId="138560C5" w14:textId="0BC479FD" w:rsidR="00A85B74" w:rsidRPr="006969B3" w:rsidRDefault="00A85B74" w:rsidP="00F65283">
      <w:pPr>
        <w:pStyle w:val="centrado"/>
        <w:spacing w:before="0" w:beforeAutospacing="0" w:after="0" w:afterAutospacing="0"/>
        <w:jc w:val="center"/>
        <w:rPr>
          <w:rFonts w:ascii="Arial" w:hAnsi="Arial" w:cs="Arial"/>
          <w:b/>
          <w:bCs/>
          <w:sz w:val="22"/>
          <w:szCs w:val="22"/>
          <w:lang w:val="es-CO"/>
        </w:rPr>
      </w:pPr>
      <w:r w:rsidRPr="006969B3">
        <w:rPr>
          <w:rStyle w:val="baj"/>
          <w:rFonts w:ascii="Arial" w:hAnsi="Arial" w:cs="Arial"/>
          <w:b/>
          <w:bCs/>
          <w:sz w:val="22"/>
          <w:szCs w:val="22"/>
          <w:lang w:val="es-CO"/>
        </w:rPr>
        <w:t>EQUIDAD EN LA EDUCACIÓN</w:t>
      </w:r>
    </w:p>
    <w:p w14:paraId="7EDE2733" w14:textId="25822459" w:rsidR="00A85B74" w:rsidRPr="006969B3" w:rsidRDefault="00A85B74" w:rsidP="00F65283">
      <w:pPr>
        <w:spacing w:after="0" w:line="240" w:lineRule="auto"/>
        <w:rPr>
          <w:rFonts w:ascii="Arial" w:hAnsi="Arial" w:cs="Arial"/>
          <w:lang w:val="es-CO"/>
        </w:rPr>
      </w:pPr>
    </w:p>
    <w:p w14:paraId="2B92D43A" w14:textId="77777777" w:rsidR="00A85B74" w:rsidRPr="006969B3" w:rsidRDefault="00A85B74" w:rsidP="00F65283">
      <w:pPr>
        <w:pStyle w:val="NormalWeb"/>
        <w:spacing w:before="0" w:beforeAutospacing="0" w:after="0" w:afterAutospacing="0"/>
        <w:jc w:val="both"/>
        <w:rPr>
          <w:rFonts w:ascii="Arial" w:hAnsi="Arial" w:cs="Arial"/>
          <w:sz w:val="22"/>
          <w:szCs w:val="22"/>
          <w:lang w:val="es-CO"/>
        </w:rPr>
      </w:pPr>
      <w:bookmarkStart w:id="197" w:name="183"/>
      <w:r w:rsidRPr="006969B3">
        <w:rPr>
          <w:rFonts w:ascii="Arial" w:hAnsi="Arial" w:cs="Arial"/>
          <w:sz w:val="22"/>
          <w:szCs w:val="22"/>
          <w:lang w:val="es-CO"/>
        </w:rPr>
        <w:t>ARTÍCULO 183. FORTALECIMIENTO FINANCIERO DE LA EDUCACIÓN SUPERIOR PÚBLICA.</w:t>
      </w:r>
      <w:bookmarkEnd w:id="197"/>
      <w:r w:rsidRPr="006969B3">
        <w:rPr>
          <w:rFonts w:ascii="Arial" w:hAnsi="Arial" w:cs="Arial"/>
          <w:sz w:val="22"/>
          <w:szCs w:val="22"/>
          <w:lang w:val="es-CO"/>
        </w:rPr>
        <w:t> La Ley Anual de Presupuesto para 2020 asignará a la base presupuestal de funcionamiento de las Instituciones de Educación Superior Pública un incremento del IPC más 4 puntos a los recursos de transferencia ordinaria. La Ley Anual de Presupuesto para 2021 asignará a la base presupuestal de funcionamiento de las Instituciones de Educación Superior Pública un incremento del IPC más 4,5 puntos a los recursos de transferencia ordinaria. La Ley Anual de Presupuesto para 2022 asignará a la base presupuestal de funcionamiento de las Instituciones de Educación Superior Pública un incremento del IPC más 4,65 puntos a los recursos de transferencia ordinaria. El Ministerio de Educación Nacional establecerá los mecanismos de distribución de estos recursos, con criterios de equidad y fortalecimiento institucional, entre otros.</w:t>
      </w:r>
    </w:p>
    <w:p w14:paraId="61C60424"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p>
    <w:p w14:paraId="3AE482EC" w14:textId="2E4D2D0C"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lastRenderedPageBreak/>
        <w:t>La Nación asignará recursos de funcionamiento del Presupuesto General de la Nación a todas las Instituciones de Educación Superior que son establecimientos públicos del orden territorial. Para ello el Ministerio de Educación Nacional establecerá anualmente con estas instituciones, el mecanismo de inversión en los presupuestos institucionales.</w:t>
      </w:r>
    </w:p>
    <w:p w14:paraId="1BE6DFB4"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p>
    <w:p w14:paraId="6B7F6702" w14:textId="0499D0AB"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 Nación financiará proyectos de inversión de las Instituciones de Educación Superior Públicas los cuales no harán parte de la base presupuestal, que incluyen saneamiento de pasivos y aportes adicionales de inversión.</w:t>
      </w:r>
    </w:p>
    <w:p w14:paraId="19FEB2B1"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p>
    <w:p w14:paraId="119F9850" w14:textId="0320BCFC"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Estos programas incluirán medidas orientadas al pago de acreencias laborales, reestructuración y saneamiento de pasivos, adquisición de cartera, y estarán precedidos del estudio que realizará cada Institución de Educación Superior Pública, el cual deberá ser validado por el Ministerio de Educación Nacional.</w:t>
      </w:r>
    </w:p>
    <w:p w14:paraId="0C5B056D"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p>
    <w:p w14:paraId="32A2EDC9" w14:textId="5B19EB0C"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Los recursos adicionales para inversión también se podrán destinar para el mejoramiento de la calidad de las Instituciones de Educación Superior Públicas, de acuerdo con las líneas definidas por el Ministerio de Educación Nacional.</w:t>
      </w:r>
    </w:p>
    <w:p w14:paraId="67028696"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p>
    <w:p w14:paraId="2F88FEC1" w14:textId="1AEBE6D0"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El Gobierno nacional adelantará un proceso de revisión integral de fuentes y usos de los recursos de las Instituciones de Educación Superior Públicas con miras a plantear una reforma al esquema de financiación de </w:t>
      </w:r>
      <w:proofErr w:type="gramStart"/>
      <w:r w:rsidRPr="006969B3">
        <w:rPr>
          <w:rFonts w:ascii="Arial" w:hAnsi="Arial" w:cs="Arial"/>
          <w:sz w:val="22"/>
          <w:szCs w:val="22"/>
          <w:lang w:val="es-CO"/>
        </w:rPr>
        <w:t>las mismas</w:t>
      </w:r>
      <w:proofErr w:type="gramEnd"/>
      <w:r w:rsidRPr="006969B3">
        <w:rPr>
          <w:rFonts w:ascii="Arial" w:hAnsi="Arial" w:cs="Arial"/>
          <w:sz w:val="22"/>
          <w:szCs w:val="22"/>
          <w:lang w:val="es-CO"/>
        </w:rPr>
        <w:t>, que permita la garantía de su financiación y sostenibilidad en el mediano y largo plazo.</w:t>
      </w:r>
    </w:p>
    <w:p w14:paraId="35A1F793" w14:textId="454FF024" w:rsidR="00A85B74" w:rsidRPr="006969B3" w:rsidRDefault="00A85B74" w:rsidP="00F65283">
      <w:pPr>
        <w:spacing w:after="0" w:line="240" w:lineRule="auto"/>
        <w:rPr>
          <w:rFonts w:ascii="Arial" w:hAnsi="Arial" w:cs="Arial"/>
          <w:lang w:val="es-CO"/>
        </w:rPr>
      </w:pPr>
    </w:p>
    <w:p w14:paraId="21A3847E" w14:textId="77BDB7EC" w:rsidR="00A85B74" w:rsidRPr="006969B3" w:rsidRDefault="00A85B74" w:rsidP="00F65283">
      <w:pPr>
        <w:pStyle w:val="NormalWeb"/>
        <w:spacing w:before="0" w:beforeAutospacing="0" w:after="0" w:afterAutospacing="0"/>
        <w:jc w:val="both"/>
        <w:rPr>
          <w:rFonts w:ascii="Arial" w:hAnsi="Arial" w:cs="Arial"/>
          <w:sz w:val="22"/>
          <w:szCs w:val="22"/>
          <w:lang w:val="es-CO"/>
        </w:rPr>
      </w:pPr>
      <w:bookmarkStart w:id="198" w:name="184"/>
      <w:r w:rsidRPr="006969B3">
        <w:rPr>
          <w:rFonts w:ascii="Arial" w:hAnsi="Arial" w:cs="Arial"/>
          <w:sz w:val="22"/>
          <w:szCs w:val="22"/>
          <w:lang w:val="es-CO"/>
        </w:rPr>
        <w:t>ARTÍCULO 184. FONDO DE FINANCIAMIENTO DE LA INFRAESTRUCTURA EDUCATIVA.</w:t>
      </w:r>
      <w:bookmarkEnd w:id="198"/>
      <w:r w:rsidRPr="006969B3">
        <w:rPr>
          <w:rFonts w:ascii="Arial" w:hAnsi="Arial" w:cs="Arial"/>
          <w:sz w:val="22"/>
          <w:szCs w:val="22"/>
          <w:lang w:val="es-CO"/>
        </w:rPr>
        <w:t> Modifíquese el artículo </w:t>
      </w:r>
      <w:r w:rsidRPr="007B5FFA">
        <w:rPr>
          <w:rFonts w:ascii="Arial" w:hAnsi="Arial" w:cs="Arial"/>
          <w:sz w:val="22"/>
          <w:szCs w:val="22"/>
          <w:lang w:val="es-CO"/>
        </w:rPr>
        <w:t>59</w:t>
      </w:r>
      <w:r w:rsidRPr="006969B3">
        <w:rPr>
          <w:rFonts w:ascii="Arial" w:hAnsi="Arial" w:cs="Arial"/>
          <w:sz w:val="22"/>
          <w:szCs w:val="22"/>
          <w:lang w:val="es-CO"/>
        </w:rPr>
        <w:t> de la Ley 1753 de 2015, el cual quedará así:</w:t>
      </w:r>
    </w:p>
    <w:p w14:paraId="50CE74AB" w14:textId="77777777" w:rsidR="00042931" w:rsidRPr="006969B3" w:rsidRDefault="00042931" w:rsidP="00F65283">
      <w:pPr>
        <w:pStyle w:val="NormalWeb"/>
        <w:spacing w:before="0" w:beforeAutospacing="0" w:after="0" w:afterAutospacing="0"/>
        <w:jc w:val="both"/>
        <w:rPr>
          <w:rFonts w:ascii="Arial" w:hAnsi="Arial" w:cs="Arial"/>
          <w:sz w:val="22"/>
          <w:szCs w:val="22"/>
          <w:lang w:val="es-CO"/>
        </w:rPr>
      </w:pPr>
    </w:p>
    <w:p w14:paraId="191E9132" w14:textId="70D463C2"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w:t>
      </w:r>
      <w:r w:rsidRPr="007B5FFA">
        <w:rPr>
          <w:rFonts w:ascii="Arial" w:hAnsi="Arial" w:cs="Arial"/>
          <w:sz w:val="22"/>
          <w:szCs w:val="22"/>
          <w:lang w:val="es-CO"/>
        </w:rPr>
        <w:t>59</w:t>
      </w:r>
      <w:r w:rsidRPr="006969B3">
        <w:rPr>
          <w:rFonts w:ascii="Arial" w:hAnsi="Arial" w:cs="Arial"/>
          <w:sz w:val="22"/>
          <w:szCs w:val="22"/>
          <w:lang w:val="es-CO"/>
        </w:rPr>
        <w:t xml:space="preserve">. Fondo de financiamiento de la infraestructura educativa. El Fondo de Financiamiento de la Infraestructura es una cuenta especial del Ministerio de Educación Nacional sin personería jurídica, cuyo objeto es la </w:t>
      </w:r>
      <w:proofErr w:type="spellStart"/>
      <w:r w:rsidRPr="006969B3">
        <w:rPr>
          <w:rFonts w:ascii="Arial" w:hAnsi="Arial" w:cs="Arial"/>
          <w:sz w:val="22"/>
          <w:szCs w:val="22"/>
          <w:lang w:val="es-CO"/>
        </w:rPr>
        <w:t>viabilización</w:t>
      </w:r>
      <w:proofErr w:type="spellEnd"/>
      <w:r w:rsidRPr="006969B3">
        <w:rPr>
          <w:rFonts w:ascii="Arial" w:hAnsi="Arial" w:cs="Arial"/>
          <w:sz w:val="22"/>
          <w:szCs w:val="22"/>
          <w:lang w:val="es-CO"/>
        </w:rPr>
        <w:t xml:space="preserve"> y financiación de proyectos para la construcción, mejoramiento, adecuación, ampliaciones y dotación de infraestructura educativa física y digital de carácter público en educación inicial, preescolar, educación básica y media, en zonas urbanas y rurales, incluyendo residencias escolares en zonas rurales dispersas, así como los contratos de interventoría asociados a tales proyectos.</w:t>
      </w:r>
    </w:p>
    <w:p w14:paraId="7A4E01F0"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p>
    <w:p w14:paraId="44B4E037" w14:textId="717D9870"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Con cargo a los recursos administrados por el Fondo de Financiamiento de la Infraestructura Educativa, se asumirán los costos en que se incurra para el manejo y control de los recursos y los gastos de operación del fondo.</w:t>
      </w:r>
    </w:p>
    <w:p w14:paraId="19B43E4F"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p>
    <w:p w14:paraId="6A0A6888" w14:textId="1DAD3AC4"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Fondo de Financiamiento de la Infraestructura Educativa será administrado por una junta cuya estructura y funcionamiento serán definidos por el Gobierno nacional.</w:t>
      </w:r>
    </w:p>
    <w:p w14:paraId="193D461A"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p>
    <w:p w14:paraId="2C591F58" w14:textId="32C70CA8"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Los recursos del Fondo de Financiamiento de la Infraestructura Educativa para educación inicial, preescolar, básica y media provendrán de las siguientes fuentes:</w:t>
      </w:r>
    </w:p>
    <w:p w14:paraId="2EC7FAF3"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p>
    <w:p w14:paraId="7214490F" w14:textId="5EB70858"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 Los provenientes del recaudo establecido en el artículo 11 de la Ley 21 de 1982, destinados al Ministerio de Educación Nacional.</w:t>
      </w:r>
    </w:p>
    <w:p w14:paraId="3056B210"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p>
    <w:p w14:paraId="0F43B957" w14:textId="48F31418"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b) Las partidas que se le asignen en el Presupuesto Nacional y estén contenidas en el Marco Fiscal de Mediano Plazo y el Marco de Gastos de Mediano Plazo.</w:t>
      </w:r>
    </w:p>
    <w:p w14:paraId="75E1A4B5"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p>
    <w:p w14:paraId="3429FFDE" w14:textId="08F9E562"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c) Los rendimientos financieros derivados de la inversión de sus recursos.</w:t>
      </w:r>
    </w:p>
    <w:p w14:paraId="4A49C981" w14:textId="77777777"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lastRenderedPageBreak/>
        <w:t>Así mismo, los proyectos de infraestructura educativa que se desarrollen a través del Fondo podrán contar con recursos provenientes de:</w:t>
      </w:r>
    </w:p>
    <w:p w14:paraId="6E40684D"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p>
    <w:p w14:paraId="0BC43C3F" w14:textId="6C78B83A"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d) El Sistema General de Regalías destinados a proyectos específicos de infraestructura educativa, para los casos en que el OCAD designe al Ministerio de Educación Nacional como ejecutor de </w:t>
      </w:r>
      <w:proofErr w:type="gramStart"/>
      <w:r w:rsidRPr="006969B3">
        <w:rPr>
          <w:rFonts w:ascii="Arial" w:hAnsi="Arial" w:cs="Arial"/>
          <w:sz w:val="22"/>
          <w:szCs w:val="22"/>
          <w:lang w:val="es-CO"/>
        </w:rPr>
        <w:t>los mismos</w:t>
      </w:r>
      <w:proofErr w:type="gramEnd"/>
      <w:r w:rsidRPr="006969B3">
        <w:rPr>
          <w:rFonts w:ascii="Arial" w:hAnsi="Arial" w:cs="Arial"/>
          <w:sz w:val="22"/>
          <w:szCs w:val="22"/>
          <w:lang w:val="es-CO"/>
        </w:rPr>
        <w:t>.</w:t>
      </w:r>
    </w:p>
    <w:p w14:paraId="4C0FE2E3"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p>
    <w:p w14:paraId="02480353" w14:textId="37EE4D15"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 Los recursos de cooperación internacional o cooperación de privados que este gestione o se gestionen a su favor.</w:t>
      </w:r>
    </w:p>
    <w:p w14:paraId="03201A96"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p>
    <w:p w14:paraId="1FB430BD" w14:textId="18800A84"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f) Aportes de los departamentos, distritos y municipios y de esquemas asociativos territoriales: regiones administrativas y de planificación, las regiones de planeación y gestión, las asociaciones de departamentos, las áreas metropolitanas, las asociaciones de distritos especiales, las provincias administrativas y de planificación, las asociaciones de municipio y la Región Administrativa de Planificación Especial (RAPE).</w:t>
      </w:r>
    </w:p>
    <w:p w14:paraId="3C642666"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p>
    <w:p w14:paraId="5EBE953B" w14:textId="01A89B8D"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g) Participación del sector privado mediante proyectos de Asociaciones Público- Privadas.</w:t>
      </w:r>
    </w:p>
    <w:p w14:paraId="55B5DE4E"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p>
    <w:p w14:paraId="506FEFB8" w14:textId="6921EE0A"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h) Obras por impuestos.</w:t>
      </w:r>
    </w:p>
    <w:p w14:paraId="4E7DAE3A"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p>
    <w:p w14:paraId="714C4646" w14:textId="3D1E4D06"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En caso de que un proyecto priorizado por la Junta Administradora involucre cualquiera de los recursos de que tratan los literales d), e), f), g) y h) del presente artículo, con cargo al Fondo de Financiamiento de la Infraestructura Educativa se podrán constituir patrimonios autónomos que se regirán por normas de derecho privado en donde podrán confluir todas las fuentes de recursos con las que cuenten los proyectos. Dichos Patrimonios Autónomos, podrán celebrar operaciones de crédito interno o externo a su nombre, para lo cual la Nación podrá otorgar los avales o garantías correspondientes.</w:t>
      </w:r>
    </w:p>
    <w:p w14:paraId="6442F28B" w14:textId="77777777" w:rsidR="00B507AB" w:rsidRPr="006969B3" w:rsidRDefault="00B507AB" w:rsidP="00F65283">
      <w:pPr>
        <w:pStyle w:val="NormalWeb"/>
        <w:spacing w:before="0" w:beforeAutospacing="0" w:after="0" w:afterAutospacing="0"/>
        <w:jc w:val="both"/>
        <w:rPr>
          <w:rStyle w:val="baj"/>
          <w:rFonts w:ascii="Arial" w:hAnsi="Arial" w:cs="Arial"/>
          <w:sz w:val="22"/>
          <w:szCs w:val="22"/>
          <w:lang w:val="es-CO"/>
        </w:rPr>
      </w:pPr>
    </w:p>
    <w:p w14:paraId="1630E2DE" w14:textId="2E93B314"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Todo proyecto sufragado por el Fondo de Financiamiento de la Infraestructura Educativa deberá contemplar obligatoriamente los ajustes razonables para acceso a la población con discapacidad de que trata la Ley Estatutaria </w:t>
      </w:r>
      <w:r w:rsidRPr="007B5FFA">
        <w:rPr>
          <w:rFonts w:ascii="Arial" w:hAnsi="Arial" w:cs="Arial"/>
          <w:sz w:val="22"/>
          <w:szCs w:val="22"/>
          <w:lang w:val="es-CO"/>
        </w:rPr>
        <w:t>1618</w:t>
      </w:r>
      <w:r w:rsidRPr="006969B3">
        <w:rPr>
          <w:rFonts w:ascii="Arial" w:hAnsi="Arial" w:cs="Arial"/>
          <w:sz w:val="22"/>
          <w:szCs w:val="22"/>
          <w:lang w:val="es-CO"/>
        </w:rPr>
        <w:t> de 2013 o la que la modifique o sustituya.</w:t>
      </w:r>
    </w:p>
    <w:p w14:paraId="2B1039A5" w14:textId="77777777" w:rsidR="00B507AB" w:rsidRPr="006969B3" w:rsidRDefault="00B507AB" w:rsidP="00F65283">
      <w:pPr>
        <w:pStyle w:val="NormalWeb"/>
        <w:spacing w:before="0" w:beforeAutospacing="0" w:after="0" w:afterAutospacing="0"/>
        <w:jc w:val="both"/>
        <w:rPr>
          <w:rStyle w:val="baj"/>
          <w:rFonts w:ascii="Arial" w:hAnsi="Arial" w:cs="Arial"/>
          <w:sz w:val="22"/>
          <w:szCs w:val="22"/>
          <w:lang w:val="es-CO"/>
        </w:rPr>
      </w:pPr>
    </w:p>
    <w:p w14:paraId="6C7C26CD" w14:textId="775FA37F"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El Ministerio de Educación Nacional diseñará mecanismos para fortalecer la gestión y gobernanza del Fondo, incluyendo la participación de representantes de entidades territoriales en la Junta Directiva; mejorar la coordinación y articulación con los territorios; definir criterios de priorización para la estructuración y ejecución de proyectos, con énfasis en iniciativas de zonas rurales dispersas y propender por un sistema adecuado de rendición de cuentas.</w:t>
      </w:r>
    </w:p>
    <w:p w14:paraId="5C5DF35C" w14:textId="77777777" w:rsidR="00B507AB" w:rsidRPr="006969B3" w:rsidRDefault="00B507AB" w:rsidP="00F65283">
      <w:pPr>
        <w:pStyle w:val="NormalWeb"/>
        <w:spacing w:before="0" w:beforeAutospacing="0" w:after="0" w:afterAutospacing="0"/>
        <w:jc w:val="both"/>
        <w:rPr>
          <w:rStyle w:val="baj"/>
          <w:rFonts w:ascii="Arial" w:hAnsi="Arial" w:cs="Arial"/>
          <w:sz w:val="22"/>
          <w:szCs w:val="22"/>
          <w:lang w:val="es-CO"/>
        </w:rPr>
      </w:pPr>
    </w:p>
    <w:p w14:paraId="71E9839A" w14:textId="2880482F"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3o.</w:t>
      </w:r>
      <w:r w:rsidRPr="006969B3">
        <w:rPr>
          <w:rFonts w:ascii="Arial" w:hAnsi="Arial" w:cs="Arial"/>
          <w:sz w:val="22"/>
          <w:szCs w:val="22"/>
          <w:lang w:val="es-CO"/>
        </w:rPr>
        <w:t> El Fondo levantará la información y elaborará el diagnóstico de la infraestructura educativa a nivel nacional.</w:t>
      </w:r>
    </w:p>
    <w:p w14:paraId="1C0065E3" w14:textId="77777777" w:rsidR="00B507AB" w:rsidRPr="006969B3" w:rsidRDefault="00B507AB" w:rsidP="00F65283">
      <w:pPr>
        <w:pStyle w:val="NormalWeb"/>
        <w:spacing w:before="0" w:beforeAutospacing="0" w:after="0" w:afterAutospacing="0"/>
        <w:jc w:val="both"/>
        <w:rPr>
          <w:rStyle w:val="baj"/>
          <w:rFonts w:ascii="Arial" w:hAnsi="Arial" w:cs="Arial"/>
          <w:sz w:val="22"/>
          <w:szCs w:val="22"/>
          <w:lang w:val="es-CO"/>
        </w:rPr>
      </w:pPr>
    </w:p>
    <w:p w14:paraId="266A91F9" w14:textId="1B4E0AC8" w:rsidR="00A85B74" w:rsidRPr="006969B3" w:rsidRDefault="00A85B74"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4o.</w:t>
      </w:r>
      <w:r w:rsidRPr="006969B3">
        <w:rPr>
          <w:rFonts w:ascii="Arial" w:hAnsi="Arial" w:cs="Arial"/>
          <w:sz w:val="22"/>
          <w:szCs w:val="22"/>
          <w:lang w:val="es-CO"/>
        </w:rPr>
        <w:t> El régimen de contratación del Fondo de Financiamiento de Infraestructura Educativa estará orientado por los principios que rigen la contratación pública y las normas dirigidas a prevenir, investigar y sancionar actos de corrupción. La selección de sus contratistas estará precedida de procesos competitivos, regidos por los estándares y lineamientos que establezca Colombia Compra Eficiente, los cuales deberán incorporar condiciones tipo, así como elementos para evitar la concentración de proveedores y para promover la participación de contratistas locales. Los procesos de contratación deberán tener especial acompañamiento de los órganos de control.</w:t>
      </w:r>
    </w:p>
    <w:p w14:paraId="616ECE01" w14:textId="6FA086FE" w:rsidR="00A85B74" w:rsidRPr="006969B3" w:rsidRDefault="00A85B74" w:rsidP="00F65283">
      <w:pPr>
        <w:spacing w:after="0" w:line="240" w:lineRule="auto"/>
        <w:rPr>
          <w:rFonts w:ascii="Arial" w:hAnsi="Arial" w:cs="Arial"/>
          <w:lang w:val="es-CO"/>
        </w:rPr>
      </w:pPr>
    </w:p>
    <w:p w14:paraId="72E1E051" w14:textId="77777777" w:rsidR="00A85B74" w:rsidRPr="006969B3" w:rsidRDefault="00A85B74" w:rsidP="00F65283">
      <w:pPr>
        <w:pStyle w:val="NormalWeb"/>
        <w:spacing w:before="0" w:beforeAutospacing="0" w:after="0" w:afterAutospacing="0"/>
        <w:jc w:val="both"/>
        <w:rPr>
          <w:rFonts w:ascii="Arial" w:hAnsi="Arial" w:cs="Arial"/>
          <w:sz w:val="22"/>
          <w:szCs w:val="22"/>
          <w:lang w:val="es-CO"/>
        </w:rPr>
      </w:pPr>
      <w:bookmarkStart w:id="199" w:name="185"/>
      <w:r w:rsidRPr="006969B3">
        <w:rPr>
          <w:rFonts w:ascii="Arial" w:hAnsi="Arial" w:cs="Arial"/>
          <w:sz w:val="22"/>
          <w:szCs w:val="22"/>
          <w:lang w:val="es-CO"/>
        </w:rPr>
        <w:t>ARTÍCULO 185. AVANCE EN EL ACCESO EN EDUCACIÓN SUPERIOR PÚBLICA.</w:t>
      </w:r>
      <w:bookmarkEnd w:id="199"/>
      <w:r w:rsidRPr="006969B3">
        <w:rPr>
          <w:rFonts w:ascii="Arial" w:hAnsi="Arial" w:cs="Arial"/>
          <w:sz w:val="22"/>
          <w:szCs w:val="22"/>
          <w:lang w:val="es-CO"/>
        </w:rPr>
        <w:t xml:space="preserve"> El Gobierno nacional avanzará en un proceso gradual para el acceso, permanencia y graduación en la educación superior pública de la población en condiciones de vulnerabilidad, incluida la rural, que sea admitida en una institución de educación superior pública, de formación técnica profesional, tecnológica y universitaria. Para este fin, podrán establecerse apoyos para pago de matrícula a través del </w:t>
      </w:r>
      <w:proofErr w:type="spellStart"/>
      <w:r w:rsidRPr="006969B3">
        <w:rPr>
          <w:rFonts w:ascii="Arial" w:hAnsi="Arial" w:cs="Arial"/>
          <w:sz w:val="22"/>
          <w:szCs w:val="22"/>
          <w:lang w:val="es-CO"/>
        </w:rPr>
        <w:t>Icetex</w:t>
      </w:r>
      <w:proofErr w:type="spellEnd"/>
      <w:r w:rsidRPr="006969B3">
        <w:rPr>
          <w:rFonts w:ascii="Arial" w:hAnsi="Arial" w:cs="Arial"/>
          <w:sz w:val="22"/>
          <w:szCs w:val="22"/>
          <w:lang w:val="es-CO"/>
        </w:rPr>
        <w:t xml:space="preserve"> y subsidios de sostenimiento con cargo a programas del Ministerio de Educación Nacional, el Departamento Administrativo para la Prosperidad Social y otras fuentes.</w:t>
      </w:r>
    </w:p>
    <w:p w14:paraId="5E67691A" w14:textId="5ECF2DCE" w:rsidR="00A85B74" w:rsidRPr="006969B3" w:rsidRDefault="00A85B74" w:rsidP="00F65283">
      <w:pPr>
        <w:spacing w:after="0" w:line="240" w:lineRule="auto"/>
        <w:rPr>
          <w:rFonts w:ascii="Arial" w:hAnsi="Arial" w:cs="Arial"/>
          <w:lang w:val="es-CO"/>
        </w:rPr>
      </w:pPr>
    </w:p>
    <w:p w14:paraId="4037F704" w14:textId="77777777" w:rsidR="00A85B74" w:rsidRPr="006969B3" w:rsidRDefault="00A85B74" w:rsidP="00F65283">
      <w:pPr>
        <w:pStyle w:val="NormalWeb"/>
        <w:spacing w:before="0" w:beforeAutospacing="0" w:after="0" w:afterAutospacing="0"/>
        <w:jc w:val="both"/>
        <w:rPr>
          <w:rFonts w:ascii="Arial" w:hAnsi="Arial" w:cs="Arial"/>
          <w:sz w:val="22"/>
          <w:szCs w:val="22"/>
          <w:lang w:val="es-CO"/>
        </w:rPr>
      </w:pPr>
      <w:bookmarkStart w:id="200" w:name="186"/>
      <w:r w:rsidRPr="006969B3">
        <w:rPr>
          <w:rFonts w:ascii="Arial" w:hAnsi="Arial" w:cs="Arial"/>
          <w:sz w:val="22"/>
          <w:szCs w:val="22"/>
          <w:lang w:val="es-CO"/>
        </w:rPr>
        <w:t>ARTÍCULO 186. EXCEDENTES DEL ICETEX.</w:t>
      </w:r>
      <w:bookmarkEnd w:id="200"/>
      <w:r w:rsidRPr="006969B3">
        <w:rPr>
          <w:rFonts w:ascii="Arial" w:hAnsi="Arial" w:cs="Arial"/>
          <w:sz w:val="22"/>
          <w:szCs w:val="22"/>
          <w:lang w:val="es-CO"/>
        </w:rPr>
        <w:t xml:space="preserve"> El Ministerio de Educación Nacional podrá utilizar los excedentes que se generen en el </w:t>
      </w:r>
      <w:proofErr w:type="spellStart"/>
      <w:r w:rsidRPr="006969B3">
        <w:rPr>
          <w:rFonts w:ascii="Arial" w:hAnsi="Arial" w:cs="Arial"/>
          <w:sz w:val="22"/>
          <w:szCs w:val="22"/>
          <w:lang w:val="es-CO"/>
        </w:rPr>
        <w:t>Icetex</w:t>
      </w:r>
      <w:proofErr w:type="spellEnd"/>
      <w:r w:rsidRPr="006969B3">
        <w:rPr>
          <w:rFonts w:ascii="Arial" w:hAnsi="Arial" w:cs="Arial"/>
          <w:sz w:val="22"/>
          <w:szCs w:val="22"/>
          <w:lang w:val="es-CO"/>
        </w:rPr>
        <w:t xml:space="preserve"> a partir de los recursos girados por la Nación. En caso de hacerlo, debe destinarlos prioritariamente a atender los subsidios de tasa de interés, condonación y manutención asociados a los créditos educativos; a programas de alivio de cartera para sus beneficiarios o de fortalecimiento de la educación superior; al pago de las obligaciones que el </w:t>
      </w:r>
      <w:proofErr w:type="spellStart"/>
      <w:r w:rsidRPr="006969B3">
        <w:rPr>
          <w:rFonts w:ascii="Arial" w:hAnsi="Arial" w:cs="Arial"/>
          <w:sz w:val="22"/>
          <w:szCs w:val="22"/>
          <w:lang w:val="es-CO"/>
        </w:rPr>
        <w:t>Icetex</w:t>
      </w:r>
      <w:proofErr w:type="spellEnd"/>
      <w:r w:rsidRPr="006969B3">
        <w:rPr>
          <w:rFonts w:ascii="Arial" w:hAnsi="Arial" w:cs="Arial"/>
          <w:sz w:val="22"/>
          <w:szCs w:val="22"/>
          <w:lang w:val="es-CO"/>
        </w:rPr>
        <w:t xml:space="preserve"> haya adquirido con dichos fines; a financiar las renovaciones o las adjudicaciones de nuevos créditos educativos o para otros objetivos similares.</w:t>
      </w:r>
    </w:p>
    <w:p w14:paraId="566E766D" w14:textId="77777777" w:rsidR="00B507AB" w:rsidRPr="006969B3" w:rsidRDefault="00B507AB" w:rsidP="00F65283">
      <w:pPr>
        <w:pStyle w:val="NormalWeb"/>
        <w:spacing w:before="0" w:beforeAutospacing="0" w:after="0" w:afterAutospacing="0"/>
        <w:jc w:val="both"/>
        <w:rPr>
          <w:rFonts w:ascii="Arial" w:hAnsi="Arial" w:cs="Arial"/>
          <w:sz w:val="22"/>
          <w:szCs w:val="22"/>
          <w:lang w:val="es-CO"/>
        </w:rPr>
      </w:pPr>
      <w:bookmarkStart w:id="201" w:name="187"/>
    </w:p>
    <w:p w14:paraId="3F3E8225" w14:textId="3EE0763F"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187. ARMONIZACIÓN DEL PLAN NACIONAL DE DESARROLLO CON EL PLAN NACIONAL DECENAL DE EDUCACIÓN 2016-2026.</w:t>
      </w:r>
      <w:bookmarkEnd w:id="201"/>
      <w:r w:rsidRPr="006969B3">
        <w:rPr>
          <w:rFonts w:ascii="Arial" w:hAnsi="Arial" w:cs="Arial"/>
          <w:sz w:val="22"/>
          <w:szCs w:val="22"/>
          <w:lang w:val="es-CO"/>
        </w:rPr>
        <w:t> En cumplimiento de lo ordenado por la Ley General de Educación (Ley </w:t>
      </w:r>
      <w:r w:rsidRPr="007B5FFA">
        <w:rPr>
          <w:rFonts w:ascii="Arial" w:hAnsi="Arial" w:cs="Arial"/>
          <w:sz w:val="22"/>
          <w:szCs w:val="22"/>
          <w:lang w:val="es-CO"/>
        </w:rPr>
        <w:t>115</w:t>
      </w:r>
      <w:r w:rsidRPr="006969B3">
        <w:rPr>
          <w:rFonts w:ascii="Arial" w:hAnsi="Arial" w:cs="Arial"/>
          <w:sz w:val="22"/>
          <w:szCs w:val="22"/>
          <w:lang w:val="es-CO"/>
        </w:rPr>
        <w:t> de 1994), la política educativa del Gobierno nacional contenida en el presente Plan Nacional de Desarrollo deberá armonizarse con los propósitos y lineamientos del Plan Nacional Decenal de Educación 2016-2026. Con el fin de fortalecer la planeación educativa en las regiones, los departamentos, distritos y municipios articularán y armonizarán sus Planes de Desarrollo en materia educativa con lo dispuesto en el Plan Decenal de Educación 2016-2026 y en el Plan Nacional de Desarrollo.</w:t>
      </w:r>
    </w:p>
    <w:p w14:paraId="5C13A44D" w14:textId="4CDCAC0E" w:rsidR="00095FEF" w:rsidRPr="006969B3" w:rsidRDefault="00095FEF" w:rsidP="00F65283">
      <w:pPr>
        <w:spacing w:after="0" w:line="240" w:lineRule="auto"/>
        <w:rPr>
          <w:rFonts w:ascii="Arial" w:hAnsi="Arial" w:cs="Arial"/>
          <w:lang w:val="es-CO"/>
        </w:rPr>
      </w:pPr>
    </w:p>
    <w:p w14:paraId="7892F629" w14:textId="77777777" w:rsidR="00095FEF" w:rsidRPr="006969B3" w:rsidRDefault="00095FEF" w:rsidP="00F65283">
      <w:pPr>
        <w:pStyle w:val="NormalWeb"/>
        <w:spacing w:before="0" w:beforeAutospacing="0" w:after="0" w:afterAutospacing="0"/>
        <w:jc w:val="both"/>
        <w:rPr>
          <w:rFonts w:ascii="Arial" w:hAnsi="Arial" w:cs="Arial"/>
          <w:sz w:val="22"/>
          <w:szCs w:val="22"/>
          <w:lang w:val="es-CO"/>
        </w:rPr>
      </w:pPr>
      <w:bookmarkStart w:id="202" w:name="188"/>
      <w:r w:rsidRPr="006969B3">
        <w:rPr>
          <w:rFonts w:ascii="Arial" w:hAnsi="Arial" w:cs="Arial"/>
          <w:sz w:val="22"/>
          <w:szCs w:val="22"/>
          <w:lang w:val="es-CO"/>
        </w:rPr>
        <w:t>ARTÍCULO 188. COMISIÓN PARA LA REVISIÓN DEL SISTEMA GENERAL DE PARTICIPACIONES.</w:t>
      </w:r>
      <w:bookmarkEnd w:id="202"/>
      <w:r w:rsidRPr="006969B3">
        <w:rPr>
          <w:rFonts w:ascii="Arial" w:hAnsi="Arial" w:cs="Arial"/>
          <w:sz w:val="22"/>
          <w:szCs w:val="22"/>
          <w:lang w:val="es-CO"/>
        </w:rPr>
        <w:t xml:space="preserve"> Créase una Comisión de alto nivel, que se instalará dentro de los dos (2) meses siguientes contados a partir de la expedición y </w:t>
      </w:r>
      <w:proofErr w:type="gramStart"/>
      <w:r w:rsidRPr="006969B3">
        <w:rPr>
          <w:rFonts w:ascii="Arial" w:hAnsi="Arial" w:cs="Arial"/>
          <w:sz w:val="22"/>
          <w:szCs w:val="22"/>
          <w:lang w:val="es-CO"/>
        </w:rPr>
        <w:t>entrada en vigencia</w:t>
      </w:r>
      <w:proofErr w:type="gramEnd"/>
      <w:r w:rsidRPr="006969B3">
        <w:rPr>
          <w:rFonts w:ascii="Arial" w:hAnsi="Arial" w:cs="Arial"/>
          <w:sz w:val="22"/>
          <w:szCs w:val="22"/>
          <w:lang w:val="es-CO"/>
        </w:rPr>
        <w:t xml:space="preserve"> del presente Plan Nacional de Desarrollo, y sesionará durante los seis (6) meses siguientes, para elaborar una propuesta de acto legislativo que incremente real y progresivamente los recursos del Sistema General de Participaciones.</w:t>
      </w:r>
    </w:p>
    <w:p w14:paraId="691FEEFB"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38FA7B15" w14:textId="4E889744"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La Comisión estará bajo el liderazgo del Ministerio de Hacienda y Crédito Público y el Departamento Nacional de Planeación, y harán parte de ella: el Ministerio de Educación Nacional, el Ministerio de Salud y Protección Social, el Ministerio de Vivienda, Ciudad y Territorio, el Ministerio del Interior, la Federación Colombiana de Trabajadores de la Educación, la Federación Colombiana de Municipios, </w:t>
      </w:r>
      <w:proofErr w:type="spellStart"/>
      <w:r w:rsidRPr="006969B3">
        <w:rPr>
          <w:rFonts w:ascii="Arial" w:hAnsi="Arial" w:cs="Arial"/>
          <w:sz w:val="22"/>
          <w:szCs w:val="22"/>
          <w:lang w:val="es-CO"/>
        </w:rPr>
        <w:t>Asocapitales</w:t>
      </w:r>
      <w:proofErr w:type="spellEnd"/>
      <w:r w:rsidRPr="006969B3">
        <w:rPr>
          <w:rFonts w:ascii="Arial" w:hAnsi="Arial" w:cs="Arial"/>
          <w:sz w:val="22"/>
          <w:szCs w:val="22"/>
          <w:lang w:val="es-CO"/>
        </w:rPr>
        <w:t xml:space="preserve"> y la Federación Nacional de Departamentos, agremiaciones, organizaciones y sectores sociales involucrados en las transferencias del Sistema General de Participaciones.</w:t>
      </w:r>
    </w:p>
    <w:p w14:paraId="7C509597" w14:textId="390808EB" w:rsidR="00095FEF" w:rsidRPr="006969B3" w:rsidRDefault="00095FEF" w:rsidP="00F65283">
      <w:pPr>
        <w:spacing w:after="0" w:line="240" w:lineRule="auto"/>
        <w:rPr>
          <w:rFonts w:ascii="Arial" w:hAnsi="Arial" w:cs="Arial"/>
          <w:lang w:val="es-CO"/>
        </w:rPr>
      </w:pPr>
    </w:p>
    <w:p w14:paraId="3A87AE34" w14:textId="77777777" w:rsidR="00095FEF" w:rsidRPr="006969B3" w:rsidRDefault="00095FEF" w:rsidP="00F65283">
      <w:pPr>
        <w:pStyle w:val="NormalWeb"/>
        <w:spacing w:before="0" w:beforeAutospacing="0" w:after="0" w:afterAutospacing="0"/>
        <w:jc w:val="both"/>
        <w:rPr>
          <w:rFonts w:ascii="Arial" w:hAnsi="Arial" w:cs="Arial"/>
          <w:sz w:val="22"/>
          <w:szCs w:val="22"/>
          <w:lang w:val="es-CO"/>
        </w:rPr>
      </w:pPr>
      <w:bookmarkStart w:id="203" w:name="189"/>
      <w:r w:rsidRPr="006969B3">
        <w:rPr>
          <w:rFonts w:ascii="Arial" w:hAnsi="Arial" w:cs="Arial"/>
          <w:sz w:val="22"/>
          <w:szCs w:val="22"/>
          <w:lang w:val="es-CO"/>
        </w:rPr>
        <w:t>ARTÍCULO 189. CREACIÓN DE LA UNIDAD ADMINISTRATIVA ESPECIAL DE ALIMENTACIÓN ESCOLAR.</w:t>
      </w:r>
      <w:bookmarkEnd w:id="203"/>
      <w:r w:rsidRPr="006969B3">
        <w:rPr>
          <w:rFonts w:ascii="Arial" w:hAnsi="Arial" w:cs="Arial"/>
          <w:sz w:val="22"/>
          <w:szCs w:val="22"/>
          <w:lang w:val="es-CO"/>
        </w:rPr>
        <w:t xml:space="preserve"> Créase la unidad administrativa especial de alimentación escolar, como una entidad adscrita al Ministerio de Educación Nacional, con autonomía administrativa, personería jurídica y patrimonio independiente, su domicilio será la ciudad de Bogotá y contará con la estructura interna y la planta de personal que el Gobierno nacional establezca en desarrollo de sus facultades; tendrá como objeto fijar y desarrollar la política en materia de alimentación escolar; sus objetivos específicos serán: 1) Fortalecer </w:t>
      </w:r>
      <w:r w:rsidRPr="006969B3">
        <w:rPr>
          <w:rFonts w:ascii="Arial" w:hAnsi="Arial" w:cs="Arial"/>
          <w:sz w:val="22"/>
          <w:szCs w:val="22"/>
          <w:lang w:val="es-CO"/>
        </w:rPr>
        <w:lastRenderedPageBreak/>
        <w:t xml:space="preserve">los esquemas de financiación del Programa de Alimentación Escolar. 2) Definir esquemas para promover la transparencia en la contratación del Programa de Alimentación Escolar. 3) Ampliar su cobertura y garantizar la continuidad con criterios técnicos de focalización. 4) Garantizar la calidad e inocuidad de la alimentación escolar. 5) Proponer modelos de operación para fortalecer la territorialidad en esta materia. El patrimonio de la entidad estará </w:t>
      </w:r>
      <w:proofErr w:type="spellStart"/>
      <w:r w:rsidRPr="006969B3">
        <w:rPr>
          <w:rFonts w:ascii="Arial" w:hAnsi="Arial" w:cs="Arial"/>
          <w:sz w:val="22"/>
          <w:szCs w:val="22"/>
          <w:lang w:val="es-CO"/>
        </w:rPr>
        <w:t>inte</w:t>
      </w:r>
      <w:proofErr w:type="spellEnd"/>
      <w:r w:rsidRPr="006969B3">
        <w:rPr>
          <w:rFonts w:ascii="Arial" w:hAnsi="Arial" w:cs="Arial"/>
          <w:sz w:val="22"/>
          <w:szCs w:val="22"/>
          <w:lang w:val="es-CO"/>
        </w:rPr>
        <w:t xml:space="preserve"> grado por fuentes del Presupuesto General de la Nación, fuentes locales y otras fuentes. La Unidad estará administrada y dirigida por un gerente de libre nombramiento y remoción del </w:t>
      </w:r>
      <w:proofErr w:type="gramStart"/>
      <w:r w:rsidRPr="006969B3">
        <w:rPr>
          <w:rFonts w:ascii="Arial" w:hAnsi="Arial" w:cs="Arial"/>
          <w:sz w:val="22"/>
          <w:szCs w:val="22"/>
          <w:lang w:val="es-CO"/>
        </w:rPr>
        <w:t>Presidente</w:t>
      </w:r>
      <w:proofErr w:type="gramEnd"/>
      <w:r w:rsidRPr="006969B3">
        <w:rPr>
          <w:rFonts w:ascii="Arial" w:hAnsi="Arial" w:cs="Arial"/>
          <w:sz w:val="22"/>
          <w:szCs w:val="22"/>
          <w:lang w:val="es-CO"/>
        </w:rPr>
        <w:t xml:space="preserve"> de la República, por un consejo directivo, integrado por el Ministro de Educación, quien lo presidirá, y por los demás delegados o representantes que indique el Gobierno nacional. La entidad deberá entrar en funcionamiento en el año 2020.</w:t>
      </w:r>
    </w:p>
    <w:p w14:paraId="0232CD8C" w14:textId="32E955E9" w:rsidR="00095FEF" w:rsidRPr="006969B3" w:rsidRDefault="00095FEF" w:rsidP="00F65283">
      <w:pPr>
        <w:spacing w:after="0" w:line="240" w:lineRule="auto"/>
        <w:rPr>
          <w:rFonts w:ascii="Arial" w:hAnsi="Arial" w:cs="Arial"/>
          <w:lang w:val="es-CO"/>
        </w:rPr>
      </w:pPr>
    </w:p>
    <w:p w14:paraId="7204205D" w14:textId="77777777" w:rsidR="00095FEF" w:rsidRPr="006969B3" w:rsidRDefault="00095FEF" w:rsidP="00F65283">
      <w:pPr>
        <w:pStyle w:val="NormalWeb"/>
        <w:spacing w:before="0" w:beforeAutospacing="0" w:after="0" w:afterAutospacing="0"/>
        <w:jc w:val="both"/>
        <w:rPr>
          <w:rFonts w:ascii="Arial" w:hAnsi="Arial" w:cs="Arial"/>
          <w:sz w:val="22"/>
          <w:szCs w:val="22"/>
          <w:lang w:val="es-CO"/>
        </w:rPr>
      </w:pPr>
      <w:bookmarkStart w:id="204" w:name="190"/>
      <w:r w:rsidRPr="006969B3">
        <w:rPr>
          <w:rFonts w:ascii="Arial" w:hAnsi="Arial" w:cs="Arial"/>
          <w:sz w:val="22"/>
          <w:szCs w:val="22"/>
          <w:lang w:val="es-CO"/>
        </w:rPr>
        <w:t>ARTÍCULO 190. BECAS POR IMPUESTOS.</w:t>
      </w:r>
      <w:bookmarkEnd w:id="204"/>
      <w:r w:rsidRPr="006969B3">
        <w:rPr>
          <w:rFonts w:ascii="Arial" w:hAnsi="Arial" w:cs="Arial"/>
          <w:sz w:val="22"/>
          <w:szCs w:val="22"/>
          <w:lang w:val="es-CO"/>
        </w:rPr>
        <w:t> Adiciónese el siguiente artículo al Estatuto Tributario, el cual quedará así:</w:t>
      </w:r>
    </w:p>
    <w:p w14:paraId="0AC3A2AD"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235A8BF2" w14:textId="2A9F796A"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w:t>
      </w:r>
      <w:r w:rsidRPr="007B5FFA">
        <w:rPr>
          <w:rFonts w:ascii="Arial" w:hAnsi="Arial" w:cs="Arial"/>
          <w:sz w:val="22"/>
          <w:szCs w:val="22"/>
          <w:lang w:val="es-CO"/>
        </w:rPr>
        <w:t>257-1</w:t>
      </w:r>
      <w:r w:rsidRPr="006969B3">
        <w:rPr>
          <w:rFonts w:ascii="Arial" w:hAnsi="Arial" w:cs="Arial"/>
          <w:sz w:val="22"/>
          <w:szCs w:val="22"/>
          <w:lang w:val="es-CO"/>
        </w:rPr>
        <w:t>. Becas por impuestos. Las personas naturales o jurídicas contribuyentes del Impuesto sobre la renta y complementarios podrán celebrar convenios con Coldeportes para asignar becas de estudio y manutención a deportistas talento o reserva deportiva, por las que recibirán a cambio títulos negociables para el pago del impuesto sobre la renta.</w:t>
      </w:r>
    </w:p>
    <w:p w14:paraId="73DEF647"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63B78C91" w14:textId="0E4478E7"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Coldeportes reglamentará en un plazo no mayor a seis (6) meses de la expedición de la presente ley el mecanismo de selección, evaluación y seguimiento de los deportistas beneficiados, así como los criterios de inclusión y de exclusión del programa y los criterios técnico-deportivos aplicables para el concepto de manutención.</w:t>
      </w:r>
    </w:p>
    <w:p w14:paraId="139885B9" w14:textId="0B8ACD96"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Los descuentos de los que trata este artículo y en su conjunto los que tratan los artículos </w:t>
      </w:r>
      <w:r w:rsidRPr="007B5FFA">
        <w:rPr>
          <w:rFonts w:ascii="Arial" w:hAnsi="Arial" w:cs="Arial"/>
          <w:sz w:val="22"/>
          <w:szCs w:val="22"/>
          <w:lang w:val="es-CO"/>
        </w:rPr>
        <w:t>255</w:t>
      </w:r>
      <w:r w:rsidRPr="006969B3">
        <w:rPr>
          <w:rFonts w:ascii="Arial" w:hAnsi="Arial" w:cs="Arial"/>
          <w:sz w:val="22"/>
          <w:szCs w:val="22"/>
          <w:lang w:val="es-CO"/>
        </w:rPr>
        <w:t>, </w:t>
      </w:r>
      <w:r w:rsidRPr="007B5FFA">
        <w:rPr>
          <w:rFonts w:ascii="Arial" w:hAnsi="Arial" w:cs="Arial"/>
          <w:sz w:val="22"/>
          <w:szCs w:val="22"/>
          <w:lang w:val="es-CO"/>
        </w:rPr>
        <w:t>256</w:t>
      </w:r>
      <w:r w:rsidRPr="006969B3">
        <w:rPr>
          <w:rFonts w:ascii="Arial" w:hAnsi="Arial" w:cs="Arial"/>
          <w:sz w:val="22"/>
          <w:szCs w:val="22"/>
          <w:lang w:val="es-CO"/>
        </w:rPr>
        <w:t> y </w:t>
      </w:r>
      <w:r w:rsidRPr="007B5FFA">
        <w:rPr>
          <w:rFonts w:ascii="Arial" w:hAnsi="Arial" w:cs="Arial"/>
          <w:sz w:val="22"/>
          <w:szCs w:val="22"/>
          <w:lang w:val="es-CO"/>
        </w:rPr>
        <w:t>257</w:t>
      </w:r>
      <w:r w:rsidRPr="006969B3">
        <w:rPr>
          <w:rFonts w:ascii="Arial" w:hAnsi="Arial" w:cs="Arial"/>
          <w:sz w:val="22"/>
          <w:szCs w:val="22"/>
          <w:lang w:val="es-CO"/>
        </w:rPr>
        <w:t> del Estatuto Tributario no podrán exceder en un 30% del impuesto sobre la renta a cargo del contribuyente en el respectivo año gravable.</w:t>
      </w:r>
    </w:p>
    <w:p w14:paraId="5AA29833" w14:textId="58F15018" w:rsidR="2BC3910B" w:rsidRPr="006969B3" w:rsidRDefault="2BC3910B" w:rsidP="00F65283">
      <w:pPr>
        <w:spacing w:after="0" w:line="240" w:lineRule="auto"/>
        <w:ind w:firstLine="720"/>
        <w:jc w:val="both"/>
        <w:rPr>
          <w:rFonts w:ascii="Arial" w:eastAsia="Times New Roman" w:hAnsi="Arial" w:cs="Arial"/>
          <w:lang w:val="es-CO"/>
        </w:rPr>
      </w:pPr>
    </w:p>
    <w:p w14:paraId="54AD244D" w14:textId="77777777" w:rsidR="009C6A6D" w:rsidRPr="006969B3" w:rsidRDefault="009C6A6D" w:rsidP="00F65283">
      <w:pPr>
        <w:spacing w:after="0" w:line="240" w:lineRule="auto"/>
        <w:jc w:val="both"/>
        <w:rPr>
          <w:rFonts w:ascii="Arial" w:eastAsia="Times New Roman" w:hAnsi="Arial" w:cs="Arial"/>
          <w:lang w:val="es-CO" w:eastAsia="es-CO"/>
        </w:rPr>
      </w:pPr>
      <w:bookmarkStart w:id="205" w:name="191"/>
      <w:r w:rsidRPr="006969B3">
        <w:rPr>
          <w:rFonts w:ascii="Arial" w:eastAsia="Times New Roman" w:hAnsi="Arial" w:cs="Arial"/>
          <w:lang w:val="es-CO" w:eastAsia="es-CO"/>
        </w:rPr>
        <w:t>ARTÍCULO 191. RECONOCIMIENTO DE TÍTULOS EN EDUCACIÓN SUPERIOR.</w:t>
      </w:r>
      <w:bookmarkEnd w:id="205"/>
      <w:r w:rsidRPr="006969B3">
        <w:rPr>
          <w:rFonts w:ascii="Arial" w:eastAsia="Times New Roman" w:hAnsi="Arial" w:cs="Arial"/>
          <w:lang w:val="es-CO" w:eastAsia="es-CO"/>
        </w:rPr>
        <w:t> El Ministerio de Educación Nacional diseñará e implementará un nuevo modelo de convalidaciones, de acuerdo con las distintas tipologías existentes en la materia, cuya duración no podrá exceder en ningún caso los seis (6) meses, a partir de la fecha de inicio del trámite.</w:t>
      </w:r>
    </w:p>
    <w:p w14:paraId="14D38386" w14:textId="77777777" w:rsidR="0094161B" w:rsidRPr="006969B3" w:rsidRDefault="0094161B" w:rsidP="00F65283">
      <w:pPr>
        <w:spacing w:after="0" w:line="240" w:lineRule="auto"/>
        <w:jc w:val="both"/>
        <w:rPr>
          <w:rFonts w:ascii="Arial" w:eastAsia="Times New Roman" w:hAnsi="Arial" w:cs="Arial"/>
          <w:lang w:val="es-CO" w:eastAsia="es-CO"/>
        </w:rPr>
      </w:pPr>
    </w:p>
    <w:p w14:paraId="11568EAB" w14:textId="4B9B031E" w:rsidR="009C6A6D" w:rsidRPr="006969B3" w:rsidRDefault="009C6A6D" w:rsidP="00F65283">
      <w:pPr>
        <w:spacing w:after="0" w:line="240" w:lineRule="auto"/>
        <w:jc w:val="both"/>
        <w:rPr>
          <w:rFonts w:ascii="Arial" w:eastAsia="Times New Roman" w:hAnsi="Arial" w:cs="Arial"/>
          <w:lang w:val="es-CO" w:eastAsia="es-CO"/>
        </w:rPr>
      </w:pPr>
      <w:r w:rsidRPr="006969B3">
        <w:rPr>
          <w:rFonts w:ascii="Arial" w:eastAsia="Times New Roman" w:hAnsi="Arial" w:cs="Arial"/>
          <w:lang w:val="es-CO" w:eastAsia="es-CO"/>
        </w:rPr>
        <w:t>PARÁGRAFO 1o. Para el caso de profesiones reguladas, el Ministerio contará con una reglamentación específica. No obstante, los tiempos de trámite para la convalidación no podrán exceder lo establecido previamente.</w:t>
      </w:r>
    </w:p>
    <w:p w14:paraId="10F60468" w14:textId="77777777" w:rsidR="0094161B" w:rsidRPr="006969B3" w:rsidRDefault="0094161B" w:rsidP="00F65283">
      <w:pPr>
        <w:spacing w:after="0" w:line="240" w:lineRule="auto"/>
        <w:jc w:val="both"/>
        <w:rPr>
          <w:rFonts w:ascii="Arial" w:eastAsia="Times New Roman" w:hAnsi="Arial" w:cs="Arial"/>
          <w:lang w:val="es-CO" w:eastAsia="es-CO"/>
        </w:rPr>
      </w:pPr>
    </w:p>
    <w:p w14:paraId="40ABF0CA" w14:textId="11695531" w:rsidR="009C6A6D" w:rsidRPr="006969B3" w:rsidRDefault="009C6A6D" w:rsidP="00F65283">
      <w:pPr>
        <w:spacing w:after="0" w:line="240" w:lineRule="auto"/>
        <w:jc w:val="both"/>
        <w:rPr>
          <w:rFonts w:ascii="Arial" w:eastAsia="Times New Roman" w:hAnsi="Arial" w:cs="Arial"/>
          <w:lang w:val="es-CO" w:eastAsia="es-CO"/>
        </w:rPr>
      </w:pPr>
      <w:r w:rsidRPr="006969B3">
        <w:rPr>
          <w:rFonts w:ascii="Arial" w:eastAsia="Times New Roman" w:hAnsi="Arial" w:cs="Arial"/>
          <w:lang w:val="es-CO" w:eastAsia="es-CO"/>
        </w:rPr>
        <w:t>PARÁGRAFO 2o. El Ministerio de Educación realizará las mejoras administrativas y tecnológicas para el seguimiento del trámite de convalidación. Así mismo, pondrá a disposición de los ciudadanos la información sobre las instituciones y programas acreditados o reconocidos en alta calidad por parte de una entidad gubernamental competente, u organización privada autorizada oficialmente para ello en el país de origen del título, además pondrá a disposición la información sobre los sistemas educativos del mundo.</w:t>
      </w:r>
    </w:p>
    <w:p w14:paraId="16E5AC6B" w14:textId="77777777" w:rsidR="0094161B" w:rsidRPr="006969B3" w:rsidRDefault="0094161B" w:rsidP="00F65283">
      <w:pPr>
        <w:spacing w:after="0" w:line="240" w:lineRule="auto"/>
        <w:jc w:val="both"/>
        <w:rPr>
          <w:rFonts w:ascii="Arial" w:eastAsia="Times New Roman" w:hAnsi="Arial" w:cs="Arial"/>
          <w:lang w:val="es-CO"/>
        </w:rPr>
      </w:pPr>
    </w:p>
    <w:p w14:paraId="44F1CAAB" w14:textId="3D39368E" w:rsidR="0027174A" w:rsidRPr="006969B3" w:rsidRDefault="009C6A6D" w:rsidP="7369B7C9">
      <w:pPr>
        <w:spacing w:after="0" w:line="240" w:lineRule="auto"/>
        <w:jc w:val="both"/>
        <w:rPr>
          <w:rFonts w:ascii="Arial" w:eastAsia="Times New Roman" w:hAnsi="Arial" w:cs="Arial"/>
          <w:sz w:val="20"/>
          <w:szCs w:val="20"/>
          <w:lang w:val="es-CO"/>
        </w:rPr>
      </w:pPr>
      <w:r w:rsidRPr="7369B7C9">
        <w:rPr>
          <w:rFonts w:ascii="Arial" w:eastAsia="Times New Roman" w:hAnsi="Arial" w:cs="Arial"/>
          <w:sz w:val="20"/>
          <w:szCs w:val="20"/>
          <w:lang w:val="es-CO"/>
        </w:rPr>
        <w:t xml:space="preserve">(Ver conceptos: </w:t>
      </w:r>
      <w:hyperlink r:id="rId29">
        <w:r w:rsidRPr="7369B7C9">
          <w:rPr>
            <w:rStyle w:val="Hipervnculo"/>
            <w:rFonts w:ascii="Arial" w:eastAsia="Times New Roman" w:hAnsi="Arial" w:cs="Arial"/>
            <w:sz w:val="20"/>
            <w:szCs w:val="20"/>
            <w:u w:val="none"/>
            <w:lang w:val="es-CO"/>
          </w:rPr>
          <w:t>C</w:t>
        </w:r>
        <w:r w:rsidR="0094161B" w:rsidRPr="7369B7C9">
          <w:rPr>
            <w:rStyle w:val="Hipervnculo"/>
            <w:rFonts w:ascii="Arial" w:eastAsia="Times New Roman" w:hAnsi="Arial" w:cs="Arial"/>
            <w:sz w:val="20"/>
            <w:szCs w:val="20"/>
            <w:u w:val="none"/>
            <w:lang w:val="es-CO"/>
          </w:rPr>
          <w:t>−</w:t>
        </w:r>
        <w:r w:rsidRPr="7369B7C9">
          <w:rPr>
            <w:rStyle w:val="Hipervnculo"/>
            <w:rFonts w:ascii="Arial" w:eastAsia="Times New Roman" w:hAnsi="Arial" w:cs="Arial"/>
            <w:sz w:val="20"/>
            <w:szCs w:val="20"/>
            <w:u w:val="none"/>
            <w:lang w:val="es-CO"/>
          </w:rPr>
          <w:t>238</w:t>
        </w:r>
        <w:r w:rsidR="00A107A7" w:rsidRPr="7369B7C9">
          <w:rPr>
            <w:rStyle w:val="Hipervnculo"/>
            <w:rFonts w:ascii="Arial" w:eastAsia="Times New Roman" w:hAnsi="Arial" w:cs="Arial"/>
            <w:sz w:val="20"/>
            <w:szCs w:val="20"/>
            <w:u w:val="none"/>
            <w:lang w:val="es-CO"/>
          </w:rPr>
          <w:t xml:space="preserve"> del 18/05/2020</w:t>
        </w:r>
      </w:hyperlink>
      <w:r w:rsidR="0094161B" w:rsidRPr="7369B7C9">
        <w:rPr>
          <w:rFonts w:ascii="Arial" w:eastAsia="Times New Roman" w:hAnsi="Arial" w:cs="Arial"/>
          <w:sz w:val="20"/>
          <w:szCs w:val="20"/>
          <w:lang w:val="es-CO"/>
        </w:rPr>
        <w:t xml:space="preserve">; </w:t>
      </w:r>
      <w:hyperlink r:id="rId30">
        <w:r w:rsidR="0094161B" w:rsidRPr="7369B7C9">
          <w:rPr>
            <w:rStyle w:val="Hipervnculo"/>
            <w:rFonts w:ascii="Arial" w:eastAsia="Times New Roman" w:hAnsi="Arial" w:cs="Arial"/>
            <w:sz w:val="20"/>
            <w:szCs w:val="20"/>
            <w:lang w:val="es-CO"/>
          </w:rPr>
          <w:t>C-156 del 03/04/2020,</w:t>
        </w:r>
      </w:hyperlink>
      <w:r w:rsidR="7369B7C9" w:rsidRPr="7369B7C9">
        <w:rPr>
          <w:rFonts w:ascii="Arial" w:eastAsia="Times New Roman" w:hAnsi="Arial" w:cs="Arial"/>
          <w:sz w:val="20"/>
          <w:szCs w:val="20"/>
          <w:lang w:val="es-CO"/>
        </w:rPr>
        <w:t xml:space="preserve"> </w:t>
      </w:r>
      <w:hyperlink r:id="rId31">
        <w:r w:rsidR="7369B7C9" w:rsidRPr="7369B7C9">
          <w:rPr>
            <w:rStyle w:val="Hipervnculo"/>
            <w:rFonts w:ascii="Arial" w:eastAsia="Times New Roman" w:hAnsi="Arial" w:cs="Arial"/>
            <w:sz w:val="20"/>
            <w:szCs w:val="20"/>
            <w:lang w:val="es-CO"/>
          </w:rPr>
          <w:t>C-274 del 19/05/2020</w:t>
        </w:r>
      </w:hyperlink>
    </w:p>
    <w:p w14:paraId="42832FE3" w14:textId="4D23AB7E" w:rsidR="0BD87144" w:rsidRDefault="0BD87144" w:rsidP="0BD87144">
      <w:pPr>
        <w:spacing w:after="0" w:line="240" w:lineRule="auto"/>
        <w:jc w:val="both"/>
        <w:rPr>
          <w:rFonts w:ascii="Arial" w:eastAsia="Times New Roman" w:hAnsi="Arial" w:cs="Arial"/>
          <w:sz w:val="20"/>
          <w:szCs w:val="20"/>
          <w:lang w:val="es-CO"/>
        </w:rPr>
      </w:pPr>
      <w:bookmarkStart w:id="206" w:name="244"/>
    </w:p>
    <w:p w14:paraId="6045BB39" w14:textId="47579CDB" w:rsidR="000A0B01" w:rsidRPr="006969B3" w:rsidRDefault="000A0B01" w:rsidP="00F65283">
      <w:pPr>
        <w:pStyle w:val="centrado"/>
        <w:spacing w:before="0" w:beforeAutospacing="0" w:after="0" w:afterAutospacing="0"/>
        <w:jc w:val="center"/>
        <w:rPr>
          <w:rFonts w:ascii="Arial" w:hAnsi="Arial" w:cs="Arial"/>
          <w:b/>
          <w:bCs/>
          <w:sz w:val="22"/>
          <w:szCs w:val="22"/>
          <w:lang w:val="es-CO"/>
        </w:rPr>
      </w:pPr>
      <w:bookmarkStart w:id="207" w:name="SUBSECCIÓN_2-III-II-II"/>
      <w:r w:rsidRPr="006969B3">
        <w:rPr>
          <w:rFonts w:ascii="Arial" w:hAnsi="Arial" w:cs="Arial"/>
          <w:b/>
          <w:bCs/>
          <w:sz w:val="22"/>
          <w:szCs w:val="22"/>
          <w:lang w:val="es-CO"/>
        </w:rPr>
        <w:t>SUBSECCIÓN 2</w:t>
      </w:r>
      <w:bookmarkEnd w:id="207"/>
    </w:p>
    <w:p w14:paraId="1879F10F" w14:textId="77777777" w:rsidR="00042931" w:rsidRPr="006969B3" w:rsidRDefault="00042931" w:rsidP="00F65283">
      <w:pPr>
        <w:pStyle w:val="centrado"/>
        <w:spacing w:before="0" w:beforeAutospacing="0" w:after="0" w:afterAutospacing="0"/>
        <w:jc w:val="center"/>
        <w:rPr>
          <w:rFonts w:ascii="Arial" w:hAnsi="Arial" w:cs="Arial"/>
          <w:b/>
          <w:bCs/>
          <w:sz w:val="22"/>
          <w:szCs w:val="22"/>
          <w:lang w:val="es-CO"/>
        </w:rPr>
      </w:pPr>
    </w:p>
    <w:p w14:paraId="6E2C744A" w14:textId="07295B4C" w:rsidR="000A0B01" w:rsidRPr="006969B3" w:rsidRDefault="000A0B01" w:rsidP="00F65283">
      <w:pPr>
        <w:pStyle w:val="centrado"/>
        <w:spacing w:before="0" w:beforeAutospacing="0" w:after="0" w:afterAutospacing="0"/>
        <w:jc w:val="center"/>
        <w:rPr>
          <w:rFonts w:ascii="Arial" w:hAnsi="Arial" w:cs="Arial"/>
          <w:b/>
          <w:bCs/>
          <w:sz w:val="22"/>
          <w:szCs w:val="22"/>
          <w:lang w:val="es-CO"/>
        </w:rPr>
      </w:pPr>
      <w:r w:rsidRPr="006969B3">
        <w:rPr>
          <w:rStyle w:val="baj"/>
          <w:rFonts w:ascii="Arial" w:hAnsi="Arial" w:cs="Arial"/>
          <w:b/>
          <w:bCs/>
          <w:sz w:val="22"/>
          <w:szCs w:val="22"/>
          <w:lang w:val="es-CO"/>
        </w:rPr>
        <w:t>EQUIDAD EN EL TRABAJO</w:t>
      </w:r>
    </w:p>
    <w:p w14:paraId="3A761B04" w14:textId="34F124F9" w:rsidR="000A0B01" w:rsidRPr="006969B3" w:rsidRDefault="000A0B01" w:rsidP="00F65283">
      <w:pPr>
        <w:spacing w:after="0" w:line="240" w:lineRule="auto"/>
        <w:rPr>
          <w:rFonts w:ascii="Arial" w:hAnsi="Arial" w:cs="Arial"/>
          <w:lang w:val="es-CO"/>
        </w:rPr>
      </w:pPr>
    </w:p>
    <w:p w14:paraId="5FF74417" w14:textId="119C8167" w:rsidR="000A0B01" w:rsidRPr="006969B3" w:rsidRDefault="000A0B01" w:rsidP="00F65283">
      <w:pPr>
        <w:pStyle w:val="NormalWeb"/>
        <w:spacing w:before="0" w:beforeAutospacing="0" w:after="0" w:afterAutospacing="0"/>
        <w:jc w:val="both"/>
        <w:rPr>
          <w:rFonts w:ascii="Arial" w:hAnsi="Arial" w:cs="Arial"/>
          <w:sz w:val="22"/>
          <w:szCs w:val="22"/>
          <w:lang w:val="es-CO"/>
        </w:rPr>
      </w:pPr>
      <w:bookmarkStart w:id="208" w:name="192"/>
      <w:r w:rsidRPr="006969B3">
        <w:rPr>
          <w:rFonts w:ascii="Arial" w:hAnsi="Arial" w:cs="Arial"/>
          <w:sz w:val="22"/>
          <w:szCs w:val="22"/>
          <w:lang w:val="es-CO"/>
        </w:rPr>
        <w:lastRenderedPageBreak/>
        <w:t>ARTÍCULO 192. PRÁCTICAS LABORALES.</w:t>
      </w:r>
      <w:bookmarkEnd w:id="208"/>
      <w:r w:rsidRPr="006969B3">
        <w:rPr>
          <w:rFonts w:ascii="Arial" w:hAnsi="Arial" w:cs="Arial"/>
          <w:sz w:val="22"/>
          <w:szCs w:val="22"/>
          <w:lang w:val="es-CO"/>
        </w:rPr>
        <w:t> Además de lo previsto en el artículo </w:t>
      </w:r>
      <w:r w:rsidRPr="007B5FFA">
        <w:rPr>
          <w:rFonts w:ascii="Arial" w:hAnsi="Arial" w:cs="Arial"/>
          <w:sz w:val="22"/>
          <w:szCs w:val="22"/>
          <w:lang w:val="es-CO"/>
        </w:rPr>
        <w:t>15</w:t>
      </w:r>
      <w:r w:rsidRPr="006969B3">
        <w:rPr>
          <w:rFonts w:ascii="Arial" w:hAnsi="Arial" w:cs="Arial"/>
          <w:sz w:val="22"/>
          <w:szCs w:val="22"/>
          <w:lang w:val="es-CO"/>
        </w:rPr>
        <w:t> de la Ley 1780 de 2016, las prácticas laborales podrán desarrollarse por estudiantes de educación superior de posgrado, de educación para el trabajo y desarrollo humano, de formación profesional integral del SENA, así como de toda la oferta de formación por competencias.</w:t>
      </w:r>
    </w:p>
    <w:p w14:paraId="1A868CF0"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2BFC05D1" w14:textId="77777777" w:rsidR="000A0B01" w:rsidRPr="006969B3" w:rsidRDefault="000A0B01"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El tiempo de la práctica laboral que el estudiante realice para optar a su título de profesional, tecnológico o técnico cuenta como experiencia laboral, sin perjuicio de las disposiciones vigentes en la materia.</w:t>
      </w:r>
    </w:p>
    <w:p w14:paraId="5479FDA0" w14:textId="77777777" w:rsidR="0094161B" w:rsidRPr="006969B3" w:rsidRDefault="0094161B" w:rsidP="00F65283">
      <w:pPr>
        <w:pStyle w:val="NormalWeb"/>
        <w:spacing w:before="0" w:beforeAutospacing="0" w:after="0" w:afterAutospacing="0"/>
        <w:jc w:val="both"/>
        <w:rPr>
          <w:rStyle w:val="baj"/>
          <w:rFonts w:ascii="Arial" w:hAnsi="Arial" w:cs="Arial"/>
          <w:sz w:val="22"/>
          <w:szCs w:val="22"/>
          <w:lang w:val="es-CO"/>
        </w:rPr>
      </w:pPr>
    </w:p>
    <w:p w14:paraId="7E77E622" w14:textId="36D996C6" w:rsidR="000A0B01" w:rsidRPr="006969B3" w:rsidRDefault="000A0B01"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xml:space="preserve"> Las prácticas laborales realizadas durante los veinticuatro (24) meses anteriores a la </w:t>
      </w:r>
      <w:proofErr w:type="gramStart"/>
      <w:r w:rsidRPr="006969B3">
        <w:rPr>
          <w:rFonts w:ascii="Arial" w:hAnsi="Arial" w:cs="Arial"/>
          <w:sz w:val="22"/>
          <w:szCs w:val="22"/>
          <w:lang w:val="es-CO"/>
        </w:rPr>
        <w:t>entrada en vigencia</w:t>
      </w:r>
      <w:proofErr w:type="gramEnd"/>
      <w:r w:rsidRPr="006969B3">
        <w:rPr>
          <w:rFonts w:ascii="Arial" w:hAnsi="Arial" w:cs="Arial"/>
          <w:sz w:val="22"/>
          <w:szCs w:val="22"/>
          <w:lang w:val="es-CO"/>
        </w:rPr>
        <w:t xml:space="preserve"> de la presente Ley, serán tenidas en cuenta al momento de contabilizar el tiempo de experiencia laboral.</w:t>
      </w:r>
    </w:p>
    <w:p w14:paraId="14D70885" w14:textId="77777777" w:rsidR="0094161B" w:rsidRPr="006969B3" w:rsidRDefault="0094161B" w:rsidP="00F65283">
      <w:pPr>
        <w:pStyle w:val="NormalWeb"/>
        <w:spacing w:before="0" w:beforeAutospacing="0" w:after="0" w:afterAutospacing="0"/>
        <w:jc w:val="both"/>
        <w:rPr>
          <w:rStyle w:val="baj"/>
          <w:rFonts w:ascii="Arial" w:hAnsi="Arial" w:cs="Arial"/>
          <w:sz w:val="22"/>
          <w:szCs w:val="22"/>
          <w:lang w:val="es-CO"/>
        </w:rPr>
      </w:pPr>
    </w:p>
    <w:p w14:paraId="58C4A3EE" w14:textId="6703B8D7" w:rsidR="000A0B01" w:rsidRPr="006969B3" w:rsidRDefault="000A0B01"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3o.</w:t>
      </w:r>
      <w:r w:rsidRPr="006969B3">
        <w:rPr>
          <w:rFonts w:ascii="Arial" w:hAnsi="Arial" w:cs="Arial"/>
          <w:sz w:val="22"/>
          <w:szCs w:val="22"/>
          <w:lang w:val="es-CO"/>
        </w:rPr>
        <w:t> Se exceptúan de lo dispuesto en el presente artículo, los estudiantes de posgrado del sector salud.</w:t>
      </w:r>
    </w:p>
    <w:p w14:paraId="6310A945" w14:textId="77777777" w:rsidR="0094161B" w:rsidRPr="006969B3" w:rsidRDefault="0094161B" w:rsidP="00F65283">
      <w:pPr>
        <w:pStyle w:val="NormalWeb"/>
        <w:spacing w:before="0" w:beforeAutospacing="0" w:after="0" w:afterAutospacing="0"/>
        <w:jc w:val="both"/>
        <w:rPr>
          <w:rStyle w:val="baj"/>
          <w:rFonts w:ascii="Arial" w:hAnsi="Arial" w:cs="Arial"/>
          <w:sz w:val="22"/>
          <w:szCs w:val="22"/>
          <w:lang w:val="es-CO"/>
        </w:rPr>
      </w:pPr>
    </w:p>
    <w:p w14:paraId="0AD1CBCA" w14:textId="186E85D3" w:rsidR="000A0B01" w:rsidRPr="006969B3" w:rsidRDefault="000A0B01"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4o.</w:t>
      </w:r>
      <w:r w:rsidRPr="006969B3">
        <w:rPr>
          <w:rFonts w:ascii="Arial" w:hAnsi="Arial" w:cs="Arial"/>
          <w:sz w:val="22"/>
          <w:szCs w:val="22"/>
          <w:lang w:val="es-CO"/>
        </w:rPr>
        <w:t> En el sector público se generarán oportunidades de prácticas laborales para estudiantes de administración pública.</w:t>
      </w:r>
    </w:p>
    <w:p w14:paraId="1380E9D2"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28CFE904" w14:textId="17096201" w:rsidR="0027174A" w:rsidRPr="002C7C74" w:rsidRDefault="0027174A" w:rsidP="7369B7C9">
      <w:pPr>
        <w:spacing w:after="0"/>
        <w:rPr>
          <w:rFonts w:ascii="Arial" w:eastAsia="Arial" w:hAnsi="Arial" w:cs="Arial"/>
          <w:sz w:val="20"/>
          <w:szCs w:val="20"/>
          <w:lang w:val="es-CO"/>
        </w:rPr>
      </w:pPr>
      <w:r w:rsidRPr="002C7C74">
        <w:rPr>
          <w:rFonts w:ascii="Arial" w:hAnsi="Arial" w:cs="Arial"/>
          <w:sz w:val="20"/>
          <w:szCs w:val="20"/>
          <w:lang w:val="es-CO"/>
        </w:rPr>
        <w:t>(Ver conceptos:</w:t>
      </w:r>
      <w:r w:rsidR="0094161B" w:rsidRPr="002C7C74">
        <w:rPr>
          <w:rFonts w:ascii="Arial" w:hAnsi="Arial" w:cs="Arial"/>
          <w:sz w:val="20"/>
          <w:szCs w:val="20"/>
          <w:lang w:val="es-CO"/>
        </w:rPr>
        <w:t xml:space="preserve"> </w:t>
      </w:r>
      <w:hyperlink r:id="rId32">
        <w:r w:rsidR="0094161B" w:rsidRPr="002C7C74">
          <w:rPr>
            <w:rStyle w:val="Hipervnculo"/>
            <w:rFonts w:ascii="Arial" w:eastAsia="Arial" w:hAnsi="Arial" w:cs="Arial"/>
            <w:sz w:val="20"/>
            <w:szCs w:val="20"/>
            <w:u w:val="none"/>
            <w:lang w:val="es-CO"/>
          </w:rPr>
          <w:t>C−235 del 15/04/2019</w:t>
        </w:r>
      </w:hyperlink>
      <w:r w:rsidR="0094161B" w:rsidRPr="002C7C74">
        <w:rPr>
          <w:rFonts w:ascii="Arial" w:eastAsia="Arial" w:hAnsi="Arial" w:cs="Arial"/>
          <w:sz w:val="20"/>
          <w:szCs w:val="20"/>
          <w:lang w:val="es-CO"/>
        </w:rPr>
        <w:t xml:space="preserve">, </w:t>
      </w:r>
      <w:hyperlink r:id="rId33">
        <w:r w:rsidR="259F224D" w:rsidRPr="002C7C74">
          <w:rPr>
            <w:rStyle w:val="Hipervnculo"/>
            <w:rFonts w:ascii="Arial" w:eastAsia="Arial" w:hAnsi="Arial" w:cs="Arial"/>
            <w:sz w:val="20"/>
            <w:szCs w:val="20"/>
            <w:u w:val="none"/>
            <w:lang w:val="es-CO"/>
          </w:rPr>
          <w:t>C</w:t>
        </w:r>
        <w:r w:rsidR="0094161B" w:rsidRPr="002C7C74">
          <w:rPr>
            <w:rStyle w:val="Hipervnculo"/>
            <w:rFonts w:ascii="Arial" w:eastAsia="Arial" w:hAnsi="Arial" w:cs="Arial"/>
            <w:sz w:val="20"/>
            <w:szCs w:val="20"/>
            <w:u w:val="none"/>
            <w:lang w:val="es-CO"/>
          </w:rPr>
          <w:t>−</w:t>
        </w:r>
        <w:r w:rsidR="259F224D" w:rsidRPr="002C7C74">
          <w:rPr>
            <w:rStyle w:val="Hipervnculo"/>
            <w:rFonts w:ascii="Arial" w:eastAsia="Arial" w:hAnsi="Arial" w:cs="Arial"/>
            <w:sz w:val="20"/>
            <w:szCs w:val="20"/>
            <w:u w:val="none"/>
            <w:lang w:val="es-CO"/>
          </w:rPr>
          <w:t>451 del 14/07/2020</w:t>
        </w:r>
      </w:hyperlink>
      <w:r w:rsidR="259F224D" w:rsidRPr="002C7C74">
        <w:rPr>
          <w:rFonts w:ascii="Arial" w:eastAsia="Arial" w:hAnsi="Arial" w:cs="Arial"/>
          <w:sz w:val="20"/>
          <w:szCs w:val="20"/>
          <w:lang w:val="es-CO"/>
        </w:rPr>
        <w:t xml:space="preserve">, </w:t>
      </w:r>
      <w:hyperlink r:id="rId34">
        <w:r w:rsidR="578059C9" w:rsidRPr="002C7C74">
          <w:rPr>
            <w:rStyle w:val="Hipervnculo"/>
            <w:rFonts w:ascii="Arial" w:eastAsia="Arial" w:hAnsi="Arial" w:cs="Arial"/>
            <w:sz w:val="20"/>
            <w:szCs w:val="20"/>
            <w:u w:val="none"/>
            <w:lang w:val="es-CO"/>
          </w:rPr>
          <w:t>C</w:t>
        </w:r>
        <w:r w:rsidR="0094161B" w:rsidRPr="002C7C74">
          <w:rPr>
            <w:rStyle w:val="Hipervnculo"/>
            <w:rFonts w:ascii="Arial" w:eastAsia="Arial" w:hAnsi="Arial" w:cs="Arial"/>
            <w:sz w:val="20"/>
            <w:szCs w:val="20"/>
            <w:u w:val="none"/>
            <w:lang w:val="es-CO"/>
          </w:rPr>
          <w:t>−</w:t>
        </w:r>
        <w:r w:rsidR="578059C9" w:rsidRPr="002C7C74">
          <w:rPr>
            <w:rStyle w:val="Hipervnculo"/>
            <w:rFonts w:ascii="Arial" w:eastAsia="Arial" w:hAnsi="Arial" w:cs="Arial"/>
            <w:sz w:val="20"/>
            <w:szCs w:val="20"/>
            <w:u w:val="none"/>
            <w:lang w:val="es-CO"/>
          </w:rPr>
          <w:t>317 del 11</w:t>
        </w:r>
        <w:r w:rsidR="0094161B" w:rsidRPr="002C7C74">
          <w:rPr>
            <w:rStyle w:val="Hipervnculo"/>
            <w:rFonts w:ascii="Arial" w:eastAsia="Arial" w:hAnsi="Arial" w:cs="Arial"/>
            <w:sz w:val="20"/>
            <w:szCs w:val="20"/>
            <w:u w:val="none"/>
            <w:lang w:val="es-CO"/>
          </w:rPr>
          <w:t>/0</w:t>
        </w:r>
        <w:r w:rsidR="578059C9" w:rsidRPr="002C7C74">
          <w:rPr>
            <w:rStyle w:val="Hipervnculo"/>
            <w:rFonts w:ascii="Arial" w:eastAsia="Arial" w:hAnsi="Arial" w:cs="Arial"/>
            <w:sz w:val="20"/>
            <w:szCs w:val="20"/>
            <w:u w:val="none"/>
            <w:lang w:val="es-CO"/>
          </w:rPr>
          <w:t>6</w:t>
        </w:r>
        <w:r w:rsidR="0094161B" w:rsidRPr="002C7C74">
          <w:rPr>
            <w:rStyle w:val="Hipervnculo"/>
            <w:rFonts w:ascii="Arial" w:eastAsia="Arial" w:hAnsi="Arial" w:cs="Arial"/>
            <w:sz w:val="20"/>
            <w:szCs w:val="20"/>
            <w:u w:val="none"/>
            <w:lang w:val="es-CO"/>
          </w:rPr>
          <w:t>/</w:t>
        </w:r>
        <w:r w:rsidR="578059C9" w:rsidRPr="002C7C74">
          <w:rPr>
            <w:rStyle w:val="Hipervnculo"/>
            <w:rFonts w:ascii="Arial" w:eastAsia="Arial" w:hAnsi="Arial" w:cs="Arial"/>
            <w:sz w:val="20"/>
            <w:szCs w:val="20"/>
            <w:u w:val="none"/>
            <w:lang w:val="es-CO"/>
          </w:rPr>
          <w:t>2020</w:t>
        </w:r>
      </w:hyperlink>
      <w:r w:rsidR="20B7CBB9" w:rsidRPr="002C7C74">
        <w:rPr>
          <w:rFonts w:ascii="Arial" w:eastAsia="Arial" w:hAnsi="Arial" w:cs="Arial"/>
          <w:sz w:val="20"/>
          <w:szCs w:val="20"/>
          <w:lang w:val="es-CO"/>
        </w:rPr>
        <w:t xml:space="preserve">, </w:t>
      </w:r>
      <w:hyperlink r:id="rId35">
        <w:r w:rsidR="20B7CBB9" w:rsidRPr="002C7C74">
          <w:rPr>
            <w:rStyle w:val="Hipervnculo"/>
            <w:rFonts w:ascii="Arial" w:eastAsia="Arial" w:hAnsi="Arial" w:cs="Arial"/>
            <w:sz w:val="20"/>
            <w:szCs w:val="20"/>
            <w:u w:val="none"/>
            <w:lang w:val="es-CO"/>
          </w:rPr>
          <w:t>C</w:t>
        </w:r>
        <w:r w:rsidR="0094161B" w:rsidRPr="002C7C74">
          <w:rPr>
            <w:rStyle w:val="Hipervnculo"/>
            <w:rFonts w:ascii="Arial" w:eastAsia="Arial" w:hAnsi="Arial" w:cs="Arial"/>
            <w:sz w:val="20"/>
            <w:szCs w:val="20"/>
            <w:u w:val="none"/>
            <w:lang w:val="es-CO"/>
          </w:rPr>
          <w:t>−</w:t>
        </w:r>
        <w:r w:rsidR="20B7CBB9" w:rsidRPr="002C7C74">
          <w:rPr>
            <w:rStyle w:val="Hipervnculo"/>
            <w:rFonts w:ascii="Arial" w:eastAsia="Arial" w:hAnsi="Arial" w:cs="Arial"/>
            <w:sz w:val="20"/>
            <w:szCs w:val="20"/>
            <w:u w:val="none"/>
            <w:lang w:val="es-CO"/>
          </w:rPr>
          <w:t>337 del 26</w:t>
        </w:r>
        <w:r w:rsidR="0094161B" w:rsidRPr="002C7C74">
          <w:rPr>
            <w:rStyle w:val="Hipervnculo"/>
            <w:rFonts w:ascii="Arial" w:eastAsia="Arial" w:hAnsi="Arial" w:cs="Arial"/>
            <w:sz w:val="20"/>
            <w:szCs w:val="20"/>
            <w:u w:val="none"/>
            <w:lang w:val="es-CO"/>
          </w:rPr>
          <w:t>/0</w:t>
        </w:r>
        <w:r w:rsidR="20B7CBB9" w:rsidRPr="002C7C74">
          <w:rPr>
            <w:rStyle w:val="Hipervnculo"/>
            <w:rFonts w:ascii="Arial" w:eastAsia="Arial" w:hAnsi="Arial" w:cs="Arial"/>
            <w:sz w:val="20"/>
            <w:szCs w:val="20"/>
            <w:u w:val="none"/>
            <w:lang w:val="es-CO"/>
          </w:rPr>
          <w:t>6</w:t>
        </w:r>
        <w:r w:rsidR="0094161B" w:rsidRPr="002C7C74">
          <w:rPr>
            <w:rStyle w:val="Hipervnculo"/>
            <w:rFonts w:ascii="Arial" w:eastAsia="Arial" w:hAnsi="Arial" w:cs="Arial"/>
            <w:sz w:val="20"/>
            <w:szCs w:val="20"/>
            <w:u w:val="none"/>
            <w:lang w:val="es-CO"/>
          </w:rPr>
          <w:t>/</w:t>
        </w:r>
        <w:r w:rsidR="20B7CBB9" w:rsidRPr="002C7C74">
          <w:rPr>
            <w:rStyle w:val="Hipervnculo"/>
            <w:rFonts w:ascii="Arial" w:eastAsia="Arial" w:hAnsi="Arial" w:cs="Arial"/>
            <w:sz w:val="20"/>
            <w:szCs w:val="20"/>
            <w:u w:val="none"/>
            <w:lang w:val="es-CO"/>
          </w:rPr>
          <w:t>2020</w:t>
        </w:r>
      </w:hyperlink>
      <w:r w:rsidR="20B7CBB9" w:rsidRPr="002C7C74">
        <w:rPr>
          <w:rFonts w:ascii="Arial" w:eastAsia="Arial" w:hAnsi="Arial" w:cs="Arial"/>
          <w:sz w:val="20"/>
          <w:szCs w:val="20"/>
          <w:lang w:val="es-CO"/>
        </w:rPr>
        <w:t xml:space="preserve">, </w:t>
      </w:r>
      <w:hyperlink r:id="rId36">
        <w:r w:rsidR="20B7CBB9" w:rsidRPr="002C7C74">
          <w:rPr>
            <w:rStyle w:val="Hipervnculo"/>
            <w:rFonts w:ascii="Arial" w:eastAsia="Arial" w:hAnsi="Arial" w:cs="Arial"/>
            <w:sz w:val="20"/>
            <w:szCs w:val="20"/>
            <w:u w:val="none"/>
            <w:lang w:val="es-CO"/>
          </w:rPr>
          <w:t>C</w:t>
        </w:r>
        <w:r w:rsidR="0094161B" w:rsidRPr="002C7C74">
          <w:rPr>
            <w:rStyle w:val="Hipervnculo"/>
            <w:rFonts w:ascii="Arial" w:eastAsia="Arial" w:hAnsi="Arial" w:cs="Arial"/>
            <w:sz w:val="20"/>
            <w:szCs w:val="20"/>
            <w:u w:val="none"/>
            <w:lang w:val="es-CO"/>
          </w:rPr>
          <w:t>−</w:t>
        </w:r>
        <w:r w:rsidR="20B7CBB9" w:rsidRPr="002C7C74">
          <w:rPr>
            <w:rStyle w:val="Hipervnculo"/>
            <w:rFonts w:ascii="Arial" w:eastAsia="Arial" w:hAnsi="Arial" w:cs="Arial"/>
            <w:sz w:val="20"/>
            <w:szCs w:val="20"/>
            <w:u w:val="none"/>
            <w:lang w:val="es-CO"/>
          </w:rPr>
          <w:t>353 del 30</w:t>
        </w:r>
        <w:r w:rsidR="0094161B" w:rsidRPr="002C7C74">
          <w:rPr>
            <w:rStyle w:val="Hipervnculo"/>
            <w:rFonts w:ascii="Arial" w:eastAsia="Arial" w:hAnsi="Arial" w:cs="Arial"/>
            <w:sz w:val="20"/>
            <w:szCs w:val="20"/>
            <w:u w:val="none"/>
            <w:lang w:val="es-CO"/>
          </w:rPr>
          <w:t>/0</w:t>
        </w:r>
        <w:r w:rsidR="20B7CBB9" w:rsidRPr="002C7C74">
          <w:rPr>
            <w:rStyle w:val="Hipervnculo"/>
            <w:rFonts w:ascii="Arial" w:eastAsia="Arial" w:hAnsi="Arial" w:cs="Arial"/>
            <w:sz w:val="20"/>
            <w:szCs w:val="20"/>
            <w:u w:val="none"/>
            <w:lang w:val="es-CO"/>
          </w:rPr>
          <w:t>6</w:t>
        </w:r>
        <w:r w:rsidR="0094161B" w:rsidRPr="002C7C74">
          <w:rPr>
            <w:rStyle w:val="Hipervnculo"/>
            <w:rFonts w:ascii="Arial" w:eastAsia="Arial" w:hAnsi="Arial" w:cs="Arial"/>
            <w:sz w:val="20"/>
            <w:szCs w:val="20"/>
            <w:u w:val="none"/>
            <w:lang w:val="es-CO"/>
          </w:rPr>
          <w:t>/</w:t>
        </w:r>
        <w:r w:rsidR="20B7CBB9" w:rsidRPr="002C7C74">
          <w:rPr>
            <w:rStyle w:val="Hipervnculo"/>
            <w:rFonts w:ascii="Arial" w:eastAsia="Arial" w:hAnsi="Arial" w:cs="Arial"/>
            <w:sz w:val="20"/>
            <w:szCs w:val="20"/>
            <w:u w:val="none"/>
            <w:lang w:val="es-CO"/>
          </w:rPr>
          <w:t>2020</w:t>
        </w:r>
      </w:hyperlink>
      <w:r w:rsidR="002B6362" w:rsidRPr="002C7C74">
        <w:rPr>
          <w:rFonts w:ascii="Arial" w:eastAsia="Arial" w:hAnsi="Arial" w:cs="Arial"/>
          <w:sz w:val="20"/>
          <w:szCs w:val="20"/>
          <w:lang w:val="es-CO"/>
        </w:rPr>
        <w:t xml:space="preserve">, </w:t>
      </w:r>
      <w:hyperlink r:id="rId37">
        <w:r w:rsidR="002B6362" w:rsidRPr="002C7C74">
          <w:rPr>
            <w:rStyle w:val="Hipervnculo"/>
            <w:rFonts w:ascii="Arial" w:eastAsia="Arial" w:hAnsi="Arial" w:cs="Arial"/>
            <w:sz w:val="20"/>
            <w:szCs w:val="20"/>
            <w:u w:val="none"/>
            <w:lang w:val="es-CO"/>
          </w:rPr>
          <w:t>C</w:t>
        </w:r>
        <w:r w:rsidR="0094161B" w:rsidRPr="002C7C74">
          <w:rPr>
            <w:rStyle w:val="Hipervnculo"/>
            <w:rFonts w:ascii="Arial" w:eastAsia="Arial" w:hAnsi="Arial" w:cs="Arial"/>
            <w:sz w:val="20"/>
            <w:szCs w:val="20"/>
            <w:u w:val="none"/>
            <w:lang w:val="es-CO"/>
          </w:rPr>
          <w:t>−</w:t>
        </w:r>
        <w:r w:rsidR="002B6362" w:rsidRPr="002C7C74">
          <w:rPr>
            <w:rStyle w:val="Hipervnculo"/>
            <w:rFonts w:ascii="Arial" w:eastAsia="Arial" w:hAnsi="Arial" w:cs="Arial"/>
            <w:sz w:val="20"/>
            <w:szCs w:val="20"/>
            <w:u w:val="none"/>
            <w:lang w:val="es-CO"/>
          </w:rPr>
          <w:t xml:space="preserve">457 del </w:t>
        </w:r>
        <w:r w:rsidR="0094161B" w:rsidRPr="002C7C74">
          <w:rPr>
            <w:rStyle w:val="Hipervnculo"/>
            <w:rFonts w:ascii="Arial" w:eastAsia="Arial" w:hAnsi="Arial" w:cs="Arial"/>
            <w:sz w:val="20"/>
            <w:szCs w:val="20"/>
            <w:u w:val="none"/>
            <w:lang w:val="es-CO"/>
          </w:rPr>
          <w:t>0</w:t>
        </w:r>
        <w:r w:rsidR="002B6362" w:rsidRPr="002C7C74">
          <w:rPr>
            <w:rStyle w:val="Hipervnculo"/>
            <w:rFonts w:ascii="Arial" w:eastAsia="Arial" w:hAnsi="Arial" w:cs="Arial"/>
            <w:sz w:val="20"/>
            <w:szCs w:val="20"/>
            <w:u w:val="none"/>
            <w:lang w:val="es-CO"/>
          </w:rPr>
          <w:t>7/07/2020</w:t>
        </w:r>
      </w:hyperlink>
      <w:r w:rsidR="1E230B3A" w:rsidRPr="002C7C74">
        <w:rPr>
          <w:rFonts w:ascii="Arial" w:eastAsia="Arial" w:hAnsi="Arial" w:cs="Arial"/>
          <w:sz w:val="20"/>
          <w:szCs w:val="20"/>
          <w:lang w:val="es-CO"/>
        </w:rPr>
        <w:t xml:space="preserve">, </w:t>
      </w:r>
      <w:hyperlink r:id="rId38">
        <w:r w:rsidR="1E230B3A" w:rsidRPr="002C7C74">
          <w:rPr>
            <w:rStyle w:val="Hipervnculo"/>
            <w:rFonts w:ascii="Arial" w:eastAsia="Arial" w:hAnsi="Arial" w:cs="Arial"/>
            <w:sz w:val="20"/>
            <w:szCs w:val="20"/>
            <w:lang w:val="es"/>
          </w:rPr>
          <w:t>C-561 del 25/08/2020</w:t>
        </w:r>
      </w:hyperlink>
      <w:r w:rsidR="05DC0C59" w:rsidRPr="002C7C74">
        <w:rPr>
          <w:rFonts w:ascii="Arial" w:eastAsia="Arial" w:hAnsi="Arial" w:cs="Arial"/>
          <w:sz w:val="20"/>
          <w:szCs w:val="20"/>
          <w:lang w:val="es"/>
        </w:rPr>
        <w:t xml:space="preserve">, </w:t>
      </w:r>
      <w:hyperlink r:id="rId39">
        <w:r w:rsidR="05DC0C59" w:rsidRPr="002C7C74">
          <w:rPr>
            <w:rStyle w:val="Hipervnculo"/>
            <w:rFonts w:ascii="Arial" w:eastAsia="Arial" w:hAnsi="Arial" w:cs="Arial"/>
            <w:sz w:val="20"/>
            <w:szCs w:val="20"/>
            <w:lang w:val="es"/>
          </w:rPr>
          <w:t>C-566 del 27/08/2020</w:t>
        </w:r>
      </w:hyperlink>
      <w:r w:rsidR="0DA086D8" w:rsidRPr="002C7C74">
        <w:rPr>
          <w:rFonts w:ascii="Arial" w:eastAsia="Arial" w:hAnsi="Arial" w:cs="Arial"/>
          <w:sz w:val="20"/>
          <w:szCs w:val="20"/>
          <w:lang w:val="es-CO"/>
        </w:rPr>
        <w:t xml:space="preserve">, </w:t>
      </w:r>
      <w:hyperlink r:id="rId40">
        <w:r w:rsidR="0DA086D8" w:rsidRPr="002C7C74">
          <w:rPr>
            <w:rStyle w:val="Hipervnculo"/>
            <w:rFonts w:ascii="Arial" w:eastAsia="Arial" w:hAnsi="Arial" w:cs="Arial"/>
            <w:sz w:val="20"/>
            <w:szCs w:val="20"/>
            <w:lang w:val="es-CO"/>
          </w:rPr>
          <w:t>C-120 del 29/03/2021,</w:t>
        </w:r>
      </w:hyperlink>
      <w:r w:rsidR="7369B7C9" w:rsidRPr="002C7C74">
        <w:rPr>
          <w:rFonts w:ascii="Arial" w:eastAsia="Arial" w:hAnsi="Arial" w:cs="Arial"/>
          <w:sz w:val="20"/>
          <w:szCs w:val="20"/>
          <w:lang w:val="es-CO"/>
        </w:rPr>
        <w:t xml:space="preserve"> </w:t>
      </w:r>
      <w:hyperlink r:id="rId41">
        <w:r w:rsidR="7369B7C9" w:rsidRPr="002C7C74">
          <w:rPr>
            <w:rStyle w:val="Hipervnculo"/>
            <w:rFonts w:ascii="Arial" w:eastAsia="Arial" w:hAnsi="Arial" w:cs="Arial"/>
            <w:sz w:val="20"/>
            <w:szCs w:val="20"/>
            <w:lang w:val="es-CO"/>
          </w:rPr>
          <w:t>C-355 del 04/06/2020,</w:t>
        </w:r>
      </w:hyperlink>
      <w:r w:rsidR="7369B7C9" w:rsidRPr="002C7C74">
        <w:rPr>
          <w:rFonts w:ascii="Arial" w:eastAsia="Arial" w:hAnsi="Arial" w:cs="Arial"/>
          <w:sz w:val="20"/>
          <w:szCs w:val="20"/>
          <w:lang w:val="es-CO"/>
        </w:rPr>
        <w:t xml:space="preserve"> </w:t>
      </w:r>
      <w:hyperlink r:id="rId42">
        <w:r w:rsidR="7369B7C9" w:rsidRPr="002C7C74">
          <w:rPr>
            <w:rStyle w:val="Hipervnculo"/>
            <w:rFonts w:ascii="Arial" w:eastAsia="Arial" w:hAnsi="Arial" w:cs="Arial"/>
            <w:sz w:val="20"/>
            <w:szCs w:val="20"/>
            <w:lang w:val="es-CO"/>
          </w:rPr>
          <w:t>C-471 del 22/07/2022</w:t>
        </w:r>
      </w:hyperlink>
    </w:p>
    <w:p w14:paraId="047D4C6A" w14:textId="77777777" w:rsidR="0094161B" w:rsidRPr="006969B3" w:rsidRDefault="0094161B" w:rsidP="00F65283">
      <w:pPr>
        <w:pStyle w:val="NormalWeb"/>
        <w:spacing w:before="0" w:beforeAutospacing="0" w:after="0" w:afterAutospacing="0"/>
        <w:jc w:val="both"/>
        <w:rPr>
          <w:rFonts w:ascii="Arial" w:hAnsi="Arial" w:cs="Arial"/>
          <w:sz w:val="20"/>
          <w:szCs w:val="20"/>
          <w:lang w:val="es-CO"/>
        </w:rPr>
      </w:pPr>
    </w:p>
    <w:p w14:paraId="08E97515" w14:textId="55E943AA" w:rsidR="00095FEF" w:rsidRPr="006969B3" w:rsidRDefault="00095FEF" w:rsidP="00F65283">
      <w:pPr>
        <w:pStyle w:val="NormalWeb"/>
        <w:spacing w:before="0" w:beforeAutospacing="0" w:after="0" w:afterAutospacing="0"/>
        <w:jc w:val="both"/>
        <w:rPr>
          <w:rFonts w:ascii="Arial" w:hAnsi="Arial" w:cs="Arial"/>
          <w:sz w:val="22"/>
          <w:szCs w:val="22"/>
          <w:lang w:val="es-CO"/>
        </w:rPr>
      </w:pPr>
      <w:bookmarkStart w:id="209" w:name="193"/>
      <w:r w:rsidRPr="006969B3">
        <w:rPr>
          <w:rFonts w:ascii="Arial" w:hAnsi="Arial" w:cs="Arial"/>
          <w:sz w:val="22"/>
          <w:szCs w:val="22"/>
          <w:lang w:val="es-CO"/>
        </w:rPr>
        <w:t>ARTÍCULO 193. PISO DE PROTECCIÓN SOCIAL PARA PERSONAS CON INGRESOS INFERIORES A UN SALARIO MÍNIMO.</w:t>
      </w:r>
      <w:bookmarkEnd w:id="209"/>
      <w:r w:rsidRPr="006969B3">
        <w:rPr>
          <w:rFonts w:ascii="Arial" w:hAnsi="Arial" w:cs="Arial"/>
          <w:sz w:val="22"/>
          <w:szCs w:val="22"/>
          <w:lang w:val="es-CO"/>
        </w:rPr>
        <w:t xml:space="preserve"> Las personas que tengan relación contractual laboral o por prestación de servicios, por tiempo parcial y que en virtud de ello perciban un ingreso mensual inferior a un (1) Salario Mínimo Mensual Legal Vigente (SMLMV) deberán vincularse al Piso de Protección Social que estará integrado por: i) el Régimen Subsidiado del Sistema General de Seguridad en Salud, </w:t>
      </w:r>
      <w:proofErr w:type="spellStart"/>
      <w:r w:rsidRPr="006969B3">
        <w:rPr>
          <w:rFonts w:ascii="Arial" w:hAnsi="Arial" w:cs="Arial"/>
          <w:sz w:val="22"/>
          <w:szCs w:val="22"/>
          <w:lang w:val="es-CO"/>
        </w:rPr>
        <w:t>ii</w:t>
      </w:r>
      <w:proofErr w:type="spellEnd"/>
      <w:r w:rsidRPr="006969B3">
        <w:rPr>
          <w:rFonts w:ascii="Arial" w:hAnsi="Arial" w:cs="Arial"/>
          <w:sz w:val="22"/>
          <w:szCs w:val="22"/>
          <w:lang w:val="es-CO"/>
        </w:rPr>
        <w:t xml:space="preserve">) el Servicio Social Complementario de Beneficios Económicos Periódicos (BEPS) como mecanismo de protección en la vejez y </w:t>
      </w:r>
      <w:proofErr w:type="spellStart"/>
      <w:r w:rsidRPr="006969B3">
        <w:rPr>
          <w:rFonts w:ascii="Arial" w:hAnsi="Arial" w:cs="Arial"/>
          <w:sz w:val="22"/>
          <w:szCs w:val="22"/>
          <w:lang w:val="es-CO"/>
        </w:rPr>
        <w:t>iii</w:t>
      </w:r>
      <w:proofErr w:type="spellEnd"/>
      <w:r w:rsidRPr="006969B3">
        <w:rPr>
          <w:rFonts w:ascii="Arial" w:hAnsi="Arial" w:cs="Arial"/>
          <w:sz w:val="22"/>
          <w:szCs w:val="22"/>
          <w:lang w:val="es-CO"/>
        </w:rPr>
        <w:t>) el Seguro Inclusivo que amparará al trabajador de los riesgos derivados de la actividad laboral y de las enfermedades cubiertas por BEPS.</w:t>
      </w:r>
    </w:p>
    <w:p w14:paraId="70D5C3B2"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7F3D5ADA" w14:textId="109BEC64"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En estos eventos el aporte al programa de los Beneficios Económicos Periódicos (BEPS) deberá ser asumido enteramente por el empleador o el contratante y corresponderá al 15% del ingreso mensual del trabajador o contratista. De este monto se destinará el 1% para financiar el Fondo de Riesgos Laborales, con el fin de atender el pago de la prima del Seguro Inclusivo.</w:t>
      </w:r>
    </w:p>
    <w:p w14:paraId="48C8631D"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6FD34E2F" w14:textId="4A8F1E82"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Sin perjuicio de lo anterior, las personas que no tengan una vinculación laboral o no hayan suscrito un contrato de prestación de servicios y no tengan capacidad de pago para cubrir el monto total de la cotización al Sistema Integral de Seguridad Social podrán afiliarse y/o vincularse bajo la modalidad del piso de protección social de que trata este artículo y serán los responsables de realizar el aporte al programa BEPS y el pago del seguro inclusivo. En todo caso, las personas deberán cumplir con los requisitos de acceso o pertenencia a los diferentes componentes del piso de protección social.</w:t>
      </w:r>
    </w:p>
    <w:p w14:paraId="6F924C4C"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186B5DFC" w14:textId="5A85EF1A"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En ningún caso el ahorro en el mecanismo de los Beneficios Económicos Periódicos podrá ser inferior al tope mínimo establecido para ese Servicio Social Complementario.</w:t>
      </w:r>
    </w:p>
    <w:p w14:paraId="5F329D13"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6A01383A" w14:textId="33C0B992"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El Gobierno nacional reglamentará la materia; así mismo podrá establecer mecanismos para que los vinculados al programa BEPS, realicen ahorros en este servicio social complementario de forma conjunta con la adquisición de bienes y servicios, y para que los trabajadores dependientes cobijados por el presente artículo tengan acceso al sistema de subsidio familiar.</w:t>
      </w:r>
    </w:p>
    <w:p w14:paraId="039BDD73"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4BD7054D" w14:textId="0D8B3C3A"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3o.</w:t>
      </w:r>
      <w:r w:rsidRPr="006969B3">
        <w:rPr>
          <w:rFonts w:ascii="Arial" w:hAnsi="Arial" w:cs="Arial"/>
          <w:sz w:val="22"/>
          <w:szCs w:val="22"/>
          <w:lang w:val="es-CO"/>
        </w:rPr>
        <w:t> Los empleadores o contratantes que a la entrada en vigencia de la presente Ley cuenten con trabajadores o contratistas afiliados al sistema de seguridad social en su componente contributivo, y que con el propósito de obtener provecho de la reducción de sus aportes en materia de seguridad social desmejoren las condiciones económicas de dichos trabajadores o contratistas mediante la implementación de uno o varios actos o negocios jurídicos artificiosos que conlleve a su afiliación al piso mínimo de protección social, independientemente de cualquier intención subjetiva adicional, serán objeto de procesos de Fiscalización preferente en los que podrán ser sancionados por la Unidad de Gestión de Pensiones y Parafiscales (UGPP) por no realizar en debida forma los aportes a seguridad social que le correspondan, una vez surtido el debido proceso y ejercido el derecho a la defensa a que haya lugar.</w:t>
      </w:r>
    </w:p>
    <w:p w14:paraId="3192406F"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12F33AF5" w14:textId="77777777"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4o.</w:t>
      </w:r>
      <w:r w:rsidRPr="006969B3">
        <w:rPr>
          <w:rFonts w:ascii="Arial" w:hAnsi="Arial" w:cs="Arial"/>
          <w:sz w:val="22"/>
          <w:szCs w:val="22"/>
          <w:lang w:val="es-CO"/>
        </w:rPr>
        <w:t> Una vez finalizado el periodo de ahorro en el mecanismo de Beneficios Económicos Periódicos (BEPS), el ahorrador tendrá derecho a elegir si recibe la anualidad vitalicia o la devolución del valor ahorrado, caso en el cual no habrá lugar al pago del incentivo periódico, conforme a la normatividad vigente.</w:t>
      </w:r>
    </w:p>
    <w:p w14:paraId="2C3078F8" w14:textId="77777777" w:rsidR="000537C1" w:rsidRDefault="000537C1" w:rsidP="00F65283">
      <w:pPr>
        <w:pStyle w:val="NormalWeb"/>
        <w:spacing w:before="0" w:beforeAutospacing="0" w:after="0" w:afterAutospacing="0"/>
        <w:jc w:val="both"/>
        <w:rPr>
          <w:rFonts w:ascii="Arial" w:hAnsi="Arial" w:cs="Arial"/>
          <w:sz w:val="22"/>
          <w:szCs w:val="22"/>
          <w:lang w:val="es-CO"/>
        </w:rPr>
      </w:pPr>
      <w:bookmarkStart w:id="210" w:name="194"/>
    </w:p>
    <w:p w14:paraId="0E847F39" w14:textId="178D8B94"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194. SISTEMA NACIONAL DE CUALIFICACIONES.</w:t>
      </w:r>
      <w:bookmarkEnd w:id="210"/>
      <w:r w:rsidRPr="006969B3">
        <w:rPr>
          <w:rFonts w:ascii="Arial" w:hAnsi="Arial" w:cs="Arial"/>
          <w:sz w:val="22"/>
          <w:szCs w:val="22"/>
          <w:lang w:val="es-CO"/>
        </w:rPr>
        <w:t> Créase el Sistema Nacional de Cualificaciones (SNC) como un conjunto de políticas, instrumentos, componentes y procesos necesarios para alinear la educación y formación a las necesidades sociales y productivas del país y que promueve el reconocimiento de aprendizajes, el desarrollo personal y profesional de los ciudadanos, la inserción o reinserción laboral y el desarrollo productivo del país. Son componentes del SNC: el Marco Nacional de Cualificaciones (MNC), los subsistemas de aseguramiento de la calidad de la educación y la formación, de normalización de competencias y de evaluación y certificación de competencias, el esquema de movilidad educativa y formativa, así como la plataforma de información del SNC.</w:t>
      </w:r>
    </w:p>
    <w:p w14:paraId="7637B79D"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0C11744B" w14:textId="528BF952"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Se crea el Marco Nacional de Cualificaciones (MNC), para clasificar y estructurar las cualificaciones en un esquema de ocho (8) niveles ordenados y expresados en términos de conocimientos, destrezas y aptitudes, de acuerdo con la secuencialidad y complejidad de los aprendizajes que logran las personas en las diferentes vías de cualificación.</w:t>
      </w:r>
    </w:p>
    <w:p w14:paraId="5EE89F38"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14A718C5" w14:textId="1D311EC8"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Se crea el Esquema de Movilidad Educativa y Formativa, para facilitar la movilidad de las personas entre las diferentes vías de cualificación que son la educativa, la formación para el trabajo y el reconocimiento de aprendizajes previos para la certificación de competencias, con el fin de promover las rutas de aprendizaje, las relaciones con el sector productivo y el aprendizaje a lo largo de la vida.</w:t>
      </w:r>
    </w:p>
    <w:p w14:paraId="758BB99C"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696E07E5" w14:textId="3919FBFD"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Como una vía de cualificación dentro del Sistema Nacional de Cualificaciones, se crea el Subsistema de Formación para el Trabajo. Esta formación se estructurará en diversos niveles de complejidad, desde los iniciales hasta los más avanzados, de acuerdo con las necesidades del sector productivo. Sus oferentes son el Servicio Nacional de Aprendizaje (SENA), las Instituciones de Educación para el Trabajo y Desarrollo Humano (ETDH) y las </w:t>
      </w:r>
      <w:r w:rsidRPr="006969B3">
        <w:rPr>
          <w:rFonts w:ascii="Arial" w:hAnsi="Arial" w:cs="Arial"/>
          <w:sz w:val="22"/>
          <w:szCs w:val="22"/>
          <w:lang w:val="es-CO"/>
        </w:rPr>
        <w:lastRenderedPageBreak/>
        <w:t>Instituciones de Educación Superior con oferta de formación para el trabajo que formen por competencias y cumplan los requisitos y mecanismos que para tal fin se establezcan.</w:t>
      </w:r>
    </w:p>
    <w:p w14:paraId="34E4F0CD"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3D31BD39" w14:textId="4DF6C4C9"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El Gobierno nacional, con el liderazgo del Ministerio de Educación Nacional y del Ministerio del Trabajo, establecerá la estructura, las condiciones y mecanismos del Subsistema de formación para el trabajo y de sus procesos de aseguramiento de calidad. Para ello, se definirán las competencias de cada uno de estos dos ministerios. El Ministerio del Trabajo reglamentará la oferta y los niveles de la ETDH y el SENA en lo relacionado con la formación para el trabajo.</w:t>
      </w:r>
    </w:p>
    <w:p w14:paraId="0EE82478"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3835162A" w14:textId="7ACBD413"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Los programas de formación para el trabajo por competencias serán estructurados con base en el subsistema de normalización de competencias y el Marco Nacional de Cualificaciones.</w:t>
      </w:r>
    </w:p>
    <w:p w14:paraId="7893DDDA"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67A016A8" w14:textId="5BB2E543"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3o.</w:t>
      </w:r>
      <w:r w:rsidRPr="006969B3">
        <w:rPr>
          <w:rFonts w:ascii="Arial" w:hAnsi="Arial" w:cs="Arial"/>
          <w:sz w:val="22"/>
          <w:szCs w:val="22"/>
          <w:lang w:val="es-CO"/>
        </w:rPr>
        <w:t xml:space="preserve"> Las condiciones y mecanismos para la acreditación de las entidades públicas certificadoras de competencias </w:t>
      </w:r>
      <w:proofErr w:type="gramStart"/>
      <w:r w:rsidRPr="006969B3">
        <w:rPr>
          <w:rFonts w:ascii="Arial" w:hAnsi="Arial" w:cs="Arial"/>
          <w:sz w:val="22"/>
          <w:szCs w:val="22"/>
          <w:lang w:val="es-CO"/>
        </w:rPr>
        <w:t>laborales,</w:t>
      </w:r>
      <w:proofErr w:type="gramEnd"/>
      <w:r w:rsidRPr="006969B3">
        <w:rPr>
          <w:rFonts w:ascii="Arial" w:hAnsi="Arial" w:cs="Arial"/>
          <w:sz w:val="22"/>
          <w:szCs w:val="22"/>
          <w:lang w:val="es-CO"/>
        </w:rPr>
        <w:t xml:space="preserve"> serán reglamentadas por el Ministerio del Trabajo.</w:t>
      </w:r>
    </w:p>
    <w:p w14:paraId="791218EC"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03921D3A" w14:textId="77777777"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4o.</w:t>
      </w:r>
      <w:r w:rsidRPr="006969B3">
        <w:rPr>
          <w:rFonts w:ascii="Arial" w:hAnsi="Arial" w:cs="Arial"/>
          <w:sz w:val="22"/>
          <w:szCs w:val="22"/>
          <w:lang w:val="es-CO"/>
        </w:rPr>
        <w:t> El Gobierno nacional reglamentará lo dispuesto en el presente artículo.</w:t>
      </w:r>
    </w:p>
    <w:p w14:paraId="1777E6A8" w14:textId="0A7911F7" w:rsidR="00095FEF" w:rsidRPr="006969B3" w:rsidRDefault="00095FEF" w:rsidP="00F65283">
      <w:pPr>
        <w:spacing w:after="0" w:line="240" w:lineRule="auto"/>
        <w:rPr>
          <w:rFonts w:ascii="Arial" w:hAnsi="Arial" w:cs="Arial"/>
          <w:lang w:val="es-CO"/>
        </w:rPr>
      </w:pPr>
    </w:p>
    <w:p w14:paraId="6DD8716D" w14:textId="7BBCD285" w:rsidR="00095FEF" w:rsidRPr="006969B3" w:rsidRDefault="00095FEF" w:rsidP="00F65283">
      <w:pPr>
        <w:pStyle w:val="NormalWeb"/>
        <w:spacing w:before="0" w:beforeAutospacing="0" w:after="0" w:afterAutospacing="0"/>
        <w:jc w:val="both"/>
        <w:rPr>
          <w:rFonts w:ascii="Arial" w:hAnsi="Arial" w:cs="Arial"/>
          <w:sz w:val="22"/>
          <w:szCs w:val="22"/>
          <w:lang w:val="es-CO"/>
        </w:rPr>
      </w:pPr>
      <w:bookmarkStart w:id="211" w:name="195"/>
      <w:r w:rsidRPr="006969B3">
        <w:rPr>
          <w:rFonts w:ascii="Arial" w:hAnsi="Arial" w:cs="Arial"/>
          <w:sz w:val="22"/>
          <w:szCs w:val="22"/>
          <w:lang w:val="es-CO"/>
        </w:rPr>
        <w:t>ARTÍCULO 195. INCLUSIÓN LABORAL.</w:t>
      </w:r>
      <w:bookmarkEnd w:id="211"/>
      <w:r w:rsidRPr="006969B3">
        <w:rPr>
          <w:rFonts w:ascii="Arial" w:hAnsi="Arial" w:cs="Arial"/>
          <w:sz w:val="22"/>
          <w:szCs w:val="22"/>
          <w:lang w:val="es-CO"/>
        </w:rPr>
        <w:t> Todos los mecanismos, instrumentos, acciones y servicios que promuevan la inclusión laboral deberán implementarse a través de la Red de Prestadores del Servicio Público de Empleo. La Unidad Administrativa Especial del Servicio Público de Empleo, como articuladora de la Red, definirá los servicios básicos y especializados de gestión y colocación de empleo y fijará las reglas para la prestación de estos servicios, para contribuir al acceso al empleo formal de las personas que enfrentan barreras, especialmente la población más vulnerable.</w:t>
      </w:r>
    </w:p>
    <w:p w14:paraId="15E53FA4"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23845DDB" w14:textId="6A91A449"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Las personas jurídicas autorizadas que presten servicios de gestión y colocación de empleo de que trata el artículo </w:t>
      </w:r>
      <w:r w:rsidRPr="007B5FFA">
        <w:rPr>
          <w:rFonts w:ascii="Arial" w:hAnsi="Arial" w:cs="Arial"/>
          <w:sz w:val="22"/>
          <w:szCs w:val="22"/>
          <w:lang w:val="es-CO"/>
        </w:rPr>
        <w:t>30</w:t>
      </w:r>
      <w:r w:rsidRPr="006969B3">
        <w:rPr>
          <w:rFonts w:ascii="Arial" w:hAnsi="Arial" w:cs="Arial"/>
          <w:sz w:val="22"/>
          <w:szCs w:val="22"/>
          <w:lang w:val="es-CO"/>
        </w:rPr>
        <w:t> de la Ley 1636 de 2013, tendrán que articularse para garantizar el acceso público y transparente a todas las vacantes ofrecidas por los empleadores, en la Red de Prestadores del Servicio Público de Empleo y estas deberán ser reportadas al Sistema de Información administrado por la UAESPE.</w:t>
      </w:r>
    </w:p>
    <w:p w14:paraId="019D82D2"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28116CC2" w14:textId="77777777"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Las personas jurídicas y naturales, nacionales o internacionales, que por su experiencia, representatividad o reconocimiento en modelos de inclusión laboral puedan aportar conocimientos y herramientas para aumentar el acceso de las personas al mercado laboral, especialmente de población vulnerable, lo podrán hacer a través de asesoría técnica y alianzas con los prestadores del servicio público de empleo, previa autorización de la Unidad Administrativa Especial del Servicio Público de Empleo.</w:t>
      </w:r>
    </w:p>
    <w:p w14:paraId="3F860BEB" w14:textId="08652A42" w:rsidR="00095FEF" w:rsidRPr="006969B3" w:rsidRDefault="00095FEF" w:rsidP="00F65283">
      <w:pPr>
        <w:spacing w:after="0" w:line="240" w:lineRule="auto"/>
        <w:rPr>
          <w:rFonts w:ascii="Arial" w:hAnsi="Arial" w:cs="Arial"/>
          <w:lang w:val="es-CO"/>
        </w:rPr>
      </w:pPr>
    </w:p>
    <w:p w14:paraId="14840E1D" w14:textId="1200DB9D" w:rsidR="00095FEF" w:rsidRPr="006969B3" w:rsidRDefault="00095FEF" w:rsidP="00F65283">
      <w:pPr>
        <w:pStyle w:val="NormalWeb"/>
        <w:spacing w:before="0" w:beforeAutospacing="0" w:after="0" w:afterAutospacing="0"/>
        <w:jc w:val="both"/>
        <w:rPr>
          <w:rFonts w:ascii="Arial" w:hAnsi="Arial" w:cs="Arial"/>
          <w:sz w:val="22"/>
          <w:szCs w:val="22"/>
          <w:lang w:val="es-CO"/>
        </w:rPr>
      </w:pPr>
      <w:bookmarkStart w:id="212" w:name="196"/>
      <w:r w:rsidRPr="006969B3">
        <w:rPr>
          <w:rFonts w:ascii="Arial" w:hAnsi="Arial" w:cs="Arial"/>
          <w:sz w:val="22"/>
          <w:szCs w:val="22"/>
          <w:lang w:val="es-CO"/>
        </w:rPr>
        <w:t>ARTÍCULO 196. GENERACIÓN DE EMPLEO PARA LA POBLACIÓN JOVEN DEL PAÍS.</w:t>
      </w:r>
      <w:bookmarkEnd w:id="212"/>
      <w:r w:rsidRPr="006969B3">
        <w:rPr>
          <w:rFonts w:ascii="Arial" w:hAnsi="Arial" w:cs="Arial"/>
          <w:sz w:val="22"/>
          <w:szCs w:val="22"/>
          <w:lang w:val="es-CO"/>
        </w:rPr>
        <w:t> Con el fin de generar oportunidades de empleo para la población joven del país y permitir superar las barreras de empleabilidad de este grupo poblacional, las entidades públicas darán prioridad a la vinculación de jóvenes entre 18 y 28 años, para lo cual deberán garantizar cuando adelanten modificaciones a su planta de personal, que el diez por ciento (10%) de los nuevos empleos no requieran experiencia profesional, con el fin de que sean provistos con jóvenes egresados de programas técnicos, tecnológicos y de pregrado. Para la creación de nuevos empleos de carácter permanente del nivel profesional, no se exigirá experiencia profesional hasta el grado once (11) y se aplicarán las equivalencias respectivas.</w:t>
      </w:r>
    </w:p>
    <w:p w14:paraId="45F5E306"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291E3CE9" w14:textId="1763A024"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Las entidades públicas deberán adecuar sus manuales de funciones y competencias laborales para permitir el nombramiento de jóvenes entre los 18 y 28 años graduados y que no tengan experiencia, o para determinar las equivalencias que corresponda, siempre y cuando cumplan con los requisitos del cargo.</w:t>
      </w:r>
    </w:p>
    <w:p w14:paraId="640331BC"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08139056" w14:textId="6997DD06"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Las entidades y organismos que creen empleos de carácter temporal deberán garantizar que el 10% de estos empleos sean asignados para jóvenes entre los 18 y 28 años.</w:t>
      </w:r>
    </w:p>
    <w:p w14:paraId="02072652"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7194F6FA" w14:textId="6755C3EB"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3o.</w:t>
      </w:r>
      <w:r w:rsidRPr="006969B3">
        <w:rPr>
          <w:rFonts w:ascii="Arial" w:hAnsi="Arial" w:cs="Arial"/>
          <w:sz w:val="22"/>
          <w:szCs w:val="22"/>
          <w:lang w:val="es-CO"/>
        </w:rPr>
        <w:t> Cuando las entidades públicas vinculen provisionales a sus plantas de personal deberán dar prioridad a los jóvenes entre los 18 y 28 años para dicha vinculación.</w:t>
      </w:r>
    </w:p>
    <w:p w14:paraId="604A0E0D"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7AD3B673" w14:textId="77777777"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4o.</w:t>
      </w:r>
      <w:r w:rsidRPr="006969B3">
        <w:rPr>
          <w:rFonts w:ascii="Arial" w:hAnsi="Arial" w:cs="Arial"/>
          <w:sz w:val="22"/>
          <w:szCs w:val="22"/>
          <w:lang w:val="es-CO"/>
        </w:rPr>
        <w:t> Para el cumplimiento en lo consagrado en el presente artículo, tendrán prioridad los jóvenes entre los 18 y 28 años que estuvieron bajo custodia y protección del Sistema Nacional de Bienestar Familiar.</w:t>
      </w:r>
    </w:p>
    <w:p w14:paraId="270B4DB1" w14:textId="342CCC9A" w:rsidR="00095FEF" w:rsidRPr="006969B3" w:rsidRDefault="00095FEF" w:rsidP="00F65283">
      <w:pPr>
        <w:spacing w:after="0" w:line="240" w:lineRule="auto"/>
        <w:rPr>
          <w:rFonts w:ascii="Arial" w:hAnsi="Arial" w:cs="Arial"/>
          <w:lang w:val="es-CO"/>
        </w:rPr>
      </w:pPr>
    </w:p>
    <w:p w14:paraId="77B05923" w14:textId="1FCB6111" w:rsidR="00095FEF" w:rsidRPr="006969B3" w:rsidRDefault="00095FEF" w:rsidP="00F65283">
      <w:pPr>
        <w:pStyle w:val="NormalWeb"/>
        <w:spacing w:before="0" w:beforeAutospacing="0" w:after="0" w:afterAutospacing="0"/>
        <w:jc w:val="both"/>
        <w:rPr>
          <w:rFonts w:ascii="Arial" w:hAnsi="Arial" w:cs="Arial"/>
          <w:sz w:val="22"/>
          <w:szCs w:val="22"/>
          <w:lang w:val="es-CO"/>
        </w:rPr>
      </w:pPr>
      <w:bookmarkStart w:id="213" w:name="197"/>
      <w:r w:rsidRPr="006969B3">
        <w:rPr>
          <w:rFonts w:ascii="Arial" w:hAnsi="Arial" w:cs="Arial"/>
          <w:sz w:val="22"/>
          <w:szCs w:val="22"/>
          <w:lang w:val="es-CO"/>
        </w:rPr>
        <w:t>ARTÍCULO 197. INTERVENCIÓN EN ACTIVIDADES FINANCIERA Y ASEGURADORA.</w:t>
      </w:r>
      <w:bookmarkEnd w:id="213"/>
      <w:r w:rsidRPr="006969B3">
        <w:rPr>
          <w:rFonts w:ascii="Arial" w:hAnsi="Arial" w:cs="Arial"/>
          <w:sz w:val="22"/>
          <w:szCs w:val="22"/>
          <w:lang w:val="es-CO"/>
        </w:rPr>
        <w:t> Adicionar un literal r) al artículo </w:t>
      </w:r>
      <w:r w:rsidRPr="007B5FFA">
        <w:rPr>
          <w:rFonts w:ascii="Arial" w:hAnsi="Arial" w:cs="Arial"/>
          <w:sz w:val="22"/>
          <w:szCs w:val="22"/>
          <w:lang w:val="es-CO"/>
        </w:rPr>
        <w:t>46</w:t>
      </w:r>
      <w:r w:rsidRPr="006969B3">
        <w:rPr>
          <w:rFonts w:ascii="Arial" w:hAnsi="Arial" w:cs="Arial"/>
          <w:sz w:val="22"/>
          <w:szCs w:val="22"/>
          <w:lang w:val="es-CO"/>
        </w:rPr>
        <w:t> del Estatuto Orgánico del Sistema Financiero el cual quedará de la siguiente manera:</w:t>
      </w:r>
    </w:p>
    <w:p w14:paraId="43588BC0" w14:textId="77777777"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r) Garantizar la suficiencia del Sistema General de Riesgos Laborales, a través de la actualización de las actividades económicas y los montos de cotización aplicables a estas.</w:t>
      </w:r>
    </w:p>
    <w:p w14:paraId="36F61E4A" w14:textId="6BB47978" w:rsidR="00095FEF" w:rsidRPr="006969B3" w:rsidRDefault="00095FEF" w:rsidP="00F65283">
      <w:pPr>
        <w:spacing w:after="0" w:line="240" w:lineRule="auto"/>
        <w:rPr>
          <w:rFonts w:ascii="Arial" w:hAnsi="Arial" w:cs="Arial"/>
          <w:lang w:val="es-CO"/>
        </w:rPr>
      </w:pPr>
    </w:p>
    <w:p w14:paraId="1AF4D90C" w14:textId="2186277D" w:rsidR="00095FEF" w:rsidRPr="006969B3" w:rsidRDefault="00095FEF" w:rsidP="00F65283">
      <w:pPr>
        <w:pStyle w:val="NormalWeb"/>
        <w:spacing w:before="0" w:beforeAutospacing="0" w:after="0" w:afterAutospacing="0"/>
        <w:jc w:val="both"/>
        <w:rPr>
          <w:rFonts w:ascii="Arial" w:hAnsi="Arial" w:cs="Arial"/>
          <w:sz w:val="22"/>
          <w:szCs w:val="22"/>
          <w:lang w:val="es-CO"/>
        </w:rPr>
      </w:pPr>
      <w:bookmarkStart w:id="214" w:name="198"/>
      <w:r w:rsidRPr="006969B3">
        <w:rPr>
          <w:rFonts w:ascii="Arial" w:hAnsi="Arial" w:cs="Arial"/>
          <w:sz w:val="22"/>
          <w:szCs w:val="22"/>
          <w:lang w:val="es-CO"/>
        </w:rPr>
        <w:t>ARTÍCULO 198. PROMOCIÓN DE LOS BENEFICIOS ECONÓMICOS PERIÓDICOS.</w:t>
      </w:r>
      <w:bookmarkEnd w:id="214"/>
      <w:r w:rsidRPr="006969B3">
        <w:rPr>
          <w:rFonts w:ascii="Arial" w:hAnsi="Arial" w:cs="Arial"/>
          <w:sz w:val="22"/>
          <w:szCs w:val="22"/>
          <w:lang w:val="es-CO"/>
        </w:rPr>
        <w:t> En el evento en que los afiliados al Sistema General de Pensiones obtengan como prestación sustituta una devolución de saldos o indemnización sustitutiva de vejez, estos recursos serán trasladados al mecanismo de los Beneficios Económicos Periódicos para el reconocimiento de una anualidad vitalicia en las condiciones legales vigentes, excepto en el evento en que el afiliado manifieste su decisión de recibir dicha prestación, dentro de los seis (6) meses siguientes a la notificación personal del documento o acto que la define. Corresponderá a Colpensiones con antelación al reconocimiento de la indemnización sustitutiva o la devolución de saldos en el Régimen de Ahorro Individual, brindar de manera obligatoria a los afiliados, asesoría respecto de los Beneficios Económicos Periódicos. El Gobierno nacional reglamentará la materia y las especificaciones para la entrega de información por parte de las administradoras de fondos de pensiones y de asesoría y asistencia técnica al afiliado.</w:t>
      </w:r>
    </w:p>
    <w:p w14:paraId="32A5A461"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3E3764DF" w14:textId="77777777"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Los colombianos que residen en el exterior y no estén cotizando al Sistema de Seguridad Social Colombiano pueden voluntariamente vincularse al Programa de Beneficios Económicos Periódicos (BEPS). El Gobierno nacional reglamentará el procedimiento administrativo para hacer efectiva la participación al programa.</w:t>
      </w:r>
    </w:p>
    <w:p w14:paraId="6E258BBC" w14:textId="79B8CAD8" w:rsidR="00095FEF" w:rsidRPr="006969B3" w:rsidRDefault="00095FEF" w:rsidP="00F65283">
      <w:pPr>
        <w:spacing w:after="0" w:line="240" w:lineRule="auto"/>
        <w:rPr>
          <w:rFonts w:ascii="Arial" w:hAnsi="Arial" w:cs="Arial"/>
          <w:lang w:val="es-CO"/>
        </w:rPr>
      </w:pPr>
    </w:p>
    <w:p w14:paraId="316EAB80" w14:textId="30470DAF" w:rsidR="00095FEF" w:rsidRPr="006969B3" w:rsidRDefault="00095FEF" w:rsidP="00F65283">
      <w:pPr>
        <w:pStyle w:val="NormalWeb"/>
        <w:spacing w:before="0" w:beforeAutospacing="0" w:after="0" w:afterAutospacing="0"/>
        <w:jc w:val="both"/>
        <w:rPr>
          <w:rFonts w:ascii="Arial" w:hAnsi="Arial" w:cs="Arial"/>
          <w:sz w:val="22"/>
          <w:szCs w:val="22"/>
          <w:lang w:val="es-CO"/>
        </w:rPr>
      </w:pPr>
      <w:bookmarkStart w:id="215" w:name="199"/>
      <w:r w:rsidRPr="006969B3">
        <w:rPr>
          <w:rFonts w:ascii="Arial" w:hAnsi="Arial" w:cs="Arial"/>
          <w:sz w:val="22"/>
          <w:szCs w:val="22"/>
          <w:lang w:val="es-CO"/>
        </w:rPr>
        <w:t>ARTÍCULO 199. FINANCIACIÓN DE OBLIGACIONES PENSIONALES CON RECURSOS DEL FONPET.</w:t>
      </w:r>
      <w:bookmarkEnd w:id="215"/>
      <w:r w:rsidRPr="006969B3">
        <w:rPr>
          <w:rFonts w:ascii="Arial" w:hAnsi="Arial" w:cs="Arial"/>
          <w:sz w:val="22"/>
          <w:szCs w:val="22"/>
          <w:lang w:val="es-CO"/>
        </w:rPr>
        <w:t> Adicional a lo establecido en las normas vigentes, con cargo a los recursos del Fondo Nacional de Pensiones de las Entidades Territoriales (</w:t>
      </w:r>
      <w:proofErr w:type="spellStart"/>
      <w:r w:rsidRPr="006969B3">
        <w:rPr>
          <w:rFonts w:ascii="Arial" w:hAnsi="Arial" w:cs="Arial"/>
          <w:sz w:val="22"/>
          <w:szCs w:val="22"/>
          <w:lang w:val="es-CO"/>
        </w:rPr>
        <w:t>Fonpet</w:t>
      </w:r>
      <w:proofErr w:type="spellEnd"/>
      <w:r w:rsidRPr="006969B3">
        <w:rPr>
          <w:rFonts w:ascii="Arial" w:hAnsi="Arial" w:cs="Arial"/>
          <w:sz w:val="22"/>
          <w:szCs w:val="22"/>
          <w:lang w:val="es-CO"/>
        </w:rPr>
        <w:t>) las entidades territoriales podrán pagar las siguientes obligaciones:</w:t>
      </w:r>
    </w:p>
    <w:p w14:paraId="30E4B723"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7DB61F3E" w14:textId="550D1015"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 La deuda con el Fondo Nacional de Prestaciones Sociales del Magisterio (</w:t>
      </w:r>
      <w:proofErr w:type="spellStart"/>
      <w:r w:rsidRPr="006969B3">
        <w:rPr>
          <w:rFonts w:ascii="Arial" w:hAnsi="Arial" w:cs="Arial"/>
          <w:sz w:val="22"/>
          <w:szCs w:val="22"/>
          <w:lang w:val="es-CO"/>
        </w:rPr>
        <w:t>Fomag</w:t>
      </w:r>
      <w:proofErr w:type="spellEnd"/>
      <w:r w:rsidRPr="006969B3">
        <w:rPr>
          <w:rFonts w:ascii="Arial" w:hAnsi="Arial" w:cs="Arial"/>
          <w:sz w:val="22"/>
          <w:szCs w:val="22"/>
          <w:lang w:val="es-CO"/>
        </w:rPr>
        <w:t>) por concepto del pasivo pensional corriente del Sector Educación.</w:t>
      </w:r>
    </w:p>
    <w:p w14:paraId="712EEA70"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4ED9943E" w14:textId="77777777"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lastRenderedPageBreak/>
        <w:t>2) Las cuotas partes pensiónales corrientes de la vigencia en curso, a las entidades públicas acreedoras.</w:t>
      </w:r>
    </w:p>
    <w:p w14:paraId="079367F8"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0C18FF25" w14:textId="472F95D2"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3) Las mesadas pensionales corrientes de la vigencia a cargo de la administración central territorial.</w:t>
      </w:r>
    </w:p>
    <w:p w14:paraId="003CAD14"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3600E225" w14:textId="32C89509"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Para determinar la cobertura de los pasivos pensionales, las entidades territoriales podrán girar voluntariamente al </w:t>
      </w:r>
      <w:proofErr w:type="spellStart"/>
      <w:r w:rsidRPr="006969B3">
        <w:rPr>
          <w:rFonts w:ascii="Arial" w:hAnsi="Arial" w:cs="Arial"/>
          <w:sz w:val="22"/>
          <w:szCs w:val="22"/>
          <w:lang w:val="es-CO"/>
        </w:rPr>
        <w:t>Fonpet</w:t>
      </w:r>
      <w:proofErr w:type="spellEnd"/>
      <w:r w:rsidRPr="006969B3">
        <w:rPr>
          <w:rFonts w:ascii="Arial" w:hAnsi="Arial" w:cs="Arial"/>
          <w:sz w:val="22"/>
          <w:szCs w:val="22"/>
          <w:lang w:val="es-CO"/>
        </w:rPr>
        <w:t xml:space="preserve"> otros recursos que acumulen para el pago de su pasivo pensional. El Ministerio de Hacienda y Crédito Público determinará las instrucciones operativas para el recibo de estos recursos que tendrán las mismas condiciones de administración existentes para la cuenta individual de la entidad territorial.</w:t>
      </w:r>
    </w:p>
    <w:p w14:paraId="540A39A9"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5AF065A7" w14:textId="2752E3E2"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Los recursos que aporte la Nación al </w:t>
      </w:r>
      <w:proofErr w:type="spellStart"/>
      <w:r w:rsidRPr="006969B3">
        <w:rPr>
          <w:rFonts w:ascii="Arial" w:hAnsi="Arial" w:cs="Arial"/>
          <w:sz w:val="22"/>
          <w:szCs w:val="22"/>
          <w:lang w:val="es-CO"/>
        </w:rPr>
        <w:t>Fonpet</w:t>
      </w:r>
      <w:proofErr w:type="spellEnd"/>
      <w:r w:rsidRPr="006969B3">
        <w:rPr>
          <w:rFonts w:ascii="Arial" w:hAnsi="Arial" w:cs="Arial"/>
          <w:sz w:val="22"/>
          <w:szCs w:val="22"/>
          <w:lang w:val="es-CO"/>
        </w:rPr>
        <w:t>, y los que se encuentren pendientes por distribuir de la Nación, destinados a financiar obligaciones pensionales, se distribuirán entre todas las entidades territoriales que no hayan alcanzado el cubrimiento de su pasivo pensional.</w:t>
      </w:r>
    </w:p>
    <w:p w14:paraId="31FD26A0"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5378AB0F" w14:textId="23138420"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Las entidades territoriales que soliciten el retiro de recursos ahorrados en el </w:t>
      </w:r>
      <w:proofErr w:type="spellStart"/>
      <w:proofErr w:type="gramStart"/>
      <w:r w:rsidRPr="006969B3">
        <w:rPr>
          <w:rFonts w:ascii="Arial" w:hAnsi="Arial" w:cs="Arial"/>
          <w:sz w:val="22"/>
          <w:szCs w:val="22"/>
          <w:lang w:val="es-CO"/>
        </w:rPr>
        <w:t>Fonpet</w:t>
      </w:r>
      <w:proofErr w:type="spellEnd"/>
      <w:r w:rsidRPr="006969B3">
        <w:rPr>
          <w:rFonts w:ascii="Arial" w:hAnsi="Arial" w:cs="Arial"/>
          <w:sz w:val="22"/>
          <w:szCs w:val="22"/>
          <w:lang w:val="es-CO"/>
        </w:rPr>
        <w:t>,</w:t>
      </w:r>
      <w:proofErr w:type="gramEnd"/>
      <w:r w:rsidRPr="006969B3">
        <w:rPr>
          <w:rFonts w:ascii="Arial" w:hAnsi="Arial" w:cs="Arial"/>
          <w:sz w:val="22"/>
          <w:szCs w:val="22"/>
          <w:lang w:val="es-CO"/>
        </w:rPr>
        <w:t xml:space="preserve"> deberán cumplir con la obligación de suministrar la información requerida en el artículo </w:t>
      </w:r>
      <w:r w:rsidRPr="007B5FFA">
        <w:rPr>
          <w:rFonts w:ascii="Arial" w:hAnsi="Arial" w:cs="Arial"/>
          <w:sz w:val="22"/>
          <w:szCs w:val="22"/>
          <w:lang w:val="es-CO"/>
        </w:rPr>
        <w:t>9o</w:t>
      </w:r>
      <w:r w:rsidRPr="006969B3">
        <w:rPr>
          <w:rFonts w:ascii="Arial" w:hAnsi="Arial" w:cs="Arial"/>
          <w:sz w:val="22"/>
          <w:szCs w:val="22"/>
          <w:lang w:val="es-CO"/>
        </w:rPr>
        <w:t> de la Ley 549 de 1999, de lo contrario el Fondo podrá no autorizar el retiro de los mismos.</w:t>
      </w:r>
    </w:p>
    <w:p w14:paraId="57472DCC" w14:textId="7724FC3F" w:rsidR="00095FEF" w:rsidRPr="006969B3" w:rsidRDefault="00095FEF" w:rsidP="00F65283">
      <w:pPr>
        <w:spacing w:after="0" w:line="240" w:lineRule="auto"/>
        <w:rPr>
          <w:rFonts w:ascii="Arial" w:hAnsi="Arial" w:cs="Arial"/>
          <w:lang w:val="es-CO"/>
        </w:rPr>
      </w:pPr>
    </w:p>
    <w:p w14:paraId="60B4D2A9" w14:textId="6B8D6B3B" w:rsidR="00095FEF" w:rsidRPr="006969B3" w:rsidRDefault="00095FEF" w:rsidP="00F65283">
      <w:pPr>
        <w:pStyle w:val="NormalWeb"/>
        <w:spacing w:before="0" w:beforeAutospacing="0" w:after="0" w:afterAutospacing="0"/>
        <w:jc w:val="both"/>
        <w:rPr>
          <w:rFonts w:ascii="Arial" w:hAnsi="Arial" w:cs="Arial"/>
          <w:sz w:val="22"/>
          <w:szCs w:val="22"/>
          <w:lang w:val="es-CO"/>
        </w:rPr>
      </w:pPr>
      <w:bookmarkStart w:id="216" w:name="200"/>
      <w:r w:rsidRPr="006969B3">
        <w:rPr>
          <w:rFonts w:ascii="Arial" w:hAnsi="Arial" w:cs="Arial"/>
          <w:sz w:val="22"/>
          <w:szCs w:val="22"/>
          <w:lang w:val="es-CO"/>
        </w:rPr>
        <w:t>ARTÍCULO 200. TERMINACIÓN DEL PROCEDIMIENTO SANCIONATORIO LABORAL.</w:t>
      </w:r>
      <w:bookmarkEnd w:id="216"/>
      <w:r w:rsidRPr="006969B3">
        <w:rPr>
          <w:rFonts w:ascii="Arial" w:hAnsi="Arial" w:cs="Arial"/>
          <w:sz w:val="22"/>
          <w:szCs w:val="22"/>
          <w:lang w:val="es-CO"/>
        </w:rPr>
        <w:t xml:space="preserve"> El Ministerio del Trabajo podrá dar por suspendido o terminado, mediante mutuo acuerdo, un procedimiento administrativo sancionatorio por violación de normas laborales, diferentes a las relativas a la formalización laboral. La terminación por mutuo acuerdo estará condicionada a que los investigados reconozcan el incumplimiento de las normas laborales o de seguridad social integral, y garanticen la implementación por parte de los empleadores investigados, de medidas dirigidas a corregir las causas por las cuales se </w:t>
      </w:r>
      <w:proofErr w:type="gramStart"/>
      <w:r w:rsidRPr="006969B3">
        <w:rPr>
          <w:rFonts w:ascii="Arial" w:hAnsi="Arial" w:cs="Arial"/>
          <w:sz w:val="22"/>
          <w:szCs w:val="22"/>
          <w:lang w:val="es-CO"/>
        </w:rPr>
        <w:t>dio inicio a</w:t>
      </w:r>
      <w:proofErr w:type="gramEnd"/>
      <w:r w:rsidRPr="006969B3">
        <w:rPr>
          <w:rFonts w:ascii="Arial" w:hAnsi="Arial" w:cs="Arial"/>
          <w:sz w:val="22"/>
          <w:szCs w:val="22"/>
          <w:lang w:val="es-CO"/>
        </w:rPr>
        <w:t xml:space="preserve"> la actuación administrativa.</w:t>
      </w:r>
    </w:p>
    <w:p w14:paraId="2B57A7CD"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14027849" w14:textId="432C8687"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Se suspenderá el procedimiento cuando los investigados reconozcan el incumplimiento de las normas y se comprometan a implementar las medidas correctivas mediante un plan de mejoramiento que contenga plazos razonables, no superiores a un (1) año, el cual deberá ser aprobado por el Ministerio del Trabajo. Una vez se implemente el plan de mejoramiento en su totalidad, se dará por terminado el procedimiento.</w:t>
      </w:r>
    </w:p>
    <w:p w14:paraId="1E31BBEB"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3DCD48A9" w14:textId="7502D5CC"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Si la suspensión por mutuo acuerdo se suscribiere en la etapa de averiguación preliminar no habrá lugar a sanción alguna; si se suscribiera entre la formulación de cargos y la presentación de descargos, la sanción tendrá una rebaja de la mitad; y si se suscribiera entre el período probatorio y la presentación de alegatos, la sanción tendrá una rebaja de una tercera parte. Si no se diere cumplimiento al plan de mejoramiento, se levantará la suspensión y se continuará con las etapas restantes del procedimiento, sin que proceda reducción alguna en la sanción. Este beneficio no procederá en caso de reincidencia de las mismas infracciones.</w:t>
      </w:r>
    </w:p>
    <w:p w14:paraId="08D0F27E"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07694175" w14:textId="77777777"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Ministerio del Trabajo reglamentará lo atinente a lo estipulado en el presente artículo.</w:t>
      </w:r>
    </w:p>
    <w:p w14:paraId="6C00D29C" w14:textId="247F6EC1" w:rsidR="00095FEF" w:rsidRPr="006969B3" w:rsidRDefault="00095FEF" w:rsidP="00F65283">
      <w:pPr>
        <w:spacing w:after="0" w:line="240" w:lineRule="auto"/>
        <w:rPr>
          <w:rFonts w:ascii="Arial" w:hAnsi="Arial" w:cs="Arial"/>
          <w:lang w:val="es-CO"/>
        </w:rPr>
      </w:pPr>
    </w:p>
    <w:p w14:paraId="769C91D8" w14:textId="612F19E3" w:rsidR="00095FEF" w:rsidRPr="006969B3" w:rsidRDefault="00095FEF" w:rsidP="00F65283">
      <w:pPr>
        <w:pStyle w:val="NormalWeb"/>
        <w:spacing w:before="0" w:beforeAutospacing="0" w:after="0" w:afterAutospacing="0"/>
        <w:jc w:val="both"/>
        <w:rPr>
          <w:rFonts w:ascii="Arial" w:hAnsi="Arial" w:cs="Arial"/>
          <w:sz w:val="22"/>
          <w:szCs w:val="22"/>
          <w:lang w:val="es-CO"/>
        </w:rPr>
      </w:pPr>
      <w:bookmarkStart w:id="217" w:name="201"/>
      <w:r w:rsidRPr="006969B3">
        <w:rPr>
          <w:rFonts w:ascii="Arial" w:hAnsi="Arial" w:cs="Arial"/>
          <w:sz w:val="22"/>
          <w:szCs w:val="22"/>
          <w:lang w:val="es-CO"/>
        </w:rPr>
        <w:t>ARTÍCULO 201. FONDO PARA EL FORTALECIMIENTO DE LA INSPECCIÓN, VIGILANCIA Y CONTROL DEL TRABAJO Y LA SEGURIDAD SOCIAL (FIVICOT).</w:t>
      </w:r>
      <w:bookmarkEnd w:id="217"/>
      <w:r w:rsidRPr="006969B3">
        <w:rPr>
          <w:rFonts w:ascii="Arial" w:hAnsi="Arial" w:cs="Arial"/>
          <w:sz w:val="22"/>
          <w:szCs w:val="22"/>
          <w:lang w:val="es-CO"/>
        </w:rPr>
        <w:t xml:space="preserve"> Créase el Fondo para el Fortalecimiento de la Inspección, Vigilancia, y Control del Trabajo y la </w:t>
      </w:r>
      <w:r w:rsidRPr="006969B3">
        <w:rPr>
          <w:rFonts w:ascii="Arial" w:hAnsi="Arial" w:cs="Arial"/>
          <w:sz w:val="22"/>
          <w:szCs w:val="22"/>
          <w:lang w:val="es-CO"/>
        </w:rPr>
        <w:lastRenderedPageBreak/>
        <w:t>Seguridad Social (</w:t>
      </w:r>
      <w:proofErr w:type="spellStart"/>
      <w:r w:rsidRPr="006969B3">
        <w:rPr>
          <w:rFonts w:ascii="Arial" w:hAnsi="Arial" w:cs="Arial"/>
          <w:sz w:val="22"/>
          <w:szCs w:val="22"/>
          <w:lang w:val="es-CO"/>
        </w:rPr>
        <w:t>Fivicot</w:t>
      </w:r>
      <w:proofErr w:type="spellEnd"/>
      <w:r w:rsidRPr="006969B3">
        <w:rPr>
          <w:rFonts w:ascii="Arial" w:hAnsi="Arial" w:cs="Arial"/>
          <w:sz w:val="22"/>
          <w:szCs w:val="22"/>
          <w:lang w:val="es-CO"/>
        </w:rPr>
        <w:t>), como una cuenta especial de la Nación, sin personería jurídica, adscrita al Ministerio del Trabajo, cuyos recursos se destinarán a fortalecer la Inspección, Vigilancia y Control del Trabajo y la Seguridad Social.</w:t>
      </w:r>
    </w:p>
    <w:p w14:paraId="670109EE"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6F941050" w14:textId="4C7D64D0"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Fondo estará conformado por las multas que se impongan por las autoridades administrativas del trabajo a partir del primero (1) de enero de 2020, por la violación de las disposiciones relativas a las condiciones de trabajo, así como a la protección de los trabajadores en el ejercicio de su profesión y del derecho de libre asociación sindical.</w:t>
      </w:r>
    </w:p>
    <w:p w14:paraId="019169F7"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1E42CF37" w14:textId="77777777"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El Gobierno nacional reglamentará el presente artículo en el plazo máximo de seis (6) meses.</w:t>
      </w:r>
    </w:p>
    <w:p w14:paraId="04143817" w14:textId="32056099" w:rsidR="00095FEF" w:rsidRPr="006969B3" w:rsidRDefault="00095FEF" w:rsidP="00F65283">
      <w:pPr>
        <w:spacing w:after="0" w:line="240" w:lineRule="auto"/>
        <w:rPr>
          <w:rFonts w:ascii="Arial" w:hAnsi="Arial" w:cs="Arial"/>
          <w:lang w:val="es-CO"/>
        </w:rPr>
      </w:pPr>
    </w:p>
    <w:p w14:paraId="16B88C4C" w14:textId="11C51CDF" w:rsidR="00095FEF" w:rsidRPr="006969B3" w:rsidRDefault="00095FEF" w:rsidP="00F65283">
      <w:pPr>
        <w:pStyle w:val="NormalWeb"/>
        <w:spacing w:before="0" w:beforeAutospacing="0" w:after="0" w:afterAutospacing="0"/>
        <w:jc w:val="both"/>
        <w:rPr>
          <w:rFonts w:ascii="Arial" w:hAnsi="Arial" w:cs="Arial"/>
          <w:sz w:val="22"/>
          <w:szCs w:val="22"/>
          <w:lang w:val="es-CO"/>
        </w:rPr>
      </w:pPr>
      <w:bookmarkStart w:id="218" w:name="202"/>
      <w:r w:rsidRPr="006969B3">
        <w:rPr>
          <w:rFonts w:ascii="Arial" w:hAnsi="Arial" w:cs="Arial"/>
          <w:sz w:val="22"/>
          <w:szCs w:val="22"/>
          <w:lang w:val="es-CO"/>
        </w:rPr>
        <w:t>ARTÍCULO 202. OBJETO DEL FONDO DE RIESGOS LABORALES.</w:t>
      </w:r>
      <w:bookmarkEnd w:id="218"/>
      <w:r w:rsidRPr="006969B3">
        <w:rPr>
          <w:rFonts w:ascii="Arial" w:hAnsi="Arial" w:cs="Arial"/>
          <w:sz w:val="22"/>
          <w:szCs w:val="22"/>
          <w:lang w:val="es-CO"/>
        </w:rPr>
        <w:t> Adiciónese el literal i) al artículo </w:t>
      </w:r>
      <w:r w:rsidRPr="007B5FFA">
        <w:rPr>
          <w:rFonts w:ascii="Arial" w:hAnsi="Arial" w:cs="Arial"/>
          <w:sz w:val="22"/>
          <w:szCs w:val="22"/>
          <w:lang w:val="es-CO"/>
        </w:rPr>
        <w:t>12</w:t>
      </w:r>
      <w:r w:rsidRPr="006969B3">
        <w:rPr>
          <w:rFonts w:ascii="Arial" w:hAnsi="Arial" w:cs="Arial"/>
          <w:sz w:val="22"/>
          <w:szCs w:val="22"/>
          <w:lang w:val="es-CO"/>
        </w:rPr>
        <w:t> de la Ley 1562 de 2012, en los siguientes términos:</w:t>
      </w:r>
    </w:p>
    <w:p w14:paraId="25E8758D"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40EAED17" w14:textId="1B12C160"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i) Compensar a las Administradoras de Riesgos Laborales que asuman el aseguramiento de riesgos con alta siniestralidad, alto costo operativo, o la combinación de ambos fenómenos, mediante una subcuenta de compensación que será financiada con el 50% del recaudo correspondiente a las cotizaciones a cargo de los empleadores y trabajadores independientes establecido en el artículo </w:t>
      </w:r>
      <w:r w:rsidRPr="007B5FFA">
        <w:rPr>
          <w:rFonts w:ascii="Arial" w:hAnsi="Arial" w:cs="Arial"/>
          <w:sz w:val="22"/>
          <w:szCs w:val="22"/>
          <w:lang w:val="es-CO"/>
        </w:rPr>
        <w:t>89</w:t>
      </w:r>
      <w:r w:rsidRPr="006969B3">
        <w:rPr>
          <w:rFonts w:ascii="Arial" w:hAnsi="Arial" w:cs="Arial"/>
          <w:sz w:val="22"/>
          <w:szCs w:val="22"/>
          <w:lang w:val="es-CO"/>
        </w:rPr>
        <w:t> del Decreto Ley 1295 de 1994 y las normas que lo modifiquen o adicionen.</w:t>
      </w:r>
    </w:p>
    <w:p w14:paraId="0F966F03" w14:textId="5E6A7DD3" w:rsidR="00095FEF" w:rsidRPr="006969B3" w:rsidRDefault="00095FEF" w:rsidP="00F65283">
      <w:pPr>
        <w:spacing w:after="0" w:line="240" w:lineRule="auto"/>
        <w:rPr>
          <w:rFonts w:ascii="Arial" w:hAnsi="Arial" w:cs="Arial"/>
          <w:lang w:val="es-CO"/>
        </w:rPr>
      </w:pPr>
    </w:p>
    <w:p w14:paraId="192D8FE6" w14:textId="1880B190" w:rsidR="00095FEF" w:rsidRPr="006969B3" w:rsidRDefault="00095FEF" w:rsidP="00F65283">
      <w:pPr>
        <w:pStyle w:val="NormalWeb"/>
        <w:spacing w:before="0" w:beforeAutospacing="0" w:after="0" w:afterAutospacing="0"/>
        <w:jc w:val="both"/>
        <w:rPr>
          <w:rFonts w:ascii="Arial" w:hAnsi="Arial" w:cs="Arial"/>
          <w:sz w:val="22"/>
          <w:szCs w:val="22"/>
          <w:lang w:val="es-CO"/>
        </w:rPr>
      </w:pPr>
      <w:bookmarkStart w:id="219" w:name="203"/>
      <w:r w:rsidRPr="006969B3">
        <w:rPr>
          <w:rFonts w:ascii="Arial" w:hAnsi="Arial" w:cs="Arial"/>
          <w:sz w:val="22"/>
          <w:szCs w:val="22"/>
          <w:lang w:val="es-CO"/>
        </w:rPr>
        <w:t>ARTÍCULO 203. SERVICIOS DE PROMOCIÓN Y PREVENCIÓN.</w:t>
      </w:r>
      <w:bookmarkEnd w:id="219"/>
      <w:r w:rsidRPr="006969B3">
        <w:rPr>
          <w:rFonts w:ascii="Arial" w:hAnsi="Arial" w:cs="Arial"/>
          <w:sz w:val="22"/>
          <w:szCs w:val="22"/>
          <w:lang w:val="es-CO"/>
        </w:rPr>
        <w:t> Modifíquese el segundo inciso del parágrafo 5 del artículo </w:t>
      </w:r>
      <w:r w:rsidRPr="007B5FFA">
        <w:rPr>
          <w:rFonts w:ascii="Arial" w:hAnsi="Arial" w:cs="Arial"/>
          <w:sz w:val="22"/>
          <w:szCs w:val="22"/>
          <w:lang w:val="es-CO"/>
        </w:rPr>
        <w:t>11</w:t>
      </w:r>
      <w:r w:rsidRPr="006969B3">
        <w:rPr>
          <w:rFonts w:ascii="Arial" w:hAnsi="Arial" w:cs="Arial"/>
          <w:sz w:val="22"/>
          <w:szCs w:val="22"/>
          <w:lang w:val="es-CO"/>
        </w:rPr>
        <w:t> de la Ley 1562 de 2012, el cual quedará así:</w:t>
      </w:r>
    </w:p>
    <w:p w14:paraId="03F61AD0" w14:textId="77777777"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En caso de que se utilice algún intermediario las ARL podrán pagar las comisiones del ramo con cargo a las cotizaciones o primas, incluidas las de riesgos laborales, o con los rendimientos financieros de las inversiones de las reservas técnicas, siempre que hayan cumplido sus deberes propios derivados de la cobertura de las prestaciones del sistema, y los destine como parte de los gastos de administración. El Gobierno nacional, con base en estudios técnicos, determinará el valor máximo de estas comisiones.</w:t>
      </w:r>
    </w:p>
    <w:p w14:paraId="136F5024" w14:textId="441E33AF" w:rsidR="00095FEF" w:rsidRPr="006969B3" w:rsidRDefault="00095FEF" w:rsidP="00F65283">
      <w:pPr>
        <w:spacing w:after="0" w:line="240" w:lineRule="auto"/>
        <w:rPr>
          <w:rFonts w:ascii="Arial" w:hAnsi="Arial" w:cs="Arial"/>
          <w:lang w:val="es-CO"/>
        </w:rPr>
      </w:pPr>
    </w:p>
    <w:p w14:paraId="30623FDC" w14:textId="175EC333" w:rsidR="00095FEF" w:rsidRPr="006969B3" w:rsidRDefault="00095FEF" w:rsidP="00F65283">
      <w:pPr>
        <w:pStyle w:val="NormalWeb"/>
        <w:spacing w:before="0" w:beforeAutospacing="0" w:after="0" w:afterAutospacing="0"/>
        <w:jc w:val="both"/>
        <w:rPr>
          <w:rFonts w:ascii="Arial" w:hAnsi="Arial" w:cs="Arial"/>
          <w:sz w:val="22"/>
          <w:szCs w:val="22"/>
          <w:lang w:val="es-CO"/>
        </w:rPr>
      </w:pPr>
      <w:bookmarkStart w:id="220" w:name="204"/>
      <w:r w:rsidRPr="006969B3">
        <w:rPr>
          <w:rFonts w:ascii="Arial" w:hAnsi="Arial" w:cs="Arial"/>
          <w:sz w:val="22"/>
          <w:szCs w:val="22"/>
          <w:lang w:val="es-CO"/>
        </w:rPr>
        <w:t>ARTÍCULO 204. EXONERACIÓN DE APORTES.</w:t>
      </w:r>
      <w:bookmarkEnd w:id="220"/>
      <w:r w:rsidRPr="006969B3">
        <w:rPr>
          <w:rFonts w:ascii="Arial" w:hAnsi="Arial" w:cs="Arial"/>
          <w:sz w:val="22"/>
          <w:szCs w:val="22"/>
          <w:lang w:val="es-CO"/>
        </w:rPr>
        <w:t> Adiciónese un inciso al parágrafo 2 del artículo </w:t>
      </w:r>
      <w:r w:rsidRPr="007B5FFA">
        <w:rPr>
          <w:rFonts w:ascii="Arial" w:hAnsi="Arial" w:cs="Arial"/>
          <w:sz w:val="22"/>
          <w:szCs w:val="22"/>
          <w:lang w:val="es-CO"/>
        </w:rPr>
        <w:t>114-1</w:t>
      </w:r>
      <w:r w:rsidRPr="006969B3">
        <w:rPr>
          <w:rFonts w:ascii="Arial" w:hAnsi="Arial" w:cs="Arial"/>
          <w:sz w:val="22"/>
          <w:szCs w:val="22"/>
          <w:lang w:val="es-CO"/>
        </w:rPr>
        <w:t> del Estatuto Tributario, así:</w:t>
      </w:r>
    </w:p>
    <w:p w14:paraId="69024434"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4438990A" w14:textId="7E2C419C"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Las entidades de que trata el artículo </w:t>
      </w:r>
      <w:r w:rsidRPr="007B5FFA">
        <w:rPr>
          <w:rFonts w:ascii="Arial" w:hAnsi="Arial" w:cs="Arial"/>
          <w:sz w:val="22"/>
          <w:szCs w:val="22"/>
          <w:lang w:val="es-CO"/>
        </w:rPr>
        <w:t>19-4</w:t>
      </w:r>
      <w:r w:rsidRPr="006969B3">
        <w:rPr>
          <w:rFonts w:ascii="Arial" w:hAnsi="Arial" w:cs="Arial"/>
          <w:sz w:val="22"/>
          <w:szCs w:val="22"/>
          <w:lang w:val="es-CO"/>
        </w:rPr>
        <w:t> del Estatuto Tributario conservan el derecho a la exoneración de que trata este artículo.</w:t>
      </w:r>
    </w:p>
    <w:p w14:paraId="4A53DE5D" w14:textId="68EF663F" w:rsidR="00095FEF" w:rsidRPr="006969B3" w:rsidRDefault="00095FEF" w:rsidP="00F65283">
      <w:pPr>
        <w:spacing w:after="0" w:line="240" w:lineRule="auto"/>
        <w:rPr>
          <w:rFonts w:ascii="Arial" w:hAnsi="Arial" w:cs="Arial"/>
          <w:lang w:val="es-CO"/>
        </w:rPr>
      </w:pPr>
    </w:p>
    <w:p w14:paraId="0E866570" w14:textId="0A800B55" w:rsidR="00095FEF" w:rsidRPr="006969B3" w:rsidRDefault="00095FEF" w:rsidP="00F65283">
      <w:pPr>
        <w:pStyle w:val="NormalWeb"/>
        <w:spacing w:before="0" w:beforeAutospacing="0" w:after="0" w:afterAutospacing="0"/>
        <w:jc w:val="both"/>
        <w:rPr>
          <w:rFonts w:ascii="Arial" w:hAnsi="Arial" w:cs="Arial"/>
          <w:sz w:val="22"/>
          <w:szCs w:val="22"/>
          <w:lang w:val="es-CO"/>
        </w:rPr>
      </w:pPr>
      <w:bookmarkStart w:id="221" w:name="205"/>
      <w:r w:rsidRPr="006969B3">
        <w:rPr>
          <w:rFonts w:ascii="Arial" w:hAnsi="Arial" w:cs="Arial"/>
          <w:sz w:val="22"/>
          <w:szCs w:val="22"/>
          <w:lang w:val="es-CO"/>
        </w:rPr>
        <w:t>ARTÍCULO 205. APLICACIONES Y PLATAFORMAS TECNOLÓGICAS.</w:t>
      </w:r>
      <w:bookmarkEnd w:id="221"/>
      <w:r w:rsidRPr="006969B3">
        <w:rPr>
          <w:rFonts w:ascii="Arial" w:hAnsi="Arial" w:cs="Arial"/>
          <w:sz w:val="22"/>
          <w:szCs w:val="22"/>
          <w:lang w:val="es-CO"/>
        </w:rPr>
        <w:t> El Gobierno nacional a través del Ministerio del Trabajo, en coordinación con los Ministerios de Salud y Protección Social, Hacienda y Crédito Público y de las Tecnologías de la Información y las Comunicaciones, diseñarán y formularán una política pública que permita, entre otros, caracterizar las condiciones de prestación de servicio y las modalidades de protección y seguridad social que se puedan generar del uso de estas aplicaciones y plataformas.</w:t>
      </w:r>
    </w:p>
    <w:p w14:paraId="6D3F640A"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54EE3062" w14:textId="216A11A2"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Las aplicaciones y plataformas, así como las personas naturales y jurídicas del sector, suministrarán la información necesaria que servirá de insumo para la política pública y los estudios sectoriales que se requiera, incluyendo la caracterización del sector.</w:t>
      </w:r>
    </w:p>
    <w:p w14:paraId="7D333629"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50C3105E" w14:textId="30B1B995"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xml:space="preserve"> Dentro del año siguiente a la promulgación de la presente Ley, el Gobierno nacional presentará al Congreso de la República un proyecto de ley que definirá la forma de vinculación correspondiente de los actores del sector y el acceso y aporte a la seguridad </w:t>
      </w:r>
      <w:r w:rsidRPr="006969B3">
        <w:rPr>
          <w:rFonts w:ascii="Arial" w:hAnsi="Arial" w:cs="Arial"/>
          <w:sz w:val="22"/>
          <w:szCs w:val="22"/>
          <w:lang w:val="es-CO"/>
        </w:rPr>
        <w:lastRenderedPageBreak/>
        <w:t>social integral para las personas que presten sus servicios a través de las aplicaciones y plataformas tecnológicas.</w:t>
      </w:r>
    </w:p>
    <w:p w14:paraId="2D29582E"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6657CE26" w14:textId="0B889264" w:rsidR="00095FEF" w:rsidRPr="006969B3" w:rsidRDefault="00095FEF" w:rsidP="00F65283">
      <w:pPr>
        <w:pStyle w:val="centrado"/>
        <w:spacing w:before="0" w:beforeAutospacing="0" w:after="0" w:afterAutospacing="0"/>
        <w:jc w:val="center"/>
        <w:rPr>
          <w:rFonts w:ascii="Arial" w:hAnsi="Arial" w:cs="Arial"/>
          <w:b/>
          <w:bCs/>
          <w:sz w:val="22"/>
          <w:szCs w:val="22"/>
          <w:lang w:val="es-CO"/>
        </w:rPr>
      </w:pPr>
      <w:bookmarkStart w:id="222" w:name="SUBSECCIÓN_3-III-II-II"/>
      <w:r w:rsidRPr="006969B3">
        <w:rPr>
          <w:rFonts w:ascii="Arial" w:hAnsi="Arial" w:cs="Arial"/>
          <w:b/>
          <w:bCs/>
          <w:sz w:val="22"/>
          <w:szCs w:val="22"/>
          <w:lang w:val="es-CO"/>
        </w:rPr>
        <w:t>SUBSECCIÓN 3</w:t>
      </w:r>
      <w:bookmarkEnd w:id="222"/>
    </w:p>
    <w:p w14:paraId="63C29542" w14:textId="77777777" w:rsidR="009D0A59" w:rsidRPr="006969B3" w:rsidRDefault="009D0A59" w:rsidP="00F65283">
      <w:pPr>
        <w:pStyle w:val="centrado"/>
        <w:spacing w:before="0" w:beforeAutospacing="0" w:after="0" w:afterAutospacing="0"/>
        <w:jc w:val="center"/>
        <w:rPr>
          <w:rFonts w:ascii="Arial" w:hAnsi="Arial" w:cs="Arial"/>
          <w:b/>
          <w:bCs/>
          <w:sz w:val="22"/>
          <w:szCs w:val="22"/>
          <w:lang w:val="es-CO"/>
        </w:rPr>
      </w:pPr>
    </w:p>
    <w:p w14:paraId="518C6623" w14:textId="77777777" w:rsidR="00095FEF" w:rsidRPr="006969B3" w:rsidRDefault="00095FEF" w:rsidP="00F65283">
      <w:pPr>
        <w:pStyle w:val="centrado"/>
        <w:spacing w:before="0" w:beforeAutospacing="0" w:after="0" w:afterAutospacing="0"/>
        <w:jc w:val="center"/>
        <w:rPr>
          <w:rFonts w:ascii="Arial" w:hAnsi="Arial" w:cs="Arial"/>
          <w:b/>
          <w:bCs/>
          <w:sz w:val="22"/>
          <w:szCs w:val="22"/>
          <w:lang w:val="es-CO"/>
        </w:rPr>
      </w:pPr>
      <w:r w:rsidRPr="006969B3">
        <w:rPr>
          <w:rStyle w:val="baj"/>
          <w:rFonts w:ascii="Arial" w:hAnsi="Arial" w:cs="Arial"/>
          <w:b/>
          <w:bCs/>
          <w:sz w:val="22"/>
          <w:szCs w:val="22"/>
          <w:lang w:val="es-CO"/>
        </w:rPr>
        <w:t>EQUIDAD PARA LA PROSPERIDAD SOCIAL.</w:t>
      </w:r>
    </w:p>
    <w:p w14:paraId="00D0C957" w14:textId="77777777" w:rsidR="0094161B" w:rsidRPr="006969B3" w:rsidRDefault="0094161B" w:rsidP="00F65283">
      <w:pPr>
        <w:spacing w:after="0" w:line="240" w:lineRule="auto"/>
        <w:rPr>
          <w:rFonts w:ascii="Arial" w:hAnsi="Arial" w:cs="Arial"/>
          <w:lang w:val="es-CO"/>
        </w:rPr>
      </w:pPr>
    </w:p>
    <w:p w14:paraId="6CBFD9DD" w14:textId="74C8A1CE" w:rsidR="00095FEF" w:rsidRPr="006969B3" w:rsidRDefault="00095FEF" w:rsidP="00F65283">
      <w:pPr>
        <w:pStyle w:val="NormalWeb"/>
        <w:spacing w:before="0" w:beforeAutospacing="0" w:after="0" w:afterAutospacing="0"/>
        <w:jc w:val="both"/>
        <w:rPr>
          <w:rFonts w:ascii="Arial" w:hAnsi="Arial" w:cs="Arial"/>
          <w:sz w:val="22"/>
          <w:szCs w:val="22"/>
          <w:lang w:val="es-CO"/>
        </w:rPr>
      </w:pPr>
      <w:bookmarkStart w:id="223" w:name="206"/>
      <w:r w:rsidRPr="006969B3">
        <w:rPr>
          <w:rFonts w:ascii="Arial" w:hAnsi="Arial" w:cs="Arial"/>
          <w:sz w:val="22"/>
          <w:szCs w:val="22"/>
          <w:lang w:val="es-CO"/>
        </w:rPr>
        <w:t>ARTÍCULO 206. POLÍTICA DE ATENCIÓN INTEGRAL A LA PRIMERA INFANCIA, INFANCIA Y ADOLESCENCIA.</w:t>
      </w:r>
      <w:bookmarkEnd w:id="223"/>
      <w:r w:rsidRPr="006969B3">
        <w:rPr>
          <w:rFonts w:ascii="Arial" w:hAnsi="Arial" w:cs="Arial"/>
          <w:sz w:val="22"/>
          <w:szCs w:val="22"/>
          <w:lang w:val="es-CO"/>
        </w:rPr>
        <w:t> Modifíquese el literal a) y adiciónese un parágrafo al artículo </w:t>
      </w:r>
      <w:r w:rsidRPr="007B5FFA">
        <w:rPr>
          <w:rFonts w:ascii="Arial" w:hAnsi="Arial" w:cs="Arial"/>
          <w:sz w:val="22"/>
          <w:szCs w:val="22"/>
          <w:lang w:val="es-CO"/>
        </w:rPr>
        <w:t>82</w:t>
      </w:r>
      <w:r w:rsidRPr="006969B3">
        <w:rPr>
          <w:rFonts w:ascii="Arial" w:hAnsi="Arial" w:cs="Arial"/>
          <w:sz w:val="22"/>
          <w:szCs w:val="22"/>
          <w:lang w:val="es-CO"/>
        </w:rPr>
        <w:t> de la Ley 1753 de 2015, el cual quedará así:</w:t>
      </w:r>
    </w:p>
    <w:p w14:paraId="3723D818"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1715D7FE" w14:textId="6F0A366E"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 Formulación e implementación de rutas integrales de atención que articulen y armonicen la oferta pública y privada, incluyendo las relacionadas con prevención de la violencia juvenil y el consumo de sustancias psicoactivas y estupefacientes.</w:t>
      </w:r>
    </w:p>
    <w:p w14:paraId="75D70302"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3C0BE38C" w14:textId="77777777"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El Gobierno nacional a través de los agentes del Sistema Nacional de Bienestar Familiar (SNBF), establecerá las condiciones institucionales, técnicas y financieras para la puesta en marcha de una oferta de atención especializada a niños, niñas y adolescentes con dependencia funcional permanente, y de aquellos que presenten consumo problemático de sustancias psicoactivas (SPA), en complementariedad y concurrencia con los gobiernos territoriales y en el marco de sus competencias.</w:t>
      </w:r>
    </w:p>
    <w:p w14:paraId="2F253525" w14:textId="3754419B" w:rsidR="00095FEF" w:rsidRPr="006969B3" w:rsidRDefault="00095FEF" w:rsidP="00F65283">
      <w:pPr>
        <w:spacing w:after="0" w:line="240" w:lineRule="auto"/>
        <w:rPr>
          <w:rFonts w:ascii="Arial" w:hAnsi="Arial" w:cs="Arial"/>
          <w:lang w:val="es-CO"/>
        </w:rPr>
      </w:pPr>
    </w:p>
    <w:p w14:paraId="4174AAA0" w14:textId="19D1620E" w:rsidR="00095FEF" w:rsidRPr="006969B3" w:rsidRDefault="00095FEF" w:rsidP="00F65283">
      <w:pPr>
        <w:pStyle w:val="NormalWeb"/>
        <w:spacing w:before="0" w:beforeAutospacing="0" w:after="0" w:afterAutospacing="0"/>
        <w:jc w:val="both"/>
        <w:rPr>
          <w:rFonts w:ascii="Arial" w:hAnsi="Arial" w:cs="Arial"/>
          <w:sz w:val="22"/>
          <w:szCs w:val="22"/>
          <w:lang w:val="es-CO"/>
        </w:rPr>
      </w:pPr>
      <w:bookmarkStart w:id="224" w:name="207"/>
      <w:r w:rsidRPr="006969B3">
        <w:rPr>
          <w:rFonts w:ascii="Arial" w:hAnsi="Arial" w:cs="Arial"/>
          <w:sz w:val="22"/>
          <w:szCs w:val="22"/>
          <w:lang w:val="es-CO"/>
        </w:rPr>
        <w:t>ARTÍCULO 207. ACCESO PREFERENTE A LA OFERTA DEL SECTOR DE INCLUSIÓN SOCIAL Y RECONCILIACIÓN.</w:t>
      </w:r>
      <w:bookmarkEnd w:id="224"/>
      <w:r w:rsidRPr="006969B3">
        <w:rPr>
          <w:rFonts w:ascii="Arial" w:hAnsi="Arial" w:cs="Arial"/>
          <w:sz w:val="22"/>
          <w:szCs w:val="22"/>
          <w:lang w:val="es-CO"/>
        </w:rPr>
        <w:t> Los niños, las niñas y los adolescentes en procesos de protección y las familias en programas de acompañamiento fa miliar del Instituto Colombiano de Bienestar Familiar (ICBF), tendrán acceso preferente a la oferta del Sector de Inclusión Social y Reconciliación, para la superación de las condiciones sociales y económicas que incidieron en la vulneración de sus derechos.</w:t>
      </w:r>
    </w:p>
    <w:p w14:paraId="10AB751A"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33C2A254" w14:textId="77777777"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El Departamento Administrativo para la Prosperidad Social, en articulación con el Instituto Colombiano de Bienestar Familiar (ICBF), adelantarán las acciones correspondientes para el desarrollo de los instrumentos técnicos y normativos necesarios para garantizar el acceso preferencial a esta población.</w:t>
      </w:r>
    </w:p>
    <w:p w14:paraId="4CDA4110" w14:textId="08216B17" w:rsidR="00095FEF" w:rsidRPr="006969B3" w:rsidRDefault="00095FEF" w:rsidP="00F65283">
      <w:pPr>
        <w:spacing w:after="0" w:line="240" w:lineRule="auto"/>
        <w:rPr>
          <w:rFonts w:ascii="Arial" w:hAnsi="Arial" w:cs="Arial"/>
          <w:lang w:val="es-CO"/>
        </w:rPr>
      </w:pPr>
    </w:p>
    <w:p w14:paraId="6BFEE6C4" w14:textId="412ABAFE" w:rsidR="00095FEF" w:rsidRPr="006969B3" w:rsidRDefault="00095FEF" w:rsidP="00F65283">
      <w:pPr>
        <w:pStyle w:val="NormalWeb"/>
        <w:spacing w:before="0" w:beforeAutospacing="0" w:after="0" w:afterAutospacing="0"/>
        <w:jc w:val="both"/>
        <w:rPr>
          <w:rFonts w:ascii="Arial" w:hAnsi="Arial" w:cs="Arial"/>
          <w:sz w:val="22"/>
          <w:szCs w:val="22"/>
          <w:lang w:val="es-CO"/>
        </w:rPr>
      </w:pPr>
      <w:bookmarkStart w:id="225" w:name="208"/>
      <w:r w:rsidRPr="006969B3">
        <w:rPr>
          <w:rFonts w:ascii="Arial" w:hAnsi="Arial" w:cs="Arial"/>
          <w:sz w:val="22"/>
          <w:szCs w:val="22"/>
          <w:lang w:val="es-CO"/>
        </w:rPr>
        <w:t>ARTÍCULO 208. MEDIDAS DE RESTABLECIMIENTO DE DERECHOS Y DE DECLARATORIA DE VULNERACIÓN.</w:t>
      </w:r>
      <w:bookmarkEnd w:id="225"/>
      <w:r w:rsidRPr="006969B3">
        <w:rPr>
          <w:rFonts w:ascii="Arial" w:hAnsi="Arial" w:cs="Arial"/>
          <w:sz w:val="22"/>
          <w:szCs w:val="22"/>
          <w:lang w:val="es-CO"/>
        </w:rPr>
        <w:t> Modifíquese el inciso sexto del artículo </w:t>
      </w:r>
      <w:r w:rsidRPr="007B5FFA">
        <w:rPr>
          <w:rFonts w:ascii="Arial" w:hAnsi="Arial" w:cs="Arial"/>
          <w:sz w:val="22"/>
          <w:szCs w:val="22"/>
          <w:lang w:val="es-CO"/>
        </w:rPr>
        <w:t>103</w:t>
      </w:r>
      <w:r w:rsidRPr="006969B3">
        <w:rPr>
          <w:rFonts w:ascii="Arial" w:hAnsi="Arial" w:cs="Arial"/>
          <w:sz w:val="22"/>
          <w:szCs w:val="22"/>
          <w:lang w:val="es-CO"/>
        </w:rPr>
        <w:t> de la Ley 1098 de 2006, modificado por el artículo </w:t>
      </w:r>
      <w:r w:rsidRPr="007B5FFA">
        <w:rPr>
          <w:rFonts w:ascii="Arial" w:hAnsi="Arial" w:cs="Arial"/>
          <w:sz w:val="22"/>
          <w:szCs w:val="22"/>
          <w:lang w:val="es-CO"/>
        </w:rPr>
        <w:t>6o</w:t>
      </w:r>
      <w:r w:rsidRPr="006969B3">
        <w:rPr>
          <w:rFonts w:ascii="Arial" w:hAnsi="Arial" w:cs="Arial"/>
          <w:sz w:val="22"/>
          <w:szCs w:val="22"/>
          <w:lang w:val="es-CO"/>
        </w:rPr>
        <w:t> de la Ley 1878 de 2018, y adiciónense los siguientes incisos, así:</w:t>
      </w:r>
    </w:p>
    <w:p w14:paraId="4EBA5C2B"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2CE7D2E2" w14:textId="16D5E9C5"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Proceso Administrativo de Restablecimiento de Derechos con el seguimiento tendrá una duración de dieciocho (18) meses, contados a partir del conocimiento de los hechos por parte de la autoridad administrativa hasta la declaratoria de adoptabilidad o el cierre del proceso por haberse evidenciado con los seguimientos, que la ubicación en medio familiar fue la medida idónea.</w:t>
      </w:r>
    </w:p>
    <w:p w14:paraId="2775DD38"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5491EE4F" w14:textId="6FB47F17"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Con el fin de garantizar una atención con enfoque diferencial, en los casos en que se advierta que un proceso no puede ser definido de fondo en el término máximo establecido, por las situaciones fácticas y probatorias que reposan en el expediente, el ICBF reglamentará un mecanismo para analizar el proceso y darle el aval a la autoridad administrativa para la ampliación del término.</w:t>
      </w:r>
    </w:p>
    <w:p w14:paraId="7A7C75B6"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7D702E1A" w14:textId="13BCB7BD"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lastRenderedPageBreak/>
        <w:t>Cuando se trata de procesos administrativos de restablecimiento de derechos de niños, niñas, adolescentes y adultos con discapacidad en los cuales se hubiere superado la vulneración de derechos, transitoriamente se continuará con la prestación del servicio de la modalidad de protección cuando se requiera, hasta tanto la entidad correspondiente del Sistema Nacional de Bienestar Familiar garantice la prestación del servicio de acuerdo con sus competencias legales.</w:t>
      </w:r>
    </w:p>
    <w:p w14:paraId="49E1816F"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53A5A0BE" w14:textId="77777777"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En los casos en que se otorgue el aval, la autoridad administrativa emitirá una resolución motivada decretando la ampliación del término y relacionando el acervo documental que soporta esta decisión.</w:t>
      </w:r>
    </w:p>
    <w:p w14:paraId="14147843" w14:textId="0D38B6D5" w:rsidR="00095FEF" w:rsidRPr="006969B3" w:rsidRDefault="00095FEF" w:rsidP="00F65283">
      <w:pPr>
        <w:spacing w:after="0" w:line="240" w:lineRule="auto"/>
        <w:rPr>
          <w:rFonts w:ascii="Arial" w:hAnsi="Arial" w:cs="Arial"/>
          <w:lang w:val="es-CO"/>
        </w:rPr>
      </w:pPr>
    </w:p>
    <w:p w14:paraId="705650A5" w14:textId="15706FEB" w:rsidR="00095FEF" w:rsidRPr="006969B3" w:rsidRDefault="00095FEF" w:rsidP="00F65283">
      <w:pPr>
        <w:pStyle w:val="NormalWeb"/>
        <w:spacing w:before="0" w:beforeAutospacing="0" w:after="0" w:afterAutospacing="0"/>
        <w:jc w:val="both"/>
        <w:rPr>
          <w:rFonts w:ascii="Arial" w:hAnsi="Arial" w:cs="Arial"/>
          <w:sz w:val="22"/>
          <w:szCs w:val="22"/>
          <w:lang w:val="es-CO"/>
        </w:rPr>
      </w:pPr>
      <w:bookmarkStart w:id="226" w:name="209"/>
      <w:r w:rsidRPr="006969B3">
        <w:rPr>
          <w:rFonts w:ascii="Arial" w:hAnsi="Arial" w:cs="Arial"/>
          <w:sz w:val="22"/>
          <w:szCs w:val="22"/>
          <w:lang w:val="es-CO"/>
        </w:rPr>
        <w:t>ARTÍCULO 209. ESTRATEGIA SACÚDETE.</w:t>
      </w:r>
      <w:bookmarkEnd w:id="226"/>
      <w:r w:rsidRPr="006969B3">
        <w:rPr>
          <w:rFonts w:ascii="Arial" w:hAnsi="Arial" w:cs="Arial"/>
          <w:sz w:val="22"/>
          <w:szCs w:val="22"/>
          <w:lang w:val="es-CO"/>
        </w:rPr>
        <w:t> El Gobierno nacional, bajo la coordinación técnica de la Dirección del Sistema Nacional de Juventud “Colombia Joven”, reglamentará e implementará la Estrategia Sacúdete, cuyo objeto es desarrollar, fortalecer y potenciar los talentos, capacidades y habilidades de los jóvenes, a través de la transferencia de conocimientos y herramientas metodológicas, que faciliten la inserción en el mercado productivo y la consolidación de proyectos de vida legales y sostenibles.</w:t>
      </w:r>
    </w:p>
    <w:p w14:paraId="15825A2C"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3A60AD86" w14:textId="77777777"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Las entidades vinculadas a la implementación de la Estrategia Sacúdete son: Ministerio de Comercio, Industria y Turismo, Ministerio de Trabajo, Ministerio de Justicia y del Derecho, Ministerio de Cultura, Ministerio de Salud y Protección Social, Ministerio de Ambiente y Desarrollo Sostenible, Ministerio de Educación Nacional, Ministerio de Tecnologías de la Información y las Comunicaciones, Ministerio de Agricultura y Desarrollo Rural, Departamento para la Prosperidad Social, Ministerio de Ciencia, Tecnología e Innovación, Departamento Administrativo Nacional de Estadística, SENA, ICBF y Coldeportes.</w:t>
      </w:r>
    </w:p>
    <w:p w14:paraId="69E46378" w14:textId="77777777" w:rsidR="000537C1" w:rsidRDefault="000537C1" w:rsidP="00F65283">
      <w:pPr>
        <w:pStyle w:val="NormalWeb"/>
        <w:spacing w:before="0" w:beforeAutospacing="0" w:after="0" w:afterAutospacing="0"/>
        <w:jc w:val="both"/>
        <w:rPr>
          <w:rFonts w:ascii="Arial" w:hAnsi="Arial" w:cs="Arial"/>
          <w:sz w:val="22"/>
          <w:szCs w:val="22"/>
          <w:lang w:val="es-CO"/>
        </w:rPr>
      </w:pPr>
    </w:p>
    <w:p w14:paraId="29EDB098" w14:textId="5A9D9184"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Para el diseño e implementación de esta estrategia, se podrán destinar recursos de las entidades públicas del orden nacional y territorial, de organismos internacionales de desarrollo, de convenios de cooperación internacional y de convenios con organizaciones privadas.</w:t>
      </w:r>
    </w:p>
    <w:p w14:paraId="1E9C7290" w14:textId="14686992" w:rsidR="00095FEF" w:rsidRPr="006969B3" w:rsidRDefault="00095FEF" w:rsidP="00F65283">
      <w:pPr>
        <w:spacing w:after="0" w:line="240" w:lineRule="auto"/>
        <w:rPr>
          <w:rFonts w:ascii="Arial" w:hAnsi="Arial" w:cs="Arial"/>
          <w:lang w:val="es-CO"/>
        </w:rPr>
      </w:pPr>
    </w:p>
    <w:p w14:paraId="72E3D2C1" w14:textId="5FA91D56" w:rsidR="00095FEF" w:rsidRPr="006969B3" w:rsidRDefault="00095FEF" w:rsidP="00F65283">
      <w:pPr>
        <w:pStyle w:val="NormalWeb"/>
        <w:spacing w:before="0" w:beforeAutospacing="0" w:after="0" w:afterAutospacing="0"/>
        <w:jc w:val="both"/>
        <w:rPr>
          <w:rFonts w:ascii="Arial" w:hAnsi="Arial" w:cs="Arial"/>
          <w:sz w:val="22"/>
          <w:szCs w:val="22"/>
          <w:lang w:val="es-CO"/>
        </w:rPr>
      </w:pPr>
      <w:bookmarkStart w:id="227" w:name="210"/>
      <w:r w:rsidRPr="006969B3">
        <w:rPr>
          <w:rFonts w:ascii="Arial" w:hAnsi="Arial" w:cs="Arial"/>
          <w:sz w:val="22"/>
          <w:szCs w:val="22"/>
          <w:lang w:val="es-CO"/>
        </w:rPr>
        <w:t>ARTÍCULO 210. FOCALIZACIÓN DE LA OFERTA SOCIAL.</w:t>
      </w:r>
      <w:bookmarkEnd w:id="227"/>
      <w:r w:rsidRPr="006969B3">
        <w:rPr>
          <w:rFonts w:ascii="Arial" w:hAnsi="Arial" w:cs="Arial"/>
          <w:sz w:val="22"/>
          <w:szCs w:val="22"/>
          <w:lang w:val="es-CO"/>
        </w:rPr>
        <w:t> Para todos los efectos, los programas del Departamento Administrativo para la Prosperidad Social focalizarán a la población que se encuentre en situación de pobreza y pobreza extrema, utilizando el Sisbén.</w:t>
      </w:r>
    </w:p>
    <w:p w14:paraId="75D75D88"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29192B27" w14:textId="0CB9605E"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Gobierno nacional definirá los lineamientos para la focalización de la población víctima del desplazamiento forzado en los programas sociales a nivel nacional y territorial, utilizando como instrumento de focalización el Sisbén.</w:t>
      </w:r>
    </w:p>
    <w:p w14:paraId="3EB2B803"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45994684" w14:textId="19C1F159"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 población pobre y pobre extrema tendrá acceso a programas y proyectos ejecutados por las entidades del Estado.</w:t>
      </w:r>
    </w:p>
    <w:p w14:paraId="4054B53B"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24331D82" w14:textId="77777777"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Para la caracterización e identificación de necesidades en materia socioeconómica de la población víctima de desplazamiento forzado las entidades territoriales utilizarán el Sisbén.</w:t>
      </w:r>
    </w:p>
    <w:p w14:paraId="57FFB8C0" w14:textId="749750D5" w:rsidR="00095FEF" w:rsidRPr="006969B3" w:rsidRDefault="00095FEF" w:rsidP="00F65283">
      <w:pPr>
        <w:spacing w:after="0" w:line="240" w:lineRule="auto"/>
        <w:rPr>
          <w:rFonts w:ascii="Arial" w:hAnsi="Arial" w:cs="Arial"/>
          <w:lang w:val="es-CO"/>
        </w:rPr>
      </w:pPr>
    </w:p>
    <w:p w14:paraId="085F8441" w14:textId="77777777" w:rsidR="00095FEF" w:rsidRPr="006969B3" w:rsidRDefault="00095FEF" w:rsidP="00F65283">
      <w:pPr>
        <w:pStyle w:val="NormalWeb"/>
        <w:spacing w:before="0" w:beforeAutospacing="0" w:after="0" w:afterAutospacing="0"/>
        <w:jc w:val="both"/>
        <w:rPr>
          <w:rFonts w:ascii="Arial" w:hAnsi="Arial" w:cs="Arial"/>
          <w:sz w:val="22"/>
          <w:szCs w:val="22"/>
          <w:lang w:val="es-CO"/>
        </w:rPr>
      </w:pPr>
      <w:bookmarkStart w:id="228" w:name="211"/>
      <w:r w:rsidRPr="006969B3">
        <w:rPr>
          <w:rFonts w:ascii="Arial" w:hAnsi="Arial" w:cs="Arial"/>
          <w:sz w:val="22"/>
          <w:szCs w:val="22"/>
          <w:lang w:val="es-CO"/>
        </w:rPr>
        <w:t>ARTÍCULO 211. MESA DE EQUIDAD.</w:t>
      </w:r>
      <w:bookmarkEnd w:id="228"/>
      <w:r w:rsidRPr="006969B3">
        <w:rPr>
          <w:rFonts w:ascii="Arial" w:hAnsi="Arial" w:cs="Arial"/>
          <w:sz w:val="22"/>
          <w:szCs w:val="22"/>
          <w:lang w:val="es-CO"/>
        </w:rPr>
        <w:t xml:space="preserve"> Créase la Mesa de Equidad como instancia de alto nivel, de carácter estratégico y decisorio, presidida y convocada por el Presidente de la República, con el objetivo de establecer directrices para los sectores y entidades del Gobierno nacional para la aprobación de diseños e implementación de acciones y la </w:t>
      </w:r>
      <w:r w:rsidRPr="006969B3">
        <w:rPr>
          <w:rFonts w:ascii="Arial" w:hAnsi="Arial" w:cs="Arial"/>
          <w:sz w:val="22"/>
          <w:szCs w:val="22"/>
          <w:lang w:val="es-CO"/>
        </w:rPr>
        <w:lastRenderedPageBreak/>
        <w:t>destinación de recursos de acuerdo con las prioridades territoriales y poblacionales para la reducción de la pobreza y la pobreza extrema, el seguimiento de las acciones del Gobierno y la rendición de cuentas para asegurar la atención prioritaria a la población en condición de pobreza y pobreza extrema y el cumplimiento de las metas trazadoras en materia de pobreza. La Secretaría Técnica estará a cargo del Departamento Nacional de Planeación y el Departamento Administrativo para la Prosperidad Social. El Gobierno nacional reglamentará el funcionamiento de la Mesa.</w:t>
      </w:r>
    </w:p>
    <w:p w14:paraId="536177AC" w14:textId="3DBFA3F7" w:rsidR="00095FEF" w:rsidRPr="006969B3" w:rsidRDefault="00095FEF" w:rsidP="00F65283">
      <w:pPr>
        <w:spacing w:after="0" w:line="240" w:lineRule="auto"/>
        <w:rPr>
          <w:rFonts w:ascii="Arial" w:hAnsi="Arial" w:cs="Arial"/>
          <w:lang w:val="es-CO"/>
        </w:rPr>
      </w:pPr>
    </w:p>
    <w:p w14:paraId="5D38D4F4" w14:textId="1676252A" w:rsidR="00095FEF" w:rsidRPr="006969B3" w:rsidRDefault="00095FEF" w:rsidP="00F65283">
      <w:pPr>
        <w:pStyle w:val="NormalWeb"/>
        <w:spacing w:before="0" w:beforeAutospacing="0" w:after="0" w:afterAutospacing="0"/>
        <w:jc w:val="both"/>
        <w:rPr>
          <w:rFonts w:ascii="Arial" w:hAnsi="Arial" w:cs="Arial"/>
          <w:sz w:val="22"/>
          <w:szCs w:val="22"/>
          <w:lang w:val="es-CO"/>
        </w:rPr>
      </w:pPr>
      <w:bookmarkStart w:id="229" w:name="212"/>
      <w:r w:rsidRPr="006969B3">
        <w:rPr>
          <w:rFonts w:ascii="Arial" w:hAnsi="Arial" w:cs="Arial"/>
          <w:sz w:val="22"/>
          <w:szCs w:val="22"/>
          <w:lang w:val="es-CO"/>
        </w:rPr>
        <w:t>ARTÍCULO 212. ACOMPAÑAMIENTO FAMILIAR Y SOCIAL EN LOS PROGRAMAS DE VIVIENDA GRATUITA.</w:t>
      </w:r>
      <w:bookmarkEnd w:id="229"/>
      <w:r w:rsidRPr="006969B3">
        <w:rPr>
          <w:rFonts w:ascii="Arial" w:hAnsi="Arial" w:cs="Arial"/>
          <w:sz w:val="22"/>
          <w:szCs w:val="22"/>
          <w:lang w:val="es-CO"/>
        </w:rPr>
        <w:t> Modifíquese el artículo </w:t>
      </w:r>
      <w:r w:rsidRPr="007B5FFA">
        <w:rPr>
          <w:rFonts w:ascii="Arial" w:hAnsi="Arial" w:cs="Arial"/>
          <w:sz w:val="22"/>
          <w:szCs w:val="22"/>
          <w:lang w:val="es-CO"/>
        </w:rPr>
        <w:t>15</w:t>
      </w:r>
      <w:r w:rsidRPr="006969B3">
        <w:rPr>
          <w:rFonts w:ascii="Arial" w:hAnsi="Arial" w:cs="Arial"/>
          <w:sz w:val="22"/>
          <w:szCs w:val="22"/>
          <w:lang w:val="es-CO"/>
        </w:rPr>
        <w:t> de la Ley 1537 de 2012 que quedará así:</w:t>
      </w:r>
    </w:p>
    <w:p w14:paraId="684E7BD1" w14:textId="26C939D2"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w:t>
      </w:r>
      <w:r w:rsidRPr="007B5FFA">
        <w:rPr>
          <w:rFonts w:ascii="Arial" w:hAnsi="Arial" w:cs="Arial"/>
          <w:sz w:val="22"/>
          <w:szCs w:val="22"/>
          <w:lang w:val="es-CO"/>
        </w:rPr>
        <w:t>15</w:t>
      </w:r>
      <w:r w:rsidRPr="006969B3">
        <w:rPr>
          <w:rFonts w:ascii="Arial" w:hAnsi="Arial" w:cs="Arial"/>
          <w:sz w:val="22"/>
          <w:szCs w:val="22"/>
          <w:lang w:val="es-CO"/>
        </w:rPr>
        <w:t>. Acompañamiento familiar y social en los programas de vivienda gratuita. El Departamento Administrativo para la Prosperidad Social brindará acompañamiento familiar a través de la Estrategia Unidos a los hogares en condición de pobreza que sean beneficiarios de los programas de vivienda gratuita.</w:t>
      </w:r>
    </w:p>
    <w:p w14:paraId="70D6C18B"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25F0DF56" w14:textId="70A807AF"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acompañamiento social en los proyectos de vivienda ejecutados en el marco de los programas de vivienda gratuita, en aspectos relacionados con temas de convivencia y el cuidado de las unidades privadas y las áreas comunes será coordinado por el Ministerio de Vivienda, Ciudad y Territorio.</w:t>
      </w:r>
    </w:p>
    <w:p w14:paraId="793BC78C"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24B4BAFD" w14:textId="77777777"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 nivel territorial la estrategia de acompañamiento social deberá ser implementada y ejecutada por los municipios, distritos y distritos especiales, quienes, junto con entidades privadas involucradas en los proyectos, deberán reportar al Ministerio de Vivienda, Ciudad y Territorio la información para el seguimiento al impacto del acompañamiento social en la calidad de vida de la población beneficiaria del Programa de Vivienda Gratuita.</w:t>
      </w:r>
    </w:p>
    <w:p w14:paraId="2CA17316" w14:textId="77777777" w:rsidR="000537C1" w:rsidRDefault="000537C1" w:rsidP="00F65283">
      <w:pPr>
        <w:pStyle w:val="NormalWeb"/>
        <w:spacing w:before="0" w:beforeAutospacing="0" w:after="0" w:afterAutospacing="0"/>
        <w:jc w:val="both"/>
        <w:rPr>
          <w:rFonts w:ascii="Arial" w:hAnsi="Arial" w:cs="Arial"/>
          <w:sz w:val="22"/>
          <w:szCs w:val="22"/>
          <w:lang w:val="es-CO"/>
        </w:rPr>
      </w:pPr>
      <w:bookmarkStart w:id="230" w:name="213"/>
    </w:p>
    <w:p w14:paraId="0785BDCD" w14:textId="79C8EFB9"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213. APOYO Y FORTALECIMIENTO A LA ATENCIÓN FAMILIAR.</w:t>
      </w:r>
      <w:bookmarkEnd w:id="230"/>
      <w:r w:rsidRPr="006969B3">
        <w:rPr>
          <w:rFonts w:ascii="Arial" w:hAnsi="Arial" w:cs="Arial"/>
          <w:sz w:val="22"/>
          <w:szCs w:val="22"/>
          <w:lang w:val="es-CO"/>
        </w:rPr>
        <w:t> Las entidades encargadas de la protección de las familias, en especial aquellas que desarrollan programas y estrategias para la inclusión social, ofrecerán servicios de promoción, prevención, acompañamiento, asistencia y asesoría a las familias en el marco de sus competencias y sujeto a su disponibilidad presupuestal, en línea con lo dispuesto por la Política Pública Nacional de Apoyo y Fortalecimiento a las Familias.</w:t>
      </w:r>
    </w:p>
    <w:p w14:paraId="2FC4CC5C"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30CF1639" w14:textId="44DE70B8"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ICBF a través de sus Centros Zonales prestará el servicio de asistencia y asesoría a las familias con dificultades en sus dinámicas relacionales, brindando atención y orientación para el acceso a su oferta de promoción y prevención.</w:t>
      </w:r>
    </w:p>
    <w:p w14:paraId="24971245"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13945DC1" w14:textId="77777777"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La entidad que lidere la implementación de la Política Pública Nacional de Apoyo y Fortalecimiento a las Familias, en articulación con las entidades territoriales y las demás entidades del Gobierno nacional según sus competencias, formulará las orientaciones técnicas para estos servicios.</w:t>
      </w:r>
    </w:p>
    <w:p w14:paraId="3DDD6ECF" w14:textId="3245569C" w:rsidR="00095FEF" w:rsidRPr="006969B3" w:rsidRDefault="00095FEF" w:rsidP="00F65283">
      <w:pPr>
        <w:spacing w:after="0" w:line="240" w:lineRule="auto"/>
        <w:rPr>
          <w:rFonts w:ascii="Arial" w:hAnsi="Arial" w:cs="Arial"/>
          <w:lang w:val="es-CO"/>
        </w:rPr>
      </w:pPr>
    </w:p>
    <w:p w14:paraId="72F0CFCA" w14:textId="11FCC67A" w:rsidR="00095FEF" w:rsidRPr="006969B3" w:rsidRDefault="00095FEF" w:rsidP="00F65283">
      <w:pPr>
        <w:pStyle w:val="NormalWeb"/>
        <w:spacing w:before="0" w:beforeAutospacing="0" w:after="0" w:afterAutospacing="0"/>
        <w:jc w:val="both"/>
        <w:rPr>
          <w:rFonts w:ascii="Arial" w:hAnsi="Arial" w:cs="Arial"/>
          <w:sz w:val="22"/>
          <w:szCs w:val="22"/>
          <w:lang w:val="es-CO"/>
        </w:rPr>
      </w:pPr>
      <w:bookmarkStart w:id="231" w:name="214"/>
      <w:r w:rsidRPr="006969B3">
        <w:rPr>
          <w:rFonts w:ascii="Arial" w:hAnsi="Arial" w:cs="Arial"/>
          <w:sz w:val="22"/>
          <w:szCs w:val="22"/>
          <w:lang w:val="es-CO"/>
        </w:rPr>
        <w:t>ARTÍCULO 214. CUENTAS MAESTRAS PARA SERVICIOS DE ATENCIÓN DEL INSTITUTO COLOMBIANO DE BIENESTAR FAMILIAR (ICBF).</w:t>
      </w:r>
      <w:bookmarkEnd w:id="231"/>
      <w:r w:rsidRPr="006969B3">
        <w:rPr>
          <w:rFonts w:ascii="Arial" w:hAnsi="Arial" w:cs="Arial"/>
          <w:sz w:val="22"/>
          <w:szCs w:val="22"/>
          <w:lang w:val="es-CO"/>
        </w:rPr>
        <w:t xml:space="preserve"> Las personas jurídicas o naturales que defina el Instituto Colombiano de Bienestar Familiar (ICBF), de acuerdo a criterios técnicos basados en el volumen de recursos que reciban en el marco de los contratos que suscriban para la ejecución de los objetivos misionales de la entidad, con recursos </w:t>
      </w:r>
      <w:proofErr w:type="spellStart"/>
      <w:r w:rsidRPr="006969B3">
        <w:rPr>
          <w:rFonts w:ascii="Arial" w:hAnsi="Arial" w:cs="Arial"/>
          <w:sz w:val="22"/>
          <w:szCs w:val="22"/>
          <w:lang w:val="es-CO"/>
        </w:rPr>
        <w:t>prove</w:t>
      </w:r>
      <w:proofErr w:type="spellEnd"/>
      <w:r w:rsidRPr="006969B3">
        <w:rPr>
          <w:rFonts w:ascii="Arial" w:hAnsi="Arial" w:cs="Arial"/>
          <w:sz w:val="22"/>
          <w:szCs w:val="22"/>
          <w:lang w:val="es-CO"/>
        </w:rPr>
        <w:t xml:space="preserve"> </w:t>
      </w:r>
      <w:proofErr w:type="spellStart"/>
      <w:r w:rsidRPr="006969B3">
        <w:rPr>
          <w:rFonts w:ascii="Arial" w:hAnsi="Arial" w:cs="Arial"/>
          <w:sz w:val="22"/>
          <w:szCs w:val="22"/>
          <w:lang w:val="es-CO"/>
        </w:rPr>
        <w:t>nientes</w:t>
      </w:r>
      <w:proofErr w:type="spellEnd"/>
      <w:r w:rsidRPr="006969B3">
        <w:rPr>
          <w:rFonts w:ascii="Arial" w:hAnsi="Arial" w:cs="Arial"/>
          <w:sz w:val="22"/>
          <w:szCs w:val="22"/>
          <w:lang w:val="es-CO"/>
        </w:rPr>
        <w:t xml:space="preserve"> del Presupuesto General de la Nación, deberán realizar la apertura de Cuentas Maestras que solo aceptarán operaciones de débito por transferencia electrónica a terceros beneficiarios previamente inscritos de manera formal como </w:t>
      </w:r>
      <w:r w:rsidRPr="006969B3">
        <w:rPr>
          <w:rFonts w:ascii="Arial" w:hAnsi="Arial" w:cs="Arial"/>
          <w:sz w:val="22"/>
          <w:szCs w:val="22"/>
          <w:lang w:val="es-CO"/>
        </w:rPr>
        <w:lastRenderedPageBreak/>
        <w:t>receptores de dichos recursos. Así mismo, las operaciones de crédito que se hagan a estas cuentas maestras deberán realizarse vía electrónica.</w:t>
      </w:r>
    </w:p>
    <w:p w14:paraId="2956F6D6"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1B607B5C" w14:textId="77777777"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 reglamentación asociada con la apertura, registro, y demás operaciones autorizadas en las cuentas maestras, será establecida de conformidad con la metodología que para tal efecto determine el ICBF.</w:t>
      </w:r>
    </w:p>
    <w:p w14:paraId="5F693F61" w14:textId="44A8622D" w:rsidR="00095FEF" w:rsidRPr="006969B3" w:rsidRDefault="00095FEF" w:rsidP="00F65283">
      <w:pPr>
        <w:spacing w:after="0" w:line="240" w:lineRule="auto"/>
        <w:rPr>
          <w:rFonts w:ascii="Arial" w:hAnsi="Arial" w:cs="Arial"/>
          <w:lang w:val="es-CO"/>
        </w:rPr>
      </w:pPr>
    </w:p>
    <w:p w14:paraId="63B1469A" w14:textId="07859A5A" w:rsidR="00095FEF" w:rsidRPr="006969B3" w:rsidRDefault="00095FEF" w:rsidP="00F65283">
      <w:pPr>
        <w:pStyle w:val="NormalWeb"/>
        <w:spacing w:before="0" w:beforeAutospacing="0" w:after="0" w:afterAutospacing="0"/>
        <w:jc w:val="both"/>
        <w:rPr>
          <w:rFonts w:ascii="Arial" w:hAnsi="Arial" w:cs="Arial"/>
          <w:sz w:val="22"/>
          <w:szCs w:val="22"/>
          <w:lang w:val="es-CO"/>
        </w:rPr>
      </w:pPr>
      <w:bookmarkStart w:id="232" w:name="215"/>
      <w:r w:rsidRPr="006969B3">
        <w:rPr>
          <w:rFonts w:ascii="Arial" w:hAnsi="Arial" w:cs="Arial"/>
          <w:sz w:val="22"/>
          <w:szCs w:val="22"/>
          <w:lang w:val="es-CO"/>
        </w:rPr>
        <w:t>ARTÍCULO 215. SUBSIDIO DE SOLIDARIDAD PENSIONAL.</w:t>
      </w:r>
      <w:bookmarkEnd w:id="232"/>
      <w:r w:rsidRPr="006969B3">
        <w:rPr>
          <w:rFonts w:ascii="Arial" w:hAnsi="Arial" w:cs="Arial"/>
          <w:sz w:val="22"/>
          <w:szCs w:val="22"/>
          <w:lang w:val="es-CO"/>
        </w:rPr>
        <w:t> Tendrán acceso al Subsidio de la subcuenta de subsistencia del Fondo de Solidaridad Pensional de que trata la Ley </w:t>
      </w:r>
      <w:r w:rsidRPr="007B5FFA">
        <w:rPr>
          <w:rFonts w:ascii="Arial" w:hAnsi="Arial" w:cs="Arial"/>
          <w:sz w:val="22"/>
          <w:szCs w:val="22"/>
          <w:lang w:val="es-CO"/>
        </w:rPr>
        <w:t>797</w:t>
      </w:r>
      <w:r w:rsidRPr="006969B3">
        <w:rPr>
          <w:rFonts w:ascii="Arial" w:hAnsi="Arial" w:cs="Arial"/>
          <w:sz w:val="22"/>
          <w:szCs w:val="22"/>
          <w:lang w:val="es-CO"/>
        </w:rPr>
        <w:t> de 2003, las personas que dejen de ser madres sustitutas a partir del 24 de noviembre de 2015, que hayan desarrollado la labor por un tiempo no menor de 10 años y que no reúnan los requisitos para acceder a una pensión.</w:t>
      </w:r>
    </w:p>
    <w:p w14:paraId="60ADB095"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22EE5E09" w14:textId="77777777"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 identificación de las posibles beneficiarias de este subsidio la realizará el Instituto Colombiano de Bienestar Familiar (ICBF), entidad que complementará en una porción que se defina el subsidio a otorgar por parte de la subcuenta de subsistencia del Fondo de Solidaridad Pensional.</w:t>
      </w:r>
    </w:p>
    <w:p w14:paraId="2D9A3BD0" w14:textId="3F993931" w:rsidR="00095FEF" w:rsidRPr="006969B3" w:rsidRDefault="00095FEF" w:rsidP="00F65283">
      <w:pPr>
        <w:spacing w:after="0" w:line="240" w:lineRule="auto"/>
        <w:rPr>
          <w:rFonts w:ascii="Arial" w:hAnsi="Arial" w:cs="Arial"/>
          <w:lang w:val="es-CO"/>
        </w:rPr>
      </w:pPr>
    </w:p>
    <w:p w14:paraId="10F56B6A" w14:textId="4025BCAF" w:rsidR="00095FEF" w:rsidRPr="006969B3" w:rsidRDefault="00095FEF" w:rsidP="00F65283">
      <w:pPr>
        <w:pStyle w:val="NormalWeb"/>
        <w:spacing w:before="0" w:beforeAutospacing="0" w:after="0" w:afterAutospacing="0"/>
        <w:jc w:val="both"/>
        <w:rPr>
          <w:rFonts w:ascii="Arial" w:hAnsi="Arial" w:cs="Arial"/>
          <w:sz w:val="22"/>
          <w:szCs w:val="22"/>
          <w:lang w:val="es-CO"/>
        </w:rPr>
      </w:pPr>
      <w:bookmarkStart w:id="233" w:name="216"/>
      <w:r w:rsidRPr="006969B3">
        <w:rPr>
          <w:rFonts w:ascii="Arial" w:hAnsi="Arial" w:cs="Arial"/>
          <w:sz w:val="22"/>
          <w:szCs w:val="22"/>
          <w:lang w:val="es-CO"/>
        </w:rPr>
        <w:t>ARTÍCULO 216. PREVENCIÓN DE LA EXPLOTACIÓN SEXUAL DE NIÑAS, NIÑOS Y ADOLESCENTES (ESCNNA).</w:t>
      </w:r>
      <w:bookmarkEnd w:id="233"/>
      <w:r w:rsidRPr="006969B3">
        <w:rPr>
          <w:rFonts w:ascii="Arial" w:hAnsi="Arial" w:cs="Arial"/>
          <w:sz w:val="22"/>
          <w:szCs w:val="22"/>
          <w:lang w:val="es-CO"/>
        </w:rPr>
        <w:t> El Gobierno nacional teniendo como base la Ley </w:t>
      </w:r>
      <w:r w:rsidRPr="007B5FFA">
        <w:rPr>
          <w:rFonts w:ascii="Arial" w:hAnsi="Arial" w:cs="Arial"/>
          <w:sz w:val="22"/>
          <w:szCs w:val="22"/>
          <w:lang w:val="es-CO"/>
        </w:rPr>
        <w:t>1336</w:t>
      </w:r>
      <w:r w:rsidRPr="006969B3">
        <w:rPr>
          <w:rFonts w:ascii="Arial" w:hAnsi="Arial" w:cs="Arial"/>
          <w:sz w:val="22"/>
          <w:szCs w:val="22"/>
          <w:lang w:val="es-CO"/>
        </w:rPr>
        <w:t> de 2009, implementará un programa de prevención y atención integral para niños, niñas y adolescentes, víctimas de explotación sexual y comercial. El Gobierno nacional en coordinación con las entidades territoriales priorizadas desarrollará una estrategia de asistencia técnica para incluir en los planes de desarrollo de los territorios focalizados, el programa de atención y prevención integral de acuerdo con las dinámicas específicas del territorio.</w:t>
      </w:r>
    </w:p>
    <w:p w14:paraId="3226749C" w14:textId="1278BEF6" w:rsidR="00095FEF" w:rsidRPr="006969B3" w:rsidRDefault="00095FEF" w:rsidP="00F65283">
      <w:pPr>
        <w:spacing w:after="0" w:line="240" w:lineRule="auto"/>
        <w:rPr>
          <w:rFonts w:ascii="Arial" w:hAnsi="Arial" w:cs="Arial"/>
          <w:lang w:val="es-CO"/>
        </w:rPr>
      </w:pPr>
    </w:p>
    <w:p w14:paraId="085459DE" w14:textId="6E8556EE" w:rsidR="00095FEF" w:rsidRPr="006969B3" w:rsidRDefault="00095FEF" w:rsidP="00F65283">
      <w:pPr>
        <w:pStyle w:val="NormalWeb"/>
        <w:spacing w:before="0" w:beforeAutospacing="0" w:after="0" w:afterAutospacing="0"/>
        <w:jc w:val="both"/>
        <w:rPr>
          <w:rFonts w:ascii="Arial" w:hAnsi="Arial" w:cs="Arial"/>
          <w:sz w:val="22"/>
          <w:szCs w:val="22"/>
          <w:lang w:val="es-CO"/>
        </w:rPr>
      </w:pPr>
      <w:bookmarkStart w:id="234" w:name="217"/>
      <w:r w:rsidRPr="006969B3">
        <w:rPr>
          <w:rFonts w:ascii="Arial" w:hAnsi="Arial" w:cs="Arial"/>
          <w:sz w:val="22"/>
          <w:szCs w:val="22"/>
          <w:lang w:val="es-CO"/>
        </w:rPr>
        <w:t>ARTÍCULO 217. ESTAMPILLA PARA EL BIENESTAR DEL ADULTO MAYOR.</w:t>
      </w:r>
      <w:bookmarkEnd w:id="234"/>
      <w:r w:rsidRPr="006969B3">
        <w:rPr>
          <w:rFonts w:ascii="Arial" w:hAnsi="Arial" w:cs="Arial"/>
          <w:sz w:val="22"/>
          <w:szCs w:val="22"/>
          <w:lang w:val="es-CO"/>
        </w:rPr>
        <w:t> Modifíquese el artículo </w:t>
      </w:r>
      <w:r w:rsidRPr="007B5FFA">
        <w:rPr>
          <w:rFonts w:ascii="Arial" w:hAnsi="Arial" w:cs="Arial"/>
          <w:sz w:val="22"/>
          <w:szCs w:val="22"/>
          <w:lang w:val="es-CO"/>
        </w:rPr>
        <w:t>1o</w:t>
      </w:r>
      <w:r w:rsidRPr="006969B3">
        <w:rPr>
          <w:rFonts w:ascii="Arial" w:hAnsi="Arial" w:cs="Arial"/>
          <w:sz w:val="22"/>
          <w:szCs w:val="22"/>
          <w:lang w:val="es-CO"/>
        </w:rPr>
        <w:t> de la Ley 687 de 2001, el cual quedará así:</w:t>
      </w:r>
    </w:p>
    <w:p w14:paraId="32A9C379"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27086148" w14:textId="15F8507F"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w:t>
      </w:r>
      <w:r w:rsidRPr="007B5FFA">
        <w:rPr>
          <w:rFonts w:ascii="Arial" w:hAnsi="Arial" w:cs="Arial"/>
          <w:sz w:val="22"/>
          <w:szCs w:val="22"/>
          <w:lang w:val="es-CO"/>
        </w:rPr>
        <w:t>1o</w:t>
      </w:r>
      <w:r w:rsidRPr="006969B3">
        <w:rPr>
          <w:rFonts w:ascii="Arial" w:hAnsi="Arial" w:cs="Arial"/>
          <w:sz w:val="22"/>
          <w:szCs w:val="22"/>
          <w:lang w:val="es-CO"/>
        </w:rPr>
        <w:t xml:space="preserve">. </w:t>
      </w:r>
      <w:proofErr w:type="spellStart"/>
      <w:r w:rsidRPr="006969B3">
        <w:rPr>
          <w:rFonts w:ascii="Arial" w:hAnsi="Arial" w:cs="Arial"/>
          <w:sz w:val="22"/>
          <w:szCs w:val="22"/>
          <w:lang w:val="es-CO"/>
        </w:rPr>
        <w:t>Autorízase</w:t>
      </w:r>
      <w:proofErr w:type="spellEnd"/>
      <w:r w:rsidRPr="006969B3">
        <w:rPr>
          <w:rFonts w:ascii="Arial" w:hAnsi="Arial" w:cs="Arial"/>
          <w:sz w:val="22"/>
          <w:szCs w:val="22"/>
          <w:lang w:val="es-CO"/>
        </w:rPr>
        <w:t xml:space="preserve"> a las asambleas departamentales y a los concejos distritales y municipales para emitir una estampilla, la cual se llamará Estampilla para el Bienestar del Adulto Mayor, como recurso de obligatorio recaudo para concurrir con las entidades territoriales en la construcción, instalación, mantenimiento, adecuación, dotación y funcionamiento de Centros de Bienestar, Centros de Protección Social, Centros Vida y otras modalidades de atención y desarrollo de programas y servicios sociales dirigidos a las personas adultas mayores, en sus respectivas jurisdicciones. El producto de dichos recursos se destinará en un 70% para la financiación de los Centros Vida y el 30% restante, al financiamiento de los Centros de Bienestar o Centros de Protección Social del adulto mayor, sin perjuicio de los recursos adicionales que puedan gestionarse a través de otras fuentes como el Sistema General de Regalías, el Sistema General de Participaciones, el sector privado y la cooperación internacional, principalmente.</w:t>
      </w:r>
    </w:p>
    <w:p w14:paraId="5B389BA1"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0788D383" w14:textId="25B75B16"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El recaudo de la estampilla será invertido por la gobernación, alcaldía o distrito en los Centros de Bienestar, Centros de Protección Social, Centro Vida y otras modalidades de atención dirigidas a las personas adultas mayores de su jurisdicción, en proporción directa al número de adultos mayores con puntaje Sisbén menor al corte establecido por el programa y en condición de vulnerabilidad.</w:t>
      </w:r>
    </w:p>
    <w:p w14:paraId="062E2E8B"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2726FF97" w14:textId="34BC2BEA"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xml:space="preserve"> De acuerdo con las necesidades de apoyo social de la población adulto mayor en la entidad territorial, los recursos referidos en el presente artículo podrán </w:t>
      </w:r>
      <w:r w:rsidRPr="006969B3">
        <w:rPr>
          <w:rFonts w:ascii="Arial" w:hAnsi="Arial" w:cs="Arial"/>
          <w:sz w:val="22"/>
          <w:szCs w:val="22"/>
          <w:lang w:val="es-CO"/>
        </w:rPr>
        <w:lastRenderedPageBreak/>
        <w:t>destinarse en las distintas modalidades de atención, programas y servicios sociales dirigidos a las personas adultas mayores, siempre que se garantice la atención en condiciones de calidad, frecuencia y número de personas atendidas en los Centros Vida, Centros de Bienestar o Centros de Protección Social, los cuales no deben ser inferiores a las de la vigencia inmediatamente anterior.</w:t>
      </w:r>
    </w:p>
    <w:p w14:paraId="31ED8A4C"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1E2803C6" w14:textId="77777777"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3o.</w:t>
      </w:r>
      <w:r w:rsidRPr="006969B3">
        <w:rPr>
          <w:rFonts w:ascii="Arial" w:hAnsi="Arial" w:cs="Arial"/>
          <w:sz w:val="22"/>
          <w:szCs w:val="22"/>
          <w:lang w:val="es-CO"/>
        </w:rPr>
        <w:t> Los departamentos y distritos reportarán semestralmente, conforme lo determine el Ministerio de Salud y Protección Social o la entidad que haga sus veces, la información sobre la implementación de la Estampilla para el Bienestar del Adulto Mayor en su jurisdicción.</w:t>
      </w:r>
    </w:p>
    <w:p w14:paraId="00257416" w14:textId="4FE5150A" w:rsidR="00095FEF" w:rsidRPr="006969B3" w:rsidRDefault="00095FEF" w:rsidP="00F65283">
      <w:pPr>
        <w:spacing w:after="0" w:line="240" w:lineRule="auto"/>
        <w:rPr>
          <w:rFonts w:ascii="Arial" w:hAnsi="Arial" w:cs="Arial"/>
          <w:lang w:val="es-CO"/>
        </w:rPr>
      </w:pPr>
    </w:p>
    <w:p w14:paraId="37E32977" w14:textId="41733BED" w:rsidR="00095FEF" w:rsidRPr="006969B3" w:rsidRDefault="00095FEF" w:rsidP="00F65283">
      <w:pPr>
        <w:pStyle w:val="NormalWeb"/>
        <w:spacing w:before="0" w:beforeAutospacing="0" w:after="0" w:afterAutospacing="0"/>
        <w:jc w:val="both"/>
        <w:rPr>
          <w:rFonts w:ascii="Arial" w:hAnsi="Arial" w:cs="Arial"/>
          <w:sz w:val="22"/>
          <w:szCs w:val="22"/>
          <w:lang w:val="es-CO"/>
        </w:rPr>
      </w:pPr>
      <w:bookmarkStart w:id="235" w:name="218"/>
      <w:r w:rsidRPr="006969B3">
        <w:rPr>
          <w:rFonts w:ascii="Arial" w:hAnsi="Arial" w:cs="Arial"/>
          <w:sz w:val="22"/>
          <w:szCs w:val="22"/>
          <w:lang w:val="es-CO"/>
        </w:rPr>
        <w:t>ARTÍCULO 218. CREACIÓN DEL FONDO PARA EL BUEN VIVIR Y LA EQUIDAD DE LOS PUEBLOS INDÍGENAS DE COLOMBIA.</w:t>
      </w:r>
      <w:bookmarkEnd w:id="235"/>
      <w:r w:rsidRPr="006969B3">
        <w:rPr>
          <w:rFonts w:ascii="Arial" w:hAnsi="Arial" w:cs="Arial"/>
          <w:sz w:val="22"/>
          <w:szCs w:val="22"/>
          <w:lang w:val="es-CO"/>
        </w:rPr>
        <w:t> Para apoyar el desarrollo con identidad de los pueblos indígenas de Colombia se crea el Fondo para el buen vivir y la equidad de los pueblos indígenas de Colombia.</w:t>
      </w:r>
    </w:p>
    <w:p w14:paraId="7CCED04E"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20BA79EC" w14:textId="77777777"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 estructura y funcionamiento del Fondo se concertarán entre el Departamento Nacional de Planeación y la organización de la Minga Nacional. Su funcionamiento iniciará en tres (3) meses.</w:t>
      </w:r>
    </w:p>
    <w:p w14:paraId="210B7DC9"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2CE423BC" w14:textId="3FBBC1ED"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Fondo contará con las siguientes líneas:</w:t>
      </w:r>
    </w:p>
    <w:p w14:paraId="682A7447"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473BA456" w14:textId="148FB549"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 Acceso a los derechos territoriales de los Pueblos Indígenas.</w:t>
      </w:r>
    </w:p>
    <w:p w14:paraId="091EFB29"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561C4431" w14:textId="50E555F2"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2. Emprendimiento y desarrollo económico propio de los Pueblos Indígenas.</w:t>
      </w:r>
    </w:p>
    <w:p w14:paraId="0B0A34A9"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1570FA8C" w14:textId="66D09670"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3. Fortalecimiento de la institucionalidad de los Pueblos Indígenas de Colombia.</w:t>
      </w:r>
    </w:p>
    <w:p w14:paraId="6B284098" w14:textId="77777777" w:rsidR="009D0A59" w:rsidRPr="006969B3" w:rsidRDefault="009D0A59" w:rsidP="00F65283">
      <w:pPr>
        <w:pStyle w:val="NormalWeb"/>
        <w:spacing w:before="0" w:beforeAutospacing="0" w:after="0" w:afterAutospacing="0"/>
        <w:jc w:val="both"/>
        <w:rPr>
          <w:rFonts w:ascii="Arial" w:hAnsi="Arial" w:cs="Arial"/>
          <w:sz w:val="22"/>
          <w:szCs w:val="22"/>
          <w:lang w:val="es-CO"/>
        </w:rPr>
      </w:pPr>
    </w:p>
    <w:p w14:paraId="2A48922B" w14:textId="77777777"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4. Infraestructura y servicios públicos.</w:t>
      </w:r>
    </w:p>
    <w:p w14:paraId="1D998F8E"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3D1C5623" w14:textId="2192F3A4"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5. Empoderamiento de las mujeres, familia y generaciones de los pueblos indígenas.</w:t>
      </w:r>
    </w:p>
    <w:p w14:paraId="03214061" w14:textId="77777777"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Los recursos del Fondo estarán constituidos por:</w:t>
      </w:r>
    </w:p>
    <w:p w14:paraId="3029BD82"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2DAF7D8A" w14:textId="60A835ED"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 Las partidas que se le asignen o incorporen en el presupuesto nacional y los demás recursos que aporte el Gobierno nacional.</w:t>
      </w:r>
    </w:p>
    <w:p w14:paraId="5137B1AE"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406FE8BB" w14:textId="2724FE2C"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2. Los aportes a cualquier título de las entidades territoriales.</w:t>
      </w:r>
    </w:p>
    <w:p w14:paraId="66224AB3"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2040375C" w14:textId="4C57FA18"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3. Recursos provenientes de operaciones de financiamiento interno o externo, que se celebren a nombre del Fondo.</w:t>
      </w:r>
    </w:p>
    <w:p w14:paraId="1798DF30"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5A988DB3" w14:textId="4C98A904"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4. Donaciones tanto de origen nacional como internacional con el propósito de desarrollar su objeto.</w:t>
      </w:r>
    </w:p>
    <w:p w14:paraId="2CC8CCB4"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2980FE98" w14:textId="5EB6FB05"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5. Empréstitos.</w:t>
      </w:r>
    </w:p>
    <w:p w14:paraId="7BD076DF"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54B3DCA4" w14:textId="2E61DFB9"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6. Demás recursos que obtenga o se le asignen a cualquier título.</w:t>
      </w:r>
    </w:p>
    <w:p w14:paraId="20AC7CC7"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13246E1A" w14:textId="1660F53A"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El monto inicial del </w:t>
      </w:r>
      <w:proofErr w:type="gramStart"/>
      <w:r w:rsidRPr="006969B3">
        <w:rPr>
          <w:rFonts w:ascii="Arial" w:hAnsi="Arial" w:cs="Arial"/>
          <w:sz w:val="22"/>
          <w:szCs w:val="22"/>
          <w:lang w:val="es-CO"/>
        </w:rPr>
        <w:t>Fondo,</w:t>
      </w:r>
      <w:proofErr w:type="gramEnd"/>
      <w:r w:rsidRPr="006969B3">
        <w:rPr>
          <w:rFonts w:ascii="Arial" w:hAnsi="Arial" w:cs="Arial"/>
          <w:sz w:val="22"/>
          <w:szCs w:val="22"/>
          <w:lang w:val="es-CO"/>
        </w:rPr>
        <w:t xml:space="preserve"> será consultado por parte del Director del Departamento Nacional de Planeación al Presidente de la República.</w:t>
      </w:r>
    </w:p>
    <w:p w14:paraId="77A08BD9" w14:textId="2D374FA5" w:rsidR="00095FEF" w:rsidRPr="006969B3" w:rsidRDefault="00095FEF" w:rsidP="00F65283">
      <w:pPr>
        <w:spacing w:after="0" w:line="240" w:lineRule="auto"/>
        <w:rPr>
          <w:rFonts w:ascii="Arial" w:hAnsi="Arial" w:cs="Arial"/>
          <w:lang w:val="es-CO"/>
        </w:rPr>
      </w:pPr>
    </w:p>
    <w:p w14:paraId="6521EAB5" w14:textId="77777777" w:rsidR="00095FEF" w:rsidRPr="006969B3" w:rsidRDefault="00095FEF" w:rsidP="00F65283">
      <w:pPr>
        <w:pStyle w:val="NormalWeb"/>
        <w:spacing w:before="0" w:beforeAutospacing="0" w:after="0" w:afterAutospacing="0"/>
        <w:jc w:val="both"/>
        <w:rPr>
          <w:rFonts w:ascii="Arial" w:hAnsi="Arial" w:cs="Arial"/>
          <w:sz w:val="22"/>
          <w:szCs w:val="22"/>
          <w:lang w:val="es-CO"/>
        </w:rPr>
      </w:pPr>
      <w:bookmarkStart w:id="236" w:name="219"/>
      <w:r w:rsidRPr="006969B3">
        <w:rPr>
          <w:rFonts w:ascii="Arial" w:hAnsi="Arial" w:cs="Arial"/>
          <w:sz w:val="22"/>
          <w:szCs w:val="22"/>
          <w:lang w:val="es-CO"/>
        </w:rPr>
        <w:lastRenderedPageBreak/>
        <w:t>ARTÍCULO 219. TRAZADOR PRESUPUESTAL.</w:t>
      </w:r>
      <w:bookmarkEnd w:id="236"/>
      <w:r w:rsidRPr="006969B3">
        <w:rPr>
          <w:rFonts w:ascii="Arial" w:hAnsi="Arial" w:cs="Arial"/>
          <w:sz w:val="22"/>
          <w:szCs w:val="22"/>
          <w:lang w:val="es-CO"/>
        </w:rPr>
        <w:t xml:space="preserve"> Las entidades estatales del orden nacional conforme a sus competencias identificarán mediante un marcador presupuestal especial, las asignaciones presupuestales para los pueblos indígenas, comunidades negras, afros, raizales, palenqueros y </w:t>
      </w:r>
      <w:proofErr w:type="spellStart"/>
      <w:r w:rsidRPr="006969B3">
        <w:rPr>
          <w:rFonts w:ascii="Arial" w:hAnsi="Arial" w:cs="Arial"/>
          <w:sz w:val="22"/>
          <w:szCs w:val="22"/>
          <w:lang w:val="es-CO"/>
        </w:rPr>
        <w:t>Rrom</w:t>
      </w:r>
      <w:proofErr w:type="spellEnd"/>
      <w:r w:rsidRPr="006969B3">
        <w:rPr>
          <w:rFonts w:ascii="Arial" w:hAnsi="Arial" w:cs="Arial"/>
          <w:sz w:val="22"/>
          <w:szCs w:val="22"/>
          <w:lang w:val="es-CO"/>
        </w:rPr>
        <w:t>, con el fin de preparar anualmente un informe de los recursos y los resultados obtenidos en desarrollo de estos pueblos de la vigencia inmediatamente anterior y los recursos apropiados para la vigencia en curso.</w:t>
      </w:r>
    </w:p>
    <w:p w14:paraId="5BB76124" w14:textId="77777777" w:rsidR="000537C1" w:rsidRDefault="000537C1" w:rsidP="00F65283">
      <w:pPr>
        <w:pStyle w:val="NormalWeb"/>
        <w:spacing w:before="0" w:beforeAutospacing="0" w:after="0" w:afterAutospacing="0"/>
        <w:jc w:val="both"/>
        <w:rPr>
          <w:rFonts w:ascii="Arial" w:hAnsi="Arial" w:cs="Arial"/>
          <w:sz w:val="22"/>
          <w:szCs w:val="22"/>
          <w:lang w:val="es-CO"/>
        </w:rPr>
      </w:pPr>
    </w:p>
    <w:p w14:paraId="61360ABA" w14:textId="48C8D59A"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Este informe deberá ser presentado a más tardar en el mes de abril de cada año, a las instancias de concertación y consulta de nivel nacional de cada uno de estos pueblos y comunidades.</w:t>
      </w:r>
    </w:p>
    <w:p w14:paraId="71466DC4" w14:textId="622FA52B" w:rsidR="00095FEF" w:rsidRPr="006969B3" w:rsidRDefault="00095FEF" w:rsidP="00F65283">
      <w:pPr>
        <w:spacing w:after="0" w:line="240" w:lineRule="auto"/>
        <w:rPr>
          <w:rFonts w:ascii="Arial" w:hAnsi="Arial" w:cs="Arial"/>
          <w:lang w:val="es-CO"/>
        </w:rPr>
      </w:pPr>
    </w:p>
    <w:p w14:paraId="35EDDD22" w14:textId="77777777" w:rsidR="00095FEF" w:rsidRPr="006969B3" w:rsidRDefault="00095FEF" w:rsidP="00F65283">
      <w:pPr>
        <w:pStyle w:val="NormalWeb"/>
        <w:spacing w:before="0" w:beforeAutospacing="0" w:after="0" w:afterAutospacing="0"/>
        <w:jc w:val="both"/>
        <w:rPr>
          <w:rFonts w:ascii="Arial" w:hAnsi="Arial" w:cs="Arial"/>
          <w:sz w:val="22"/>
          <w:szCs w:val="22"/>
          <w:lang w:val="es-CO"/>
        </w:rPr>
      </w:pPr>
      <w:bookmarkStart w:id="237" w:name="220"/>
      <w:r w:rsidRPr="006969B3">
        <w:rPr>
          <w:rFonts w:ascii="Arial" w:hAnsi="Arial" w:cs="Arial"/>
          <w:sz w:val="22"/>
          <w:szCs w:val="22"/>
          <w:lang w:val="es-CO"/>
        </w:rPr>
        <w:t>ARTÍCULO 220. TRAZADOR PRESUPUESTAL PARA LA PAZ.</w:t>
      </w:r>
      <w:bookmarkEnd w:id="237"/>
      <w:r w:rsidRPr="006969B3">
        <w:rPr>
          <w:rFonts w:ascii="Arial" w:hAnsi="Arial" w:cs="Arial"/>
          <w:sz w:val="22"/>
          <w:szCs w:val="22"/>
          <w:lang w:val="es-CO"/>
        </w:rPr>
        <w:t> Para cada vigencia fiscal, las entidades estatales del orden nacional conforme a sus competencias identificarán mediante un marcador presupuestal especial denominado -Construcción de Paz- las partidas presupuestales tanto de funcionamiento como de inversión, destinadas a cumplir la implementación del Acuerdo de Paz. Esta información deberá conformar el proyecto de Ley del Presupuesto General de la Nación que se presente al Congreso anualmente, durante el tiempo de ejecución del PMI, como un anexo denominado Anexo Gasto Construcción de Paz PGN.</w:t>
      </w:r>
    </w:p>
    <w:p w14:paraId="4C0762CC"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01492E9B" w14:textId="7485CC9C"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En la elaboración del Plan Operativo Anual de Inversiones que prioriza el Departamento Nacional de Planeación, se identificarán los proyectos de inversión que dispondrán del nuevo trazador presupuestal a que hace referencia el inciso anterior.</w:t>
      </w:r>
    </w:p>
    <w:p w14:paraId="3251E6AB"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6F8DAE32" w14:textId="0242F55E"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Departamento Nacional de Planeación por su parte deberá garantizar que los proyectos formulados para implementar las acciones con ocasión al Plan Marco de Implementación se encuentren alineados con la implementación de la Hoja de Ruta, sean identificados de igual manera con la denominación Construcción de Paz.</w:t>
      </w:r>
    </w:p>
    <w:p w14:paraId="5DCBCB39" w14:textId="77777777" w:rsidR="009D0A59" w:rsidRPr="006969B3" w:rsidRDefault="009D0A59" w:rsidP="00F65283">
      <w:pPr>
        <w:pStyle w:val="NormalWeb"/>
        <w:spacing w:before="0" w:beforeAutospacing="0" w:after="0" w:afterAutospacing="0"/>
        <w:jc w:val="both"/>
        <w:rPr>
          <w:rFonts w:ascii="Arial" w:hAnsi="Arial" w:cs="Arial"/>
          <w:sz w:val="22"/>
          <w:szCs w:val="22"/>
          <w:lang w:val="es-CO"/>
        </w:rPr>
      </w:pPr>
    </w:p>
    <w:p w14:paraId="2960B5B8" w14:textId="77777777"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Las Entidades Estatales del orden nacional conforme a sus competencias deberán reportar periódicamente el avance de los indicadores estipulados en el Plan Marco de implementación en el Sistema de Información Integral para el Posconflicto (SIIPO), o el que para estos fines disponga el Gobierno nacional, información que deberá ser pública. La Consejería Presidencial para la Estabilización y Consolidación en articulación con el Departamento Nacional de Planeación estarán a cargo del Sistema.</w:t>
      </w:r>
    </w:p>
    <w:p w14:paraId="7E28151A" w14:textId="110302F5" w:rsidR="00095FEF" w:rsidRPr="006969B3" w:rsidRDefault="00095FEF" w:rsidP="00F65283">
      <w:pPr>
        <w:spacing w:after="0" w:line="240" w:lineRule="auto"/>
        <w:rPr>
          <w:rFonts w:ascii="Arial" w:hAnsi="Arial" w:cs="Arial"/>
          <w:lang w:val="es-CO"/>
        </w:rPr>
      </w:pPr>
    </w:p>
    <w:p w14:paraId="62BE8EAA" w14:textId="77777777" w:rsidR="00095FEF" w:rsidRPr="006969B3" w:rsidRDefault="00095FEF" w:rsidP="00F65283">
      <w:pPr>
        <w:pStyle w:val="NormalWeb"/>
        <w:spacing w:before="0" w:beforeAutospacing="0" w:after="0" w:afterAutospacing="0"/>
        <w:jc w:val="both"/>
        <w:rPr>
          <w:rFonts w:ascii="Arial" w:hAnsi="Arial" w:cs="Arial"/>
          <w:sz w:val="22"/>
          <w:szCs w:val="22"/>
          <w:lang w:val="es-CO"/>
        </w:rPr>
      </w:pPr>
      <w:bookmarkStart w:id="238" w:name="221"/>
      <w:r w:rsidRPr="006969B3">
        <w:rPr>
          <w:rFonts w:ascii="Arial" w:hAnsi="Arial" w:cs="Arial"/>
          <w:sz w:val="22"/>
          <w:szCs w:val="22"/>
          <w:lang w:val="es-CO"/>
        </w:rPr>
        <w:t>ARTÍCULO 221. TRAZADOR PRESUPUESTAL PARA LA EQUIDAD DE LA MUJER.</w:t>
      </w:r>
      <w:bookmarkEnd w:id="238"/>
      <w:r w:rsidRPr="006969B3">
        <w:rPr>
          <w:rFonts w:ascii="Arial" w:hAnsi="Arial" w:cs="Arial"/>
          <w:sz w:val="22"/>
          <w:szCs w:val="22"/>
          <w:lang w:val="es-CO"/>
        </w:rPr>
        <w:t> El Ministerio de Hacienda y Crédito Público y el Departamento Nacional de Planeación definirá un marcador de la equidad para las mujeres, con el fin de que las entidades que conforman el Presupuesto General de la Nación identifiquen las asignaciones presupuestales para la referida finalidad, preparen y presenten anualmente un informe de los recursos y los resultados obtenidos en la vigencia inmediatamente anterior, así como de los recursos apropiados para la vigencia en curso.</w:t>
      </w:r>
    </w:p>
    <w:p w14:paraId="7F1E3E67"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4373F24A" w14:textId="46C49894"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informe mencionado en el inciso anterior deberá presentarse a más tardar en el mes de abril ante el Congreso de la República. En la elaboración del Plan Operativo Anual de Inversiones que prioriza el Departamento Nacional de Planeación, se identificarán los proyectos de inversión que dispondrán del trazador presupuestal a que hace referencia el inciso anterior.</w:t>
      </w:r>
    </w:p>
    <w:p w14:paraId="5222D540" w14:textId="39911000" w:rsidR="00095FEF" w:rsidRPr="006969B3" w:rsidRDefault="00095FEF" w:rsidP="00F65283">
      <w:pPr>
        <w:spacing w:after="0" w:line="240" w:lineRule="auto"/>
        <w:rPr>
          <w:rFonts w:ascii="Arial" w:hAnsi="Arial" w:cs="Arial"/>
          <w:lang w:val="es-CO"/>
        </w:rPr>
      </w:pPr>
    </w:p>
    <w:p w14:paraId="1D5BE652" w14:textId="77777777" w:rsidR="00095FEF" w:rsidRPr="006969B3" w:rsidRDefault="00095FEF" w:rsidP="00F65283">
      <w:pPr>
        <w:pStyle w:val="NormalWeb"/>
        <w:spacing w:before="0" w:beforeAutospacing="0" w:after="0" w:afterAutospacing="0"/>
        <w:jc w:val="both"/>
        <w:rPr>
          <w:rFonts w:ascii="Arial" w:hAnsi="Arial" w:cs="Arial"/>
          <w:sz w:val="22"/>
          <w:szCs w:val="22"/>
          <w:lang w:val="es-CO"/>
        </w:rPr>
      </w:pPr>
      <w:bookmarkStart w:id="239" w:name="222"/>
      <w:r w:rsidRPr="006969B3">
        <w:rPr>
          <w:rFonts w:ascii="Arial" w:hAnsi="Arial" w:cs="Arial"/>
          <w:sz w:val="22"/>
          <w:szCs w:val="22"/>
          <w:lang w:val="es-CO"/>
        </w:rPr>
        <w:lastRenderedPageBreak/>
        <w:t>ARTÍCULO 222. SISTEMA NACIONAL DE LAS MUJERES.</w:t>
      </w:r>
      <w:bookmarkEnd w:id="239"/>
      <w:r w:rsidRPr="006969B3">
        <w:rPr>
          <w:rFonts w:ascii="Arial" w:hAnsi="Arial" w:cs="Arial"/>
          <w:sz w:val="22"/>
          <w:szCs w:val="22"/>
          <w:lang w:val="es-CO"/>
        </w:rPr>
        <w:t> Créase el Sistema Nacional de las Mujeres como un conjunto de políticas, instrumentos, componentes y procesos con el fin de incluir en la agenda de las diferentes ramas del poder público los temas prioritarios en materia de avance y garantía de los derechos humanos de las mujeres, con especial énfasis en el impulso de la transversalidad del enfoque de género y étnico para las mujeres en las entidades del orden nacional y en la definición de políticas públicas sobre equidad de género para las mujeres.</w:t>
      </w:r>
    </w:p>
    <w:p w14:paraId="6F774E1F"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699FAB1B" w14:textId="10C84E7A"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Sistema estará integrado por representantes del Gobierno nacional, la Comisión Legal para la Equidad de la Mujer del Congreso de la República, la Comisión de Género de la Rama Judicial, la Procuraduría General de la Nación y la Defensoría del Pueblo. Podrán asistir como invitados representantes de organismos internacionales, de las secretarías de la mujer del nivel territorial, representantes de la academia y representantes de organizaciones de la sociedad civil que cuenten con conocimiento y experticia sobre los derechos de las mujeres. El sistema también estará integrado por el Observatorio de Asuntos de Género (OAG), a cargo de la Consejería Presidencial para la Equidad de la Mujer, con el fin de que este último suministre a sus integrantes la información cuantitativa y cualitativa relevante para el análisis y discusión en torno a la garantía de derechos de las mujeres.</w:t>
      </w:r>
    </w:p>
    <w:p w14:paraId="59A11D7A"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2D742A6A" w14:textId="4EFCF71E"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Sistema Nacional de las Mujeres dará insumos para la formulación de la Política de Equidad de Género para las Mujeres y realizará seguimiento a la implementación del Plan de acción de dicha política. En la construcción de esta política se hará énfasis en las mujeres rurales teniendo en cuenta un enfoque interseccional.</w:t>
      </w:r>
    </w:p>
    <w:p w14:paraId="0BA45B0F"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5C8BE4CB" w14:textId="14F4BA86"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Así mismo, el Sistema realizará seguimiento a la política pública de cuidado que se construirá bajo la coordinación de la Comisión Intersectorial del Sistema de Cuidado, teniendo en cuenta los enfoques de género e interseccional para el reconocimiento, reducción y redistribución del trabajo doméstico y de cuidado remunerado y no remunerado.</w:t>
      </w:r>
    </w:p>
    <w:p w14:paraId="7DD53A1A" w14:textId="77777777"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TRANSITORIO.</w:t>
      </w:r>
      <w:r w:rsidRPr="006969B3">
        <w:rPr>
          <w:rFonts w:ascii="Arial" w:hAnsi="Arial" w:cs="Arial"/>
          <w:sz w:val="22"/>
          <w:szCs w:val="22"/>
          <w:lang w:val="es-CO"/>
        </w:rPr>
        <w:t xml:space="preserve"> El Departamento Administrativo de la Presidencia de la República, dentro de los tres (3) meses siguientes a la </w:t>
      </w:r>
      <w:proofErr w:type="gramStart"/>
      <w:r w:rsidRPr="006969B3">
        <w:rPr>
          <w:rFonts w:ascii="Arial" w:hAnsi="Arial" w:cs="Arial"/>
          <w:sz w:val="22"/>
          <w:szCs w:val="22"/>
          <w:lang w:val="es-CO"/>
        </w:rPr>
        <w:t>entrada en vigencia</w:t>
      </w:r>
      <w:proofErr w:type="gramEnd"/>
      <w:r w:rsidRPr="006969B3">
        <w:rPr>
          <w:rFonts w:ascii="Arial" w:hAnsi="Arial" w:cs="Arial"/>
          <w:sz w:val="22"/>
          <w:szCs w:val="22"/>
          <w:lang w:val="es-CO"/>
        </w:rPr>
        <w:t xml:space="preserve"> de la presente ley, reglamentará el funcionamiento del Sistema.</w:t>
      </w:r>
    </w:p>
    <w:p w14:paraId="7822E909" w14:textId="05D7ECAB" w:rsidR="00095FEF" w:rsidRPr="006969B3" w:rsidRDefault="00095FEF" w:rsidP="00F65283">
      <w:pPr>
        <w:spacing w:after="0" w:line="240" w:lineRule="auto"/>
        <w:rPr>
          <w:rFonts w:ascii="Arial" w:hAnsi="Arial" w:cs="Arial"/>
          <w:lang w:val="es-CO"/>
        </w:rPr>
      </w:pPr>
    </w:p>
    <w:p w14:paraId="6E52E631" w14:textId="77777777" w:rsidR="00095FEF" w:rsidRPr="006969B3" w:rsidRDefault="00095FEF" w:rsidP="00F65283">
      <w:pPr>
        <w:pStyle w:val="NormalWeb"/>
        <w:spacing w:before="0" w:beforeAutospacing="0" w:after="0" w:afterAutospacing="0"/>
        <w:jc w:val="both"/>
        <w:rPr>
          <w:rFonts w:ascii="Arial" w:hAnsi="Arial" w:cs="Arial"/>
          <w:sz w:val="22"/>
          <w:szCs w:val="22"/>
          <w:lang w:val="es-CO"/>
        </w:rPr>
      </w:pPr>
      <w:bookmarkStart w:id="240" w:name="223"/>
      <w:r w:rsidRPr="006969B3">
        <w:rPr>
          <w:rFonts w:ascii="Arial" w:hAnsi="Arial" w:cs="Arial"/>
          <w:sz w:val="22"/>
          <w:szCs w:val="22"/>
          <w:lang w:val="es-CO"/>
        </w:rPr>
        <w:t>ARTÍCULO 223. RESTITUCIÓN DEL SUBSIDIO Y DEL INMUEBLE OBJETO DEL SUBSIDIO DE ARRENDAMIENTO.</w:t>
      </w:r>
      <w:bookmarkEnd w:id="240"/>
      <w:r w:rsidRPr="006969B3">
        <w:rPr>
          <w:rFonts w:ascii="Arial" w:hAnsi="Arial" w:cs="Arial"/>
          <w:sz w:val="22"/>
          <w:szCs w:val="22"/>
          <w:lang w:val="es-CO"/>
        </w:rPr>
        <w:t> El presunto incumplimiento de las obligaciones de los beneficiarios del subsidio familiar de vivienda para arrendamiento dará inicio por parte la entidad otorgante, para la revocatoria de la asignación del subsidio y la restitución del inmueble. Para el efecto se aplicará el siguiente procedimiento:</w:t>
      </w:r>
    </w:p>
    <w:p w14:paraId="4D5E00D0"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7D55E39A" w14:textId="0793D4F9"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(i) Se citará a audiencia por parte de la entidad otorgante en la que detallarán los hechos, acompañados de las pruebas que sustenten la actuación, enunciando las obligaciones presuntamente incumplidas, así como las consecuencias que podrían derivarse. En la misma citación se establecerá el lugar, fecha y hora para la realización de la audiencia;</w:t>
      </w:r>
    </w:p>
    <w:p w14:paraId="2AB3EEEA"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63098A3F" w14:textId="2A5219C9"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w:t>
      </w:r>
      <w:proofErr w:type="spellStart"/>
      <w:r w:rsidRPr="006969B3">
        <w:rPr>
          <w:rFonts w:ascii="Arial" w:hAnsi="Arial" w:cs="Arial"/>
          <w:sz w:val="22"/>
          <w:szCs w:val="22"/>
          <w:lang w:val="es-CO"/>
        </w:rPr>
        <w:t>ii</w:t>
      </w:r>
      <w:proofErr w:type="spellEnd"/>
      <w:r w:rsidRPr="006969B3">
        <w:rPr>
          <w:rFonts w:ascii="Arial" w:hAnsi="Arial" w:cs="Arial"/>
          <w:sz w:val="22"/>
          <w:szCs w:val="22"/>
          <w:lang w:val="es-CO"/>
        </w:rPr>
        <w:t>) En desarrollo de la audiencia se presentarán los hechos, obligaciones presuntamente incumplidas y los elementos probatorios que dan cuenta del presunto incumplimiento conforme a la citación efectuada. Acto seguido, se concederá el uso de la palabra al beneficiario del subsidio o su representante para que presenten sus descargos, en desarrollo de lo cual, podrá rendir las explicaciones del caso, aportar pruebas y controvertir las presentadas por la entidad.</w:t>
      </w:r>
    </w:p>
    <w:p w14:paraId="06FA05C5"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0009841C" w14:textId="53E15801"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lastRenderedPageBreak/>
        <w:t>Agotada la etapa anterior, en la misma audiencia, la entidad procederá a decidir sobre el cumplimiento de las obligaciones del beneficiario del subsidio, la revocatoria del mismo y la restitución del inmueble, mediante resolución motivada, en la que se consigne lo ocurrido en desarrollo de la audiencia y la cual se entenderá notificada en dicho acto público. Contra la decisión así proferida solo procede el recurso de reposición que se interpondrá, sustentará y decidirá en la misma audiencia. La decisión sobre el recurso se entenderá notificada en la misma audiencia.</w:t>
      </w:r>
    </w:p>
    <w:p w14:paraId="06EBAFEA"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081DC4E5" w14:textId="40BBFD28"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En cualquier momento del desarrollo de la audiencia, la entidad otorgante podrá suspenderla, de oficio o a petición de parte. En todo caso, al adoptar la decisión de suspensión se señalará fecha y hora para reanudar la audiencia.</w:t>
      </w:r>
    </w:p>
    <w:p w14:paraId="157D22F1"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79174ACC" w14:textId="1AC86952"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 más tardar dentro de los cinco (5) días hábiles siguientes a la ejecutoria del acto administrativo, mediante el cual se revoca el Subsidio Familiar de Vivienda y se ordena la restitución de la tenencia del inmueble arrendado a su propietario, expedido por la entidad otorgante, el hogar beneficiario deberá suscribir el acta de restitución de la vivienda, a través de la cual se deja la constancia de su entrega material, so pena de que se inicien las acciones policivas y/o judiciales a que haya lugar.</w:t>
      </w:r>
    </w:p>
    <w:p w14:paraId="5C966147"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0D9D7828" w14:textId="7CB23B35"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 vivienda deberá ser restituida en las mismas condiciones en las que fue entregada, salvo por el deterioro normal por el transcurso del tiempo y el uso legítimo de la misma. A solicitud del hogar, este podrá contar con acompañamiento por parte del Ministerio Público durante el proceso administrativo descrito.</w:t>
      </w:r>
    </w:p>
    <w:p w14:paraId="0A73F648"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6D174429" w14:textId="69400CD6"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Para efectos del subsidio de vivienda para arrendamiento, no aplica lo establecido en el artículo </w:t>
      </w:r>
      <w:r w:rsidRPr="007B5FFA">
        <w:rPr>
          <w:rFonts w:ascii="Arial" w:hAnsi="Arial" w:cs="Arial"/>
          <w:sz w:val="22"/>
          <w:szCs w:val="22"/>
          <w:lang w:val="es-CO"/>
        </w:rPr>
        <w:t>16</w:t>
      </w:r>
      <w:r w:rsidRPr="006969B3">
        <w:rPr>
          <w:rFonts w:ascii="Arial" w:hAnsi="Arial" w:cs="Arial"/>
          <w:sz w:val="22"/>
          <w:szCs w:val="22"/>
          <w:lang w:val="es-CO"/>
        </w:rPr>
        <w:t> de la Ley 820 de 2003.</w:t>
      </w:r>
    </w:p>
    <w:p w14:paraId="488A02AE" w14:textId="77777777" w:rsidR="0094161B" w:rsidRPr="006969B3" w:rsidRDefault="0094161B" w:rsidP="00F65283">
      <w:pPr>
        <w:pStyle w:val="NormalWeb"/>
        <w:spacing w:before="0" w:beforeAutospacing="0" w:after="0" w:afterAutospacing="0"/>
        <w:jc w:val="both"/>
        <w:rPr>
          <w:rStyle w:val="baj"/>
          <w:rFonts w:ascii="Arial" w:hAnsi="Arial" w:cs="Arial"/>
          <w:sz w:val="22"/>
          <w:szCs w:val="22"/>
          <w:lang w:val="es-CO"/>
        </w:rPr>
      </w:pPr>
    </w:p>
    <w:p w14:paraId="309ECA7D" w14:textId="1DBBCBE6"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El procedimiento previsto en este artículo aplicará también para la restitución formal del título de dominio del bien inmueble objeto del subsidio familiar de vivienda 100% en especie.</w:t>
      </w:r>
    </w:p>
    <w:p w14:paraId="56CADEF9" w14:textId="517A98A4" w:rsidR="00095FEF" w:rsidRPr="006969B3" w:rsidRDefault="00095FEF" w:rsidP="00F65283">
      <w:pPr>
        <w:spacing w:after="0" w:line="240" w:lineRule="auto"/>
        <w:rPr>
          <w:rFonts w:ascii="Arial" w:hAnsi="Arial" w:cs="Arial"/>
          <w:lang w:val="es-CO"/>
        </w:rPr>
      </w:pPr>
    </w:p>
    <w:p w14:paraId="3FD8CDD3" w14:textId="4A3BD226" w:rsidR="00095FEF" w:rsidRPr="006969B3" w:rsidRDefault="00095FEF" w:rsidP="00F65283">
      <w:pPr>
        <w:pStyle w:val="NormalWeb"/>
        <w:spacing w:before="0" w:beforeAutospacing="0" w:after="0" w:afterAutospacing="0"/>
        <w:jc w:val="both"/>
        <w:rPr>
          <w:rFonts w:ascii="Arial" w:hAnsi="Arial" w:cs="Arial"/>
          <w:sz w:val="22"/>
          <w:szCs w:val="22"/>
          <w:lang w:val="es-CO"/>
        </w:rPr>
      </w:pPr>
      <w:bookmarkStart w:id="241" w:name="224"/>
      <w:r w:rsidRPr="006969B3">
        <w:rPr>
          <w:rFonts w:ascii="Arial" w:hAnsi="Arial" w:cs="Arial"/>
          <w:sz w:val="22"/>
          <w:szCs w:val="22"/>
          <w:lang w:val="es-CO"/>
        </w:rPr>
        <w:t>ARTÍCULO 224. PROTECCIÓN CONTRA LA PÉRDIDA DEL VALOR ADQUISITIVO DE LA MONEDA.</w:t>
      </w:r>
      <w:bookmarkEnd w:id="241"/>
      <w:r w:rsidRPr="006969B3">
        <w:rPr>
          <w:rFonts w:ascii="Arial" w:hAnsi="Arial" w:cs="Arial"/>
          <w:sz w:val="22"/>
          <w:szCs w:val="22"/>
          <w:lang w:val="es-CO"/>
        </w:rPr>
        <w:t> Modifíquese el artículo </w:t>
      </w:r>
      <w:r w:rsidRPr="007B5FFA">
        <w:rPr>
          <w:rFonts w:ascii="Arial" w:hAnsi="Arial" w:cs="Arial"/>
          <w:sz w:val="22"/>
          <w:szCs w:val="22"/>
          <w:lang w:val="es-CO"/>
        </w:rPr>
        <w:t>11</w:t>
      </w:r>
      <w:r w:rsidRPr="006969B3">
        <w:rPr>
          <w:rFonts w:ascii="Arial" w:hAnsi="Arial" w:cs="Arial"/>
          <w:sz w:val="22"/>
          <w:szCs w:val="22"/>
          <w:lang w:val="es-CO"/>
        </w:rPr>
        <w:t> de la Ley 432 de 1998, el cual quedará así:</w:t>
      </w:r>
    </w:p>
    <w:p w14:paraId="20575471"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7B5CE98C" w14:textId="13E488B9"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w:t>
      </w:r>
      <w:r w:rsidRPr="007B5FFA">
        <w:rPr>
          <w:rFonts w:ascii="Arial" w:hAnsi="Arial" w:cs="Arial"/>
          <w:sz w:val="22"/>
          <w:szCs w:val="22"/>
          <w:lang w:val="es-CO"/>
        </w:rPr>
        <w:t>11</w:t>
      </w:r>
      <w:r w:rsidRPr="006969B3">
        <w:rPr>
          <w:rFonts w:ascii="Arial" w:hAnsi="Arial" w:cs="Arial"/>
          <w:sz w:val="22"/>
          <w:szCs w:val="22"/>
          <w:lang w:val="es-CO"/>
        </w:rPr>
        <w:t>. Protección contra la pérdida del valor adquisitivo de la moneda. El Fondo Nacional de Ahorro reconocerá y abonará en la cuenta individual de cesantías de cada afiliado, como mínimo un interés equivalente a la variación anual de la Unidad de Valor Real (UVR), certificada por el Banco de la República, sobre su saldo acumulado de cesantías a 31 de diciembre del año inmediatamente anterior, y proporcional por la fracción de año que corresponda al momento de retiro, sobre el monto parcial o definitivo de la cesantía pagada.</w:t>
      </w:r>
    </w:p>
    <w:p w14:paraId="36788E28" w14:textId="77777777"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Para el efecto, los saldos de Cesantías que administre el Fondo Nacional del Ahorro (FNA) se denominarán en UVR y se </w:t>
      </w:r>
      <w:proofErr w:type="spellStart"/>
      <w:r w:rsidRPr="006969B3">
        <w:rPr>
          <w:rFonts w:ascii="Arial" w:hAnsi="Arial" w:cs="Arial"/>
          <w:sz w:val="22"/>
          <w:szCs w:val="22"/>
          <w:lang w:val="es-CO"/>
        </w:rPr>
        <w:t>reexpresarán</w:t>
      </w:r>
      <w:proofErr w:type="spellEnd"/>
      <w:r w:rsidRPr="006969B3">
        <w:rPr>
          <w:rFonts w:ascii="Arial" w:hAnsi="Arial" w:cs="Arial"/>
          <w:sz w:val="22"/>
          <w:szCs w:val="22"/>
          <w:lang w:val="es-CO"/>
        </w:rPr>
        <w:t xml:space="preserve"> en pesos de acuerdo con el valor de la UVR, certificado por el Banco de la República, con base en la fecha de consignación de cada una de las fracciones.</w:t>
      </w:r>
    </w:p>
    <w:p w14:paraId="49F25665" w14:textId="020C7FD0" w:rsidR="00095FEF" w:rsidRPr="006969B3" w:rsidRDefault="00095FEF" w:rsidP="00F65283">
      <w:pPr>
        <w:spacing w:after="0" w:line="240" w:lineRule="auto"/>
        <w:rPr>
          <w:rFonts w:ascii="Arial" w:hAnsi="Arial" w:cs="Arial"/>
          <w:lang w:val="es-CO"/>
        </w:rPr>
      </w:pPr>
    </w:p>
    <w:p w14:paraId="70E92D91" w14:textId="1BB9DACB" w:rsidR="00095FEF" w:rsidRPr="006969B3" w:rsidRDefault="00095FEF" w:rsidP="00F65283">
      <w:pPr>
        <w:pStyle w:val="NormalWeb"/>
        <w:spacing w:before="0" w:beforeAutospacing="0" w:after="0" w:afterAutospacing="0"/>
        <w:jc w:val="both"/>
        <w:rPr>
          <w:rFonts w:ascii="Arial" w:hAnsi="Arial" w:cs="Arial"/>
          <w:sz w:val="22"/>
          <w:szCs w:val="22"/>
          <w:lang w:val="es-CO"/>
        </w:rPr>
      </w:pPr>
      <w:bookmarkStart w:id="242" w:name="225"/>
      <w:r w:rsidRPr="006969B3">
        <w:rPr>
          <w:rFonts w:ascii="Arial" w:hAnsi="Arial" w:cs="Arial"/>
          <w:sz w:val="22"/>
          <w:szCs w:val="22"/>
          <w:lang w:val="es-CO"/>
        </w:rPr>
        <w:t>ARTÍCULO 225. INTERESES SOBRE CESANTÍAS.</w:t>
      </w:r>
      <w:bookmarkEnd w:id="242"/>
      <w:r w:rsidRPr="006969B3">
        <w:rPr>
          <w:rFonts w:ascii="Arial" w:hAnsi="Arial" w:cs="Arial"/>
          <w:sz w:val="22"/>
          <w:szCs w:val="22"/>
          <w:lang w:val="es-CO"/>
        </w:rPr>
        <w:t> Modifíquese el artículo </w:t>
      </w:r>
      <w:r w:rsidRPr="007B5FFA">
        <w:rPr>
          <w:rFonts w:ascii="Arial" w:hAnsi="Arial" w:cs="Arial"/>
          <w:sz w:val="22"/>
          <w:szCs w:val="22"/>
          <w:lang w:val="es-CO"/>
        </w:rPr>
        <w:t>12</w:t>
      </w:r>
      <w:r w:rsidRPr="006969B3">
        <w:rPr>
          <w:rFonts w:ascii="Arial" w:hAnsi="Arial" w:cs="Arial"/>
          <w:sz w:val="22"/>
          <w:szCs w:val="22"/>
          <w:lang w:val="es-CO"/>
        </w:rPr>
        <w:t> de la Ley 432 de 1998, el cual quedará así:</w:t>
      </w:r>
    </w:p>
    <w:p w14:paraId="699080A5"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3C85FB74" w14:textId="0E07165F"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w:t>
      </w:r>
      <w:r w:rsidRPr="007B5FFA">
        <w:rPr>
          <w:rFonts w:ascii="Arial" w:hAnsi="Arial" w:cs="Arial"/>
          <w:sz w:val="22"/>
          <w:szCs w:val="22"/>
          <w:lang w:val="es-CO"/>
        </w:rPr>
        <w:t>12</w:t>
      </w:r>
      <w:r w:rsidRPr="006969B3">
        <w:rPr>
          <w:rFonts w:ascii="Arial" w:hAnsi="Arial" w:cs="Arial"/>
          <w:sz w:val="22"/>
          <w:szCs w:val="22"/>
          <w:lang w:val="es-CO"/>
        </w:rPr>
        <w:t xml:space="preserve">. Intereses sobre cesantías. El Fondo Nacional del Ahorro reconocerá y abonará en la cuenta de cesantías de cada servidor público afiliado, un interés equivalente a la variación anual de la Unidad de Valor Real (UVR), certificada por el Banco de la República, </w:t>
      </w:r>
      <w:r w:rsidRPr="006969B3">
        <w:rPr>
          <w:rFonts w:ascii="Arial" w:hAnsi="Arial" w:cs="Arial"/>
          <w:sz w:val="22"/>
          <w:szCs w:val="22"/>
          <w:lang w:val="es-CO"/>
        </w:rPr>
        <w:lastRenderedPageBreak/>
        <w:t>sobre las cesantías liquidadas por la entidad nominadora correspondientes al año inmediatamente anterior o proporcional por la fracción de año que se liquide definitivamente. No obstante, el cálculo del interés tendrá en cuenta las fechas en las que fue consignada cada fracción.</w:t>
      </w:r>
    </w:p>
    <w:p w14:paraId="6132EE0D"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7B0C5AA4" w14:textId="5231F28D"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Para el efecto, los saldos que administre el Fondo Nacional del Ahorro por este concepto se denominarán en UVR y se </w:t>
      </w:r>
      <w:proofErr w:type="spellStart"/>
      <w:r w:rsidRPr="006969B3">
        <w:rPr>
          <w:rFonts w:ascii="Arial" w:hAnsi="Arial" w:cs="Arial"/>
          <w:sz w:val="22"/>
          <w:szCs w:val="22"/>
          <w:lang w:val="es-CO"/>
        </w:rPr>
        <w:t>reexpresarán</w:t>
      </w:r>
      <w:proofErr w:type="spellEnd"/>
      <w:r w:rsidRPr="006969B3">
        <w:rPr>
          <w:rFonts w:ascii="Arial" w:hAnsi="Arial" w:cs="Arial"/>
          <w:sz w:val="22"/>
          <w:szCs w:val="22"/>
          <w:lang w:val="es-CO"/>
        </w:rPr>
        <w:t xml:space="preserve"> en pesos de acuerdo con el valor de la UVR, certificado por el Banco de la República, con base en la fecha de consignación de cada una de las fracciones.</w:t>
      </w:r>
    </w:p>
    <w:p w14:paraId="21D8D951" w14:textId="77777777" w:rsidR="0094161B" w:rsidRPr="006969B3" w:rsidRDefault="0094161B" w:rsidP="00F65283">
      <w:pPr>
        <w:pStyle w:val="NormalWeb"/>
        <w:spacing w:before="0" w:beforeAutospacing="0" w:after="0" w:afterAutospacing="0"/>
        <w:jc w:val="both"/>
        <w:rPr>
          <w:rStyle w:val="baj"/>
          <w:rFonts w:ascii="Arial" w:hAnsi="Arial" w:cs="Arial"/>
          <w:sz w:val="22"/>
          <w:szCs w:val="22"/>
          <w:lang w:val="es-CO"/>
        </w:rPr>
      </w:pPr>
    </w:p>
    <w:p w14:paraId="23FE4D0D" w14:textId="79E358F6"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El reconocimiento de intereses de que trata el presente artículo no aplicará a los servidores de las entidades públicas empleadoras del orden departamental y municipal, a quienes aplica el régimen establecido en el artículo 99 de la Ley 50 de 1990, en lo relacionado con las fechas de transferencia de cesantías, intereses y demás normas que la reglamenten, modifiquen o sustituyan.</w:t>
      </w:r>
    </w:p>
    <w:p w14:paraId="6DDEAEC8" w14:textId="410B44F9" w:rsidR="00095FEF" w:rsidRPr="006969B3" w:rsidRDefault="00095FEF" w:rsidP="00F65283">
      <w:pPr>
        <w:spacing w:after="0" w:line="240" w:lineRule="auto"/>
        <w:rPr>
          <w:rFonts w:ascii="Arial" w:hAnsi="Arial" w:cs="Arial"/>
          <w:lang w:val="es-CO"/>
        </w:rPr>
      </w:pPr>
    </w:p>
    <w:p w14:paraId="12E41E4D" w14:textId="77777777" w:rsidR="00095FEF" w:rsidRPr="006969B3" w:rsidRDefault="00095FEF" w:rsidP="00F65283">
      <w:pPr>
        <w:pStyle w:val="NormalWeb"/>
        <w:spacing w:before="0" w:beforeAutospacing="0" w:after="0" w:afterAutospacing="0"/>
        <w:jc w:val="both"/>
        <w:rPr>
          <w:rFonts w:ascii="Arial" w:hAnsi="Arial" w:cs="Arial"/>
          <w:sz w:val="22"/>
          <w:szCs w:val="22"/>
          <w:lang w:val="es-CO"/>
        </w:rPr>
      </w:pPr>
      <w:bookmarkStart w:id="243" w:name="226"/>
      <w:r w:rsidRPr="006969B3">
        <w:rPr>
          <w:rFonts w:ascii="Arial" w:hAnsi="Arial" w:cs="Arial"/>
          <w:sz w:val="22"/>
          <w:szCs w:val="22"/>
          <w:lang w:val="es-CO"/>
        </w:rPr>
        <w:t>ARTÍCULO 226. FONDO DE ESTABILIZACIÓN DE PRECIOS DEL CAFÉ.</w:t>
      </w:r>
      <w:bookmarkEnd w:id="243"/>
      <w:r w:rsidRPr="006969B3">
        <w:rPr>
          <w:rFonts w:ascii="Arial" w:hAnsi="Arial" w:cs="Arial"/>
          <w:sz w:val="22"/>
          <w:szCs w:val="22"/>
          <w:lang w:val="es-CO"/>
        </w:rPr>
        <w:t> Créase el Fondo de Estabilización de Precios del Café como una cuenta especial sin personería jurídica que tendrá por objeto adoptar una variedad de mecanismos técnicamente idóneos para estabilizar el ingreso de los productores de café colombiano y protegerlo de precios extremadamente bajos.</w:t>
      </w:r>
    </w:p>
    <w:p w14:paraId="58C78B7B" w14:textId="77777777" w:rsidR="0094161B" w:rsidRPr="006969B3" w:rsidRDefault="0094161B" w:rsidP="00F65283">
      <w:pPr>
        <w:pStyle w:val="NormalWeb"/>
        <w:spacing w:before="0" w:beforeAutospacing="0" w:after="0" w:afterAutospacing="0"/>
        <w:jc w:val="both"/>
        <w:rPr>
          <w:rFonts w:ascii="Arial" w:hAnsi="Arial" w:cs="Arial"/>
          <w:sz w:val="22"/>
          <w:szCs w:val="22"/>
          <w:lang w:val="es-CO"/>
        </w:rPr>
      </w:pPr>
    </w:p>
    <w:p w14:paraId="546B3C53" w14:textId="3A7294E9"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Congreso de la República definirá su estructura, administración, finalidades, funciones, recursos para su capitalización y funcionamiento, mecanismos y criterios para su reglamentación por parte del Gobierno nacional.</w:t>
      </w:r>
    </w:p>
    <w:p w14:paraId="30F61984" w14:textId="232BB5F5" w:rsidR="00095FEF" w:rsidRPr="006969B3" w:rsidRDefault="00095FEF" w:rsidP="00F65283">
      <w:pPr>
        <w:spacing w:after="0" w:line="240" w:lineRule="auto"/>
        <w:rPr>
          <w:rFonts w:ascii="Arial" w:hAnsi="Arial" w:cs="Arial"/>
          <w:lang w:val="es-CO"/>
        </w:rPr>
      </w:pPr>
    </w:p>
    <w:p w14:paraId="6C3D9CDD" w14:textId="67B03407" w:rsidR="00095FEF" w:rsidRPr="006969B3" w:rsidRDefault="00095FEF" w:rsidP="00F65283">
      <w:pPr>
        <w:pStyle w:val="NormalWeb"/>
        <w:spacing w:before="0" w:beforeAutospacing="0" w:after="0" w:afterAutospacing="0"/>
        <w:jc w:val="both"/>
        <w:rPr>
          <w:rFonts w:ascii="Arial" w:hAnsi="Arial" w:cs="Arial"/>
          <w:sz w:val="22"/>
          <w:szCs w:val="22"/>
          <w:lang w:val="es-CO"/>
        </w:rPr>
      </w:pPr>
      <w:bookmarkStart w:id="244" w:name="227"/>
      <w:r w:rsidRPr="006969B3">
        <w:rPr>
          <w:rFonts w:ascii="Arial" w:hAnsi="Arial" w:cs="Arial"/>
          <w:sz w:val="22"/>
          <w:szCs w:val="22"/>
          <w:lang w:val="es-CO"/>
        </w:rPr>
        <w:t>ARTÍCULO 227. SUBSIDIO DE ENERGÍA PARA DISTRITOS DE RIEGO.</w:t>
      </w:r>
      <w:bookmarkEnd w:id="244"/>
      <w:r w:rsidRPr="006969B3">
        <w:rPr>
          <w:rFonts w:ascii="Arial" w:hAnsi="Arial" w:cs="Arial"/>
          <w:sz w:val="22"/>
          <w:szCs w:val="22"/>
          <w:lang w:val="es-CO"/>
        </w:rPr>
        <w:t>  La Nación asignará un monto de recursos destinados a cubrir el valor correspondiente a un porcentaje del cincuenta por ciento (50%) del costo de la energía eléctrica y gas natural que consuman los distritos de riego que utilicen equipos electromecánicos para su operación debidamente comprobado por las empresas prestadoras del servicio respectivo, de los usuarios de los distritos de riego y de los distritos de riego administrados por el Estado o por las Asociaciones de Usuarios debidamente reconocidos por el Ministerio de Agricultura y Desarrollo Rural.</w:t>
      </w:r>
    </w:p>
    <w:p w14:paraId="46D44E35" w14:textId="77777777" w:rsidR="0094161B" w:rsidRPr="006969B3" w:rsidRDefault="0094161B" w:rsidP="00F65283">
      <w:pPr>
        <w:pStyle w:val="NormalWeb"/>
        <w:spacing w:before="0" w:beforeAutospacing="0" w:after="0" w:afterAutospacing="0"/>
        <w:jc w:val="both"/>
        <w:rPr>
          <w:rStyle w:val="baj"/>
          <w:rFonts w:ascii="Arial" w:hAnsi="Arial" w:cs="Arial"/>
          <w:sz w:val="22"/>
          <w:szCs w:val="22"/>
          <w:lang w:val="es-CO"/>
        </w:rPr>
      </w:pPr>
    </w:p>
    <w:p w14:paraId="12B7C82B" w14:textId="55C6CDDC"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Para el caso de los usuarios de riego cuya facturación sea individual, este beneficio se otorgará solo para aquellos que no posean más de cincuenta (50) hectáreas.</w:t>
      </w:r>
    </w:p>
    <w:p w14:paraId="14D93DF4" w14:textId="77777777" w:rsidR="0094161B" w:rsidRPr="006969B3" w:rsidRDefault="0094161B" w:rsidP="00F65283">
      <w:pPr>
        <w:pStyle w:val="NormalWeb"/>
        <w:spacing w:before="0" w:beforeAutospacing="0" w:after="0" w:afterAutospacing="0"/>
        <w:jc w:val="both"/>
        <w:rPr>
          <w:rStyle w:val="baj"/>
          <w:rFonts w:ascii="Arial" w:hAnsi="Arial" w:cs="Arial"/>
          <w:sz w:val="22"/>
          <w:szCs w:val="22"/>
          <w:lang w:val="es-CO"/>
        </w:rPr>
      </w:pPr>
    </w:p>
    <w:p w14:paraId="2F86D318" w14:textId="22ED2057"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Para efectos de la clasificación de los usuarios del servicio de energía eléctrica y gas natural, según la Ley </w:t>
      </w:r>
      <w:r w:rsidRPr="007B5FFA">
        <w:rPr>
          <w:rFonts w:ascii="Arial" w:hAnsi="Arial" w:cs="Arial"/>
          <w:sz w:val="22"/>
          <w:szCs w:val="22"/>
          <w:lang w:val="es-CO"/>
        </w:rPr>
        <w:t>142</w:t>
      </w:r>
      <w:r w:rsidRPr="006969B3">
        <w:rPr>
          <w:rFonts w:ascii="Arial" w:hAnsi="Arial" w:cs="Arial"/>
          <w:sz w:val="22"/>
          <w:szCs w:val="22"/>
          <w:lang w:val="es-CO"/>
        </w:rPr>
        <w:t xml:space="preserve"> de 1994, la utilización de estos servicios para el riego dirigido a la producción agropecuaria se clasificará dentro de la clase especial, la cual no pagará contribución. Además, con el objeto de comercializar la energía eléctrica y el gas natural, los usuarios de los distritos de </w:t>
      </w:r>
      <w:proofErr w:type="gramStart"/>
      <w:r w:rsidRPr="006969B3">
        <w:rPr>
          <w:rFonts w:ascii="Arial" w:hAnsi="Arial" w:cs="Arial"/>
          <w:sz w:val="22"/>
          <w:szCs w:val="22"/>
          <w:lang w:val="es-CO"/>
        </w:rPr>
        <w:t>riego,</w:t>
      </w:r>
      <w:proofErr w:type="gramEnd"/>
      <w:r w:rsidRPr="006969B3">
        <w:rPr>
          <w:rFonts w:ascii="Arial" w:hAnsi="Arial" w:cs="Arial"/>
          <w:sz w:val="22"/>
          <w:szCs w:val="22"/>
          <w:lang w:val="es-CO"/>
        </w:rPr>
        <w:t xml:space="preserve"> se clasificarán como usuarios no regulados.</w:t>
      </w:r>
    </w:p>
    <w:p w14:paraId="625CFF68" w14:textId="77777777"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3o.</w:t>
      </w:r>
      <w:r w:rsidRPr="006969B3">
        <w:rPr>
          <w:rFonts w:ascii="Arial" w:hAnsi="Arial" w:cs="Arial"/>
          <w:sz w:val="22"/>
          <w:szCs w:val="22"/>
          <w:lang w:val="es-CO"/>
        </w:rPr>
        <w:t> El subsidio aquí descrito tendrá vigencia a partir del 1 de enero del año 2019.</w:t>
      </w:r>
    </w:p>
    <w:p w14:paraId="38740F2A" w14:textId="77777777" w:rsidR="00B66C58" w:rsidRPr="006969B3" w:rsidRDefault="00B66C58" w:rsidP="00F65283">
      <w:pPr>
        <w:pStyle w:val="NormalWeb"/>
        <w:spacing w:before="0" w:beforeAutospacing="0" w:after="0" w:afterAutospacing="0"/>
        <w:jc w:val="both"/>
        <w:rPr>
          <w:rFonts w:ascii="Arial" w:hAnsi="Arial" w:cs="Arial"/>
          <w:sz w:val="22"/>
          <w:szCs w:val="22"/>
          <w:lang w:val="es-CO"/>
        </w:rPr>
      </w:pPr>
      <w:bookmarkStart w:id="245" w:name="228"/>
    </w:p>
    <w:p w14:paraId="471A6C0B" w14:textId="098B1A13"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228. TARIFA DIFERENCIAL A PEQUEÑOS PRODUCTORES RURALES.</w:t>
      </w:r>
      <w:bookmarkEnd w:id="245"/>
      <w:r w:rsidRPr="006969B3">
        <w:rPr>
          <w:rFonts w:ascii="Arial" w:hAnsi="Arial" w:cs="Arial"/>
          <w:sz w:val="22"/>
          <w:szCs w:val="22"/>
          <w:lang w:val="es-CO"/>
        </w:rPr>
        <w:t xml:space="preserve"> La Nación asignará un monto de recursos destinados a cubrir el valor correspondiente a un porcentaje del cincuenta por ciento (50%) del costo de la energía eléctrica y de gas que consuman las asociaciones de pequeños productores del campo, que utilicen equipos </w:t>
      </w:r>
      <w:r w:rsidRPr="006969B3">
        <w:rPr>
          <w:rFonts w:ascii="Arial" w:hAnsi="Arial" w:cs="Arial"/>
          <w:sz w:val="22"/>
          <w:szCs w:val="22"/>
          <w:lang w:val="es-CO"/>
        </w:rPr>
        <w:lastRenderedPageBreak/>
        <w:t>electromecánicos o de refrigeración, para su operación debidamente comprobado por las empresas prestadoras del servicio respectivo. Las asociaciones de pequeños productores deberán realizar la inscripción ante las secretarías departamentales de agricultura o quien haga sus veces y esta información será verificada por el Ministerio de Agricultura y Desarrollo Rural.</w:t>
      </w:r>
    </w:p>
    <w:p w14:paraId="78B08B8A" w14:textId="77777777" w:rsidR="00B66C58" w:rsidRPr="006969B3" w:rsidRDefault="00B66C58" w:rsidP="00F65283">
      <w:pPr>
        <w:pStyle w:val="NormalWeb"/>
        <w:spacing w:before="0" w:beforeAutospacing="0" w:after="0" w:afterAutospacing="0"/>
        <w:jc w:val="both"/>
        <w:rPr>
          <w:rStyle w:val="baj"/>
          <w:rFonts w:ascii="Arial" w:hAnsi="Arial" w:cs="Arial"/>
          <w:sz w:val="22"/>
          <w:szCs w:val="22"/>
          <w:lang w:val="es-CO"/>
        </w:rPr>
      </w:pPr>
    </w:p>
    <w:p w14:paraId="5BAFC14E" w14:textId="577683F1"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Se entenderá por asociaciones de pequeños productores del campo, quienes posean activos totales no superiores a los doscientos ochenta y cuatro (284) SMMLV, en el momento de la solicitud del subsidio, el valor de la tierra no será computable dentro de los activos totales. El Gobierno nacional reglamentará la materia.</w:t>
      </w:r>
    </w:p>
    <w:p w14:paraId="43BC758B" w14:textId="77777777" w:rsidR="00B66C58" w:rsidRPr="006969B3" w:rsidRDefault="00B66C58" w:rsidP="00F65283">
      <w:pPr>
        <w:pStyle w:val="NormalWeb"/>
        <w:spacing w:before="0" w:beforeAutospacing="0" w:after="0" w:afterAutospacing="0"/>
        <w:jc w:val="both"/>
        <w:rPr>
          <w:rStyle w:val="baj"/>
          <w:rFonts w:ascii="Arial" w:hAnsi="Arial" w:cs="Arial"/>
          <w:sz w:val="22"/>
          <w:szCs w:val="22"/>
          <w:lang w:val="es-CO"/>
        </w:rPr>
      </w:pPr>
    </w:p>
    <w:p w14:paraId="0097A8FA" w14:textId="27E628EB"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Quienes hayan accedido al subsidio de energía y gas, no podrán ser beneficiarios del subsidio consagrado en el presente artículo. A menos de que renuncien al anterior subsidio.</w:t>
      </w:r>
    </w:p>
    <w:p w14:paraId="1462D252" w14:textId="77777777" w:rsidR="00B66C58" w:rsidRPr="006969B3" w:rsidRDefault="00B66C58" w:rsidP="00F65283">
      <w:pPr>
        <w:pStyle w:val="NormalWeb"/>
        <w:spacing w:before="0" w:beforeAutospacing="0" w:after="0" w:afterAutospacing="0"/>
        <w:jc w:val="both"/>
        <w:rPr>
          <w:rStyle w:val="baj"/>
          <w:rFonts w:ascii="Arial" w:hAnsi="Arial" w:cs="Arial"/>
          <w:sz w:val="22"/>
          <w:szCs w:val="22"/>
          <w:lang w:val="es-CO"/>
        </w:rPr>
      </w:pPr>
    </w:p>
    <w:p w14:paraId="553A37EA" w14:textId="2FF63BD9"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3o.</w:t>
      </w:r>
      <w:r w:rsidRPr="006969B3">
        <w:rPr>
          <w:rFonts w:ascii="Arial" w:hAnsi="Arial" w:cs="Arial"/>
          <w:sz w:val="22"/>
          <w:szCs w:val="22"/>
          <w:lang w:val="es-CO"/>
        </w:rPr>
        <w:t> El Gobierno nacional reglamentará la materia en un término no mayor de seis (6) meses a partir de la vigencia de la presente Ley.</w:t>
      </w:r>
    </w:p>
    <w:p w14:paraId="357FF595" w14:textId="2FED5650" w:rsidR="00095FEF" w:rsidRPr="006969B3" w:rsidRDefault="00095FEF" w:rsidP="00F65283">
      <w:pPr>
        <w:spacing w:after="0" w:line="240" w:lineRule="auto"/>
        <w:rPr>
          <w:rFonts w:ascii="Arial" w:hAnsi="Arial" w:cs="Arial"/>
          <w:lang w:val="es-CO"/>
        </w:rPr>
      </w:pPr>
    </w:p>
    <w:p w14:paraId="08FD37D0" w14:textId="77777777" w:rsidR="00095FEF" w:rsidRPr="006969B3" w:rsidRDefault="00095FEF" w:rsidP="00F65283">
      <w:pPr>
        <w:pStyle w:val="NormalWeb"/>
        <w:spacing w:before="0" w:beforeAutospacing="0" w:after="0" w:afterAutospacing="0"/>
        <w:jc w:val="both"/>
        <w:rPr>
          <w:rFonts w:ascii="Arial" w:hAnsi="Arial" w:cs="Arial"/>
          <w:sz w:val="22"/>
          <w:szCs w:val="22"/>
          <w:lang w:val="es-CO"/>
        </w:rPr>
      </w:pPr>
      <w:bookmarkStart w:id="246" w:name="229"/>
      <w:r w:rsidRPr="006969B3">
        <w:rPr>
          <w:rFonts w:ascii="Arial" w:hAnsi="Arial" w:cs="Arial"/>
          <w:sz w:val="22"/>
          <w:szCs w:val="22"/>
          <w:lang w:val="es-CO"/>
        </w:rPr>
        <w:t>ARTÍCULO 229. CALIFICACIÓN DIFERENCIADA EN COMPRAS PÚBLICAS DE ALIMENTOS.</w:t>
      </w:r>
      <w:bookmarkEnd w:id="246"/>
      <w:r w:rsidRPr="006969B3">
        <w:rPr>
          <w:rFonts w:ascii="Arial" w:hAnsi="Arial" w:cs="Arial"/>
          <w:sz w:val="22"/>
          <w:szCs w:val="22"/>
          <w:lang w:val="es-CO"/>
        </w:rPr>
        <w:t> Las entidades públicas descentralizadas del orden nacional y las entidades territoriales cada vez que requieran productos de origen agropecuario para atender la demanda de los programas institucionales de servicios de alimentación deberán establecer en sus pliegos de condiciones puntajes adicionales y estrategias de ponderación que mejoren las calificaciones de los proponentes cuando presenten contratos de proveeduría suscritos con productores nacionales. El Gobierno nacional en un plazo máximo de no más de tres (3) meses establecerá el esquema de puntajes adicionales, previo análisis de la Agencia de Contratación Colombia Compra Eficiente.</w:t>
      </w:r>
    </w:p>
    <w:p w14:paraId="4E090C88" w14:textId="77777777" w:rsidR="00B66C58" w:rsidRPr="006969B3" w:rsidRDefault="00B66C58" w:rsidP="00F65283">
      <w:pPr>
        <w:pStyle w:val="NormalWeb"/>
        <w:spacing w:before="0" w:beforeAutospacing="0" w:after="0" w:afterAutospacing="0"/>
        <w:jc w:val="both"/>
        <w:rPr>
          <w:rFonts w:ascii="Arial" w:hAnsi="Arial" w:cs="Arial"/>
          <w:sz w:val="22"/>
          <w:szCs w:val="22"/>
          <w:lang w:val="es-CO"/>
        </w:rPr>
      </w:pPr>
    </w:p>
    <w:p w14:paraId="7552E281" w14:textId="4DA1AA24"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Sin perjuicio de lo anterior, las entidades públicas contratantes deberán adquirir hasta el cuarenta por ciento (40%) de alimentos procesados o sin procesar, en donde los insumos y los productos hayan sido adquiridos de productores agropecuarios locales.</w:t>
      </w:r>
    </w:p>
    <w:p w14:paraId="134F01C0" w14:textId="77777777" w:rsidR="00B66C58" w:rsidRPr="006969B3" w:rsidRDefault="00B66C58" w:rsidP="00F65283">
      <w:pPr>
        <w:pStyle w:val="NormalWeb"/>
        <w:spacing w:before="0" w:beforeAutospacing="0" w:after="0" w:afterAutospacing="0"/>
        <w:jc w:val="both"/>
        <w:rPr>
          <w:rFonts w:ascii="Arial" w:hAnsi="Arial" w:cs="Arial"/>
          <w:sz w:val="22"/>
          <w:szCs w:val="22"/>
          <w:lang w:val="es-CO"/>
        </w:rPr>
      </w:pPr>
    </w:p>
    <w:p w14:paraId="07C854B2" w14:textId="29F7679F"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Adicionalmente, podrá establecerse un diez por ciento (10%) de puntaje adicional, a los proveedores que realicen el suministro que se pretenda contratar vinculando pequeños productores.</w:t>
      </w:r>
    </w:p>
    <w:p w14:paraId="4B8AE170" w14:textId="77777777" w:rsidR="00B66C58" w:rsidRPr="006969B3" w:rsidRDefault="00B66C58" w:rsidP="00F65283">
      <w:pPr>
        <w:pStyle w:val="NormalWeb"/>
        <w:spacing w:before="0" w:beforeAutospacing="0" w:after="0" w:afterAutospacing="0"/>
        <w:jc w:val="both"/>
        <w:rPr>
          <w:rStyle w:val="baj"/>
          <w:rFonts w:ascii="Arial" w:hAnsi="Arial" w:cs="Arial"/>
          <w:sz w:val="22"/>
          <w:szCs w:val="22"/>
          <w:lang w:val="es-CO"/>
        </w:rPr>
      </w:pPr>
    </w:p>
    <w:p w14:paraId="2B65DE72" w14:textId="4C3294FF"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Para garantizar el derecho a la igualdad de los pequeños productores, los contratos de proveeduría que se presenten respecto de ellos podrán ser individuales u organizados bajo cualquier esquema asociativo registrado ante las Secretarías de Agricultura de sus respectivas entidades territoriales.</w:t>
      </w:r>
    </w:p>
    <w:p w14:paraId="7C6764EF" w14:textId="77777777" w:rsidR="00B66C58" w:rsidRPr="006969B3" w:rsidRDefault="00B66C58" w:rsidP="00F65283">
      <w:pPr>
        <w:pStyle w:val="NormalWeb"/>
        <w:spacing w:before="0" w:beforeAutospacing="0" w:after="0" w:afterAutospacing="0"/>
        <w:jc w:val="both"/>
        <w:rPr>
          <w:rStyle w:val="baj"/>
          <w:rFonts w:ascii="Arial" w:hAnsi="Arial" w:cs="Arial"/>
          <w:sz w:val="22"/>
          <w:szCs w:val="22"/>
          <w:lang w:val="es-CO"/>
        </w:rPr>
      </w:pPr>
    </w:p>
    <w:p w14:paraId="7E139493" w14:textId="6157B27E" w:rsidR="00095FEF" w:rsidRPr="006969B3" w:rsidRDefault="1ABE51C5" w:rsidP="00F65283">
      <w:pPr>
        <w:pStyle w:val="NormalWeb"/>
        <w:spacing w:before="0" w:beforeAutospacing="0" w:after="0" w:afterAutospacing="0"/>
        <w:jc w:val="both"/>
        <w:rPr>
          <w:rFonts w:ascii="Arial" w:hAnsi="Arial" w:cs="Arial"/>
          <w:sz w:val="22"/>
          <w:szCs w:val="22"/>
          <w:lang w:val="es-CO"/>
        </w:rPr>
      </w:pPr>
      <w:r w:rsidRPr="0AA3015D">
        <w:rPr>
          <w:rStyle w:val="baj"/>
          <w:rFonts w:ascii="Arial" w:hAnsi="Arial" w:cs="Arial"/>
          <w:sz w:val="22"/>
          <w:szCs w:val="22"/>
          <w:lang w:val="es-CO"/>
        </w:rPr>
        <w:t>PARÁGRAFO 2o.</w:t>
      </w:r>
      <w:r w:rsidRPr="0AA3015D">
        <w:rPr>
          <w:rFonts w:ascii="Arial" w:hAnsi="Arial" w:cs="Arial"/>
          <w:sz w:val="22"/>
          <w:szCs w:val="22"/>
          <w:lang w:val="es-CO"/>
        </w:rPr>
        <w:t> El Ministerio de Agricultura y Desarrollo Rural en coordinación con Colombia Compra Eficiente desarrollará al menos una guía que será publicada en los sitios web de ambas entidades, en el marco de las estrategias de política definidas por la Cartera del Sector Agricultura y Desarrollo Rural, que incluirán aproximaciones teóricas, estadísticas o funcionales del concepto de “pequeño productor” y de lo que se puede considerar “esquema asociativo de pequeños productores”.</w:t>
      </w:r>
    </w:p>
    <w:p w14:paraId="777E486A" w14:textId="0C695A92" w:rsidR="00095FEF" w:rsidRPr="0090397F" w:rsidRDefault="00095FEF" w:rsidP="0AA3015D">
      <w:pPr>
        <w:spacing w:after="0" w:line="240" w:lineRule="auto"/>
        <w:rPr>
          <w:rFonts w:ascii="Arial" w:hAnsi="Arial" w:cs="Arial"/>
          <w:sz w:val="20"/>
          <w:szCs w:val="20"/>
          <w:lang w:val="es-CO"/>
        </w:rPr>
      </w:pPr>
    </w:p>
    <w:p w14:paraId="27A82C50" w14:textId="2B83FD7B" w:rsidR="00095FEF" w:rsidRPr="0090397F" w:rsidRDefault="0090397F" w:rsidP="0AA3015D">
      <w:pPr>
        <w:spacing w:after="0" w:line="240" w:lineRule="auto"/>
        <w:rPr>
          <w:rStyle w:val="Hipervnculo"/>
          <w:rFonts w:ascii="Arial" w:hAnsi="Arial" w:cs="Arial"/>
          <w:sz w:val="20"/>
          <w:szCs w:val="20"/>
          <w:lang w:val="es-CO"/>
        </w:rPr>
      </w:pPr>
      <w:r w:rsidRPr="0090397F">
        <w:rPr>
          <w:rFonts w:ascii="Arial" w:hAnsi="Arial" w:cs="Arial"/>
          <w:sz w:val="20"/>
          <w:szCs w:val="20"/>
        </w:rPr>
        <w:t xml:space="preserve">Ver </w:t>
      </w:r>
      <w:proofErr w:type="spellStart"/>
      <w:r w:rsidRPr="0090397F">
        <w:rPr>
          <w:rFonts w:ascii="Arial" w:hAnsi="Arial" w:cs="Arial"/>
          <w:sz w:val="20"/>
          <w:szCs w:val="20"/>
        </w:rPr>
        <w:t>concepto</w:t>
      </w:r>
      <w:proofErr w:type="spellEnd"/>
      <w:r w:rsidRPr="0090397F">
        <w:rPr>
          <w:rFonts w:ascii="Arial" w:hAnsi="Arial" w:cs="Arial"/>
          <w:sz w:val="20"/>
          <w:szCs w:val="20"/>
        </w:rPr>
        <w:t xml:space="preserve">: </w:t>
      </w:r>
      <w:hyperlink r:id="rId43">
        <w:r w:rsidR="0AA3015D" w:rsidRPr="0090397F">
          <w:rPr>
            <w:rStyle w:val="Hipervnculo"/>
            <w:rFonts w:ascii="Arial" w:hAnsi="Arial" w:cs="Arial"/>
            <w:sz w:val="20"/>
            <w:szCs w:val="20"/>
            <w:lang w:val="es-CO"/>
          </w:rPr>
          <w:t xml:space="preserve">C-301 </w:t>
        </w:r>
        <w:r w:rsidR="00D93AF8" w:rsidRPr="0090397F">
          <w:rPr>
            <w:rStyle w:val="Hipervnculo"/>
            <w:rFonts w:ascii="Arial" w:hAnsi="Arial" w:cs="Arial"/>
            <w:sz w:val="20"/>
            <w:szCs w:val="20"/>
            <w:lang w:val="es-CO"/>
          </w:rPr>
          <w:t>del 19</w:t>
        </w:r>
        <w:r w:rsidR="0AA3015D" w:rsidRPr="0090397F">
          <w:rPr>
            <w:rStyle w:val="Hipervnculo"/>
            <w:rFonts w:ascii="Arial" w:hAnsi="Arial" w:cs="Arial"/>
            <w:sz w:val="20"/>
            <w:szCs w:val="20"/>
            <w:lang w:val="es-CO"/>
          </w:rPr>
          <w:t>/06/2022</w:t>
        </w:r>
      </w:hyperlink>
    </w:p>
    <w:p w14:paraId="5037D173" w14:textId="026795A1" w:rsidR="00095FEF" w:rsidRPr="006969B3" w:rsidRDefault="00095FEF" w:rsidP="0AA3015D">
      <w:pPr>
        <w:spacing w:after="0" w:line="240" w:lineRule="auto"/>
        <w:rPr>
          <w:rFonts w:ascii="Arial" w:hAnsi="Arial" w:cs="Arial"/>
          <w:lang w:val="es-CO"/>
        </w:rPr>
      </w:pPr>
    </w:p>
    <w:p w14:paraId="086B00F9" w14:textId="409D19D6" w:rsidR="00095FEF" w:rsidRPr="006969B3" w:rsidRDefault="00095FEF" w:rsidP="00F65283">
      <w:pPr>
        <w:pStyle w:val="NormalWeb"/>
        <w:spacing w:before="0" w:beforeAutospacing="0" w:after="0" w:afterAutospacing="0"/>
        <w:jc w:val="both"/>
        <w:rPr>
          <w:rFonts w:ascii="Arial" w:hAnsi="Arial" w:cs="Arial"/>
          <w:sz w:val="22"/>
          <w:szCs w:val="22"/>
          <w:lang w:val="es-CO"/>
        </w:rPr>
      </w:pPr>
      <w:bookmarkStart w:id="247" w:name="230"/>
      <w:r w:rsidRPr="006969B3">
        <w:rPr>
          <w:rFonts w:ascii="Arial" w:hAnsi="Arial" w:cs="Arial"/>
          <w:sz w:val="22"/>
          <w:szCs w:val="22"/>
          <w:lang w:val="es-CO"/>
        </w:rPr>
        <w:lastRenderedPageBreak/>
        <w:t>ARTÍCULO 230. BIENES QUE SE ENCUENTRAN EXENTOS DEL IMPUESTO.</w:t>
      </w:r>
      <w:bookmarkEnd w:id="247"/>
      <w:r w:rsidRPr="006969B3">
        <w:rPr>
          <w:rFonts w:ascii="Arial" w:hAnsi="Arial" w:cs="Arial"/>
          <w:sz w:val="22"/>
          <w:szCs w:val="22"/>
          <w:lang w:val="es-CO"/>
        </w:rPr>
        <w:t> Adiciónese al artículo </w:t>
      </w:r>
      <w:r w:rsidRPr="007B5FFA">
        <w:rPr>
          <w:rFonts w:ascii="Arial" w:hAnsi="Arial" w:cs="Arial"/>
          <w:sz w:val="22"/>
          <w:szCs w:val="22"/>
          <w:lang w:val="es-CO"/>
        </w:rPr>
        <w:t>477</w:t>
      </w:r>
      <w:r w:rsidRPr="006969B3">
        <w:rPr>
          <w:rFonts w:ascii="Arial" w:hAnsi="Arial" w:cs="Arial"/>
          <w:sz w:val="22"/>
          <w:szCs w:val="22"/>
          <w:lang w:val="es-CO"/>
        </w:rPr>
        <w:t> del Estatuto Tributario el siguiente bien que tendrá la naturaleza de exento para efectos del impuesto sobre las ventas:</w:t>
      </w:r>
    </w:p>
    <w:p w14:paraId="49B2D2B5" w14:textId="77777777" w:rsidR="009D0A59" w:rsidRPr="006969B3" w:rsidRDefault="009D0A59" w:rsidP="00F65283">
      <w:pPr>
        <w:pStyle w:val="NormalWeb"/>
        <w:spacing w:before="0" w:beforeAutospacing="0" w:after="0" w:afterAutospacing="0"/>
        <w:jc w:val="both"/>
        <w:rPr>
          <w:rFonts w:ascii="Arial" w:hAnsi="Arial" w:cs="Arial"/>
          <w:sz w:val="22"/>
          <w:szCs w:val="22"/>
          <w:lang w:val="es-CO"/>
        </w:rPr>
      </w:pPr>
    </w:p>
    <w:p w14:paraId="0C10FBEB" w14:textId="59B18533"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10.06 Arroz para consumo humano (excepto el arroz con cáscara o “Arroz </w:t>
      </w:r>
      <w:proofErr w:type="spellStart"/>
      <w:r w:rsidRPr="006969B3">
        <w:rPr>
          <w:rFonts w:ascii="Arial" w:hAnsi="Arial" w:cs="Arial"/>
          <w:sz w:val="22"/>
          <w:szCs w:val="22"/>
          <w:lang w:val="es-CO"/>
        </w:rPr>
        <w:t>Paddy</w:t>
      </w:r>
      <w:proofErr w:type="spellEnd"/>
      <w:r w:rsidRPr="006969B3">
        <w:rPr>
          <w:rFonts w:ascii="Arial" w:hAnsi="Arial" w:cs="Arial"/>
          <w:sz w:val="22"/>
          <w:szCs w:val="22"/>
          <w:lang w:val="es-CO"/>
        </w:rPr>
        <w:t>” de la partida 10.06.10.90.00 y el arroz para la siembra de la partida 10.06.10.10.00, los cuales conservan la calidad de bienes excluidos del IVA)”.</w:t>
      </w:r>
    </w:p>
    <w:p w14:paraId="0A4FEDB7" w14:textId="77777777" w:rsidR="00B66C58" w:rsidRPr="006969B3" w:rsidRDefault="00B66C58" w:rsidP="00F65283">
      <w:pPr>
        <w:pStyle w:val="NormalWeb"/>
        <w:spacing w:before="0" w:beforeAutospacing="0" w:after="0" w:afterAutospacing="0"/>
        <w:jc w:val="both"/>
        <w:rPr>
          <w:rFonts w:ascii="Arial" w:hAnsi="Arial" w:cs="Arial"/>
          <w:sz w:val="22"/>
          <w:szCs w:val="22"/>
          <w:lang w:val="es-CO"/>
        </w:rPr>
      </w:pPr>
    </w:p>
    <w:p w14:paraId="029D2757" w14:textId="1164B1A4" w:rsidR="00095FEF" w:rsidRPr="006969B3" w:rsidRDefault="00095FEF" w:rsidP="00F65283">
      <w:pPr>
        <w:pStyle w:val="centrado"/>
        <w:spacing w:before="0" w:beforeAutospacing="0" w:after="0" w:afterAutospacing="0"/>
        <w:jc w:val="center"/>
        <w:rPr>
          <w:rFonts w:ascii="Arial" w:hAnsi="Arial" w:cs="Arial"/>
          <w:b/>
          <w:bCs/>
          <w:sz w:val="22"/>
          <w:szCs w:val="22"/>
          <w:lang w:val="es-CO"/>
        </w:rPr>
      </w:pPr>
      <w:bookmarkStart w:id="248" w:name="SUBSECCIÓN_4-III-II-II"/>
      <w:r w:rsidRPr="006969B3">
        <w:rPr>
          <w:rFonts w:ascii="Arial" w:hAnsi="Arial" w:cs="Arial"/>
          <w:b/>
          <w:bCs/>
          <w:sz w:val="22"/>
          <w:szCs w:val="22"/>
          <w:lang w:val="es-CO"/>
        </w:rPr>
        <w:t>SUBSECCIÓN 4</w:t>
      </w:r>
      <w:bookmarkEnd w:id="248"/>
    </w:p>
    <w:p w14:paraId="2F022AA1" w14:textId="77777777" w:rsidR="009D0A59" w:rsidRPr="006969B3" w:rsidRDefault="009D0A59" w:rsidP="00F65283">
      <w:pPr>
        <w:pStyle w:val="centrado"/>
        <w:spacing w:before="0" w:beforeAutospacing="0" w:after="0" w:afterAutospacing="0"/>
        <w:jc w:val="center"/>
        <w:rPr>
          <w:rFonts w:ascii="Arial" w:hAnsi="Arial" w:cs="Arial"/>
          <w:b/>
          <w:bCs/>
          <w:sz w:val="22"/>
          <w:szCs w:val="22"/>
          <w:lang w:val="es-CO"/>
        </w:rPr>
      </w:pPr>
    </w:p>
    <w:p w14:paraId="61FAD439" w14:textId="5EFF939A" w:rsidR="00095FEF" w:rsidRPr="006969B3" w:rsidRDefault="00095FEF" w:rsidP="00F65283">
      <w:pPr>
        <w:pStyle w:val="centrado"/>
        <w:spacing w:before="0" w:beforeAutospacing="0" w:after="0" w:afterAutospacing="0"/>
        <w:jc w:val="center"/>
        <w:rPr>
          <w:rFonts w:ascii="Arial" w:hAnsi="Arial" w:cs="Arial"/>
          <w:b/>
          <w:bCs/>
          <w:sz w:val="22"/>
          <w:szCs w:val="22"/>
          <w:lang w:val="es-CO"/>
        </w:rPr>
      </w:pPr>
      <w:r w:rsidRPr="006969B3">
        <w:rPr>
          <w:rStyle w:val="baj"/>
          <w:rFonts w:ascii="Arial" w:hAnsi="Arial" w:cs="Arial"/>
          <w:b/>
          <w:bCs/>
          <w:sz w:val="22"/>
          <w:szCs w:val="22"/>
          <w:lang w:val="es-CO"/>
        </w:rPr>
        <w:t>EQUIDAD EN LA SALUD</w:t>
      </w:r>
    </w:p>
    <w:p w14:paraId="6EAC8192" w14:textId="6DF29A8E" w:rsidR="00095FEF" w:rsidRPr="006969B3" w:rsidRDefault="00095FEF" w:rsidP="00F65283">
      <w:pPr>
        <w:spacing w:after="0" w:line="240" w:lineRule="auto"/>
        <w:rPr>
          <w:rFonts w:ascii="Arial" w:hAnsi="Arial" w:cs="Arial"/>
          <w:lang w:val="es-CO"/>
        </w:rPr>
      </w:pPr>
    </w:p>
    <w:p w14:paraId="6AF3C056" w14:textId="0D67DBAD" w:rsidR="00095FEF" w:rsidRPr="006969B3" w:rsidRDefault="00095FEF" w:rsidP="00F65283">
      <w:pPr>
        <w:pStyle w:val="NormalWeb"/>
        <w:spacing w:before="0" w:beforeAutospacing="0" w:after="0" w:afterAutospacing="0"/>
        <w:jc w:val="both"/>
        <w:rPr>
          <w:rFonts w:ascii="Arial" w:hAnsi="Arial" w:cs="Arial"/>
          <w:sz w:val="22"/>
          <w:szCs w:val="22"/>
          <w:lang w:val="es-CO"/>
        </w:rPr>
      </w:pPr>
      <w:bookmarkStart w:id="249" w:name="231"/>
      <w:r w:rsidRPr="006969B3">
        <w:rPr>
          <w:rFonts w:ascii="Arial" w:hAnsi="Arial" w:cs="Arial"/>
          <w:sz w:val="22"/>
          <w:szCs w:val="22"/>
          <w:lang w:val="es-CO"/>
        </w:rPr>
        <w:t>ARTÍCULO 231. COMPETENCIAS EN SALUD POR PARTE DE LA NACIÓN.</w:t>
      </w:r>
      <w:bookmarkEnd w:id="249"/>
      <w:r w:rsidRPr="006969B3">
        <w:rPr>
          <w:rFonts w:ascii="Arial" w:hAnsi="Arial" w:cs="Arial"/>
          <w:sz w:val="22"/>
          <w:szCs w:val="22"/>
          <w:lang w:val="es-CO"/>
        </w:rPr>
        <w:t xml:space="preserve"> Adiciónese el numeral 42.24 al artículo </w:t>
      </w:r>
      <w:r w:rsidRPr="007B5FFA">
        <w:rPr>
          <w:rFonts w:ascii="Arial" w:hAnsi="Arial" w:cs="Arial"/>
          <w:sz w:val="22"/>
          <w:szCs w:val="22"/>
          <w:lang w:val="es-CO"/>
        </w:rPr>
        <w:t>42</w:t>
      </w:r>
      <w:r w:rsidRPr="006969B3">
        <w:rPr>
          <w:rFonts w:ascii="Arial" w:hAnsi="Arial" w:cs="Arial"/>
          <w:sz w:val="22"/>
          <w:szCs w:val="22"/>
          <w:lang w:val="es-CO"/>
        </w:rPr>
        <w:t> de la Ley 715 de 2001, así:</w:t>
      </w:r>
    </w:p>
    <w:p w14:paraId="5F33D023" w14:textId="77777777" w:rsidR="00B66C58" w:rsidRPr="006969B3" w:rsidRDefault="00B66C58" w:rsidP="00F65283">
      <w:pPr>
        <w:pStyle w:val="NormalWeb"/>
        <w:spacing w:before="0" w:beforeAutospacing="0" w:after="0" w:afterAutospacing="0"/>
        <w:jc w:val="both"/>
        <w:rPr>
          <w:rFonts w:ascii="Arial" w:hAnsi="Arial" w:cs="Arial"/>
          <w:sz w:val="22"/>
          <w:szCs w:val="22"/>
          <w:lang w:val="es-CO"/>
        </w:rPr>
      </w:pPr>
    </w:p>
    <w:p w14:paraId="24269EA7" w14:textId="0F2024E3"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42.24. Financiar, verificar, controlar y pagar servicios y tecnologías en salud no financiadas con cargo a la Unidad de Pago por Capitación (UPC) en el Sistema General de Seguridad Social en Salud. La verificación, control y pago de las cuentas que soportan los servicios y tecnologías de salud no financiados con recursos de la UPC de los afiliados al Régimen Subsidiado prestados a partir del 1 de enero de 2020 y siguientes, estará a cargo de la Administradora de los Recursos del Sistema de Seguridad Social en Salud (ADRES), de conformidad con los lineamientos que para el efecto expida el Ministerio de Salud y Protección Social.</w:t>
      </w:r>
    </w:p>
    <w:p w14:paraId="04CB2C2F" w14:textId="77777777" w:rsidR="00B66C58" w:rsidRPr="006969B3" w:rsidRDefault="00B66C58" w:rsidP="00F65283">
      <w:pPr>
        <w:pStyle w:val="NormalWeb"/>
        <w:spacing w:before="0" w:beforeAutospacing="0" w:after="0" w:afterAutospacing="0"/>
        <w:jc w:val="both"/>
        <w:rPr>
          <w:rFonts w:ascii="Arial" w:hAnsi="Arial" w:cs="Arial"/>
          <w:sz w:val="22"/>
          <w:szCs w:val="22"/>
          <w:lang w:val="es-CO"/>
        </w:rPr>
      </w:pPr>
      <w:bookmarkStart w:id="250" w:name="232"/>
    </w:p>
    <w:p w14:paraId="0841EEAF" w14:textId="28D0944F"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232. COMPETENCIAS DE LOS DEPARTAMENTOS EN LA PRESTACIÓN DE SERVICIOS DE SALUD.</w:t>
      </w:r>
      <w:bookmarkEnd w:id="250"/>
      <w:r w:rsidRPr="006969B3">
        <w:rPr>
          <w:rFonts w:ascii="Arial" w:hAnsi="Arial" w:cs="Arial"/>
          <w:sz w:val="22"/>
          <w:szCs w:val="22"/>
          <w:lang w:val="es-CO"/>
        </w:rPr>
        <w:t xml:space="preserve"> Adiciónense los siguientes numerales al artículo </w:t>
      </w:r>
      <w:r w:rsidRPr="007B5FFA">
        <w:rPr>
          <w:rFonts w:ascii="Arial" w:hAnsi="Arial" w:cs="Arial"/>
          <w:sz w:val="22"/>
          <w:szCs w:val="22"/>
          <w:lang w:val="es-CO"/>
        </w:rPr>
        <w:t>43</w:t>
      </w:r>
      <w:r w:rsidRPr="006969B3">
        <w:rPr>
          <w:rFonts w:ascii="Arial" w:hAnsi="Arial" w:cs="Arial"/>
          <w:sz w:val="22"/>
          <w:szCs w:val="22"/>
          <w:lang w:val="es-CO"/>
        </w:rPr>
        <w:t> de la Ley 715 de 2001, así:</w:t>
      </w:r>
    </w:p>
    <w:p w14:paraId="73FCC1FD" w14:textId="77777777" w:rsidR="00B66C58" w:rsidRPr="006969B3" w:rsidRDefault="00B66C58" w:rsidP="00F65283">
      <w:pPr>
        <w:pStyle w:val="NormalWeb"/>
        <w:spacing w:before="0" w:beforeAutospacing="0" w:after="0" w:afterAutospacing="0"/>
        <w:jc w:val="both"/>
        <w:rPr>
          <w:rFonts w:ascii="Arial" w:hAnsi="Arial" w:cs="Arial"/>
          <w:sz w:val="22"/>
          <w:szCs w:val="22"/>
          <w:lang w:val="es-CO"/>
        </w:rPr>
      </w:pPr>
    </w:p>
    <w:p w14:paraId="646E77CE" w14:textId="016AA9B2"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43.2.9. Garantizar la contratación y el seguimiento del subsidio a la oferta, entendido como la cofinanciación de la operación de la prestación de servicios y tecnologías efectuada en zonas alejadas o de difícil acceso, a través de </w:t>
      </w:r>
      <w:proofErr w:type="gramStart"/>
      <w:r w:rsidRPr="006969B3">
        <w:rPr>
          <w:rFonts w:ascii="Arial" w:hAnsi="Arial" w:cs="Arial"/>
          <w:sz w:val="22"/>
          <w:szCs w:val="22"/>
          <w:lang w:val="es-CO"/>
        </w:rPr>
        <w:t>instituciones públicas o infraestructura pública</w:t>
      </w:r>
      <w:proofErr w:type="gramEnd"/>
      <w:r w:rsidRPr="006969B3">
        <w:rPr>
          <w:rFonts w:ascii="Arial" w:hAnsi="Arial" w:cs="Arial"/>
          <w:sz w:val="22"/>
          <w:szCs w:val="22"/>
          <w:lang w:val="es-CO"/>
        </w:rPr>
        <w:t xml:space="preserve"> administrada por terceros ubicadas en esas zonas, que sean monopolio en servicios trazadores y no sostenibles por venta de servicios, de conformidad con los criterios establecidos por el Gobierno nacional. Los subsidios a la oferta se financiarán con recursos del Sistema General de Participaciones y con los recursos propios de la entidad territorial.</w:t>
      </w:r>
    </w:p>
    <w:p w14:paraId="37259645" w14:textId="77777777" w:rsidR="00B66C58" w:rsidRPr="006969B3" w:rsidRDefault="00B66C58" w:rsidP="00F65283">
      <w:pPr>
        <w:pStyle w:val="NormalWeb"/>
        <w:spacing w:before="0" w:beforeAutospacing="0" w:after="0" w:afterAutospacing="0"/>
        <w:jc w:val="both"/>
        <w:rPr>
          <w:rFonts w:ascii="Arial" w:hAnsi="Arial" w:cs="Arial"/>
          <w:sz w:val="22"/>
          <w:szCs w:val="22"/>
          <w:lang w:val="es-CO"/>
        </w:rPr>
      </w:pPr>
    </w:p>
    <w:p w14:paraId="7CF6F791" w14:textId="42AB0D2F"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43.2.10. Realizar la verificación, control y pago de los servicios y tecnologías no financiados con cargo a la UPC de los afiliados al régimen subsidiado de su jurisdicción, prestados hasta el 31 de diciembre de 2019.</w:t>
      </w:r>
    </w:p>
    <w:p w14:paraId="5B7B1AC0" w14:textId="77777777" w:rsidR="00B66C58" w:rsidRPr="006969B3" w:rsidRDefault="00B66C58" w:rsidP="00F65283">
      <w:pPr>
        <w:pStyle w:val="NormalWeb"/>
        <w:spacing w:before="0" w:beforeAutospacing="0" w:after="0" w:afterAutospacing="0"/>
        <w:jc w:val="both"/>
        <w:rPr>
          <w:rFonts w:ascii="Arial" w:hAnsi="Arial" w:cs="Arial"/>
          <w:sz w:val="22"/>
          <w:szCs w:val="22"/>
          <w:lang w:val="es-CO"/>
        </w:rPr>
      </w:pPr>
    </w:p>
    <w:p w14:paraId="29847ECC" w14:textId="3802B8DF"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43.2.11. Ejecutar los recursos que asigne el Gobierno nacional para la atención de la población migrante y destinar recursos propios, si lo considera pertinente.</w:t>
      </w:r>
    </w:p>
    <w:p w14:paraId="30E2CFB5" w14:textId="7AFA4821" w:rsidR="00095FEF" w:rsidRPr="006969B3" w:rsidRDefault="00095FEF" w:rsidP="00F65283">
      <w:pPr>
        <w:spacing w:after="0" w:line="240" w:lineRule="auto"/>
        <w:rPr>
          <w:rFonts w:ascii="Arial" w:hAnsi="Arial" w:cs="Arial"/>
          <w:lang w:val="es-CO"/>
        </w:rPr>
      </w:pPr>
    </w:p>
    <w:p w14:paraId="08471AEA" w14:textId="1370D7BA" w:rsidR="00095FEF" w:rsidRPr="006969B3" w:rsidRDefault="00095FEF" w:rsidP="00F65283">
      <w:pPr>
        <w:pStyle w:val="NormalWeb"/>
        <w:spacing w:before="0" w:beforeAutospacing="0" w:after="0" w:afterAutospacing="0"/>
        <w:jc w:val="both"/>
        <w:rPr>
          <w:rFonts w:ascii="Arial" w:hAnsi="Arial" w:cs="Arial"/>
          <w:sz w:val="22"/>
          <w:szCs w:val="22"/>
          <w:lang w:val="es-CO"/>
        </w:rPr>
      </w:pPr>
      <w:bookmarkStart w:id="251" w:name="233"/>
      <w:r w:rsidRPr="006969B3">
        <w:rPr>
          <w:rFonts w:ascii="Arial" w:hAnsi="Arial" w:cs="Arial"/>
          <w:sz w:val="22"/>
          <w:szCs w:val="22"/>
          <w:lang w:val="es-CO"/>
        </w:rPr>
        <w:t>ARTÍCULO 233. DESTINACIÓN Y DISTRIBUCIÓN DE LOS RECURSOS DEL SISTEMA GENERAL DE PARTICIPACIONES PARA SALUD.</w:t>
      </w:r>
      <w:bookmarkEnd w:id="251"/>
      <w:r w:rsidRPr="006969B3">
        <w:rPr>
          <w:rFonts w:ascii="Arial" w:hAnsi="Arial" w:cs="Arial"/>
          <w:sz w:val="22"/>
          <w:szCs w:val="22"/>
          <w:lang w:val="es-CO"/>
        </w:rPr>
        <w:t xml:space="preserve"> Modifíquese el artículo </w:t>
      </w:r>
      <w:r w:rsidRPr="007B5FFA">
        <w:rPr>
          <w:rFonts w:ascii="Arial" w:hAnsi="Arial" w:cs="Arial"/>
          <w:sz w:val="22"/>
          <w:szCs w:val="22"/>
          <w:lang w:val="es-CO"/>
        </w:rPr>
        <w:t>47</w:t>
      </w:r>
      <w:r w:rsidRPr="006969B3">
        <w:rPr>
          <w:rFonts w:ascii="Arial" w:hAnsi="Arial" w:cs="Arial"/>
          <w:sz w:val="22"/>
          <w:szCs w:val="22"/>
          <w:lang w:val="es-CO"/>
        </w:rPr>
        <w:t> de la Ley 715 de 2001, el cual quedará así:</w:t>
      </w:r>
    </w:p>
    <w:p w14:paraId="1D10EC85" w14:textId="77777777" w:rsidR="00B66C58" w:rsidRPr="006969B3" w:rsidRDefault="00B66C58" w:rsidP="00F65283">
      <w:pPr>
        <w:pStyle w:val="NormalWeb"/>
        <w:spacing w:before="0" w:beforeAutospacing="0" w:after="0" w:afterAutospacing="0"/>
        <w:jc w:val="both"/>
        <w:rPr>
          <w:rFonts w:ascii="Arial" w:hAnsi="Arial" w:cs="Arial"/>
          <w:sz w:val="22"/>
          <w:szCs w:val="22"/>
          <w:lang w:val="es-CO"/>
        </w:rPr>
      </w:pPr>
    </w:p>
    <w:p w14:paraId="2AE0336A" w14:textId="04F6E9A6"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w:t>
      </w:r>
      <w:r w:rsidRPr="007B5FFA">
        <w:rPr>
          <w:rFonts w:ascii="Arial" w:hAnsi="Arial" w:cs="Arial"/>
          <w:sz w:val="22"/>
          <w:szCs w:val="22"/>
          <w:lang w:val="es-CO"/>
        </w:rPr>
        <w:t>47</w:t>
      </w:r>
      <w:r w:rsidRPr="006969B3">
        <w:rPr>
          <w:rFonts w:ascii="Arial" w:hAnsi="Arial" w:cs="Arial"/>
          <w:sz w:val="22"/>
          <w:szCs w:val="22"/>
          <w:lang w:val="es-CO"/>
        </w:rPr>
        <w:t>. Distribución de los recursos del sistema general de participaciones. Los recursos del Sistema General en Participaciones en Salud se destinarán y distribuirán en los siguientes componentes:</w:t>
      </w:r>
    </w:p>
    <w:p w14:paraId="7B43CD79" w14:textId="77777777" w:rsidR="00B66C58" w:rsidRPr="006969B3" w:rsidRDefault="00B66C58" w:rsidP="00F65283">
      <w:pPr>
        <w:pStyle w:val="NormalWeb"/>
        <w:spacing w:before="0" w:beforeAutospacing="0" w:after="0" w:afterAutospacing="0"/>
        <w:jc w:val="both"/>
        <w:rPr>
          <w:rFonts w:ascii="Arial" w:hAnsi="Arial" w:cs="Arial"/>
          <w:sz w:val="22"/>
          <w:szCs w:val="22"/>
          <w:lang w:val="es-CO"/>
        </w:rPr>
      </w:pPr>
    </w:p>
    <w:p w14:paraId="76212A05" w14:textId="1DBD1E65"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lastRenderedPageBreak/>
        <w:t>1. El 87% para el componente de aseguramiento en salud de los afiliados al Régimen Subsidiado.</w:t>
      </w:r>
    </w:p>
    <w:p w14:paraId="5C8D9674" w14:textId="77777777" w:rsidR="00B66C58" w:rsidRPr="006969B3" w:rsidRDefault="00B66C58" w:rsidP="00F65283">
      <w:pPr>
        <w:pStyle w:val="NormalWeb"/>
        <w:spacing w:before="0" w:beforeAutospacing="0" w:after="0" w:afterAutospacing="0"/>
        <w:jc w:val="both"/>
        <w:rPr>
          <w:rFonts w:ascii="Arial" w:hAnsi="Arial" w:cs="Arial"/>
          <w:sz w:val="22"/>
          <w:szCs w:val="22"/>
          <w:lang w:val="es-CO"/>
        </w:rPr>
      </w:pPr>
    </w:p>
    <w:p w14:paraId="7155EAB7" w14:textId="732E916A"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2. El 10% para el componente de salud pública y el 3% para el subsidio a la oferta.</w:t>
      </w:r>
    </w:p>
    <w:p w14:paraId="0FA1DACE" w14:textId="77777777" w:rsidR="00B66C58" w:rsidRPr="006969B3" w:rsidRDefault="00B66C58" w:rsidP="00F65283">
      <w:pPr>
        <w:pStyle w:val="NormalWeb"/>
        <w:spacing w:before="0" w:beforeAutospacing="0" w:after="0" w:afterAutospacing="0"/>
        <w:jc w:val="both"/>
        <w:rPr>
          <w:rStyle w:val="baj"/>
          <w:rFonts w:ascii="Arial" w:hAnsi="Arial" w:cs="Arial"/>
          <w:sz w:val="22"/>
          <w:szCs w:val="22"/>
          <w:lang w:val="es-CO"/>
        </w:rPr>
      </w:pPr>
    </w:p>
    <w:p w14:paraId="081A53B6" w14:textId="3ED1BF3A"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La información utilizada para determinar la asignación de los recursos será suministrada por el Departamento Administrativo Nacional de Estadística (DANE); el Ministerio de Salud y Protección Social; el Departamento Nacional de Planeación (DNP); el Instituto Geográfico Agustín Codazzi (IGAC), conforme a la que generen en ejercicio de sus competencias y acorde con la reglamentación que se expida para el efecto.</w:t>
      </w:r>
    </w:p>
    <w:p w14:paraId="5E50E3B2" w14:textId="77777777" w:rsidR="00B66C58" w:rsidRPr="006969B3" w:rsidRDefault="00B66C58" w:rsidP="00F65283">
      <w:pPr>
        <w:pStyle w:val="NormalWeb"/>
        <w:spacing w:before="0" w:beforeAutospacing="0" w:after="0" w:afterAutospacing="0"/>
        <w:jc w:val="both"/>
        <w:rPr>
          <w:rStyle w:val="baj"/>
          <w:rFonts w:ascii="Arial" w:hAnsi="Arial" w:cs="Arial"/>
          <w:sz w:val="22"/>
          <w:szCs w:val="22"/>
          <w:lang w:val="es-CO"/>
        </w:rPr>
      </w:pPr>
    </w:p>
    <w:p w14:paraId="750A2FE0" w14:textId="17EF6B94" w:rsidR="00095FEF" w:rsidRPr="006969B3" w:rsidRDefault="00095FEF"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Los recursos destinados a salud pública que no se comprometan al cierre de cada vigencia fiscal, se utilizarán para cofinanciar los programas de interés en salud pública de que trata el numeral 13 del artículo </w:t>
      </w:r>
      <w:r w:rsidRPr="007B5FFA">
        <w:rPr>
          <w:rFonts w:ascii="Arial" w:hAnsi="Arial" w:cs="Arial"/>
          <w:sz w:val="22"/>
          <w:szCs w:val="22"/>
          <w:lang w:val="es-CO"/>
        </w:rPr>
        <w:t>42</w:t>
      </w:r>
      <w:r w:rsidRPr="006969B3">
        <w:rPr>
          <w:rFonts w:ascii="Arial" w:hAnsi="Arial" w:cs="Arial"/>
          <w:sz w:val="22"/>
          <w:szCs w:val="22"/>
          <w:lang w:val="es-CO"/>
        </w:rPr>
        <w:t> de la Ley 715 de 2001, o las normas que las sustituyan, modifiquen o adicionen.</w:t>
      </w:r>
    </w:p>
    <w:p w14:paraId="79A9C1D3" w14:textId="77777777" w:rsidR="00B66C58" w:rsidRPr="006969B3" w:rsidRDefault="00B66C58" w:rsidP="00F65283">
      <w:pPr>
        <w:pStyle w:val="NormalWeb"/>
        <w:spacing w:before="0" w:beforeAutospacing="0" w:after="0" w:afterAutospacing="0"/>
        <w:jc w:val="both"/>
        <w:rPr>
          <w:rFonts w:ascii="Arial" w:hAnsi="Arial" w:cs="Arial"/>
          <w:sz w:val="22"/>
          <w:szCs w:val="22"/>
          <w:lang w:val="es-CO"/>
        </w:rPr>
      </w:pPr>
      <w:bookmarkStart w:id="252" w:name="234"/>
    </w:p>
    <w:p w14:paraId="7AE92104" w14:textId="23037529"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234. DISTRIBUCIÓN DE LOS RECURSOS DE ASEGURAMIENTO EN SALUD.</w:t>
      </w:r>
      <w:bookmarkEnd w:id="252"/>
      <w:r w:rsidRPr="006969B3">
        <w:rPr>
          <w:rFonts w:ascii="Arial" w:hAnsi="Arial" w:cs="Arial"/>
          <w:sz w:val="22"/>
          <w:szCs w:val="22"/>
          <w:lang w:val="es-CO"/>
        </w:rPr>
        <w:t>  Modifíquese el artículo </w:t>
      </w:r>
      <w:r w:rsidRPr="007B5FFA">
        <w:rPr>
          <w:rFonts w:ascii="Arial" w:hAnsi="Arial" w:cs="Arial"/>
          <w:sz w:val="22"/>
          <w:szCs w:val="22"/>
          <w:lang w:val="es-CO"/>
        </w:rPr>
        <w:t>48</w:t>
      </w:r>
      <w:r w:rsidRPr="006969B3">
        <w:rPr>
          <w:rFonts w:ascii="Arial" w:hAnsi="Arial" w:cs="Arial"/>
          <w:sz w:val="22"/>
          <w:szCs w:val="22"/>
          <w:lang w:val="es-CO"/>
        </w:rPr>
        <w:t> de la Ley 715 de 2001, el cual quedará así:</w:t>
      </w:r>
    </w:p>
    <w:p w14:paraId="7A5C8AF1" w14:textId="77777777" w:rsidR="00B66C58" w:rsidRPr="006969B3" w:rsidRDefault="00B66C58" w:rsidP="00F65283">
      <w:pPr>
        <w:pStyle w:val="NormalWeb"/>
        <w:spacing w:before="0" w:beforeAutospacing="0" w:after="0" w:afterAutospacing="0"/>
        <w:jc w:val="both"/>
        <w:rPr>
          <w:rFonts w:ascii="Arial" w:hAnsi="Arial" w:cs="Arial"/>
          <w:sz w:val="22"/>
          <w:szCs w:val="22"/>
          <w:lang w:val="es-CO"/>
        </w:rPr>
      </w:pPr>
    </w:p>
    <w:p w14:paraId="5CA49142" w14:textId="041C6D39"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w:t>
      </w:r>
      <w:r w:rsidRPr="007B5FFA">
        <w:rPr>
          <w:rFonts w:ascii="Arial" w:hAnsi="Arial" w:cs="Arial"/>
          <w:sz w:val="22"/>
          <w:szCs w:val="22"/>
          <w:lang w:val="es-CO"/>
        </w:rPr>
        <w:t>48</w:t>
      </w:r>
      <w:r w:rsidRPr="006969B3">
        <w:rPr>
          <w:rFonts w:ascii="Arial" w:hAnsi="Arial" w:cs="Arial"/>
          <w:sz w:val="22"/>
          <w:szCs w:val="22"/>
          <w:lang w:val="es-CO"/>
        </w:rPr>
        <w:t>. Distribución de los recursos de aseguramiento en salud. Los recursos del Sistema General de Participaciones destinados al componente de aseguramiento en salud del régimen subsidiado serán asignados a distritos, municipios y áreas no municipalizadas así:</w:t>
      </w:r>
    </w:p>
    <w:p w14:paraId="70522CAF" w14:textId="77777777" w:rsidR="00B66C58" w:rsidRPr="006969B3" w:rsidRDefault="00B66C58" w:rsidP="00F65283">
      <w:pPr>
        <w:pStyle w:val="NormalWeb"/>
        <w:spacing w:before="0" w:beforeAutospacing="0" w:after="0" w:afterAutospacing="0"/>
        <w:jc w:val="both"/>
        <w:rPr>
          <w:rFonts w:ascii="Arial" w:hAnsi="Arial" w:cs="Arial"/>
          <w:sz w:val="22"/>
          <w:szCs w:val="22"/>
          <w:lang w:val="es-CO"/>
        </w:rPr>
      </w:pPr>
    </w:p>
    <w:p w14:paraId="30658617" w14:textId="007DAC93"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Los recursos de este componente se dividirán por el total de la población pobre afiliada al régimen subsidiado en el país en la vigencia anterior, con el fin de estimar un per cápita nacional. El valor per cápita resultante se multiplicará por la población pobre afiliada al régimen subsidiado en cada ente territorial. La población afiliada para los efectos del presente cálculo será la del año anterior a aquel para el cual se realiza la distribución. El resultado será la cuantía que corresponderá a cada distrito, municipio o áreas no municipalizadas de los departamentos.</w:t>
      </w:r>
    </w:p>
    <w:p w14:paraId="359E81D2" w14:textId="77777777" w:rsidR="00B66C58" w:rsidRPr="006969B3" w:rsidRDefault="00B66C58" w:rsidP="00F65283">
      <w:pPr>
        <w:pStyle w:val="NormalWeb"/>
        <w:spacing w:before="0" w:beforeAutospacing="0" w:after="0" w:afterAutospacing="0"/>
        <w:jc w:val="both"/>
        <w:rPr>
          <w:rFonts w:ascii="Arial" w:hAnsi="Arial" w:cs="Arial"/>
          <w:sz w:val="22"/>
          <w:szCs w:val="22"/>
          <w:lang w:val="es-CO"/>
        </w:rPr>
      </w:pPr>
    </w:p>
    <w:p w14:paraId="41D5F686" w14:textId="2D4E7300"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 población pobre afiliada al régimen subsidiado de las áreas no municipalizadas de los departamentos de Amazonas, Guainía y Vaupés hará parte del cálculo de los recursos del departamento estos serán asignados sin situación de fondos.</w:t>
      </w:r>
    </w:p>
    <w:p w14:paraId="38FD677A" w14:textId="77777777" w:rsidR="00B66C58" w:rsidRPr="006969B3" w:rsidRDefault="00B66C58" w:rsidP="00F65283">
      <w:pPr>
        <w:pStyle w:val="NormalWeb"/>
        <w:spacing w:before="0" w:beforeAutospacing="0" w:after="0" w:afterAutospacing="0"/>
        <w:jc w:val="both"/>
        <w:rPr>
          <w:rFonts w:ascii="Arial" w:hAnsi="Arial" w:cs="Arial"/>
          <w:sz w:val="22"/>
          <w:szCs w:val="22"/>
          <w:lang w:val="es-CO"/>
        </w:rPr>
      </w:pPr>
      <w:bookmarkStart w:id="253" w:name="235"/>
    </w:p>
    <w:p w14:paraId="589A7EE0" w14:textId="4F00C27F"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235. DISTRIBUCIÓN DE LOS RECURSOS DEL COMPONENTE DE SALUD PÚBLICA Y SUBSIDIOS A LA OFERTA.</w:t>
      </w:r>
      <w:bookmarkEnd w:id="253"/>
      <w:r w:rsidRPr="006969B3">
        <w:rPr>
          <w:rFonts w:ascii="Arial" w:hAnsi="Arial" w:cs="Arial"/>
          <w:sz w:val="22"/>
          <w:szCs w:val="22"/>
          <w:lang w:val="es-CO"/>
        </w:rPr>
        <w:t xml:space="preserve"> Modifíquese el artículo </w:t>
      </w:r>
      <w:r w:rsidRPr="007B5FFA">
        <w:rPr>
          <w:rFonts w:ascii="Arial" w:hAnsi="Arial" w:cs="Arial"/>
          <w:sz w:val="22"/>
          <w:szCs w:val="22"/>
          <w:lang w:val="es-CO"/>
        </w:rPr>
        <w:t>52</w:t>
      </w:r>
      <w:r w:rsidRPr="006969B3">
        <w:rPr>
          <w:rFonts w:ascii="Arial" w:hAnsi="Arial" w:cs="Arial"/>
          <w:sz w:val="22"/>
          <w:szCs w:val="22"/>
          <w:lang w:val="es-CO"/>
        </w:rPr>
        <w:t> de la Ley 715 de 2001, el cual quedará así:</w:t>
      </w:r>
    </w:p>
    <w:p w14:paraId="2B615D7A" w14:textId="77777777" w:rsidR="00B66C58" w:rsidRPr="006969B3" w:rsidRDefault="00B66C58" w:rsidP="00F65283">
      <w:pPr>
        <w:pStyle w:val="NormalWeb"/>
        <w:spacing w:before="0" w:beforeAutospacing="0" w:after="0" w:afterAutospacing="0"/>
        <w:jc w:val="both"/>
        <w:rPr>
          <w:rFonts w:ascii="Arial" w:hAnsi="Arial" w:cs="Arial"/>
          <w:sz w:val="22"/>
          <w:szCs w:val="22"/>
          <w:lang w:val="es-CO"/>
        </w:rPr>
      </w:pPr>
    </w:p>
    <w:p w14:paraId="3A024F90" w14:textId="76B44DD1"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w:t>
      </w:r>
      <w:r w:rsidRPr="007B5FFA">
        <w:rPr>
          <w:rFonts w:ascii="Arial" w:hAnsi="Arial" w:cs="Arial"/>
          <w:sz w:val="22"/>
          <w:szCs w:val="22"/>
          <w:lang w:val="es-CO"/>
        </w:rPr>
        <w:t>52</w:t>
      </w:r>
      <w:r w:rsidRPr="006969B3">
        <w:rPr>
          <w:rFonts w:ascii="Arial" w:hAnsi="Arial" w:cs="Arial"/>
          <w:sz w:val="22"/>
          <w:szCs w:val="22"/>
          <w:lang w:val="es-CO"/>
        </w:rPr>
        <w:t>. Distribución de los recursos del componente de salud pública y de subsidio de oferta. Este componente comprende dos subcomponentes: el de acciones de salud pública y el de subsidio a la oferta. Los recursos correspondientes a estos subcomponentes se distribuirán así:</w:t>
      </w:r>
    </w:p>
    <w:p w14:paraId="42C8200C" w14:textId="77777777" w:rsidR="00B66C58" w:rsidRPr="006969B3" w:rsidRDefault="00B66C58" w:rsidP="00F65283">
      <w:pPr>
        <w:pStyle w:val="NormalWeb"/>
        <w:spacing w:before="0" w:beforeAutospacing="0" w:after="0" w:afterAutospacing="0"/>
        <w:jc w:val="both"/>
        <w:rPr>
          <w:rFonts w:ascii="Arial" w:hAnsi="Arial" w:cs="Arial"/>
          <w:sz w:val="22"/>
          <w:szCs w:val="22"/>
          <w:lang w:val="es-CO"/>
        </w:rPr>
      </w:pPr>
    </w:p>
    <w:p w14:paraId="05B30847" w14:textId="6C779626"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52.1 El subcomponente de Acciones de Salud Pública, se distribuirá a cada entidad territorial </w:t>
      </w:r>
      <w:proofErr w:type="gramStart"/>
      <w:r w:rsidRPr="006969B3">
        <w:rPr>
          <w:rFonts w:ascii="Arial" w:hAnsi="Arial" w:cs="Arial"/>
          <w:sz w:val="22"/>
          <w:szCs w:val="22"/>
          <w:lang w:val="es-CO"/>
        </w:rPr>
        <w:t>de acuerdo al</w:t>
      </w:r>
      <w:proofErr w:type="gramEnd"/>
      <w:r w:rsidRPr="006969B3">
        <w:rPr>
          <w:rFonts w:ascii="Arial" w:hAnsi="Arial" w:cs="Arial"/>
          <w:sz w:val="22"/>
          <w:szCs w:val="22"/>
          <w:lang w:val="es-CO"/>
        </w:rPr>
        <w:t xml:space="preserve"> resultado de la sumatoria de los siguientes criterios: población, porcentaje de pobreza de cada entidad territorial, ruralidad, densidad poblacional y eficiencia administrativa. Se entenderá como eficiencia administrativa el mayor o menor cumplimiento en metas prioritarias de salud pública, medidas por indicadores trazadores.</w:t>
      </w:r>
    </w:p>
    <w:p w14:paraId="6519BD23" w14:textId="77777777" w:rsidR="00B66C58" w:rsidRPr="006969B3" w:rsidRDefault="00B66C58" w:rsidP="00F65283">
      <w:pPr>
        <w:pStyle w:val="NormalWeb"/>
        <w:spacing w:before="0" w:beforeAutospacing="0" w:after="0" w:afterAutospacing="0"/>
        <w:jc w:val="both"/>
        <w:rPr>
          <w:rFonts w:ascii="Arial" w:hAnsi="Arial" w:cs="Arial"/>
          <w:sz w:val="22"/>
          <w:szCs w:val="22"/>
          <w:lang w:val="es-CO"/>
        </w:rPr>
      </w:pPr>
    </w:p>
    <w:p w14:paraId="405151C7" w14:textId="514BD43B"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lastRenderedPageBreak/>
        <w:t>Los departamentos recibirán el 45% de los recursos destinados a este subcomponente para financiar las acciones de salud pública de su competencia, la operación y mantenimiento de los laboratorios de salud pública y el 100% de los asignados a las áreas no municipalizadas. Los municipios y distritos recibirán el 55% de los recursos asignados a este componente, con excepción del Distrito Capital que recibirá el 100%.</w:t>
      </w:r>
    </w:p>
    <w:p w14:paraId="09F3FD5C" w14:textId="77777777" w:rsidR="00B66C58" w:rsidRPr="006969B3" w:rsidRDefault="00B66C58" w:rsidP="00F65283">
      <w:pPr>
        <w:pStyle w:val="NormalWeb"/>
        <w:spacing w:before="0" w:beforeAutospacing="0" w:after="0" w:afterAutospacing="0"/>
        <w:jc w:val="both"/>
        <w:rPr>
          <w:rFonts w:ascii="Arial" w:hAnsi="Arial" w:cs="Arial"/>
          <w:sz w:val="22"/>
          <w:szCs w:val="22"/>
          <w:lang w:val="es-CO"/>
        </w:rPr>
      </w:pPr>
    </w:p>
    <w:p w14:paraId="0ABB0BCC" w14:textId="2779E286"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Ministerio de Salud y Protección Social deberá diseñar e implementar los sistemas de monitoreo que den cuenta del uso eficiente de los recursos y los resultados en salud, acorde con las acciones de salud pública priorizadas. Para lo cual los departamentos, distritos y municipios deberán reportar la información que corresponda.</w:t>
      </w:r>
    </w:p>
    <w:p w14:paraId="15F8CC98" w14:textId="77777777" w:rsidR="00B66C58" w:rsidRPr="006969B3" w:rsidRDefault="00B66C58" w:rsidP="00F65283">
      <w:pPr>
        <w:pStyle w:val="NormalWeb"/>
        <w:spacing w:before="0" w:beforeAutospacing="0" w:after="0" w:afterAutospacing="0"/>
        <w:jc w:val="both"/>
        <w:rPr>
          <w:rFonts w:ascii="Arial" w:hAnsi="Arial" w:cs="Arial"/>
          <w:sz w:val="22"/>
          <w:szCs w:val="22"/>
          <w:lang w:val="es-CO"/>
        </w:rPr>
      </w:pPr>
    </w:p>
    <w:p w14:paraId="44C0560B" w14:textId="704B5B41"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Los departamentos, distritos y municipios podrán establecer convenios de asociación para la ejecución de los recursos, en función de los planes territoriales de salud pública de intervenciones colectivas, en especial los objetivos y metas priorizadas en el respectivo territorio.</w:t>
      </w:r>
    </w:p>
    <w:p w14:paraId="5F7F6C4C" w14:textId="77777777" w:rsidR="00B66C58" w:rsidRPr="006969B3" w:rsidRDefault="00B66C58" w:rsidP="00F65283">
      <w:pPr>
        <w:pStyle w:val="NormalWeb"/>
        <w:spacing w:before="0" w:beforeAutospacing="0" w:after="0" w:afterAutospacing="0"/>
        <w:jc w:val="both"/>
        <w:rPr>
          <w:rFonts w:ascii="Arial" w:hAnsi="Arial" w:cs="Arial"/>
          <w:sz w:val="22"/>
          <w:szCs w:val="22"/>
          <w:lang w:val="es-CO"/>
        </w:rPr>
      </w:pPr>
    </w:p>
    <w:p w14:paraId="21B1C209" w14:textId="04CD9FFD"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52.2 El subcomponente de Subsidio a la Oferta se define como una asignación de recursos para concurrir en la financiación de la operación de la prestación de servicios y tecnologías efectuadas por </w:t>
      </w:r>
      <w:proofErr w:type="gramStart"/>
      <w:r w:rsidRPr="006969B3">
        <w:rPr>
          <w:rFonts w:ascii="Arial" w:hAnsi="Arial" w:cs="Arial"/>
          <w:sz w:val="22"/>
          <w:szCs w:val="22"/>
          <w:lang w:val="es-CO"/>
        </w:rPr>
        <w:t>instituciones públicas o infraestructura pública</w:t>
      </w:r>
      <w:proofErr w:type="gramEnd"/>
      <w:r w:rsidRPr="006969B3">
        <w:rPr>
          <w:rFonts w:ascii="Arial" w:hAnsi="Arial" w:cs="Arial"/>
          <w:sz w:val="22"/>
          <w:szCs w:val="22"/>
          <w:lang w:val="es-CO"/>
        </w:rPr>
        <w:t xml:space="preserve"> administrada por terceros, ubicadas en zonas alejadas o de difícil acceso que sean monopolio en servicios trazadores y no sostenibles por venta de servicios.</w:t>
      </w:r>
    </w:p>
    <w:p w14:paraId="31991639" w14:textId="77777777" w:rsidR="00B66C58" w:rsidRPr="006969B3" w:rsidRDefault="00B66C58" w:rsidP="00F65283">
      <w:pPr>
        <w:pStyle w:val="NormalWeb"/>
        <w:spacing w:before="0" w:beforeAutospacing="0" w:after="0" w:afterAutospacing="0"/>
        <w:jc w:val="both"/>
        <w:rPr>
          <w:rFonts w:ascii="Arial" w:hAnsi="Arial" w:cs="Arial"/>
          <w:sz w:val="22"/>
          <w:szCs w:val="22"/>
          <w:lang w:val="es-CO"/>
        </w:rPr>
      </w:pPr>
    </w:p>
    <w:p w14:paraId="3B6D852C" w14:textId="6C4A50A1"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Los recursos para financiar este subcomponente se distribuirán entre los municipios y distritos certificados y los departamentos con instituciones de prestación de servicios de que trata el inciso anterior, de conformidad con los siguientes criterios: población total, porcentaje de pobreza de cada entidad territorial, ruralidad y densidad poblacional.</w:t>
      </w:r>
    </w:p>
    <w:p w14:paraId="7A0424D9" w14:textId="77777777" w:rsidR="009D0A59" w:rsidRPr="006969B3" w:rsidRDefault="009D0A59" w:rsidP="00F65283">
      <w:pPr>
        <w:pStyle w:val="NormalWeb"/>
        <w:spacing w:before="0" w:beforeAutospacing="0" w:after="0" w:afterAutospacing="0"/>
        <w:jc w:val="both"/>
        <w:rPr>
          <w:rFonts w:ascii="Arial" w:hAnsi="Arial" w:cs="Arial"/>
          <w:sz w:val="22"/>
          <w:szCs w:val="22"/>
          <w:lang w:val="es-CO"/>
        </w:rPr>
      </w:pPr>
    </w:p>
    <w:p w14:paraId="75247ACA" w14:textId="23FD13C9" w:rsidR="00677B00" w:rsidRPr="006969B3" w:rsidRDefault="00677B00" w:rsidP="00F65283">
      <w:pPr>
        <w:pStyle w:val="NormalWeb"/>
        <w:spacing w:before="0" w:beforeAutospacing="0" w:after="0" w:afterAutospacing="0"/>
        <w:jc w:val="both"/>
        <w:rPr>
          <w:rFonts w:ascii="Arial" w:hAnsi="Arial" w:cs="Arial"/>
          <w:sz w:val="22"/>
          <w:szCs w:val="22"/>
          <w:lang w:val="es-CO"/>
        </w:rPr>
      </w:pPr>
      <w:bookmarkStart w:id="254" w:name="236"/>
      <w:r w:rsidRPr="006969B3">
        <w:rPr>
          <w:rFonts w:ascii="Arial" w:hAnsi="Arial" w:cs="Arial"/>
          <w:sz w:val="22"/>
          <w:szCs w:val="22"/>
          <w:lang w:val="es-CO"/>
        </w:rPr>
        <w:t>ARTÍCULO 236. PAGO DE SERVICIOS Y TECNOLOGÍAS DE USUARIOS NO AFILIADOS.</w:t>
      </w:r>
      <w:bookmarkEnd w:id="254"/>
      <w:r w:rsidRPr="006969B3">
        <w:rPr>
          <w:rFonts w:ascii="Arial" w:hAnsi="Arial" w:cs="Arial"/>
          <w:sz w:val="22"/>
          <w:szCs w:val="22"/>
          <w:lang w:val="es-CO"/>
        </w:rPr>
        <w:t xml:space="preserve"> Con el propósito de lograr la cobertura universal del aseguramiento, cuando una persona requiera la prestación de servicios de salud y no esté afiliada al Sistema General de Seguridad Social en Salud, la entidad territorial competente, en coordinación con las Entidades Promotoras de Salud (EPS) y con las Instituciones Prestadoras de Servicios de Salud (IPS) públicas o privadas afiliarán a estas personas al régimen de salud que corresponda, teniendo en cuenta su capacidad de pago; lo anterior de conformidad con los lineamientos que para el efecto se expidan.</w:t>
      </w:r>
    </w:p>
    <w:p w14:paraId="33BBDF8A" w14:textId="77777777" w:rsidR="00B66C58" w:rsidRPr="006969B3" w:rsidRDefault="00B66C58" w:rsidP="00F65283">
      <w:pPr>
        <w:pStyle w:val="NormalWeb"/>
        <w:spacing w:before="0" w:beforeAutospacing="0" w:after="0" w:afterAutospacing="0"/>
        <w:jc w:val="both"/>
        <w:rPr>
          <w:rFonts w:ascii="Arial" w:hAnsi="Arial" w:cs="Arial"/>
          <w:sz w:val="22"/>
          <w:szCs w:val="22"/>
          <w:lang w:val="es-CO"/>
        </w:rPr>
      </w:pPr>
    </w:p>
    <w:p w14:paraId="13879DA8" w14:textId="3E7F4661"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Los gastos en salud que se deriven de la atención a población pobre que no haya surtido el proceso de afiliación definido en el presente artículo, serán asumidos por las entidades territoriales.</w:t>
      </w:r>
    </w:p>
    <w:p w14:paraId="54B7FCB0" w14:textId="73358ED0" w:rsidR="00677B00" w:rsidRPr="006969B3" w:rsidRDefault="00677B00" w:rsidP="00F65283">
      <w:pPr>
        <w:spacing w:after="0" w:line="240" w:lineRule="auto"/>
        <w:rPr>
          <w:rFonts w:ascii="Arial" w:hAnsi="Arial" w:cs="Arial"/>
          <w:lang w:val="es-CO"/>
        </w:rPr>
      </w:pPr>
    </w:p>
    <w:p w14:paraId="3165D0CB" w14:textId="77777777" w:rsidR="00677B00" w:rsidRPr="006969B3" w:rsidRDefault="00677B00" w:rsidP="00F65283">
      <w:pPr>
        <w:pStyle w:val="NormalWeb"/>
        <w:spacing w:before="0" w:beforeAutospacing="0" w:after="0" w:afterAutospacing="0"/>
        <w:jc w:val="both"/>
        <w:rPr>
          <w:rFonts w:ascii="Arial" w:hAnsi="Arial" w:cs="Arial"/>
          <w:sz w:val="22"/>
          <w:szCs w:val="22"/>
          <w:lang w:val="es-CO"/>
        </w:rPr>
      </w:pPr>
      <w:bookmarkStart w:id="255" w:name="237"/>
      <w:r w:rsidRPr="006969B3">
        <w:rPr>
          <w:rFonts w:ascii="Arial" w:hAnsi="Arial" w:cs="Arial"/>
          <w:sz w:val="22"/>
          <w:szCs w:val="22"/>
          <w:lang w:val="es-CO"/>
        </w:rPr>
        <w:t>ARTÍCULO 237. SOSTENIBILIDAD FINANCIERA DEL SISTEMA GENERAL DE SEGURIDAD SOCIAL EN SALUD.</w:t>
      </w:r>
      <w:bookmarkEnd w:id="255"/>
      <w:r w:rsidRPr="006969B3">
        <w:rPr>
          <w:rFonts w:ascii="Arial" w:hAnsi="Arial" w:cs="Arial"/>
          <w:sz w:val="22"/>
          <w:szCs w:val="22"/>
          <w:lang w:val="es-CO"/>
        </w:rPr>
        <w:t> Con el fin de contribuir a la sostenibilidad financiera del Sistema General de Seguridad Social en Salud (SGSSS), el Gobierno nacional definirá los criterios y los plazos para la estructuración, operación y seguimiento del saneamiento definitivo de las cuentas de recobro relacionadas con los servicios y tecnologías de salud no financiados con cargo a la UPC del régimen contributivo. Los servicios y tecnologías en salud objeto de este saneamiento deben cumplir los siguientes requisitos:</w:t>
      </w:r>
    </w:p>
    <w:p w14:paraId="54346820" w14:textId="77777777" w:rsidR="00B66C58" w:rsidRPr="006969B3" w:rsidRDefault="00B66C58" w:rsidP="00F65283">
      <w:pPr>
        <w:pStyle w:val="NormalWeb"/>
        <w:spacing w:before="0" w:beforeAutospacing="0" w:after="0" w:afterAutospacing="0"/>
        <w:jc w:val="both"/>
        <w:rPr>
          <w:rFonts w:ascii="Arial" w:hAnsi="Arial" w:cs="Arial"/>
          <w:sz w:val="22"/>
          <w:szCs w:val="22"/>
          <w:lang w:val="es-CO"/>
        </w:rPr>
      </w:pPr>
    </w:p>
    <w:p w14:paraId="2A07C1F5" w14:textId="22A94E7A"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 Que hayan sido prestados con anterioridad a la entrada en vigor de la presente Ley.</w:t>
      </w:r>
    </w:p>
    <w:p w14:paraId="7477A576" w14:textId="77777777" w:rsidR="00B66C58" w:rsidRPr="006969B3" w:rsidRDefault="00B66C58" w:rsidP="00F65283">
      <w:pPr>
        <w:pStyle w:val="NormalWeb"/>
        <w:spacing w:before="0" w:beforeAutospacing="0" w:after="0" w:afterAutospacing="0"/>
        <w:jc w:val="both"/>
        <w:rPr>
          <w:rFonts w:ascii="Arial" w:hAnsi="Arial" w:cs="Arial"/>
          <w:sz w:val="22"/>
          <w:szCs w:val="22"/>
          <w:lang w:val="es-CO"/>
        </w:rPr>
      </w:pPr>
    </w:p>
    <w:p w14:paraId="06A88F0D" w14:textId="732D4F7B"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lastRenderedPageBreak/>
        <w:t xml:space="preserve">b) Que en los eventos en que se hubieren prestado con posterioridad a la </w:t>
      </w:r>
      <w:proofErr w:type="gramStart"/>
      <w:r w:rsidRPr="006969B3">
        <w:rPr>
          <w:rFonts w:ascii="Arial" w:hAnsi="Arial" w:cs="Arial"/>
          <w:sz w:val="22"/>
          <w:szCs w:val="22"/>
          <w:lang w:val="es-CO"/>
        </w:rPr>
        <w:t>entrada en vigencia</w:t>
      </w:r>
      <w:proofErr w:type="gramEnd"/>
      <w:r w:rsidRPr="006969B3">
        <w:rPr>
          <w:rFonts w:ascii="Arial" w:hAnsi="Arial" w:cs="Arial"/>
          <w:sz w:val="22"/>
          <w:szCs w:val="22"/>
          <w:lang w:val="es-CO"/>
        </w:rPr>
        <w:t xml:space="preserve"> de la Ley </w:t>
      </w:r>
      <w:r w:rsidRPr="007B5FFA">
        <w:rPr>
          <w:rFonts w:ascii="Arial" w:hAnsi="Arial" w:cs="Arial"/>
          <w:sz w:val="22"/>
          <w:szCs w:val="22"/>
          <w:lang w:val="es-CO"/>
        </w:rPr>
        <w:t>1753</w:t>
      </w:r>
      <w:r w:rsidRPr="006969B3">
        <w:rPr>
          <w:rFonts w:ascii="Arial" w:hAnsi="Arial" w:cs="Arial"/>
          <w:sz w:val="22"/>
          <w:szCs w:val="22"/>
          <w:lang w:val="es-CO"/>
        </w:rPr>
        <w:t> de 2015, la solicitud de pago se haya presentado dentro de los términos a que hace referencia el artículo </w:t>
      </w:r>
      <w:r w:rsidRPr="007B5FFA">
        <w:rPr>
          <w:rFonts w:ascii="Arial" w:hAnsi="Arial" w:cs="Arial"/>
          <w:sz w:val="22"/>
          <w:szCs w:val="22"/>
          <w:lang w:val="es-CO"/>
        </w:rPr>
        <w:t>73</w:t>
      </w:r>
      <w:r w:rsidRPr="006969B3">
        <w:rPr>
          <w:rFonts w:ascii="Arial" w:hAnsi="Arial" w:cs="Arial"/>
          <w:sz w:val="22"/>
          <w:szCs w:val="22"/>
          <w:lang w:val="es-CO"/>
        </w:rPr>
        <w:t> de la Ley 1753 de 2015.</w:t>
      </w:r>
    </w:p>
    <w:p w14:paraId="62B1BE26" w14:textId="77777777" w:rsidR="00B66C58" w:rsidRPr="006969B3" w:rsidRDefault="00B66C58" w:rsidP="00F65283">
      <w:pPr>
        <w:pStyle w:val="NormalWeb"/>
        <w:spacing w:before="0" w:beforeAutospacing="0" w:after="0" w:afterAutospacing="0"/>
        <w:jc w:val="both"/>
        <w:rPr>
          <w:rFonts w:ascii="Arial" w:hAnsi="Arial" w:cs="Arial"/>
          <w:sz w:val="22"/>
          <w:szCs w:val="22"/>
          <w:lang w:val="es-CO"/>
        </w:rPr>
      </w:pPr>
    </w:p>
    <w:p w14:paraId="0B849E4C" w14:textId="2D139116"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c) Que la obligación derivada de la prestación del servicio o tecnología no se encuentre afectada por caducidad y/o prescripción.</w:t>
      </w:r>
    </w:p>
    <w:p w14:paraId="2E1B2D4A" w14:textId="77777777" w:rsidR="00B66C58" w:rsidRPr="006969B3" w:rsidRDefault="00B66C58" w:rsidP="00F65283">
      <w:pPr>
        <w:pStyle w:val="NormalWeb"/>
        <w:spacing w:before="0" w:beforeAutospacing="0" w:after="0" w:afterAutospacing="0"/>
        <w:jc w:val="both"/>
        <w:rPr>
          <w:rFonts w:ascii="Arial" w:hAnsi="Arial" w:cs="Arial"/>
          <w:sz w:val="22"/>
          <w:szCs w:val="22"/>
          <w:lang w:val="es-CO"/>
        </w:rPr>
      </w:pPr>
    </w:p>
    <w:p w14:paraId="79B98267" w14:textId="57D8AABE"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d) Que hayan sido prescritos a quien le asistía el derecho, por un profesional de la salud o mediante un fallo de tutela, facturadas por el prestador o proveedor y suministradas al usuario. Para demostrar el cumplimiento de este requisito se podrán utilizar los medios de prueba establecidos en el Código General del Proceso que sean conducentes y pertinentes para acreditar la efectiva prestación del servicio, </w:t>
      </w:r>
      <w:proofErr w:type="gramStart"/>
      <w:r w:rsidRPr="006969B3">
        <w:rPr>
          <w:rFonts w:ascii="Arial" w:hAnsi="Arial" w:cs="Arial"/>
          <w:sz w:val="22"/>
          <w:szCs w:val="22"/>
          <w:lang w:val="es-CO"/>
        </w:rPr>
        <w:t>de acuerdo a</w:t>
      </w:r>
      <w:proofErr w:type="gramEnd"/>
      <w:r w:rsidRPr="006969B3">
        <w:rPr>
          <w:rFonts w:ascii="Arial" w:hAnsi="Arial" w:cs="Arial"/>
          <w:sz w:val="22"/>
          <w:szCs w:val="22"/>
          <w:lang w:val="es-CO"/>
        </w:rPr>
        <w:t xml:space="preserve"> la reglamentación que emita el Ministerio de Salud y Protección Social.</w:t>
      </w:r>
    </w:p>
    <w:p w14:paraId="570CEFC0" w14:textId="77777777" w:rsidR="00B66C58" w:rsidRPr="006969B3" w:rsidRDefault="00B66C58" w:rsidP="00F65283">
      <w:pPr>
        <w:pStyle w:val="NormalWeb"/>
        <w:spacing w:before="0" w:beforeAutospacing="0" w:after="0" w:afterAutospacing="0"/>
        <w:jc w:val="both"/>
        <w:rPr>
          <w:rFonts w:ascii="Arial" w:hAnsi="Arial" w:cs="Arial"/>
          <w:sz w:val="22"/>
          <w:szCs w:val="22"/>
          <w:lang w:val="es-CO"/>
        </w:rPr>
      </w:pPr>
    </w:p>
    <w:p w14:paraId="5CCC9D7B" w14:textId="63A549CB"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 Que no se trate de insumos que no observen el principio de integralidad.</w:t>
      </w:r>
    </w:p>
    <w:p w14:paraId="5CC7846A" w14:textId="77777777" w:rsidR="00B66C58" w:rsidRPr="006969B3" w:rsidRDefault="00B66C58" w:rsidP="00F65283">
      <w:pPr>
        <w:pStyle w:val="NormalWeb"/>
        <w:spacing w:before="0" w:beforeAutospacing="0" w:after="0" w:afterAutospacing="0"/>
        <w:jc w:val="both"/>
        <w:rPr>
          <w:rFonts w:ascii="Arial" w:hAnsi="Arial" w:cs="Arial"/>
          <w:sz w:val="22"/>
          <w:szCs w:val="22"/>
          <w:lang w:val="es-CO"/>
        </w:rPr>
      </w:pPr>
    </w:p>
    <w:p w14:paraId="30C25F76" w14:textId="26566E05"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f) Que no se trate de recobros involucrados en investigación por la Contraloría General de la República, la </w:t>
      </w:r>
      <w:proofErr w:type="gramStart"/>
      <w:r w:rsidRPr="006969B3">
        <w:rPr>
          <w:rFonts w:ascii="Arial" w:hAnsi="Arial" w:cs="Arial"/>
          <w:sz w:val="22"/>
          <w:szCs w:val="22"/>
          <w:lang w:val="es-CO"/>
        </w:rPr>
        <w:t>Fiscalía General</w:t>
      </w:r>
      <w:proofErr w:type="gramEnd"/>
      <w:r w:rsidRPr="006969B3">
        <w:rPr>
          <w:rFonts w:ascii="Arial" w:hAnsi="Arial" w:cs="Arial"/>
          <w:sz w:val="22"/>
          <w:szCs w:val="22"/>
          <w:lang w:val="es-CO"/>
        </w:rPr>
        <w:t xml:space="preserve"> de la Nación y/o la Superintendencia Nacional de Salud.</w:t>
      </w:r>
    </w:p>
    <w:p w14:paraId="50D1DD60" w14:textId="77777777" w:rsidR="00B66C58" w:rsidRPr="006969B3" w:rsidRDefault="00B66C58" w:rsidP="00F65283">
      <w:pPr>
        <w:pStyle w:val="NormalWeb"/>
        <w:spacing w:before="0" w:beforeAutospacing="0" w:after="0" w:afterAutospacing="0"/>
        <w:jc w:val="both"/>
        <w:rPr>
          <w:rFonts w:ascii="Arial" w:hAnsi="Arial" w:cs="Arial"/>
          <w:sz w:val="22"/>
          <w:szCs w:val="22"/>
          <w:lang w:val="es-CO"/>
        </w:rPr>
      </w:pPr>
    </w:p>
    <w:p w14:paraId="2BD4FB4C" w14:textId="0B63C3DA"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g) Que no correspondan a uno de los criterios definidos en el artículo </w:t>
      </w:r>
      <w:r w:rsidRPr="007B5FFA">
        <w:rPr>
          <w:rFonts w:ascii="Arial" w:hAnsi="Arial" w:cs="Arial"/>
          <w:sz w:val="22"/>
          <w:szCs w:val="22"/>
          <w:lang w:val="es-CO"/>
        </w:rPr>
        <w:t>15</w:t>
      </w:r>
      <w:r w:rsidRPr="006969B3">
        <w:rPr>
          <w:rFonts w:ascii="Arial" w:hAnsi="Arial" w:cs="Arial"/>
          <w:sz w:val="22"/>
          <w:szCs w:val="22"/>
          <w:lang w:val="es-CO"/>
        </w:rPr>
        <w:t> de la Ley 1751 de 2015.</w:t>
      </w:r>
    </w:p>
    <w:p w14:paraId="5CA9542E" w14:textId="77777777" w:rsidR="00B66C58" w:rsidRPr="006969B3" w:rsidRDefault="00B66C58" w:rsidP="00F65283">
      <w:pPr>
        <w:pStyle w:val="NormalWeb"/>
        <w:spacing w:before="0" w:beforeAutospacing="0" w:after="0" w:afterAutospacing="0"/>
        <w:jc w:val="both"/>
        <w:rPr>
          <w:rFonts w:ascii="Arial" w:hAnsi="Arial" w:cs="Arial"/>
          <w:sz w:val="22"/>
          <w:szCs w:val="22"/>
          <w:lang w:val="es-CO"/>
        </w:rPr>
      </w:pPr>
    </w:p>
    <w:p w14:paraId="24B96CC0" w14:textId="6D2FC519"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Las cuentas de recobro que cumplan los requisitos enlistados podrán ser objeto de reconocimiento y pago por parte de la Administradora de los Recursos de Sistema de Seguridad Social en Salud (ADRES), una vez se cumplan las siguientes condiciones:</w:t>
      </w:r>
    </w:p>
    <w:p w14:paraId="0E9334D3" w14:textId="77777777" w:rsidR="00147420" w:rsidRPr="006969B3" w:rsidRDefault="00147420" w:rsidP="00F65283">
      <w:pPr>
        <w:pStyle w:val="NormalWeb"/>
        <w:spacing w:before="0" w:beforeAutospacing="0" w:after="0" w:afterAutospacing="0"/>
        <w:jc w:val="both"/>
        <w:rPr>
          <w:rFonts w:ascii="Arial" w:hAnsi="Arial" w:cs="Arial"/>
          <w:sz w:val="22"/>
          <w:szCs w:val="22"/>
          <w:lang w:val="es-CO"/>
        </w:rPr>
      </w:pPr>
    </w:p>
    <w:p w14:paraId="788DC8EE" w14:textId="435E2A8D"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 Como requisito indispensable la entidad recobrante y la ADRES suscriban un contrato de transacción en el que la primera se obligue como mínimo a:</w:t>
      </w:r>
    </w:p>
    <w:p w14:paraId="7832CE76" w14:textId="77777777" w:rsidR="00147420" w:rsidRPr="006969B3" w:rsidRDefault="00147420" w:rsidP="00F65283">
      <w:pPr>
        <w:pStyle w:val="NormalWeb"/>
        <w:spacing w:before="0" w:beforeAutospacing="0" w:after="0" w:afterAutospacing="0"/>
        <w:jc w:val="both"/>
        <w:rPr>
          <w:rFonts w:ascii="Arial" w:hAnsi="Arial" w:cs="Arial"/>
          <w:sz w:val="22"/>
          <w:szCs w:val="22"/>
          <w:lang w:val="es-CO"/>
        </w:rPr>
      </w:pPr>
    </w:p>
    <w:p w14:paraId="726241BA" w14:textId="405E2EB6"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1.1 Aceptar los resultados producto del proceso de auditoría;</w:t>
      </w:r>
    </w:p>
    <w:p w14:paraId="14FE0E53" w14:textId="77777777" w:rsidR="00147420" w:rsidRPr="006969B3" w:rsidRDefault="00147420" w:rsidP="00F65283">
      <w:pPr>
        <w:pStyle w:val="NormalWeb"/>
        <w:spacing w:before="0" w:beforeAutospacing="0" w:after="0" w:afterAutospacing="0"/>
        <w:jc w:val="both"/>
        <w:rPr>
          <w:rFonts w:ascii="Arial" w:hAnsi="Arial" w:cs="Arial"/>
          <w:sz w:val="22"/>
          <w:szCs w:val="22"/>
          <w:lang w:val="es-CO"/>
        </w:rPr>
      </w:pPr>
    </w:p>
    <w:p w14:paraId="3E8072BC" w14:textId="5027769C"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1.2 Renunciar a instaurar o desistir de cualquier acción judicial o administrativa relacionada con la solicitud de pago elevada;</w:t>
      </w:r>
    </w:p>
    <w:p w14:paraId="2CC3419A" w14:textId="77777777" w:rsidR="00147420" w:rsidRPr="006969B3" w:rsidRDefault="00147420" w:rsidP="00F65283">
      <w:pPr>
        <w:pStyle w:val="NormalWeb"/>
        <w:spacing w:before="0" w:beforeAutospacing="0" w:after="0" w:afterAutospacing="0"/>
        <w:jc w:val="both"/>
        <w:rPr>
          <w:rFonts w:ascii="Arial" w:hAnsi="Arial" w:cs="Arial"/>
          <w:sz w:val="22"/>
          <w:szCs w:val="22"/>
          <w:lang w:val="es-CO"/>
        </w:rPr>
      </w:pPr>
    </w:p>
    <w:p w14:paraId="60BE5B01" w14:textId="71783CD9"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1.3 Renunciar expresamente al cobro de cualquier tipo de interés y otros gastos, independientemente de su denominación sobre las cuentas presentadas, al momento de radicarlas por este mecanismo;</w:t>
      </w:r>
    </w:p>
    <w:p w14:paraId="14137C56" w14:textId="77777777" w:rsidR="00147420" w:rsidRPr="006969B3" w:rsidRDefault="00147420" w:rsidP="00F65283">
      <w:pPr>
        <w:pStyle w:val="NormalWeb"/>
        <w:spacing w:before="0" w:beforeAutospacing="0" w:after="0" w:afterAutospacing="0"/>
        <w:jc w:val="both"/>
        <w:rPr>
          <w:rFonts w:ascii="Arial" w:hAnsi="Arial" w:cs="Arial"/>
          <w:sz w:val="22"/>
          <w:szCs w:val="22"/>
          <w:lang w:val="es-CO"/>
        </w:rPr>
      </w:pPr>
    </w:p>
    <w:p w14:paraId="01B624DC" w14:textId="59B872A8"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1.4 No celebrar negocio jurídico alguno asociado a los valores que se reconozcan;</w:t>
      </w:r>
    </w:p>
    <w:p w14:paraId="6CE3183C" w14:textId="77777777" w:rsidR="00147420" w:rsidRPr="006969B3" w:rsidRDefault="00147420" w:rsidP="00F65283">
      <w:pPr>
        <w:pStyle w:val="NormalWeb"/>
        <w:spacing w:before="0" w:beforeAutospacing="0" w:after="0" w:afterAutospacing="0"/>
        <w:jc w:val="both"/>
        <w:rPr>
          <w:rFonts w:ascii="Arial" w:hAnsi="Arial" w:cs="Arial"/>
          <w:sz w:val="22"/>
          <w:szCs w:val="22"/>
          <w:lang w:val="es-CO"/>
        </w:rPr>
      </w:pPr>
    </w:p>
    <w:p w14:paraId="43B0CA30" w14:textId="4A95B8E5"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1.5 Revelar y depurar en sus estados financieros los resultados del proceso de verificación y control.</w:t>
      </w:r>
    </w:p>
    <w:p w14:paraId="401DE54A" w14:textId="77777777" w:rsidR="00147420" w:rsidRPr="006969B3" w:rsidRDefault="00147420" w:rsidP="00F65283">
      <w:pPr>
        <w:pStyle w:val="NormalWeb"/>
        <w:spacing w:before="0" w:beforeAutospacing="0" w:after="0" w:afterAutospacing="0"/>
        <w:jc w:val="both"/>
        <w:rPr>
          <w:rFonts w:ascii="Arial" w:hAnsi="Arial" w:cs="Arial"/>
          <w:sz w:val="22"/>
          <w:szCs w:val="22"/>
          <w:lang w:val="es-CO"/>
        </w:rPr>
      </w:pPr>
    </w:p>
    <w:p w14:paraId="70496B1A" w14:textId="5F2596FA"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2. La entidad interesada deberá someter las cuentas objeto de la solicitud a un proceso de auditoría. En ningún caso las actuaciones que se cumplan para efectos de lo ordenado en el presente artículo interrumpen, suspenden, o reviven los términos de prescripción. Las condiciones, metodología detallada y tablas de referencia en que se realizará dicha auditoría deberán ser informadas a las entidades interesadas de forma previa a la firma del contrato de transacción. Los costos de esta auditoría deberán ser sufragados por la entidad recobrante. El Ministerio de Salud y Protección Social fijará los términos y condiciones para el cumplimiento de esta obligación.</w:t>
      </w:r>
    </w:p>
    <w:p w14:paraId="42F67F8C" w14:textId="77777777" w:rsidR="00147420" w:rsidRPr="006969B3" w:rsidRDefault="00147420" w:rsidP="00F65283">
      <w:pPr>
        <w:pStyle w:val="NormalWeb"/>
        <w:spacing w:before="0" w:beforeAutospacing="0" w:after="0" w:afterAutospacing="0"/>
        <w:jc w:val="both"/>
        <w:rPr>
          <w:rFonts w:ascii="Arial" w:hAnsi="Arial" w:cs="Arial"/>
          <w:sz w:val="22"/>
          <w:szCs w:val="22"/>
          <w:lang w:val="es-CO"/>
        </w:rPr>
      </w:pPr>
    </w:p>
    <w:p w14:paraId="4B9EC938" w14:textId="55F21402"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3. El monto a pagar por servicios y tecnologías de salud no financiadas con cargo a la UPC que resulten aprobados en el proceso de auditoría, serán reconocidos conforme a la metodología de valores que para el efecto defina el Ministerio de Salud y Protección Social.</w:t>
      </w:r>
    </w:p>
    <w:p w14:paraId="62ED3565" w14:textId="77777777" w:rsidR="00147420" w:rsidRPr="006969B3" w:rsidRDefault="00147420" w:rsidP="00F65283">
      <w:pPr>
        <w:pStyle w:val="NormalWeb"/>
        <w:spacing w:before="0" w:beforeAutospacing="0" w:after="0" w:afterAutospacing="0"/>
        <w:jc w:val="both"/>
        <w:rPr>
          <w:rFonts w:ascii="Arial" w:hAnsi="Arial" w:cs="Arial"/>
          <w:sz w:val="22"/>
          <w:szCs w:val="22"/>
          <w:lang w:val="es-CO"/>
        </w:rPr>
      </w:pPr>
    </w:p>
    <w:p w14:paraId="259A3E17" w14:textId="65395134"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4. La ADRES compensará los valores que resulten a favor de las EPS o IPS con las obligaciones que la entidad le adeude como producto del proceso de reintegro de recursos.</w:t>
      </w:r>
    </w:p>
    <w:p w14:paraId="4A2E171B" w14:textId="77777777" w:rsidR="00147420" w:rsidRPr="006969B3" w:rsidRDefault="00147420" w:rsidP="00F65283">
      <w:pPr>
        <w:pStyle w:val="NormalWeb"/>
        <w:spacing w:before="0" w:beforeAutospacing="0" w:after="0" w:afterAutospacing="0"/>
        <w:jc w:val="both"/>
        <w:rPr>
          <w:rFonts w:ascii="Arial" w:hAnsi="Arial" w:cs="Arial"/>
          <w:sz w:val="22"/>
          <w:szCs w:val="22"/>
          <w:lang w:val="es-CO"/>
        </w:rPr>
      </w:pPr>
    </w:p>
    <w:p w14:paraId="294CBC8B" w14:textId="0587EA24"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5. La ADRES aprobará los valores a pagar a la entidad recobrante.</w:t>
      </w:r>
    </w:p>
    <w:p w14:paraId="74806BA7" w14:textId="77777777" w:rsidR="00147420" w:rsidRPr="006969B3" w:rsidRDefault="00147420" w:rsidP="00F65283">
      <w:pPr>
        <w:pStyle w:val="NormalWeb"/>
        <w:spacing w:before="0" w:beforeAutospacing="0" w:after="0" w:afterAutospacing="0"/>
        <w:jc w:val="both"/>
        <w:rPr>
          <w:rFonts w:ascii="Arial" w:hAnsi="Arial" w:cs="Arial"/>
          <w:sz w:val="22"/>
          <w:szCs w:val="22"/>
          <w:lang w:val="es-CO"/>
        </w:rPr>
      </w:pPr>
    </w:p>
    <w:p w14:paraId="7FE9DF35" w14:textId="4126470C"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Para financiar los valores aprobados por este mecanismo y las deudas reconocidas en el proceso liquidatario de Caprecom y los contratos de salud del </w:t>
      </w:r>
      <w:proofErr w:type="spellStart"/>
      <w:r w:rsidRPr="006969B3">
        <w:rPr>
          <w:rFonts w:ascii="Arial" w:hAnsi="Arial" w:cs="Arial"/>
          <w:sz w:val="22"/>
          <w:szCs w:val="22"/>
          <w:lang w:val="es-CO"/>
        </w:rPr>
        <w:t>Fomag</w:t>
      </w:r>
      <w:proofErr w:type="spellEnd"/>
      <w:r w:rsidRPr="006969B3">
        <w:rPr>
          <w:rFonts w:ascii="Arial" w:hAnsi="Arial" w:cs="Arial"/>
          <w:sz w:val="22"/>
          <w:szCs w:val="22"/>
          <w:lang w:val="es-CO"/>
        </w:rPr>
        <w:t xml:space="preserve"> liquidados en la vigencia 2019, serán reconocidos como deuda pública y podrán ser pagadas con cargo al servicio de deuda pública del Presupuesto General de la Nación o mediante operaciones de crédito público. De atenderse con operaciones de crédito público, la Dirección General de Crédito Público y Tesoro Nacional del Ministerio de Hacienda y Crédito Público administrará, en una cuenta independiente, el cupo de emisión de deuda que se destine a la atención de las obligaciones de pago originadas en este artículo. Las operaciones de crédito público no implican operación presupuestal y solo deberá presupuestarse para efectos de su redención y pago de intereses. Para los efectos previstos en este inciso la Dirección General de Crédito Público y Tesoro Nacional estará facultada para realizar las operaciones necesarias en el mercado monetario y de deuda pública.</w:t>
      </w:r>
    </w:p>
    <w:p w14:paraId="036C4CC7" w14:textId="77777777" w:rsidR="009B1008" w:rsidRPr="006969B3" w:rsidRDefault="009B1008" w:rsidP="00F65283">
      <w:pPr>
        <w:pStyle w:val="NormalWeb"/>
        <w:spacing w:before="0" w:beforeAutospacing="0" w:after="0" w:afterAutospacing="0"/>
        <w:jc w:val="both"/>
        <w:rPr>
          <w:rStyle w:val="baj"/>
          <w:rFonts w:ascii="Arial" w:hAnsi="Arial" w:cs="Arial"/>
          <w:sz w:val="22"/>
          <w:szCs w:val="22"/>
          <w:lang w:val="es-CO"/>
        </w:rPr>
      </w:pPr>
    </w:p>
    <w:p w14:paraId="4A24F5BB" w14:textId="288B4103"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La ADRES podrá adelantar directamente o contratar con un tercero la auditoría del presente artículo, contrato en el cual se entenderán incluidas las cláusulas excepcionales establecidas en la Ley </w:t>
      </w:r>
      <w:r w:rsidRPr="007B5FFA">
        <w:rPr>
          <w:rFonts w:ascii="Arial" w:hAnsi="Arial" w:cs="Arial"/>
          <w:sz w:val="22"/>
          <w:szCs w:val="22"/>
          <w:lang w:val="es-CO"/>
        </w:rPr>
        <w:t>80</w:t>
      </w:r>
      <w:r w:rsidRPr="006969B3">
        <w:rPr>
          <w:rFonts w:ascii="Arial" w:hAnsi="Arial" w:cs="Arial"/>
          <w:sz w:val="22"/>
          <w:szCs w:val="22"/>
          <w:lang w:val="es-CO"/>
        </w:rPr>
        <w:t> de 1993.</w:t>
      </w:r>
    </w:p>
    <w:p w14:paraId="74ADFA10" w14:textId="77777777" w:rsidR="009D0A59" w:rsidRPr="006969B3" w:rsidRDefault="009D0A59" w:rsidP="00F65283">
      <w:pPr>
        <w:pStyle w:val="NormalWeb"/>
        <w:spacing w:before="0" w:beforeAutospacing="0" w:after="0" w:afterAutospacing="0"/>
        <w:jc w:val="both"/>
        <w:rPr>
          <w:rFonts w:ascii="Arial" w:hAnsi="Arial" w:cs="Arial"/>
          <w:sz w:val="22"/>
          <w:szCs w:val="22"/>
          <w:lang w:val="es-CO"/>
        </w:rPr>
      </w:pPr>
    </w:p>
    <w:p w14:paraId="06F3DBFB" w14:textId="77777777"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El resultado del saneamiento de que trata el presente artículo deberá reflejarse en los estados financieros de las entidades involucradas, dando cumplimiento a las normas de contabilidad, de información financiera y demás instrucciones vigentes sobre la materia, de tal forma que los estados financieros reflejen la realidad económica de estas entidades. La Superintendencia Nacional de Salud implementará un sistema de seguimiento que permita que el saneamiento se vea reflejado en los estados financieros de las Entidades Promotoras de Salud (EPS) y de las Instituciones Prestadoras de Servicios (IPS). Los responsables de las Instituciones Prestadoras de Servicios de Salud públicas que en el marco de este mecanismo apliquen lo dispuesto en el presente parágrafo, no incurrirán en falta disciplinaria, fiscal o penal.</w:t>
      </w:r>
    </w:p>
    <w:p w14:paraId="68631773" w14:textId="77777777" w:rsidR="009B1008" w:rsidRPr="006969B3" w:rsidRDefault="009B1008" w:rsidP="00F65283">
      <w:pPr>
        <w:pStyle w:val="NormalWeb"/>
        <w:spacing w:before="0" w:beforeAutospacing="0" w:after="0" w:afterAutospacing="0"/>
        <w:jc w:val="both"/>
        <w:rPr>
          <w:rFonts w:ascii="Arial" w:hAnsi="Arial" w:cs="Arial"/>
          <w:sz w:val="22"/>
          <w:szCs w:val="22"/>
          <w:lang w:val="es-CO"/>
        </w:rPr>
      </w:pPr>
    </w:p>
    <w:p w14:paraId="544AE5E1" w14:textId="4B15746E"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incumplimiento de esta obligación dará lugar a las sanciones contenidas en la Ley </w:t>
      </w:r>
      <w:r w:rsidRPr="007B5FFA">
        <w:rPr>
          <w:rFonts w:ascii="Arial" w:hAnsi="Arial" w:cs="Arial"/>
          <w:sz w:val="22"/>
          <w:szCs w:val="22"/>
          <w:lang w:val="es-CO"/>
        </w:rPr>
        <w:t>1949</w:t>
      </w:r>
      <w:r w:rsidRPr="006969B3">
        <w:rPr>
          <w:rFonts w:ascii="Arial" w:hAnsi="Arial" w:cs="Arial"/>
          <w:sz w:val="22"/>
          <w:szCs w:val="22"/>
          <w:lang w:val="es-CO"/>
        </w:rPr>
        <w:t> de 2019. Los representantes legales, administradores, contadores y revisores fiscales que ordenen, toleren, hagan o encubran falsedades en los balances, incurrirán en las sanciones previstas en la Ley </w:t>
      </w:r>
      <w:r w:rsidRPr="007B5FFA">
        <w:rPr>
          <w:rFonts w:ascii="Arial" w:hAnsi="Arial" w:cs="Arial"/>
          <w:sz w:val="22"/>
          <w:szCs w:val="22"/>
          <w:lang w:val="es-CO"/>
        </w:rPr>
        <w:t>599</w:t>
      </w:r>
      <w:r w:rsidRPr="006969B3">
        <w:rPr>
          <w:rFonts w:ascii="Arial" w:hAnsi="Arial" w:cs="Arial"/>
          <w:sz w:val="22"/>
          <w:szCs w:val="22"/>
          <w:lang w:val="es-CO"/>
        </w:rPr>
        <w:t xml:space="preserve"> de 2000, así como fraudes y los demás relacionados que se configuren </w:t>
      </w:r>
      <w:proofErr w:type="gramStart"/>
      <w:r w:rsidRPr="006969B3">
        <w:rPr>
          <w:rFonts w:ascii="Arial" w:hAnsi="Arial" w:cs="Arial"/>
          <w:sz w:val="22"/>
          <w:szCs w:val="22"/>
          <w:lang w:val="es-CO"/>
        </w:rPr>
        <w:t>de acuerdo a</w:t>
      </w:r>
      <w:proofErr w:type="gramEnd"/>
      <w:r w:rsidRPr="006969B3">
        <w:rPr>
          <w:rFonts w:ascii="Arial" w:hAnsi="Arial" w:cs="Arial"/>
          <w:sz w:val="22"/>
          <w:szCs w:val="22"/>
          <w:lang w:val="es-CO"/>
        </w:rPr>
        <w:t xml:space="preserve"> su ocurrencia.</w:t>
      </w:r>
    </w:p>
    <w:p w14:paraId="34CCB9FE" w14:textId="77777777" w:rsidR="009B1008" w:rsidRPr="006969B3" w:rsidRDefault="009B1008" w:rsidP="00F65283">
      <w:pPr>
        <w:pStyle w:val="NormalWeb"/>
        <w:spacing w:before="0" w:beforeAutospacing="0" w:after="0" w:afterAutospacing="0"/>
        <w:jc w:val="both"/>
        <w:rPr>
          <w:rStyle w:val="baj"/>
          <w:rFonts w:ascii="Arial" w:hAnsi="Arial" w:cs="Arial"/>
          <w:sz w:val="22"/>
          <w:szCs w:val="22"/>
          <w:lang w:val="es-CO"/>
        </w:rPr>
      </w:pPr>
    </w:p>
    <w:p w14:paraId="5861BD55" w14:textId="7EC32824"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3o.</w:t>
      </w:r>
      <w:r w:rsidRPr="006969B3">
        <w:rPr>
          <w:rFonts w:ascii="Arial" w:hAnsi="Arial" w:cs="Arial"/>
          <w:sz w:val="22"/>
          <w:szCs w:val="22"/>
          <w:lang w:val="es-CO"/>
        </w:rPr>
        <w:t> Para el pago de los servicios y tecnologías no financiados con recursos de la UPC indicados en el literal c del artículo </w:t>
      </w:r>
      <w:r w:rsidRPr="007B5FFA">
        <w:rPr>
          <w:rFonts w:ascii="Arial" w:hAnsi="Arial" w:cs="Arial"/>
          <w:sz w:val="22"/>
          <w:szCs w:val="22"/>
          <w:lang w:val="es-CO"/>
        </w:rPr>
        <w:t>73</w:t>
      </w:r>
      <w:r w:rsidRPr="006969B3">
        <w:rPr>
          <w:rFonts w:ascii="Arial" w:hAnsi="Arial" w:cs="Arial"/>
          <w:sz w:val="22"/>
          <w:szCs w:val="22"/>
          <w:lang w:val="es-CO"/>
        </w:rPr>
        <w:t> de la Ley 1753 de 2015, podrán ser reconocidos con cargo a los instrumentos de deuda pública definidos en el presente artículo.</w:t>
      </w:r>
    </w:p>
    <w:p w14:paraId="289EEFBD" w14:textId="77777777" w:rsidR="009B1008" w:rsidRPr="006969B3" w:rsidRDefault="009B1008" w:rsidP="00F65283">
      <w:pPr>
        <w:pStyle w:val="NormalWeb"/>
        <w:spacing w:before="0" w:beforeAutospacing="0" w:after="0" w:afterAutospacing="0"/>
        <w:jc w:val="both"/>
        <w:rPr>
          <w:rStyle w:val="baj"/>
          <w:rFonts w:ascii="Arial" w:hAnsi="Arial" w:cs="Arial"/>
          <w:sz w:val="22"/>
          <w:szCs w:val="22"/>
          <w:lang w:val="es-CO"/>
        </w:rPr>
      </w:pPr>
    </w:p>
    <w:p w14:paraId="38A9427E" w14:textId="2D080B1C"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4o.</w:t>
      </w:r>
      <w:r w:rsidRPr="006969B3">
        <w:rPr>
          <w:rFonts w:ascii="Arial" w:hAnsi="Arial" w:cs="Arial"/>
          <w:sz w:val="22"/>
          <w:szCs w:val="22"/>
          <w:lang w:val="es-CO"/>
        </w:rPr>
        <w:t xml:space="preserve"> Los beneficiarios de este mecanismo cederán su titularidad, cuando tengan deudas asociadas a la prestación de servicios y tecnologías no financiados con la </w:t>
      </w:r>
      <w:r w:rsidRPr="006969B3">
        <w:rPr>
          <w:rFonts w:ascii="Arial" w:hAnsi="Arial" w:cs="Arial"/>
          <w:sz w:val="22"/>
          <w:szCs w:val="22"/>
          <w:lang w:val="es-CO"/>
        </w:rPr>
        <w:lastRenderedPageBreak/>
        <w:t>UPC del régimen contributivo, a los agentes del Sistema General de Seguridad Social en Salud (SGSSS) que hayan prestado o suministrado dichos servicios, tales como las Instituciones Prestadoras de Servicios de Salud, quienes a su vez priorizarán las deudas laborales, en caso de tenerlas. Como requisito para la cesión de su titularidad las EPS deberán acreditar haber surtido la conciliación e las cuentas a pagar.</w:t>
      </w:r>
    </w:p>
    <w:p w14:paraId="6C4624E6" w14:textId="77777777" w:rsidR="000537C1" w:rsidRDefault="000537C1" w:rsidP="00F65283">
      <w:pPr>
        <w:pStyle w:val="NormalWeb"/>
        <w:spacing w:before="0" w:beforeAutospacing="0" w:after="0" w:afterAutospacing="0"/>
        <w:jc w:val="both"/>
        <w:rPr>
          <w:rStyle w:val="baj"/>
          <w:rFonts w:ascii="Arial" w:hAnsi="Arial" w:cs="Arial"/>
          <w:sz w:val="22"/>
          <w:szCs w:val="22"/>
          <w:lang w:val="es-CO"/>
        </w:rPr>
      </w:pPr>
    </w:p>
    <w:p w14:paraId="5068A2BB" w14:textId="25168702"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5o.</w:t>
      </w:r>
      <w:r w:rsidRPr="006969B3">
        <w:rPr>
          <w:rFonts w:ascii="Arial" w:hAnsi="Arial" w:cs="Arial"/>
          <w:sz w:val="22"/>
          <w:szCs w:val="22"/>
          <w:lang w:val="es-CO"/>
        </w:rPr>
        <w:t> Las decisiones judiciales que ordenen el pago de recobros distintos se indexarán utilizando el Índice de Precios al Consumidor (IPC), sin lugar a intereses de mora.</w:t>
      </w:r>
    </w:p>
    <w:p w14:paraId="2F3C9D47" w14:textId="77777777" w:rsidR="000537C1" w:rsidRDefault="000537C1" w:rsidP="00F65283">
      <w:pPr>
        <w:pStyle w:val="NormalWeb"/>
        <w:spacing w:before="0" w:beforeAutospacing="0" w:after="0" w:afterAutospacing="0"/>
        <w:jc w:val="both"/>
        <w:rPr>
          <w:rStyle w:val="baj"/>
          <w:rFonts w:ascii="Arial" w:hAnsi="Arial" w:cs="Arial"/>
          <w:sz w:val="22"/>
          <w:szCs w:val="22"/>
          <w:lang w:val="es-CO"/>
        </w:rPr>
      </w:pPr>
    </w:p>
    <w:p w14:paraId="5937BA4C" w14:textId="56DE99DC"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6o.</w:t>
      </w:r>
      <w:r w:rsidRPr="006969B3">
        <w:rPr>
          <w:rFonts w:ascii="Arial" w:hAnsi="Arial" w:cs="Arial"/>
          <w:sz w:val="22"/>
          <w:szCs w:val="22"/>
          <w:lang w:val="es-CO"/>
        </w:rPr>
        <w:t> Para el trámite de presentación, registro, aprobación o reconocimiento de valores recobrados mediante factura o cualquier documento que soporte el cobro por este mecanismo, se tendrá en cuenta lo dispuesto en la Ley </w:t>
      </w:r>
      <w:r w:rsidRPr="007B5FFA">
        <w:rPr>
          <w:rFonts w:ascii="Arial" w:hAnsi="Arial" w:cs="Arial"/>
          <w:sz w:val="22"/>
          <w:szCs w:val="22"/>
          <w:lang w:val="es-CO"/>
        </w:rPr>
        <w:t>599</w:t>
      </w:r>
      <w:r w:rsidRPr="006969B3">
        <w:rPr>
          <w:rFonts w:ascii="Arial" w:hAnsi="Arial" w:cs="Arial"/>
          <w:sz w:val="22"/>
          <w:szCs w:val="22"/>
          <w:lang w:val="es-CO"/>
        </w:rPr>
        <w:t> de 2000 en términos de configuración de conductas relacionadas con la comisión de falsedades, inconsistencias, adulteraciones o cualquier situación fraudulenta o irregular constitutiva de una sanción penal, y serán puestas en conocimiento de la autoridad competente por parte de la persona que lo conozca.</w:t>
      </w:r>
    </w:p>
    <w:p w14:paraId="1FF3D908" w14:textId="77777777" w:rsidR="009B1008" w:rsidRPr="006969B3" w:rsidRDefault="009B1008" w:rsidP="00F65283">
      <w:pPr>
        <w:pStyle w:val="NormalWeb"/>
        <w:spacing w:before="0" w:beforeAutospacing="0" w:after="0" w:afterAutospacing="0"/>
        <w:jc w:val="both"/>
        <w:rPr>
          <w:rStyle w:val="baj"/>
          <w:rFonts w:ascii="Arial" w:hAnsi="Arial" w:cs="Arial"/>
          <w:sz w:val="22"/>
          <w:szCs w:val="22"/>
          <w:lang w:val="es-CO"/>
        </w:rPr>
      </w:pPr>
    </w:p>
    <w:p w14:paraId="49F2D1B2" w14:textId="25150F15"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7o.</w:t>
      </w:r>
      <w:r w:rsidRPr="006969B3">
        <w:rPr>
          <w:rFonts w:ascii="Arial" w:hAnsi="Arial" w:cs="Arial"/>
          <w:sz w:val="22"/>
          <w:szCs w:val="22"/>
          <w:lang w:val="es-CO"/>
        </w:rPr>
        <w:t xml:space="preserve"> Cuando la entidad recobrante no tenga deudas por concepto de servicios y tecnologías no financiados con cargo a la Unidad de Pago por Capitación -UPC-, podrá solicitar a la Administradora de los Recursos del Sistema General de Seguridad Social en Salud -ADRES, que los recursos aprobados en el marco de este </w:t>
      </w:r>
      <w:proofErr w:type="gramStart"/>
      <w:r w:rsidRPr="006969B3">
        <w:rPr>
          <w:rFonts w:ascii="Arial" w:hAnsi="Arial" w:cs="Arial"/>
          <w:sz w:val="22"/>
          <w:szCs w:val="22"/>
          <w:lang w:val="es-CO"/>
        </w:rPr>
        <w:t>artículo,</w:t>
      </w:r>
      <w:proofErr w:type="gramEnd"/>
      <w:r w:rsidRPr="006969B3">
        <w:rPr>
          <w:rFonts w:ascii="Arial" w:hAnsi="Arial" w:cs="Arial"/>
          <w:sz w:val="22"/>
          <w:szCs w:val="22"/>
          <w:lang w:val="es-CO"/>
        </w:rPr>
        <w:t xml:space="preserve"> se giren directamente a los prestadores de servicios, proveedores u otros acreedores con los que tengan cuentas pendientes derivadas de servicios de salud.</w:t>
      </w:r>
    </w:p>
    <w:p w14:paraId="7EC9E3CE" w14:textId="77777777" w:rsidR="009B1008" w:rsidRPr="006969B3" w:rsidRDefault="009B1008" w:rsidP="00F65283">
      <w:pPr>
        <w:pStyle w:val="NormalWeb"/>
        <w:spacing w:before="0" w:beforeAutospacing="0" w:after="0" w:afterAutospacing="0"/>
        <w:jc w:val="both"/>
        <w:rPr>
          <w:rStyle w:val="baj"/>
          <w:rFonts w:ascii="Arial" w:hAnsi="Arial" w:cs="Arial"/>
          <w:sz w:val="22"/>
          <w:szCs w:val="22"/>
          <w:lang w:val="es-CO"/>
        </w:rPr>
      </w:pPr>
    </w:p>
    <w:p w14:paraId="67C02DA7" w14:textId="5D07C46E"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8o.</w:t>
      </w:r>
      <w:r w:rsidRPr="006969B3">
        <w:rPr>
          <w:rFonts w:ascii="Arial" w:hAnsi="Arial" w:cs="Arial"/>
          <w:sz w:val="22"/>
          <w:szCs w:val="22"/>
          <w:lang w:val="es-CO"/>
        </w:rPr>
        <w:t xml:space="preserve"> Los recursos aprobados en el marco del saneamiento de que trata este </w:t>
      </w:r>
      <w:proofErr w:type="gramStart"/>
      <w:r w:rsidRPr="006969B3">
        <w:rPr>
          <w:rFonts w:ascii="Arial" w:hAnsi="Arial" w:cs="Arial"/>
          <w:sz w:val="22"/>
          <w:szCs w:val="22"/>
          <w:lang w:val="es-CO"/>
        </w:rPr>
        <w:t>artículo,</w:t>
      </w:r>
      <w:proofErr w:type="gramEnd"/>
      <w:r w:rsidRPr="006969B3">
        <w:rPr>
          <w:rFonts w:ascii="Arial" w:hAnsi="Arial" w:cs="Arial"/>
          <w:sz w:val="22"/>
          <w:szCs w:val="22"/>
          <w:lang w:val="es-CO"/>
        </w:rPr>
        <w:t xml:space="preserve"> podrán ser descontados por la Administradora de los Recursos del Sistema General de Seguridad Social en Salud -ADRES para el pago de los valores adeudados por las entidades recobrantes por concepto de los mecanismos definidos en el artículo </w:t>
      </w:r>
      <w:r w:rsidRPr="007B5FFA">
        <w:rPr>
          <w:rFonts w:ascii="Arial" w:hAnsi="Arial" w:cs="Arial"/>
          <w:sz w:val="22"/>
          <w:szCs w:val="22"/>
          <w:lang w:val="es-CO"/>
        </w:rPr>
        <w:t>9o</w:t>
      </w:r>
      <w:r w:rsidRPr="006969B3">
        <w:rPr>
          <w:rFonts w:ascii="Arial" w:hAnsi="Arial" w:cs="Arial"/>
          <w:sz w:val="22"/>
          <w:szCs w:val="22"/>
          <w:lang w:val="es-CO"/>
        </w:rPr>
        <w:t> de la Ley 1608 de 2013, así como el monto pendiente por reintegrar cuando el valor aprobado en la auditoría haya sido menor al giro previo realizado.</w:t>
      </w:r>
    </w:p>
    <w:p w14:paraId="2062EDAA" w14:textId="77777777" w:rsidR="009B1008" w:rsidRPr="006969B3" w:rsidRDefault="009B1008" w:rsidP="00F65283">
      <w:pPr>
        <w:pStyle w:val="NormalWeb"/>
        <w:spacing w:before="0" w:beforeAutospacing="0" w:after="0" w:afterAutospacing="0"/>
        <w:jc w:val="both"/>
        <w:rPr>
          <w:rStyle w:val="baj"/>
          <w:rFonts w:ascii="Arial" w:hAnsi="Arial" w:cs="Arial"/>
          <w:sz w:val="22"/>
          <w:szCs w:val="22"/>
          <w:lang w:val="es-CO"/>
        </w:rPr>
      </w:pPr>
    </w:p>
    <w:p w14:paraId="35A631AF" w14:textId="06BD5F43"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9o.</w:t>
      </w:r>
      <w:r w:rsidRPr="006969B3">
        <w:rPr>
          <w:rFonts w:ascii="Arial" w:hAnsi="Arial" w:cs="Arial"/>
          <w:sz w:val="22"/>
          <w:szCs w:val="22"/>
          <w:lang w:val="es-CO"/>
        </w:rPr>
        <w:t xml:space="preserve"> Durante el término de la emergencia sanitaria declarada por el Ministerio de Salud y Protección Social, las entidades recobrantes y la Administradora de los Recursos del Sistema General de Seguridad Social en Salud (Adres) podrán suscribir acuerdos de pago parcial para el reconocimiento anticipado del 25% del valor de las solicitudes de recobro que cumplan los requisitos establecidos en el numeral 1 del presente artículo.</w:t>
      </w:r>
    </w:p>
    <w:p w14:paraId="6BEB419B" w14:textId="77777777" w:rsidR="009B1008" w:rsidRPr="006969B3" w:rsidRDefault="009B1008" w:rsidP="00F65283">
      <w:pPr>
        <w:pStyle w:val="NormalWeb"/>
        <w:spacing w:before="0" w:beforeAutospacing="0" w:after="0" w:afterAutospacing="0"/>
        <w:jc w:val="both"/>
        <w:rPr>
          <w:rFonts w:ascii="Arial" w:hAnsi="Arial" w:cs="Arial"/>
          <w:sz w:val="22"/>
          <w:szCs w:val="22"/>
          <w:lang w:val="es-CO"/>
        </w:rPr>
      </w:pPr>
    </w:p>
    <w:p w14:paraId="43CCDE17" w14:textId="0E4443D7"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valor de los acuerdos de pago será girado, directamente a los prestadores y proveedores de servicios y tecnologías de salud, reportados previamente por las entidades recobrantes. Los proveedores y prestadores de servicios y tecnologías de salud, con esos recursos, priorizarán el pago de salarios, prestaciones económicas y demás obligaciones contractuales con el personal médico, asistencial y de apoyo.</w:t>
      </w:r>
    </w:p>
    <w:p w14:paraId="3E4B745C" w14:textId="77777777" w:rsidR="009B1008" w:rsidRPr="006969B3" w:rsidRDefault="009B1008" w:rsidP="00F65283">
      <w:pPr>
        <w:pStyle w:val="NormalWeb"/>
        <w:spacing w:before="0" w:beforeAutospacing="0" w:after="0" w:afterAutospacing="0"/>
        <w:jc w:val="both"/>
        <w:rPr>
          <w:rFonts w:ascii="Arial" w:hAnsi="Arial" w:cs="Arial"/>
          <w:sz w:val="22"/>
          <w:szCs w:val="22"/>
          <w:lang w:val="es-CO"/>
        </w:rPr>
      </w:pPr>
    </w:p>
    <w:p w14:paraId="2570F831" w14:textId="3B40C17C"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Los acuerdos de pago deberán contener como mínimo (i) el valor del anticipo aprobado; (</w:t>
      </w:r>
      <w:proofErr w:type="spellStart"/>
      <w:r w:rsidRPr="006969B3">
        <w:rPr>
          <w:rFonts w:ascii="Arial" w:hAnsi="Arial" w:cs="Arial"/>
          <w:sz w:val="22"/>
          <w:szCs w:val="22"/>
          <w:lang w:val="es-CO"/>
        </w:rPr>
        <w:t>ii</w:t>
      </w:r>
      <w:proofErr w:type="spellEnd"/>
      <w:r w:rsidRPr="006969B3">
        <w:rPr>
          <w:rFonts w:ascii="Arial" w:hAnsi="Arial" w:cs="Arial"/>
          <w:sz w:val="22"/>
          <w:szCs w:val="22"/>
          <w:lang w:val="es-CO"/>
        </w:rPr>
        <w:t>) la obligación de las entidades recobrantes de completar a satisfacción de la Administradora de los Recursos del Sistema General de Seguridad Social en Salud (Adres) los procesos de auditoría descritos en el numeral 2 del presente artículo; y (</w:t>
      </w:r>
      <w:proofErr w:type="spellStart"/>
      <w:r w:rsidRPr="006969B3">
        <w:rPr>
          <w:rFonts w:ascii="Arial" w:hAnsi="Arial" w:cs="Arial"/>
          <w:sz w:val="22"/>
          <w:szCs w:val="22"/>
          <w:lang w:val="es-CO"/>
        </w:rPr>
        <w:t>iii</w:t>
      </w:r>
      <w:proofErr w:type="spellEnd"/>
      <w:r w:rsidRPr="006969B3">
        <w:rPr>
          <w:rFonts w:ascii="Arial" w:hAnsi="Arial" w:cs="Arial"/>
          <w:sz w:val="22"/>
          <w:szCs w:val="22"/>
          <w:lang w:val="es-CO"/>
        </w:rPr>
        <w:t xml:space="preserve">) la obligación de las entidades recobrantes de celebrar el contrato de transacción previsto en el numeral 1o. de este artículo. El incumplimiento de las anteriores </w:t>
      </w:r>
      <w:proofErr w:type="gramStart"/>
      <w:r w:rsidRPr="006969B3">
        <w:rPr>
          <w:rFonts w:ascii="Arial" w:hAnsi="Arial" w:cs="Arial"/>
          <w:sz w:val="22"/>
          <w:szCs w:val="22"/>
          <w:lang w:val="es-CO"/>
        </w:rPr>
        <w:t>condiciones,</w:t>
      </w:r>
      <w:proofErr w:type="gramEnd"/>
      <w:r w:rsidRPr="006969B3">
        <w:rPr>
          <w:rFonts w:ascii="Arial" w:hAnsi="Arial" w:cs="Arial"/>
          <w:sz w:val="22"/>
          <w:szCs w:val="22"/>
          <w:lang w:val="es-CO"/>
        </w:rPr>
        <w:t xml:space="preserve"> obliga a las entidades recobrantes a reintegrar a la Administradora de los Recursos del Sistema General de Seguridad Social en Salud (Adres) los recursos girados por concepto de acuerdo de pago </w:t>
      </w:r>
      <w:r w:rsidRPr="006969B3">
        <w:rPr>
          <w:rFonts w:ascii="Arial" w:hAnsi="Arial" w:cs="Arial"/>
          <w:sz w:val="22"/>
          <w:szCs w:val="22"/>
          <w:lang w:val="es-CO"/>
        </w:rPr>
        <w:lastRenderedPageBreak/>
        <w:t>dentro de los cinco (5) días siguientes al requerimiento hecho por dicha entidad. Estos acuerdos se registrarán como un pasivo en la contabilidad de la Administradora de los Recursos del Sistema General de Seguridad Social en Salud (Adres).</w:t>
      </w:r>
    </w:p>
    <w:p w14:paraId="64C42531" w14:textId="77777777" w:rsidR="009B1008" w:rsidRPr="006969B3" w:rsidRDefault="009B1008" w:rsidP="00F65283">
      <w:pPr>
        <w:pStyle w:val="NormalWeb"/>
        <w:spacing w:before="0" w:beforeAutospacing="0" w:after="0" w:afterAutospacing="0"/>
        <w:jc w:val="both"/>
        <w:rPr>
          <w:rFonts w:ascii="Arial" w:hAnsi="Arial" w:cs="Arial"/>
          <w:sz w:val="22"/>
          <w:szCs w:val="22"/>
          <w:lang w:val="es-CO"/>
        </w:rPr>
      </w:pPr>
    </w:p>
    <w:p w14:paraId="79EE2F7D" w14:textId="3FA980EF"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Si luego de realizada la auditoría correspondiente el monto del anticipo supera el valor aprobado, la Administradora de los Recursos del Sistema General de Seguridad Social en Salud (Adres) realizará el descuento que corresponda, de aquellos valores que la Adres deba pagar a la entidad recobrante por cualquier concepto.</w:t>
      </w:r>
    </w:p>
    <w:p w14:paraId="0DF88746" w14:textId="77777777" w:rsidR="009B1008" w:rsidRPr="006969B3" w:rsidRDefault="009B1008" w:rsidP="00F65283">
      <w:pPr>
        <w:pStyle w:val="NormalWeb"/>
        <w:spacing w:before="0" w:beforeAutospacing="0" w:after="0" w:afterAutospacing="0"/>
        <w:jc w:val="both"/>
        <w:rPr>
          <w:rFonts w:ascii="Arial" w:hAnsi="Arial" w:cs="Arial"/>
          <w:sz w:val="22"/>
          <w:szCs w:val="22"/>
          <w:lang w:val="es-CO"/>
        </w:rPr>
      </w:pPr>
      <w:bookmarkStart w:id="256" w:name="238"/>
    </w:p>
    <w:p w14:paraId="3E65ABB0" w14:textId="18C30DE3"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238. SANEAMIENTO FINANCIERO DEL SECTOR SALUD EN LAS ENTIDADES TERRITORIALES.</w:t>
      </w:r>
      <w:bookmarkEnd w:id="256"/>
      <w:r w:rsidRPr="006969B3">
        <w:rPr>
          <w:rFonts w:ascii="Arial" w:hAnsi="Arial" w:cs="Arial"/>
          <w:sz w:val="22"/>
          <w:szCs w:val="22"/>
          <w:lang w:val="es-CO"/>
        </w:rPr>
        <w:t> Para efectos de lograr el saneamiento definitivo de las cuentas de servicios y tecnologías en salud no financiadas por la UPC del régimen subsidiado prestados hasta el 31 de diciembre de 2019, deberán cumplirse las siguientes reglas:</w:t>
      </w:r>
    </w:p>
    <w:p w14:paraId="100D6A84" w14:textId="77777777" w:rsidR="009B1008" w:rsidRPr="006969B3" w:rsidRDefault="009B1008" w:rsidP="00F65283">
      <w:pPr>
        <w:pStyle w:val="NormalWeb"/>
        <w:spacing w:before="0" w:beforeAutospacing="0" w:after="0" w:afterAutospacing="0"/>
        <w:jc w:val="both"/>
        <w:rPr>
          <w:rFonts w:ascii="Arial" w:hAnsi="Arial" w:cs="Arial"/>
          <w:sz w:val="22"/>
          <w:szCs w:val="22"/>
          <w:lang w:val="es-CO"/>
        </w:rPr>
      </w:pPr>
    </w:p>
    <w:p w14:paraId="5D785AB9" w14:textId="126A38B0"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 Para determinar las deudas por servicios y tecnologías en salud no financiadas con cargo a la UPC de los afiliados al régimen subsidiado, la entidad territorial deberá adelantar el proceso de auditoría que le permita determinar si es procedente el pago.</w:t>
      </w:r>
    </w:p>
    <w:p w14:paraId="63742E69" w14:textId="77777777" w:rsidR="009B1008" w:rsidRPr="006969B3" w:rsidRDefault="009B1008" w:rsidP="00F65283">
      <w:pPr>
        <w:pStyle w:val="NormalWeb"/>
        <w:spacing w:before="0" w:beforeAutospacing="0" w:after="0" w:afterAutospacing="0"/>
        <w:jc w:val="both"/>
        <w:rPr>
          <w:rFonts w:ascii="Arial" w:hAnsi="Arial" w:cs="Arial"/>
          <w:sz w:val="22"/>
          <w:szCs w:val="22"/>
          <w:lang w:val="es-CO"/>
        </w:rPr>
      </w:pPr>
    </w:p>
    <w:p w14:paraId="6D3D589A" w14:textId="4B1CE139"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En este proceso la entidad territorial verificará que los servicios y tecnologías en salud no financiados con cargo a la UPC hayan sido prescritas por parte de un profesional de la salud u ordenados mediante un fallo de tutela facturadas por el prestador o proveedor y suministradas al usuario, para lo cual deberán acogerse a la reglamentación que expida el Ministerio de Salud y Protección Social en virtud del literal d) del artículo anterior.</w:t>
      </w:r>
    </w:p>
    <w:p w14:paraId="2DF91B67" w14:textId="77777777" w:rsidR="009D0A59" w:rsidRPr="006969B3" w:rsidRDefault="009D0A59" w:rsidP="00F65283">
      <w:pPr>
        <w:pStyle w:val="NormalWeb"/>
        <w:spacing w:before="0" w:beforeAutospacing="0" w:after="0" w:afterAutospacing="0"/>
        <w:jc w:val="both"/>
        <w:rPr>
          <w:rFonts w:ascii="Arial" w:hAnsi="Arial" w:cs="Arial"/>
          <w:sz w:val="22"/>
          <w:szCs w:val="22"/>
          <w:lang w:val="es-CO"/>
        </w:rPr>
      </w:pPr>
    </w:p>
    <w:p w14:paraId="657CED46" w14:textId="77777777"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Las entidades territoriales deberán adoptar lo dispuesto por la Nación para el proceso de auditoría y posterior pago de los servicios y tecnologías en salud no financiadas con cargo a la UPC del régimen contributivo.</w:t>
      </w:r>
    </w:p>
    <w:p w14:paraId="64396DAD" w14:textId="77777777" w:rsidR="009B1008" w:rsidRPr="006969B3" w:rsidRDefault="009B1008" w:rsidP="00F65283">
      <w:pPr>
        <w:pStyle w:val="NormalWeb"/>
        <w:spacing w:before="0" w:beforeAutospacing="0" w:after="0" w:afterAutospacing="0"/>
        <w:jc w:val="both"/>
        <w:rPr>
          <w:rFonts w:ascii="Arial" w:hAnsi="Arial" w:cs="Arial"/>
          <w:sz w:val="22"/>
          <w:szCs w:val="22"/>
          <w:lang w:val="es-CO"/>
        </w:rPr>
      </w:pPr>
    </w:p>
    <w:p w14:paraId="04A794D6" w14:textId="29567AFE"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2. No serán objeto de saneamiento las obligaciones caducadas o prescritas, aquellas que correspondan a insumos recobrados sin observancia del principio de integralidad, los cobros o recobros que se encuentren involucrados en investigación por la Contraloría General de la República, la Fiscalía General de la Nación y/o la Superintendencia Nacional de Salud o sus referentes territoriales, ni los servicios y tecnologías en salud en los que se advierta alguno de los criterios definidos en el artículo </w:t>
      </w:r>
      <w:r w:rsidRPr="007B5FFA">
        <w:rPr>
          <w:rFonts w:ascii="Arial" w:hAnsi="Arial" w:cs="Arial"/>
          <w:sz w:val="22"/>
          <w:szCs w:val="22"/>
          <w:lang w:val="es-CO"/>
        </w:rPr>
        <w:t>15</w:t>
      </w:r>
      <w:r w:rsidRPr="006969B3">
        <w:rPr>
          <w:rFonts w:ascii="Arial" w:hAnsi="Arial" w:cs="Arial"/>
          <w:sz w:val="22"/>
          <w:szCs w:val="22"/>
          <w:lang w:val="es-CO"/>
        </w:rPr>
        <w:t> de la Ley 1751 de 2015.</w:t>
      </w:r>
    </w:p>
    <w:p w14:paraId="28CDF3F3" w14:textId="77777777" w:rsidR="009B1008" w:rsidRPr="006969B3" w:rsidRDefault="009B1008" w:rsidP="00F65283">
      <w:pPr>
        <w:pStyle w:val="NormalWeb"/>
        <w:spacing w:before="0" w:beforeAutospacing="0" w:after="0" w:afterAutospacing="0"/>
        <w:jc w:val="both"/>
        <w:rPr>
          <w:rFonts w:ascii="Arial" w:hAnsi="Arial" w:cs="Arial"/>
          <w:sz w:val="22"/>
          <w:szCs w:val="22"/>
          <w:lang w:val="es-CO"/>
        </w:rPr>
      </w:pPr>
    </w:p>
    <w:p w14:paraId="2C0599A1" w14:textId="0A318528"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3. Las entidades territoriales podrán disponer de las siguientes fuentes de financiación: rentas cedidas, excedentes de las rentas cedidas, saldos de las cuentas maestras del régimen subsidiado en salud, excedentes del Sistema General de Participaciones de Salud Pública, excedentes y saldos no comprometidos con destino a la prestación de servicios en lo no cubierto con subsidios a la demanda del Sistema General de Participaciones, los recursos de transferencias realizadas por el Ministerio de Salud y Protección Social con cargo a los recursos del Fondo de Solidaridad y Garantías (</w:t>
      </w:r>
      <w:proofErr w:type="spellStart"/>
      <w:r w:rsidRPr="006969B3">
        <w:rPr>
          <w:rFonts w:ascii="Arial" w:hAnsi="Arial" w:cs="Arial"/>
          <w:sz w:val="22"/>
          <w:szCs w:val="22"/>
          <w:lang w:val="es-CO"/>
        </w:rPr>
        <w:t>Fosyga</w:t>
      </w:r>
      <w:proofErr w:type="spellEnd"/>
      <w:r w:rsidRPr="006969B3">
        <w:rPr>
          <w:rFonts w:ascii="Arial" w:hAnsi="Arial" w:cs="Arial"/>
          <w:sz w:val="22"/>
          <w:szCs w:val="22"/>
          <w:lang w:val="es-CO"/>
        </w:rPr>
        <w:t>) de vigencias anteriores y los excedentes del Fondo Nacional de Pensiones de las Entidades Territoriales (</w:t>
      </w:r>
      <w:proofErr w:type="spellStart"/>
      <w:r w:rsidRPr="006969B3">
        <w:rPr>
          <w:rFonts w:ascii="Arial" w:hAnsi="Arial" w:cs="Arial"/>
          <w:sz w:val="22"/>
          <w:szCs w:val="22"/>
          <w:lang w:val="es-CO"/>
        </w:rPr>
        <w:t>Fonpet</w:t>
      </w:r>
      <w:proofErr w:type="spellEnd"/>
      <w:r w:rsidRPr="006969B3">
        <w:rPr>
          <w:rFonts w:ascii="Arial" w:hAnsi="Arial" w:cs="Arial"/>
          <w:sz w:val="22"/>
          <w:szCs w:val="22"/>
          <w:lang w:val="es-CO"/>
        </w:rPr>
        <w:t xml:space="preserve">) del sector salud financiados con </w:t>
      </w:r>
      <w:proofErr w:type="spellStart"/>
      <w:r w:rsidRPr="006969B3">
        <w:rPr>
          <w:rFonts w:ascii="Arial" w:hAnsi="Arial" w:cs="Arial"/>
          <w:sz w:val="22"/>
          <w:szCs w:val="22"/>
          <w:lang w:val="es-CO"/>
        </w:rPr>
        <w:t>Lotto</w:t>
      </w:r>
      <w:proofErr w:type="spellEnd"/>
      <w:r w:rsidRPr="006969B3">
        <w:rPr>
          <w:rFonts w:ascii="Arial" w:hAnsi="Arial" w:cs="Arial"/>
          <w:sz w:val="22"/>
          <w:szCs w:val="22"/>
          <w:lang w:val="es-CO"/>
        </w:rPr>
        <w:t xml:space="preserve"> en línea, sin perjuicio de los usos ya definidos en la ley y del Sistema General de Regalías cuando lo estimen pertinente.</w:t>
      </w:r>
    </w:p>
    <w:p w14:paraId="2B023F6C" w14:textId="77777777" w:rsidR="009B1008" w:rsidRPr="006969B3" w:rsidRDefault="009B1008" w:rsidP="00F65283">
      <w:pPr>
        <w:pStyle w:val="NormalWeb"/>
        <w:spacing w:before="0" w:beforeAutospacing="0" w:after="0" w:afterAutospacing="0"/>
        <w:jc w:val="both"/>
        <w:rPr>
          <w:rFonts w:ascii="Arial" w:hAnsi="Arial" w:cs="Arial"/>
          <w:sz w:val="22"/>
          <w:szCs w:val="22"/>
          <w:lang w:val="es-CO"/>
        </w:rPr>
      </w:pPr>
    </w:p>
    <w:p w14:paraId="6DE37EB1" w14:textId="00146F66"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4. La entidad territorial creará un fondo al cual deberá transferir los recursos mencionados en el anterior numeral para financiar las obligaciones de que trata el presente artículo.</w:t>
      </w:r>
    </w:p>
    <w:p w14:paraId="04E3A76E" w14:textId="77777777" w:rsidR="00667530" w:rsidRPr="006969B3" w:rsidRDefault="00667530" w:rsidP="00F65283">
      <w:pPr>
        <w:pStyle w:val="NormalWeb"/>
        <w:spacing w:before="0" w:beforeAutospacing="0" w:after="0" w:afterAutospacing="0"/>
        <w:jc w:val="both"/>
        <w:rPr>
          <w:rFonts w:ascii="Arial" w:hAnsi="Arial" w:cs="Arial"/>
          <w:sz w:val="22"/>
          <w:szCs w:val="22"/>
          <w:lang w:val="es-CO"/>
        </w:rPr>
      </w:pPr>
    </w:p>
    <w:p w14:paraId="4B8037E6" w14:textId="1237E1F1"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lastRenderedPageBreak/>
        <w:t>5. La entidad territorial deberá ajustar su Marco Fiscal de Mediano Plazo en el curso de la vigencia 2019, en lo referente a la propuesta de ingresos y gastos requerido para dar cumplimiento al saneamiento de las deudas por servicios y tecnologías en salud no financiadas con cargo a la UPC del régimen subsidiado.</w:t>
      </w:r>
    </w:p>
    <w:p w14:paraId="493F088D" w14:textId="77777777" w:rsidR="00667530" w:rsidRPr="006969B3" w:rsidRDefault="00667530" w:rsidP="00F65283">
      <w:pPr>
        <w:pStyle w:val="NormalWeb"/>
        <w:spacing w:before="0" w:beforeAutospacing="0" w:after="0" w:afterAutospacing="0"/>
        <w:jc w:val="both"/>
        <w:rPr>
          <w:rFonts w:ascii="Arial" w:hAnsi="Arial" w:cs="Arial"/>
          <w:sz w:val="22"/>
          <w:szCs w:val="22"/>
          <w:lang w:val="es-CO"/>
        </w:rPr>
      </w:pPr>
    </w:p>
    <w:p w14:paraId="10ED461A" w14:textId="01B649EF"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6. Cuando se trate de servicios y tecnologías en salud prestados con anterioridad a la </w:t>
      </w:r>
      <w:proofErr w:type="gramStart"/>
      <w:r w:rsidRPr="006969B3">
        <w:rPr>
          <w:rFonts w:ascii="Arial" w:hAnsi="Arial" w:cs="Arial"/>
          <w:sz w:val="22"/>
          <w:szCs w:val="22"/>
          <w:lang w:val="es-CO"/>
        </w:rPr>
        <w:t>entrada en vigencia</w:t>
      </w:r>
      <w:proofErr w:type="gramEnd"/>
      <w:r w:rsidRPr="006969B3">
        <w:rPr>
          <w:rFonts w:ascii="Arial" w:hAnsi="Arial" w:cs="Arial"/>
          <w:sz w:val="22"/>
          <w:szCs w:val="22"/>
          <w:lang w:val="es-CO"/>
        </w:rPr>
        <w:t xml:space="preserve"> de la Resolución 1479 de 2015 del Ministerio de Salud y Protección Social, los recobros por dichos servicios y tecnologías deberán ser radicadas por la Entidad Promotora de Salud ante la entidad territorial, siempre y cuando no hayan prescrito ni caducado, para lo cual tendrán un plazo máximo de nueve (9) meses a partir de la entrada en vigencia de la presente Ley.</w:t>
      </w:r>
    </w:p>
    <w:p w14:paraId="4DD1744E" w14:textId="77777777" w:rsidR="00667530" w:rsidRPr="006969B3" w:rsidRDefault="00667530" w:rsidP="00F65283">
      <w:pPr>
        <w:pStyle w:val="NormalWeb"/>
        <w:spacing w:before="0" w:beforeAutospacing="0" w:after="0" w:afterAutospacing="0"/>
        <w:jc w:val="both"/>
        <w:rPr>
          <w:rFonts w:ascii="Arial" w:hAnsi="Arial" w:cs="Arial"/>
          <w:sz w:val="22"/>
          <w:szCs w:val="22"/>
          <w:lang w:val="es-CO"/>
        </w:rPr>
      </w:pPr>
    </w:p>
    <w:p w14:paraId="79A71B39" w14:textId="2C9AE860"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7. Cuando se trate de servicios prestados con posterioridad a la </w:t>
      </w:r>
      <w:proofErr w:type="gramStart"/>
      <w:r w:rsidRPr="006969B3">
        <w:rPr>
          <w:rFonts w:ascii="Arial" w:hAnsi="Arial" w:cs="Arial"/>
          <w:sz w:val="22"/>
          <w:szCs w:val="22"/>
          <w:lang w:val="es-CO"/>
        </w:rPr>
        <w:t>entrada en vigencia</w:t>
      </w:r>
      <w:proofErr w:type="gramEnd"/>
      <w:r w:rsidRPr="006969B3">
        <w:rPr>
          <w:rFonts w:ascii="Arial" w:hAnsi="Arial" w:cs="Arial"/>
          <w:sz w:val="22"/>
          <w:szCs w:val="22"/>
          <w:lang w:val="es-CO"/>
        </w:rPr>
        <w:t xml:space="preserve"> de la Resolución 1479 de 2015 del Ministerio de Salud y Protección Social, los cobros por servicios y tecnologías no financiados con cargo a la UPC deberán reconocerse a través de los modelos establecidos en el capítulo I y II de la mencionada resolución. Para ello, las Entidades Promotoras de Salud tendrán que trasladar todas las facturas a la entidad territorial, antes del 31 de diciembre de 2019, so pena de entenderse subrogadas en la posición de la entidad territorial.</w:t>
      </w:r>
    </w:p>
    <w:p w14:paraId="5F9D4580" w14:textId="77777777" w:rsidR="00667530" w:rsidRPr="006969B3" w:rsidRDefault="00667530" w:rsidP="00F65283">
      <w:pPr>
        <w:pStyle w:val="NormalWeb"/>
        <w:spacing w:before="0" w:beforeAutospacing="0" w:after="0" w:afterAutospacing="0"/>
        <w:jc w:val="both"/>
        <w:rPr>
          <w:rFonts w:ascii="Arial" w:hAnsi="Arial" w:cs="Arial"/>
          <w:sz w:val="22"/>
          <w:szCs w:val="22"/>
          <w:lang w:val="es-CO"/>
        </w:rPr>
      </w:pPr>
    </w:p>
    <w:p w14:paraId="1ACC5A5D" w14:textId="7767AE79"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8. Los servicios y tecnologías no financiados con cargo a la UPC prestados con posterioridad a la </w:t>
      </w:r>
      <w:proofErr w:type="gramStart"/>
      <w:r w:rsidRPr="006969B3">
        <w:rPr>
          <w:rFonts w:ascii="Arial" w:hAnsi="Arial" w:cs="Arial"/>
          <w:sz w:val="22"/>
          <w:szCs w:val="22"/>
          <w:lang w:val="es-CO"/>
        </w:rPr>
        <w:t>entrada en vigencia</w:t>
      </w:r>
      <w:proofErr w:type="gramEnd"/>
      <w:r w:rsidRPr="006969B3">
        <w:rPr>
          <w:rFonts w:ascii="Arial" w:hAnsi="Arial" w:cs="Arial"/>
          <w:sz w:val="22"/>
          <w:szCs w:val="22"/>
          <w:lang w:val="es-CO"/>
        </w:rPr>
        <w:t xml:space="preserve"> de la presente Ley y hasta el 31 de diciembre de 2019, deberán ser cobrados o recobrados a las entidades territoriales dentro de los seis (6) meses siguientes a su prestación. De lo contrario, no podrán ser objeto del saneamiento dispuesto en este artículo.</w:t>
      </w:r>
    </w:p>
    <w:p w14:paraId="644C599B" w14:textId="77777777" w:rsidR="000537C1" w:rsidRDefault="000537C1" w:rsidP="00F65283">
      <w:pPr>
        <w:pStyle w:val="NormalWeb"/>
        <w:spacing w:before="0" w:beforeAutospacing="0" w:after="0" w:afterAutospacing="0"/>
        <w:jc w:val="both"/>
        <w:rPr>
          <w:rFonts w:ascii="Arial" w:hAnsi="Arial" w:cs="Arial"/>
          <w:sz w:val="22"/>
          <w:szCs w:val="22"/>
          <w:lang w:val="es-CO"/>
        </w:rPr>
      </w:pPr>
    </w:p>
    <w:p w14:paraId="2CB3509E" w14:textId="436A6909"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Cumplidas las reglas señaladas en los numerales anteriores, la entidad territorial procederá a suscribir los acuerdos de pago con las EPS e IPS de acuerdo con la disponibilidad de recursos del fondo constituido según lo dispuesto en los numerales 3 y 4 de este artículo.</w:t>
      </w:r>
    </w:p>
    <w:p w14:paraId="6394CB08" w14:textId="77777777" w:rsidR="00667530" w:rsidRPr="006969B3" w:rsidRDefault="00667530" w:rsidP="00F65283">
      <w:pPr>
        <w:pStyle w:val="NormalWeb"/>
        <w:spacing w:before="0" w:beforeAutospacing="0" w:after="0" w:afterAutospacing="0"/>
        <w:jc w:val="both"/>
        <w:rPr>
          <w:rFonts w:ascii="Arial" w:hAnsi="Arial" w:cs="Arial"/>
          <w:sz w:val="22"/>
          <w:szCs w:val="22"/>
          <w:lang w:val="es-CO"/>
        </w:rPr>
      </w:pPr>
    </w:p>
    <w:p w14:paraId="76288507" w14:textId="2F802EEB"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 Nación podrá cofinanciar el pago de las deudas de los servicios y tecnologías en salud no financiadas con cargo a la UPC del régimen subsidiado que agoten el procedimiento descrito en este artículo, siempre y cuando se cumplan las siguientes condiciones:</w:t>
      </w:r>
    </w:p>
    <w:p w14:paraId="0408ECB3" w14:textId="77777777" w:rsidR="00667530" w:rsidRPr="006969B3" w:rsidRDefault="00667530" w:rsidP="00F65283">
      <w:pPr>
        <w:pStyle w:val="NormalWeb"/>
        <w:spacing w:before="0" w:beforeAutospacing="0" w:after="0" w:afterAutospacing="0"/>
        <w:jc w:val="both"/>
        <w:rPr>
          <w:rFonts w:ascii="Arial" w:hAnsi="Arial" w:cs="Arial"/>
          <w:sz w:val="22"/>
          <w:szCs w:val="22"/>
          <w:lang w:val="es-CO"/>
        </w:rPr>
      </w:pPr>
    </w:p>
    <w:p w14:paraId="0B845043" w14:textId="5E3DCDB1"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 Que se hayan agotado las fuentes de financiación con las que cuenta la entidad territorial para el pago de estas obligaciones. Para el efecto el Ministerio de Hacienda y Crédito Público, con el apoyo del Ministerio de Salud y Protección Social y del Departamento Nacional de Planeación, evaluará el esfuerzo fiscal de las entidades territoriales para el pago de estos pasivos y definirá el monto a financiar premiando a aquellas que hayan realizado mayores esfuerzos.</w:t>
      </w:r>
    </w:p>
    <w:p w14:paraId="2CBC939B" w14:textId="77777777" w:rsidR="00667530" w:rsidRPr="006969B3" w:rsidRDefault="00667530" w:rsidP="00F65283">
      <w:pPr>
        <w:pStyle w:val="NormalWeb"/>
        <w:spacing w:before="0" w:beforeAutospacing="0" w:after="0" w:afterAutospacing="0"/>
        <w:jc w:val="both"/>
        <w:rPr>
          <w:rFonts w:ascii="Arial" w:hAnsi="Arial" w:cs="Arial"/>
          <w:sz w:val="22"/>
          <w:szCs w:val="22"/>
          <w:lang w:val="es-CO"/>
        </w:rPr>
      </w:pPr>
    </w:p>
    <w:p w14:paraId="6E07D169" w14:textId="656D49FE"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b) Que la entidad territorial suscriba un contrato de transacción con la entidad acreedora que incluya como mínimo:</w:t>
      </w:r>
    </w:p>
    <w:p w14:paraId="5366A465" w14:textId="77777777" w:rsidR="00667530" w:rsidRPr="006969B3" w:rsidRDefault="00667530" w:rsidP="00F65283">
      <w:pPr>
        <w:pStyle w:val="NormalWeb"/>
        <w:spacing w:before="0" w:beforeAutospacing="0" w:after="0" w:afterAutospacing="0"/>
        <w:jc w:val="both"/>
        <w:rPr>
          <w:rFonts w:ascii="Arial" w:hAnsi="Arial" w:cs="Arial"/>
          <w:sz w:val="22"/>
          <w:szCs w:val="22"/>
          <w:lang w:val="es-CO"/>
        </w:rPr>
      </w:pPr>
    </w:p>
    <w:p w14:paraId="3CF99664" w14:textId="59775E39"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i) La renuncia expresa de la entidad que esté realizando el cobro o recobro a instaurar o desistir de cualquier acción judicial o administrativa relacionada con la solicitud de pago elevada.</w:t>
      </w:r>
    </w:p>
    <w:p w14:paraId="3CF96513" w14:textId="77777777" w:rsidR="00667530" w:rsidRPr="006969B3" w:rsidRDefault="00667530" w:rsidP="00F65283">
      <w:pPr>
        <w:pStyle w:val="NormalWeb"/>
        <w:spacing w:before="0" w:beforeAutospacing="0" w:after="0" w:afterAutospacing="0"/>
        <w:jc w:val="both"/>
        <w:rPr>
          <w:rFonts w:ascii="Arial" w:hAnsi="Arial" w:cs="Arial"/>
          <w:sz w:val="22"/>
          <w:szCs w:val="22"/>
          <w:lang w:val="es-CO"/>
        </w:rPr>
      </w:pPr>
    </w:p>
    <w:p w14:paraId="4E0B4DDF" w14:textId="23BDA1EA" w:rsidR="00677B00" w:rsidRPr="006969B3" w:rsidRDefault="00677B00" w:rsidP="00F65283">
      <w:pPr>
        <w:pStyle w:val="NormalWeb"/>
        <w:spacing w:before="0" w:beforeAutospacing="0" w:after="0" w:afterAutospacing="0"/>
        <w:jc w:val="both"/>
        <w:rPr>
          <w:rFonts w:ascii="Arial" w:hAnsi="Arial" w:cs="Arial"/>
          <w:sz w:val="22"/>
          <w:szCs w:val="22"/>
          <w:lang w:val="es-CO"/>
        </w:rPr>
      </w:pPr>
      <w:proofErr w:type="spellStart"/>
      <w:r w:rsidRPr="006969B3">
        <w:rPr>
          <w:rFonts w:ascii="Arial" w:hAnsi="Arial" w:cs="Arial"/>
          <w:sz w:val="22"/>
          <w:szCs w:val="22"/>
          <w:lang w:val="es-CO"/>
        </w:rPr>
        <w:t>ii</w:t>
      </w:r>
      <w:proofErr w:type="spellEnd"/>
      <w:r w:rsidRPr="006969B3">
        <w:rPr>
          <w:rFonts w:ascii="Arial" w:hAnsi="Arial" w:cs="Arial"/>
          <w:sz w:val="22"/>
          <w:szCs w:val="22"/>
          <w:lang w:val="es-CO"/>
        </w:rPr>
        <w:t>) La obligación de la entidad territorial y la entidad que está realizando el recobro de revelar y depurar en sus estados financieros los resultados del proceso de verificación y control.</w:t>
      </w:r>
    </w:p>
    <w:p w14:paraId="1F0BFD4D" w14:textId="77777777" w:rsidR="00667530" w:rsidRPr="006969B3" w:rsidRDefault="00667530" w:rsidP="00F65283">
      <w:pPr>
        <w:pStyle w:val="NormalWeb"/>
        <w:spacing w:before="0" w:beforeAutospacing="0" w:after="0" w:afterAutospacing="0"/>
        <w:jc w:val="both"/>
        <w:rPr>
          <w:rFonts w:ascii="Arial" w:hAnsi="Arial" w:cs="Arial"/>
          <w:sz w:val="22"/>
          <w:szCs w:val="22"/>
          <w:lang w:val="es-CO"/>
        </w:rPr>
      </w:pPr>
    </w:p>
    <w:p w14:paraId="22B75229" w14:textId="46A7664A" w:rsidR="00677B00" w:rsidRPr="006969B3" w:rsidRDefault="00677B00" w:rsidP="00F65283">
      <w:pPr>
        <w:pStyle w:val="NormalWeb"/>
        <w:spacing w:before="0" w:beforeAutospacing="0" w:after="0" w:afterAutospacing="0"/>
        <w:jc w:val="both"/>
        <w:rPr>
          <w:rFonts w:ascii="Arial" w:hAnsi="Arial" w:cs="Arial"/>
          <w:sz w:val="22"/>
          <w:szCs w:val="22"/>
          <w:lang w:val="es-CO"/>
        </w:rPr>
      </w:pPr>
      <w:proofErr w:type="spellStart"/>
      <w:r w:rsidRPr="006969B3">
        <w:rPr>
          <w:rFonts w:ascii="Arial" w:hAnsi="Arial" w:cs="Arial"/>
          <w:sz w:val="22"/>
          <w:szCs w:val="22"/>
          <w:lang w:val="es-CO"/>
        </w:rPr>
        <w:lastRenderedPageBreak/>
        <w:t>iii</w:t>
      </w:r>
      <w:proofErr w:type="spellEnd"/>
      <w:r w:rsidRPr="006969B3">
        <w:rPr>
          <w:rFonts w:ascii="Arial" w:hAnsi="Arial" w:cs="Arial"/>
          <w:sz w:val="22"/>
          <w:szCs w:val="22"/>
          <w:lang w:val="es-CO"/>
        </w:rPr>
        <w:t>) La renuncia expresa de la entidad que esté realizando el cobro o recobro a cualquier tipo de interés y otros gastos, independientemente de su denominación sobre las cuentas presentadas, al momento de radicarlas por este mecanismo.</w:t>
      </w:r>
    </w:p>
    <w:p w14:paraId="0B1B4535" w14:textId="77777777" w:rsidR="00667530" w:rsidRPr="006969B3" w:rsidRDefault="00667530" w:rsidP="00F65283">
      <w:pPr>
        <w:pStyle w:val="NormalWeb"/>
        <w:spacing w:before="0" w:beforeAutospacing="0" w:after="0" w:afterAutospacing="0"/>
        <w:jc w:val="both"/>
        <w:rPr>
          <w:rFonts w:ascii="Arial" w:hAnsi="Arial" w:cs="Arial"/>
          <w:sz w:val="22"/>
          <w:szCs w:val="22"/>
          <w:lang w:val="es-CO"/>
        </w:rPr>
      </w:pPr>
    </w:p>
    <w:p w14:paraId="6DD7A2D1" w14:textId="2A013356"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c) Que el representante legal de la Entidad Territorial certifique los montos resultantes. El Gobierno nacional podrá remitir los resultados de las auditorías a los organismos de control para lo de su competencia.</w:t>
      </w:r>
    </w:p>
    <w:p w14:paraId="5A4BB6B9" w14:textId="77777777" w:rsidR="00667530" w:rsidRPr="006969B3" w:rsidRDefault="00667530" w:rsidP="00F65283">
      <w:pPr>
        <w:pStyle w:val="NormalWeb"/>
        <w:spacing w:before="0" w:beforeAutospacing="0" w:after="0" w:afterAutospacing="0"/>
        <w:jc w:val="both"/>
        <w:rPr>
          <w:rFonts w:ascii="Arial" w:hAnsi="Arial" w:cs="Arial"/>
          <w:sz w:val="22"/>
          <w:szCs w:val="22"/>
          <w:lang w:val="es-CO"/>
        </w:rPr>
      </w:pPr>
    </w:p>
    <w:p w14:paraId="048E2769" w14:textId="29FC4D8E"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Para cofinanciar el pago de las deudas de los servicios y tecnologías en salud no financiadas con cargo a la Unidad de Pago por Capitación -UPC- del régimen subsidiado, autorícese al Gobierno nacional a realizar operaciones de crédito en las vigencias 2020 y 2021. La Dirección General de Crédito Público y Tesoro Nacional del Ministerio de Hacienda y Crédito Público, administrará, en una cuenta independiente, el cupo de emisión de deuda que se destine a la atención de las obligaciones de pago originadas en este artículo. Para los efectos previstos en este inciso, la Dirección General de Crédito Público y Tesoro Nacional estará facultada para realizar las operaciones necesarias en el mercado monetario y de deuda pública. Las operaciones de crédito público no implican operación presupuestal y solo deberá presupuestarse para efectos de su redención y pago de intereses. El Gobierno nacional reglamentará los términos y condiciones en (os cuales operará la cofinanciación de la Nación.</w:t>
      </w:r>
    </w:p>
    <w:p w14:paraId="4E766631" w14:textId="77777777" w:rsidR="00667530" w:rsidRPr="006969B3" w:rsidRDefault="00667530" w:rsidP="00F65283">
      <w:pPr>
        <w:pStyle w:val="NormalWeb"/>
        <w:spacing w:before="0" w:beforeAutospacing="0" w:after="0" w:afterAutospacing="0"/>
        <w:jc w:val="both"/>
        <w:rPr>
          <w:rStyle w:val="baj"/>
          <w:rFonts w:ascii="Arial" w:hAnsi="Arial" w:cs="Arial"/>
          <w:sz w:val="22"/>
          <w:szCs w:val="22"/>
          <w:lang w:val="es-CO"/>
        </w:rPr>
      </w:pPr>
    </w:p>
    <w:p w14:paraId="79DC6CF4" w14:textId="489D1423"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Los servicios y tecnologías en salud no financiadas con cargo a la UPC que resulten aprobados mediante lo definido en el presente artículo no podrán exceder el valor máximo definido por el Gobierno nacional.</w:t>
      </w:r>
    </w:p>
    <w:p w14:paraId="4D1A54C3" w14:textId="77777777" w:rsidR="009D0A59" w:rsidRPr="006969B3" w:rsidRDefault="009D0A59" w:rsidP="00F65283">
      <w:pPr>
        <w:pStyle w:val="NormalWeb"/>
        <w:spacing w:before="0" w:beforeAutospacing="0" w:after="0" w:afterAutospacing="0"/>
        <w:jc w:val="both"/>
        <w:rPr>
          <w:rFonts w:ascii="Arial" w:hAnsi="Arial" w:cs="Arial"/>
          <w:sz w:val="22"/>
          <w:szCs w:val="22"/>
          <w:lang w:val="es-CO"/>
        </w:rPr>
      </w:pPr>
    </w:p>
    <w:p w14:paraId="184CCFEB" w14:textId="77777777"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El resultado de los procesos de saneamiento de que trata el presente artículo deberá reflejarse en los estados financieros de las entidades involucradas, dando cumplimiento a las normas de contabilidad, de información financiera y demás instrucciones vigentes sobre la materia, de tal forma que los estados financieros reflejen la realidad económica de estas entidades. La Superintendencia Nacional de Salud implementará un sistema de seguimiento que permita que el saneamiento se refleje en los estados financieros de las EPS y de las IPS.</w:t>
      </w:r>
    </w:p>
    <w:p w14:paraId="10023CDF" w14:textId="77777777" w:rsidR="00667530" w:rsidRPr="006969B3" w:rsidRDefault="00667530" w:rsidP="00F65283">
      <w:pPr>
        <w:pStyle w:val="NormalWeb"/>
        <w:spacing w:before="0" w:beforeAutospacing="0" w:after="0" w:afterAutospacing="0"/>
        <w:jc w:val="both"/>
        <w:rPr>
          <w:rFonts w:ascii="Arial" w:hAnsi="Arial" w:cs="Arial"/>
          <w:sz w:val="22"/>
          <w:szCs w:val="22"/>
          <w:lang w:val="es-CO"/>
        </w:rPr>
      </w:pPr>
    </w:p>
    <w:p w14:paraId="55D126D6" w14:textId="7E58B16E"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incumplimiento de esta obligación dará lugar a las sanciones contenidas en la Ley </w:t>
      </w:r>
      <w:r w:rsidRPr="007B5FFA">
        <w:rPr>
          <w:rFonts w:ascii="Arial" w:hAnsi="Arial" w:cs="Arial"/>
          <w:sz w:val="22"/>
          <w:szCs w:val="22"/>
          <w:lang w:val="es-CO"/>
        </w:rPr>
        <w:t>1949</w:t>
      </w:r>
      <w:r w:rsidRPr="006969B3">
        <w:rPr>
          <w:rFonts w:ascii="Arial" w:hAnsi="Arial" w:cs="Arial"/>
          <w:sz w:val="22"/>
          <w:szCs w:val="22"/>
          <w:lang w:val="es-CO"/>
        </w:rPr>
        <w:t> de 2019. Los representantes legales, administradores, contadores y revisores fiscales que ordenen, toleren, hagan o encubran falsedades cometidas en los balances, incurrirán en las sanciones previstas en la Ley </w:t>
      </w:r>
      <w:r w:rsidRPr="007B5FFA">
        <w:rPr>
          <w:rFonts w:ascii="Arial" w:hAnsi="Arial" w:cs="Arial"/>
          <w:sz w:val="22"/>
          <w:szCs w:val="22"/>
          <w:lang w:val="es-CO"/>
        </w:rPr>
        <w:t>599</w:t>
      </w:r>
      <w:r w:rsidRPr="006969B3">
        <w:rPr>
          <w:rFonts w:ascii="Arial" w:hAnsi="Arial" w:cs="Arial"/>
          <w:sz w:val="22"/>
          <w:szCs w:val="22"/>
          <w:lang w:val="es-CO"/>
        </w:rPr>
        <w:t> de 2000, así como fraudes y los demás relacionados que se configuren de acuerdo con su ocurrencia.</w:t>
      </w:r>
    </w:p>
    <w:p w14:paraId="52752BA5" w14:textId="77777777" w:rsidR="00667530" w:rsidRPr="006969B3" w:rsidRDefault="00667530" w:rsidP="00F65283">
      <w:pPr>
        <w:pStyle w:val="NormalWeb"/>
        <w:spacing w:before="0" w:beforeAutospacing="0" w:after="0" w:afterAutospacing="0"/>
        <w:jc w:val="both"/>
        <w:rPr>
          <w:rStyle w:val="baj"/>
          <w:rFonts w:ascii="Arial" w:hAnsi="Arial" w:cs="Arial"/>
          <w:sz w:val="22"/>
          <w:szCs w:val="22"/>
          <w:lang w:val="es-CO"/>
        </w:rPr>
      </w:pPr>
    </w:p>
    <w:p w14:paraId="53CBCFFC" w14:textId="40E5FF05"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3o.</w:t>
      </w:r>
      <w:r w:rsidRPr="006969B3">
        <w:rPr>
          <w:rFonts w:ascii="Arial" w:hAnsi="Arial" w:cs="Arial"/>
          <w:sz w:val="22"/>
          <w:szCs w:val="22"/>
          <w:lang w:val="es-CO"/>
        </w:rPr>
        <w:t> Los beneficiarios, a través de los instrumentos de crédito público, cederán su titularidad, cuando tengan deudas asociadas a la prestación de servicios y tecnologías no financiados con la UPC del régimen subsidiado, a los agentes del Sistema General de Seguridad Social en Salud (SGSSS) que hayan prestado o suministrado dichos servicios, tales como las Instituciones Prestadoras de Servicios de Salud, quienes a su vez priorizarán las deudas laborales, en caso de tenerlas. Como requisito para la cesión de su titularidad, las EPS deberán acreditar haber surtido la conciliación de las cuentas a pagar.</w:t>
      </w:r>
    </w:p>
    <w:p w14:paraId="62914F99" w14:textId="77777777" w:rsidR="00667530" w:rsidRPr="006969B3" w:rsidRDefault="00667530" w:rsidP="00F65283">
      <w:pPr>
        <w:pStyle w:val="NormalWeb"/>
        <w:spacing w:before="0" w:beforeAutospacing="0" w:after="0" w:afterAutospacing="0"/>
        <w:jc w:val="both"/>
        <w:rPr>
          <w:rStyle w:val="baj"/>
          <w:rFonts w:ascii="Arial" w:hAnsi="Arial" w:cs="Arial"/>
          <w:sz w:val="22"/>
          <w:szCs w:val="22"/>
          <w:lang w:val="es-CO"/>
        </w:rPr>
      </w:pPr>
    </w:p>
    <w:p w14:paraId="4CF6D422" w14:textId="7418480F"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4o.</w:t>
      </w:r>
      <w:r w:rsidRPr="006969B3">
        <w:rPr>
          <w:rFonts w:ascii="Arial" w:hAnsi="Arial" w:cs="Arial"/>
          <w:sz w:val="22"/>
          <w:szCs w:val="22"/>
          <w:lang w:val="es-CO"/>
        </w:rPr>
        <w:t> Los responsables de las Instituciones Prestadoras de Servicios de Salud públicas que en el marco de este mecanismo apliquen lo dispuesto en el presente artículo, no incurrirán en falta disciplinaria, fiscal o penal.</w:t>
      </w:r>
    </w:p>
    <w:p w14:paraId="20610C32" w14:textId="77777777" w:rsidR="007F410D" w:rsidRPr="006969B3" w:rsidRDefault="007F410D" w:rsidP="00F65283">
      <w:pPr>
        <w:pStyle w:val="NormalWeb"/>
        <w:spacing w:before="0" w:beforeAutospacing="0" w:after="0" w:afterAutospacing="0"/>
        <w:jc w:val="both"/>
        <w:rPr>
          <w:rStyle w:val="baj"/>
          <w:rFonts w:ascii="Arial" w:hAnsi="Arial" w:cs="Arial"/>
          <w:sz w:val="22"/>
          <w:szCs w:val="22"/>
          <w:lang w:val="es-CO"/>
        </w:rPr>
      </w:pPr>
    </w:p>
    <w:p w14:paraId="3434F12C" w14:textId="0B14B8D0"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lastRenderedPageBreak/>
        <w:t>PARÁGRAFO 5o.</w:t>
      </w:r>
      <w:r w:rsidRPr="006969B3">
        <w:rPr>
          <w:rFonts w:ascii="Arial" w:hAnsi="Arial" w:cs="Arial"/>
          <w:sz w:val="22"/>
          <w:szCs w:val="22"/>
          <w:lang w:val="es-CO"/>
        </w:rPr>
        <w:t> Para el trámite de presentación, registro, aprobación o reconocimiento de valores del cobro o recobro mediante factura o cualquier documento que soporte el cobro por este mecanismo, se tendrá en cuenta lo dispuesto en Ley </w:t>
      </w:r>
      <w:r w:rsidRPr="007B5FFA">
        <w:rPr>
          <w:rFonts w:ascii="Arial" w:hAnsi="Arial" w:cs="Arial"/>
          <w:sz w:val="22"/>
          <w:szCs w:val="22"/>
          <w:lang w:val="es-CO"/>
        </w:rPr>
        <w:t>599</w:t>
      </w:r>
      <w:r w:rsidRPr="006969B3">
        <w:rPr>
          <w:rFonts w:ascii="Arial" w:hAnsi="Arial" w:cs="Arial"/>
          <w:sz w:val="22"/>
          <w:szCs w:val="22"/>
          <w:lang w:val="es-CO"/>
        </w:rPr>
        <w:t> de 2000 en términos de configuración de conductas relacionadas con la comisión de falsedades, inconsistencias, adulteraciones o cualquier situación fraudulenta o irregular constitutiva de una sanción penal, y serán puestas en conocimiento de la autoridad competente por parte de la persona que lo conozca.</w:t>
      </w:r>
    </w:p>
    <w:p w14:paraId="77709701" w14:textId="77777777" w:rsidR="007F410D" w:rsidRPr="006969B3" w:rsidRDefault="007F410D" w:rsidP="00F65283">
      <w:pPr>
        <w:pStyle w:val="NormalWeb"/>
        <w:spacing w:before="0" w:beforeAutospacing="0" w:after="0" w:afterAutospacing="0"/>
        <w:jc w:val="both"/>
        <w:rPr>
          <w:rStyle w:val="baj"/>
          <w:rFonts w:ascii="Arial" w:hAnsi="Arial" w:cs="Arial"/>
          <w:sz w:val="22"/>
          <w:szCs w:val="22"/>
          <w:lang w:val="es-CO"/>
        </w:rPr>
      </w:pPr>
    </w:p>
    <w:p w14:paraId="6E14F023" w14:textId="23AE0A28" w:rsidR="00677B00" w:rsidRPr="006969B3" w:rsidRDefault="3FCC10C5" w:rsidP="00F65283">
      <w:pPr>
        <w:pStyle w:val="NormalWeb"/>
        <w:spacing w:before="0" w:beforeAutospacing="0" w:after="0" w:afterAutospacing="0"/>
        <w:jc w:val="both"/>
        <w:rPr>
          <w:rFonts w:ascii="Arial" w:hAnsi="Arial" w:cs="Arial"/>
          <w:sz w:val="22"/>
          <w:szCs w:val="22"/>
          <w:lang w:val="es-CO"/>
        </w:rPr>
      </w:pPr>
      <w:r w:rsidRPr="0AA3015D">
        <w:rPr>
          <w:rStyle w:val="baj"/>
          <w:rFonts w:ascii="Arial" w:hAnsi="Arial" w:cs="Arial"/>
          <w:sz w:val="22"/>
          <w:szCs w:val="22"/>
          <w:lang w:val="es-CO"/>
        </w:rPr>
        <w:t>PARÁGRAFO 6o.</w:t>
      </w:r>
      <w:r w:rsidRPr="0AA3015D">
        <w:rPr>
          <w:rFonts w:ascii="Arial" w:hAnsi="Arial" w:cs="Arial"/>
          <w:sz w:val="22"/>
          <w:szCs w:val="22"/>
          <w:lang w:val="es-CO"/>
        </w:rPr>
        <w:t xml:space="preserve"> Durante el término de la emergencia sanitaria declarada por el Ministerio de Salud y Protección Social, suspéndase el plazo dispuesto en el numeral 8 del presente artículo. El término se reanudará a partir del día hábil siguiente a su culminación.</w:t>
      </w:r>
    </w:p>
    <w:p w14:paraId="33D22ACC" w14:textId="77777777" w:rsidR="005E136D" w:rsidRDefault="005E136D" w:rsidP="0AA3015D">
      <w:pPr>
        <w:pStyle w:val="NormalWeb"/>
        <w:spacing w:before="0" w:beforeAutospacing="0" w:after="0" w:afterAutospacing="0"/>
        <w:jc w:val="both"/>
      </w:pPr>
    </w:p>
    <w:p w14:paraId="3745E79F" w14:textId="0E9C1DEC" w:rsidR="007F410D" w:rsidRPr="005E136D" w:rsidRDefault="005E136D" w:rsidP="0AA3015D">
      <w:pPr>
        <w:pStyle w:val="NormalWeb"/>
        <w:spacing w:before="0" w:beforeAutospacing="0" w:after="0" w:afterAutospacing="0"/>
        <w:jc w:val="both"/>
        <w:rPr>
          <w:rStyle w:val="Hipervnculo"/>
          <w:rFonts w:ascii="Arial" w:eastAsia="Arial" w:hAnsi="Arial" w:cs="Arial"/>
          <w:sz w:val="20"/>
          <w:szCs w:val="20"/>
          <w:lang w:val="es"/>
        </w:rPr>
      </w:pPr>
      <w:r w:rsidRPr="005E136D">
        <w:rPr>
          <w:rFonts w:ascii="Arial" w:hAnsi="Arial" w:cs="Arial"/>
          <w:sz w:val="20"/>
          <w:szCs w:val="20"/>
        </w:rPr>
        <w:t xml:space="preserve">Ver </w:t>
      </w:r>
      <w:proofErr w:type="spellStart"/>
      <w:r w:rsidRPr="005E136D">
        <w:rPr>
          <w:rFonts w:ascii="Arial" w:hAnsi="Arial" w:cs="Arial"/>
          <w:sz w:val="20"/>
          <w:szCs w:val="20"/>
        </w:rPr>
        <w:t>concepto</w:t>
      </w:r>
      <w:proofErr w:type="spellEnd"/>
      <w:r w:rsidRPr="005E136D">
        <w:rPr>
          <w:rFonts w:ascii="Arial" w:hAnsi="Arial" w:cs="Arial"/>
          <w:sz w:val="20"/>
          <w:szCs w:val="20"/>
        </w:rPr>
        <w:t xml:space="preserve">: </w:t>
      </w:r>
      <w:hyperlink>
        <w:r w:rsidR="0AA3015D" w:rsidRPr="005E136D">
          <w:rPr>
            <w:rStyle w:val="Hipervnculo"/>
            <w:rFonts w:ascii="Arial" w:eastAsia="Arial" w:hAnsi="Arial" w:cs="Arial"/>
            <w:sz w:val="20"/>
            <w:szCs w:val="20"/>
            <w:lang w:val="es"/>
          </w:rPr>
          <w:t>C-275 del 09/05/2022</w:t>
        </w:r>
      </w:hyperlink>
      <w:bookmarkStart w:id="257" w:name="239"/>
    </w:p>
    <w:p w14:paraId="7E70F43B" w14:textId="77777777" w:rsidR="005E136D" w:rsidRPr="006969B3" w:rsidRDefault="005E136D" w:rsidP="0AA3015D">
      <w:pPr>
        <w:pStyle w:val="NormalWeb"/>
        <w:spacing w:before="0" w:beforeAutospacing="0" w:after="0" w:afterAutospacing="0"/>
        <w:jc w:val="both"/>
        <w:rPr>
          <w:lang w:val="es-CO"/>
        </w:rPr>
      </w:pPr>
    </w:p>
    <w:p w14:paraId="10A63917" w14:textId="6DC8DE16"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239. GIRO DIRECTO.</w:t>
      </w:r>
      <w:bookmarkEnd w:id="257"/>
      <w:r w:rsidRPr="006969B3">
        <w:rPr>
          <w:rFonts w:ascii="Arial" w:hAnsi="Arial" w:cs="Arial"/>
          <w:sz w:val="22"/>
          <w:szCs w:val="22"/>
          <w:lang w:val="es-CO"/>
        </w:rPr>
        <w:t>  La Administradora de los Recursos del Sistema General de Seguridad Social en Salud (ADRES) en nombre de las Entidades Promotoras de Salud y demás Entidades Obligadas a Compensar, realizará el giro directo de los recursos de las Unidades de Pago por Capitación (UPC) de los regímenes contributivo y subsidiado destinadas a la prestación de servicios de salud, a todas las instituciones y entidades que presten dichos servicios y que provean tecnologías incluidas en el plan de beneficios, así como a los proveedores, de conformidad con los porcentajes y condiciones que defina el Ministerio de Salud y Protección Social. También aplicará transitoriamente el giro directo de los recursos asociados al pago de los servicios y tecnologías de salud no financiados con recursos de la UPC para los regímenes contributivo y subsidiado, según lo dispuesto en el presente artículo.</w:t>
      </w:r>
    </w:p>
    <w:p w14:paraId="5D3309BC" w14:textId="77777777" w:rsidR="009D0A59" w:rsidRPr="006969B3" w:rsidRDefault="009D0A59" w:rsidP="00F65283">
      <w:pPr>
        <w:pStyle w:val="NormalWeb"/>
        <w:spacing w:before="0" w:beforeAutospacing="0" w:after="0" w:afterAutospacing="0"/>
        <w:jc w:val="both"/>
        <w:rPr>
          <w:rFonts w:ascii="Arial" w:hAnsi="Arial" w:cs="Arial"/>
          <w:sz w:val="22"/>
          <w:szCs w:val="22"/>
          <w:lang w:val="es-CO"/>
        </w:rPr>
      </w:pPr>
    </w:p>
    <w:p w14:paraId="53E8EB51" w14:textId="77777777"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La información de este mecanismo será de consulta pública.</w:t>
      </w:r>
    </w:p>
    <w:p w14:paraId="3FFD26DF" w14:textId="77777777" w:rsidR="007F410D" w:rsidRPr="006969B3" w:rsidRDefault="007F410D" w:rsidP="00F65283">
      <w:pPr>
        <w:pStyle w:val="NormalWeb"/>
        <w:spacing w:before="0" w:beforeAutospacing="0" w:after="0" w:afterAutospacing="0"/>
        <w:jc w:val="both"/>
        <w:rPr>
          <w:rStyle w:val="baj"/>
          <w:rFonts w:ascii="Arial" w:hAnsi="Arial" w:cs="Arial"/>
          <w:sz w:val="22"/>
          <w:szCs w:val="22"/>
          <w:lang w:val="es-CO"/>
        </w:rPr>
      </w:pPr>
    </w:p>
    <w:p w14:paraId="2998529A" w14:textId="0FD380B4"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Sin perjuicio de las funciones de Inspección, Vigilancia y Control de la Superintendencia Nacional de Salud, el Ministerio de Salud y Protección Social realizará el seguimiento permanente a la oportunidad del giro de los recursos, así como a su programación, destinación y ejecución por las Entidades Administradoras de Planes de Beneficios, instituciones prestadoras y proveedores de tecnologías en salud, últimos responsables de estos procesos.</w:t>
      </w:r>
    </w:p>
    <w:p w14:paraId="70ABBF1E" w14:textId="77777777" w:rsidR="007F410D" w:rsidRPr="006969B3" w:rsidRDefault="007F410D" w:rsidP="00F65283">
      <w:pPr>
        <w:pStyle w:val="NormalWeb"/>
        <w:spacing w:before="0" w:beforeAutospacing="0" w:after="0" w:afterAutospacing="0"/>
        <w:jc w:val="both"/>
        <w:rPr>
          <w:rStyle w:val="baj"/>
          <w:rFonts w:ascii="Arial" w:hAnsi="Arial" w:cs="Arial"/>
          <w:sz w:val="22"/>
          <w:szCs w:val="22"/>
          <w:lang w:val="es-CO"/>
        </w:rPr>
      </w:pPr>
    </w:p>
    <w:p w14:paraId="53A59F0F" w14:textId="49482B23"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3o.</w:t>
      </w:r>
      <w:r w:rsidRPr="006969B3">
        <w:rPr>
          <w:rFonts w:ascii="Arial" w:hAnsi="Arial" w:cs="Arial"/>
          <w:sz w:val="22"/>
          <w:szCs w:val="22"/>
          <w:lang w:val="es-CO"/>
        </w:rPr>
        <w:t> Lo dispuesto en el presente artículo en lo referente a los servicios y tecnologías no financiadas con cargo a la UPC del régimen subsidiado comenzará a operar a partir del 1 de enero de 2020.</w:t>
      </w:r>
    </w:p>
    <w:p w14:paraId="4DE54866" w14:textId="77777777" w:rsidR="007F410D" w:rsidRPr="006969B3" w:rsidRDefault="007F410D" w:rsidP="00F65283">
      <w:pPr>
        <w:pStyle w:val="NormalWeb"/>
        <w:spacing w:before="0" w:beforeAutospacing="0" w:after="0" w:afterAutospacing="0"/>
        <w:jc w:val="both"/>
        <w:rPr>
          <w:rStyle w:val="baj"/>
          <w:rFonts w:ascii="Arial" w:hAnsi="Arial" w:cs="Arial"/>
          <w:sz w:val="22"/>
          <w:szCs w:val="22"/>
          <w:lang w:val="es-CO"/>
        </w:rPr>
      </w:pPr>
    </w:p>
    <w:p w14:paraId="13D3D65F" w14:textId="07CFE733"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4o.</w:t>
      </w:r>
      <w:r w:rsidRPr="006969B3">
        <w:rPr>
          <w:rFonts w:ascii="Arial" w:hAnsi="Arial" w:cs="Arial"/>
          <w:sz w:val="22"/>
          <w:szCs w:val="22"/>
          <w:lang w:val="es-CO"/>
        </w:rPr>
        <w:t> No estarán sujetas a lo dispuesto en este artículo las EPS adaptadas del Estado y aquellas que en su desempeño financiero cumplan con el patrimonio adecuado.</w:t>
      </w:r>
    </w:p>
    <w:p w14:paraId="208A76F7" w14:textId="7145FC9F" w:rsidR="00677B00" w:rsidRPr="006969B3" w:rsidRDefault="00677B00" w:rsidP="00F65283">
      <w:pPr>
        <w:spacing w:after="0" w:line="240" w:lineRule="auto"/>
        <w:rPr>
          <w:rFonts w:ascii="Arial" w:hAnsi="Arial" w:cs="Arial"/>
          <w:lang w:val="es-CO"/>
        </w:rPr>
      </w:pPr>
    </w:p>
    <w:p w14:paraId="7B0297E6" w14:textId="183152E0" w:rsidR="00677B00" w:rsidRPr="006969B3" w:rsidRDefault="00677B00" w:rsidP="00F65283">
      <w:pPr>
        <w:pStyle w:val="NormalWeb"/>
        <w:spacing w:before="0" w:beforeAutospacing="0" w:after="0" w:afterAutospacing="0"/>
        <w:jc w:val="both"/>
        <w:rPr>
          <w:rFonts w:ascii="Arial" w:hAnsi="Arial" w:cs="Arial"/>
          <w:sz w:val="22"/>
          <w:szCs w:val="22"/>
          <w:lang w:val="es-CO"/>
        </w:rPr>
      </w:pPr>
      <w:bookmarkStart w:id="258" w:name="240"/>
      <w:r w:rsidRPr="006969B3">
        <w:rPr>
          <w:rFonts w:ascii="Arial" w:hAnsi="Arial" w:cs="Arial"/>
          <w:sz w:val="22"/>
          <w:szCs w:val="22"/>
          <w:lang w:val="es-CO"/>
        </w:rPr>
        <w:t>ARTÍCULO 240. EFICIENCIA DEL GASTO ASOCIADO A LA PRESTACIÓN DEL SERVICIO Y TECNOLOGÍAS NO FINANCIADOS CON CARGO A LOS RECURSOS DE LA UPC.</w:t>
      </w:r>
      <w:bookmarkEnd w:id="258"/>
      <w:r w:rsidRPr="006969B3">
        <w:rPr>
          <w:rFonts w:ascii="Arial" w:hAnsi="Arial" w:cs="Arial"/>
          <w:sz w:val="22"/>
          <w:szCs w:val="22"/>
          <w:lang w:val="es-CO"/>
        </w:rPr>
        <w:t xml:space="preserve"> Los servicios y tecnologías en salud no financiados con cargo a los recursos de la UPC serán gestionados por las EPS quienes los financiarán con cargo al techo o presupuesto máximo que les transfiera para tal efecto la Administradora de los Recursos del Sistema General de Seguridad Social en Salud (ADRES). El techo o presupuesto máximo anual por EPS se establecerá </w:t>
      </w:r>
      <w:proofErr w:type="gramStart"/>
      <w:r w:rsidRPr="006969B3">
        <w:rPr>
          <w:rFonts w:ascii="Arial" w:hAnsi="Arial" w:cs="Arial"/>
          <w:sz w:val="22"/>
          <w:szCs w:val="22"/>
          <w:lang w:val="es-CO"/>
        </w:rPr>
        <w:t>de acuerdo a</w:t>
      </w:r>
      <w:proofErr w:type="gramEnd"/>
      <w:r w:rsidRPr="006969B3">
        <w:rPr>
          <w:rFonts w:ascii="Arial" w:hAnsi="Arial" w:cs="Arial"/>
          <w:sz w:val="22"/>
          <w:szCs w:val="22"/>
          <w:lang w:val="es-CO"/>
        </w:rPr>
        <w:t xml:space="preserve"> la metodología que defina el Ministerio de Salud y Protección Social, la cual considerará incentivos al uso eficiente de los recursos. En ningún caso, el cumplimiento del techo por parte de las EPS deberá afectar la prestación </w:t>
      </w:r>
      <w:r w:rsidRPr="006969B3">
        <w:rPr>
          <w:rFonts w:ascii="Arial" w:hAnsi="Arial" w:cs="Arial"/>
          <w:sz w:val="22"/>
          <w:szCs w:val="22"/>
          <w:lang w:val="es-CO"/>
        </w:rPr>
        <w:lastRenderedPageBreak/>
        <w:t>del servicio. Lo anterior, sin perjuicio del mecanismo de negociación centralizada contemplado en el artículo </w:t>
      </w:r>
      <w:r w:rsidRPr="007B5FFA">
        <w:rPr>
          <w:rFonts w:ascii="Arial" w:hAnsi="Arial" w:cs="Arial"/>
          <w:sz w:val="22"/>
          <w:szCs w:val="22"/>
          <w:lang w:val="es-CO"/>
        </w:rPr>
        <w:t>71</w:t>
      </w:r>
      <w:r w:rsidRPr="006969B3">
        <w:rPr>
          <w:rFonts w:ascii="Arial" w:hAnsi="Arial" w:cs="Arial"/>
          <w:sz w:val="22"/>
          <w:szCs w:val="22"/>
          <w:lang w:val="es-CO"/>
        </w:rPr>
        <w:t> de la Ley 1753 de 2015.</w:t>
      </w:r>
    </w:p>
    <w:p w14:paraId="09230250" w14:textId="77777777" w:rsidR="007F410D" w:rsidRPr="006969B3" w:rsidRDefault="007F410D" w:rsidP="00F65283">
      <w:pPr>
        <w:pStyle w:val="NormalWeb"/>
        <w:spacing w:before="0" w:beforeAutospacing="0" w:after="0" w:afterAutospacing="0"/>
        <w:jc w:val="both"/>
        <w:rPr>
          <w:rFonts w:ascii="Arial" w:hAnsi="Arial" w:cs="Arial"/>
          <w:sz w:val="22"/>
          <w:szCs w:val="22"/>
          <w:lang w:val="es-CO"/>
        </w:rPr>
      </w:pPr>
    </w:p>
    <w:p w14:paraId="2D8A5F45" w14:textId="01FE056E"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En todo caso, las Entidades Promotoras de Salud (EPS) considerarán la regulación de precios, aplicarán los valores máximos por tecnología o servicio que defina el Ministerio de Salud y Protección Social y remitirán la información que este requiera. La ADRES ajustará sus procesos administrativos, operativos, de verificación, control y auditoría para efectos de implementar lo previsto en este artículo.</w:t>
      </w:r>
    </w:p>
    <w:p w14:paraId="22130313" w14:textId="77777777" w:rsidR="007F410D" w:rsidRPr="006969B3" w:rsidRDefault="007F410D" w:rsidP="00F65283">
      <w:pPr>
        <w:pStyle w:val="NormalWeb"/>
        <w:spacing w:before="0" w:beforeAutospacing="0" w:after="0" w:afterAutospacing="0"/>
        <w:jc w:val="both"/>
        <w:rPr>
          <w:rStyle w:val="baj"/>
          <w:rFonts w:ascii="Arial" w:hAnsi="Arial" w:cs="Arial"/>
          <w:sz w:val="22"/>
          <w:szCs w:val="22"/>
          <w:lang w:val="es-CO"/>
        </w:rPr>
      </w:pPr>
    </w:p>
    <w:p w14:paraId="3075B8B4" w14:textId="1F1C7722"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Las EPS podrán implementar mecanismos financieros y de seguros para mitigar el riesgo asociado a la gestión de los servicios y tecnologías no financiados con cargo a los recursos de la UPC.</w:t>
      </w:r>
    </w:p>
    <w:p w14:paraId="1E5EFD3D" w14:textId="77777777" w:rsidR="007F410D" w:rsidRPr="006969B3" w:rsidRDefault="007F410D" w:rsidP="00F65283">
      <w:pPr>
        <w:pStyle w:val="NormalWeb"/>
        <w:spacing w:before="0" w:beforeAutospacing="0" w:after="0" w:afterAutospacing="0"/>
        <w:jc w:val="both"/>
        <w:rPr>
          <w:rFonts w:ascii="Arial" w:hAnsi="Arial" w:cs="Arial"/>
          <w:sz w:val="22"/>
          <w:szCs w:val="22"/>
          <w:lang w:val="es-CO"/>
        </w:rPr>
      </w:pPr>
      <w:bookmarkStart w:id="259" w:name="241"/>
    </w:p>
    <w:p w14:paraId="73B29CCC" w14:textId="2BB01D40"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241. INCENTIVOS A LA CALIDAD Y LOS RESULTADOS EN SALUD.</w:t>
      </w:r>
      <w:bookmarkEnd w:id="259"/>
      <w:r w:rsidRPr="006969B3">
        <w:rPr>
          <w:rFonts w:ascii="Arial" w:hAnsi="Arial" w:cs="Arial"/>
          <w:sz w:val="22"/>
          <w:szCs w:val="22"/>
          <w:lang w:val="es-CO"/>
        </w:rPr>
        <w:t> El Ministerio de Salud y Protección Social diseñará e implementará un mecanismo de pago por resultados en salud, el cual tendrá como mínimo un sistema de información, seguimiento y monitoreo basado en indicadores trazadores.</w:t>
      </w:r>
    </w:p>
    <w:p w14:paraId="6EC04356" w14:textId="77777777" w:rsidR="007F410D" w:rsidRPr="006969B3" w:rsidRDefault="007F410D" w:rsidP="00F65283">
      <w:pPr>
        <w:pStyle w:val="NormalWeb"/>
        <w:spacing w:before="0" w:beforeAutospacing="0" w:after="0" w:afterAutospacing="0"/>
        <w:jc w:val="both"/>
        <w:rPr>
          <w:rFonts w:ascii="Arial" w:hAnsi="Arial" w:cs="Arial"/>
          <w:sz w:val="22"/>
          <w:szCs w:val="22"/>
          <w:lang w:val="es-CO"/>
        </w:rPr>
      </w:pPr>
    </w:p>
    <w:p w14:paraId="263623CA" w14:textId="3D25D099"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Para efecto de lo dispuesto en este artículo, la Administradora de los recursos del Sistema General de Seguridad Social en Salud (ADRES), podrá girar los recursos que se determinen por este mecanismo a las Instituciones Prestadoras de Salud (IPS), en función de los resultados en salud que certifique la EPS.</w:t>
      </w:r>
    </w:p>
    <w:p w14:paraId="2F411220" w14:textId="77777777" w:rsidR="007F410D" w:rsidRPr="006969B3" w:rsidRDefault="007F410D" w:rsidP="00F65283">
      <w:pPr>
        <w:pStyle w:val="NormalWeb"/>
        <w:spacing w:before="0" w:beforeAutospacing="0" w:after="0" w:afterAutospacing="0"/>
        <w:jc w:val="both"/>
        <w:rPr>
          <w:rFonts w:ascii="Arial" w:hAnsi="Arial" w:cs="Arial"/>
          <w:sz w:val="22"/>
          <w:szCs w:val="22"/>
          <w:lang w:val="es-CO"/>
        </w:rPr>
      </w:pPr>
    </w:p>
    <w:p w14:paraId="0607C298" w14:textId="60705B8E"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Los recursos destinados para el mecanismo de pago por </w:t>
      </w:r>
      <w:proofErr w:type="gramStart"/>
      <w:r w:rsidRPr="006969B3">
        <w:rPr>
          <w:rFonts w:ascii="Arial" w:hAnsi="Arial" w:cs="Arial"/>
          <w:sz w:val="22"/>
          <w:szCs w:val="22"/>
          <w:lang w:val="es-CO"/>
        </w:rPr>
        <w:t>resultado,</w:t>
      </w:r>
      <w:proofErr w:type="gramEnd"/>
      <w:r w:rsidRPr="006969B3">
        <w:rPr>
          <w:rFonts w:ascii="Arial" w:hAnsi="Arial" w:cs="Arial"/>
          <w:sz w:val="22"/>
          <w:szCs w:val="22"/>
          <w:lang w:val="es-CO"/>
        </w:rPr>
        <w:t xml:space="preserve"> serán los equivalentes a los asignados en cumplimiento del artículo </w:t>
      </w:r>
      <w:r w:rsidRPr="007B5FFA">
        <w:rPr>
          <w:rFonts w:ascii="Arial" w:hAnsi="Arial" w:cs="Arial"/>
          <w:sz w:val="22"/>
          <w:szCs w:val="22"/>
          <w:lang w:val="es-CO"/>
        </w:rPr>
        <w:t>222</w:t>
      </w:r>
      <w:r w:rsidRPr="006969B3">
        <w:rPr>
          <w:rFonts w:ascii="Arial" w:hAnsi="Arial" w:cs="Arial"/>
          <w:sz w:val="22"/>
          <w:szCs w:val="22"/>
          <w:lang w:val="es-CO"/>
        </w:rPr>
        <w:t> de la Ley 100 de 1993 a la entrada en vigencia de la presente Ley. El Ministerio de Salud y Protección Social establecerá la variación de estos recursos, que en todo caso deberán tener en cuenta la suficiencia de la UPC.</w:t>
      </w:r>
    </w:p>
    <w:p w14:paraId="1E337EC3" w14:textId="77777777" w:rsidR="007F410D" w:rsidRPr="006969B3" w:rsidRDefault="007F410D" w:rsidP="00F65283">
      <w:pPr>
        <w:pStyle w:val="NormalWeb"/>
        <w:spacing w:before="0" w:beforeAutospacing="0" w:after="0" w:afterAutospacing="0"/>
        <w:jc w:val="both"/>
        <w:rPr>
          <w:rFonts w:ascii="Arial" w:hAnsi="Arial" w:cs="Arial"/>
          <w:sz w:val="22"/>
          <w:szCs w:val="22"/>
          <w:lang w:val="es-CO"/>
        </w:rPr>
      </w:pPr>
    </w:p>
    <w:p w14:paraId="72C0FC42" w14:textId="6E611A1B"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Adicionalmente se establecerán incentivos de reconocimiento social y empresarial por resultados con calidad para las IPS del Sistema de Salud u otros actores del Sistema de Seguridad Social en Salud.</w:t>
      </w:r>
    </w:p>
    <w:p w14:paraId="724AB701" w14:textId="77777777" w:rsidR="007F410D" w:rsidRPr="006969B3" w:rsidRDefault="007F410D" w:rsidP="00F65283">
      <w:pPr>
        <w:pStyle w:val="NormalWeb"/>
        <w:spacing w:before="0" w:beforeAutospacing="0" w:after="0" w:afterAutospacing="0"/>
        <w:jc w:val="both"/>
        <w:rPr>
          <w:rFonts w:ascii="Arial" w:hAnsi="Arial" w:cs="Arial"/>
          <w:sz w:val="22"/>
          <w:szCs w:val="22"/>
          <w:lang w:val="es-CO"/>
        </w:rPr>
      </w:pPr>
    </w:p>
    <w:p w14:paraId="709A7545" w14:textId="3892C98B"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Ministerio de Salud y Protección Social podrá con cargo a los recursos del mecanismo, contratar a un tercero independiente que evalúe el cumplimiento de dichos resultados.</w:t>
      </w:r>
    </w:p>
    <w:p w14:paraId="7091DDA9" w14:textId="67588888" w:rsidR="00677B00" w:rsidRPr="006969B3" w:rsidRDefault="00677B00" w:rsidP="00F65283">
      <w:pPr>
        <w:spacing w:after="0" w:line="240" w:lineRule="auto"/>
        <w:rPr>
          <w:rFonts w:ascii="Arial" w:hAnsi="Arial" w:cs="Arial"/>
          <w:lang w:val="es-CO"/>
        </w:rPr>
      </w:pPr>
    </w:p>
    <w:p w14:paraId="26F19781" w14:textId="77777777" w:rsidR="00677B00" w:rsidRPr="006969B3" w:rsidRDefault="00677B00" w:rsidP="00F65283">
      <w:pPr>
        <w:pStyle w:val="NormalWeb"/>
        <w:spacing w:before="0" w:beforeAutospacing="0" w:after="0" w:afterAutospacing="0"/>
        <w:jc w:val="both"/>
        <w:rPr>
          <w:rFonts w:ascii="Arial" w:hAnsi="Arial" w:cs="Arial"/>
          <w:sz w:val="22"/>
          <w:szCs w:val="22"/>
          <w:lang w:val="es-CO"/>
        </w:rPr>
      </w:pPr>
      <w:bookmarkStart w:id="260" w:name="242"/>
      <w:r w:rsidRPr="006969B3">
        <w:rPr>
          <w:rFonts w:ascii="Arial" w:hAnsi="Arial" w:cs="Arial"/>
          <w:sz w:val="22"/>
          <w:szCs w:val="22"/>
          <w:lang w:val="es-CO"/>
        </w:rPr>
        <w:t>ARTÍCULO 242. SOLIDARIDAD EN EL SISTEMA DE SALUD.</w:t>
      </w:r>
      <w:bookmarkEnd w:id="260"/>
      <w:r w:rsidRPr="006969B3">
        <w:rPr>
          <w:rFonts w:ascii="Arial" w:hAnsi="Arial" w:cs="Arial"/>
          <w:sz w:val="22"/>
          <w:szCs w:val="22"/>
          <w:lang w:val="es-CO"/>
        </w:rPr>
        <w:t xml:space="preserve"> Los afiliados al Régimen Subsidiado en el Sistema General de Seguridad Social en Salud son las personas sin capacidad de pago para cubrir el monto total de la cotización. La población que sea clasificada como pobre o vulnerable según el Sistema de Identificación de Potenciales Beneficiarios de Programas Sociales (Sisbén), recibirá subsidio pleno y por tanto no deberá contribuir. Los afiliados al Régimen Subsidiado de salud que, </w:t>
      </w:r>
      <w:proofErr w:type="gramStart"/>
      <w:r w:rsidRPr="006969B3">
        <w:rPr>
          <w:rFonts w:ascii="Arial" w:hAnsi="Arial" w:cs="Arial"/>
          <w:sz w:val="22"/>
          <w:szCs w:val="22"/>
          <w:lang w:val="es-CO"/>
        </w:rPr>
        <w:t>de acuerdo al</w:t>
      </w:r>
      <w:proofErr w:type="gramEnd"/>
      <w:r w:rsidRPr="006969B3">
        <w:rPr>
          <w:rFonts w:ascii="Arial" w:hAnsi="Arial" w:cs="Arial"/>
          <w:sz w:val="22"/>
          <w:szCs w:val="22"/>
          <w:lang w:val="es-CO"/>
        </w:rPr>
        <w:t xml:space="preserve"> Sisbén, sean clasificados como no pobres o no vulnerables deberán contribuir solidariamente al sistema, de acuerdo a su capacidad de pago parcial, definida según el mismo Sisbén.</w:t>
      </w:r>
    </w:p>
    <w:p w14:paraId="673E2616" w14:textId="77777777" w:rsidR="007F410D" w:rsidRPr="006969B3" w:rsidRDefault="007F410D" w:rsidP="00F65283">
      <w:pPr>
        <w:pStyle w:val="NormalWeb"/>
        <w:spacing w:before="0" w:beforeAutospacing="0" w:after="0" w:afterAutospacing="0"/>
        <w:jc w:val="both"/>
        <w:rPr>
          <w:rFonts w:ascii="Arial" w:hAnsi="Arial" w:cs="Arial"/>
          <w:sz w:val="22"/>
          <w:szCs w:val="22"/>
          <w:lang w:val="es-CO"/>
        </w:rPr>
      </w:pPr>
    </w:p>
    <w:p w14:paraId="1D4DF420" w14:textId="4F861E1D"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recaudo de la contribución se efectuará por los canales que defina el Ministerio de Salud y Protección Social, recursos que se girarán a la Administradora de los Recursos del Sistema General de Seguridad Social en Salud (ADRES), donde harán unidad de caja para el pago del aseguramiento.</w:t>
      </w:r>
    </w:p>
    <w:p w14:paraId="218A423E" w14:textId="77777777" w:rsidR="007F410D" w:rsidRPr="006969B3" w:rsidRDefault="007F410D" w:rsidP="00F65283">
      <w:pPr>
        <w:pStyle w:val="NormalWeb"/>
        <w:spacing w:before="0" w:beforeAutospacing="0" w:after="0" w:afterAutospacing="0"/>
        <w:jc w:val="both"/>
        <w:rPr>
          <w:rFonts w:ascii="Arial" w:hAnsi="Arial" w:cs="Arial"/>
          <w:sz w:val="22"/>
          <w:szCs w:val="22"/>
          <w:lang w:val="es-CO"/>
        </w:rPr>
      </w:pPr>
    </w:p>
    <w:p w14:paraId="529B354F" w14:textId="5647F4E1"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lastRenderedPageBreak/>
        <w:t>La base gravable será la Unidad de Pago por Capitación (UPC) del Régimen Subsidiado. El Ministerio de Salud y Protección Social fijará unas tarifas progresivas entre el 1% y el 15%, de acuerdo con la capacidad de pago parcial, las cuales se aplicarán a grupos de capacidad similar.</w:t>
      </w:r>
    </w:p>
    <w:p w14:paraId="5ECEC999" w14:textId="77777777" w:rsidR="007F410D" w:rsidRPr="006969B3" w:rsidRDefault="007F410D" w:rsidP="00F65283">
      <w:pPr>
        <w:pStyle w:val="NormalWeb"/>
        <w:spacing w:before="0" w:beforeAutospacing="0" w:after="0" w:afterAutospacing="0"/>
        <w:jc w:val="both"/>
        <w:rPr>
          <w:rFonts w:ascii="Arial" w:hAnsi="Arial" w:cs="Arial"/>
          <w:sz w:val="22"/>
          <w:szCs w:val="22"/>
          <w:lang w:val="es-CO"/>
        </w:rPr>
      </w:pPr>
    </w:p>
    <w:p w14:paraId="2758EEB1" w14:textId="501C0A95"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Cuando se identifiquen personas afiliadas al Régimen Subsidiado con capacidad de pago para cubrir el monto total de la cotización deberán afiliarse al Régimen Contributivo.</w:t>
      </w:r>
    </w:p>
    <w:p w14:paraId="19C9D1B9" w14:textId="77777777"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Les corresponderá a las alcaldías municipales garantizar que los afiliados al régimen subsidiado en salud cumplan con los requisitos legales para pertenecer a dicho régimen, sin perjuicio de las competencias de la Unidad de Gestión Pensional y Parafiscales (UGPP).</w:t>
      </w:r>
    </w:p>
    <w:p w14:paraId="6E7F5C61" w14:textId="77777777"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En caso de que se determine que el subsidio en salud se obtuvo mediante engaño sobre las condiciones requeridas para su concesión o callando total o parcialmente la verdad, se compulsará copia del expediente a la </w:t>
      </w:r>
      <w:proofErr w:type="gramStart"/>
      <w:r w:rsidRPr="006969B3">
        <w:rPr>
          <w:rFonts w:ascii="Arial" w:hAnsi="Arial" w:cs="Arial"/>
          <w:sz w:val="22"/>
          <w:szCs w:val="22"/>
          <w:lang w:val="es-CO"/>
        </w:rPr>
        <w:t>Fiscalía General</w:t>
      </w:r>
      <w:proofErr w:type="gramEnd"/>
      <w:r w:rsidRPr="006969B3">
        <w:rPr>
          <w:rFonts w:ascii="Arial" w:hAnsi="Arial" w:cs="Arial"/>
          <w:sz w:val="22"/>
          <w:szCs w:val="22"/>
          <w:lang w:val="es-CO"/>
        </w:rPr>
        <w:t xml:space="preserve"> de la Nación.</w:t>
      </w:r>
    </w:p>
    <w:p w14:paraId="5A66C5E3" w14:textId="77777777" w:rsidR="007F410D" w:rsidRPr="006969B3" w:rsidRDefault="007F410D" w:rsidP="00F65283">
      <w:pPr>
        <w:pStyle w:val="NormalWeb"/>
        <w:spacing w:before="0" w:beforeAutospacing="0" w:after="0" w:afterAutospacing="0"/>
        <w:jc w:val="both"/>
        <w:rPr>
          <w:rStyle w:val="baj"/>
          <w:rFonts w:ascii="Arial" w:hAnsi="Arial" w:cs="Arial"/>
          <w:sz w:val="22"/>
          <w:szCs w:val="22"/>
          <w:lang w:val="es-CO"/>
        </w:rPr>
      </w:pPr>
    </w:p>
    <w:p w14:paraId="2707DB98" w14:textId="3E18D9C2"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Los afiliados al Régimen Subsidiado del Sistema General de Seguridad Social en Salud podrán adquirir un seguro para proteger su ingreso de subsistencia en momentos de enfermedad, según las condiciones que defina el Ministerio de Salud y Protección Social.</w:t>
      </w:r>
    </w:p>
    <w:p w14:paraId="44715DCD" w14:textId="77777777" w:rsidR="007F410D" w:rsidRPr="006969B3" w:rsidRDefault="007F410D" w:rsidP="00F65283">
      <w:pPr>
        <w:pStyle w:val="NormalWeb"/>
        <w:spacing w:before="0" w:beforeAutospacing="0" w:after="0" w:afterAutospacing="0"/>
        <w:jc w:val="both"/>
        <w:rPr>
          <w:rStyle w:val="baj"/>
          <w:rFonts w:ascii="Arial" w:hAnsi="Arial" w:cs="Arial"/>
          <w:sz w:val="22"/>
          <w:szCs w:val="22"/>
          <w:lang w:val="es-CO"/>
        </w:rPr>
      </w:pPr>
    </w:p>
    <w:p w14:paraId="73800E7D" w14:textId="608C1EAF"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xml:space="preserve"> Los cotizantes al régimen contributivo y sus beneficiarios, podrán acceder temporalmente al régimen subsidiado de salud mediante la contribución solidaria, una vez finalice el beneficio estipulado en el parágrafo primero del artículo </w:t>
      </w:r>
      <w:r w:rsidRPr="007B5FFA">
        <w:rPr>
          <w:rFonts w:ascii="Arial" w:hAnsi="Arial" w:cs="Arial"/>
          <w:sz w:val="22"/>
          <w:szCs w:val="22"/>
          <w:lang w:val="es-CO"/>
        </w:rPr>
        <w:t>67</w:t>
      </w:r>
      <w:r w:rsidRPr="006969B3">
        <w:rPr>
          <w:rFonts w:ascii="Arial" w:hAnsi="Arial" w:cs="Arial"/>
          <w:sz w:val="22"/>
          <w:szCs w:val="22"/>
          <w:lang w:val="es-CO"/>
        </w:rPr>
        <w:t> de la Ley 1753 de 2015, adicionado por el artículo </w:t>
      </w:r>
      <w:r w:rsidRPr="007B5FFA">
        <w:rPr>
          <w:rFonts w:ascii="Arial" w:hAnsi="Arial" w:cs="Arial"/>
          <w:sz w:val="22"/>
          <w:szCs w:val="22"/>
          <w:lang w:val="es-CO"/>
        </w:rPr>
        <w:t>15</w:t>
      </w:r>
      <w:r w:rsidRPr="006969B3">
        <w:rPr>
          <w:rFonts w:ascii="Arial" w:hAnsi="Arial" w:cs="Arial"/>
          <w:sz w:val="22"/>
          <w:szCs w:val="22"/>
          <w:lang w:val="es-CO"/>
        </w:rPr>
        <w:t> del Decreto Legislativo 538 de 2020, cuando el cotizante (i) no cumpla con las condiciones para pertenecer al régimen subsidiado; (</w:t>
      </w:r>
      <w:proofErr w:type="spellStart"/>
      <w:r w:rsidRPr="006969B3">
        <w:rPr>
          <w:rFonts w:ascii="Arial" w:hAnsi="Arial" w:cs="Arial"/>
          <w:sz w:val="22"/>
          <w:szCs w:val="22"/>
          <w:lang w:val="es-CO"/>
        </w:rPr>
        <w:t>ii</w:t>
      </w:r>
      <w:proofErr w:type="spellEnd"/>
      <w:r w:rsidRPr="006969B3">
        <w:rPr>
          <w:rFonts w:ascii="Arial" w:hAnsi="Arial" w:cs="Arial"/>
          <w:sz w:val="22"/>
          <w:szCs w:val="22"/>
          <w:lang w:val="es-CO"/>
        </w:rPr>
        <w:t>) haya finalizado su relación laboral durante la emergencia sanitaria o durante los seis (6) meses siguientes a su finalización, y (</w:t>
      </w:r>
      <w:proofErr w:type="spellStart"/>
      <w:r w:rsidRPr="006969B3">
        <w:rPr>
          <w:rFonts w:ascii="Arial" w:hAnsi="Arial" w:cs="Arial"/>
          <w:sz w:val="22"/>
          <w:szCs w:val="22"/>
          <w:lang w:val="es-CO"/>
        </w:rPr>
        <w:t>iii</w:t>
      </w:r>
      <w:proofErr w:type="spellEnd"/>
      <w:r w:rsidRPr="006969B3">
        <w:rPr>
          <w:rFonts w:ascii="Arial" w:hAnsi="Arial" w:cs="Arial"/>
          <w:sz w:val="22"/>
          <w:szCs w:val="22"/>
          <w:lang w:val="es-CO"/>
        </w:rPr>
        <w:t>) haya aportado al Sistema General de Seguridad Social en Salud sobre un Ingreso Base de Cotización (IBC) hasta de un (1) salario mínimo legal mensual vigente (</w:t>
      </w:r>
      <w:proofErr w:type="spellStart"/>
      <w:r w:rsidRPr="006969B3">
        <w:rPr>
          <w:rFonts w:ascii="Arial" w:hAnsi="Arial" w:cs="Arial"/>
          <w:sz w:val="22"/>
          <w:szCs w:val="22"/>
          <w:lang w:val="es-CO"/>
        </w:rPr>
        <w:t>smlmv</w:t>
      </w:r>
      <w:proofErr w:type="spellEnd"/>
      <w:r w:rsidRPr="006969B3">
        <w:rPr>
          <w:rFonts w:ascii="Arial" w:hAnsi="Arial" w:cs="Arial"/>
          <w:sz w:val="22"/>
          <w:szCs w:val="22"/>
          <w:lang w:val="es-CO"/>
        </w:rPr>
        <w:t>).</w:t>
      </w:r>
    </w:p>
    <w:p w14:paraId="009CAD70" w14:textId="77777777" w:rsidR="007F410D" w:rsidRPr="006969B3" w:rsidRDefault="007F410D" w:rsidP="00F65283">
      <w:pPr>
        <w:pStyle w:val="NormalWeb"/>
        <w:spacing w:before="0" w:beforeAutospacing="0" w:after="0" w:afterAutospacing="0"/>
        <w:jc w:val="both"/>
        <w:rPr>
          <w:rFonts w:ascii="Arial" w:hAnsi="Arial" w:cs="Arial"/>
          <w:sz w:val="22"/>
          <w:szCs w:val="22"/>
          <w:lang w:val="es-CO"/>
        </w:rPr>
      </w:pPr>
    </w:p>
    <w:p w14:paraId="12B8BB10" w14:textId="34AD8A3A"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Este mecanismo estará disponible hasta por un periodo máximo de seis (6) meses después de finalizada la declaratoria de emergencia sanitaria y podrá ser prorrogado por el Ministerio de Salud y Protección Social. La permanencia en el mecanismo no podrá ser mayor a un (1) año contado a partir de la finalización de la relación laboral, el inicio del periodo de protección laboral o el mecanismo de protección al cesante, cuando aplique. En todo caso, la encuesta Sisbén primará como criterio para determinar el pago de la contribución solidaria una vez entre en implementación la metodología IV del Sisbén.</w:t>
      </w:r>
    </w:p>
    <w:p w14:paraId="3E79DEB1" w14:textId="77777777" w:rsidR="007F410D" w:rsidRPr="006969B3" w:rsidRDefault="007F410D" w:rsidP="00F65283">
      <w:pPr>
        <w:pStyle w:val="NormalWeb"/>
        <w:spacing w:before="0" w:beforeAutospacing="0" w:after="0" w:afterAutospacing="0"/>
        <w:jc w:val="both"/>
        <w:rPr>
          <w:rFonts w:ascii="Arial" w:hAnsi="Arial" w:cs="Arial"/>
          <w:sz w:val="22"/>
          <w:szCs w:val="22"/>
          <w:lang w:val="es-CO"/>
        </w:rPr>
      </w:pPr>
      <w:bookmarkStart w:id="261" w:name="243"/>
    </w:p>
    <w:p w14:paraId="2F205341" w14:textId="48B6492E"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243. INTEGRANTES DEL SISTEMA GENERAL DE SEGURIDAD SOCIAL EN SALUD.</w:t>
      </w:r>
      <w:bookmarkEnd w:id="261"/>
      <w:r w:rsidRPr="006969B3">
        <w:rPr>
          <w:rFonts w:ascii="Arial" w:hAnsi="Arial" w:cs="Arial"/>
          <w:sz w:val="22"/>
          <w:szCs w:val="22"/>
          <w:lang w:val="es-CO"/>
        </w:rPr>
        <w:t> Adiciónese el siguiente numeral al artículo </w:t>
      </w:r>
      <w:r w:rsidRPr="007B5FFA">
        <w:rPr>
          <w:rFonts w:ascii="Arial" w:hAnsi="Arial" w:cs="Arial"/>
          <w:sz w:val="22"/>
          <w:szCs w:val="22"/>
          <w:lang w:val="es-CO"/>
        </w:rPr>
        <w:t>155</w:t>
      </w:r>
      <w:r w:rsidRPr="006969B3">
        <w:rPr>
          <w:rFonts w:ascii="Arial" w:hAnsi="Arial" w:cs="Arial"/>
          <w:sz w:val="22"/>
          <w:szCs w:val="22"/>
          <w:lang w:val="es-CO"/>
        </w:rPr>
        <w:t> de la Ley 100 de 1993, así:</w:t>
      </w:r>
    </w:p>
    <w:p w14:paraId="75C2EC73" w14:textId="77777777" w:rsidR="007F410D" w:rsidRPr="006969B3" w:rsidRDefault="007F410D" w:rsidP="00F65283">
      <w:pPr>
        <w:pStyle w:val="NormalWeb"/>
        <w:spacing w:before="0" w:beforeAutospacing="0" w:after="0" w:afterAutospacing="0"/>
        <w:jc w:val="both"/>
        <w:rPr>
          <w:rFonts w:ascii="Arial" w:hAnsi="Arial" w:cs="Arial"/>
          <w:sz w:val="22"/>
          <w:szCs w:val="22"/>
          <w:lang w:val="es-CO"/>
        </w:rPr>
      </w:pPr>
    </w:p>
    <w:p w14:paraId="0626A7E7" w14:textId="0A09654A"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8. Operadores logísticos de tecnologías en salud y gestores farmacéuticos.</w:t>
      </w:r>
    </w:p>
    <w:p w14:paraId="257F8241" w14:textId="77777777" w:rsidR="009D0A59" w:rsidRPr="006969B3" w:rsidRDefault="009D0A59" w:rsidP="00F65283">
      <w:pPr>
        <w:pStyle w:val="NormalWeb"/>
        <w:spacing w:before="0" w:beforeAutospacing="0" w:after="0" w:afterAutospacing="0"/>
        <w:jc w:val="both"/>
        <w:rPr>
          <w:rFonts w:ascii="Arial" w:hAnsi="Arial" w:cs="Arial"/>
          <w:sz w:val="22"/>
          <w:szCs w:val="22"/>
          <w:lang w:val="es-CO"/>
        </w:rPr>
      </w:pPr>
    </w:p>
    <w:p w14:paraId="140400BE" w14:textId="77777777" w:rsidR="00677B00" w:rsidRPr="006969B3" w:rsidRDefault="00677B00"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Ministerio de Salud y Protección Social reglamentará los requisitos financieros y de operación de los agentes de los que trata este numeral. La Superintendencia de Industria y Comercio, en el desarrollo de sus funciones, garantizará la libre y leal competencia económica, mediante la prohibición de actos y conductas de competencia desleal.</w:t>
      </w:r>
    </w:p>
    <w:p w14:paraId="7E926EB6" w14:textId="77777777" w:rsidR="0027174A" w:rsidRPr="006969B3" w:rsidRDefault="0027174A" w:rsidP="00F65283">
      <w:pPr>
        <w:pStyle w:val="NormalWeb"/>
        <w:spacing w:before="0" w:beforeAutospacing="0" w:after="0" w:afterAutospacing="0"/>
        <w:jc w:val="both"/>
        <w:rPr>
          <w:rFonts w:ascii="Arial" w:hAnsi="Arial" w:cs="Arial"/>
          <w:sz w:val="22"/>
          <w:szCs w:val="22"/>
          <w:lang w:val="es-CO"/>
        </w:rPr>
      </w:pPr>
    </w:p>
    <w:p w14:paraId="66A0608B" w14:textId="1B39417F" w:rsidR="00111EAE" w:rsidRPr="006969B3" w:rsidRDefault="00111EA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244. INGRESO BASE DE COTIZACIÓN (IBC) DE LOS INDEPENDIENTES.</w:t>
      </w:r>
      <w:bookmarkEnd w:id="206"/>
      <w:r w:rsidRPr="006969B3">
        <w:rPr>
          <w:rFonts w:ascii="Arial" w:hAnsi="Arial" w:cs="Arial"/>
          <w:sz w:val="22"/>
          <w:szCs w:val="22"/>
          <w:lang w:val="es-CO"/>
        </w:rPr>
        <w:t xml:space="preserve"> Los trabajadores independientes con ingresos netos iguales o superiores a 1 salario mínimo legal mensual vigente que celebren contratos de prestación de servicios personales, cotizarán mes vencido al Sistema de Seguridad Social Integral, </w:t>
      </w:r>
      <w:r w:rsidRPr="006969B3">
        <w:rPr>
          <w:rFonts w:ascii="Arial" w:hAnsi="Arial" w:cs="Arial"/>
          <w:sz w:val="22"/>
          <w:szCs w:val="22"/>
          <w:lang w:val="es-CO"/>
        </w:rPr>
        <w:lastRenderedPageBreak/>
        <w:t>sobre una base mínima del 40% del valor mensualizado del contrato, sin incluir el valor del Impuesto al Valor Agregado (IVA).</w:t>
      </w:r>
    </w:p>
    <w:p w14:paraId="64064C34" w14:textId="77777777" w:rsidR="007F410D" w:rsidRPr="006969B3" w:rsidRDefault="007F410D" w:rsidP="00F65283">
      <w:pPr>
        <w:pStyle w:val="NormalWeb"/>
        <w:spacing w:before="0" w:beforeAutospacing="0" w:after="0" w:afterAutospacing="0"/>
        <w:jc w:val="both"/>
        <w:rPr>
          <w:rFonts w:ascii="Arial" w:hAnsi="Arial" w:cs="Arial"/>
          <w:sz w:val="22"/>
          <w:szCs w:val="22"/>
          <w:lang w:val="es-CO"/>
        </w:rPr>
      </w:pPr>
    </w:p>
    <w:p w14:paraId="31A49288" w14:textId="4E5FFAB3" w:rsidR="00111EAE" w:rsidRPr="006969B3" w:rsidRDefault="00111EA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 mensualizado de los ingresos, sin incluir el valor del Impuesto al Valor Agregado (IVA). En estos casos será procedente la imputación de costos y deducciones siempre que se cumplan los criterios determinados en el artículo </w:t>
      </w:r>
      <w:r w:rsidRPr="007B5FFA">
        <w:rPr>
          <w:rFonts w:ascii="Arial" w:hAnsi="Arial" w:cs="Arial"/>
          <w:sz w:val="22"/>
          <w:szCs w:val="22"/>
          <w:lang w:val="es-CO"/>
        </w:rPr>
        <w:t>107</w:t>
      </w:r>
      <w:r w:rsidRPr="006969B3">
        <w:rPr>
          <w:rFonts w:ascii="Arial" w:hAnsi="Arial" w:cs="Arial"/>
          <w:sz w:val="22"/>
          <w:szCs w:val="22"/>
          <w:lang w:val="es-CO"/>
        </w:rPr>
        <w:t> del Estatuto Tributario y sin exceder los valores incluidos en la declaración de renta de la respectiva vigencia.</w:t>
      </w:r>
    </w:p>
    <w:p w14:paraId="6613ABD6" w14:textId="77777777" w:rsidR="007F410D" w:rsidRPr="006969B3" w:rsidRDefault="007F410D" w:rsidP="00F65283">
      <w:pPr>
        <w:pStyle w:val="NormalWeb"/>
        <w:spacing w:before="0" w:beforeAutospacing="0" w:after="0" w:afterAutospacing="0"/>
        <w:jc w:val="both"/>
        <w:rPr>
          <w:rFonts w:ascii="Arial" w:hAnsi="Arial" w:cs="Arial"/>
          <w:sz w:val="22"/>
          <w:szCs w:val="22"/>
          <w:lang w:val="es-CO"/>
        </w:rPr>
      </w:pPr>
    </w:p>
    <w:p w14:paraId="119643AD" w14:textId="60A6478C" w:rsidR="00111EAE" w:rsidRPr="006969B3" w:rsidRDefault="00111EA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Gobierno nacional reglamentará el mecanismo para realizar la mensualización de que trata el presente artículo.</w:t>
      </w:r>
    </w:p>
    <w:p w14:paraId="44706FBD" w14:textId="15465D32" w:rsidR="7857413B" w:rsidRPr="00C1189D" w:rsidRDefault="7857413B" w:rsidP="00F65283">
      <w:pPr>
        <w:pStyle w:val="NormalWeb"/>
        <w:spacing w:before="0" w:beforeAutospacing="0" w:after="0" w:afterAutospacing="0"/>
        <w:jc w:val="both"/>
        <w:rPr>
          <w:rFonts w:ascii="Arial" w:hAnsi="Arial" w:cs="Arial"/>
          <w:sz w:val="20"/>
          <w:szCs w:val="20"/>
          <w:lang w:val="es-CO"/>
        </w:rPr>
      </w:pPr>
    </w:p>
    <w:p w14:paraId="6566C2CF" w14:textId="027A64A4" w:rsidR="73A6D1A0" w:rsidRPr="00C1189D" w:rsidRDefault="73A6D1A0" w:rsidP="37B4A2A3">
      <w:pPr>
        <w:pStyle w:val="NormalWeb"/>
        <w:spacing w:before="0" w:beforeAutospacing="0" w:after="0" w:afterAutospacing="0"/>
        <w:jc w:val="both"/>
        <w:rPr>
          <w:rFonts w:ascii="Arial" w:hAnsi="Arial" w:cs="Arial"/>
          <w:sz w:val="20"/>
          <w:szCs w:val="20"/>
          <w:lang w:val="es-CO"/>
        </w:rPr>
      </w:pPr>
      <w:r w:rsidRPr="00C1189D">
        <w:rPr>
          <w:rFonts w:ascii="Arial" w:hAnsi="Arial" w:cs="Arial"/>
          <w:sz w:val="20"/>
          <w:szCs w:val="20"/>
          <w:lang w:val="es-CO"/>
        </w:rPr>
        <w:t xml:space="preserve">(Ver conceptos: </w:t>
      </w:r>
      <w:hyperlink r:id="rId44">
        <w:r w:rsidRPr="00C1189D">
          <w:rPr>
            <w:rStyle w:val="Hipervnculo"/>
            <w:rFonts w:ascii="Arial" w:eastAsia="Arial" w:hAnsi="Arial" w:cs="Arial"/>
            <w:sz w:val="20"/>
            <w:szCs w:val="20"/>
            <w:u w:val="none"/>
            <w:lang w:val="es-CO"/>
          </w:rPr>
          <w:t>C</w:t>
        </w:r>
        <w:r w:rsidR="007F410D" w:rsidRPr="00C1189D">
          <w:rPr>
            <w:rStyle w:val="Hipervnculo"/>
            <w:rFonts w:ascii="Arial" w:eastAsia="Arial" w:hAnsi="Arial" w:cs="Arial"/>
            <w:sz w:val="20"/>
            <w:szCs w:val="20"/>
            <w:u w:val="none"/>
            <w:lang w:val="es-CO"/>
          </w:rPr>
          <w:t>−</w:t>
        </w:r>
        <w:r w:rsidRPr="00C1189D">
          <w:rPr>
            <w:rStyle w:val="Hipervnculo"/>
            <w:rFonts w:ascii="Arial" w:eastAsia="Arial" w:hAnsi="Arial" w:cs="Arial"/>
            <w:sz w:val="20"/>
            <w:szCs w:val="20"/>
            <w:u w:val="none"/>
            <w:lang w:val="es-CO"/>
          </w:rPr>
          <w:t>319 del 12/06/2020</w:t>
        </w:r>
      </w:hyperlink>
      <w:r w:rsidR="150E286C" w:rsidRPr="00C1189D">
        <w:rPr>
          <w:rFonts w:ascii="Arial" w:eastAsia="Arial" w:hAnsi="Arial" w:cs="Arial"/>
          <w:sz w:val="20"/>
          <w:szCs w:val="20"/>
          <w:lang w:val="es-CO"/>
        </w:rPr>
        <w:t xml:space="preserve">, </w:t>
      </w:r>
      <w:hyperlink r:id="rId45">
        <w:r w:rsidR="150E286C" w:rsidRPr="00C1189D">
          <w:rPr>
            <w:rStyle w:val="Hipervnculo"/>
            <w:rFonts w:ascii="Arial" w:eastAsia="Arial" w:hAnsi="Arial" w:cs="Arial"/>
            <w:sz w:val="20"/>
            <w:szCs w:val="20"/>
            <w:lang w:val="es-CO"/>
          </w:rPr>
          <w:t>C-667 del 19/11/2020,</w:t>
        </w:r>
      </w:hyperlink>
      <w:r w:rsidR="37B4A2A3" w:rsidRPr="00C1189D">
        <w:rPr>
          <w:rFonts w:ascii="Arial" w:eastAsia="Arial" w:hAnsi="Arial" w:cs="Arial"/>
          <w:sz w:val="20"/>
          <w:szCs w:val="20"/>
          <w:lang w:val="es-CO"/>
        </w:rPr>
        <w:t xml:space="preserve"> </w:t>
      </w:r>
      <w:hyperlink r:id="rId46">
        <w:r w:rsidR="37B4A2A3" w:rsidRPr="00C1189D">
          <w:rPr>
            <w:rStyle w:val="Hipervnculo"/>
            <w:rFonts w:ascii="Arial" w:eastAsia="Arial" w:hAnsi="Arial" w:cs="Arial"/>
            <w:sz w:val="20"/>
            <w:szCs w:val="20"/>
            <w:lang w:val="es-CO"/>
          </w:rPr>
          <w:t>C-042 del 05/02/2020</w:t>
        </w:r>
      </w:hyperlink>
      <w:r w:rsidR="00C1189D" w:rsidRPr="00C1189D">
        <w:rPr>
          <w:rStyle w:val="Hipervnculo"/>
          <w:rFonts w:ascii="Arial" w:eastAsia="Arial" w:hAnsi="Arial" w:cs="Arial"/>
          <w:sz w:val="20"/>
          <w:szCs w:val="20"/>
          <w:lang w:val="es-CO"/>
        </w:rPr>
        <w:t xml:space="preserve"> </w:t>
      </w:r>
    </w:p>
    <w:p w14:paraId="221AE666" w14:textId="05ADCEBA" w:rsidR="7857413B" w:rsidRPr="006969B3" w:rsidRDefault="7857413B" w:rsidP="00F65283">
      <w:pPr>
        <w:pStyle w:val="NormalWeb"/>
        <w:spacing w:before="0" w:beforeAutospacing="0" w:after="0" w:afterAutospacing="0"/>
        <w:jc w:val="both"/>
        <w:rPr>
          <w:rFonts w:ascii="Arial" w:hAnsi="Arial" w:cs="Arial"/>
          <w:sz w:val="22"/>
          <w:szCs w:val="22"/>
          <w:lang w:val="es-CO"/>
        </w:rPr>
      </w:pPr>
    </w:p>
    <w:p w14:paraId="4CAEF646" w14:textId="77777777" w:rsidR="00111EAE" w:rsidRPr="006969B3" w:rsidRDefault="00111EAE"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Para efectos de la determinación del ingreso base de cotización de los trabajadores independientes por cuenta propia y para quienes celebren contratos diferentes de prestación de servicios personales que impliquen subcontratación y/o compra de insumos o expensas, la Unidad de Gestión Pensional y Parafiscales (UGPP) deberá, atendiendo a los datos estadísticos producidos por la Dirección de Impuestos y Aduanas Nacionales (DIAN), por el Departamento Administrativo Nacional de Estadística, por el Banco de la República, por la Superintendencia de Sociedades u otras entidades cuyas estadísticas fueren aplicables, determinar un esquema de presunción de costos.</w:t>
      </w:r>
    </w:p>
    <w:p w14:paraId="3A7594F2" w14:textId="77777777" w:rsidR="009034C4" w:rsidRPr="006969B3" w:rsidRDefault="009034C4" w:rsidP="00F65283">
      <w:pPr>
        <w:pStyle w:val="NormalWeb"/>
        <w:spacing w:before="0" w:beforeAutospacing="0" w:after="0" w:afterAutospacing="0"/>
        <w:jc w:val="both"/>
        <w:rPr>
          <w:rFonts w:ascii="Arial" w:hAnsi="Arial" w:cs="Arial"/>
          <w:sz w:val="22"/>
          <w:szCs w:val="22"/>
          <w:lang w:val="es-CO"/>
        </w:rPr>
      </w:pPr>
    </w:p>
    <w:p w14:paraId="6F2ABEA2" w14:textId="78710F39" w:rsidR="00111EAE" w:rsidRPr="006969B3" w:rsidRDefault="00111EA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No </w:t>
      </w:r>
      <w:proofErr w:type="gramStart"/>
      <w:r w:rsidRPr="006969B3">
        <w:rPr>
          <w:rFonts w:ascii="Arial" w:hAnsi="Arial" w:cs="Arial"/>
          <w:sz w:val="22"/>
          <w:szCs w:val="22"/>
          <w:lang w:val="es-CO"/>
        </w:rPr>
        <w:t>obstante</w:t>
      </w:r>
      <w:proofErr w:type="gramEnd"/>
      <w:r w:rsidRPr="006969B3">
        <w:rPr>
          <w:rFonts w:ascii="Arial" w:hAnsi="Arial" w:cs="Arial"/>
          <w:sz w:val="22"/>
          <w:szCs w:val="22"/>
          <w:lang w:val="es-CO"/>
        </w:rPr>
        <w:t xml:space="preserve"> lo anterior, los obligados podrán establecer costos diferentes de los definidos por el esquema de presunción de costos de la UGPP, siempre y cuando cuenten con los documentos que soporten los costos y deducciones, los cuales deben cumplir con los requisitos establecidos en el artículo </w:t>
      </w:r>
      <w:r w:rsidRPr="007B5FFA">
        <w:rPr>
          <w:rFonts w:ascii="Arial" w:hAnsi="Arial" w:cs="Arial"/>
          <w:sz w:val="22"/>
          <w:szCs w:val="22"/>
          <w:lang w:val="es-CO"/>
        </w:rPr>
        <w:t>107</w:t>
      </w:r>
      <w:r w:rsidRPr="006969B3">
        <w:rPr>
          <w:rFonts w:ascii="Arial" w:hAnsi="Arial" w:cs="Arial"/>
          <w:sz w:val="22"/>
          <w:szCs w:val="22"/>
          <w:lang w:val="es-CO"/>
        </w:rPr>
        <w:t> del Estatuto Tributario y demás normas que regulen las exigencias para la validez de dichos documentos.</w:t>
      </w:r>
    </w:p>
    <w:p w14:paraId="64F61107" w14:textId="77777777" w:rsidR="009034C4" w:rsidRPr="006969B3" w:rsidRDefault="009034C4" w:rsidP="00F65283">
      <w:pPr>
        <w:pStyle w:val="NormalWeb"/>
        <w:spacing w:before="0" w:beforeAutospacing="0" w:after="0" w:afterAutospacing="0"/>
        <w:jc w:val="both"/>
        <w:rPr>
          <w:rStyle w:val="baj"/>
          <w:rFonts w:ascii="Arial" w:hAnsi="Arial" w:cs="Arial"/>
          <w:sz w:val="22"/>
          <w:szCs w:val="22"/>
          <w:lang w:val="es-CO"/>
        </w:rPr>
      </w:pPr>
    </w:p>
    <w:p w14:paraId="55E03992" w14:textId="60AFDB00" w:rsidR="00111EAE" w:rsidRPr="006969B3" w:rsidRDefault="00111EAE"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xml:space="preserve"> La UGPP podrá aplicar el esquema de presunción previsto en el parágrafo anterior a los procesos de fiscalización en curso y a los que se inicien respecto de cualquier vigencia fiscal y a los que, siendo procedente y sin requerir el consentimiento previo, estén o llegaren a estar en trámite de resolver a través de revocación directa y no dispongan de una situación jurídica consolidada por pago.</w:t>
      </w:r>
    </w:p>
    <w:p w14:paraId="20B8897F" w14:textId="77777777" w:rsidR="009034C4" w:rsidRPr="006969B3" w:rsidRDefault="009034C4" w:rsidP="00F65283">
      <w:pPr>
        <w:pStyle w:val="NormalWeb"/>
        <w:spacing w:before="0" w:beforeAutospacing="0" w:after="0" w:afterAutospacing="0"/>
        <w:jc w:val="both"/>
        <w:rPr>
          <w:rFonts w:ascii="Arial" w:hAnsi="Arial" w:cs="Arial"/>
          <w:sz w:val="22"/>
          <w:szCs w:val="22"/>
          <w:lang w:val="es-CO"/>
        </w:rPr>
      </w:pPr>
    </w:p>
    <w:p w14:paraId="160D8576" w14:textId="4EF82537" w:rsidR="00111EAE" w:rsidRPr="006969B3" w:rsidRDefault="00111EA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Los plazos que se encuentren cursando para resolver recursos o la revocatoria directa de actos administrativos proferidos por la UGPP en la materia, se ampliarán en el mismo término del inicialmente definido por la ley.</w:t>
      </w:r>
    </w:p>
    <w:p w14:paraId="52E2BCC6" w14:textId="77777777" w:rsidR="009034C4" w:rsidRPr="006969B3" w:rsidRDefault="009034C4" w:rsidP="00F65283">
      <w:pPr>
        <w:pStyle w:val="NormalWeb"/>
        <w:spacing w:before="0" w:beforeAutospacing="0" w:after="0" w:afterAutospacing="0"/>
        <w:jc w:val="both"/>
        <w:rPr>
          <w:rFonts w:ascii="Arial" w:hAnsi="Arial" w:cs="Arial"/>
          <w:sz w:val="22"/>
          <w:szCs w:val="22"/>
          <w:lang w:val="es-CO"/>
        </w:rPr>
      </w:pPr>
    </w:p>
    <w:p w14:paraId="1FC5B72B" w14:textId="0F48270D" w:rsidR="00111EAE" w:rsidRPr="006969B3" w:rsidRDefault="00111EAE"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 las decisiones resultantes de la aplicación de la presente disposición también le será aplicable lo dispuesto en el artículo </w:t>
      </w:r>
      <w:r w:rsidRPr="007B5FFA">
        <w:rPr>
          <w:rFonts w:ascii="Arial" w:hAnsi="Arial" w:cs="Arial"/>
          <w:sz w:val="22"/>
          <w:szCs w:val="22"/>
          <w:lang w:val="es-CO"/>
        </w:rPr>
        <w:t>110</w:t>
      </w:r>
      <w:r w:rsidRPr="006969B3">
        <w:rPr>
          <w:rFonts w:ascii="Arial" w:hAnsi="Arial" w:cs="Arial"/>
          <w:sz w:val="22"/>
          <w:szCs w:val="22"/>
          <w:lang w:val="es-CO"/>
        </w:rPr>
        <w:t> de la presente ley, cuyo plazo para solicitar la transacción con la UGPP será el 31 de diciembre de 2020.</w:t>
      </w:r>
    </w:p>
    <w:p w14:paraId="04F01278" w14:textId="77777777" w:rsidR="009034C4" w:rsidRPr="006969B3" w:rsidRDefault="009034C4" w:rsidP="00F65283">
      <w:pPr>
        <w:spacing w:after="0" w:line="240" w:lineRule="auto"/>
        <w:jc w:val="both"/>
        <w:rPr>
          <w:rFonts w:ascii="Arial" w:hAnsi="Arial" w:cs="Arial"/>
          <w:lang w:val="es-CO"/>
        </w:rPr>
      </w:pPr>
    </w:p>
    <w:p w14:paraId="0198C47E" w14:textId="200AD13D" w:rsidR="001059A6" w:rsidRPr="00C1189D" w:rsidRDefault="7D5A169B" w:rsidP="0AA3015D">
      <w:pPr>
        <w:spacing w:after="0" w:line="240" w:lineRule="auto"/>
        <w:jc w:val="both"/>
        <w:rPr>
          <w:rFonts w:ascii="Arial" w:hAnsi="Arial" w:cs="Arial"/>
          <w:sz w:val="20"/>
          <w:szCs w:val="20"/>
          <w:lang w:val="es-CO" w:eastAsia="es-CO"/>
        </w:rPr>
      </w:pPr>
      <w:r w:rsidRPr="00C1189D">
        <w:rPr>
          <w:rFonts w:ascii="Arial" w:hAnsi="Arial" w:cs="Arial"/>
          <w:sz w:val="20"/>
          <w:szCs w:val="20"/>
          <w:lang w:val="es-CO"/>
        </w:rPr>
        <w:t xml:space="preserve">(Ver conceptos: </w:t>
      </w:r>
      <w:hyperlink r:id="rId47">
        <w:r w:rsidR="429EA5E4" w:rsidRPr="00C1189D">
          <w:rPr>
            <w:rStyle w:val="Hipervnculo"/>
            <w:rFonts w:ascii="Arial" w:eastAsia="Times New Roman" w:hAnsi="Arial" w:cs="Arial"/>
            <w:sz w:val="20"/>
            <w:szCs w:val="20"/>
            <w:u w:val="none"/>
            <w:lang w:val="es-CO" w:eastAsia="es-CO"/>
          </w:rPr>
          <w:t>4201912000005892 de 10/10/2019</w:t>
        </w:r>
      </w:hyperlink>
      <w:r w:rsidR="429EA5E4" w:rsidRPr="00C1189D">
        <w:rPr>
          <w:rFonts w:ascii="Arial" w:eastAsia="Times New Roman" w:hAnsi="Arial" w:cs="Arial"/>
          <w:sz w:val="20"/>
          <w:szCs w:val="20"/>
          <w:lang w:val="es-CO" w:eastAsia="es-CO"/>
        </w:rPr>
        <w:t xml:space="preserve">, </w:t>
      </w:r>
      <w:hyperlink r:id="rId48">
        <w:r w:rsidR="7E8A40E6" w:rsidRPr="00C1189D">
          <w:rPr>
            <w:rStyle w:val="Hipervnculo"/>
            <w:rFonts w:ascii="Arial" w:hAnsi="Arial" w:cs="Arial"/>
            <w:sz w:val="20"/>
            <w:szCs w:val="20"/>
            <w:u w:val="none"/>
            <w:lang w:val="es-CO"/>
          </w:rPr>
          <w:t>4201912000008226 del 04/02/2020</w:t>
        </w:r>
      </w:hyperlink>
      <w:r w:rsidR="5B9AE9F0" w:rsidRPr="00C1189D">
        <w:rPr>
          <w:rFonts w:ascii="Arial" w:hAnsi="Arial" w:cs="Arial"/>
          <w:sz w:val="20"/>
          <w:szCs w:val="20"/>
          <w:lang w:val="es-CO"/>
        </w:rPr>
        <w:t xml:space="preserve">, </w:t>
      </w:r>
      <w:hyperlink r:id="rId49">
        <w:r w:rsidR="4C1BD402" w:rsidRPr="00C1189D">
          <w:rPr>
            <w:rStyle w:val="Hipervnculo"/>
            <w:rFonts w:ascii="Arial" w:hAnsi="Arial" w:cs="Arial"/>
            <w:sz w:val="20"/>
            <w:szCs w:val="20"/>
            <w:u w:val="none"/>
            <w:lang w:val="es-CO"/>
          </w:rPr>
          <w:t>C</w:t>
        </w:r>
        <w:r w:rsidR="429EA5E4" w:rsidRPr="00C1189D">
          <w:rPr>
            <w:rStyle w:val="Hipervnculo"/>
            <w:rFonts w:ascii="Arial" w:hAnsi="Arial" w:cs="Arial"/>
            <w:sz w:val="20"/>
            <w:szCs w:val="20"/>
            <w:u w:val="none"/>
            <w:lang w:val="es-CO"/>
          </w:rPr>
          <w:t>−</w:t>
        </w:r>
        <w:r w:rsidR="4C1BD402" w:rsidRPr="00C1189D">
          <w:rPr>
            <w:rStyle w:val="Hipervnculo"/>
            <w:rFonts w:ascii="Arial" w:hAnsi="Arial" w:cs="Arial"/>
            <w:sz w:val="20"/>
            <w:szCs w:val="20"/>
            <w:u w:val="none"/>
            <w:lang w:val="es-CO"/>
          </w:rPr>
          <w:t xml:space="preserve">042 del </w:t>
        </w:r>
        <w:r w:rsidR="429EA5E4" w:rsidRPr="00C1189D">
          <w:rPr>
            <w:rStyle w:val="Hipervnculo"/>
            <w:rFonts w:ascii="Arial" w:hAnsi="Arial" w:cs="Arial"/>
            <w:sz w:val="20"/>
            <w:szCs w:val="20"/>
            <w:u w:val="none"/>
            <w:lang w:val="es-CO"/>
          </w:rPr>
          <w:t>0</w:t>
        </w:r>
        <w:r w:rsidR="4C1BD402" w:rsidRPr="00C1189D">
          <w:rPr>
            <w:rStyle w:val="Hipervnculo"/>
            <w:rFonts w:ascii="Arial" w:hAnsi="Arial" w:cs="Arial"/>
            <w:sz w:val="20"/>
            <w:szCs w:val="20"/>
            <w:u w:val="none"/>
            <w:lang w:val="es-CO"/>
          </w:rPr>
          <w:t>5/</w:t>
        </w:r>
        <w:r w:rsidR="429EA5E4" w:rsidRPr="00C1189D">
          <w:rPr>
            <w:rStyle w:val="Hipervnculo"/>
            <w:rFonts w:ascii="Arial" w:hAnsi="Arial" w:cs="Arial"/>
            <w:sz w:val="20"/>
            <w:szCs w:val="20"/>
            <w:u w:val="none"/>
            <w:lang w:val="es-CO"/>
          </w:rPr>
          <w:t>0</w:t>
        </w:r>
        <w:r w:rsidR="4C1BD402" w:rsidRPr="00C1189D">
          <w:rPr>
            <w:rStyle w:val="Hipervnculo"/>
            <w:rFonts w:ascii="Arial" w:hAnsi="Arial" w:cs="Arial"/>
            <w:sz w:val="20"/>
            <w:szCs w:val="20"/>
            <w:u w:val="none"/>
            <w:lang w:val="es-CO"/>
          </w:rPr>
          <w:t>2/2020</w:t>
        </w:r>
      </w:hyperlink>
      <w:r w:rsidR="420FA463" w:rsidRPr="00C1189D">
        <w:rPr>
          <w:rFonts w:ascii="Arial" w:hAnsi="Arial" w:cs="Arial"/>
          <w:sz w:val="20"/>
          <w:szCs w:val="20"/>
          <w:lang w:val="es-CO"/>
        </w:rPr>
        <w:t xml:space="preserve">, </w:t>
      </w:r>
      <w:hyperlink r:id="rId50">
        <w:r w:rsidR="420FA463" w:rsidRPr="00C1189D">
          <w:rPr>
            <w:rStyle w:val="Hipervnculo"/>
            <w:rFonts w:ascii="Arial" w:hAnsi="Arial" w:cs="Arial"/>
            <w:sz w:val="20"/>
            <w:szCs w:val="20"/>
            <w:u w:val="none"/>
            <w:lang w:val="es-CO"/>
          </w:rPr>
          <w:t>C</w:t>
        </w:r>
        <w:r w:rsidR="429EA5E4" w:rsidRPr="00C1189D">
          <w:rPr>
            <w:rStyle w:val="Hipervnculo"/>
            <w:rFonts w:ascii="Arial" w:hAnsi="Arial" w:cs="Arial"/>
            <w:sz w:val="20"/>
            <w:szCs w:val="20"/>
            <w:u w:val="none"/>
            <w:lang w:val="es-CO"/>
          </w:rPr>
          <w:t>−</w:t>
        </w:r>
        <w:r w:rsidR="420FA463" w:rsidRPr="00C1189D">
          <w:rPr>
            <w:rStyle w:val="Hipervnculo"/>
            <w:rFonts w:ascii="Arial" w:hAnsi="Arial" w:cs="Arial"/>
            <w:sz w:val="20"/>
            <w:szCs w:val="20"/>
            <w:u w:val="none"/>
            <w:lang w:val="es-CO"/>
          </w:rPr>
          <w:t>118 del 03/03/2020</w:t>
        </w:r>
      </w:hyperlink>
      <w:r w:rsidR="6E70DEA3" w:rsidRPr="00C1189D">
        <w:rPr>
          <w:rFonts w:ascii="Arial" w:hAnsi="Arial" w:cs="Arial"/>
          <w:sz w:val="20"/>
          <w:szCs w:val="20"/>
          <w:lang w:val="es-CO"/>
        </w:rPr>
        <w:t xml:space="preserve">, </w:t>
      </w:r>
      <w:hyperlink r:id="rId51">
        <w:r w:rsidR="7E8A40E6" w:rsidRPr="00C1189D">
          <w:rPr>
            <w:rStyle w:val="Hipervnculo"/>
            <w:rFonts w:ascii="Arial" w:hAnsi="Arial" w:cs="Arial"/>
            <w:sz w:val="20"/>
            <w:szCs w:val="20"/>
            <w:u w:val="none"/>
            <w:lang w:val="es-CO"/>
          </w:rPr>
          <w:t>C−105 del 12/03/2020</w:t>
        </w:r>
      </w:hyperlink>
      <w:r w:rsidR="7E8A40E6" w:rsidRPr="00C1189D">
        <w:rPr>
          <w:rFonts w:ascii="Arial" w:hAnsi="Arial" w:cs="Arial"/>
          <w:sz w:val="20"/>
          <w:szCs w:val="20"/>
          <w:lang w:val="es-CO"/>
        </w:rPr>
        <w:t xml:space="preserve">, </w:t>
      </w:r>
      <w:hyperlink r:id="rId52">
        <w:r w:rsidR="6E70DEA3" w:rsidRPr="00C1189D">
          <w:rPr>
            <w:rStyle w:val="Hipervnculo"/>
            <w:rFonts w:ascii="Arial" w:hAnsi="Arial" w:cs="Arial"/>
            <w:sz w:val="20"/>
            <w:szCs w:val="20"/>
            <w:u w:val="none"/>
            <w:lang w:val="es-CO"/>
          </w:rPr>
          <w:t>C</w:t>
        </w:r>
        <w:r w:rsidR="7E8A40E6" w:rsidRPr="00C1189D">
          <w:rPr>
            <w:rStyle w:val="Hipervnculo"/>
            <w:rFonts w:ascii="Arial" w:hAnsi="Arial" w:cs="Arial"/>
            <w:sz w:val="20"/>
            <w:szCs w:val="20"/>
            <w:u w:val="none"/>
            <w:lang w:val="es-CO"/>
          </w:rPr>
          <w:t>−</w:t>
        </w:r>
        <w:r w:rsidR="6E70DEA3" w:rsidRPr="00C1189D">
          <w:rPr>
            <w:rStyle w:val="Hipervnculo"/>
            <w:rFonts w:ascii="Arial" w:hAnsi="Arial" w:cs="Arial"/>
            <w:sz w:val="20"/>
            <w:szCs w:val="20"/>
            <w:u w:val="none"/>
            <w:lang w:val="es-CO"/>
          </w:rPr>
          <w:t>183 del 17/03/2020</w:t>
        </w:r>
        <w:r w:rsidR="0AA3015D" w:rsidRPr="00C1189D">
          <w:rPr>
            <w:rStyle w:val="Hipervnculo"/>
            <w:rFonts w:ascii="Arial" w:hAnsi="Arial" w:cs="Arial"/>
            <w:sz w:val="20"/>
            <w:szCs w:val="20"/>
            <w:u w:val="none"/>
            <w:lang w:val="es-CO"/>
          </w:rPr>
          <w:t xml:space="preserve"> </w:t>
        </w:r>
      </w:hyperlink>
      <w:hyperlink r:id="rId53">
        <w:r w:rsidR="0AA3015D" w:rsidRPr="00C1189D">
          <w:rPr>
            <w:rStyle w:val="Hipervnculo"/>
            <w:rFonts w:ascii="Arial" w:eastAsia="Arial" w:hAnsi="Arial" w:cs="Arial"/>
            <w:sz w:val="20"/>
            <w:szCs w:val="20"/>
            <w:lang w:val="es-CO"/>
          </w:rPr>
          <w:t>C-181 del  07/04/2022</w:t>
        </w:r>
      </w:hyperlink>
    </w:p>
    <w:p w14:paraId="7F10A20B" w14:textId="60E12EC3" w:rsidR="005B31FF" w:rsidRPr="006969B3" w:rsidRDefault="005B31FF" w:rsidP="00F65283">
      <w:pPr>
        <w:spacing w:after="0" w:line="240" w:lineRule="auto"/>
        <w:jc w:val="both"/>
        <w:rPr>
          <w:rFonts w:ascii="Arial" w:hAnsi="Arial" w:cs="Arial"/>
          <w:lang w:val="es-CO"/>
        </w:rPr>
      </w:pPr>
    </w:p>
    <w:p w14:paraId="2EDB31C1" w14:textId="00A2C49C" w:rsidR="003B1677" w:rsidRPr="006969B3" w:rsidRDefault="003B1677" w:rsidP="00F65283">
      <w:pPr>
        <w:pStyle w:val="NormalWeb"/>
        <w:spacing w:before="0" w:beforeAutospacing="0" w:after="0" w:afterAutospacing="0"/>
        <w:jc w:val="both"/>
        <w:rPr>
          <w:rFonts w:ascii="Arial" w:hAnsi="Arial" w:cs="Arial"/>
          <w:sz w:val="22"/>
          <w:szCs w:val="22"/>
          <w:lang w:val="es-CO"/>
        </w:rPr>
      </w:pPr>
      <w:bookmarkStart w:id="262" w:name="245"/>
      <w:r w:rsidRPr="006969B3">
        <w:rPr>
          <w:rFonts w:ascii="Arial" w:hAnsi="Arial" w:cs="Arial"/>
          <w:sz w:val="22"/>
          <w:szCs w:val="22"/>
          <w:lang w:val="es-CO"/>
        </w:rPr>
        <w:lastRenderedPageBreak/>
        <w:t>ARTÍCULO 245. ACUERDOS DE PAGO DE SERVICIOS Y TECNOLOGÍAS EN SALUD.</w:t>
      </w:r>
      <w:bookmarkEnd w:id="262"/>
      <w:r w:rsidRPr="006969B3">
        <w:rPr>
          <w:rFonts w:ascii="Arial" w:hAnsi="Arial" w:cs="Arial"/>
          <w:sz w:val="22"/>
          <w:szCs w:val="22"/>
          <w:lang w:val="es-CO"/>
        </w:rPr>
        <w:t> Con el fin de garantizar el derecho fundamental a la salud, la ADRES podrá, de manera transitoria y durante la vigencia de la presente Ley, suscribir acuerdos de pago con las EPS para atender el pago previo y/o acreencias por servicios y tecnologías en salud no incluidas en el Plan de Beneficios en Salud con cargo a la Unidad de Pago por Capitación del régimen contributivo prestados únicamente hasta el 31 de diciembre de 2019. Estos acuerdos de pago se registrarán como un pasivo en la contabilidad de la ADRES y se reconocerán como deuda pública y se podrán atender ya sea con cargo al servicio de la deuda del Presupuesto General de la Nación o mediante operaciones de crédito público. Este reconocimiento será por una sola vez, y para los efectos previstos en este artículo.</w:t>
      </w:r>
    </w:p>
    <w:p w14:paraId="7F5D4586" w14:textId="77777777" w:rsidR="00374A72" w:rsidRPr="006969B3" w:rsidRDefault="00374A72" w:rsidP="00F65283">
      <w:pPr>
        <w:pStyle w:val="NormalWeb"/>
        <w:spacing w:before="0" w:beforeAutospacing="0" w:after="0" w:afterAutospacing="0"/>
        <w:jc w:val="both"/>
        <w:rPr>
          <w:rFonts w:ascii="Arial" w:hAnsi="Arial" w:cs="Arial"/>
          <w:sz w:val="22"/>
          <w:szCs w:val="22"/>
          <w:lang w:val="es-CO"/>
        </w:rPr>
      </w:pPr>
    </w:p>
    <w:p w14:paraId="2A1093DA" w14:textId="38411001"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De atenderse con operaciones de crédito público, la Dirección General de Crédito Público y Tesoro Nacional del Ministerio de Hacienda y Crédito Público administrará, en una cuenta independiente, el cupo de emisión de deuda que se destine a la atención de las obligaciones de pago originadas en este artículo. Para los efectos previstos en este inciso, la Dirección General de Crédito Público y Tesoro Nacional estará facultada para realizar las operaciones necesarias en el mercado monetario y de deuda pública.</w:t>
      </w:r>
    </w:p>
    <w:p w14:paraId="330FD227" w14:textId="77777777" w:rsidR="00374A72" w:rsidRPr="006969B3" w:rsidRDefault="00374A72" w:rsidP="00F65283">
      <w:pPr>
        <w:pStyle w:val="NormalWeb"/>
        <w:spacing w:before="0" w:beforeAutospacing="0" w:after="0" w:afterAutospacing="0"/>
        <w:jc w:val="both"/>
        <w:rPr>
          <w:rFonts w:ascii="Arial" w:hAnsi="Arial" w:cs="Arial"/>
          <w:sz w:val="22"/>
          <w:szCs w:val="22"/>
          <w:lang w:val="es-CO"/>
        </w:rPr>
      </w:pPr>
    </w:p>
    <w:p w14:paraId="5904EAC2" w14:textId="00FDE934"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La ADRES será la entidad responsable de realizar las auditorías requeridas, así como el pago a las EPS o a las entidades que estas ordenen, de conformidad con los acuerdos de pago suscritos. Si durante el proceso de auditoría se llegase a presentar valores en exceso a los pagados, las EPS deberán proceder al reintegro de los recursos correspondientes.</w:t>
      </w:r>
    </w:p>
    <w:p w14:paraId="27E82ADC" w14:textId="77777777" w:rsidR="00374A72" w:rsidRPr="006969B3" w:rsidRDefault="00374A72" w:rsidP="00F65283">
      <w:pPr>
        <w:pStyle w:val="NormalWeb"/>
        <w:spacing w:before="0" w:beforeAutospacing="0" w:after="0" w:afterAutospacing="0"/>
        <w:jc w:val="both"/>
        <w:rPr>
          <w:rFonts w:ascii="Arial" w:hAnsi="Arial" w:cs="Arial"/>
          <w:sz w:val="22"/>
          <w:szCs w:val="22"/>
          <w:lang w:val="es-CO"/>
        </w:rPr>
      </w:pPr>
    </w:p>
    <w:p w14:paraId="2CAF0924" w14:textId="77777777"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Sin perjuicio de lo previsto en el primer inciso del presente artículo, el Ministerio de Hacienda y Crédito Público, así como el Ministerio de Salud y Protección Social deberán asignar en las vigencias presupuestales con posterioridad a la expedición de la presente Ley, los recursos suficientes para el pago a las EPS, por las Acreencias adquiridas por servicios y tecnologías en salud no incluidas en el Plan de Beneficios en Salud con cargo a la Unidad de Pago por Capitación del régimen contributivo.</w:t>
      </w:r>
    </w:p>
    <w:p w14:paraId="51FE7CCC" w14:textId="0BF2CD52" w:rsidR="003B1677" w:rsidRPr="006969B3" w:rsidRDefault="003B1677" w:rsidP="00F65283">
      <w:pPr>
        <w:spacing w:after="0" w:line="240" w:lineRule="auto"/>
        <w:rPr>
          <w:rFonts w:ascii="Arial" w:hAnsi="Arial" w:cs="Arial"/>
          <w:lang w:val="es-CO"/>
        </w:rPr>
      </w:pPr>
    </w:p>
    <w:p w14:paraId="2B068C55" w14:textId="59D8203F" w:rsidR="003B1677" w:rsidRPr="006969B3" w:rsidRDefault="003B1677" w:rsidP="00F65283">
      <w:pPr>
        <w:pStyle w:val="NormalWeb"/>
        <w:spacing w:before="0" w:beforeAutospacing="0" w:after="0" w:afterAutospacing="0"/>
        <w:jc w:val="both"/>
        <w:rPr>
          <w:rFonts w:ascii="Arial" w:hAnsi="Arial" w:cs="Arial"/>
          <w:sz w:val="22"/>
          <w:szCs w:val="22"/>
          <w:lang w:val="es-CO"/>
        </w:rPr>
      </w:pPr>
      <w:bookmarkStart w:id="263" w:name="246"/>
      <w:r w:rsidRPr="006969B3">
        <w:rPr>
          <w:rFonts w:ascii="Arial" w:hAnsi="Arial" w:cs="Arial"/>
          <w:sz w:val="22"/>
          <w:szCs w:val="22"/>
          <w:lang w:val="es-CO"/>
        </w:rPr>
        <w:t>ARTÍCULO 246. INTEROPERABILIDAD DE LA HISTORIA CLÍNICA.</w:t>
      </w:r>
      <w:bookmarkEnd w:id="263"/>
      <w:r w:rsidRPr="006969B3">
        <w:rPr>
          <w:rFonts w:ascii="Arial" w:hAnsi="Arial" w:cs="Arial"/>
          <w:sz w:val="22"/>
          <w:szCs w:val="22"/>
          <w:lang w:val="es-CO"/>
        </w:rPr>
        <w:t> El Ministerio de Salud y Protección Social adoptará un mecanismo electrónico que desarrolle la interoperabilidad de la historia clínica. Dicho mecanismo deberá garantizar que todos los prestadores de servicios de salud públicos y privados, y demás personas naturales o jurídicas que se relacionen con la atención en salud, compartan los datos vitales definidos por el Gobierno nacional para dar continuidad a la atención en salud, los cuales deberán cumplir los estándares que se establezcan para el efecto.</w:t>
      </w:r>
    </w:p>
    <w:p w14:paraId="5359ECDC" w14:textId="77777777" w:rsidR="00374A72" w:rsidRPr="006969B3" w:rsidRDefault="00374A72" w:rsidP="00F65283">
      <w:pPr>
        <w:pStyle w:val="NormalWeb"/>
        <w:spacing w:before="0" w:beforeAutospacing="0" w:after="0" w:afterAutospacing="0"/>
        <w:jc w:val="both"/>
        <w:rPr>
          <w:rFonts w:ascii="Arial" w:hAnsi="Arial" w:cs="Arial"/>
          <w:sz w:val="22"/>
          <w:szCs w:val="22"/>
          <w:lang w:val="es-CO"/>
        </w:rPr>
      </w:pPr>
    </w:p>
    <w:p w14:paraId="354253C6" w14:textId="54CACF84"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mecanismo electrónico de interoperabilidad garantizará la autenticidad, integridad, disponibilidad y fiabilidad de los datos y deberá utilizar las técnicas necesarias que minimicen el riesgo a la suplantación, alteración, pérdida de confidencialidad y cualquier acceso indebido o no autorizado a la misma, de conformidad con la Ley </w:t>
      </w:r>
      <w:r w:rsidRPr="000A2938">
        <w:rPr>
          <w:rFonts w:ascii="Arial" w:hAnsi="Arial" w:cs="Arial"/>
          <w:sz w:val="22"/>
          <w:szCs w:val="22"/>
          <w:lang w:val="es-CO"/>
        </w:rPr>
        <w:t>1581</w:t>
      </w:r>
      <w:r w:rsidRPr="006969B3">
        <w:rPr>
          <w:rFonts w:ascii="Arial" w:hAnsi="Arial" w:cs="Arial"/>
          <w:sz w:val="22"/>
          <w:szCs w:val="22"/>
          <w:lang w:val="es-CO"/>
        </w:rPr>
        <w:t> de 2012 y las normas que la modifiquen, adicionen o sustituyan.</w:t>
      </w:r>
    </w:p>
    <w:p w14:paraId="79AF9876" w14:textId="77777777" w:rsidR="00374A72" w:rsidRPr="006969B3" w:rsidRDefault="00374A72" w:rsidP="00F65283">
      <w:pPr>
        <w:pStyle w:val="NormalWeb"/>
        <w:spacing w:before="0" w:beforeAutospacing="0" w:after="0" w:afterAutospacing="0"/>
        <w:jc w:val="both"/>
        <w:rPr>
          <w:rFonts w:ascii="Arial" w:hAnsi="Arial" w:cs="Arial"/>
          <w:sz w:val="22"/>
          <w:szCs w:val="22"/>
          <w:lang w:val="es-CO"/>
        </w:rPr>
      </w:pPr>
    </w:p>
    <w:p w14:paraId="4C94A3ED" w14:textId="77777777"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xml:space="preserve"> A partir de la </w:t>
      </w:r>
      <w:proofErr w:type="gramStart"/>
      <w:r w:rsidRPr="006969B3">
        <w:rPr>
          <w:rFonts w:ascii="Arial" w:hAnsi="Arial" w:cs="Arial"/>
          <w:sz w:val="22"/>
          <w:szCs w:val="22"/>
          <w:lang w:val="es-CO"/>
        </w:rPr>
        <w:t>entrada en vigencia</w:t>
      </w:r>
      <w:proofErr w:type="gramEnd"/>
      <w:r w:rsidRPr="006969B3">
        <w:rPr>
          <w:rFonts w:ascii="Arial" w:hAnsi="Arial" w:cs="Arial"/>
          <w:sz w:val="22"/>
          <w:szCs w:val="22"/>
          <w:lang w:val="es-CO"/>
        </w:rPr>
        <w:t xml:space="preserve"> de la presente Ley el Gobierno nacional, deberá en un término de doce (12) meses adoptar la reglamentación que estime necesaria para el desarrollo del presente artículo.</w:t>
      </w:r>
    </w:p>
    <w:p w14:paraId="035FC5DC" w14:textId="77777777" w:rsidR="00374A72" w:rsidRPr="006969B3" w:rsidRDefault="00374A72" w:rsidP="00F65283">
      <w:pPr>
        <w:pStyle w:val="NormalWeb"/>
        <w:spacing w:before="0" w:beforeAutospacing="0" w:after="0" w:afterAutospacing="0"/>
        <w:jc w:val="both"/>
        <w:rPr>
          <w:rFonts w:ascii="Arial" w:hAnsi="Arial" w:cs="Arial"/>
          <w:sz w:val="22"/>
          <w:szCs w:val="22"/>
          <w:lang w:val="es-CO"/>
        </w:rPr>
      </w:pPr>
      <w:bookmarkStart w:id="264" w:name="247"/>
    </w:p>
    <w:p w14:paraId="73EA2650" w14:textId="2B840926"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247. ATENCIÓN PRIORITARIA A PACIENTES DE REGIONES DISPERSAS Y DE DIFÍCIL ACCESO.</w:t>
      </w:r>
      <w:bookmarkEnd w:id="264"/>
      <w:r w:rsidRPr="006969B3">
        <w:rPr>
          <w:rFonts w:ascii="Arial" w:hAnsi="Arial" w:cs="Arial"/>
          <w:sz w:val="22"/>
          <w:szCs w:val="22"/>
          <w:lang w:val="es-CO"/>
        </w:rPr>
        <w:t xml:space="preserve"> Cuando el proceso de referencia se solicite, de manera posterior a </w:t>
      </w:r>
      <w:r w:rsidRPr="006969B3">
        <w:rPr>
          <w:rFonts w:ascii="Arial" w:hAnsi="Arial" w:cs="Arial"/>
          <w:sz w:val="22"/>
          <w:szCs w:val="22"/>
          <w:lang w:val="es-CO"/>
        </w:rPr>
        <w:lastRenderedPageBreak/>
        <w:t>la atención de urgencias o ambulatorias prioritarias, se deberá dar prelación a aquellos pacientes que procedan de regiones dispersas y de difícil acceso, por parte de la entidad responsable de pago y de la Institución Prestadora de Servicios de Salud receptora. Igual consideración se deberá tener en cuenta para el proceso de contrarreferencia de estos pacientes.</w:t>
      </w:r>
    </w:p>
    <w:p w14:paraId="78CCB575" w14:textId="48FC7F9D" w:rsidR="003B1677" w:rsidRPr="006969B3" w:rsidRDefault="003B1677" w:rsidP="00F65283">
      <w:pPr>
        <w:spacing w:after="0" w:line="240" w:lineRule="auto"/>
        <w:rPr>
          <w:rFonts w:ascii="Arial" w:hAnsi="Arial" w:cs="Arial"/>
          <w:lang w:val="es-CO"/>
        </w:rPr>
      </w:pPr>
    </w:p>
    <w:p w14:paraId="605A4702" w14:textId="4792E340" w:rsidR="003B1677" w:rsidRPr="006969B3" w:rsidRDefault="003B1677" w:rsidP="00F65283">
      <w:pPr>
        <w:pStyle w:val="NormalWeb"/>
        <w:spacing w:before="0" w:beforeAutospacing="0" w:after="0" w:afterAutospacing="0"/>
        <w:jc w:val="both"/>
        <w:rPr>
          <w:rFonts w:ascii="Arial" w:hAnsi="Arial" w:cs="Arial"/>
          <w:sz w:val="22"/>
          <w:szCs w:val="22"/>
          <w:lang w:val="es-CO"/>
        </w:rPr>
      </w:pPr>
      <w:bookmarkStart w:id="265" w:name="248"/>
      <w:r w:rsidRPr="006969B3">
        <w:rPr>
          <w:rFonts w:ascii="Arial" w:hAnsi="Arial" w:cs="Arial"/>
          <w:sz w:val="22"/>
          <w:szCs w:val="22"/>
          <w:lang w:val="es-CO"/>
        </w:rPr>
        <w:t>ARTÍCULO 248. FASE DE REHABILITACIÓN.</w:t>
      </w:r>
      <w:bookmarkEnd w:id="265"/>
      <w:r w:rsidRPr="006969B3">
        <w:rPr>
          <w:rFonts w:ascii="Arial" w:hAnsi="Arial" w:cs="Arial"/>
          <w:sz w:val="22"/>
          <w:szCs w:val="22"/>
          <w:lang w:val="es-CO"/>
        </w:rPr>
        <w:t> Modifíquese el artículo </w:t>
      </w:r>
      <w:r w:rsidRPr="000A2938">
        <w:rPr>
          <w:rFonts w:ascii="Arial" w:hAnsi="Arial" w:cs="Arial"/>
          <w:sz w:val="22"/>
          <w:szCs w:val="22"/>
          <w:lang w:val="es-CO"/>
        </w:rPr>
        <w:t>3o</w:t>
      </w:r>
      <w:r w:rsidRPr="006969B3">
        <w:rPr>
          <w:rFonts w:ascii="Arial" w:hAnsi="Arial" w:cs="Arial"/>
          <w:sz w:val="22"/>
          <w:szCs w:val="22"/>
          <w:lang w:val="es-CO"/>
        </w:rPr>
        <w:t> de la Ley 1471 de 2011, el cual quedará así:</w:t>
      </w:r>
    </w:p>
    <w:p w14:paraId="1B1F19A1" w14:textId="77777777" w:rsidR="00374A72" w:rsidRPr="006969B3" w:rsidRDefault="00374A72" w:rsidP="00F65283">
      <w:pPr>
        <w:pStyle w:val="NormalWeb"/>
        <w:spacing w:before="0" w:beforeAutospacing="0" w:after="0" w:afterAutospacing="0"/>
        <w:jc w:val="both"/>
        <w:rPr>
          <w:rFonts w:ascii="Arial" w:hAnsi="Arial" w:cs="Arial"/>
          <w:sz w:val="22"/>
          <w:szCs w:val="22"/>
          <w:lang w:val="es-CO"/>
        </w:rPr>
      </w:pPr>
    </w:p>
    <w:p w14:paraId="0262FB29" w14:textId="09F3064E"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w:t>
      </w:r>
      <w:r w:rsidRPr="000A2938">
        <w:rPr>
          <w:rFonts w:ascii="Arial" w:hAnsi="Arial" w:cs="Arial"/>
          <w:sz w:val="22"/>
          <w:szCs w:val="22"/>
          <w:lang w:val="es-CO"/>
        </w:rPr>
        <w:t>3o</w:t>
      </w:r>
      <w:r w:rsidRPr="006969B3">
        <w:rPr>
          <w:rFonts w:ascii="Arial" w:hAnsi="Arial" w:cs="Arial"/>
          <w:sz w:val="22"/>
          <w:szCs w:val="22"/>
          <w:lang w:val="es-CO"/>
        </w:rPr>
        <w:t>. Fase de rehabilitación. La Fase de Rehabilitación Inclusiva (FRI) del Sistema de Rehabilitación Integral (SRI) del Ministerio de Defensa Nacional, comprende elementos terapéuticos, educativos y de gestión que permiten alcanzar la autonomía de las personas con discapacidad y de otras poblaciones del sector defensa definidas en esta ley, para desarrollar un nuevo proyecto de vida, con miras a la inclusión al medio familiar, laboral y social.</w:t>
      </w:r>
    </w:p>
    <w:p w14:paraId="38DDF104" w14:textId="77777777" w:rsidR="00374A72" w:rsidRPr="006969B3" w:rsidRDefault="00374A72" w:rsidP="00F65283">
      <w:pPr>
        <w:pStyle w:val="NormalWeb"/>
        <w:spacing w:before="0" w:beforeAutospacing="0" w:after="0" w:afterAutospacing="0"/>
        <w:jc w:val="both"/>
        <w:rPr>
          <w:rFonts w:ascii="Arial" w:hAnsi="Arial" w:cs="Arial"/>
          <w:sz w:val="22"/>
          <w:szCs w:val="22"/>
          <w:lang w:val="es-CO"/>
        </w:rPr>
      </w:pPr>
    </w:p>
    <w:p w14:paraId="2A4A08CC" w14:textId="33B05E0C"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Son beneficiarios de la Fase Inclusión: Miembros de la Fuerza Pública con discapacidad, sean estos activos, retirados, pensionados, beneficiarios mayores de edad con discapacidad de los miembros de la Fuerza Pública, veteranos, veteranos de Corea, miembros de la Fuerza Pública activos o retirados que accedan a la Jurisdicción Especial para la Paz (JEP), miembros de la Fuerza Pública que se encuentren en transición a la vida civil o en proceso de retiro, lesionados bajo las circunstancias previstas en los literales a, b, c, d del artículo </w:t>
      </w:r>
      <w:r w:rsidRPr="000A2938">
        <w:rPr>
          <w:rFonts w:ascii="Arial" w:hAnsi="Arial" w:cs="Arial"/>
          <w:sz w:val="22"/>
          <w:szCs w:val="22"/>
          <w:lang w:val="es-CO"/>
        </w:rPr>
        <w:t>24</w:t>
      </w:r>
      <w:r w:rsidRPr="006969B3">
        <w:rPr>
          <w:rFonts w:ascii="Arial" w:hAnsi="Arial" w:cs="Arial"/>
          <w:sz w:val="22"/>
          <w:szCs w:val="22"/>
          <w:lang w:val="es-CO"/>
        </w:rPr>
        <w:t> del Decreto 1796 de 2000 sin importar el porcentaje de pérdida de capacidad psicofísica otorgado por la junta médico laboral, víctimas militares y de policía conforme a lo definido en el artículo </w:t>
      </w:r>
      <w:r w:rsidRPr="000A2938">
        <w:rPr>
          <w:rFonts w:ascii="Arial" w:hAnsi="Arial" w:cs="Arial"/>
          <w:sz w:val="22"/>
          <w:szCs w:val="22"/>
          <w:lang w:val="es-CO"/>
        </w:rPr>
        <w:t>3o</w:t>
      </w:r>
      <w:r w:rsidRPr="006969B3">
        <w:rPr>
          <w:rFonts w:ascii="Arial" w:hAnsi="Arial" w:cs="Arial"/>
          <w:sz w:val="22"/>
          <w:szCs w:val="22"/>
          <w:lang w:val="es-CO"/>
        </w:rPr>
        <w:t> de la Ley 1448 de 2011, personal civil con discapacidad del Ministerio de Defensa Nacional y de las Fuerzas Militares, y personal no uniformado con discapacidad de la Policía Nacional vinculados con anterioridad a la vigencia de la Ley </w:t>
      </w:r>
      <w:r w:rsidRPr="000A2938">
        <w:rPr>
          <w:rFonts w:ascii="Arial" w:hAnsi="Arial" w:cs="Arial"/>
          <w:sz w:val="22"/>
          <w:szCs w:val="22"/>
          <w:lang w:val="es-CO"/>
        </w:rPr>
        <w:t>100</w:t>
      </w:r>
      <w:r w:rsidRPr="006969B3">
        <w:rPr>
          <w:rFonts w:ascii="Arial" w:hAnsi="Arial" w:cs="Arial"/>
          <w:sz w:val="22"/>
          <w:szCs w:val="22"/>
          <w:lang w:val="es-CO"/>
        </w:rPr>
        <w:t> de 1993, que se encuentren en servicio activo o retirado de la institución, soldados regulares que hayan adquirido una discapacidad durante la prestación de su servicio militar obligatorio y, en general, poblaciones del sector seguridad y defensa que requieran de esta fase.</w:t>
      </w:r>
    </w:p>
    <w:p w14:paraId="3BFD28C9" w14:textId="77777777" w:rsidR="00374A72" w:rsidRPr="006969B3" w:rsidRDefault="00374A72" w:rsidP="00F65283">
      <w:pPr>
        <w:pStyle w:val="NormalWeb"/>
        <w:spacing w:before="0" w:beforeAutospacing="0" w:after="0" w:afterAutospacing="0"/>
        <w:jc w:val="both"/>
        <w:rPr>
          <w:rFonts w:ascii="Arial" w:hAnsi="Arial" w:cs="Arial"/>
          <w:sz w:val="22"/>
          <w:szCs w:val="22"/>
          <w:lang w:val="es-CO"/>
        </w:rPr>
      </w:pPr>
    </w:p>
    <w:p w14:paraId="754036BA" w14:textId="0CD1FFAF"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Será requisito para acceder a los servicios provistos en la Fase de Inclusión, que los titulares de los derechos de esta Ley estén afiliados y con los servicios activos al sistema de salud de las Fuerzas Militares o de la Policía Nacional o al Sistema General de Seguridad Social en Salud, según sea el caso, siempre que no implique erogación presupuestal adicional.</w:t>
      </w:r>
    </w:p>
    <w:p w14:paraId="6F4A87CE" w14:textId="77777777" w:rsidR="00374A72" w:rsidRPr="006969B3" w:rsidRDefault="00374A72" w:rsidP="00F65283">
      <w:pPr>
        <w:pStyle w:val="NormalWeb"/>
        <w:spacing w:before="0" w:beforeAutospacing="0" w:after="0" w:afterAutospacing="0"/>
        <w:jc w:val="both"/>
        <w:rPr>
          <w:rFonts w:ascii="Arial" w:hAnsi="Arial" w:cs="Arial"/>
          <w:sz w:val="22"/>
          <w:szCs w:val="22"/>
          <w:lang w:val="es-CO"/>
        </w:rPr>
      </w:pPr>
    </w:p>
    <w:p w14:paraId="3B806C64" w14:textId="1948E29F"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Los recursos que se destinen y asignen para dar cumplimiento a lo dispuesto en este artículo, deberán ser consistentes con el Marco Fiscal de Mediano Plazo y el Marco de Gasto de Mediano Plazo del Sector Defensa.</w:t>
      </w:r>
    </w:p>
    <w:p w14:paraId="1C2AC01C" w14:textId="77777777" w:rsidR="00374A72" w:rsidRPr="006969B3" w:rsidRDefault="00374A72" w:rsidP="00F65283">
      <w:pPr>
        <w:pStyle w:val="NormalWeb"/>
        <w:spacing w:before="0" w:beforeAutospacing="0" w:after="0" w:afterAutospacing="0"/>
        <w:jc w:val="both"/>
        <w:rPr>
          <w:rFonts w:ascii="Arial" w:hAnsi="Arial" w:cs="Arial"/>
          <w:sz w:val="22"/>
          <w:szCs w:val="22"/>
          <w:lang w:val="es-CO"/>
        </w:rPr>
      </w:pPr>
    </w:p>
    <w:p w14:paraId="48CB04AE" w14:textId="0DCE6F8A" w:rsidR="003B1677" w:rsidRPr="006969B3" w:rsidRDefault="003B1677" w:rsidP="00F65283">
      <w:pPr>
        <w:pStyle w:val="centrado"/>
        <w:spacing w:before="0" w:beforeAutospacing="0" w:after="0" w:afterAutospacing="0"/>
        <w:jc w:val="center"/>
        <w:rPr>
          <w:rFonts w:ascii="Arial" w:hAnsi="Arial" w:cs="Arial"/>
          <w:b/>
          <w:bCs/>
          <w:sz w:val="22"/>
          <w:szCs w:val="22"/>
          <w:lang w:val="es-CO"/>
        </w:rPr>
      </w:pPr>
      <w:bookmarkStart w:id="266" w:name="SUBSECCIÓN_5-III-II-II"/>
      <w:r w:rsidRPr="006969B3">
        <w:rPr>
          <w:rFonts w:ascii="Arial" w:hAnsi="Arial" w:cs="Arial"/>
          <w:b/>
          <w:bCs/>
          <w:sz w:val="22"/>
          <w:szCs w:val="22"/>
          <w:lang w:val="es-CO"/>
        </w:rPr>
        <w:t>SUBSECCIÓN 5</w:t>
      </w:r>
      <w:bookmarkEnd w:id="266"/>
    </w:p>
    <w:p w14:paraId="3D45F546" w14:textId="77777777" w:rsidR="00C40512" w:rsidRPr="006969B3" w:rsidRDefault="00C40512" w:rsidP="00F65283">
      <w:pPr>
        <w:pStyle w:val="centrado"/>
        <w:spacing w:before="0" w:beforeAutospacing="0" w:after="0" w:afterAutospacing="0"/>
        <w:jc w:val="center"/>
        <w:rPr>
          <w:rFonts w:ascii="Arial" w:hAnsi="Arial" w:cs="Arial"/>
          <w:b/>
          <w:bCs/>
          <w:sz w:val="22"/>
          <w:szCs w:val="22"/>
          <w:lang w:val="es-CO"/>
        </w:rPr>
      </w:pPr>
    </w:p>
    <w:p w14:paraId="2F7F6493" w14:textId="4399A686" w:rsidR="003B1677" w:rsidRPr="006969B3" w:rsidRDefault="003B1677" w:rsidP="00F65283">
      <w:pPr>
        <w:pStyle w:val="centrado"/>
        <w:spacing w:before="0" w:beforeAutospacing="0" w:after="0" w:afterAutospacing="0"/>
        <w:jc w:val="center"/>
        <w:rPr>
          <w:rFonts w:ascii="Arial" w:hAnsi="Arial" w:cs="Arial"/>
          <w:b/>
          <w:bCs/>
          <w:sz w:val="22"/>
          <w:szCs w:val="22"/>
          <w:lang w:val="es-CO"/>
        </w:rPr>
      </w:pPr>
      <w:r w:rsidRPr="006969B3">
        <w:rPr>
          <w:rStyle w:val="baj"/>
          <w:rFonts w:ascii="Arial" w:hAnsi="Arial" w:cs="Arial"/>
          <w:b/>
          <w:bCs/>
          <w:sz w:val="22"/>
          <w:szCs w:val="22"/>
          <w:lang w:val="es-CO"/>
        </w:rPr>
        <w:t>EQUIDAD EN LOS TERRITORIOS</w:t>
      </w:r>
    </w:p>
    <w:p w14:paraId="45421B51" w14:textId="5330F496" w:rsidR="003B1677" w:rsidRPr="006969B3" w:rsidRDefault="003B1677" w:rsidP="00F65283">
      <w:pPr>
        <w:spacing w:after="0" w:line="240" w:lineRule="auto"/>
        <w:rPr>
          <w:rFonts w:ascii="Arial" w:hAnsi="Arial" w:cs="Arial"/>
          <w:b/>
          <w:bCs/>
          <w:lang w:val="es-CO"/>
        </w:rPr>
      </w:pPr>
    </w:p>
    <w:p w14:paraId="141EC9F2" w14:textId="08439914" w:rsidR="003B1677" w:rsidRPr="006969B3" w:rsidRDefault="003B1677" w:rsidP="00F65283">
      <w:pPr>
        <w:pStyle w:val="NormalWeb"/>
        <w:spacing w:before="0" w:beforeAutospacing="0" w:after="0" w:afterAutospacing="0"/>
        <w:jc w:val="both"/>
        <w:rPr>
          <w:rFonts w:ascii="Arial" w:hAnsi="Arial" w:cs="Arial"/>
          <w:sz w:val="22"/>
          <w:szCs w:val="22"/>
          <w:lang w:val="es-CO"/>
        </w:rPr>
      </w:pPr>
      <w:bookmarkStart w:id="267" w:name="249"/>
      <w:r w:rsidRPr="006969B3">
        <w:rPr>
          <w:rFonts w:ascii="Arial" w:hAnsi="Arial" w:cs="Arial"/>
          <w:sz w:val="22"/>
          <w:szCs w:val="22"/>
          <w:lang w:val="es-CO"/>
        </w:rPr>
        <w:t>ARTÍCULO 249. ESQUEMAS ASOCIATIVOS TERRITORIALES (EAT).</w:t>
      </w:r>
      <w:bookmarkEnd w:id="267"/>
      <w:r w:rsidRPr="006969B3">
        <w:rPr>
          <w:rFonts w:ascii="Arial" w:hAnsi="Arial" w:cs="Arial"/>
          <w:sz w:val="22"/>
          <w:szCs w:val="22"/>
          <w:lang w:val="es-CO"/>
        </w:rPr>
        <w:t xml:space="preserve"> La conformación y registro de las asociaciones de departamentos, distritos, municipios; regiones de planificación y gestión de </w:t>
      </w:r>
      <w:proofErr w:type="spellStart"/>
      <w:r w:rsidRPr="006969B3">
        <w:rPr>
          <w:rFonts w:ascii="Arial" w:hAnsi="Arial" w:cs="Arial"/>
          <w:sz w:val="22"/>
          <w:szCs w:val="22"/>
          <w:lang w:val="es-CO"/>
        </w:rPr>
        <w:t>que</w:t>
      </w:r>
      <w:proofErr w:type="spellEnd"/>
      <w:r w:rsidRPr="006969B3">
        <w:rPr>
          <w:rFonts w:ascii="Arial" w:hAnsi="Arial" w:cs="Arial"/>
          <w:sz w:val="22"/>
          <w:szCs w:val="22"/>
          <w:lang w:val="es-CO"/>
        </w:rPr>
        <w:t xml:space="preserve"> trata la Ley </w:t>
      </w:r>
      <w:r w:rsidRPr="000A2938">
        <w:rPr>
          <w:rFonts w:ascii="Arial" w:hAnsi="Arial" w:cs="Arial"/>
          <w:sz w:val="22"/>
          <w:szCs w:val="22"/>
          <w:lang w:val="es-CO"/>
        </w:rPr>
        <w:t>1454</w:t>
      </w:r>
      <w:r w:rsidRPr="006969B3">
        <w:rPr>
          <w:rFonts w:ascii="Arial" w:hAnsi="Arial" w:cs="Arial"/>
          <w:sz w:val="22"/>
          <w:szCs w:val="22"/>
          <w:lang w:val="es-CO"/>
        </w:rPr>
        <w:t xml:space="preserve"> de 2011, se adelantará conforme al siguiente procedimiento: i) Expedición de la ordenanza departamental, acuerdo municipal y/o distrital de cada una de las entidades territoriales interesadas, autorizando al </w:t>
      </w:r>
      <w:r w:rsidRPr="006969B3">
        <w:rPr>
          <w:rFonts w:ascii="Arial" w:hAnsi="Arial" w:cs="Arial"/>
          <w:sz w:val="22"/>
          <w:szCs w:val="22"/>
          <w:lang w:val="es-CO"/>
        </w:rPr>
        <w:lastRenderedPageBreak/>
        <w:t xml:space="preserve">gobernador o alcalde para conformar el correspondiente Esquema Asociativo Territorial (EAT); </w:t>
      </w:r>
      <w:proofErr w:type="spellStart"/>
      <w:r w:rsidRPr="006969B3">
        <w:rPr>
          <w:rFonts w:ascii="Arial" w:hAnsi="Arial" w:cs="Arial"/>
          <w:sz w:val="22"/>
          <w:szCs w:val="22"/>
          <w:lang w:val="es-CO"/>
        </w:rPr>
        <w:t>ii</w:t>
      </w:r>
      <w:proofErr w:type="spellEnd"/>
      <w:r w:rsidRPr="006969B3">
        <w:rPr>
          <w:rFonts w:ascii="Arial" w:hAnsi="Arial" w:cs="Arial"/>
          <w:sz w:val="22"/>
          <w:szCs w:val="22"/>
          <w:lang w:val="es-CO"/>
        </w:rPr>
        <w:t xml:space="preserve">) Suscripción del convenio interadministrativo con las entidades territoriales por medio del cual se conforma el respectivo EAT; </w:t>
      </w:r>
      <w:proofErr w:type="spellStart"/>
      <w:r w:rsidRPr="006969B3">
        <w:rPr>
          <w:rFonts w:ascii="Arial" w:hAnsi="Arial" w:cs="Arial"/>
          <w:sz w:val="22"/>
          <w:szCs w:val="22"/>
          <w:lang w:val="es-CO"/>
        </w:rPr>
        <w:t>iii</w:t>
      </w:r>
      <w:proofErr w:type="spellEnd"/>
      <w:r w:rsidRPr="006969B3">
        <w:rPr>
          <w:rFonts w:ascii="Arial" w:hAnsi="Arial" w:cs="Arial"/>
          <w:sz w:val="22"/>
          <w:szCs w:val="22"/>
          <w:lang w:val="es-CO"/>
        </w:rPr>
        <w:t>) Documento de los estatutos que regularán la conformación y funcionamiento del EAT de acuerdo con la ley </w:t>
      </w:r>
      <w:r w:rsidRPr="000A2938">
        <w:rPr>
          <w:rFonts w:ascii="Arial" w:hAnsi="Arial" w:cs="Arial"/>
          <w:sz w:val="22"/>
          <w:szCs w:val="22"/>
          <w:lang w:val="es-CO"/>
        </w:rPr>
        <w:t>1551</w:t>
      </w:r>
      <w:r w:rsidRPr="006969B3">
        <w:rPr>
          <w:rFonts w:ascii="Arial" w:hAnsi="Arial" w:cs="Arial"/>
          <w:sz w:val="22"/>
          <w:szCs w:val="22"/>
          <w:lang w:val="es-CO"/>
        </w:rPr>
        <w:t xml:space="preserve"> de 2012, incluyendo la descripción del patrimonio y aportes de las entidades que conforman el respectivo EAT; </w:t>
      </w:r>
      <w:proofErr w:type="spellStart"/>
      <w:r w:rsidRPr="006969B3">
        <w:rPr>
          <w:rFonts w:ascii="Arial" w:hAnsi="Arial" w:cs="Arial"/>
          <w:sz w:val="22"/>
          <w:szCs w:val="22"/>
          <w:lang w:val="es-CO"/>
        </w:rPr>
        <w:t>iv</w:t>
      </w:r>
      <w:proofErr w:type="spellEnd"/>
      <w:r w:rsidRPr="006969B3">
        <w:rPr>
          <w:rFonts w:ascii="Arial" w:hAnsi="Arial" w:cs="Arial"/>
          <w:sz w:val="22"/>
          <w:szCs w:val="22"/>
          <w:lang w:val="es-CO"/>
        </w:rPr>
        <w:t>) Adopción de un plan estratégico de mediano plazo que contenga los objetivos, metas y líneas de acción para el cual se conforma el EAT.</w:t>
      </w:r>
    </w:p>
    <w:p w14:paraId="41121D55" w14:textId="77777777" w:rsidR="00374A72" w:rsidRPr="006969B3" w:rsidRDefault="00374A72" w:rsidP="00F65283">
      <w:pPr>
        <w:pStyle w:val="NormalWeb"/>
        <w:spacing w:before="0" w:beforeAutospacing="0" w:after="0" w:afterAutospacing="0"/>
        <w:jc w:val="both"/>
        <w:rPr>
          <w:rFonts w:ascii="Arial" w:hAnsi="Arial" w:cs="Arial"/>
          <w:sz w:val="22"/>
          <w:szCs w:val="22"/>
          <w:lang w:val="es-CO"/>
        </w:rPr>
      </w:pPr>
    </w:p>
    <w:p w14:paraId="7C360261" w14:textId="051496FE"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Una vez conformado, el EAT deberá registrar el convenio de conformación y sus estatutos en el Registro de Esquemas Asociativos Territoriales que para el efecto ponga en funcionamiento el Gobierno nacional, quien podrá definir los requisitos, condiciones y procedimiento para el suministro de la información a que haya lugar.</w:t>
      </w:r>
    </w:p>
    <w:p w14:paraId="01F14679" w14:textId="77777777" w:rsidR="00374A72" w:rsidRPr="006969B3" w:rsidRDefault="00374A72" w:rsidP="00F65283">
      <w:pPr>
        <w:pStyle w:val="NormalWeb"/>
        <w:spacing w:before="0" w:beforeAutospacing="0" w:after="0" w:afterAutospacing="0"/>
        <w:jc w:val="both"/>
        <w:rPr>
          <w:rFonts w:ascii="Arial" w:hAnsi="Arial" w:cs="Arial"/>
          <w:sz w:val="22"/>
          <w:szCs w:val="22"/>
          <w:lang w:val="es-CO"/>
        </w:rPr>
      </w:pPr>
    </w:p>
    <w:p w14:paraId="3F064FA7" w14:textId="20294C47"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Las entidades territoriales a través de los EAT conformados según el procedimiento descrito anteriormente y constituidos como persona jurídica de derecho público, podrán presentar proyectos de inversión de impacto regional a los </w:t>
      </w:r>
      <w:proofErr w:type="spellStart"/>
      <w:r w:rsidRPr="006969B3">
        <w:rPr>
          <w:rFonts w:ascii="Arial" w:hAnsi="Arial" w:cs="Arial"/>
          <w:sz w:val="22"/>
          <w:szCs w:val="22"/>
          <w:lang w:val="es-CO"/>
        </w:rPr>
        <w:t>organos</w:t>
      </w:r>
      <w:proofErr w:type="spellEnd"/>
      <w:r w:rsidRPr="006969B3">
        <w:rPr>
          <w:rFonts w:ascii="Arial" w:hAnsi="Arial" w:cs="Arial"/>
          <w:sz w:val="22"/>
          <w:szCs w:val="22"/>
          <w:lang w:val="es-CO"/>
        </w:rPr>
        <w:t xml:space="preserve"> Colegiados de Administración y Decisión (OCAD), y ser designados como sus ejecutores, conforme a la normativa vigente y aplicable. Para la presentación del proyecto, este deberá contar con concepto favorable de los alcaldes o gobernadores, según sea el caso, de las entidades territoriales conformantes del EAT.</w:t>
      </w:r>
    </w:p>
    <w:p w14:paraId="6B5FFBBC" w14:textId="77777777" w:rsidR="00374A72" w:rsidRPr="006969B3" w:rsidRDefault="00374A72" w:rsidP="00F65283">
      <w:pPr>
        <w:pStyle w:val="NormalWeb"/>
        <w:spacing w:before="0" w:beforeAutospacing="0" w:after="0" w:afterAutospacing="0"/>
        <w:jc w:val="both"/>
        <w:rPr>
          <w:rFonts w:ascii="Arial" w:hAnsi="Arial" w:cs="Arial"/>
          <w:sz w:val="22"/>
          <w:szCs w:val="22"/>
          <w:lang w:val="es-CO"/>
        </w:rPr>
      </w:pPr>
    </w:p>
    <w:p w14:paraId="702AA2CA" w14:textId="43D4F7CF"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Sin perjuicio de lo establecido en la Ley </w:t>
      </w:r>
      <w:r w:rsidRPr="000A2938">
        <w:rPr>
          <w:rFonts w:ascii="Arial" w:hAnsi="Arial" w:cs="Arial"/>
          <w:sz w:val="22"/>
          <w:szCs w:val="22"/>
          <w:lang w:val="es-CO"/>
        </w:rPr>
        <w:t>1454</w:t>
      </w:r>
      <w:r w:rsidRPr="006969B3">
        <w:rPr>
          <w:rFonts w:ascii="Arial" w:hAnsi="Arial" w:cs="Arial"/>
          <w:sz w:val="22"/>
          <w:szCs w:val="22"/>
          <w:lang w:val="es-CO"/>
        </w:rPr>
        <w:t> de 2011 y la Ley </w:t>
      </w:r>
      <w:r w:rsidRPr="000A2938">
        <w:rPr>
          <w:rFonts w:ascii="Arial" w:hAnsi="Arial" w:cs="Arial"/>
          <w:sz w:val="22"/>
          <w:szCs w:val="22"/>
          <w:lang w:val="es-CO"/>
        </w:rPr>
        <w:t>136</w:t>
      </w:r>
      <w:r w:rsidRPr="006969B3">
        <w:rPr>
          <w:rFonts w:ascii="Arial" w:hAnsi="Arial" w:cs="Arial"/>
          <w:sz w:val="22"/>
          <w:szCs w:val="22"/>
          <w:lang w:val="es-CO"/>
        </w:rPr>
        <w:t> de 1994 y las normas que las modifiquen, complementen o reglamenten, los EAT podrán prestar servicios públicos, desempeñar funciones administrativas propias o las que las entidades territoriales o el nivel nacional le deleguen, ejecutar obras de interés del ámbito regional, cumplir funciones de planificación o ejecutar proyectos de desarrollo integral. Para tal fin deberán cumplir con las condiciones de experiencia, idoneidad y los demás requisitos dispuestos en las normas vigentes y aplicables, incluyendo la Ley </w:t>
      </w:r>
      <w:r w:rsidRPr="000A2938">
        <w:rPr>
          <w:rFonts w:ascii="Arial" w:hAnsi="Arial" w:cs="Arial"/>
          <w:sz w:val="22"/>
          <w:szCs w:val="22"/>
          <w:lang w:val="es-CO"/>
        </w:rPr>
        <w:t>142</w:t>
      </w:r>
      <w:r w:rsidRPr="006969B3">
        <w:rPr>
          <w:rFonts w:ascii="Arial" w:hAnsi="Arial" w:cs="Arial"/>
          <w:sz w:val="22"/>
          <w:szCs w:val="22"/>
          <w:lang w:val="es-CO"/>
        </w:rPr>
        <w:t> de 1994 y las que la modifiquen o sustituyan. Los EAT podrán, igualmente, asociarse con operadores autorizados por la autoridad competente para la prestación de los correspondientes servicios.</w:t>
      </w:r>
    </w:p>
    <w:p w14:paraId="04C6B525" w14:textId="77777777" w:rsidR="00374A72" w:rsidRPr="006969B3" w:rsidRDefault="00374A72" w:rsidP="00F65283">
      <w:pPr>
        <w:pStyle w:val="NormalWeb"/>
        <w:spacing w:before="0" w:beforeAutospacing="0" w:after="0" w:afterAutospacing="0"/>
        <w:jc w:val="both"/>
        <w:rPr>
          <w:rFonts w:ascii="Arial" w:hAnsi="Arial" w:cs="Arial"/>
          <w:sz w:val="22"/>
          <w:szCs w:val="22"/>
          <w:lang w:val="es-CO"/>
        </w:rPr>
      </w:pPr>
    </w:p>
    <w:p w14:paraId="2EB41984" w14:textId="77777777"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Los EAT conformados con anterioridad a la vigencia de la presente Ley continuarán sometiéndose a sus respectivas normas de conformación y funcionamiento, hasta tanto el Gobierno nacional habilite el referido sistema de registro. Una vez habilitado, los EAT ya conformados tendrán un plazo máximo de un (1) año para registrase. Sin perjuicio de lo anterior, los EAT que busquen acceder a los recursos de los OCAD y asumir las competencias definidas en el presente artículo deberán estar registrados en el sistema en mención.</w:t>
      </w:r>
    </w:p>
    <w:p w14:paraId="4C9E9375" w14:textId="77777777" w:rsidR="00374A72" w:rsidRPr="006969B3" w:rsidRDefault="00374A72" w:rsidP="00F65283">
      <w:pPr>
        <w:pStyle w:val="NormalWeb"/>
        <w:spacing w:before="0" w:beforeAutospacing="0" w:after="0" w:afterAutospacing="0"/>
        <w:jc w:val="both"/>
        <w:rPr>
          <w:rFonts w:ascii="Arial" w:hAnsi="Arial" w:cs="Arial"/>
          <w:sz w:val="22"/>
          <w:szCs w:val="22"/>
          <w:lang w:val="es-CO"/>
        </w:rPr>
      </w:pPr>
      <w:bookmarkStart w:id="268" w:name="250"/>
    </w:p>
    <w:p w14:paraId="1429DE31" w14:textId="7A8BC4B2"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250. PACTOS TERRITORIALES.</w:t>
      </w:r>
      <w:bookmarkEnd w:id="268"/>
      <w:r w:rsidRPr="006969B3">
        <w:rPr>
          <w:rFonts w:ascii="Arial" w:hAnsi="Arial" w:cs="Arial"/>
          <w:sz w:val="22"/>
          <w:szCs w:val="22"/>
          <w:lang w:val="es-CO"/>
        </w:rPr>
        <w:t> La Nación y las entidades territoriales podrán suscribir pactos regionales, departamentales y funcionales. Los pactos regionales son acuerdos marco de voluntades suscritos entre la Nación y el conjunto de departamentos que integran las regiones definidas en las bases del Plan Nacional de Desarrollo- “Pacto por Colombia - pacto por la equidad”, cuyo propósito es articular políticas, planes y programas orientados a la gestión técnica y financiera de proyectos de impacto regional conforme a las necesidades de los territorios, a fin de promover el desarrollo regional.</w:t>
      </w:r>
    </w:p>
    <w:p w14:paraId="5F05CEA8" w14:textId="77777777" w:rsidR="00374A72" w:rsidRPr="006969B3" w:rsidRDefault="00374A72" w:rsidP="00F65283">
      <w:pPr>
        <w:pStyle w:val="NormalWeb"/>
        <w:spacing w:before="0" w:beforeAutospacing="0" w:after="0" w:afterAutospacing="0"/>
        <w:jc w:val="both"/>
        <w:rPr>
          <w:rFonts w:ascii="Arial" w:hAnsi="Arial" w:cs="Arial"/>
          <w:sz w:val="22"/>
          <w:szCs w:val="22"/>
          <w:lang w:val="es-CO"/>
        </w:rPr>
      </w:pPr>
    </w:p>
    <w:p w14:paraId="253DB746" w14:textId="6681EED0"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Los pactos departamentales son acuerdos marco de voluntades que podrán ser suscritos entre la Nación y cada uno de los departamentos priorizados para el desarrollo de las estrategias diferenciadas a las que hacen referencia las bases de la presente Ley, cuyo propósito es articular políticas, planes y programas orientados a la gestión técnica y </w:t>
      </w:r>
      <w:r w:rsidRPr="006969B3">
        <w:rPr>
          <w:rFonts w:ascii="Arial" w:hAnsi="Arial" w:cs="Arial"/>
          <w:sz w:val="22"/>
          <w:szCs w:val="22"/>
          <w:lang w:val="es-CO"/>
        </w:rPr>
        <w:lastRenderedPageBreak/>
        <w:t>financiera de proyectos conforme a las necesidades de los territorios, a fin de promover, entre otras cosas, la superación de la pobreza, el fortalecimiento institucional de las autoridades territoriales y el desarrollo socioeconómico de las comunidades.</w:t>
      </w:r>
    </w:p>
    <w:p w14:paraId="21B38705" w14:textId="77777777" w:rsidR="00374A72" w:rsidRPr="006969B3" w:rsidRDefault="00374A72" w:rsidP="00F65283">
      <w:pPr>
        <w:pStyle w:val="NormalWeb"/>
        <w:spacing w:before="0" w:beforeAutospacing="0" w:after="0" w:afterAutospacing="0"/>
        <w:jc w:val="both"/>
        <w:rPr>
          <w:rFonts w:ascii="Arial" w:hAnsi="Arial" w:cs="Arial"/>
          <w:sz w:val="22"/>
          <w:szCs w:val="22"/>
          <w:lang w:val="es-CO"/>
        </w:rPr>
      </w:pPr>
    </w:p>
    <w:p w14:paraId="4BACB81E" w14:textId="7F4F7C0A"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Los pactos funcionales son acuerdos marco de voluntades que podrán ser suscritos entre la Nación y los municipios que tengan relaciones funcionales de acuerdo con la metodología que para el efecto defina el Departamento Nacional de Planeación, cuyo propósito es articular políticas, planes y programas orientados a la gestión técnica y financiera de proyectos conforme a las necesidades de los territorios, a fin de promover, entre otras cosas, el desarrollo subregional.</w:t>
      </w:r>
    </w:p>
    <w:p w14:paraId="275698CD" w14:textId="77777777" w:rsidR="00374A72" w:rsidRPr="006969B3" w:rsidRDefault="00374A72" w:rsidP="00F65283">
      <w:pPr>
        <w:pStyle w:val="NormalWeb"/>
        <w:spacing w:before="0" w:beforeAutospacing="0" w:after="0" w:afterAutospacing="0"/>
        <w:jc w:val="both"/>
        <w:rPr>
          <w:rFonts w:ascii="Arial" w:hAnsi="Arial" w:cs="Arial"/>
          <w:sz w:val="22"/>
          <w:szCs w:val="22"/>
          <w:lang w:val="es-CO"/>
        </w:rPr>
      </w:pPr>
    </w:p>
    <w:p w14:paraId="3C203FE0" w14:textId="19F8DDDA"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Los esquemas asociativos de entidades territoriales previstos en la Ley </w:t>
      </w:r>
      <w:r w:rsidRPr="000A2938">
        <w:rPr>
          <w:rFonts w:ascii="Arial" w:hAnsi="Arial" w:cs="Arial"/>
          <w:sz w:val="22"/>
          <w:szCs w:val="22"/>
          <w:lang w:val="es-CO"/>
        </w:rPr>
        <w:t>1454</w:t>
      </w:r>
      <w:r w:rsidRPr="006969B3">
        <w:rPr>
          <w:rFonts w:ascii="Arial" w:hAnsi="Arial" w:cs="Arial"/>
          <w:sz w:val="22"/>
          <w:szCs w:val="22"/>
          <w:lang w:val="es-CO"/>
        </w:rPr>
        <w:t> de 2011, podrán igualmente suscribir pactos territoriales según corresponda.</w:t>
      </w:r>
    </w:p>
    <w:p w14:paraId="2644E4FC" w14:textId="77777777" w:rsidR="00374A72" w:rsidRPr="006969B3" w:rsidRDefault="00374A72" w:rsidP="00F65283">
      <w:pPr>
        <w:pStyle w:val="NormalWeb"/>
        <w:spacing w:before="0" w:beforeAutospacing="0" w:after="0" w:afterAutospacing="0"/>
        <w:jc w:val="both"/>
        <w:rPr>
          <w:rFonts w:ascii="Arial" w:hAnsi="Arial" w:cs="Arial"/>
          <w:sz w:val="22"/>
          <w:szCs w:val="22"/>
          <w:lang w:val="es-CO"/>
        </w:rPr>
      </w:pPr>
    </w:p>
    <w:p w14:paraId="3C3F3A35" w14:textId="3C1159DC"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Las iniciativas o proyectos de inversión que hacen parte de los Contratos Plan piloto, los Contratos Plan para la Paz y el Posconflicto; así como en la Hoja de Ruta para la estabilización; identificados por el Departamento Nacional de Planeación como de impacto regional, podrán incorporarse a los Pactos Territoriales, y deberán articularse con las líneas programáticas y proyectos de impacto regional priorizados, en los términos y condiciones que para el efecto defina el Departamento Nacional de Planeación.</w:t>
      </w:r>
    </w:p>
    <w:p w14:paraId="00B11D40" w14:textId="77777777" w:rsidR="00374A72" w:rsidRPr="006969B3" w:rsidRDefault="00374A72" w:rsidP="00F65283">
      <w:pPr>
        <w:pStyle w:val="NormalWeb"/>
        <w:spacing w:before="0" w:beforeAutospacing="0" w:after="0" w:afterAutospacing="0"/>
        <w:jc w:val="both"/>
        <w:rPr>
          <w:rFonts w:ascii="Arial" w:hAnsi="Arial" w:cs="Arial"/>
          <w:sz w:val="22"/>
          <w:szCs w:val="22"/>
          <w:lang w:val="es-CO"/>
        </w:rPr>
      </w:pPr>
    </w:p>
    <w:p w14:paraId="60A8E82E" w14:textId="1127C9F4"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Departamento Nacional de Planeación coordinará el proceso de transición y articulación de los Contratos Plan hacia el modelo de Pactos Territoriales y definirá los aspectos operativos correspondientes. En adelante la Nación, las entidades territoriales y los esquemas asociativos de entidades territoriales previstos en la Ley </w:t>
      </w:r>
      <w:r w:rsidRPr="000A2938">
        <w:rPr>
          <w:rFonts w:ascii="Arial" w:hAnsi="Arial" w:cs="Arial"/>
          <w:sz w:val="22"/>
          <w:szCs w:val="22"/>
          <w:lang w:val="es-CO"/>
        </w:rPr>
        <w:t>1454</w:t>
      </w:r>
      <w:r w:rsidRPr="006969B3">
        <w:rPr>
          <w:rFonts w:ascii="Arial" w:hAnsi="Arial" w:cs="Arial"/>
          <w:sz w:val="22"/>
          <w:szCs w:val="22"/>
          <w:lang w:val="es-CO"/>
        </w:rPr>
        <w:t> de 2011, solo podrán suscribir pactos territoriales. Se mantendrán como mecanismos para la ejecución de esta nueva herramienta los Contratos Específicos y el Fondo Regional para los Contratos Plan, en adelante Fondo Regional para los Pactos Territoriales, cuya operación se orientará a facilitar la ejecución de los Pactos Territoriales y de los Contratos Plan vigentes. Los Contratos Plan suscritos en virtud de lo dispuesto en el artículo </w:t>
      </w:r>
      <w:r w:rsidRPr="000A2938">
        <w:rPr>
          <w:rFonts w:ascii="Arial" w:hAnsi="Arial" w:cs="Arial"/>
          <w:sz w:val="22"/>
          <w:szCs w:val="22"/>
          <w:lang w:val="es-CO"/>
        </w:rPr>
        <w:t>18</w:t>
      </w:r>
      <w:r w:rsidRPr="006969B3">
        <w:rPr>
          <w:rFonts w:ascii="Arial" w:hAnsi="Arial" w:cs="Arial"/>
          <w:sz w:val="22"/>
          <w:szCs w:val="22"/>
          <w:lang w:val="es-CO"/>
        </w:rPr>
        <w:t xml:space="preserve"> de la Ley 1454 de 2011, se mantendrán vigentes por el término de duración pactado entre las partes, </w:t>
      </w:r>
      <w:proofErr w:type="gramStart"/>
      <w:r w:rsidRPr="006969B3">
        <w:rPr>
          <w:rFonts w:ascii="Arial" w:hAnsi="Arial" w:cs="Arial"/>
          <w:sz w:val="22"/>
          <w:szCs w:val="22"/>
          <w:lang w:val="es-CO"/>
        </w:rPr>
        <w:t>que</w:t>
      </w:r>
      <w:proofErr w:type="gramEnd"/>
      <w:r w:rsidRPr="006969B3">
        <w:rPr>
          <w:rFonts w:ascii="Arial" w:hAnsi="Arial" w:cs="Arial"/>
          <w:sz w:val="22"/>
          <w:szCs w:val="22"/>
          <w:lang w:val="es-CO"/>
        </w:rPr>
        <w:t xml:space="preserve"> en todo caso, no podrá superar el 31 de diciembre de 2023.</w:t>
      </w:r>
    </w:p>
    <w:p w14:paraId="30186ADE" w14:textId="77777777" w:rsidR="00374A72" w:rsidRPr="006969B3" w:rsidRDefault="00374A72" w:rsidP="00F65283">
      <w:pPr>
        <w:pStyle w:val="NormalWeb"/>
        <w:spacing w:before="0" w:beforeAutospacing="0" w:after="0" w:afterAutospacing="0"/>
        <w:jc w:val="both"/>
        <w:rPr>
          <w:rFonts w:ascii="Arial" w:hAnsi="Arial" w:cs="Arial"/>
          <w:sz w:val="22"/>
          <w:szCs w:val="22"/>
          <w:lang w:val="es-CO"/>
        </w:rPr>
      </w:pPr>
    </w:p>
    <w:p w14:paraId="4AE02040" w14:textId="77777777"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Dentro del marco de la conmemoración del Bicentenario de la Independencia de Colombia se celebrará por parte del Gobierno nacional un pacto territorial con las entidades territoriales afines a la mencionada celebración.</w:t>
      </w:r>
    </w:p>
    <w:p w14:paraId="1342148A" w14:textId="6D4CAD58" w:rsidR="003B1677" w:rsidRPr="006969B3" w:rsidRDefault="003B1677" w:rsidP="00F65283">
      <w:pPr>
        <w:spacing w:after="0" w:line="240" w:lineRule="auto"/>
        <w:rPr>
          <w:rFonts w:ascii="Arial" w:hAnsi="Arial" w:cs="Arial"/>
          <w:lang w:val="es-CO"/>
        </w:rPr>
      </w:pPr>
    </w:p>
    <w:p w14:paraId="691AAB13" w14:textId="77777777" w:rsidR="003B1677" w:rsidRPr="006969B3" w:rsidRDefault="003B1677" w:rsidP="00F65283">
      <w:pPr>
        <w:pStyle w:val="NormalWeb"/>
        <w:spacing w:before="0" w:beforeAutospacing="0" w:after="0" w:afterAutospacing="0"/>
        <w:jc w:val="both"/>
        <w:rPr>
          <w:rFonts w:ascii="Arial" w:hAnsi="Arial" w:cs="Arial"/>
          <w:sz w:val="22"/>
          <w:szCs w:val="22"/>
          <w:lang w:val="es-CO"/>
        </w:rPr>
      </w:pPr>
      <w:bookmarkStart w:id="269" w:name="251"/>
      <w:r w:rsidRPr="006969B3">
        <w:rPr>
          <w:rFonts w:ascii="Arial" w:hAnsi="Arial" w:cs="Arial"/>
          <w:sz w:val="22"/>
          <w:szCs w:val="22"/>
          <w:lang w:val="es-CO"/>
        </w:rPr>
        <w:t>ARTÍCULO 251. CONCURRENCIA DE RECURSOS PARA LA FINANCIACIÓN DE INICIATIVAS DE GASTO EN DIFERENTES JURISDICCIONES.</w:t>
      </w:r>
      <w:bookmarkEnd w:id="269"/>
      <w:r w:rsidRPr="006969B3">
        <w:rPr>
          <w:rFonts w:ascii="Arial" w:hAnsi="Arial" w:cs="Arial"/>
          <w:sz w:val="22"/>
          <w:szCs w:val="22"/>
          <w:lang w:val="es-CO"/>
        </w:rPr>
        <w:t> Las entidades territoriales podrán financiar de manera conjunta y concertada iniciativas de gasto por fuera de su jurisdicción, y en especial para la ejecución de proyectos de inversión con impacto regional, siempre y cuando este beneficie a las entidades territoriales que financian la iniciativa de propuesta.</w:t>
      </w:r>
    </w:p>
    <w:p w14:paraId="3F21F9E7" w14:textId="601DF51F" w:rsidR="003B1677" w:rsidRPr="006969B3" w:rsidRDefault="003B1677" w:rsidP="00F65283">
      <w:pPr>
        <w:spacing w:after="0" w:line="240" w:lineRule="auto"/>
        <w:rPr>
          <w:rFonts w:ascii="Arial" w:hAnsi="Arial" w:cs="Arial"/>
          <w:lang w:val="es-CO"/>
        </w:rPr>
      </w:pPr>
    </w:p>
    <w:p w14:paraId="157CF261" w14:textId="29DB58A2" w:rsidR="003B1677" w:rsidRPr="006969B3" w:rsidRDefault="003B1677" w:rsidP="00F65283">
      <w:pPr>
        <w:pStyle w:val="NormalWeb"/>
        <w:spacing w:before="0" w:beforeAutospacing="0" w:after="0" w:afterAutospacing="0"/>
        <w:jc w:val="both"/>
        <w:rPr>
          <w:rFonts w:ascii="Arial" w:hAnsi="Arial" w:cs="Arial"/>
          <w:sz w:val="22"/>
          <w:szCs w:val="22"/>
          <w:lang w:val="es-CO"/>
        </w:rPr>
      </w:pPr>
      <w:bookmarkStart w:id="270" w:name="252"/>
      <w:r w:rsidRPr="006969B3">
        <w:rPr>
          <w:rFonts w:ascii="Arial" w:hAnsi="Arial" w:cs="Arial"/>
          <w:sz w:val="22"/>
          <w:szCs w:val="22"/>
          <w:lang w:val="es-CO"/>
        </w:rPr>
        <w:t>ARTÍCULO 252. CÉDULA RURAL.</w:t>
      </w:r>
      <w:bookmarkEnd w:id="270"/>
      <w:r w:rsidRPr="006969B3">
        <w:rPr>
          <w:rFonts w:ascii="Arial" w:hAnsi="Arial" w:cs="Arial"/>
          <w:sz w:val="22"/>
          <w:szCs w:val="22"/>
          <w:lang w:val="es-CO"/>
        </w:rPr>
        <w:t> Con el propósito de formalizar la actividad de producción agropecuaria, promover la inclusión financiera, controlar el otorgamiento de créditos, subsidios, incentivos o apoyos estatales a las actividades agropecuarias y rurales; así como obtener información de la producción agropecuaria que facilite la adopción de políticas públicas para este sector, créase la cédula rural.</w:t>
      </w:r>
    </w:p>
    <w:p w14:paraId="5EE404CC" w14:textId="77777777" w:rsidR="00374A72" w:rsidRPr="006969B3" w:rsidRDefault="00374A72" w:rsidP="00F65283">
      <w:pPr>
        <w:pStyle w:val="NormalWeb"/>
        <w:spacing w:before="0" w:beforeAutospacing="0" w:after="0" w:afterAutospacing="0"/>
        <w:jc w:val="both"/>
        <w:rPr>
          <w:rFonts w:ascii="Arial" w:hAnsi="Arial" w:cs="Arial"/>
          <w:sz w:val="22"/>
          <w:szCs w:val="22"/>
          <w:lang w:val="es-CO"/>
        </w:rPr>
      </w:pPr>
    </w:p>
    <w:p w14:paraId="756B3672" w14:textId="5E2B4128"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lastRenderedPageBreak/>
        <w:t>El Ministerio de Agricultura y Desarrollo Rural, en coordinación con el Ministerio de Hacienda y Crédito Público, reglamentará todos los aspectos requeridos para el funcionamiento y operación de este mecanismo.</w:t>
      </w:r>
    </w:p>
    <w:p w14:paraId="3C6F86AE" w14:textId="77777777" w:rsidR="00374A72" w:rsidRPr="006969B3" w:rsidRDefault="00374A72" w:rsidP="00F65283">
      <w:pPr>
        <w:pStyle w:val="NormalWeb"/>
        <w:spacing w:before="0" w:beforeAutospacing="0" w:after="0" w:afterAutospacing="0"/>
        <w:jc w:val="both"/>
        <w:rPr>
          <w:rFonts w:ascii="Arial" w:hAnsi="Arial" w:cs="Arial"/>
          <w:sz w:val="22"/>
          <w:szCs w:val="22"/>
          <w:lang w:val="es-CO"/>
        </w:rPr>
      </w:pPr>
    </w:p>
    <w:p w14:paraId="2D14B0FF" w14:textId="1D8E9150"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Ministerio de Agricultura y Desarrollo Rural podrá delegar en otras entidades públicas la administración y operación de la cédula rural.</w:t>
      </w:r>
    </w:p>
    <w:p w14:paraId="01696436" w14:textId="77777777" w:rsidR="00374A72" w:rsidRPr="006969B3" w:rsidRDefault="00374A72" w:rsidP="00F65283">
      <w:pPr>
        <w:pStyle w:val="NormalWeb"/>
        <w:spacing w:before="0" w:beforeAutospacing="0" w:after="0" w:afterAutospacing="0"/>
        <w:jc w:val="both"/>
        <w:rPr>
          <w:rFonts w:ascii="Arial" w:hAnsi="Arial" w:cs="Arial"/>
          <w:sz w:val="22"/>
          <w:szCs w:val="22"/>
          <w:lang w:val="es-CO"/>
        </w:rPr>
      </w:pPr>
    </w:p>
    <w:p w14:paraId="0DD6EA9A" w14:textId="43361D4B"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Los recursos que se destinen y asignen para la implementación, administración y operación de la cédula rural deberán ser consistentes con el Marco Fiscal de Mediano Plazo y el Marco de Gasto del Sector de Agricultura y Desarrollo Rural.</w:t>
      </w:r>
    </w:p>
    <w:p w14:paraId="0E0EB080" w14:textId="77777777" w:rsidR="00374A72" w:rsidRPr="006969B3" w:rsidRDefault="00374A72" w:rsidP="00F65283">
      <w:pPr>
        <w:pStyle w:val="NormalWeb"/>
        <w:spacing w:before="0" w:beforeAutospacing="0" w:after="0" w:afterAutospacing="0"/>
        <w:jc w:val="both"/>
        <w:rPr>
          <w:rFonts w:ascii="Arial" w:hAnsi="Arial" w:cs="Arial"/>
          <w:sz w:val="22"/>
          <w:szCs w:val="22"/>
          <w:lang w:val="es-CO"/>
        </w:rPr>
      </w:pPr>
    </w:p>
    <w:p w14:paraId="08F2BFC2" w14:textId="77777777"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El Gobierno nacional tendrá en consideración las experiencias existentes en los procesos de cedulación rural, con el propósito de evitar duplicidades, precisar los alcances y enriquecer los procesos.</w:t>
      </w:r>
    </w:p>
    <w:p w14:paraId="63B33696" w14:textId="22147C8C" w:rsidR="003B1677" w:rsidRPr="006969B3" w:rsidRDefault="003B1677" w:rsidP="00F65283">
      <w:pPr>
        <w:spacing w:after="0" w:line="240" w:lineRule="auto"/>
        <w:rPr>
          <w:rFonts w:ascii="Arial" w:hAnsi="Arial" w:cs="Arial"/>
          <w:lang w:val="es-CO"/>
        </w:rPr>
      </w:pPr>
    </w:p>
    <w:p w14:paraId="6D4212C6" w14:textId="61DEDE6A" w:rsidR="003B1677" w:rsidRPr="006969B3" w:rsidRDefault="003B1677" w:rsidP="00F65283">
      <w:pPr>
        <w:pStyle w:val="NormalWeb"/>
        <w:spacing w:before="0" w:beforeAutospacing="0" w:after="0" w:afterAutospacing="0"/>
        <w:jc w:val="both"/>
        <w:rPr>
          <w:rFonts w:ascii="Arial" w:hAnsi="Arial" w:cs="Arial"/>
          <w:sz w:val="22"/>
          <w:szCs w:val="22"/>
          <w:lang w:val="es-CO"/>
        </w:rPr>
      </w:pPr>
      <w:bookmarkStart w:id="271" w:name="253"/>
      <w:r w:rsidRPr="006969B3">
        <w:rPr>
          <w:rFonts w:ascii="Arial" w:hAnsi="Arial" w:cs="Arial"/>
          <w:sz w:val="22"/>
          <w:szCs w:val="22"/>
          <w:lang w:val="es-CO"/>
        </w:rPr>
        <w:t>ARTÍCULO 253. POLÍTICA PÚBLICA DEL SECTOR CAMPESINO.</w:t>
      </w:r>
      <w:bookmarkEnd w:id="271"/>
      <w:r w:rsidRPr="006969B3">
        <w:rPr>
          <w:rFonts w:ascii="Arial" w:hAnsi="Arial" w:cs="Arial"/>
          <w:sz w:val="22"/>
          <w:szCs w:val="22"/>
          <w:lang w:val="es-CO"/>
        </w:rPr>
        <w:t> El Gobierno nacional construirá una política pública para la población campesina. El proceso de elaboración de dicha política se realizará a partir de la recolección de insumos de diferentes espacios de participación que incluyan a las organizaciones campesinas, la academia y las entidades especializadas en el tema campesino, se tendrán en cuenta los estudios de la Comisión de Expertos del campesinado, entre otros.</w:t>
      </w:r>
    </w:p>
    <w:p w14:paraId="3E0771B5" w14:textId="77777777" w:rsidR="00374A72" w:rsidRPr="006969B3" w:rsidRDefault="00374A72" w:rsidP="00F65283">
      <w:pPr>
        <w:pStyle w:val="NormalWeb"/>
        <w:spacing w:before="0" w:beforeAutospacing="0" w:after="0" w:afterAutospacing="0"/>
        <w:jc w:val="both"/>
        <w:rPr>
          <w:rFonts w:ascii="Arial" w:hAnsi="Arial" w:cs="Arial"/>
          <w:sz w:val="22"/>
          <w:szCs w:val="22"/>
          <w:lang w:val="es-CO"/>
        </w:rPr>
      </w:pPr>
    </w:p>
    <w:p w14:paraId="1AD7208E" w14:textId="309EE8E8"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proceso será liderado por el Ministerio de Agricultura con el acompañamiento del Ministerio del interior y el Departamento Nacional de Planeación.</w:t>
      </w:r>
    </w:p>
    <w:p w14:paraId="5B59DF00" w14:textId="77777777" w:rsidR="00374A72" w:rsidRPr="006969B3" w:rsidRDefault="00374A72" w:rsidP="00F65283">
      <w:pPr>
        <w:pStyle w:val="NormalWeb"/>
        <w:spacing w:before="0" w:beforeAutospacing="0" w:after="0" w:afterAutospacing="0"/>
        <w:jc w:val="both"/>
        <w:rPr>
          <w:rFonts w:ascii="Arial" w:hAnsi="Arial" w:cs="Arial"/>
          <w:sz w:val="22"/>
          <w:szCs w:val="22"/>
          <w:lang w:val="es-CO"/>
        </w:rPr>
      </w:pPr>
    </w:p>
    <w:p w14:paraId="4A08AD58" w14:textId="77777777"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Una vez sancionada la presente Ley se iniciará la construcción de la ruta de elaboración de la política pública del sector campesino.</w:t>
      </w:r>
    </w:p>
    <w:p w14:paraId="49EEE6EE" w14:textId="3186513B" w:rsidR="003B1677" w:rsidRPr="006969B3" w:rsidRDefault="003B1677" w:rsidP="00F65283">
      <w:pPr>
        <w:spacing w:after="0" w:line="240" w:lineRule="auto"/>
        <w:rPr>
          <w:rFonts w:ascii="Arial" w:hAnsi="Arial" w:cs="Arial"/>
          <w:lang w:val="es-CO"/>
        </w:rPr>
      </w:pPr>
    </w:p>
    <w:p w14:paraId="6D1E09C1" w14:textId="77777777" w:rsidR="003B1677" w:rsidRPr="006969B3" w:rsidRDefault="003B1677" w:rsidP="00F65283">
      <w:pPr>
        <w:pStyle w:val="NormalWeb"/>
        <w:spacing w:before="0" w:beforeAutospacing="0" w:after="0" w:afterAutospacing="0"/>
        <w:jc w:val="both"/>
        <w:rPr>
          <w:rFonts w:ascii="Arial" w:hAnsi="Arial" w:cs="Arial"/>
          <w:sz w:val="22"/>
          <w:szCs w:val="22"/>
          <w:lang w:val="es-CO"/>
        </w:rPr>
      </w:pPr>
      <w:bookmarkStart w:id="272" w:name="254"/>
      <w:r w:rsidRPr="006969B3">
        <w:rPr>
          <w:rFonts w:ascii="Arial" w:hAnsi="Arial" w:cs="Arial"/>
          <w:sz w:val="22"/>
          <w:szCs w:val="22"/>
          <w:lang w:val="es-CO"/>
        </w:rPr>
        <w:t>ARTÍCULO 254. DIAGNÓSTICO, PREVENCIÓN Y CONTROL DE LA SALMONELLA.</w:t>
      </w:r>
      <w:bookmarkEnd w:id="272"/>
      <w:r w:rsidRPr="006969B3">
        <w:rPr>
          <w:rFonts w:ascii="Arial" w:hAnsi="Arial" w:cs="Arial"/>
          <w:sz w:val="22"/>
          <w:szCs w:val="22"/>
          <w:lang w:val="es-CO"/>
        </w:rPr>
        <w:t xml:space="preserve"> Autorícese al Gobierno nacional para que dentro del Plan Plurianual de Inversiones se asigne con cargo al Presupuesto General de la Nación, recursos con destino al Instituto Colombiano Agropecuario (ICA) para el diagnóstico, prevención y control de Salmonella </w:t>
      </w:r>
      <w:proofErr w:type="spellStart"/>
      <w:r w:rsidRPr="006969B3">
        <w:rPr>
          <w:rFonts w:ascii="Arial" w:hAnsi="Arial" w:cs="Arial"/>
          <w:sz w:val="22"/>
          <w:szCs w:val="22"/>
          <w:lang w:val="es-CO"/>
        </w:rPr>
        <w:t>Enteritides</w:t>
      </w:r>
      <w:proofErr w:type="spellEnd"/>
      <w:r w:rsidRPr="006969B3">
        <w:rPr>
          <w:rFonts w:ascii="Arial" w:hAnsi="Arial" w:cs="Arial"/>
          <w:sz w:val="22"/>
          <w:szCs w:val="22"/>
          <w:lang w:val="es-CO"/>
        </w:rPr>
        <w:t xml:space="preserve"> y </w:t>
      </w:r>
      <w:proofErr w:type="spellStart"/>
      <w:r w:rsidRPr="006969B3">
        <w:rPr>
          <w:rFonts w:ascii="Arial" w:hAnsi="Arial" w:cs="Arial"/>
          <w:sz w:val="22"/>
          <w:szCs w:val="22"/>
          <w:lang w:val="es-CO"/>
        </w:rPr>
        <w:t>Typhimurium</w:t>
      </w:r>
      <w:proofErr w:type="spellEnd"/>
      <w:r w:rsidRPr="006969B3">
        <w:rPr>
          <w:rFonts w:ascii="Arial" w:hAnsi="Arial" w:cs="Arial"/>
          <w:sz w:val="22"/>
          <w:szCs w:val="22"/>
          <w:lang w:val="es-CO"/>
        </w:rPr>
        <w:t xml:space="preserve"> a nivel de los productores.</w:t>
      </w:r>
    </w:p>
    <w:p w14:paraId="34693464" w14:textId="78C8DECC" w:rsidR="003B1677" w:rsidRPr="006969B3" w:rsidRDefault="003B1677" w:rsidP="00F65283">
      <w:pPr>
        <w:spacing w:after="0" w:line="240" w:lineRule="auto"/>
        <w:rPr>
          <w:rFonts w:ascii="Arial" w:hAnsi="Arial" w:cs="Arial"/>
          <w:lang w:val="es-CO"/>
        </w:rPr>
      </w:pPr>
    </w:p>
    <w:p w14:paraId="430B9CCC" w14:textId="40F22EF1" w:rsidR="003B1677" w:rsidRPr="006969B3" w:rsidRDefault="003B1677" w:rsidP="00F65283">
      <w:pPr>
        <w:pStyle w:val="NormalWeb"/>
        <w:spacing w:before="0" w:beforeAutospacing="0" w:after="0" w:afterAutospacing="0"/>
        <w:jc w:val="both"/>
        <w:rPr>
          <w:rFonts w:ascii="Arial" w:hAnsi="Arial" w:cs="Arial"/>
          <w:sz w:val="22"/>
          <w:szCs w:val="22"/>
          <w:lang w:val="es-CO"/>
        </w:rPr>
      </w:pPr>
      <w:bookmarkStart w:id="273" w:name="255"/>
      <w:r w:rsidRPr="006969B3">
        <w:rPr>
          <w:rFonts w:ascii="Arial" w:hAnsi="Arial" w:cs="Arial"/>
          <w:sz w:val="22"/>
          <w:szCs w:val="22"/>
          <w:lang w:val="es-CO"/>
        </w:rPr>
        <w:t>ARTÍCULO 255. VIVIENDA RURAL EFECTIVA.</w:t>
      </w:r>
      <w:bookmarkEnd w:id="273"/>
      <w:r w:rsidRPr="006969B3">
        <w:rPr>
          <w:rFonts w:ascii="Arial" w:hAnsi="Arial" w:cs="Arial"/>
          <w:sz w:val="22"/>
          <w:szCs w:val="22"/>
          <w:lang w:val="es-CO"/>
        </w:rPr>
        <w:t> El Gobierno nacional diseñará un plan para la efectiva implementación de una política de vivienda rural. A partir del año 2020 su formulación y ejecución estará a cargo del Ministerio de Vivienda, Ciudad y Territorio, por lo que será esa entidad la encargada de coordinar y liderar la ejecución de los proyectos de vivienda y mejoramiento de vivienda encaminados a la disminución del déficit habitacional rural.</w:t>
      </w:r>
    </w:p>
    <w:p w14:paraId="25FFBAF4" w14:textId="77777777" w:rsidR="00374A72" w:rsidRPr="006969B3" w:rsidRDefault="00374A72" w:rsidP="00F65283">
      <w:pPr>
        <w:pStyle w:val="NormalWeb"/>
        <w:spacing w:before="0" w:beforeAutospacing="0" w:after="0" w:afterAutospacing="0"/>
        <w:jc w:val="both"/>
        <w:rPr>
          <w:rFonts w:ascii="Arial" w:hAnsi="Arial" w:cs="Arial"/>
          <w:sz w:val="22"/>
          <w:szCs w:val="22"/>
          <w:lang w:val="es-CO"/>
        </w:rPr>
      </w:pPr>
    </w:p>
    <w:p w14:paraId="2F8B07FD" w14:textId="42027341"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Para este efecto el Gobierno nacional realizará los ajustes presupuestales correspondientes, respetando tanto el Marco de Gasto de Mediano Plazo, así como el Marco Fiscal de Mediano Plazo, y reglamentará la materia.</w:t>
      </w:r>
    </w:p>
    <w:p w14:paraId="730C5F20" w14:textId="77777777" w:rsidR="00374A72" w:rsidRPr="006969B3" w:rsidRDefault="00374A72" w:rsidP="00F65283">
      <w:pPr>
        <w:pStyle w:val="NormalWeb"/>
        <w:spacing w:before="0" w:beforeAutospacing="0" w:after="0" w:afterAutospacing="0"/>
        <w:jc w:val="both"/>
        <w:rPr>
          <w:rFonts w:ascii="Arial" w:hAnsi="Arial" w:cs="Arial"/>
          <w:sz w:val="22"/>
          <w:szCs w:val="22"/>
          <w:lang w:val="es-CO"/>
        </w:rPr>
      </w:pPr>
    </w:p>
    <w:p w14:paraId="03BE5280" w14:textId="74152CC9"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A partir del año 2020 el Ministerio de Vivienda, Ciudad y Territorio, a través del Fondo Nacional de Vivienda “Fonvivienda”, administrará y ejecutará los recursos asignados en el Presupuesto General de la Nación en inversión para vivienda de interés social urbana y rural, en los términos del artículo </w:t>
      </w:r>
      <w:r w:rsidRPr="000A2938">
        <w:rPr>
          <w:rFonts w:ascii="Arial" w:hAnsi="Arial" w:cs="Arial"/>
          <w:sz w:val="22"/>
          <w:szCs w:val="22"/>
          <w:lang w:val="es-CO"/>
        </w:rPr>
        <w:t>6o</w:t>
      </w:r>
      <w:r w:rsidRPr="006969B3">
        <w:rPr>
          <w:rFonts w:ascii="Arial" w:hAnsi="Arial" w:cs="Arial"/>
          <w:sz w:val="22"/>
          <w:szCs w:val="22"/>
          <w:lang w:val="es-CO"/>
        </w:rPr>
        <w:t xml:space="preserve"> de la Ley 1537 de 2012 o la norma  que lo modifique, sustituya o complemente, así como los recursos que se apropien para la </w:t>
      </w:r>
      <w:r w:rsidRPr="006969B3">
        <w:rPr>
          <w:rFonts w:ascii="Arial" w:hAnsi="Arial" w:cs="Arial"/>
          <w:sz w:val="22"/>
          <w:szCs w:val="22"/>
          <w:lang w:val="es-CO"/>
        </w:rPr>
        <w:lastRenderedPageBreak/>
        <w:t>formulación, organización, promoción, desarrollo, mantenimiento y consolidación del Sistema Nacional de Información de Vivienda, tanto urbana como rural.</w:t>
      </w:r>
    </w:p>
    <w:p w14:paraId="376FA6F5" w14:textId="72E6AD70" w:rsidR="003B1677" w:rsidRPr="006969B3" w:rsidRDefault="003B1677" w:rsidP="00F65283">
      <w:pPr>
        <w:spacing w:after="0" w:line="240" w:lineRule="auto"/>
        <w:rPr>
          <w:rFonts w:ascii="Arial" w:hAnsi="Arial" w:cs="Arial"/>
          <w:lang w:val="es-CO"/>
        </w:rPr>
      </w:pPr>
    </w:p>
    <w:p w14:paraId="5164D028" w14:textId="6B3556C3" w:rsidR="003B1677" w:rsidRPr="006969B3" w:rsidRDefault="003B1677" w:rsidP="00F65283">
      <w:pPr>
        <w:pStyle w:val="NormalWeb"/>
        <w:spacing w:before="0" w:beforeAutospacing="0" w:after="0" w:afterAutospacing="0"/>
        <w:jc w:val="both"/>
        <w:rPr>
          <w:rFonts w:ascii="Arial" w:hAnsi="Arial" w:cs="Arial"/>
          <w:sz w:val="22"/>
          <w:szCs w:val="22"/>
          <w:lang w:val="es-CO"/>
        </w:rPr>
      </w:pPr>
      <w:bookmarkStart w:id="274" w:name="256"/>
      <w:r w:rsidRPr="006969B3">
        <w:rPr>
          <w:rFonts w:ascii="Arial" w:hAnsi="Arial" w:cs="Arial"/>
          <w:sz w:val="22"/>
          <w:szCs w:val="22"/>
          <w:lang w:val="es-CO"/>
        </w:rPr>
        <w:t>ARTÍCULO 256. SERVICIO PÚBLICO DE ADECUACIÓN DE TIERRAS.</w:t>
      </w:r>
      <w:bookmarkEnd w:id="274"/>
      <w:r w:rsidRPr="006969B3">
        <w:rPr>
          <w:rFonts w:ascii="Arial" w:hAnsi="Arial" w:cs="Arial"/>
          <w:sz w:val="22"/>
          <w:szCs w:val="22"/>
          <w:lang w:val="es-CO"/>
        </w:rPr>
        <w:t> Modifíquese el artículo </w:t>
      </w:r>
      <w:r w:rsidRPr="000A2938">
        <w:rPr>
          <w:rFonts w:ascii="Arial" w:hAnsi="Arial" w:cs="Arial"/>
          <w:sz w:val="22"/>
          <w:szCs w:val="22"/>
          <w:lang w:val="es-CO"/>
        </w:rPr>
        <w:t>3o</w:t>
      </w:r>
      <w:r w:rsidRPr="006969B3">
        <w:rPr>
          <w:rFonts w:ascii="Arial" w:hAnsi="Arial" w:cs="Arial"/>
          <w:sz w:val="22"/>
          <w:szCs w:val="22"/>
          <w:lang w:val="es-CO"/>
        </w:rPr>
        <w:t> de la Ley 41 de 1993 así:</w:t>
      </w:r>
    </w:p>
    <w:p w14:paraId="26836590" w14:textId="77777777" w:rsidR="00374A72" w:rsidRPr="006969B3" w:rsidRDefault="00374A72" w:rsidP="00F65283">
      <w:pPr>
        <w:pStyle w:val="NormalWeb"/>
        <w:spacing w:before="0" w:beforeAutospacing="0" w:after="0" w:afterAutospacing="0"/>
        <w:jc w:val="both"/>
        <w:rPr>
          <w:rFonts w:ascii="Arial" w:hAnsi="Arial" w:cs="Arial"/>
          <w:sz w:val="22"/>
          <w:szCs w:val="22"/>
          <w:lang w:val="es-CO"/>
        </w:rPr>
      </w:pPr>
    </w:p>
    <w:p w14:paraId="23926F7E" w14:textId="7AA2EFD0"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w:t>
      </w:r>
      <w:r w:rsidRPr="000A2938">
        <w:rPr>
          <w:rFonts w:ascii="Arial" w:hAnsi="Arial" w:cs="Arial"/>
          <w:sz w:val="22"/>
          <w:szCs w:val="22"/>
          <w:lang w:val="es-CO"/>
        </w:rPr>
        <w:t>3o</w:t>
      </w:r>
      <w:r w:rsidRPr="006969B3">
        <w:rPr>
          <w:rFonts w:ascii="Arial" w:hAnsi="Arial" w:cs="Arial"/>
          <w:sz w:val="22"/>
          <w:szCs w:val="22"/>
          <w:lang w:val="es-CO"/>
        </w:rPr>
        <w:t>. Servicio público de adecuación de tierras. El servicio público de adecuación de tierras (ADT) comprende la construcción de obras de infraestructura destinadas a dotar a un área determinada con riego, drenaje, o protección contra inundaciones, reposición de maquinaria; así como las actividades complementarias de este servicio para mejorar la productividad agropecuaria. Esto último de acuerdo con la reglamentación del Ministerio de Agricultura y Desarrollo Rural, de conformidad con lo dispuesto en el literal d) sobre costos del artículo “Sistema y método para la determinación de las tarifas”.</w:t>
      </w:r>
    </w:p>
    <w:p w14:paraId="43CBE9E6" w14:textId="4876196B" w:rsidR="003B1677" w:rsidRPr="006969B3" w:rsidRDefault="003B1677" w:rsidP="00F65283">
      <w:pPr>
        <w:spacing w:after="0" w:line="240" w:lineRule="auto"/>
        <w:rPr>
          <w:rFonts w:ascii="Arial" w:hAnsi="Arial" w:cs="Arial"/>
          <w:lang w:val="es-CO"/>
        </w:rPr>
      </w:pPr>
    </w:p>
    <w:p w14:paraId="00D8EE15" w14:textId="6441EDE8" w:rsidR="003B1677" w:rsidRPr="006969B3" w:rsidRDefault="003B1677" w:rsidP="00F65283">
      <w:pPr>
        <w:pStyle w:val="NormalWeb"/>
        <w:spacing w:before="0" w:beforeAutospacing="0" w:after="0" w:afterAutospacing="0"/>
        <w:jc w:val="both"/>
        <w:rPr>
          <w:rFonts w:ascii="Arial" w:hAnsi="Arial" w:cs="Arial"/>
          <w:sz w:val="22"/>
          <w:szCs w:val="22"/>
          <w:lang w:val="es-CO"/>
        </w:rPr>
      </w:pPr>
      <w:bookmarkStart w:id="275" w:name="257"/>
      <w:r w:rsidRPr="006969B3">
        <w:rPr>
          <w:rFonts w:ascii="Arial" w:hAnsi="Arial" w:cs="Arial"/>
          <w:sz w:val="22"/>
          <w:szCs w:val="22"/>
          <w:lang w:val="es-CO"/>
        </w:rPr>
        <w:t>ARTÍCULO 257. CREACIÓN DE LA TASA, HECHO GENERADOR, SUJETO PASIVO Y ACTIVO DEL SERVICIO PÚBLICO DE ADECUACIÓN DE TIERRAS.</w:t>
      </w:r>
      <w:bookmarkEnd w:id="275"/>
      <w:r w:rsidRPr="006969B3">
        <w:rPr>
          <w:rFonts w:ascii="Arial" w:hAnsi="Arial" w:cs="Arial"/>
          <w:sz w:val="22"/>
          <w:szCs w:val="22"/>
          <w:lang w:val="es-CO"/>
        </w:rPr>
        <w:t> Adiciónese el siguiente artículo a la Ley </w:t>
      </w:r>
      <w:r w:rsidRPr="000A2938">
        <w:rPr>
          <w:rFonts w:ascii="Arial" w:hAnsi="Arial" w:cs="Arial"/>
          <w:sz w:val="22"/>
          <w:szCs w:val="22"/>
          <w:lang w:val="es-CO"/>
        </w:rPr>
        <w:t>41</w:t>
      </w:r>
      <w:r w:rsidRPr="006969B3">
        <w:rPr>
          <w:rFonts w:ascii="Arial" w:hAnsi="Arial" w:cs="Arial"/>
          <w:sz w:val="22"/>
          <w:szCs w:val="22"/>
          <w:lang w:val="es-CO"/>
        </w:rPr>
        <w:t> de 1993.</w:t>
      </w:r>
    </w:p>
    <w:p w14:paraId="5172E6F5" w14:textId="77777777" w:rsidR="00024468" w:rsidRPr="006969B3" w:rsidRDefault="00024468" w:rsidP="00F65283">
      <w:pPr>
        <w:pStyle w:val="NormalWeb"/>
        <w:spacing w:before="0" w:beforeAutospacing="0" w:after="0" w:afterAutospacing="0"/>
        <w:jc w:val="both"/>
        <w:rPr>
          <w:rFonts w:ascii="Arial" w:hAnsi="Arial" w:cs="Arial"/>
          <w:sz w:val="22"/>
          <w:szCs w:val="22"/>
          <w:lang w:val="es-CO"/>
        </w:rPr>
      </w:pPr>
    </w:p>
    <w:p w14:paraId="1D3240B9" w14:textId="7D036D44"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w:t>
      </w:r>
      <w:r w:rsidRPr="000A2938">
        <w:rPr>
          <w:rFonts w:ascii="Arial" w:hAnsi="Arial" w:cs="Arial"/>
          <w:sz w:val="22"/>
          <w:szCs w:val="22"/>
          <w:lang w:val="es-CO"/>
        </w:rPr>
        <w:t>16A</w:t>
      </w:r>
      <w:r w:rsidRPr="006969B3">
        <w:rPr>
          <w:rFonts w:ascii="Arial" w:hAnsi="Arial" w:cs="Arial"/>
          <w:sz w:val="22"/>
          <w:szCs w:val="22"/>
          <w:lang w:val="es-CO"/>
        </w:rPr>
        <w:t>. Creación de la tasa, hecho generador, sujeto pasivo y activo del servicio público de adecuación de tierras. Créase la tasa del servicio público de Adecuación de Tierras para recuperar los costos asociados a su prestación y que se constituyen como la base gravable para la liquidación. Estos costos se determinarán, a través del sistema y método tarifario establecido en la presente ley.</w:t>
      </w:r>
    </w:p>
    <w:p w14:paraId="7AF72C7D" w14:textId="77777777" w:rsidR="00024468" w:rsidRPr="006969B3" w:rsidRDefault="00024468" w:rsidP="00F65283">
      <w:pPr>
        <w:pStyle w:val="NormalWeb"/>
        <w:spacing w:before="0" w:beforeAutospacing="0" w:after="0" w:afterAutospacing="0"/>
        <w:jc w:val="both"/>
        <w:rPr>
          <w:rFonts w:ascii="Arial" w:hAnsi="Arial" w:cs="Arial"/>
          <w:sz w:val="22"/>
          <w:szCs w:val="22"/>
          <w:lang w:val="es-CO"/>
        </w:rPr>
      </w:pPr>
    </w:p>
    <w:p w14:paraId="2BE9A950" w14:textId="77777777"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Serán hechos generadores de la tasa del servicio público de ADT los siguientes:</w:t>
      </w:r>
    </w:p>
    <w:p w14:paraId="06261D5B" w14:textId="77777777" w:rsidR="00024468" w:rsidRPr="006969B3" w:rsidRDefault="00024468" w:rsidP="00F65283">
      <w:pPr>
        <w:pStyle w:val="NormalWeb"/>
        <w:spacing w:before="0" w:beforeAutospacing="0" w:after="0" w:afterAutospacing="0"/>
        <w:jc w:val="both"/>
        <w:rPr>
          <w:rFonts w:ascii="Arial" w:hAnsi="Arial" w:cs="Arial"/>
          <w:sz w:val="22"/>
          <w:szCs w:val="22"/>
          <w:lang w:val="es-CO"/>
        </w:rPr>
      </w:pPr>
    </w:p>
    <w:p w14:paraId="3E113891" w14:textId="7772B211"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 Suministro de agua para usos agropecuarios;</w:t>
      </w:r>
    </w:p>
    <w:p w14:paraId="777E946C" w14:textId="77777777" w:rsidR="00024468" w:rsidRPr="006969B3" w:rsidRDefault="00024468" w:rsidP="00F65283">
      <w:pPr>
        <w:pStyle w:val="NormalWeb"/>
        <w:spacing w:before="0" w:beforeAutospacing="0" w:after="0" w:afterAutospacing="0"/>
        <w:jc w:val="both"/>
        <w:rPr>
          <w:rFonts w:ascii="Arial" w:hAnsi="Arial" w:cs="Arial"/>
          <w:sz w:val="22"/>
          <w:szCs w:val="22"/>
          <w:lang w:val="es-CO"/>
        </w:rPr>
      </w:pPr>
    </w:p>
    <w:p w14:paraId="35B3F459" w14:textId="393BE07A"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2. Drenaje de aguas en los suelos;</w:t>
      </w:r>
    </w:p>
    <w:p w14:paraId="491F8AB3" w14:textId="77777777" w:rsidR="00274B87" w:rsidRPr="006969B3" w:rsidRDefault="00274B87" w:rsidP="00F65283">
      <w:pPr>
        <w:pStyle w:val="NormalWeb"/>
        <w:spacing w:before="0" w:beforeAutospacing="0" w:after="0" w:afterAutospacing="0"/>
        <w:jc w:val="both"/>
        <w:rPr>
          <w:rFonts w:ascii="Arial" w:hAnsi="Arial" w:cs="Arial"/>
          <w:sz w:val="22"/>
          <w:szCs w:val="22"/>
          <w:lang w:val="es-CO"/>
        </w:rPr>
      </w:pPr>
    </w:p>
    <w:p w14:paraId="53B1B812" w14:textId="77777777"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3. Protección contra inundaciones;</w:t>
      </w:r>
    </w:p>
    <w:p w14:paraId="777B0DEB" w14:textId="77777777" w:rsidR="00024468" w:rsidRPr="006969B3" w:rsidRDefault="00024468" w:rsidP="00F65283">
      <w:pPr>
        <w:pStyle w:val="NormalWeb"/>
        <w:spacing w:before="0" w:beforeAutospacing="0" w:after="0" w:afterAutospacing="0"/>
        <w:jc w:val="both"/>
        <w:rPr>
          <w:rFonts w:ascii="Arial" w:hAnsi="Arial" w:cs="Arial"/>
          <w:sz w:val="22"/>
          <w:szCs w:val="22"/>
          <w:lang w:val="es-CO"/>
        </w:rPr>
      </w:pPr>
    </w:p>
    <w:p w14:paraId="63EF7E27" w14:textId="4E10D9A9"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4. Desarrollo de actividades complementarias para mejorar la productividad agropecuaria.</w:t>
      </w:r>
    </w:p>
    <w:p w14:paraId="15B7572E" w14:textId="77777777" w:rsidR="00024468" w:rsidRPr="006969B3" w:rsidRDefault="00024468" w:rsidP="00F65283">
      <w:pPr>
        <w:pStyle w:val="NormalWeb"/>
        <w:spacing w:before="0" w:beforeAutospacing="0" w:after="0" w:afterAutospacing="0"/>
        <w:jc w:val="both"/>
        <w:rPr>
          <w:rFonts w:ascii="Arial" w:hAnsi="Arial" w:cs="Arial"/>
          <w:sz w:val="22"/>
          <w:szCs w:val="22"/>
          <w:lang w:val="es-CO"/>
        </w:rPr>
      </w:pPr>
    </w:p>
    <w:p w14:paraId="75C7826B" w14:textId="6F4DC624"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 entidad pública propietaria del distrito que preste el servidor público de ADT, será sujeto activo de la tasa del Servicio Público de Adecuación de Tierras y todo usuario de los Distritos de Adecuación de Tierras será sujeto pasivo.</w:t>
      </w:r>
    </w:p>
    <w:p w14:paraId="01E3446D" w14:textId="64C724E4" w:rsidR="003B1677" w:rsidRPr="006969B3" w:rsidRDefault="003B1677" w:rsidP="00F65283">
      <w:pPr>
        <w:spacing w:after="0" w:line="240" w:lineRule="auto"/>
        <w:rPr>
          <w:rFonts w:ascii="Arial" w:hAnsi="Arial" w:cs="Arial"/>
          <w:lang w:val="es-CO"/>
        </w:rPr>
      </w:pPr>
    </w:p>
    <w:p w14:paraId="06C4BF53" w14:textId="1B7ACCA2" w:rsidR="003B1677" w:rsidRPr="006969B3" w:rsidRDefault="003B1677" w:rsidP="00F65283">
      <w:pPr>
        <w:pStyle w:val="NormalWeb"/>
        <w:spacing w:before="0" w:beforeAutospacing="0" w:after="0" w:afterAutospacing="0"/>
        <w:jc w:val="both"/>
        <w:rPr>
          <w:rFonts w:ascii="Arial" w:hAnsi="Arial" w:cs="Arial"/>
          <w:sz w:val="22"/>
          <w:szCs w:val="22"/>
          <w:lang w:val="es-CO"/>
        </w:rPr>
      </w:pPr>
      <w:bookmarkStart w:id="276" w:name="258"/>
      <w:r w:rsidRPr="006969B3">
        <w:rPr>
          <w:rFonts w:ascii="Arial" w:hAnsi="Arial" w:cs="Arial"/>
          <w:sz w:val="22"/>
          <w:szCs w:val="22"/>
          <w:lang w:val="es-CO"/>
        </w:rPr>
        <w:t>ARTÍCULO 258 SISTEMA Y MÉTODO PARA LA DETERMINACIÓN DE LAS TARIFAS.</w:t>
      </w:r>
      <w:bookmarkEnd w:id="276"/>
      <w:r w:rsidRPr="006969B3">
        <w:rPr>
          <w:rFonts w:ascii="Arial" w:hAnsi="Arial" w:cs="Arial"/>
          <w:sz w:val="22"/>
          <w:szCs w:val="22"/>
          <w:lang w:val="es-CO"/>
        </w:rPr>
        <w:t> Adiciónese el siguiente artículo a la Ley </w:t>
      </w:r>
      <w:r w:rsidRPr="000A2938">
        <w:rPr>
          <w:rFonts w:ascii="Arial" w:hAnsi="Arial" w:cs="Arial"/>
          <w:sz w:val="22"/>
          <w:szCs w:val="22"/>
          <w:lang w:val="es-CO"/>
        </w:rPr>
        <w:t>41</w:t>
      </w:r>
      <w:r w:rsidRPr="006969B3">
        <w:rPr>
          <w:rFonts w:ascii="Arial" w:hAnsi="Arial" w:cs="Arial"/>
          <w:sz w:val="22"/>
          <w:szCs w:val="22"/>
          <w:lang w:val="es-CO"/>
        </w:rPr>
        <w:t> de 1993.</w:t>
      </w:r>
    </w:p>
    <w:p w14:paraId="1AF11A78" w14:textId="77777777" w:rsidR="00024468" w:rsidRPr="006969B3" w:rsidRDefault="00024468" w:rsidP="00F65283">
      <w:pPr>
        <w:pStyle w:val="NormalWeb"/>
        <w:spacing w:before="0" w:beforeAutospacing="0" w:after="0" w:afterAutospacing="0"/>
        <w:jc w:val="both"/>
        <w:rPr>
          <w:rFonts w:ascii="Arial" w:hAnsi="Arial" w:cs="Arial"/>
          <w:sz w:val="22"/>
          <w:szCs w:val="22"/>
          <w:lang w:val="es-CO"/>
        </w:rPr>
      </w:pPr>
    </w:p>
    <w:p w14:paraId="44EC8FB2" w14:textId="671E3B6D"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w:t>
      </w:r>
      <w:r w:rsidRPr="000A2938">
        <w:rPr>
          <w:rFonts w:ascii="Arial" w:hAnsi="Arial" w:cs="Arial"/>
          <w:sz w:val="22"/>
          <w:szCs w:val="22"/>
          <w:lang w:val="es-CO"/>
        </w:rPr>
        <w:t>16B</w:t>
      </w:r>
      <w:r w:rsidRPr="006969B3">
        <w:rPr>
          <w:rFonts w:ascii="Arial" w:hAnsi="Arial" w:cs="Arial"/>
          <w:sz w:val="22"/>
          <w:szCs w:val="22"/>
          <w:lang w:val="es-CO"/>
        </w:rPr>
        <w:t>. Sistema y método para la determinación de las tarifas. El sistema y método para la fijación de las tarifas que se cobrarán como recuperación de los costos asociados a la prestación del servicio público de adecuación de tierras, es el siguiente:</w:t>
      </w:r>
    </w:p>
    <w:p w14:paraId="37935D2A" w14:textId="77777777" w:rsidR="00024468" w:rsidRPr="006969B3" w:rsidRDefault="00024468" w:rsidP="00F65283">
      <w:pPr>
        <w:pStyle w:val="NormalWeb"/>
        <w:spacing w:before="0" w:beforeAutospacing="0" w:after="0" w:afterAutospacing="0"/>
        <w:jc w:val="both"/>
        <w:rPr>
          <w:rFonts w:ascii="Arial" w:hAnsi="Arial" w:cs="Arial"/>
          <w:sz w:val="22"/>
          <w:szCs w:val="22"/>
          <w:lang w:val="es-CO"/>
        </w:rPr>
      </w:pPr>
    </w:p>
    <w:p w14:paraId="42518781" w14:textId="467953DF"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 Sistema: Para la definición de los costos sobre cuya base haya de calcularse la tarifa de adecuación de tierras, se aplicará el siguiente sistema:</w:t>
      </w:r>
    </w:p>
    <w:p w14:paraId="152F2D5B" w14:textId="77777777" w:rsidR="00024468" w:rsidRPr="006969B3" w:rsidRDefault="00024468" w:rsidP="00F65283">
      <w:pPr>
        <w:pStyle w:val="NormalWeb"/>
        <w:spacing w:before="0" w:beforeAutospacing="0" w:after="0" w:afterAutospacing="0"/>
        <w:jc w:val="both"/>
        <w:rPr>
          <w:rFonts w:ascii="Arial" w:hAnsi="Arial" w:cs="Arial"/>
          <w:sz w:val="22"/>
          <w:szCs w:val="22"/>
          <w:lang w:val="es-CO"/>
        </w:rPr>
      </w:pPr>
    </w:p>
    <w:p w14:paraId="026B9828" w14:textId="77777777" w:rsidR="00024468"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a) Tarifa Fija: se calcula a partir de la sumatoria de los costos de administración y de la proporción de los costos de operación y conservación que establezca el Ministerio de Agricultura y Desarrollo Rural, dividida sobre el área del distrito de Adecuación de Tierras. </w:t>
      </w:r>
    </w:p>
    <w:p w14:paraId="4CC84757" w14:textId="464FE75C"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lastRenderedPageBreak/>
        <w:t>Para establecer el valor que le corresponde pagar a cada usuario por concepto de esta tarifa, se multiplica por el área beneficiada de cada predio.</w:t>
      </w:r>
    </w:p>
    <w:p w14:paraId="65389242" w14:textId="77777777" w:rsidR="00024468" w:rsidRPr="006969B3" w:rsidRDefault="00024468" w:rsidP="00F65283">
      <w:pPr>
        <w:pStyle w:val="NormalWeb"/>
        <w:spacing w:before="0" w:beforeAutospacing="0" w:after="0" w:afterAutospacing="0"/>
        <w:jc w:val="both"/>
        <w:rPr>
          <w:rFonts w:ascii="Arial" w:hAnsi="Arial" w:cs="Arial"/>
          <w:sz w:val="22"/>
          <w:szCs w:val="22"/>
          <w:lang w:val="es-CO"/>
        </w:rPr>
      </w:pPr>
    </w:p>
    <w:p w14:paraId="3A65A887" w14:textId="4DEBAC29"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b) Tarifa Volumétrica o de aprovechamiento: se calcula a partir de la sumatoria de la proporción de los costos de operación y conservación, más el costo por utilización de aguas que el distrito de Adecuación de Tierras cancela a la autoridad ambiental competente, dividida por el volumen de agua anual derivado en bocatoma. Para establecer el valor que le corresponde pagar a cada usuario por concepto de esta tarifa, se multiplica por el volumen del agua entregado a cada usuario.</w:t>
      </w:r>
    </w:p>
    <w:p w14:paraId="5AA7612A" w14:textId="77777777" w:rsidR="00024468" w:rsidRPr="006969B3" w:rsidRDefault="00024468" w:rsidP="00F65283">
      <w:pPr>
        <w:pStyle w:val="NormalWeb"/>
        <w:spacing w:before="0" w:beforeAutospacing="0" w:after="0" w:afterAutospacing="0"/>
        <w:jc w:val="both"/>
        <w:rPr>
          <w:rFonts w:ascii="Arial" w:hAnsi="Arial" w:cs="Arial"/>
          <w:sz w:val="22"/>
          <w:szCs w:val="22"/>
          <w:lang w:val="es-CO"/>
        </w:rPr>
      </w:pPr>
    </w:p>
    <w:p w14:paraId="68FF074D" w14:textId="53B8266F"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c) Tarifa por prestación de actividades para mejorar la productividad agropecuaria: se calcula a partir de la sumatoria de los costos fijos y variables de las actividades complementarias para mejorar la productividad agropecuaria, dividido entre el número de beneficiados por dichas actividades. Esta tarifa se cobrará únicamente a los usuarios del distrito de Adecuación de Tierras que soliciten al prestador del servicio público la prestación de dichas actividades.</w:t>
      </w:r>
    </w:p>
    <w:p w14:paraId="6AB5C648" w14:textId="77777777" w:rsidR="00024468" w:rsidRPr="006969B3" w:rsidRDefault="00024468" w:rsidP="00F65283">
      <w:pPr>
        <w:pStyle w:val="NormalWeb"/>
        <w:spacing w:before="0" w:beforeAutospacing="0" w:after="0" w:afterAutospacing="0"/>
        <w:jc w:val="both"/>
        <w:rPr>
          <w:rFonts w:ascii="Arial" w:hAnsi="Arial" w:cs="Arial"/>
          <w:sz w:val="22"/>
          <w:szCs w:val="22"/>
          <w:lang w:val="es-CO"/>
        </w:rPr>
      </w:pPr>
    </w:p>
    <w:p w14:paraId="1AC80106" w14:textId="6247773A"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d) Tarifa para reposición de maquinaria: se calcula a partir del valor anual de depreciación de la maquinaria, dividido sobre el área total del distrito de Adecuación de Tierras. Para establecer el valor que le corresponde pagar a cada usuario por concepto de esta tarifa, se multiplica por el área de cada predio.</w:t>
      </w:r>
    </w:p>
    <w:p w14:paraId="2EE10745" w14:textId="77777777" w:rsidR="00024468" w:rsidRPr="006969B3" w:rsidRDefault="00024468" w:rsidP="00F65283">
      <w:pPr>
        <w:pStyle w:val="NormalWeb"/>
        <w:spacing w:before="0" w:beforeAutospacing="0" w:after="0" w:afterAutospacing="0"/>
        <w:jc w:val="both"/>
        <w:rPr>
          <w:rFonts w:ascii="Arial" w:hAnsi="Arial" w:cs="Arial"/>
          <w:sz w:val="22"/>
          <w:szCs w:val="22"/>
          <w:lang w:val="es-CO"/>
        </w:rPr>
      </w:pPr>
    </w:p>
    <w:p w14:paraId="05DBF3D0" w14:textId="5A84ACAB"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Para el cálculo de las tarifas se utilizará:</w:t>
      </w:r>
    </w:p>
    <w:p w14:paraId="0C1FD5C5" w14:textId="77777777" w:rsidR="00024468" w:rsidRPr="006969B3" w:rsidRDefault="00024468" w:rsidP="00F65283">
      <w:pPr>
        <w:pStyle w:val="NormalWeb"/>
        <w:spacing w:before="0" w:beforeAutospacing="0" w:after="0" w:afterAutospacing="0"/>
        <w:jc w:val="both"/>
        <w:rPr>
          <w:rFonts w:ascii="Arial" w:hAnsi="Arial" w:cs="Arial"/>
          <w:sz w:val="22"/>
          <w:szCs w:val="22"/>
          <w:lang w:val="es-CO"/>
        </w:rPr>
      </w:pPr>
    </w:p>
    <w:p w14:paraId="6225219E" w14:textId="09E0B22B"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I. El presupuesto anual de costos asociados a la prestación del servicio público de adecuación de tierras, elaborado por el prestador del servicio público.</w:t>
      </w:r>
    </w:p>
    <w:p w14:paraId="2DD56CC6" w14:textId="77777777" w:rsidR="00024468" w:rsidRPr="006969B3" w:rsidRDefault="00024468" w:rsidP="00F65283">
      <w:pPr>
        <w:pStyle w:val="NormalWeb"/>
        <w:spacing w:before="0" w:beforeAutospacing="0" w:after="0" w:afterAutospacing="0"/>
        <w:jc w:val="both"/>
        <w:rPr>
          <w:rFonts w:ascii="Arial" w:hAnsi="Arial" w:cs="Arial"/>
          <w:sz w:val="22"/>
          <w:szCs w:val="22"/>
          <w:lang w:val="es-CO"/>
        </w:rPr>
      </w:pPr>
    </w:p>
    <w:p w14:paraId="458786EF" w14:textId="3C58983F"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II. El registro general de usuarios actualizado.</w:t>
      </w:r>
    </w:p>
    <w:p w14:paraId="682A50F2" w14:textId="77777777" w:rsidR="00024468" w:rsidRPr="006969B3" w:rsidRDefault="00024468" w:rsidP="00F65283">
      <w:pPr>
        <w:pStyle w:val="NormalWeb"/>
        <w:spacing w:before="0" w:beforeAutospacing="0" w:after="0" w:afterAutospacing="0"/>
        <w:jc w:val="both"/>
        <w:rPr>
          <w:rFonts w:ascii="Arial" w:hAnsi="Arial" w:cs="Arial"/>
          <w:sz w:val="22"/>
          <w:szCs w:val="22"/>
          <w:lang w:val="es-CO"/>
        </w:rPr>
      </w:pPr>
    </w:p>
    <w:p w14:paraId="7B50652C" w14:textId="5A18E1D2"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III. El plan de adecuación de tierras proyectado.</w:t>
      </w:r>
    </w:p>
    <w:p w14:paraId="079C2B9B" w14:textId="77777777" w:rsidR="00274B87" w:rsidRPr="006969B3" w:rsidRDefault="00274B87" w:rsidP="00F65283">
      <w:pPr>
        <w:pStyle w:val="NormalWeb"/>
        <w:spacing w:before="0" w:beforeAutospacing="0" w:after="0" w:afterAutospacing="0"/>
        <w:jc w:val="both"/>
        <w:rPr>
          <w:rFonts w:ascii="Arial" w:hAnsi="Arial" w:cs="Arial"/>
          <w:sz w:val="22"/>
          <w:szCs w:val="22"/>
          <w:lang w:val="es-CO"/>
        </w:rPr>
      </w:pPr>
    </w:p>
    <w:p w14:paraId="56464DD5" w14:textId="77777777"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2. Método: Definición de los costos asociados a la prestación del servicio público de Adecuación de Tierras, sobre cuya base se hará la fijación del monto tarifario de la tasa del servicio público:</w:t>
      </w:r>
    </w:p>
    <w:p w14:paraId="01665F70" w14:textId="77777777" w:rsidR="00024468" w:rsidRPr="006969B3" w:rsidRDefault="00024468" w:rsidP="00F65283">
      <w:pPr>
        <w:pStyle w:val="NormalWeb"/>
        <w:spacing w:before="0" w:beforeAutospacing="0" w:after="0" w:afterAutospacing="0"/>
        <w:jc w:val="both"/>
        <w:rPr>
          <w:rFonts w:ascii="Arial" w:hAnsi="Arial" w:cs="Arial"/>
          <w:sz w:val="22"/>
          <w:szCs w:val="22"/>
          <w:lang w:val="es-CO"/>
        </w:rPr>
      </w:pPr>
    </w:p>
    <w:p w14:paraId="6224C02A" w14:textId="3A704DD3"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 Costos de administración del distrito. Comprenden la remuneración del personal administrativo, costos generales, costos de facturación, arriendos, vigilancia, servicios públicos, seguros, impuestos y costos no operacionales relacionados con la administración del respectivo distrito.</w:t>
      </w:r>
    </w:p>
    <w:p w14:paraId="63C5FF27" w14:textId="77777777" w:rsidR="00024468" w:rsidRPr="006969B3" w:rsidRDefault="00024468" w:rsidP="00F65283">
      <w:pPr>
        <w:pStyle w:val="NormalWeb"/>
        <w:spacing w:before="0" w:beforeAutospacing="0" w:after="0" w:afterAutospacing="0"/>
        <w:jc w:val="both"/>
        <w:rPr>
          <w:rFonts w:ascii="Arial" w:hAnsi="Arial" w:cs="Arial"/>
          <w:sz w:val="22"/>
          <w:szCs w:val="22"/>
          <w:lang w:val="es-CO"/>
        </w:rPr>
      </w:pPr>
    </w:p>
    <w:p w14:paraId="36ECF8A7" w14:textId="4F67FF9D"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b) Costos de operación del distrito. Comprenden la remuneración del personal operativo, energía eléctrica para bombeo, costos de operación y mantenimiento de vehículos, maquinaria y equipo, y movilización del personal de operación del distrito.</w:t>
      </w:r>
    </w:p>
    <w:p w14:paraId="7FADB4D9" w14:textId="77777777" w:rsidR="00024468" w:rsidRPr="006969B3" w:rsidRDefault="00024468" w:rsidP="00F65283">
      <w:pPr>
        <w:pStyle w:val="NormalWeb"/>
        <w:spacing w:before="0" w:beforeAutospacing="0" w:after="0" w:afterAutospacing="0"/>
        <w:jc w:val="both"/>
        <w:rPr>
          <w:rFonts w:ascii="Arial" w:hAnsi="Arial" w:cs="Arial"/>
          <w:sz w:val="22"/>
          <w:szCs w:val="22"/>
          <w:lang w:val="es-CO"/>
        </w:rPr>
      </w:pPr>
    </w:p>
    <w:p w14:paraId="3C0C0000" w14:textId="3DDA6DA9"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c) Costos de conservación. Comprenden la remuneración del personal de conservación y los costos de la conservación, limpieza, reparación y reposición de infraestructura y equipos del distrito.</w:t>
      </w:r>
    </w:p>
    <w:p w14:paraId="03938781" w14:textId="77777777" w:rsidR="00024468" w:rsidRPr="006969B3" w:rsidRDefault="00024468" w:rsidP="00F65283">
      <w:pPr>
        <w:pStyle w:val="NormalWeb"/>
        <w:spacing w:before="0" w:beforeAutospacing="0" w:after="0" w:afterAutospacing="0"/>
        <w:jc w:val="both"/>
        <w:rPr>
          <w:rFonts w:ascii="Arial" w:hAnsi="Arial" w:cs="Arial"/>
          <w:sz w:val="22"/>
          <w:szCs w:val="22"/>
          <w:lang w:val="es-CO"/>
        </w:rPr>
      </w:pPr>
    </w:p>
    <w:p w14:paraId="3368D7F8" w14:textId="45FFDB79"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d) Costos de actividades complementarias para mejorar la productividad agropecuaria. Comprenden los costos asociados al fortalecimiento organizacional y extensión agropecuaria; promoción de prácticas adecuadas para el uso del agua en el riego; apoyo a </w:t>
      </w:r>
      <w:r w:rsidRPr="006969B3">
        <w:rPr>
          <w:rFonts w:ascii="Arial" w:hAnsi="Arial" w:cs="Arial"/>
          <w:sz w:val="22"/>
          <w:szCs w:val="22"/>
          <w:lang w:val="es-CO"/>
        </w:rPr>
        <w:lastRenderedPageBreak/>
        <w:t>la producción agropecuaria; investigación, innovación, transferencia tecnológica y transformación; comercialización; manejo eficiente del agua y suelo; aprovechamiento de los materiales resultantes del mantenimiento y conservación del distrito de adecuación de tierras.</w:t>
      </w:r>
    </w:p>
    <w:p w14:paraId="283EEFDC" w14:textId="77777777" w:rsidR="00024468" w:rsidRPr="006969B3" w:rsidRDefault="00024468" w:rsidP="00F65283">
      <w:pPr>
        <w:pStyle w:val="NormalWeb"/>
        <w:spacing w:before="0" w:beforeAutospacing="0" w:after="0" w:afterAutospacing="0"/>
        <w:jc w:val="both"/>
        <w:rPr>
          <w:rFonts w:ascii="Arial" w:hAnsi="Arial" w:cs="Arial"/>
          <w:sz w:val="22"/>
          <w:szCs w:val="22"/>
          <w:lang w:val="es-CO"/>
        </w:rPr>
      </w:pPr>
    </w:p>
    <w:p w14:paraId="58320202" w14:textId="4DE32BFA"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 Costo de la Tasa por Utilización de Aguas (TUA). De conformidad con lo dispuesto en el artículo </w:t>
      </w:r>
      <w:r w:rsidRPr="000A2938">
        <w:rPr>
          <w:rFonts w:ascii="Arial" w:hAnsi="Arial" w:cs="Arial"/>
          <w:sz w:val="22"/>
          <w:szCs w:val="22"/>
          <w:lang w:val="es-CO"/>
        </w:rPr>
        <w:t>43</w:t>
      </w:r>
      <w:r w:rsidRPr="006969B3">
        <w:rPr>
          <w:rFonts w:ascii="Arial" w:hAnsi="Arial" w:cs="Arial"/>
          <w:sz w:val="22"/>
          <w:szCs w:val="22"/>
          <w:lang w:val="es-CO"/>
        </w:rPr>
        <w:t> de la Ley 99 de 1993 y el Decreto 1076 de 2015 o las disposiciones que hagan sus veces. Se calcula a partir del volumen de agua medido que se utiliza para la prestación del servicio de riego a los usuarios del Distrito de riego.</w:t>
      </w:r>
    </w:p>
    <w:p w14:paraId="247BAF03" w14:textId="77777777" w:rsidR="00024468" w:rsidRPr="006969B3" w:rsidRDefault="00024468" w:rsidP="00F65283">
      <w:pPr>
        <w:pStyle w:val="NormalWeb"/>
        <w:spacing w:before="0" w:beforeAutospacing="0" w:after="0" w:afterAutospacing="0"/>
        <w:jc w:val="both"/>
        <w:rPr>
          <w:rFonts w:ascii="Arial" w:hAnsi="Arial" w:cs="Arial"/>
          <w:sz w:val="22"/>
          <w:szCs w:val="22"/>
          <w:lang w:val="es-CO"/>
        </w:rPr>
      </w:pPr>
    </w:p>
    <w:p w14:paraId="1183FA6B" w14:textId="118488AA"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f) Costos de Reposición de Maquinaria. Son los costos en que se incurre para reemplazar la maquinaria del distrito destinada para la prestación del servicio público de adecuación de tierras a los usuarios, una vez haya cumplido su vida útil.</w:t>
      </w:r>
    </w:p>
    <w:p w14:paraId="6A6C4F5E" w14:textId="77777777" w:rsidR="00024468" w:rsidRPr="006969B3" w:rsidRDefault="00024468" w:rsidP="00F65283">
      <w:pPr>
        <w:pStyle w:val="NormalWeb"/>
        <w:spacing w:before="0" w:beforeAutospacing="0" w:after="0" w:afterAutospacing="0"/>
        <w:jc w:val="both"/>
        <w:rPr>
          <w:rStyle w:val="baj"/>
          <w:rFonts w:ascii="Arial" w:hAnsi="Arial" w:cs="Arial"/>
          <w:sz w:val="22"/>
          <w:szCs w:val="22"/>
          <w:lang w:val="es-CO"/>
        </w:rPr>
      </w:pPr>
    </w:p>
    <w:p w14:paraId="0F2A9FBC" w14:textId="37F5C3FB"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El Ministerio de Agricultura y Desarrollo Rural fijará mediante resolución, antes del 31 de diciembre de cada año y para la vigencia siguiente, la tarifa fija, la tarifa volumétrica y la tarifa para reposición de maquinaria del servicio público de riego, con el fundamento en el método y sistema establecidos en la presente ley. Asimismo, fijará anualmente la proporción de los costos de operación y conservación para las tarifas fija y volumétrica para cada distrito de Adecuación de Tierras, teniendo en cuenta su naturaleza, así como los sistemas de captación y distribución del agua.</w:t>
      </w:r>
    </w:p>
    <w:p w14:paraId="6FE5AF9D" w14:textId="77777777" w:rsidR="00024468" w:rsidRPr="006969B3" w:rsidRDefault="00024468" w:rsidP="00F65283">
      <w:pPr>
        <w:pStyle w:val="NormalWeb"/>
        <w:spacing w:before="0" w:beforeAutospacing="0" w:after="0" w:afterAutospacing="0"/>
        <w:jc w:val="both"/>
        <w:rPr>
          <w:rStyle w:val="baj"/>
          <w:rFonts w:ascii="Arial" w:hAnsi="Arial" w:cs="Arial"/>
          <w:sz w:val="22"/>
          <w:szCs w:val="22"/>
          <w:lang w:val="es-CO"/>
        </w:rPr>
      </w:pPr>
    </w:p>
    <w:p w14:paraId="713E9FFF" w14:textId="582DCB86"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w:t>
      </w:r>
      <w:proofErr w:type="gramStart"/>
      <w:r w:rsidRPr="006969B3">
        <w:rPr>
          <w:rFonts w:ascii="Arial" w:hAnsi="Arial" w:cs="Arial"/>
          <w:sz w:val="22"/>
          <w:szCs w:val="22"/>
          <w:lang w:val="es-CO"/>
        </w:rPr>
        <w:t>El valor a pagar</w:t>
      </w:r>
      <w:proofErr w:type="gramEnd"/>
      <w:r w:rsidRPr="006969B3">
        <w:rPr>
          <w:rFonts w:ascii="Arial" w:hAnsi="Arial" w:cs="Arial"/>
          <w:sz w:val="22"/>
          <w:szCs w:val="22"/>
          <w:lang w:val="es-CO"/>
        </w:rPr>
        <w:t xml:space="preserve"> por el administrador del Distrito de Adecuación de Tierras por concepto de la Tasa por Utilización de Aguas (TUA) será con cargo a cada usuario del servicio y debe calcularse proporcionalmente al área beneficiada de cada uno por el servicio prestado.</w:t>
      </w:r>
    </w:p>
    <w:p w14:paraId="61339063" w14:textId="77777777" w:rsidR="00024468" w:rsidRPr="006969B3" w:rsidRDefault="00024468" w:rsidP="00F65283">
      <w:pPr>
        <w:pStyle w:val="NormalWeb"/>
        <w:spacing w:before="0" w:beforeAutospacing="0" w:after="0" w:afterAutospacing="0"/>
        <w:jc w:val="both"/>
        <w:rPr>
          <w:rStyle w:val="baj"/>
          <w:rFonts w:ascii="Arial" w:hAnsi="Arial" w:cs="Arial"/>
          <w:sz w:val="22"/>
          <w:szCs w:val="22"/>
          <w:lang w:val="es-CO"/>
        </w:rPr>
      </w:pPr>
    </w:p>
    <w:p w14:paraId="0A8CFC64" w14:textId="598F155E"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3o.</w:t>
      </w:r>
      <w:r w:rsidRPr="006969B3">
        <w:rPr>
          <w:rFonts w:ascii="Arial" w:hAnsi="Arial" w:cs="Arial"/>
          <w:sz w:val="22"/>
          <w:szCs w:val="22"/>
          <w:lang w:val="es-CO"/>
        </w:rPr>
        <w:t xml:space="preserve"> En el caso de las asociaciones de usuarios, la factura del servicio público de adecuación de tierras constituye título ejecutivo </w:t>
      </w:r>
      <w:proofErr w:type="gramStart"/>
      <w:r w:rsidRPr="006969B3">
        <w:rPr>
          <w:rFonts w:ascii="Arial" w:hAnsi="Arial" w:cs="Arial"/>
          <w:sz w:val="22"/>
          <w:szCs w:val="22"/>
          <w:lang w:val="es-CO"/>
        </w:rPr>
        <w:t>y</w:t>
      </w:r>
      <w:proofErr w:type="gramEnd"/>
      <w:r w:rsidRPr="006969B3">
        <w:rPr>
          <w:rFonts w:ascii="Arial" w:hAnsi="Arial" w:cs="Arial"/>
          <w:sz w:val="22"/>
          <w:szCs w:val="22"/>
          <w:lang w:val="es-CO"/>
        </w:rPr>
        <w:t xml:space="preserve"> en consecuencia, su cobro se hará conforme con las reglas de procedimiento establecidas en el Código General del Proceso.</w:t>
      </w:r>
    </w:p>
    <w:p w14:paraId="5DBB3A74" w14:textId="49FFE668" w:rsidR="003B1677" w:rsidRPr="006969B3" w:rsidRDefault="003B1677" w:rsidP="00F65283">
      <w:pPr>
        <w:spacing w:after="0" w:line="240" w:lineRule="auto"/>
        <w:rPr>
          <w:rFonts w:ascii="Arial" w:hAnsi="Arial" w:cs="Arial"/>
          <w:lang w:val="es-CO"/>
        </w:rPr>
      </w:pPr>
    </w:p>
    <w:p w14:paraId="72BE61D5" w14:textId="4280D7A5" w:rsidR="003B1677" w:rsidRPr="006969B3" w:rsidRDefault="003B1677" w:rsidP="00F65283">
      <w:pPr>
        <w:pStyle w:val="NormalWeb"/>
        <w:spacing w:before="0" w:beforeAutospacing="0" w:after="0" w:afterAutospacing="0"/>
        <w:jc w:val="both"/>
        <w:rPr>
          <w:rFonts w:ascii="Arial" w:hAnsi="Arial" w:cs="Arial"/>
          <w:sz w:val="22"/>
          <w:szCs w:val="22"/>
          <w:lang w:val="es-CO"/>
        </w:rPr>
      </w:pPr>
      <w:bookmarkStart w:id="277" w:name="259"/>
      <w:r w:rsidRPr="006969B3">
        <w:rPr>
          <w:rFonts w:ascii="Arial" w:hAnsi="Arial" w:cs="Arial"/>
          <w:sz w:val="22"/>
          <w:szCs w:val="22"/>
          <w:lang w:val="es-CO"/>
        </w:rPr>
        <w:t>ARTÍCULO 259. FONDO DE ADECUACIÓN DE TIERRAS.</w:t>
      </w:r>
      <w:bookmarkEnd w:id="277"/>
      <w:r w:rsidRPr="006969B3">
        <w:rPr>
          <w:rFonts w:ascii="Arial" w:hAnsi="Arial" w:cs="Arial"/>
          <w:sz w:val="22"/>
          <w:szCs w:val="22"/>
          <w:lang w:val="es-CO"/>
        </w:rPr>
        <w:t> Modifíquese el artículo </w:t>
      </w:r>
      <w:r w:rsidRPr="000A2938">
        <w:rPr>
          <w:rFonts w:ascii="Arial" w:hAnsi="Arial" w:cs="Arial"/>
          <w:sz w:val="22"/>
          <w:szCs w:val="22"/>
          <w:lang w:val="es-CO"/>
        </w:rPr>
        <w:t>16</w:t>
      </w:r>
      <w:r w:rsidRPr="006969B3">
        <w:rPr>
          <w:rFonts w:ascii="Arial" w:hAnsi="Arial" w:cs="Arial"/>
          <w:sz w:val="22"/>
          <w:szCs w:val="22"/>
          <w:lang w:val="es-CO"/>
        </w:rPr>
        <w:t> de la Ley 41 de 1993 así:</w:t>
      </w:r>
    </w:p>
    <w:p w14:paraId="64EBDD64" w14:textId="77777777" w:rsidR="00024468" w:rsidRPr="006969B3" w:rsidRDefault="00024468" w:rsidP="00F65283">
      <w:pPr>
        <w:pStyle w:val="NormalWeb"/>
        <w:spacing w:before="0" w:beforeAutospacing="0" w:after="0" w:afterAutospacing="0"/>
        <w:jc w:val="both"/>
        <w:rPr>
          <w:rFonts w:ascii="Arial" w:hAnsi="Arial" w:cs="Arial"/>
          <w:sz w:val="22"/>
          <w:szCs w:val="22"/>
          <w:lang w:val="es-CO"/>
        </w:rPr>
      </w:pPr>
    </w:p>
    <w:p w14:paraId="0CBC2596" w14:textId="375EA0FF"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w:t>
      </w:r>
      <w:r w:rsidRPr="000A2938">
        <w:rPr>
          <w:rFonts w:ascii="Arial" w:hAnsi="Arial" w:cs="Arial"/>
          <w:sz w:val="22"/>
          <w:szCs w:val="22"/>
          <w:lang w:val="es-CO"/>
        </w:rPr>
        <w:t>16</w:t>
      </w:r>
      <w:r w:rsidRPr="006969B3">
        <w:rPr>
          <w:rFonts w:ascii="Arial" w:hAnsi="Arial" w:cs="Arial"/>
          <w:sz w:val="22"/>
          <w:szCs w:val="22"/>
          <w:lang w:val="es-CO"/>
        </w:rPr>
        <w:t>. Fondo de Adecuación de Tierras. Créase el Fondo Nacional de Adecuación de Tierras (</w:t>
      </w:r>
      <w:proofErr w:type="spellStart"/>
      <w:r w:rsidRPr="006969B3">
        <w:rPr>
          <w:rFonts w:ascii="Arial" w:hAnsi="Arial" w:cs="Arial"/>
          <w:sz w:val="22"/>
          <w:szCs w:val="22"/>
          <w:lang w:val="es-CO"/>
        </w:rPr>
        <w:t>Fonat</w:t>
      </w:r>
      <w:proofErr w:type="spellEnd"/>
      <w:r w:rsidRPr="006969B3">
        <w:rPr>
          <w:rFonts w:ascii="Arial" w:hAnsi="Arial" w:cs="Arial"/>
          <w:sz w:val="22"/>
          <w:szCs w:val="22"/>
          <w:lang w:val="es-CO"/>
        </w:rPr>
        <w:t>) como una unidad administrativa de financiamiento del Subsector de Adecuación de Tierras, cuyo objetivo es financiar los estudios, diseños y construcción de las obras de riego, avenamiento, reposición de maquinaria y las actividades complementarias al servicio de ADT para mejorar la productividad agropecuaria, esto último de acuerdo con la reglamentación del Ministerio de Agricultura y Desarrollo Rural, de conformidad con lo dispuesto en el literal d) sobre costos del artículo “Sistema y método para la determinación de las tarifas”.</w:t>
      </w:r>
    </w:p>
    <w:p w14:paraId="7122F468" w14:textId="77777777" w:rsidR="00024468" w:rsidRPr="006969B3" w:rsidRDefault="00024468" w:rsidP="00F65283">
      <w:pPr>
        <w:pStyle w:val="NormalWeb"/>
        <w:spacing w:before="0" w:beforeAutospacing="0" w:after="0" w:afterAutospacing="0"/>
        <w:jc w:val="both"/>
        <w:rPr>
          <w:rFonts w:ascii="Arial" w:hAnsi="Arial" w:cs="Arial"/>
          <w:sz w:val="22"/>
          <w:szCs w:val="22"/>
          <w:lang w:val="es-CO"/>
        </w:rPr>
      </w:pPr>
    </w:p>
    <w:p w14:paraId="28FAB30D" w14:textId="59DC3D27"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El Fondo funcionará como una cuenta separada en el presupuesto de la Agencia de Desarrollo Rural (ADR), quien lo manejará y su representante legal será el </w:t>
      </w:r>
      <w:proofErr w:type="gramStart"/>
      <w:r w:rsidRPr="006969B3">
        <w:rPr>
          <w:rFonts w:ascii="Arial" w:hAnsi="Arial" w:cs="Arial"/>
          <w:sz w:val="22"/>
          <w:szCs w:val="22"/>
          <w:lang w:val="es-CO"/>
        </w:rPr>
        <w:t>Presidente</w:t>
      </w:r>
      <w:proofErr w:type="gramEnd"/>
      <w:r w:rsidRPr="006969B3">
        <w:rPr>
          <w:rFonts w:ascii="Arial" w:hAnsi="Arial" w:cs="Arial"/>
          <w:sz w:val="22"/>
          <w:szCs w:val="22"/>
          <w:lang w:val="es-CO"/>
        </w:rPr>
        <w:t xml:space="preserve"> de dicha Agencia.</w:t>
      </w:r>
    </w:p>
    <w:p w14:paraId="34B3BF1B" w14:textId="2BF6AD34" w:rsidR="003B1677" w:rsidRPr="006969B3" w:rsidRDefault="003B1677" w:rsidP="00F65283">
      <w:pPr>
        <w:spacing w:after="0" w:line="240" w:lineRule="auto"/>
        <w:rPr>
          <w:rFonts w:ascii="Arial" w:hAnsi="Arial" w:cs="Arial"/>
          <w:lang w:val="es-CO"/>
        </w:rPr>
      </w:pPr>
    </w:p>
    <w:p w14:paraId="6EB7504A" w14:textId="3B92B5E8" w:rsidR="003B1677" w:rsidRPr="006969B3" w:rsidRDefault="003B1677" w:rsidP="00F65283">
      <w:pPr>
        <w:pStyle w:val="NormalWeb"/>
        <w:spacing w:before="0" w:beforeAutospacing="0" w:after="0" w:afterAutospacing="0"/>
        <w:jc w:val="both"/>
        <w:rPr>
          <w:rFonts w:ascii="Arial" w:hAnsi="Arial" w:cs="Arial"/>
          <w:sz w:val="22"/>
          <w:szCs w:val="22"/>
          <w:lang w:val="es-CO"/>
        </w:rPr>
      </w:pPr>
      <w:bookmarkStart w:id="278" w:name="260"/>
      <w:r w:rsidRPr="006969B3">
        <w:rPr>
          <w:rFonts w:ascii="Arial" w:hAnsi="Arial" w:cs="Arial"/>
          <w:sz w:val="22"/>
          <w:szCs w:val="22"/>
          <w:lang w:val="es-CO"/>
        </w:rPr>
        <w:t>ARTÍCULO 260. ENTIDAD RESPONSABLE INSPECCIÓN, VIGILANCIA Y CONTROL DE ADT.</w:t>
      </w:r>
      <w:bookmarkEnd w:id="278"/>
      <w:r w:rsidRPr="006969B3">
        <w:rPr>
          <w:rFonts w:ascii="Arial" w:hAnsi="Arial" w:cs="Arial"/>
          <w:sz w:val="22"/>
          <w:szCs w:val="22"/>
          <w:lang w:val="es-CO"/>
        </w:rPr>
        <w:t> Adiciónese el siguiente artículo de la Ley </w:t>
      </w:r>
      <w:r w:rsidRPr="000A2938">
        <w:rPr>
          <w:rFonts w:ascii="Arial" w:hAnsi="Arial" w:cs="Arial"/>
          <w:sz w:val="22"/>
          <w:szCs w:val="22"/>
          <w:lang w:val="es-CO"/>
        </w:rPr>
        <w:t>41</w:t>
      </w:r>
      <w:r w:rsidRPr="006969B3">
        <w:rPr>
          <w:rFonts w:ascii="Arial" w:hAnsi="Arial" w:cs="Arial"/>
          <w:sz w:val="22"/>
          <w:szCs w:val="22"/>
          <w:lang w:val="es-CO"/>
        </w:rPr>
        <w:t> de 1993.</w:t>
      </w:r>
    </w:p>
    <w:p w14:paraId="648A027B" w14:textId="77777777" w:rsidR="00697388" w:rsidRPr="006969B3" w:rsidRDefault="00697388" w:rsidP="00F65283">
      <w:pPr>
        <w:pStyle w:val="NormalWeb"/>
        <w:spacing w:before="0" w:beforeAutospacing="0" w:after="0" w:afterAutospacing="0"/>
        <w:jc w:val="both"/>
        <w:rPr>
          <w:rFonts w:ascii="Arial" w:hAnsi="Arial" w:cs="Arial"/>
          <w:sz w:val="22"/>
          <w:szCs w:val="22"/>
          <w:lang w:val="es-CO"/>
        </w:rPr>
      </w:pPr>
    </w:p>
    <w:p w14:paraId="09900CCA" w14:textId="59DA158D"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lastRenderedPageBreak/>
        <w:t>Artículo </w:t>
      </w:r>
      <w:r w:rsidRPr="000A2938">
        <w:rPr>
          <w:rFonts w:ascii="Arial" w:hAnsi="Arial" w:cs="Arial"/>
          <w:sz w:val="22"/>
          <w:szCs w:val="22"/>
          <w:lang w:val="es-CO"/>
        </w:rPr>
        <w:t>16C</w:t>
      </w:r>
      <w:r w:rsidRPr="006969B3">
        <w:rPr>
          <w:rFonts w:ascii="Arial" w:hAnsi="Arial" w:cs="Arial"/>
          <w:sz w:val="22"/>
          <w:szCs w:val="22"/>
          <w:lang w:val="es-CO"/>
        </w:rPr>
        <w:t>. Entidad responsable inspección, vigilancia y control de ADT. El Ministerio de Agricultura y Desarrollo Rural será la entidad responsable de adelantar labores de inspección, vigilancia y control de la prestación del servicio público de adecuación de tierras conforme lo dispuesto en la ley.</w:t>
      </w:r>
    </w:p>
    <w:p w14:paraId="702B3080" w14:textId="77777777" w:rsidR="00697388" w:rsidRPr="006969B3" w:rsidRDefault="00697388" w:rsidP="00F65283">
      <w:pPr>
        <w:pStyle w:val="NormalWeb"/>
        <w:spacing w:before="0" w:beforeAutospacing="0" w:after="0" w:afterAutospacing="0"/>
        <w:jc w:val="both"/>
        <w:rPr>
          <w:rStyle w:val="baj"/>
          <w:rFonts w:ascii="Arial" w:hAnsi="Arial" w:cs="Arial"/>
          <w:sz w:val="22"/>
          <w:szCs w:val="22"/>
          <w:lang w:val="es-CO"/>
        </w:rPr>
      </w:pPr>
    </w:p>
    <w:p w14:paraId="7647560E" w14:textId="224AC1DB"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Para el ejercicio de estas funciones, el Ministerio de Agricultura y Desarrollo Rural organizará dentro de su estructura interna, una dependencia encargada de conocer de los procesos sancionatorios en primera y segunda instancia, de conformidad con el procedimiento aplicable contenido en la Ley </w:t>
      </w:r>
      <w:r w:rsidRPr="000A2938">
        <w:rPr>
          <w:rFonts w:ascii="Arial" w:hAnsi="Arial" w:cs="Arial"/>
          <w:sz w:val="22"/>
          <w:szCs w:val="22"/>
          <w:lang w:val="es-CO"/>
        </w:rPr>
        <w:t>1437</w:t>
      </w:r>
      <w:r w:rsidRPr="006969B3">
        <w:rPr>
          <w:rFonts w:ascii="Arial" w:hAnsi="Arial" w:cs="Arial"/>
          <w:sz w:val="22"/>
          <w:szCs w:val="22"/>
          <w:lang w:val="es-CO"/>
        </w:rPr>
        <w:t> de 2011.</w:t>
      </w:r>
    </w:p>
    <w:p w14:paraId="29BD4B87" w14:textId="6EA6EAB6" w:rsidR="003B1677" w:rsidRPr="006969B3" w:rsidRDefault="003B1677" w:rsidP="00F65283">
      <w:pPr>
        <w:spacing w:after="0" w:line="240" w:lineRule="auto"/>
        <w:rPr>
          <w:rFonts w:ascii="Arial" w:hAnsi="Arial" w:cs="Arial"/>
          <w:lang w:val="es-CO"/>
        </w:rPr>
      </w:pPr>
    </w:p>
    <w:p w14:paraId="5E073802" w14:textId="33AA59AC" w:rsidR="003B1677" w:rsidRPr="006969B3" w:rsidRDefault="003B1677" w:rsidP="00F65283">
      <w:pPr>
        <w:pStyle w:val="NormalWeb"/>
        <w:spacing w:before="0" w:beforeAutospacing="0" w:after="0" w:afterAutospacing="0"/>
        <w:jc w:val="both"/>
        <w:rPr>
          <w:rFonts w:ascii="Arial" w:hAnsi="Arial" w:cs="Arial"/>
          <w:sz w:val="22"/>
          <w:szCs w:val="22"/>
          <w:lang w:val="es-CO"/>
        </w:rPr>
      </w:pPr>
      <w:bookmarkStart w:id="279" w:name="261"/>
      <w:r w:rsidRPr="006969B3">
        <w:rPr>
          <w:rFonts w:ascii="Arial" w:hAnsi="Arial" w:cs="Arial"/>
          <w:sz w:val="22"/>
          <w:szCs w:val="22"/>
          <w:lang w:val="es-CO"/>
        </w:rPr>
        <w:t>ARTÍCULO 261. INFRACCIONES EN LA PRESTACIÓN DEL SERVICIO PÚBLICO DE ADT.</w:t>
      </w:r>
      <w:bookmarkEnd w:id="279"/>
      <w:r w:rsidRPr="006969B3">
        <w:rPr>
          <w:rFonts w:ascii="Arial" w:hAnsi="Arial" w:cs="Arial"/>
          <w:sz w:val="22"/>
          <w:szCs w:val="22"/>
          <w:lang w:val="es-CO"/>
        </w:rPr>
        <w:t> Adiciónese el siguiente artículo de Ley </w:t>
      </w:r>
      <w:r w:rsidRPr="000A2938">
        <w:rPr>
          <w:rFonts w:ascii="Arial" w:hAnsi="Arial" w:cs="Arial"/>
          <w:sz w:val="22"/>
          <w:szCs w:val="22"/>
          <w:lang w:val="es-CO"/>
        </w:rPr>
        <w:t>41</w:t>
      </w:r>
      <w:r w:rsidRPr="006969B3">
        <w:rPr>
          <w:rFonts w:ascii="Arial" w:hAnsi="Arial" w:cs="Arial"/>
          <w:sz w:val="22"/>
          <w:szCs w:val="22"/>
          <w:lang w:val="es-CO"/>
        </w:rPr>
        <w:t> de 1993.</w:t>
      </w:r>
    </w:p>
    <w:p w14:paraId="0430C6B3" w14:textId="77777777" w:rsidR="00697388" w:rsidRPr="006969B3" w:rsidRDefault="00697388" w:rsidP="00F65283">
      <w:pPr>
        <w:pStyle w:val="NormalWeb"/>
        <w:spacing w:before="0" w:beforeAutospacing="0" w:after="0" w:afterAutospacing="0"/>
        <w:jc w:val="both"/>
        <w:rPr>
          <w:rFonts w:ascii="Arial" w:hAnsi="Arial" w:cs="Arial"/>
          <w:sz w:val="22"/>
          <w:szCs w:val="22"/>
          <w:lang w:val="es-CO"/>
        </w:rPr>
      </w:pPr>
    </w:p>
    <w:p w14:paraId="55FC86E2" w14:textId="481FCDD6"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w:t>
      </w:r>
      <w:r w:rsidRPr="000A2938">
        <w:rPr>
          <w:rFonts w:ascii="Arial" w:hAnsi="Arial" w:cs="Arial"/>
          <w:sz w:val="22"/>
          <w:szCs w:val="22"/>
          <w:lang w:val="es-CO"/>
        </w:rPr>
        <w:t>16D</w:t>
      </w:r>
      <w:r w:rsidRPr="006969B3">
        <w:rPr>
          <w:rFonts w:ascii="Arial" w:hAnsi="Arial" w:cs="Arial"/>
          <w:sz w:val="22"/>
          <w:szCs w:val="22"/>
          <w:lang w:val="es-CO"/>
        </w:rPr>
        <w:t>. Infracciones en la prestación del servicio público de ADT. Serán infractores del servicio público de adecuación de tierras los usuarios y operadores en la prestación de este servicio público. Las infracciones serán las siguientes:</w:t>
      </w:r>
    </w:p>
    <w:p w14:paraId="76546F47" w14:textId="77777777" w:rsidR="00697388" w:rsidRPr="006969B3" w:rsidRDefault="00697388" w:rsidP="00F65283">
      <w:pPr>
        <w:pStyle w:val="NormalWeb"/>
        <w:spacing w:before="0" w:beforeAutospacing="0" w:after="0" w:afterAutospacing="0"/>
        <w:jc w:val="both"/>
        <w:rPr>
          <w:rFonts w:ascii="Arial" w:hAnsi="Arial" w:cs="Arial"/>
          <w:sz w:val="22"/>
          <w:szCs w:val="22"/>
          <w:lang w:val="es-CO"/>
        </w:rPr>
      </w:pPr>
    </w:p>
    <w:p w14:paraId="53CF63FE" w14:textId="32335519"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 No suministrar oportunamente a las autoridades la información y los documentos necesarios para el ejercicio de la inspección, vigilancia y control.</w:t>
      </w:r>
    </w:p>
    <w:p w14:paraId="5EA255F9" w14:textId="77777777" w:rsidR="00697388" w:rsidRPr="006969B3" w:rsidRDefault="00697388" w:rsidP="00F65283">
      <w:pPr>
        <w:pStyle w:val="NormalWeb"/>
        <w:spacing w:before="0" w:beforeAutospacing="0" w:after="0" w:afterAutospacing="0"/>
        <w:jc w:val="both"/>
        <w:rPr>
          <w:rFonts w:ascii="Arial" w:hAnsi="Arial" w:cs="Arial"/>
          <w:sz w:val="22"/>
          <w:szCs w:val="22"/>
          <w:lang w:val="es-CO"/>
        </w:rPr>
      </w:pPr>
    </w:p>
    <w:p w14:paraId="563BE396" w14:textId="5E43806A"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2. No suministrar oportunamente a la asamblea general de la asociación de usuarios la información y documentos relevantes para la administración del distrito de adecuación de tierras.</w:t>
      </w:r>
    </w:p>
    <w:p w14:paraId="7F3C1A5B" w14:textId="77777777" w:rsidR="00697388" w:rsidRPr="006969B3" w:rsidRDefault="00697388" w:rsidP="00F65283">
      <w:pPr>
        <w:pStyle w:val="NormalWeb"/>
        <w:spacing w:before="0" w:beforeAutospacing="0" w:after="0" w:afterAutospacing="0"/>
        <w:jc w:val="both"/>
        <w:rPr>
          <w:rFonts w:ascii="Arial" w:hAnsi="Arial" w:cs="Arial"/>
          <w:sz w:val="22"/>
          <w:szCs w:val="22"/>
          <w:lang w:val="es-CO"/>
        </w:rPr>
      </w:pPr>
    </w:p>
    <w:p w14:paraId="5296C2F0" w14:textId="14C907C7"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3. Extraviar, perder o dañar bienes del distrito de adecuación de tierras o de la asociación de usuarios que se tengan bajo administración o custodia.</w:t>
      </w:r>
    </w:p>
    <w:p w14:paraId="138F1AB5" w14:textId="77777777" w:rsidR="00697388" w:rsidRPr="006969B3" w:rsidRDefault="00697388" w:rsidP="00F65283">
      <w:pPr>
        <w:pStyle w:val="NormalWeb"/>
        <w:spacing w:before="0" w:beforeAutospacing="0" w:after="0" w:afterAutospacing="0"/>
        <w:jc w:val="both"/>
        <w:rPr>
          <w:rFonts w:ascii="Arial" w:hAnsi="Arial" w:cs="Arial"/>
          <w:sz w:val="22"/>
          <w:szCs w:val="22"/>
          <w:lang w:val="es-CO"/>
        </w:rPr>
      </w:pPr>
    </w:p>
    <w:p w14:paraId="7CC15C08" w14:textId="3FCC16AF"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4. Asumir compromisos sobre apropiaciones presupuestales inexistentes en exceso del saldo disponible de apropiación o que afecten el presupuesto de la asociación de usuarios sin contar con las autorizaciones pertinentes.</w:t>
      </w:r>
    </w:p>
    <w:p w14:paraId="4B35C58B" w14:textId="77777777" w:rsidR="00697388" w:rsidRPr="006969B3" w:rsidRDefault="00697388" w:rsidP="00F65283">
      <w:pPr>
        <w:pStyle w:val="NormalWeb"/>
        <w:spacing w:before="0" w:beforeAutospacing="0" w:after="0" w:afterAutospacing="0"/>
        <w:jc w:val="both"/>
        <w:rPr>
          <w:rFonts w:ascii="Arial" w:hAnsi="Arial" w:cs="Arial"/>
          <w:sz w:val="22"/>
          <w:szCs w:val="22"/>
          <w:lang w:val="es-CO"/>
        </w:rPr>
      </w:pPr>
    </w:p>
    <w:p w14:paraId="20F49FDC" w14:textId="74005124"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5. Llevar de forma indebida los libros de registro de ejecución presupuestal de ingresos y gastos, así como los libros de contabilidad financiera.</w:t>
      </w:r>
    </w:p>
    <w:p w14:paraId="304E5DDD" w14:textId="77777777" w:rsidR="00697388" w:rsidRPr="006969B3" w:rsidRDefault="00697388" w:rsidP="00F65283">
      <w:pPr>
        <w:pStyle w:val="NormalWeb"/>
        <w:spacing w:before="0" w:beforeAutospacing="0" w:after="0" w:afterAutospacing="0"/>
        <w:jc w:val="both"/>
        <w:rPr>
          <w:rFonts w:ascii="Arial" w:hAnsi="Arial" w:cs="Arial"/>
          <w:sz w:val="22"/>
          <w:szCs w:val="22"/>
          <w:lang w:val="es-CO"/>
        </w:rPr>
      </w:pPr>
    </w:p>
    <w:p w14:paraId="63A585A0" w14:textId="68E83BE3"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6. Efectuar inversión de recursos públicos en condiciones que no garantizan seguridad, rentabilidad y liquidez.</w:t>
      </w:r>
    </w:p>
    <w:p w14:paraId="785D3EF3" w14:textId="77777777" w:rsidR="00697388" w:rsidRPr="006969B3" w:rsidRDefault="00697388" w:rsidP="00F65283">
      <w:pPr>
        <w:pStyle w:val="NormalWeb"/>
        <w:spacing w:before="0" w:beforeAutospacing="0" w:after="0" w:afterAutospacing="0"/>
        <w:jc w:val="both"/>
        <w:rPr>
          <w:rFonts w:ascii="Arial" w:hAnsi="Arial" w:cs="Arial"/>
          <w:sz w:val="22"/>
          <w:szCs w:val="22"/>
          <w:lang w:val="es-CO"/>
        </w:rPr>
      </w:pPr>
    </w:p>
    <w:p w14:paraId="600428A2" w14:textId="4973BE6D"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7. Omitir o retardar injustificadamente el ejercicio de las funciones que le son propias de su naturaleza.</w:t>
      </w:r>
    </w:p>
    <w:p w14:paraId="6AF5BA00" w14:textId="77777777" w:rsidR="00697388" w:rsidRPr="006969B3" w:rsidRDefault="00697388" w:rsidP="00F65283">
      <w:pPr>
        <w:pStyle w:val="NormalWeb"/>
        <w:spacing w:before="0" w:beforeAutospacing="0" w:after="0" w:afterAutospacing="0"/>
        <w:jc w:val="both"/>
        <w:rPr>
          <w:rFonts w:ascii="Arial" w:hAnsi="Arial" w:cs="Arial"/>
          <w:sz w:val="22"/>
          <w:szCs w:val="22"/>
          <w:lang w:val="es-CO"/>
        </w:rPr>
      </w:pPr>
    </w:p>
    <w:p w14:paraId="1A97C311" w14:textId="2C44EAF0"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8. Extraviar, perder o dañar maquinaria, equipos técnicos necesarios para la debida operación y conservación del distrito de adecuación de tierras.</w:t>
      </w:r>
    </w:p>
    <w:p w14:paraId="02FE40E4" w14:textId="77777777" w:rsidR="00697388" w:rsidRPr="006969B3" w:rsidRDefault="00697388" w:rsidP="00F65283">
      <w:pPr>
        <w:pStyle w:val="NormalWeb"/>
        <w:spacing w:before="0" w:beforeAutospacing="0" w:after="0" w:afterAutospacing="0"/>
        <w:jc w:val="both"/>
        <w:rPr>
          <w:rFonts w:ascii="Arial" w:hAnsi="Arial" w:cs="Arial"/>
          <w:sz w:val="22"/>
          <w:szCs w:val="22"/>
          <w:lang w:val="es-CO"/>
        </w:rPr>
      </w:pPr>
    </w:p>
    <w:p w14:paraId="4B233273" w14:textId="6FED7068"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9. Extraviar, perder o dañar información administrativa financiera, técnica o legal relacionada con la operación del distrito de adecuación de tierras.</w:t>
      </w:r>
    </w:p>
    <w:p w14:paraId="41774B0B" w14:textId="77777777" w:rsidR="00697388" w:rsidRPr="006969B3" w:rsidRDefault="00697388" w:rsidP="00F65283">
      <w:pPr>
        <w:pStyle w:val="NormalWeb"/>
        <w:spacing w:before="0" w:beforeAutospacing="0" w:after="0" w:afterAutospacing="0"/>
        <w:jc w:val="both"/>
        <w:rPr>
          <w:rFonts w:ascii="Arial" w:hAnsi="Arial" w:cs="Arial"/>
          <w:sz w:val="22"/>
          <w:szCs w:val="22"/>
          <w:lang w:val="es-CO"/>
        </w:rPr>
      </w:pPr>
    </w:p>
    <w:p w14:paraId="2053465D" w14:textId="6F0C2F16"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10. Alterar, falsificar, introducir, borrar, ocultar o desaparecer información de cualquiera de los sistemas de información del distrito de adecuación de tierras o permitir el acceso a ella a personas no autorizadas.</w:t>
      </w:r>
    </w:p>
    <w:p w14:paraId="019C48B7" w14:textId="77777777" w:rsidR="00697388" w:rsidRPr="006969B3" w:rsidRDefault="00697388" w:rsidP="00F65283">
      <w:pPr>
        <w:pStyle w:val="NormalWeb"/>
        <w:spacing w:before="0" w:beforeAutospacing="0" w:after="0" w:afterAutospacing="0"/>
        <w:jc w:val="both"/>
        <w:rPr>
          <w:rFonts w:ascii="Arial" w:hAnsi="Arial" w:cs="Arial"/>
          <w:sz w:val="22"/>
          <w:szCs w:val="22"/>
          <w:lang w:val="es-CO"/>
        </w:rPr>
      </w:pPr>
    </w:p>
    <w:p w14:paraId="35BF166F" w14:textId="1886ACB5"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lastRenderedPageBreak/>
        <w:t>11. Recibir dádivas o beneficios por la prestación del servicio público de adecuación de tierras que no correspondan a las tarifas establecidas legalmente.</w:t>
      </w:r>
    </w:p>
    <w:p w14:paraId="4A2454B6" w14:textId="77777777" w:rsidR="00697388" w:rsidRPr="006969B3" w:rsidRDefault="00697388" w:rsidP="00F65283">
      <w:pPr>
        <w:pStyle w:val="NormalWeb"/>
        <w:spacing w:before="0" w:beforeAutospacing="0" w:after="0" w:afterAutospacing="0"/>
        <w:jc w:val="both"/>
        <w:rPr>
          <w:rFonts w:ascii="Arial" w:hAnsi="Arial" w:cs="Arial"/>
          <w:sz w:val="22"/>
          <w:szCs w:val="22"/>
          <w:lang w:val="es-CO"/>
        </w:rPr>
      </w:pPr>
    </w:p>
    <w:p w14:paraId="7ECC6016" w14:textId="639E475B"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12. No asegurar por el valor real los bienes del distrito de adecuación de tierras que tenga bajo custodia.</w:t>
      </w:r>
    </w:p>
    <w:p w14:paraId="22C055FA" w14:textId="77777777" w:rsidR="00697388" w:rsidRPr="006969B3" w:rsidRDefault="00697388" w:rsidP="00F65283">
      <w:pPr>
        <w:pStyle w:val="NormalWeb"/>
        <w:spacing w:before="0" w:beforeAutospacing="0" w:after="0" w:afterAutospacing="0"/>
        <w:jc w:val="both"/>
        <w:rPr>
          <w:rFonts w:ascii="Arial" w:hAnsi="Arial" w:cs="Arial"/>
          <w:sz w:val="22"/>
          <w:szCs w:val="22"/>
          <w:lang w:val="es-CO"/>
        </w:rPr>
      </w:pPr>
    </w:p>
    <w:p w14:paraId="018F1BF0" w14:textId="6ED2A993"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13. Obtener o beneficiarse de la prestación del servicio público de adecuación de tierras de forma irregular, clandestina o a través de la alteración de los mecanismos de medición y control.</w:t>
      </w:r>
    </w:p>
    <w:p w14:paraId="6A2F880C" w14:textId="019B24AA" w:rsidR="003B1677" w:rsidRPr="006969B3" w:rsidRDefault="003B1677" w:rsidP="00F65283">
      <w:pPr>
        <w:spacing w:after="0" w:line="240" w:lineRule="auto"/>
        <w:rPr>
          <w:rFonts w:ascii="Arial" w:hAnsi="Arial" w:cs="Arial"/>
          <w:lang w:val="es-CO"/>
        </w:rPr>
      </w:pPr>
    </w:p>
    <w:p w14:paraId="3C83279A" w14:textId="1E271F6F" w:rsidR="003B1677" w:rsidRPr="006969B3" w:rsidRDefault="003B1677" w:rsidP="00F65283">
      <w:pPr>
        <w:pStyle w:val="NormalWeb"/>
        <w:spacing w:before="0" w:beforeAutospacing="0" w:after="0" w:afterAutospacing="0"/>
        <w:jc w:val="both"/>
        <w:rPr>
          <w:rFonts w:ascii="Arial" w:hAnsi="Arial" w:cs="Arial"/>
          <w:sz w:val="22"/>
          <w:szCs w:val="22"/>
          <w:lang w:val="es-CO"/>
        </w:rPr>
      </w:pPr>
      <w:bookmarkStart w:id="280" w:name="262"/>
      <w:r w:rsidRPr="006969B3">
        <w:rPr>
          <w:rFonts w:ascii="Arial" w:hAnsi="Arial" w:cs="Arial"/>
          <w:sz w:val="22"/>
          <w:szCs w:val="22"/>
          <w:lang w:val="es-CO"/>
        </w:rPr>
        <w:t>ARTÍCULO 262. SANCIONES A LA PRESTACIÓN DEL SERVICIO PÚBLICO ADT.</w:t>
      </w:r>
      <w:bookmarkEnd w:id="280"/>
      <w:r w:rsidRPr="006969B3">
        <w:rPr>
          <w:rFonts w:ascii="Arial" w:hAnsi="Arial" w:cs="Arial"/>
          <w:sz w:val="22"/>
          <w:szCs w:val="22"/>
          <w:lang w:val="es-CO"/>
        </w:rPr>
        <w:t> Adiciónese el siguiente artículo a la Ley </w:t>
      </w:r>
      <w:r w:rsidRPr="000A2938">
        <w:rPr>
          <w:rFonts w:ascii="Arial" w:hAnsi="Arial" w:cs="Arial"/>
          <w:sz w:val="22"/>
          <w:szCs w:val="22"/>
          <w:lang w:val="es-CO"/>
        </w:rPr>
        <w:t>41</w:t>
      </w:r>
      <w:r w:rsidRPr="006969B3">
        <w:rPr>
          <w:rFonts w:ascii="Arial" w:hAnsi="Arial" w:cs="Arial"/>
          <w:sz w:val="22"/>
          <w:szCs w:val="22"/>
          <w:lang w:val="es-CO"/>
        </w:rPr>
        <w:t> de 1993.</w:t>
      </w:r>
    </w:p>
    <w:p w14:paraId="398A46FF" w14:textId="77777777" w:rsidR="00697388" w:rsidRPr="006969B3" w:rsidRDefault="00697388" w:rsidP="00F65283">
      <w:pPr>
        <w:pStyle w:val="NormalWeb"/>
        <w:spacing w:before="0" w:beforeAutospacing="0" w:after="0" w:afterAutospacing="0"/>
        <w:jc w:val="both"/>
        <w:rPr>
          <w:rFonts w:ascii="Arial" w:hAnsi="Arial" w:cs="Arial"/>
          <w:sz w:val="22"/>
          <w:szCs w:val="22"/>
          <w:lang w:val="es-CO"/>
        </w:rPr>
      </w:pPr>
    </w:p>
    <w:p w14:paraId="0E930BD3" w14:textId="0F7ED103"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w:t>
      </w:r>
      <w:r w:rsidRPr="000A2938">
        <w:rPr>
          <w:rFonts w:ascii="Arial" w:hAnsi="Arial" w:cs="Arial"/>
          <w:sz w:val="22"/>
          <w:szCs w:val="22"/>
          <w:lang w:val="es-CO"/>
        </w:rPr>
        <w:t>16E</w:t>
      </w:r>
      <w:r w:rsidRPr="006969B3">
        <w:rPr>
          <w:rFonts w:ascii="Arial" w:hAnsi="Arial" w:cs="Arial"/>
          <w:sz w:val="22"/>
          <w:szCs w:val="22"/>
          <w:lang w:val="es-CO"/>
        </w:rPr>
        <w:t>. Sanciones a la prestación del servicio público ADT. Las sanciones señaladas en este artículo se impondrán como principales o accesorias a los responsables de las infracciones en calidad de operadores o usuarios del servicio público de adecuación de tierras y demás disposiciones vigentes que las adicionen, sustituyan o modifiquen, las cuales se incorporarán atendiendo a la graduación establecida en el artículo </w:t>
      </w:r>
      <w:r w:rsidRPr="000A2938">
        <w:rPr>
          <w:rFonts w:ascii="Arial" w:hAnsi="Arial" w:cs="Arial"/>
          <w:sz w:val="22"/>
          <w:szCs w:val="22"/>
          <w:lang w:val="es-CO"/>
        </w:rPr>
        <w:t>50</w:t>
      </w:r>
      <w:r w:rsidRPr="006969B3">
        <w:rPr>
          <w:rFonts w:ascii="Arial" w:hAnsi="Arial" w:cs="Arial"/>
          <w:sz w:val="22"/>
          <w:szCs w:val="22"/>
          <w:lang w:val="es-CO"/>
        </w:rPr>
        <w:t> de la Ley 1437 del 2011 o las disposiciones legales que hagan sus veces.</w:t>
      </w:r>
    </w:p>
    <w:p w14:paraId="2AC93F49" w14:textId="77777777" w:rsidR="00697388" w:rsidRPr="006969B3" w:rsidRDefault="00697388" w:rsidP="00F65283">
      <w:pPr>
        <w:pStyle w:val="NormalWeb"/>
        <w:spacing w:before="0" w:beforeAutospacing="0" w:after="0" w:afterAutospacing="0"/>
        <w:jc w:val="both"/>
        <w:rPr>
          <w:rFonts w:ascii="Arial" w:hAnsi="Arial" w:cs="Arial"/>
          <w:sz w:val="22"/>
          <w:szCs w:val="22"/>
          <w:lang w:val="es-CO"/>
        </w:rPr>
      </w:pPr>
    </w:p>
    <w:p w14:paraId="3A395F11" w14:textId="26AF3677"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Las sanciones contenidas en el presente artículo, sin perjuicio de las sanciones penales y demás a que hubiere lugar, se impondrán al infractor de acuerdo con la gravedad de la infracción mediante resolución motivada.</w:t>
      </w:r>
    </w:p>
    <w:p w14:paraId="239A3E20" w14:textId="77777777" w:rsidR="00697388" w:rsidRPr="006969B3" w:rsidRDefault="00697388" w:rsidP="00F65283">
      <w:pPr>
        <w:pStyle w:val="NormalWeb"/>
        <w:spacing w:before="0" w:beforeAutospacing="0" w:after="0" w:afterAutospacing="0"/>
        <w:jc w:val="both"/>
        <w:rPr>
          <w:rFonts w:ascii="Arial" w:hAnsi="Arial" w:cs="Arial"/>
          <w:sz w:val="22"/>
          <w:szCs w:val="22"/>
          <w:lang w:val="es-CO"/>
        </w:rPr>
      </w:pPr>
    </w:p>
    <w:p w14:paraId="4600D89B" w14:textId="058D9503"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 Multas pecuniarias hasta por 241.644,6 UVT.</w:t>
      </w:r>
    </w:p>
    <w:p w14:paraId="2453AC80" w14:textId="77777777" w:rsidR="00697388" w:rsidRPr="006969B3" w:rsidRDefault="00697388" w:rsidP="00F65283">
      <w:pPr>
        <w:pStyle w:val="NormalWeb"/>
        <w:spacing w:before="0" w:beforeAutospacing="0" w:after="0" w:afterAutospacing="0"/>
        <w:jc w:val="both"/>
        <w:rPr>
          <w:rFonts w:ascii="Arial" w:hAnsi="Arial" w:cs="Arial"/>
          <w:sz w:val="22"/>
          <w:szCs w:val="22"/>
          <w:lang w:val="es-CO"/>
        </w:rPr>
      </w:pPr>
    </w:p>
    <w:p w14:paraId="29828C73" w14:textId="6F4E27A4"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2. Suspensión temporal de la autorización para ejercer la función de prestador del servicio público de adecuación de tierras.</w:t>
      </w:r>
    </w:p>
    <w:p w14:paraId="538CF274" w14:textId="77777777" w:rsidR="00697388" w:rsidRPr="006969B3" w:rsidRDefault="00697388" w:rsidP="00F65283">
      <w:pPr>
        <w:pStyle w:val="NormalWeb"/>
        <w:spacing w:before="0" w:beforeAutospacing="0" w:after="0" w:afterAutospacing="0"/>
        <w:jc w:val="both"/>
        <w:rPr>
          <w:rFonts w:ascii="Arial" w:hAnsi="Arial" w:cs="Arial"/>
          <w:sz w:val="22"/>
          <w:szCs w:val="22"/>
          <w:lang w:val="es-CO"/>
        </w:rPr>
      </w:pPr>
    </w:p>
    <w:p w14:paraId="1052DEF6" w14:textId="390D6FF6"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3. Revocatoria de la autorización para ejercer la función de prestador del servicio público de adecuación de tierras.</w:t>
      </w:r>
    </w:p>
    <w:p w14:paraId="29749226" w14:textId="77777777" w:rsidR="00697388" w:rsidRPr="006969B3" w:rsidRDefault="00697388" w:rsidP="00F65283">
      <w:pPr>
        <w:pStyle w:val="NormalWeb"/>
        <w:spacing w:before="0" w:beforeAutospacing="0" w:after="0" w:afterAutospacing="0"/>
        <w:jc w:val="both"/>
        <w:rPr>
          <w:rFonts w:ascii="Arial" w:hAnsi="Arial" w:cs="Arial"/>
          <w:sz w:val="22"/>
          <w:szCs w:val="22"/>
          <w:lang w:val="es-CO"/>
        </w:rPr>
      </w:pPr>
    </w:p>
    <w:p w14:paraId="56404C45" w14:textId="613E2DEC"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4. Inhabilidad hasta por veinte (20) años para ejercer la función de prestador del servicio público de adecuación de tierras.</w:t>
      </w:r>
    </w:p>
    <w:p w14:paraId="0DC0E634" w14:textId="77777777" w:rsidR="00697388" w:rsidRPr="006969B3" w:rsidRDefault="00697388" w:rsidP="00F65283">
      <w:pPr>
        <w:pStyle w:val="NormalWeb"/>
        <w:spacing w:before="0" w:beforeAutospacing="0" w:after="0" w:afterAutospacing="0"/>
        <w:jc w:val="both"/>
        <w:rPr>
          <w:rStyle w:val="baj"/>
          <w:rFonts w:ascii="Arial" w:hAnsi="Arial" w:cs="Arial"/>
          <w:sz w:val="22"/>
          <w:szCs w:val="22"/>
          <w:lang w:val="es-CO"/>
        </w:rPr>
      </w:pPr>
    </w:p>
    <w:p w14:paraId="7BBAE926" w14:textId="08D27AE2"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Los actos administrativos que impongan sanciones pecuniarias prestarán mérito ejecutivo y su cobro podrá realizarse a través de jurisdicción coactiva.</w:t>
      </w:r>
    </w:p>
    <w:p w14:paraId="4D57FA40" w14:textId="77777777" w:rsidR="00697388" w:rsidRPr="006969B3" w:rsidRDefault="00697388" w:rsidP="00F65283">
      <w:pPr>
        <w:pStyle w:val="NormalWeb"/>
        <w:spacing w:before="0" w:beforeAutospacing="0" w:after="0" w:afterAutospacing="0"/>
        <w:jc w:val="both"/>
        <w:rPr>
          <w:rStyle w:val="baj"/>
          <w:rFonts w:ascii="Arial" w:hAnsi="Arial" w:cs="Arial"/>
          <w:sz w:val="22"/>
          <w:szCs w:val="22"/>
          <w:lang w:val="es-CO"/>
        </w:rPr>
      </w:pPr>
    </w:p>
    <w:p w14:paraId="4C8F6132" w14:textId="3C4C11E9"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En caso de que la entidad prestadora del servicio público de adecuación de tierras tenga un contrato de administración delegada sobre un distrito de propiedad del Estado y sea sancionada en los términos de los numerales 3 y/o 4, se terminará inmediata y unilateralmente el contrato.</w:t>
      </w:r>
    </w:p>
    <w:p w14:paraId="68A27ABE" w14:textId="77777777" w:rsidR="00697388" w:rsidRPr="006969B3" w:rsidRDefault="00697388" w:rsidP="00F65283">
      <w:pPr>
        <w:spacing w:after="0" w:line="240" w:lineRule="auto"/>
        <w:rPr>
          <w:rFonts w:ascii="Arial" w:hAnsi="Arial" w:cs="Arial"/>
          <w:lang w:val="es-CO"/>
        </w:rPr>
      </w:pPr>
    </w:p>
    <w:p w14:paraId="4F857872" w14:textId="51F620B8" w:rsidR="003B1677" w:rsidRPr="006969B3" w:rsidRDefault="003B1677" w:rsidP="00F65283">
      <w:pPr>
        <w:pStyle w:val="NormalWeb"/>
        <w:spacing w:before="0" w:beforeAutospacing="0" w:after="0" w:afterAutospacing="0"/>
        <w:jc w:val="both"/>
        <w:rPr>
          <w:rFonts w:ascii="Arial" w:hAnsi="Arial" w:cs="Arial"/>
          <w:sz w:val="22"/>
          <w:szCs w:val="22"/>
          <w:lang w:val="es-CO"/>
        </w:rPr>
      </w:pPr>
      <w:bookmarkStart w:id="281" w:name="263"/>
      <w:r w:rsidRPr="006969B3">
        <w:rPr>
          <w:rFonts w:ascii="Arial" w:hAnsi="Arial" w:cs="Arial"/>
          <w:sz w:val="22"/>
          <w:szCs w:val="22"/>
          <w:lang w:val="es-CO"/>
        </w:rPr>
        <w:t>ARTÍCULO 263. REDUCCIÓN DE LA PROVISIONALIDAD EN EL EMPLEO PÚBLICO.</w:t>
      </w:r>
      <w:bookmarkEnd w:id="281"/>
      <w:r w:rsidRPr="006969B3">
        <w:rPr>
          <w:rFonts w:ascii="Arial" w:hAnsi="Arial" w:cs="Arial"/>
          <w:sz w:val="22"/>
          <w:szCs w:val="22"/>
          <w:lang w:val="es-CO"/>
        </w:rPr>
        <w:t> Las entidades coordinarán con la Comisión Nacional del Servicio Civil (CNSC) la realización de los procesos de selección para el ingreso a los cargos de carrera administrativa y su financiación; definidas las fechas del concurso las entidades asignarán los recursos presupuestales que le corresponden para la financiación, si el valor del recaudo es insuficiente para atender los costos que genere el proceso de selección, de acuerdo con lo señalado en el artículo </w:t>
      </w:r>
      <w:r w:rsidRPr="000A2938">
        <w:rPr>
          <w:rFonts w:ascii="Arial" w:hAnsi="Arial" w:cs="Arial"/>
          <w:sz w:val="22"/>
          <w:szCs w:val="22"/>
          <w:lang w:val="es-CO"/>
        </w:rPr>
        <w:t>9o</w:t>
      </w:r>
      <w:r w:rsidRPr="006969B3">
        <w:rPr>
          <w:rFonts w:ascii="Arial" w:hAnsi="Arial" w:cs="Arial"/>
          <w:sz w:val="22"/>
          <w:szCs w:val="22"/>
          <w:lang w:val="es-CO"/>
        </w:rPr>
        <w:t> de la Ley 1033 de 2006.</w:t>
      </w:r>
    </w:p>
    <w:p w14:paraId="6E9F94C0" w14:textId="77777777" w:rsidR="00697388" w:rsidRPr="006969B3" w:rsidRDefault="00697388" w:rsidP="00F65283">
      <w:pPr>
        <w:pStyle w:val="NormalWeb"/>
        <w:spacing w:before="0" w:beforeAutospacing="0" w:after="0" w:afterAutospacing="0"/>
        <w:jc w:val="both"/>
        <w:rPr>
          <w:rFonts w:ascii="Arial" w:hAnsi="Arial" w:cs="Arial"/>
          <w:sz w:val="22"/>
          <w:szCs w:val="22"/>
          <w:lang w:val="es-CO"/>
        </w:rPr>
      </w:pPr>
    </w:p>
    <w:p w14:paraId="4E6A841B" w14:textId="674C211F"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lastRenderedPageBreak/>
        <w:t>Los procesos de selección para proveer las vacantes en los empleos de carrera administrativa en los municipios de quinta y sexta categoría serán adelantados por la CNSC, a través de la Escuela Superior de Administración Pública (ESAP), como institución acreditada ante la CNSC para ser operador del proceso. La ESAP asumirá en su totalidad, los costos que generen los procesos de selección.</w:t>
      </w:r>
    </w:p>
    <w:p w14:paraId="41904564" w14:textId="77777777" w:rsidR="00697388" w:rsidRPr="006969B3" w:rsidRDefault="00697388" w:rsidP="00F65283">
      <w:pPr>
        <w:pStyle w:val="NormalWeb"/>
        <w:spacing w:before="0" w:beforeAutospacing="0" w:after="0" w:afterAutospacing="0"/>
        <w:jc w:val="both"/>
        <w:rPr>
          <w:rStyle w:val="baj"/>
          <w:rFonts w:ascii="Arial" w:hAnsi="Arial" w:cs="Arial"/>
          <w:sz w:val="22"/>
          <w:szCs w:val="22"/>
          <w:lang w:val="es-CO"/>
        </w:rPr>
      </w:pPr>
    </w:p>
    <w:p w14:paraId="675ADFB7" w14:textId="7B1A7891"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Las entidades públicas deberán adelantar las convocatorias de oferta pública de empleo en coordinación con la CNSC y el Departamento Administrativo de la Función Pública.</w:t>
      </w:r>
    </w:p>
    <w:p w14:paraId="0EB52817" w14:textId="77777777" w:rsidR="00697388" w:rsidRPr="006969B3" w:rsidRDefault="00697388" w:rsidP="00F65283">
      <w:pPr>
        <w:pStyle w:val="NormalWeb"/>
        <w:spacing w:before="0" w:beforeAutospacing="0" w:after="0" w:afterAutospacing="0"/>
        <w:jc w:val="both"/>
        <w:rPr>
          <w:rStyle w:val="baj"/>
          <w:rFonts w:ascii="Arial" w:hAnsi="Arial" w:cs="Arial"/>
          <w:sz w:val="22"/>
          <w:szCs w:val="22"/>
          <w:lang w:val="es-CO"/>
        </w:rPr>
      </w:pPr>
    </w:p>
    <w:p w14:paraId="24455C81" w14:textId="56C2EAC3"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xml:space="preserve"> Los empleos vacantes en forma definitiva del sistema general de carrera, que estén siendo desempeñados con personal vinculado mediante nombramiento provisional antes de diciembre de 2018 y cuyos titulares a la fecha de </w:t>
      </w:r>
      <w:proofErr w:type="gramStart"/>
      <w:r w:rsidRPr="006969B3">
        <w:rPr>
          <w:rFonts w:ascii="Arial" w:hAnsi="Arial" w:cs="Arial"/>
          <w:sz w:val="22"/>
          <w:szCs w:val="22"/>
          <w:lang w:val="es-CO"/>
        </w:rPr>
        <w:t>entrada en vigencia</w:t>
      </w:r>
      <w:proofErr w:type="gramEnd"/>
      <w:r w:rsidRPr="006969B3">
        <w:rPr>
          <w:rFonts w:ascii="Arial" w:hAnsi="Arial" w:cs="Arial"/>
          <w:sz w:val="22"/>
          <w:szCs w:val="22"/>
          <w:lang w:val="es-CO"/>
        </w:rPr>
        <w:t xml:space="preserve"> de la presente ley le falten tres (3) años o menos para causar el derecho a la pensión de jubilación, serán ofertados por la CNSC una vez el servidor cause su respectivo derecho pensional.</w:t>
      </w:r>
    </w:p>
    <w:p w14:paraId="7755612B" w14:textId="77777777" w:rsidR="00697388" w:rsidRPr="006969B3" w:rsidRDefault="00697388" w:rsidP="00F65283">
      <w:pPr>
        <w:pStyle w:val="NormalWeb"/>
        <w:spacing w:before="0" w:beforeAutospacing="0" w:after="0" w:afterAutospacing="0"/>
        <w:jc w:val="both"/>
        <w:rPr>
          <w:rFonts w:ascii="Arial" w:hAnsi="Arial" w:cs="Arial"/>
          <w:sz w:val="22"/>
          <w:szCs w:val="22"/>
          <w:lang w:val="es-CO"/>
        </w:rPr>
      </w:pPr>
    </w:p>
    <w:p w14:paraId="13FA7F5B" w14:textId="6335C88C"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Surtido lo anterior los empleos deberán proveerse siguiendo el procedimiento señalado en la Ley </w:t>
      </w:r>
      <w:r w:rsidRPr="000A2938">
        <w:rPr>
          <w:rFonts w:ascii="Arial" w:hAnsi="Arial" w:cs="Arial"/>
          <w:sz w:val="22"/>
          <w:szCs w:val="22"/>
          <w:lang w:val="es-CO"/>
        </w:rPr>
        <w:t>909</w:t>
      </w:r>
      <w:r w:rsidRPr="006969B3">
        <w:rPr>
          <w:rFonts w:ascii="Arial" w:hAnsi="Arial" w:cs="Arial"/>
          <w:sz w:val="22"/>
          <w:szCs w:val="22"/>
          <w:lang w:val="es-CO"/>
        </w:rPr>
        <w:t> de 2004 y en los decretos reglamentarios. Para el efecto, las listas de elegibles que se conformen en aplicación del presente artículo tendrán una vigencia de tres (3) años.</w:t>
      </w:r>
    </w:p>
    <w:p w14:paraId="0BF48C45" w14:textId="77777777"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jefe del organismo deberá reportar a la CNSC, dentro de los dos (2) meses siguientes a la fecha de publicación de la presente ley, los empleos que se encuentren en la situación antes señalada.</w:t>
      </w:r>
    </w:p>
    <w:p w14:paraId="6EF61765" w14:textId="77777777" w:rsidR="00697388" w:rsidRPr="006969B3" w:rsidRDefault="00697388" w:rsidP="00F65283">
      <w:pPr>
        <w:pStyle w:val="NormalWeb"/>
        <w:spacing w:before="0" w:beforeAutospacing="0" w:after="0" w:afterAutospacing="0"/>
        <w:jc w:val="both"/>
        <w:rPr>
          <w:rFonts w:ascii="Arial" w:hAnsi="Arial" w:cs="Arial"/>
          <w:sz w:val="22"/>
          <w:szCs w:val="22"/>
          <w:lang w:val="es-CO"/>
        </w:rPr>
      </w:pPr>
    </w:p>
    <w:p w14:paraId="3FB5EE1C" w14:textId="217DB784"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Para los demás servidores en condiciones especiales, madres, padres cabeza de familia y en situación de discapacidad que vayan a ser desvinculados como consecuencia de aplicación de una lista de elegibles, la administración deberá adelantar acciones afirmativas para que en lo posible sean reubicados en otros empleos vacantes o sean los últimos en ser retirados, lo anterior sin perjuicio del derecho preferencial de la persona que está en la lista de ser nombrado en el respectivo empleo.</w:t>
      </w:r>
    </w:p>
    <w:p w14:paraId="417C871B" w14:textId="55FC6D3C" w:rsidR="003B1677" w:rsidRPr="006969B3" w:rsidRDefault="003B1677" w:rsidP="00F65283">
      <w:pPr>
        <w:spacing w:after="0" w:line="240" w:lineRule="auto"/>
        <w:rPr>
          <w:rFonts w:ascii="Arial" w:hAnsi="Arial" w:cs="Arial"/>
          <w:lang w:val="es-CO"/>
        </w:rPr>
      </w:pPr>
    </w:p>
    <w:p w14:paraId="6157F5F7" w14:textId="125A95B5" w:rsidR="003B1677" w:rsidRPr="006969B3" w:rsidRDefault="003B1677" w:rsidP="00F65283">
      <w:pPr>
        <w:pStyle w:val="NormalWeb"/>
        <w:spacing w:before="0" w:beforeAutospacing="0" w:after="0" w:afterAutospacing="0"/>
        <w:jc w:val="both"/>
        <w:rPr>
          <w:rFonts w:ascii="Arial" w:hAnsi="Arial" w:cs="Arial"/>
          <w:sz w:val="22"/>
          <w:szCs w:val="22"/>
          <w:lang w:val="es-CO"/>
        </w:rPr>
      </w:pPr>
      <w:bookmarkStart w:id="282" w:name="264"/>
      <w:r w:rsidRPr="006969B3">
        <w:rPr>
          <w:rFonts w:ascii="Arial" w:hAnsi="Arial" w:cs="Arial"/>
          <w:sz w:val="22"/>
          <w:szCs w:val="22"/>
          <w:lang w:val="es-CO"/>
        </w:rPr>
        <w:t>ARTÍCULO 264. INFRAESTRUCTURA PARA PROYECTOS TURÍSTICOS ESPECIALES (PTE).</w:t>
      </w:r>
      <w:bookmarkEnd w:id="282"/>
      <w:r w:rsidRPr="006969B3">
        <w:rPr>
          <w:rFonts w:ascii="Arial" w:hAnsi="Arial" w:cs="Arial"/>
          <w:sz w:val="22"/>
          <w:szCs w:val="22"/>
          <w:lang w:val="es-CO"/>
        </w:rPr>
        <w:t> Modifíquese el artículo </w:t>
      </w:r>
      <w:r w:rsidRPr="000A2938">
        <w:rPr>
          <w:rFonts w:ascii="Arial" w:hAnsi="Arial" w:cs="Arial"/>
          <w:sz w:val="22"/>
          <w:szCs w:val="22"/>
          <w:lang w:val="es-CO"/>
        </w:rPr>
        <w:t>18</w:t>
      </w:r>
      <w:r w:rsidRPr="006969B3">
        <w:rPr>
          <w:rFonts w:ascii="Arial" w:hAnsi="Arial" w:cs="Arial"/>
          <w:sz w:val="22"/>
          <w:szCs w:val="22"/>
          <w:lang w:val="es-CO"/>
        </w:rPr>
        <w:t> de la Ley 300 de 1996, cuyo texto será el siguiente:</w:t>
      </w:r>
    </w:p>
    <w:p w14:paraId="096FE9F9" w14:textId="77777777" w:rsidR="00697388" w:rsidRPr="006969B3" w:rsidRDefault="00697388" w:rsidP="00F65283">
      <w:pPr>
        <w:pStyle w:val="NormalWeb"/>
        <w:spacing w:before="0" w:beforeAutospacing="0" w:after="0" w:afterAutospacing="0"/>
        <w:jc w:val="both"/>
        <w:rPr>
          <w:rFonts w:ascii="Arial" w:hAnsi="Arial" w:cs="Arial"/>
          <w:sz w:val="22"/>
          <w:szCs w:val="22"/>
          <w:lang w:val="es-CO"/>
        </w:rPr>
      </w:pPr>
    </w:p>
    <w:p w14:paraId="0683F8CC" w14:textId="08E8B555"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w:t>
      </w:r>
      <w:r w:rsidRPr="000A2938">
        <w:rPr>
          <w:rFonts w:ascii="Arial" w:hAnsi="Arial" w:cs="Arial"/>
          <w:sz w:val="22"/>
          <w:szCs w:val="22"/>
          <w:lang w:val="es-CO"/>
        </w:rPr>
        <w:t>18</w:t>
      </w:r>
      <w:r w:rsidRPr="006969B3">
        <w:rPr>
          <w:rFonts w:ascii="Arial" w:hAnsi="Arial" w:cs="Arial"/>
          <w:sz w:val="22"/>
          <w:szCs w:val="22"/>
          <w:lang w:val="es-CO"/>
        </w:rPr>
        <w:t>. Infraestructura para Proyectos Turísticos Especiales (PTE). Son el conjunto de acciones técnica y jurídicamente definidas y evaluadas que están orientadas a la planeación, reglamentación, financiación y ejecución de la infraestructura que se requiere para el desarrollo de proyectos turísticos de gran escala en áreas del territorio nacional en la que teniendo en cuenta su ubicación geográfica, valores culturales y/o ambientales y/o sociales, así como la factibilidad de conectividad, se convierten en sitios de alta importancia estratégica para el desarrollo o mejoramiento del potencial turístico del país.</w:t>
      </w:r>
    </w:p>
    <w:p w14:paraId="195A94C9" w14:textId="77777777" w:rsidR="00697388" w:rsidRPr="006969B3" w:rsidRDefault="00697388" w:rsidP="00F65283">
      <w:pPr>
        <w:pStyle w:val="NormalWeb"/>
        <w:spacing w:before="0" w:beforeAutospacing="0" w:after="0" w:afterAutospacing="0"/>
        <w:jc w:val="both"/>
        <w:rPr>
          <w:rFonts w:ascii="Arial" w:hAnsi="Arial" w:cs="Arial"/>
          <w:sz w:val="22"/>
          <w:szCs w:val="22"/>
          <w:lang w:val="es-CO"/>
        </w:rPr>
      </w:pPr>
    </w:p>
    <w:p w14:paraId="0FEC6B73" w14:textId="220B195F"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 definición de lo que debe entenderse por Proyecto Turístico Especial de Gran Escala, así como la determinación, delimitación, reglamentación, priorización y aprobación de los sitios en los cuales se desarrollará la infraestructura para Proyectos Turísticos Especiales (PTE), así como de sus esquemas de financiación y ejecución corresponde al Ministerio de Comercio, Industria y Turismo quien adelantará dichas acciones en coordinación con los alcaldes municipales y distritales de los territorios incluidos; los Proyectos Turísticos Especiales y la ejecución de su infraestructura constituyen determinante de superior jerarquía en los términos del artículo </w:t>
      </w:r>
      <w:r w:rsidRPr="000A2938">
        <w:rPr>
          <w:rFonts w:ascii="Arial" w:hAnsi="Arial" w:cs="Arial"/>
          <w:sz w:val="22"/>
          <w:szCs w:val="22"/>
          <w:lang w:val="es-CO"/>
        </w:rPr>
        <w:t>10</w:t>
      </w:r>
      <w:r w:rsidRPr="006969B3">
        <w:rPr>
          <w:rFonts w:ascii="Arial" w:hAnsi="Arial" w:cs="Arial"/>
          <w:sz w:val="22"/>
          <w:szCs w:val="22"/>
          <w:lang w:val="es-CO"/>
        </w:rPr>
        <w:t> de la Ley 388 de 1997.</w:t>
      </w:r>
    </w:p>
    <w:p w14:paraId="4FF1EBB4" w14:textId="77777777" w:rsidR="00697388" w:rsidRPr="006969B3" w:rsidRDefault="00697388" w:rsidP="00F65283">
      <w:pPr>
        <w:pStyle w:val="NormalWeb"/>
        <w:spacing w:before="0" w:beforeAutospacing="0" w:after="0" w:afterAutospacing="0"/>
        <w:jc w:val="both"/>
        <w:rPr>
          <w:rFonts w:ascii="Arial" w:hAnsi="Arial" w:cs="Arial"/>
          <w:sz w:val="22"/>
          <w:szCs w:val="22"/>
          <w:lang w:val="es-CO"/>
        </w:rPr>
      </w:pPr>
    </w:p>
    <w:p w14:paraId="7BE2DD3C" w14:textId="68A9AA2A"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lastRenderedPageBreak/>
        <w:t>Quedan excluidos del desarrollo de esta infraestructura, las áreas del Sistema de Parques Nacionales Naturales y los Parques Naturales Regionales. Cuando los proyectos en referencia incluyan o afecten las demás áreas del Sistema Nacional de Áreas Protegidas (</w:t>
      </w:r>
      <w:proofErr w:type="spellStart"/>
      <w:r w:rsidRPr="006969B3">
        <w:rPr>
          <w:rFonts w:ascii="Arial" w:hAnsi="Arial" w:cs="Arial"/>
          <w:sz w:val="22"/>
          <w:szCs w:val="22"/>
          <w:lang w:val="es-CO"/>
        </w:rPr>
        <w:t>Sinap</w:t>
      </w:r>
      <w:proofErr w:type="spellEnd"/>
      <w:r w:rsidRPr="006969B3">
        <w:rPr>
          <w:rFonts w:ascii="Arial" w:hAnsi="Arial" w:cs="Arial"/>
          <w:sz w:val="22"/>
          <w:szCs w:val="22"/>
          <w:lang w:val="es-CO"/>
        </w:rPr>
        <w:t>) sus áreas de influencia o sus áreas con función amortiguadora según corresponda, o Bienes de Interés Cultural del ámbito nacional, deberá tener en cuenta la reglamentación sobre zonificación y régimen de usos vigentes para cada una de estas áreas, expedidas por las autoridades competentes.</w:t>
      </w:r>
    </w:p>
    <w:p w14:paraId="18F354B7" w14:textId="77777777" w:rsidR="00697388" w:rsidRPr="006969B3" w:rsidRDefault="00697388" w:rsidP="00F65283">
      <w:pPr>
        <w:pStyle w:val="NormalWeb"/>
        <w:spacing w:before="0" w:beforeAutospacing="0" w:after="0" w:afterAutospacing="0"/>
        <w:jc w:val="both"/>
        <w:rPr>
          <w:rFonts w:ascii="Arial" w:hAnsi="Arial" w:cs="Arial"/>
          <w:sz w:val="22"/>
          <w:szCs w:val="22"/>
          <w:lang w:val="es-CO"/>
        </w:rPr>
      </w:pPr>
    </w:p>
    <w:p w14:paraId="494E4B6B" w14:textId="0EEC43D7"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En todo caso, para la ejecución de la infraestructura de los Proyectos Turísticos Especiales (PTE) de gran escala localizado en suelo rural donde estos se puedan desarrollar se requerirá tramitar previamente ante la Autoridad Nacional de Licencias Ambientales - el Plan de Manejo Ambiental que incluya de manera detallada las medidas y actividades para prevenir, mitigar, corregir o compensar los posibles impactos ambientales que se puedan generar con la ejecución de dicha infraestructura. De ser necesario, la ANLA previo concepto de la autoridad ambiental regional correspondiente, otorgará los permisos ambientales para el uso de los recursos naturales requeridos para la ejecución y funcionamiento de dicha infraestructura turística.</w:t>
      </w:r>
    </w:p>
    <w:p w14:paraId="59B6EE67" w14:textId="77777777" w:rsidR="00697388" w:rsidRPr="006969B3" w:rsidRDefault="00697388" w:rsidP="00F65283">
      <w:pPr>
        <w:pStyle w:val="NormalWeb"/>
        <w:spacing w:before="0" w:beforeAutospacing="0" w:after="0" w:afterAutospacing="0"/>
        <w:jc w:val="both"/>
        <w:rPr>
          <w:rFonts w:ascii="Arial" w:hAnsi="Arial" w:cs="Arial"/>
          <w:sz w:val="22"/>
          <w:szCs w:val="22"/>
          <w:lang w:val="es-CO"/>
        </w:rPr>
      </w:pPr>
    </w:p>
    <w:p w14:paraId="5BB03531" w14:textId="7E2671F7"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En el acto administrativo que determine el desarrollo del proyecto de infraestructura para el Proyecto Turístico Especial se hará el anuncio del proyecto para los efectos del parágrafo 1 del artículo </w:t>
      </w:r>
      <w:r w:rsidRPr="000A2938">
        <w:rPr>
          <w:rFonts w:ascii="Arial" w:hAnsi="Arial" w:cs="Arial"/>
          <w:sz w:val="22"/>
          <w:szCs w:val="22"/>
          <w:lang w:val="es-CO"/>
        </w:rPr>
        <w:t>61</w:t>
      </w:r>
      <w:r w:rsidRPr="006969B3">
        <w:rPr>
          <w:rFonts w:ascii="Arial" w:hAnsi="Arial" w:cs="Arial"/>
          <w:sz w:val="22"/>
          <w:szCs w:val="22"/>
          <w:lang w:val="es-CO"/>
        </w:rPr>
        <w:t> de la Ley 388 de 1997.</w:t>
      </w:r>
    </w:p>
    <w:p w14:paraId="37E334A4" w14:textId="77777777" w:rsidR="00697388" w:rsidRPr="006969B3" w:rsidRDefault="00697388" w:rsidP="00F65283">
      <w:pPr>
        <w:pStyle w:val="NormalWeb"/>
        <w:spacing w:before="0" w:beforeAutospacing="0" w:after="0" w:afterAutospacing="0"/>
        <w:jc w:val="both"/>
        <w:rPr>
          <w:rFonts w:ascii="Arial" w:hAnsi="Arial" w:cs="Arial"/>
          <w:sz w:val="22"/>
          <w:szCs w:val="22"/>
          <w:lang w:val="es-CO"/>
        </w:rPr>
      </w:pPr>
    </w:p>
    <w:p w14:paraId="11F5732B" w14:textId="1190BAEA"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Los recursos para la adquisición de los predios pueden provenir de terceros y se podrá aplicar el procedimiento previsto en los artículos </w:t>
      </w:r>
      <w:r w:rsidRPr="000A2938">
        <w:rPr>
          <w:rFonts w:ascii="Arial" w:hAnsi="Arial" w:cs="Arial"/>
          <w:sz w:val="22"/>
          <w:szCs w:val="22"/>
          <w:lang w:val="es-CO"/>
        </w:rPr>
        <w:t>63</w:t>
      </w:r>
      <w:r w:rsidRPr="006969B3">
        <w:rPr>
          <w:rFonts w:ascii="Arial" w:hAnsi="Arial" w:cs="Arial"/>
          <w:sz w:val="22"/>
          <w:szCs w:val="22"/>
          <w:lang w:val="es-CO"/>
        </w:rPr>
        <w:t> y siguientes de la Ley 388 de 1997.</w:t>
      </w:r>
    </w:p>
    <w:p w14:paraId="6EB43E2C" w14:textId="77777777" w:rsidR="00697388" w:rsidRPr="006969B3" w:rsidRDefault="00697388" w:rsidP="00F65283">
      <w:pPr>
        <w:pStyle w:val="NormalWeb"/>
        <w:spacing w:before="0" w:beforeAutospacing="0" w:after="0" w:afterAutospacing="0"/>
        <w:jc w:val="both"/>
        <w:rPr>
          <w:rFonts w:ascii="Arial" w:hAnsi="Arial" w:cs="Arial"/>
          <w:sz w:val="22"/>
          <w:szCs w:val="22"/>
          <w:lang w:val="es-CO"/>
        </w:rPr>
      </w:pPr>
    </w:p>
    <w:p w14:paraId="104FEE59" w14:textId="4BA9E639"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Las entidades públicas podrán participar en la ejecución de los proyectos mediante la celebración de, entre otros, contratos de fiducia con sujeción a las reglas generales y del derecho comercial, sin las limitaciones y restricciones previstas en el numeral 5 del artículo </w:t>
      </w:r>
      <w:r w:rsidRPr="000A2938">
        <w:rPr>
          <w:rFonts w:ascii="Arial" w:hAnsi="Arial" w:cs="Arial"/>
          <w:sz w:val="22"/>
          <w:szCs w:val="22"/>
          <w:lang w:val="es-CO"/>
        </w:rPr>
        <w:t>32</w:t>
      </w:r>
      <w:r w:rsidRPr="006969B3">
        <w:rPr>
          <w:rFonts w:ascii="Arial" w:hAnsi="Arial" w:cs="Arial"/>
          <w:sz w:val="22"/>
          <w:szCs w:val="22"/>
          <w:lang w:val="es-CO"/>
        </w:rPr>
        <w:t> de la Ley 80 de 1993.</w:t>
      </w:r>
    </w:p>
    <w:p w14:paraId="657788DF" w14:textId="1E85802A" w:rsidR="003B1677" w:rsidRPr="006969B3" w:rsidRDefault="003B1677" w:rsidP="00F65283">
      <w:pPr>
        <w:spacing w:after="0" w:line="240" w:lineRule="auto"/>
        <w:rPr>
          <w:rFonts w:ascii="Arial" w:hAnsi="Arial" w:cs="Arial"/>
          <w:lang w:val="es-CO"/>
        </w:rPr>
      </w:pPr>
    </w:p>
    <w:p w14:paraId="35CACA39" w14:textId="1E0C0852" w:rsidR="003B1677" w:rsidRPr="006969B3" w:rsidRDefault="003B1677" w:rsidP="00F65283">
      <w:pPr>
        <w:pStyle w:val="NormalWeb"/>
        <w:spacing w:before="0" w:beforeAutospacing="0" w:after="0" w:afterAutospacing="0"/>
        <w:jc w:val="both"/>
        <w:rPr>
          <w:rFonts w:ascii="Arial" w:hAnsi="Arial" w:cs="Arial"/>
          <w:sz w:val="22"/>
          <w:szCs w:val="22"/>
          <w:lang w:val="es-CO"/>
        </w:rPr>
      </w:pPr>
      <w:bookmarkStart w:id="283" w:name="265"/>
      <w:r w:rsidRPr="006969B3">
        <w:rPr>
          <w:rFonts w:ascii="Arial" w:hAnsi="Arial" w:cs="Arial"/>
          <w:sz w:val="22"/>
          <w:szCs w:val="22"/>
          <w:lang w:val="es-CO"/>
        </w:rPr>
        <w:t>ARTÍCULO 265. ARTICULACIÓN DEL PLAN NACIONAL DE DESARROLLO CON EL PLAN ESPECIAL PARA EL DESARROLLO DE BUENAVENTURA.</w:t>
      </w:r>
      <w:bookmarkEnd w:id="283"/>
      <w:r w:rsidRPr="006969B3">
        <w:rPr>
          <w:rFonts w:ascii="Arial" w:hAnsi="Arial" w:cs="Arial"/>
          <w:sz w:val="22"/>
          <w:szCs w:val="22"/>
          <w:lang w:val="es-CO"/>
        </w:rPr>
        <w:t> A través del presente Plan Nacional de Desarrollo, se garantiza la inclusión y articulación del plan integral especial para el desarrollo de Buenaventura y las llamadas “inversiones prioritarias”, según los términos del artículo </w:t>
      </w:r>
      <w:r w:rsidRPr="000A2938">
        <w:rPr>
          <w:rFonts w:ascii="Arial" w:hAnsi="Arial" w:cs="Arial"/>
          <w:sz w:val="22"/>
          <w:szCs w:val="22"/>
          <w:lang w:val="es-CO"/>
        </w:rPr>
        <w:t>5o</w:t>
      </w:r>
      <w:r w:rsidRPr="006969B3">
        <w:rPr>
          <w:rFonts w:ascii="Arial" w:hAnsi="Arial" w:cs="Arial"/>
          <w:sz w:val="22"/>
          <w:szCs w:val="22"/>
          <w:lang w:val="es-CO"/>
        </w:rPr>
        <w:t> parágrafos 4 y 5 y del artículo </w:t>
      </w:r>
      <w:r w:rsidRPr="000A2938">
        <w:rPr>
          <w:rFonts w:ascii="Arial" w:hAnsi="Arial" w:cs="Arial"/>
          <w:sz w:val="22"/>
          <w:szCs w:val="22"/>
          <w:lang w:val="es-CO"/>
        </w:rPr>
        <w:t>10</w:t>
      </w:r>
      <w:r w:rsidRPr="006969B3">
        <w:rPr>
          <w:rFonts w:ascii="Arial" w:hAnsi="Arial" w:cs="Arial"/>
          <w:sz w:val="22"/>
          <w:szCs w:val="22"/>
          <w:lang w:val="es-CO"/>
        </w:rPr>
        <w:t> de la Ley 1872 de 2017.</w:t>
      </w:r>
    </w:p>
    <w:p w14:paraId="3FBCC62C" w14:textId="3C65C8E0" w:rsidR="003B1677" w:rsidRPr="006969B3" w:rsidRDefault="003B1677" w:rsidP="00F65283">
      <w:pPr>
        <w:spacing w:after="0" w:line="240" w:lineRule="auto"/>
        <w:rPr>
          <w:rFonts w:ascii="Arial" w:hAnsi="Arial" w:cs="Arial"/>
          <w:lang w:val="es-CO"/>
        </w:rPr>
      </w:pPr>
    </w:p>
    <w:p w14:paraId="480B5B2D" w14:textId="77777777" w:rsidR="003B1677" w:rsidRPr="006969B3" w:rsidRDefault="003B1677" w:rsidP="00F65283">
      <w:pPr>
        <w:pStyle w:val="NormalWeb"/>
        <w:spacing w:before="0" w:beforeAutospacing="0" w:after="0" w:afterAutospacing="0"/>
        <w:jc w:val="both"/>
        <w:rPr>
          <w:rFonts w:ascii="Arial" w:hAnsi="Arial" w:cs="Arial"/>
          <w:sz w:val="22"/>
          <w:szCs w:val="22"/>
          <w:lang w:val="es-CO"/>
        </w:rPr>
      </w:pPr>
      <w:bookmarkStart w:id="284" w:name="266"/>
      <w:r w:rsidRPr="006969B3">
        <w:rPr>
          <w:rFonts w:ascii="Arial" w:hAnsi="Arial" w:cs="Arial"/>
          <w:sz w:val="22"/>
          <w:szCs w:val="22"/>
          <w:lang w:val="es-CO"/>
        </w:rPr>
        <w:t>ARTÍCULO 266. SUBCUENTA PACTO POR EL CHOCÓ-TUMACO.</w:t>
      </w:r>
      <w:bookmarkEnd w:id="284"/>
      <w:r w:rsidRPr="006969B3">
        <w:rPr>
          <w:rFonts w:ascii="Arial" w:hAnsi="Arial" w:cs="Arial"/>
          <w:sz w:val="22"/>
          <w:szCs w:val="22"/>
          <w:lang w:val="es-CO"/>
        </w:rPr>
        <w:t xml:space="preserve"> Créase una Subcuenta dentro del Fondo para el Desarrollo del Plan Todos Somos </w:t>
      </w:r>
      <w:proofErr w:type="spellStart"/>
      <w:r w:rsidRPr="006969B3">
        <w:rPr>
          <w:rFonts w:ascii="Arial" w:hAnsi="Arial" w:cs="Arial"/>
          <w:sz w:val="22"/>
          <w:szCs w:val="22"/>
          <w:lang w:val="es-CO"/>
        </w:rPr>
        <w:t>PAZcífico</w:t>
      </w:r>
      <w:proofErr w:type="spellEnd"/>
      <w:r w:rsidRPr="006969B3">
        <w:rPr>
          <w:rFonts w:ascii="Arial" w:hAnsi="Arial" w:cs="Arial"/>
          <w:sz w:val="22"/>
          <w:szCs w:val="22"/>
          <w:lang w:val="es-CO"/>
        </w:rPr>
        <w:t>, denominada PACTO POR EL CHOCÓ-TUMACO, que tendrá como objeto promover el desarrollo sostenible en las tres (3) cuencas hidrográficas principales del Departamento del Chocó (Atrato, Sanjuán y Baudó y Tumaco), y en especial:</w:t>
      </w:r>
    </w:p>
    <w:p w14:paraId="772C0037" w14:textId="77777777" w:rsidR="00697388" w:rsidRPr="006969B3" w:rsidRDefault="00697388" w:rsidP="00F65283">
      <w:pPr>
        <w:pStyle w:val="NormalWeb"/>
        <w:spacing w:before="0" w:beforeAutospacing="0" w:after="0" w:afterAutospacing="0"/>
        <w:jc w:val="both"/>
        <w:rPr>
          <w:rFonts w:ascii="Arial" w:hAnsi="Arial" w:cs="Arial"/>
          <w:sz w:val="22"/>
          <w:szCs w:val="22"/>
          <w:lang w:val="es-CO"/>
        </w:rPr>
      </w:pPr>
    </w:p>
    <w:p w14:paraId="76B5BB57" w14:textId="2B625A39"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 La recuperación de la navegabilidad y de la actividad portuaria;</w:t>
      </w:r>
    </w:p>
    <w:p w14:paraId="24945961" w14:textId="77777777" w:rsidR="00697388" w:rsidRPr="006969B3" w:rsidRDefault="00697388" w:rsidP="00F65283">
      <w:pPr>
        <w:pStyle w:val="NormalWeb"/>
        <w:spacing w:before="0" w:beforeAutospacing="0" w:after="0" w:afterAutospacing="0"/>
        <w:jc w:val="both"/>
        <w:rPr>
          <w:rFonts w:ascii="Arial" w:hAnsi="Arial" w:cs="Arial"/>
          <w:sz w:val="22"/>
          <w:szCs w:val="22"/>
          <w:lang w:val="es-CO"/>
        </w:rPr>
      </w:pPr>
    </w:p>
    <w:p w14:paraId="34E0EB52" w14:textId="6E113111"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b) La adecuación y conservación de tierras;</w:t>
      </w:r>
    </w:p>
    <w:p w14:paraId="28AD36E8" w14:textId="77777777" w:rsidR="00697388" w:rsidRPr="006969B3" w:rsidRDefault="00697388" w:rsidP="00F65283">
      <w:pPr>
        <w:pStyle w:val="NormalWeb"/>
        <w:spacing w:before="0" w:beforeAutospacing="0" w:after="0" w:afterAutospacing="0"/>
        <w:jc w:val="both"/>
        <w:rPr>
          <w:rFonts w:ascii="Arial" w:hAnsi="Arial" w:cs="Arial"/>
          <w:sz w:val="22"/>
          <w:szCs w:val="22"/>
          <w:lang w:val="es-CO"/>
        </w:rPr>
      </w:pPr>
    </w:p>
    <w:p w14:paraId="33B0863A" w14:textId="6A35AFFC"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c) La generación y distribución de energía;</w:t>
      </w:r>
    </w:p>
    <w:p w14:paraId="25539E18" w14:textId="77777777" w:rsidR="00697388" w:rsidRPr="006969B3" w:rsidRDefault="00697388" w:rsidP="00F65283">
      <w:pPr>
        <w:pStyle w:val="NormalWeb"/>
        <w:spacing w:before="0" w:beforeAutospacing="0" w:after="0" w:afterAutospacing="0"/>
        <w:jc w:val="both"/>
        <w:rPr>
          <w:rFonts w:ascii="Arial" w:hAnsi="Arial" w:cs="Arial"/>
          <w:sz w:val="22"/>
          <w:szCs w:val="22"/>
          <w:lang w:val="es-CO"/>
        </w:rPr>
      </w:pPr>
    </w:p>
    <w:p w14:paraId="161A25F5" w14:textId="18202C63"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d) La ejecución de obras de infraestructura y saneamiento básico;</w:t>
      </w:r>
    </w:p>
    <w:p w14:paraId="4AB9D5A0" w14:textId="77777777" w:rsidR="00697388" w:rsidRPr="006969B3" w:rsidRDefault="00697388" w:rsidP="00F65283">
      <w:pPr>
        <w:pStyle w:val="NormalWeb"/>
        <w:spacing w:before="0" w:beforeAutospacing="0" w:after="0" w:afterAutospacing="0"/>
        <w:jc w:val="both"/>
        <w:rPr>
          <w:rFonts w:ascii="Arial" w:hAnsi="Arial" w:cs="Arial"/>
          <w:sz w:val="22"/>
          <w:szCs w:val="22"/>
          <w:lang w:val="es-CO"/>
        </w:rPr>
      </w:pPr>
    </w:p>
    <w:p w14:paraId="042ED50A" w14:textId="13E4C72D"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 El fortalecimiento de las políticas de comunicación;</w:t>
      </w:r>
    </w:p>
    <w:p w14:paraId="37897F5A" w14:textId="77777777" w:rsidR="00697388" w:rsidRPr="006969B3" w:rsidRDefault="00697388" w:rsidP="00F65283">
      <w:pPr>
        <w:pStyle w:val="NormalWeb"/>
        <w:spacing w:before="0" w:beforeAutospacing="0" w:after="0" w:afterAutospacing="0"/>
        <w:jc w:val="both"/>
        <w:rPr>
          <w:rFonts w:ascii="Arial" w:hAnsi="Arial" w:cs="Arial"/>
          <w:sz w:val="22"/>
          <w:szCs w:val="22"/>
          <w:lang w:val="es-CO"/>
        </w:rPr>
      </w:pPr>
    </w:p>
    <w:p w14:paraId="13AF9A7B" w14:textId="56453184"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f) La seguridad alimentaria;</w:t>
      </w:r>
    </w:p>
    <w:p w14:paraId="3AC6D319" w14:textId="77777777" w:rsidR="00697388" w:rsidRPr="006969B3" w:rsidRDefault="00697388" w:rsidP="00F65283">
      <w:pPr>
        <w:pStyle w:val="NormalWeb"/>
        <w:spacing w:before="0" w:beforeAutospacing="0" w:after="0" w:afterAutospacing="0"/>
        <w:jc w:val="both"/>
        <w:rPr>
          <w:rFonts w:ascii="Arial" w:hAnsi="Arial" w:cs="Arial"/>
          <w:sz w:val="22"/>
          <w:szCs w:val="22"/>
          <w:lang w:val="es-CO"/>
        </w:rPr>
      </w:pPr>
    </w:p>
    <w:p w14:paraId="52C61CDA" w14:textId="30E776D7"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g) El fomento y promoción del turismo;</w:t>
      </w:r>
    </w:p>
    <w:p w14:paraId="42D55BFA" w14:textId="77777777" w:rsidR="00697388" w:rsidRPr="006969B3" w:rsidRDefault="00697388" w:rsidP="00F65283">
      <w:pPr>
        <w:pStyle w:val="NormalWeb"/>
        <w:spacing w:before="0" w:beforeAutospacing="0" w:after="0" w:afterAutospacing="0"/>
        <w:jc w:val="both"/>
        <w:rPr>
          <w:rFonts w:ascii="Arial" w:hAnsi="Arial" w:cs="Arial"/>
          <w:sz w:val="22"/>
          <w:szCs w:val="22"/>
          <w:lang w:val="es-CO"/>
        </w:rPr>
      </w:pPr>
    </w:p>
    <w:p w14:paraId="154DAB91" w14:textId="789D3A60"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h) La explotación acuícola sostenible;</w:t>
      </w:r>
    </w:p>
    <w:p w14:paraId="56A4AC34" w14:textId="77777777" w:rsidR="00697388" w:rsidRPr="006969B3" w:rsidRDefault="00697388" w:rsidP="00F65283">
      <w:pPr>
        <w:pStyle w:val="NormalWeb"/>
        <w:spacing w:before="0" w:beforeAutospacing="0" w:after="0" w:afterAutospacing="0"/>
        <w:jc w:val="both"/>
        <w:rPr>
          <w:rFonts w:ascii="Arial" w:hAnsi="Arial" w:cs="Arial"/>
          <w:sz w:val="22"/>
          <w:szCs w:val="22"/>
          <w:lang w:val="es-CO"/>
        </w:rPr>
      </w:pPr>
    </w:p>
    <w:p w14:paraId="5FBBA161" w14:textId="0E365D44"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i) Proyectos de desarrollo social.</w:t>
      </w:r>
    </w:p>
    <w:p w14:paraId="72BA1B69" w14:textId="77777777" w:rsidR="00697388" w:rsidRPr="006969B3" w:rsidRDefault="00697388" w:rsidP="00F65283">
      <w:pPr>
        <w:pStyle w:val="NormalWeb"/>
        <w:spacing w:before="0" w:beforeAutospacing="0" w:after="0" w:afterAutospacing="0"/>
        <w:jc w:val="both"/>
        <w:rPr>
          <w:rFonts w:ascii="Arial" w:hAnsi="Arial" w:cs="Arial"/>
          <w:sz w:val="22"/>
          <w:szCs w:val="22"/>
          <w:lang w:val="es-CO"/>
        </w:rPr>
      </w:pPr>
    </w:p>
    <w:p w14:paraId="3C2AFFEC" w14:textId="066F3111"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Gobierno nacional tendrá seis (6) meses a partir de la expedición de la presente ley para reglamentar la operación y funcionamiento de</w:t>
      </w:r>
    </w:p>
    <w:p w14:paraId="58A8D9F9" w14:textId="77777777"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esta Subcuenta.</w:t>
      </w:r>
    </w:p>
    <w:p w14:paraId="60BF0C1B" w14:textId="647510B9" w:rsidR="003B1677" w:rsidRPr="006969B3" w:rsidRDefault="003B1677" w:rsidP="00F65283">
      <w:pPr>
        <w:spacing w:after="0" w:line="240" w:lineRule="auto"/>
        <w:rPr>
          <w:rFonts w:ascii="Arial" w:hAnsi="Arial" w:cs="Arial"/>
          <w:lang w:val="es-CO"/>
        </w:rPr>
      </w:pPr>
    </w:p>
    <w:p w14:paraId="1C40622B" w14:textId="73BB772C" w:rsidR="003B1677" w:rsidRPr="006969B3" w:rsidRDefault="003B1677" w:rsidP="00F65283">
      <w:pPr>
        <w:pStyle w:val="NormalWeb"/>
        <w:spacing w:before="0" w:beforeAutospacing="0" w:after="0" w:afterAutospacing="0"/>
        <w:jc w:val="both"/>
        <w:rPr>
          <w:rFonts w:ascii="Arial" w:hAnsi="Arial" w:cs="Arial"/>
          <w:sz w:val="22"/>
          <w:szCs w:val="22"/>
          <w:lang w:val="es-CO"/>
        </w:rPr>
      </w:pPr>
      <w:bookmarkStart w:id="285" w:name="267"/>
      <w:r w:rsidRPr="006969B3">
        <w:rPr>
          <w:rFonts w:ascii="Arial" w:hAnsi="Arial" w:cs="Arial"/>
          <w:sz w:val="22"/>
          <w:szCs w:val="22"/>
          <w:lang w:val="es-CO"/>
        </w:rPr>
        <w:t>ARTÍCULO 267. RECONOCIMIENTO COSTOS DE TRANSPORTE.</w:t>
      </w:r>
      <w:bookmarkEnd w:id="285"/>
      <w:r w:rsidRPr="006969B3">
        <w:rPr>
          <w:rFonts w:ascii="Arial" w:hAnsi="Arial" w:cs="Arial"/>
          <w:sz w:val="22"/>
          <w:szCs w:val="22"/>
          <w:lang w:val="es-CO"/>
        </w:rPr>
        <w:t> Durante la vigencia de la presente ley, la Nación, a través del Ministerio de Minas y Energía, sin perjuicio de lo establecido en el artículo </w:t>
      </w:r>
      <w:r w:rsidRPr="000A2938">
        <w:rPr>
          <w:rFonts w:ascii="Arial" w:hAnsi="Arial" w:cs="Arial"/>
          <w:sz w:val="22"/>
          <w:szCs w:val="22"/>
          <w:lang w:val="es-CO"/>
        </w:rPr>
        <w:t>55</w:t>
      </w:r>
      <w:r w:rsidRPr="006969B3">
        <w:rPr>
          <w:rFonts w:ascii="Arial" w:hAnsi="Arial" w:cs="Arial"/>
          <w:sz w:val="22"/>
          <w:szCs w:val="22"/>
          <w:lang w:val="es-CO"/>
        </w:rPr>
        <w:t> de la Ley 191 de 1995, podrá reconocer el costo del transporte terrestre de los combustibles líquidos derivados del petróleo que se suministre desde las plantas de abastecimiento ubicados en el departamento de Nariño hasta la capital de dicho departamento y sus demás municipios.</w:t>
      </w:r>
    </w:p>
    <w:p w14:paraId="6D02D6D9" w14:textId="0959B55A" w:rsidR="003B1677" w:rsidRPr="006969B3" w:rsidRDefault="003B1677" w:rsidP="00F65283">
      <w:pPr>
        <w:spacing w:after="0" w:line="240" w:lineRule="auto"/>
        <w:rPr>
          <w:rFonts w:ascii="Arial" w:hAnsi="Arial" w:cs="Arial"/>
          <w:lang w:val="es-CO"/>
        </w:rPr>
      </w:pPr>
    </w:p>
    <w:p w14:paraId="20F92AC3" w14:textId="77777777" w:rsidR="003B1677" w:rsidRPr="006969B3" w:rsidRDefault="003B1677" w:rsidP="00F65283">
      <w:pPr>
        <w:pStyle w:val="NormalWeb"/>
        <w:spacing w:before="0" w:beforeAutospacing="0" w:after="0" w:afterAutospacing="0"/>
        <w:jc w:val="both"/>
        <w:rPr>
          <w:rFonts w:ascii="Arial" w:hAnsi="Arial" w:cs="Arial"/>
          <w:sz w:val="22"/>
          <w:szCs w:val="22"/>
          <w:lang w:val="es-CO"/>
        </w:rPr>
      </w:pPr>
      <w:bookmarkStart w:id="286" w:name="268"/>
      <w:r w:rsidRPr="006969B3">
        <w:rPr>
          <w:rFonts w:ascii="Arial" w:hAnsi="Arial" w:cs="Arial"/>
          <w:sz w:val="22"/>
          <w:szCs w:val="22"/>
          <w:lang w:val="es-CO"/>
        </w:rPr>
        <w:t>ARTÍCULO 268. ZONA ECONÓMICA Y SOCIAL ESPECIAL (ZESE) PARA LA GUAJIRA, NORTE DE SANTANDER Y ARAUCA.</w:t>
      </w:r>
      <w:bookmarkEnd w:id="286"/>
      <w:r w:rsidRPr="006969B3">
        <w:rPr>
          <w:rFonts w:ascii="Arial" w:hAnsi="Arial" w:cs="Arial"/>
          <w:sz w:val="22"/>
          <w:szCs w:val="22"/>
          <w:lang w:val="es-CO"/>
        </w:rPr>
        <w:t> Créese un régimen especial en materia tributaria para los departamentos de La Guajira, Norte de Santander y Arauca, para atraer inversión nacional y extranjera y así contribuir al mejoramiento de las condiciones de vida de su población y la generación de empleo.</w:t>
      </w:r>
    </w:p>
    <w:p w14:paraId="3DBBF99F" w14:textId="77777777" w:rsidR="00697388" w:rsidRPr="006969B3" w:rsidRDefault="00697388" w:rsidP="00F65283">
      <w:pPr>
        <w:pStyle w:val="NormalWeb"/>
        <w:spacing w:before="0" w:beforeAutospacing="0" w:after="0" w:afterAutospacing="0"/>
        <w:jc w:val="both"/>
        <w:rPr>
          <w:rFonts w:ascii="Arial" w:hAnsi="Arial" w:cs="Arial"/>
          <w:sz w:val="22"/>
          <w:szCs w:val="22"/>
          <w:lang w:val="es-CO"/>
        </w:rPr>
      </w:pPr>
    </w:p>
    <w:p w14:paraId="11EA2BEC" w14:textId="5571780C"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Este régimen aplica a las sociedades comerciales que se constituyan en la ZESE, dentro de los tres (3) años siguientes a la entrada en vigencia de la presente ley, bajo cualquiera de las modalidades definidas en la legislación vigente o las sociedades comerciales existentes que durante ese mismo término se acojan a este régimen especial y demuestren un aumento del 15% del empleo directo generado, tomando como base el promedio de los trabajadores vinculados durante los dos últimos años, el cual se debe mantener durante el periodo de vigencia del beneficio, y cuya actividad económica principal consista en el desarrollo de actividades industriales, agropecuarias, comerciales, turísticas o de salud.</w:t>
      </w:r>
    </w:p>
    <w:p w14:paraId="21A2B281" w14:textId="77777777" w:rsidR="0010695C" w:rsidRPr="006969B3" w:rsidRDefault="0010695C" w:rsidP="00F65283">
      <w:pPr>
        <w:pStyle w:val="NormalWeb"/>
        <w:spacing w:before="0" w:beforeAutospacing="0" w:after="0" w:afterAutospacing="0"/>
        <w:jc w:val="both"/>
        <w:rPr>
          <w:rFonts w:ascii="Arial" w:hAnsi="Arial" w:cs="Arial"/>
          <w:sz w:val="22"/>
          <w:szCs w:val="22"/>
          <w:lang w:val="es-CO"/>
        </w:rPr>
      </w:pPr>
    </w:p>
    <w:p w14:paraId="55FB5B96" w14:textId="5DB91D37"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beneficiario deberá desarrollar toda su actividad económica en la ZESE y los productos que prepare o provea podrán ser vendidos y despachados en la misma o ser destinados a lugares del territorio nacional o al exterior.</w:t>
      </w:r>
    </w:p>
    <w:p w14:paraId="0ED779F5" w14:textId="77777777" w:rsidR="0010695C" w:rsidRPr="006969B3" w:rsidRDefault="0010695C" w:rsidP="00F65283">
      <w:pPr>
        <w:pStyle w:val="NormalWeb"/>
        <w:spacing w:before="0" w:beforeAutospacing="0" w:after="0" w:afterAutospacing="0"/>
        <w:jc w:val="both"/>
        <w:rPr>
          <w:rFonts w:ascii="Arial" w:hAnsi="Arial" w:cs="Arial"/>
          <w:sz w:val="22"/>
          <w:szCs w:val="22"/>
          <w:lang w:val="es-CO"/>
        </w:rPr>
      </w:pPr>
    </w:p>
    <w:p w14:paraId="26F563C8" w14:textId="79A6CB70"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 tarifa del impuesto sobre la renta aplicable a los beneficiarios de la ZESE será del 0% durante los primeros cinco (5) años contados a partir de la constitución de la sociedad, y del 50% de la tarifa general para los siguientes cinco (5) años.</w:t>
      </w:r>
    </w:p>
    <w:p w14:paraId="54578319" w14:textId="77777777" w:rsidR="0010695C" w:rsidRPr="006969B3" w:rsidRDefault="0010695C" w:rsidP="00F65283">
      <w:pPr>
        <w:pStyle w:val="NormalWeb"/>
        <w:spacing w:before="0" w:beforeAutospacing="0" w:after="0" w:afterAutospacing="0"/>
        <w:jc w:val="both"/>
        <w:rPr>
          <w:rFonts w:ascii="Arial" w:hAnsi="Arial" w:cs="Arial"/>
          <w:sz w:val="22"/>
          <w:szCs w:val="22"/>
          <w:lang w:val="es-CO"/>
        </w:rPr>
      </w:pPr>
    </w:p>
    <w:p w14:paraId="2F01C4C7" w14:textId="7B6E5FA0"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Cuando se efectúen pagos o abonos en cuenta a un beneficiario de la ZESE, la tarifa de retención en la fuente se calculará en forma proporcional al porcentaje de la tarifa del impuesto sobre la renta y complementarios del beneficiario.</w:t>
      </w:r>
    </w:p>
    <w:p w14:paraId="76E6D168" w14:textId="77777777" w:rsidR="0010695C" w:rsidRPr="006969B3" w:rsidRDefault="0010695C" w:rsidP="00F65283">
      <w:pPr>
        <w:pStyle w:val="NormalWeb"/>
        <w:spacing w:before="0" w:beforeAutospacing="0" w:after="0" w:afterAutospacing="0"/>
        <w:jc w:val="both"/>
        <w:rPr>
          <w:rStyle w:val="baj"/>
          <w:rFonts w:ascii="Arial" w:hAnsi="Arial" w:cs="Arial"/>
          <w:sz w:val="22"/>
          <w:szCs w:val="22"/>
          <w:lang w:val="es-CO"/>
        </w:rPr>
      </w:pPr>
    </w:p>
    <w:p w14:paraId="71E6C6F4" w14:textId="3C4D273B"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xml:space="preserve"> Durante los diez (10) años siguientes los beneficiarios de la ZESE enviarán antes del 30 de marzo del año siguiente gravable a la Dirección Seccional respectiva o la que haga sus veces de la Unidad Administrativa Especial de Impuestos y </w:t>
      </w:r>
      <w:r w:rsidRPr="006969B3">
        <w:rPr>
          <w:rFonts w:ascii="Arial" w:hAnsi="Arial" w:cs="Arial"/>
          <w:sz w:val="22"/>
          <w:szCs w:val="22"/>
          <w:lang w:val="es-CO"/>
        </w:rPr>
        <w:lastRenderedPageBreak/>
        <w:t>Adunas Nacionales (DIAN), los siguientes documentos, los cuales esta entidad verificará con la declaración de impuesto sobre la renta correspondiente.</w:t>
      </w:r>
    </w:p>
    <w:p w14:paraId="620F33C3" w14:textId="77777777" w:rsidR="0010695C" w:rsidRPr="006969B3" w:rsidRDefault="0010695C" w:rsidP="00F65283">
      <w:pPr>
        <w:pStyle w:val="NormalWeb"/>
        <w:spacing w:before="0" w:beforeAutospacing="0" w:after="0" w:afterAutospacing="0"/>
        <w:jc w:val="both"/>
        <w:rPr>
          <w:rFonts w:ascii="Arial" w:hAnsi="Arial" w:cs="Arial"/>
          <w:sz w:val="22"/>
          <w:szCs w:val="22"/>
          <w:lang w:val="es-CO"/>
        </w:rPr>
      </w:pPr>
    </w:p>
    <w:p w14:paraId="3D6B757A" w14:textId="0FFC6DDB"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 Declaración juramentada del beneficiario ante notario público, en la cual conste que se encuentra instalado físicamente en la jurisdicción de cualquiera de los departamentos a los que se refiere el presente artículo y que se acoge al régimen de la ZESE.</w:t>
      </w:r>
    </w:p>
    <w:p w14:paraId="7E5ABB3B" w14:textId="77777777" w:rsidR="0010695C" w:rsidRPr="006969B3" w:rsidRDefault="0010695C" w:rsidP="00F65283">
      <w:pPr>
        <w:pStyle w:val="NormalWeb"/>
        <w:spacing w:before="0" w:beforeAutospacing="0" w:after="0" w:afterAutospacing="0"/>
        <w:jc w:val="both"/>
        <w:rPr>
          <w:rFonts w:ascii="Arial" w:hAnsi="Arial" w:cs="Arial"/>
          <w:sz w:val="22"/>
          <w:szCs w:val="22"/>
          <w:lang w:val="es-CO"/>
        </w:rPr>
      </w:pPr>
    </w:p>
    <w:p w14:paraId="5E86A674" w14:textId="7C41AB6F"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2. Certificado de Existencia y Representación Legal.</w:t>
      </w:r>
    </w:p>
    <w:p w14:paraId="63984BFF" w14:textId="77777777" w:rsidR="0010695C" w:rsidRPr="006969B3" w:rsidRDefault="0010695C" w:rsidP="00F65283">
      <w:pPr>
        <w:pStyle w:val="NormalWeb"/>
        <w:spacing w:before="0" w:beforeAutospacing="0" w:after="0" w:afterAutospacing="0"/>
        <w:jc w:val="both"/>
        <w:rPr>
          <w:rFonts w:ascii="Arial" w:hAnsi="Arial" w:cs="Arial"/>
          <w:sz w:val="22"/>
          <w:szCs w:val="22"/>
          <w:lang w:val="es-CO"/>
        </w:rPr>
      </w:pPr>
    </w:p>
    <w:p w14:paraId="6EACA7E0" w14:textId="79CDB4A6"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3. Las sociedades constituidas a la </w:t>
      </w:r>
      <w:proofErr w:type="gramStart"/>
      <w:r w:rsidRPr="006969B3">
        <w:rPr>
          <w:rFonts w:ascii="Arial" w:hAnsi="Arial" w:cs="Arial"/>
          <w:sz w:val="22"/>
          <w:szCs w:val="22"/>
          <w:lang w:val="es-CO"/>
        </w:rPr>
        <w:t>entrada en vigencia</w:t>
      </w:r>
      <w:proofErr w:type="gramEnd"/>
      <w:r w:rsidRPr="006969B3">
        <w:rPr>
          <w:rFonts w:ascii="Arial" w:hAnsi="Arial" w:cs="Arial"/>
          <w:sz w:val="22"/>
          <w:szCs w:val="22"/>
          <w:lang w:val="es-CO"/>
        </w:rPr>
        <w:t xml:space="preserve"> de la presente ley, además deben acreditar el incremento del 15% en el empleo directo generado, mediante certificación de revisor fiscal o contador público, según corresponda en la cual conste el promedio de empleos generados durante los dos últimos años y las planillas de pago de seguridad social respectivas.</w:t>
      </w:r>
    </w:p>
    <w:p w14:paraId="2D788DE2" w14:textId="77777777" w:rsidR="0010695C" w:rsidRPr="006969B3" w:rsidRDefault="0010695C" w:rsidP="00F65283">
      <w:pPr>
        <w:pStyle w:val="NormalWeb"/>
        <w:spacing w:before="0" w:beforeAutospacing="0" w:after="0" w:afterAutospacing="0"/>
        <w:jc w:val="both"/>
        <w:rPr>
          <w:rStyle w:val="baj"/>
          <w:rFonts w:ascii="Arial" w:hAnsi="Arial" w:cs="Arial"/>
          <w:sz w:val="22"/>
          <w:szCs w:val="22"/>
          <w:lang w:val="es-CO"/>
        </w:rPr>
      </w:pPr>
    </w:p>
    <w:p w14:paraId="70B12040" w14:textId="4E395B3F"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El Gobierno nacional reglamentará cualquiera de los asuntos y materias objeto de la ZESE para facilitar su aplicación y eventualmente su entendimiento, y podrá imponer las sanciones administrativas, penales, disciplinarias, comerciales y civiles aplicables y vigentes tanto a las sociedades como a sus representantes en caso de que se compruebe que incumplen las disposiciones aquí previstas.</w:t>
      </w:r>
    </w:p>
    <w:p w14:paraId="69EDC0CF" w14:textId="77777777" w:rsidR="0010695C" w:rsidRPr="006969B3" w:rsidRDefault="0010695C" w:rsidP="00F65283">
      <w:pPr>
        <w:pStyle w:val="NormalWeb"/>
        <w:spacing w:before="0" w:beforeAutospacing="0" w:after="0" w:afterAutospacing="0"/>
        <w:jc w:val="both"/>
        <w:rPr>
          <w:rStyle w:val="baj"/>
          <w:rFonts w:ascii="Arial" w:hAnsi="Arial" w:cs="Arial"/>
          <w:sz w:val="22"/>
          <w:szCs w:val="22"/>
          <w:lang w:val="es-CO"/>
        </w:rPr>
      </w:pPr>
    </w:p>
    <w:p w14:paraId="562F3C66" w14:textId="096E5CE0"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3o.</w:t>
      </w:r>
      <w:r w:rsidRPr="006969B3">
        <w:rPr>
          <w:rFonts w:ascii="Arial" w:hAnsi="Arial" w:cs="Arial"/>
          <w:sz w:val="22"/>
          <w:szCs w:val="22"/>
          <w:lang w:val="es-CO"/>
        </w:rPr>
        <w:t> El presente artículo no es aplicable a las empresas dedicadas a la actividad portuaria o a las actividades de exploración y explotación de minerales e hidrocarburos.</w:t>
      </w:r>
    </w:p>
    <w:p w14:paraId="724174BF" w14:textId="77777777" w:rsidR="0010695C" w:rsidRPr="006969B3" w:rsidRDefault="0010695C" w:rsidP="00F65283">
      <w:pPr>
        <w:pStyle w:val="NormalWeb"/>
        <w:spacing w:before="0" w:beforeAutospacing="0" w:after="0" w:afterAutospacing="0"/>
        <w:jc w:val="both"/>
        <w:rPr>
          <w:rStyle w:val="baj"/>
          <w:rFonts w:ascii="Arial" w:hAnsi="Arial" w:cs="Arial"/>
          <w:sz w:val="22"/>
          <w:szCs w:val="22"/>
          <w:lang w:val="es-CO"/>
        </w:rPr>
      </w:pPr>
    </w:p>
    <w:p w14:paraId="6D2CE659" w14:textId="610AB152"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4o.</w:t>
      </w:r>
      <w:r w:rsidRPr="006969B3">
        <w:rPr>
          <w:rFonts w:ascii="Arial" w:hAnsi="Arial" w:cs="Arial"/>
          <w:sz w:val="22"/>
          <w:szCs w:val="22"/>
          <w:lang w:val="es-CO"/>
        </w:rPr>
        <w:t> El presente artículo no es aplicable a las sociedades comerciales existentes que trasladen su domicilio fiscal a cualquiera de los Municipios pertenecientes a los Departamentos de que trata este artículo.</w:t>
      </w:r>
    </w:p>
    <w:p w14:paraId="5936ACAC" w14:textId="77777777" w:rsidR="000537C1" w:rsidRDefault="000537C1" w:rsidP="00F65283">
      <w:pPr>
        <w:pStyle w:val="NormalWeb"/>
        <w:spacing w:before="0" w:beforeAutospacing="0" w:after="0" w:afterAutospacing="0"/>
        <w:jc w:val="both"/>
        <w:rPr>
          <w:rStyle w:val="baj"/>
          <w:rFonts w:ascii="Arial" w:hAnsi="Arial" w:cs="Arial"/>
          <w:sz w:val="22"/>
          <w:szCs w:val="22"/>
          <w:lang w:val="es-CO"/>
        </w:rPr>
      </w:pPr>
    </w:p>
    <w:p w14:paraId="6E8DE79B" w14:textId="60167941"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5o.</w:t>
      </w:r>
      <w:r w:rsidRPr="006969B3">
        <w:rPr>
          <w:rFonts w:ascii="Arial" w:hAnsi="Arial" w:cs="Arial"/>
          <w:sz w:val="22"/>
          <w:szCs w:val="22"/>
          <w:lang w:val="es-CO"/>
        </w:rPr>
        <w:t> Extiéndanse los efectos del presente artículo a aquellas ciudades capitales cuyos índices de desempleo durante los cinco (5) últimos años anteriores a la expedición de la presente ley hayan sido superiores al 14%.</w:t>
      </w:r>
    </w:p>
    <w:p w14:paraId="54FB0823" w14:textId="29421DEF" w:rsidR="003B1677" w:rsidRPr="006969B3" w:rsidRDefault="003B1677" w:rsidP="00F65283">
      <w:pPr>
        <w:spacing w:after="0" w:line="240" w:lineRule="auto"/>
        <w:rPr>
          <w:rFonts w:ascii="Arial" w:hAnsi="Arial" w:cs="Arial"/>
          <w:lang w:val="es-CO"/>
        </w:rPr>
      </w:pPr>
    </w:p>
    <w:p w14:paraId="3D741708" w14:textId="6050D7F9" w:rsidR="003B1677" w:rsidRPr="006969B3" w:rsidRDefault="003B1677" w:rsidP="00F65283">
      <w:pPr>
        <w:pStyle w:val="NormalWeb"/>
        <w:spacing w:before="0" w:beforeAutospacing="0" w:after="0" w:afterAutospacing="0"/>
        <w:jc w:val="both"/>
        <w:rPr>
          <w:rFonts w:ascii="Arial" w:hAnsi="Arial" w:cs="Arial"/>
          <w:sz w:val="22"/>
          <w:szCs w:val="22"/>
          <w:lang w:val="es-CO"/>
        </w:rPr>
      </w:pPr>
      <w:bookmarkStart w:id="287" w:name="269"/>
      <w:r w:rsidRPr="006969B3">
        <w:rPr>
          <w:rFonts w:ascii="Arial" w:hAnsi="Arial" w:cs="Arial"/>
          <w:sz w:val="22"/>
          <w:szCs w:val="22"/>
          <w:lang w:val="es-CO"/>
        </w:rPr>
        <w:t>ARTÍCULO 269. REDUCCIÓN DE LA VULNERABILIDAD FISCAL DEL ESTADO FRENTE A DESASTRES.</w:t>
      </w:r>
      <w:bookmarkEnd w:id="287"/>
      <w:r w:rsidRPr="006969B3">
        <w:rPr>
          <w:rFonts w:ascii="Arial" w:hAnsi="Arial" w:cs="Arial"/>
          <w:sz w:val="22"/>
          <w:szCs w:val="22"/>
          <w:lang w:val="es-CO"/>
        </w:rPr>
        <w:t> Modifíquese el artículo </w:t>
      </w:r>
      <w:r w:rsidRPr="000A2938">
        <w:rPr>
          <w:rFonts w:ascii="Arial" w:hAnsi="Arial" w:cs="Arial"/>
          <w:sz w:val="22"/>
          <w:szCs w:val="22"/>
          <w:lang w:val="es-CO"/>
        </w:rPr>
        <w:t>220</w:t>
      </w:r>
      <w:r w:rsidRPr="006969B3">
        <w:rPr>
          <w:rFonts w:ascii="Arial" w:hAnsi="Arial" w:cs="Arial"/>
          <w:sz w:val="22"/>
          <w:szCs w:val="22"/>
          <w:lang w:val="es-CO"/>
        </w:rPr>
        <w:t> de la Ley 1450 de 2011, el cual quedará así:</w:t>
      </w:r>
    </w:p>
    <w:p w14:paraId="325A261D" w14:textId="77777777" w:rsidR="0010695C" w:rsidRPr="006969B3" w:rsidRDefault="0010695C" w:rsidP="00F65283">
      <w:pPr>
        <w:pStyle w:val="NormalWeb"/>
        <w:spacing w:before="0" w:beforeAutospacing="0" w:after="0" w:afterAutospacing="0"/>
        <w:jc w:val="both"/>
        <w:rPr>
          <w:rFonts w:ascii="Arial" w:hAnsi="Arial" w:cs="Arial"/>
          <w:sz w:val="22"/>
          <w:szCs w:val="22"/>
          <w:lang w:val="es-CO"/>
        </w:rPr>
      </w:pPr>
    </w:p>
    <w:p w14:paraId="29A47276" w14:textId="171F9982"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w:t>
      </w:r>
      <w:r w:rsidRPr="000A2938">
        <w:rPr>
          <w:rFonts w:ascii="Arial" w:hAnsi="Arial" w:cs="Arial"/>
          <w:sz w:val="22"/>
          <w:szCs w:val="22"/>
          <w:lang w:val="es-CO"/>
        </w:rPr>
        <w:t>220</w:t>
      </w:r>
      <w:r w:rsidRPr="006969B3">
        <w:rPr>
          <w:rFonts w:ascii="Arial" w:hAnsi="Arial" w:cs="Arial"/>
          <w:sz w:val="22"/>
          <w:szCs w:val="22"/>
          <w:lang w:val="es-CO"/>
        </w:rPr>
        <w:t>. Reducción de la vulnerabilidad fiscal del Estado frente a desastres. El Ministerio de Hacienda y Crédito Público diseñará una estrategia para la gestión financiera, el aseguramiento y la mitigación ante riesgos de desastres de origen natural y/o antrópico no intencional. Dicha estrategia estará orientada a la reducción de la vulnerabilidad fiscal del Estado.</w:t>
      </w:r>
    </w:p>
    <w:p w14:paraId="478D51C4" w14:textId="77777777" w:rsidR="0010695C" w:rsidRPr="006969B3" w:rsidRDefault="0010695C" w:rsidP="00F65283">
      <w:pPr>
        <w:pStyle w:val="NormalWeb"/>
        <w:spacing w:before="0" w:beforeAutospacing="0" w:after="0" w:afterAutospacing="0"/>
        <w:jc w:val="both"/>
        <w:rPr>
          <w:rStyle w:val="baj"/>
          <w:rFonts w:ascii="Arial" w:hAnsi="Arial" w:cs="Arial"/>
          <w:sz w:val="22"/>
          <w:szCs w:val="22"/>
          <w:lang w:val="es-CO"/>
        </w:rPr>
      </w:pPr>
    </w:p>
    <w:p w14:paraId="24C7E991" w14:textId="399C9859"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Como parte de la estrategia de la que trata el inciso primero, el Ministerio de Hacienda y Crédito Público evaluará, entre otros, la estructuración y/o implementación de mecanismos de protección financiera de diversa índole, incluyendo mecanismos de aseguramiento que permitan aprovechar los beneficios de la diversificación, así como la formulación de esquemas, mandatos o incentivos que promuevan y/o posibiliten en las entidades estatales la gestión financiera del riesgo de desastres de origen natural y/o antrópico no intencional.</w:t>
      </w:r>
    </w:p>
    <w:p w14:paraId="6D54834A" w14:textId="77777777" w:rsidR="0010695C" w:rsidRPr="006969B3" w:rsidRDefault="0010695C" w:rsidP="00F65283">
      <w:pPr>
        <w:pStyle w:val="NormalWeb"/>
        <w:spacing w:before="0" w:beforeAutospacing="0" w:after="0" w:afterAutospacing="0"/>
        <w:jc w:val="both"/>
        <w:rPr>
          <w:rStyle w:val="baj"/>
          <w:rFonts w:ascii="Arial" w:hAnsi="Arial" w:cs="Arial"/>
          <w:sz w:val="22"/>
          <w:szCs w:val="22"/>
          <w:lang w:val="es-CO"/>
        </w:rPr>
      </w:pPr>
    </w:p>
    <w:p w14:paraId="24582B35" w14:textId="4774F7D5"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lastRenderedPageBreak/>
        <w:t>PARÁGRAFO 2o.</w:t>
      </w:r>
      <w:r w:rsidRPr="006969B3">
        <w:rPr>
          <w:rFonts w:ascii="Arial" w:hAnsi="Arial" w:cs="Arial"/>
          <w:sz w:val="22"/>
          <w:szCs w:val="22"/>
          <w:lang w:val="es-CO"/>
        </w:rPr>
        <w:t> El Ministerio de Hacienda y Crédito Público podrá, con cargo a los recursos del Presupuesto General de la Nación gestionar, adquirir y/o celebrar con entidades nacionales y/o extranjeras los instrumentos y/o contratos que permitan el aseguramiento y/o cubrimiento de dichos eventos.</w:t>
      </w:r>
    </w:p>
    <w:p w14:paraId="7AE5866E" w14:textId="77777777" w:rsidR="0010695C" w:rsidRPr="006969B3" w:rsidRDefault="0010695C" w:rsidP="00F65283">
      <w:pPr>
        <w:pStyle w:val="NormalWeb"/>
        <w:spacing w:before="0" w:beforeAutospacing="0" w:after="0" w:afterAutospacing="0"/>
        <w:jc w:val="both"/>
        <w:rPr>
          <w:rStyle w:val="baj"/>
          <w:rFonts w:ascii="Arial" w:hAnsi="Arial" w:cs="Arial"/>
          <w:sz w:val="22"/>
          <w:szCs w:val="22"/>
          <w:lang w:val="es-CO"/>
        </w:rPr>
      </w:pPr>
    </w:p>
    <w:p w14:paraId="657E4753" w14:textId="5E3D90B6"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3o.</w:t>
      </w:r>
      <w:r w:rsidRPr="006969B3">
        <w:rPr>
          <w:rFonts w:ascii="Arial" w:hAnsi="Arial" w:cs="Arial"/>
          <w:sz w:val="22"/>
          <w:szCs w:val="22"/>
          <w:lang w:val="es-CO"/>
        </w:rPr>
        <w:t> La modalidad de selección para los instrumentos y/o contratos de los que trata el presente artículo se contratarán en forma directa; y se someterán a la jurisdicción que decidan las partes.</w:t>
      </w:r>
    </w:p>
    <w:p w14:paraId="38832866" w14:textId="2E1324B6" w:rsidR="003B1677" w:rsidRPr="006969B3" w:rsidRDefault="003B1677" w:rsidP="00F65283">
      <w:pPr>
        <w:spacing w:after="0" w:line="240" w:lineRule="auto"/>
        <w:rPr>
          <w:rFonts w:ascii="Arial" w:hAnsi="Arial" w:cs="Arial"/>
          <w:lang w:val="es-CO"/>
        </w:rPr>
      </w:pPr>
    </w:p>
    <w:p w14:paraId="1AB1A474" w14:textId="77777777" w:rsidR="003B1677" w:rsidRPr="006969B3" w:rsidRDefault="003B1677" w:rsidP="00F65283">
      <w:pPr>
        <w:pStyle w:val="NormalWeb"/>
        <w:spacing w:before="0" w:beforeAutospacing="0" w:after="0" w:afterAutospacing="0"/>
        <w:jc w:val="both"/>
        <w:rPr>
          <w:rFonts w:ascii="Arial" w:hAnsi="Arial" w:cs="Arial"/>
          <w:sz w:val="22"/>
          <w:szCs w:val="22"/>
          <w:lang w:val="es-CO"/>
        </w:rPr>
      </w:pPr>
      <w:bookmarkStart w:id="288" w:name="270"/>
      <w:r w:rsidRPr="006969B3">
        <w:rPr>
          <w:rFonts w:ascii="Arial" w:hAnsi="Arial" w:cs="Arial"/>
          <w:sz w:val="22"/>
          <w:szCs w:val="22"/>
          <w:lang w:val="es-CO"/>
        </w:rPr>
        <w:t>ARTÍCULO 270. OBLIGACIÓN DE PRONTO PAGO EN CONTRATOS Y ACTOS MERCANTILES.</w:t>
      </w:r>
      <w:bookmarkEnd w:id="288"/>
      <w:r w:rsidRPr="006969B3">
        <w:rPr>
          <w:rFonts w:ascii="Arial" w:hAnsi="Arial" w:cs="Arial"/>
          <w:sz w:val="22"/>
          <w:szCs w:val="22"/>
          <w:lang w:val="es-CO"/>
        </w:rPr>
        <w:t> El Gobierno nacional establecerá las condiciones para reglamentar el pago en plazos justos de operaciones comerciales derivadas de actos mercantiles entre particulares con los objetivos de promover la competitividad empresarial, mejorar la liquidez de las empresas proveedoras y reducir las demoras en el pago una vez se ha finalizado la provisión de los bienes y servicios.</w:t>
      </w:r>
    </w:p>
    <w:p w14:paraId="2BFEAFFD" w14:textId="3603B3A3" w:rsidR="003B1677" w:rsidRPr="006969B3" w:rsidRDefault="003B1677" w:rsidP="00F65283">
      <w:pPr>
        <w:spacing w:after="0" w:line="240" w:lineRule="auto"/>
        <w:rPr>
          <w:rFonts w:ascii="Arial" w:hAnsi="Arial" w:cs="Arial"/>
          <w:lang w:val="es-CO"/>
        </w:rPr>
      </w:pPr>
    </w:p>
    <w:p w14:paraId="64B23913" w14:textId="3AFE1E5C" w:rsidR="003B1677" w:rsidRPr="006969B3" w:rsidRDefault="003B1677" w:rsidP="00F65283">
      <w:pPr>
        <w:pStyle w:val="NormalWeb"/>
        <w:spacing w:before="0" w:beforeAutospacing="0" w:after="0" w:afterAutospacing="0"/>
        <w:jc w:val="both"/>
        <w:rPr>
          <w:rFonts w:ascii="Arial" w:hAnsi="Arial" w:cs="Arial"/>
          <w:sz w:val="22"/>
          <w:szCs w:val="22"/>
          <w:lang w:val="es-CO"/>
        </w:rPr>
      </w:pPr>
      <w:bookmarkStart w:id="289" w:name="271"/>
      <w:r w:rsidRPr="006969B3">
        <w:rPr>
          <w:rFonts w:ascii="Arial" w:hAnsi="Arial" w:cs="Arial"/>
          <w:sz w:val="22"/>
          <w:szCs w:val="22"/>
          <w:lang w:val="es-CO"/>
        </w:rPr>
        <w:t>ARTÍCULO 271. TRANSFERENCIA DE ZONAS FRANCAS DE FRONTERA A ENTIDADES TERRITORIALES.</w:t>
      </w:r>
      <w:bookmarkEnd w:id="289"/>
      <w:r w:rsidRPr="006969B3">
        <w:rPr>
          <w:rFonts w:ascii="Arial" w:hAnsi="Arial" w:cs="Arial"/>
          <w:sz w:val="22"/>
          <w:szCs w:val="22"/>
          <w:lang w:val="es-CO"/>
        </w:rPr>
        <w:t> Con el propósito de Incentivar el desarrollo industrial, el crecimiento económico de los territorios de frontera, los flujos de inversión extranjera directa y las cadenas de valor global para el aumento de la productividad, el Ministerio de Comercio, Industria y Turismo, transferirá a título gratuito las Zonas Francas localizadas en municipios de frontera a los entes territoriales donde ellas se ubican; esta transferencia implicará el derecho real de dominio y posición sobre el predio, sus construcciones, instalaciones y obras de infraestructura, sin restricción alguna del uso, goce y disposición de esos derechos, salvo la relativa a la destinación del predio, para un único y exclusivo de regímenes de Zonas Francas, el cual no podrá ser modificado sino por reglamentación expresa del Gobierno Nacional, en virtud de lo previsto en el artículo </w:t>
      </w:r>
      <w:r w:rsidRPr="000A2938">
        <w:rPr>
          <w:rFonts w:ascii="Arial" w:hAnsi="Arial" w:cs="Arial"/>
          <w:sz w:val="22"/>
          <w:szCs w:val="22"/>
          <w:lang w:val="es-CO"/>
        </w:rPr>
        <w:t>4o</w:t>
      </w:r>
      <w:r w:rsidRPr="006969B3">
        <w:rPr>
          <w:rFonts w:ascii="Arial" w:hAnsi="Arial" w:cs="Arial"/>
          <w:sz w:val="22"/>
          <w:szCs w:val="22"/>
          <w:lang w:val="es-CO"/>
        </w:rPr>
        <w:t xml:space="preserve"> de la Ley 1004 de 2005. Esta previsión </w:t>
      </w:r>
      <w:proofErr w:type="gramStart"/>
      <w:r w:rsidRPr="006969B3">
        <w:rPr>
          <w:rFonts w:ascii="Arial" w:hAnsi="Arial" w:cs="Arial"/>
          <w:sz w:val="22"/>
          <w:szCs w:val="22"/>
          <w:lang w:val="es-CO"/>
        </w:rPr>
        <w:t>será de aplicación</w:t>
      </w:r>
      <w:proofErr w:type="gramEnd"/>
      <w:r w:rsidRPr="006969B3">
        <w:rPr>
          <w:rFonts w:ascii="Arial" w:hAnsi="Arial" w:cs="Arial"/>
          <w:sz w:val="22"/>
          <w:szCs w:val="22"/>
          <w:lang w:val="es-CO"/>
        </w:rPr>
        <w:t xml:space="preserve"> a las transferencias realizadas en virtud del artículo </w:t>
      </w:r>
      <w:r w:rsidRPr="000A2938">
        <w:rPr>
          <w:rFonts w:ascii="Arial" w:hAnsi="Arial" w:cs="Arial"/>
          <w:sz w:val="22"/>
          <w:szCs w:val="22"/>
          <w:lang w:val="es-CO"/>
        </w:rPr>
        <w:t>258</w:t>
      </w:r>
      <w:r w:rsidRPr="006969B3">
        <w:rPr>
          <w:rFonts w:ascii="Arial" w:hAnsi="Arial" w:cs="Arial"/>
          <w:sz w:val="22"/>
          <w:szCs w:val="22"/>
          <w:lang w:val="es-CO"/>
        </w:rPr>
        <w:t> de la Ley 1753 de 2015.</w:t>
      </w:r>
    </w:p>
    <w:p w14:paraId="244488A3" w14:textId="4DC4FC59" w:rsidR="003B1677" w:rsidRPr="006969B3" w:rsidRDefault="003B1677" w:rsidP="00F65283">
      <w:pPr>
        <w:spacing w:after="0" w:line="240" w:lineRule="auto"/>
        <w:rPr>
          <w:rFonts w:ascii="Arial" w:hAnsi="Arial" w:cs="Arial"/>
          <w:lang w:val="es-CO"/>
        </w:rPr>
      </w:pPr>
    </w:p>
    <w:p w14:paraId="743A9CEB" w14:textId="46F890A9" w:rsidR="003B1677" w:rsidRPr="006969B3" w:rsidRDefault="003B1677" w:rsidP="00F65283">
      <w:pPr>
        <w:pStyle w:val="NormalWeb"/>
        <w:spacing w:before="0" w:beforeAutospacing="0" w:after="0" w:afterAutospacing="0"/>
        <w:jc w:val="both"/>
        <w:rPr>
          <w:rFonts w:ascii="Arial" w:hAnsi="Arial" w:cs="Arial"/>
          <w:sz w:val="22"/>
          <w:szCs w:val="22"/>
          <w:lang w:val="es-CO"/>
        </w:rPr>
      </w:pPr>
      <w:bookmarkStart w:id="290" w:name="272"/>
      <w:r w:rsidRPr="006969B3">
        <w:rPr>
          <w:rFonts w:ascii="Arial" w:hAnsi="Arial" w:cs="Arial"/>
          <w:sz w:val="22"/>
          <w:szCs w:val="22"/>
          <w:lang w:val="es-CO"/>
        </w:rPr>
        <w:t>ARTÍCULO 272. BIENES QUE NO CAUSAN EL IMPUESTO.</w:t>
      </w:r>
      <w:bookmarkEnd w:id="290"/>
      <w:r w:rsidRPr="006969B3">
        <w:rPr>
          <w:rFonts w:ascii="Arial" w:hAnsi="Arial" w:cs="Arial"/>
          <w:sz w:val="22"/>
          <w:szCs w:val="22"/>
          <w:lang w:val="es-CO"/>
        </w:rPr>
        <w:t> Modifíquese el numeral 13 del artículo </w:t>
      </w:r>
      <w:r w:rsidRPr="000A2938">
        <w:rPr>
          <w:rFonts w:ascii="Arial" w:hAnsi="Arial" w:cs="Arial"/>
          <w:sz w:val="22"/>
          <w:szCs w:val="22"/>
          <w:lang w:val="es-CO"/>
        </w:rPr>
        <w:t>424</w:t>
      </w:r>
      <w:r w:rsidRPr="006969B3">
        <w:rPr>
          <w:rFonts w:ascii="Arial" w:hAnsi="Arial" w:cs="Arial"/>
          <w:sz w:val="22"/>
          <w:szCs w:val="22"/>
          <w:lang w:val="es-CO"/>
        </w:rPr>
        <w:t> del Estatuto Tributario, el cual quedará así:</w:t>
      </w:r>
    </w:p>
    <w:p w14:paraId="4DF18F29" w14:textId="77777777" w:rsidR="0010695C" w:rsidRPr="006969B3" w:rsidRDefault="0010695C" w:rsidP="00F65283">
      <w:pPr>
        <w:pStyle w:val="NormalWeb"/>
        <w:spacing w:before="0" w:beforeAutospacing="0" w:after="0" w:afterAutospacing="0"/>
        <w:jc w:val="both"/>
        <w:rPr>
          <w:rFonts w:ascii="Arial" w:hAnsi="Arial" w:cs="Arial"/>
          <w:sz w:val="22"/>
          <w:szCs w:val="22"/>
          <w:lang w:val="es-CO"/>
        </w:rPr>
      </w:pPr>
    </w:p>
    <w:p w14:paraId="07A2DD0F" w14:textId="57D97F32"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13. El consumo humano y animal, vestuario, elementos de aseo y medicamentos para uso humano o veterinario, materiales de construcción que se introduzcan y comercialicen a los departamentos de Amazonas, Guainía, Guaviare, Vaupés y Vichada, siempre y cuando se destinen exclusivamente al consumo dentro del mismo departamento. El Gobierno nacional reglamentará la materia para garantizar que la exclusión del IVA se aplique en las ventas al consumidor final.</w:t>
      </w:r>
    </w:p>
    <w:p w14:paraId="0E073B54" w14:textId="378928BD" w:rsidR="003B1677" w:rsidRPr="006969B3" w:rsidRDefault="003B1677" w:rsidP="00F65283">
      <w:pPr>
        <w:spacing w:after="0" w:line="240" w:lineRule="auto"/>
        <w:rPr>
          <w:rFonts w:ascii="Arial" w:hAnsi="Arial" w:cs="Arial"/>
          <w:lang w:val="es-CO"/>
        </w:rPr>
      </w:pPr>
    </w:p>
    <w:p w14:paraId="467BC5CE" w14:textId="1B38DC3E" w:rsidR="003B1677" w:rsidRPr="006969B3" w:rsidRDefault="003B1677" w:rsidP="00F65283">
      <w:pPr>
        <w:pStyle w:val="NormalWeb"/>
        <w:spacing w:before="0" w:beforeAutospacing="0" w:after="0" w:afterAutospacing="0"/>
        <w:jc w:val="both"/>
        <w:rPr>
          <w:rFonts w:ascii="Arial" w:hAnsi="Arial" w:cs="Arial"/>
          <w:sz w:val="22"/>
          <w:szCs w:val="22"/>
          <w:lang w:val="es-CO"/>
        </w:rPr>
      </w:pPr>
      <w:bookmarkStart w:id="291" w:name="273"/>
      <w:r w:rsidRPr="006969B3">
        <w:rPr>
          <w:rFonts w:ascii="Arial" w:hAnsi="Arial" w:cs="Arial"/>
          <w:sz w:val="22"/>
          <w:szCs w:val="22"/>
          <w:lang w:val="es-CO"/>
        </w:rPr>
        <w:t>ARTÍCULO 273. BIENES QUE SE ENCUENTRAN EXENTOS DEL IMPUESTO.</w:t>
      </w:r>
      <w:bookmarkEnd w:id="291"/>
      <w:r w:rsidRPr="006969B3">
        <w:rPr>
          <w:rFonts w:ascii="Arial" w:hAnsi="Arial" w:cs="Arial"/>
          <w:sz w:val="22"/>
          <w:szCs w:val="22"/>
          <w:lang w:val="es-CO"/>
        </w:rPr>
        <w:t> Adiciónese el numeral 6 al artículo </w:t>
      </w:r>
      <w:r w:rsidRPr="000A2938">
        <w:rPr>
          <w:rFonts w:ascii="Arial" w:hAnsi="Arial" w:cs="Arial"/>
          <w:sz w:val="22"/>
          <w:szCs w:val="22"/>
          <w:lang w:val="es-CO"/>
        </w:rPr>
        <w:t>477</w:t>
      </w:r>
      <w:r w:rsidRPr="006969B3">
        <w:rPr>
          <w:rFonts w:ascii="Arial" w:hAnsi="Arial" w:cs="Arial"/>
          <w:sz w:val="22"/>
          <w:szCs w:val="22"/>
          <w:lang w:val="es-CO"/>
        </w:rPr>
        <w:t> del Estatuto Tributario, el cual quedará así.</w:t>
      </w:r>
    </w:p>
    <w:p w14:paraId="6900B129" w14:textId="77777777" w:rsidR="0010695C" w:rsidRPr="006969B3" w:rsidRDefault="0010695C" w:rsidP="00F65283">
      <w:pPr>
        <w:pStyle w:val="NormalWeb"/>
        <w:spacing w:before="0" w:beforeAutospacing="0" w:after="0" w:afterAutospacing="0"/>
        <w:jc w:val="both"/>
        <w:rPr>
          <w:rFonts w:ascii="Arial" w:hAnsi="Arial" w:cs="Arial"/>
          <w:sz w:val="22"/>
          <w:szCs w:val="22"/>
          <w:lang w:val="es-CO"/>
        </w:rPr>
      </w:pPr>
    </w:p>
    <w:p w14:paraId="4B64BEA2" w14:textId="77777777" w:rsidR="0010695C"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6. Las bicicletas y sus partes; motocicletas y sus partes y motocarros y sus partes, que se introduzcan y comercialicen en los departamentos de Amazonas, Guainía, Guaviare, Vaupés y Vichada, siempre y cuando se destinen exclusivamente al consumo dentro del mismo departamento y las motocicletas y motocarros sean registrados en el departamento. </w:t>
      </w:r>
    </w:p>
    <w:p w14:paraId="156043D5" w14:textId="5A996FD9"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También estarán exentos los bienes indicados anteriormente que se importen al territorio aduanero nacional y que se destinen posteriormente exclusivamente a estos departamentos.</w:t>
      </w:r>
    </w:p>
    <w:p w14:paraId="4FF99801" w14:textId="77777777" w:rsidR="0010695C" w:rsidRPr="006969B3" w:rsidRDefault="0010695C" w:rsidP="00F65283">
      <w:pPr>
        <w:pStyle w:val="NormalWeb"/>
        <w:spacing w:before="0" w:beforeAutospacing="0" w:after="0" w:afterAutospacing="0"/>
        <w:jc w:val="both"/>
        <w:rPr>
          <w:rFonts w:ascii="Arial" w:hAnsi="Arial" w:cs="Arial"/>
          <w:sz w:val="22"/>
          <w:szCs w:val="22"/>
          <w:lang w:val="es-CO"/>
        </w:rPr>
      </w:pPr>
    </w:p>
    <w:p w14:paraId="29170D9C" w14:textId="72F22EC8"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El Gobierno nacional reglamentará la materia con el fin de que la exención del IVA se aplique en las ventas al consumidor final y para que los importadores de las referidas mercancías ubicados fuera de los citados </w:t>
      </w:r>
      <w:proofErr w:type="gramStart"/>
      <w:r w:rsidRPr="006969B3">
        <w:rPr>
          <w:rFonts w:ascii="Arial" w:hAnsi="Arial" w:cs="Arial"/>
          <w:sz w:val="22"/>
          <w:szCs w:val="22"/>
          <w:lang w:val="es-CO"/>
        </w:rPr>
        <w:t>territorios,</w:t>
      </w:r>
      <w:proofErr w:type="gramEnd"/>
      <w:r w:rsidRPr="006969B3">
        <w:rPr>
          <w:rFonts w:ascii="Arial" w:hAnsi="Arial" w:cs="Arial"/>
          <w:sz w:val="22"/>
          <w:szCs w:val="22"/>
          <w:lang w:val="es-CO"/>
        </w:rPr>
        <w:t xml:space="preserve"> puedan descontar a su favor en la cuenta corriente del IVA, el valor total del mismo, pagado en la nacionalización y las compras nacionales a que hubiere lugar, cuando estas mercancías se comercialicen con destino exclusivo al consumo en los referidos departamentos.</w:t>
      </w:r>
    </w:p>
    <w:p w14:paraId="7471DB3B" w14:textId="05675AE3" w:rsidR="003B1677" w:rsidRPr="006969B3" w:rsidRDefault="003B1677" w:rsidP="00F65283">
      <w:pPr>
        <w:spacing w:after="0" w:line="240" w:lineRule="auto"/>
        <w:rPr>
          <w:rFonts w:ascii="Arial" w:hAnsi="Arial" w:cs="Arial"/>
          <w:lang w:val="es-CO"/>
        </w:rPr>
      </w:pPr>
    </w:p>
    <w:p w14:paraId="4EF4642A" w14:textId="4C9B8BB2" w:rsidR="003B1677" w:rsidRPr="006969B3" w:rsidRDefault="003B1677" w:rsidP="00F65283">
      <w:pPr>
        <w:pStyle w:val="NormalWeb"/>
        <w:spacing w:before="0" w:beforeAutospacing="0" w:after="0" w:afterAutospacing="0"/>
        <w:jc w:val="both"/>
        <w:rPr>
          <w:rFonts w:ascii="Arial" w:hAnsi="Arial" w:cs="Arial"/>
          <w:sz w:val="22"/>
          <w:szCs w:val="22"/>
          <w:lang w:val="es-CO"/>
        </w:rPr>
      </w:pPr>
      <w:bookmarkStart w:id="292" w:name="274"/>
      <w:r w:rsidRPr="006969B3">
        <w:rPr>
          <w:rFonts w:ascii="Arial" w:hAnsi="Arial" w:cs="Arial"/>
          <w:sz w:val="22"/>
          <w:szCs w:val="22"/>
          <w:lang w:val="es-CO"/>
        </w:rPr>
        <w:t xml:space="preserve">ARTÍCULO 274. </w:t>
      </w:r>
      <w:bookmarkEnd w:id="292"/>
      <w:r w:rsidR="00710605">
        <w:rPr>
          <w:rFonts w:ascii="Arial" w:hAnsi="Arial" w:cs="Arial"/>
          <w:sz w:val="22"/>
          <w:szCs w:val="22"/>
          <w:lang w:val="es-CO"/>
        </w:rPr>
        <w:t>In</w:t>
      </w:r>
      <w:r w:rsidR="000537C1">
        <w:rPr>
          <w:rFonts w:ascii="Arial" w:hAnsi="Arial" w:cs="Arial"/>
          <w:sz w:val="22"/>
          <w:szCs w:val="22"/>
          <w:lang w:val="es-CO"/>
        </w:rPr>
        <w:t>exeq</w:t>
      </w:r>
      <w:r w:rsidR="00710605">
        <w:rPr>
          <w:rFonts w:ascii="Arial" w:hAnsi="Arial" w:cs="Arial"/>
          <w:sz w:val="22"/>
          <w:szCs w:val="22"/>
          <w:lang w:val="es-CO"/>
        </w:rPr>
        <w:t>uible</w:t>
      </w:r>
    </w:p>
    <w:p w14:paraId="200D1052" w14:textId="77777777" w:rsidR="0010695C" w:rsidRPr="006969B3" w:rsidRDefault="0010695C" w:rsidP="00F65283">
      <w:pPr>
        <w:pStyle w:val="NormalWeb"/>
        <w:spacing w:before="0" w:beforeAutospacing="0" w:after="0" w:afterAutospacing="0"/>
        <w:jc w:val="both"/>
        <w:rPr>
          <w:rFonts w:ascii="Arial" w:hAnsi="Arial" w:cs="Arial"/>
          <w:sz w:val="22"/>
          <w:szCs w:val="22"/>
          <w:lang w:val="es-CO"/>
        </w:rPr>
      </w:pPr>
      <w:bookmarkStart w:id="293" w:name="275"/>
    </w:p>
    <w:p w14:paraId="059516CE" w14:textId="1013AC2D" w:rsidR="0010695C"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ARTÍCULO 275. </w:t>
      </w:r>
      <w:bookmarkStart w:id="294" w:name="276"/>
      <w:bookmarkEnd w:id="293"/>
      <w:r w:rsidR="00710605">
        <w:rPr>
          <w:rFonts w:ascii="Arial" w:hAnsi="Arial" w:cs="Arial"/>
          <w:sz w:val="22"/>
          <w:szCs w:val="22"/>
          <w:lang w:val="es-CO"/>
        </w:rPr>
        <w:t>Inexequible</w:t>
      </w:r>
    </w:p>
    <w:p w14:paraId="1D1834A0" w14:textId="77777777" w:rsidR="00710605" w:rsidRPr="006969B3" w:rsidRDefault="00710605" w:rsidP="00F65283">
      <w:pPr>
        <w:pStyle w:val="NormalWeb"/>
        <w:spacing w:before="0" w:beforeAutospacing="0" w:after="0" w:afterAutospacing="0"/>
        <w:jc w:val="both"/>
        <w:rPr>
          <w:rFonts w:ascii="Arial" w:hAnsi="Arial" w:cs="Arial"/>
          <w:sz w:val="22"/>
          <w:szCs w:val="22"/>
          <w:lang w:val="es-CO"/>
        </w:rPr>
      </w:pPr>
    </w:p>
    <w:p w14:paraId="69AF6B13" w14:textId="28AB9AE6"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276. TRANSFERENCIA DE DOMINIO DE BIENES INMUEBLES FISCALES ENTRE ENTIDADES.</w:t>
      </w:r>
      <w:bookmarkEnd w:id="294"/>
      <w:r w:rsidRPr="006969B3">
        <w:rPr>
          <w:rFonts w:ascii="Arial" w:hAnsi="Arial" w:cs="Arial"/>
          <w:sz w:val="22"/>
          <w:szCs w:val="22"/>
          <w:lang w:val="es-CO"/>
        </w:rPr>
        <w:t> Los bienes inmuebles fiscales de propiedad de las entidades públicas del orden nacional de carácter no financiero, que hagan parte de cualquiera de las Ramas del Poder Público, así como de los órganos autónomos e independientes, que no los requieran para el ejercicio de sus funciones, podrán ser transferidos a título gratuito a las entidades del orden nacional y territorial con el fin de atender necesidades en materia de infraestructura y vivienda, sin importar el resultado de la operación en la entidad cedente. Cuando la entidad territorial no necesite dicho inmueble, la Nación aplicará lo dispuesto en el artículo </w:t>
      </w:r>
      <w:r w:rsidRPr="000A2938">
        <w:rPr>
          <w:rFonts w:ascii="Arial" w:hAnsi="Arial" w:cs="Arial"/>
          <w:sz w:val="22"/>
          <w:szCs w:val="22"/>
          <w:lang w:val="es-CO"/>
        </w:rPr>
        <w:t>163</w:t>
      </w:r>
      <w:r w:rsidRPr="006969B3">
        <w:rPr>
          <w:rFonts w:ascii="Arial" w:hAnsi="Arial" w:cs="Arial"/>
          <w:sz w:val="22"/>
          <w:szCs w:val="22"/>
          <w:lang w:val="es-CO"/>
        </w:rPr>
        <w:t> de la Ley 1753 de 2015.</w:t>
      </w:r>
    </w:p>
    <w:p w14:paraId="4FE7D318" w14:textId="77777777" w:rsidR="0010695C" w:rsidRPr="006969B3" w:rsidRDefault="0010695C" w:rsidP="00F65283">
      <w:pPr>
        <w:pStyle w:val="NormalWeb"/>
        <w:spacing w:before="0" w:beforeAutospacing="0" w:after="0" w:afterAutospacing="0"/>
        <w:jc w:val="both"/>
        <w:rPr>
          <w:rFonts w:ascii="Arial" w:hAnsi="Arial" w:cs="Arial"/>
          <w:sz w:val="22"/>
          <w:szCs w:val="22"/>
          <w:lang w:val="es-CO"/>
        </w:rPr>
      </w:pPr>
    </w:p>
    <w:p w14:paraId="09ABA36E" w14:textId="4398970E"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Las entidades territoriales podrán igualmente ceder a título gratuito a entidades del orden nacional bienes inmuebles fiscales de su propiedad, sin importar el resultado de la operación en el patrimonio de la entidad cedente.</w:t>
      </w:r>
    </w:p>
    <w:p w14:paraId="33AABF6A" w14:textId="77777777" w:rsidR="0010695C" w:rsidRPr="006969B3" w:rsidRDefault="0010695C" w:rsidP="00F65283">
      <w:pPr>
        <w:pStyle w:val="NormalWeb"/>
        <w:spacing w:before="0" w:beforeAutospacing="0" w:after="0" w:afterAutospacing="0"/>
        <w:jc w:val="both"/>
        <w:rPr>
          <w:rFonts w:ascii="Arial" w:hAnsi="Arial" w:cs="Arial"/>
          <w:sz w:val="22"/>
          <w:szCs w:val="22"/>
          <w:lang w:val="es-CO"/>
        </w:rPr>
      </w:pPr>
    </w:p>
    <w:p w14:paraId="18A9592D" w14:textId="0B9A25D9"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Transferido el inmueble la entidad receptora será la encargada de continuar con el saneamiento y/o titulación </w:t>
      </w:r>
      <w:proofErr w:type="gramStart"/>
      <w:r w:rsidRPr="006969B3">
        <w:rPr>
          <w:rFonts w:ascii="Arial" w:hAnsi="Arial" w:cs="Arial"/>
          <w:sz w:val="22"/>
          <w:szCs w:val="22"/>
          <w:lang w:val="es-CO"/>
        </w:rPr>
        <w:t>del mismo</w:t>
      </w:r>
      <w:proofErr w:type="gramEnd"/>
      <w:r w:rsidRPr="006969B3">
        <w:rPr>
          <w:rFonts w:ascii="Arial" w:hAnsi="Arial" w:cs="Arial"/>
          <w:sz w:val="22"/>
          <w:szCs w:val="22"/>
          <w:lang w:val="es-CO"/>
        </w:rPr>
        <w:t>.</w:t>
      </w:r>
    </w:p>
    <w:p w14:paraId="0A972F94" w14:textId="77777777" w:rsidR="000537C1" w:rsidRDefault="000537C1" w:rsidP="00F65283">
      <w:pPr>
        <w:pStyle w:val="NormalWeb"/>
        <w:spacing w:before="0" w:beforeAutospacing="0" w:after="0" w:afterAutospacing="0"/>
        <w:jc w:val="both"/>
        <w:rPr>
          <w:rStyle w:val="baj"/>
          <w:rFonts w:ascii="Arial" w:hAnsi="Arial" w:cs="Arial"/>
          <w:sz w:val="22"/>
          <w:szCs w:val="22"/>
          <w:lang w:val="es-CO"/>
        </w:rPr>
      </w:pPr>
    </w:p>
    <w:p w14:paraId="33CEDF40" w14:textId="064B1CA9"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xml:space="preserve"> En cualquier </w:t>
      </w:r>
      <w:proofErr w:type="gramStart"/>
      <w:r w:rsidRPr="006969B3">
        <w:rPr>
          <w:rFonts w:ascii="Arial" w:hAnsi="Arial" w:cs="Arial"/>
          <w:sz w:val="22"/>
          <w:szCs w:val="22"/>
          <w:lang w:val="es-CO"/>
        </w:rPr>
        <w:t>caso</w:t>
      </w:r>
      <w:proofErr w:type="gramEnd"/>
      <w:r w:rsidRPr="006969B3">
        <w:rPr>
          <w:rFonts w:ascii="Arial" w:hAnsi="Arial" w:cs="Arial"/>
          <w:sz w:val="22"/>
          <w:szCs w:val="22"/>
          <w:lang w:val="es-CO"/>
        </w:rPr>
        <w:t xml:space="preserve"> la transferencia a título gratuito de la que se habla en este artículo, mantendrá, en concordancia con el POT, el uso del suelo que posee el inmueble transferido.</w:t>
      </w:r>
    </w:p>
    <w:p w14:paraId="2257742B" w14:textId="54CB8000" w:rsidR="003B1677" w:rsidRPr="006969B3" w:rsidRDefault="003B1677" w:rsidP="00F65283">
      <w:pPr>
        <w:spacing w:after="0" w:line="240" w:lineRule="auto"/>
        <w:rPr>
          <w:rFonts w:ascii="Arial" w:hAnsi="Arial" w:cs="Arial"/>
          <w:lang w:val="es-CO"/>
        </w:rPr>
      </w:pPr>
    </w:p>
    <w:p w14:paraId="101047E7" w14:textId="5C0BA491" w:rsidR="003B1677" w:rsidRPr="006969B3" w:rsidRDefault="003B1677" w:rsidP="00F65283">
      <w:pPr>
        <w:pStyle w:val="NormalWeb"/>
        <w:spacing w:before="0" w:beforeAutospacing="0" w:after="0" w:afterAutospacing="0"/>
        <w:jc w:val="both"/>
        <w:rPr>
          <w:rFonts w:ascii="Arial" w:hAnsi="Arial" w:cs="Arial"/>
          <w:sz w:val="22"/>
          <w:szCs w:val="22"/>
          <w:lang w:val="es-CO"/>
        </w:rPr>
      </w:pPr>
      <w:bookmarkStart w:id="295" w:name="277"/>
      <w:r w:rsidRPr="006969B3">
        <w:rPr>
          <w:rFonts w:ascii="Arial" w:hAnsi="Arial" w:cs="Arial"/>
          <w:sz w:val="22"/>
          <w:szCs w:val="22"/>
          <w:lang w:val="es-CO"/>
        </w:rPr>
        <w:t>ARTÍCULO 277. CESIÓN A TÍTULO GRATUITO O ENAJENACIÓN DE BIENES FISCALES.</w:t>
      </w:r>
      <w:bookmarkEnd w:id="295"/>
      <w:r w:rsidRPr="006969B3">
        <w:rPr>
          <w:rFonts w:ascii="Arial" w:hAnsi="Arial" w:cs="Arial"/>
          <w:sz w:val="22"/>
          <w:szCs w:val="22"/>
          <w:lang w:val="es-CO"/>
        </w:rPr>
        <w:t> Modifíquese el artículo </w:t>
      </w:r>
      <w:r w:rsidRPr="000A2938">
        <w:rPr>
          <w:rFonts w:ascii="Arial" w:hAnsi="Arial" w:cs="Arial"/>
          <w:sz w:val="22"/>
          <w:szCs w:val="22"/>
          <w:lang w:val="es-CO"/>
        </w:rPr>
        <w:t>14</w:t>
      </w:r>
      <w:r w:rsidRPr="006969B3">
        <w:rPr>
          <w:rFonts w:ascii="Arial" w:hAnsi="Arial" w:cs="Arial"/>
          <w:sz w:val="22"/>
          <w:szCs w:val="22"/>
          <w:lang w:val="es-CO"/>
        </w:rPr>
        <w:t> de la Ley 708 de 2001, el cual quedará así:</w:t>
      </w:r>
    </w:p>
    <w:p w14:paraId="1739D08B" w14:textId="77777777" w:rsidR="0010695C" w:rsidRPr="006969B3" w:rsidRDefault="0010695C" w:rsidP="00F65283">
      <w:pPr>
        <w:pStyle w:val="NormalWeb"/>
        <w:spacing w:before="0" w:beforeAutospacing="0" w:after="0" w:afterAutospacing="0"/>
        <w:jc w:val="both"/>
        <w:rPr>
          <w:rFonts w:ascii="Arial" w:hAnsi="Arial" w:cs="Arial"/>
          <w:sz w:val="22"/>
          <w:szCs w:val="22"/>
          <w:lang w:val="es-CO"/>
        </w:rPr>
      </w:pPr>
    </w:p>
    <w:p w14:paraId="5BA317D2" w14:textId="02DB0C8B"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w:t>
      </w:r>
      <w:r w:rsidRPr="000A2938">
        <w:rPr>
          <w:rFonts w:ascii="Arial" w:hAnsi="Arial" w:cs="Arial"/>
          <w:sz w:val="22"/>
          <w:szCs w:val="22"/>
          <w:lang w:val="es-CO"/>
        </w:rPr>
        <w:t>14</w:t>
      </w:r>
      <w:r w:rsidRPr="006969B3">
        <w:rPr>
          <w:rFonts w:ascii="Arial" w:hAnsi="Arial" w:cs="Arial"/>
          <w:sz w:val="22"/>
          <w:szCs w:val="22"/>
          <w:lang w:val="es-CO"/>
        </w:rPr>
        <w:t>. Cesión a título gratuito o enajenación de dominio de bienes fiscales. Las entidades públicas podrán transferir mediante cesión a título gratuito la propiedad de los bienes inmuebles fiscales o la porción de ellos, ocupados ilegalmente con mejoras y/o construcciones de destinación económica habitacional, siempre y cuando la ocupación ilegal haya sido efectuada por un hogar que cumpla con las condiciones para ser beneficiario del subsidio de vivienda de interés social y haya ocurrido de manera ininterrumpida con mínimo diez (10) años de anterioridad al inicio del procedimiento administrativo. La cesión gratuita se efectuará mediante resolución administrativa, la cual constituirá título de dominio y una vez inscrita en la correspondiente Oficina de Registro de Instrumentos Públicos, será plena prueba de la propiedad.</w:t>
      </w:r>
    </w:p>
    <w:p w14:paraId="39D5ADF6" w14:textId="77777777" w:rsidR="0010695C" w:rsidRPr="006969B3" w:rsidRDefault="0010695C" w:rsidP="00F65283">
      <w:pPr>
        <w:pStyle w:val="NormalWeb"/>
        <w:spacing w:before="0" w:beforeAutospacing="0" w:after="0" w:afterAutospacing="0"/>
        <w:jc w:val="both"/>
        <w:rPr>
          <w:rFonts w:ascii="Arial" w:hAnsi="Arial" w:cs="Arial"/>
          <w:sz w:val="22"/>
          <w:szCs w:val="22"/>
          <w:lang w:val="es-CO"/>
        </w:rPr>
      </w:pPr>
    </w:p>
    <w:p w14:paraId="1AD5C841" w14:textId="55E7D4A5"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En ningún caso procederá la cesión anterior tratándose de inmuebles con mejoras construidas sobre bienes de uso público o destinados a la salud y a la educación. Tampoco procederá cuando se trate de inmuebles ubicados en zonas insalubres o zonas de alto </w:t>
      </w:r>
      <w:r w:rsidRPr="006969B3">
        <w:rPr>
          <w:rFonts w:ascii="Arial" w:hAnsi="Arial" w:cs="Arial"/>
          <w:sz w:val="22"/>
          <w:szCs w:val="22"/>
          <w:lang w:val="es-CO"/>
        </w:rPr>
        <w:lastRenderedPageBreak/>
        <w:t>riesgo no mitigable o en suelo de protección, de conformidad con las disposiciones locales sobre la materia.</w:t>
      </w:r>
    </w:p>
    <w:p w14:paraId="0EBFB635" w14:textId="77777777" w:rsidR="0010695C" w:rsidRPr="006969B3" w:rsidRDefault="0010695C" w:rsidP="00F65283">
      <w:pPr>
        <w:pStyle w:val="NormalWeb"/>
        <w:spacing w:before="0" w:beforeAutospacing="0" w:after="0" w:afterAutospacing="0"/>
        <w:jc w:val="both"/>
        <w:rPr>
          <w:rStyle w:val="baj"/>
          <w:rFonts w:ascii="Arial" w:hAnsi="Arial" w:cs="Arial"/>
          <w:sz w:val="22"/>
          <w:szCs w:val="22"/>
          <w:lang w:val="es-CO"/>
        </w:rPr>
      </w:pPr>
    </w:p>
    <w:p w14:paraId="16702DD9" w14:textId="20022E87"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Para bienes inmuebles fiscales ocupados ilegalmente con mejoras que no cuenten con destinación económica habitacional, procederá la enajenación directa del predio fiscal por su valor catastral vigente a la fecha de la oferta. El Gobierno nacional reglamentará la materia.</w:t>
      </w:r>
    </w:p>
    <w:p w14:paraId="67E7887E" w14:textId="77777777" w:rsidR="0010695C" w:rsidRPr="006969B3" w:rsidRDefault="0010695C" w:rsidP="00F65283">
      <w:pPr>
        <w:pStyle w:val="NormalWeb"/>
        <w:spacing w:before="0" w:beforeAutospacing="0" w:after="0" w:afterAutospacing="0"/>
        <w:jc w:val="both"/>
        <w:rPr>
          <w:rStyle w:val="baj"/>
          <w:rFonts w:ascii="Arial" w:hAnsi="Arial" w:cs="Arial"/>
          <w:sz w:val="22"/>
          <w:szCs w:val="22"/>
          <w:lang w:val="es-CO"/>
        </w:rPr>
      </w:pPr>
    </w:p>
    <w:p w14:paraId="689B9534" w14:textId="7EACB2DA"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Para los procesos de cesión a título gratuito o enajenación de dominio de bienes fiscales, no aplicarán las restricciones de transferencia de derecho real o aquella que exige la residencia transcurridos diez (10) años desde la fecha de la transferencia, establecidas en el artículo </w:t>
      </w:r>
      <w:r w:rsidRPr="000A2938">
        <w:rPr>
          <w:rFonts w:ascii="Arial" w:hAnsi="Arial" w:cs="Arial"/>
          <w:sz w:val="22"/>
          <w:szCs w:val="22"/>
          <w:lang w:val="es-CO"/>
        </w:rPr>
        <w:t>21</w:t>
      </w:r>
      <w:r w:rsidRPr="006969B3">
        <w:rPr>
          <w:rFonts w:ascii="Arial" w:hAnsi="Arial" w:cs="Arial"/>
          <w:sz w:val="22"/>
          <w:szCs w:val="22"/>
          <w:lang w:val="es-CO"/>
        </w:rPr>
        <w:t> de la Ley 1537 de 2012.</w:t>
      </w:r>
    </w:p>
    <w:p w14:paraId="2D648D3C" w14:textId="77777777" w:rsidR="0010695C" w:rsidRPr="006969B3" w:rsidRDefault="0010695C" w:rsidP="00F65283">
      <w:pPr>
        <w:pStyle w:val="NormalWeb"/>
        <w:spacing w:before="0" w:beforeAutospacing="0" w:after="0" w:afterAutospacing="0"/>
        <w:jc w:val="both"/>
        <w:rPr>
          <w:rStyle w:val="baj"/>
          <w:rFonts w:ascii="Arial" w:hAnsi="Arial" w:cs="Arial"/>
          <w:sz w:val="22"/>
          <w:szCs w:val="22"/>
          <w:lang w:val="es-CO"/>
        </w:rPr>
      </w:pPr>
    </w:p>
    <w:p w14:paraId="33B7CEA6" w14:textId="386C4A20"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3o.</w:t>
      </w:r>
      <w:r w:rsidRPr="006969B3">
        <w:rPr>
          <w:rFonts w:ascii="Arial" w:hAnsi="Arial" w:cs="Arial"/>
          <w:sz w:val="22"/>
          <w:szCs w:val="22"/>
          <w:lang w:val="es-CO"/>
        </w:rPr>
        <w:t> En las resoluciones administrativas de transferencia mediante cesión a título gratuito, se constituirá patrimonio de familia inembargable.</w:t>
      </w:r>
    </w:p>
    <w:p w14:paraId="41BC9DE4" w14:textId="77777777" w:rsidR="0010695C" w:rsidRPr="006969B3" w:rsidRDefault="0010695C" w:rsidP="00F65283">
      <w:pPr>
        <w:pStyle w:val="NormalWeb"/>
        <w:spacing w:before="0" w:beforeAutospacing="0" w:after="0" w:afterAutospacing="0"/>
        <w:jc w:val="both"/>
        <w:rPr>
          <w:rStyle w:val="baj"/>
          <w:rFonts w:ascii="Arial" w:hAnsi="Arial" w:cs="Arial"/>
          <w:sz w:val="22"/>
          <w:szCs w:val="22"/>
          <w:lang w:val="es-CO"/>
        </w:rPr>
      </w:pPr>
    </w:p>
    <w:p w14:paraId="2D7F7938" w14:textId="058B07F3"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4o.</w:t>
      </w:r>
      <w:r w:rsidRPr="006969B3">
        <w:rPr>
          <w:rFonts w:ascii="Arial" w:hAnsi="Arial" w:cs="Arial"/>
          <w:sz w:val="22"/>
          <w:szCs w:val="22"/>
          <w:lang w:val="es-CO"/>
        </w:rPr>
        <w:t> La cesión de la que trata el presente artículo solo procederá siempre y cuando el beneficiario asuma y acredite el cumplimiento de las obligaciones fiscales pendientes de pago con la entidad territorial, generadas por el inmueble a titular por concepto de impuesto predial.</w:t>
      </w:r>
    </w:p>
    <w:p w14:paraId="72A88F43" w14:textId="77777777" w:rsidR="0010695C" w:rsidRPr="006969B3" w:rsidRDefault="0010695C" w:rsidP="00F65283">
      <w:pPr>
        <w:pStyle w:val="NormalWeb"/>
        <w:spacing w:before="0" w:beforeAutospacing="0" w:after="0" w:afterAutospacing="0"/>
        <w:jc w:val="both"/>
        <w:rPr>
          <w:rStyle w:val="baj"/>
          <w:rFonts w:ascii="Arial" w:hAnsi="Arial" w:cs="Arial"/>
          <w:sz w:val="22"/>
          <w:szCs w:val="22"/>
          <w:lang w:val="es-CO"/>
        </w:rPr>
      </w:pPr>
    </w:p>
    <w:p w14:paraId="0E5A14B1" w14:textId="7C01F889"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5o.</w:t>
      </w:r>
      <w:r w:rsidRPr="006969B3">
        <w:rPr>
          <w:rFonts w:ascii="Arial" w:hAnsi="Arial" w:cs="Arial"/>
          <w:sz w:val="22"/>
          <w:szCs w:val="22"/>
          <w:lang w:val="es-CO"/>
        </w:rPr>
        <w:t> Las administraciones municipales o distritales podrán suprimir de los registros y cuentas de los contribuyentes de su jurisdicción mediante los procedimientos de saneamiento contable, las deudas a cargo del cedente por conceptos de tributos a la propiedad raíz respecto al bien cedido en el marco de este artículo.</w:t>
      </w:r>
    </w:p>
    <w:p w14:paraId="30D87862" w14:textId="588F0750" w:rsidR="003B1677" w:rsidRPr="006969B3" w:rsidRDefault="003B1677" w:rsidP="00F65283">
      <w:pPr>
        <w:spacing w:after="0" w:line="240" w:lineRule="auto"/>
        <w:rPr>
          <w:rFonts w:ascii="Arial" w:hAnsi="Arial" w:cs="Arial"/>
          <w:lang w:val="es-CO"/>
        </w:rPr>
      </w:pPr>
    </w:p>
    <w:p w14:paraId="7B8F1646" w14:textId="77777777" w:rsidR="003B1677" w:rsidRPr="006969B3" w:rsidRDefault="003B1677" w:rsidP="00F65283">
      <w:pPr>
        <w:pStyle w:val="NormalWeb"/>
        <w:spacing w:before="0" w:beforeAutospacing="0" w:after="0" w:afterAutospacing="0"/>
        <w:jc w:val="both"/>
        <w:rPr>
          <w:rFonts w:ascii="Arial" w:hAnsi="Arial" w:cs="Arial"/>
          <w:sz w:val="22"/>
          <w:szCs w:val="22"/>
          <w:lang w:val="es-CO"/>
        </w:rPr>
      </w:pPr>
      <w:bookmarkStart w:id="296" w:name="278"/>
      <w:r w:rsidRPr="006969B3">
        <w:rPr>
          <w:rFonts w:ascii="Arial" w:hAnsi="Arial" w:cs="Arial"/>
          <w:sz w:val="22"/>
          <w:szCs w:val="22"/>
          <w:lang w:val="es-CO"/>
        </w:rPr>
        <w:t>ARTÍCULO 278. INSTRUMENTO PARA LA FINANCIACIÓN DE LA RENOVACIÓN URBANA.</w:t>
      </w:r>
      <w:bookmarkEnd w:id="296"/>
      <w:r w:rsidRPr="006969B3">
        <w:rPr>
          <w:rFonts w:ascii="Arial" w:hAnsi="Arial" w:cs="Arial"/>
          <w:sz w:val="22"/>
          <w:szCs w:val="22"/>
          <w:lang w:val="es-CO"/>
        </w:rPr>
        <w:t> Los municipios de categorías especial, 1 y 2, que gestionen sus propios catastros directamente o a través de esquemas asociativos territoriales y que cumplan con criterios de eficiencia en el recaudo del impuesto predial definidos por el Gobierno nacional, podrán financiar infraestructura urbana vinculada a los proyectos estratégicos de renovación urbana contemplados en sus planes de ordenamiento territorial y planes de desarrollo territorial, a través de la titularización de la totalidad o parte de los mayores valores de recaudo futuro del impuesto predial que se genere en las zonas de influencia de los respectivos proyectos estratégicos de renovación urbana durante el período necesario para cubrir el monto de la emisión.</w:t>
      </w:r>
    </w:p>
    <w:p w14:paraId="7736E61D" w14:textId="77777777" w:rsidR="0010695C" w:rsidRPr="006969B3" w:rsidRDefault="0010695C" w:rsidP="00F65283">
      <w:pPr>
        <w:pStyle w:val="NormalWeb"/>
        <w:spacing w:before="0" w:beforeAutospacing="0" w:after="0" w:afterAutospacing="0"/>
        <w:jc w:val="both"/>
        <w:rPr>
          <w:rFonts w:ascii="Arial" w:hAnsi="Arial" w:cs="Arial"/>
          <w:sz w:val="22"/>
          <w:szCs w:val="22"/>
          <w:lang w:val="es-CO"/>
        </w:rPr>
      </w:pPr>
    </w:p>
    <w:p w14:paraId="3B5670FE" w14:textId="6C0CBC6F"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Para estos efectos, el mayor valor del recaudo futuro del impuesto predial que se genere en las zonas de influencia de los respectivos proyectos estratégicos de renovación urbana se cederá como aporte de la entidad territorial a los patrimonios autónomos autorizados por el artículo </w:t>
      </w:r>
      <w:r w:rsidRPr="000A2938">
        <w:rPr>
          <w:rFonts w:ascii="Arial" w:hAnsi="Arial" w:cs="Arial"/>
          <w:sz w:val="22"/>
          <w:szCs w:val="22"/>
          <w:lang w:val="es-CO"/>
        </w:rPr>
        <w:t>121</w:t>
      </w:r>
      <w:r w:rsidRPr="006969B3">
        <w:rPr>
          <w:rFonts w:ascii="Arial" w:hAnsi="Arial" w:cs="Arial"/>
          <w:sz w:val="22"/>
          <w:szCs w:val="22"/>
          <w:lang w:val="es-CO"/>
        </w:rPr>
        <w:t> de la Ley 1450 de 2011, los cuales podrán realizar la respectiva titularización y ejecutar el proyecto de renovación urbana, sin sujeción a la limitación prevista en el artículo </w:t>
      </w:r>
      <w:r w:rsidRPr="000A2938">
        <w:rPr>
          <w:rFonts w:ascii="Arial" w:hAnsi="Arial" w:cs="Arial"/>
          <w:sz w:val="22"/>
          <w:szCs w:val="22"/>
          <w:lang w:val="es-CO"/>
        </w:rPr>
        <w:t>76</w:t>
      </w:r>
      <w:r w:rsidRPr="006969B3">
        <w:rPr>
          <w:rFonts w:ascii="Arial" w:hAnsi="Arial" w:cs="Arial"/>
          <w:sz w:val="22"/>
          <w:szCs w:val="22"/>
          <w:lang w:val="es-CO"/>
        </w:rPr>
        <w:t> de la Ley 617 de 2000. Tales recursos se considerarán como un menor valor del ingreso por concepto de impuesto predial, se descontarán de la capacidad de endeudamiento y por ende no se reflejarán en el presupuesto de gastos de la entidad territorial.</w:t>
      </w:r>
    </w:p>
    <w:p w14:paraId="3F690998" w14:textId="77777777" w:rsidR="0010695C" w:rsidRPr="006969B3" w:rsidRDefault="0010695C" w:rsidP="00F65283">
      <w:pPr>
        <w:pStyle w:val="NormalWeb"/>
        <w:spacing w:before="0" w:beforeAutospacing="0" w:after="0" w:afterAutospacing="0"/>
        <w:jc w:val="both"/>
        <w:rPr>
          <w:rFonts w:ascii="Arial" w:hAnsi="Arial" w:cs="Arial"/>
          <w:sz w:val="22"/>
          <w:szCs w:val="22"/>
          <w:lang w:val="es-CO"/>
        </w:rPr>
      </w:pPr>
    </w:p>
    <w:p w14:paraId="7E3999F6" w14:textId="1026E698"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Para la autorización de la titularización del recaudo futuro del impuesto predial y del aporte al fideicomiso de las rentas a ceder para el desarrollo de los proyectos, por parte de los concejos municipales o distritales, las entidades territoriales deberán aplicar los procedimientos que defina el Gobierno nacional para el control de riesgos, definición de </w:t>
      </w:r>
      <w:r w:rsidRPr="006969B3">
        <w:rPr>
          <w:rFonts w:ascii="Arial" w:hAnsi="Arial" w:cs="Arial"/>
          <w:sz w:val="22"/>
          <w:szCs w:val="22"/>
          <w:lang w:val="es-CO"/>
        </w:rPr>
        <w:lastRenderedPageBreak/>
        <w:t>proyecto estratégico, validación de la necesidad del instrumento, y validación de la insuficiencia de los demás instrumentos de captura de valor autorizados para financiar parte de la infraestructura urbana vinculada a proyectos estratégicos de renovación urbana; así como los criterios de eficiencia en el recaudo del impuesto predial.</w:t>
      </w:r>
    </w:p>
    <w:p w14:paraId="4CD2C152" w14:textId="77777777" w:rsidR="0010695C" w:rsidRPr="006969B3" w:rsidRDefault="0010695C" w:rsidP="00F65283">
      <w:pPr>
        <w:pStyle w:val="NormalWeb"/>
        <w:spacing w:before="0" w:beforeAutospacing="0" w:after="0" w:afterAutospacing="0"/>
        <w:jc w:val="both"/>
        <w:rPr>
          <w:rStyle w:val="baj"/>
          <w:rFonts w:ascii="Arial" w:hAnsi="Arial" w:cs="Arial"/>
          <w:sz w:val="22"/>
          <w:szCs w:val="22"/>
          <w:lang w:val="es-CO"/>
        </w:rPr>
      </w:pPr>
    </w:p>
    <w:p w14:paraId="02D45C78" w14:textId="560B2BA2"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Los procesos de titularización de que trata el presente artículo quedarán excluidos de la autorización del Ministerio de Hacienda y Crédito Público a que hace referencia el inciso 2 del artículo </w:t>
      </w:r>
      <w:r w:rsidRPr="000A2938">
        <w:rPr>
          <w:rFonts w:ascii="Arial" w:hAnsi="Arial" w:cs="Arial"/>
          <w:sz w:val="22"/>
          <w:szCs w:val="22"/>
          <w:lang w:val="es-CO"/>
        </w:rPr>
        <w:t>3o</w:t>
      </w:r>
      <w:r w:rsidRPr="006969B3">
        <w:rPr>
          <w:rFonts w:ascii="Arial" w:hAnsi="Arial" w:cs="Arial"/>
          <w:sz w:val="22"/>
          <w:szCs w:val="22"/>
          <w:lang w:val="es-CO"/>
        </w:rPr>
        <w:t> de la Ley 358 de 1997.</w:t>
      </w:r>
    </w:p>
    <w:p w14:paraId="27EC22DD" w14:textId="6C4314E0" w:rsidR="003B1677" w:rsidRPr="006969B3" w:rsidRDefault="003B1677" w:rsidP="00F65283">
      <w:pPr>
        <w:spacing w:after="0" w:line="240" w:lineRule="auto"/>
        <w:rPr>
          <w:rFonts w:ascii="Arial" w:hAnsi="Arial" w:cs="Arial"/>
          <w:lang w:val="es-CO"/>
        </w:rPr>
      </w:pPr>
    </w:p>
    <w:p w14:paraId="290245C4" w14:textId="77777777" w:rsidR="003B1677" w:rsidRPr="006969B3" w:rsidRDefault="003B1677" w:rsidP="00F65283">
      <w:pPr>
        <w:pStyle w:val="NormalWeb"/>
        <w:spacing w:before="0" w:beforeAutospacing="0" w:after="0" w:afterAutospacing="0"/>
        <w:jc w:val="both"/>
        <w:rPr>
          <w:rFonts w:ascii="Arial" w:hAnsi="Arial" w:cs="Arial"/>
          <w:sz w:val="22"/>
          <w:szCs w:val="22"/>
          <w:lang w:val="es-CO"/>
        </w:rPr>
      </w:pPr>
      <w:bookmarkStart w:id="297" w:name="279"/>
      <w:r w:rsidRPr="006969B3">
        <w:rPr>
          <w:rFonts w:ascii="Arial" w:hAnsi="Arial" w:cs="Arial"/>
          <w:sz w:val="22"/>
          <w:szCs w:val="22"/>
          <w:lang w:val="es-CO"/>
        </w:rPr>
        <w:t>ARTÍCULO 279. DOTACIÓN DE SOLUCIONES ADECUADAS DE AGUA PARA CONSUMO HUMANO Y DOMÉSTICO, MANEJO DE AGUAS RESIDUALES Y RESIDUOS SÓLIDOS EN ÁREAS URBANAS DE DIFÍCIL GESTIÓN Y EN ZONAS RURALES.</w:t>
      </w:r>
      <w:bookmarkEnd w:id="297"/>
      <w:r w:rsidRPr="006969B3">
        <w:rPr>
          <w:rFonts w:ascii="Arial" w:hAnsi="Arial" w:cs="Arial"/>
          <w:sz w:val="22"/>
          <w:szCs w:val="22"/>
          <w:lang w:val="es-CO"/>
        </w:rPr>
        <w:t> Los municipios y distritos deben asegurar la atención de las necesidades básicas de agua para consumo humano y doméstico y de saneamiento básico de los asentamientos humanos de áreas urbanas de difícil gestión, y en zonas rurales, implementando soluciones alternativas colectivas o individuales, o mediante la prestación del servicio público domiciliario de acueducto, alcantarillado o aseo, de acuerdo con los esquemas diferenciales definidos por el Gobierno nacional y la reglamentación vigente en la materia.</w:t>
      </w:r>
    </w:p>
    <w:p w14:paraId="33C2DCAC" w14:textId="77777777" w:rsidR="0010695C" w:rsidRPr="006969B3" w:rsidRDefault="0010695C" w:rsidP="00F65283">
      <w:pPr>
        <w:pStyle w:val="NormalWeb"/>
        <w:spacing w:before="0" w:beforeAutospacing="0" w:after="0" w:afterAutospacing="0"/>
        <w:jc w:val="both"/>
        <w:rPr>
          <w:rFonts w:ascii="Arial" w:hAnsi="Arial" w:cs="Arial"/>
          <w:sz w:val="22"/>
          <w:szCs w:val="22"/>
          <w:lang w:val="es-CO"/>
        </w:rPr>
      </w:pPr>
    </w:p>
    <w:p w14:paraId="573B33A3" w14:textId="165E1E73"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Con el fin de orientar la dotación de infraestructura básica de servicios públicos domiciliarios o de soluciones alternativas, el Ministerio de Vivienda, Ciudad y Territorio establecerá lo que debe entenderse por asentamientos humanos rurales y viviendas rurales dispersas que hacen parte del componente rural del Plan de Ordenamiento Territorial. Las autoridades ambientales y sanitarias y la Superintendencia de Servicios Públicos Domiciliarios definirán criterios de vigilancia y control diferencial para quienes, de acuerdo con sus competencias provean el servicio de agua potable.</w:t>
      </w:r>
    </w:p>
    <w:p w14:paraId="56F8ED15" w14:textId="77777777" w:rsidR="0010695C" w:rsidRPr="006969B3" w:rsidRDefault="0010695C" w:rsidP="00F65283">
      <w:pPr>
        <w:pStyle w:val="NormalWeb"/>
        <w:spacing w:before="0" w:beforeAutospacing="0" w:after="0" w:afterAutospacing="0"/>
        <w:jc w:val="both"/>
        <w:rPr>
          <w:rFonts w:ascii="Arial" w:hAnsi="Arial" w:cs="Arial"/>
          <w:sz w:val="22"/>
          <w:szCs w:val="22"/>
          <w:lang w:val="es-CO"/>
        </w:rPr>
      </w:pPr>
    </w:p>
    <w:p w14:paraId="1538E057" w14:textId="5598837B"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No obstante, este uso deberá ser inscrito en el Registro de Usuarios del Recurso Hídrico, bajo el entendido de que la autorización en el presente </w:t>
      </w:r>
      <w:proofErr w:type="gramStart"/>
      <w:r w:rsidRPr="006969B3">
        <w:rPr>
          <w:rFonts w:ascii="Arial" w:hAnsi="Arial" w:cs="Arial"/>
          <w:sz w:val="22"/>
          <w:szCs w:val="22"/>
          <w:lang w:val="es-CO"/>
        </w:rPr>
        <w:t>inciso,</w:t>
      </w:r>
      <w:proofErr w:type="gramEnd"/>
      <w:r w:rsidRPr="006969B3">
        <w:rPr>
          <w:rFonts w:ascii="Arial" w:hAnsi="Arial" w:cs="Arial"/>
          <w:sz w:val="22"/>
          <w:szCs w:val="22"/>
          <w:lang w:val="es-CO"/>
        </w:rPr>
        <w:t xml:space="preserve"> sustituye la respectiva concesión. Las soluciones individuales de saneamiento básico para el tratamiento de las aguas residuales domésticas provenientes de viviendas rurales dispersas que sean diseñados bajo los parámetros definidos en el reglamento técnico del sector de agua potable y saneamiento básico no requerirán permiso de vertimientos al suelo; no </w:t>
      </w:r>
      <w:proofErr w:type="gramStart"/>
      <w:r w:rsidRPr="006969B3">
        <w:rPr>
          <w:rFonts w:ascii="Arial" w:hAnsi="Arial" w:cs="Arial"/>
          <w:sz w:val="22"/>
          <w:szCs w:val="22"/>
          <w:lang w:val="es-CO"/>
        </w:rPr>
        <w:t>obstante</w:t>
      </w:r>
      <w:proofErr w:type="gramEnd"/>
      <w:r w:rsidRPr="006969B3">
        <w:rPr>
          <w:rFonts w:ascii="Arial" w:hAnsi="Arial" w:cs="Arial"/>
          <w:sz w:val="22"/>
          <w:szCs w:val="22"/>
          <w:lang w:val="es-CO"/>
        </w:rPr>
        <w:t xml:space="preserve"> deberán ser registro de vertimientos al suelo que para tales efectos reglamente el Gobierno nacional. Esta excepción no aplica para hacer vertimientos directos de aguas residuales a cuerpos de aguas superficiales, subterráneas o marinas.</w:t>
      </w:r>
    </w:p>
    <w:p w14:paraId="3704D94C" w14:textId="77777777" w:rsidR="0010695C" w:rsidRPr="006969B3" w:rsidRDefault="0010695C" w:rsidP="00F65283">
      <w:pPr>
        <w:pStyle w:val="NormalWeb"/>
        <w:spacing w:before="0" w:beforeAutospacing="0" w:after="0" w:afterAutospacing="0"/>
        <w:jc w:val="both"/>
        <w:rPr>
          <w:rFonts w:ascii="Arial" w:hAnsi="Arial" w:cs="Arial"/>
          <w:sz w:val="22"/>
          <w:szCs w:val="22"/>
          <w:lang w:val="es-CO"/>
        </w:rPr>
      </w:pPr>
    </w:p>
    <w:p w14:paraId="42032134" w14:textId="26AC31F2"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 Infraestructura de agua para consumo humano y doméstico o de saneamiento básico en zonas rurales, podrá ser entregada de manera directa para operación y mantenimiento, como aporte bajo condición, a las comunidades organizadas beneficiadas con la infraestructura, de acuerdo con la reglamentación que para tal efecto expida el Gobierno nacional.</w:t>
      </w:r>
    </w:p>
    <w:p w14:paraId="36E9FAE3" w14:textId="77777777" w:rsidR="0010695C" w:rsidRPr="006969B3" w:rsidRDefault="0010695C" w:rsidP="00F65283">
      <w:pPr>
        <w:pStyle w:val="NormalWeb"/>
        <w:spacing w:before="0" w:beforeAutospacing="0" w:after="0" w:afterAutospacing="0"/>
        <w:jc w:val="both"/>
        <w:rPr>
          <w:rStyle w:val="baj"/>
          <w:rFonts w:ascii="Arial" w:hAnsi="Arial" w:cs="Arial"/>
          <w:sz w:val="22"/>
          <w:szCs w:val="22"/>
          <w:lang w:val="es-CO"/>
        </w:rPr>
      </w:pPr>
    </w:p>
    <w:p w14:paraId="0D1D9931" w14:textId="5010FDEB"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El uso del agua para consumo humano y doméstico en viviendas rurales dispersas deberá hacerse con criterios de ahorro y uso eficiente del recurso hídrico, teniendo en cuenta los módulos de consumo establecidos por la autoridad ambiental competente.</w:t>
      </w:r>
    </w:p>
    <w:p w14:paraId="4E07984A" w14:textId="77777777" w:rsidR="0010695C" w:rsidRPr="006969B3" w:rsidRDefault="0010695C" w:rsidP="00F65283">
      <w:pPr>
        <w:pStyle w:val="NormalWeb"/>
        <w:spacing w:before="0" w:beforeAutospacing="0" w:after="0" w:afterAutospacing="0"/>
        <w:jc w:val="both"/>
        <w:rPr>
          <w:rStyle w:val="baj"/>
          <w:rFonts w:ascii="Arial" w:hAnsi="Arial" w:cs="Arial"/>
          <w:sz w:val="22"/>
          <w:szCs w:val="22"/>
          <w:lang w:val="es-CO"/>
        </w:rPr>
      </w:pPr>
    </w:p>
    <w:p w14:paraId="438AA359" w14:textId="494A9A20"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xml:space="preserve"> Las excepciones que en el presente artículo se hacen en favor de las viviendas rurales dispersas no aplican a otros usos diferentes al consumo humano y doméstico, ni a parcelaciones campestres o infraestructura de servicios públicos o privados </w:t>
      </w:r>
      <w:r w:rsidRPr="006969B3">
        <w:rPr>
          <w:rFonts w:ascii="Arial" w:hAnsi="Arial" w:cs="Arial"/>
          <w:sz w:val="22"/>
          <w:szCs w:val="22"/>
          <w:lang w:val="es-CO"/>
        </w:rPr>
        <w:lastRenderedPageBreak/>
        <w:t>ubicada en zonas rurales. Tampoco aplica a los acueductos que se establezcan para prestar el servicio de agua potable a viviendas rurales dispersas.</w:t>
      </w:r>
    </w:p>
    <w:p w14:paraId="38A9702A" w14:textId="298E5558" w:rsidR="003B1677" w:rsidRPr="006969B3" w:rsidRDefault="003B1677" w:rsidP="00F65283">
      <w:pPr>
        <w:spacing w:after="0" w:line="240" w:lineRule="auto"/>
        <w:rPr>
          <w:rFonts w:ascii="Arial" w:hAnsi="Arial" w:cs="Arial"/>
          <w:lang w:val="es-CO"/>
        </w:rPr>
      </w:pPr>
    </w:p>
    <w:p w14:paraId="5740C523" w14:textId="5ADD8614" w:rsidR="003B1677" w:rsidRPr="006969B3" w:rsidRDefault="003B1677" w:rsidP="00F65283">
      <w:pPr>
        <w:pStyle w:val="NormalWeb"/>
        <w:spacing w:before="0" w:beforeAutospacing="0" w:after="0" w:afterAutospacing="0"/>
        <w:jc w:val="both"/>
        <w:rPr>
          <w:rFonts w:ascii="Arial" w:hAnsi="Arial" w:cs="Arial"/>
          <w:sz w:val="22"/>
          <w:szCs w:val="22"/>
          <w:lang w:val="es-CO"/>
        </w:rPr>
      </w:pPr>
      <w:bookmarkStart w:id="298" w:name="280"/>
      <w:r w:rsidRPr="006969B3">
        <w:rPr>
          <w:rFonts w:ascii="Arial" w:hAnsi="Arial" w:cs="Arial"/>
          <w:sz w:val="22"/>
          <w:szCs w:val="22"/>
          <w:lang w:val="es-CO"/>
        </w:rPr>
        <w:t>ARTÍCULO 280. DESTINACIÓN DE LOS RECURSOS DE LA PARTICIPACIÓN DE AGUA POTABLE Y SANEAMIENTO BÁSICO EN LOS DISTRITOS Y MUNICIPIOS.</w:t>
      </w:r>
      <w:bookmarkEnd w:id="298"/>
      <w:r w:rsidRPr="006969B3">
        <w:rPr>
          <w:rFonts w:ascii="Arial" w:hAnsi="Arial" w:cs="Arial"/>
          <w:sz w:val="22"/>
          <w:szCs w:val="22"/>
          <w:lang w:val="es-CO"/>
        </w:rPr>
        <w:t> Modifíquese el literal h) del artículo </w:t>
      </w:r>
      <w:r w:rsidRPr="000A2938">
        <w:rPr>
          <w:rFonts w:ascii="Arial" w:hAnsi="Arial" w:cs="Arial"/>
          <w:sz w:val="22"/>
          <w:szCs w:val="22"/>
          <w:lang w:val="es-CO"/>
        </w:rPr>
        <w:t>11</w:t>
      </w:r>
      <w:r w:rsidRPr="006969B3">
        <w:rPr>
          <w:rFonts w:ascii="Arial" w:hAnsi="Arial" w:cs="Arial"/>
          <w:sz w:val="22"/>
          <w:szCs w:val="22"/>
          <w:lang w:val="es-CO"/>
        </w:rPr>
        <w:t> de la Ley 1176 de 2007, el cual quedará así:</w:t>
      </w:r>
    </w:p>
    <w:p w14:paraId="5A049B27" w14:textId="77777777" w:rsidR="0010695C" w:rsidRPr="006969B3" w:rsidRDefault="0010695C" w:rsidP="00F65283">
      <w:pPr>
        <w:pStyle w:val="NormalWeb"/>
        <w:spacing w:before="0" w:beforeAutospacing="0" w:after="0" w:afterAutospacing="0"/>
        <w:jc w:val="both"/>
        <w:rPr>
          <w:rFonts w:ascii="Arial" w:hAnsi="Arial" w:cs="Arial"/>
          <w:sz w:val="22"/>
          <w:szCs w:val="22"/>
          <w:lang w:val="es-CO"/>
        </w:rPr>
      </w:pPr>
    </w:p>
    <w:p w14:paraId="6AD7AD4C" w14:textId="466CE11B"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h) Adquisición de los equipos requeridos y pago del servicio de energía por concepto de la operación de los sistemas de acueducto y alcantarillado en los municipios de categorías 5 y 6 que presten directamente estos servicios, conforme a la reglamentación que establezca el Gobierno nacional, siempre y cuando estos costos no estén incluidos en las tarifas cobradas a los usuarios.</w:t>
      </w:r>
    </w:p>
    <w:p w14:paraId="6F2037CA" w14:textId="40162885" w:rsidR="003B1677" w:rsidRPr="006969B3" w:rsidRDefault="003B1677" w:rsidP="00F65283">
      <w:pPr>
        <w:spacing w:after="0" w:line="240" w:lineRule="auto"/>
        <w:rPr>
          <w:rFonts w:ascii="Arial" w:hAnsi="Arial" w:cs="Arial"/>
          <w:lang w:val="es-CO"/>
        </w:rPr>
      </w:pPr>
    </w:p>
    <w:p w14:paraId="420931E6" w14:textId="4914F2DF" w:rsidR="003B1677" w:rsidRPr="006969B3" w:rsidRDefault="003B1677" w:rsidP="00F65283">
      <w:pPr>
        <w:pStyle w:val="NormalWeb"/>
        <w:spacing w:before="0" w:beforeAutospacing="0" w:after="0" w:afterAutospacing="0"/>
        <w:jc w:val="both"/>
        <w:rPr>
          <w:rFonts w:ascii="Arial" w:hAnsi="Arial" w:cs="Arial"/>
          <w:sz w:val="22"/>
          <w:szCs w:val="22"/>
          <w:lang w:val="es-CO"/>
        </w:rPr>
      </w:pPr>
      <w:bookmarkStart w:id="299" w:name="281"/>
      <w:r w:rsidRPr="006969B3">
        <w:rPr>
          <w:rFonts w:ascii="Arial" w:hAnsi="Arial" w:cs="Arial"/>
          <w:sz w:val="22"/>
          <w:szCs w:val="22"/>
          <w:lang w:val="es-CO"/>
        </w:rPr>
        <w:t>ARTÍCULO 281. HOJA DE RUTA ÚNICA.</w:t>
      </w:r>
      <w:bookmarkEnd w:id="299"/>
      <w:r w:rsidRPr="006969B3">
        <w:rPr>
          <w:rFonts w:ascii="Arial" w:hAnsi="Arial" w:cs="Arial"/>
          <w:sz w:val="22"/>
          <w:szCs w:val="22"/>
          <w:lang w:val="es-CO"/>
        </w:rPr>
        <w:t> Créase la Hoja de Ruta para la implementación de la política de estabilización como una herramienta que articule los instrumentos derivados del Acuerdo Final, (Plan de Acción de Transformación Regional, Planes Nacionales Sectoriales, Planes Integrales de Sustitución y Desarrollo Alternativo, Planes Integrales de Reparación Colectiva, y el Plan Marco de Implementación cuando haya lugar) los planes de las Zonas Estratégicas de Intervención Integral donde coincidan territorial y temporalmente los planes y programas sectoriales y territoriales, así como con los mecanismos de financiación y de ejecución para garantizar la concurrencia de entidades, de recursos y consolidar la acción coordinada del Gobierno nacional, las autoridades locales, la participación del sector privado y la cooperación internacional, entre otros, en los 170 municipios que componen las 16 subregiones PDET definidas en el Decreto-ley </w:t>
      </w:r>
      <w:r w:rsidRPr="000A2938">
        <w:rPr>
          <w:rFonts w:ascii="Arial" w:hAnsi="Arial" w:cs="Arial"/>
          <w:sz w:val="22"/>
          <w:szCs w:val="22"/>
          <w:lang w:val="es-CO"/>
        </w:rPr>
        <w:t>893</w:t>
      </w:r>
      <w:r w:rsidRPr="006969B3">
        <w:rPr>
          <w:rFonts w:ascii="Arial" w:hAnsi="Arial" w:cs="Arial"/>
          <w:sz w:val="22"/>
          <w:szCs w:val="22"/>
          <w:lang w:val="es-CO"/>
        </w:rPr>
        <w:t> de 2017. La coordinación de la Hoja de Ruta estará a cargo de la Consejería para la Estabilización y la Consolidación, o quien haga sus veces, con el acompañamiento técnico del Departamento Nacional de Planeación y la Agencia para la Renovación del Territorio. Esta Hoja de Ruta deberá tener un acuerdo de inversión y cronograma de ejecución anualizado por cada subregión, en el cual se identifiquen los proyectos, responsables, compromisos, fuentes de financiación y recursos apropiados en las entidades competentes del orden nacional y en las entidades territoriales, de acuerdo con sus competencias y autonomía. Los proyectos definidos como de impacto regional podrán ser gestionados a través de los pactos territoriales, en concordancia con el artículo </w:t>
      </w:r>
      <w:r w:rsidRPr="000A2938">
        <w:rPr>
          <w:rFonts w:ascii="Arial" w:hAnsi="Arial" w:cs="Arial"/>
          <w:sz w:val="22"/>
          <w:szCs w:val="22"/>
          <w:lang w:val="es-CO"/>
        </w:rPr>
        <w:t>250</w:t>
      </w:r>
      <w:r w:rsidRPr="006969B3">
        <w:rPr>
          <w:rFonts w:ascii="Arial" w:hAnsi="Arial" w:cs="Arial"/>
          <w:sz w:val="22"/>
          <w:szCs w:val="22"/>
          <w:lang w:val="es-CO"/>
        </w:rPr>
        <w:t> de la presente ley.</w:t>
      </w:r>
    </w:p>
    <w:p w14:paraId="51855C4C" w14:textId="77777777" w:rsidR="00274B87" w:rsidRPr="006969B3" w:rsidRDefault="00274B87" w:rsidP="00F65283">
      <w:pPr>
        <w:pStyle w:val="NormalWeb"/>
        <w:spacing w:before="0" w:beforeAutospacing="0" w:after="0" w:afterAutospacing="0"/>
        <w:jc w:val="both"/>
        <w:rPr>
          <w:rFonts w:ascii="Arial" w:hAnsi="Arial" w:cs="Arial"/>
          <w:sz w:val="22"/>
          <w:szCs w:val="22"/>
          <w:lang w:val="es-CO"/>
        </w:rPr>
      </w:pPr>
    </w:p>
    <w:p w14:paraId="75CC2595" w14:textId="77777777"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 Consejería para la Estabilización y la Consolidación dará los lineamientos para la articulación de los acuerdos y proyectos de inversión incluidos en la Hoja de Ruta, así como para la planeación de largo plazo, de acuerdo con las metas del Plan Nacional de Desarrollo y los compromisos del Plan Marco de Implementación (PMI).</w:t>
      </w:r>
    </w:p>
    <w:p w14:paraId="4458C4A4" w14:textId="77777777" w:rsidR="0010695C" w:rsidRPr="006969B3" w:rsidRDefault="0010695C" w:rsidP="00F65283">
      <w:pPr>
        <w:pStyle w:val="NormalWeb"/>
        <w:spacing w:before="0" w:beforeAutospacing="0" w:after="0" w:afterAutospacing="0"/>
        <w:jc w:val="both"/>
        <w:rPr>
          <w:rFonts w:ascii="Arial" w:hAnsi="Arial" w:cs="Arial"/>
          <w:sz w:val="22"/>
          <w:szCs w:val="22"/>
          <w:lang w:val="es-CO"/>
        </w:rPr>
      </w:pPr>
    </w:p>
    <w:p w14:paraId="33CACDF3" w14:textId="73E57224"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La Consejería para la Estabilización y la Consolidación, o el funcionario que designe el </w:t>
      </w:r>
      <w:proofErr w:type="gramStart"/>
      <w:r w:rsidRPr="006969B3">
        <w:rPr>
          <w:rFonts w:ascii="Arial" w:hAnsi="Arial" w:cs="Arial"/>
          <w:sz w:val="22"/>
          <w:szCs w:val="22"/>
          <w:lang w:val="es-CO"/>
        </w:rPr>
        <w:t>Presidente</w:t>
      </w:r>
      <w:proofErr w:type="gramEnd"/>
      <w:r w:rsidRPr="006969B3">
        <w:rPr>
          <w:rFonts w:ascii="Arial" w:hAnsi="Arial" w:cs="Arial"/>
          <w:sz w:val="22"/>
          <w:szCs w:val="22"/>
          <w:lang w:val="es-CO"/>
        </w:rPr>
        <w:t xml:space="preserve"> de la República, formará parte del OCAD PAZ con voz y voto. Los proyectos que se financien con cargo a los recursos del OCAD PAZ, deben orientarse al desarrollo de las inversiones previstas en la Hoja de Ruta en los municipios PDET, promoviendo la eficiencia en la utilización de los recursos públicos y complementando la oferta interinstitucional del Gobierno nacional.</w:t>
      </w:r>
    </w:p>
    <w:p w14:paraId="744397CC" w14:textId="77777777" w:rsidR="0010695C" w:rsidRPr="006969B3" w:rsidRDefault="0010695C" w:rsidP="00F65283">
      <w:pPr>
        <w:pStyle w:val="NormalWeb"/>
        <w:spacing w:before="0" w:beforeAutospacing="0" w:after="0" w:afterAutospacing="0"/>
        <w:jc w:val="both"/>
        <w:rPr>
          <w:rStyle w:val="baj"/>
          <w:rFonts w:ascii="Arial" w:hAnsi="Arial" w:cs="Arial"/>
          <w:sz w:val="22"/>
          <w:szCs w:val="22"/>
          <w:lang w:val="es-CO"/>
        </w:rPr>
      </w:pPr>
    </w:p>
    <w:p w14:paraId="064BB0D5" w14:textId="41FECC84"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Los planes para las Zonas Estratégicas de Intervención Integral (ZEII), creadas mediante la Ley </w:t>
      </w:r>
      <w:r w:rsidRPr="000A2938">
        <w:rPr>
          <w:rFonts w:ascii="Arial" w:hAnsi="Arial" w:cs="Arial"/>
          <w:sz w:val="22"/>
          <w:szCs w:val="22"/>
          <w:lang w:val="es-CO"/>
        </w:rPr>
        <w:t>1941</w:t>
      </w:r>
      <w:r w:rsidRPr="006969B3">
        <w:rPr>
          <w:rFonts w:ascii="Arial" w:hAnsi="Arial" w:cs="Arial"/>
          <w:sz w:val="22"/>
          <w:szCs w:val="22"/>
          <w:lang w:val="es-CO"/>
        </w:rPr>
        <w:t> de 2018, en las zonas en que coincidan con PDET, deberán coordinarse con la Consejería para la Estabilización y la Consolidación y construirse a partir de los resultados de los procesos participativos de los Planes de Acción para la Transformación Regional.</w:t>
      </w:r>
    </w:p>
    <w:p w14:paraId="4B505A5C" w14:textId="77777777" w:rsidR="0010695C" w:rsidRPr="006969B3" w:rsidRDefault="0010695C" w:rsidP="00F65283">
      <w:pPr>
        <w:pStyle w:val="NormalWeb"/>
        <w:spacing w:before="0" w:beforeAutospacing="0" w:after="0" w:afterAutospacing="0"/>
        <w:jc w:val="both"/>
        <w:rPr>
          <w:rStyle w:val="baj"/>
          <w:rFonts w:ascii="Arial" w:hAnsi="Arial" w:cs="Arial"/>
          <w:sz w:val="22"/>
          <w:szCs w:val="22"/>
          <w:lang w:val="es-CO"/>
        </w:rPr>
      </w:pPr>
    </w:p>
    <w:p w14:paraId="20CB8EC8" w14:textId="6023751A"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Los recursos destinados a la financiación de las Zonas Estratégicas de Intervención Integral (ZEII), en ningún caso podrán comprometer los recursos definidos por el Plan Marco de Implementación para los PDET.</w:t>
      </w:r>
    </w:p>
    <w:p w14:paraId="027BDD25" w14:textId="77777777" w:rsidR="0010695C" w:rsidRPr="006969B3" w:rsidRDefault="0010695C" w:rsidP="00F65283">
      <w:pPr>
        <w:pStyle w:val="NormalWeb"/>
        <w:spacing w:before="0" w:beforeAutospacing="0" w:after="0" w:afterAutospacing="0"/>
        <w:jc w:val="both"/>
        <w:rPr>
          <w:rStyle w:val="baj"/>
          <w:rFonts w:ascii="Arial" w:hAnsi="Arial" w:cs="Arial"/>
          <w:sz w:val="22"/>
          <w:szCs w:val="22"/>
          <w:lang w:val="es-CO"/>
        </w:rPr>
      </w:pPr>
    </w:p>
    <w:p w14:paraId="3C31595C" w14:textId="64A7552F"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3o.</w:t>
      </w:r>
      <w:r w:rsidRPr="006969B3">
        <w:rPr>
          <w:rFonts w:ascii="Arial" w:hAnsi="Arial" w:cs="Arial"/>
          <w:sz w:val="22"/>
          <w:szCs w:val="22"/>
          <w:lang w:val="es-CO"/>
        </w:rPr>
        <w:t> Los proyectos contemplados en la Hoja de Ruta se implementarán en articulación con las entidades nacionales y territoriales. Para el efecto las entidades territoriales gozarán de plena autonomía legal para alinear sus instrumentos de planeación a lo previsto en la Hoja de Ruta y los lineamientos generados por la Consejería para la Estabilización y la Consolidación.</w:t>
      </w:r>
    </w:p>
    <w:p w14:paraId="6EFAEDB5" w14:textId="77777777" w:rsidR="0010695C" w:rsidRPr="006969B3" w:rsidRDefault="0010695C" w:rsidP="00F65283">
      <w:pPr>
        <w:pStyle w:val="NormalWeb"/>
        <w:spacing w:before="0" w:beforeAutospacing="0" w:after="0" w:afterAutospacing="0"/>
        <w:jc w:val="both"/>
        <w:rPr>
          <w:rStyle w:val="baj"/>
          <w:rFonts w:ascii="Arial" w:hAnsi="Arial" w:cs="Arial"/>
          <w:sz w:val="22"/>
          <w:szCs w:val="22"/>
          <w:lang w:val="es-CO"/>
        </w:rPr>
      </w:pPr>
    </w:p>
    <w:p w14:paraId="4C3DFBEF" w14:textId="64DF8B96"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4o.</w:t>
      </w:r>
      <w:r w:rsidRPr="006969B3">
        <w:rPr>
          <w:rFonts w:ascii="Arial" w:hAnsi="Arial" w:cs="Arial"/>
          <w:sz w:val="22"/>
          <w:szCs w:val="22"/>
          <w:lang w:val="es-CO"/>
        </w:rPr>
        <w:t> Para el cumplimiento e implementación de la política de estabilización, en especial lo contemplado en el presente artículo, con la expedición de la presente ley, la Agencia de Renovación del Territorio cambiará su adscripción del Sector Agricultura y Desarrollo Rural al sector Presidencia de la República. En desarrollo de lo anterior, el desarrollo y ejecución del Programa Nacional de Sustitución de Cultivos Ilícitos, se efectuará por parte de la Agencia de Renovación del Territorio. Con base en las facultades permanentes que se asisten al Gobierno nacional, dentro de los seis meses siguientes a la expedición de la presente ley, se procederán a efectuar los arreglos institucionales a que haya lugar.</w:t>
      </w:r>
    </w:p>
    <w:p w14:paraId="00F6CDAE" w14:textId="13BC33B0" w:rsidR="003B1677" w:rsidRPr="006969B3" w:rsidRDefault="003B1677" w:rsidP="00F65283">
      <w:pPr>
        <w:spacing w:after="0" w:line="240" w:lineRule="auto"/>
        <w:rPr>
          <w:rFonts w:ascii="Arial" w:hAnsi="Arial" w:cs="Arial"/>
          <w:lang w:val="es-CO"/>
        </w:rPr>
      </w:pPr>
    </w:p>
    <w:p w14:paraId="173D3520" w14:textId="43833ECC" w:rsidR="003B1677" w:rsidRPr="006969B3" w:rsidRDefault="003B1677" w:rsidP="00F65283">
      <w:pPr>
        <w:pStyle w:val="NormalWeb"/>
        <w:spacing w:before="0" w:beforeAutospacing="0" w:after="0" w:afterAutospacing="0"/>
        <w:jc w:val="both"/>
        <w:rPr>
          <w:rFonts w:ascii="Arial" w:hAnsi="Arial" w:cs="Arial"/>
          <w:sz w:val="22"/>
          <w:szCs w:val="22"/>
          <w:lang w:val="es-CO"/>
        </w:rPr>
      </w:pPr>
      <w:bookmarkStart w:id="300" w:name="282"/>
      <w:r w:rsidRPr="006969B3">
        <w:rPr>
          <w:rFonts w:ascii="Arial" w:hAnsi="Arial" w:cs="Arial"/>
          <w:sz w:val="22"/>
          <w:szCs w:val="22"/>
          <w:lang w:val="es-CO"/>
        </w:rPr>
        <w:t>ARTÍCULO 282. FORTALECIMIENTO DEL FONDO DE REPARACIÓN PARA LAS VÍCTIMAS DE LA VIOLENCIA.</w:t>
      </w:r>
      <w:bookmarkEnd w:id="300"/>
      <w:r w:rsidRPr="006969B3">
        <w:rPr>
          <w:rFonts w:ascii="Arial" w:hAnsi="Arial" w:cs="Arial"/>
          <w:sz w:val="22"/>
          <w:szCs w:val="22"/>
          <w:lang w:val="es-CO"/>
        </w:rPr>
        <w:t> Los recursos líquidos derivados de los bienes extintos que no hayan sido entregados por las FARC-EP en los términos del artículo </w:t>
      </w:r>
      <w:r w:rsidRPr="000A2938">
        <w:rPr>
          <w:rFonts w:ascii="Arial" w:hAnsi="Arial" w:cs="Arial"/>
          <w:sz w:val="22"/>
          <w:szCs w:val="22"/>
          <w:lang w:val="es-CO"/>
        </w:rPr>
        <w:t>2o</w:t>
      </w:r>
      <w:r w:rsidRPr="006969B3">
        <w:rPr>
          <w:rFonts w:ascii="Arial" w:hAnsi="Arial" w:cs="Arial"/>
          <w:sz w:val="22"/>
          <w:szCs w:val="22"/>
          <w:lang w:val="es-CO"/>
        </w:rPr>
        <w:t> del Decreto-ley 903 de 2017, tendrán como destinación el Fondo de Reparación para las Víctimas de la Violencia al que se refiere la Ley </w:t>
      </w:r>
      <w:r w:rsidRPr="000A2938">
        <w:rPr>
          <w:rFonts w:ascii="Arial" w:hAnsi="Arial" w:cs="Arial"/>
          <w:sz w:val="22"/>
          <w:szCs w:val="22"/>
          <w:lang w:val="es-CO"/>
        </w:rPr>
        <w:t>1448</w:t>
      </w:r>
      <w:r w:rsidRPr="006969B3">
        <w:rPr>
          <w:rFonts w:ascii="Arial" w:hAnsi="Arial" w:cs="Arial"/>
          <w:sz w:val="22"/>
          <w:szCs w:val="22"/>
          <w:lang w:val="es-CO"/>
        </w:rPr>
        <w:t> de 2011, a excepción de los predios rurales de los que trata el inciso segundo del artículo </w:t>
      </w:r>
      <w:r w:rsidRPr="000A2938">
        <w:rPr>
          <w:rFonts w:ascii="Arial" w:hAnsi="Arial" w:cs="Arial"/>
          <w:sz w:val="22"/>
          <w:szCs w:val="22"/>
          <w:lang w:val="es-CO"/>
        </w:rPr>
        <w:t>91</w:t>
      </w:r>
      <w:r w:rsidRPr="006969B3">
        <w:rPr>
          <w:rFonts w:ascii="Arial" w:hAnsi="Arial" w:cs="Arial"/>
          <w:sz w:val="22"/>
          <w:szCs w:val="22"/>
          <w:lang w:val="es-CO"/>
        </w:rPr>
        <w:t> de la Ley 1708 de 2014.</w:t>
      </w:r>
    </w:p>
    <w:p w14:paraId="689EE7F0" w14:textId="77777777" w:rsidR="0010695C" w:rsidRPr="006969B3" w:rsidRDefault="0010695C" w:rsidP="00F65283">
      <w:pPr>
        <w:pStyle w:val="NormalWeb"/>
        <w:spacing w:before="0" w:beforeAutospacing="0" w:after="0" w:afterAutospacing="0"/>
        <w:jc w:val="both"/>
        <w:rPr>
          <w:rFonts w:ascii="Arial" w:hAnsi="Arial" w:cs="Arial"/>
          <w:sz w:val="22"/>
          <w:szCs w:val="22"/>
          <w:lang w:val="es-CO"/>
        </w:rPr>
      </w:pPr>
    </w:p>
    <w:p w14:paraId="222BC6D9" w14:textId="78093B86"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La </w:t>
      </w:r>
      <w:proofErr w:type="gramStart"/>
      <w:r w:rsidRPr="006969B3">
        <w:rPr>
          <w:rFonts w:ascii="Arial" w:hAnsi="Arial" w:cs="Arial"/>
          <w:sz w:val="22"/>
          <w:szCs w:val="22"/>
          <w:lang w:val="es-CO"/>
        </w:rPr>
        <w:t>Fiscalía General</w:t>
      </w:r>
      <w:proofErr w:type="gramEnd"/>
      <w:r w:rsidRPr="006969B3">
        <w:rPr>
          <w:rFonts w:ascii="Arial" w:hAnsi="Arial" w:cs="Arial"/>
          <w:sz w:val="22"/>
          <w:szCs w:val="22"/>
          <w:lang w:val="es-CO"/>
        </w:rPr>
        <w:t xml:space="preserve"> de la Nación determinará los bienes que se encuentran vinculados a procesos de extinción de dominio que no correspondan al inventario de que trata el Decreto-ley </w:t>
      </w:r>
      <w:r w:rsidRPr="000A2938">
        <w:rPr>
          <w:rFonts w:ascii="Arial" w:hAnsi="Arial" w:cs="Arial"/>
          <w:sz w:val="22"/>
          <w:szCs w:val="22"/>
          <w:lang w:val="es-CO"/>
        </w:rPr>
        <w:t>903</w:t>
      </w:r>
      <w:r w:rsidRPr="006969B3">
        <w:rPr>
          <w:rFonts w:ascii="Arial" w:hAnsi="Arial" w:cs="Arial"/>
          <w:sz w:val="22"/>
          <w:szCs w:val="22"/>
          <w:lang w:val="es-CO"/>
        </w:rPr>
        <w:t> de 2017.</w:t>
      </w:r>
    </w:p>
    <w:p w14:paraId="2260EDC7" w14:textId="77777777" w:rsidR="000537C1" w:rsidRDefault="000537C1" w:rsidP="00F65283">
      <w:pPr>
        <w:pStyle w:val="NormalWeb"/>
        <w:spacing w:before="0" w:beforeAutospacing="0" w:after="0" w:afterAutospacing="0"/>
        <w:jc w:val="both"/>
        <w:rPr>
          <w:rStyle w:val="baj"/>
          <w:rFonts w:ascii="Arial" w:hAnsi="Arial" w:cs="Arial"/>
          <w:sz w:val="22"/>
          <w:szCs w:val="22"/>
          <w:lang w:val="es-CO"/>
        </w:rPr>
      </w:pPr>
    </w:p>
    <w:p w14:paraId="047836FC" w14:textId="472257B3" w:rsidR="003B1677" w:rsidRPr="006969B3" w:rsidRDefault="003B1677"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Los recursos líquidos que ingresen al Fondo de Reparación para las Víctimas en cumplimiento de este artículo serán destinados a la reparación colectiva administrativa de las víctimas en el marco de lo establecido en la Ley </w:t>
      </w:r>
      <w:r w:rsidRPr="000A2938">
        <w:rPr>
          <w:rFonts w:ascii="Arial" w:hAnsi="Arial" w:cs="Arial"/>
          <w:sz w:val="22"/>
          <w:szCs w:val="22"/>
          <w:lang w:val="es-CO"/>
        </w:rPr>
        <w:t>1448</w:t>
      </w:r>
      <w:r w:rsidRPr="006969B3">
        <w:rPr>
          <w:rFonts w:ascii="Arial" w:hAnsi="Arial" w:cs="Arial"/>
          <w:sz w:val="22"/>
          <w:szCs w:val="22"/>
          <w:lang w:val="es-CO"/>
        </w:rPr>
        <w:t> de 2011.</w:t>
      </w:r>
    </w:p>
    <w:p w14:paraId="3B1135A3" w14:textId="77777777" w:rsidR="0010695C" w:rsidRPr="006969B3" w:rsidRDefault="0010695C" w:rsidP="00F65283">
      <w:pPr>
        <w:pStyle w:val="NormalWeb"/>
        <w:spacing w:before="0" w:beforeAutospacing="0" w:after="0" w:afterAutospacing="0"/>
        <w:jc w:val="both"/>
        <w:rPr>
          <w:rFonts w:ascii="Arial" w:hAnsi="Arial" w:cs="Arial"/>
          <w:sz w:val="22"/>
          <w:szCs w:val="22"/>
          <w:lang w:val="es-CO"/>
        </w:rPr>
      </w:pPr>
      <w:bookmarkStart w:id="301" w:name="283"/>
    </w:p>
    <w:p w14:paraId="6F145DCB" w14:textId="4B1F09AA"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283. ADMINISTRACIÓN Y DESTINACIÓN DE BIENES.</w:t>
      </w:r>
      <w:bookmarkEnd w:id="301"/>
      <w:r w:rsidRPr="006969B3">
        <w:rPr>
          <w:rFonts w:ascii="Arial" w:hAnsi="Arial" w:cs="Arial"/>
          <w:sz w:val="22"/>
          <w:szCs w:val="22"/>
          <w:lang w:val="es-CO"/>
        </w:rPr>
        <w:t> Adicionar un parágrafo al artículo </w:t>
      </w:r>
      <w:r w:rsidRPr="000A2938">
        <w:rPr>
          <w:rFonts w:ascii="Arial" w:hAnsi="Arial" w:cs="Arial"/>
          <w:sz w:val="22"/>
          <w:szCs w:val="22"/>
          <w:lang w:val="es-CO"/>
        </w:rPr>
        <w:t>91</w:t>
      </w:r>
      <w:r w:rsidRPr="006969B3">
        <w:rPr>
          <w:rFonts w:ascii="Arial" w:hAnsi="Arial" w:cs="Arial"/>
          <w:sz w:val="22"/>
          <w:szCs w:val="22"/>
          <w:lang w:val="es-CO"/>
        </w:rPr>
        <w:t> de la Ley 1708 de 2017, modificada por el artículo </w:t>
      </w:r>
      <w:r w:rsidRPr="000A2938">
        <w:rPr>
          <w:rFonts w:ascii="Arial" w:hAnsi="Arial" w:cs="Arial"/>
          <w:sz w:val="22"/>
          <w:szCs w:val="22"/>
          <w:lang w:val="es-CO"/>
        </w:rPr>
        <w:t>22</w:t>
      </w:r>
      <w:r w:rsidRPr="006969B3">
        <w:rPr>
          <w:rFonts w:ascii="Arial" w:hAnsi="Arial" w:cs="Arial"/>
          <w:sz w:val="22"/>
          <w:szCs w:val="22"/>
          <w:lang w:val="es-CO"/>
        </w:rPr>
        <w:t> de la Ley 1849 de 2017, así:</w:t>
      </w:r>
    </w:p>
    <w:p w14:paraId="0A549C40" w14:textId="77777777" w:rsidR="0010695C" w:rsidRPr="006969B3" w:rsidRDefault="0010695C" w:rsidP="00F65283">
      <w:pPr>
        <w:pStyle w:val="NormalWeb"/>
        <w:spacing w:before="0" w:beforeAutospacing="0" w:after="0" w:afterAutospacing="0"/>
        <w:jc w:val="both"/>
        <w:rPr>
          <w:rStyle w:val="baj"/>
          <w:rFonts w:ascii="Arial" w:hAnsi="Arial" w:cs="Arial"/>
          <w:sz w:val="22"/>
          <w:szCs w:val="22"/>
          <w:lang w:val="es-CO"/>
        </w:rPr>
      </w:pPr>
    </w:p>
    <w:p w14:paraId="7B5F21C3" w14:textId="64B3B625"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4o.</w:t>
      </w:r>
      <w:r w:rsidRPr="006969B3">
        <w:rPr>
          <w:rFonts w:ascii="Arial" w:hAnsi="Arial" w:cs="Arial"/>
          <w:sz w:val="22"/>
          <w:szCs w:val="22"/>
          <w:lang w:val="es-CO"/>
        </w:rPr>
        <w:t> Los predios rurales donde se desarrollen o vayan a desarrollar proyectos productivos por parte de la población en proceso de reincorporación serán transferidos directamente por la Sociedad de Activos Especiales a los beneficiarios de estos proyectos que indique la Agencia Nacional de Reincorporación, en los plazos que defina el Gobierno Nacional. En estos casos se configurará una excepción frente a la obligación de transferir todos los bienes rurales a la Agencia Nacional de Tierras. Se excluyen de esta previsión los bienes a que se refiere el artículo </w:t>
      </w:r>
      <w:r w:rsidRPr="000A2938">
        <w:rPr>
          <w:rFonts w:ascii="Arial" w:hAnsi="Arial" w:cs="Arial"/>
          <w:sz w:val="22"/>
          <w:szCs w:val="22"/>
          <w:lang w:val="es-CO"/>
        </w:rPr>
        <w:t>144</w:t>
      </w:r>
      <w:r w:rsidRPr="006969B3">
        <w:rPr>
          <w:rFonts w:ascii="Arial" w:hAnsi="Arial" w:cs="Arial"/>
          <w:sz w:val="22"/>
          <w:szCs w:val="22"/>
          <w:lang w:val="es-CO"/>
        </w:rPr>
        <w:t> de la presente ley.</w:t>
      </w:r>
    </w:p>
    <w:p w14:paraId="0B9F4123" w14:textId="56BF6818" w:rsidR="003E6B56" w:rsidRPr="006969B3" w:rsidRDefault="003E6B56" w:rsidP="00F65283">
      <w:pPr>
        <w:spacing w:after="0" w:line="240" w:lineRule="auto"/>
        <w:rPr>
          <w:rFonts w:ascii="Arial" w:hAnsi="Arial" w:cs="Arial"/>
          <w:lang w:val="es-CO"/>
        </w:rPr>
      </w:pPr>
    </w:p>
    <w:p w14:paraId="77928299" w14:textId="2B738CE5" w:rsidR="003E6B56" w:rsidRPr="006969B3" w:rsidRDefault="003E6B56" w:rsidP="00F65283">
      <w:pPr>
        <w:pStyle w:val="NormalWeb"/>
        <w:spacing w:before="0" w:beforeAutospacing="0" w:after="0" w:afterAutospacing="0"/>
        <w:jc w:val="both"/>
        <w:rPr>
          <w:rFonts w:ascii="Arial" w:hAnsi="Arial" w:cs="Arial"/>
          <w:sz w:val="22"/>
          <w:szCs w:val="22"/>
          <w:lang w:val="es-CO"/>
        </w:rPr>
      </w:pPr>
      <w:bookmarkStart w:id="302" w:name="284"/>
      <w:r w:rsidRPr="006969B3">
        <w:rPr>
          <w:rFonts w:ascii="Arial" w:hAnsi="Arial" w:cs="Arial"/>
          <w:sz w:val="22"/>
          <w:szCs w:val="22"/>
          <w:lang w:val="es-CO"/>
        </w:rPr>
        <w:t>ARTÍCULO 284. RENTA BÁSICA.</w:t>
      </w:r>
      <w:bookmarkEnd w:id="302"/>
      <w:r w:rsidRPr="006969B3">
        <w:rPr>
          <w:rFonts w:ascii="Arial" w:hAnsi="Arial" w:cs="Arial"/>
          <w:sz w:val="22"/>
          <w:szCs w:val="22"/>
          <w:lang w:val="es-CO"/>
        </w:rPr>
        <w:t> Modifíquese el artículo </w:t>
      </w:r>
      <w:r w:rsidRPr="000A2938">
        <w:rPr>
          <w:rFonts w:ascii="Arial" w:hAnsi="Arial" w:cs="Arial"/>
          <w:sz w:val="22"/>
          <w:szCs w:val="22"/>
          <w:lang w:val="es-CO"/>
        </w:rPr>
        <w:t>8o</w:t>
      </w:r>
      <w:r w:rsidRPr="006969B3">
        <w:rPr>
          <w:rFonts w:ascii="Arial" w:hAnsi="Arial" w:cs="Arial"/>
          <w:sz w:val="22"/>
          <w:szCs w:val="22"/>
          <w:lang w:val="es-CO"/>
        </w:rPr>
        <w:t xml:space="preserve"> del </w:t>
      </w:r>
      <w:proofErr w:type="spellStart"/>
      <w:r w:rsidRPr="006969B3">
        <w:rPr>
          <w:rFonts w:ascii="Arial" w:hAnsi="Arial" w:cs="Arial"/>
          <w:sz w:val="22"/>
          <w:szCs w:val="22"/>
          <w:lang w:val="es-CO"/>
        </w:rPr>
        <w:t>Decretoley</w:t>
      </w:r>
      <w:proofErr w:type="spellEnd"/>
      <w:r w:rsidRPr="006969B3">
        <w:rPr>
          <w:rFonts w:ascii="Arial" w:hAnsi="Arial" w:cs="Arial"/>
          <w:sz w:val="22"/>
          <w:szCs w:val="22"/>
          <w:lang w:val="es-CO"/>
        </w:rPr>
        <w:t xml:space="preserve"> 899 de 2017, así:</w:t>
      </w:r>
    </w:p>
    <w:p w14:paraId="3523259D" w14:textId="77777777" w:rsidR="0010695C" w:rsidRPr="006969B3" w:rsidRDefault="0010695C" w:rsidP="00F65283">
      <w:pPr>
        <w:pStyle w:val="NormalWeb"/>
        <w:spacing w:before="0" w:beforeAutospacing="0" w:after="0" w:afterAutospacing="0"/>
        <w:jc w:val="both"/>
        <w:rPr>
          <w:rFonts w:ascii="Arial" w:hAnsi="Arial" w:cs="Arial"/>
          <w:sz w:val="22"/>
          <w:szCs w:val="22"/>
          <w:lang w:val="es-CO"/>
        </w:rPr>
      </w:pPr>
    </w:p>
    <w:p w14:paraId="4AA93233" w14:textId="1203CA1F"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lastRenderedPageBreak/>
        <w:t>Artículo </w:t>
      </w:r>
      <w:r w:rsidRPr="000A2938">
        <w:rPr>
          <w:rFonts w:ascii="Arial" w:hAnsi="Arial" w:cs="Arial"/>
          <w:sz w:val="22"/>
          <w:szCs w:val="22"/>
          <w:lang w:val="es-CO"/>
        </w:rPr>
        <w:t>8o</w:t>
      </w:r>
      <w:r w:rsidRPr="006969B3">
        <w:rPr>
          <w:rFonts w:ascii="Arial" w:hAnsi="Arial" w:cs="Arial"/>
          <w:sz w:val="22"/>
          <w:szCs w:val="22"/>
          <w:lang w:val="es-CO"/>
        </w:rPr>
        <w:t>. Renta básica. La renta básica es un beneficio económico que se otorgará a cada uno de los integrantes de las FARC-EP, una vez surtido el proceso de acreditación y tránsito a la legalidad y a partir de la terminación de las Zonas Veredales Transitorias de Normalización y durante veinticuatro (24) meses, siempre y cuando no tengan un vínculo contractual, laboral, legal y reglamentario, o un contrato de cualquier naturaleza que les genere ingresos. Este beneficio económico equivaldrá al 90% del Salario Mínimo Mensual Legal Vigente en el momento de su reconocimiento.</w:t>
      </w:r>
    </w:p>
    <w:p w14:paraId="1DE951B2" w14:textId="77777777" w:rsidR="0010695C" w:rsidRPr="006969B3" w:rsidRDefault="0010695C" w:rsidP="00F65283">
      <w:pPr>
        <w:pStyle w:val="NormalWeb"/>
        <w:spacing w:before="0" w:beforeAutospacing="0" w:after="0" w:afterAutospacing="0"/>
        <w:jc w:val="both"/>
        <w:rPr>
          <w:rFonts w:ascii="Arial" w:hAnsi="Arial" w:cs="Arial"/>
          <w:sz w:val="22"/>
          <w:szCs w:val="22"/>
          <w:lang w:val="es-CO"/>
        </w:rPr>
      </w:pPr>
    </w:p>
    <w:p w14:paraId="57F7A9DD" w14:textId="63570F0D"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Una vez cumplidos los veinticuatro (24) meses anteriormente señalados, se otorgará una asignación mensual equivalente al 90% del Salario Mínimo Mensual Legal Vigente, sujeta al cumplimiento de la ruta de reincorporación, la cual se compone de: Formación Académica, Formación para el Trabajo y Desarrollo Humano, Acompañamiento Psicosocial, Generación de Ingresos, entre otros componentes que disponga el Gobierno nacional. Este beneficio no será considerado fuente de generación de ingresos y su plazo estará determinado por las normas en materia de implementación del Acuerdo Final para la Terminación del Conflicto y el Establecimiento de una Paz Estable y Duradera contenidas en este Plan Nacional de Desarrollo. Las condiciones y términos para el reconocimiento de este beneficio serán establecidas por el Gobierno nacional.</w:t>
      </w:r>
    </w:p>
    <w:p w14:paraId="00E4DE7B" w14:textId="77777777" w:rsidR="0010695C" w:rsidRPr="006969B3" w:rsidRDefault="0010695C" w:rsidP="00F65283">
      <w:pPr>
        <w:pStyle w:val="NormalWeb"/>
        <w:spacing w:before="0" w:beforeAutospacing="0" w:after="0" w:afterAutospacing="0"/>
        <w:jc w:val="both"/>
        <w:rPr>
          <w:rStyle w:val="baj"/>
          <w:rFonts w:ascii="Arial" w:hAnsi="Arial" w:cs="Arial"/>
          <w:sz w:val="22"/>
          <w:szCs w:val="22"/>
          <w:lang w:val="es-CO"/>
        </w:rPr>
      </w:pPr>
    </w:p>
    <w:p w14:paraId="533C6D3C" w14:textId="1AEFE9B1"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Para aquellos integrantes de las FARC-EP privados de la libertad que sean beneficiados con indulto o amnistía, en el marco del Acuerdo Final para la Terminación del Conflicto y la Construcción de una Paz Estable y Duradera, el desembolso de la renta básica se realizará a partir del mes siguiente de aquel en que recupere su libertad y una vez se realicen los trámites administrativos correspondientes.</w:t>
      </w:r>
    </w:p>
    <w:p w14:paraId="50376A7E" w14:textId="21BF179C" w:rsidR="003E6B56" w:rsidRPr="006969B3" w:rsidRDefault="003E6B56" w:rsidP="00F65283">
      <w:pPr>
        <w:spacing w:after="0" w:line="240" w:lineRule="auto"/>
        <w:rPr>
          <w:rFonts w:ascii="Arial" w:hAnsi="Arial" w:cs="Arial"/>
          <w:lang w:val="es-CO"/>
        </w:rPr>
      </w:pPr>
    </w:p>
    <w:p w14:paraId="78FD397D" w14:textId="7F672664" w:rsidR="003E6B56" w:rsidRPr="006969B3" w:rsidRDefault="003E6B56" w:rsidP="00F65283">
      <w:pPr>
        <w:pStyle w:val="NormalWeb"/>
        <w:spacing w:before="0" w:beforeAutospacing="0" w:after="0" w:afterAutospacing="0"/>
        <w:jc w:val="both"/>
        <w:rPr>
          <w:rFonts w:ascii="Arial" w:hAnsi="Arial" w:cs="Arial"/>
          <w:sz w:val="22"/>
          <w:szCs w:val="22"/>
          <w:lang w:val="es-CO"/>
        </w:rPr>
      </w:pPr>
      <w:bookmarkStart w:id="303" w:name="285"/>
      <w:r w:rsidRPr="006969B3">
        <w:rPr>
          <w:rFonts w:ascii="Arial" w:hAnsi="Arial" w:cs="Arial"/>
          <w:sz w:val="22"/>
          <w:szCs w:val="22"/>
          <w:lang w:val="es-CO"/>
        </w:rPr>
        <w:t>ARTÍCULO 285. AMPLIACIÓN DE LAS OBRAS POR IMPUESTOS.</w:t>
      </w:r>
      <w:bookmarkEnd w:id="303"/>
      <w:r w:rsidRPr="006969B3">
        <w:rPr>
          <w:rFonts w:ascii="Arial" w:hAnsi="Arial" w:cs="Arial"/>
          <w:sz w:val="22"/>
          <w:szCs w:val="22"/>
          <w:lang w:val="es-CO"/>
        </w:rPr>
        <w:t xml:space="preserve"> El mecanismo dispuesto en el artículo </w:t>
      </w:r>
      <w:r w:rsidRPr="000A2938">
        <w:rPr>
          <w:rFonts w:ascii="Arial" w:hAnsi="Arial" w:cs="Arial"/>
          <w:sz w:val="22"/>
          <w:szCs w:val="22"/>
          <w:lang w:val="es-CO"/>
        </w:rPr>
        <w:t>71</w:t>
      </w:r>
      <w:r w:rsidRPr="006969B3">
        <w:rPr>
          <w:rFonts w:ascii="Arial" w:hAnsi="Arial" w:cs="Arial"/>
          <w:sz w:val="22"/>
          <w:szCs w:val="22"/>
          <w:lang w:val="es-CO"/>
        </w:rPr>
        <w:t> de la Ley 1943 de 2018 se priorizará para beneficiar a los municipios definidos en el Decreto </w:t>
      </w:r>
      <w:r w:rsidRPr="000A2938">
        <w:rPr>
          <w:rFonts w:ascii="Arial" w:hAnsi="Arial" w:cs="Arial"/>
          <w:sz w:val="22"/>
          <w:szCs w:val="22"/>
          <w:lang w:val="es-CO"/>
        </w:rPr>
        <w:t>893</w:t>
      </w:r>
      <w:r w:rsidRPr="006969B3">
        <w:rPr>
          <w:rFonts w:ascii="Arial" w:hAnsi="Arial" w:cs="Arial"/>
          <w:sz w:val="22"/>
          <w:szCs w:val="22"/>
          <w:lang w:val="es-CO"/>
        </w:rPr>
        <w:t> de 2017 o la reglamentación que lo modifique o sustituya.</w:t>
      </w:r>
    </w:p>
    <w:p w14:paraId="0D84D825" w14:textId="77777777" w:rsidR="0010695C" w:rsidRPr="006969B3" w:rsidRDefault="0010695C" w:rsidP="00F65283">
      <w:pPr>
        <w:pStyle w:val="NormalWeb"/>
        <w:spacing w:before="0" w:beforeAutospacing="0" w:after="0" w:afterAutospacing="0"/>
        <w:jc w:val="both"/>
        <w:rPr>
          <w:rFonts w:ascii="Arial" w:hAnsi="Arial" w:cs="Arial"/>
          <w:sz w:val="22"/>
          <w:szCs w:val="22"/>
          <w:lang w:val="es-CO"/>
        </w:rPr>
      </w:pPr>
    </w:p>
    <w:p w14:paraId="259368D2" w14:textId="7D9D2221"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La Agencia de Renovación del Territorio (ART) efectuará una priorización de las iniciativas para conformar el banco de proyectos de </w:t>
      </w:r>
      <w:proofErr w:type="spellStart"/>
      <w:r w:rsidRPr="006969B3">
        <w:rPr>
          <w:rFonts w:ascii="Arial" w:hAnsi="Arial" w:cs="Arial"/>
          <w:sz w:val="22"/>
          <w:szCs w:val="22"/>
          <w:lang w:val="es-CO"/>
        </w:rPr>
        <w:t>que</w:t>
      </w:r>
      <w:proofErr w:type="spellEnd"/>
      <w:r w:rsidRPr="006969B3">
        <w:rPr>
          <w:rFonts w:ascii="Arial" w:hAnsi="Arial" w:cs="Arial"/>
          <w:sz w:val="22"/>
          <w:szCs w:val="22"/>
          <w:lang w:val="es-CO"/>
        </w:rPr>
        <w:t xml:space="preserve"> trata el inciso tercero del artículo </w:t>
      </w:r>
      <w:r w:rsidRPr="000A2938">
        <w:rPr>
          <w:rFonts w:ascii="Arial" w:hAnsi="Arial" w:cs="Arial"/>
          <w:sz w:val="22"/>
          <w:szCs w:val="22"/>
          <w:lang w:val="es-CO"/>
        </w:rPr>
        <w:t>71</w:t>
      </w:r>
      <w:r w:rsidRPr="006969B3">
        <w:rPr>
          <w:rFonts w:ascii="Arial" w:hAnsi="Arial" w:cs="Arial"/>
          <w:sz w:val="22"/>
          <w:szCs w:val="22"/>
          <w:lang w:val="es-CO"/>
        </w:rPr>
        <w:t> de la Ley 1943 de 2018, de conformidad con la identificación y priorización que se haya dado en el Plan de Acción para la Trasformación Regional (PATR) o la Floja de Ruta correspondiente.</w:t>
      </w:r>
    </w:p>
    <w:p w14:paraId="28DA1BA7" w14:textId="77777777" w:rsidR="0010695C" w:rsidRPr="006969B3" w:rsidRDefault="0010695C" w:rsidP="00F65283">
      <w:pPr>
        <w:pStyle w:val="centrado"/>
        <w:spacing w:before="0" w:beforeAutospacing="0" w:after="0" w:afterAutospacing="0"/>
        <w:jc w:val="center"/>
        <w:rPr>
          <w:rFonts w:ascii="Arial" w:hAnsi="Arial" w:cs="Arial"/>
          <w:sz w:val="22"/>
          <w:szCs w:val="22"/>
          <w:lang w:val="es-CO"/>
        </w:rPr>
      </w:pPr>
      <w:bookmarkStart w:id="304" w:name="SUBSECCIÓN_6-III-II-II"/>
    </w:p>
    <w:p w14:paraId="0C173BC7" w14:textId="78962EA7" w:rsidR="003E6B56" w:rsidRPr="006969B3" w:rsidRDefault="003E6B56" w:rsidP="00F65283">
      <w:pPr>
        <w:pStyle w:val="centrado"/>
        <w:spacing w:before="0" w:beforeAutospacing="0" w:after="0" w:afterAutospacing="0"/>
        <w:jc w:val="center"/>
        <w:rPr>
          <w:rFonts w:ascii="Arial" w:hAnsi="Arial" w:cs="Arial"/>
          <w:b/>
          <w:bCs/>
          <w:sz w:val="22"/>
          <w:szCs w:val="22"/>
          <w:lang w:val="es-CO"/>
        </w:rPr>
      </w:pPr>
      <w:r w:rsidRPr="006969B3">
        <w:rPr>
          <w:rFonts w:ascii="Arial" w:hAnsi="Arial" w:cs="Arial"/>
          <w:b/>
          <w:bCs/>
          <w:sz w:val="22"/>
          <w:szCs w:val="22"/>
          <w:lang w:val="es-CO"/>
        </w:rPr>
        <w:t>SUBSECCIÓN 6</w:t>
      </w:r>
      <w:bookmarkEnd w:id="304"/>
    </w:p>
    <w:p w14:paraId="672D48E4" w14:textId="77777777" w:rsidR="00274B87" w:rsidRPr="006969B3" w:rsidRDefault="00274B87" w:rsidP="00F65283">
      <w:pPr>
        <w:pStyle w:val="centrado"/>
        <w:spacing w:before="0" w:beforeAutospacing="0" w:after="0" w:afterAutospacing="0"/>
        <w:jc w:val="center"/>
        <w:rPr>
          <w:rFonts w:ascii="Arial" w:hAnsi="Arial" w:cs="Arial"/>
          <w:b/>
          <w:bCs/>
          <w:sz w:val="22"/>
          <w:szCs w:val="22"/>
          <w:lang w:val="es-CO"/>
        </w:rPr>
      </w:pPr>
    </w:p>
    <w:p w14:paraId="725D0B52" w14:textId="3488C3EA" w:rsidR="003E6B56" w:rsidRPr="006969B3" w:rsidRDefault="003E6B56" w:rsidP="00F65283">
      <w:pPr>
        <w:pStyle w:val="centrado"/>
        <w:spacing w:before="0" w:beforeAutospacing="0" w:after="0" w:afterAutospacing="0"/>
        <w:jc w:val="center"/>
        <w:rPr>
          <w:rFonts w:ascii="Arial" w:hAnsi="Arial" w:cs="Arial"/>
          <w:b/>
          <w:bCs/>
          <w:sz w:val="22"/>
          <w:szCs w:val="22"/>
          <w:lang w:val="es-CO"/>
        </w:rPr>
      </w:pPr>
      <w:r w:rsidRPr="006969B3">
        <w:rPr>
          <w:rStyle w:val="baj"/>
          <w:rFonts w:ascii="Arial" w:hAnsi="Arial" w:cs="Arial"/>
          <w:b/>
          <w:bCs/>
          <w:sz w:val="22"/>
          <w:szCs w:val="22"/>
          <w:lang w:val="es-CO"/>
        </w:rPr>
        <w:t>EQUIDAD EN LOS SERVICIOS PÚBLICOS</w:t>
      </w:r>
    </w:p>
    <w:p w14:paraId="7688344F" w14:textId="0A9AFD8D" w:rsidR="003E6B56" w:rsidRPr="006969B3" w:rsidRDefault="003E6B56" w:rsidP="00F65283">
      <w:pPr>
        <w:spacing w:after="0" w:line="240" w:lineRule="auto"/>
        <w:rPr>
          <w:rFonts w:ascii="Arial" w:hAnsi="Arial" w:cs="Arial"/>
          <w:lang w:val="es-CO"/>
        </w:rPr>
      </w:pPr>
    </w:p>
    <w:p w14:paraId="624BADB6" w14:textId="77777777" w:rsidR="003E6B56" w:rsidRPr="006969B3" w:rsidRDefault="003E6B56" w:rsidP="00F65283">
      <w:pPr>
        <w:pStyle w:val="NormalWeb"/>
        <w:spacing w:before="0" w:beforeAutospacing="0" w:after="0" w:afterAutospacing="0"/>
        <w:jc w:val="both"/>
        <w:rPr>
          <w:rFonts w:ascii="Arial" w:hAnsi="Arial" w:cs="Arial"/>
          <w:sz w:val="22"/>
          <w:szCs w:val="22"/>
          <w:lang w:val="es-CO"/>
        </w:rPr>
      </w:pPr>
      <w:bookmarkStart w:id="305" w:name="286"/>
      <w:r w:rsidRPr="006969B3">
        <w:rPr>
          <w:rFonts w:ascii="Arial" w:hAnsi="Arial" w:cs="Arial"/>
          <w:sz w:val="22"/>
          <w:szCs w:val="22"/>
          <w:lang w:val="es-CO"/>
        </w:rPr>
        <w:t>ARTÍCULO 286. INVERSIÓN DE RECURSOS PÚBLICOS EN INFRAESTRUCTURA CONCESIONADA EN ÁREAS DE SERVICIO EXCLUSIVO.</w:t>
      </w:r>
      <w:bookmarkEnd w:id="305"/>
      <w:r w:rsidRPr="006969B3">
        <w:rPr>
          <w:rFonts w:ascii="Arial" w:hAnsi="Arial" w:cs="Arial"/>
          <w:sz w:val="22"/>
          <w:szCs w:val="22"/>
          <w:lang w:val="es-CO"/>
        </w:rPr>
        <w:t> La Nación y las entidades territoriales podrán continuar celebrando y ejecutando contratos para realizar obras complementarias que no correspondan a inversiones obligatorias del concesionario en Áreas de Servicio Exclusivo, con el objeto de garantizar la efectiva prestación del servicio público domiciliario de energía eléctrica, o su prestación en condiciones eficientes, sin que por ello se entienda afectado el respectivo contrato de concesión.</w:t>
      </w:r>
    </w:p>
    <w:p w14:paraId="07C4886B" w14:textId="77777777" w:rsidR="0010695C" w:rsidRPr="006969B3" w:rsidRDefault="0010695C" w:rsidP="00F65283">
      <w:pPr>
        <w:pStyle w:val="NormalWeb"/>
        <w:spacing w:before="0" w:beforeAutospacing="0" w:after="0" w:afterAutospacing="0"/>
        <w:jc w:val="both"/>
        <w:rPr>
          <w:rFonts w:ascii="Arial" w:hAnsi="Arial" w:cs="Arial"/>
          <w:sz w:val="22"/>
          <w:szCs w:val="22"/>
          <w:lang w:val="es-CO"/>
        </w:rPr>
      </w:pPr>
    </w:p>
    <w:p w14:paraId="0C54186E" w14:textId="508B36DC"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La entidad interesada en realizar las obras deberá informar a la entidad concedente del Área de Servicio Exclusivo su propósito para que este último informe lo pertinente al concesionario. La entidad estatal concedente y el concesionario podrán acordar los </w:t>
      </w:r>
      <w:r w:rsidRPr="006969B3">
        <w:rPr>
          <w:rFonts w:ascii="Arial" w:hAnsi="Arial" w:cs="Arial"/>
          <w:sz w:val="22"/>
          <w:szCs w:val="22"/>
          <w:lang w:val="es-CO"/>
        </w:rPr>
        <w:lastRenderedPageBreak/>
        <w:t>términos en que este último colaborará y apoyará la realización de las obras, sin que ello implique afectación alguna al contrato de concesión.</w:t>
      </w:r>
    </w:p>
    <w:p w14:paraId="5F8E5A02" w14:textId="77777777" w:rsidR="0010695C" w:rsidRPr="006969B3" w:rsidRDefault="0010695C" w:rsidP="00F65283">
      <w:pPr>
        <w:pStyle w:val="NormalWeb"/>
        <w:spacing w:before="0" w:beforeAutospacing="0" w:after="0" w:afterAutospacing="0"/>
        <w:jc w:val="both"/>
        <w:rPr>
          <w:rFonts w:ascii="Arial" w:hAnsi="Arial" w:cs="Arial"/>
          <w:sz w:val="22"/>
          <w:szCs w:val="22"/>
          <w:lang w:val="es-CO"/>
        </w:rPr>
      </w:pPr>
    </w:p>
    <w:p w14:paraId="1139EA5D" w14:textId="19B212F7"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En todo caso, las inversiones en obras complementarias de las que trata el presente artículo serán de propiedad de la Nación y/o de las entidades territoriales, según corresponda.</w:t>
      </w:r>
    </w:p>
    <w:p w14:paraId="75E0A050" w14:textId="3DF728E9" w:rsidR="003E6B56" w:rsidRPr="006969B3" w:rsidRDefault="003E6B56" w:rsidP="00F65283">
      <w:pPr>
        <w:spacing w:after="0" w:line="240" w:lineRule="auto"/>
        <w:rPr>
          <w:rFonts w:ascii="Arial" w:hAnsi="Arial" w:cs="Arial"/>
          <w:lang w:val="es-CO"/>
        </w:rPr>
      </w:pPr>
    </w:p>
    <w:p w14:paraId="4573158C" w14:textId="77777777" w:rsidR="003E6B56" w:rsidRPr="006969B3" w:rsidRDefault="003E6B56" w:rsidP="00F65283">
      <w:pPr>
        <w:pStyle w:val="NormalWeb"/>
        <w:spacing w:before="0" w:beforeAutospacing="0" w:after="0" w:afterAutospacing="0"/>
        <w:jc w:val="both"/>
        <w:rPr>
          <w:rFonts w:ascii="Arial" w:hAnsi="Arial" w:cs="Arial"/>
          <w:sz w:val="22"/>
          <w:szCs w:val="22"/>
          <w:lang w:val="es-CO"/>
        </w:rPr>
      </w:pPr>
      <w:bookmarkStart w:id="306" w:name="287"/>
      <w:r w:rsidRPr="006969B3">
        <w:rPr>
          <w:rFonts w:ascii="Arial" w:hAnsi="Arial" w:cs="Arial"/>
          <w:sz w:val="22"/>
          <w:szCs w:val="22"/>
          <w:lang w:val="es-CO"/>
        </w:rPr>
        <w:t>ARTÍCULO 287. SERVICIO PÚBLICO DOMICILIARIO DE ENERGÍA ELÉCTRICA EN ZONAS NO INTERCONECTADAS (ZNI).</w:t>
      </w:r>
      <w:bookmarkEnd w:id="306"/>
      <w:r w:rsidRPr="006969B3">
        <w:rPr>
          <w:rFonts w:ascii="Arial" w:hAnsi="Arial" w:cs="Arial"/>
          <w:sz w:val="22"/>
          <w:szCs w:val="22"/>
          <w:lang w:val="es-CO"/>
        </w:rPr>
        <w:t> El Servicio Público Domiciliario de Energía Eléctrica en ZNI es el transporte de energía eléctrica desde la barra de entrega de energía de un Generador al Sistema de Distribución hasta el domicilio del usuario final, incluida su conexión y medición. El suministro de energía eléctrica a un domicilio mediante soluciones individuales de generación también se considera, servicio público domiciliario de energía eléctrica en ZNI.</w:t>
      </w:r>
    </w:p>
    <w:p w14:paraId="55409CC0" w14:textId="77777777" w:rsidR="0010695C" w:rsidRPr="006969B3" w:rsidRDefault="0010695C" w:rsidP="00F65283">
      <w:pPr>
        <w:pStyle w:val="NormalWeb"/>
        <w:spacing w:before="0" w:beforeAutospacing="0" w:after="0" w:afterAutospacing="0"/>
        <w:jc w:val="both"/>
        <w:rPr>
          <w:rFonts w:ascii="Arial" w:hAnsi="Arial" w:cs="Arial"/>
          <w:sz w:val="22"/>
          <w:szCs w:val="22"/>
          <w:lang w:val="es-CO"/>
        </w:rPr>
      </w:pPr>
    </w:p>
    <w:p w14:paraId="6B0E78B1" w14:textId="273FCA4C"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Los recursos del Fondo de Apoyo Financiero para la Energización de las Zonas No Interconectadas (</w:t>
      </w:r>
      <w:proofErr w:type="spellStart"/>
      <w:r w:rsidRPr="006969B3">
        <w:rPr>
          <w:rFonts w:ascii="Arial" w:hAnsi="Arial" w:cs="Arial"/>
          <w:sz w:val="22"/>
          <w:szCs w:val="22"/>
          <w:lang w:val="es-CO"/>
        </w:rPr>
        <w:t>Fazni</w:t>
      </w:r>
      <w:proofErr w:type="spellEnd"/>
      <w:r w:rsidRPr="006969B3">
        <w:rPr>
          <w:rFonts w:ascii="Arial" w:hAnsi="Arial" w:cs="Arial"/>
          <w:sz w:val="22"/>
          <w:szCs w:val="22"/>
          <w:lang w:val="es-CO"/>
        </w:rPr>
        <w:t>), y del Fondo de Apoyo Financiero para la Energización de las Zonas Rurales Interconectadas (FAER) se podrán utilizar para la reposición de los activos necesarios para la prestación de este servicio.</w:t>
      </w:r>
    </w:p>
    <w:p w14:paraId="2F2FC11B" w14:textId="77777777" w:rsidR="0010695C" w:rsidRPr="006969B3" w:rsidRDefault="0010695C" w:rsidP="00F65283">
      <w:pPr>
        <w:pStyle w:val="NormalWeb"/>
        <w:spacing w:before="0" w:beforeAutospacing="0" w:after="0" w:afterAutospacing="0"/>
        <w:jc w:val="both"/>
        <w:rPr>
          <w:rFonts w:ascii="Arial" w:hAnsi="Arial" w:cs="Arial"/>
          <w:sz w:val="22"/>
          <w:szCs w:val="22"/>
          <w:lang w:val="es-CO"/>
        </w:rPr>
      </w:pPr>
    </w:p>
    <w:p w14:paraId="25392087" w14:textId="79F70DF1"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Fondo de Energías no Convencionales y Gestión Eficiente de la Energía (</w:t>
      </w:r>
      <w:proofErr w:type="spellStart"/>
      <w:r w:rsidRPr="006969B3">
        <w:rPr>
          <w:rFonts w:ascii="Arial" w:hAnsi="Arial" w:cs="Arial"/>
          <w:sz w:val="22"/>
          <w:szCs w:val="22"/>
          <w:lang w:val="es-CO"/>
        </w:rPr>
        <w:t>Fenoge</w:t>
      </w:r>
      <w:proofErr w:type="spellEnd"/>
      <w:r w:rsidRPr="006969B3">
        <w:rPr>
          <w:rFonts w:ascii="Arial" w:hAnsi="Arial" w:cs="Arial"/>
          <w:sz w:val="22"/>
          <w:szCs w:val="22"/>
          <w:lang w:val="es-CO"/>
        </w:rPr>
        <w:t>) podrá financiar proyectos de gestión eficiente de la energía y sistemas individuales de autogeneración con FNCE en ZNI y en el Sistema Interconectado Nacional, incluyendo el mantenimiento y reposición de equipos y la transferencia del dominio de los activos a los beneficiarios de los respectivos proyectos. Estas soluciones no serán objeto de asignación de subsidios de los que trata el artículo </w:t>
      </w:r>
      <w:r w:rsidRPr="000A2938">
        <w:rPr>
          <w:rFonts w:ascii="Arial" w:hAnsi="Arial" w:cs="Arial"/>
          <w:sz w:val="22"/>
          <w:szCs w:val="22"/>
          <w:lang w:val="es-CO"/>
        </w:rPr>
        <w:t>99</w:t>
      </w:r>
      <w:r w:rsidRPr="006969B3">
        <w:rPr>
          <w:rFonts w:ascii="Arial" w:hAnsi="Arial" w:cs="Arial"/>
          <w:sz w:val="22"/>
          <w:szCs w:val="22"/>
          <w:lang w:val="es-CO"/>
        </w:rPr>
        <w:t> de la Ley 142 de 1994.</w:t>
      </w:r>
    </w:p>
    <w:p w14:paraId="1BA1A932" w14:textId="732E3B87" w:rsidR="003E6B56" w:rsidRPr="006969B3" w:rsidRDefault="003E6B56" w:rsidP="00F65283">
      <w:pPr>
        <w:spacing w:after="0" w:line="240" w:lineRule="auto"/>
        <w:rPr>
          <w:rFonts w:ascii="Arial" w:hAnsi="Arial" w:cs="Arial"/>
          <w:lang w:val="es-CO"/>
        </w:rPr>
      </w:pPr>
    </w:p>
    <w:p w14:paraId="23E4A7F3" w14:textId="77777777" w:rsidR="003E6B56" w:rsidRPr="006969B3" w:rsidRDefault="003E6B56" w:rsidP="00F65283">
      <w:pPr>
        <w:pStyle w:val="NormalWeb"/>
        <w:spacing w:before="0" w:beforeAutospacing="0" w:after="0" w:afterAutospacing="0"/>
        <w:jc w:val="both"/>
        <w:rPr>
          <w:rFonts w:ascii="Arial" w:hAnsi="Arial" w:cs="Arial"/>
          <w:sz w:val="22"/>
          <w:szCs w:val="22"/>
          <w:lang w:val="es-CO"/>
        </w:rPr>
      </w:pPr>
      <w:bookmarkStart w:id="307" w:name="288"/>
      <w:r w:rsidRPr="006969B3">
        <w:rPr>
          <w:rFonts w:ascii="Arial" w:hAnsi="Arial" w:cs="Arial"/>
          <w:sz w:val="22"/>
          <w:szCs w:val="22"/>
          <w:lang w:val="es-CO"/>
        </w:rPr>
        <w:t>ARTÍCULO 288. SOLUCIONES ENERGÉTICAS PARA PROYECTOS DEL FONDO DE APOYO FINANCIERO PARA LA ENERGIZACIÓN DE LAS ZONAS NO INTERCONECTADAS (FAZNI).</w:t>
      </w:r>
      <w:bookmarkEnd w:id="307"/>
      <w:r w:rsidRPr="006969B3">
        <w:rPr>
          <w:rFonts w:ascii="Arial" w:hAnsi="Arial" w:cs="Arial"/>
          <w:sz w:val="22"/>
          <w:szCs w:val="22"/>
          <w:lang w:val="es-CO"/>
        </w:rPr>
        <w:t> Las entidades territoriales o entes prestadores del servicio que soliciten recursos del FAZNI y/o al Instituto de Planificación y Promoción de Soluciones Energéticas para las Zonas No Interconectadas (IPSE) para la implementación de soluciones energéticas, deberán ejecutar directa o indirectamente su administración, operación y mantenimiento, garantizando su sostenibilidad, durante el tiempo que se indique en el respectivo contrato. Si transcurridos seis (6) meses a la terminación de la implementación de la solución energética, la entidad territorial o el prestador del servicio no recibe la infraestructura y no ha gestionado su administración, operación y mantenimiento, quien haga las veces de entidad contratante dará por terminado unilateralmente el respectivo contrato o carta compromisoria e iniciará la búsqueda de prestadores del servicio u operadores de red de la región que estén debidamente inscritos en el Sistema Único de Información (SUI), para que se encarguen de la administración, operación y mantenimiento de la solución energética, según el procedimiento que para el efecto defina el Ministerio de Minas y Energía.</w:t>
      </w:r>
    </w:p>
    <w:p w14:paraId="24109DD7" w14:textId="77777777" w:rsidR="0010695C" w:rsidRPr="006969B3" w:rsidRDefault="0010695C" w:rsidP="00F65283">
      <w:pPr>
        <w:pStyle w:val="NormalWeb"/>
        <w:spacing w:before="0" w:beforeAutospacing="0" w:after="0" w:afterAutospacing="0"/>
        <w:jc w:val="both"/>
        <w:rPr>
          <w:rFonts w:ascii="Arial" w:hAnsi="Arial" w:cs="Arial"/>
          <w:sz w:val="22"/>
          <w:szCs w:val="22"/>
          <w:lang w:val="es-CO"/>
        </w:rPr>
      </w:pPr>
    </w:p>
    <w:p w14:paraId="160BE561" w14:textId="3B7F774D"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La entidad territorial o el prestador que solicite el proyecto y no reciba la solución energética para su administración, operación y mantenimiento, garantizando su sostenibilidad, no podrá volver a acceder a recursos de </w:t>
      </w:r>
      <w:proofErr w:type="spellStart"/>
      <w:r w:rsidRPr="006969B3">
        <w:rPr>
          <w:rFonts w:ascii="Arial" w:hAnsi="Arial" w:cs="Arial"/>
          <w:sz w:val="22"/>
          <w:szCs w:val="22"/>
          <w:lang w:val="es-CO"/>
        </w:rPr>
        <w:t>Fazni</w:t>
      </w:r>
      <w:proofErr w:type="spellEnd"/>
      <w:r w:rsidRPr="006969B3">
        <w:rPr>
          <w:rFonts w:ascii="Arial" w:hAnsi="Arial" w:cs="Arial"/>
          <w:sz w:val="22"/>
          <w:szCs w:val="22"/>
          <w:lang w:val="es-CO"/>
        </w:rPr>
        <w:t xml:space="preserve"> y/o del IPSE, por los siguientes cuatro años al no recibo de la solución. En caso de que la entidad territorial o el prestador del servicio subsanen la situación descrita, la entidad administradora de los recursos del </w:t>
      </w:r>
      <w:proofErr w:type="spellStart"/>
      <w:r w:rsidRPr="006969B3">
        <w:rPr>
          <w:rFonts w:ascii="Arial" w:hAnsi="Arial" w:cs="Arial"/>
          <w:sz w:val="22"/>
          <w:szCs w:val="22"/>
          <w:lang w:val="es-CO"/>
        </w:rPr>
        <w:t>Fazni</w:t>
      </w:r>
      <w:proofErr w:type="spellEnd"/>
      <w:r w:rsidRPr="006969B3">
        <w:rPr>
          <w:rFonts w:ascii="Arial" w:hAnsi="Arial" w:cs="Arial"/>
          <w:sz w:val="22"/>
          <w:szCs w:val="22"/>
          <w:lang w:val="es-CO"/>
        </w:rPr>
        <w:t xml:space="preserve"> o el IPSE si son recursos de dicha entidad podrá modificar o exceptuar el cumplimiento de la medida a la que hace referencia este artículo, de conformidad con los requerimientos que para tal fin establezca el Ministerio de Minas y Energía. Dichos requerimientos podrán incluir, entre </w:t>
      </w:r>
      <w:r w:rsidRPr="006969B3">
        <w:rPr>
          <w:rFonts w:ascii="Arial" w:hAnsi="Arial" w:cs="Arial"/>
          <w:sz w:val="22"/>
          <w:szCs w:val="22"/>
          <w:lang w:val="es-CO"/>
        </w:rPr>
        <w:lastRenderedPageBreak/>
        <w:t xml:space="preserve">otros, el pago de una compensación a favor de la entidad administradora del </w:t>
      </w:r>
      <w:proofErr w:type="spellStart"/>
      <w:r w:rsidRPr="006969B3">
        <w:rPr>
          <w:rFonts w:ascii="Arial" w:hAnsi="Arial" w:cs="Arial"/>
          <w:sz w:val="22"/>
          <w:szCs w:val="22"/>
          <w:lang w:val="es-CO"/>
        </w:rPr>
        <w:t>Fazni</w:t>
      </w:r>
      <w:proofErr w:type="spellEnd"/>
      <w:r w:rsidRPr="006969B3">
        <w:rPr>
          <w:rFonts w:ascii="Arial" w:hAnsi="Arial" w:cs="Arial"/>
          <w:sz w:val="22"/>
          <w:szCs w:val="22"/>
          <w:lang w:val="es-CO"/>
        </w:rPr>
        <w:t xml:space="preserve"> o del IPSE, según corresponda, por parte de la entidad territorial o del prestador incumplido, o periodos de moratoria diferentes a los acá dispuestos para el acceso a los recursos.</w:t>
      </w:r>
    </w:p>
    <w:p w14:paraId="5FBD6D9B" w14:textId="77777777" w:rsidR="0010695C" w:rsidRPr="006969B3" w:rsidRDefault="0010695C" w:rsidP="00F65283">
      <w:pPr>
        <w:pStyle w:val="NormalWeb"/>
        <w:spacing w:before="0" w:beforeAutospacing="0" w:after="0" w:afterAutospacing="0"/>
        <w:jc w:val="both"/>
        <w:rPr>
          <w:rFonts w:ascii="Arial" w:hAnsi="Arial" w:cs="Arial"/>
          <w:sz w:val="22"/>
          <w:szCs w:val="22"/>
          <w:lang w:val="es-CO"/>
        </w:rPr>
      </w:pPr>
    </w:p>
    <w:p w14:paraId="616B7462" w14:textId="2C8404EB"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Aquellas entidades territoriales o entes prestadores del servicio que se comprometieron a recibir la infraestructura para la administración, operación y mantenimiento de las soluciones energéticas con recursos del </w:t>
      </w:r>
      <w:proofErr w:type="spellStart"/>
      <w:r w:rsidRPr="006969B3">
        <w:rPr>
          <w:rFonts w:ascii="Arial" w:hAnsi="Arial" w:cs="Arial"/>
          <w:sz w:val="22"/>
          <w:szCs w:val="22"/>
          <w:lang w:val="es-CO"/>
        </w:rPr>
        <w:t>Fazni</w:t>
      </w:r>
      <w:proofErr w:type="spellEnd"/>
      <w:r w:rsidRPr="006969B3">
        <w:rPr>
          <w:rFonts w:ascii="Arial" w:hAnsi="Arial" w:cs="Arial"/>
          <w:sz w:val="22"/>
          <w:szCs w:val="22"/>
          <w:lang w:val="es-CO"/>
        </w:rPr>
        <w:t xml:space="preserve"> o con recursos del IPSE, con antelación a la presente ley y que aún no lo han hecho, tendrán seis (6) meses a partir de la </w:t>
      </w:r>
      <w:proofErr w:type="gramStart"/>
      <w:r w:rsidRPr="006969B3">
        <w:rPr>
          <w:rFonts w:ascii="Arial" w:hAnsi="Arial" w:cs="Arial"/>
          <w:sz w:val="22"/>
          <w:szCs w:val="22"/>
          <w:lang w:val="es-CO"/>
        </w:rPr>
        <w:t>entrada en vigencia</w:t>
      </w:r>
      <w:proofErr w:type="gramEnd"/>
      <w:r w:rsidRPr="006969B3">
        <w:rPr>
          <w:rFonts w:ascii="Arial" w:hAnsi="Arial" w:cs="Arial"/>
          <w:sz w:val="22"/>
          <w:szCs w:val="22"/>
          <w:lang w:val="es-CO"/>
        </w:rPr>
        <w:t xml:space="preserve"> de esta ley, para recibirlas e iniciar su administración, operación y mantenimiento. Transcurrido dicho plazo, si la entidad territorial o el ente prestador del servicio no inicia la administración, operación y mantenimiento del proyecto, se aplicarán las medidas dispuestas en este artículo.</w:t>
      </w:r>
    </w:p>
    <w:p w14:paraId="725CABA4" w14:textId="49BD4ABD" w:rsidR="003E6B56" w:rsidRPr="006969B3" w:rsidRDefault="003E6B56" w:rsidP="00F65283">
      <w:pPr>
        <w:spacing w:after="0" w:line="240" w:lineRule="auto"/>
        <w:rPr>
          <w:rFonts w:ascii="Arial" w:hAnsi="Arial" w:cs="Arial"/>
          <w:lang w:val="es-CO"/>
        </w:rPr>
      </w:pPr>
    </w:p>
    <w:p w14:paraId="68319CD3" w14:textId="4FDDF530" w:rsidR="003E6B56" w:rsidRPr="006969B3" w:rsidRDefault="003E6B56" w:rsidP="00F65283">
      <w:pPr>
        <w:pStyle w:val="NormalWeb"/>
        <w:spacing w:before="0" w:beforeAutospacing="0" w:after="0" w:afterAutospacing="0"/>
        <w:jc w:val="both"/>
        <w:rPr>
          <w:rFonts w:ascii="Arial" w:hAnsi="Arial" w:cs="Arial"/>
          <w:sz w:val="22"/>
          <w:szCs w:val="22"/>
          <w:lang w:val="es-CO"/>
        </w:rPr>
      </w:pPr>
      <w:bookmarkStart w:id="308" w:name="289"/>
      <w:r w:rsidRPr="006969B3">
        <w:rPr>
          <w:rFonts w:ascii="Arial" w:hAnsi="Arial" w:cs="Arial"/>
          <w:sz w:val="22"/>
          <w:szCs w:val="22"/>
          <w:lang w:val="es-CO"/>
        </w:rPr>
        <w:t>ARTÍCULO 289. TRANSFERENCIAS DEL SECTOR ELÉCTRICO.</w:t>
      </w:r>
      <w:bookmarkEnd w:id="308"/>
      <w:r w:rsidRPr="006969B3">
        <w:rPr>
          <w:rFonts w:ascii="Arial" w:hAnsi="Arial" w:cs="Arial"/>
          <w:sz w:val="22"/>
          <w:szCs w:val="22"/>
          <w:lang w:val="es-CO"/>
        </w:rPr>
        <w:t> Modifíquese el artículo </w:t>
      </w:r>
      <w:r w:rsidRPr="000A2938">
        <w:rPr>
          <w:rFonts w:ascii="Arial" w:hAnsi="Arial" w:cs="Arial"/>
          <w:sz w:val="22"/>
          <w:szCs w:val="22"/>
          <w:lang w:val="es-CO"/>
        </w:rPr>
        <w:t>54</w:t>
      </w:r>
      <w:r w:rsidRPr="006969B3">
        <w:rPr>
          <w:rFonts w:ascii="Arial" w:hAnsi="Arial" w:cs="Arial"/>
          <w:sz w:val="22"/>
          <w:szCs w:val="22"/>
          <w:lang w:val="es-CO"/>
        </w:rPr>
        <w:t> de la Ley 143 de 1994, el cual quedará así:</w:t>
      </w:r>
    </w:p>
    <w:p w14:paraId="098E55CA" w14:textId="77777777" w:rsidR="0010695C" w:rsidRPr="006969B3" w:rsidRDefault="0010695C" w:rsidP="00F65283">
      <w:pPr>
        <w:pStyle w:val="NormalWeb"/>
        <w:spacing w:before="0" w:beforeAutospacing="0" w:after="0" w:afterAutospacing="0"/>
        <w:jc w:val="both"/>
        <w:rPr>
          <w:rFonts w:ascii="Arial" w:hAnsi="Arial" w:cs="Arial"/>
          <w:sz w:val="22"/>
          <w:szCs w:val="22"/>
          <w:lang w:val="es-CO"/>
        </w:rPr>
      </w:pPr>
    </w:p>
    <w:p w14:paraId="525A3A5F" w14:textId="7C840116"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w:t>
      </w:r>
      <w:r w:rsidRPr="000A2938">
        <w:rPr>
          <w:rFonts w:ascii="Arial" w:hAnsi="Arial" w:cs="Arial"/>
          <w:sz w:val="22"/>
          <w:szCs w:val="22"/>
          <w:lang w:val="es-CO"/>
        </w:rPr>
        <w:t>54</w:t>
      </w:r>
      <w:r w:rsidRPr="006969B3">
        <w:rPr>
          <w:rFonts w:ascii="Arial" w:hAnsi="Arial" w:cs="Arial"/>
          <w:sz w:val="22"/>
          <w:szCs w:val="22"/>
          <w:lang w:val="es-CO"/>
        </w:rPr>
        <w:t xml:space="preserve">. Los </w:t>
      </w:r>
      <w:proofErr w:type="spellStart"/>
      <w:r w:rsidRPr="006969B3">
        <w:rPr>
          <w:rFonts w:ascii="Arial" w:hAnsi="Arial" w:cs="Arial"/>
          <w:sz w:val="22"/>
          <w:szCs w:val="22"/>
          <w:lang w:val="es-CO"/>
        </w:rPr>
        <w:t>autogeneradores</w:t>
      </w:r>
      <w:proofErr w:type="spellEnd"/>
      <w:r w:rsidRPr="006969B3">
        <w:rPr>
          <w:rFonts w:ascii="Arial" w:hAnsi="Arial" w:cs="Arial"/>
          <w:sz w:val="22"/>
          <w:szCs w:val="22"/>
          <w:lang w:val="es-CO"/>
        </w:rPr>
        <w:t>, las empresas que vendan excedentes de energía eléctrica, así como las personas jurídicas privadas que entreguen o repartan, a cualquier título, entre sus socios y/o asociados, la energía eléctrica que ellas produzcan, están obligados a cancelar la transferencia en los términos de que trata el artículo </w:t>
      </w:r>
      <w:r w:rsidRPr="000A2938">
        <w:rPr>
          <w:rFonts w:ascii="Arial" w:hAnsi="Arial" w:cs="Arial"/>
          <w:sz w:val="22"/>
          <w:szCs w:val="22"/>
          <w:lang w:val="es-CO"/>
        </w:rPr>
        <w:t>45</w:t>
      </w:r>
      <w:r w:rsidRPr="006969B3">
        <w:rPr>
          <w:rFonts w:ascii="Arial" w:hAnsi="Arial" w:cs="Arial"/>
          <w:sz w:val="22"/>
          <w:szCs w:val="22"/>
          <w:lang w:val="es-CO"/>
        </w:rPr>
        <w:t> de la Ley 99 de 1993, que será calculada sobre las ventas brutas por generación propia, de acuerdo con la tarifa que señale la Comisión de Regulación de Energía y Gas para el efecto. Para la liquidación de esta transferencia, las ventas brutas se calcularán como la generación propia multiplicada por la tarifa que señale la Comisión de Regulación de Energía y Gas para el efecto.</w:t>
      </w:r>
    </w:p>
    <w:p w14:paraId="5A3CD89D" w14:textId="77777777" w:rsidR="0010695C" w:rsidRPr="006969B3" w:rsidRDefault="0010695C" w:rsidP="00F65283">
      <w:pPr>
        <w:pStyle w:val="NormalWeb"/>
        <w:spacing w:before="0" w:beforeAutospacing="0" w:after="0" w:afterAutospacing="0"/>
        <w:jc w:val="both"/>
        <w:rPr>
          <w:rFonts w:ascii="Arial" w:hAnsi="Arial" w:cs="Arial"/>
          <w:sz w:val="22"/>
          <w:szCs w:val="22"/>
          <w:lang w:val="es-CO"/>
        </w:rPr>
      </w:pPr>
    </w:p>
    <w:p w14:paraId="6A7E21AE" w14:textId="179E5EFE"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Para el caso de la energía producida a partir de fuentes no convencionales a las que se refiere la Ley </w:t>
      </w:r>
      <w:r w:rsidRPr="000A2938">
        <w:rPr>
          <w:rFonts w:ascii="Arial" w:hAnsi="Arial" w:cs="Arial"/>
          <w:sz w:val="22"/>
          <w:szCs w:val="22"/>
          <w:lang w:val="es-CO"/>
        </w:rPr>
        <w:t>1715</w:t>
      </w:r>
      <w:r w:rsidRPr="006969B3">
        <w:rPr>
          <w:rFonts w:ascii="Arial" w:hAnsi="Arial" w:cs="Arial"/>
          <w:sz w:val="22"/>
          <w:szCs w:val="22"/>
          <w:lang w:val="es-CO"/>
        </w:rPr>
        <w:t> de 2014, cuyas plantas con potencia nominal instalada total supere los 10.000 kilovatios, deberán cancelar una transferencia equivalente al 1% de las ventas brutas de energía por generación propia de acuerdo con la tarifa que para ventas en bloque señale la Comisión de Regulación de Energía y Gas (CREG). Los recursos recaudados por este concepto se destinarán así:</w:t>
      </w:r>
    </w:p>
    <w:p w14:paraId="4F901525" w14:textId="77777777" w:rsidR="0010695C" w:rsidRPr="006969B3" w:rsidRDefault="0010695C" w:rsidP="00F65283">
      <w:pPr>
        <w:pStyle w:val="NormalWeb"/>
        <w:spacing w:before="0" w:beforeAutospacing="0" w:after="0" w:afterAutospacing="0"/>
        <w:jc w:val="both"/>
        <w:rPr>
          <w:rFonts w:ascii="Arial" w:hAnsi="Arial" w:cs="Arial"/>
          <w:sz w:val="22"/>
          <w:szCs w:val="22"/>
          <w:lang w:val="es-CO"/>
        </w:rPr>
      </w:pPr>
    </w:p>
    <w:p w14:paraId="03DF01E2" w14:textId="6B4EF814"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 60% se destinará en partes iguales a las comunidades étnicas ubicadas en el área de influencia del proyecto de generación para la ejecución de proyectos de inversión en infraestructura, servicios públicos, saneamiento básico y/o de agua potable, así como en proyectos que dichas comunidades definan, siempre que incidan directamente en su calidad de vida y bienestar.</w:t>
      </w:r>
    </w:p>
    <w:p w14:paraId="2F4BBF7C" w14:textId="77777777" w:rsidR="0010695C" w:rsidRPr="006969B3" w:rsidRDefault="0010695C" w:rsidP="00F65283">
      <w:pPr>
        <w:pStyle w:val="NormalWeb"/>
        <w:spacing w:before="0" w:beforeAutospacing="0" w:after="0" w:afterAutospacing="0"/>
        <w:jc w:val="both"/>
        <w:rPr>
          <w:rFonts w:ascii="Arial" w:hAnsi="Arial" w:cs="Arial"/>
          <w:sz w:val="22"/>
          <w:szCs w:val="22"/>
          <w:lang w:val="es-CO"/>
        </w:rPr>
      </w:pPr>
    </w:p>
    <w:p w14:paraId="1D57DD45" w14:textId="65880C46"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En caso de no existir comunidades étnicas acreditadas por el Ministerio del Interior en el respectivo territorio, el porcentaje aquí establecido se destinará a los municipios ubicados en el área del proyecto para inversión en infraestructura, servicios públicos, saneamiento básico y/o agua potable en las comunidades del área de influencia del proyecto.</w:t>
      </w:r>
    </w:p>
    <w:p w14:paraId="2BEEAB3B" w14:textId="77777777" w:rsidR="0010695C" w:rsidRPr="006969B3" w:rsidRDefault="0010695C" w:rsidP="00F65283">
      <w:pPr>
        <w:pStyle w:val="NormalWeb"/>
        <w:spacing w:before="0" w:beforeAutospacing="0" w:after="0" w:afterAutospacing="0"/>
        <w:jc w:val="both"/>
        <w:rPr>
          <w:rFonts w:ascii="Arial" w:hAnsi="Arial" w:cs="Arial"/>
          <w:sz w:val="22"/>
          <w:szCs w:val="22"/>
          <w:lang w:val="es-CO"/>
        </w:rPr>
      </w:pPr>
    </w:p>
    <w:p w14:paraId="4ED07350" w14:textId="07FDBAA9"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b) 40% para los municipios ubicados en el área del proyecto que se destinará a proyectos de inversión en infraestructura, servicios públicos, saneamiento básico y/o de agua potable previstos en el plan de desarrollo municipal.</w:t>
      </w:r>
    </w:p>
    <w:p w14:paraId="6DCB8E2C" w14:textId="77777777" w:rsidR="0010695C" w:rsidRPr="006969B3" w:rsidRDefault="0010695C" w:rsidP="00F65283">
      <w:pPr>
        <w:pStyle w:val="NormalWeb"/>
        <w:spacing w:before="0" w:beforeAutospacing="0" w:after="0" w:afterAutospacing="0"/>
        <w:jc w:val="both"/>
        <w:rPr>
          <w:rStyle w:val="baj"/>
          <w:rFonts w:ascii="Arial" w:hAnsi="Arial" w:cs="Arial"/>
          <w:sz w:val="22"/>
          <w:szCs w:val="22"/>
          <w:lang w:val="es-CO"/>
        </w:rPr>
      </w:pPr>
    </w:p>
    <w:p w14:paraId="2DE49656" w14:textId="7E2BB4FF"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Para efectos de la liquidación y pago de la transferencia, se entenderá que el área de influencia será la establecida en el Estudio de Impacto Ambiental y en la licencia ambiental que expida la autoridad ambiental competente.</w:t>
      </w:r>
    </w:p>
    <w:p w14:paraId="31EB162A" w14:textId="77777777" w:rsidR="0010695C" w:rsidRPr="006969B3" w:rsidRDefault="0010695C" w:rsidP="00F65283">
      <w:pPr>
        <w:pStyle w:val="NormalWeb"/>
        <w:spacing w:before="0" w:beforeAutospacing="0" w:after="0" w:afterAutospacing="0"/>
        <w:jc w:val="both"/>
        <w:rPr>
          <w:rStyle w:val="baj"/>
          <w:rFonts w:ascii="Arial" w:hAnsi="Arial" w:cs="Arial"/>
          <w:sz w:val="22"/>
          <w:szCs w:val="22"/>
          <w:lang w:val="es-CO"/>
        </w:rPr>
      </w:pPr>
    </w:p>
    <w:p w14:paraId="356825A7" w14:textId="6E82FB2E"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En caso de comunidades étnicas, la transferencia se hará a las comunidades debidamente acreditadas por el Ministerio del Interior, que se encuentren ubicadas dentro del área de influencia del proyecto de generación, en los términos que defina el Gobierno nacional.</w:t>
      </w:r>
    </w:p>
    <w:p w14:paraId="48F4B2FA" w14:textId="77777777" w:rsidR="0010695C" w:rsidRPr="006969B3" w:rsidRDefault="0010695C" w:rsidP="00F65283">
      <w:pPr>
        <w:pStyle w:val="NormalWeb"/>
        <w:spacing w:before="0" w:beforeAutospacing="0" w:after="0" w:afterAutospacing="0"/>
        <w:jc w:val="both"/>
        <w:rPr>
          <w:rStyle w:val="baj"/>
          <w:rFonts w:ascii="Arial" w:hAnsi="Arial" w:cs="Arial"/>
          <w:sz w:val="22"/>
          <w:szCs w:val="22"/>
          <w:lang w:val="es-CO"/>
        </w:rPr>
      </w:pPr>
    </w:p>
    <w:p w14:paraId="77794B49" w14:textId="74FA14EE"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3o.</w:t>
      </w:r>
      <w:r w:rsidRPr="006969B3">
        <w:rPr>
          <w:rFonts w:ascii="Arial" w:hAnsi="Arial" w:cs="Arial"/>
          <w:sz w:val="22"/>
          <w:szCs w:val="22"/>
          <w:lang w:val="es-CO"/>
        </w:rPr>
        <w:t> Se exceptúa de las transferencias establecidas en este artículo, a la energía producida por la que ya se paguen las transferencias por generación térmica o hidroeléctrica, establecidas en el artículo </w:t>
      </w:r>
      <w:r w:rsidRPr="000A2938">
        <w:rPr>
          <w:rFonts w:ascii="Arial" w:hAnsi="Arial" w:cs="Arial"/>
          <w:sz w:val="22"/>
          <w:szCs w:val="22"/>
          <w:lang w:val="es-CO"/>
        </w:rPr>
        <w:t>45</w:t>
      </w:r>
      <w:r w:rsidRPr="006969B3">
        <w:rPr>
          <w:rFonts w:ascii="Arial" w:hAnsi="Arial" w:cs="Arial"/>
          <w:sz w:val="22"/>
          <w:szCs w:val="22"/>
          <w:lang w:val="es-CO"/>
        </w:rPr>
        <w:t> de la Ley 99 de 1993 o las normas que lo modifiquen o adicionen.</w:t>
      </w:r>
    </w:p>
    <w:p w14:paraId="6EF43A30" w14:textId="77777777" w:rsidR="0010695C" w:rsidRPr="006969B3" w:rsidRDefault="0010695C" w:rsidP="00F65283">
      <w:pPr>
        <w:pStyle w:val="NormalWeb"/>
        <w:spacing w:before="0" w:beforeAutospacing="0" w:after="0" w:afterAutospacing="0"/>
        <w:jc w:val="both"/>
        <w:rPr>
          <w:rStyle w:val="baj"/>
          <w:rFonts w:ascii="Arial" w:hAnsi="Arial" w:cs="Arial"/>
          <w:sz w:val="22"/>
          <w:szCs w:val="22"/>
          <w:lang w:val="es-CO"/>
        </w:rPr>
      </w:pPr>
    </w:p>
    <w:p w14:paraId="034A24A3" w14:textId="22BE05E0"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4o.</w:t>
      </w:r>
      <w:r w:rsidRPr="006969B3">
        <w:rPr>
          <w:rFonts w:ascii="Arial" w:hAnsi="Arial" w:cs="Arial"/>
          <w:sz w:val="22"/>
          <w:szCs w:val="22"/>
          <w:lang w:val="es-CO"/>
        </w:rPr>
        <w:t> La tarifa de la transferencia de que trata el presente artículo se incrementará a 2% cuando la capacidad instalada de generación eléctrica a partir de fuentes no convencionales de energía renovables, reportada por el Centro Nacional de Despacho, sea superior al 20% de la capacidad instalada de generación total del país.</w:t>
      </w:r>
    </w:p>
    <w:p w14:paraId="4E6C3118" w14:textId="2786B174" w:rsidR="003E6B56" w:rsidRPr="006969B3" w:rsidRDefault="003E6B56" w:rsidP="00F65283">
      <w:pPr>
        <w:spacing w:after="0" w:line="240" w:lineRule="auto"/>
        <w:rPr>
          <w:rFonts w:ascii="Arial" w:hAnsi="Arial" w:cs="Arial"/>
          <w:lang w:val="es-CO"/>
        </w:rPr>
      </w:pPr>
    </w:p>
    <w:p w14:paraId="27A4422F" w14:textId="77777777" w:rsidR="003E6B56" w:rsidRPr="006969B3" w:rsidRDefault="003E6B56" w:rsidP="00F65283">
      <w:pPr>
        <w:pStyle w:val="NormalWeb"/>
        <w:spacing w:before="0" w:beforeAutospacing="0" w:after="0" w:afterAutospacing="0"/>
        <w:jc w:val="both"/>
        <w:rPr>
          <w:rFonts w:ascii="Arial" w:hAnsi="Arial" w:cs="Arial"/>
          <w:sz w:val="22"/>
          <w:szCs w:val="22"/>
          <w:lang w:val="es-CO"/>
        </w:rPr>
      </w:pPr>
      <w:bookmarkStart w:id="309" w:name="290"/>
      <w:r w:rsidRPr="006969B3">
        <w:rPr>
          <w:rFonts w:ascii="Arial" w:hAnsi="Arial" w:cs="Arial"/>
          <w:sz w:val="22"/>
          <w:szCs w:val="22"/>
          <w:lang w:val="es-CO"/>
        </w:rPr>
        <w:t>ARTÍCULO 290. NUEVOS AGENTES.</w:t>
      </w:r>
      <w:bookmarkEnd w:id="309"/>
      <w:r w:rsidRPr="006969B3">
        <w:rPr>
          <w:rFonts w:ascii="Arial" w:hAnsi="Arial" w:cs="Arial"/>
          <w:sz w:val="22"/>
          <w:szCs w:val="22"/>
          <w:lang w:val="es-CO"/>
        </w:rPr>
        <w:t> La Comisión de Regulación de Energía y Gas (CREG), en el marco de la función de garantizar la prestación eficiente del servicio público, de promover la competencia, evitar los abusos de posición dominante y garantizar los derechos de los usuarios, dentro de la regulación sobre servicios de gas combustible, energía eléctrica y alumbrado público, incluirá:</w:t>
      </w:r>
    </w:p>
    <w:p w14:paraId="2C48CB12" w14:textId="77777777" w:rsidR="0010695C" w:rsidRPr="006969B3" w:rsidRDefault="0010695C" w:rsidP="00F65283">
      <w:pPr>
        <w:pStyle w:val="NormalWeb"/>
        <w:spacing w:before="0" w:beforeAutospacing="0" w:after="0" w:afterAutospacing="0"/>
        <w:jc w:val="both"/>
        <w:rPr>
          <w:rFonts w:ascii="Arial" w:hAnsi="Arial" w:cs="Arial"/>
          <w:sz w:val="22"/>
          <w:szCs w:val="22"/>
          <w:lang w:val="es-CO"/>
        </w:rPr>
      </w:pPr>
    </w:p>
    <w:p w14:paraId="638BD519" w14:textId="22A84416"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 Definición de nuevas actividades o eslabones en la cadena de prestación del servicio, las cuales estarán sujetas a la regulación vigente.</w:t>
      </w:r>
    </w:p>
    <w:p w14:paraId="369559A7" w14:textId="77777777" w:rsidR="0010695C" w:rsidRPr="006969B3" w:rsidRDefault="0010695C" w:rsidP="00F65283">
      <w:pPr>
        <w:pStyle w:val="NormalWeb"/>
        <w:spacing w:before="0" w:beforeAutospacing="0" w:after="0" w:afterAutospacing="0"/>
        <w:jc w:val="both"/>
        <w:rPr>
          <w:rFonts w:ascii="Arial" w:hAnsi="Arial" w:cs="Arial"/>
          <w:sz w:val="22"/>
          <w:szCs w:val="22"/>
          <w:lang w:val="es-CO"/>
        </w:rPr>
      </w:pPr>
    </w:p>
    <w:p w14:paraId="067AF9A0" w14:textId="7FA34B86"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2. Definición de la regulación aplicable a los agentes que desarrollen tales nuevas actividades, los cuales estarán sujetos a la regulación vigente.</w:t>
      </w:r>
    </w:p>
    <w:p w14:paraId="1ACD1CE7" w14:textId="77777777" w:rsidR="0010695C" w:rsidRPr="006969B3" w:rsidRDefault="0010695C" w:rsidP="00F65283">
      <w:pPr>
        <w:pStyle w:val="NormalWeb"/>
        <w:spacing w:before="0" w:beforeAutospacing="0" w:after="0" w:afterAutospacing="0"/>
        <w:jc w:val="both"/>
        <w:rPr>
          <w:rFonts w:ascii="Arial" w:hAnsi="Arial" w:cs="Arial"/>
          <w:sz w:val="22"/>
          <w:szCs w:val="22"/>
          <w:lang w:val="es-CO"/>
        </w:rPr>
      </w:pPr>
    </w:p>
    <w:p w14:paraId="36C724ED" w14:textId="1A9D2CD1"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3. Determinación de la actividad o actividades en que cada agente de la cadena puede participar.</w:t>
      </w:r>
    </w:p>
    <w:p w14:paraId="609E7F9E" w14:textId="77777777" w:rsidR="0010695C" w:rsidRPr="006969B3" w:rsidRDefault="0010695C" w:rsidP="00F65283">
      <w:pPr>
        <w:pStyle w:val="NormalWeb"/>
        <w:spacing w:before="0" w:beforeAutospacing="0" w:after="0" w:afterAutospacing="0"/>
        <w:jc w:val="both"/>
        <w:rPr>
          <w:rFonts w:ascii="Arial" w:hAnsi="Arial" w:cs="Arial"/>
          <w:sz w:val="22"/>
          <w:szCs w:val="22"/>
          <w:lang w:val="es-CO"/>
        </w:rPr>
      </w:pPr>
    </w:p>
    <w:p w14:paraId="10E05B9C" w14:textId="49DA8EA0"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4. Definición de las reglas sobre la gobernanza de datos e información que se produzca como resultado del ejercicio de las actividades de los agentes que interactúan en los servicios públicos.</w:t>
      </w:r>
    </w:p>
    <w:p w14:paraId="0637A537" w14:textId="77777777" w:rsidR="0010695C" w:rsidRPr="006969B3" w:rsidRDefault="0010695C" w:rsidP="00F65283">
      <w:pPr>
        <w:pStyle w:val="NormalWeb"/>
        <w:spacing w:before="0" w:beforeAutospacing="0" w:after="0" w:afterAutospacing="0"/>
        <w:jc w:val="both"/>
        <w:rPr>
          <w:rFonts w:ascii="Arial" w:hAnsi="Arial" w:cs="Arial"/>
          <w:sz w:val="22"/>
          <w:szCs w:val="22"/>
          <w:lang w:val="es-CO"/>
        </w:rPr>
      </w:pPr>
    </w:p>
    <w:p w14:paraId="0A273C67" w14:textId="3B92B507"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5. Optimización de los requerimientos de información y su validación a los agentes de los sectores regulados.</w:t>
      </w:r>
    </w:p>
    <w:p w14:paraId="1C3E53FE" w14:textId="77777777" w:rsidR="0010695C" w:rsidRPr="006969B3" w:rsidRDefault="0010695C" w:rsidP="00F65283">
      <w:pPr>
        <w:pStyle w:val="NormalWeb"/>
        <w:spacing w:before="0" w:beforeAutospacing="0" w:after="0" w:afterAutospacing="0"/>
        <w:jc w:val="both"/>
        <w:rPr>
          <w:rStyle w:val="baj"/>
          <w:rFonts w:ascii="Arial" w:hAnsi="Arial" w:cs="Arial"/>
          <w:sz w:val="22"/>
          <w:szCs w:val="22"/>
          <w:lang w:val="es-CO"/>
        </w:rPr>
      </w:pPr>
    </w:p>
    <w:p w14:paraId="1E44EEE5" w14:textId="0B2D9564"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No obstante, lo dispuesto en el artículo </w:t>
      </w:r>
      <w:r w:rsidRPr="000A2938">
        <w:rPr>
          <w:rFonts w:ascii="Arial" w:hAnsi="Arial" w:cs="Arial"/>
          <w:sz w:val="22"/>
          <w:szCs w:val="22"/>
          <w:lang w:val="es-CO"/>
        </w:rPr>
        <w:t>126</w:t>
      </w:r>
      <w:r w:rsidRPr="006969B3">
        <w:rPr>
          <w:rFonts w:ascii="Arial" w:hAnsi="Arial" w:cs="Arial"/>
          <w:sz w:val="22"/>
          <w:szCs w:val="22"/>
          <w:lang w:val="es-CO"/>
        </w:rPr>
        <w:t> de la Ley 142 de 1994, la CREG podrá modificar las fórmulas tarifarias durante su vigencia cuando ello sea estrictamente necesario y motivado en la inclusión de nuevos agentes, actividades o tecnologías, cumpliendo con los criterios establecidos en dicho artículo para la implementación de la regulación.</w:t>
      </w:r>
    </w:p>
    <w:p w14:paraId="2523FE02" w14:textId="77777777" w:rsidR="0010695C" w:rsidRPr="006969B3" w:rsidRDefault="0010695C" w:rsidP="00F65283">
      <w:pPr>
        <w:pStyle w:val="NormalWeb"/>
        <w:spacing w:before="0" w:beforeAutospacing="0" w:after="0" w:afterAutospacing="0"/>
        <w:jc w:val="both"/>
        <w:rPr>
          <w:rStyle w:val="baj"/>
          <w:rFonts w:ascii="Arial" w:hAnsi="Arial" w:cs="Arial"/>
          <w:sz w:val="22"/>
          <w:szCs w:val="22"/>
          <w:lang w:val="es-CO"/>
        </w:rPr>
      </w:pPr>
    </w:p>
    <w:p w14:paraId="558D98DD" w14:textId="46910D00"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El objeto de las Empresas de Servicios Públicos Domiciliarios, junto con sus actividades complementarias, en lo que tiene que ver con la prestación de los servicios de que trata la Ley </w:t>
      </w:r>
      <w:r w:rsidRPr="000A2938">
        <w:rPr>
          <w:rFonts w:ascii="Arial" w:hAnsi="Arial" w:cs="Arial"/>
          <w:sz w:val="22"/>
          <w:szCs w:val="22"/>
          <w:lang w:val="es-CO"/>
        </w:rPr>
        <w:t>142</w:t>
      </w:r>
      <w:r w:rsidRPr="006969B3">
        <w:rPr>
          <w:rFonts w:ascii="Arial" w:hAnsi="Arial" w:cs="Arial"/>
          <w:sz w:val="22"/>
          <w:szCs w:val="22"/>
          <w:lang w:val="es-CO"/>
        </w:rPr>
        <w:t> de 1994, continuará siendo prevalente con respecto a las demás actividades desarrolladas por aquellas en los términos de lo dispuesto en los artículos </w:t>
      </w:r>
      <w:r w:rsidRPr="000A2938">
        <w:rPr>
          <w:rFonts w:ascii="Arial" w:hAnsi="Arial" w:cs="Arial"/>
          <w:sz w:val="22"/>
          <w:szCs w:val="22"/>
          <w:lang w:val="es-CO"/>
        </w:rPr>
        <w:t>99</w:t>
      </w:r>
      <w:r w:rsidRPr="006969B3">
        <w:rPr>
          <w:rFonts w:ascii="Arial" w:hAnsi="Arial" w:cs="Arial"/>
          <w:sz w:val="22"/>
          <w:szCs w:val="22"/>
          <w:lang w:val="es-CO"/>
        </w:rPr>
        <w:t> y siguientes del Código de Comercio.</w:t>
      </w:r>
    </w:p>
    <w:p w14:paraId="1BD23C57" w14:textId="77777777" w:rsidR="0010695C" w:rsidRPr="006969B3" w:rsidRDefault="0010695C" w:rsidP="00F65283">
      <w:pPr>
        <w:pStyle w:val="NormalWeb"/>
        <w:spacing w:before="0" w:beforeAutospacing="0" w:after="0" w:afterAutospacing="0"/>
        <w:jc w:val="both"/>
        <w:rPr>
          <w:rStyle w:val="baj"/>
          <w:rFonts w:ascii="Arial" w:hAnsi="Arial" w:cs="Arial"/>
          <w:sz w:val="22"/>
          <w:szCs w:val="22"/>
          <w:lang w:val="es-CO"/>
        </w:rPr>
      </w:pPr>
    </w:p>
    <w:p w14:paraId="342E2FAD" w14:textId="70D44E71"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lastRenderedPageBreak/>
        <w:t>PARÁGRAFO 3o.</w:t>
      </w:r>
      <w:r w:rsidRPr="006969B3">
        <w:rPr>
          <w:rFonts w:ascii="Arial" w:hAnsi="Arial" w:cs="Arial"/>
          <w:sz w:val="22"/>
          <w:szCs w:val="22"/>
          <w:lang w:val="es-CO"/>
        </w:rPr>
        <w:t xml:space="preserve"> Las competencias establecidas en este artículo podrán ser asumidas por el </w:t>
      </w:r>
      <w:proofErr w:type="gramStart"/>
      <w:r w:rsidRPr="006969B3">
        <w:rPr>
          <w:rFonts w:ascii="Arial" w:hAnsi="Arial" w:cs="Arial"/>
          <w:sz w:val="22"/>
          <w:szCs w:val="22"/>
          <w:lang w:val="es-CO"/>
        </w:rPr>
        <w:t>Presidente</w:t>
      </w:r>
      <w:proofErr w:type="gramEnd"/>
      <w:r w:rsidRPr="006969B3">
        <w:rPr>
          <w:rFonts w:ascii="Arial" w:hAnsi="Arial" w:cs="Arial"/>
          <w:sz w:val="22"/>
          <w:szCs w:val="22"/>
          <w:lang w:val="es-CO"/>
        </w:rPr>
        <w:t xml:space="preserve"> de la República o por el Ministerio de Minas y Energía según a quien corresponda la función delegada en la CREG.</w:t>
      </w:r>
    </w:p>
    <w:p w14:paraId="6AE7CE12" w14:textId="0112F6AE" w:rsidR="003E6B56" w:rsidRPr="006969B3" w:rsidRDefault="003E6B56" w:rsidP="00F65283">
      <w:pPr>
        <w:spacing w:after="0" w:line="240" w:lineRule="auto"/>
        <w:rPr>
          <w:rFonts w:ascii="Arial" w:hAnsi="Arial" w:cs="Arial"/>
          <w:lang w:val="es-CO"/>
        </w:rPr>
      </w:pPr>
    </w:p>
    <w:p w14:paraId="59D97AA7" w14:textId="4521E8EA" w:rsidR="003E6B56" w:rsidRPr="006969B3" w:rsidRDefault="003E6B56" w:rsidP="00F65283">
      <w:pPr>
        <w:pStyle w:val="NormalWeb"/>
        <w:spacing w:before="0" w:beforeAutospacing="0" w:after="0" w:afterAutospacing="0"/>
        <w:jc w:val="both"/>
        <w:rPr>
          <w:rFonts w:ascii="Arial" w:hAnsi="Arial" w:cs="Arial"/>
          <w:sz w:val="22"/>
          <w:szCs w:val="22"/>
          <w:lang w:val="es-CO"/>
        </w:rPr>
      </w:pPr>
      <w:bookmarkStart w:id="310" w:name="291"/>
      <w:r w:rsidRPr="006969B3">
        <w:rPr>
          <w:rFonts w:ascii="Arial" w:hAnsi="Arial" w:cs="Arial"/>
          <w:sz w:val="22"/>
          <w:szCs w:val="22"/>
          <w:lang w:val="es-CO"/>
        </w:rPr>
        <w:t>ARTÍCULO 291. PROGRAMA DE ENERGIZACIÓN PARA LA REGIÓN PACÍFICA.</w:t>
      </w:r>
      <w:bookmarkEnd w:id="310"/>
      <w:r w:rsidRPr="006969B3">
        <w:rPr>
          <w:rFonts w:ascii="Arial" w:hAnsi="Arial" w:cs="Arial"/>
          <w:sz w:val="22"/>
          <w:szCs w:val="22"/>
          <w:lang w:val="es-CO"/>
        </w:rPr>
        <w:t> Se dará continuidad y financiación al programa de energización para zonas rurales apartadas y dispersas de la región Pacífica para el período 2018-2022, a través del fondo creado en el artículo </w:t>
      </w:r>
      <w:r w:rsidRPr="000A2938">
        <w:rPr>
          <w:rFonts w:ascii="Arial" w:hAnsi="Arial" w:cs="Arial"/>
          <w:sz w:val="22"/>
          <w:szCs w:val="22"/>
          <w:lang w:val="es-CO"/>
        </w:rPr>
        <w:t>185</w:t>
      </w:r>
      <w:r w:rsidRPr="006969B3">
        <w:rPr>
          <w:rFonts w:ascii="Arial" w:hAnsi="Arial" w:cs="Arial"/>
          <w:sz w:val="22"/>
          <w:szCs w:val="22"/>
          <w:lang w:val="es-CO"/>
        </w:rPr>
        <w:t> de la Ley 1753 de 2015.</w:t>
      </w:r>
    </w:p>
    <w:p w14:paraId="07434B16" w14:textId="0D425E6B" w:rsidR="003E6B56" w:rsidRPr="006969B3" w:rsidRDefault="003E6B56" w:rsidP="00F65283">
      <w:pPr>
        <w:spacing w:after="0" w:line="240" w:lineRule="auto"/>
        <w:rPr>
          <w:rFonts w:ascii="Arial" w:hAnsi="Arial" w:cs="Arial"/>
          <w:lang w:val="es-CO"/>
        </w:rPr>
      </w:pPr>
    </w:p>
    <w:p w14:paraId="3BA44C7B" w14:textId="3DCF1C6A" w:rsidR="003E6B56" w:rsidRPr="006969B3" w:rsidRDefault="003E6B56" w:rsidP="00F65283">
      <w:pPr>
        <w:pStyle w:val="NormalWeb"/>
        <w:spacing w:before="0" w:beforeAutospacing="0" w:after="0" w:afterAutospacing="0"/>
        <w:jc w:val="both"/>
        <w:rPr>
          <w:rFonts w:ascii="Arial" w:hAnsi="Arial" w:cs="Arial"/>
          <w:sz w:val="22"/>
          <w:szCs w:val="22"/>
          <w:lang w:val="es-CO"/>
        </w:rPr>
      </w:pPr>
      <w:bookmarkStart w:id="311" w:name="292"/>
      <w:r w:rsidRPr="006969B3">
        <w:rPr>
          <w:rFonts w:ascii="Arial" w:hAnsi="Arial" w:cs="Arial"/>
          <w:sz w:val="22"/>
          <w:szCs w:val="22"/>
          <w:lang w:val="es-CO"/>
        </w:rPr>
        <w:t>ARTÍCULO 292. EDIFICIOS PERTENECIENTES A LAS ADMINISTRACIONES PÚBLICAS.</w:t>
      </w:r>
      <w:bookmarkEnd w:id="311"/>
      <w:r w:rsidRPr="006969B3">
        <w:rPr>
          <w:rFonts w:ascii="Arial" w:hAnsi="Arial" w:cs="Arial"/>
          <w:sz w:val="22"/>
          <w:szCs w:val="22"/>
          <w:lang w:val="es-CO"/>
        </w:rPr>
        <w:t> Modifíquese el artículo </w:t>
      </w:r>
      <w:r w:rsidRPr="000A2938">
        <w:rPr>
          <w:rFonts w:ascii="Arial" w:hAnsi="Arial" w:cs="Arial"/>
          <w:sz w:val="22"/>
          <w:szCs w:val="22"/>
          <w:lang w:val="es-CO"/>
        </w:rPr>
        <w:t>30</w:t>
      </w:r>
      <w:r w:rsidRPr="006969B3">
        <w:rPr>
          <w:rFonts w:ascii="Arial" w:hAnsi="Arial" w:cs="Arial"/>
          <w:sz w:val="22"/>
          <w:szCs w:val="22"/>
          <w:lang w:val="es-CO"/>
        </w:rPr>
        <w:t> de la Ley 1715 de 2014, el cual quedará así:</w:t>
      </w:r>
    </w:p>
    <w:p w14:paraId="3CBDA298" w14:textId="77777777" w:rsidR="0010695C" w:rsidRPr="006969B3" w:rsidRDefault="0010695C" w:rsidP="00F65283">
      <w:pPr>
        <w:pStyle w:val="NormalWeb"/>
        <w:spacing w:before="0" w:beforeAutospacing="0" w:after="0" w:afterAutospacing="0"/>
        <w:jc w:val="both"/>
        <w:rPr>
          <w:rFonts w:ascii="Arial" w:hAnsi="Arial" w:cs="Arial"/>
          <w:sz w:val="22"/>
          <w:szCs w:val="22"/>
          <w:lang w:val="es-CO"/>
        </w:rPr>
      </w:pPr>
    </w:p>
    <w:p w14:paraId="2916DB15" w14:textId="34EEDDA1"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w:t>
      </w:r>
      <w:r w:rsidRPr="000A2938">
        <w:rPr>
          <w:rFonts w:ascii="Arial" w:hAnsi="Arial" w:cs="Arial"/>
          <w:sz w:val="22"/>
          <w:szCs w:val="22"/>
          <w:lang w:val="es-CO"/>
        </w:rPr>
        <w:t>30</w:t>
      </w:r>
      <w:r w:rsidRPr="006969B3">
        <w:rPr>
          <w:rFonts w:ascii="Arial" w:hAnsi="Arial" w:cs="Arial"/>
          <w:sz w:val="22"/>
          <w:szCs w:val="22"/>
          <w:lang w:val="es-CO"/>
        </w:rPr>
        <w:t xml:space="preserve">. Edificios pertenecientes a las administraciones públicas. El Gobierno nacional, y el resto de </w:t>
      </w:r>
      <w:proofErr w:type="gramStart"/>
      <w:r w:rsidRPr="006969B3">
        <w:rPr>
          <w:rFonts w:ascii="Arial" w:hAnsi="Arial" w:cs="Arial"/>
          <w:sz w:val="22"/>
          <w:szCs w:val="22"/>
          <w:lang w:val="es-CO"/>
        </w:rPr>
        <w:t>administraciones</w:t>
      </w:r>
      <w:proofErr w:type="gramEnd"/>
      <w:r w:rsidRPr="006969B3">
        <w:rPr>
          <w:rFonts w:ascii="Arial" w:hAnsi="Arial" w:cs="Arial"/>
          <w:sz w:val="22"/>
          <w:szCs w:val="22"/>
          <w:lang w:val="es-CO"/>
        </w:rPr>
        <w:t xml:space="preserve"> públicas, en un término no superior a un año, a partir del 1 de junio de 2019, realizarán la auditoría energética de sus instalaciones y establecerán objetivos de ahorro de energía a ser alcanzadas a través de medidas de eficiencia energética y de cambios y/o adecuaciones en su infraestructura. Tales objetivos deberán implicar para el primer año un ahorro en el consumo de energía de mínimo 15% respecto del consumo del año anterior y a partir del segundo año con metas escalonadas definidas a partir de la auditoría y a ser alcanzadas a más tardar en el año 2022. Para tal efecto, cada entidad deberá destinar los recursos (presupuesto) necesarios para cumplir con tales medidas de gestión eficiente de la energía.</w:t>
      </w:r>
    </w:p>
    <w:p w14:paraId="6CDF8AA5" w14:textId="2CDFDB6E" w:rsidR="003E6B56" w:rsidRPr="006969B3" w:rsidRDefault="003E6B56" w:rsidP="00F65283">
      <w:pPr>
        <w:spacing w:after="0" w:line="240" w:lineRule="auto"/>
        <w:rPr>
          <w:rFonts w:ascii="Arial" w:hAnsi="Arial" w:cs="Arial"/>
          <w:lang w:val="es-CO"/>
        </w:rPr>
      </w:pPr>
    </w:p>
    <w:p w14:paraId="56D6C9DC" w14:textId="77777777" w:rsidR="003E6B56" w:rsidRPr="006969B3" w:rsidRDefault="003E6B56" w:rsidP="00F65283">
      <w:pPr>
        <w:pStyle w:val="NormalWeb"/>
        <w:spacing w:before="0" w:beforeAutospacing="0" w:after="0" w:afterAutospacing="0"/>
        <w:jc w:val="both"/>
        <w:rPr>
          <w:rFonts w:ascii="Arial" w:hAnsi="Arial" w:cs="Arial"/>
          <w:sz w:val="22"/>
          <w:szCs w:val="22"/>
          <w:lang w:val="es-CO"/>
        </w:rPr>
      </w:pPr>
      <w:bookmarkStart w:id="312" w:name="293"/>
      <w:r w:rsidRPr="006969B3">
        <w:rPr>
          <w:rFonts w:ascii="Arial" w:hAnsi="Arial" w:cs="Arial"/>
          <w:sz w:val="22"/>
          <w:szCs w:val="22"/>
          <w:lang w:val="es-CO"/>
        </w:rPr>
        <w:t>ARTÍCULO 293. PROYECTOS DE EXPANSIÓN DE REDES DE GLP.</w:t>
      </w:r>
      <w:bookmarkEnd w:id="312"/>
      <w:r w:rsidRPr="006969B3">
        <w:rPr>
          <w:rFonts w:ascii="Arial" w:hAnsi="Arial" w:cs="Arial"/>
          <w:sz w:val="22"/>
          <w:szCs w:val="22"/>
          <w:lang w:val="es-CO"/>
        </w:rPr>
        <w:t> El Ministerio de Minas y Energía fomentará la promoción y cofinanciación de proyectos de expansión de redes de GLP para conectar a los usuarios donde sea técnica y económicamente viable y priorizará los municipios con niveles altos e intermedios de Necesidades Básicas Insatisfechas, municipios rurales y zonas de difícil acceso.</w:t>
      </w:r>
    </w:p>
    <w:p w14:paraId="380737A1" w14:textId="77777777" w:rsidR="0010695C" w:rsidRPr="006969B3" w:rsidRDefault="0010695C" w:rsidP="00F65283">
      <w:pPr>
        <w:pStyle w:val="NormalWeb"/>
        <w:spacing w:before="0" w:beforeAutospacing="0" w:after="0" w:afterAutospacing="0"/>
        <w:jc w:val="both"/>
        <w:rPr>
          <w:rStyle w:val="baj"/>
          <w:rFonts w:ascii="Arial" w:hAnsi="Arial" w:cs="Arial"/>
          <w:sz w:val="22"/>
          <w:szCs w:val="22"/>
          <w:lang w:val="es-CO"/>
        </w:rPr>
      </w:pPr>
    </w:p>
    <w:p w14:paraId="090AE8BF" w14:textId="5258E99E"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El Ministerio de Minas y Energía definirá los términos y condiciones para la asignación de recursos públicos destinados a la ampliación de cobertura del servicio público domiciliario de gas combustible, entre las que se incluirán las condiciones de eficiencia económica incluidas en el Plan indicativo de expansión de cobertura de gas combustible elaborado por la UPME.</w:t>
      </w:r>
    </w:p>
    <w:p w14:paraId="247B01AF" w14:textId="77777777" w:rsidR="00760E9B" w:rsidRPr="006969B3" w:rsidRDefault="00760E9B" w:rsidP="00F65283">
      <w:pPr>
        <w:pStyle w:val="NormalWeb"/>
        <w:spacing w:before="0" w:beforeAutospacing="0" w:after="0" w:afterAutospacing="0"/>
        <w:jc w:val="both"/>
        <w:rPr>
          <w:rStyle w:val="baj"/>
          <w:rFonts w:ascii="Arial" w:hAnsi="Arial" w:cs="Arial"/>
          <w:sz w:val="22"/>
          <w:szCs w:val="22"/>
          <w:lang w:val="es-CO"/>
        </w:rPr>
      </w:pPr>
    </w:p>
    <w:p w14:paraId="028FA97A" w14:textId="0BAA6F43"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El Ministerio de Minas y Energía definirá los términos y condiciones para la asignación de recursos del Fondo Especial Cuota de Fomento de Gas Natural (FECFGN) destinados a la ampliación de cobertura del servicio público domiciliario de gas combustible, entre las que se incluirán las condiciones de eficiencia económica incluidas en el Plan Indicativo de Expansión de cobertura de gas combustible elaborado por la UPME.</w:t>
      </w:r>
    </w:p>
    <w:p w14:paraId="0ED3B880" w14:textId="77777777" w:rsidR="00760E9B" w:rsidRPr="006969B3" w:rsidRDefault="00760E9B" w:rsidP="00F65283">
      <w:pPr>
        <w:pStyle w:val="NormalWeb"/>
        <w:spacing w:before="0" w:beforeAutospacing="0" w:after="0" w:afterAutospacing="0"/>
        <w:jc w:val="both"/>
        <w:rPr>
          <w:rFonts w:ascii="Arial" w:hAnsi="Arial" w:cs="Arial"/>
          <w:sz w:val="22"/>
          <w:szCs w:val="22"/>
          <w:lang w:val="es-CO"/>
        </w:rPr>
      </w:pPr>
      <w:bookmarkStart w:id="313" w:name="294"/>
    </w:p>
    <w:p w14:paraId="759492CA" w14:textId="1303E58E"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294. GESTIÓN DEL SERVICIO PÚBLICO DOMICILIARIO DE GAS COMBUSTIBLE EN ZONAS APARTADAS SIN SERVICIO.</w:t>
      </w:r>
      <w:bookmarkEnd w:id="313"/>
      <w:r w:rsidRPr="006969B3">
        <w:rPr>
          <w:rFonts w:ascii="Arial" w:hAnsi="Arial" w:cs="Arial"/>
          <w:sz w:val="22"/>
          <w:szCs w:val="22"/>
          <w:lang w:val="es-CO"/>
        </w:rPr>
        <w:t> De conformidad con las competencias establecidas en el artículo </w:t>
      </w:r>
      <w:r w:rsidRPr="000A2938">
        <w:rPr>
          <w:rFonts w:ascii="Arial" w:hAnsi="Arial" w:cs="Arial"/>
          <w:sz w:val="22"/>
          <w:szCs w:val="22"/>
          <w:lang w:val="es-CO"/>
        </w:rPr>
        <w:t>8o</w:t>
      </w:r>
      <w:r w:rsidRPr="006969B3">
        <w:rPr>
          <w:rFonts w:ascii="Arial" w:hAnsi="Arial" w:cs="Arial"/>
          <w:sz w:val="22"/>
          <w:szCs w:val="22"/>
          <w:lang w:val="es-CO"/>
        </w:rPr>
        <w:t> de la Ley 142 de 1994 y el Decreto </w:t>
      </w:r>
      <w:r w:rsidRPr="000A2938">
        <w:rPr>
          <w:rFonts w:ascii="Arial" w:hAnsi="Arial" w:cs="Arial"/>
          <w:sz w:val="22"/>
          <w:szCs w:val="22"/>
          <w:lang w:val="es-CO"/>
        </w:rPr>
        <w:t>381</w:t>
      </w:r>
      <w:r w:rsidRPr="006969B3">
        <w:rPr>
          <w:rFonts w:ascii="Arial" w:hAnsi="Arial" w:cs="Arial"/>
          <w:sz w:val="22"/>
          <w:szCs w:val="22"/>
          <w:lang w:val="es-CO"/>
        </w:rPr>
        <w:t xml:space="preserve"> de 2012, y las normas que lo sustituyan o lo complementen, el Ministerio de Minas y Energía dirigirá la forma en que se podrán gestionar los recursos que sociedades decidan aportar para extender el uso de gas natural distribuido por redes y/o gas licuado de petróleo distribuido por redes a cabeceras municipales que no cuenten con el servicio respectivo y/o a centros poblados diferentes a la cabecera municipal, como por ejemplo las veredas, los corregimientos, caseríos y/o inspecciones de policía, que no cuenten con el servicio respectivo. Para el efecto, la persona jurídica deberá depositar los recursos mencionados </w:t>
      </w:r>
      <w:r w:rsidRPr="006969B3">
        <w:rPr>
          <w:rFonts w:ascii="Arial" w:hAnsi="Arial" w:cs="Arial"/>
          <w:sz w:val="22"/>
          <w:szCs w:val="22"/>
          <w:lang w:val="es-CO"/>
        </w:rPr>
        <w:lastRenderedPageBreak/>
        <w:t>en una fiducia mercantil que la misma deberá contratar, a través de la cual se aportarán los recursos a empresas prestadoras de servicios públicos domiciliarios que ejecuten proyectos dirigidos a la prestación del servicio público de gas combustible. Los aportes de estos recursos se regirán por lo establecido en el numeral 87.9 del artículo </w:t>
      </w:r>
      <w:r w:rsidRPr="000A2938">
        <w:rPr>
          <w:rFonts w:ascii="Arial" w:hAnsi="Arial" w:cs="Arial"/>
          <w:sz w:val="22"/>
          <w:szCs w:val="22"/>
          <w:lang w:val="es-CO"/>
        </w:rPr>
        <w:t>87</w:t>
      </w:r>
      <w:r w:rsidRPr="006969B3">
        <w:rPr>
          <w:rFonts w:ascii="Arial" w:hAnsi="Arial" w:cs="Arial"/>
          <w:sz w:val="22"/>
          <w:szCs w:val="22"/>
          <w:lang w:val="es-CO"/>
        </w:rPr>
        <w:t> de la Ley 142 de 1994.</w:t>
      </w:r>
    </w:p>
    <w:p w14:paraId="6F489A92" w14:textId="77777777" w:rsidR="00760E9B" w:rsidRPr="006969B3" w:rsidRDefault="00760E9B" w:rsidP="00F65283">
      <w:pPr>
        <w:pStyle w:val="NormalWeb"/>
        <w:spacing w:before="0" w:beforeAutospacing="0" w:after="0" w:afterAutospacing="0"/>
        <w:jc w:val="both"/>
        <w:rPr>
          <w:rFonts w:ascii="Arial" w:hAnsi="Arial" w:cs="Arial"/>
          <w:sz w:val="22"/>
          <w:szCs w:val="22"/>
          <w:lang w:val="es-CO"/>
        </w:rPr>
      </w:pPr>
    </w:p>
    <w:p w14:paraId="5FD04432" w14:textId="25F411D9"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Por otra parte, la Comisión de Regulación de Energía y Gas (CREG), establecerá los mecanismos para que los valores de los recursos de que trata este artículo, y que sean entregados a título de aporte a las empresas seleccionadas, no se incluyan en el cálculo de las tarifas correspondientes, sin perjuicio de lo establecido en el artículo </w:t>
      </w:r>
      <w:r w:rsidRPr="000A2938">
        <w:rPr>
          <w:rFonts w:ascii="Arial" w:hAnsi="Arial" w:cs="Arial"/>
          <w:sz w:val="22"/>
          <w:szCs w:val="22"/>
          <w:lang w:val="es-CO"/>
        </w:rPr>
        <w:t>126</w:t>
      </w:r>
      <w:r w:rsidRPr="006969B3">
        <w:rPr>
          <w:rFonts w:ascii="Arial" w:hAnsi="Arial" w:cs="Arial"/>
          <w:sz w:val="22"/>
          <w:szCs w:val="22"/>
          <w:lang w:val="es-CO"/>
        </w:rPr>
        <w:t> de la Ley 142 de 1994, de tal forma que el usuario final se beneficie durante el período tarifario correspondiente. Las empresas de servicios públicos que resulten seleccionadas y que reciban estos aportes deberán solicitar la aprobación de las tarifas por parte de la CREG, una vez reciban los recursos.</w:t>
      </w:r>
    </w:p>
    <w:p w14:paraId="500DB414" w14:textId="77777777" w:rsidR="00760E9B" w:rsidRPr="006969B3" w:rsidRDefault="00760E9B" w:rsidP="00F65283">
      <w:pPr>
        <w:pStyle w:val="NormalWeb"/>
        <w:spacing w:before="0" w:beforeAutospacing="0" w:after="0" w:afterAutospacing="0"/>
        <w:jc w:val="both"/>
        <w:rPr>
          <w:rFonts w:ascii="Arial" w:hAnsi="Arial" w:cs="Arial"/>
          <w:sz w:val="22"/>
          <w:szCs w:val="22"/>
          <w:lang w:val="es-CO"/>
        </w:rPr>
      </w:pPr>
      <w:bookmarkStart w:id="314" w:name="295"/>
    </w:p>
    <w:p w14:paraId="3042C823" w14:textId="084EBF4D"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295. SUBSIDIOS PARA COMBUSTIBLES LÍQUIDOS, BIOCOMBUSTIBLES Y GLP.</w:t>
      </w:r>
      <w:bookmarkEnd w:id="314"/>
      <w:r w:rsidRPr="006969B3">
        <w:rPr>
          <w:rFonts w:ascii="Arial" w:hAnsi="Arial" w:cs="Arial"/>
          <w:sz w:val="22"/>
          <w:szCs w:val="22"/>
          <w:lang w:val="es-CO"/>
        </w:rPr>
        <w:t> Los subsidios a nivel nacional para los combustibles líquidos, biocombustibles y Gas combustible, se revisarán con el fin de establecer una metodología eficiente que garantice un precio competitivo y la mejor señal de consumo para los usuarios, sostenibilidad fiscal y la pertinencia de su ajuste gradual, sin que exista concurrencia de subsidios entre estos. Así mismo, se hará una revisión al Fondo de Estabilización de Precios de los Combustibles (FEPC) a fin de establecer una metodología que posibilite una estructura con sostenibilidad fiscal a largo plazo. El Ministerio de Minas y Energía revisará los subsidios de transporte de combustibles líquidos, gas combustible y crudo, así como lo de transporte en zonas especiales y diésel marino. El Ministerio de Hacienda y Crédito Público, el Ministerio de Transporte y el Ministerio de Minas y Energía revisarán el esquema de sobretasa que aplican los municipios para considerar los nuevos energéticos que se incorporarán a la matriz para movilidad.</w:t>
      </w:r>
    </w:p>
    <w:p w14:paraId="10D9CD86" w14:textId="77777777" w:rsidR="00760E9B" w:rsidRPr="006969B3" w:rsidRDefault="00760E9B" w:rsidP="00F65283">
      <w:pPr>
        <w:pStyle w:val="NormalWeb"/>
        <w:spacing w:before="0" w:beforeAutospacing="0" w:after="0" w:afterAutospacing="0"/>
        <w:jc w:val="both"/>
        <w:rPr>
          <w:rFonts w:ascii="Arial" w:hAnsi="Arial" w:cs="Arial"/>
          <w:sz w:val="22"/>
          <w:szCs w:val="22"/>
          <w:lang w:val="es-CO"/>
        </w:rPr>
      </w:pPr>
    </w:p>
    <w:p w14:paraId="0D04C49A" w14:textId="38C1140D"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Los subsidios a nivel nacional para los combustibles líquidos, biocombustibles y Gas combustible para los departamentos ubicados para la zona de frontera continuarán rigiéndose por el artículo </w:t>
      </w:r>
      <w:r w:rsidRPr="000A2938">
        <w:rPr>
          <w:rFonts w:ascii="Arial" w:hAnsi="Arial" w:cs="Arial"/>
          <w:sz w:val="22"/>
          <w:szCs w:val="22"/>
          <w:lang w:val="es-CO"/>
        </w:rPr>
        <w:t>220</w:t>
      </w:r>
      <w:r w:rsidRPr="006969B3">
        <w:rPr>
          <w:rFonts w:ascii="Arial" w:hAnsi="Arial" w:cs="Arial"/>
          <w:sz w:val="22"/>
          <w:szCs w:val="22"/>
          <w:lang w:val="es-CO"/>
        </w:rPr>
        <w:t> de la Ley 1819 de 2016.</w:t>
      </w:r>
    </w:p>
    <w:p w14:paraId="0AF71247" w14:textId="216D8A3B" w:rsidR="003E6B56" w:rsidRPr="006969B3" w:rsidRDefault="003E6B56" w:rsidP="00F65283">
      <w:pPr>
        <w:spacing w:after="0" w:line="240" w:lineRule="auto"/>
        <w:rPr>
          <w:rFonts w:ascii="Arial" w:hAnsi="Arial" w:cs="Arial"/>
          <w:lang w:val="es-CO"/>
        </w:rPr>
      </w:pPr>
    </w:p>
    <w:p w14:paraId="4384E876" w14:textId="77777777" w:rsidR="003E6B56" w:rsidRPr="006969B3" w:rsidRDefault="003E6B56" w:rsidP="00F65283">
      <w:pPr>
        <w:pStyle w:val="NormalWeb"/>
        <w:spacing w:before="0" w:beforeAutospacing="0" w:after="0" w:afterAutospacing="0"/>
        <w:jc w:val="both"/>
        <w:rPr>
          <w:rFonts w:ascii="Arial" w:hAnsi="Arial" w:cs="Arial"/>
          <w:sz w:val="22"/>
          <w:szCs w:val="22"/>
          <w:lang w:val="es-CO"/>
        </w:rPr>
      </w:pPr>
      <w:bookmarkStart w:id="315" w:name="296"/>
      <w:r w:rsidRPr="006969B3">
        <w:rPr>
          <w:rFonts w:ascii="Arial" w:hAnsi="Arial" w:cs="Arial"/>
          <w:sz w:val="22"/>
          <w:szCs w:val="22"/>
          <w:lang w:val="es-CO"/>
        </w:rPr>
        <w:t>ARTÍCULO 296. MATRIZ ENERGÉTICA.</w:t>
      </w:r>
      <w:bookmarkEnd w:id="315"/>
      <w:r w:rsidRPr="006969B3">
        <w:rPr>
          <w:rFonts w:ascii="Arial" w:hAnsi="Arial" w:cs="Arial"/>
          <w:sz w:val="22"/>
          <w:szCs w:val="22"/>
          <w:lang w:val="es-CO"/>
        </w:rPr>
        <w:t> En cumplimiento del objetivo de contar con una matriz energética complementaria, resiliente y comprometida con la reducción de emisiones de carbono, los agentes comercializadores del Mercado de Energía Mayorista estarán obligados a que entre el 8 y el 10% de sus compras de energía provengan de fuentes no convencionales de energía renovable, a través de contratos de largo plazo asignados en determinados mecanismos de mercado que la regulación establezca. Lo anterior, sin perjuicio de que los agentes comercializadores puedan tener un porcentaje superior al dispuesto en este artículo.</w:t>
      </w:r>
    </w:p>
    <w:p w14:paraId="55A06CF5" w14:textId="77777777" w:rsidR="00760E9B" w:rsidRPr="006969B3" w:rsidRDefault="00760E9B" w:rsidP="00F65283">
      <w:pPr>
        <w:pStyle w:val="NormalWeb"/>
        <w:spacing w:before="0" w:beforeAutospacing="0" w:after="0" w:afterAutospacing="0"/>
        <w:jc w:val="both"/>
        <w:rPr>
          <w:rFonts w:ascii="Arial" w:hAnsi="Arial" w:cs="Arial"/>
          <w:sz w:val="22"/>
          <w:szCs w:val="22"/>
          <w:lang w:val="es-CO"/>
        </w:rPr>
      </w:pPr>
    </w:p>
    <w:p w14:paraId="5CD6D952" w14:textId="4F7EFC43"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Ministerio de Minas y Energía, o la entidad a la que este delegue, reglamentará mediante resolución el alcance de la obligación establecida en el presente artículo, así como los mecanismos de seguimiento y control, sin perjuicio de la función sancionatoria de la Superintendencia de Servicios Públicos Domiciliarios (SSPD). Las condiciones de inicio y vigencia de la obligación serán definidas en dicha reglamentación.</w:t>
      </w:r>
    </w:p>
    <w:p w14:paraId="2D9D0471" w14:textId="77777777" w:rsidR="00760E9B" w:rsidRPr="006969B3" w:rsidRDefault="00760E9B" w:rsidP="00F65283">
      <w:pPr>
        <w:pStyle w:val="NormalWeb"/>
        <w:spacing w:before="0" w:beforeAutospacing="0" w:after="0" w:afterAutospacing="0"/>
        <w:jc w:val="both"/>
        <w:rPr>
          <w:rFonts w:ascii="Arial" w:hAnsi="Arial" w:cs="Arial"/>
          <w:sz w:val="22"/>
          <w:szCs w:val="22"/>
          <w:lang w:val="es-CO"/>
        </w:rPr>
      </w:pPr>
      <w:bookmarkStart w:id="316" w:name="297"/>
    </w:p>
    <w:p w14:paraId="677626F6" w14:textId="5F1E9A5E"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297. SUBSIDIOS DE ENERGÍA ELÉCTRICA Y GAS.</w:t>
      </w:r>
      <w:bookmarkEnd w:id="316"/>
      <w:r w:rsidRPr="006969B3">
        <w:rPr>
          <w:rFonts w:ascii="Arial" w:hAnsi="Arial" w:cs="Arial"/>
          <w:sz w:val="22"/>
          <w:szCs w:val="22"/>
          <w:lang w:val="es-CO"/>
        </w:rPr>
        <w:t> Los subsidios establecidos en el artículo </w:t>
      </w:r>
      <w:r w:rsidRPr="000A2938">
        <w:rPr>
          <w:rFonts w:ascii="Arial" w:hAnsi="Arial" w:cs="Arial"/>
          <w:sz w:val="22"/>
          <w:szCs w:val="22"/>
          <w:lang w:val="es-CO"/>
        </w:rPr>
        <w:t>3o</w:t>
      </w:r>
      <w:r w:rsidRPr="006969B3">
        <w:rPr>
          <w:rFonts w:ascii="Arial" w:hAnsi="Arial" w:cs="Arial"/>
          <w:sz w:val="22"/>
          <w:szCs w:val="22"/>
          <w:lang w:val="es-CO"/>
        </w:rPr>
        <w:t> de la Ley 1117 de 2006, prorrogados a su vez por el artículo </w:t>
      </w:r>
      <w:r w:rsidRPr="000A2938">
        <w:rPr>
          <w:rFonts w:ascii="Arial" w:hAnsi="Arial" w:cs="Arial"/>
          <w:sz w:val="22"/>
          <w:szCs w:val="22"/>
          <w:lang w:val="es-CO"/>
        </w:rPr>
        <w:t>1o</w:t>
      </w:r>
      <w:r w:rsidRPr="006969B3">
        <w:rPr>
          <w:rFonts w:ascii="Arial" w:hAnsi="Arial" w:cs="Arial"/>
          <w:sz w:val="22"/>
          <w:szCs w:val="22"/>
          <w:lang w:val="es-CO"/>
        </w:rPr>
        <w:t> de la Ley 1428 de 2010, además por el artículo </w:t>
      </w:r>
      <w:r w:rsidRPr="000A2938">
        <w:rPr>
          <w:rFonts w:ascii="Arial" w:hAnsi="Arial" w:cs="Arial"/>
          <w:sz w:val="22"/>
          <w:szCs w:val="22"/>
          <w:lang w:val="es-CO"/>
        </w:rPr>
        <w:t>76</w:t>
      </w:r>
      <w:r w:rsidRPr="006969B3">
        <w:rPr>
          <w:rFonts w:ascii="Arial" w:hAnsi="Arial" w:cs="Arial"/>
          <w:sz w:val="22"/>
          <w:szCs w:val="22"/>
          <w:lang w:val="es-CO"/>
        </w:rPr>
        <w:t xml:space="preserve"> de la Ley 1739 de 2014 y por </w:t>
      </w:r>
      <w:r w:rsidRPr="006969B3">
        <w:rPr>
          <w:rFonts w:ascii="Arial" w:hAnsi="Arial" w:cs="Arial"/>
          <w:sz w:val="22"/>
          <w:szCs w:val="22"/>
          <w:lang w:val="es-CO"/>
        </w:rPr>
        <w:lastRenderedPageBreak/>
        <w:t>el artículo </w:t>
      </w:r>
      <w:r w:rsidRPr="000A2938">
        <w:rPr>
          <w:rFonts w:ascii="Arial" w:hAnsi="Arial" w:cs="Arial"/>
          <w:sz w:val="22"/>
          <w:szCs w:val="22"/>
          <w:lang w:val="es-CO"/>
        </w:rPr>
        <w:t>17</w:t>
      </w:r>
      <w:r w:rsidRPr="006969B3">
        <w:rPr>
          <w:rFonts w:ascii="Arial" w:hAnsi="Arial" w:cs="Arial"/>
          <w:sz w:val="22"/>
          <w:szCs w:val="22"/>
          <w:lang w:val="es-CO"/>
        </w:rPr>
        <w:t> de la Ley 1753 de 2015 se prorrogan, como máximo, hasta el 31 de diciembre de 2022.</w:t>
      </w:r>
    </w:p>
    <w:p w14:paraId="1651E682" w14:textId="77777777" w:rsidR="00760E9B" w:rsidRPr="006969B3" w:rsidRDefault="00760E9B" w:rsidP="00F65283">
      <w:pPr>
        <w:pStyle w:val="NormalWeb"/>
        <w:spacing w:before="0" w:beforeAutospacing="0" w:after="0" w:afterAutospacing="0"/>
        <w:jc w:val="both"/>
        <w:rPr>
          <w:rStyle w:val="baj"/>
          <w:rFonts w:ascii="Arial" w:hAnsi="Arial" w:cs="Arial"/>
          <w:sz w:val="22"/>
          <w:szCs w:val="22"/>
          <w:lang w:val="es-CO"/>
        </w:rPr>
      </w:pPr>
    </w:p>
    <w:p w14:paraId="3AC18B6D" w14:textId="7BC02B81"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Buscando la eficiencia de los recursos presupuestales destinados para financiar subsidios de energía eléctrica y gas a usuarios de menores ingresos, se implementarán medidas que permitan el cruce entre la estratificación y la información socioeconómica de los usuarios como parámetro de focalización del subsidio.</w:t>
      </w:r>
    </w:p>
    <w:p w14:paraId="2E0EA931" w14:textId="4CB9CE29" w:rsidR="003E6B56" w:rsidRPr="006969B3" w:rsidRDefault="003E6B56" w:rsidP="00F65283">
      <w:pPr>
        <w:spacing w:after="0" w:line="240" w:lineRule="auto"/>
        <w:rPr>
          <w:rFonts w:ascii="Arial" w:hAnsi="Arial" w:cs="Arial"/>
          <w:lang w:val="es-CO"/>
        </w:rPr>
      </w:pPr>
    </w:p>
    <w:p w14:paraId="037D996B" w14:textId="72D809E1" w:rsidR="003E6B56" w:rsidRPr="006969B3" w:rsidRDefault="003E6B56" w:rsidP="00F65283">
      <w:pPr>
        <w:pStyle w:val="NormalWeb"/>
        <w:spacing w:before="0" w:beforeAutospacing="0" w:after="0" w:afterAutospacing="0"/>
        <w:jc w:val="both"/>
        <w:rPr>
          <w:rFonts w:ascii="Arial" w:hAnsi="Arial" w:cs="Arial"/>
          <w:sz w:val="22"/>
          <w:szCs w:val="22"/>
          <w:lang w:val="es-CO"/>
        </w:rPr>
      </w:pPr>
      <w:bookmarkStart w:id="317" w:name="298"/>
      <w:r w:rsidRPr="006969B3">
        <w:rPr>
          <w:rFonts w:ascii="Arial" w:hAnsi="Arial" w:cs="Arial"/>
          <w:sz w:val="22"/>
          <w:szCs w:val="22"/>
          <w:lang w:val="es-CO"/>
        </w:rPr>
        <w:t>ARTÍCULO 298. ACTIVIDADES RELACIONADAS CON LA PRESTACIÓN DEL SERVICIO PÚBLICO DE ENERGÍA ELÉCTRICA.</w:t>
      </w:r>
      <w:bookmarkEnd w:id="317"/>
      <w:r w:rsidRPr="006969B3">
        <w:rPr>
          <w:rFonts w:ascii="Arial" w:hAnsi="Arial" w:cs="Arial"/>
          <w:sz w:val="22"/>
          <w:szCs w:val="22"/>
          <w:lang w:val="es-CO"/>
        </w:rPr>
        <w:t> Sustitúyase el artículo </w:t>
      </w:r>
      <w:r w:rsidRPr="000A2938">
        <w:rPr>
          <w:rFonts w:ascii="Arial" w:hAnsi="Arial" w:cs="Arial"/>
          <w:sz w:val="22"/>
          <w:szCs w:val="22"/>
          <w:lang w:val="es-CO"/>
        </w:rPr>
        <w:t>74</w:t>
      </w:r>
      <w:r w:rsidRPr="006969B3">
        <w:rPr>
          <w:rFonts w:ascii="Arial" w:hAnsi="Arial" w:cs="Arial"/>
          <w:sz w:val="22"/>
          <w:szCs w:val="22"/>
          <w:lang w:val="es-CO"/>
        </w:rPr>
        <w:t> de la Ley 143 de 1994 por el siguiente:</w:t>
      </w:r>
    </w:p>
    <w:p w14:paraId="1E8EAF08" w14:textId="77777777" w:rsidR="00760E9B" w:rsidRPr="006969B3" w:rsidRDefault="00760E9B" w:rsidP="00F65283">
      <w:pPr>
        <w:pStyle w:val="NormalWeb"/>
        <w:spacing w:before="0" w:beforeAutospacing="0" w:after="0" w:afterAutospacing="0"/>
        <w:jc w:val="both"/>
        <w:rPr>
          <w:rFonts w:ascii="Arial" w:hAnsi="Arial" w:cs="Arial"/>
          <w:sz w:val="22"/>
          <w:szCs w:val="22"/>
          <w:lang w:val="es-CO"/>
        </w:rPr>
      </w:pPr>
    </w:p>
    <w:p w14:paraId="04733E78" w14:textId="11A5642F"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Las Empresas de Servicios Públicos Domiciliarios que tengan por objeto la prestación del servicio público de energía eléctrica y que hagan parte del Sistema Interconectado Nacional, podrán desarrollar las actividades de generación, distribución y comercialización de energía de manera integrada. Esta disposición aplicará también para las empresas que tengan el </w:t>
      </w:r>
      <w:proofErr w:type="gramStart"/>
      <w:r w:rsidRPr="006969B3">
        <w:rPr>
          <w:rFonts w:ascii="Arial" w:hAnsi="Arial" w:cs="Arial"/>
          <w:sz w:val="22"/>
          <w:szCs w:val="22"/>
          <w:lang w:val="es-CO"/>
        </w:rPr>
        <w:t>mismo controlante</w:t>
      </w:r>
      <w:proofErr w:type="gramEnd"/>
      <w:r w:rsidRPr="006969B3">
        <w:rPr>
          <w:rFonts w:ascii="Arial" w:hAnsi="Arial" w:cs="Arial"/>
          <w:sz w:val="22"/>
          <w:szCs w:val="22"/>
          <w:lang w:val="es-CO"/>
        </w:rPr>
        <w:t xml:space="preserve"> o entre las cuales exista situación de control en los términos del artículo </w:t>
      </w:r>
      <w:r w:rsidRPr="000A2938">
        <w:rPr>
          <w:rFonts w:ascii="Arial" w:hAnsi="Arial" w:cs="Arial"/>
          <w:sz w:val="22"/>
          <w:szCs w:val="22"/>
          <w:lang w:val="es-CO"/>
        </w:rPr>
        <w:t>260</w:t>
      </w:r>
      <w:r w:rsidRPr="006969B3">
        <w:rPr>
          <w:rFonts w:ascii="Arial" w:hAnsi="Arial" w:cs="Arial"/>
          <w:sz w:val="22"/>
          <w:szCs w:val="22"/>
          <w:lang w:val="es-CO"/>
        </w:rPr>
        <w:t> del Código de Comercio y el artículo </w:t>
      </w:r>
      <w:r w:rsidRPr="000A2938">
        <w:rPr>
          <w:rFonts w:ascii="Arial" w:hAnsi="Arial" w:cs="Arial"/>
          <w:sz w:val="22"/>
          <w:szCs w:val="22"/>
          <w:lang w:val="es-CO"/>
        </w:rPr>
        <w:t>45</w:t>
      </w:r>
      <w:r w:rsidRPr="006969B3">
        <w:rPr>
          <w:rFonts w:ascii="Arial" w:hAnsi="Arial" w:cs="Arial"/>
          <w:sz w:val="22"/>
          <w:szCs w:val="22"/>
          <w:lang w:val="es-CO"/>
        </w:rPr>
        <w:t> del Decreto 2153 de 1992, o las normas que las modifiquen o adicionen.</w:t>
      </w:r>
    </w:p>
    <w:p w14:paraId="65D9D285" w14:textId="77777777" w:rsidR="00760E9B" w:rsidRPr="006969B3" w:rsidRDefault="00760E9B" w:rsidP="00F65283">
      <w:pPr>
        <w:pStyle w:val="NormalWeb"/>
        <w:spacing w:before="0" w:beforeAutospacing="0" w:after="0" w:afterAutospacing="0"/>
        <w:jc w:val="both"/>
        <w:rPr>
          <w:rFonts w:ascii="Arial" w:hAnsi="Arial" w:cs="Arial"/>
          <w:sz w:val="22"/>
          <w:szCs w:val="22"/>
          <w:lang w:val="es-CO"/>
        </w:rPr>
      </w:pPr>
    </w:p>
    <w:p w14:paraId="54303598" w14:textId="62DD7B8E"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 Comisión de Regulación de Energía y Gas establecerá la regulación diferencial que fuere pertinente para la promoción de la competencia y la mitigación de los conflictos de interés en los casos de que trata el presente artículo y en los casos en que la integración existiere previamente a la expedición de la presente ley.</w:t>
      </w:r>
    </w:p>
    <w:p w14:paraId="4EC04065" w14:textId="77777777" w:rsidR="00760E9B" w:rsidRPr="006969B3" w:rsidRDefault="00760E9B" w:rsidP="00F65283">
      <w:pPr>
        <w:pStyle w:val="NormalWeb"/>
        <w:spacing w:before="0" w:beforeAutospacing="0" w:after="0" w:afterAutospacing="0"/>
        <w:jc w:val="both"/>
        <w:rPr>
          <w:rStyle w:val="baj"/>
          <w:rFonts w:ascii="Arial" w:hAnsi="Arial" w:cs="Arial"/>
          <w:sz w:val="22"/>
          <w:szCs w:val="22"/>
          <w:lang w:val="es-CO"/>
        </w:rPr>
      </w:pPr>
    </w:p>
    <w:p w14:paraId="5884E44E" w14:textId="706E33A5"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La Comisión de Regulación de Energía y Gas deberá adoptar medidas para la adecuada implementación de lo dispuesto en el presente artículo, en relación con la concurrencia de actividades de comercialización, generación y distribución en una misma empresa o en empresas con el mismo controlante o entre las cuales exista situación de control, incluyendo posibles conflictos de interés, conductas anticompetitivas y abusos de posición dominante y las demás condiciones que busquen proteger a los usuarios finales.</w:t>
      </w:r>
    </w:p>
    <w:p w14:paraId="2AF78B86" w14:textId="77777777" w:rsidR="000537C1" w:rsidRDefault="000537C1" w:rsidP="00F65283">
      <w:pPr>
        <w:pStyle w:val="NormalWeb"/>
        <w:spacing w:before="0" w:beforeAutospacing="0" w:after="0" w:afterAutospacing="0"/>
        <w:jc w:val="both"/>
        <w:rPr>
          <w:rStyle w:val="baj"/>
          <w:rFonts w:ascii="Arial" w:hAnsi="Arial" w:cs="Arial"/>
          <w:sz w:val="22"/>
          <w:szCs w:val="22"/>
          <w:lang w:val="es-CO"/>
        </w:rPr>
      </w:pPr>
    </w:p>
    <w:p w14:paraId="7D37673D" w14:textId="7B8EA908"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Ninguna empresa de servicios públicos domiciliarios que desarrolle en forma combinada la actividad de generación de energía, y/o la de comercialización y/o la de distribución, que represente más del 25% del total de la demanda del Sistema Interconectado Nacional, podrá cubrir con energía propia o con energía de filiales o empresas controladas, más del 40% de la energía requerida para atender la demanda de su mercado regulado. Esta restricción no aplicará a los contratos bilaterales que sean asignados en procesos competitivos en los que expresamente el Ministerio de Minas y Energía o la Comisión de Regulación de Energía y Gas en ejercicio de las funciones delegadas, dispongan que están exceptuados de esta restricción. El Gobierno nacional o la Comisión de Regulación de Energía y Gas en ejercicio de las funciones delegadas, podrá establecer un porcentaje inferior a este 40%.</w:t>
      </w:r>
    </w:p>
    <w:p w14:paraId="6426746D" w14:textId="77777777" w:rsidR="00760E9B" w:rsidRPr="006969B3" w:rsidRDefault="00760E9B" w:rsidP="00F65283">
      <w:pPr>
        <w:pStyle w:val="NormalWeb"/>
        <w:spacing w:before="0" w:beforeAutospacing="0" w:after="0" w:afterAutospacing="0"/>
        <w:jc w:val="both"/>
        <w:rPr>
          <w:rFonts w:ascii="Arial" w:hAnsi="Arial" w:cs="Arial"/>
          <w:sz w:val="22"/>
          <w:szCs w:val="22"/>
          <w:lang w:val="es-CO"/>
        </w:rPr>
      </w:pPr>
      <w:bookmarkStart w:id="318" w:name="299"/>
    </w:p>
    <w:p w14:paraId="1DFF208D" w14:textId="4A6A2E30"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299. EQUIDAD REGIONAL EN LA PRESTACIÓN DE LOS SERVICIOS DE ACUEDUCTO Y ALCANTARILLADO.</w:t>
      </w:r>
      <w:bookmarkEnd w:id="318"/>
      <w:r w:rsidRPr="006969B3">
        <w:rPr>
          <w:rFonts w:ascii="Arial" w:hAnsi="Arial" w:cs="Arial"/>
          <w:sz w:val="22"/>
          <w:szCs w:val="22"/>
          <w:lang w:val="es-CO"/>
        </w:rPr>
        <w:t> El Ministerio de Vivienda, Ciudad y Territorio solicitará a la Comisión de Regulación de Agua Potable y Saneamiento Básico el inicio de una actuación administrativa en el marco de lo establecido en el numeral 14 del artículo </w:t>
      </w:r>
      <w:r w:rsidRPr="000A2938">
        <w:rPr>
          <w:rFonts w:ascii="Arial" w:hAnsi="Arial" w:cs="Arial"/>
          <w:sz w:val="22"/>
          <w:szCs w:val="22"/>
          <w:lang w:val="es-CO"/>
        </w:rPr>
        <w:t>73</w:t>
      </w:r>
      <w:r w:rsidRPr="006969B3">
        <w:rPr>
          <w:rFonts w:ascii="Arial" w:hAnsi="Arial" w:cs="Arial"/>
          <w:sz w:val="22"/>
          <w:szCs w:val="22"/>
          <w:lang w:val="es-CO"/>
        </w:rPr>
        <w:t xml:space="preserve"> de la Ley 142 de 1994, cuando cuente con estudios que indiquen que es necesario para garantizar condiciones de equidad regional en la prestación de los servicios </w:t>
      </w:r>
      <w:r w:rsidRPr="006969B3">
        <w:rPr>
          <w:rFonts w:ascii="Arial" w:hAnsi="Arial" w:cs="Arial"/>
          <w:sz w:val="22"/>
          <w:szCs w:val="22"/>
          <w:lang w:val="es-CO"/>
        </w:rPr>
        <w:lastRenderedPageBreak/>
        <w:t>públicos de acueducto y/o alcantarillado de dos o más municipios, orientada a incrementar la cobertura, disminuir los costos en la prestación o mejorar la calidad.</w:t>
      </w:r>
    </w:p>
    <w:p w14:paraId="2668E061" w14:textId="77777777" w:rsidR="00760E9B" w:rsidRPr="006969B3" w:rsidRDefault="00760E9B" w:rsidP="00F65283">
      <w:pPr>
        <w:pStyle w:val="NormalWeb"/>
        <w:spacing w:before="0" w:beforeAutospacing="0" w:after="0" w:afterAutospacing="0"/>
        <w:jc w:val="both"/>
        <w:rPr>
          <w:rFonts w:ascii="Arial" w:hAnsi="Arial" w:cs="Arial"/>
          <w:sz w:val="22"/>
          <w:szCs w:val="22"/>
          <w:lang w:val="es-CO"/>
        </w:rPr>
      </w:pPr>
    </w:p>
    <w:p w14:paraId="5F9074B2" w14:textId="5C4A3890"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Gobierno nacional reglamentará la oportunidad, alcance y contenido de los estudios que deben soportar dicha solicitud, y definirá los criterios de participación accionaria en la creación de nuevas empresas.</w:t>
      </w:r>
    </w:p>
    <w:p w14:paraId="43D9C8B3" w14:textId="39713CF4" w:rsidR="003E6B56" w:rsidRPr="006969B3" w:rsidRDefault="003E6B56" w:rsidP="00F65283">
      <w:pPr>
        <w:spacing w:after="0" w:line="240" w:lineRule="auto"/>
        <w:rPr>
          <w:rFonts w:ascii="Arial" w:hAnsi="Arial" w:cs="Arial"/>
          <w:lang w:val="es-CO"/>
        </w:rPr>
      </w:pPr>
    </w:p>
    <w:p w14:paraId="14F5546B" w14:textId="7F2271D6" w:rsidR="003E6B56" w:rsidRPr="006969B3" w:rsidRDefault="003E6B56" w:rsidP="00F65283">
      <w:pPr>
        <w:pStyle w:val="NormalWeb"/>
        <w:spacing w:before="0" w:beforeAutospacing="0" w:after="0" w:afterAutospacing="0"/>
        <w:jc w:val="both"/>
        <w:rPr>
          <w:rFonts w:ascii="Arial" w:hAnsi="Arial" w:cs="Arial"/>
          <w:sz w:val="22"/>
          <w:szCs w:val="22"/>
          <w:lang w:val="es-CO"/>
        </w:rPr>
      </w:pPr>
      <w:bookmarkStart w:id="319" w:name="300"/>
      <w:r w:rsidRPr="006969B3">
        <w:rPr>
          <w:rFonts w:ascii="Arial" w:hAnsi="Arial" w:cs="Arial"/>
          <w:sz w:val="22"/>
          <w:szCs w:val="22"/>
          <w:lang w:val="es-CO"/>
        </w:rPr>
        <w:t>ARTÍCULO 300. ZONAS DIFERENCIALES PARA EL TRANSPORTE.</w:t>
      </w:r>
      <w:bookmarkEnd w:id="319"/>
      <w:r w:rsidRPr="006969B3">
        <w:rPr>
          <w:rFonts w:ascii="Arial" w:hAnsi="Arial" w:cs="Arial"/>
          <w:sz w:val="22"/>
          <w:szCs w:val="22"/>
          <w:lang w:val="es-CO"/>
        </w:rPr>
        <w:t> Modifíquese el artículo </w:t>
      </w:r>
      <w:r w:rsidRPr="000A2938">
        <w:rPr>
          <w:rFonts w:ascii="Arial" w:hAnsi="Arial" w:cs="Arial"/>
          <w:sz w:val="22"/>
          <w:szCs w:val="22"/>
          <w:lang w:val="es-CO"/>
        </w:rPr>
        <w:t>182</w:t>
      </w:r>
      <w:r w:rsidRPr="006969B3">
        <w:rPr>
          <w:rFonts w:ascii="Arial" w:hAnsi="Arial" w:cs="Arial"/>
          <w:sz w:val="22"/>
          <w:szCs w:val="22"/>
          <w:lang w:val="es-CO"/>
        </w:rPr>
        <w:t> de la Ley 1753 de 2015, el cual quedará así:</w:t>
      </w:r>
    </w:p>
    <w:p w14:paraId="33DE38B0" w14:textId="77777777" w:rsidR="00760E9B" w:rsidRPr="006969B3" w:rsidRDefault="00760E9B" w:rsidP="00F65283">
      <w:pPr>
        <w:pStyle w:val="NormalWeb"/>
        <w:spacing w:before="0" w:beforeAutospacing="0" w:after="0" w:afterAutospacing="0"/>
        <w:jc w:val="both"/>
        <w:rPr>
          <w:rFonts w:ascii="Arial" w:hAnsi="Arial" w:cs="Arial"/>
          <w:sz w:val="22"/>
          <w:szCs w:val="22"/>
          <w:lang w:val="es-CO"/>
        </w:rPr>
      </w:pPr>
    </w:p>
    <w:p w14:paraId="22B45B19" w14:textId="675E0CB7"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w:t>
      </w:r>
      <w:r w:rsidRPr="000A2938">
        <w:rPr>
          <w:rFonts w:ascii="Arial" w:hAnsi="Arial" w:cs="Arial"/>
          <w:sz w:val="22"/>
          <w:szCs w:val="22"/>
          <w:lang w:val="es-CO"/>
        </w:rPr>
        <w:t>182</w:t>
      </w:r>
      <w:r w:rsidRPr="006969B3">
        <w:rPr>
          <w:rFonts w:ascii="Arial" w:hAnsi="Arial" w:cs="Arial"/>
          <w:sz w:val="22"/>
          <w:szCs w:val="22"/>
          <w:lang w:val="es-CO"/>
        </w:rPr>
        <w:t>. Zonas diferenciales para el transporte. Para garantizar las condiciones de accesibilidad y seguridad, promover la formalización del servicio de transporte público y garantizar a los pobladores los servicios de tránsito, el Ministerio de Transporte podrá crear zonas diferenciales para el transporte y el tránsito. Dichas zonas estarán constituidas por un municipio y/o grupos de municipios, donde no existan sistemas de transporte cofinanciados por la Nación, y cuya vocación rural o características geográficas, económicas, sociales, étnicas u otras propias del territorio impidan la normal prestación de los servicios de transporte o tránsito en las condiciones de la normativa vigente y aplicable. La extensión geográfica de la zona diferencial será determinada por el Ministerio de Transporte.</w:t>
      </w:r>
    </w:p>
    <w:p w14:paraId="36C0B23A" w14:textId="77777777" w:rsidR="00760E9B" w:rsidRPr="006969B3" w:rsidRDefault="00760E9B" w:rsidP="00F65283">
      <w:pPr>
        <w:pStyle w:val="NormalWeb"/>
        <w:spacing w:before="0" w:beforeAutospacing="0" w:after="0" w:afterAutospacing="0"/>
        <w:jc w:val="both"/>
        <w:rPr>
          <w:rFonts w:ascii="Arial" w:hAnsi="Arial" w:cs="Arial"/>
          <w:sz w:val="22"/>
          <w:szCs w:val="22"/>
          <w:lang w:val="es-CO"/>
        </w:rPr>
      </w:pPr>
    </w:p>
    <w:p w14:paraId="7C1799D5" w14:textId="2074AA94"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Ministerio de Transporte y los gobiernos locales, en forma coordinada, podrán expedir reglamentos de carácter especial y transitorio en materia de servicio de transporte público o servicios de tránsito con aplicación exclusiva en estas zonas.</w:t>
      </w:r>
    </w:p>
    <w:p w14:paraId="59AFC81D" w14:textId="77777777" w:rsidR="00760E9B" w:rsidRPr="006969B3" w:rsidRDefault="00760E9B" w:rsidP="00F65283">
      <w:pPr>
        <w:pStyle w:val="NormalWeb"/>
        <w:spacing w:before="0" w:beforeAutospacing="0" w:after="0" w:afterAutospacing="0"/>
        <w:jc w:val="both"/>
        <w:rPr>
          <w:rFonts w:ascii="Arial" w:hAnsi="Arial" w:cs="Arial"/>
          <w:sz w:val="22"/>
          <w:szCs w:val="22"/>
          <w:lang w:val="es-CO"/>
        </w:rPr>
      </w:pPr>
    </w:p>
    <w:p w14:paraId="307572B9" w14:textId="6F31845D"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Los actos administrativos expedidos conforme a lo determinado como Zonas Estratégicas para el Transporte (ZET), con anterioridad a la presente ley, se entenderán sujetos a lo establecido en este artículo para las Zonas Diferenciales de Transporte y mantendrán su vigencia.</w:t>
      </w:r>
    </w:p>
    <w:p w14:paraId="68B4580F" w14:textId="77777777" w:rsidR="00760E9B" w:rsidRPr="006969B3" w:rsidRDefault="00760E9B" w:rsidP="00F65283">
      <w:pPr>
        <w:pStyle w:val="NormalWeb"/>
        <w:spacing w:before="0" w:beforeAutospacing="0" w:after="0" w:afterAutospacing="0"/>
        <w:jc w:val="both"/>
        <w:rPr>
          <w:rStyle w:val="baj"/>
          <w:rFonts w:ascii="Arial" w:hAnsi="Arial" w:cs="Arial"/>
          <w:sz w:val="22"/>
          <w:szCs w:val="22"/>
          <w:lang w:val="es-CO"/>
        </w:rPr>
      </w:pPr>
    </w:p>
    <w:p w14:paraId="24BEDDE1" w14:textId="479CE2C4"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xml:space="preserve"> En lo relacionado con el transporte escolar, el Ministerio de Educación Nacional acompañará al Ministerio de Transporte en el proceso de caracterización de las zonas diferenciales para el transporte dando prioridad a zonas rurales o de frontera, con el fin de que </w:t>
      </w:r>
      <w:proofErr w:type="gramStart"/>
      <w:r w:rsidRPr="006969B3">
        <w:rPr>
          <w:rFonts w:ascii="Arial" w:hAnsi="Arial" w:cs="Arial"/>
          <w:sz w:val="22"/>
          <w:szCs w:val="22"/>
          <w:lang w:val="es-CO"/>
        </w:rPr>
        <w:t>las auto</w:t>
      </w:r>
      <w:proofErr w:type="gramEnd"/>
      <w:r w:rsidRPr="006969B3">
        <w:rPr>
          <w:rFonts w:ascii="Arial" w:hAnsi="Arial" w:cs="Arial"/>
          <w:sz w:val="22"/>
          <w:szCs w:val="22"/>
          <w:lang w:val="es-CO"/>
        </w:rPr>
        <w:t xml:space="preserve"> </w:t>
      </w:r>
      <w:proofErr w:type="spellStart"/>
      <w:r w:rsidRPr="006969B3">
        <w:rPr>
          <w:rFonts w:ascii="Arial" w:hAnsi="Arial" w:cs="Arial"/>
          <w:sz w:val="22"/>
          <w:szCs w:val="22"/>
          <w:lang w:val="es-CO"/>
        </w:rPr>
        <w:t>ridades</w:t>
      </w:r>
      <w:proofErr w:type="spellEnd"/>
      <w:r w:rsidRPr="006969B3">
        <w:rPr>
          <w:rFonts w:ascii="Arial" w:hAnsi="Arial" w:cs="Arial"/>
          <w:sz w:val="22"/>
          <w:szCs w:val="22"/>
          <w:lang w:val="es-CO"/>
        </w:rPr>
        <w:t xml:space="preserve"> territoriales en el marco de sus competencias, puedan garantizar el acceso efectivo de la población al sistema de educación.</w:t>
      </w:r>
    </w:p>
    <w:p w14:paraId="4952BCD5" w14:textId="17D7C025" w:rsidR="003E6B56" w:rsidRPr="006969B3" w:rsidRDefault="003E6B56" w:rsidP="00F65283">
      <w:pPr>
        <w:spacing w:after="0" w:line="240" w:lineRule="auto"/>
        <w:rPr>
          <w:rFonts w:ascii="Arial" w:hAnsi="Arial" w:cs="Arial"/>
          <w:lang w:val="es-CO"/>
        </w:rPr>
      </w:pPr>
    </w:p>
    <w:p w14:paraId="062304C9" w14:textId="77777777" w:rsidR="003E6B56" w:rsidRPr="006969B3" w:rsidRDefault="003E6B56" w:rsidP="00F65283">
      <w:pPr>
        <w:pStyle w:val="NormalWeb"/>
        <w:spacing w:before="0" w:beforeAutospacing="0" w:after="0" w:afterAutospacing="0"/>
        <w:jc w:val="both"/>
        <w:rPr>
          <w:rFonts w:ascii="Arial" w:hAnsi="Arial" w:cs="Arial"/>
          <w:sz w:val="22"/>
          <w:szCs w:val="22"/>
          <w:lang w:val="es-CO"/>
        </w:rPr>
      </w:pPr>
      <w:bookmarkStart w:id="320" w:name="301"/>
      <w:r w:rsidRPr="006969B3">
        <w:rPr>
          <w:rFonts w:ascii="Arial" w:hAnsi="Arial" w:cs="Arial"/>
          <w:sz w:val="22"/>
          <w:szCs w:val="22"/>
          <w:lang w:val="es-CO"/>
        </w:rPr>
        <w:t>ARTÍCULO 301. INSERCIÓN DE LOS SISTEMAS FERROVIARIOS.</w:t>
      </w:r>
      <w:bookmarkEnd w:id="320"/>
      <w:r w:rsidRPr="006969B3">
        <w:rPr>
          <w:rFonts w:ascii="Arial" w:hAnsi="Arial" w:cs="Arial"/>
          <w:sz w:val="22"/>
          <w:szCs w:val="22"/>
          <w:lang w:val="es-CO"/>
        </w:rPr>
        <w:t> La zona de protección, la zona de seguridad, así como las franjas de retiro obligatorio o área de reserva o de exclusión de los sistemas ferroviarios serán definidas por la entidad encargada de la administración o gestión de dicha infraestructura o por la ejecutora del proyecto, dependiendo del tipo de sistema ferroviario a ser desarrollado, previa justificación técnica. Dichas zonas deberán ser aprobadas por el Ministerio de Transporte o la Comisión de Regulación de Infraestructura y Transporte (CRIT).</w:t>
      </w:r>
    </w:p>
    <w:p w14:paraId="0EB8ECE7" w14:textId="77777777" w:rsidR="00760E9B" w:rsidRPr="006969B3" w:rsidRDefault="00760E9B" w:rsidP="00F65283">
      <w:pPr>
        <w:pStyle w:val="NormalWeb"/>
        <w:spacing w:before="0" w:beforeAutospacing="0" w:after="0" w:afterAutospacing="0"/>
        <w:jc w:val="both"/>
        <w:rPr>
          <w:rFonts w:ascii="Arial" w:hAnsi="Arial" w:cs="Arial"/>
          <w:sz w:val="22"/>
          <w:szCs w:val="22"/>
          <w:lang w:val="es-CO"/>
        </w:rPr>
      </w:pPr>
    </w:p>
    <w:p w14:paraId="087B387D" w14:textId="01A76ACD"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En todos los casos, la zona de protección y las franjas de retiro obligatorio o las áreas de reserva o de exclusión no podrán ser inferiores al Galibo Libre de Obstáculos (GLO).</w:t>
      </w:r>
    </w:p>
    <w:p w14:paraId="4F597E12" w14:textId="77777777" w:rsidR="00760E9B" w:rsidRPr="006969B3" w:rsidRDefault="00760E9B" w:rsidP="00F65283">
      <w:pPr>
        <w:pStyle w:val="NormalWeb"/>
        <w:spacing w:before="0" w:beforeAutospacing="0" w:after="0" w:afterAutospacing="0"/>
        <w:jc w:val="both"/>
        <w:rPr>
          <w:rFonts w:ascii="Arial" w:hAnsi="Arial" w:cs="Arial"/>
          <w:sz w:val="22"/>
          <w:szCs w:val="22"/>
          <w:lang w:val="es-CO"/>
        </w:rPr>
      </w:pPr>
    </w:p>
    <w:p w14:paraId="7A32BFFD" w14:textId="708592B1"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Ministerio de Transporte definirá los parámetros técnicos y de seguridad, bajo los cuales operen, diseñen y construyan los cruces de carreteras u otras vías de comunicación, con líneas férreas existentes o que se proyecte construir. Para la fijación de estos parámetros se tendrán en cuenta, entre otras, las condiciones de tráfico, seguridad y tecnología.</w:t>
      </w:r>
    </w:p>
    <w:p w14:paraId="2C2708B3" w14:textId="77777777" w:rsidR="00760E9B" w:rsidRPr="006969B3" w:rsidRDefault="00760E9B" w:rsidP="00F65283">
      <w:pPr>
        <w:pStyle w:val="NormalWeb"/>
        <w:spacing w:before="0" w:beforeAutospacing="0" w:after="0" w:afterAutospacing="0"/>
        <w:jc w:val="both"/>
        <w:rPr>
          <w:rStyle w:val="baj"/>
          <w:rFonts w:ascii="Arial" w:hAnsi="Arial" w:cs="Arial"/>
          <w:sz w:val="22"/>
          <w:szCs w:val="22"/>
          <w:lang w:val="es-CO"/>
        </w:rPr>
      </w:pPr>
    </w:p>
    <w:p w14:paraId="07FC500A" w14:textId="676516C2"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El Ministerio de Transporte asumirá las funciones que se asignan en el presente artículo, hasta tanto la CRIT entre en funcionamiento.</w:t>
      </w:r>
    </w:p>
    <w:p w14:paraId="206E5DEE" w14:textId="77777777" w:rsidR="00760E9B" w:rsidRPr="006969B3" w:rsidRDefault="00760E9B" w:rsidP="00F65283">
      <w:pPr>
        <w:pStyle w:val="NormalWeb"/>
        <w:spacing w:before="0" w:beforeAutospacing="0" w:after="0" w:afterAutospacing="0"/>
        <w:jc w:val="both"/>
        <w:rPr>
          <w:rStyle w:val="baj"/>
          <w:rFonts w:ascii="Arial" w:hAnsi="Arial" w:cs="Arial"/>
          <w:sz w:val="22"/>
          <w:szCs w:val="22"/>
          <w:lang w:val="es-CO"/>
        </w:rPr>
      </w:pPr>
    </w:p>
    <w:p w14:paraId="75973E4F" w14:textId="3746566D"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xml:space="preserve"> El Instituto Nacional de Vías podrá permitir a las entidades territoriales la intervención de la totalidad o parte de las fajas de los corredores férreos, o los derechos de vía de </w:t>
      </w:r>
      <w:proofErr w:type="gramStart"/>
      <w:r w:rsidRPr="006969B3">
        <w:rPr>
          <w:rFonts w:ascii="Arial" w:hAnsi="Arial" w:cs="Arial"/>
          <w:sz w:val="22"/>
          <w:szCs w:val="22"/>
          <w:lang w:val="es-CO"/>
        </w:rPr>
        <w:t>los mismos</w:t>
      </w:r>
      <w:proofErr w:type="gramEnd"/>
      <w:r w:rsidRPr="006969B3">
        <w:rPr>
          <w:rFonts w:ascii="Arial" w:hAnsi="Arial" w:cs="Arial"/>
          <w:sz w:val="22"/>
          <w:szCs w:val="22"/>
          <w:lang w:val="es-CO"/>
        </w:rPr>
        <w:t xml:space="preserve"> de su propiedad, o su eventual transferencia de dominio para la construcción de infraestructura de sistemas urbanos de transporte público masivo de pasajeros de otros modos de transporte. Lo anterior, cuando se cumplan las siguientes condiciones: (i) que el proyecto a ser ejecutado sobre un corredor férreo haya sido declarado de importancia estratégica nacional; (</w:t>
      </w:r>
      <w:proofErr w:type="spellStart"/>
      <w:r w:rsidRPr="006969B3">
        <w:rPr>
          <w:rFonts w:ascii="Arial" w:hAnsi="Arial" w:cs="Arial"/>
          <w:sz w:val="22"/>
          <w:szCs w:val="22"/>
          <w:lang w:val="es-CO"/>
        </w:rPr>
        <w:t>ii</w:t>
      </w:r>
      <w:proofErr w:type="spellEnd"/>
      <w:r w:rsidRPr="006969B3">
        <w:rPr>
          <w:rFonts w:ascii="Arial" w:hAnsi="Arial" w:cs="Arial"/>
          <w:sz w:val="22"/>
          <w:szCs w:val="22"/>
          <w:lang w:val="es-CO"/>
        </w:rPr>
        <w:t>) que el proyecto sea cofinanciado por la Nación; (</w:t>
      </w:r>
      <w:proofErr w:type="spellStart"/>
      <w:r w:rsidRPr="006969B3">
        <w:rPr>
          <w:rFonts w:ascii="Arial" w:hAnsi="Arial" w:cs="Arial"/>
          <w:sz w:val="22"/>
          <w:szCs w:val="22"/>
          <w:lang w:val="es-CO"/>
        </w:rPr>
        <w:t>iii</w:t>
      </w:r>
      <w:proofErr w:type="spellEnd"/>
      <w:r w:rsidRPr="006969B3">
        <w:rPr>
          <w:rFonts w:ascii="Arial" w:hAnsi="Arial" w:cs="Arial"/>
          <w:sz w:val="22"/>
          <w:szCs w:val="22"/>
          <w:lang w:val="es-CO"/>
        </w:rPr>
        <w:t>) que sobre el corredor actualmente no sea posible el transito férreo; y, (</w:t>
      </w:r>
      <w:proofErr w:type="spellStart"/>
      <w:r w:rsidRPr="006969B3">
        <w:rPr>
          <w:rFonts w:ascii="Arial" w:hAnsi="Arial" w:cs="Arial"/>
          <w:sz w:val="22"/>
          <w:szCs w:val="22"/>
          <w:lang w:val="es-CO"/>
        </w:rPr>
        <w:t>iv</w:t>
      </w:r>
      <w:proofErr w:type="spellEnd"/>
      <w:r w:rsidRPr="006969B3">
        <w:rPr>
          <w:rFonts w:ascii="Arial" w:hAnsi="Arial" w:cs="Arial"/>
          <w:sz w:val="22"/>
          <w:szCs w:val="22"/>
          <w:lang w:val="es-CO"/>
        </w:rPr>
        <w:t>) que no haga parte de los planes de reactivación de la red férrea nacional.</w:t>
      </w:r>
    </w:p>
    <w:p w14:paraId="7EF48A71" w14:textId="77777777" w:rsidR="00760E9B" w:rsidRPr="006969B3" w:rsidRDefault="00760E9B" w:rsidP="00F65283">
      <w:pPr>
        <w:pStyle w:val="NormalWeb"/>
        <w:spacing w:before="0" w:beforeAutospacing="0" w:after="0" w:afterAutospacing="0"/>
        <w:jc w:val="both"/>
        <w:rPr>
          <w:rFonts w:ascii="Arial" w:hAnsi="Arial" w:cs="Arial"/>
          <w:sz w:val="22"/>
          <w:szCs w:val="22"/>
          <w:lang w:val="es-CO"/>
        </w:rPr>
      </w:pPr>
    </w:p>
    <w:p w14:paraId="463E631F" w14:textId="45162E21"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Para el efecto se deberá suscribir un convenio interadministrativo en el que se definan los términos y condiciones de la respectiva intervención, incluyendo la obligación de la entidad territorial de compensar con la administración, operación y/o mantenimiento de otro corredor férreo nacional, que haga parte de un proyecto declarado de importancia estratégica nacional. La compensación se dará por: (i) el permiso de intervención y la modificación del respectivo modo de transporte y/o (</w:t>
      </w:r>
      <w:proofErr w:type="spellStart"/>
      <w:r w:rsidRPr="006969B3">
        <w:rPr>
          <w:rFonts w:ascii="Arial" w:hAnsi="Arial" w:cs="Arial"/>
          <w:sz w:val="22"/>
          <w:szCs w:val="22"/>
          <w:lang w:val="es-CO"/>
        </w:rPr>
        <w:t>ii</w:t>
      </w:r>
      <w:proofErr w:type="spellEnd"/>
      <w:r w:rsidRPr="006969B3">
        <w:rPr>
          <w:rFonts w:ascii="Arial" w:hAnsi="Arial" w:cs="Arial"/>
          <w:sz w:val="22"/>
          <w:szCs w:val="22"/>
          <w:lang w:val="es-CO"/>
        </w:rPr>
        <w:t>) la eventual transferencia de dominio de las áreas a que haya lugar a la respectiva entidad territorial, realizada mediante acto administrativo inscrito en la oficina de registro de instrumentos públicos.</w:t>
      </w:r>
    </w:p>
    <w:p w14:paraId="626D7101" w14:textId="32F4840B" w:rsidR="003E6B56" w:rsidRPr="006969B3" w:rsidRDefault="003E6B56" w:rsidP="00F65283">
      <w:pPr>
        <w:spacing w:after="0" w:line="240" w:lineRule="auto"/>
        <w:rPr>
          <w:rFonts w:ascii="Arial" w:hAnsi="Arial" w:cs="Arial"/>
          <w:lang w:val="es-CO"/>
        </w:rPr>
      </w:pPr>
    </w:p>
    <w:p w14:paraId="1B951DEA" w14:textId="15802D66" w:rsidR="003E6B56" w:rsidRPr="006969B3" w:rsidRDefault="003E6B56" w:rsidP="00F65283">
      <w:pPr>
        <w:pStyle w:val="NormalWeb"/>
        <w:spacing w:before="0" w:beforeAutospacing="0" w:after="0" w:afterAutospacing="0"/>
        <w:jc w:val="both"/>
        <w:rPr>
          <w:rFonts w:ascii="Arial" w:hAnsi="Arial" w:cs="Arial"/>
          <w:sz w:val="22"/>
          <w:szCs w:val="22"/>
          <w:lang w:val="es-CO"/>
        </w:rPr>
      </w:pPr>
      <w:bookmarkStart w:id="321" w:name="302"/>
      <w:r w:rsidRPr="006969B3">
        <w:rPr>
          <w:rFonts w:ascii="Arial" w:hAnsi="Arial" w:cs="Arial"/>
          <w:sz w:val="22"/>
          <w:szCs w:val="22"/>
          <w:lang w:val="es-CO"/>
        </w:rPr>
        <w:t>ARTÍCULO 302. SUBVENCIONES RUTAS SOCIALES SATENA.</w:t>
      </w:r>
      <w:bookmarkEnd w:id="321"/>
      <w:r w:rsidRPr="006969B3">
        <w:rPr>
          <w:rFonts w:ascii="Arial" w:hAnsi="Arial" w:cs="Arial"/>
          <w:sz w:val="22"/>
          <w:szCs w:val="22"/>
          <w:lang w:val="es-CO"/>
        </w:rPr>
        <w:t> Modifíquese el artículo </w:t>
      </w:r>
      <w:r w:rsidRPr="000A2938">
        <w:rPr>
          <w:rFonts w:ascii="Arial" w:hAnsi="Arial" w:cs="Arial"/>
          <w:sz w:val="22"/>
          <w:szCs w:val="22"/>
          <w:lang w:val="es-CO"/>
        </w:rPr>
        <w:t>240</w:t>
      </w:r>
      <w:r w:rsidRPr="006969B3">
        <w:rPr>
          <w:rFonts w:ascii="Arial" w:hAnsi="Arial" w:cs="Arial"/>
          <w:sz w:val="22"/>
          <w:szCs w:val="22"/>
          <w:lang w:val="es-CO"/>
        </w:rPr>
        <w:t> de la Ley 1753 de 2015, el cual quedará así:</w:t>
      </w:r>
    </w:p>
    <w:p w14:paraId="43684BEE" w14:textId="77777777" w:rsidR="00760E9B" w:rsidRPr="006969B3" w:rsidRDefault="00760E9B" w:rsidP="00F65283">
      <w:pPr>
        <w:pStyle w:val="NormalWeb"/>
        <w:spacing w:before="0" w:beforeAutospacing="0" w:after="0" w:afterAutospacing="0"/>
        <w:jc w:val="both"/>
        <w:rPr>
          <w:rFonts w:ascii="Arial" w:hAnsi="Arial" w:cs="Arial"/>
          <w:sz w:val="22"/>
          <w:szCs w:val="22"/>
          <w:lang w:val="es-CO"/>
        </w:rPr>
      </w:pPr>
    </w:p>
    <w:p w14:paraId="42A958B9" w14:textId="151AA6B9"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w:t>
      </w:r>
      <w:r w:rsidRPr="000A2938">
        <w:rPr>
          <w:rFonts w:ascii="Arial" w:hAnsi="Arial" w:cs="Arial"/>
          <w:sz w:val="22"/>
          <w:szCs w:val="22"/>
          <w:lang w:val="es-CO"/>
        </w:rPr>
        <w:t>240</w:t>
      </w:r>
      <w:r w:rsidRPr="006969B3">
        <w:rPr>
          <w:rFonts w:ascii="Arial" w:hAnsi="Arial" w:cs="Arial"/>
          <w:sz w:val="22"/>
          <w:szCs w:val="22"/>
          <w:lang w:val="es-CO"/>
        </w:rPr>
        <w:t xml:space="preserve">. Subvenciones rutas sociales </w:t>
      </w:r>
      <w:proofErr w:type="spellStart"/>
      <w:r w:rsidRPr="006969B3">
        <w:rPr>
          <w:rFonts w:ascii="Arial" w:hAnsi="Arial" w:cs="Arial"/>
          <w:sz w:val="22"/>
          <w:szCs w:val="22"/>
          <w:lang w:val="es-CO"/>
        </w:rPr>
        <w:t>Satena</w:t>
      </w:r>
      <w:proofErr w:type="spellEnd"/>
      <w:r w:rsidRPr="006969B3">
        <w:rPr>
          <w:rFonts w:ascii="Arial" w:hAnsi="Arial" w:cs="Arial"/>
          <w:sz w:val="22"/>
          <w:szCs w:val="22"/>
          <w:lang w:val="es-CO"/>
        </w:rPr>
        <w:t xml:space="preserve">. Con el fin de promover la prestación del servicio de transporte aéreo en las regiones de difícil acceso y conectividad, el Gobierno nacional podrá otorgar subvenciones a </w:t>
      </w:r>
      <w:proofErr w:type="spellStart"/>
      <w:r w:rsidRPr="006969B3">
        <w:rPr>
          <w:rFonts w:ascii="Arial" w:hAnsi="Arial" w:cs="Arial"/>
          <w:sz w:val="22"/>
          <w:szCs w:val="22"/>
          <w:lang w:val="es-CO"/>
        </w:rPr>
        <w:t>Satena</w:t>
      </w:r>
      <w:proofErr w:type="spellEnd"/>
      <w:r w:rsidRPr="006969B3">
        <w:rPr>
          <w:rFonts w:ascii="Arial" w:hAnsi="Arial" w:cs="Arial"/>
          <w:sz w:val="22"/>
          <w:szCs w:val="22"/>
          <w:lang w:val="es-CO"/>
        </w:rPr>
        <w:t xml:space="preserve"> S. A., a través del presupuesto del Ministerio de Defensa Nacional, para la prestación del servicio público esencial de transporte aéreo, en aquellas rutas sociales en las cuales </w:t>
      </w:r>
      <w:proofErr w:type="spellStart"/>
      <w:r w:rsidRPr="006969B3">
        <w:rPr>
          <w:rFonts w:ascii="Arial" w:hAnsi="Arial" w:cs="Arial"/>
          <w:sz w:val="22"/>
          <w:szCs w:val="22"/>
          <w:lang w:val="es-CO"/>
        </w:rPr>
        <w:t>Satena</w:t>
      </w:r>
      <w:proofErr w:type="spellEnd"/>
      <w:r w:rsidRPr="006969B3">
        <w:rPr>
          <w:rFonts w:ascii="Arial" w:hAnsi="Arial" w:cs="Arial"/>
          <w:sz w:val="22"/>
          <w:szCs w:val="22"/>
          <w:lang w:val="es-CO"/>
        </w:rPr>
        <w:t xml:space="preserve"> S. A. sea el único operador.</w:t>
      </w:r>
    </w:p>
    <w:p w14:paraId="106434B8" w14:textId="77777777" w:rsidR="00760E9B" w:rsidRPr="006969B3" w:rsidRDefault="00760E9B" w:rsidP="00F65283">
      <w:pPr>
        <w:pStyle w:val="NormalWeb"/>
        <w:spacing w:before="0" w:beforeAutospacing="0" w:after="0" w:afterAutospacing="0"/>
        <w:jc w:val="both"/>
        <w:rPr>
          <w:rFonts w:ascii="Arial" w:hAnsi="Arial" w:cs="Arial"/>
          <w:sz w:val="22"/>
          <w:szCs w:val="22"/>
          <w:lang w:val="es-CO"/>
        </w:rPr>
      </w:pPr>
    </w:p>
    <w:p w14:paraId="75BD8C51" w14:textId="1335C21B"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 Unidad Administrativa Especial de Aeronáutica Civil determinará las rutas y el Gobierno nacional las condiciones de estas subvenciones, que en ningún caso podrán ser superiores al déficit que registre la empresa como resultado de atender las denominadas rutas sociales en las cuales opere de manera exclusiva.</w:t>
      </w:r>
    </w:p>
    <w:p w14:paraId="03BCFAD6" w14:textId="77777777"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Esta subvención tendrá una vigencia del 1 de enero al 31 de diciembre de cada anualidad y estará sujeta a la disponibilidad presupuestal del Ministerio de Defensa Nacional.</w:t>
      </w:r>
    </w:p>
    <w:p w14:paraId="03EF9D84" w14:textId="140E7293" w:rsidR="003E6B56" w:rsidRPr="006969B3" w:rsidRDefault="003E6B56" w:rsidP="00F65283">
      <w:pPr>
        <w:spacing w:after="0" w:line="240" w:lineRule="auto"/>
        <w:rPr>
          <w:rFonts w:ascii="Arial" w:hAnsi="Arial" w:cs="Arial"/>
          <w:lang w:val="es-CO"/>
        </w:rPr>
      </w:pPr>
    </w:p>
    <w:p w14:paraId="1A7A8628" w14:textId="77777777" w:rsidR="003E6B56" w:rsidRPr="006969B3" w:rsidRDefault="003E6B56" w:rsidP="00F65283">
      <w:pPr>
        <w:pStyle w:val="NormalWeb"/>
        <w:spacing w:before="0" w:beforeAutospacing="0" w:after="0" w:afterAutospacing="0"/>
        <w:jc w:val="both"/>
        <w:rPr>
          <w:rFonts w:ascii="Arial" w:hAnsi="Arial" w:cs="Arial"/>
          <w:sz w:val="22"/>
          <w:szCs w:val="22"/>
          <w:lang w:val="es-CO"/>
        </w:rPr>
      </w:pPr>
      <w:bookmarkStart w:id="322" w:name="303"/>
      <w:r w:rsidRPr="006969B3">
        <w:rPr>
          <w:rFonts w:ascii="Arial" w:hAnsi="Arial" w:cs="Arial"/>
          <w:sz w:val="22"/>
          <w:szCs w:val="22"/>
          <w:lang w:val="es-CO"/>
        </w:rPr>
        <w:t>ARTÍCULO 303. EMPRESA DE TRANSPORTE NAVIERO DE COLOMBIA.</w:t>
      </w:r>
      <w:bookmarkEnd w:id="322"/>
      <w:r w:rsidRPr="006969B3">
        <w:rPr>
          <w:rFonts w:ascii="Arial" w:hAnsi="Arial" w:cs="Arial"/>
          <w:sz w:val="22"/>
          <w:szCs w:val="22"/>
          <w:lang w:val="es-CO"/>
        </w:rPr>
        <w:t> Créase una Empresa Industrial y Comercial del Estado del nivel nacional, vinculada al Ministerio de Defensa Nacional, denominada Empresa de Transporte Naviero de Colombia, con personería jurídica, patrimonio propio, autonomía administrativa y financiera, cuyo domicilio es la ciudad de Bogotá y su objeto será fomentar el desarrollo de zonas apartadas a través de la prestación del servicio público de transporte de personas y mercancías por medios marítimos y fluviales, facilitando la conexión de estas zonas con el resto del país.</w:t>
      </w:r>
    </w:p>
    <w:p w14:paraId="4EDF45A8" w14:textId="77777777" w:rsidR="00760E9B" w:rsidRPr="006969B3" w:rsidRDefault="00760E9B" w:rsidP="00F65283">
      <w:pPr>
        <w:pStyle w:val="NormalWeb"/>
        <w:spacing w:before="0" w:beforeAutospacing="0" w:after="0" w:afterAutospacing="0"/>
        <w:jc w:val="both"/>
        <w:rPr>
          <w:rFonts w:ascii="Arial" w:hAnsi="Arial" w:cs="Arial"/>
          <w:sz w:val="22"/>
          <w:szCs w:val="22"/>
          <w:lang w:val="es-CO"/>
        </w:rPr>
      </w:pPr>
    </w:p>
    <w:p w14:paraId="69795EA8" w14:textId="168030DD"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Su patrimonio estará constituido por los recursos propios que generen y aquellos que recibe del Presupuesto General de la Nación.</w:t>
      </w:r>
    </w:p>
    <w:p w14:paraId="5C76A84B" w14:textId="77777777" w:rsidR="00760E9B" w:rsidRPr="006969B3" w:rsidRDefault="00760E9B" w:rsidP="00F65283">
      <w:pPr>
        <w:pStyle w:val="NormalWeb"/>
        <w:spacing w:before="0" w:beforeAutospacing="0" w:after="0" w:afterAutospacing="0"/>
        <w:jc w:val="both"/>
        <w:rPr>
          <w:rFonts w:ascii="Arial" w:hAnsi="Arial" w:cs="Arial"/>
          <w:sz w:val="22"/>
          <w:szCs w:val="22"/>
          <w:lang w:val="es-CO"/>
        </w:rPr>
      </w:pPr>
    </w:p>
    <w:p w14:paraId="703140B9" w14:textId="668020C9"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lastRenderedPageBreak/>
        <w:t xml:space="preserve">Son órganos de administración y dirección de la Empresa de Transporte Naviero de Colombia la Junta Directiva y el </w:t>
      </w:r>
      <w:proofErr w:type="gramStart"/>
      <w:r w:rsidRPr="006969B3">
        <w:rPr>
          <w:rFonts w:ascii="Arial" w:hAnsi="Arial" w:cs="Arial"/>
          <w:sz w:val="22"/>
          <w:szCs w:val="22"/>
          <w:lang w:val="es-CO"/>
        </w:rPr>
        <w:t>Director General</w:t>
      </w:r>
      <w:proofErr w:type="gramEnd"/>
      <w:r w:rsidRPr="006969B3">
        <w:rPr>
          <w:rFonts w:ascii="Arial" w:hAnsi="Arial" w:cs="Arial"/>
          <w:sz w:val="22"/>
          <w:szCs w:val="22"/>
          <w:lang w:val="es-CO"/>
        </w:rPr>
        <w:t>, sin perjuicio de los demás órganos que sean definidos por el decreto que para el efecto expida el Gobierno nacional.</w:t>
      </w:r>
    </w:p>
    <w:p w14:paraId="5394EC52" w14:textId="77777777" w:rsidR="00760E9B" w:rsidRPr="006969B3" w:rsidRDefault="00760E9B" w:rsidP="00F65283">
      <w:pPr>
        <w:pStyle w:val="NormalWeb"/>
        <w:spacing w:before="0" w:beforeAutospacing="0" w:after="0" w:afterAutospacing="0"/>
        <w:jc w:val="both"/>
        <w:rPr>
          <w:rStyle w:val="baj"/>
          <w:rFonts w:ascii="Arial" w:hAnsi="Arial" w:cs="Arial"/>
          <w:sz w:val="22"/>
          <w:szCs w:val="22"/>
          <w:lang w:val="es-CO"/>
        </w:rPr>
      </w:pPr>
    </w:p>
    <w:p w14:paraId="129A3317" w14:textId="40A6A1AB" w:rsidR="00760E9B"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xml:space="preserve"> Por un término de cinco (5) años la disposición consagrada en el parágrafo </w:t>
      </w:r>
    </w:p>
    <w:p w14:paraId="2C8CF66A" w14:textId="63788677"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2 del artículo </w:t>
      </w:r>
      <w:r w:rsidRPr="000A2938">
        <w:rPr>
          <w:rFonts w:ascii="Arial" w:hAnsi="Arial" w:cs="Arial"/>
          <w:sz w:val="22"/>
          <w:szCs w:val="22"/>
          <w:lang w:val="es-CO"/>
        </w:rPr>
        <w:t>8o</w:t>
      </w:r>
      <w:r w:rsidRPr="006969B3">
        <w:rPr>
          <w:rFonts w:ascii="Arial" w:hAnsi="Arial" w:cs="Arial"/>
          <w:sz w:val="22"/>
          <w:szCs w:val="22"/>
          <w:lang w:val="es-CO"/>
        </w:rPr>
        <w:t> de la Ley 185 de 1995 no será aplicable para Empresa de transporte naviero de Colombia pudiendo el Gobierno nacional capitalizar la empresa para cubrir el déficit operacional.</w:t>
      </w:r>
    </w:p>
    <w:p w14:paraId="36D60811" w14:textId="22ED1AA4" w:rsidR="003E6B56" w:rsidRPr="006969B3" w:rsidRDefault="003E6B56" w:rsidP="00F65283">
      <w:pPr>
        <w:spacing w:after="0" w:line="240" w:lineRule="auto"/>
        <w:rPr>
          <w:rFonts w:ascii="Arial" w:hAnsi="Arial" w:cs="Arial"/>
          <w:lang w:val="es-CO"/>
        </w:rPr>
      </w:pPr>
    </w:p>
    <w:p w14:paraId="4C00398F" w14:textId="77777777" w:rsidR="003E6B56" w:rsidRPr="006969B3" w:rsidRDefault="003E6B56" w:rsidP="00F65283">
      <w:pPr>
        <w:pStyle w:val="NormalWeb"/>
        <w:spacing w:before="0" w:beforeAutospacing="0" w:after="0" w:afterAutospacing="0"/>
        <w:jc w:val="both"/>
        <w:rPr>
          <w:rFonts w:ascii="Arial" w:hAnsi="Arial" w:cs="Arial"/>
          <w:sz w:val="22"/>
          <w:szCs w:val="22"/>
          <w:lang w:val="es-CO"/>
        </w:rPr>
      </w:pPr>
      <w:bookmarkStart w:id="323" w:name="304"/>
      <w:r w:rsidRPr="006969B3">
        <w:rPr>
          <w:rFonts w:ascii="Arial" w:hAnsi="Arial" w:cs="Arial"/>
          <w:sz w:val="22"/>
          <w:szCs w:val="22"/>
          <w:lang w:val="es-CO"/>
        </w:rPr>
        <w:t>ARTÍCULO 304. OTRAS FUENTES DE FINANCIACIÓN PARA LA SOSTENIBILIDAD DE INFRAESTRUCTURA DE TRANSPORTE.</w:t>
      </w:r>
      <w:bookmarkEnd w:id="323"/>
      <w:r w:rsidRPr="006969B3">
        <w:rPr>
          <w:rFonts w:ascii="Arial" w:hAnsi="Arial" w:cs="Arial"/>
          <w:sz w:val="22"/>
          <w:szCs w:val="22"/>
          <w:lang w:val="es-CO"/>
        </w:rPr>
        <w:t> Para el financiamiento de la infraestructura, las entidades del sector transporte podrán implementar estrategias de financiación, tales como enajenación directa de activos, cobro por derechos por uso de la infraestructura de los distintos modos de transporte de su competencia. Los recursos obtenidos se destinarán al sector transporte, previa incorporación presupuestal.</w:t>
      </w:r>
    </w:p>
    <w:p w14:paraId="1973C19D" w14:textId="77777777" w:rsidR="00760E9B" w:rsidRPr="006969B3" w:rsidRDefault="00760E9B" w:rsidP="00F65283">
      <w:pPr>
        <w:pStyle w:val="NormalWeb"/>
        <w:spacing w:before="0" w:beforeAutospacing="0" w:after="0" w:afterAutospacing="0"/>
        <w:jc w:val="both"/>
        <w:rPr>
          <w:rFonts w:ascii="Arial" w:hAnsi="Arial" w:cs="Arial"/>
          <w:sz w:val="22"/>
          <w:szCs w:val="22"/>
          <w:lang w:val="es-CO"/>
        </w:rPr>
      </w:pPr>
    </w:p>
    <w:p w14:paraId="3FAD046E" w14:textId="5499558C"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Con el mismo fin, el sector transporte podrá obtener ingresos a través de publicidad en la infraestructura o anexidades existentes, en los distintos modos de transporte propiedad de la Nación administrada por obra pública o concesión.</w:t>
      </w:r>
    </w:p>
    <w:p w14:paraId="6B8FD5DC" w14:textId="06A5375D" w:rsidR="003E6B56" w:rsidRPr="006969B3" w:rsidRDefault="003E6B56" w:rsidP="00F65283">
      <w:pPr>
        <w:spacing w:after="0" w:line="240" w:lineRule="auto"/>
        <w:rPr>
          <w:rFonts w:ascii="Arial" w:hAnsi="Arial" w:cs="Arial"/>
          <w:lang w:val="es-CO"/>
        </w:rPr>
      </w:pPr>
    </w:p>
    <w:p w14:paraId="080C5A54" w14:textId="77777777" w:rsidR="003E6B56" w:rsidRPr="006969B3" w:rsidRDefault="003E6B56" w:rsidP="00F65283">
      <w:pPr>
        <w:pStyle w:val="NormalWeb"/>
        <w:spacing w:before="0" w:beforeAutospacing="0" w:after="0" w:afterAutospacing="0"/>
        <w:jc w:val="both"/>
        <w:rPr>
          <w:rFonts w:ascii="Arial" w:hAnsi="Arial" w:cs="Arial"/>
          <w:sz w:val="22"/>
          <w:szCs w:val="22"/>
          <w:lang w:val="es-CO"/>
        </w:rPr>
      </w:pPr>
      <w:bookmarkStart w:id="324" w:name="305"/>
      <w:r w:rsidRPr="006969B3">
        <w:rPr>
          <w:rFonts w:ascii="Arial" w:hAnsi="Arial" w:cs="Arial"/>
          <w:sz w:val="22"/>
          <w:szCs w:val="22"/>
          <w:lang w:val="es-CO"/>
        </w:rPr>
        <w:t>ARTÍCULO 305. COFINANCIACIÓN DE SISTEMAS DE TRANSPORTE MASIVO QUE SE CONECTEN CON LOS AEROPUERTOS.</w:t>
      </w:r>
      <w:bookmarkEnd w:id="324"/>
      <w:r w:rsidRPr="006969B3">
        <w:rPr>
          <w:rFonts w:ascii="Arial" w:hAnsi="Arial" w:cs="Arial"/>
          <w:sz w:val="22"/>
          <w:szCs w:val="22"/>
          <w:lang w:val="es-CO"/>
        </w:rPr>
        <w:t> Créese una Tasa que coadyuve a la financiación de sistemas de transporte público de pasajeros del modo férreo, de alimentación eléctrica, que brinden conexión directa con los aeropuertos.</w:t>
      </w:r>
    </w:p>
    <w:p w14:paraId="6E527055" w14:textId="77777777" w:rsidR="00760E9B" w:rsidRPr="006969B3" w:rsidRDefault="00760E9B" w:rsidP="00F65283">
      <w:pPr>
        <w:pStyle w:val="NormalWeb"/>
        <w:spacing w:before="0" w:beforeAutospacing="0" w:after="0" w:afterAutospacing="0"/>
        <w:jc w:val="both"/>
        <w:rPr>
          <w:rFonts w:ascii="Arial" w:hAnsi="Arial" w:cs="Arial"/>
          <w:sz w:val="22"/>
          <w:szCs w:val="22"/>
          <w:lang w:val="es-CO"/>
        </w:rPr>
      </w:pPr>
    </w:p>
    <w:p w14:paraId="5CF1F04D" w14:textId="4C1C2208"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Ministerio de Transporte establecerá la tarifa de la Tasa bajo los siguientes parámetros.</w:t>
      </w:r>
    </w:p>
    <w:p w14:paraId="51182DFE" w14:textId="77777777" w:rsidR="00760E9B" w:rsidRPr="006969B3" w:rsidRDefault="00760E9B" w:rsidP="00F65283">
      <w:pPr>
        <w:pStyle w:val="NormalWeb"/>
        <w:spacing w:before="0" w:beforeAutospacing="0" w:after="0" w:afterAutospacing="0"/>
        <w:jc w:val="both"/>
        <w:rPr>
          <w:rFonts w:ascii="Arial" w:hAnsi="Arial" w:cs="Arial"/>
          <w:sz w:val="22"/>
          <w:szCs w:val="22"/>
          <w:lang w:val="es-CO"/>
        </w:rPr>
      </w:pPr>
    </w:p>
    <w:p w14:paraId="489CA51F" w14:textId="6BAC6E81"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hecho generador es la prestación efectiva del servicio público de transporte masivo de pasajeros del modo férreo conectado con el modo aéreo, siempre y cuando exista una infraestructura operativa que dé derecho al usuario a acceder a la infraestructura intermodal y a usar el servicio férreo.</w:t>
      </w:r>
    </w:p>
    <w:p w14:paraId="254C6C84" w14:textId="77777777" w:rsidR="00760E9B" w:rsidRPr="006969B3" w:rsidRDefault="00760E9B" w:rsidP="00F65283">
      <w:pPr>
        <w:pStyle w:val="NormalWeb"/>
        <w:spacing w:before="0" w:beforeAutospacing="0" w:after="0" w:afterAutospacing="0"/>
        <w:jc w:val="both"/>
        <w:rPr>
          <w:rFonts w:ascii="Arial" w:hAnsi="Arial" w:cs="Arial"/>
          <w:sz w:val="22"/>
          <w:szCs w:val="22"/>
          <w:lang w:val="es-CO"/>
        </w:rPr>
      </w:pPr>
    </w:p>
    <w:p w14:paraId="3C77665C" w14:textId="27A94F1A"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Serán sujetos activos las autoridades de transporte del municipio, distrito o área metropolitana, encargados de la prestación del servicio público de transporte férreo.</w:t>
      </w:r>
    </w:p>
    <w:p w14:paraId="4B9EB7EE" w14:textId="77777777"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Serán sujetos pasivos los usuarios del transporte público férreo que tengan como origen o destino el aeropuerto.</w:t>
      </w:r>
    </w:p>
    <w:p w14:paraId="1583539D" w14:textId="77777777" w:rsidR="00760E9B" w:rsidRPr="006969B3" w:rsidRDefault="00760E9B" w:rsidP="00F65283">
      <w:pPr>
        <w:pStyle w:val="NormalWeb"/>
        <w:spacing w:before="0" w:beforeAutospacing="0" w:after="0" w:afterAutospacing="0"/>
        <w:jc w:val="both"/>
        <w:rPr>
          <w:rFonts w:ascii="Arial" w:hAnsi="Arial" w:cs="Arial"/>
          <w:sz w:val="22"/>
          <w:szCs w:val="22"/>
          <w:lang w:val="es-CO"/>
        </w:rPr>
      </w:pPr>
    </w:p>
    <w:p w14:paraId="2302FD81" w14:textId="7FEBD625"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 metodología para fijar la tarifa es la de recuperación de costos y gastos para construcción, operación y mantenimiento de la infraestructura adicional necesaria para llegar al aeropuerto. La recuperación de costos y gastos se debe calcular en valor presente a la tasa de descuento del proyecto.</w:t>
      </w:r>
    </w:p>
    <w:p w14:paraId="44C401C0" w14:textId="56D40A86" w:rsidR="003E6B56" w:rsidRPr="006969B3" w:rsidRDefault="003E6B56" w:rsidP="00F65283">
      <w:pPr>
        <w:spacing w:after="0" w:line="240" w:lineRule="auto"/>
        <w:rPr>
          <w:rFonts w:ascii="Arial" w:hAnsi="Arial" w:cs="Arial"/>
          <w:lang w:val="es-CO"/>
        </w:rPr>
      </w:pPr>
    </w:p>
    <w:p w14:paraId="2E83EBF5" w14:textId="238F92B9" w:rsidR="003E6B56" w:rsidRPr="006969B3" w:rsidRDefault="003E6B56" w:rsidP="00F65283">
      <w:pPr>
        <w:pStyle w:val="NormalWeb"/>
        <w:spacing w:before="0" w:beforeAutospacing="0" w:after="0" w:afterAutospacing="0"/>
        <w:jc w:val="both"/>
        <w:rPr>
          <w:rFonts w:ascii="Arial" w:hAnsi="Arial" w:cs="Arial"/>
          <w:sz w:val="22"/>
          <w:szCs w:val="22"/>
          <w:lang w:val="es-CO"/>
        </w:rPr>
      </w:pPr>
      <w:bookmarkStart w:id="325" w:name="306"/>
      <w:r w:rsidRPr="006969B3">
        <w:rPr>
          <w:rFonts w:ascii="Arial" w:hAnsi="Arial" w:cs="Arial"/>
          <w:sz w:val="22"/>
          <w:szCs w:val="22"/>
          <w:lang w:val="es-CO"/>
        </w:rPr>
        <w:t>ARTÍCULO 306. DESTINACIÓN DE MULTAS Y SANCIONES.</w:t>
      </w:r>
      <w:bookmarkEnd w:id="325"/>
      <w:r w:rsidRPr="006969B3">
        <w:rPr>
          <w:rFonts w:ascii="Arial" w:hAnsi="Arial" w:cs="Arial"/>
          <w:sz w:val="22"/>
          <w:szCs w:val="22"/>
          <w:lang w:val="es-CO"/>
        </w:rPr>
        <w:t> Modifíquese el artículo </w:t>
      </w:r>
      <w:r w:rsidRPr="000A2938">
        <w:rPr>
          <w:rFonts w:ascii="Arial" w:hAnsi="Arial" w:cs="Arial"/>
          <w:sz w:val="22"/>
          <w:szCs w:val="22"/>
          <w:lang w:val="es-CO"/>
        </w:rPr>
        <w:t>160</w:t>
      </w:r>
      <w:r w:rsidRPr="006969B3">
        <w:rPr>
          <w:rFonts w:ascii="Arial" w:hAnsi="Arial" w:cs="Arial"/>
          <w:sz w:val="22"/>
          <w:szCs w:val="22"/>
          <w:lang w:val="es-CO"/>
        </w:rPr>
        <w:t> de la Ley 769 de 2002, el cual quedará así:</w:t>
      </w:r>
    </w:p>
    <w:p w14:paraId="78EB3ECA" w14:textId="77777777" w:rsidR="00760E9B" w:rsidRPr="006969B3" w:rsidRDefault="00760E9B" w:rsidP="00F65283">
      <w:pPr>
        <w:pStyle w:val="NormalWeb"/>
        <w:spacing w:before="0" w:beforeAutospacing="0" w:after="0" w:afterAutospacing="0"/>
        <w:jc w:val="both"/>
        <w:rPr>
          <w:rFonts w:ascii="Arial" w:hAnsi="Arial" w:cs="Arial"/>
          <w:sz w:val="22"/>
          <w:szCs w:val="22"/>
          <w:lang w:val="es-CO"/>
        </w:rPr>
      </w:pPr>
    </w:p>
    <w:p w14:paraId="15FFDB3E" w14:textId="7C7099BF"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w:t>
      </w:r>
      <w:r w:rsidRPr="000A2938">
        <w:rPr>
          <w:rFonts w:ascii="Arial" w:hAnsi="Arial" w:cs="Arial"/>
          <w:sz w:val="22"/>
          <w:szCs w:val="22"/>
          <w:lang w:val="es-CO"/>
        </w:rPr>
        <w:t>160</w:t>
      </w:r>
      <w:r w:rsidRPr="006969B3">
        <w:rPr>
          <w:rFonts w:ascii="Arial" w:hAnsi="Arial" w:cs="Arial"/>
          <w:sz w:val="22"/>
          <w:szCs w:val="22"/>
          <w:lang w:val="es-CO"/>
        </w:rPr>
        <w:t xml:space="preserve">. Destinación de multas y sanciones. De conformidad con las normas presupuestales respectivas, el recaudo por concepto de multas y sanciones por infracciones de tránsito, se destinará a la ejecución de los planes y proyectos del sector movilidad, en aspectos tales como planes de tránsito, transporte y movilidad, educación, dotación de equipos, combustible, seguridad vial, operación e infraestructura vial del servicio de </w:t>
      </w:r>
      <w:r w:rsidRPr="006969B3">
        <w:rPr>
          <w:rFonts w:ascii="Arial" w:hAnsi="Arial" w:cs="Arial"/>
          <w:sz w:val="22"/>
          <w:szCs w:val="22"/>
          <w:lang w:val="es-CO"/>
        </w:rPr>
        <w:lastRenderedPageBreak/>
        <w:t>transporte público de pasajeros, transporte no motorizado, y gestión del sistema de recaudo de las multas, salvo en lo que corresponde a la Federación Colombiana de Municipios.</w:t>
      </w:r>
    </w:p>
    <w:p w14:paraId="21FC1DFB" w14:textId="77777777" w:rsidR="00760E9B" w:rsidRPr="006969B3" w:rsidRDefault="00760E9B" w:rsidP="00F65283">
      <w:pPr>
        <w:pStyle w:val="NormalWeb"/>
        <w:spacing w:before="0" w:beforeAutospacing="0" w:after="0" w:afterAutospacing="0"/>
        <w:jc w:val="both"/>
        <w:rPr>
          <w:rStyle w:val="baj"/>
          <w:rFonts w:ascii="Arial" w:hAnsi="Arial" w:cs="Arial"/>
          <w:sz w:val="22"/>
          <w:szCs w:val="22"/>
          <w:lang w:val="es-CO"/>
        </w:rPr>
      </w:pPr>
    </w:p>
    <w:p w14:paraId="138A86B5" w14:textId="42431151"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En lo que se refiere al servicio de transporte público las entidades territoriales que cuenten con sistemas de transporte cofinanciados por la Nación priorizarán la financiación de estos sistemas.</w:t>
      </w:r>
    </w:p>
    <w:p w14:paraId="445E9589" w14:textId="11EE42DC" w:rsidR="003E6B56" w:rsidRPr="006969B3" w:rsidRDefault="003E6B56" w:rsidP="00F65283">
      <w:pPr>
        <w:spacing w:after="0" w:line="240" w:lineRule="auto"/>
        <w:rPr>
          <w:rFonts w:ascii="Arial" w:hAnsi="Arial" w:cs="Arial"/>
          <w:lang w:val="es-CO"/>
        </w:rPr>
      </w:pPr>
    </w:p>
    <w:p w14:paraId="7B9B830E" w14:textId="77777777" w:rsidR="003E6B56" w:rsidRPr="006969B3" w:rsidRDefault="003E6B56" w:rsidP="00F65283">
      <w:pPr>
        <w:pStyle w:val="NormalWeb"/>
        <w:spacing w:before="0" w:beforeAutospacing="0" w:after="0" w:afterAutospacing="0"/>
        <w:jc w:val="both"/>
        <w:rPr>
          <w:rFonts w:ascii="Arial" w:hAnsi="Arial" w:cs="Arial"/>
          <w:sz w:val="22"/>
          <w:szCs w:val="22"/>
          <w:lang w:val="es-CO"/>
        </w:rPr>
      </w:pPr>
      <w:bookmarkStart w:id="326" w:name="307"/>
      <w:r w:rsidRPr="006969B3">
        <w:rPr>
          <w:rFonts w:ascii="Arial" w:hAnsi="Arial" w:cs="Arial"/>
          <w:sz w:val="22"/>
          <w:szCs w:val="22"/>
          <w:lang w:val="es-CO"/>
        </w:rPr>
        <w:t>ARTÍCULO 307. FONDO NACIONAL DE MODERNIZACIÓN DEL PARQUE AUTOMOTOR DE CARGA.</w:t>
      </w:r>
      <w:bookmarkEnd w:id="326"/>
      <w:r w:rsidRPr="006969B3">
        <w:rPr>
          <w:rFonts w:ascii="Arial" w:hAnsi="Arial" w:cs="Arial"/>
          <w:sz w:val="22"/>
          <w:szCs w:val="22"/>
          <w:lang w:val="es-CO"/>
        </w:rPr>
        <w:t> Créase el Fondo Nacional de Modernización del Parque Automotor de Carga, como un patrimonio autónomo constituido mediante la celebración de un contrato de fiducia mercantil por parte del Ministerio de Transporte, con el objeto de financiar el programa de modernización del parque automotor de carga.</w:t>
      </w:r>
    </w:p>
    <w:p w14:paraId="67A61A32" w14:textId="77777777" w:rsidR="00760E9B" w:rsidRPr="006969B3" w:rsidRDefault="00760E9B" w:rsidP="00F65283">
      <w:pPr>
        <w:pStyle w:val="NormalWeb"/>
        <w:spacing w:before="0" w:beforeAutospacing="0" w:after="0" w:afterAutospacing="0"/>
        <w:jc w:val="both"/>
        <w:rPr>
          <w:rFonts w:ascii="Arial" w:hAnsi="Arial" w:cs="Arial"/>
          <w:sz w:val="22"/>
          <w:szCs w:val="22"/>
          <w:lang w:val="es-CO"/>
        </w:rPr>
      </w:pPr>
    </w:p>
    <w:p w14:paraId="17FFAB92" w14:textId="6016D995"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El Fondo se financiará con: i) el saldo de los recursos pendientes por ejecutar del “Programa de Promoción para la Reposición y Renovación del Parque Automotor de Carga”; </w:t>
      </w:r>
      <w:proofErr w:type="spellStart"/>
      <w:r w:rsidRPr="006969B3">
        <w:rPr>
          <w:rFonts w:ascii="Arial" w:hAnsi="Arial" w:cs="Arial"/>
          <w:sz w:val="22"/>
          <w:szCs w:val="22"/>
          <w:lang w:val="es-CO"/>
        </w:rPr>
        <w:t>ii</w:t>
      </w:r>
      <w:proofErr w:type="spellEnd"/>
      <w:r w:rsidRPr="006969B3">
        <w:rPr>
          <w:rFonts w:ascii="Arial" w:hAnsi="Arial" w:cs="Arial"/>
          <w:sz w:val="22"/>
          <w:szCs w:val="22"/>
          <w:lang w:val="es-CO"/>
        </w:rPr>
        <w:t xml:space="preserve">) los recursos provenientes del pago efectuado por los interesados dentro del proceso de normalización del registro inicial de vehículos de carga y/o del pago de un porcentaje del valor comercial del vehículo nuevo de carga, que reglamente el Gobierno nacional como requisito para su matrícula inicial; </w:t>
      </w:r>
      <w:proofErr w:type="spellStart"/>
      <w:r w:rsidRPr="006969B3">
        <w:rPr>
          <w:rFonts w:ascii="Arial" w:hAnsi="Arial" w:cs="Arial"/>
          <w:sz w:val="22"/>
          <w:szCs w:val="22"/>
          <w:lang w:val="es-CO"/>
        </w:rPr>
        <w:t>iii</w:t>
      </w:r>
      <w:proofErr w:type="spellEnd"/>
      <w:r w:rsidRPr="006969B3">
        <w:rPr>
          <w:rFonts w:ascii="Arial" w:hAnsi="Arial" w:cs="Arial"/>
          <w:sz w:val="22"/>
          <w:szCs w:val="22"/>
          <w:lang w:val="es-CO"/>
        </w:rPr>
        <w:t xml:space="preserve">) los recursos aportados por particulares y organismos multilaterales; y, </w:t>
      </w:r>
      <w:proofErr w:type="spellStart"/>
      <w:r w:rsidRPr="006969B3">
        <w:rPr>
          <w:rFonts w:ascii="Arial" w:hAnsi="Arial" w:cs="Arial"/>
          <w:sz w:val="22"/>
          <w:szCs w:val="22"/>
          <w:lang w:val="es-CO"/>
        </w:rPr>
        <w:t>iv</w:t>
      </w:r>
      <w:proofErr w:type="spellEnd"/>
      <w:r w:rsidRPr="006969B3">
        <w:rPr>
          <w:rFonts w:ascii="Arial" w:hAnsi="Arial" w:cs="Arial"/>
          <w:sz w:val="22"/>
          <w:szCs w:val="22"/>
          <w:lang w:val="es-CO"/>
        </w:rPr>
        <w:t>) los recursos que de manera subsidiaria aporte el Gobierno nacional de acuerdo con el marco de gasto del sector y el Marco Fiscal de Mediano Plazo.</w:t>
      </w:r>
    </w:p>
    <w:p w14:paraId="4665C0B4" w14:textId="36BCDD6C" w:rsidR="003E6B56" w:rsidRPr="006969B3" w:rsidRDefault="003E6B56" w:rsidP="00F65283">
      <w:pPr>
        <w:spacing w:after="0" w:line="240" w:lineRule="auto"/>
        <w:rPr>
          <w:rFonts w:ascii="Arial" w:hAnsi="Arial" w:cs="Arial"/>
          <w:lang w:val="es-CO"/>
        </w:rPr>
      </w:pPr>
    </w:p>
    <w:p w14:paraId="489E89DD" w14:textId="77777777" w:rsidR="003E6B56" w:rsidRPr="006969B3" w:rsidRDefault="003E6B56" w:rsidP="00F65283">
      <w:pPr>
        <w:pStyle w:val="NormalWeb"/>
        <w:spacing w:before="0" w:beforeAutospacing="0" w:after="0" w:afterAutospacing="0"/>
        <w:jc w:val="both"/>
        <w:rPr>
          <w:rFonts w:ascii="Arial" w:hAnsi="Arial" w:cs="Arial"/>
          <w:sz w:val="22"/>
          <w:szCs w:val="22"/>
          <w:lang w:val="es-CO"/>
        </w:rPr>
      </w:pPr>
      <w:bookmarkStart w:id="327" w:name="308"/>
      <w:r w:rsidRPr="006969B3">
        <w:rPr>
          <w:rFonts w:ascii="Arial" w:hAnsi="Arial" w:cs="Arial"/>
          <w:sz w:val="22"/>
          <w:szCs w:val="22"/>
          <w:lang w:val="es-CO"/>
        </w:rPr>
        <w:t>ARTÍCULO 308. CONTRIBUCIÓN DE LAS CONCESIONES AL FUNCIONAMIENTO DE LA AGENCIA NACIONAL DE INFRAESTRUCTURA (ANI) Y LA UNIDAD ADMINISTRATIVA ESPECIAL DE AERONÁUTICA CIVIL.</w:t>
      </w:r>
      <w:bookmarkEnd w:id="327"/>
      <w:r w:rsidRPr="006969B3">
        <w:rPr>
          <w:rFonts w:ascii="Arial" w:hAnsi="Arial" w:cs="Arial"/>
          <w:sz w:val="22"/>
          <w:szCs w:val="22"/>
          <w:lang w:val="es-CO"/>
        </w:rPr>
        <w:t> De los recursos percibidos por la Nación por concepto de las concesiones férreas y aéreas se destinará un porcentaje para el funcionamiento de estas entidades, de la siguiente manera:</w:t>
      </w:r>
    </w:p>
    <w:p w14:paraId="1F8E294E" w14:textId="77777777" w:rsidR="00760E9B" w:rsidRPr="006969B3" w:rsidRDefault="00760E9B" w:rsidP="00F65283">
      <w:pPr>
        <w:pStyle w:val="NormalWeb"/>
        <w:spacing w:before="0" w:beforeAutospacing="0" w:after="0" w:afterAutospacing="0"/>
        <w:jc w:val="both"/>
        <w:rPr>
          <w:rFonts w:ascii="Arial" w:hAnsi="Arial" w:cs="Arial"/>
          <w:sz w:val="22"/>
          <w:szCs w:val="22"/>
          <w:lang w:val="es-CO"/>
        </w:rPr>
      </w:pPr>
    </w:p>
    <w:p w14:paraId="051BC046" w14:textId="5FAA33B2"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En las concesiones férreas y aéreas, el Gobierno nacional definirá y aplicará una fórmula que permita repartir porcentualmente los recursos recaudados por el uso de la infraestructura de cada uno de los modos para los gastos de funcionamiento de la Agencia Nacional de Infraestructura y la Unidad Administrativa Especial de Aeronáutica Civil. El porcentaje restante por concepto de recaudo por uso de la </w:t>
      </w:r>
      <w:proofErr w:type="gramStart"/>
      <w:r w:rsidRPr="006969B3">
        <w:rPr>
          <w:rFonts w:ascii="Arial" w:hAnsi="Arial" w:cs="Arial"/>
          <w:sz w:val="22"/>
          <w:szCs w:val="22"/>
          <w:lang w:val="es-CO"/>
        </w:rPr>
        <w:t>infraestructura,</w:t>
      </w:r>
      <w:proofErr w:type="gramEnd"/>
      <w:r w:rsidRPr="006969B3">
        <w:rPr>
          <w:rFonts w:ascii="Arial" w:hAnsi="Arial" w:cs="Arial"/>
          <w:sz w:val="22"/>
          <w:szCs w:val="22"/>
          <w:lang w:val="es-CO"/>
        </w:rPr>
        <w:t xml:space="preserve"> será destinado a financiar la construcción, mantenimiento y operación de cada modo, según corresponda.</w:t>
      </w:r>
    </w:p>
    <w:p w14:paraId="14AC00DE" w14:textId="77777777"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En todo caso, el porcentaje señalado en este artículo no podrá ser superior al 15% por modo para la financiación del presupuesto del funcionamiento de la ANI.</w:t>
      </w:r>
    </w:p>
    <w:p w14:paraId="25AA0A69" w14:textId="4BD47D09" w:rsidR="003E6B56" w:rsidRPr="006969B3" w:rsidRDefault="003E6B56" w:rsidP="00F65283">
      <w:pPr>
        <w:spacing w:after="0" w:line="240" w:lineRule="auto"/>
        <w:rPr>
          <w:rFonts w:ascii="Arial" w:hAnsi="Arial" w:cs="Arial"/>
          <w:lang w:val="es-CO"/>
        </w:rPr>
      </w:pPr>
    </w:p>
    <w:p w14:paraId="075E15BF" w14:textId="3DF9F079" w:rsidR="003E6B56" w:rsidRPr="006969B3" w:rsidRDefault="003E6B56" w:rsidP="00F65283">
      <w:pPr>
        <w:pStyle w:val="NormalWeb"/>
        <w:spacing w:before="0" w:beforeAutospacing="0" w:after="0" w:afterAutospacing="0"/>
        <w:jc w:val="both"/>
        <w:rPr>
          <w:rFonts w:ascii="Arial" w:hAnsi="Arial" w:cs="Arial"/>
          <w:sz w:val="22"/>
          <w:szCs w:val="22"/>
          <w:lang w:val="es-CO"/>
        </w:rPr>
      </w:pPr>
      <w:bookmarkStart w:id="328" w:name="309"/>
      <w:r w:rsidRPr="006969B3">
        <w:rPr>
          <w:rFonts w:ascii="Arial" w:hAnsi="Arial" w:cs="Arial"/>
          <w:sz w:val="22"/>
          <w:szCs w:val="22"/>
          <w:lang w:val="es-CO"/>
        </w:rPr>
        <w:t>ARTÍCULO 309. ACCESO A LAS TIC Y DESPLIEGUE DE LA INFRAESTRUCTURA.</w:t>
      </w:r>
      <w:bookmarkEnd w:id="328"/>
      <w:r w:rsidRPr="006969B3">
        <w:rPr>
          <w:rFonts w:ascii="Arial" w:hAnsi="Arial" w:cs="Arial"/>
          <w:sz w:val="22"/>
          <w:szCs w:val="22"/>
          <w:lang w:val="es-CO"/>
        </w:rPr>
        <w:t> Modifíquese el parágrafo 1 del artículo </w:t>
      </w:r>
      <w:r w:rsidRPr="000A2938">
        <w:rPr>
          <w:rFonts w:ascii="Arial" w:hAnsi="Arial" w:cs="Arial"/>
          <w:sz w:val="22"/>
          <w:szCs w:val="22"/>
          <w:lang w:val="es-CO"/>
        </w:rPr>
        <w:t>193</w:t>
      </w:r>
      <w:r w:rsidRPr="006969B3">
        <w:rPr>
          <w:rFonts w:ascii="Arial" w:hAnsi="Arial" w:cs="Arial"/>
          <w:sz w:val="22"/>
          <w:szCs w:val="22"/>
          <w:lang w:val="es-CO"/>
        </w:rPr>
        <w:t> de la Ley 1753 de 2015, el cual quedará así.</w:t>
      </w:r>
    </w:p>
    <w:p w14:paraId="636B8258" w14:textId="77777777" w:rsidR="00760E9B" w:rsidRPr="006969B3" w:rsidRDefault="00760E9B" w:rsidP="00F65283">
      <w:pPr>
        <w:pStyle w:val="NormalWeb"/>
        <w:spacing w:before="0" w:beforeAutospacing="0" w:after="0" w:afterAutospacing="0"/>
        <w:jc w:val="both"/>
        <w:rPr>
          <w:rStyle w:val="baj"/>
          <w:rFonts w:ascii="Arial" w:hAnsi="Arial" w:cs="Arial"/>
          <w:sz w:val="22"/>
          <w:szCs w:val="22"/>
          <w:lang w:val="es-CO"/>
        </w:rPr>
      </w:pPr>
    </w:p>
    <w:p w14:paraId="3F74EB52" w14:textId="649FD998"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xml:space="preserve"> Los alcaldes podrán promover las acciones necesarias para implementar la modificación de los planes de ordenamiento territorial y demás normas distritales o municipales que contengan barreras al despliegue de infraestructura para la prestación de servicios de telecomunicaciones. El Ministerio de Tecnologías de la Información y las Comunicaciones priorizará a aquellas entidades territoriales que hayan levantado tales barreras, incluyéndolas en el listado de potenciales candidatos a ser beneficiados con las obligaciones de hacer que el Ministerio puede imponer a los proveedores de redes y servicios de telecomunicaciones móviles, como mecanismo de ampliación de cobertura de servicios de telecomunicaciones. Para constatar la inexistencia y remoción de las barreras en mención, el alcalde deberá solicitar a la Comisión de Regulación de Comunicaciones o </w:t>
      </w:r>
      <w:r w:rsidRPr="006969B3">
        <w:rPr>
          <w:rFonts w:ascii="Arial" w:hAnsi="Arial" w:cs="Arial"/>
          <w:sz w:val="22"/>
          <w:szCs w:val="22"/>
          <w:lang w:val="es-CO"/>
        </w:rPr>
        <w:lastRenderedPageBreak/>
        <w:t>a quien haga sus veces que, en ejercicio de las facultades que le confiere el presente artículo, constate si las barreras ya fueron levantadas. Una vez la Comisión de Regulación de Comunicaciones acredite que la respectiva entidad territorial no presenta barreras al despliegue de infraestructura de telecomunicaciones, el Ministerio de Tecnologías de la Información incluirá al municipio en el listado antes mencionado.</w:t>
      </w:r>
    </w:p>
    <w:p w14:paraId="3CB7DE58" w14:textId="77777777" w:rsidR="00760E9B" w:rsidRPr="006969B3" w:rsidRDefault="00760E9B" w:rsidP="00F65283">
      <w:pPr>
        <w:pStyle w:val="NormalWeb"/>
        <w:spacing w:before="0" w:beforeAutospacing="0" w:after="0" w:afterAutospacing="0"/>
        <w:jc w:val="both"/>
        <w:rPr>
          <w:rFonts w:ascii="Arial" w:hAnsi="Arial" w:cs="Arial"/>
          <w:sz w:val="22"/>
          <w:szCs w:val="22"/>
          <w:lang w:val="es-CO"/>
        </w:rPr>
      </w:pPr>
      <w:bookmarkStart w:id="329" w:name="310"/>
    </w:p>
    <w:p w14:paraId="1F643945" w14:textId="2B5C9926"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310. EXPANSIÓN DE LAS TELECOMUNICACIONES.</w:t>
      </w:r>
      <w:bookmarkEnd w:id="329"/>
      <w:r w:rsidRPr="006969B3">
        <w:rPr>
          <w:rFonts w:ascii="Arial" w:hAnsi="Arial" w:cs="Arial"/>
          <w:sz w:val="22"/>
          <w:szCs w:val="22"/>
          <w:lang w:val="es-CO"/>
        </w:rPr>
        <w:t> Modifíquese el artículo </w:t>
      </w:r>
      <w:r w:rsidRPr="000A2938">
        <w:rPr>
          <w:rFonts w:ascii="Arial" w:hAnsi="Arial" w:cs="Arial"/>
          <w:sz w:val="22"/>
          <w:szCs w:val="22"/>
          <w:lang w:val="es-CO"/>
        </w:rPr>
        <w:t>194</w:t>
      </w:r>
      <w:r w:rsidRPr="006969B3">
        <w:rPr>
          <w:rFonts w:ascii="Arial" w:hAnsi="Arial" w:cs="Arial"/>
          <w:sz w:val="22"/>
          <w:szCs w:val="22"/>
          <w:lang w:val="es-CO"/>
        </w:rPr>
        <w:t> de la Ley 1753 de 2015, el cual quedará así:</w:t>
      </w:r>
    </w:p>
    <w:p w14:paraId="604E31F2" w14:textId="77777777" w:rsidR="00760E9B" w:rsidRPr="006969B3" w:rsidRDefault="00760E9B" w:rsidP="00F65283">
      <w:pPr>
        <w:pStyle w:val="NormalWeb"/>
        <w:spacing w:before="0" w:beforeAutospacing="0" w:after="0" w:afterAutospacing="0"/>
        <w:jc w:val="both"/>
        <w:rPr>
          <w:rFonts w:ascii="Arial" w:hAnsi="Arial" w:cs="Arial"/>
          <w:sz w:val="22"/>
          <w:szCs w:val="22"/>
          <w:lang w:val="es-CO"/>
        </w:rPr>
      </w:pPr>
    </w:p>
    <w:p w14:paraId="62F5D738" w14:textId="7C028E1B"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w:t>
      </w:r>
      <w:r w:rsidRPr="000A2938">
        <w:rPr>
          <w:rFonts w:ascii="Arial" w:hAnsi="Arial" w:cs="Arial"/>
          <w:sz w:val="22"/>
          <w:szCs w:val="22"/>
          <w:lang w:val="es-CO"/>
        </w:rPr>
        <w:t>194</w:t>
      </w:r>
      <w:r w:rsidRPr="006969B3">
        <w:rPr>
          <w:rFonts w:ascii="Arial" w:hAnsi="Arial" w:cs="Arial"/>
          <w:sz w:val="22"/>
          <w:szCs w:val="22"/>
          <w:lang w:val="es-CO"/>
        </w:rPr>
        <w:t xml:space="preserve">. Expansión de las telecomunicaciones. El Gobierno nacional, a través del Ministerio de Tecnologías de la Información y las Comunicaciones (MinTIC), diseñará e implementará planes, programas y proyectos que promuevan en forma prioritaria el acceso y el servicio universal a las Tecnologías de la Información y las Comunicaciones (TIC). Igualmente, en coordinación con la Autoridad Nacional de Televisión (ANTV), o quien haga sus veces, se promoverá el diseño o implementación de planes, programas y proyectos para el desarrollo de la Televisión Digital Terrestre (TDT) y Direct </w:t>
      </w:r>
      <w:proofErr w:type="spellStart"/>
      <w:r w:rsidRPr="006969B3">
        <w:rPr>
          <w:rFonts w:ascii="Arial" w:hAnsi="Arial" w:cs="Arial"/>
          <w:sz w:val="22"/>
          <w:szCs w:val="22"/>
          <w:lang w:val="es-CO"/>
        </w:rPr>
        <w:t>to</w:t>
      </w:r>
      <w:proofErr w:type="spellEnd"/>
      <w:r w:rsidRPr="006969B3">
        <w:rPr>
          <w:rFonts w:ascii="Arial" w:hAnsi="Arial" w:cs="Arial"/>
          <w:sz w:val="22"/>
          <w:szCs w:val="22"/>
          <w:lang w:val="es-CO"/>
        </w:rPr>
        <w:t xml:space="preserve"> Home (DTH) para que estas lleguen a todo el territorio nacional. Para el efecto:</w:t>
      </w:r>
    </w:p>
    <w:p w14:paraId="3246B411" w14:textId="77777777" w:rsidR="00AA4AE3" w:rsidRPr="006969B3" w:rsidRDefault="00AA4AE3" w:rsidP="00F65283">
      <w:pPr>
        <w:pStyle w:val="NormalWeb"/>
        <w:spacing w:before="0" w:beforeAutospacing="0" w:after="0" w:afterAutospacing="0"/>
        <w:jc w:val="both"/>
        <w:rPr>
          <w:rFonts w:ascii="Arial" w:hAnsi="Arial" w:cs="Arial"/>
          <w:sz w:val="22"/>
          <w:szCs w:val="22"/>
          <w:lang w:val="es-CO"/>
        </w:rPr>
      </w:pPr>
    </w:p>
    <w:p w14:paraId="0C4E604E" w14:textId="37181768"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 El MinTIC priorizará las iniciativas de acceso público a Internet, en beneficio de la población pobre y vulnerable, o en zonas apartadas.</w:t>
      </w:r>
    </w:p>
    <w:p w14:paraId="31D785A0" w14:textId="77777777" w:rsidR="00AA4AE3" w:rsidRPr="006969B3" w:rsidRDefault="00AA4AE3" w:rsidP="00F65283">
      <w:pPr>
        <w:pStyle w:val="NormalWeb"/>
        <w:spacing w:before="0" w:beforeAutospacing="0" w:after="0" w:afterAutospacing="0"/>
        <w:jc w:val="both"/>
        <w:rPr>
          <w:rFonts w:ascii="Arial" w:hAnsi="Arial" w:cs="Arial"/>
          <w:sz w:val="22"/>
          <w:szCs w:val="22"/>
          <w:lang w:val="es-CO"/>
        </w:rPr>
      </w:pPr>
    </w:p>
    <w:p w14:paraId="35D14576" w14:textId="5D76CE5C"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2. El MinTIC podrá adelantar iniciativas de masificación del acceso a Internet con participación del sector privado, mediante cualquiera de los mecanismos de contratación dispuestos en las normas vigentes.</w:t>
      </w:r>
    </w:p>
    <w:p w14:paraId="67E87970" w14:textId="77777777" w:rsidR="00AA4AE3" w:rsidRPr="006969B3" w:rsidRDefault="00AA4AE3" w:rsidP="00F65283">
      <w:pPr>
        <w:pStyle w:val="NormalWeb"/>
        <w:spacing w:before="0" w:beforeAutospacing="0" w:after="0" w:afterAutospacing="0"/>
        <w:jc w:val="both"/>
        <w:rPr>
          <w:rFonts w:ascii="Arial" w:hAnsi="Arial" w:cs="Arial"/>
          <w:sz w:val="22"/>
          <w:szCs w:val="22"/>
          <w:lang w:val="es-CO"/>
        </w:rPr>
      </w:pPr>
    </w:p>
    <w:p w14:paraId="38629164" w14:textId="342E1BAD"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3. El MinTIC y la ANTV, o quien haga sus veces, promoverán, respectivamente, que las entidades públicas e instituciones educativas del orden nacional y territorial financien sus necesidades de conectividad a Internet, TDT y DTH, sin perjuicio de la cooperación para el desarrollo de proyectos orientados a la satisfacción de necesidades de acceso y uso de Internet y acceso a TDT y DTH de la población pobre y vulnerable, o en zonas apartadas.</w:t>
      </w:r>
    </w:p>
    <w:p w14:paraId="5A931348" w14:textId="77777777" w:rsidR="00AA4AE3" w:rsidRPr="006969B3" w:rsidRDefault="00AA4AE3" w:rsidP="00F65283">
      <w:pPr>
        <w:pStyle w:val="NormalWeb"/>
        <w:spacing w:before="0" w:beforeAutospacing="0" w:after="0" w:afterAutospacing="0"/>
        <w:jc w:val="both"/>
        <w:rPr>
          <w:rFonts w:ascii="Arial" w:hAnsi="Arial" w:cs="Arial"/>
          <w:sz w:val="22"/>
          <w:szCs w:val="22"/>
          <w:lang w:val="es-CO"/>
        </w:rPr>
      </w:pPr>
    </w:p>
    <w:p w14:paraId="387074C8" w14:textId="5C87A35D"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4. El MinTIC, para la implementación de las iniciativas de acceso público a Internet, podrá impulsar estrategias que fomenten el uso de tecnologías costo-eficientes bajo condiciones regulatorias especiales que sean definidas para el efecto por el regulador y mecanismos que optimicen la inversión en capacidad satelital u otras alternativas.</w:t>
      </w:r>
    </w:p>
    <w:p w14:paraId="54932946" w14:textId="77777777" w:rsidR="00AA4AE3" w:rsidRPr="006969B3" w:rsidRDefault="00AA4AE3" w:rsidP="00F65283">
      <w:pPr>
        <w:pStyle w:val="NormalWeb"/>
        <w:spacing w:before="0" w:beforeAutospacing="0" w:after="0" w:afterAutospacing="0"/>
        <w:jc w:val="both"/>
        <w:rPr>
          <w:rFonts w:ascii="Arial" w:hAnsi="Arial" w:cs="Arial"/>
          <w:sz w:val="22"/>
          <w:szCs w:val="22"/>
          <w:lang w:val="es-CO"/>
        </w:rPr>
      </w:pPr>
    </w:p>
    <w:p w14:paraId="4D3CF31F" w14:textId="57578B98"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5. El MinTIC implementará iniciativas de estímulo a la oferta y a la demanda de servicios de telecomunicaciones en beneficio de la población pobre y vulnerable, incluyendo el fomento al despliegue de redes de acceso y expansión de cobertura, así como subsidios o subvenciones para la prestación de los servicios o el suministro de terminales, entre otros.</w:t>
      </w:r>
    </w:p>
    <w:p w14:paraId="0E09AC35" w14:textId="77777777" w:rsidR="00AA4AE3" w:rsidRPr="006969B3" w:rsidRDefault="00AA4AE3" w:rsidP="00F65283">
      <w:pPr>
        <w:pStyle w:val="NormalWeb"/>
        <w:spacing w:before="0" w:beforeAutospacing="0" w:after="0" w:afterAutospacing="0"/>
        <w:jc w:val="both"/>
        <w:rPr>
          <w:rFonts w:ascii="Arial" w:hAnsi="Arial" w:cs="Arial"/>
          <w:sz w:val="22"/>
          <w:szCs w:val="22"/>
          <w:lang w:val="es-CO"/>
        </w:rPr>
      </w:pPr>
    </w:p>
    <w:p w14:paraId="3647DDA1" w14:textId="2E5CDC45"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6. El Fondo de las Tecnologías de la Información y las Comunicaciones (</w:t>
      </w:r>
      <w:proofErr w:type="spellStart"/>
      <w:r w:rsidRPr="006969B3">
        <w:rPr>
          <w:rFonts w:ascii="Arial" w:hAnsi="Arial" w:cs="Arial"/>
          <w:sz w:val="22"/>
          <w:szCs w:val="22"/>
          <w:lang w:val="es-CO"/>
        </w:rPr>
        <w:t>Fontic</w:t>
      </w:r>
      <w:proofErr w:type="spellEnd"/>
      <w:r w:rsidRPr="006969B3">
        <w:rPr>
          <w:rFonts w:ascii="Arial" w:hAnsi="Arial" w:cs="Arial"/>
          <w:sz w:val="22"/>
          <w:szCs w:val="22"/>
          <w:lang w:val="es-CO"/>
        </w:rPr>
        <w:t>), o quien haga sus veces, podrá promover la prestación del servicio de internet a través de los operadores de televisión comunitaria, previa inscripción e incorporación de estos en el registro TIC. Para el efecto, podrá suscribir convenios de asociación con entidades sin ánimo de lucro, de reconocida idoneidad, en los términos de los artículos </w:t>
      </w:r>
      <w:r w:rsidRPr="000A2938">
        <w:rPr>
          <w:rFonts w:ascii="Arial" w:hAnsi="Arial" w:cs="Arial"/>
          <w:sz w:val="22"/>
          <w:szCs w:val="22"/>
          <w:lang w:val="es-CO"/>
        </w:rPr>
        <w:t>355</w:t>
      </w:r>
      <w:r w:rsidRPr="006969B3">
        <w:rPr>
          <w:rFonts w:ascii="Arial" w:hAnsi="Arial" w:cs="Arial"/>
          <w:sz w:val="22"/>
          <w:szCs w:val="22"/>
          <w:lang w:val="es-CO"/>
        </w:rPr>
        <w:t> de la Constitución Política y </w:t>
      </w:r>
      <w:r w:rsidRPr="000A2938">
        <w:rPr>
          <w:rFonts w:ascii="Arial" w:hAnsi="Arial" w:cs="Arial"/>
          <w:sz w:val="22"/>
          <w:szCs w:val="22"/>
          <w:lang w:val="es-CO"/>
        </w:rPr>
        <w:t>96</w:t>
      </w:r>
      <w:r w:rsidRPr="006969B3">
        <w:rPr>
          <w:rFonts w:ascii="Arial" w:hAnsi="Arial" w:cs="Arial"/>
          <w:sz w:val="22"/>
          <w:szCs w:val="22"/>
          <w:lang w:val="es-CO"/>
        </w:rPr>
        <w:t> de la Ley 489 de 1998.</w:t>
      </w:r>
    </w:p>
    <w:p w14:paraId="7EFEFE54" w14:textId="77777777" w:rsidR="00AA4AE3" w:rsidRPr="006969B3" w:rsidRDefault="00AA4AE3" w:rsidP="00F65283">
      <w:pPr>
        <w:pStyle w:val="NormalWeb"/>
        <w:spacing w:before="0" w:beforeAutospacing="0" w:after="0" w:afterAutospacing="0"/>
        <w:jc w:val="both"/>
        <w:rPr>
          <w:rFonts w:ascii="Arial" w:hAnsi="Arial" w:cs="Arial"/>
          <w:sz w:val="22"/>
          <w:szCs w:val="22"/>
          <w:lang w:val="es-CO"/>
        </w:rPr>
      </w:pPr>
    </w:p>
    <w:p w14:paraId="7E0E3C81" w14:textId="24201CD6"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7. El MinTIC podrá establecer obligaciones de hacer como forma de pago de la contraprestación económica por el otorgamiento o renovación de los permisos de uso del espectro radioeléctrico, para ampliar la calidad, capacidad y cobertura del servicio, que </w:t>
      </w:r>
      <w:r w:rsidRPr="006969B3">
        <w:rPr>
          <w:rFonts w:ascii="Arial" w:hAnsi="Arial" w:cs="Arial"/>
          <w:sz w:val="22"/>
          <w:szCs w:val="22"/>
          <w:lang w:val="es-CO"/>
        </w:rPr>
        <w:lastRenderedPageBreak/>
        <w:t xml:space="preserve">beneficie a población pobre y vulnerable, o en zonas apartadas, en escuelas públicas ubicadas en zonas rurales y otras instituciones oficiales como centros de salud, bibliotecas públicas e instituciones educativas, así como prestar redes de emergencias. </w:t>
      </w:r>
      <w:proofErr w:type="gramStart"/>
      <w:r w:rsidRPr="006969B3">
        <w:rPr>
          <w:rFonts w:ascii="Arial" w:hAnsi="Arial" w:cs="Arial"/>
          <w:sz w:val="22"/>
          <w:szCs w:val="22"/>
          <w:lang w:val="es-CO"/>
        </w:rPr>
        <w:t>Las inversiones a reconocer</w:t>
      </w:r>
      <w:proofErr w:type="gramEnd"/>
      <w:r w:rsidRPr="006969B3">
        <w:rPr>
          <w:rFonts w:ascii="Arial" w:hAnsi="Arial" w:cs="Arial"/>
          <w:sz w:val="22"/>
          <w:szCs w:val="22"/>
          <w:lang w:val="es-CO"/>
        </w:rPr>
        <w:t xml:space="preserve"> serán determinadas por el MinTIC de acuerdo con la reglamentación que expida al respecto;</w:t>
      </w:r>
    </w:p>
    <w:p w14:paraId="3700ACC9" w14:textId="77777777" w:rsidR="00AA4AE3" w:rsidRPr="006969B3" w:rsidRDefault="00AA4AE3" w:rsidP="00F65283">
      <w:pPr>
        <w:pStyle w:val="NormalWeb"/>
        <w:spacing w:before="0" w:beforeAutospacing="0" w:after="0" w:afterAutospacing="0"/>
        <w:jc w:val="both"/>
        <w:rPr>
          <w:rFonts w:ascii="Arial" w:hAnsi="Arial" w:cs="Arial"/>
          <w:sz w:val="22"/>
          <w:szCs w:val="22"/>
          <w:lang w:val="es-CO"/>
        </w:rPr>
      </w:pPr>
    </w:p>
    <w:p w14:paraId="03342AF6" w14:textId="176FCC63"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El </w:t>
      </w:r>
      <w:proofErr w:type="spellStart"/>
      <w:r w:rsidRPr="006969B3">
        <w:rPr>
          <w:rFonts w:ascii="Arial" w:hAnsi="Arial" w:cs="Arial"/>
          <w:sz w:val="22"/>
          <w:szCs w:val="22"/>
          <w:lang w:val="es-CO"/>
        </w:rPr>
        <w:t>Fontic</w:t>
      </w:r>
      <w:proofErr w:type="spellEnd"/>
      <w:r w:rsidRPr="006969B3">
        <w:rPr>
          <w:rFonts w:ascii="Arial" w:hAnsi="Arial" w:cs="Arial"/>
          <w:sz w:val="22"/>
          <w:szCs w:val="22"/>
          <w:lang w:val="es-CO"/>
        </w:rPr>
        <w:t>, o quien haga sus veces, podrá financiar el desarrollo de las iniciativas contenidas en los numerales 1 al 6 del presente artículo.</w:t>
      </w:r>
    </w:p>
    <w:p w14:paraId="2F01E53A" w14:textId="77777777" w:rsidR="00AA4AE3" w:rsidRPr="006969B3" w:rsidRDefault="00AA4AE3" w:rsidP="00F65283">
      <w:pPr>
        <w:pStyle w:val="NormalWeb"/>
        <w:spacing w:before="0" w:beforeAutospacing="0" w:after="0" w:afterAutospacing="0"/>
        <w:jc w:val="both"/>
        <w:rPr>
          <w:rStyle w:val="baj"/>
          <w:rFonts w:ascii="Arial" w:hAnsi="Arial" w:cs="Arial"/>
          <w:sz w:val="22"/>
          <w:szCs w:val="22"/>
          <w:lang w:val="es-CO"/>
        </w:rPr>
      </w:pPr>
    </w:p>
    <w:p w14:paraId="6B7E9DCF" w14:textId="58C23F43"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xml:space="preserve"> Los estímulos de que trata el presente artículo tendrán un periodo máximo de aplicación definido en la reglamentación del programa y un desmonte ajustado a una senda gradual decreciente, siempre que guarden consistencia con la proyección de ingresos del </w:t>
      </w:r>
      <w:proofErr w:type="spellStart"/>
      <w:r w:rsidRPr="006969B3">
        <w:rPr>
          <w:rFonts w:ascii="Arial" w:hAnsi="Arial" w:cs="Arial"/>
          <w:sz w:val="22"/>
          <w:szCs w:val="22"/>
          <w:lang w:val="es-CO"/>
        </w:rPr>
        <w:t>Fontic</w:t>
      </w:r>
      <w:proofErr w:type="spellEnd"/>
      <w:r w:rsidRPr="006969B3">
        <w:rPr>
          <w:rFonts w:ascii="Arial" w:hAnsi="Arial" w:cs="Arial"/>
          <w:sz w:val="22"/>
          <w:szCs w:val="22"/>
          <w:lang w:val="es-CO"/>
        </w:rPr>
        <w:t>, o quien haga sus veces.</w:t>
      </w:r>
    </w:p>
    <w:p w14:paraId="774C6C02" w14:textId="77777777" w:rsidR="00AA4AE3" w:rsidRPr="006969B3" w:rsidRDefault="00AA4AE3" w:rsidP="00F65283">
      <w:pPr>
        <w:pStyle w:val="NormalWeb"/>
        <w:spacing w:before="0" w:beforeAutospacing="0" w:after="0" w:afterAutospacing="0"/>
        <w:jc w:val="both"/>
        <w:rPr>
          <w:rStyle w:val="baj"/>
          <w:rFonts w:ascii="Arial" w:hAnsi="Arial" w:cs="Arial"/>
          <w:sz w:val="22"/>
          <w:szCs w:val="22"/>
          <w:lang w:val="es-CO"/>
        </w:rPr>
      </w:pPr>
    </w:p>
    <w:p w14:paraId="7378EFE7" w14:textId="012EB117"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Los recursos que se destinen y asignen para dar cumplimiento a lo dispuesto en este artículo, deberán ser consistentes con el Marco Fiscal de Mediano Plazo y el Marco de Gasto del Sector Tecnologías de la Información y las Comunicaciones.</w:t>
      </w:r>
    </w:p>
    <w:p w14:paraId="01986BBB" w14:textId="7544E37A" w:rsidR="003E6B56" w:rsidRPr="006969B3" w:rsidRDefault="003E6B56" w:rsidP="00F65283">
      <w:pPr>
        <w:spacing w:after="0" w:line="240" w:lineRule="auto"/>
        <w:rPr>
          <w:rFonts w:ascii="Arial" w:hAnsi="Arial" w:cs="Arial"/>
          <w:lang w:val="es-CO"/>
        </w:rPr>
      </w:pPr>
    </w:p>
    <w:p w14:paraId="4F698D52" w14:textId="4D66961F" w:rsidR="003E6B56" w:rsidRPr="006969B3" w:rsidRDefault="003E6B56" w:rsidP="00F65283">
      <w:pPr>
        <w:pStyle w:val="NormalWeb"/>
        <w:spacing w:before="0" w:beforeAutospacing="0" w:after="0" w:afterAutospacing="0"/>
        <w:jc w:val="both"/>
        <w:rPr>
          <w:rFonts w:ascii="Arial" w:hAnsi="Arial" w:cs="Arial"/>
          <w:sz w:val="22"/>
          <w:szCs w:val="22"/>
          <w:lang w:val="es-CO"/>
        </w:rPr>
      </w:pPr>
      <w:bookmarkStart w:id="330" w:name="311"/>
      <w:r w:rsidRPr="006969B3">
        <w:rPr>
          <w:rFonts w:ascii="Arial" w:hAnsi="Arial" w:cs="Arial"/>
          <w:sz w:val="22"/>
          <w:szCs w:val="22"/>
          <w:lang w:val="es-CO"/>
        </w:rPr>
        <w:t>ARTÍCULO 311. CONTRAPRESTACIONES A CARGO DE LOS OPERADORES POSTALES.</w:t>
      </w:r>
      <w:bookmarkEnd w:id="330"/>
      <w:r w:rsidRPr="006969B3">
        <w:rPr>
          <w:rFonts w:ascii="Arial" w:hAnsi="Arial" w:cs="Arial"/>
          <w:sz w:val="22"/>
          <w:szCs w:val="22"/>
          <w:lang w:val="es-CO"/>
        </w:rPr>
        <w:t> Adiciónese el parágrafo 3 al artículo </w:t>
      </w:r>
      <w:r w:rsidRPr="000A2938">
        <w:rPr>
          <w:rFonts w:ascii="Arial" w:hAnsi="Arial" w:cs="Arial"/>
          <w:sz w:val="22"/>
          <w:szCs w:val="22"/>
          <w:lang w:val="es-CO"/>
        </w:rPr>
        <w:t>14</w:t>
      </w:r>
      <w:r w:rsidRPr="006969B3">
        <w:rPr>
          <w:rFonts w:ascii="Arial" w:hAnsi="Arial" w:cs="Arial"/>
          <w:sz w:val="22"/>
          <w:szCs w:val="22"/>
          <w:lang w:val="es-CO"/>
        </w:rPr>
        <w:t> de la Ley 1369 de 2009, así:</w:t>
      </w:r>
    </w:p>
    <w:p w14:paraId="58177723" w14:textId="77777777" w:rsidR="00AA4AE3" w:rsidRPr="006969B3" w:rsidRDefault="00AA4AE3" w:rsidP="00F65283">
      <w:pPr>
        <w:pStyle w:val="NormalWeb"/>
        <w:spacing w:before="0" w:beforeAutospacing="0" w:after="0" w:afterAutospacing="0"/>
        <w:jc w:val="both"/>
        <w:rPr>
          <w:rStyle w:val="baj"/>
          <w:rFonts w:ascii="Arial" w:hAnsi="Arial" w:cs="Arial"/>
          <w:sz w:val="22"/>
          <w:szCs w:val="22"/>
          <w:lang w:val="es-CO"/>
        </w:rPr>
      </w:pPr>
    </w:p>
    <w:p w14:paraId="1F5F58F6" w14:textId="6E875010"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3o.</w:t>
      </w:r>
      <w:r w:rsidRPr="006969B3">
        <w:rPr>
          <w:rFonts w:ascii="Arial" w:hAnsi="Arial" w:cs="Arial"/>
          <w:sz w:val="22"/>
          <w:szCs w:val="22"/>
          <w:lang w:val="es-CO"/>
        </w:rPr>
        <w:t> La contraprestación periódica de que trata este artículo y el valor que deben pagar los operadores postales para ser inscritos en el Registro de Operadores Postales o renovar su inscripción podrá pagarse mediante la ejecución de obligaciones de hacer, que serán previamente autorizadas por el Ministerio de Tecnologías de la Información y las Comunicaciones, de acuerdo con la reglamentación que este defina al respecto. Estas obligaciones deberán ejecutarse mediante proyectos que permitan masificar el acceso universal a Internet en todo el territorio nacional, a través del aprovechamiento de las redes postales, que beneficie a población pobre y vulnerable, o en zonas apartadas. Las inversiones por reconocer serán determinadas por el Ministerio de Tecnologías de la Información y las Comunicaciones. Estas obligaciones contarán con una supervisión o interventoría técnica, administrativa y financiera a cargo del Ministerio, que garantice transparencia y cumplimiento de las obligaciones de hacer. Los recursos necesarios para financiar la supervisión o interventoría deberán ser garantizados por el Fondo de Tecnologías de la Información y las Comunicaciones, o quien haga sus veces.</w:t>
      </w:r>
    </w:p>
    <w:p w14:paraId="69831E1D" w14:textId="77777777" w:rsidR="00AA4AE3" w:rsidRPr="006969B3" w:rsidRDefault="00AA4AE3" w:rsidP="00F65283">
      <w:pPr>
        <w:pStyle w:val="NormalWeb"/>
        <w:spacing w:before="0" w:beforeAutospacing="0" w:after="0" w:afterAutospacing="0"/>
        <w:jc w:val="both"/>
        <w:rPr>
          <w:rFonts w:ascii="Arial" w:hAnsi="Arial" w:cs="Arial"/>
          <w:sz w:val="22"/>
          <w:szCs w:val="22"/>
          <w:lang w:val="es-CO"/>
        </w:rPr>
      </w:pPr>
    </w:p>
    <w:p w14:paraId="27E48FF7" w14:textId="581CBB5B"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 ejecución de las obligaciones de hacer de que trata el presente artículo, por parte de los operadores postales, no implica la modificación de la clasificación legal de los servicios postales para los cuales se encuentra habilitado conforme lo define la Ley </w:t>
      </w:r>
      <w:r w:rsidRPr="000A2938">
        <w:rPr>
          <w:rFonts w:ascii="Arial" w:hAnsi="Arial" w:cs="Arial"/>
          <w:sz w:val="22"/>
          <w:szCs w:val="22"/>
          <w:lang w:val="es-CO"/>
        </w:rPr>
        <w:t>1369</w:t>
      </w:r>
      <w:r w:rsidRPr="006969B3">
        <w:rPr>
          <w:rFonts w:ascii="Arial" w:hAnsi="Arial" w:cs="Arial"/>
          <w:sz w:val="22"/>
          <w:szCs w:val="22"/>
          <w:lang w:val="es-CO"/>
        </w:rPr>
        <w:t> de 2009. Esto incluye el cumplimiento de todas las demás obligaciones de origen legal, reglamentario, regulatorio, aplicables al servicio.</w:t>
      </w:r>
    </w:p>
    <w:p w14:paraId="45624E85" w14:textId="77777777" w:rsidR="00AA4AE3" w:rsidRPr="006969B3" w:rsidRDefault="00AA4AE3" w:rsidP="00F65283">
      <w:pPr>
        <w:pStyle w:val="centrado"/>
        <w:spacing w:before="0" w:beforeAutospacing="0" w:after="0" w:afterAutospacing="0"/>
        <w:jc w:val="center"/>
        <w:rPr>
          <w:rFonts w:ascii="Arial" w:hAnsi="Arial" w:cs="Arial"/>
          <w:sz w:val="22"/>
          <w:szCs w:val="22"/>
          <w:lang w:val="es-CO"/>
        </w:rPr>
      </w:pPr>
      <w:bookmarkStart w:id="331" w:name="SUBSECCIÓN_7-III-II-II"/>
    </w:p>
    <w:p w14:paraId="61A6DB18" w14:textId="7DD0BC99" w:rsidR="003E6B56" w:rsidRPr="006969B3" w:rsidRDefault="003E6B56" w:rsidP="00F65283">
      <w:pPr>
        <w:pStyle w:val="centrado"/>
        <w:spacing w:before="0" w:beforeAutospacing="0" w:after="0" w:afterAutospacing="0"/>
        <w:jc w:val="center"/>
        <w:rPr>
          <w:rFonts w:ascii="Arial" w:hAnsi="Arial" w:cs="Arial"/>
          <w:b/>
          <w:bCs/>
          <w:sz w:val="22"/>
          <w:szCs w:val="22"/>
          <w:lang w:val="es-CO"/>
        </w:rPr>
      </w:pPr>
      <w:r w:rsidRPr="006969B3">
        <w:rPr>
          <w:rFonts w:ascii="Arial" w:hAnsi="Arial" w:cs="Arial"/>
          <w:b/>
          <w:bCs/>
          <w:sz w:val="22"/>
          <w:szCs w:val="22"/>
          <w:lang w:val="es-CO"/>
        </w:rPr>
        <w:t>SUBSECCIÓN 7</w:t>
      </w:r>
      <w:bookmarkEnd w:id="331"/>
    </w:p>
    <w:p w14:paraId="20BBD473" w14:textId="77777777" w:rsidR="00274B87" w:rsidRPr="006969B3" w:rsidRDefault="00274B87" w:rsidP="00F65283">
      <w:pPr>
        <w:pStyle w:val="centrado"/>
        <w:spacing w:before="0" w:beforeAutospacing="0" w:after="0" w:afterAutospacing="0"/>
        <w:jc w:val="center"/>
        <w:rPr>
          <w:rFonts w:ascii="Arial" w:hAnsi="Arial" w:cs="Arial"/>
          <w:b/>
          <w:bCs/>
          <w:sz w:val="22"/>
          <w:szCs w:val="22"/>
          <w:lang w:val="es-CO"/>
        </w:rPr>
      </w:pPr>
    </w:p>
    <w:p w14:paraId="59301916" w14:textId="4BE03C8E" w:rsidR="003E6B56" w:rsidRPr="006969B3" w:rsidRDefault="003E6B56" w:rsidP="00F65283">
      <w:pPr>
        <w:pStyle w:val="centrado"/>
        <w:spacing w:before="0" w:beforeAutospacing="0" w:after="0" w:afterAutospacing="0"/>
        <w:jc w:val="center"/>
        <w:rPr>
          <w:rFonts w:ascii="Arial" w:hAnsi="Arial" w:cs="Arial"/>
          <w:b/>
          <w:bCs/>
          <w:sz w:val="22"/>
          <w:szCs w:val="22"/>
          <w:lang w:val="es-CO"/>
        </w:rPr>
      </w:pPr>
      <w:r w:rsidRPr="006969B3">
        <w:rPr>
          <w:rStyle w:val="baj"/>
          <w:rFonts w:ascii="Arial" w:hAnsi="Arial" w:cs="Arial"/>
          <w:b/>
          <w:bCs/>
          <w:sz w:val="22"/>
          <w:szCs w:val="22"/>
          <w:lang w:val="es-CO"/>
        </w:rPr>
        <w:t>EQUIDAD PARA LA EFICIENTE PRESTACIÓN DEL SERVICIO PÚBLICO DE ENERGÍA EN LA COSTA CARIBE</w:t>
      </w:r>
    </w:p>
    <w:p w14:paraId="253F3404" w14:textId="0F2D5F63" w:rsidR="003E6B56" w:rsidRPr="006969B3" w:rsidRDefault="003E6B56" w:rsidP="00F65283">
      <w:pPr>
        <w:spacing w:after="0" w:line="240" w:lineRule="auto"/>
        <w:rPr>
          <w:rFonts w:ascii="Arial" w:hAnsi="Arial" w:cs="Arial"/>
          <w:lang w:val="es-CO"/>
        </w:rPr>
      </w:pPr>
    </w:p>
    <w:p w14:paraId="04BB3AD3" w14:textId="2C7701BC" w:rsidR="003E6B56" w:rsidRPr="006969B3" w:rsidRDefault="003E6B56" w:rsidP="00F65283">
      <w:pPr>
        <w:pStyle w:val="NormalWeb"/>
        <w:spacing w:before="0" w:beforeAutospacing="0" w:after="0" w:afterAutospacing="0"/>
        <w:jc w:val="both"/>
        <w:rPr>
          <w:rFonts w:ascii="Arial" w:hAnsi="Arial" w:cs="Arial"/>
          <w:sz w:val="22"/>
          <w:szCs w:val="22"/>
          <w:lang w:val="es-CO"/>
        </w:rPr>
      </w:pPr>
      <w:bookmarkStart w:id="332" w:name="312"/>
      <w:r w:rsidRPr="006969B3">
        <w:rPr>
          <w:rFonts w:ascii="Arial" w:hAnsi="Arial" w:cs="Arial"/>
          <w:sz w:val="22"/>
          <w:szCs w:val="22"/>
          <w:lang w:val="es-CO"/>
        </w:rPr>
        <w:t>ARTÍCULO 312. MEDIDAS DE SOSTENIBILIDAD FINANCIERA DEL FONDO EMPRESARIAL.</w:t>
      </w:r>
      <w:bookmarkEnd w:id="332"/>
      <w:r w:rsidRPr="006969B3">
        <w:rPr>
          <w:rFonts w:ascii="Arial" w:hAnsi="Arial" w:cs="Arial"/>
          <w:sz w:val="22"/>
          <w:szCs w:val="22"/>
          <w:lang w:val="es-CO"/>
        </w:rPr>
        <w:t xml:space="preserve"> Autorícese a la Nación para que directa o indirectamente adopte medidas de financiamiento al Fondo Empresarial de la SSPD, incluyendo créditos y garantías, los cuales podrán ser superiores a un año. No se requerirá la constitución de garantías ni </w:t>
      </w:r>
      <w:r w:rsidRPr="006969B3">
        <w:rPr>
          <w:rFonts w:ascii="Arial" w:hAnsi="Arial" w:cs="Arial"/>
          <w:sz w:val="22"/>
          <w:szCs w:val="22"/>
          <w:lang w:val="es-CO"/>
        </w:rPr>
        <w:lastRenderedPageBreak/>
        <w:t>contragarantías cuando la Nación otorgue estos créditos o garantías, y las operaciones estarán exentas de los aportes al Fondo de Contingencias creado por Ley </w:t>
      </w:r>
      <w:r w:rsidRPr="000A2938">
        <w:rPr>
          <w:rFonts w:ascii="Arial" w:hAnsi="Arial" w:cs="Arial"/>
          <w:sz w:val="22"/>
          <w:szCs w:val="22"/>
          <w:lang w:val="es-CO"/>
        </w:rPr>
        <w:t>448</w:t>
      </w:r>
      <w:r w:rsidRPr="006969B3">
        <w:rPr>
          <w:rFonts w:ascii="Arial" w:hAnsi="Arial" w:cs="Arial"/>
          <w:sz w:val="22"/>
          <w:szCs w:val="22"/>
          <w:lang w:val="es-CO"/>
        </w:rPr>
        <w:t> de 1998. Los términos para desarrollar estas autorizaciones se rigen por lo dispuesto en este Capítulo. El Gobierno nacional reglamentará la materia.</w:t>
      </w:r>
    </w:p>
    <w:p w14:paraId="46655E30" w14:textId="77777777" w:rsidR="00AA4AE3" w:rsidRPr="006969B3" w:rsidRDefault="00AA4AE3" w:rsidP="00F65283">
      <w:pPr>
        <w:pStyle w:val="NormalWeb"/>
        <w:spacing w:before="0" w:beforeAutospacing="0" w:after="0" w:afterAutospacing="0"/>
        <w:jc w:val="both"/>
        <w:rPr>
          <w:rStyle w:val="baj"/>
          <w:rFonts w:ascii="Arial" w:hAnsi="Arial" w:cs="Arial"/>
          <w:sz w:val="22"/>
          <w:szCs w:val="22"/>
          <w:lang w:val="es-CO"/>
        </w:rPr>
      </w:pPr>
    </w:p>
    <w:p w14:paraId="1DCC5B10" w14:textId="14456CA3"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w:t>
      </w:r>
      <w:r w:rsidRPr="006969B3">
        <w:rPr>
          <w:rFonts w:ascii="Arial" w:hAnsi="Arial" w:cs="Arial"/>
          <w:sz w:val="22"/>
          <w:szCs w:val="22"/>
          <w:lang w:val="es-CO"/>
        </w:rPr>
        <w:t> Harán parte de las medidas autorizadas de sostenibilidad del Fondo Empresarial, la provisión de recursos de la Nación y otras entidades estatales con recursos líquidos y en especie (tales como acciones), incluyendo sus frutos.</w:t>
      </w:r>
    </w:p>
    <w:p w14:paraId="2091D52B" w14:textId="77777777" w:rsidR="00AA4AE3" w:rsidRPr="006969B3" w:rsidRDefault="00AA4AE3" w:rsidP="00F65283">
      <w:pPr>
        <w:pStyle w:val="NormalWeb"/>
        <w:spacing w:before="0" w:beforeAutospacing="0" w:after="0" w:afterAutospacing="0"/>
        <w:jc w:val="both"/>
        <w:rPr>
          <w:rFonts w:ascii="Arial" w:hAnsi="Arial" w:cs="Arial"/>
          <w:sz w:val="22"/>
          <w:szCs w:val="22"/>
          <w:lang w:val="es-CO"/>
        </w:rPr>
      </w:pPr>
      <w:bookmarkStart w:id="333" w:name="313"/>
    </w:p>
    <w:p w14:paraId="443543E0" w14:textId="79C54916"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313. SOBRETASA POR KILOVATIO HORA CONSUMIDO PARA FORTALECER AL FONDO EMPRESARIAL EN EL TERRITORIO NACIONAL.</w:t>
      </w:r>
      <w:bookmarkEnd w:id="333"/>
      <w:r w:rsidRPr="006969B3">
        <w:rPr>
          <w:rFonts w:ascii="Arial" w:hAnsi="Arial" w:cs="Arial"/>
          <w:sz w:val="22"/>
          <w:szCs w:val="22"/>
          <w:lang w:val="es-CO"/>
        </w:rPr>
        <w:t> A partir de la expedición de la presente ley y hasta el 31 de diciembre de 2022, créase una sobretasa nacional de cuatro pesos moneda legal colombiana ($4 COP) por kilovatio hora de energía eléctrica consumido, que será recaudada por los comercializadores del servicio de energía eléctrica y girada al Fondo Empresarial de la Superintendencia de Servicios Públicos Domiciliarios. La sobretasa será destinada al pago de las obligaciones financieras en las que incurra el Fondo Empresarial para garantizar la prestación del servicio de energía eléctrica de las empresas de energía eléctrica en toma de posesión en el territorio nacional. El hecho generador será el kilovatio hora consumido, y los responsables del pago de esta sobretasa serán los usuarios de los estratos 4, 5 y 6, los usuarios comerciales e industriales y los no regulados del servicio de energía eléctrica. La Superintendencia de Servicios Públicos Domiciliarios reglamentará el procedimiento para dar cumplimiento a lo previsto en este artículo.</w:t>
      </w:r>
    </w:p>
    <w:p w14:paraId="72A5A356" w14:textId="77777777" w:rsidR="00AA4AE3" w:rsidRPr="006969B3" w:rsidRDefault="00AA4AE3" w:rsidP="00F65283">
      <w:pPr>
        <w:pStyle w:val="NormalWeb"/>
        <w:spacing w:before="0" w:beforeAutospacing="0" w:after="0" w:afterAutospacing="0"/>
        <w:jc w:val="both"/>
        <w:rPr>
          <w:rFonts w:ascii="Arial" w:hAnsi="Arial" w:cs="Arial"/>
          <w:sz w:val="22"/>
          <w:szCs w:val="22"/>
          <w:lang w:val="es-CO"/>
        </w:rPr>
      </w:pPr>
    </w:p>
    <w:p w14:paraId="4A79CCC7" w14:textId="15AB95FC"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servicio de transporte masivo que se mueva con energía eléctrica estará excluido de la sobretasa de la que trata el presente artículo.</w:t>
      </w:r>
    </w:p>
    <w:p w14:paraId="1F78FFEE" w14:textId="77777777" w:rsidR="00AA4AE3" w:rsidRPr="006969B3" w:rsidRDefault="00AA4AE3" w:rsidP="00F65283">
      <w:pPr>
        <w:pStyle w:val="NormalWeb"/>
        <w:spacing w:before="0" w:beforeAutospacing="0" w:after="0" w:afterAutospacing="0"/>
        <w:jc w:val="both"/>
        <w:rPr>
          <w:rFonts w:ascii="Arial" w:hAnsi="Arial" w:cs="Arial"/>
          <w:sz w:val="22"/>
          <w:szCs w:val="22"/>
          <w:lang w:val="es-CO"/>
        </w:rPr>
      </w:pPr>
      <w:bookmarkStart w:id="334" w:name="314"/>
    </w:p>
    <w:p w14:paraId="1369FFBC" w14:textId="1CC06D97"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314. CONTRIBUCIÓN ADICIONAL A LA CONTRIBUCIÓN DEFINIDA EN EL ARTÍCULO 85 DE LA LEY 142 DE 1994 PARA EL FORTALECIMIENTO DEL FONDO EMPRESARIAL.</w:t>
      </w:r>
      <w:bookmarkEnd w:id="334"/>
      <w:r w:rsidRPr="006969B3">
        <w:rPr>
          <w:rFonts w:ascii="Arial" w:hAnsi="Arial" w:cs="Arial"/>
          <w:sz w:val="22"/>
          <w:szCs w:val="22"/>
          <w:lang w:val="es-CO"/>
        </w:rPr>
        <w:t> A partir del 1 de enero de 2020 y hasta el 31 de diciembre de 2022 se autoriza el cobro de una contribución adicional a la regulada en el artículo </w:t>
      </w:r>
      <w:r w:rsidRPr="000A2938">
        <w:rPr>
          <w:rFonts w:ascii="Arial" w:hAnsi="Arial" w:cs="Arial"/>
          <w:sz w:val="22"/>
          <w:szCs w:val="22"/>
          <w:lang w:val="es-CO"/>
        </w:rPr>
        <w:t>85</w:t>
      </w:r>
      <w:r w:rsidRPr="006969B3">
        <w:rPr>
          <w:rFonts w:ascii="Arial" w:hAnsi="Arial" w:cs="Arial"/>
          <w:sz w:val="22"/>
          <w:szCs w:val="22"/>
          <w:lang w:val="es-CO"/>
        </w:rPr>
        <w:t> de la Ley 142 de 1994. Dicha contribución se cobrará a favor del Fondo Empresarial de la Superintendencia de Servicios Públicos Domiciliarios (SSPD). Las reglas aplicables a esta contribución serán las siguientes:</w:t>
      </w:r>
    </w:p>
    <w:p w14:paraId="669804C8" w14:textId="77777777" w:rsidR="00AA4AE3" w:rsidRPr="006969B3" w:rsidRDefault="00AA4AE3" w:rsidP="00F65283">
      <w:pPr>
        <w:pStyle w:val="NormalWeb"/>
        <w:spacing w:before="0" w:beforeAutospacing="0" w:after="0" w:afterAutospacing="0"/>
        <w:jc w:val="both"/>
        <w:rPr>
          <w:rFonts w:ascii="Arial" w:hAnsi="Arial" w:cs="Arial"/>
          <w:sz w:val="22"/>
          <w:szCs w:val="22"/>
          <w:lang w:val="es-CO"/>
        </w:rPr>
      </w:pPr>
    </w:p>
    <w:p w14:paraId="64848565" w14:textId="52E78265"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 La base gravable es exactamente la misma que la base de la contribución de que trata el artículo </w:t>
      </w:r>
      <w:r w:rsidRPr="000A2938">
        <w:rPr>
          <w:rFonts w:ascii="Arial" w:hAnsi="Arial" w:cs="Arial"/>
          <w:sz w:val="22"/>
          <w:szCs w:val="22"/>
          <w:lang w:val="es-CO"/>
        </w:rPr>
        <w:t>85</w:t>
      </w:r>
      <w:r w:rsidRPr="006969B3">
        <w:rPr>
          <w:rFonts w:ascii="Arial" w:hAnsi="Arial" w:cs="Arial"/>
          <w:sz w:val="22"/>
          <w:szCs w:val="22"/>
          <w:lang w:val="es-CO"/>
        </w:rPr>
        <w:t> de la Ley 142 de 1994, o cuando corresponda las normas que lo modifiquen, sustituyan o adicionen.</w:t>
      </w:r>
    </w:p>
    <w:p w14:paraId="1B5E1E5C" w14:textId="77777777" w:rsidR="00AA4AE3" w:rsidRPr="006969B3" w:rsidRDefault="00AA4AE3" w:rsidP="00F65283">
      <w:pPr>
        <w:pStyle w:val="NormalWeb"/>
        <w:spacing w:before="0" w:beforeAutospacing="0" w:after="0" w:afterAutospacing="0"/>
        <w:jc w:val="both"/>
        <w:rPr>
          <w:rFonts w:ascii="Arial" w:hAnsi="Arial" w:cs="Arial"/>
          <w:sz w:val="22"/>
          <w:szCs w:val="22"/>
          <w:lang w:val="es-CO"/>
        </w:rPr>
      </w:pPr>
    </w:p>
    <w:p w14:paraId="4AFE5313" w14:textId="70FC5537"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2. Los sujetos pasivos son todas las personas vigiladas por la SSPD.</w:t>
      </w:r>
    </w:p>
    <w:p w14:paraId="41CB2EFB" w14:textId="77777777" w:rsidR="00AA4AE3" w:rsidRPr="006969B3" w:rsidRDefault="00AA4AE3" w:rsidP="00F65283">
      <w:pPr>
        <w:pStyle w:val="NormalWeb"/>
        <w:spacing w:before="0" w:beforeAutospacing="0" w:after="0" w:afterAutospacing="0"/>
        <w:jc w:val="both"/>
        <w:rPr>
          <w:rFonts w:ascii="Arial" w:hAnsi="Arial" w:cs="Arial"/>
          <w:sz w:val="22"/>
          <w:szCs w:val="22"/>
          <w:lang w:val="es-CO"/>
        </w:rPr>
      </w:pPr>
    </w:p>
    <w:p w14:paraId="19C5E283" w14:textId="04BF812C"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3. El sujeto activo de esta contribución será la SSPD.</w:t>
      </w:r>
    </w:p>
    <w:p w14:paraId="732E6C02" w14:textId="77777777" w:rsidR="00AA4AE3" w:rsidRPr="006969B3" w:rsidRDefault="00AA4AE3" w:rsidP="00F65283">
      <w:pPr>
        <w:pStyle w:val="NormalWeb"/>
        <w:spacing w:before="0" w:beforeAutospacing="0" w:after="0" w:afterAutospacing="0"/>
        <w:jc w:val="both"/>
        <w:rPr>
          <w:rFonts w:ascii="Arial" w:hAnsi="Arial" w:cs="Arial"/>
          <w:sz w:val="22"/>
          <w:szCs w:val="22"/>
          <w:lang w:val="es-CO"/>
        </w:rPr>
      </w:pPr>
    </w:p>
    <w:p w14:paraId="578F7090" w14:textId="2AD61D4A"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4. La tarifa será del 1%.</w:t>
      </w:r>
    </w:p>
    <w:p w14:paraId="2EE10236" w14:textId="77777777" w:rsidR="00AA4AE3" w:rsidRPr="006969B3" w:rsidRDefault="00AA4AE3" w:rsidP="00F65283">
      <w:pPr>
        <w:pStyle w:val="NormalWeb"/>
        <w:spacing w:before="0" w:beforeAutospacing="0" w:after="0" w:afterAutospacing="0"/>
        <w:jc w:val="both"/>
        <w:rPr>
          <w:rFonts w:ascii="Arial" w:hAnsi="Arial" w:cs="Arial"/>
          <w:sz w:val="22"/>
          <w:szCs w:val="22"/>
          <w:lang w:val="es-CO"/>
        </w:rPr>
      </w:pPr>
    </w:p>
    <w:p w14:paraId="34DE2E43" w14:textId="56F2778B"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5. El hecho generador es el estar sometido a la vigilancia de la SSPD.</w:t>
      </w:r>
    </w:p>
    <w:p w14:paraId="792B9318" w14:textId="77777777" w:rsidR="00AA4AE3" w:rsidRPr="006969B3" w:rsidRDefault="00AA4AE3" w:rsidP="00F65283">
      <w:pPr>
        <w:pStyle w:val="NormalWeb"/>
        <w:spacing w:before="0" w:beforeAutospacing="0" w:after="0" w:afterAutospacing="0"/>
        <w:jc w:val="both"/>
        <w:rPr>
          <w:rFonts w:ascii="Arial" w:hAnsi="Arial" w:cs="Arial"/>
          <w:sz w:val="22"/>
          <w:szCs w:val="22"/>
          <w:lang w:val="es-CO"/>
        </w:rPr>
      </w:pPr>
    </w:p>
    <w:p w14:paraId="4AA19409" w14:textId="091EAEFB"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El recaudo obtenido por esta contribución adicional se destinará en su totalidad al Fondo Empresarial de la Superintendencia de Servicios Públicos Domiciliarios. El traslado de los recursos de las cuentas de la Superintendencia al Fondo Empresarial de la </w:t>
      </w:r>
      <w:r w:rsidRPr="006969B3">
        <w:rPr>
          <w:rFonts w:ascii="Arial" w:hAnsi="Arial" w:cs="Arial"/>
          <w:sz w:val="22"/>
          <w:szCs w:val="22"/>
          <w:lang w:val="es-CO"/>
        </w:rPr>
        <w:lastRenderedPageBreak/>
        <w:t>Superintendencia de Servicios Públicos Domiciliarios estará exento del gravamen a los movimientos financieros.</w:t>
      </w:r>
    </w:p>
    <w:p w14:paraId="0EF3A82D" w14:textId="77777777" w:rsidR="00AA4AE3" w:rsidRPr="006969B3" w:rsidRDefault="00AA4AE3" w:rsidP="00F65283">
      <w:pPr>
        <w:pStyle w:val="NormalWeb"/>
        <w:spacing w:before="0" w:beforeAutospacing="0" w:after="0" w:afterAutospacing="0"/>
        <w:jc w:val="both"/>
        <w:rPr>
          <w:rFonts w:ascii="Arial" w:hAnsi="Arial" w:cs="Arial"/>
          <w:sz w:val="22"/>
          <w:szCs w:val="22"/>
          <w:lang w:val="es-CO"/>
        </w:rPr>
      </w:pPr>
      <w:bookmarkStart w:id="335" w:name="315"/>
    </w:p>
    <w:p w14:paraId="6AB40B43" w14:textId="02329522"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315. SOSTENIBILIDAD DEL SERVICIO PÚBLICO MEDIANTE LA ASUNCIÓN DE PASIVOS.</w:t>
      </w:r>
      <w:bookmarkEnd w:id="335"/>
      <w:r w:rsidRPr="006969B3">
        <w:rPr>
          <w:rFonts w:ascii="Arial" w:hAnsi="Arial" w:cs="Arial"/>
          <w:sz w:val="22"/>
          <w:szCs w:val="22"/>
          <w:lang w:val="es-CO"/>
        </w:rPr>
        <w:t> Con el fin de asegurar la prestación eficiente y sostenible del servicio público de distribución y comercialización de electricidad en la Costa Caribe del país, en desarrollo del artículo </w:t>
      </w:r>
      <w:r w:rsidRPr="000A2938">
        <w:rPr>
          <w:rFonts w:ascii="Arial" w:hAnsi="Arial" w:cs="Arial"/>
          <w:sz w:val="22"/>
          <w:szCs w:val="22"/>
          <w:lang w:val="es-CO"/>
        </w:rPr>
        <w:t>365</w:t>
      </w:r>
      <w:r w:rsidRPr="006969B3">
        <w:rPr>
          <w:rFonts w:ascii="Arial" w:hAnsi="Arial" w:cs="Arial"/>
          <w:sz w:val="22"/>
          <w:szCs w:val="22"/>
          <w:lang w:val="es-CO"/>
        </w:rPr>
        <w:t xml:space="preserve"> de la Constitución Política, autorícese a la Nación a asumir directa o Indirectamente el pasivo pensional y prestacional, así como el pasivo de Electrificadora del Caribe S.A. E.S.P. asociado al Fondo Empresarial de la siguiente manera: i) el pasivo pensional y prestacional correspondiente a la totalidad de las pensiones y cesantías, ciertas o contingentes, pagaderas a los pensionados de Electrificadora del Caribe S.A. E.S.P. y a las obligaciones convencionales, ciertas o contingentes, adquiridas por la </w:t>
      </w:r>
      <w:proofErr w:type="spellStart"/>
      <w:r w:rsidRPr="006969B3">
        <w:rPr>
          <w:rFonts w:ascii="Arial" w:hAnsi="Arial" w:cs="Arial"/>
          <w:sz w:val="22"/>
          <w:szCs w:val="22"/>
          <w:lang w:val="es-CO"/>
        </w:rPr>
        <w:t>causación</w:t>
      </w:r>
      <w:proofErr w:type="spellEnd"/>
      <w:r w:rsidRPr="006969B3">
        <w:rPr>
          <w:rFonts w:ascii="Arial" w:hAnsi="Arial" w:cs="Arial"/>
          <w:sz w:val="22"/>
          <w:szCs w:val="22"/>
          <w:lang w:val="es-CO"/>
        </w:rPr>
        <w:t xml:space="preserve"> del derecho a recibir el pago de la pensión convencional de jubilación y/o legal de vejez; </w:t>
      </w:r>
      <w:proofErr w:type="spellStart"/>
      <w:r w:rsidRPr="006969B3">
        <w:rPr>
          <w:rFonts w:ascii="Arial" w:hAnsi="Arial" w:cs="Arial"/>
          <w:sz w:val="22"/>
          <w:szCs w:val="22"/>
          <w:lang w:val="es-CO"/>
        </w:rPr>
        <w:t>ii</w:t>
      </w:r>
      <w:proofErr w:type="spellEnd"/>
      <w:r w:rsidRPr="006969B3">
        <w:rPr>
          <w:rFonts w:ascii="Arial" w:hAnsi="Arial" w:cs="Arial"/>
          <w:sz w:val="22"/>
          <w:szCs w:val="22"/>
          <w:lang w:val="es-CO"/>
        </w:rPr>
        <w:t>) el pasivo de Electrificadora del Caribe S.A. E.S.P. con el Fondo Empresarial correspondiente a las obligaciones en las cuales el Fondo haya incurrido o incurra, incluyendo garantías emitidas.</w:t>
      </w:r>
    </w:p>
    <w:p w14:paraId="4D30FBA0" w14:textId="77777777" w:rsidR="00AA4AE3" w:rsidRPr="006969B3" w:rsidRDefault="00AA4AE3" w:rsidP="00F65283">
      <w:pPr>
        <w:pStyle w:val="NormalWeb"/>
        <w:spacing w:before="0" w:beforeAutospacing="0" w:after="0" w:afterAutospacing="0"/>
        <w:jc w:val="both"/>
        <w:rPr>
          <w:rStyle w:val="baj"/>
          <w:rFonts w:ascii="Arial" w:hAnsi="Arial" w:cs="Arial"/>
          <w:sz w:val="22"/>
          <w:szCs w:val="22"/>
          <w:lang w:val="es-CO"/>
        </w:rPr>
      </w:pPr>
    </w:p>
    <w:p w14:paraId="1820EA13" w14:textId="4AEE1981"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Para viabilizar el desarrollo de esta Subsección, autorícese a la Nación para constituir patrimonios autónomos, fondos necesarios para tal efecto, o una o más sociedades por acciones cuyo objeto principal sea adelantar las operaciones actualmente adelantadas por Electrificadora del Caribe S.A. E.S.P., para lo cual sus patrimonios podrán estar integrados, entre otros, por los activos de Electrificadora del Caribe S.A. E.S.P. Estas sociedades que el Gobierno nacional decida constituir serán empresas de servicios públicos domiciliarios, sometida a la Ley </w:t>
      </w:r>
      <w:r w:rsidRPr="000A2938">
        <w:rPr>
          <w:rFonts w:ascii="Arial" w:hAnsi="Arial" w:cs="Arial"/>
          <w:sz w:val="22"/>
          <w:szCs w:val="22"/>
          <w:lang w:val="es-CO"/>
        </w:rPr>
        <w:t>142</w:t>
      </w:r>
      <w:r w:rsidRPr="006969B3">
        <w:rPr>
          <w:rFonts w:ascii="Arial" w:hAnsi="Arial" w:cs="Arial"/>
          <w:sz w:val="22"/>
          <w:szCs w:val="22"/>
          <w:lang w:val="es-CO"/>
        </w:rPr>
        <w:t> de 1994 y demás normas complementarias, vinculadas al Ministerio de Hacienda y Crédito Público, con domicilio en la Costa Caribe. Su denominación y demás requisitos de estructura orgánica serán definidos por el Gobierno nacional. Los activos de estos podrán incluir, entre otras, rentas, tasas, contribuciones, recursos del Presupuesto General de la Nación, y las demás que determine el Gobierno nacional tales como los derechos litigiosos, cuentas por cobrar de la Nación y otras entidades públicas a Electrificadora del Caribe S.A. E.S.P. y/o a los causantes de la necesidad de la toma de posesión.</w:t>
      </w:r>
    </w:p>
    <w:p w14:paraId="7843F3ED" w14:textId="77777777" w:rsidR="00AA4AE3" w:rsidRPr="006969B3" w:rsidRDefault="00AA4AE3" w:rsidP="00F65283">
      <w:pPr>
        <w:pStyle w:val="NormalWeb"/>
        <w:spacing w:before="0" w:beforeAutospacing="0" w:after="0" w:afterAutospacing="0"/>
        <w:jc w:val="both"/>
        <w:rPr>
          <w:rStyle w:val="baj"/>
          <w:rFonts w:ascii="Arial" w:hAnsi="Arial" w:cs="Arial"/>
          <w:sz w:val="22"/>
          <w:szCs w:val="22"/>
          <w:lang w:val="es-CO"/>
        </w:rPr>
      </w:pPr>
    </w:p>
    <w:p w14:paraId="41C0A17C" w14:textId="6B320057"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xml:space="preserve"> Para la gestión y el pago del pasivo pensional y prestacional, la Nación - Superintendencia de Servicios Públicos Domiciliarios, mediante la celebración de un contrato de fiducia mercantil, constituirá el patrimonio autónomo - </w:t>
      </w:r>
      <w:proofErr w:type="spellStart"/>
      <w:r w:rsidRPr="006969B3">
        <w:rPr>
          <w:rFonts w:ascii="Arial" w:hAnsi="Arial" w:cs="Arial"/>
          <w:sz w:val="22"/>
          <w:szCs w:val="22"/>
          <w:lang w:val="es-CO"/>
        </w:rPr>
        <w:t>Foneca</w:t>
      </w:r>
      <w:proofErr w:type="spellEnd"/>
      <w:r w:rsidRPr="006969B3">
        <w:rPr>
          <w:rFonts w:ascii="Arial" w:hAnsi="Arial" w:cs="Arial"/>
          <w:sz w:val="22"/>
          <w:szCs w:val="22"/>
          <w:lang w:val="es-CO"/>
        </w:rPr>
        <w:t xml:space="preserve"> cuyo objeto será recibir y administrar los recursos que se transfieran, así como, pagar el pasivo pensional y prestacional, como una cuenta especial, sin personería ju </w:t>
      </w:r>
      <w:proofErr w:type="spellStart"/>
      <w:r w:rsidRPr="006969B3">
        <w:rPr>
          <w:rFonts w:ascii="Arial" w:hAnsi="Arial" w:cs="Arial"/>
          <w:sz w:val="22"/>
          <w:szCs w:val="22"/>
          <w:lang w:val="es-CO"/>
        </w:rPr>
        <w:t>rídica</w:t>
      </w:r>
      <w:proofErr w:type="spellEnd"/>
      <w:r w:rsidRPr="006969B3">
        <w:rPr>
          <w:rFonts w:ascii="Arial" w:hAnsi="Arial" w:cs="Arial"/>
          <w:sz w:val="22"/>
          <w:szCs w:val="22"/>
          <w:lang w:val="es-CO"/>
        </w:rPr>
        <w:t xml:space="preserve">, cuyos recursos serán administrados por quien determine el Gobierno nacional. Los recursos y los rendimientos de este fondo tendrán destinación específica para pagar el pasivo pensional y prestacional, así como los gastos de administración del patrimonio autónomo. Los recursos que el </w:t>
      </w:r>
      <w:proofErr w:type="spellStart"/>
      <w:r w:rsidRPr="006969B3">
        <w:rPr>
          <w:rFonts w:ascii="Arial" w:hAnsi="Arial" w:cs="Arial"/>
          <w:sz w:val="22"/>
          <w:szCs w:val="22"/>
          <w:lang w:val="es-CO"/>
        </w:rPr>
        <w:t>Foneca</w:t>
      </w:r>
      <w:proofErr w:type="spellEnd"/>
      <w:r w:rsidRPr="006969B3">
        <w:rPr>
          <w:rFonts w:ascii="Arial" w:hAnsi="Arial" w:cs="Arial"/>
          <w:sz w:val="22"/>
          <w:szCs w:val="22"/>
          <w:lang w:val="es-CO"/>
        </w:rPr>
        <w:t xml:space="preserve"> pueda recibir como consecuencia de un proceso de vinculación de capital para la operación de la prestación del servicio de energía eléctrica en la Costa Caribe, se transferirán directamente al patrimonio autónomo sin que se requiera operación presupuestal para tales efectos.</w:t>
      </w:r>
    </w:p>
    <w:p w14:paraId="12A12B47" w14:textId="77777777" w:rsidR="00AA4AE3" w:rsidRPr="006969B3" w:rsidRDefault="00AA4AE3" w:rsidP="00F65283">
      <w:pPr>
        <w:pStyle w:val="NormalWeb"/>
        <w:spacing w:before="0" w:beforeAutospacing="0" w:after="0" w:afterAutospacing="0"/>
        <w:jc w:val="both"/>
        <w:rPr>
          <w:rStyle w:val="baj"/>
          <w:rFonts w:ascii="Arial" w:hAnsi="Arial" w:cs="Arial"/>
          <w:sz w:val="22"/>
          <w:szCs w:val="22"/>
          <w:lang w:val="es-CO"/>
        </w:rPr>
      </w:pPr>
    </w:p>
    <w:p w14:paraId="15FFEFEF" w14:textId="61F1C1B5"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3o.</w:t>
      </w:r>
      <w:r w:rsidRPr="006969B3">
        <w:rPr>
          <w:rFonts w:ascii="Arial" w:hAnsi="Arial" w:cs="Arial"/>
          <w:sz w:val="22"/>
          <w:szCs w:val="22"/>
          <w:lang w:val="es-CO"/>
        </w:rPr>
        <w:t> La Nación, el Fondo Empresarial o cualquier entidad del orden nacional, podrán llevar a cabo los actos necesarios para cumplir con los objetivos aquí planteados, incluyendo, entre otros, la cancelación de garantías y la condonación de obligaciones y los demás modos de extinción de las obligaciones. La asunción de los pasivos en los términos de esta Subsección no requerirá autorizaciones adicionales a las aquí previstas.</w:t>
      </w:r>
    </w:p>
    <w:p w14:paraId="1B4FAC0B" w14:textId="77777777" w:rsidR="00AA4AE3" w:rsidRPr="006969B3" w:rsidRDefault="00AA4AE3" w:rsidP="00F65283">
      <w:pPr>
        <w:pStyle w:val="NormalWeb"/>
        <w:spacing w:before="0" w:beforeAutospacing="0" w:after="0" w:afterAutospacing="0"/>
        <w:jc w:val="both"/>
        <w:rPr>
          <w:rStyle w:val="baj"/>
          <w:rFonts w:ascii="Arial" w:hAnsi="Arial" w:cs="Arial"/>
          <w:sz w:val="22"/>
          <w:szCs w:val="22"/>
          <w:lang w:val="es-CO"/>
        </w:rPr>
      </w:pPr>
    </w:p>
    <w:p w14:paraId="16A46E28" w14:textId="4C05F332"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lastRenderedPageBreak/>
        <w:t>PARÁGRAFO 4o.</w:t>
      </w:r>
      <w:r w:rsidRPr="006969B3">
        <w:rPr>
          <w:rFonts w:ascii="Arial" w:hAnsi="Arial" w:cs="Arial"/>
          <w:sz w:val="22"/>
          <w:szCs w:val="22"/>
          <w:lang w:val="es-CO"/>
        </w:rPr>
        <w:t> Ninguna actuación por parte de la Nación, la SSPD o el Fondo Empresarial desplegada para el cumplimiento de lo dispuesto en los artículos de esta Subsección, podrá interpretarse como reconocimiento de su responsabilidad por la situación de Electrificadora del Caribe S.A. E.S.P. ni como una renuncia a obtener cualquier indemnización frente a los responsables de los perjuicios causados, lo anterior teniendo en cuenta la situación financiera y operativa de la citada que dieron origen al proceso de toma de posesión que se adelanta por la SSPD, con el fin de salvaguardar la prestación del servicio de energía eléctrica en los 7 departamentos de la Costa Atlántica.</w:t>
      </w:r>
    </w:p>
    <w:p w14:paraId="3D22AF33" w14:textId="08D83F6A" w:rsidR="003E6B56" w:rsidRPr="006969B3" w:rsidRDefault="003E6B56" w:rsidP="00F65283">
      <w:pPr>
        <w:spacing w:after="0" w:line="240" w:lineRule="auto"/>
        <w:rPr>
          <w:rFonts w:ascii="Arial" w:hAnsi="Arial" w:cs="Arial"/>
          <w:lang w:val="es-CO"/>
        </w:rPr>
      </w:pPr>
    </w:p>
    <w:p w14:paraId="76A819FB" w14:textId="77777777" w:rsidR="003E6B56" w:rsidRPr="006969B3" w:rsidRDefault="003E6B56" w:rsidP="00F65283">
      <w:pPr>
        <w:pStyle w:val="NormalWeb"/>
        <w:spacing w:before="0" w:beforeAutospacing="0" w:after="0" w:afterAutospacing="0"/>
        <w:jc w:val="both"/>
        <w:rPr>
          <w:rFonts w:ascii="Arial" w:hAnsi="Arial" w:cs="Arial"/>
          <w:sz w:val="22"/>
          <w:szCs w:val="22"/>
          <w:lang w:val="es-CO"/>
        </w:rPr>
      </w:pPr>
      <w:bookmarkStart w:id="336" w:name="316"/>
      <w:r w:rsidRPr="006969B3">
        <w:rPr>
          <w:rFonts w:ascii="Arial" w:hAnsi="Arial" w:cs="Arial"/>
          <w:sz w:val="22"/>
          <w:szCs w:val="22"/>
          <w:lang w:val="es-CO"/>
        </w:rPr>
        <w:t>ARTÍCULO 316. TÉRMINOS Y CONDICIONES DE LAS MEDIDAS DE SOSTENIBILIDAD.</w:t>
      </w:r>
      <w:bookmarkEnd w:id="336"/>
      <w:r w:rsidRPr="006969B3">
        <w:rPr>
          <w:rFonts w:ascii="Arial" w:hAnsi="Arial" w:cs="Arial"/>
          <w:sz w:val="22"/>
          <w:szCs w:val="22"/>
          <w:lang w:val="es-CO"/>
        </w:rPr>
        <w:t xml:space="preserve"> Como contraprestación por la asunción de los pasivos la Nación - Ministerio de Hacienda y Crédito Público directa o indirectamente adquirirá una o más cuentas por cobrar a cargo de Electrificadora del Caribe S.A. E.S.P. El </w:t>
      </w:r>
      <w:proofErr w:type="spellStart"/>
      <w:r w:rsidRPr="006969B3">
        <w:rPr>
          <w:rFonts w:ascii="Arial" w:hAnsi="Arial" w:cs="Arial"/>
          <w:sz w:val="22"/>
          <w:szCs w:val="22"/>
          <w:lang w:val="es-CO"/>
        </w:rPr>
        <w:t>Conpes</w:t>
      </w:r>
      <w:proofErr w:type="spellEnd"/>
      <w:r w:rsidRPr="006969B3">
        <w:rPr>
          <w:rFonts w:ascii="Arial" w:hAnsi="Arial" w:cs="Arial"/>
          <w:sz w:val="22"/>
          <w:szCs w:val="22"/>
          <w:lang w:val="es-CO"/>
        </w:rPr>
        <w:t xml:space="preserve"> determinará: a) el monto de las cuentas por cobrar con base en el concepto previo emitido por la Dirección General de Regulación Económica de la Seguridad Social del MHCP, a partir de la información que reciba del agente interventor de Electricaribe S.A. E.S.P., en cuanto al pasivo pensional y al pasivo prestacional, y de la SSPD en cuanto al pasivo asociado al Fondo Empresarial; b) los mecanismos para actualizar dichos montos hasta la fecha efectiva de la asunción del pasivo previsto en esta Subsección.</w:t>
      </w:r>
    </w:p>
    <w:p w14:paraId="78978AE2" w14:textId="77777777" w:rsidR="00AA4AE3" w:rsidRPr="006969B3" w:rsidRDefault="00AA4AE3" w:rsidP="00F65283">
      <w:pPr>
        <w:pStyle w:val="NormalWeb"/>
        <w:spacing w:before="0" w:beforeAutospacing="0" w:after="0" w:afterAutospacing="0"/>
        <w:jc w:val="both"/>
        <w:rPr>
          <w:rFonts w:ascii="Arial" w:hAnsi="Arial" w:cs="Arial"/>
          <w:sz w:val="22"/>
          <w:szCs w:val="22"/>
          <w:lang w:val="es-CO"/>
        </w:rPr>
      </w:pPr>
    </w:p>
    <w:p w14:paraId="29F9A5F3" w14:textId="5D94D677"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Gobierno nacional reglamentará los términos y condiciones de la asunción de pasivos y aquellos aspectos conexos de la vinculación de capital privado, público o mixto, a través de uno o varios oferentes, a la solución estructural de la prestación del servicio público de energía eléctrica en la Costa Caribe en el marco de esta Subsección. La eventual insuficiencia de las fuentes de pago de las deudas de Electrificadora del Caribe S.A. E.S.P. con la Nación o el Fondo Empresarial, se entenderán como gastos necesarios para asegurar la prestación eficiente del servicio público de distribución y comercialización de electricidad en la Costa Caribe del país. En consecuencia, dicha gestión no se enmarcará en lo dispuesto por el artículo </w:t>
      </w:r>
      <w:r w:rsidRPr="000A2938">
        <w:rPr>
          <w:rFonts w:ascii="Arial" w:hAnsi="Arial" w:cs="Arial"/>
          <w:sz w:val="22"/>
          <w:szCs w:val="22"/>
          <w:lang w:val="es-CO"/>
        </w:rPr>
        <w:t>6o</w:t>
      </w:r>
      <w:r w:rsidRPr="006969B3">
        <w:rPr>
          <w:rFonts w:ascii="Arial" w:hAnsi="Arial" w:cs="Arial"/>
          <w:sz w:val="22"/>
          <w:szCs w:val="22"/>
          <w:lang w:val="es-CO"/>
        </w:rPr>
        <w:t> de la Ley 610 de 2000 para servidores y contratistas del Estado o las normas que la modifiquen, por cuanto obedecen al cumplimiento de los cometidos y de los fines esenciales del Estado. Lo anterior sin perjuicio de las reclamaciones que pueda instaurar la nación y otras entidades públicas para el cobro de las indemnizaciones que correspondan contra Electrificadora del Caribe S.A.E.S.P. y/o a los causantes de la necesidad de la toma de posesión.</w:t>
      </w:r>
    </w:p>
    <w:p w14:paraId="742496C6" w14:textId="77777777" w:rsidR="00AA4AE3" w:rsidRPr="006969B3" w:rsidRDefault="00AA4AE3" w:rsidP="00F65283">
      <w:pPr>
        <w:pStyle w:val="NormalWeb"/>
        <w:spacing w:before="0" w:beforeAutospacing="0" w:after="0" w:afterAutospacing="0"/>
        <w:jc w:val="both"/>
        <w:rPr>
          <w:rFonts w:ascii="Arial" w:hAnsi="Arial" w:cs="Arial"/>
          <w:sz w:val="22"/>
          <w:szCs w:val="22"/>
          <w:lang w:val="es-CO"/>
        </w:rPr>
      </w:pPr>
    </w:p>
    <w:p w14:paraId="6960272D" w14:textId="68B7F450"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Los documentos relacionados con la asunción de la deuda y el desarrollo del objeto de esta ley inciden en la estabilidad macroeconómica y financiera del país y se considerarán estudios técnicos de valoración de los activos de la Nación. En caso de que la asunción de los pasivos de los que trata el artículo </w:t>
      </w:r>
      <w:proofErr w:type="gramStart"/>
      <w:r w:rsidRPr="006969B3">
        <w:rPr>
          <w:rFonts w:ascii="Arial" w:hAnsi="Arial" w:cs="Arial"/>
          <w:sz w:val="22"/>
          <w:szCs w:val="22"/>
          <w:lang w:val="es-CO"/>
        </w:rPr>
        <w:t>anterior,</w:t>
      </w:r>
      <w:proofErr w:type="gramEnd"/>
      <w:r w:rsidRPr="006969B3">
        <w:rPr>
          <w:rFonts w:ascii="Arial" w:hAnsi="Arial" w:cs="Arial"/>
          <w:sz w:val="22"/>
          <w:szCs w:val="22"/>
          <w:lang w:val="es-CO"/>
        </w:rPr>
        <w:t xml:space="preserve"> se dé en virtud de un proceso de vinculación de capital privado, público o mixto, el Consejo de Ministros o una comisión conformada por dicho órgano, podrá determinar un valor de referencia a partir del cual se habilita la asunción de pasivos para el caso en que ello esté ligado a un proceso de vinculación de capital, que estará sujeto a reserva. El Gobierno nacional podrá decidir que dicha reserva se levante en cualquier momento del curso del proceso de vinculación de capital, o en un momento posterior.</w:t>
      </w:r>
    </w:p>
    <w:p w14:paraId="68E076B8" w14:textId="77777777" w:rsidR="00AA4AE3" w:rsidRPr="006969B3" w:rsidRDefault="00AA4AE3" w:rsidP="00F65283">
      <w:pPr>
        <w:pStyle w:val="NormalWeb"/>
        <w:spacing w:before="0" w:beforeAutospacing="0" w:after="0" w:afterAutospacing="0"/>
        <w:jc w:val="both"/>
        <w:rPr>
          <w:rFonts w:ascii="Arial" w:hAnsi="Arial" w:cs="Arial"/>
          <w:sz w:val="22"/>
          <w:szCs w:val="22"/>
          <w:lang w:val="es-CO"/>
        </w:rPr>
      </w:pPr>
    </w:p>
    <w:p w14:paraId="28CBE9A0" w14:textId="3AB9117B"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 cuenta por cobrar que corresponda al pasivo pensional y al pasivo prestacional tendrá prelación sobre la parte de la cuenta por cobrar que corresponda al pasivo asociado al Fondo Empresarial. Por tratarse de medidas de salvamiento, estas cuentas por cobrar tendrán prelación en su pago sobre todos los pasivos a cargo de Electrificadora del Caribe S.A. E.S.P.</w:t>
      </w:r>
    </w:p>
    <w:p w14:paraId="16355F57" w14:textId="77777777" w:rsidR="00AA4AE3" w:rsidRPr="006969B3" w:rsidRDefault="00AA4AE3" w:rsidP="00F65283">
      <w:pPr>
        <w:pStyle w:val="NormalWeb"/>
        <w:spacing w:before="0" w:beforeAutospacing="0" w:after="0" w:afterAutospacing="0"/>
        <w:jc w:val="both"/>
        <w:rPr>
          <w:rStyle w:val="baj"/>
          <w:rFonts w:ascii="Arial" w:hAnsi="Arial" w:cs="Arial"/>
          <w:sz w:val="22"/>
          <w:szCs w:val="22"/>
          <w:lang w:val="es-CO"/>
        </w:rPr>
      </w:pPr>
    </w:p>
    <w:p w14:paraId="31CE77C4" w14:textId="06376549"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Sin perjuicio de las cuentas por cobrar y las acciones indemnizatorias a las que haya lugar, una vez asumidos los pasivos, para viabilizar la sostenibilidad de las nuevas empresas prestadoras de servicios públicos, la Nación-MHCP, o quien esta determine, será el único deudor frente a los acreedores de las deudas asumidas, sin que se predique solidaridad.</w:t>
      </w:r>
    </w:p>
    <w:p w14:paraId="7CAAA0FF" w14:textId="77777777" w:rsidR="00AA4AE3" w:rsidRPr="006969B3" w:rsidRDefault="00AA4AE3" w:rsidP="00F65283">
      <w:pPr>
        <w:pStyle w:val="NormalWeb"/>
        <w:spacing w:before="0" w:beforeAutospacing="0" w:after="0" w:afterAutospacing="0"/>
        <w:jc w:val="both"/>
        <w:rPr>
          <w:rStyle w:val="baj"/>
          <w:rFonts w:ascii="Arial" w:hAnsi="Arial" w:cs="Arial"/>
          <w:sz w:val="22"/>
          <w:szCs w:val="22"/>
          <w:lang w:val="es-CO"/>
        </w:rPr>
      </w:pPr>
    </w:p>
    <w:p w14:paraId="58D56F78" w14:textId="18973A77"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El reconocimiento y pago de los derechos pensionales y prestacionales que sea asumido directa o indirectamente por la Nación de conformidad con esta ley, seguirán rigiéndose por las normas vigentes sobre la materia. En todo caso para garantizar el derecho fundamental a la seguridad social y la sostenibilidad del Fondo Empresarial, la Nación-MHCP será el garante subsidiario de dichos pasivos.</w:t>
      </w:r>
    </w:p>
    <w:p w14:paraId="0F22438F" w14:textId="6DBA3E1B" w:rsidR="003E6B56" w:rsidRPr="006969B3" w:rsidRDefault="003E6B56" w:rsidP="00F65283">
      <w:pPr>
        <w:spacing w:after="0" w:line="240" w:lineRule="auto"/>
        <w:rPr>
          <w:rFonts w:ascii="Arial" w:hAnsi="Arial" w:cs="Arial"/>
          <w:lang w:val="es-CO"/>
        </w:rPr>
      </w:pPr>
    </w:p>
    <w:p w14:paraId="30868D2E" w14:textId="33F01728" w:rsidR="003E6B56" w:rsidRPr="006969B3" w:rsidRDefault="003E6B56" w:rsidP="00F65283">
      <w:pPr>
        <w:pStyle w:val="NormalWeb"/>
        <w:spacing w:before="0" w:beforeAutospacing="0" w:after="0" w:afterAutospacing="0"/>
        <w:jc w:val="both"/>
        <w:rPr>
          <w:rFonts w:ascii="Arial" w:hAnsi="Arial" w:cs="Arial"/>
          <w:sz w:val="22"/>
          <w:szCs w:val="22"/>
          <w:lang w:val="es-CO"/>
        </w:rPr>
      </w:pPr>
      <w:bookmarkStart w:id="337" w:name="317"/>
      <w:r w:rsidRPr="006969B3">
        <w:rPr>
          <w:rFonts w:ascii="Arial" w:hAnsi="Arial" w:cs="Arial"/>
          <w:sz w:val="22"/>
          <w:szCs w:val="22"/>
          <w:lang w:val="es-CO"/>
        </w:rPr>
        <w:t>ARTÍCULO 317. PRESERVACIÓN DEL SERVICIO.</w:t>
      </w:r>
      <w:bookmarkEnd w:id="337"/>
      <w:r w:rsidRPr="006969B3">
        <w:rPr>
          <w:rFonts w:ascii="Arial" w:hAnsi="Arial" w:cs="Arial"/>
          <w:sz w:val="22"/>
          <w:szCs w:val="22"/>
          <w:lang w:val="es-CO"/>
        </w:rPr>
        <w:t> Para la preservación del servicio son aplicables al desarrollo de esta Subsección, los artículos </w:t>
      </w:r>
      <w:r w:rsidRPr="000A2938">
        <w:rPr>
          <w:rFonts w:ascii="Arial" w:hAnsi="Arial" w:cs="Arial"/>
          <w:sz w:val="22"/>
          <w:szCs w:val="22"/>
          <w:lang w:val="es-CO"/>
        </w:rPr>
        <w:t>38</w:t>
      </w:r>
      <w:r w:rsidRPr="006969B3">
        <w:rPr>
          <w:rFonts w:ascii="Arial" w:hAnsi="Arial" w:cs="Arial"/>
          <w:sz w:val="22"/>
          <w:szCs w:val="22"/>
          <w:lang w:val="es-CO"/>
        </w:rPr>
        <w:t> y </w:t>
      </w:r>
      <w:r w:rsidRPr="000A2938">
        <w:rPr>
          <w:rFonts w:ascii="Arial" w:hAnsi="Arial" w:cs="Arial"/>
          <w:sz w:val="22"/>
          <w:szCs w:val="22"/>
          <w:lang w:val="es-CO"/>
        </w:rPr>
        <w:t>61</w:t>
      </w:r>
      <w:r w:rsidRPr="006969B3">
        <w:rPr>
          <w:rFonts w:ascii="Arial" w:hAnsi="Arial" w:cs="Arial"/>
          <w:sz w:val="22"/>
          <w:szCs w:val="22"/>
          <w:lang w:val="es-CO"/>
        </w:rPr>
        <w:t> de la Ley 142 de 1994. En consecuencia, los actos jurídicos mediante los cuales se implemente el objeto de esta subsección no se afectarán como consecuencia de la ineficacia que pueda declararse respecto de los demás actos relacionados con la toma de posesión o liquidación de Electrificadora del Caribe S.A. E.S.P. Esto incluye los actos necesarios para asegurar la continuidad en la prestación del servicio público domiciliario, en razón a la situación de la empresa al momento de la intervención incluyendo una eventual capitalización de Electrificadora del Caribe S.A. E.S.P. (o las sociedades creadas en el marco de la toma de posesión), la cual se autoriza mediante lo aquí dispuesto, el pago por parte de uno o varios particulares a Electrificadora del Caribe S.A.E.S.P, o cualquier solución empresarial que se adopte para garantizar la prestación del servicio de energía eléctrica en el corto, mediano y largo plazo.</w:t>
      </w:r>
    </w:p>
    <w:p w14:paraId="229EB9E9" w14:textId="77777777" w:rsidR="00AA4AE3" w:rsidRPr="006969B3" w:rsidRDefault="00AA4AE3" w:rsidP="00F65283">
      <w:pPr>
        <w:pStyle w:val="NormalWeb"/>
        <w:spacing w:before="0" w:beforeAutospacing="0" w:after="0" w:afterAutospacing="0"/>
        <w:jc w:val="both"/>
        <w:rPr>
          <w:rFonts w:ascii="Arial" w:hAnsi="Arial" w:cs="Arial"/>
          <w:sz w:val="22"/>
          <w:szCs w:val="22"/>
          <w:lang w:val="es-CO"/>
        </w:rPr>
      </w:pPr>
    </w:p>
    <w:p w14:paraId="34E2FB72" w14:textId="512564F4"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Para efectos del proceso de vinculación de capital que se efectúe en desarrollo de esta Subsección, no causarán tasa, contribución o impuestos de cualquier orden, los siguientes actos: a) Las actuaciones llevadas a cabo por entidades públicas o por particulares, o los efectos percibidos por las mismas, en desarrollo de lo previsto en los artículos anteriores de esta Subsección, excluyendo las actividades para la operación de Electricaribe S.A. E.S.P. o la operación de las sociedades que se creen para la prestación del servicio público de electricidad en la Costa Caribe; b) La constitución y la realización de aportes a las sociedades que se lleguen a constituir como parte del proceso de adopción de medidas para asegurar la prestación eficiente del servicio público de distribución y comercialización de electricidad en la Costa Caribe; y c) La enajenación de acciones de los vehículos jurídicos que se desarrollen o constituyan en el marco del proceso de adopción de medidas para asegurar la prestación eficiente del servicio público de distribución y comercialización de electricidad en la Costa Caribe para la vinculación de un Inversionista.</w:t>
      </w:r>
    </w:p>
    <w:p w14:paraId="7516AF1D" w14:textId="77777777" w:rsidR="00AA4AE3" w:rsidRPr="006969B3" w:rsidRDefault="00AA4AE3" w:rsidP="00F65283">
      <w:pPr>
        <w:pStyle w:val="NormalWeb"/>
        <w:spacing w:before="0" w:beforeAutospacing="0" w:after="0" w:afterAutospacing="0"/>
        <w:jc w:val="both"/>
        <w:rPr>
          <w:rFonts w:ascii="Arial" w:hAnsi="Arial" w:cs="Arial"/>
          <w:sz w:val="22"/>
          <w:szCs w:val="22"/>
          <w:lang w:val="es-CO"/>
        </w:rPr>
      </w:pPr>
    </w:p>
    <w:p w14:paraId="02D5272C" w14:textId="3E4EEE3F"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Electrificadora del Caribe S.A. E.S.P. podrá realizar, mediante documento privado, un listado individualizado de los bienes inmuebles que considere transferir a terceros, incluyendo los vehículos que se constituyan en el marco del proceso de toma de posesión de Electrificadora del Caribe S.A. E.S.P. Dicho listado será el título suficiente para llevar a cabo la tradición de los Inmuebles, la cual se perfeccionará con la inscripción de dicho listado en las respectivas oficinas de instrumentos públicos.</w:t>
      </w:r>
    </w:p>
    <w:p w14:paraId="5B50FD59" w14:textId="77777777" w:rsidR="00AA4AE3" w:rsidRPr="006969B3" w:rsidRDefault="00AA4AE3" w:rsidP="00F65283">
      <w:pPr>
        <w:pStyle w:val="NormalWeb"/>
        <w:spacing w:before="0" w:beforeAutospacing="0" w:after="0" w:afterAutospacing="0"/>
        <w:jc w:val="both"/>
        <w:rPr>
          <w:rFonts w:ascii="Arial" w:hAnsi="Arial" w:cs="Arial"/>
          <w:sz w:val="22"/>
          <w:szCs w:val="22"/>
          <w:lang w:val="es-CO"/>
        </w:rPr>
      </w:pPr>
    </w:p>
    <w:p w14:paraId="464C85E5" w14:textId="76CE16E3"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registro de cualquiera de estos actos no causará el Impuesto de registro.</w:t>
      </w:r>
    </w:p>
    <w:p w14:paraId="167585E7" w14:textId="77777777" w:rsidR="00AA4AE3" w:rsidRPr="006969B3" w:rsidRDefault="00AA4AE3" w:rsidP="00F65283">
      <w:pPr>
        <w:pStyle w:val="NormalWeb"/>
        <w:spacing w:before="0" w:beforeAutospacing="0" w:after="0" w:afterAutospacing="0"/>
        <w:jc w:val="both"/>
        <w:rPr>
          <w:rStyle w:val="baj"/>
          <w:rFonts w:ascii="Arial" w:hAnsi="Arial" w:cs="Arial"/>
          <w:sz w:val="22"/>
          <w:szCs w:val="22"/>
          <w:lang w:val="es-CO"/>
        </w:rPr>
      </w:pPr>
    </w:p>
    <w:p w14:paraId="00B983E8" w14:textId="03D823CB"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lastRenderedPageBreak/>
        <w:t>PARÁGRAFO 1o.</w:t>
      </w:r>
      <w:r w:rsidRPr="006969B3">
        <w:rPr>
          <w:rFonts w:ascii="Arial" w:hAnsi="Arial" w:cs="Arial"/>
          <w:sz w:val="22"/>
          <w:szCs w:val="22"/>
          <w:lang w:val="es-CO"/>
        </w:rPr>
        <w:t> Cualquier transferencia de activos que Electrificadora del Caribe S.A. E.S.P. lleve a cabo a favor de cualquier vehículo jurídico que se desarrolle o constituya en el marco del proceso de toma de posesión de esta sociedad, no estará sujeta a las normas sobre la transferencia de establecimientos de comercio establecidas en los artículos </w:t>
      </w:r>
      <w:r w:rsidRPr="000A2938">
        <w:rPr>
          <w:rFonts w:ascii="Arial" w:hAnsi="Arial" w:cs="Arial"/>
          <w:sz w:val="22"/>
          <w:szCs w:val="22"/>
          <w:lang w:val="es-CO"/>
        </w:rPr>
        <w:t>525</w:t>
      </w:r>
      <w:r w:rsidRPr="006969B3">
        <w:rPr>
          <w:rFonts w:ascii="Arial" w:hAnsi="Arial" w:cs="Arial"/>
          <w:sz w:val="22"/>
          <w:szCs w:val="22"/>
          <w:lang w:val="es-CO"/>
        </w:rPr>
        <w:t> y siguientes del Código de Comercio.</w:t>
      </w:r>
    </w:p>
    <w:p w14:paraId="21CE8E1B" w14:textId="77777777" w:rsidR="00AA4AE3" w:rsidRPr="006969B3" w:rsidRDefault="00AA4AE3" w:rsidP="00F65283">
      <w:pPr>
        <w:pStyle w:val="NormalWeb"/>
        <w:spacing w:before="0" w:beforeAutospacing="0" w:after="0" w:afterAutospacing="0"/>
        <w:jc w:val="both"/>
        <w:rPr>
          <w:rStyle w:val="baj"/>
          <w:rFonts w:ascii="Arial" w:hAnsi="Arial" w:cs="Arial"/>
          <w:sz w:val="22"/>
          <w:szCs w:val="22"/>
          <w:lang w:val="es-CO"/>
        </w:rPr>
      </w:pPr>
    </w:p>
    <w:p w14:paraId="6805FA00" w14:textId="359EA28B"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Las disposiciones tributarias a las que se refiere este artículo, no se aplicarán a las actividades propias de la operación y la prestación del servicio público de energía por parte de Electricaribe S.A. E.S.P. o de las sociedades que se creen para la prestación del servicio público de electricidad en la Costa Caribe.</w:t>
      </w:r>
    </w:p>
    <w:p w14:paraId="6CFCEFFA" w14:textId="77777777" w:rsidR="00AA4AE3" w:rsidRPr="006969B3" w:rsidRDefault="00AA4AE3" w:rsidP="00F65283">
      <w:pPr>
        <w:pStyle w:val="NormalWeb"/>
        <w:spacing w:before="0" w:beforeAutospacing="0" w:after="0" w:afterAutospacing="0"/>
        <w:jc w:val="both"/>
        <w:rPr>
          <w:rStyle w:val="baj"/>
          <w:rFonts w:ascii="Arial" w:hAnsi="Arial" w:cs="Arial"/>
          <w:sz w:val="22"/>
          <w:szCs w:val="22"/>
          <w:lang w:val="es-CO"/>
        </w:rPr>
      </w:pPr>
    </w:p>
    <w:p w14:paraId="4854BDF9" w14:textId="0C2E72F6"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3o.</w:t>
      </w:r>
      <w:r w:rsidRPr="006969B3">
        <w:rPr>
          <w:rFonts w:ascii="Arial" w:hAnsi="Arial" w:cs="Arial"/>
          <w:sz w:val="22"/>
          <w:szCs w:val="22"/>
          <w:lang w:val="es-CO"/>
        </w:rPr>
        <w:t> Las Comisiones Cuartas Permanentes Constitucionales de Cámara y Senado designarán a dos representantes de cada una de esas Comisiones para adelantar el seguimiento y la implementación de lo señalado en el presente artículo.</w:t>
      </w:r>
    </w:p>
    <w:p w14:paraId="7608D4F1" w14:textId="1EB233DE" w:rsidR="003E6B56" w:rsidRPr="006969B3" w:rsidRDefault="003E6B56" w:rsidP="00F65283">
      <w:pPr>
        <w:spacing w:after="0" w:line="240" w:lineRule="auto"/>
        <w:rPr>
          <w:rFonts w:ascii="Arial" w:hAnsi="Arial" w:cs="Arial"/>
          <w:lang w:val="es-CO"/>
        </w:rPr>
      </w:pPr>
    </w:p>
    <w:p w14:paraId="4BDE1970" w14:textId="77777777" w:rsidR="003E6B56" w:rsidRPr="006969B3" w:rsidRDefault="003E6B56" w:rsidP="00F65283">
      <w:pPr>
        <w:pStyle w:val="NormalWeb"/>
        <w:spacing w:before="0" w:beforeAutospacing="0" w:after="0" w:afterAutospacing="0"/>
        <w:jc w:val="both"/>
        <w:rPr>
          <w:rFonts w:ascii="Arial" w:hAnsi="Arial" w:cs="Arial"/>
          <w:sz w:val="22"/>
          <w:szCs w:val="22"/>
          <w:lang w:val="es-CO"/>
        </w:rPr>
      </w:pPr>
      <w:bookmarkStart w:id="338" w:name="318"/>
      <w:r w:rsidRPr="006969B3">
        <w:rPr>
          <w:rFonts w:ascii="Arial" w:hAnsi="Arial" w:cs="Arial"/>
          <w:sz w:val="22"/>
          <w:szCs w:val="22"/>
          <w:lang w:val="es-CO"/>
        </w:rPr>
        <w:t>ARTÍCULO 318. RÉGIMEN TRANSITORIO ESPECIAL PARA ASEGURAR LA SOSTENIBILIDAD DE LA PRESTACIÓN EFICIENTE DEL SERVICIO.</w:t>
      </w:r>
      <w:bookmarkEnd w:id="338"/>
      <w:r w:rsidRPr="006969B3">
        <w:rPr>
          <w:rFonts w:ascii="Arial" w:hAnsi="Arial" w:cs="Arial"/>
          <w:sz w:val="22"/>
          <w:szCs w:val="22"/>
          <w:lang w:val="es-CO"/>
        </w:rPr>
        <w:t> Con el fin de asegurar la prestación eficiente y sostenible del servicio público domiciliario de energía eléctrica en la Costa Caribe, teniendo en cuenta el estado de Electricaribe S.A. E.S.P. al momento de su Intervención, autorícese al Gobierno nacional para establecer un régimen transitorio especial en materia tarifaria para las actividades de distribución y comercialización del actual mercado de Electrificadora del Caribe S.A. E.S.P. o las empresas derivadas de Electrificadora del Caribe S.A. E.S.P. que se constituyan en el marco del proceso de toma de posesión de esta sociedad para las regiones en las se preste el servicio público. Para estos efectos, los límites en la participación de la actividad de comercialización de energía eléctrica podrán ser superiores hasta en diez puntos porcentuales adicionales al límite regulatorio corriente.</w:t>
      </w:r>
    </w:p>
    <w:p w14:paraId="1CE8544A" w14:textId="77777777" w:rsidR="00AA4AE3" w:rsidRPr="006969B3" w:rsidRDefault="00AA4AE3" w:rsidP="00F65283">
      <w:pPr>
        <w:pStyle w:val="NormalWeb"/>
        <w:spacing w:before="0" w:beforeAutospacing="0" w:after="0" w:afterAutospacing="0"/>
        <w:jc w:val="both"/>
        <w:rPr>
          <w:rFonts w:ascii="Arial" w:hAnsi="Arial" w:cs="Arial"/>
          <w:sz w:val="22"/>
          <w:szCs w:val="22"/>
          <w:lang w:val="es-CO"/>
        </w:rPr>
      </w:pPr>
    </w:p>
    <w:p w14:paraId="2282A924" w14:textId="16ECFE66"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Este régimen regulatorio especial deberá establecer que la variación en las tarifas para esta región sea al menos igual a la variación porcentual de tarifas del promedio nacional, en la medida en que refleje, como mínimo, las inversiones realizadas, el cumplimiento de las metas de calidad y de reducción de pérdidas. El Gobierno nacional definirá el plazo máximo de aplicación del este régimen transitorio especial.</w:t>
      </w:r>
    </w:p>
    <w:p w14:paraId="0839091A" w14:textId="77777777" w:rsidR="000537C1" w:rsidRDefault="000537C1" w:rsidP="00F65283">
      <w:pPr>
        <w:pStyle w:val="NormalWeb"/>
        <w:spacing w:before="0" w:beforeAutospacing="0" w:after="0" w:afterAutospacing="0"/>
        <w:jc w:val="both"/>
        <w:rPr>
          <w:rStyle w:val="baj"/>
          <w:rFonts w:ascii="Arial" w:hAnsi="Arial" w:cs="Arial"/>
          <w:sz w:val="22"/>
          <w:szCs w:val="22"/>
          <w:lang w:val="es-CO"/>
        </w:rPr>
      </w:pPr>
    </w:p>
    <w:p w14:paraId="099FA08D" w14:textId="75B051A4"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Con recursos provenientes del sistema general de regalías se podrán financiar inversiones en infraestructura eléctrica, como aportes que no incidirán en la tarifa.</w:t>
      </w:r>
    </w:p>
    <w:p w14:paraId="63F739BE" w14:textId="77777777" w:rsidR="00AA4AE3" w:rsidRPr="006969B3" w:rsidRDefault="00AA4AE3" w:rsidP="00F65283">
      <w:pPr>
        <w:pStyle w:val="NormalWeb"/>
        <w:spacing w:before="0" w:beforeAutospacing="0" w:after="0" w:afterAutospacing="0"/>
        <w:jc w:val="both"/>
        <w:rPr>
          <w:rStyle w:val="baj"/>
          <w:rFonts w:ascii="Arial" w:hAnsi="Arial" w:cs="Arial"/>
          <w:sz w:val="22"/>
          <w:szCs w:val="22"/>
          <w:lang w:val="es-CO"/>
        </w:rPr>
      </w:pPr>
    </w:p>
    <w:p w14:paraId="4BDEE5DD" w14:textId="1E6F0850"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Las entidades estatales que sean deudoras de Electricaribe S.A. E.S.P. deberán tomar las medidas necesarias para cumplir con las obligaciones que se derivan del servicio público de energía. El incumplimiento por parte de cualquier entidad estatal de sus deberes como usuarios de servicios públicos, especialmente en lo relativo a la incorporación en los respectivos presupuestos de apropiaciones suficientes y al pago efectivo de los servicios utilizados, es causal de mala conducta para sus representantes legales y los funcionarios responsables, sancionable con destitución.</w:t>
      </w:r>
    </w:p>
    <w:p w14:paraId="249EBA2F" w14:textId="77777777" w:rsidR="00AA4AE3" w:rsidRPr="006969B3" w:rsidRDefault="00AA4AE3" w:rsidP="00F65283">
      <w:pPr>
        <w:pStyle w:val="NormalWeb"/>
        <w:spacing w:before="0" w:beforeAutospacing="0" w:after="0" w:afterAutospacing="0"/>
        <w:jc w:val="both"/>
        <w:rPr>
          <w:rFonts w:ascii="Arial" w:hAnsi="Arial" w:cs="Arial"/>
          <w:sz w:val="22"/>
          <w:szCs w:val="22"/>
          <w:lang w:val="es-CO"/>
        </w:rPr>
      </w:pPr>
    </w:p>
    <w:p w14:paraId="4125224E" w14:textId="60D1F0B4" w:rsidR="003E6B56" w:rsidRPr="006969B3" w:rsidRDefault="003E6B56" w:rsidP="00F65283">
      <w:pPr>
        <w:pStyle w:val="centrado"/>
        <w:spacing w:before="0" w:beforeAutospacing="0" w:after="0" w:afterAutospacing="0"/>
        <w:jc w:val="center"/>
        <w:rPr>
          <w:rFonts w:ascii="Arial" w:hAnsi="Arial" w:cs="Arial"/>
          <w:b/>
          <w:bCs/>
          <w:sz w:val="22"/>
          <w:szCs w:val="22"/>
          <w:lang w:val="es-CO"/>
        </w:rPr>
      </w:pPr>
      <w:bookmarkStart w:id="339" w:name="SUBSECCIÓN_8-III-II-II"/>
      <w:r w:rsidRPr="006969B3">
        <w:rPr>
          <w:rFonts w:ascii="Arial" w:hAnsi="Arial" w:cs="Arial"/>
          <w:b/>
          <w:bCs/>
          <w:sz w:val="22"/>
          <w:szCs w:val="22"/>
          <w:lang w:val="es-CO"/>
        </w:rPr>
        <w:t>SUBSECCIÓN 8.</w:t>
      </w:r>
      <w:bookmarkEnd w:id="339"/>
    </w:p>
    <w:p w14:paraId="710C1AAE" w14:textId="77777777" w:rsidR="00274B87" w:rsidRPr="006969B3" w:rsidRDefault="00274B87" w:rsidP="00F65283">
      <w:pPr>
        <w:pStyle w:val="centrado"/>
        <w:spacing w:before="0" w:beforeAutospacing="0" w:after="0" w:afterAutospacing="0"/>
        <w:jc w:val="center"/>
        <w:rPr>
          <w:rFonts w:ascii="Arial" w:hAnsi="Arial" w:cs="Arial"/>
          <w:b/>
          <w:bCs/>
          <w:sz w:val="22"/>
          <w:szCs w:val="22"/>
          <w:lang w:val="es-CO"/>
        </w:rPr>
      </w:pPr>
    </w:p>
    <w:p w14:paraId="48A1EE11" w14:textId="77777777" w:rsidR="003E6B56" w:rsidRPr="006969B3" w:rsidRDefault="003E6B56" w:rsidP="00F65283">
      <w:pPr>
        <w:pStyle w:val="centrado"/>
        <w:spacing w:before="0" w:beforeAutospacing="0" w:after="0" w:afterAutospacing="0"/>
        <w:jc w:val="center"/>
        <w:rPr>
          <w:rFonts w:ascii="Arial" w:hAnsi="Arial" w:cs="Arial"/>
          <w:sz w:val="22"/>
          <w:szCs w:val="22"/>
          <w:lang w:val="es-CO"/>
        </w:rPr>
      </w:pPr>
      <w:r w:rsidRPr="006969B3">
        <w:rPr>
          <w:rStyle w:val="baj"/>
          <w:rFonts w:ascii="Arial" w:hAnsi="Arial" w:cs="Arial"/>
          <w:b/>
          <w:bCs/>
          <w:sz w:val="22"/>
          <w:szCs w:val="22"/>
          <w:lang w:val="es-CO"/>
        </w:rPr>
        <w:t>EQUIDAD EN MATERIA AMBIENTAL</w:t>
      </w:r>
      <w:r w:rsidRPr="006969B3">
        <w:rPr>
          <w:rStyle w:val="baj"/>
          <w:rFonts w:ascii="Arial" w:hAnsi="Arial" w:cs="Arial"/>
          <w:sz w:val="22"/>
          <w:szCs w:val="22"/>
          <w:lang w:val="es-CO"/>
        </w:rPr>
        <w:t>.</w:t>
      </w:r>
    </w:p>
    <w:p w14:paraId="0736D2F4" w14:textId="7603F3C3" w:rsidR="003E6B56" w:rsidRPr="006969B3" w:rsidRDefault="003E6B56" w:rsidP="00F65283">
      <w:pPr>
        <w:spacing w:after="0" w:line="240" w:lineRule="auto"/>
        <w:rPr>
          <w:rFonts w:ascii="Arial" w:hAnsi="Arial" w:cs="Arial"/>
          <w:lang w:val="es-CO"/>
        </w:rPr>
      </w:pPr>
    </w:p>
    <w:p w14:paraId="5D4786C6" w14:textId="385B0C36" w:rsidR="003E6B56" w:rsidRPr="006969B3" w:rsidRDefault="003E6B56" w:rsidP="00F65283">
      <w:pPr>
        <w:pStyle w:val="NormalWeb"/>
        <w:spacing w:before="0" w:beforeAutospacing="0" w:after="0" w:afterAutospacing="0"/>
        <w:jc w:val="both"/>
        <w:rPr>
          <w:rFonts w:ascii="Arial" w:hAnsi="Arial" w:cs="Arial"/>
          <w:sz w:val="22"/>
          <w:szCs w:val="22"/>
          <w:lang w:val="es-CO"/>
        </w:rPr>
      </w:pPr>
      <w:bookmarkStart w:id="340" w:name="319"/>
      <w:r w:rsidRPr="006969B3">
        <w:rPr>
          <w:rFonts w:ascii="Arial" w:hAnsi="Arial" w:cs="Arial"/>
          <w:sz w:val="22"/>
          <w:szCs w:val="22"/>
          <w:lang w:val="es-CO"/>
        </w:rPr>
        <w:lastRenderedPageBreak/>
        <w:t>ARTÍCULO 319. PAGO POR SERVICIOS AMBIENTALES EN TERRITORIOS INDÍGENAS.</w:t>
      </w:r>
      <w:bookmarkEnd w:id="340"/>
      <w:r w:rsidRPr="006969B3">
        <w:rPr>
          <w:rFonts w:ascii="Arial" w:hAnsi="Arial" w:cs="Arial"/>
          <w:sz w:val="22"/>
          <w:szCs w:val="22"/>
          <w:lang w:val="es-CO"/>
        </w:rPr>
        <w:t> Modifíquese el inciso segundo del artículo </w:t>
      </w:r>
      <w:r w:rsidRPr="000A2938">
        <w:rPr>
          <w:rFonts w:ascii="Arial" w:hAnsi="Arial" w:cs="Arial"/>
          <w:sz w:val="22"/>
          <w:szCs w:val="22"/>
          <w:lang w:val="es-CO"/>
        </w:rPr>
        <w:t>3o</w:t>
      </w:r>
      <w:r w:rsidRPr="006969B3">
        <w:rPr>
          <w:rFonts w:ascii="Arial" w:hAnsi="Arial" w:cs="Arial"/>
          <w:sz w:val="22"/>
          <w:szCs w:val="22"/>
          <w:lang w:val="es-CO"/>
        </w:rPr>
        <w:t> del Decreto-ley 870 de 2017 y adiciónense dos parágrafos, así:</w:t>
      </w:r>
    </w:p>
    <w:p w14:paraId="4BE8B1AF" w14:textId="77777777" w:rsidR="00AA4AE3" w:rsidRPr="006969B3" w:rsidRDefault="00AA4AE3" w:rsidP="00F65283">
      <w:pPr>
        <w:pStyle w:val="NormalWeb"/>
        <w:spacing w:before="0" w:beforeAutospacing="0" w:after="0" w:afterAutospacing="0"/>
        <w:jc w:val="both"/>
        <w:rPr>
          <w:rFonts w:ascii="Arial" w:hAnsi="Arial" w:cs="Arial"/>
          <w:sz w:val="22"/>
          <w:szCs w:val="22"/>
          <w:lang w:val="es-CO"/>
        </w:rPr>
      </w:pPr>
    </w:p>
    <w:p w14:paraId="1C0A333F" w14:textId="3B8DD9C8"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Gobierno nacional y las organizaciones indígenas que asisten a la Mesa Permanente de Concertación (MPC) construirán de manera conjunta la propuesta de reglamentación de Pago por Servicios Ambientales (PSA) y otros incentivos de conservación para los pueblos y comunidades indígenas, y radicarán esta propuesta ante la MPC una vez entre en vigencia la Ley del Plan Nacional de Desarrollo (PND), para incluir su respectivo proceso de consulta previa con los pueblos y organizaciones indígenas.</w:t>
      </w:r>
    </w:p>
    <w:p w14:paraId="3B5213B8" w14:textId="77777777" w:rsidR="00AA4AE3" w:rsidRPr="006969B3" w:rsidRDefault="00AA4AE3" w:rsidP="00F65283">
      <w:pPr>
        <w:pStyle w:val="NormalWeb"/>
        <w:spacing w:before="0" w:beforeAutospacing="0" w:after="0" w:afterAutospacing="0"/>
        <w:jc w:val="both"/>
        <w:rPr>
          <w:rStyle w:val="baj"/>
          <w:rFonts w:ascii="Arial" w:hAnsi="Arial" w:cs="Arial"/>
          <w:sz w:val="22"/>
          <w:szCs w:val="22"/>
          <w:lang w:val="es-CO"/>
        </w:rPr>
      </w:pPr>
    </w:p>
    <w:p w14:paraId="4E5CBF25" w14:textId="38F57339"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El presente artículo, se interpretará sin detrimento del derecho a la consulta previa sobre el PSA e incentivos a la conservación para los demás grupos étnicos del país.</w:t>
      </w:r>
    </w:p>
    <w:p w14:paraId="517B9090" w14:textId="77777777" w:rsidR="00AA4AE3" w:rsidRPr="006969B3" w:rsidRDefault="00AA4AE3" w:rsidP="00F65283">
      <w:pPr>
        <w:pStyle w:val="NormalWeb"/>
        <w:spacing w:before="0" w:beforeAutospacing="0" w:after="0" w:afterAutospacing="0"/>
        <w:jc w:val="both"/>
        <w:rPr>
          <w:rStyle w:val="baj"/>
          <w:rFonts w:ascii="Arial" w:hAnsi="Arial" w:cs="Arial"/>
          <w:sz w:val="22"/>
          <w:szCs w:val="22"/>
          <w:lang w:val="es-CO"/>
        </w:rPr>
      </w:pPr>
    </w:p>
    <w:p w14:paraId="571DBE50" w14:textId="419B0F7F"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Aplicación del incentivo de Pago por Servidos Ambientales (PSA) en territorios de Pueblos Indígenas. Para el diseño e implementación de PSA en territorios indígenas de que trata el artículo </w:t>
      </w:r>
      <w:r w:rsidRPr="000A2938">
        <w:rPr>
          <w:rFonts w:ascii="Arial" w:hAnsi="Arial" w:cs="Arial"/>
          <w:sz w:val="22"/>
          <w:szCs w:val="22"/>
          <w:lang w:val="es-CO"/>
        </w:rPr>
        <w:t>3o</w:t>
      </w:r>
      <w:r w:rsidRPr="006969B3">
        <w:rPr>
          <w:rFonts w:ascii="Arial" w:hAnsi="Arial" w:cs="Arial"/>
          <w:sz w:val="22"/>
          <w:szCs w:val="22"/>
          <w:lang w:val="es-CO"/>
        </w:rPr>
        <w:t> de Decreto-ley 870 de 2017, se aplicará con carácter transitorio lo dispuesto por el Decreto 1007 de 2018 y las normas que les modifiquen o complementen, y adicionalmente se tendrán en cuenta las siguientes consideraciones:</w:t>
      </w:r>
    </w:p>
    <w:p w14:paraId="39A3A8A8" w14:textId="77777777" w:rsidR="00AA4AE3" w:rsidRPr="006969B3" w:rsidRDefault="00AA4AE3" w:rsidP="00F65283">
      <w:pPr>
        <w:pStyle w:val="NormalWeb"/>
        <w:spacing w:before="0" w:beforeAutospacing="0" w:after="0" w:afterAutospacing="0"/>
        <w:jc w:val="both"/>
        <w:rPr>
          <w:rFonts w:ascii="Arial" w:hAnsi="Arial" w:cs="Arial"/>
          <w:sz w:val="22"/>
          <w:szCs w:val="22"/>
          <w:lang w:val="es-CO"/>
        </w:rPr>
      </w:pPr>
    </w:p>
    <w:p w14:paraId="2B1AF508" w14:textId="0C65D4DC"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 Los Proyectos de PSA en territorios indígenas serán de carácter voluntario entre las partes, reconocerán las prácticas tradicionales de producción, estarán en armonía con los instrumentos de planificación propios y garantizarán la adecuada participación, autonomía y libre autodeterminación de las comunidades indígenas.</w:t>
      </w:r>
    </w:p>
    <w:p w14:paraId="063057CE" w14:textId="77777777" w:rsidR="00AA4AE3" w:rsidRPr="006969B3" w:rsidRDefault="00AA4AE3" w:rsidP="00F65283">
      <w:pPr>
        <w:pStyle w:val="NormalWeb"/>
        <w:spacing w:before="0" w:beforeAutospacing="0" w:after="0" w:afterAutospacing="0"/>
        <w:jc w:val="both"/>
        <w:rPr>
          <w:rFonts w:ascii="Arial" w:hAnsi="Arial" w:cs="Arial"/>
          <w:sz w:val="22"/>
          <w:szCs w:val="22"/>
          <w:lang w:val="es-CO"/>
        </w:rPr>
      </w:pPr>
    </w:p>
    <w:p w14:paraId="4436F1F2" w14:textId="5689F95D"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2. Los pueblos indígenas serán beneficiarios del incentivo de manera colectiva </w:t>
      </w:r>
      <w:proofErr w:type="gramStart"/>
      <w:r w:rsidRPr="006969B3">
        <w:rPr>
          <w:rFonts w:ascii="Arial" w:hAnsi="Arial" w:cs="Arial"/>
          <w:sz w:val="22"/>
          <w:szCs w:val="22"/>
          <w:lang w:val="es-CO"/>
        </w:rPr>
        <w:t>de acuerdo a</w:t>
      </w:r>
      <w:proofErr w:type="gramEnd"/>
      <w:r w:rsidRPr="006969B3">
        <w:rPr>
          <w:rFonts w:ascii="Arial" w:hAnsi="Arial" w:cs="Arial"/>
          <w:sz w:val="22"/>
          <w:szCs w:val="22"/>
          <w:lang w:val="es-CO"/>
        </w:rPr>
        <w:t xml:space="preserve"> los procedimientos que de manera autónoma se establezcan en sus territorios.</w:t>
      </w:r>
    </w:p>
    <w:p w14:paraId="65BCD3C2" w14:textId="77777777" w:rsidR="00AA4AE3" w:rsidRPr="006969B3" w:rsidRDefault="00AA4AE3" w:rsidP="00F65283">
      <w:pPr>
        <w:pStyle w:val="NormalWeb"/>
        <w:spacing w:before="0" w:beforeAutospacing="0" w:after="0" w:afterAutospacing="0"/>
        <w:jc w:val="both"/>
        <w:rPr>
          <w:rFonts w:ascii="Arial" w:hAnsi="Arial" w:cs="Arial"/>
          <w:sz w:val="22"/>
          <w:szCs w:val="22"/>
          <w:lang w:val="es-CO"/>
        </w:rPr>
      </w:pPr>
    </w:p>
    <w:p w14:paraId="0AECBA0B" w14:textId="07A52659"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3. La concertación en el marco del PND 2018-2022 sobre el incentivo de PSA servirá de marco para el diseño e implementación de proyectos específicos de PSA en territorios indígenas.</w:t>
      </w:r>
    </w:p>
    <w:p w14:paraId="36A9E567" w14:textId="17645ED7" w:rsidR="003E6B56" w:rsidRPr="006969B3" w:rsidRDefault="003E6B56" w:rsidP="00F65283">
      <w:pPr>
        <w:spacing w:after="0" w:line="240" w:lineRule="auto"/>
        <w:rPr>
          <w:rFonts w:ascii="Arial" w:hAnsi="Arial" w:cs="Arial"/>
          <w:lang w:val="es-CO"/>
        </w:rPr>
      </w:pPr>
    </w:p>
    <w:p w14:paraId="2ED27D1B" w14:textId="65F586F2" w:rsidR="003E6B56" w:rsidRPr="006969B3" w:rsidRDefault="003E6B56" w:rsidP="00F65283">
      <w:pPr>
        <w:pStyle w:val="NormalWeb"/>
        <w:spacing w:before="0" w:beforeAutospacing="0" w:after="0" w:afterAutospacing="0"/>
        <w:jc w:val="both"/>
        <w:rPr>
          <w:rFonts w:ascii="Arial" w:hAnsi="Arial" w:cs="Arial"/>
          <w:sz w:val="22"/>
          <w:szCs w:val="22"/>
          <w:lang w:val="es-CO"/>
        </w:rPr>
      </w:pPr>
      <w:bookmarkStart w:id="341" w:name="320"/>
      <w:r w:rsidRPr="006969B3">
        <w:rPr>
          <w:rFonts w:ascii="Arial" w:hAnsi="Arial" w:cs="Arial"/>
          <w:sz w:val="22"/>
          <w:szCs w:val="22"/>
          <w:lang w:val="es-CO"/>
        </w:rPr>
        <w:t>ARTÍCULO 320. APLICACIÓN DEL INCENTIVO DE PAGO POR SERVICIOS AMBIENTALES (PSA) EN CONSEJOS COMUNITARIOS U ORGANIZACIONES DE BASE DE COMUNIDADES NEGRAS, AFROCOLOMBIANAS, RAIZALES Y PALENQUERAS.</w:t>
      </w:r>
      <w:bookmarkEnd w:id="341"/>
      <w:r w:rsidRPr="006969B3">
        <w:rPr>
          <w:rFonts w:ascii="Arial" w:hAnsi="Arial" w:cs="Arial"/>
          <w:sz w:val="22"/>
          <w:szCs w:val="22"/>
          <w:lang w:val="es-CO"/>
        </w:rPr>
        <w:t> Para el diseño e implementación de proyectos de PSA en sus territorios de que trata el artículo </w:t>
      </w:r>
      <w:r w:rsidRPr="000A2938">
        <w:rPr>
          <w:rFonts w:ascii="Arial" w:hAnsi="Arial" w:cs="Arial"/>
          <w:sz w:val="22"/>
          <w:szCs w:val="22"/>
          <w:lang w:val="es-CO"/>
        </w:rPr>
        <w:t>3o</w:t>
      </w:r>
      <w:r w:rsidRPr="006969B3">
        <w:rPr>
          <w:rFonts w:ascii="Arial" w:hAnsi="Arial" w:cs="Arial"/>
          <w:sz w:val="22"/>
          <w:szCs w:val="22"/>
          <w:lang w:val="es-CO"/>
        </w:rPr>
        <w:t> del Decreto-ley 870 de 2017, se aplicará lo establecido por el Decreto 1007 de 2018 y las normas que le modifiquen o complementen, y adicionalmente se tendrán en cuenta las siguientes consideraciones:</w:t>
      </w:r>
    </w:p>
    <w:p w14:paraId="3CFB3FB2" w14:textId="77777777" w:rsidR="00AA4AE3" w:rsidRPr="006969B3" w:rsidRDefault="00AA4AE3" w:rsidP="00F65283">
      <w:pPr>
        <w:pStyle w:val="NormalWeb"/>
        <w:spacing w:before="0" w:beforeAutospacing="0" w:after="0" w:afterAutospacing="0"/>
        <w:jc w:val="both"/>
        <w:rPr>
          <w:rFonts w:ascii="Arial" w:hAnsi="Arial" w:cs="Arial"/>
          <w:sz w:val="22"/>
          <w:szCs w:val="22"/>
          <w:lang w:val="es-CO"/>
        </w:rPr>
      </w:pPr>
    </w:p>
    <w:p w14:paraId="5C1642BC" w14:textId="6E047B4E"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1. Los proyectos de PSA en territorios de comunidades negras, afrodescendientes, raizales y palenqueras serán de carácter voluntario entre las partes, reconocerán las prácticas tradicionales de producción, estarán en armonía con los instrumentos de planificación propios y garantizarán la adecuada participación, autonomía y libre autodeterminación de las comunidades étnicas.</w:t>
      </w:r>
    </w:p>
    <w:p w14:paraId="33D16670" w14:textId="77777777" w:rsidR="00AA4AE3" w:rsidRPr="006969B3" w:rsidRDefault="00AA4AE3" w:rsidP="00F65283">
      <w:pPr>
        <w:pStyle w:val="NormalWeb"/>
        <w:spacing w:before="0" w:beforeAutospacing="0" w:after="0" w:afterAutospacing="0"/>
        <w:jc w:val="both"/>
        <w:rPr>
          <w:rFonts w:ascii="Arial" w:hAnsi="Arial" w:cs="Arial"/>
          <w:sz w:val="22"/>
          <w:szCs w:val="22"/>
          <w:lang w:val="es-CO"/>
        </w:rPr>
      </w:pPr>
    </w:p>
    <w:p w14:paraId="5D0AFC8A" w14:textId="0DC759EC"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2. Las comunidades negras, afrocolombianas, raizales y palenqueras serán beneficiarias del incentivo de manera colectiva de acuerdo con los procedimientos que de manera autónoma se establezcan en sus territorios.</w:t>
      </w:r>
    </w:p>
    <w:p w14:paraId="38D0E8F2" w14:textId="77777777" w:rsidR="00AA4AE3" w:rsidRPr="006969B3" w:rsidRDefault="00AA4AE3" w:rsidP="00F65283">
      <w:pPr>
        <w:pStyle w:val="NormalWeb"/>
        <w:spacing w:before="0" w:beforeAutospacing="0" w:after="0" w:afterAutospacing="0"/>
        <w:jc w:val="both"/>
        <w:rPr>
          <w:rFonts w:ascii="Arial" w:hAnsi="Arial" w:cs="Arial"/>
          <w:sz w:val="22"/>
          <w:szCs w:val="22"/>
          <w:lang w:val="es-CO"/>
        </w:rPr>
      </w:pPr>
    </w:p>
    <w:p w14:paraId="09871699" w14:textId="035396E8"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lastRenderedPageBreak/>
        <w:t>3. La consulta previa del presente articulado sobre el incentivo de pago por servicios ambientales servirá de marco para el diseño e implementación de proyectos específicos de pago por servicios ambientales en territorios de las comunidades negras, afrocolombianas, raizales y palenqueras.</w:t>
      </w:r>
    </w:p>
    <w:p w14:paraId="1E7AA49B" w14:textId="507F2153" w:rsidR="003E6B56" w:rsidRPr="006969B3" w:rsidRDefault="003E6B56" w:rsidP="00F65283">
      <w:pPr>
        <w:spacing w:after="0" w:line="240" w:lineRule="auto"/>
        <w:rPr>
          <w:rFonts w:ascii="Arial" w:hAnsi="Arial" w:cs="Arial"/>
          <w:lang w:val="es-CO"/>
        </w:rPr>
      </w:pPr>
    </w:p>
    <w:p w14:paraId="62098A8D" w14:textId="2BB5005B" w:rsidR="003E6B56" w:rsidRPr="006969B3" w:rsidRDefault="003E6B56" w:rsidP="00F65283">
      <w:pPr>
        <w:pStyle w:val="NormalWeb"/>
        <w:spacing w:before="0" w:beforeAutospacing="0" w:after="0" w:afterAutospacing="0"/>
        <w:jc w:val="both"/>
        <w:rPr>
          <w:rFonts w:ascii="Arial" w:hAnsi="Arial" w:cs="Arial"/>
          <w:sz w:val="22"/>
          <w:szCs w:val="22"/>
          <w:lang w:val="es-CO"/>
        </w:rPr>
      </w:pPr>
      <w:bookmarkStart w:id="342" w:name="321"/>
      <w:r w:rsidRPr="006969B3">
        <w:rPr>
          <w:rFonts w:ascii="Arial" w:hAnsi="Arial" w:cs="Arial"/>
          <w:sz w:val="22"/>
          <w:szCs w:val="22"/>
          <w:lang w:val="es-CO"/>
        </w:rPr>
        <w:t>ARTÍCULO 321. ACTUALIZACIÓN DEL VALOR DE LA INVERSIÓN DE NO MENOS DEL 1%, DE COMPETENCIA DE LA AUTORIDAD NACIONAL DE LICENCIAS AMBIENTALES (ANLA).</w:t>
      </w:r>
      <w:bookmarkEnd w:id="342"/>
      <w:r w:rsidRPr="006969B3">
        <w:rPr>
          <w:rFonts w:ascii="Arial" w:hAnsi="Arial" w:cs="Arial"/>
          <w:sz w:val="22"/>
          <w:szCs w:val="22"/>
          <w:lang w:val="es-CO"/>
        </w:rPr>
        <w:t> Todos aquellos titulares de una licencia ambiental que tengan inversiones pendientes a la fecha de promulgación de la presente ley, relativas a la inversión forzosa de no menos del 1% de que trata el parágrafo del artículo </w:t>
      </w:r>
      <w:r w:rsidRPr="000A2938">
        <w:rPr>
          <w:rFonts w:ascii="Arial" w:hAnsi="Arial" w:cs="Arial"/>
          <w:sz w:val="22"/>
          <w:szCs w:val="22"/>
          <w:lang w:val="es-CO"/>
        </w:rPr>
        <w:t>43</w:t>
      </w:r>
      <w:r w:rsidRPr="006969B3">
        <w:rPr>
          <w:rFonts w:ascii="Arial" w:hAnsi="Arial" w:cs="Arial"/>
          <w:sz w:val="22"/>
          <w:szCs w:val="22"/>
          <w:lang w:val="es-CO"/>
        </w:rPr>
        <w:t> de la Ley 99 de 1993, podrán acogerse al porcentaje de incremento del valor de la base de liquidación de la inversión forzosa de no menos del 1%, según el año de inicio de actividades autorizadas en la licencia ambiental, de acuerdo con lo señalado en la siguiente tabla:</w:t>
      </w:r>
    </w:p>
    <w:p w14:paraId="28A07E04" w14:textId="77777777" w:rsidR="00AA4AE3" w:rsidRPr="006969B3" w:rsidRDefault="00AA4AE3" w:rsidP="00F65283">
      <w:pPr>
        <w:pStyle w:val="NormalWeb"/>
        <w:spacing w:before="0" w:beforeAutospacing="0" w:after="0" w:afterAutospacing="0"/>
        <w:jc w:val="both"/>
        <w:rPr>
          <w:rFonts w:ascii="Arial" w:hAnsi="Arial" w:cs="Arial"/>
          <w:sz w:val="22"/>
          <w:szCs w:val="22"/>
          <w:lang w:val="es-CO"/>
        </w:rPr>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3538"/>
        <w:gridCol w:w="5284"/>
      </w:tblGrid>
      <w:tr w:rsidR="003D1DF1" w:rsidRPr="0074467C" w14:paraId="144D7441" w14:textId="77777777" w:rsidTr="003E6B56">
        <w:trPr>
          <w:tblCellSpacing w:w="15" w:type="dxa"/>
        </w:trPr>
        <w:tc>
          <w:tcPr>
            <w:tcW w:w="2000" w:type="pct"/>
            <w:tcBorders>
              <w:top w:val="single" w:sz="6" w:space="0" w:color="auto"/>
              <w:left w:val="single" w:sz="6" w:space="0" w:color="auto"/>
              <w:bottom w:val="single" w:sz="6" w:space="0" w:color="auto"/>
              <w:right w:val="single" w:sz="6" w:space="0" w:color="auto"/>
            </w:tcBorders>
            <w:hideMark/>
          </w:tcPr>
          <w:p w14:paraId="23151E90" w14:textId="77777777" w:rsidR="003E6B56" w:rsidRPr="006969B3" w:rsidRDefault="003E6B56" w:rsidP="00F65283">
            <w:pPr>
              <w:spacing w:after="0" w:line="240" w:lineRule="auto"/>
              <w:jc w:val="center"/>
              <w:rPr>
                <w:rFonts w:ascii="Arial" w:hAnsi="Arial" w:cs="Arial"/>
                <w:lang w:val="es-CO"/>
              </w:rPr>
            </w:pPr>
            <w:r w:rsidRPr="006969B3">
              <w:rPr>
                <w:rStyle w:val="baj"/>
                <w:rFonts w:ascii="Arial" w:hAnsi="Arial" w:cs="Arial"/>
                <w:lang w:val="es-CO"/>
              </w:rPr>
              <w:t>Año de inicio de actividades autorizadas en la Licencia Ambiental</w:t>
            </w:r>
          </w:p>
        </w:tc>
        <w:tc>
          <w:tcPr>
            <w:tcW w:w="3000" w:type="pct"/>
            <w:tcBorders>
              <w:top w:val="single" w:sz="6" w:space="0" w:color="auto"/>
              <w:left w:val="single" w:sz="6" w:space="0" w:color="auto"/>
              <w:bottom w:val="single" w:sz="6" w:space="0" w:color="auto"/>
              <w:right w:val="single" w:sz="6" w:space="0" w:color="auto"/>
            </w:tcBorders>
            <w:hideMark/>
          </w:tcPr>
          <w:p w14:paraId="7C423DE5" w14:textId="77777777" w:rsidR="003E6B56" w:rsidRPr="006969B3" w:rsidRDefault="003E6B56" w:rsidP="00F65283">
            <w:pPr>
              <w:spacing w:after="0" w:line="240" w:lineRule="auto"/>
              <w:jc w:val="center"/>
              <w:rPr>
                <w:rFonts w:ascii="Arial" w:hAnsi="Arial" w:cs="Arial"/>
                <w:lang w:val="es-CO"/>
              </w:rPr>
            </w:pPr>
            <w:r w:rsidRPr="006969B3">
              <w:rPr>
                <w:rStyle w:val="baj"/>
                <w:rFonts w:ascii="Arial" w:hAnsi="Arial" w:cs="Arial"/>
                <w:lang w:val="es-CO"/>
              </w:rPr>
              <w:t>Porcentaje de incremento del valor de la base de liquidación de la inversión forzosa de no menos del 1%</w:t>
            </w:r>
          </w:p>
        </w:tc>
      </w:tr>
      <w:tr w:rsidR="003D1DF1" w:rsidRPr="006969B3" w14:paraId="406340D6" w14:textId="77777777" w:rsidTr="003E6B56">
        <w:trPr>
          <w:tblCellSpacing w:w="15" w:type="dxa"/>
        </w:trPr>
        <w:tc>
          <w:tcPr>
            <w:tcW w:w="2000" w:type="pct"/>
            <w:tcBorders>
              <w:top w:val="single" w:sz="6" w:space="0" w:color="auto"/>
              <w:left w:val="single" w:sz="6" w:space="0" w:color="auto"/>
              <w:bottom w:val="single" w:sz="6" w:space="0" w:color="auto"/>
              <w:right w:val="single" w:sz="6" w:space="0" w:color="auto"/>
            </w:tcBorders>
            <w:hideMark/>
          </w:tcPr>
          <w:p w14:paraId="7A71910A" w14:textId="77777777" w:rsidR="003E6B56" w:rsidRPr="006969B3" w:rsidRDefault="003E6B56" w:rsidP="00F65283">
            <w:pPr>
              <w:spacing w:after="0" w:line="240" w:lineRule="auto"/>
              <w:jc w:val="center"/>
              <w:rPr>
                <w:rFonts w:ascii="Arial" w:hAnsi="Arial" w:cs="Arial"/>
                <w:lang w:val="es-CO"/>
              </w:rPr>
            </w:pPr>
            <w:r w:rsidRPr="006969B3">
              <w:rPr>
                <w:rFonts w:ascii="Arial" w:hAnsi="Arial" w:cs="Arial"/>
                <w:lang w:val="es-CO"/>
              </w:rPr>
              <w:t>1993-2000</w:t>
            </w:r>
          </w:p>
        </w:tc>
        <w:tc>
          <w:tcPr>
            <w:tcW w:w="3000" w:type="pct"/>
            <w:tcBorders>
              <w:top w:val="single" w:sz="6" w:space="0" w:color="auto"/>
              <w:left w:val="single" w:sz="6" w:space="0" w:color="auto"/>
              <w:bottom w:val="single" w:sz="6" w:space="0" w:color="auto"/>
              <w:right w:val="single" w:sz="6" w:space="0" w:color="auto"/>
            </w:tcBorders>
            <w:hideMark/>
          </w:tcPr>
          <w:p w14:paraId="71D62C02" w14:textId="77777777" w:rsidR="003E6B56" w:rsidRPr="006969B3" w:rsidRDefault="003E6B56" w:rsidP="00F65283">
            <w:pPr>
              <w:spacing w:after="0" w:line="240" w:lineRule="auto"/>
              <w:jc w:val="center"/>
              <w:rPr>
                <w:rFonts w:ascii="Arial" w:hAnsi="Arial" w:cs="Arial"/>
                <w:lang w:val="es-CO"/>
              </w:rPr>
            </w:pPr>
            <w:r w:rsidRPr="006969B3">
              <w:rPr>
                <w:rFonts w:ascii="Arial" w:hAnsi="Arial" w:cs="Arial"/>
                <w:lang w:val="es-CO"/>
              </w:rPr>
              <w:t>45%</w:t>
            </w:r>
          </w:p>
        </w:tc>
      </w:tr>
      <w:tr w:rsidR="003D1DF1" w:rsidRPr="006969B3" w14:paraId="77562C3D" w14:textId="77777777" w:rsidTr="003E6B56">
        <w:trPr>
          <w:tblCellSpacing w:w="15" w:type="dxa"/>
        </w:trPr>
        <w:tc>
          <w:tcPr>
            <w:tcW w:w="2000" w:type="pct"/>
            <w:tcBorders>
              <w:top w:val="single" w:sz="6" w:space="0" w:color="auto"/>
              <w:left w:val="single" w:sz="6" w:space="0" w:color="auto"/>
              <w:bottom w:val="single" w:sz="6" w:space="0" w:color="auto"/>
              <w:right w:val="single" w:sz="6" w:space="0" w:color="auto"/>
            </w:tcBorders>
            <w:hideMark/>
          </w:tcPr>
          <w:p w14:paraId="3ABB322D" w14:textId="77777777" w:rsidR="003E6B56" w:rsidRPr="006969B3" w:rsidRDefault="003E6B56" w:rsidP="00F65283">
            <w:pPr>
              <w:spacing w:after="0" w:line="240" w:lineRule="auto"/>
              <w:jc w:val="center"/>
              <w:rPr>
                <w:rFonts w:ascii="Arial" w:hAnsi="Arial" w:cs="Arial"/>
                <w:lang w:val="es-CO"/>
              </w:rPr>
            </w:pPr>
            <w:r w:rsidRPr="006969B3">
              <w:rPr>
                <w:rFonts w:ascii="Arial" w:hAnsi="Arial" w:cs="Arial"/>
                <w:lang w:val="es-CO"/>
              </w:rPr>
              <w:t>2001-2006</w:t>
            </w:r>
          </w:p>
        </w:tc>
        <w:tc>
          <w:tcPr>
            <w:tcW w:w="3000" w:type="pct"/>
            <w:tcBorders>
              <w:top w:val="single" w:sz="6" w:space="0" w:color="auto"/>
              <w:left w:val="single" w:sz="6" w:space="0" w:color="auto"/>
              <w:bottom w:val="single" w:sz="6" w:space="0" w:color="auto"/>
              <w:right w:val="single" w:sz="6" w:space="0" w:color="auto"/>
            </w:tcBorders>
            <w:hideMark/>
          </w:tcPr>
          <w:p w14:paraId="3A80B96C" w14:textId="77777777" w:rsidR="003E6B56" w:rsidRPr="006969B3" w:rsidRDefault="003E6B56" w:rsidP="00F65283">
            <w:pPr>
              <w:spacing w:after="0" w:line="240" w:lineRule="auto"/>
              <w:jc w:val="center"/>
              <w:rPr>
                <w:rFonts w:ascii="Arial" w:hAnsi="Arial" w:cs="Arial"/>
                <w:lang w:val="es-CO"/>
              </w:rPr>
            </w:pPr>
            <w:r w:rsidRPr="006969B3">
              <w:rPr>
                <w:rFonts w:ascii="Arial" w:hAnsi="Arial" w:cs="Arial"/>
                <w:lang w:val="es-CO"/>
              </w:rPr>
              <w:t>35%</w:t>
            </w:r>
          </w:p>
        </w:tc>
      </w:tr>
      <w:tr w:rsidR="003D1DF1" w:rsidRPr="006969B3" w14:paraId="0811B9B7" w14:textId="77777777" w:rsidTr="003E6B56">
        <w:trPr>
          <w:tblCellSpacing w:w="15" w:type="dxa"/>
        </w:trPr>
        <w:tc>
          <w:tcPr>
            <w:tcW w:w="2000" w:type="pct"/>
            <w:tcBorders>
              <w:top w:val="single" w:sz="6" w:space="0" w:color="auto"/>
              <w:left w:val="single" w:sz="6" w:space="0" w:color="auto"/>
              <w:bottom w:val="single" w:sz="6" w:space="0" w:color="auto"/>
              <w:right w:val="single" w:sz="6" w:space="0" w:color="auto"/>
            </w:tcBorders>
            <w:hideMark/>
          </w:tcPr>
          <w:p w14:paraId="3FEC0F5B" w14:textId="77777777" w:rsidR="003E6B56" w:rsidRPr="006969B3" w:rsidRDefault="003E6B56" w:rsidP="00F65283">
            <w:pPr>
              <w:spacing w:after="0" w:line="240" w:lineRule="auto"/>
              <w:jc w:val="center"/>
              <w:rPr>
                <w:rFonts w:ascii="Arial" w:hAnsi="Arial" w:cs="Arial"/>
                <w:lang w:val="es-CO"/>
              </w:rPr>
            </w:pPr>
            <w:r w:rsidRPr="006969B3">
              <w:rPr>
                <w:rFonts w:ascii="Arial" w:hAnsi="Arial" w:cs="Arial"/>
                <w:lang w:val="es-CO"/>
              </w:rPr>
              <w:t>2007-2018</w:t>
            </w:r>
          </w:p>
        </w:tc>
        <w:tc>
          <w:tcPr>
            <w:tcW w:w="3000" w:type="pct"/>
            <w:tcBorders>
              <w:top w:val="single" w:sz="6" w:space="0" w:color="auto"/>
              <w:left w:val="single" w:sz="6" w:space="0" w:color="auto"/>
              <w:bottom w:val="single" w:sz="6" w:space="0" w:color="auto"/>
              <w:right w:val="single" w:sz="6" w:space="0" w:color="auto"/>
            </w:tcBorders>
            <w:hideMark/>
          </w:tcPr>
          <w:p w14:paraId="5E15DED0" w14:textId="77777777" w:rsidR="003E6B56" w:rsidRPr="006969B3" w:rsidRDefault="003E6B56" w:rsidP="00F65283">
            <w:pPr>
              <w:spacing w:after="0" w:line="240" w:lineRule="auto"/>
              <w:jc w:val="center"/>
              <w:rPr>
                <w:rFonts w:ascii="Arial" w:hAnsi="Arial" w:cs="Arial"/>
                <w:lang w:val="es-CO"/>
              </w:rPr>
            </w:pPr>
            <w:r w:rsidRPr="006969B3">
              <w:rPr>
                <w:rFonts w:ascii="Arial" w:hAnsi="Arial" w:cs="Arial"/>
                <w:lang w:val="es-CO"/>
              </w:rPr>
              <w:t>10%</w:t>
            </w:r>
          </w:p>
        </w:tc>
      </w:tr>
    </w:tbl>
    <w:p w14:paraId="2114EEC0" w14:textId="77777777" w:rsidR="00AA4AE3" w:rsidRPr="006969B3" w:rsidRDefault="00AA4AE3" w:rsidP="00F65283">
      <w:pPr>
        <w:pStyle w:val="NormalWeb"/>
        <w:spacing w:before="0" w:beforeAutospacing="0" w:after="0" w:afterAutospacing="0"/>
        <w:jc w:val="both"/>
        <w:rPr>
          <w:rFonts w:ascii="Arial" w:hAnsi="Arial" w:cs="Arial"/>
          <w:sz w:val="22"/>
          <w:szCs w:val="22"/>
          <w:lang w:val="es-CO"/>
        </w:rPr>
      </w:pPr>
    </w:p>
    <w:p w14:paraId="2B0E6764" w14:textId="01B89411"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Las inversiones ejecutadas o que estén en proceso de ejecución en el marco de un plan de inversión del 1% aprobado por la Autoridad Nacional de Licencias Ambientales (ANLA), no serán tenidas en cuenta para efectos del cálculo de la actualización del valor de la base de liquidación de la inversión del 1%.</w:t>
      </w:r>
    </w:p>
    <w:p w14:paraId="20E26581" w14:textId="77777777" w:rsidR="00AA4AE3" w:rsidRPr="006969B3" w:rsidRDefault="00AA4AE3" w:rsidP="00F65283">
      <w:pPr>
        <w:pStyle w:val="NormalWeb"/>
        <w:spacing w:before="0" w:beforeAutospacing="0" w:after="0" w:afterAutospacing="0"/>
        <w:jc w:val="both"/>
        <w:rPr>
          <w:rFonts w:ascii="Arial" w:hAnsi="Arial" w:cs="Arial"/>
          <w:sz w:val="22"/>
          <w:szCs w:val="22"/>
          <w:lang w:val="es-CO"/>
        </w:rPr>
      </w:pPr>
    </w:p>
    <w:p w14:paraId="62A12CDC" w14:textId="3B17F36D"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Para acogerse deberán presentar la solicitud dentro de los seis (6) meses siguientes a la promulgación de la presente ley, junto con: a) el certificado que soporta el cálculo de la base de liquidación; b) el plan de inversión con la base actualizada aplicando el porcentaje de incremento definido en la tabla anterior; c) la proyección financiera para la ejecución del plan de inversión y d) el cronograma del plan de inversión del 1% con inicio de ejecución no superior a los seis (6) meses siguientes de la aprobación de la solicitud de acogimiento.</w:t>
      </w:r>
    </w:p>
    <w:p w14:paraId="5C42E357" w14:textId="786877A0"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En caso de no ejecutar las inversiones de acuerdo con el cronograma, por un tiempo superior a un año fiscal, deberán actualizar los valores no ejecutados, de acuerdo con la fórmula señalada en el parágrafo 1 del presente artículo.</w:t>
      </w:r>
    </w:p>
    <w:p w14:paraId="5AC21D0D" w14:textId="77777777" w:rsidR="00274B87" w:rsidRPr="006969B3" w:rsidRDefault="00274B87" w:rsidP="00F65283">
      <w:pPr>
        <w:pStyle w:val="NormalWeb"/>
        <w:spacing w:before="0" w:beforeAutospacing="0" w:after="0" w:afterAutospacing="0"/>
        <w:jc w:val="both"/>
        <w:rPr>
          <w:rFonts w:ascii="Arial" w:hAnsi="Arial" w:cs="Arial"/>
          <w:sz w:val="22"/>
          <w:szCs w:val="22"/>
          <w:lang w:val="es-CO"/>
        </w:rPr>
      </w:pPr>
    </w:p>
    <w:p w14:paraId="0D185E45" w14:textId="77777777"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Para los que se acojan o no al presente artículo y los nuevos titulares de licencia, la liquidación de la inversión se realizará de conformidad con los siguientes ítems: a) adquisición de terrenos e inmuebles, b) obras civiles, c) adquisición y alquiler de maquinaria y equipo utilizado en las obras civiles y d) constitución de servidumbres. Los costos y gastos, incluidos los capitalizados en el activo, a que se refieren los literales anteriores, corresponden a los realizados en las etapas previas a la producción de proyectos, obras o actividades sujetos de licenciamiento ambiental o aquellas modificaciones de proyectos, obras o actividades que tengan como instrumento de control un plan de manejo ambiental, siempre y cuando dicha modificación cumpla con las condiciones establecidas en la reglamentación vigente.</w:t>
      </w:r>
    </w:p>
    <w:p w14:paraId="0C7ABF86" w14:textId="77777777" w:rsidR="00AA4AE3" w:rsidRPr="006969B3" w:rsidRDefault="00AA4AE3" w:rsidP="00F65283">
      <w:pPr>
        <w:pStyle w:val="NormalWeb"/>
        <w:spacing w:before="0" w:beforeAutospacing="0" w:after="0" w:afterAutospacing="0"/>
        <w:jc w:val="both"/>
        <w:rPr>
          <w:rStyle w:val="baj"/>
          <w:rFonts w:ascii="Arial" w:hAnsi="Arial" w:cs="Arial"/>
          <w:sz w:val="22"/>
          <w:szCs w:val="22"/>
          <w:lang w:val="es-CO"/>
        </w:rPr>
      </w:pPr>
    </w:p>
    <w:p w14:paraId="7AE5327D" w14:textId="285CD597"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xml:space="preserve"> Para aquellos que no se acojan al presente artículo, deberán presentar la actualización de la base de inversión del 1% de los valores no ejecutados, dentro de los </w:t>
      </w:r>
      <w:r w:rsidRPr="006969B3">
        <w:rPr>
          <w:rFonts w:ascii="Arial" w:hAnsi="Arial" w:cs="Arial"/>
          <w:sz w:val="22"/>
          <w:szCs w:val="22"/>
          <w:lang w:val="es-CO"/>
        </w:rPr>
        <w:lastRenderedPageBreak/>
        <w:t>siete (7) meses siguientes a la promulgación de la presente ley, junto con: a) el certificado que soporta la actualización del cálculo de la base de liquidación, b) el plan de inversión con la base actualizada aplicando la fórmula del presente parágrafo, c) la proyección financiera para la ejecución del plan de inversión y d) el cronograma del plan de inversión del 1% con inicio de ejecución no superior a los seis (6) meses siguientes de la aprobación del plan de inversión actualizado. El incremento de la actualización de la base de liquidación de la inversión forzosa de no menos del 1%, será calculado así:</w:t>
      </w:r>
    </w:p>
    <w:p w14:paraId="42DFEEBE" w14:textId="77777777" w:rsidR="00AA4AE3" w:rsidRPr="006969B3" w:rsidRDefault="00AA4AE3" w:rsidP="00F65283">
      <w:pPr>
        <w:pStyle w:val="NormalWeb"/>
        <w:spacing w:before="0" w:beforeAutospacing="0" w:after="0" w:afterAutospacing="0"/>
        <w:jc w:val="both"/>
        <w:rPr>
          <w:rFonts w:ascii="Arial" w:hAnsi="Arial" w:cs="Arial"/>
          <w:sz w:val="22"/>
          <w:szCs w:val="22"/>
          <w:lang w:val="es-CO"/>
        </w:rPr>
      </w:pPr>
    </w:p>
    <w:p w14:paraId="45CED2CE" w14:textId="5C123DF6"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VBL = </w:t>
      </w:r>
      <w:proofErr w:type="spellStart"/>
      <w:r w:rsidRPr="006969B3">
        <w:rPr>
          <w:rFonts w:ascii="Arial" w:hAnsi="Arial" w:cs="Arial"/>
          <w:sz w:val="22"/>
          <w:szCs w:val="22"/>
          <w:lang w:val="es-CO"/>
        </w:rPr>
        <w:t>VIRa</w:t>
      </w:r>
      <w:proofErr w:type="spellEnd"/>
      <w:r w:rsidRPr="006969B3">
        <w:rPr>
          <w:rFonts w:ascii="Arial" w:hAnsi="Arial" w:cs="Arial"/>
          <w:sz w:val="22"/>
          <w:szCs w:val="22"/>
          <w:lang w:val="es-CO"/>
        </w:rPr>
        <w:t xml:space="preserve"> *(IPC actual/ IPC inicial), donde,</w:t>
      </w:r>
    </w:p>
    <w:p w14:paraId="0209F648" w14:textId="77777777" w:rsidR="00AA4AE3" w:rsidRPr="006969B3" w:rsidRDefault="00AA4AE3" w:rsidP="00F65283">
      <w:pPr>
        <w:pStyle w:val="NormalWeb"/>
        <w:spacing w:before="0" w:beforeAutospacing="0" w:after="0" w:afterAutospacing="0"/>
        <w:jc w:val="both"/>
        <w:rPr>
          <w:rFonts w:ascii="Arial" w:hAnsi="Arial" w:cs="Arial"/>
          <w:sz w:val="22"/>
          <w:szCs w:val="22"/>
          <w:lang w:val="es-CO"/>
        </w:rPr>
      </w:pPr>
    </w:p>
    <w:p w14:paraId="2A7A0A2B" w14:textId="23D6C9D7"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VBL (Valor de la base de liquidación): es el valor en pesos (COP) de la base de liquidación de la inversión forzosa del 1% certificado de acuerdo con lo señalado en el parágrafo 3 del presente artículo, actualizada al mes de diciembre del año anterior a la fecha de presentación de la actualización.</w:t>
      </w:r>
    </w:p>
    <w:p w14:paraId="6B52E28D" w14:textId="77777777" w:rsidR="00AA4AE3" w:rsidRPr="006969B3" w:rsidRDefault="00AA4AE3" w:rsidP="00F65283">
      <w:pPr>
        <w:pStyle w:val="NormalWeb"/>
        <w:spacing w:before="0" w:beforeAutospacing="0" w:after="0" w:afterAutospacing="0"/>
        <w:jc w:val="both"/>
        <w:rPr>
          <w:rFonts w:ascii="Arial" w:hAnsi="Arial" w:cs="Arial"/>
          <w:sz w:val="22"/>
          <w:szCs w:val="22"/>
          <w:lang w:val="es-CO"/>
        </w:rPr>
      </w:pPr>
    </w:p>
    <w:p w14:paraId="26E4EB97" w14:textId="5339CBF9" w:rsidR="003E6B56" w:rsidRPr="006969B3" w:rsidRDefault="003E6B56" w:rsidP="00F65283">
      <w:pPr>
        <w:pStyle w:val="NormalWeb"/>
        <w:spacing w:before="0" w:beforeAutospacing="0" w:after="0" w:afterAutospacing="0"/>
        <w:jc w:val="both"/>
        <w:rPr>
          <w:rFonts w:ascii="Arial" w:hAnsi="Arial" w:cs="Arial"/>
          <w:sz w:val="22"/>
          <w:szCs w:val="22"/>
          <w:lang w:val="es-CO"/>
        </w:rPr>
      </w:pPr>
      <w:proofErr w:type="spellStart"/>
      <w:r w:rsidRPr="006969B3">
        <w:rPr>
          <w:rFonts w:ascii="Arial" w:hAnsi="Arial" w:cs="Arial"/>
          <w:sz w:val="22"/>
          <w:szCs w:val="22"/>
          <w:lang w:val="es-CO"/>
        </w:rPr>
        <w:t>VIRa</w:t>
      </w:r>
      <w:proofErr w:type="spellEnd"/>
      <w:r w:rsidRPr="006969B3">
        <w:rPr>
          <w:rFonts w:ascii="Arial" w:hAnsi="Arial" w:cs="Arial"/>
          <w:sz w:val="22"/>
          <w:szCs w:val="22"/>
          <w:lang w:val="es-CO"/>
        </w:rPr>
        <w:t xml:space="preserve"> (Valor de la Inversión realizada para cada año): es el valor en pesos (COP) correspondiente a las inversiones realizadas del proyecto para cada año, durante su ejecución.</w:t>
      </w:r>
    </w:p>
    <w:p w14:paraId="18A13AAE" w14:textId="77777777" w:rsidR="00AA4AE3" w:rsidRPr="006969B3" w:rsidRDefault="00AA4AE3" w:rsidP="00F65283">
      <w:pPr>
        <w:pStyle w:val="NormalWeb"/>
        <w:spacing w:before="0" w:beforeAutospacing="0" w:after="0" w:afterAutospacing="0"/>
        <w:jc w:val="both"/>
        <w:rPr>
          <w:rFonts w:ascii="Arial" w:hAnsi="Arial" w:cs="Arial"/>
          <w:sz w:val="22"/>
          <w:szCs w:val="22"/>
          <w:lang w:val="es-CO"/>
        </w:rPr>
      </w:pPr>
    </w:p>
    <w:p w14:paraId="1A9013C3" w14:textId="2452D424" w:rsidR="00AA4AE3"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IPC actual: corresponde al último valor del IPC a diciembre del año anterior reportado por </w:t>
      </w:r>
    </w:p>
    <w:p w14:paraId="372EBCC6" w14:textId="65CA3CEC"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DAÑE, en índice - serie de empalme, con respecto a la fecha de presentación del plan de inversiones actualizado ante la ANLA.</w:t>
      </w:r>
    </w:p>
    <w:p w14:paraId="5CED1669" w14:textId="77777777" w:rsidR="00AA4AE3" w:rsidRPr="006969B3" w:rsidRDefault="00AA4AE3" w:rsidP="00F65283">
      <w:pPr>
        <w:pStyle w:val="NormalWeb"/>
        <w:spacing w:before="0" w:beforeAutospacing="0" w:after="0" w:afterAutospacing="0"/>
        <w:jc w:val="both"/>
        <w:rPr>
          <w:rFonts w:ascii="Arial" w:hAnsi="Arial" w:cs="Arial"/>
          <w:sz w:val="22"/>
          <w:szCs w:val="22"/>
          <w:lang w:val="es-CO"/>
        </w:rPr>
      </w:pPr>
    </w:p>
    <w:p w14:paraId="170CC542" w14:textId="7C54D144"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IPC inicial: corresponde al valor del IPC reportado por el DANE, en índice - serie de empalme, para el año en el que se ejecutó la inversión o actividad del proyecto, tomando el que corresponda al mes de diciembre.</w:t>
      </w:r>
    </w:p>
    <w:p w14:paraId="1FAED2D6" w14:textId="77777777" w:rsidR="00AA4AE3" w:rsidRPr="006969B3" w:rsidRDefault="00AA4AE3" w:rsidP="00F65283">
      <w:pPr>
        <w:pStyle w:val="NormalWeb"/>
        <w:spacing w:before="0" w:beforeAutospacing="0" w:after="0" w:afterAutospacing="0"/>
        <w:jc w:val="both"/>
        <w:rPr>
          <w:rFonts w:ascii="Arial" w:hAnsi="Arial" w:cs="Arial"/>
          <w:sz w:val="22"/>
          <w:szCs w:val="22"/>
          <w:lang w:val="es-CO"/>
        </w:rPr>
      </w:pPr>
    </w:p>
    <w:p w14:paraId="5FF839D6" w14:textId="0E81ABF7"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valor total de la base actualizada de liquidación de la Inversión de no menos del 1% será la sumatoria de los VBL de cada año. Las inversiones ejecutadas o que estén en proceso de ejecución en el marco de un plan de inversión del 1% aprobado por la ANLA, no serán tenidas en cuenta para efectos del cálculo de la actualización del valor de la base de liquidación de la inversión del 1%. La actualización del valor de la base de liquidación del 1% deberá ser realizada con corte a 31 de diciembre de cada año fiscal y deberá ser presentada a más tardar a 31 de marzo del año siguiente.</w:t>
      </w:r>
    </w:p>
    <w:p w14:paraId="426A4068" w14:textId="77777777" w:rsidR="00AA4AE3" w:rsidRPr="006969B3" w:rsidRDefault="00AA4AE3" w:rsidP="00F65283">
      <w:pPr>
        <w:pStyle w:val="NormalWeb"/>
        <w:spacing w:before="0" w:beforeAutospacing="0" w:after="0" w:afterAutospacing="0"/>
        <w:jc w:val="both"/>
        <w:rPr>
          <w:rStyle w:val="baj"/>
          <w:rFonts w:ascii="Arial" w:hAnsi="Arial" w:cs="Arial"/>
          <w:sz w:val="22"/>
          <w:szCs w:val="22"/>
          <w:lang w:val="es-CO"/>
        </w:rPr>
      </w:pPr>
    </w:p>
    <w:p w14:paraId="50CF9DCF" w14:textId="10DB26C0"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Para los titulares de licencias ambientales expedidas a partir del primero de enero de 2019, que no ejecuten las inversiones obligatorias del 1% en los años definidos en el cronograma del plan de inversiones aprobado por la ANLA, deberán actualizar los valores no ejecutados, de acuerdo con la fórmula señalada en el parágrafo 1 del presente artículo.</w:t>
      </w:r>
    </w:p>
    <w:p w14:paraId="051AA75E" w14:textId="77777777" w:rsidR="00AA4AE3" w:rsidRPr="006969B3" w:rsidRDefault="00AA4AE3" w:rsidP="00F65283">
      <w:pPr>
        <w:pStyle w:val="NormalWeb"/>
        <w:spacing w:before="0" w:beforeAutospacing="0" w:after="0" w:afterAutospacing="0"/>
        <w:jc w:val="both"/>
        <w:rPr>
          <w:rStyle w:val="baj"/>
          <w:rFonts w:ascii="Arial" w:hAnsi="Arial" w:cs="Arial"/>
          <w:sz w:val="22"/>
          <w:szCs w:val="22"/>
          <w:lang w:val="es-CO"/>
        </w:rPr>
      </w:pPr>
    </w:p>
    <w:p w14:paraId="47E5EA96" w14:textId="0135B984"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3o.</w:t>
      </w:r>
      <w:r w:rsidRPr="006969B3">
        <w:rPr>
          <w:rFonts w:ascii="Arial" w:hAnsi="Arial" w:cs="Arial"/>
          <w:sz w:val="22"/>
          <w:szCs w:val="22"/>
          <w:lang w:val="es-CO"/>
        </w:rPr>
        <w:t> El certificado de la base de liquidación será suscrito por el revisor fiscal o contador público, según el caso, o mediante documento equivalente firmado por el representante legal de la empresa, cuyo contenido se presumirá veraz en virtud del principio constitucional de buena fe, sin perjuicio de la posibilidad de ejercer las acciones legales procedentes en caso de falta de veracidad de la información.</w:t>
      </w:r>
    </w:p>
    <w:p w14:paraId="5A6554E8" w14:textId="7D8B404B" w:rsidR="003E6B56" w:rsidRPr="006969B3" w:rsidRDefault="003E6B56" w:rsidP="00F65283">
      <w:pPr>
        <w:spacing w:after="0" w:line="240" w:lineRule="auto"/>
        <w:rPr>
          <w:rFonts w:ascii="Arial" w:hAnsi="Arial" w:cs="Arial"/>
          <w:lang w:val="es-CO"/>
        </w:rPr>
      </w:pPr>
    </w:p>
    <w:p w14:paraId="7C772F01" w14:textId="77777777" w:rsidR="003E6B56" w:rsidRPr="006969B3" w:rsidRDefault="003E6B56" w:rsidP="00F65283">
      <w:pPr>
        <w:pStyle w:val="NormalWeb"/>
        <w:spacing w:before="0" w:beforeAutospacing="0" w:after="0" w:afterAutospacing="0"/>
        <w:jc w:val="both"/>
        <w:rPr>
          <w:rFonts w:ascii="Arial" w:hAnsi="Arial" w:cs="Arial"/>
          <w:sz w:val="22"/>
          <w:szCs w:val="22"/>
          <w:lang w:val="es-CO"/>
        </w:rPr>
      </w:pPr>
      <w:bookmarkStart w:id="343" w:name="322"/>
      <w:r w:rsidRPr="006969B3">
        <w:rPr>
          <w:rFonts w:ascii="Arial" w:hAnsi="Arial" w:cs="Arial"/>
          <w:sz w:val="22"/>
          <w:szCs w:val="22"/>
          <w:lang w:val="es-CO"/>
        </w:rPr>
        <w:t>ARTÍCULO 322. REFORESTACIÓN CON ÁRBOLES NATIVOS.</w:t>
      </w:r>
      <w:bookmarkEnd w:id="343"/>
      <w:r w:rsidRPr="006969B3">
        <w:rPr>
          <w:rFonts w:ascii="Arial" w:hAnsi="Arial" w:cs="Arial"/>
          <w:sz w:val="22"/>
          <w:szCs w:val="22"/>
          <w:lang w:val="es-CO"/>
        </w:rPr>
        <w:t> Los programas de reforestación propuestos por el Gobierno nacional deberán dar prioridad a la siembra de árboles nativos con esquemas de georreferenciación.</w:t>
      </w:r>
    </w:p>
    <w:p w14:paraId="03533AB2" w14:textId="66730588" w:rsidR="003E6B56" w:rsidRPr="006969B3" w:rsidRDefault="003E6B56" w:rsidP="00F65283">
      <w:pPr>
        <w:spacing w:after="0" w:line="240" w:lineRule="auto"/>
        <w:rPr>
          <w:rFonts w:ascii="Arial" w:hAnsi="Arial" w:cs="Arial"/>
          <w:lang w:val="es-CO"/>
        </w:rPr>
      </w:pPr>
    </w:p>
    <w:p w14:paraId="2AFF5F8F" w14:textId="77777777" w:rsidR="003E6B56" w:rsidRPr="006969B3" w:rsidRDefault="003E6B56" w:rsidP="00F65283">
      <w:pPr>
        <w:pStyle w:val="NormalWeb"/>
        <w:spacing w:before="0" w:beforeAutospacing="0" w:after="0" w:afterAutospacing="0"/>
        <w:jc w:val="both"/>
        <w:rPr>
          <w:rFonts w:ascii="Arial" w:hAnsi="Arial" w:cs="Arial"/>
          <w:sz w:val="22"/>
          <w:szCs w:val="22"/>
          <w:lang w:val="es-CO"/>
        </w:rPr>
      </w:pPr>
      <w:bookmarkStart w:id="344" w:name="323"/>
      <w:r w:rsidRPr="006969B3">
        <w:rPr>
          <w:rFonts w:ascii="Arial" w:hAnsi="Arial" w:cs="Arial"/>
          <w:sz w:val="22"/>
          <w:szCs w:val="22"/>
          <w:lang w:val="es-CO"/>
        </w:rPr>
        <w:lastRenderedPageBreak/>
        <w:t>ARTÍCULO 323. PLAN MAESTRO DE EROSIÓN COSTERA.</w:t>
      </w:r>
      <w:bookmarkEnd w:id="344"/>
      <w:r w:rsidRPr="006969B3">
        <w:rPr>
          <w:rFonts w:ascii="Arial" w:hAnsi="Arial" w:cs="Arial"/>
          <w:sz w:val="22"/>
          <w:szCs w:val="22"/>
          <w:lang w:val="es-CO"/>
        </w:rPr>
        <w:t> El Gobierno nacional implementará el “Plan Maestro de Erosión Costera” para la recuperación de playas, ecosistemas marinos y de manglares como estrategia de fortalecimiento, fomento y promoción del turismo, que a su vez permita contrarrestar el devastador efecto que produce la erosión costera en el litoral Caribe, litoral Pacífico y en el archipiélago de San Andrés, Providencia y Santa Catalina.</w:t>
      </w:r>
    </w:p>
    <w:p w14:paraId="1329CC6A" w14:textId="77777777" w:rsidR="00AA4AE3" w:rsidRPr="006969B3" w:rsidRDefault="00AA4AE3" w:rsidP="00F65283">
      <w:pPr>
        <w:pStyle w:val="NormalWeb"/>
        <w:spacing w:before="0" w:beforeAutospacing="0" w:after="0" w:afterAutospacing="0"/>
        <w:jc w:val="both"/>
        <w:rPr>
          <w:rFonts w:ascii="Arial" w:hAnsi="Arial" w:cs="Arial"/>
          <w:sz w:val="22"/>
          <w:szCs w:val="22"/>
          <w:lang w:val="es-CO"/>
        </w:rPr>
      </w:pPr>
    </w:p>
    <w:p w14:paraId="2201C0D4" w14:textId="4ED9C365"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Adicionalmente, se deberán crear estrategias que permitan identificar, cuantificar, priorizar y recuperar los ecosistemas afectados como herramienta de desarrollo ambiental, turístico y económico, además de cumplir con la responsabilidad que en materia ambiental deben tener el Estado y sus entidades descentralizadas, fomentando la inclusión del sector privado.</w:t>
      </w:r>
    </w:p>
    <w:p w14:paraId="384F4142" w14:textId="5A77DC11" w:rsidR="003E6B56" w:rsidRPr="006969B3" w:rsidRDefault="003E6B56" w:rsidP="00F65283">
      <w:pPr>
        <w:spacing w:after="0" w:line="240" w:lineRule="auto"/>
        <w:rPr>
          <w:rFonts w:ascii="Arial" w:hAnsi="Arial" w:cs="Arial"/>
          <w:lang w:val="es-CO"/>
        </w:rPr>
      </w:pPr>
    </w:p>
    <w:p w14:paraId="53875C50" w14:textId="77777777" w:rsidR="003E6B56" w:rsidRPr="006969B3" w:rsidRDefault="003E6B56" w:rsidP="00F65283">
      <w:pPr>
        <w:pStyle w:val="NormalWeb"/>
        <w:spacing w:before="0" w:beforeAutospacing="0" w:after="0" w:afterAutospacing="0"/>
        <w:jc w:val="both"/>
        <w:rPr>
          <w:rFonts w:ascii="Arial" w:hAnsi="Arial" w:cs="Arial"/>
          <w:sz w:val="22"/>
          <w:szCs w:val="22"/>
          <w:lang w:val="es-CO"/>
        </w:rPr>
      </w:pPr>
      <w:bookmarkStart w:id="345" w:name="324"/>
      <w:r w:rsidRPr="006969B3">
        <w:rPr>
          <w:rFonts w:ascii="Arial" w:hAnsi="Arial" w:cs="Arial"/>
          <w:sz w:val="22"/>
          <w:szCs w:val="22"/>
          <w:lang w:val="es-CO"/>
        </w:rPr>
        <w:t>ARTÍCULO 324. POLÍTICA DE PROTECCIÓN Y BIENESTAR DE ANIMALES DOMÉSTICOS Y SILVESTRES.</w:t>
      </w:r>
      <w:bookmarkEnd w:id="345"/>
      <w:r w:rsidRPr="006969B3">
        <w:rPr>
          <w:rFonts w:ascii="Arial" w:hAnsi="Arial" w:cs="Arial"/>
          <w:sz w:val="22"/>
          <w:szCs w:val="22"/>
          <w:lang w:val="es-CO"/>
        </w:rPr>
        <w:t> El Gobierno nacional, bajo el liderazgo del Ministerio de Ambiente y Desarrollo Sostenible, con la participación del Ministerio de Salud y la Protección Social, Ministerio de Agricultura y Desarrollo Rural, Ministerio del Interior, Departamento Nacional de Planeación y demás entidades competentes, formulará la Política Nacional de Protección y Bienestar de Animales Domésticos y Silvestres, para lo cual tendrá un plazo de seis (6) meses contados a partir de la expedición de la presente ley.</w:t>
      </w:r>
    </w:p>
    <w:p w14:paraId="05D453DF" w14:textId="77777777" w:rsidR="000618E5" w:rsidRPr="006969B3" w:rsidRDefault="000618E5" w:rsidP="00F65283">
      <w:pPr>
        <w:pStyle w:val="NormalWeb"/>
        <w:spacing w:before="0" w:beforeAutospacing="0" w:after="0" w:afterAutospacing="0"/>
        <w:jc w:val="both"/>
        <w:rPr>
          <w:rFonts w:ascii="Arial" w:hAnsi="Arial" w:cs="Arial"/>
          <w:sz w:val="22"/>
          <w:szCs w:val="22"/>
          <w:lang w:val="es-CO"/>
        </w:rPr>
      </w:pPr>
    </w:p>
    <w:p w14:paraId="0AED5304" w14:textId="3DA2462A"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Esta política establecerá lineamientos en materia de bienestar de animales de granja; animales en situación de calle; animales maltratados; especies silvestres objeto de tráfico ilegal; entre otros, y definirá estrategias, programas y propuestas de normatividad para la protección animal, tales como la formación en tenencia responsable; las campañas de esterilización; la creación de centros territoriales de bienestar, la rehabilitación y asistencia integral de fauna doméstica y silvestre; la sustitución progresiva de vehículos de tracción animal; y el fortalecimiento de la investigación y procesamiento de los delitos contra los animales, con el fin de erradicar en el país toda forma de violencia, crueldad, tráfico y comercio ilegal de animales.</w:t>
      </w:r>
    </w:p>
    <w:p w14:paraId="156A7CEC" w14:textId="77777777" w:rsidR="000618E5" w:rsidRPr="006969B3" w:rsidRDefault="000618E5" w:rsidP="00F65283">
      <w:pPr>
        <w:pStyle w:val="NormalWeb"/>
        <w:spacing w:before="0" w:beforeAutospacing="0" w:after="0" w:afterAutospacing="0"/>
        <w:jc w:val="both"/>
        <w:rPr>
          <w:rFonts w:ascii="Arial" w:hAnsi="Arial" w:cs="Arial"/>
          <w:b/>
          <w:bCs/>
          <w:sz w:val="22"/>
          <w:szCs w:val="22"/>
          <w:lang w:val="es-CO"/>
        </w:rPr>
      </w:pPr>
    </w:p>
    <w:p w14:paraId="4D966DC9" w14:textId="748000E7" w:rsidR="003E6B56" w:rsidRPr="006969B3" w:rsidRDefault="003E6B56" w:rsidP="00F65283">
      <w:pPr>
        <w:pStyle w:val="centrado"/>
        <w:spacing w:before="0" w:beforeAutospacing="0" w:after="0" w:afterAutospacing="0"/>
        <w:jc w:val="center"/>
        <w:rPr>
          <w:rFonts w:ascii="Arial" w:hAnsi="Arial" w:cs="Arial"/>
          <w:b/>
          <w:bCs/>
          <w:sz w:val="22"/>
          <w:szCs w:val="22"/>
          <w:lang w:val="es-CO"/>
        </w:rPr>
      </w:pPr>
      <w:bookmarkStart w:id="346" w:name="SUBSECCIÓN_9-III-II-II"/>
      <w:r w:rsidRPr="006969B3">
        <w:rPr>
          <w:rFonts w:ascii="Arial" w:hAnsi="Arial" w:cs="Arial"/>
          <w:b/>
          <w:bCs/>
          <w:sz w:val="22"/>
          <w:szCs w:val="22"/>
          <w:lang w:val="es-CO"/>
        </w:rPr>
        <w:t>SUBSECCIÓN 9</w:t>
      </w:r>
      <w:bookmarkEnd w:id="346"/>
    </w:p>
    <w:p w14:paraId="56404B1F" w14:textId="77777777" w:rsidR="00274B87" w:rsidRPr="006969B3" w:rsidRDefault="00274B87" w:rsidP="00F65283">
      <w:pPr>
        <w:pStyle w:val="centrado"/>
        <w:spacing w:before="0" w:beforeAutospacing="0" w:after="0" w:afterAutospacing="0"/>
        <w:jc w:val="center"/>
        <w:rPr>
          <w:rFonts w:ascii="Arial" w:hAnsi="Arial" w:cs="Arial"/>
          <w:b/>
          <w:bCs/>
          <w:sz w:val="22"/>
          <w:szCs w:val="22"/>
          <w:lang w:val="es-CO"/>
        </w:rPr>
      </w:pPr>
    </w:p>
    <w:p w14:paraId="1EFE8DBD" w14:textId="6DAF9EA4" w:rsidR="003E6B56" w:rsidRPr="006969B3" w:rsidRDefault="003E6B56" w:rsidP="00F65283">
      <w:pPr>
        <w:pStyle w:val="centrado"/>
        <w:spacing w:before="0" w:beforeAutospacing="0" w:after="0" w:afterAutospacing="0"/>
        <w:jc w:val="center"/>
        <w:rPr>
          <w:rFonts w:ascii="Arial" w:hAnsi="Arial" w:cs="Arial"/>
          <w:b/>
          <w:bCs/>
          <w:sz w:val="22"/>
          <w:szCs w:val="22"/>
          <w:lang w:val="es-CO"/>
        </w:rPr>
      </w:pPr>
      <w:r w:rsidRPr="006969B3">
        <w:rPr>
          <w:rStyle w:val="baj"/>
          <w:rFonts w:ascii="Arial" w:hAnsi="Arial" w:cs="Arial"/>
          <w:b/>
          <w:bCs/>
          <w:sz w:val="22"/>
          <w:szCs w:val="22"/>
          <w:lang w:val="es-CO"/>
        </w:rPr>
        <w:t>EQUIDAD EN MATERIA MINERA</w:t>
      </w:r>
    </w:p>
    <w:p w14:paraId="26905DB5" w14:textId="338D9AB7" w:rsidR="003E6B56" w:rsidRPr="006969B3" w:rsidRDefault="003E6B56" w:rsidP="00F65283">
      <w:pPr>
        <w:spacing w:after="0" w:line="240" w:lineRule="auto"/>
        <w:rPr>
          <w:rFonts w:ascii="Arial" w:hAnsi="Arial" w:cs="Arial"/>
          <w:lang w:val="es-CO"/>
        </w:rPr>
      </w:pPr>
    </w:p>
    <w:p w14:paraId="0B67BEA0" w14:textId="77777777" w:rsidR="003E6B56" w:rsidRPr="006969B3" w:rsidRDefault="003E6B56" w:rsidP="00F65283">
      <w:pPr>
        <w:pStyle w:val="NormalWeb"/>
        <w:spacing w:before="0" w:beforeAutospacing="0" w:after="0" w:afterAutospacing="0"/>
        <w:jc w:val="both"/>
        <w:rPr>
          <w:rFonts w:ascii="Arial" w:hAnsi="Arial" w:cs="Arial"/>
          <w:sz w:val="22"/>
          <w:szCs w:val="22"/>
          <w:lang w:val="es-CO"/>
        </w:rPr>
      </w:pPr>
      <w:bookmarkStart w:id="347" w:name="325"/>
      <w:r w:rsidRPr="006969B3">
        <w:rPr>
          <w:rFonts w:ascii="Arial" w:hAnsi="Arial" w:cs="Arial"/>
          <w:sz w:val="22"/>
          <w:szCs w:val="22"/>
          <w:lang w:val="es-CO"/>
        </w:rPr>
        <w:t>ARTÍCULO 325. TRÁMITE SOLICITUDES DE FORMALIZACIÓN DE MINERÍA TRADICIONAL.</w:t>
      </w:r>
      <w:bookmarkEnd w:id="347"/>
      <w:r w:rsidRPr="006969B3">
        <w:rPr>
          <w:rFonts w:ascii="Arial" w:hAnsi="Arial" w:cs="Arial"/>
          <w:sz w:val="22"/>
          <w:szCs w:val="22"/>
          <w:lang w:val="es-CO"/>
        </w:rPr>
        <w:t> Las personas naturales, grupos o asociaciones que presentaron solicitud de formalización de minería tradicional hasta el 10 de mayo de 2013 ante la autoridad minera competente y que a la fecha de promulgación de esta ley se encuentran vigentes y en área libre, continuarán su trámite con el fin de verificar la viabilidad técnica del desarrollo del proyecto minero de pequeña minería. Si la solicitud no se encuentra en área libre esta se rechazará salvo lo dispuesto en el inciso tercero del presente artículo. En caso de que la superposición sea parcial se procederá a los recortes respectivos. La autoridad minera resolverá estas solicitudes en el término de un (1) año contado a partir de la viabilidad técnica de la solicitud.</w:t>
      </w:r>
    </w:p>
    <w:p w14:paraId="12CD22D9" w14:textId="77777777" w:rsidR="000618E5" w:rsidRPr="006969B3" w:rsidRDefault="000618E5" w:rsidP="00F65283">
      <w:pPr>
        <w:pStyle w:val="NormalWeb"/>
        <w:spacing w:before="0" w:beforeAutospacing="0" w:after="0" w:afterAutospacing="0"/>
        <w:jc w:val="both"/>
        <w:rPr>
          <w:rFonts w:ascii="Arial" w:hAnsi="Arial" w:cs="Arial"/>
          <w:sz w:val="22"/>
          <w:szCs w:val="22"/>
          <w:lang w:val="es-CO"/>
        </w:rPr>
      </w:pPr>
    </w:p>
    <w:p w14:paraId="2608B9BF" w14:textId="2FD754B9"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Una vez verificada la viabilidad de la solicitud, la autoridad minera requerirá al solicitante para que presente en un plazo máximo de cuatro (4) meses el Programa de Trabajos y Obras (PTO) a ejecutar y la licencia ambiental temporal para la formalización en los términos del artículo </w:t>
      </w:r>
      <w:r w:rsidRPr="000A2938">
        <w:rPr>
          <w:rFonts w:ascii="Arial" w:hAnsi="Arial" w:cs="Arial"/>
          <w:sz w:val="22"/>
          <w:szCs w:val="22"/>
          <w:lang w:val="es-CO"/>
        </w:rPr>
        <w:t>22</w:t>
      </w:r>
      <w:r w:rsidRPr="006969B3">
        <w:rPr>
          <w:rFonts w:ascii="Arial" w:hAnsi="Arial" w:cs="Arial"/>
          <w:sz w:val="22"/>
          <w:szCs w:val="22"/>
          <w:lang w:val="es-CO"/>
        </w:rPr>
        <w:t xml:space="preserve"> de esta ley, so pena de entender desistido el trámite de </w:t>
      </w:r>
      <w:r w:rsidRPr="006969B3">
        <w:rPr>
          <w:rFonts w:ascii="Arial" w:hAnsi="Arial" w:cs="Arial"/>
          <w:sz w:val="22"/>
          <w:szCs w:val="22"/>
          <w:lang w:val="es-CO"/>
        </w:rPr>
        <w:lastRenderedPageBreak/>
        <w:t>formalización. En caso de que se formulen objeciones al PTO y estas no sean subsanadas se procederá al rechazo de la solicitud. Una vez aprobado el PTO y el Plan Manejo Ambiental (PMA) o licencia ambiental temporal se procederá con la suscripción del contrato de concesión.</w:t>
      </w:r>
    </w:p>
    <w:p w14:paraId="42730438" w14:textId="77777777" w:rsidR="000618E5" w:rsidRPr="006969B3" w:rsidRDefault="000618E5" w:rsidP="00F65283">
      <w:pPr>
        <w:pStyle w:val="NormalWeb"/>
        <w:spacing w:before="0" w:beforeAutospacing="0" w:after="0" w:afterAutospacing="0"/>
        <w:jc w:val="both"/>
        <w:rPr>
          <w:rFonts w:ascii="Arial" w:hAnsi="Arial" w:cs="Arial"/>
          <w:sz w:val="22"/>
          <w:szCs w:val="22"/>
          <w:lang w:val="es-CO"/>
        </w:rPr>
      </w:pPr>
    </w:p>
    <w:p w14:paraId="37CAA203" w14:textId="62BE87F7"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En el evento en que las solicitudes de formalización de minería tradicional se hayan presentado en un área ocupada totalmente por un título minero y se encuentre vigente a la fecha de promulgación de la presente ley, la autoridad minera procederá a realizar un proceso de mediación entre las partes. De negarse el titular minero a la mediación o de no lograrse un acuerdo entre las partes, se procederá por parte de la autoridad minera al rechazo de la solicitud de formalización.</w:t>
      </w:r>
    </w:p>
    <w:p w14:paraId="2A2D932A" w14:textId="77777777" w:rsidR="000618E5" w:rsidRPr="006969B3" w:rsidRDefault="000618E5" w:rsidP="00F65283">
      <w:pPr>
        <w:pStyle w:val="NormalWeb"/>
        <w:spacing w:before="0" w:beforeAutospacing="0" w:after="0" w:afterAutospacing="0"/>
        <w:jc w:val="both"/>
        <w:rPr>
          <w:rFonts w:ascii="Arial" w:hAnsi="Arial" w:cs="Arial"/>
          <w:sz w:val="22"/>
          <w:szCs w:val="22"/>
          <w:lang w:val="es-CO"/>
        </w:rPr>
      </w:pPr>
    </w:p>
    <w:p w14:paraId="73B62DD2" w14:textId="7AA50837"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 partir de la promulgación de esta ley y mientras no se resuelva de fondo el trámite de la solicitud de formalización de minería tradicional no habrá lugar a la aplicación de las medidas previstas en los artículos </w:t>
      </w:r>
      <w:r w:rsidRPr="000A2938">
        <w:rPr>
          <w:rFonts w:ascii="Arial" w:hAnsi="Arial" w:cs="Arial"/>
          <w:sz w:val="22"/>
          <w:szCs w:val="22"/>
          <w:lang w:val="es-CO"/>
        </w:rPr>
        <w:t>161</w:t>
      </w:r>
      <w:r w:rsidRPr="006969B3">
        <w:rPr>
          <w:rFonts w:ascii="Arial" w:hAnsi="Arial" w:cs="Arial"/>
          <w:sz w:val="22"/>
          <w:szCs w:val="22"/>
          <w:lang w:val="es-CO"/>
        </w:rPr>
        <w:t> y </w:t>
      </w:r>
      <w:r w:rsidRPr="000A2938">
        <w:rPr>
          <w:rFonts w:ascii="Arial" w:hAnsi="Arial" w:cs="Arial"/>
          <w:sz w:val="22"/>
          <w:szCs w:val="22"/>
          <w:lang w:val="es-CO"/>
        </w:rPr>
        <w:t>306</w:t>
      </w:r>
      <w:r w:rsidRPr="006969B3">
        <w:rPr>
          <w:rFonts w:ascii="Arial" w:hAnsi="Arial" w:cs="Arial"/>
          <w:sz w:val="22"/>
          <w:szCs w:val="22"/>
          <w:lang w:val="es-CO"/>
        </w:rPr>
        <w:t> de la Ley 685 de 2001, ni a proseguir las acciones penales señaladas en los artículos </w:t>
      </w:r>
      <w:r w:rsidRPr="000A2938">
        <w:rPr>
          <w:rFonts w:ascii="Arial" w:hAnsi="Arial" w:cs="Arial"/>
          <w:sz w:val="22"/>
          <w:szCs w:val="22"/>
          <w:lang w:val="es-CO"/>
        </w:rPr>
        <w:t>159</w:t>
      </w:r>
      <w:r w:rsidRPr="006969B3">
        <w:rPr>
          <w:rFonts w:ascii="Arial" w:hAnsi="Arial" w:cs="Arial"/>
          <w:sz w:val="22"/>
          <w:szCs w:val="22"/>
          <w:lang w:val="es-CO"/>
        </w:rPr>
        <w:t> y </w:t>
      </w:r>
      <w:r w:rsidRPr="000A2938">
        <w:rPr>
          <w:rFonts w:ascii="Arial" w:hAnsi="Arial" w:cs="Arial"/>
          <w:sz w:val="22"/>
          <w:szCs w:val="22"/>
          <w:lang w:val="es-CO"/>
        </w:rPr>
        <w:t>160</w:t>
      </w:r>
      <w:r w:rsidRPr="006969B3">
        <w:rPr>
          <w:rFonts w:ascii="Arial" w:hAnsi="Arial" w:cs="Arial"/>
          <w:sz w:val="22"/>
          <w:szCs w:val="22"/>
          <w:lang w:val="es-CO"/>
        </w:rPr>
        <w:t> de esta misma ley, sin perjuicio de la aplicación de las medidas preventivas y sancionatorias de carácter ambiental, así como las relacionadas con la seguridad minera.</w:t>
      </w:r>
    </w:p>
    <w:p w14:paraId="2F08BE3C" w14:textId="34A0483F" w:rsidR="003E6B56" w:rsidRPr="006969B3" w:rsidRDefault="003E6B56" w:rsidP="00F65283">
      <w:pPr>
        <w:spacing w:after="0" w:line="240" w:lineRule="auto"/>
        <w:rPr>
          <w:rFonts w:ascii="Arial" w:hAnsi="Arial" w:cs="Arial"/>
          <w:lang w:val="es-CO"/>
        </w:rPr>
      </w:pPr>
    </w:p>
    <w:p w14:paraId="7D76E1D4" w14:textId="6B99D7AC" w:rsidR="003E6B56" w:rsidRPr="006969B3" w:rsidRDefault="003E6B56" w:rsidP="00F65283">
      <w:pPr>
        <w:pStyle w:val="NormalWeb"/>
        <w:spacing w:before="0" w:beforeAutospacing="0" w:after="0" w:afterAutospacing="0"/>
        <w:jc w:val="both"/>
        <w:rPr>
          <w:rFonts w:ascii="Arial" w:hAnsi="Arial" w:cs="Arial"/>
          <w:sz w:val="22"/>
          <w:szCs w:val="22"/>
          <w:lang w:val="es-CO"/>
        </w:rPr>
      </w:pPr>
      <w:bookmarkStart w:id="348" w:name="326"/>
      <w:r w:rsidRPr="006969B3">
        <w:rPr>
          <w:rFonts w:ascii="Arial" w:hAnsi="Arial" w:cs="Arial"/>
          <w:sz w:val="22"/>
          <w:szCs w:val="22"/>
          <w:lang w:val="es-CO"/>
        </w:rPr>
        <w:t>ARTÍCULO 326. REQUISITOS DIFERENCIALES PARA CONTRATO DE CONCESIÓN MINERA.</w:t>
      </w:r>
      <w:bookmarkEnd w:id="348"/>
      <w:r w:rsidRPr="006969B3">
        <w:rPr>
          <w:rFonts w:ascii="Arial" w:hAnsi="Arial" w:cs="Arial"/>
          <w:sz w:val="22"/>
          <w:szCs w:val="22"/>
          <w:lang w:val="es-CO"/>
        </w:rPr>
        <w:t> El Gobierno nacional definirá los requisitos diferenciales para el otorgamiento del contrato de concesión a los mineros de pequeña escala, beneficiarios de devolución de área y comunidades étnicas. Así mismo, el Ministerio de Ambiente y Desarrollo Sostenible establecerá los términos de referencia diferenciales para la elaboración del estudio de impacto ambiental requerido para el licenciamiento ambiental a estos proyectos mineros</w:t>
      </w:r>
      <w:r w:rsidR="000618E5" w:rsidRPr="006969B3">
        <w:rPr>
          <w:rFonts w:ascii="Arial" w:hAnsi="Arial" w:cs="Arial"/>
          <w:sz w:val="22"/>
          <w:szCs w:val="22"/>
          <w:lang w:val="es-CO"/>
        </w:rPr>
        <w:t>.</w:t>
      </w:r>
    </w:p>
    <w:p w14:paraId="07F3C6DE" w14:textId="77777777" w:rsidR="000618E5" w:rsidRPr="006969B3" w:rsidRDefault="000618E5" w:rsidP="00F65283">
      <w:pPr>
        <w:pStyle w:val="NormalWeb"/>
        <w:spacing w:before="0" w:beforeAutospacing="0" w:after="0" w:afterAutospacing="0"/>
        <w:jc w:val="both"/>
        <w:rPr>
          <w:rFonts w:ascii="Arial" w:hAnsi="Arial" w:cs="Arial"/>
          <w:sz w:val="22"/>
          <w:szCs w:val="22"/>
          <w:lang w:val="es-CO"/>
        </w:rPr>
      </w:pPr>
    </w:p>
    <w:p w14:paraId="54C280A5" w14:textId="263A8FFD"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Los mineros de pequeña escala, los beneficiarios de devolución de áreas y las comunidades étnicas una vez suscriban el contrato de concesión minera, contarán con un acompañamiento técnico integral y serán objeto de fiscalización diferencial.</w:t>
      </w:r>
    </w:p>
    <w:p w14:paraId="2FB29CAD" w14:textId="77777777" w:rsidR="000618E5" w:rsidRPr="006969B3" w:rsidRDefault="000618E5" w:rsidP="00F65283">
      <w:pPr>
        <w:pStyle w:val="NormalWeb"/>
        <w:spacing w:before="0" w:beforeAutospacing="0" w:after="0" w:afterAutospacing="0"/>
        <w:jc w:val="both"/>
        <w:rPr>
          <w:rFonts w:ascii="Arial" w:hAnsi="Arial" w:cs="Arial"/>
          <w:sz w:val="22"/>
          <w:szCs w:val="22"/>
          <w:lang w:val="es-CO"/>
        </w:rPr>
      </w:pPr>
    </w:p>
    <w:p w14:paraId="44CE12E2" w14:textId="1AC55780"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En los contratos de concesión de comunidades étnicas en zonas mineras declaradas, el canon superficiario se pagará anualmente de manera anticipada, sobre la totalidad del área de la concesión y de acuerdo con los siguientes valores, siempre y cuando la actividad sea desarrollada por la misma comunidad.</w:t>
      </w:r>
    </w:p>
    <w:p w14:paraId="1FBA9003" w14:textId="77777777" w:rsidR="000618E5" w:rsidRPr="006969B3" w:rsidRDefault="000618E5" w:rsidP="00F65283">
      <w:pPr>
        <w:pStyle w:val="NormalWeb"/>
        <w:spacing w:before="0" w:beforeAutospacing="0" w:after="0" w:afterAutospacing="0"/>
        <w:jc w:val="both"/>
        <w:rPr>
          <w:rFonts w:ascii="Arial" w:hAnsi="Arial" w:cs="Arial"/>
          <w:sz w:val="22"/>
          <w:szCs w:val="22"/>
          <w:lang w:val="es-CO"/>
        </w:rPr>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4411"/>
        <w:gridCol w:w="4411"/>
      </w:tblGrid>
      <w:tr w:rsidR="003D1DF1" w:rsidRPr="006969B3" w14:paraId="33EC1C13" w14:textId="77777777" w:rsidTr="003E6B56">
        <w:trPr>
          <w:tblCellSpacing w:w="15" w:type="dxa"/>
        </w:trPr>
        <w:tc>
          <w:tcPr>
            <w:tcW w:w="2500" w:type="pct"/>
            <w:tcBorders>
              <w:top w:val="single" w:sz="6" w:space="0" w:color="auto"/>
              <w:left w:val="single" w:sz="6" w:space="0" w:color="auto"/>
              <w:bottom w:val="single" w:sz="6" w:space="0" w:color="auto"/>
              <w:right w:val="single" w:sz="6" w:space="0" w:color="auto"/>
            </w:tcBorders>
            <w:hideMark/>
          </w:tcPr>
          <w:p w14:paraId="452AECA5" w14:textId="77777777" w:rsidR="000618E5" w:rsidRPr="006969B3" w:rsidRDefault="000618E5" w:rsidP="00F65283">
            <w:pPr>
              <w:spacing w:after="0" w:line="240" w:lineRule="auto"/>
              <w:jc w:val="center"/>
              <w:rPr>
                <w:rStyle w:val="baj"/>
                <w:rFonts w:ascii="Arial" w:hAnsi="Arial" w:cs="Arial"/>
                <w:lang w:val="es-CO"/>
              </w:rPr>
            </w:pPr>
          </w:p>
          <w:p w14:paraId="30B732E2" w14:textId="34CD5B0E" w:rsidR="003E6B56" w:rsidRPr="006969B3" w:rsidRDefault="003E6B56" w:rsidP="00F65283">
            <w:pPr>
              <w:spacing w:after="0" w:line="240" w:lineRule="auto"/>
              <w:jc w:val="center"/>
              <w:rPr>
                <w:rFonts w:ascii="Arial" w:hAnsi="Arial" w:cs="Arial"/>
                <w:lang w:val="es-CO"/>
              </w:rPr>
            </w:pPr>
            <w:r w:rsidRPr="006969B3">
              <w:rPr>
                <w:rStyle w:val="baj"/>
                <w:rFonts w:ascii="Arial" w:hAnsi="Arial" w:cs="Arial"/>
                <w:lang w:val="es-CO"/>
              </w:rPr>
              <w:t>NÚMERO DE HECTÁREAS</w:t>
            </w:r>
          </w:p>
        </w:tc>
        <w:tc>
          <w:tcPr>
            <w:tcW w:w="2500" w:type="pct"/>
            <w:tcBorders>
              <w:top w:val="single" w:sz="6" w:space="0" w:color="auto"/>
              <w:left w:val="single" w:sz="6" w:space="0" w:color="auto"/>
              <w:bottom w:val="single" w:sz="6" w:space="0" w:color="auto"/>
              <w:right w:val="single" w:sz="6" w:space="0" w:color="auto"/>
            </w:tcBorders>
            <w:hideMark/>
          </w:tcPr>
          <w:p w14:paraId="7F27C637" w14:textId="77777777" w:rsidR="003E6B56" w:rsidRPr="006969B3" w:rsidRDefault="003E6B56" w:rsidP="00F65283">
            <w:pPr>
              <w:spacing w:after="0" w:line="240" w:lineRule="auto"/>
              <w:jc w:val="center"/>
              <w:rPr>
                <w:rFonts w:ascii="Arial" w:hAnsi="Arial" w:cs="Arial"/>
                <w:lang w:val="es-CO"/>
              </w:rPr>
            </w:pPr>
            <w:r w:rsidRPr="006969B3">
              <w:rPr>
                <w:rStyle w:val="baj"/>
                <w:rFonts w:ascii="Arial" w:hAnsi="Arial" w:cs="Arial"/>
                <w:lang w:val="es-CO"/>
              </w:rPr>
              <w:t>SMDLV/h*</w:t>
            </w:r>
          </w:p>
        </w:tc>
      </w:tr>
      <w:tr w:rsidR="003D1DF1" w:rsidRPr="006969B3" w14:paraId="35F474ED" w14:textId="77777777" w:rsidTr="003E6B56">
        <w:trPr>
          <w:tblCellSpacing w:w="15" w:type="dxa"/>
        </w:trPr>
        <w:tc>
          <w:tcPr>
            <w:tcW w:w="2500" w:type="pct"/>
            <w:tcBorders>
              <w:top w:val="single" w:sz="6" w:space="0" w:color="auto"/>
              <w:left w:val="single" w:sz="6" w:space="0" w:color="auto"/>
              <w:bottom w:val="single" w:sz="6" w:space="0" w:color="auto"/>
              <w:right w:val="single" w:sz="6" w:space="0" w:color="auto"/>
            </w:tcBorders>
            <w:hideMark/>
          </w:tcPr>
          <w:p w14:paraId="03FDD48E" w14:textId="77777777" w:rsidR="003E6B56" w:rsidRPr="006969B3" w:rsidRDefault="003E6B56" w:rsidP="00F65283">
            <w:pPr>
              <w:spacing w:after="0" w:line="240" w:lineRule="auto"/>
              <w:jc w:val="center"/>
              <w:rPr>
                <w:rFonts w:ascii="Arial" w:hAnsi="Arial" w:cs="Arial"/>
                <w:lang w:val="es-CO"/>
              </w:rPr>
            </w:pPr>
            <w:r w:rsidRPr="006969B3">
              <w:rPr>
                <w:rFonts w:ascii="Arial" w:hAnsi="Arial" w:cs="Arial"/>
                <w:lang w:val="es-CO"/>
              </w:rPr>
              <w:t>0-150</w:t>
            </w:r>
          </w:p>
        </w:tc>
        <w:tc>
          <w:tcPr>
            <w:tcW w:w="2500" w:type="pct"/>
            <w:tcBorders>
              <w:top w:val="single" w:sz="6" w:space="0" w:color="auto"/>
              <w:left w:val="single" w:sz="6" w:space="0" w:color="auto"/>
              <w:bottom w:val="single" w:sz="6" w:space="0" w:color="auto"/>
              <w:right w:val="single" w:sz="6" w:space="0" w:color="auto"/>
            </w:tcBorders>
            <w:hideMark/>
          </w:tcPr>
          <w:p w14:paraId="3BD00249" w14:textId="77777777" w:rsidR="003E6B56" w:rsidRPr="006969B3" w:rsidRDefault="003E6B56" w:rsidP="00F65283">
            <w:pPr>
              <w:spacing w:after="0" w:line="240" w:lineRule="auto"/>
              <w:jc w:val="center"/>
              <w:rPr>
                <w:rFonts w:ascii="Arial" w:hAnsi="Arial" w:cs="Arial"/>
                <w:lang w:val="es-CO"/>
              </w:rPr>
            </w:pPr>
            <w:r w:rsidRPr="006969B3">
              <w:rPr>
                <w:rFonts w:ascii="Arial" w:hAnsi="Arial" w:cs="Arial"/>
                <w:lang w:val="es-CO"/>
              </w:rPr>
              <w:t>0.125</w:t>
            </w:r>
          </w:p>
        </w:tc>
      </w:tr>
      <w:tr w:rsidR="003D1DF1" w:rsidRPr="006969B3" w14:paraId="2BC727B4" w14:textId="77777777" w:rsidTr="003E6B56">
        <w:trPr>
          <w:tblCellSpacing w:w="15" w:type="dxa"/>
        </w:trPr>
        <w:tc>
          <w:tcPr>
            <w:tcW w:w="2500" w:type="pct"/>
            <w:tcBorders>
              <w:top w:val="single" w:sz="6" w:space="0" w:color="auto"/>
              <w:left w:val="single" w:sz="6" w:space="0" w:color="auto"/>
              <w:bottom w:val="single" w:sz="6" w:space="0" w:color="auto"/>
              <w:right w:val="single" w:sz="6" w:space="0" w:color="auto"/>
            </w:tcBorders>
            <w:hideMark/>
          </w:tcPr>
          <w:p w14:paraId="7E3669BB" w14:textId="77777777" w:rsidR="003E6B56" w:rsidRPr="006969B3" w:rsidRDefault="003E6B56" w:rsidP="00F65283">
            <w:pPr>
              <w:spacing w:after="0" w:line="240" w:lineRule="auto"/>
              <w:jc w:val="center"/>
              <w:rPr>
                <w:rFonts w:ascii="Arial" w:hAnsi="Arial" w:cs="Arial"/>
                <w:lang w:val="es-CO"/>
              </w:rPr>
            </w:pPr>
            <w:r w:rsidRPr="006969B3">
              <w:rPr>
                <w:rFonts w:ascii="Arial" w:hAnsi="Arial" w:cs="Arial"/>
                <w:lang w:val="es-CO"/>
              </w:rPr>
              <w:t>151-5.000</w:t>
            </w:r>
          </w:p>
        </w:tc>
        <w:tc>
          <w:tcPr>
            <w:tcW w:w="2500" w:type="pct"/>
            <w:tcBorders>
              <w:top w:val="single" w:sz="6" w:space="0" w:color="auto"/>
              <w:left w:val="single" w:sz="6" w:space="0" w:color="auto"/>
              <w:bottom w:val="single" w:sz="6" w:space="0" w:color="auto"/>
              <w:right w:val="single" w:sz="6" w:space="0" w:color="auto"/>
            </w:tcBorders>
            <w:hideMark/>
          </w:tcPr>
          <w:p w14:paraId="08832FA3" w14:textId="77777777" w:rsidR="003E6B56" w:rsidRPr="006969B3" w:rsidRDefault="003E6B56" w:rsidP="00F65283">
            <w:pPr>
              <w:spacing w:after="0" w:line="240" w:lineRule="auto"/>
              <w:jc w:val="center"/>
              <w:rPr>
                <w:rFonts w:ascii="Arial" w:hAnsi="Arial" w:cs="Arial"/>
                <w:lang w:val="es-CO"/>
              </w:rPr>
            </w:pPr>
            <w:r w:rsidRPr="006969B3">
              <w:rPr>
                <w:rFonts w:ascii="Arial" w:hAnsi="Arial" w:cs="Arial"/>
                <w:lang w:val="es-CO"/>
              </w:rPr>
              <w:t>0.19</w:t>
            </w:r>
          </w:p>
        </w:tc>
      </w:tr>
      <w:tr w:rsidR="003D1DF1" w:rsidRPr="006969B3" w14:paraId="28A4659E" w14:textId="77777777" w:rsidTr="003E6B56">
        <w:trPr>
          <w:tblCellSpacing w:w="15" w:type="dxa"/>
        </w:trPr>
        <w:tc>
          <w:tcPr>
            <w:tcW w:w="2500" w:type="pct"/>
            <w:tcBorders>
              <w:top w:val="single" w:sz="6" w:space="0" w:color="auto"/>
              <w:left w:val="single" w:sz="6" w:space="0" w:color="auto"/>
              <w:bottom w:val="single" w:sz="6" w:space="0" w:color="auto"/>
              <w:right w:val="single" w:sz="6" w:space="0" w:color="auto"/>
            </w:tcBorders>
            <w:hideMark/>
          </w:tcPr>
          <w:p w14:paraId="124AF3AB" w14:textId="77777777" w:rsidR="003E6B56" w:rsidRPr="006969B3" w:rsidRDefault="003E6B56" w:rsidP="00F65283">
            <w:pPr>
              <w:spacing w:after="0" w:line="240" w:lineRule="auto"/>
              <w:jc w:val="center"/>
              <w:rPr>
                <w:rFonts w:ascii="Arial" w:hAnsi="Arial" w:cs="Arial"/>
                <w:lang w:val="es-CO"/>
              </w:rPr>
            </w:pPr>
            <w:r w:rsidRPr="006969B3">
              <w:rPr>
                <w:rFonts w:ascii="Arial" w:hAnsi="Arial" w:cs="Arial"/>
                <w:lang w:val="es-CO"/>
              </w:rPr>
              <w:t>5.001 - 10.000</w:t>
            </w:r>
          </w:p>
        </w:tc>
        <w:tc>
          <w:tcPr>
            <w:tcW w:w="2500" w:type="pct"/>
            <w:tcBorders>
              <w:top w:val="single" w:sz="6" w:space="0" w:color="auto"/>
              <w:left w:val="single" w:sz="6" w:space="0" w:color="auto"/>
              <w:bottom w:val="single" w:sz="6" w:space="0" w:color="auto"/>
              <w:right w:val="single" w:sz="6" w:space="0" w:color="auto"/>
            </w:tcBorders>
            <w:hideMark/>
          </w:tcPr>
          <w:p w14:paraId="6072A157" w14:textId="77777777" w:rsidR="003E6B56" w:rsidRPr="006969B3" w:rsidRDefault="003E6B56" w:rsidP="00F65283">
            <w:pPr>
              <w:spacing w:after="0" w:line="240" w:lineRule="auto"/>
              <w:jc w:val="center"/>
              <w:rPr>
                <w:rFonts w:ascii="Arial" w:hAnsi="Arial" w:cs="Arial"/>
                <w:lang w:val="es-CO"/>
              </w:rPr>
            </w:pPr>
            <w:r w:rsidRPr="006969B3">
              <w:rPr>
                <w:rFonts w:ascii="Arial" w:hAnsi="Arial" w:cs="Arial"/>
                <w:lang w:val="es-CO"/>
              </w:rPr>
              <w:t>0.25</w:t>
            </w:r>
          </w:p>
        </w:tc>
      </w:tr>
    </w:tbl>
    <w:p w14:paraId="45DB1E2A" w14:textId="1DC9B8A9" w:rsidR="003E6B56" w:rsidRPr="006969B3" w:rsidRDefault="003E6B56" w:rsidP="00F65283">
      <w:pPr>
        <w:spacing w:after="0" w:line="240" w:lineRule="auto"/>
        <w:rPr>
          <w:rFonts w:ascii="Arial" w:hAnsi="Arial" w:cs="Arial"/>
          <w:lang w:val="es-CO"/>
        </w:rPr>
      </w:pPr>
    </w:p>
    <w:p w14:paraId="0220FAD7" w14:textId="77777777" w:rsidR="003E6B56" w:rsidRPr="006969B3" w:rsidRDefault="003E6B56" w:rsidP="00F65283">
      <w:pPr>
        <w:pStyle w:val="NormalWeb"/>
        <w:spacing w:before="0" w:beforeAutospacing="0" w:after="0" w:afterAutospacing="0"/>
        <w:jc w:val="both"/>
        <w:rPr>
          <w:rFonts w:ascii="Arial" w:hAnsi="Arial" w:cs="Arial"/>
          <w:sz w:val="22"/>
          <w:szCs w:val="22"/>
          <w:lang w:val="es-CO"/>
        </w:rPr>
      </w:pPr>
      <w:bookmarkStart w:id="349" w:name="327"/>
      <w:r w:rsidRPr="006969B3">
        <w:rPr>
          <w:rFonts w:ascii="Arial" w:hAnsi="Arial" w:cs="Arial"/>
          <w:sz w:val="22"/>
          <w:szCs w:val="22"/>
          <w:lang w:val="es-CO"/>
        </w:rPr>
        <w:t>ARTÍCULO 327. MINERÍA DE SUBSISTENCIA.</w:t>
      </w:r>
      <w:bookmarkEnd w:id="349"/>
      <w:r w:rsidRPr="006969B3">
        <w:rPr>
          <w:rFonts w:ascii="Arial" w:hAnsi="Arial" w:cs="Arial"/>
          <w:sz w:val="22"/>
          <w:szCs w:val="22"/>
          <w:lang w:val="es-CO"/>
        </w:rPr>
        <w:t> Los mineros de subsistencia, definidos por el Gobierno nacional, sólo requerirán para el desarrollo de su actividad la inscripción personal y gratuita ante la alcaldía del municipio donde realizan la actividad y de efectuarse en terrenos de propiedad privada deberá obtener la autorización del propietario. La alcaldía del municipio donde se realiza la actividad minera podrá mediar en la obtención de dicha autorización. En la minería de subsistencia se entienden incluidas las labores de barequeo.</w:t>
      </w:r>
    </w:p>
    <w:p w14:paraId="4643CBD1" w14:textId="79F20452"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La minería de subsistencia no comprende la realización de actividades subterráneas, hacer uso de maquinaria o explosivos, ni puede exceder los volúmenes de producción señalados </w:t>
      </w:r>
      <w:r w:rsidRPr="006969B3">
        <w:rPr>
          <w:rFonts w:ascii="Arial" w:hAnsi="Arial" w:cs="Arial"/>
          <w:sz w:val="22"/>
          <w:szCs w:val="22"/>
          <w:lang w:val="es-CO"/>
        </w:rPr>
        <w:lastRenderedPageBreak/>
        <w:t>por el Ministerio de Minas y Energía. Para el ejercicio de esta actividad los mineros deberán cumplir con las restricciones establecidas en los artículos </w:t>
      </w:r>
      <w:r w:rsidRPr="000A2938">
        <w:rPr>
          <w:rFonts w:ascii="Arial" w:hAnsi="Arial" w:cs="Arial"/>
          <w:sz w:val="22"/>
          <w:szCs w:val="22"/>
          <w:lang w:val="es-CO"/>
        </w:rPr>
        <w:t>157</w:t>
      </w:r>
      <w:r w:rsidRPr="006969B3">
        <w:rPr>
          <w:rFonts w:ascii="Arial" w:hAnsi="Arial" w:cs="Arial"/>
          <w:sz w:val="22"/>
          <w:szCs w:val="22"/>
          <w:lang w:val="es-CO"/>
        </w:rPr>
        <w:t> y </w:t>
      </w:r>
      <w:r w:rsidRPr="000A2938">
        <w:rPr>
          <w:rFonts w:ascii="Arial" w:hAnsi="Arial" w:cs="Arial"/>
          <w:sz w:val="22"/>
          <w:szCs w:val="22"/>
          <w:lang w:val="es-CO"/>
        </w:rPr>
        <w:t>158</w:t>
      </w:r>
      <w:r w:rsidRPr="006969B3">
        <w:rPr>
          <w:rFonts w:ascii="Arial" w:hAnsi="Arial" w:cs="Arial"/>
          <w:sz w:val="22"/>
          <w:szCs w:val="22"/>
          <w:lang w:val="es-CO"/>
        </w:rPr>
        <w:t> de la Ley 685 de 2001.</w:t>
      </w:r>
    </w:p>
    <w:p w14:paraId="31EEF63B" w14:textId="3DCA7B13"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Los municipios deberán implementar la validación biométrica en el Sistema Automatizado de Identificación Dactilar de la Registraduría Nacional del Estado Civil, con el fin de verificar la plena identidad de los mineros de subsistencia al momento de la inscripción.</w:t>
      </w:r>
    </w:p>
    <w:p w14:paraId="1BE06557" w14:textId="77777777" w:rsidR="000618E5" w:rsidRPr="006969B3" w:rsidRDefault="000618E5" w:rsidP="00F65283">
      <w:pPr>
        <w:pStyle w:val="NormalWeb"/>
        <w:spacing w:before="0" w:beforeAutospacing="0" w:after="0" w:afterAutospacing="0"/>
        <w:jc w:val="both"/>
        <w:rPr>
          <w:rFonts w:ascii="Arial" w:hAnsi="Arial" w:cs="Arial"/>
          <w:sz w:val="22"/>
          <w:szCs w:val="22"/>
          <w:lang w:val="es-CO"/>
        </w:rPr>
      </w:pPr>
    </w:p>
    <w:p w14:paraId="37691618" w14:textId="43D49E0B"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 inscripción deberá realizarse con el cumplimiento de los siguientes requisitos:</w:t>
      </w:r>
    </w:p>
    <w:p w14:paraId="4EBFEE87" w14:textId="77777777" w:rsidR="000618E5" w:rsidRPr="006969B3" w:rsidRDefault="000618E5" w:rsidP="00F65283">
      <w:pPr>
        <w:pStyle w:val="NormalWeb"/>
        <w:spacing w:before="0" w:beforeAutospacing="0" w:after="0" w:afterAutospacing="0"/>
        <w:jc w:val="both"/>
        <w:rPr>
          <w:rFonts w:ascii="Arial" w:hAnsi="Arial" w:cs="Arial"/>
          <w:sz w:val="22"/>
          <w:szCs w:val="22"/>
          <w:lang w:val="es-CO"/>
        </w:rPr>
      </w:pPr>
    </w:p>
    <w:p w14:paraId="55815655" w14:textId="342E856A"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i) Presentación de la cédula de ciudadanía; </w:t>
      </w:r>
      <w:proofErr w:type="spellStart"/>
      <w:r w:rsidRPr="006969B3">
        <w:rPr>
          <w:rFonts w:ascii="Arial" w:hAnsi="Arial" w:cs="Arial"/>
          <w:sz w:val="22"/>
          <w:szCs w:val="22"/>
          <w:lang w:val="es-CO"/>
        </w:rPr>
        <w:t>ii</w:t>
      </w:r>
      <w:proofErr w:type="spellEnd"/>
      <w:r w:rsidRPr="006969B3">
        <w:rPr>
          <w:rFonts w:ascii="Arial" w:hAnsi="Arial" w:cs="Arial"/>
          <w:sz w:val="22"/>
          <w:szCs w:val="22"/>
          <w:lang w:val="es-CO"/>
        </w:rPr>
        <w:t xml:space="preserve">) Registro Único Tributario con Indicación específica de la actividad económica relacionada con la actividad minera, </w:t>
      </w:r>
      <w:proofErr w:type="spellStart"/>
      <w:r w:rsidRPr="006969B3">
        <w:rPr>
          <w:rFonts w:ascii="Arial" w:hAnsi="Arial" w:cs="Arial"/>
          <w:sz w:val="22"/>
          <w:szCs w:val="22"/>
          <w:lang w:val="es-CO"/>
        </w:rPr>
        <w:t>iii</w:t>
      </w:r>
      <w:proofErr w:type="spellEnd"/>
      <w:r w:rsidRPr="006969B3">
        <w:rPr>
          <w:rFonts w:ascii="Arial" w:hAnsi="Arial" w:cs="Arial"/>
          <w:sz w:val="22"/>
          <w:szCs w:val="22"/>
          <w:lang w:val="es-CO"/>
        </w:rPr>
        <w:t xml:space="preserve">) Certificado de afiliación a Sisbén, o el documento que haga sus veces; </w:t>
      </w:r>
      <w:proofErr w:type="spellStart"/>
      <w:r w:rsidRPr="006969B3">
        <w:rPr>
          <w:rFonts w:ascii="Arial" w:hAnsi="Arial" w:cs="Arial"/>
          <w:sz w:val="22"/>
          <w:szCs w:val="22"/>
          <w:lang w:val="es-CO"/>
        </w:rPr>
        <w:t>iv</w:t>
      </w:r>
      <w:proofErr w:type="spellEnd"/>
      <w:r w:rsidRPr="006969B3">
        <w:rPr>
          <w:rFonts w:ascii="Arial" w:hAnsi="Arial" w:cs="Arial"/>
          <w:sz w:val="22"/>
          <w:szCs w:val="22"/>
          <w:lang w:val="es-CO"/>
        </w:rPr>
        <w:t>) Indicación del mineral objeto de explotación; v) Descripción de la actividad y la indicación de la zona donde se va a realizar (municipio, corregimiento, caserío, vereda, río).</w:t>
      </w:r>
    </w:p>
    <w:p w14:paraId="77C0FB36" w14:textId="77777777" w:rsidR="000618E5" w:rsidRPr="006969B3" w:rsidRDefault="000618E5" w:rsidP="00F65283">
      <w:pPr>
        <w:pStyle w:val="NormalWeb"/>
        <w:spacing w:before="0" w:beforeAutospacing="0" w:after="0" w:afterAutospacing="0"/>
        <w:jc w:val="both"/>
        <w:rPr>
          <w:rFonts w:ascii="Arial" w:hAnsi="Arial" w:cs="Arial"/>
          <w:sz w:val="22"/>
          <w:szCs w:val="22"/>
          <w:lang w:val="es-CO"/>
        </w:rPr>
      </w:pPr>
    </w:p>
    <w:p w14:paraId="5DD9DCE2" w14:textId="323F0ECF"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Estos mineros no podrán estar inscritos en más de un municipio a la vez, en cuya jurisdicción deberán realizar la actividad. La inscripción deberá ser renovada anualmente de manera personal, y la información podrá ser actualizada por los mineros en cualquier tiempo, en caso de efectuarse un cambio en la ejecución de la actividad. Los mineros que se encuentren inscritos contarán con el término de seis (6) meses para renovar su inscripción con el cumplimiento de los requisitos antes establecidos.</w:t>
      </w:r>
    </w:p>
    <w:p w14:paraId="3827EFB8" w14:textId="77777777" w:rsidR="000618E5" w:rsidRPr="006969B3" w:rsidRDefault="000618E5" w:rsidP="00F65283">
      <w:pPr>
        <w:pStyle w:val="NormalWeb"/>
        <w:spacing w:before="0" w:beforeAutospacing="0" w:after="0" w:afterAutospacing="0"/>
        <w:jc w:val="both"/>
        <w:rPr>
          <w:rFonts w:ascii="Arial" w:hAnsi="Arial" w:cs="Arial"/>
          <w:sz w:val="22"/>
          <w:szCs w:val="22"/>
          <w:lang w:val="es-CO"/>
        </w:rPr>
      </w:pPr>
    </w:p>
    <w:p w14:paraId="09FBBA6C" w14:textId="6F243B7C"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 inscripción de los mineros de subsistencia deberá realizarse por los municipios en el sistema de información que para el efecto disponga el Ministerio de Minas y Energía.</w:t>
      </w:r>
    </w:p>
    <w:p w14:paraId="5C0AF57D" w14:textId="77777777" w:rsidR="000618E5" w:rsidRPr="006969B3" w:rsidRDefault="000618E5" w:rsidP="00F65283">
      <w:pPr>
        <w:pStyle w:val="NormalWeb"/>
        <w:spacing w:before="0" w:beforeAutospacing="0" w:after="0" w:afterAutospacing="0"/>
        <w:jc w:val="both"/>
        <w:rPr>
          <w:rFonts w:ascii="Arial" w:hAnsi="Arial" w:cs="Arial"/>
          <w:sz w:val="22"/>
          <w:szCs w:val="22"/>
          <w:lang w:val="es-CO"/>
        </w:rPr>
      </w:pPr>
    </w:p>
    <w:p w14:paraId="192B7F6D" w14:textId="4E497484"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Los alcaldes vigilarán el cumplimiento de lo dispuesto en este artículo e impondrán las medidas a que haya lugar, sin perjuicio de las medidas preventivas y sancionatorias que imponga la autoridad ambiental para la prevención o por la comisión de un daño ambiental de acuerdo con lo dispuesto en la Ley </w:t>
      </w:r>
      <w:r w:rsidRPr="000A2938">
        <w:rPr>
          <w:rFonts w:ascii="Arial" w:hAnsi="Arial" w:cs="Arial"/>
          <w:sz w:val="22"/>
          <w:szCs w:val="22"/>
          <w:lang w:val="es-CO"/>
        </w:rPr>
        <w:t>1333</w:t>
      </w:r>
      <w:r w:rsidRPr="006969B3">
        <w:rPr>
          <w:rFonts w:ascii="Arial" w:hAnsi="Arial" w:cs="Arial"/>
          <w:sz w:val="22"/>
          <w:szCs w:val="22"/>
          <w:lang w:val="es-CO"/>
        </w:rPr>
        <w:t> de 2009, o la norma que la modifique, adicione o sustituya.</w:t>
      </w:r>
    </w:p>
    <w:p w14:paraId="4C346667" w14:textId="77777777" w:rsidR="000618E5" w:rsidRPr="006969B3" w:rsidRDefault="000618E5" w:rsidP="00F65283">
      <w:pPr>
        <w:pStyle w:val="NormalWeb"/>
        <w:spacing w:before="0" w:beforeAutospacing="0" w:after="0" w:afterAutospacing="0"/>
        <w:jc w:val="both"/>
        <w:rPr>
          <w:rFonts w:ascii="Arial" w:hAnsi="Arial" w:cs="Arial"/>
          <w:sz w:val="22"/>
          <w:szCs w:val="22"/>
          <w:lang w:val="es-CO"/>
        </w:rPr>
      </w:pPr>
    </w:p>
    <w:p w14:paraId="34C4494C" w14:textId="11496CB1"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alcalde se abstendrá de inscribir o cancelará la inscripción del minero de subsistencia en los siguientes eventos:</w:t>
      </w:r>
    </w:p>
    <w:p w14:paraId="48DB6BA9" w14:textId="77777777" w:rsidR="000618E5" w:rsidRPr="006969B3" w:rsidRDefault="000618E5" w:rsidP="00F65283">
      <w:pPr>
        <w:pStyle w:val="NormalWeb"/>
        <w:spacing w:before="0" w:beforeAutospacing="0" w:after="0" w:afterAutospacing="0"/>
        <w:jc w:val="both"/>
        <w:rPr>
          <w:rFonts w:ascii="Arial" w:hAnsi="Arial" w:cs="Arial"/>
          <w:sz w:val="22"/>
          <w:szCs w:val="22"/>
          <w:lang w:val="es-CO"/>
        </w:rPr>
      </w:pPr>
    </w:p>
    <w:p w14:paraId="693CB423" w14:textId="77777777"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 Si la actividad se realiza en zonas excluidas o prohibidas de las actividades mineras;</w:t>
      </w:r>
    </w:p>
    <w:p w14:paraId="2B6F19E2" w14:textId="77777777" w:rsidR="000618E5" w:rsidRPr="006969B3" w:rsidRDefault="000618E5" w:rsidP="00F65283">
      <w:pPr>
        <w:pStyle w:val="NormalWeb"/>
        <w:spacing w:before="0" w:beforeAutospacing="0" w:after="0" w:afterAutospacing="0"/>
        <w:jc w:val="both"/>
        <w:rPr>
          <w:rFonts w:ascii="Arial" w:hAnsi="Arial" w:cs="Arial"/>
          <w:sz w:val="22"/>
          <w:szCs w:val="22"/>
          <w:lang w:val="es-CO"/>
        </w:rPr>
      </w:pPr>
    </w:p>
    <w:p w14:paraId="58D78026" w14:textId="589021DA"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b) Si la actividad no se realiza con las restricciones establecidas en los artículos </w:t>
      </w:r>
      <w:r w:rsidRPr="000A2938">
        <w:rPr>
          <w:rFonts w:ascii="Arial" w:hAnsi="Arial" w:cs="Arial"/>
          <w:sz w:val="22"/>
          <w:szCs w:val="22"/>
          <w:lang w:val="es-CO"/>
        </w:rPr>
        <w:t>157</w:t>
      </w:r>
      <w:r w:rsidRPr="006969B3">
        <w:rPr>
          <w:rFonts w:ascii="Arial" w:hAnsi="Arial" w:cs="Arial"/>
          <w:sz w:val="22"/>
          <w:szCs w:val="22"/>
          <w:lang w:val="es-CO"/>
        </w:rPr>
        <w:t> y </w:t>
      </w:r>
      <w:r w:rsidRPr="000A2938">
        <w:rPr>
          <w:rFonts w:ascii="Arial" w:hAnsi="Arial" w:cs="Arial"/>
          <w:sz w:val="22"/>
          <w:szCs w:val="22"/>
          <w:lang w:val="es-CO"/>
        </w:rPr>
        <w:t>158</w:t>
      </w:r>
      <w:r w:rsidRPr="006969B3">
        <w:rPr>
          <w:rFonts w:ascii="Arial" w:hAnsi="Arial" w:cs="Arial"/>
          <w:sz w:val="22"/>
          <w:szCs w:val="22"/>
          <w:lang w:val="es-CO"/>
        </w:rPr>
        <w:t> de la Ley 685 de 2001;</w:t>
      </w:r>
    </w:p>
    <w:p w14:paraId="2D70F45A" w14:textId="77777777" w:rsidR="000618E5" w:rsidRPr="006969B3" w:rsidRDefault="000618E5" w:rsidP="00F65283">
      <w:pPr>
        <w:pStyle w:val="NormalWeb"/>
        <w:spacing w:before="0" w:beforeAutospacing="0" w:after="0" w:afterAutospacing="0"/>
        <w:jc w:val="both"/>
        <w:rPr>
          <w:rFonts w:ascii="Arial" w:hAnsi="Arial" w:cs="Arial"/>
          <w:sz w:val="22"/>
          <w:szCs w:val="22"/>
          <w:lang w:val="es-CO"/>
        </w:rPr>
      </w:pPr>
    </w:p>
    <w:p w14:paraId="5E5C1F0C" w14:textId="6040B51D"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c) Si la actividad se realiza en un lugar diferente al señalado en la inscripción;</w:t>
      </w:r>
    </w:p>
    <w:p w14:paraId="0F20091F" w14:textId="77777777"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d) Cuando exceda los volúmenes de producción señalados por el Ministerio de Minas y Energía o la autoridad competente;</w:t>
      </w:r>
    </w:p>
    <w:p w14:paraId="1DA18FF2" w14:textId="77777777" w:rsidR="000618E5" w:rsidRPr="006969B3" w:rsidRDefault="000618E5" w:rsidP="00F65283">
      <w:pPr>
        <w:pStyle w:val="NormalWeb"/>
        <w:spacing w:before="0" w:beforeAutospacing="0" w:after="0" w:afterAutospacing="0"/>
        <w:jc w:val="both"/>
        <w:rPr>
          <w:rFonts w:ascii="Arial" w:hAnsi="Arial" w:cs="Arial"/>
          <w:sz w:val="22"/>
          <w:szCs w:val="22"/>
          <w:lang w:val="es-CO"/>
        </w:rPr>
      </w:pPr>
    </w:p>
    <w:p w14:paraId="5B0AA41B" w14:textId="3A850F1D"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 Cuando utilice maquinaria, equipos mecanizados o explosivos para el arranque de los minerales;</w:t>
      </w:r>
    </w:p>
    <w:p w14:paraId="7564E3D3" w14:textId="77777777" w:rsidR="000618E5" w:rsidRPr="006969B3" w:rsidRDefault="000618E5" w:rsidP="00F65283">
      <w:pPr>
        <w:pStyle w:val="NormalWeb"/>
        <w:spacing w:before="0" w:beforeAutospacing="0" w:after="0" w:afterAutospacing="0"/>
        <w:jc w:val="both"/>
        <w:rPr>
          <w:rFonts w:ascii="Arial" w:hAnsi="Arial" w:cs="Arial"/>
          <w:sz w:val="22"/>
          <w:szCs w:val="22"/>
          <w:lang w:val="es-CO"/>
        </w:rPr>
      </w:pPr>
    </w:p>
    <w:p w14:paraId="42468257" w14:textId="615AD9DD"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f) Si las actividades se realizan de manera subterránea;</w:t>
      </w:r>
    </w:p>
    <w:p w14:paraId="00CCF886" w14:textId="77777777" w:rsidR="000618E5" w:rsidRPr="006969B3" w:rsidRDefault="000618E5" w:rsidP="00F65283">
      <w:pPr>
        <w:pStyle w:val="NormalWeb"/>
        <w:spacing w:before="0" w:beforeAutospacing="0" w:after="0" w:afterAutospacing="0"/>
        <w:jc w:val="both"/>
        <w:rPr>
          <w:rFonts w:ascii="Arial" w:hAnsi="Arial" w:cs="Arial"/>
          <w:sz w:val="22"/>
          <w:szCs w:val="22"/>
          <w:lang w:val="es-CO"/>
        </w:rPr>
      </w:pPr>
    </w:p>
    <w:p w14:paraId="260317FA" w14:textId="5A1C0A88"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g) Cuando extraiga un mineral diferente al establecido en la inscripción.</w:t>
      </w:r>
    </w:p>
    <w:p w14:paraId="52634EA8" w14:textId="77777777" w:rsidR="000618E5" w:rsidRPr="006969B3" w:rsidRDefault="000618E5" w:rsidP="00F65283">
      <w:pPr>
        <w:pStyle w:val="NormalWeb"/>
        <w:spacing w:before="0" w:beforeAutospacing="0" w:after="0" w:afterAutospacing="0"/>
        <w:jc w:val="both"/>
        <w:rPr>
          <w:rFonts w:ascii="Arial" w:hAnsi="Arial" w:cs="Arial"/>
          <w:sz w:val="22"/>
          <w:szCs w:val="22"/>
          <w:lang w:val="es-CO"/>
        </w:rPr>
      </w:pPr>
    </w:p>
    <w:p w14:paraId="5FBB9986" w14:textId="6675DB19"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Al minero de subsistencia que se le cancele la inscripción no podrá inscribirse ante cualquier municipio por un término de seis (6) meses. De no cumplirse con los requisitos exigidos en </w:t>
      </w:r>
      <w:r w:rsidRPr="006969B3">
        <w:rPr>
          <w:rFonts w:ascii="Arial" w:hAnsi="Arial" w:cs="Arial"/>
          <w:sz w:val="22"/>
          <w:szCs w:val="22"/>
          <w:lang w:val="es-CO"/>
        </w:rPr>
        <w:lastRenderedPageBreak/>
        <w:t>este artículo para el desarrollo de la minería de subsistencia, los mineros se considerarán explotadores ilícitos de yacimientos mineros en los términos del Código Penal Colombiano o la norma que lo modifique o sustituya.</w:t>
      </w:r>
    </w:p>
    <w:p w14:paraId="4F25568A" w14:textId="77777777" w:rsidR="000618E5" w:rsidRPr="006969B3" w:rsidRDefault="000618E5" w:rsidP="00F65283">
      <w:pPr>
        <w:pStyle w:val="NormalWeb"/>
        <w:spacing w:before="0" w:beforeAutospacing="0" w:after="0" w:afterAutospacing="0"/>
        <w:jc w:val="both"/>
        <w:rPr>
          <w:rStyle w:val="baj"/>
          <w:rFonts w:ascii="Arial" w:hAnsi="Arial" w:cs="Arial"/>
          <w:sz w:val="22"/>
          <w:szCs w:val="22"/>
          <w:lang w:val="es-CO"/>
        </w:rPr>
      </w:pPr>
    </w:p>
    <w:p w14:paraId="3AFDA35D" w14:textId="7B8ECE6F"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La autoridad minera brindará las herramientas de actualización de la plataforma de inscripción de mineros de subsistencia, con las necesidades de información que requieran los municipios para llevar a cabo las labores de inscripción conociendo las restricciones en tiempo real.</w:t>
      </w:r>
    </w:p>
    <w:p w14:paraId="309260ED" w14:textId="77777777" w:rsidR="00274B87" w:rsidRPr="006969B3" w:rsidRDefault="00274B87" w:rsidP="00F65283">
      <w:pPr>
        <w:pStyle w:val="NormalWeb"/>
        <w:spacing w:before="0" w:beforeAutospacing="0" w:after="0" w:afterAutospacing="0"/>
        <w:jc w:val="both"/>
        <w:rPr>
          <w:rFonts w:ascii="Arial" w:hAnsi="Arial" w:cs="Arial"/>
          <w:sz w:val="22"/>
          <w:szCs w:val="22"/>
          <w:lang w:val="es-CO"/>
        </w:rPr>
      </w:pPr>
    </w:p>
    <w:p w14:paraId="2F710007" w14:textId="77777777"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En las zonas de minería de subsistencia, la DIAN implementará, en coordinación con las autoridades territoriales, campañas para agilizar el registro del RUT para los explotadores mineros.</w:t>
      </w:r>
    </w:p>
    <w:p w14:paraId="1D1ACCD5" w14:textId="0E55C6F2" w:rsidR="003E6B56" w:rsidRPr="006969B3" w:rsidRDefault="003E6B56" w:rsidP="00F65283">
      <w:pPr>
        <w:spacing w:after="0" w:line="240" w:lineRule="auto"/>
        <w:rPr>
          <w:rFonts w:ascii="Arial" w:hAnsi="Arial" w:cs="Arial"/>
          <w:lang w:val="es-CO"/>
        </w:rPr>
      </w:pPr>
    </w:p>
    <w:p w14:paraId="2830DB60" w14:textId="77777777" w:rsidR="003E6B56" w:rsidRPr="006969B3" w:rsidRDefault="003E6B56" w:rsidP="00F65283">
      <w:pPr>
        <w:pStyle w:val="NormalWeb"/>
        <w:spacing w:before="0" w:beforeAutospacing="0" w:after="0" w:afterAutospacing="0"/>
        <w:jc w:val="both"/>
        <w:rPr>
          <w:rFonts w:ascii="Arial" w:hAnsi="Arial" w:cs="Arial"/>
          <w:sz w:val="22"/>
          <w:szCs w:val="22"/>
          <w:lang w:val="es-CO"/>
        </w:rPr>
      </w:pPr>
      <w:bookmarkStart w:id="350" w:name="328"/>
      <w:r w:rsidRPr="006969B3">
        <w:rPr>
          <w:rFonts w:ascii="Arial" w:hAnsi="Arial" w:cs="Arial"/>
          <w:sz w:val="22"/>
          <w:szCs w:val="22"/>
          <w:lang w:val="es-CO"/>
        </w:rPr>
        <w:t>ARTÍCULO 328. ESTÁNDAR COLOMBIANO PARA EL REPORTE PÚBLICO DE RESULTADOS DE EXPLORACIÓN, RECURSOS Y RESERVAS MINERALES.</w:t>
      </w:r>
      <w:bookmarkEnd w:id="350"/>
      <w:r w:rsidRPr="006969B3">
        <w:rPr>
          <w:rFonts w:ascii="Arial" w:hAnsi="Arial" w:cs="Arial"/>
          <w:sz w:val="22"/>
          <w:szCs w:val="22"/>
          <w:lang w:val="es-CO"/>
        </w:rPr>
        <w:t xml:space="preserve"> Con ocasión de las actividades de exploración y explotación minera, para la presentación de la información de los recursos y reservas existentes en el área concesionada, se adopta el Estándar Colombiano para el Reporte Público de Resultados de Exploración, Recursos y Reservas Minerales de la Comisión Colombiana de Recursos y Reservas Minerales, o cualquier otro estándar internacionalmente reconocido por </w:t>
      </w:r>
      <w:proofErr w:type="spellStart"/>
      <w:r w:rsidRPr="006969B3">
        <w:rPr>
          <w:rFonts w:ascii="Arial" w:hAnsi="Arial" w:cs="Arial"/>
          <w:sz w:val="22"/>
          <w:szCs w:val="22"/>
          <w:lang w:val="es-CO"/>
        </w:rPr>
        <w:t>Committe</w:t>
      </w:r>
      <w:proofErr w:type="spellEnd"/>
      <w:r w:rsidRPr="006969B3">
        <w:rPr>
          <w:rFonts w:ascii="Arial" w:hAnsi="Arial" w:cs="Arial"/>
          <w:sz w:val="22"/>
          <w:szCs w:val="22"/>
          <w:lang w:val="es-CO"/>
        </w:rPr>
        <w:t xml:space="preserve"> </w:t>
      </w:r>
      <w:proofErr w:type="spellStart"/>
      <w:r w:rsidRPr="006969B3">
        <w:rPr>
          <w:rFonts w:ascii="Arial" w:hAnsi="Arial" w:cs="Arial"/>
          <w:sz w:val="22"/>
          <w:szCs w:val="22"/>
          <w:lang w:val="es-CO"/>
        </w:rPr>
        <w:t>for</w:t>
      </w:r>
      <w:proofErr w:type="spellEnd"/>
      <w:r w:rsidRPr="006969B3">
        <w:rPr>
          <w:rFonts w:ascii="Arial" w:hAnsi="Arial" w:cs="Arial"/>
          <w:sz w:val="22"/>
          <w:szCs w:val="22"/>
          <w:lang w:val="es-CO"/>
        </w:rPr>
        <w:t xml:space="preserve"> Mineral Reserves International </w:t>
      </w:r>
      <w:proofErr w:type="spellStart"/>
      <w:r w:rsidRPr="006969B3">
        <w:rPr>
          <w:rFonts w:ascii="Arial" w:hAnsi="Arial" w:cs="Arial"/>
          <w:sz w:val="22"/>
          <w:szCs w:val="22"/>
          <w:lang w:val="es-CO"/>
        </w:rPr>
        <w:t>Reporting</w:t>
      </w:r>
      <w:proofErr w:type="spellEnd"/>
      <w:r w:rsidRPr="006969B3">
        <w:rPr>
          <w:rFonts w:ascii="Arial" w:hAnsi="Arial" w:cs="Arial"/>
          <w:sz w:val="22"/>
          <w:szCs w:val="22"/>
          <w:lang w:val="es-CO"/>
        </w:rPr>
        <w:t xml:space="preserve"> </w:t>
      </w:r>
      <w:proofErr w:type="spellStart"/>
      <w:r w:rsidRPr="006969B3">
        <w:rPr>
          <w:rFonts w:ascii="Arial" w:hAnsi="Arial" w:cs="Arial"/>
          <w:sz w:val="22"/>
          <w:szCs w:val="22"/>
          <w:lang w:val="es-CO"/>
        </w:rPr>
        <w:t>Standards</w:t>
      </w:r>
      <w:proofErr w:type="spellEnd"/>
      <w:r w:rsidRPr="006969B3">
        <w:rPr>
          <w:rFonts w:ascii="Arial" w:hAnsi="Arial" w:cs="Arial"/>
          <w:sz w:val="22"/>
          <w:szCs w:val="22"/>
          <w:lang w:val="es-CO"/>
        </w:rPr>
        <w:t xml:space="preserve"> (</w:t>
      </w:r>
      <w:proofErr w:type="spellStart"/>
      <w:r w:rsidRPr="006969B3">
        <w:rPr>
          <w:rFonts w:ascii="Arial" w:hAnsi="Arial" w:cs="Arial"/>
          <w:sz w:val="22"/>
          <w:szCs w:val="22"/>
          <w:lang w:val="es-CO"/>
        </w:rPr>
        <w:t>Crirsco</w:t>
      </w:r>
      <w:proofErr w:type="spellEnd"/>
      <w:r w:rsidRPr="006969B3">
        <w:rPr>
          <w:rFonts w:ascii="Arial" w:hAnsi="Arial" w:cs="Arial"/>
          <w:sz w:val="22"/>
          <w:szCs w:val="22"/>
          <w:lang w:val="es-CO"/>
        </w:rPr>
        <w:t>), para su presentación. La información sobre los recursos y reservas existentes en el área concesionada estructurada en las condiciones previstas en el mencionado estándar, debe presentarse por el titular minero junto con el Programa de Trabajos y Obras o el documento técnico correspondiente o su actualización, sin perjuicio de que dicha información pueda ser requerida por la autoridad minera en cualquier momento durante la etapa de explotación.</w:t>
      </w:r>
    </w:p>
    <w:p w14:paraId="09EF5C0B" w14:textId="77777777" w:rsidR="000618E5" w:rsidRPr="006969B3" w:rsidRDefault="000618E5" w:rsidP="00F65283">
      <w:pPr>
        <w:pStyle w:val="NormalWeb"/>
        <w:spacing w:before="0" w:beforeAutospacing="0" w:after="0" w:afterAutospacing="0"/>
        <w:jc w:val="both"/>
        <w:rPr>
          <w:rFonts w:ascii="Arial" w:hAnsi="Arial" w:cs="Arial"/>
          <w:sz w:val="22"/>
          <w:szCs w:val="22"/>
          <w:lang w:val="es-CO"/>
        </w:rPr>
      </w:pPr>
    </w:p>
    <w:p w14:paraId="755CBD1A" w14:textId="7939C006"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 autoridad minera expedirá los términos de referencia que establezcan, entre otros aspectos, condiciones y periodicidad para la presentación de la información de que trata el presente artículo, y su incumplimiento dará lugar a las multas previstas en el artículo </w:t>
      </w:r>
      <w:r w:rsidRPr="000A2938">
        <w:rPr>
          <w:rFonts w:ascii="Arial" w:hAnsi="Arial" w:cs="Arial"/>
          <w:sz w:val="22"/>
          <w:szCs w:val="22"/>
          <w:lang w:val="es-CO"/>
        </w:rPr>
        <w:t>115</w:t>
      </w:r>
      <w:r w:rsidRPr="006969B3">
        <w:rPr>
          <w:rFonts w:ascii="Arial" w:hAnsi="Arial" w:cs="Arial"/>
          <w:sz w:val="22"/>
          <w:szCs w:val="22"/>
          <w:lang w:val="es-CO"/>
        </w:rPr>
        <w:t> del Código de Minas o la norma que lo modifique o sustituya. La información suministrada por los titulares mineros será divulgada y usada por parte de la autoridad minera, en los términos del artículo </w:t>
      </w:r>
      <w:r w:rsidRPr="000A2938">
        <w:rPr>
          <w:rFonts w:ascii="Arial" w:hAnsi="Arial" w:cs="Arial"/>
          <w:sz w:val="22"/>
          <w:szCs w:val="22"/>
          <w:lang w:val="es-CO"/>
        </w:rPr>
        <w:t>88</w:t>
      </w:r>
      <w:r w:rsidRPr="006969B3">
        <w:rPr>
          <w:rFonts w:ascii="Arial" w:hAnsi="Arial" w:cs="Arial"/>
          <w:sz w:val="22"/>
          <w:szCs w:val="22"/>
          <w:lang w:val="es-CO"/>
        </w:rPr>
        <w:t> del Código de Minas o la norma que lo modifique o sustituya.</w:t>
      </w:r>
    </w:p>
    <w:p w14:paraId="0E0C8103" w14:textId="77777777" w:rsidR="000618E5" w:rsidRPr="006969B3" w:rsidRDefault="000618E5" w:rsidP="00F65283">
      <w:pPr>
        <w:pStyle w:val="NormalWeb"/>
        <w:spacing w:before="0" w:beforeAutospacing="0" w:after="0" w:afterAutospacing="0"/>
        <w:jc w:val="both"/>
        <w:rPr>
          <w:rFonts w:ascii="Arial" w:hAnsi="Arial" w:cs="Arial"/>
          <w:sz w:val="22"/>
          <w:szCs w:val="22"/>
          <w:lang w:val="es-CO"/>
        </w:rPr>
      </w:pPr>
      <w:bookmarkStart w:id="351" w:name="329"/>
    </w:p>
    <w:p w14:paraId="71305EA0" w14:textId="7A995775"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329. INTEGRACIÓN DE ÁREAS.</w:t>
      </w:r>
      <w:bookmarkEnd w:id="351"/>
      <w:r w:rsidRPr="006969B3">
        <w:rPr>
          <w:rFonts w:ascii="Arial" w:hAnsi="Arial" w:cs="Arial"/>
          <w:sz w:val="22"/>
          <w:szCs w:val="22"/>
          <w:lang w:val="es-CO"/>
        </w:rPr>
        <w:t> Adiciónese el parágrafo segundo al artículo </w:t>
      </w:r>
      <w:r w:rsidRPr="000A2938">
        <w:rPr>
          <w:rFonts w:ascii="Arial" w:hAnsi="Arial" w:cs="Arial"/>
          <w:sz w:val="22"/>
          <w:szCs w:val="22"/>
          <w:lang w:val="es-CO"/>
        </w:rPr>
        <w:t>101</w:t>
      </w:r>
      <w:r w:rsidRPr="006969B3">
        <w:rPr>
          <w:rFonts w:ascii="Arial" w:hAnsi="Arial" w:cs="Arial"/>
          <w:sz w:val="22"/>
          <w:szCs w:val="22"/>
          <w:lang w:val="es-CO"/>
        </w:rPr>
        <w:t> de la Ley 685 de 2001, así:</w:t>
      </w:r>
    </w:p>
    <w:p w14:paraId="3966591F" w14:textId="77777777" w:rsidR="000618E5" w:rsidRPr="006969B3" w:rsidRDefault="000618E5" w:rsidP="00F65283">
      <w:pPr>
        <w:pStyle w:val="NormalWeb"/>
        <w:spacing w:before="0" w:beforeAutospacing="0" w:after="0" w:afterAutospacing="0"/>
        <w:jc w:val="both"/>
        <w:rPr>
          <w:rStyle w:val="baj"/>
          <w:rFonts w:ascii="Arial" w:hAnsi="Arial" w:cs="Arial"/>
          <w:sz w:val="22"/>
          <w:szCs w:val="22"/>
          <w:lang w:val="es-CO"/>
        </w:rPr>
      </w:pPr>
    </w:p>
    <w:p w14:paraId="6744E4B2" w14:textId="77777777" w:rsidR="000618E5"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xml:space="preserve"> En el evento en que una solicitud de integración de áreas o un trámite de integración ya iniciado o un título ya integrado, presente franjas o corredores respecto de los cuales se hubieren presentado propuestas de contrato de concesión y estas no resulten viables para la realización de un proyecto minero, la autoridad minera procederá a su rechazo. En este evento, las respectivas franjas o corredores se incorporarán al contrato que resulte de la integración de áreas o a los contratos otorgados antes de la vigencia de esta ley en virtud de una integración de áreas. En todo caso, la integración de áreas y las incorporaciones de corredores se realizarán de acuerdo con la metodología del sistema de </w:t>
      </w:r>
    </w:p>
    <w:p w14:paraId="67AB0FEA" w14:textId="10BE1554"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cuadrículas.</w:t>
      </w:r>
    </w:p>
    <w:p w14:paraId="5BA34E13" w14:textId="77777777" w:rsidR="006B2C1D" w:rsidRPr="006969B3" w:rsidRDefault="006B2C1D" w:rsidP="00F65283">
      <w:pPr>
        <w:pStyle w:val="NormalWeb"/>
        <w:spacing w:before="0" w:beforeAutospacing="0" w:after="0" w:afterAutospacing="0"/>
        <w:jc w:val="both"/>
        <w:rPr>
          <w:rFonts w:ascii="Arial" w:hAnsi="Arial" w:cs="Arial"/>
          <w:sz w:val="22"/>
          <w:szCs w:val="22"/>
          <w:lang w:val="es-CO"/>
        </w:rPr>
      </w:pPr>
    </w:p>
    <w:p w14:paraId="288E8483" w14:textId="09D21604"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 autoridad minera nacional definirá el área mínima para las franjas o corredores donde no es viable realizar un proyecto minero de acuerdo con las dimensiones adoptadas por el sistema de cuadrícula para las celdas mineras.</w:t>
      </w:r>
    </w:p>
    <w:p w14:paraId="7E7E5CC5" w14:textId="3D48AF7D" w:rsidR="003E6B56" w:rsidRPr="006969B3" w:rsidRDefault="003E6B56" w:rsidP="00F65283">
      <w:pPr>
        <w:spacing w:after="0" w:line="240" w:lineRule="auto"/>
        <w:rPr>
          <w:rFonts w:ascii="Arial" w:hAnsi="Arial" w:cs="Arial"/>
          <w:lang w:val="es-CO"/>
        </w:rPr>
      </w:pPr>
    </w:p>
    <w:p w14:paraId="50B9E0D6" w14:textId="65231328" w:rsidR="003E6B56" w:rsidRPr="006969B3" w:rsidRDefault="003E6B56" w:rsidP="00F65283">
      <w:pPr>
        <w:pStyle w:val="NormalWeb"/>
        <w:spacing w:before="0" w:beforeAutospacing="0" w:after="0" w:afterAutospacing="0"/>
        <w:jc w:val="both"/>
        <w:rPr>
          <w:rFonts w:ascii="Arial" w:hAnsi="Arial" w:cs="Arial"/>
          <w:sz w:val="22"/>
          <w:szCs w:val="22"/>
          <w:lang w:val="es-CO"/>
        </w:rPr>
      </w:pPr>
      <w:bookmarkStart w:id="352" w:name="330"/>
      <w:r w:rsidRPr="006969B3">
        <w:rPr>
          <w:rFonts w:ascii="Arial" w:hAnsi="Arial" w:cs="Arial"/>
          <w:sz w:val="22"/>
          <w:szCs w:val="22"/>
          <w:lang w:val="es-CO"/>
        </w:rPr>
        <w:lastRenderedPageBreak/>
        <w:t>ARTÍCULO 330. MONTO DE LAS REGALÍAS PARA RECONOCIMIENTOS DE PROPIEDAD PRIVADA.</w:t>
      </w:r>
      <w:bookmarkEnd w:id="352"/>
      <w:r w:rsidRPr="006969B3">
        <w:rPr>
          <w:rFonts w:ascii="Arial" w:hAnsi="Arial" w:cs="Arial"/>
          <w:sz w:val="22"/>
          <w:szCs w:val="22"/>
          <w:lang w:val="es-CO"/>
        </w:rPr>
        <w:t> Establézcanse para las regalías de que trata el inciso 2 del artículo </w:t>
      </w:r>
      <w:r w:rsidRPr="000A2938">
        <w:rPr>
          <w:rFonts w:ascii="Arial" w:hAnsi="Arial" w:cs="Arial"/>
          <w:sz w:val="22"/>
          <w:szCs w:val="22"/>
          <w:lang w:val="es-CO"/>
        </w:rPr>
        <w:t>227</w:t>
      </w:r>
      <w:r w:rsidRPr="006969B3">
        <w:rPr>
          <w:rFonts w:ascii="Arial" w:hAnsi="Arial" w:cs="Arial"/>
          <w:sz w:val="22"/>
          <w:szCs w:val="22"/>
          <w:lang w:val="es-CO"/>
        </w:rPr>
        <w:t> del Código de Minas, por la explotación de recursos naturales no renovables de propiedad privada, sobre el valor de la producción en boca o borde de mina según corresponde para cada explotación, los siguientes porcentajes:</w:t>
      </w:r>
    </w:p>
    <w:p w14:paraId="2796CAC4" w14:textId="77777777" w:rsidR="006B2C1D" w:rsidRPr="006969B3" w:rsidRDefault="006B2C1D" w:rsidP="00F65283">
      <w:pPr>
        <w:pStyle w:val="NormalWeb"/>
        <w:spacing w:before="0" w:beforeAutospacing="0" w:after="0" w:afterAutospacing="0"/>
        <w:jc w:val="both"/>
        <w:rPr>
          <w:rFonts w:ascii="Arial" w:hAnsi="Arial" w:cs="Arial"/>
          <w:sz w:val="22"/>
          <w:szCs w:val="22"/>
          <w:lang w:val="es-CO"/>
        </w:rPr>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7555"/>
        <w:gridCol w:w="1267"/>
      </w:tblGrid>
      <w:tr w:rsidR="003D1DF1" w:rsidRPr="006969B3" w14:paraId="34F77884" w14:textId="77777777" w:rsidTr="003E6B56">
        <w:trPr>
          <w:tblCellSpacing w:w="15" w:type="dxa"/>
        </w:trPr>
        <w:tc>
          <w:tcPr>
            <w:tcW w:w="4300" w:type="pct"/>
            <w:tcBorders>
              <w:top w:val="single" w:sz="6" w:space="0" w:color="auto"/>
              <w:left w:val="single" w:sz="6" w:space="0" w:color="auto"/>
              <w:bottom w:val="single" w:sz="6" w:space="0" w:color="auto"/>
              <w:right w:val="single" w:sz="6" w:space="0" w:color="auto"/>
            </w:tcBorders>
            <w:hideMark/>
          </w:tcPr>
          <w:p w14:paraId="05F3418B" w14:textId="77777777" w:rsidR="003E6B56" w:rsidRPr="006969B3" w:rsidRDefault="003E6B56" w:rsidP="00F65283">
            <w:pPr>
              <w:spacing w:after="0" w:line="240" w:lineRule="auto"/>
              <w:jc w:val="center"/>
              <w:rPr>
                <w:rFonts w:ascii="Arial" w:hAnsi="Arial" w:cs="Arial"/>
                <w:lang w:val="es-CO"/>
              </w:rPr>
            </w:pPr>
            <w:r w:rsidRPr="006969B3">
              <w:rPr>
                <w:rStyle w:val="baj"/>
                <w:rFonts w:ascii="Arial" w:hAnsi="Arial" w:cs="Arial"/>
                <w:lang w:val="es-CO"/>
              </w:rPr>
              <w:t>Mineral y Tipo de Minería</w:t>
            </w:r>
          </w:p>
        </w:tc>
        <w:tc>
          <w:tcPr>
            <w:tcW w:w="700" w:type="pct"/>
            <w:tcBorders>
              <w:top w:val="single" w:sz="6" w:space="0" w:color="auto"/>
              <w:left w:val="single" w:sz="6" w:space="0" w:color="auto"/>
              <w:bottom w:val="single" w:sz="6" w:space="0" w:color="auto"/>
              <w:right w:val="single" w:sz="6" w:space="0" w:color="auto"/>
            </w:tcBorders>
            <w:hideMark/>
          </w:tcPr>
          <w:p w14:paraId="60263621" w14:textId="77777777" w:rsidR="003E6B56" w:rsidRPr="006969B3" w:rsidRDefault="003E6B56" w:rsidP="00F65283">
            <w:pPr>
              <w:spacing w:after="0" w:line="240" w:lineRule="auto"/>
              <w:jc w:val="center"/>
              <w:rPr>
                <w:rFonts w:ascii="Arial" w:hAnsi="Arial" w:cs="Arial"/>
                <w:lang w:val="es-CO"/>
              </w:rPr>
            </w:pPr>
            <w:r w:rsidRPr="006969B3">
              <w:rPr>
                <w:rStyle w:val="baj"/>
                <w:rFonts w:ascii="Arial" w:hAnsi="Arial" w:cs="Arial"/>
                <w:lang w:val="es-CO"/>
              </w:rPr>
              <w:t>Regalía</w:t>
            </w:r>
          </w:p>
        </w:tc>
      </w:tr>
      <w:tr w:rsidR="003D1DF1" w:rsidRPr="006969B3" w14:paraId="59D9547B" w14:textId="77777777" w:rsidTr="003E6B56">
        <w:trPr>
          <w:tblCellSpacing w:w="15" w:type="dxa"/>
        </w:trPr>
        <w:tc>
          <w:tcPr>
            <w:tcW w:w="4300" w:type="pct"/>
            <w:tcBorders>
              <w:top w:val="single" w:sz="6" w:space="0" w:color="auto"/>
              <w:left w:val="single" w:sz="6" w:space="0" w:color="auto"/>
              <w:bottom w:val="single" w:sz="6" w:space="0" w:color="auto"/>
              <w:right w:val="single" w:sz="6" w:space="0" w:color="auto"/>
            </w:tcBorders>
            <w:hideMark/>
          </w:tcPr>
          <w:p w14:paraId="14D72258" w14:textId="77777777" w:rsidR="003E6B56" w:rsidRPr="006969B3" w:rsidRDefault="003E6B56" w:rsidP="00F65283">
            <w:pPr>
              <w:spacing w:after="0" w:line="240" w:lineRule="auto"/>
              <w:jc w:val="both"/>
              <w:rPr>
                <w:rFonts w:ascii="Arial" w:hAnsi="Arial" w:cs="Arial"/>
                <w:lang w:val="es-CO"/>
              </w:rPr>
            </w:pPr>
            <w:r w:rsidRPr="006969B3">
              <w:rPr>
                <w:rFonts w:ascii="Arial" w:hAnsi="Arial" w:cs="Arial"/>
                <w:lang w:val="es-CO"/>
              </w:rPr>
              <w:t>Carbón a cielo abierto con producción igual o mayor a 3 millones de toneladas anuales</w:t>
            </w:r>
          </w:p>
        </w:tc>
        <w:tc>
          <w:tcPr>
            <w:tcW w:w="700" w:type="pct"/>
            <w:tcBorders>
              <w:top w:val="single" w:sz="6" w:space="0" w:color="auto"/>
              <w:left w:val="single" w:sz="6" w:space="0" w:color="auto"/>
              <w:bottom w:val="single" w:sz="6" w:space="0" w:color="auto"/>
              <w:right w:val="single" w:sz="6" w:space="0" w:color="auto"/>
            </w:tcBorders>
            <w:hideMark/>
          </w:tcPr>
          <w:p w14:paraId="1C4D3AE6" w14:textId="77777777" w:rsidR="003E6B56" w:rsidRPr="006969B3" w:rsidRDefault="003E6B56" w:rsidP="00F65283">
            <w:pPr>
              <w:spacing w:after="0" w:line="240" w:lineRule="auto"/>
              <w:jc w:val="center"/>
              <w:rPr>
                <w:rFonts w:ascii="Arial" w:hAnsi="Arial" w:cs="Arial"/>
                <w:lang w:val="es-CO"/>
              </w:rPr>
            </w:pPr>
            <w:r w:rsidRPr="006969B3">
              <w:rPr>
                <w:rFonts w:ascii="Arial" w:hAnsi="Arial" w:cs="Arial"/>
                <w:lang w:val="es-CO"/>
              </w:rPr>
              <w:t>3,27%</w:t>
            </w:r>
          </w:p>
        </w:tc>
      </w:tr>
      <w:tr w:rsidR="003D1DF1" w:rsidRPr="006969B3" w14:paraId="04FFBC3A" w14:textId="77777777" w:rsidTr="003E6B56">
        <w:trPr>
          <w:tblCellSpacing w:w="15" w:type="dxa"/>
        </w:trPr>
        <w:tc>
          <w:tcPr>
            <w:tcW w:w="4300" w:type="pct"/>
            <w:tcBorders>
              <w:top w:val="single" w:sz="6" w:space="0" w:color="auto"/>
              <w:left w:val="single" w:sz="6" w:space="0" w:color="auto"/>
              <w:bottom w:val="single" w:sz="6" w:space="0" w:color="auto"/>
              <w:right w:val="single" w:sz="6" w:space="0" w:color="auto"/>
            </w:tcBorders>
            <w:hideMark/>
          </w:tcPr>
          <w:p w14:paraId="018AE51A" w14:textId="77777777" w:rsidR="003E6B56" w:rsidRPr="006969B3" w:rsidRDefault="003E6B56" w:rsidP="00F65283">
            <w:pPr>
              <w:spacing w:after="0" w:line="240" w:lineRule="auto"/>
              <w:jc w:val="both"/>
              <w:rPr>
                <w:rFonts w:ascii="Arial" w:hAnsi="Arial" w:cs="Arial"/>
                <w:lang w:val="es-CO"/>
              </w:rPr>
            </w:pPr>
            <w:r w:rsidRPr="006969B3">
              <w:rPr>
                <w:rFonts w:ascii="Arial" w:hAnsi="Arial" w:cs="Arial"/>
                <w:lang w:val="es-CO"/>
              </w:rPr>
              <w:t>Carbón a cielo abierto con producción menor a 3 millones de toneladas anuales</w:t>
            </w:r>
          </w:p>
        </w:tc>
        <w:tc>
          <w:tcPr>
            <w:tcW w:w="700" w:type="pct"/>
            <w:tcBorders>
              <w:top w:val="single" w:sz="6" w:space="0" w:color="auto"/>
              <w:left w:val="single" w:sz="6" w:space="0" w:color="auto"/>
              <w:bottom w:val="single" w:sz="6" w:space="0" w:color="auto"/>
              <w:right w:val="single" w:sz="6" w:space="0" w:color="auto"/>
            </w:tcBorders>
            <w:hideMark/>
          </w:tcPr>
          <w:p w14:paraId="4883D7EF" w14:textId="77777777" w:rsidR="003E6B56" w:rsidRPr="006969B3" w:rsidRDefault="003E6B56" w:rsidP="00F65283">
            <w:pPr>
              <w:spacing w:after="0" w:line="240" w:lineRule="auto"/>
              <w:jc w:val="center"/>
              <w:rPr>
                <w:rFonts w:ascii="Arial" w:hAnsi="Arial" w:cs="Arial"/>
                <w:lang w:val="es-CO"/>
              </w:rPr>
            </w:pPr>
            <w:r w:rsidRPr="006969B3">
              <w:rPr>
                <w:rFonts w:ascii="Arial" w:hAnsi="Arial" w:cs="Arial"/>
                <w:lang w:val="es-CO"/>
              </w:rPr>
              <w:t>1,64%</w:t>
            </w:r>
          </w:p>
        </w:tc>
      </w:tr>
      <w:tr w:rsidR="003D1DF1" w:rsidRPr="006969B3" w14:paraId="6D3CB7A4" w14:textId="77777777" w:rsidTr="003E6B56">
        <w:trPr>
          <w:tblCellSpacing w:w="15" w:type="dxa"/>
        </w:trPr>
        <w:tc>
          <w:tcPr>
            <w:tcW w:w="4300" w:type="pct"/>
            <w:tcBorders>
              <w:top w:val="single" w:sz="6" w:space="0" w:color="auto"/>
              <w:left w:val="single" w:sz="6" w:space="0" w:color="auto"/>
              <w:bottom w:val="single" w:sz="6" w:space="0" w:color="auto"/>
              <w:right w:val="single" w:sz="6" w:space="0" w:color="auto"/>
            </w:tcBorders>
            <w:hideMark/>
          </w:tcPr>
          <w:p w14:paraId="61E4B830" w14:textId="77777777" w:rsidR="003E6B56" w:rsidRPr="006969B3" w:rsidRDefault="003E6B56" w:rsidP="00F65283">
            <w:pPr>
              <w:spacing w:after="0" w:line="240" w:lineRule="auto"/>
              <w:jc w:val="both"/>
              <w:rPr>
                <w:rFonts w:ascii="Arial" w:hAnsi="Arial" w:cs="Arial"/>
                <w:lang w:val="es-CO"/>
              </w:rPr>
            </w:pPr>
            <w:r w:rsidRPr="006969B3">
              <w:rPr>
                <w:rFonts w:ascii="Arial" w:hAnsi="Arial" w:cs="Arial"/>
                <w:lang w:val="es-CO"/>
              </w:rPr>
              <w:t>Oro y plata veta</w:t>
            </w:r>
          </w:p>
        </w:tc>
        <w:tc>
          <w:tcPr>
            <w:tcW w:w="700" w:type="pct"/>
            <w:tcBorders>
              <w:top w:val="single" w:sz="6" w:space="0" w:color="auto"/>
              <w:left w:val="single" w:sz="6" w:space="0" w:color="auto"/>
              <w:bottom w:val="single" w:sz="6" w:space="0" w:color="auto"/>
              <w:right w:val="single" w:sz="6" w:space="0" w:color="auto"/>
            </w:tcBorders>
            <w:hideMark/>
          </w:tcPr>
          <w:p w14:paraId="1E7AEF58" w14:textId="77777777" w:rsidR="003E6B56" w:rsidRPr="006969B3" w:rsidRDefault="003E6B56" w:rsidP="00F65283">
            <w:pPr>
              <w:spacing w:after="0" w:line="240" w:lineRule="auto"/>
              <w:jc w:val="center"/>
              <w:rPr>
                <w:rFonts w:ascii="Arial" w:hAnsi="Arial" w:cs="Arial"/>
                <w:lang w:val="es-CO"/>
              </w:rPr>
            </w:pPr>
            <w:r w:rsidRPr="006969B3">
              <w:rPr>
                <w:rFonts w:ascii="Arial" w:hAnsi="Arial" w:cs="Arial"/>
                <w:lang w:val="es-CO"/>
              </w:rPr>
              <w:t>0,4%</w:t>
            </w:r>
          </w:p>
        </w:tc>
      </w:tr>
      <w:tr w:rsidR="003D1DF1" w:rsidRPr="006969B3" w14:paraId="53A69ED0" w14:textId="77777777" w:rsidTr="003E6B56">
        <w:trPr>
          <w:tblCellSpacing w:w="15" w:type="dxa"/>
        </w:trPr>
        <w:tc>
          <w:tcPr>
            <w:tcW w:w="4300" w:type="pct"/>
            <w:tcBorders>
              <w:top w:val="single" w:sz="6" w:space="0" w:color="auto"/>
              <w:left w:val="single" w:sz="6" w:space="0" w:color="auto"/>
              <w:bottom w:val="single" w:sz="6" w:space="0" w:color="auto"/>
              <w:right w:val="single" w:sz="6" w:space="0" w:color="auto"/>
            </w:tcBorders>
            <w:hideMark/>
          </w:tcPr>
          <w:p w14:paraId="4D5E0304" w14:textId="77777777" w:rsidR="003E6B56" w:rsidRPr="006969B3" w:rsidRDefault="003E6B56" w:rsidP="00F65283">
            <w:pPr>
              <w:spacing w:after="0" w:line="240" w:lineRule="auto"/>
              <w:jc w:val="both"/>
              <w:rPr>
                <w:rFonts w:ascii="Arial" w:hAnsi="Arial" w:cs="Arial"/>
                <w:lang w:val="es-CO"/>
              </w:rPr>
            </w:pPr>
            <w:r w:rsidRPr="006969B3">
              <w:rPr>
                <w:rFonts w:ascii="Arial" w:hAnsi="Arial" w:cs="Arial"/>
                <w:lang w:val="es-CO"/>
              </w:rPr>
              <w:t>Oro y Plata aluvión</w:t>
            </w:r>
          </w:p>
        </w:tc>
        <w:tc>
          <w:tcPr>
            <w:tcW w:w="700" w:type="pct"/>
            <w:tcBorders>
              <w:top w:val="single" w:sz="6" w:space="0" w:color="auto"/>
              <w:left w:val="single" w:sz="6" w:space="0" w:color="auto"/>
              <w:bottom w:val="single" w:sz="6" w:space="0" w:color="auto"/>
              <w:right w:val="single" w:sz="6" w:space="0" w:color="auto"/>
            </w:tcBorders>
            <w:hideMark/>
          </w:tcPr>
          <w:p w14:paraId="2AA694C9" w14:textId="77777777" w:rsidR="003E6B56" w:rsidRPr="006969B3" w:rsidRDefault="003E6B56" w:rsidP="00F65283">
            <w:pPr>
              <w:spacing w:after="0" w:line="240" w:lineRule="auto"/>
              <w:jc w:val="center"/>
              <w:rPr>
                <w:rFonts w:ascii="Arial" w:hAnsi="Arial" w:cs="Arial"/>
                <w:lang w:val="es-CO"/>
              </w:rPr>
            </w:pPr>
            <w:r w:rsidRPr="006969B3">
              <w:rPr>
                <w:rFonts w:ascii="Arial" w:hAnsi="Arial" w:cs="Arial"/>
                <w:lang w:val="es-CO"/>
              </w:rPr>
              <w:t>2,0%</w:t>
            </w:r>
          </w:p>
        </w:tc>
      </w:tr>
      <w:tr w:rsidR="003D1DF1" w:rsidRPr="006969B3" w14:paraId="0AC52A97" w14:textId="77777777" w:rsidTr="003E6B56">
        <w:trPr>
          <w:tblCellSpacing w:w="15" w:type="dxa"/>
        </w:trPr>
        <w:tc>
          <w:tcPr>
            <w:tcW w:w="4300" w:type="pct"/>
            <w:tcBorders>
              <w:top w:val="single" w:sz="6" w:space="0" w:color="auto"/>
              <w:left w:val="single" w:sz="6" w:space="0" w:color="auto"/>
              <w:bottom w:val="single" w:sz="6" w:space="0" w:color="auto"/>
              <w:right w:val="single" w:sz="6" w:space="0" w:color="auto"/>
            </w:tcBorders>
            <w:hideMark/>
          </w:tcPr>
          <w:p w14:paraId="3A276974" w14:textId="77777777" w:rsidR="003E6B56" w:rsidRPr="006969B3" w:rsidRDefault="003E6B56" w:rsidP="00F65283">
            <w:pPr>
              <w:spacing w:after="0" w:line="240" w:lineRule="auto"/>
              <w:jc w:val="both"/>
              <w:rPr>
                <w:rFonts w:ascii="Arial" w:hAnsi="Arial" w:cs="Arial"/>
                <w:lang w:val="es-CO"/>
              </w:rPr>
            </w:pPr>
            <w:r w:rsidRPr="006969B3">
              <w:rPr>
                <w:rFonts w:ascii="Arial" w:hAnsi="Arial" w:cs="Arial"/>
                <w:lang w:val="es-CO"/>
              </w:rPr>
              <w:t>Platino</w:t>
            </w:r>
          </w:p>
        </w:tc>
        <w:tc>
          <w:tcPr>
            <w:tcW w:w="700" w:type="pct"/>
            <w:tcBorders>
              <w:top w:val="single" w:sz="6" w:space="0" w:color="auto"/>
              <w:left w:val="single" w:sz="6" w:space="0" w:color="auto"/>
              <w:bottom w:val="single" w:sz="6" w:space="0" w:color="auto"/>
              <w:right w:val="single" w:sz="6" w:space="0" w:color="auto"/>
            </w:tcBorders>
            <w:hideMark/>
          </w:tcPr>
          <w:p w14:paraId="15056375" w14:textId="77777777" w:rsidR="003E6B56" w:rsidRPr="006969B3" w:rsidRDefault="003E6B56" w:rsidP="00F65283">
            <w:pPr>
              <w:spacing w:after="0" w:line="240" w:lineRule="auto"/>
              <w:jc w:val="center"/>
              <w:rPr>
                <w:rFonts w:ascii="Arial" w:hAnsi="Arial" w:cs="Arial"/>
                <w:lang w:val="es-CO"/>
              </w:rPr>
            </w:pPr>
            <w:r w:rsidRPr="006969B3">
              <w:rPr>
                <w:rFonts w:ascii="Arial" w:hAnsi="Arial" w:cs="Arial"/>
                <w:lang w:val="es-CO"/>
              </w:rPr>
              <w:t>1.0 %</w:t>
            </w:r>
          </w:p>
        </w:tc>
      </w:tr>
    </w:tbl>
    <w:p w14:paraId="2E9FC41B" w14:textId="77777777" w:rsidR="006B2C1D" w:rsidRPr="006969B3" w:rsidRDefault="006B2C1D" w:rsidP="00F65283">
      <w:pPr>
        <w:pStyle w:val="NormalWeb"/>
        <w:spacing w:before="0" w:beforeAutospacing="0" w:after="0" w:afterAutospacing="0"/>
        <w:jc w:val="both"/>
        <w:rPr>
          <w:rFonts w:ascii="Arial" w:hAnsi="Arial" w:cs="Arial"/>
          <w:sz w:val="22"/>
          <w:szCs w:val="22"/>
          <w:lang w:val="es-CO"/>
        </w:rPr>
      </w:pPr>
    </w:p>
    <w:p w14:paraId="48FFA757" w14:textId="650B353E"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El precio base para la liquidación de regalías generadas por cada explotación u operación minera del carbón se calculará anualmente según la producción y se regirá según lo establecido en el artículo </w:t>
      </w:r>
      <w:r w:rsidRPr="000A2938">
        <w:rPr>
          <w:rFonts w:ascii="Arial" w:hAnsi="Arial" w:cs="Arial"/>
          <w:sz w:val="22"/>
          <w:szCs w:val="22"/>
          <w:lang w:val="es-CO"/>
        </w:rPr>
        <w:t>15</w:t>
      </w:r>
      <w:r w:rsidRPr="006969B3">
        <w:rPr>
          <w:rFonts w:ascii="Arial" w:hAnsi="Arial" w:cs="Arial"/>
          <w:sz w:val="22"/>
          <w:szCs w:val="22"/>
          <w:lang w:val="es-CO"/>
        </w:rPr>
        <w:t> de la Ley 1530 de 2012.</w:t>
      </w:r>
    </w:p>
    <w:p w14:paraId="67EAA2EB" w14:textId="77777777" w:rsidR="006B2C1D" w:rsidRPr="006969B3" w:rsidRDefault="006B2C1D" w:rsidP="00F65283">
      <w:pPr>
        <w:pStyle w:val="NormalWeb"/>
        <w:spacing w:before="0" w:beforeAutospacing="0" w:after="0" w:afterAutospacing="0"/>
        <w:jc w:val="both"/>
        <w:rPr>
          <w:rFonts w:ascii="Arial" w:hAnsi="Arial" w:cs="Arial"/>
          <w:sz w:val="22"/>
          <w:szCs w:val="22"/>
          <w:lang w:val="es-CO"/>
        </w:rPr>
      </w:pPr>
    </w:p>
    <w:p w14:paraId="12C38F32" w14:textId="4233165A"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 xml:space="preserve">El titular de las minas de Reconocimiento de Propiedad </w:t>
      </w:r>
      <w:proofErr w:type="gramStart"/>
      <w:r w:rsidRPr="006969B3">
        <w:rPr>
          <w:rFonts w:ascii="Arial" w:hAnsi="Arial" w:cs="Arial"/>
          <w:sz w:val="22"/>
          <w:szCs w:val="22"/>
          <w:lang w:val="es-CO"/>
        </w:rPr>
        <w:t>Privada,</w:t>
      </w:r>
      <w:proofErr w:type="gramEnd"/>
      <w:r w:rsidRPr="006969B3">
        <w:rPr>
          <w:rFonts w:ascii="Arial" w:hAnsi="Arial" w:cs="Arial"/>
          <w:sz w:val="22"/>
          <w:szCs w:val="22"/>
          <w:lang w:val="es-CO"/>
        </w:rPr>
        <w:t xml:space="preserve"> deberá declarar, liquidar y demostrar el pago de las regalías de cada explotación u operación minera a partir del 2019 ante la Agencia Nacional de Minería, de conformidad con lo señalado en el presente artículo.</w:t>
      </w:r>
    </w:p>
    <w:p w14:paraId="3CED4CAB" w14:textId="77777777" w:rsidR="006B2C1D" w:rsidRPr="006969B3" w:rsidRDefault="006B2C1D" w:rsidP="00F65283">
      <w:pPr>
        <w:pStyle w:val="NormalWeb"/>
        <w:spacing w:before="0" w:beforeAutospacing="0" w:after="0" w:afterAutospacing="0"/>
        <w:jc w:val="both"/>
        <w:rPr>
          <w:rFonts w:ascii="Arial" w:hAnsi="Arial" w:cs="Arial"/>
          <w:sz w:val="22"/>
          <w:szCs w:val="22"/>
          <w:lang w:val="es-CO"/>
        </w:rPr>
      </w:pPr>
    </w:p>
    <w:p w14:paraId="73593BCA" w14:textId="11FA9CCA"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La Agencia Nacional de Minería deberá recaudar y transferir las regalías generadas por cada explotación u operación minera de los recursos naturales no renovables de propiedad privada, conforme lo estipulado en la Ley </w:t>
      </w:r>
      <w:r w:rsidRPr="000A2938">
        <w:rPr>
          <w:rFonts w:ascii="Arial" w:hAnsi="Arial" w:cs="Arial"/>
          <w:sz w:val="22"/>
          <w:szCs w:val="22"/>
          <w:lang w:val="es-CO"/>
        </w:rPr>
        <w:t>1530</w:t>
      </w:r>
      <w:r w:rsidRPr="006969B3">
        <w:rPr>
          <w:rFonts w:ascii="Arial" w:hAnsi="Arial" w:cs="Arial"/>
          <w:sz w:val="22"/>
          <w:szCs w:val="22"/>
          <w:lang w:val="es-CO"/>
        </w:rPr>
        <w:t> de 2012 y demás normas que la modifiquen o adicionen a partir de 2019.</w:t>
      </w:r>
    </w:p>
    <w:p w14:paraId="50C11BCD" w14:textId="77777777" w:rsidR="006B2C1D" w:rsidRPr="006969B3" w:rsidRDefault="006B2C1D" w:rsidP="00F65283">
      <w:pPr>
        <w:pStyle w:val="NormalWeb"/>
        <w:spacing w:before="0" w:beforeAutospacing="0" w:after="0" w:afterAutospacing="0"/>
        <w:jc w:val="both"/>
        <w:rPr>
          <w:rFonts w:ascii="Arial" w:hAnsi="Arial" w:cs="Arial"/>
          <w:sz w:val="22"/>
          <w:szCs w:val="22"/>
          <w:lang w:val="es-CO"/>
        </w:rPr>
      </w:pPr>
    </w:p>
    <w:p w14:paraId="4157B14A" w14:textId="1B5462AA"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Para la aplicación del porcentaje para las explotaciones con producción igual o mayor a 3 millones de toneladas anuales se establece un periodo de transición de tres (3) años para permitir un aumento escalonado y progresivo.</w:t>
      </w:r>
    </w:p>
    <w:p w14:paraId="0F59C969" w14:textId="77777777" w:rsidR="006B2C1D" w:rsidRPr="006969B3" w:rsidRDefault="006B2C1D" w:rsidP="00F65283">
      <w:pPr>
        <w:pStyle w:val="NormalWeb"/>
        <w:spacing w:before="0" w:beforeAutospacing="0" w:after="0" w:afterAutospacing="0"/>
        <w:jc w:val="both"/>
        <w:rPr>
          <w:rFonts w:ascii="Arial" w:hAnsi="Arial" w:cs="Arial"/>
          <w:sz w:val="22"/>
          <w:szCs w:val="22"/>
          <w:lang w:val="es-CO"/>
        </w:rPr>
      </w:pPr>
    </w:p>
    <w:p w14:paraId="5C3935EE" w14:textId="0565FC2F" w:rsidR="003E6B56" w:rsidRPr="006969B3" w:rsidRDefault="003E6B56" w:rsidP="00F65283">
      <w:pPr>
        <w:pStyle w:val="centrado"/>
        <w:spacing w:before="0" w:beforeAutospacing="0" w:after="0" w:afterAutospacing="0"/>
        <w:jc w:val="center"/>
        <w:rPr>
          <w:rFonts w:ascii="Arial" w:hAnsi="Arial" w:cs="Arial"/>
          <w:b/>
          <w:bCs/>
          <w:sz w:val="22"/>
          <w:szCs w:val="22"/>
          <w:lang w:val="es-CO"/>
        </w:rPr>
      </w:pPr>
      <w:bookmarkStart w:id="353" w:name="SECCIÓN_IV-III-II-II"/>
      <w:r w:rsidRPr="006969B3">
        <w:rPr>
          <w:rFonts w:ascii="Arial" w:hAnsi="Arial" w:cs="Arial"/>
          <w:b/>
          <w:bCs/>
          <w:sz w:val="22"/>
          <w:szCs w:val="22"/>
          <w:lang w:val="es-CO"/>
        </w:rPr>
        <w:t>SECCIÓN IV</w:t>
      </w:r>
      <w:bookmarkEnd w:id="353"/>
    </w:p>
    <w:p w14:paraId="7AE58E4F" w14:textId="77777777" w:rsidR="00274B87" w:rsidRPr="006969B3" w:rsidRDefault="00274B87" w:rsidP="00F65283">
      <w:pPr>
        <w:pStyle w:val="centrado"/>
        <w:spacing w:before="0" w:beforeAutospacing="0" w:after="0" w:afterAutospacing="0"/>
        <w:jc w:val="center"/>
        <w:rPr>
          <w:rFonts w:ascii="Arial" w:hAnsi="Arial" w:cs="Arial"/>
          <w:b/>
          <w:bCs/>
          <w:sz w:val="22"/>
          <w:szCs w:val="22"/>
          <w:lang w:val="es-CO"/>
        </w:rPr>
      </w:pPr>
    </w:p>
    <w:p w14:paraId="19D6C155" w14:textId="34883B44" w:rsidR="003E6B56" w:rsidRPr="006969B3" w:rsidRDefault="003E6B56" w:rsidP="00F65283">
      <w:pPr>
        <w:pStyle w:val="centrado"/>
        <w:spacing w:before="0" w:beforeAutospacing="0" w:after="0" w:afterAutospacing="0"/>
        <w:jc w:val="center"/>
        <w:rPr>
          <w:rFonts w:ascii="Arial" w:hAnsi="Arial" w:cs="Arial"/>
          <w:b/>
          <w:bCs/>
          <w:sz w:val="22"/>
          <w:szCs w:val="22"/>
          <w:lang w:val="es-CO"/>
        </w:rPr>
      </w:pPr>
      <w:r w:rsidRPr="006969B3">
        <w:rPr>
          <w:rStyle w:val="baj"/>
          <w:rFonts w:ascii="Arial" w:hAnsi="Arial" w:cs="Arial"/>
          <w:b/>
          <w:bCs/>
          <w:sz w:val="22"/>
          <w:szCs w:val="22"/>
          <w:lang w:val="es-CO"/>
        </w:rPr>
        <w:t>FACULTADES EXTRAORDINARIAS</w:t>
      </w:r>
    </w:p>
    <w:p w14:paraId="7B2745CF" w14:textId="77777777" w:rsidR="006B2C1D" w:rsidRPr="006969B3" w:rsidRDefault="006B2C1D" w:rsidP="00F65283">
      <w:pPr>
        <w:spacing w:after="0" w:line="240" w:lineRule="auto"/>
        <w:rPr>
          <w:rFonts w:ascii="Arial" w:hAnsi="Arial" w:cs="Arial"/>
          <w:lang w:val="es-CO"/>
        </w:rPr>
      </w:pPr>
    </w:p>
    <w:p w14:paraId="0FFE6321" w14:textId="0E2644E6" w:rsidR="003E6B56" w:rsidRPr="006969B3" w:rsidRDefault="003E6B56" w:rsidP="00F65283">
      <w:pPr>
        <w:pStyle w:val="NormalWeb"/>
        <w:spacing w:before="0" w:beforeAutospacing="0" w:after="0" w:afterAutospacing="0"/>
        <w:jc w:val="both"/>
        <w:rPr>
          <w:rFonts w:ascii="Arial" w:hAnsi="Arial" w:cs="Arial"/>
          <w:sz w:val="22"/>
          <w:szCs w:val="22"/>
          <w:lang w:val="es-CO"/>
        </w:rPr>
      </w:pPr>
      <w:bookmarkStart w:id="354" w:name="331"/>
      <w:r w:rsidRPr="006969B3">
        <w:rPr>
          <w:rFonts w:ascii="Arial" w:hAnsi="Arial" w:cs="Arial"/>
          <w:sz w:val="22"/>
          <w:szCs w:val="22"/>
          <w:lang w:val="es-CO"/>
        </w:rPr>
        <w:t>ARTÍCULO 331. MODERNIZACIÓN Y EFICIENCIA DE LAS ENTIDADES PÚBLICAS DEL SECTOR FINANCIERO.</w:t>
      </w:r>
      <w:bookmarkEnd w:id="354"/>
      <w:r w:rsidRPr="006969B3">
        <w:rPr>
          <w:rFonts w:ascii="Arial" w:hAnsi="Arial" w:cs="Arial"/>
          <w:sz w:val="22"/>
          <w:szCs w:val="22"/>
          <w:lang w:val="es-CO"/>
        </w:rPr>
        <w:t> De conformidad con lo establecido en el artículo </w:t>
      </w:r>
      <w:r w:rsidRPr="000A2938">
        <w:rPr>
          <w:rFonts w:ascii="Arial" w:hAnsi="Arial" w:cs="Arial"/>
          <w:sz w:val="22"/>
          <w:szCs w:val="22"/>
          <w:lang w:val="es-CO"/>
        </w:rPr>
        <w:t>150</w:t>
      </w:r>
      <w:r w:rsidRPr="006969B3">
        <w:rPr>
          <w:rFonts w:ascii="Arial" w:hAnsi="Arial" w:cs="Arial"/>
          <w:sz w:val="22"/>
          <w:szCs w:val="22"/>
          <w:lang w:val="es-CO"/>
        </w:rPr>
        <w:t xml:space="preserve">, numeral 10, de la Constitución Política, revístase al </w:t>
      </w:r>
      <w:proofErr w:type="gramStart"/>
      <w:r w:rsidRPr="006969B3">
        <w:rPr>
          <w:rFonts w:ascii="Arial" w:hAnsi="Arial" w:cs="Arial"/>
          <w:sz w:val="22"/>
          <w:szCs w:val="22"/>
          <w:lang w:val="es-CO"/>
        </w:rPr>
        <w:t>Presidente</w:t>
      </w:r>
      <w:proofErr w:type="gramEnd"/>
      <w:r w:rsidRPr="006969B3">
        <w:rPr>
          <w:rFonts w:ascii="Arial" w:hAnsi="Arial" w:cs="Arial"/>
          <w:sz w:val="22"/>
          <w:szCs w:val="22"/>
          <w:lang w:val="es-CO"/>
        </w:rPr>
        <w:t xml:space="preserve"> de la República de precisas facultades extraordinarias, por el término de seis (6) meses, contados a partir de la fecha de publicación de la presente ley, para:</w:t>
      </w:r>
    </w:p>
    <w:p w14:paraId="1F6EFE05" w14:textId="77777777" w:rsidR="006B2C1D" w:rsidRPr="006969B3" w:rsidRDefault="006B2C1D" w:rsidP="00F65283">
      <w:pPr>
        <w:pStyle w:val="NormalWeb"/>
        <w:spacing w:before="0" w:beforeAutospacing="0" w:after="0" w:afterAutospacing="0"/>
        <w:jc w:val="both"/>
        <w:rPr>
          <w:rFonts w:ascii="Arial" w:hAnsi="Arial" w:cs="Arial"/>
          <w:sz w:val="22"/>
          <w:szCs w:val="22"/>
          <w:lang w:val="es-CO"/>
        </w:rPr>
      </w:pPr>
    </w:p>
    <w:p w14:paraId="2D2DA35C" w14:textId="77777777"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Fusionar entidades públicas del sector financiero, tales como, Aseguradoras Públicas y Fiduciarias Públicas; con el fin de evitar duplicidades y crear una entidad de la Rama Ejecutiva del orden nacional responsable de la gestión del servicio financiero público que incida en mayores niveles de eficiencia.</w:t>
      </w:r>
    </w:p>
    <w:p w14:paraId="0A39ABC5" w14:textId="77777777" w:rsidR="006B2C1D" w:rsidRPr="006969B3" w:rsidRDefault="006B2C1D" w:rsidP="00F65283">
      <w:pPr>
        <w:pStyle w:val="NormalWeb"/>
        <w:spacing w:before="0" w:beforeAutospacing="0" w:after="0" w:afterAutospacing="0"/>
        <w:jc w:val="both"/>
        <w:rPr>
          <w:rFonts w:ascii="Arial" w:hAnsi="Arial" w:cs="Arial"/>
          <w:sz w:val="22"/>
          <w:szCs w:val="22"/>
          <w:lang w:val="es-CO"/>
        </w:rPr>
      </w:pPr>
      <w:bookmarkStart w:id="355" w:name="332"/>
    </w:p>
    <w:p w14:paraId="441F3E91" w14:textId="2C469D35"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lastRenderedPageBreak/>
        <w:t>ARTÍCULO 332. REESTRUCTURACIÓN DE LA CONTRALORÍA GENERAL DE LA REPÚBLICA.</w:t>
      </w:r>
      <w:bookmarkEnd w:id="355"/>
      <w:r w:rsidRPr="006969B3">
        <w:rPr>
          <w:rFonts w:ascii="Arial" w:hAnsi="Arial" w:cs="Arial"/>
          <w:sz w:val="22"/>
          <w:szCs w:val="22"/>
          <w:lang w:val="es-CO"/>
        </w:rPr>
        <w:t> De conformidad con lo establecido en el artículo </w:t>
      </w:r>
      <w:r w:rsidRPr="000A2938">
        <w:rPr>
          <w:rFonts w:ascii="Arial" w:hAnsi="Arial" w:cs="Arial"/>
          <w:sz w:val="22"/>
          <w:szCs w:val="22"/>
          <w:lang w:val="es-CO"/>
        </w:rPr>
        <w:t>150</w:t>
      </w:r>
      <w:r w:rsidRPr="006969B3">
        <w:rPr>
          <w:rFonts w:ascii="Arial" w:hAnsi="Arial" w:cs="Arial"/>
          <w:sz w:val="22"/>
          <w:szCs w:val="22"/>
          <w:lang w:val="es-CO"/>
        </w:rPr>
        <w:t xml:space="preserve">, numeral 10, de la Constitución Política, revístase al </w:t>
      </w:r>
      <w:proofErr w:type="gramStart"/>
      <w:r w:rsidRPr="006969B3">
        <w:rPr>
          <w:rFonts w:ascii="Arial" w:hAnsi="Arial" w:cs="Arial"/>
          <w:sz w:val="22"/>
          <w:szCs w:val="22"/>
          <w:lang w:val="es-CO"/>
        </w:rPr>
        <w:t>Presidente</w:t>
      </w:r>
      <w:proofErr w:type="gramEnd"/>
      <w:r w:rsidRPr="006969B3">
        <w:rPr>
          <w:rFonts w:ascii="Arial" w:hAnsi="Arial" w:cs="Arial"/>
          <w:sz w:val="22"/>
          <w:szCs w:val="22"/>
          <w:lang w:val="es-CO"/>
        </w:rPr>
        <w:t xml:space="preserve"> de la República de precisas facultades extraordinarias, por el término de seis (6) meses, contados a partir de la fecha de publicación de la presente ley, para:</w:t>
      </w:r>
    </w:p>
    <w:p w14:paraId="6E97E1B3" w14:textId="77777777" w:rsidR="006B2C1D" w:rsidRPr="006969B3" w:rsidRDefault="006B2C1D" w:rsidP="00F65283">
      <w:pPr>
        <w:pStyle w:val="NormalWeb"/>
        <w:spacing w:before="0" w:beforeAutospacing="0" w:after="0" w:afterAutospacing="0"/>
        <w:jc w:val="both"/>
        <w:rPr>
          <w:rFonts w:ascii="Arial" w:hAnsi="Arial" w:cs="Arial"/>
          <w:sz w:val="22"/>
          <w:szCs w:val="22"/>
          <w:lang w:val="es-CO"/>
        </w:rPr>
      </w:pPr>
    </w:p>
    <w:p w14:paraId="7DB00E13" w14:textId="77777777"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Reestructurar jerárquica y funcionalmente la Contraloría Delegada para el Sector Defensa, Justicia y Seguridad, la Contraloría Delegada para el Sector Social, la Contraloría Delegada para el Sector Infraestructura Física y Telecomunicaciones, Comercio Exterior y Desarrollo Regional, la Contraloría Delegada para Investigaciones, Juicios Fiscales y Jurisdicción Coactiva, la Gerencia de Gestión Administrativa y Financiera, la Contraloría Delegada para la Participación Ciudadana, la Unidad de Investigaciones Especiales contra la Corrupción y la Unidad Delegada para el Posconflicto, y crear la Dirección de Información, Análisis y Reacción Inmediata, en la Contraloría General de la República, para lo cual podrá desarrollar la estructura de la entidad, creando nuevas dependencias, modificar o establecer sus funciones y su planta de personal creando los empleos a que haya lugar.</w:t>
      </w:r>
    </w:p>
    <w:p w14:paraId="1F4B9660" w14:textId="77777777" w:rsidR="006B2C1D" w:rsidRPr="006969B3" w:rsidRDefault="006B2C1D" w:rsidP="00F65283">
      <w:pPr>
        <w:pStyle w:val="NormalWeb"/>
        <w:spacing w:before="0" w:beforeAutospacing="0" w:after="0" w:afterAutospacing="0"/>
        <w:jc w:val="both"/>
        <w:rPr>
          <w:rStyle w:val="baj"/>
          <w:rFonts w:ascii="Arial" w:hAnsi="Arial" w:cs="Arial"/>
          <w:sz w:val="22"/>
          <w:szCs w:val="22"/>
          <w:lang w:val="es-CO"/>
        </w:rPr>
      </w:pPr>
    </w:p>
    <w:p w14:paraId="6618E117" w14:textId="1A8FF235"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La Gerencia Administrativa y Financiera tiene la función de dirigir y controlar las actividades y procesos de contratación administrativa, para lo cual ordenará el gasto y suscribirá los actos, contratos y convenios requeridos para el funcionamiento de la entidad.</w:t>
      </w:r>
    </w:p>
    <w:p w14:paraId="40CD2EFA" w14:textId="77777777" w:rsidR="006B2C1D" w:rsidRPr="006969B3" w:rsidRDefault="006B2C1D" w:rsidP="00F65283">
      <w:pPr>
        <w:pStyle w:val="NormalWeb"/>
        <w:spacing w:before="0" w:beforeAutospacing="0" w:after="0" w:afterAutospacing="0"/>
        <w:jc w:val="both"/>
        <w:rPr>
          <w:rFonts w:ascii="Arial" w:hAnsi="Arial" w:cs="Arial"/>
          <w:sz w:val="22"/>
          <w:szCs w:val="22"/>
          <w:lang w:val="es-CO"/>
        </w:rPr>
      </w:pPr>
    </w:p>
    <w:p w14:paraId="638028AA" w14:textId="77777777"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El Fondo de Bienestar Social de la Contraloría General de la República podrá contratar seguro de vida colectivo con cobertura general, para los servidores de la Contraloría General de la República.</w:t>
      </w:r>
    </w:p>
    <w:p w14:paraId="759CAD08" w14:textId="77777777" w:rsidR="006B2C1D" w:rsidRPr="006969B3" w:rsidRDefault="006B2C1D" w:rsidP="00F65283">
      <w:pPr>
        <w:pStyle w:val="NormalWeb"/>
        <w:spacing w:before="0" w:beforeAutospacing="0" w:after="0" w:afterAutospacing="0"/>
        <w:jc w:val="both"/>
        <w:rPr>
          <w:rFonts w:ascii="Arial" w:hAnsi="Arial" w:cs="Arial"/>
          <w:sz w:val="22"/>
          <w:szCs w:val="22"/>
          <w:lang w:val="es-CO"/>
        </w:rPr>
      </w:pPr>
      <w:bookmarkStart w:id="356" w:name="333"/>
    </w:p>
    <w:p w14:paraId="3B66F500" w14:textId="2B87185A"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ARTÍCULO 333. SUPRESIÓN DE TRÁMITES, PROCESOS Y PROCEDIMIENTOS PARA LA MODERNIZACIÓN Y EFICIENCIA DE LA ADMINISTRACIÓN PÚBLICA.</w:t>
      </w:r>
      <w:bookmarkEnd w:id="356"/>
      <w:r w:rsidRPr="006969B3">
        <w:rPr>
          <w:rFonts w:ascii="Arial" w:hAnsi="Arial" w:cs="Arial"/>
          <w:sz w:val="22"/>
          <w:szCs w:val="22"/>
          <w:lang w:val="es-CO"/>
        </w:rPr>
        <w:t> De conformidad con lo establecido en el artículo </w:t>
      </w:r>
      <w:r w:rsidRPr="000A2938">
        <w:rPr>
          <w:rFonts w:ascii="Arial" w:hAnsi="Arial" w:cs="Arial"/>
          <w:sz w:val="22"/>
          <w:szCs w:val="22"/>
          <w:lang w:val="es-CO"/>
        </w:rPr>
        <w:t>150</w:t>
      </w:r>
      <w:r w:rsidRPr="006969B3">
        <w:rPr>
          <w:rFonts w:ascii="Arial" w:hAnsi="Arial" w:cs="Arial"/>
          <w:sz w:val="22"/>
          <w:szCs w:val="22"/>
          <w:lang w:val="es-CO"/>
        </w:rPr>
        <w:t xml:space="preserve">, numeral 10, de la Constitución Política, revístese al </w:t>
      </w:r>
      <w:proofErr w:type="gramStart"/>
      <w:r w:rsidRPr="006969B3">
        <w:rPr>
          <w:rFonts w:ascii="Arial" w:hAnsi="Arial" w:cs="Arial"/>
          <w:sz w:val="22"/>
          <w:szCs w:val="22"/>
          <w:lang w:val="es-CO"/>
        </w:rPr>
        <w:t>Presidente</w:t>
      </w:r>
      <w:proofErr w:type="gramEnd"/>
      <w:r w:rsidRPr="006969B3">
        <w:rPr>
          <w:rFonts w:ascii="Arial" w:hAnsi="Arial" w:cs="Arial"/>
          <w:sz w:val="22"/>
          <w:szCs w:val="22"/>
          <w:lang w:val="es-CO"/>
        </w:rPr>
        <w:t xml:space="preserve"> de la República de precisas facultades extraordinarias, por el término de seis (6) meses, contados a partir de la fecha de publicación de la presente ley, para:</w:t>
      </w:r>
    </w:p>
    <w:p w14:paraId="1E2A06B8" w14:textId="77777777" w:rsidR="006B2C1D" w:rsidRPr="006969B3" w:rsidRDefault="006B2C1D" w:rsidP="00F65283">
      <w:pPr>
        <w:pStyle w:val="NormalWeb"/>
        <w:spacing w:before="0" w:beforeAutospacing="0" w:after="0" w:afterAutospacing="0"/>
        <w:jc w:val="both"/>
        <w:rPr>
          <w:rFonts w:ascii="Arial" w:hAnsi="Arial" w:cs="Arial"/>
          <w:sz w:val="22"/>
          <w:szCs w:val="22"/>
          <w:lang w:val="es-CO"/>
        </w:rPr>
      </w:pPr>
    </w:p>
    <w:p w14:paraId="77D1CEFF" w14:textId="77777777"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Simplificar o suprimir o reformar trámites, procesos y procedimientos innecesarios existentes en la administración pública.</w:t>
      </w:r>
    </w:p>
    <w:p w14:paraId="46FF1036" w14:textId="1A31C9F8" w:rsidR="003E6B56" w:rsidRPr="006969B3" w:rsidRDefault="003E6B56" w:rsidP="00F65283">
      <w:pPr>
        <w:spacing w:after="0" w:line="240" w:lineRule="auto"/>
        <w:rPr>
          <w:rFonts w:ascii="Arial" w:hAnsi="Arial" w:cs="Arial"/>
          <w:lang w:val="es-CO"/>
        </w:rPr>
      </w:pPr>
    </w:p>
    <w:p w14:paraId="421DBFF5" w14:textId="0AFFFEE5" w:rsidR="003E6B56" w:rsidRPr="006969B3" w:rsidRDefault="003E6B56" w:rsidP="00F65283">
      <w:pPr>
        <w:pStyle w:val="NormalWeb"/>
        <w:spacing w:before="0" w:beforeAutospacing="0" w:after="0" w:afterAutospacing="0"/>
        <w:jc w:val="both"/>
        <w:rPr>
          <w:rFonts w:ascii="Arial" w:hAnsi="Arial" w:cs="Arial"/>
          <w:sz w:val="22"/>
          <w:szCs w:val="22"/>
          <w:lang w:val="es-CO"/>
        </w:rPr>
      </w:pPr>
      <w:bookmarkStart w:id="357" w:name="334"/>
      <w:r w:rsidRPr="006969B3">
        <w:rPr>
          <w:rFonts w:ascii="Arial" w:hAnsi="Arial" w:cs="Arial"/>
          <w:sz w:val="22"/>
          <w:szCs w:val="22"/>
          <w:lang w:val="es-CO"/>
        </w:rPr>
        <w:t>ARTÍCULO 334. FORTALECIMIENTO DE LA EQUIDAD, EL EMPRENDIMIENTO Y LA LEGALIDAD DESDE LA MODERNIZACIÓN Y EFICIENCIA DE LA ADMINISTRACIÓN PÚBLICA.</w:t>
      </w:r>
      <w:bookmarkEnd w:id="357"/>
      <w:r w:rsidRPr="006969B3">
        <w:rPr>
          <w:rFonts w:ascii="Arial" w:hAnsi="Arial" w:cs="Arial"/>
          <w:sz w:val="22"/>
          <w:szCs w:val="22"/>
          <w:lang w:val="es-CO"/>
        </w:rPr>
        <w:t> De conformidad con lo establecido en el artículo </w:t>
      </w:r>
      <w:r w:rsidRPr="000A2938">
        <w:rPr>
          <w:rFonts w:ascii="Arial" w:hAnsi="Arial" w:cs="Arial"/>
          <w:sz w:val="22"/>
          <w:szCs w:val="22"/>
          <w:lang w:val="es-CO"/>
        </w:rPr>
        <w:t>150</w:t>
      </w:r>
      <w:r w:rsidRPr="006969B3">
        <w:rPr>
          <w:rFonts w:ascii="Arial" w:hAnsi="Arial" w:cs="Arial"/>
          <w:sz w:val="22"/>
          <w:szCs w:val="22"/>
          <w:lang w:val="es-CO"/>
        </w:rPr>
        <w:t xml:space="preserve">, numeral 10, de la Constitución Política, revístese al </w:t>
      </w:r>
      <w:proofErr w:type="gramStart"/>
      <w:r w:rsidRPr="006969B3">
        <w:rPr>
          <w:rFonts w:ascii="Arial" w:hAnsi="Arial" w:cs="Arial"/>
          <w:sz w:val="22"/>
          <w:szCs w:val="22"/>
          <w:lang w:val="es-CO"/>
        </w:rPr>
        <w:t>Presidente</w:t>
      </w:r>
      <w:proofErr w:type="gramEnd"/>
      <w:r w:rsidRPr="006969B3">
        <w:rPr>
          <w:rFonts w:ascii="Arial" w:hAnsi="Arial" w:cs="Arial"/>
          <w:sz w:val="22"/>
          <w:szCs w:val="22"/>
          <w:lang w:val="es-CO"/>
        </w:rPr>
        <w:t xml:space="preserve"> de la República de precisas facultades extraordinarias, por el término de seis (6) meses, contados a partir de la fecha de publicación de la presente ley, para:</w:t>
      </w:r>
    </w:p>
    <w:p w14:paraId="0A59F9C4" w14:textId="77777777"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Realizar las modificaciones presupuestales necesarias para apropiar los gastos de funcionamiento e inversión necesarios para el cumplimiento de las facultades extraordinarias conferidas en la presente ley.</w:t>
      </w:r>
    </w:p>
    <w:p w14:paraId="38CF8CED" w14:textId="301A1EA8" w:rsidR="003E6B56" w:rsidRPr="006969B3" w:rsidRDefault="003E6B56" w:rsidP="00F65283">
      <w:pPr>
        <w:spacing w:after="0" w:line="240" w:lineRule="auto"/>
        <w:rPr>
          <w:rFonts w:ascii="Arial" w:hAnsi="Arial" w:cs="Arial"/>
          <w:lang w:val="es-CO"/>
        </w:rPr>
      </w:pPr>
    </w:p>
    <w:p w14:paraId="0D5E26D5" w14:textId="146B4D07" w:rsidR="003E6B56" w:rsidRPr="006969B3" w:rsidRDefault="003E6B56" w:rsidP="00F65283">
      <w:pPr>
        <w:pStyle w:val="NormalWeb"/>
        <w:spacing w:before="0" w:beforeAutospacing="0" w:after="0" w:afterAutospacing="0"/>
        <w:jc w:val="both"/>
        <w:rPr>
          <w:rFonts w:ascii="Arial" w:hAnsi="Arial" w:cs="Arial"/>
          <w:sz w:val="22"/>
          <w:szCs w:val="22"/>
          <w:lang w:val="es-CO"/>
        </w:rPr>
      </w:pPr>
      <w:bookmarkStart w:id="358" w:name="335"/>
      <w:r w:rsidRPr="006969B3">
        <w:rPr>
          <w:rFonts w:ascii="Arial" w:hAnsi="Arial" w:cs="Arial"/>
          <w:sz w:val="22"/>
          <w:szCs w:val="22"/>
          <w:lang w:val="es-CO"/>
        </w:rPr>
        <w:t>ARTÍCULO 335. AUTONOMÍA PRESUPUESTAL DEL CONSEJO NACIONAL ELECTORAL.</w:t>
      </w:r>
      <w:bookmarkEnd w:id="358"/>
      <w:r w:rsidRPr="006969B3">
        <w:rPr>
          <w:rFonts w:ascii="Arial" w:hAnsi="Arial" w:cs="Arial"/>
          <w:sz w:val="22"/>
          <w:szCs w:val="22"/>
          <w:lang w:val="es-CO"/>
        </w:rPr>
        <w:t> Para efectos de la autonomía administrativa y presupuestal del Consejo Nacional Electoral de que trata el artículo </w:t>
      </w:r>
      <w:r w:rsidRPr="000A2938">
        <w:rPr>
          <w:rFonts w:ascii="Arial" w:hAnsi="Arial" w:cs="Arial"/>
          <w:sz w:val="22"/>
          <w:szCs w:val="22"/>
          <w:lang w:val="es-CO"/>
        </w:rPr>
        <w:t>265</w:t>
      </w:r>
      <w:r w:rsidRPr="006969B3">
        <w:rPr>
          <w:rFonts w:ascii="Arial" w:hAnsi="Arial" w:cs="Arial"/>
          <w:sz w:val="22"/>
          <w:szCs w:val="22"/>
          <w:lang w:val="es-CO"/>
        </w:rPr>
        <w:t xml:space="preserve"> de la Constitución, revístase al Presidente de la República de facultades extraordinarias para que dentro de los 6 meses siguientes a la expedición de la presente ley, adopte la estructura y organización del Consejo Nacional </w:t>
      </w:r>
      <w:r w:rsidRPr="006969B3">
        <w:rPr>
          <w:rFonts w:ascii="Arial" w:hAnsi="Arial" w:cs="Arial"/>
          <w:sz w:val="22"/>
          <w:szCs w:val="22"/>
          <w:lang w:val="es-CO"/>
        </w:rPr>
        <w:lastRenderedPageBreak/>
        <w:t>Electoral, que mantendrá el régimen especial establecido en la Ley </w:t>
      </w:r>
      <w:r w:rsidRPr="000A2938">
        <w:rPr>
          <w:rFonts w:ascii="Arial" w:hAnsi="Arial" w:cs="Arial"/>
          <w:sz w:val="22"/>
          <w:szCs w:val="22"/>
          <w:lang w:val="es-CO"/>
        </w:rPr>
        <w:t>1350</w:t>
      </w:r>
      <w:r w:rsidRPr="006969B3">
        <w:rPr>
          <w:rFonts w:ascii="Arial" w:hAnsi="Arial" w:cs="Arial"/>
          <w:sz w:val="22"/>
          <w:szCs w:val="22"/>
          <w:lang w:val="es-CO"/>
        </w:rPr>
        <w:t> de 2009 para lo cual tendrá en cuenta los estudios que ha adelantado dicha Corporación y el Departamento Administrativo de la Función Pública sobre el particular.</w:t>
      </w:r>
    </w:p>
    <w:p w14:paraId="5116EAED" w14:textId="77777777" w:rsidR="006B2C1D" w:rsidRPr="006969B3" w:rsidRDefault="006B2C1D" w:rsidP="00F65283">
      <w:pPr>
        <w:pStyle w:val="NormalWeb"/>
        <w:spacing w:before="0" w:beforeAutospacing="0" w:after="0" w:afterAutospacing="0"/>
        <w:jc w:val="both"/>
        <w:rPr>
          <w:rFonts w:ascii="Arial" w:hAnsi="Arial" w:cs="Arial"/>
          <w:sz w:val="22"/>
          <w:szCs w:val="22"/>
          <w:lang w:val="es-CO"/>
        </w:rPr>
      </w:pPr>
    </w:p>
    <w:p w14:paraId="70047ED6" w14:textId="7C40059E"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Fonts w:ascii="Arial" w:hAnsi="Arial" w:cs="Arial"/>
          <w:sz w:val="22"/>
          <w:szCs w:val="22"/>
          <w:lang w:val="es-CO"/>
        </w:rPr>
        <w:t>En la Ley Anual de Presupuesto se asignarán las apropiaciones necesarias con sujeción a las disposiciones de la gestión presupuestal para el desarrollo de la estructura y organización del Consejo Nacional Electoral.</w:t>
      </w:r>
    </w:p>
    <w:p w14:paraId="3F24783B" w14:textId="77777777" w:rsidR="00BA517A" w:rsidRPr="006969B3" w:rsidRDefault="00BA517A" w:rsidP="00F65283">
      <w:pPr>
        <w:pStyle w:val="NormalWeb"/>
        <w:spacing w:before="0" w:beforeAutospacing="0" w:after="0" w:afterAutospacing="0"/>
        <w:jc w:val="both"/>
        <w:rPr>
          <w:rFonts w:ascii="Arial" w:hAnsi="Arial" w:cs="Arial"/>
          <w:sz w:val="22"/>
          <w:szCs w:val="22"/>
          <w:lang w:val="es-CO"/>
        </w:rPr>
      </w:pPr>
    </w:p>
    <w:p w14:paraId="7782C030" w14:textId="752556C2"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1o.</w:t>
      </w:r>
      <w:r w:rsidRPr="006969B3">
        <w:rPr>
          <w:rFonts w:ascii="Arial" w:hAnsi="Arial" w:cs="Arial"/>
          <w:sz w:val="22"/>
          <w:szCs w:val="22"/>
          <w:lang w:val="es-CO"/>
        </w:rPr>
        <w:t> En ejercicio de su autonomía administrativa le corresponde al Consejo Nacional Electoral a través de su presidente, nombrar a los servidores públicos de acuerdo con la estructura y organización dispuesta para el efecto, así como crear grupos internos de trabajo y definir todos los aspectos relacionados con el cumplimiento de sus funciones, en armonía con los principios consagrados en la Constitución Política y la ley, así como suscribir los contratos que debe celebrar en cumplimiento de sus funciones, sin perjuicio de la delegación que para el efecto, realice conforme a lo dispuesto en las disposiciones legales y en la presente ley.</w:t>
      </w:r>
    </w:p>
    <w:p w14:paraId="347E3CD3" w14:textId="77777777" w:rsidR="00BA517A" w:rsidRPr="006969B3" w:rsidRDefault="00BA517A" w:rsidP="00F65283">
      <w:pPr>
        <w:pStyle w:val="NormalWeb"/>
        <w:spacing w:before="0" w:beforeAutospacing="0" w:after="0" w:afterAutospacing="0"/>
        <w:jc w:val="both"/>
        <w:rPr>
          <w:rFonts w:ascii="Arial" w:hAnsi="Arial" w:cs="Arial"/>
          <w:sz w:val="22"/>
          <w:szCs w:val="22"/>
          <w:lang w:val="es-CO"/>
        </w:rPr>
      </w:pPr>
    </w:p>
    <w:p w14:paraId="6E13F9BB" w14:textId="27EE151B" w:rsidR="003E6B56" w:rsidRPr="006969B3" w:rsidRDefault="003E6B56" w:rsidP="00F65283">
      <w:pPr>
        <w:pStyle w:val="NormalWeb"/>
        <w:spacing w:before="0" w:beforeAutospacing="0" w:after="0" w:afterAutospacing="0"/>
        <w:jc w:val="both"/>
        <w:rPr>
          <w:rFonts w:ascii="Arial" w:hAnsi="Arial" w:cs="Arial"/>
          <w:sz w:val="22"/>
          <w:szCs w:val="22"/>
          <w:lang w:val="es-CO"/>
        </w:rPr>
      </w:pPr>
      <w:r w:rsidRPr="006969B3">
        <w:rPr>
          <w:rStyle w:val="baj"/>
          <w:rFonts w:ascii="Arial" w:hAnsi="Arial" w:cs="Arial"/>
          <w:sz w:val="22"/>
          <w:szCs w:val="22"/>
          <w:lang w:val="es-CO"/>
        </w:rPr>
        <w:t>PARÁGRAFO 2o.</w:t>
      </w:r>
      <w:r w:rsidRPr="006969B3">
        <w:rPr>
          <w:rFonts w:ascii="Arial" w:hAnsi="Arial" w:cs="Arial"/>
          <w:sz w:val="22"/>
          <w:szCs w:val="22"/>
          <w:lang w:val="es-CO"/>
        </w:rPr>
        <w:t xml:space="preserve"> En desarrollo de las facultades de que trata el presente artículo el </w:t>
      </w:r>
      <w:proofErr w:type="gramStart"/>
      <w:r w:rsidRPr="006969B3">
        <w:rPr>
          <w:rFonts w:ascii="Arial" w:hAnsi="Arial" w:cs="Arial"/>
          <w:sz w:val="22"/>
          <w:szCs w:val="22"/>
          <w:lang w:val="es-CO"/>
        </w:rPr>
        <w:t>Presidente</w:t>
      </w:r>
      <w:proofErr w:type="gramEnd"/>
      <w:r w:rsidRPr="006969B3">
        <w:rPr>
          <w:rFonts w:ascii="Arial" w:hAnsi="Arial" w:cs="Arial"/>
          <w:sz w:val="22"/>
          <w:szCs w:val="22"/>
          <w:lang w:val="es-CO"/>
        </w:rPr>
        <w:t xml:space="preserve"> de la República adoptará la estructura orgánica e interna y la planta de personal para el Consejo Nacional Electoral, que le permita desarrollar la autonomía administrativa y presupuestal de que trata el artículo </w:t>
      </w:r>
      <w:r w:rsidRPr="000A2938">
        <w:rPr>
          <w:rFonts w:ascii="Arial" w:hAnsi="Arial" w:cs="Arial"/>
          <w:sz w:val="22"/>
          <w:szCs w:val="22"/>
          <w:lang w:val="es-CO"/>
        </w:rPr>
        <w:t>265</w:t>
      </w:r>
      <w:r w:rsidRPr="006969B3">
        <w:rPr>
          <w:rFonts w:ascii="Arial" w:hAnsi="Arial" w:cs="Arial"/>
          <w:sz w:val="22"/>
          <w:szCs w:val="22"/>
          <w:lang w:val="es-CO"/>
        </w:rPr>
        <w:t> de la Constitución Política. El régimen laboral para sus servidores será el establecido en la Ley </w:t>
      </w:r>
      <w:r w:rsidRPr="000A2938">
        <w:rPr>
          <w:rFonts w:ascii="Arial" w:hAnsi="Arial" w:cs="Arial"/>
          <w:sz w:val="22"/>
          <w:szCs w:val="22"/>
          <w:lang w:val="es-CO"/>
        </w:rPr>
        <w:t>1350</w:t>
      </w:r>
      <w:r w:rsidRPr="006969B3">
        <w:rPr>
          <w:rFonts w:ascii="Arial" w:hAnsi="Arial" w:cs="Arial"/>
          <w:sz w:val="22"/>
          <w:szCs w:val="22"/>
          <w:lang w:val="es-CO"/>
        </w:rPr>
        <w:t> de 2009. El presidente del Consejo estará facultado para nombrar a los empleados del Consejo y para celebrar los contratos en cumplimiento de sus funciones.</w:t>
      </w:r>
    </w:p>
    <w:p w14:paraId="2FDF8F39" w14:textId="36D9F2AC" w:rsidR="583B0591" w:rsidRPr="006969B3" w:rsidRDefault="583B0591" w:rsidP="00F65283">
      <w:pPr>
        <w:spacing w:after="0" w:line="240" w:lineRule="auto"/>
        <w:jc w:val="both"/>
        <w:rPr>
          <w:rFonts w:ascii="Arial" w:hAnsi="Arial" w:cs="Arial"/>
          <w:lang w:val="es-CO"/>
        </w:rPr>
      </w:pPr>
    </w:p>
    <w:p w14:paraId="6A1366A7" w14:textId="2F0488EC" w:rsidR="6E852434" w:rsidRPr="006969B3" w:rsidRDefault="6E852434" w:rsidP="00F65283">
      <w:pPr>
        <w:spacing w:after="0" w:line="240" w:lineRule="auto"/>
        <w:jc w:val="both"/>
        <w:rPr>
          <w:rFonts w:ascii="Arial" w:eastAsia="Calibri" w:hAnsi="Arial" w:cs="Arial"/>
          <w:lang w:val="es-CO"/>
        </w:rPr>
      </w:pPr>
      <w:r w:rsidRPr="006969B3">
        <w:rPr>
          <w:rFonts w:ascii="Arial" w:eastAsia="Calibri" w:hAnsi="Arial" w:cs="Arial"/>
          <w:lang w:val="es-CO"/>
        </w:rPr>
        <w:t xml:space="preserve">ARTÍCULO 336. VIGENCIAS Y DEROGATORIAS. La presente ley rige a partir de su publicación y deroga todas las disposiciones que le sean contrarias. Los artículos de las Leyes </w:t>
      </w:r>
      <w:r w:rsidRPr="000A2938">
        <w:rPr>
          <w:rFonts w:ascii="Arial" w:eastAsia="Calibri" w:hAnsi="Arial" w:cs="Arial"/>
          <w:lang w:val="es-CO"/>
        </w:rPr>
        <w:t>812</w:t>
      </w:r>
      <w:r w:rsidRPr="006969B3">
        <w:rPr>
          <w:rFonts w:ascii="Arial" w:eastAsia="Calibri" w:hAnsi="Arial" w:cs="Arial"/>
          <w:lang w:val="es-CO"/>
        </w:rPr>
        <w:t xml:space="preserve"> de 2003, </w:t>
      </w:r>
      <w:r w:rsidRPr="000A2938">
        <w:rPr>
          <w:rFonts w:ascii="Arial" w:eastAsia="Calibri" w:hAnsi="Arial" w:cs="Arial"/>
          <w:lang w:val="es-CO"/>
        </w:rPr>
        <w:t>1151</w:t>
      </w:r>
      <w:r w:rsidRPr="006969B3">
        <w:rPr>
          <w:rFonts w:ascii="Arial" w:eastAsia="Calibri" w:hAnsi="Arial" w:cs="Arial"/>
          <w:lang w:val="es-CO"/>
        </w:rPr>
        <w:t xml:space="preserve"> de 2007, </w:t>
      </w:r>
      <w:r w:rsidRPr="000A2938">
        <w:rPr>
          <w:rFonts w:ascii="Arial" w:eastAsia="Calibri" w:hAnsi="Arial" w:cs="Arial"/>
          <w:lang w:val="es-CO"/>
        </w:rPr>
        <w:t>1450</w:t>
      </w:r>
      <w:r w:rsidRPr="006969B3">
        <w:rPr>
          <w:rFonts w:ascii="Arial" w:eastAsia="Calibri" w:hAnsi="Arial" w:cs="Arial"/>
          <w:lang w:val="es-CO"/>
        </w:rPr>
        <w:t xml:space="preserve"> de 2011, y </w:t>
      </w:r>
      <w:r w:rsidRPr="000A2938">
        <w:rPr>
          <w:rFonts w:ascii="Arial" w:eastAsia="Calibri" w:hAnsi="Arial" w:cs="Arial"/>
          <w:lang w:val="es-CO"/>
        </w:rPr>
        <w:t>1753</w:t>
      </w:r>
      <w:r w:rsidRPr="006969B3">
        <w:rPr>
          <w:rFonts w:ascii="Arial" w:eastAsia="Calibri" w:hAnsi="Arial" w:cs="Arial"/>
          <w:lang w:val="es-CO"/>
        </w:rPr>
        <w:t xml:space="preserve"> de 2015 no derogados expresamente en el siguiente Inciso o por otras leyes continuarán vigentes hasta que sean derogados o modificados por norma posterior.</w:t>
      </w:r>
    </w:p>
    <w:p w14:paraId="34C3DE60" w14:textId="77777777" w:rsidR="00BA517A" w:rsidRPr="006969B3" w:rsidRDefault="00BA517A" w:rsidP="00F65283">
      <w:pPr>
        <w:spacing w:after="0" w:line="240" w:lineRule="auto"/>
        <w:jc w:val="both"/>
        <w:rPr>
          <w:rFonts w:ascii="Arial" w:hAnsi="Arial" w:cs="Arial"/>
          <w:lang w:val="es-CO"/>
        </w:rPr>
      </w:pPr>
    </w:p>
    <w:p w14:paraId="602222B8" w14:textId="2572A0BA" w:rsidR="6E852434" w:rsidRPr="006969B3" w:rsidRDefault="6E852434" w:rsidP="00F65283">
      <w:pPr>
        <w:spacing w:after="0" w:line="240" w:lineRule="auto"/>
        <w:jc w:val="both"/>
        <w:rPr>
          <w:rFonts w:ascii="Arial" w:eastAsia="Calibri" w:hAnsi="Arial" w:cs="Arial"/>
          <w:lang w:val="es-CO"/>
        </w:rPr>
      </w:pPr>
      <w:r w:rsidRPr="006969B3">
        <w:rPr>
          <w:rFonts w:ascii="Arial" w:eastAsia="Calibri" w:hAnsi="Arial" w:cs="Arial"/>
          <w:lang w:val="es-CO"/>
        </w:rPr>
        <w:t xml:space="preserve">Se derogan expresamente el artículo 4o de la Ley 14 de 1983; el artículo </w:t>
      </w:r>
      <w:r w:rsidRPr="000A2938">
        <w:rPr>
          <w:rFonts w:ascii="Arial" w:eastAsia="Calibri" w:hAnsi="Arial" w:cs="Arial"/>
          <w:lang w:val="es-CO"/>
        </w:rPr>
        <w:t>84</w:t>
      </w:r>
      <w:r w:rsidRPr="006969B3">
        <w:rPr>
          <w:rFonts w:ascii="Arial" w:eastAsia="Calibri" w:hAnsi="Arial" w:cs="Arial"/>
          <w:lang w:val="es-CO"/>
        </w:rPr>
        <w:t xml:space="preserve"> de la Ley 100 de 1993; el artículo </w:t>
      </w:r>
      <w:r w:rsidRPr="000A2938">
        <w:rPr>
          <w:rFonts w:ascii="Arial" w:eastAsia="Calibri" w:hAnsi="Arial" w:cs="Arial"/>
          <w:lang w:val="es-CO"/>
        </w:rPr>
        <w:t>174</w:t>
      </w:r>
      <w:r w:rsidRPr="006969B3">
        <w:rPr>
          <w:rFonts w:ascii="Arial" w:eastAsia="Calibri" w:hAnsi="Arial" w:cs="Arial"/>
          <w:lang w:val="es-CO"/>
        </w:rPr>
        <w:t xml:space="preserve"> del Decreto-ley 1333 de 1986; el artículo </w:t>
      </w:r>
      <w:r w:rsidRPr="000A2938">
        <w:rPr>
          <w:rFonts w:ascii="Arial" w:eastAsia="Calibri" w:hAnsi="Arial" w:cs="Arial"/>
          <w:lang w:val="es-CO"/>
        </w:rPr>
        <w:t>92</w:t>
      </w:r>
      <w:r w:rsidRPr="006969B3">
        <w:rPr>
          <w:rFonts w:ascii="Arial" w:eastAsia="Calibri" w:hAnsi="Arial" w:cs="Arial"/>
          <w:lang w:val="es-CO"/>
        </w:rPr>
        <w:t xml:space="preserve"> de la Ley 617 de 2000; el artículo </w:t>
      </w:r>
      <w:r w:rsidRPr="000A2938">
        <w:rPr>
          <w:rFonts w:ascii="Arial" w:eastAsia="Calibri" w:hAnsi="Arial" w:cs="Arial"/>
          <w:lang w:val="es-CO"/>
        </w:rPr>
        <w:t>167</w:t>
      </w:r>
      <w:r w:rsidRPr="006969B3">
        <w:rPr>
          <w:rFonts w:ascii="Arial" w:eastAsia="Calibri" w:hAnsi="Arial" w:cs="Arial"/>
          <w:lang w:val="es-CO"/>
        </w:rPr>
        <w:t xml:space="preserve"> de la Ley 769 de 2002, el artículo </w:t>
      </w:r>
      <w:r w:rsidRPr="000A2938">
        <w:rPr>
          <w:rFonts w:ascii="Arial" w:eastAsia="Calibri" w:hAnsi="Arial" w:cs="Arial"/>
          <w:lang w:val="es-CO"/>
        </w:rPr>
        <w:t>56</w:t>
      </w:r>
      <w:r w:rsidRPr="006969B3">
        <w:rPr>
          <w:rFonts w:ascii="Arial" w:eastAsia="Calibri" w:hAnsi="Arial" w:cs="Arial"/>
          <w:lang w:val="es-CO"/>
        </w:rPr>
        <w:t xml:space="preserve"> y </w:t>
      </w:r>
      <w:r w:rsidRPr="000A2938">
        <w:rPr>
          <w:rFonts w:ascii="Arial" w:eastAsia="Calibri" w:hAnsi="Arial" w:cs="Arial"/>
          <w:lang w:val="es-CO"/>
        </w:rPr>
        <w:t>68</w:t>
      </w:r>
      <w:r w:rsidRPr="006969B3">
        <w:rPr>
          <w:rFonts w:ascii="Arial" w:eastAsia="Calibri" w:hAnsi="Arial" w:cs="Arial"/>
          <w:lang w:val="es-CO"/>
        </w:rPr>
        <w:t xml:space="preserve"> de la Ley 962 de 2005; el parágrafo 1 del artículo </w:t>
      </w:r>
      <w:r w:rsidRPr="000A2938">
        <w:rPr>
          <w:rFonts w:ascii="Arial" w:eastAsia="Calibri" w:hAnsi="Arial" w:cs="Arial"/>
          <w:lang w:val="es-CO"/>
        </w:rPr>
        <w:t>4o</w:t>
      </w:r>
      <w:r w:rsidRPr="006969B3">
        <w:rPr>
          <w:rFonts w:ascii="Arial" w:eastAsia="Calibri" w:hAnsi="Arial" w:cs="Arial"/>
          <w:lang w:val="es-CO"/>
        </w:rPr>
        <w:t xml:space="preserve"> de la Ley 1393 de 2010; los artículos </w:t>
      </w:r>
      <w:r w:rsidRPr="000A2938">
        <w:rPr>
          <w:rFonts w:ascii="Arial" w:eastAsia="Calibri" w:hAnsi="Arial" w:cs="Arial"/>
          <w:lang w:val="es-CO"/>
        </w:rPr>
        <w:t>51</w:t>
      </w:r>
      <w:r w:rsidRPr="006969B3">
        <w:rPr>
          <w:rFonts w:ascii="Arial" w:eastAsia="Calibri" w:hAnsi="Arial" w:cs="Arial"/>
          <w:lang w:val="es-CO"/>
        </w:rPr>
        <w:t xml:space="preserve"> a </w:t>
      </w:r>
      <w:r w:rsidRPr="000A2938">
        <w:rPr>
          <w:rFonts w:ascii="Arial" w:eastAsia="Calibri" w:hAnsi="Arial" w:cs="Arial"/>
          <w:lang w:val="es-CO"/>
        </w:rPr>
        <w:t>59</w:t>
      </w:r>
      <w:r w:rsidRPr="006969B3">
        <w:rPr>
          <w:rFonts w:ascii="Arial" w:eastAsia="Calibri" w:hAnsi="Arial" w:cs="Arial"/>
          <w:lang w:val="es-CO"/>
        </w:rPr>
        <w:t xml:space="preserve"> de la Ley 1429 de 2010; el artículo </w:t>
      </w:r>
      <w:r w:rsidRPr="000A2938">
        <w:rPr>
          <w:rFonts w:ascii="Arial" w:eastAsia="Calibri" w:hAnsi="Arial" w:cs="Arial"/>
          <w:lang w:val="es-CO"/>
        </w:rPr>
        <w:t>81</w:t>
      </w:r>
      <w:r w:rsidRPr="006969B3">
        <w:rPr>
          <w:rFonts w:ascii="Arial" w:eastAsia="Calibri" w:hAnsi="Arial" w:cs="Arial"/>
          <w:lang w:val="es-CO"/>
        </w:rPr>
        <w:t xml:space="preserve"> de la Ley 1438 de 2011; los artículos </w:t>
      </w:r>
      <w:r w:rsidRPr="000A2938">
        <w:rPr>
          <w:rFonts w:ascii="Arial" w:eastAsia="Calibri" w:hAnsi="Arial" w:cs="Arial"/>
          <w:lang w:val="es-CO"/>
        </w:rPr>
        <w:t>69</w:t>
      </w:r>
      <w:r w:rsidRPr="006969B3">
        <w:rPr>
          <w:rFonts w:ascii="Arial" w:eastAsia="Calibri" w:hAnsi="Arial" w:cs="Arial"/>
          <w:lang w:val="es-CO"/>
        </w:rPr>
        <w:t xml:space="preserve">, </w:t>
      </w:r>
      <w:r w:rsidRPr="000A2938">
        <w:rPr>
          <w:rFonts w:ascii="Arial" w:eastAsia="Calibri" w:hAnsi="Arial" w:cs="Arial"/>
          <w:lang w:val="es-CO"/>
        </w:rPr>
        <w:t>90</w:t>
      </w:r>
      <w:r w:rsidRPr="006969B3">
        <w:rPr>
          <w:rFonts w:ascii="Arial" w:eastAsia="Calibri" w:hAnsi="Arial" w:cs="Arial"/>
          <w:lang w:val="es-CO"/>
        </w:rPr>
        <w:t xml:space="preserve">, </w:t>
      </w:r>
      <w:r w:rsidRPr="000A2938">
        <w:rPr>
          <w:rFonts w:ascii="Arial" w:eastAsia="Calibri" w:hAnsi="Arial" w:cs="Arial"/>
          <w:lang w:val="es-CO"/>
        </w:rPr>
        <w:t>91</w:t>
      </w:r>
      <w:r w:rsidRPr="006969B3">
        <w:rPr>
          <w:rFonts w:ascii="Arial" w:eastAsia="Calibri" w:hAnsi="Arial" w:cs="Arial"/>
          <w:lang w:val="es-CO"/>
        </w:rPr>
        <w:t xml:space="preserve">, </w:t>
      </w:r>
      <w:r w:rsidRPr="000A2938">
        <w:rPr>
          <w:rFonts w:ascii="Arial" w:eastAsia="Calibri" w:hAnsi="Arial" w:cs="Arial"/>
          <w:lang w:val="es-CO"/>
        </w:rPr>
        <w:t>131</w:t>
      </w:r>
      <w:r w:rsidRPr="006969B3">
        <w:rPr>
          <w:rFonts w:ascii="Arial" w:eastAsia="Calibri" w:hAnsi="Arial" w:cs="Arial"/>
          <w:lang w:val="es-CO"/>
        </w:rPr>
        <w:t xml:space="preserve">, </w:t>
      </w:r>
      <w:r w:rsidRPr="000A2938">
        <w:rPr>
          <w:rFonts w:ascii="Arial" w:eastAsia="Calibri" w:hAnsi="Arial" w:cs="Arial"/>
          <w:lang w:val="es-CO"/>
        </w:rPr>
        <w:t>132</w:t>
      </w:r>
      <w:r w:rsidRPr="006969B3">
        <w:rPr>
          <w:rFonts w:ascii="Arial" w:eastAsia="Calibri" w:hAnsi="Arial" w:cs="Arial"/>
          <w:lang w:val="es-CO"/>
        </w:rPr>
        <w:t xml:space="preserve">, </w:t>
      </w:r>
      <w:r w:rsidRPr="000A2938">
        <w:rPr>
          <w:rFonts w:ascii="Arial" w:eastAsia="Calibri" w:hAnsi="Arial" w:cs="Arial"/>
          <w:lang w:val="es-CO"/>
        </w:rPr>
        <w:t>133</w:t>
      </w:r>
      <w:r w:rsidRPr="006969B3">
        <w:rPr>
          <w:rFonts w:ascii="Arial" w:eastAsia="Calibri" w:hAnsi="Arial" w:cs="Arial"/>
          <w:lang w:val="es-CO"/>
        </w:rPr>
        <w:t xml:space="preserve">, </w:t>
      </w:r>
      <w:r w:rsidRPr="000A2938">
        <w:rPr>
          <w:rFonts w:ascii="Arial" w:eastAsia="Calibri" w:hAnsi="Arial" w:cs="Arial"/>
          <w:lang w:val="es-CO"/>
        </w:rPr>
        <w:t>134</w:t>
      </w:r>
      <w:r w:rsidRPr="006969B3">
        <w:rPr>
          <w:rFonts w:ascii="Arial" w:eastAsia="Calibri" w:hAnsi="Arial" w:cs="Arial"/>
          <w:lang w:val="es-CO"/>
        </w:rPr>
        <w:t xml:space="preserve">, </w:t>
      </w:r>
      <w:r w:rsidRPr="000A2938">
        <w:rPr>
          <w:rFonts w:ascii="Arial" w:eastAsia="Calibri" w:hAnsi="Arial" w:cs="Arial"/>
          <w:lang w:val="es-CO"/>
        </w:rPr>
        <w:t>138</w:t>
      </w:r>
      <w:r w:rsidRPr="006969B3">
        <w:rPr>
          <w:rFonts w:ascii="Arial" w:eastAsia="Calibri" w:hAnsi="Arial" w:cs="Arial"/>
          <w:lang w:val="es-CO"/>
        </w:rPr>
        <w:t xml:space="preserve">, </w:t>
      </w:r>
      <w:r w:rsidRPr="000A2938">
        <w:rPr>
          <w:rFonts w:ascii="Arial" w:eastAsia="Calibri" w:hAnsi="Arial" w:cs="Arial"/>
          <w:lang w:val="es-CO"/>
        </w:rPr>
        <w:t>141</w:t>
      </w:r>
      <w:r w:rsidRPr="006969B3">
        <w:rPr>
          <w:rFonts w:ascii="Arial" w:eastAsia="Calibri" w:hAnsi="Arial" w:cs="Arial"/>
          <w:lang w:val="es-CO"/>
        </w:rPr>
        <w:t xml:space="preserve">, </w:t>
      </w:r>
      <w:r w:rsidRPr="000A2938">
        <w:rPr>
          <w:rFonts w:ascii="Arial" w:eastAsia="Calibri" w:hAnsi="Arial" w:cs="Arial"/>
          <w:lang w:val="es-CO"/>
        </w:rPr>
        <w:t>149</w:t>
      </w:r>
      <w:r w:rsidRPr="006969B3">
        <w:rPr>
          <w:rFonts w:ascii="Arial" w:eastAsia="Calibri" w:hAnsi="Arial" w:cs="Arial"/>
          <w:lang w:val="es-CO"/>
        </w:rPr>
        <w:t xml:space="preserve">, </w:t>
      </w:r>
      <w:r w:rsidRPr="000A2938">
        <w:rPr>
          <w:rFonts w:ascii="Arial" w:eastAsia="Calibri" w:hAnsi="Arial" w:cs="Arial"/>
          <w:lang w:val="es-CO"/>
        </w:rPr>
        <w:t>152</w:t>
      </w:r>
      <w:r w:rsidRPr="006969B3">
        <w:rPr>
          <w:rFonts w:ascii="Arial" w:eastAsia="Calibri" w:hAnsi="Arial" w:cs="Arial"/>
          <w:lang w:val="es-CO"/>
        </w:rPr>
        <w:t xml:space="preserve"> a </w:t>
      </w:r>
      <w:r w:rsidRPr="000A2938">
        <w:rPr>
          <w:rFonts w:ascii="Arial" w:eastAsia="Calibri" w:hAnsi="Arial" w:cs="Arial"/>
          <w:lang w:val="es-CO"/>
        </w:rPr>
        <w:t>155</w:t>
      </w:r>
      <w:r w:rsidRPr="006969B3">
        <w:rPr>
          <w:rFonts w:ascii="Arial" w:eastAsia="Calibri" w:hAnsi="Arial" w:cs="Arial"/>
          <w:lang w:val="es-CO"/>
        </w:rPr>
        <w:t xml:space="preserve">, </w:t>
      </w:r>
      <w:r w:rsidRPr="000A2938">
        <w:rPr>
          <w:rFonts w:ascii="Arial" w:eastAsia="Calibri" w:hAnsi="Arial" w:cs="Arial"/>
          <w:lang w:val="es-CO"/>
        </w:rPr>
        <w:t>159</w:t>
      </w:r>
      <w:r w:rsidRPr="006969B3">
        <w:rPr>
          <w:rFonts w:ascii="Arial" w:eastAsia="Calibri" w:hAnsi="Arial" w:cs="Arial"/>
          <w:lang w:val="es-CO"/>
        </w:rPr>
        <w:t xml:space="preserve">, </w:t>
      </w:r>
      <w:r w:rsidRPr="000A2938">
        <w:rPr>
          <w:rFonts w:ascii="Arial" w:eastAsia="Calibri" w:hAnsi="Arial" w:cs="Arial"/>
          <w:lang w:val="es-CO"/>
        </w:rPr>
        <w:t>161</w:t>
      </w:r>
      <w:r w:rsidRPr="006969B3">
        <w:rPr>
          <w:rFonts w:ascii="Arial" w:eastAsia="Calibri" w:hAnsi="Arial" w:cs="Arial"/>
          <w:lang w:val="es-CO"/>
        </w:rPr>
        <w:t xml:space="preserve">, </w:t>
      </w:r>
      <w:r w:rsidRPr="000A2938">
        <w:rPr>
          <w:rFonts w:ascii="Arial" w:eastAsia="Calibri" w:hAnsi="Arial" w:cs="Arial"/>
          <w:lang w:val="es-CO"/>
        </w:rPr>
        <w:t>171</w:t>
      </w:r>
      <w:r w:rsidRPr="006969B3">
        <w:rPr>
          <w:rFonts w:ascii="Arial" w:eastAsia="Calibri" w:hAnsi="Arial" w:cs="Arial"/>
          <w:lang w:val="es-CO"/>
        </w:rPr>
        <w:t xml:space="preserve">, </w:t>
      </w:r>
      <w:r w:rsidRPr="000A2938">
        <w:rPr>
          <w:rFonts w:ascii="Arial" w:eastAsia="Calibri" w:hAnsi="Arial" w:cs="Arial"/>
          <w:lang w:val="es-CO"/>
        </w:rPr>
        <w:t>194</w:t>
      </w:r>
      <w:r w:rsidRPr="006969B3">
        <w:rPr>
          <w:rFonts w:ascii="Arial" w:eastAsia="Calibri" w:hAnsi="Arial" w:cs="Arial"/>
          <w:lang w:val="es-CO"/>
        </w:rPr>
        <w:t xml:space="preserve">, </w:t>
      </w:r>
      <w:r w:rsidRPr="000A2938">
        <w:rPr>
          <w:rFonts w:ascii="Arial" w:eastAsia="Calibri" w:hAnsi="Arial" w:cs="Arial"/>
          <w:lang w:val="es-CO"/>
        </w:rPr>
        <w:t>196</w:t>
      </w:r>
      <w:r w:rsidRPr="006969B3">
        <w:rPr>
          <w:rFonts w:ascii="Arial" w:eastAsia="Calibri" w:hAnsi="Arial" w:cs="Arial"/>
          <w:lang w:val="es-CO"/>
        </w:rPr>
        <w:t xml:space="preserve">, </w:t>
      </w:r>
      <w:r w:rsidRPr="000A2938">
        <w:rPr>
          <w:rFonts w:ascii="Arial" w:eastAsia="Calibri" w:hAnsi="Arial" w:cs="Arial"/>
          <w:lang w:val="es-CO"/>
        </w:rPr>
        <w:t>212</w:t>
      </w:r>
      <w:r w:rsidRPr="006969B3">
        <w:rPr>
          <w:rFonts w:ascii="Arial" w:eastAsia="Calibri" w:hAnsi="Arial" w:cs="Arial"/>
          <w:lang w:val="es-CO"/>
        </w:rPr>
        <w:t xml:space="preserve">, </w:t>
      </w:r>
      <w:r w:rsidRPr="000A2938">
        <w:rPr>
          <w:rFonts w:ascii="Arial" w:eastAsia="Calibri" w:hAnsi="Arial" w:cs="Arial"/>
          <w:lang w:val="es-CO"/>
        </w:rPr>
        <w:t>223</w:t>
      </w:r>
      <w:r w:rsidRPr="006969B3">
        <w:rPr>
          <w:rFonts w:ascii="Arial" w:eastAsia="Calibri" w:hAnsi="Arial" w:cs="Arial"/>
          <w:lang w:val="es-CO"/>
        </w:rPr>
        <w:t xml:space="preserve">, </w:t>
      </w:r>
      <w:r w:rsidRPr="000A2938">
        <w:rPr>
          <w:rFonts w:ascii="Arial" w:eastAsia="Calibri" w:hAnsi="Arial" w:cs="Arial"/>
          <w:lang w:val="es-CO"/>
        </w:rPr>
        <w:t>224</w:t>
      </w:r>
      <w:r w:rsidRPr="006969B3">
        <w:rPr>
          <w:rFonts w:ascii="Arial" w:eastAsia="Calibri" w:hAnsi="Arial" w:cs="Arial"/>
          <w:lang w:val="es-CO"/>
        </w:rPr>
        <w:t xml:space="preserve">, </w:t>
      </w:r>
      <w:r w:rsidRPr="000A2938">
        <w:rPr>
          <w:rFonts w:ascii="Arial" w:eastAsia="Calibri" w:hAnsi="Arial" w:cs="Arial"/>
          <w:lang w:val="es-CO"/>
        </w:rPr>
        <w:t>272</w:t>
      </w:r>
      <w:r w:rsidRPr="006969B3">
        <w:rPr>
          <w:rFonts w:ascii="Arial" w:eastAsia="Calibri" w:hAnsi="Arial" w:cs="Arial"/>
          <w:lang w:val="es-CO"/>
        </w:rPr>
        <w:t xml:space="preserve"> de la Ley 1450 de 2011; los artículos </w:t>
      </w:r>
      <w:r w:rsidRPr="000A2938">
        <w:rPr>
          <w:rFonts w:ascii="Arial" w:eastAsia="Calibri" w:hAnsi="Arial" w:cs="Arial"/>
          <w:lang w:val="es-CO"/>
        </w:rPr>
        <w:t>7o</w:t>
      </w:r>
      <w:r w:rsidRPr="006969B3">
        <w:rPr>
          <w:rFonts w:ascii="Arial" w:eastAsia="Calibri" w:hAnsi="Arial" w:cs="Arial"/>
          <w:lang w:val="es-CO"/>
        </w:rPr>
        <w:t xml:space="preserve">, </w:t>
      </w:r>
      <w:r w:rsidRPr="000A2938">
        <w:rPr>
          <w:rFonts w:ascii="Arial" w:eastAsia="Calibri" w:hAnsi="Arial" w:cs="Arial"/>
          <w:lang w:val="es-CO"/>
        </w:rPr>
        <w:t>32</w:t>
      </w:r>
      <w:r w:rsidRPr="006969B3">
        <w:rPr>
          <w:rFonts w:ascii="Arial" w:eastAsia="Calibri" w:hAnsi="Arial" w:cs="Arial"/>
          <w:lang w:val="es-CO"/>
        </w:rPr>
        <w:t xml:space="preserve">, </w:t>
      </w:r>
      <w:r w:rsidRPr="000A2938">
        <w:rPr>
          <w:rFonts w:ascii="Arial" w:eastAsia="Calibri" w:hAnsi="Arial" w:cs="Arial"/>
          <w:lang w:val="es-CO"/>
        </w:rPr>
        <w:t>34</w:t>
      </w:r>
      <w:r w:rsidRPr="006969B3">
        <w:rPr>
          <w:rFonts w:ascii="Arial" w:eastAsia="Calibri" w:hAnsi="Arial" w:cs="Arial"/>
          <w:lang w:val="es-CO"/>
        </w:rPr>
        <w:t xml:space="preserve">, </w:t>
      </w:r>
      <w:r w:rsidRPr="000A2938">
        <w:rPr>
          <w:rFonts w:ascii="Arial" w:eastAsia="Calibri" w:hAnsi="Arial" w:cs="Arial"/>
          <w:lang w:val="es-CO"/>
        </w:rPr>
        <w:t>47</w:t>
      </w:r>
      <w:r w:rsidRPr="006969B3">
        <w:rPr>
          <w:rFonts w:ascii="Arial" w:eastAsia="Calibri" w:hAnsi="Arial" w:cs="Arial"/>
          <w:lang w:val="es-CO"/>
        </w:rPr>
        <w:t xml:space="preserve">, </w:t>
      </w:r>
      <w:r w:rsidRPr="000A2938">
        <w:rPr>
          <w:rFonts w:ascii="Arial" w:eastAsia="Calibri" w:hAnsi="Arial" w:cs="Arial"/>
          <w:lang w:val="es-CO"/>
        </w:rPr>
        <w:t>58</w:t>
      </w:r>
      <w:r w:rsidRPr="006969B3">
        <w:rPr>
          <w:rFonts w:ascii="Arial" w:eastAsia="Calibri" w:hAnsi="Arial" w:cs="Arial"/>
          <w:lang w:val="es-CO"/>
        </w:rPr>
        <w:t xml:space="preserve">, </w:t>
      </w:r>
      <w:r w:rsidRPr="000A2938">
        <w:rPr>
          <w:rFonts w:ascii="Arial" w:eastAsia="Calibri" w:hAnsi="Arial" w:cs="Arial"/>
          <w:lang w:val="es-CO"/>
        </w:rPr>
        <w:t>60</w:t>
      </w:r>
      <w:r w:rsidRPr="006969B3">
        <w:rPr>
          <w:rFonts w:ascii="Arial" w:eastAsia="Calibri" w:hAnsi="Arial" w:cs="Arial"/>
          <w:lang w:val="es-CO"/>
        </w:rPr>
        <w:t xml:space="preserve">, </w:t>
      </w:r>
      <w:r w:rsidRPr="000A2938">
        <w:rPr>
          <w:rFonts w:ascii="Arial" w:eastAsia="Calibri" w:hAnsi="Arial" w:cs="Arial"/>
          <w:lang w:val="es-CO"/>
        </w:rPr>
        <w:t>90</w:t>
      </w:r>
      <w:r w:rsidRPr="006969B3">
        <w:rPr>
          <w:rFonts w:ascii="Arial" w:eastAsia="Calibri" w:hAnsi="Arial" w:cs="Arial"/>
          <w:lang w:val="es-CO"/>
        </w:rPr>
        <w:t xml:space="preserve">, </w:t>
      </w:r>
      <w:r w:rsidRPr="000A2938">
        <w:rPr>
          <w:rFonts w:ascii="Arial" w:eastAsia="Calibri" w:hAnsi="Arial" w:cs="Arial"/>
          <w:lang w:val="es-CO"/>
        </w:rPr>
        <w:t>95</w:t>
      </w:r>
      <w:r w:rsidRPr="006969B3">
        <w:rPr>
          <w:rFonts w:ascii="Arial" w:eastAsia="Calibri" w:hAnsi="Arial" w:cs="Arial"/>
          <w:lang w:val="es-CO"/>
        </w:rPr>
        <w:t xml:space="preserve">, </w:t>
      </w:r>
      <w:r w:rsidRPr="000A2938">
        <w:rPr>
          <w:rFonts w:ascii="Arial" w:eastAsia="Calibri" w:hAnsi="Arial" w:cs="Arial"/>
          <w:lang w:val="es-CO"/>
        </w:rPr>
        <w:t>98</w:t>
      </w:r>
      <w:r w:rsidRPr="006969B3">
        <w:rPr>
          <w:rFonts w:ascii="Arial" w:eastAsia="Calibri" w:hAnsi="Arial" w:cs="Arial"/>
          <w:lang w:val="es-CO"/>
        </w:rPr>
        <w:t xml:space="preserve">, </w:t>
      </w:r>
      <w:r w:rsidRPr="000A2938">
        <w:rPr>
          <w:rFonts w:ascii="Arial" w:eastAsia="Calibri" w:hAnsi="Arial" w:cs="Arial"/>
          <w:lang w:val="es-CO"/>
        </w:rPr>
        <w:t>106</w:t>
      </w:r>
      <w:r w:rsidRPr="006969B3">
        <w:rPr>
          <w:rFonts w:ascii="Arial" w:eastAsia="Calibri" w:hAnsi="Arial" w:cs="Arial"/>
          <w:lang w:val="es-CO"/>
        </w:rPr>
        <w:t xml:space="preserve">, </w:t>
      </w:r>
      <w:r w:rsidRPr="000A2938">
        <w:rPr>
          <w:rFonts w:ascii="Arial" w:eastAsia="Calibri" w:hAnsi="Arial" w:cs="Arial"/>
          <w:lang w:val="es-CO"/>
        </w:rPr>
        <w:t>135</w:t>
      </w:r>
      <w:r w:rsidRPr="006969B3">
        <w:rPr>
          <w:rFonts w:ascii="Arial" w:eastAsia="Calibri" w:hAnsi="Arial" w:cs="Arial"/>
          <w:lang w:val="es-CO"/>
        </w:rPr>
        <w:t xml:space="preserve">, </w:t>
      </w:r>
      <w:r w:rsidRPr="000A2938">
        <w:rPr>
          <w:rFonts w:ascii="Arial" w:eastAsia="Calibri" w:hAnsi="Arial" w:cs="Arial"/>
          <w:lang w:val="es-CO"/>
        </w:rPr>
        <w:t>136</w:t>
      </w:r>
      <w:r w:rsidRPr="006969B3">
        <w:rPr>
          <w:rFonts w:ascii="Arial" w:eastAsia="Calibri" w:hAnsi="Arial" w:cs="Arial"/>
          <w:lang w:val="es-CO"/>
        </w:rPr>
        <w:t xml:space="preserve">, </w:t>
      </w:r>
      <w:r w:rsidRPr="000A2938">
        <w:rPr>
          <w:rFonts w:ascii="Arial" w:eastAsia="Calibri" w:hAnsi="Arial" w:cs="Arial"/>
          <w:lang w:val="es-CO"/>
        </w:rPr>
        <w:t>186</w:t>
      </w:r>
      <w:r w:rsidRPr="006969B3">
        <w:rPr>
          <w:rFonts w:ascii="Arial" w:eastAsia="Calibri" w:hAnsi="Arial" w:cs="Arial"/>
          <w:lang w:val="es-CO"/>
        </w:rPr>
        <w:t xml:space="preserve">, </w:t>
      </w:r>
      <w:r w:rsidRPr="000A2938">
        <w:rPr>
          <w:rFonts w:ascii="Arial" w:eastAsia="Calibri" w:hAnsi="Arial" w:cs="Arial"/>
          <w:lang w:val="es-CO"/>
        </w:rPr>
        <w:t>219</w:t>
      </w:r>
      <w:r w:rsidRPr="006969B3">
        <w:rPr>
          <w:rFonts w:ascii="Arial" w:eastAsia="Calibri" w:hAnsi="Arial" w:cs="Arial"/>
          <w:lang w:val="es-CO"/>
        </w:rPr>
        <w:t xml:space="preserve">, </w:t>
      </w:r>
      <w:r w:rsidRPr="000A2938">
        <w:rPr>
          <w:rFonts w:ascii="Arial" w:eastAsia="Calibri" w:hAnsi="Arial" w:cs="Arial"/>
          <w:lang w:val="es-CO"/>
        </w:rPr>
        <w:t>222</w:t>
      </w:r>
      <w:r w:rsidRPr="006969B3">
        <w:rPr>
          <w:rFonts w:ascii="Arial" w:eastAsia="Calibri" w:hAnsi="Arial" w:cs="Arial"/>
          <w:lang w:val="es-CO"/>
        </w:rPr>
        <w:t xml:space="preserve">, </w:t>
      </w:r>
      <w:r w:rsidRPr="000A2938">
        <w:rPr>
          <w:rFonts w:ascii="Arial" w:eastAsia="Calibri" w:hAnsi="Arial" w:cs="Arial"/>
          <w:lang w:val="es-CO"/>
        </w:rPr>
        <w:t>259</w:t>
      </w:r>
      <w:r w:rsidRPr="006969B3">
        <w:rPr>
          <w:rFonts w:ascii="Arial" w:eastAsia="Calibri" w:hAnsi="Arial" w:cs="Arial"/>
          <w:lang w:val="es-CO"/>
        </w:rPr>
        <w:t xml:space="preserve">, </w:t>
      </w:r>
      <w:r w:rsidRPr="000A2938">
        <w:rPr>
          <w:rFonts w:ascii="Arial" w:eastAsia="Calibri" w:hAnsi="Arial" w:cs="Arial"/>
          <w:lang w:val="es-CO"/>
        </w:rPr>
        <w:t>261</w:t>
      </w:r>
      <w:r w:rsidRPr="006969B3">
        <w:rPr>
          <w:rFonts w:ascii="Arial" w:eastAsia="Calibri" w:hAnsi="Arial" w:cs="Arial"/>
          <w:lang w:val="es-CO"/>
        </w:rPr>
        <w:t xml:space="preserve">, </w:t>
      </w:r>
      <w:r w:rsidRPr="000A2938">
        <w:rPr>
          <w:rFonts w:ascii="Arial" w:eastAsia="Calibri" w:hAnsi="Arial" w:cs="Arial"/>
          <w:lang w:val="es-CO"/>
        </w:rPr>
        <w:t>264</w:t>
      </w:r>
      <w:r w:rsidRPr="006969B3">
        <w:rPr>
          <w:rFonts w:ascii="Arial" w:eastAsia="Calibri" w:hAnsi="Arial" w:cs="Arial"/>
          <w:lang w:val="es-CO"/>
        </w:rPr>
        <w:t xml:space="preserve"> y los parágrafos de los artículos </w:t>
      </w:r>
      <w:r w:rsidRPr="000A2938">
        <w:rPr>
          <w:rFonts w:ascii="Arial" w:eastAsia="Calibri" w:hAnsi="Arial" w:cs="Arial"/>
          <w:lang w:val="es-CO"/>
        </w:rPr>
        <w:t>55</w:t>
      </w:r>
      <w:r w:rsidRPr="006969B3">
        <w:rPr>
          <w:rFonts w:ascii="Arial" w:eastAsia="Calibri" w:hAnsi="Arial" w:cs="Arial"/>
          <w:lang w:val="es-CO"/>
        </w:rPr>
        <w:t xml:space="preserve"> y </w:t>
      </w:r>
      <w:r w:rsidRPr="000A2938">
        <w:rPr>
          <w:rFonts w:ascii="Arial" w:eastAsia="Calibri" w:hAnsi="Arial" w:cs="Arial"/>
          <w:lang w:val="es-CO"/>
        </w:rPr>
        <w:t>57</w:t>
      </w:r>
      <w:r w:rsidRPr="006969B3">
        <w:rPr>
          <w:rFonts w:ascii="Arial" w:eastAsia="Calibri" w:hAnsi="Arial" w:cs="Arial"/>
          <w:lang w:val="es-CO"/>
        </w:rPr>
        <w:t xml:space="preserve"> de la Ley 1753 de 2015; el artículo </w:t>
      </w:r>
      <w:r w:rsidRPr="000A2938">
        <w:rPr>
          <w:rFonts w:ascii="Arial" w:eastAsia="Calibri" w:hAnsi="Arial" w:cs="Arial"/>
          <w:lang w:val="es-CO"/>
        </w:rPr>
        <w:t>7o</w:t>
      </w:r>
      <w:r w:rsidRPr="006969B3">
        <w:rPr>
          <w:rFonts w:ascii="Arial" w:eastAsia="Calibri" w:hAnsi="Arial" w:cs="Arial"/>
          <w:lang w:val="es-CO"/>
        </w:rPr>
        <w:t xml:space="preserve"> de la Ley 1797 de 2016; el parágrafo transitorio del artículo </w:t>
      </w:r>
      <w:r w:rsidRPr="000A2938">
        <w:rPr>
          <w:rFonts w:ascii="Arial" w:eastAsia="Calibri" w:hAnsi="Arial" w:cs="Arial"/>
          <w:lang w:val="es-CO"/>
        </w:rPr>
        <w:t>12</w:t>
      </w:r>
      <w:r w:rsidRPr="006969B3">
        <w:rPr>
          <w:rFonts w:ascii="Arial" w:eastAsia="Calibri" w:hAnsi="Arial" w:cs="Arial"/>
          <w:lang w:val="es-CO"/>
        </w:rPr>
        <w:t xml:space="preserve"> de la Ley 1904 de 2018; el artículo </w:t>
      </w:r>
      <w:r w:rsidRPr="000A2938">
        <w:rPr>
          <w:rFonts w:ascii="Arial" w:eastAsia="Calibri" w:hAnsi="Arial" w:cs="Arial"/>
          <w:lang w:val="es-CO"/>
        </w:rPr>
        <w:t>110</w:t>
      </w:r>
      <w:r w:rsidRPr="006969B3">
        <w:rPr>
          <w:rFonts w:ascii="Arial" w:eastAsia="Calibri" w:hAnsi="Arial" w:cs="Arial"/>
          <w:lang w:val="es-CO"/>
        </w:rPr>
        <w:t xml:space="preserve"> de la Ley 1943 de 2018; y el artículo </w:t>
      </w:r>
      <w:r w:rsidRPr="000A2938">
        <w:rPr>
          <w:rFonts w:ascii="Arial" w:eastAsia="Calibri" w:hAnsi="Arial" w:cs="Arial"/>
          <w:lang w:val="es-CO"/>
        </w:rPr>
        <w:t>4o</w:t>
      </w:r>
      <w:r w:rsidRPr="006969B3">
        <w:rPr>
          <w:rFonts w:ascii="Arial" w:eastAsia="Calibri" w:hAnsi="Arial" w:cs="Arial"/>
          <w:lang w:val="es-CO"/>
        </w:rPr>
        <w:t xml:space="preserve"> de la Ley 1951 de 2019.</w:t>
      </w:r>
    </w:p>
    <w:p w14:paraId="286DE61F" w14:textId="77777777" w:rsidR="00BA517A" w:rsidRPr="006969B3" w:rsidRDefault="00BA517A" w:rsidP="00F65283">
      <w:pPr>
        <w:spacing w:after="0" w:line="240" w:lineRule="auto"/>
        <w:jc w:val="both"/>
        <w:rPr>
          <w:rFonts w:ascii="Arial" w:hAnsi="Arial" w:cs="Arial"/>
          <w:lang w:val="es-CO"/>
        </w:rPr>
      </w:pPr>
    </w:p>
    <w:p w14:paraId="1C33DE73" w14:textId="7B7E108C" w:rsidR="6E852434" w:rsidRPr="008B5DBC" w:rsidRDefault="40D0354F" w:rsidP="0F93D6DD">
      <w:pPr>
        <w:spacing w:after="0" w:line="240" w:lineRule="auto"/>
        <w:jc w:val="both"/>
        <w:rPr>
          <w:rFonts w:ascii="Arial" w:eastAsia="Calibri" w:hAnsi="Arial" w:cs="Arial"/>
          <w:sz w:val="20"/>
          <w:szCs w:val="20"/>
          <w:lang w:val="es-CO"/>
        </w:rPr>
      </w:pPr>
      <w:r w:rsidRPr="008B5DBC">
        <w:rPr>
          <w:rFonts w:ascii="Arial" w:eastAsia="Calibri" w:hAnsi="Arial" w:cs="Arial"/>
          <w:sz w:val="20"/>
          <w:szCs w:val="20"/>
          <w:lang w:val="es-CO"/>
        </w:rPr>
        <w:t xml:space="preserve">(Ver Conceptos: </w:t>
      </w:r>
      <w:hyperlink r:id="rId54">
        <w:r w:rsidRPr="008B5DBC">
          <w:rPr>
            <w:rStyle w:val="Hipervnculo"/>
            <w:rFonts w:ascii="Arial" w:eastAsia="Arial" w:hAnsi="Arial" w:cs="Arial"/>
            <w:sz w:val="20"/>
            <w:szCs w:val="20"/>
            <w:lang w:val="es-CO"/>
          </w:rPr>
          <w:t>C</w:t>
        </w:r>
        <w:r w:rsidR="00BA517A" w:rsidRPr="008B5DBC">
          <w:rPr>
            <w:rStyle w:val="Hipervnculo"/>
            <w:rFonts w:ascii="Arial" w:eastAsia="Arial" w:hAnsi="Arial" w:cs="Arial"/>
            <w:sz w:val="20"/>
            <w:szCs w:val="20"/>
            <w:lang w:val="es-CO"/>
          </w:rPr>
          <w:t>−</w:t>
        </w:r>
        <w:r w:rsidRPr="008B5DBC">
          <w:rPr>
            <w:rStyle w:val="Hipervnculo"/>
            <w:rFonts w:ascii="Arial" w:eastAsia="Arial" w:hAnsi="Arial" w:cs="Arial"/>
            <w:sz w:val="20"/>
            <w:szCs w:val="20"/>
            <w:lang w:val="es-CO"/>
          </w:rPr>
          <w:t>319 del 12/06/2020</w:t>
        </w:r>
      </w:hyperlink>
      <w:r w:rsidR="1A6B6166" w:rsidRPr="008B5DBC">
        <w:rPr>
          <w:rFonts w:ascii="Arial" w:eastAsia="Arial" w:hAnsi="Arial" w:cs="Arial"/>
          <w:sz w:val="20"/>
          <w:szCs w:val="20"/>
          <w:lang w:val="es-CO"/>
        </w:rPr>
        <w:t xml:space="preserve">, </w:t>
      </w:r>
      <w:hyperlink r:id="rId55">
        <w:r w:rsidR="1A6B6166" w:rsidRPr="008B5DBC">
          <w:rPr>
            <w:rStyle w:val="Hipervnculo"/>
            <w:rFonts w:ascii="Arial" w:eastAsia="Arial" w:hAnsi="Arial" w:cs="Arial"/>
            <w:sz w:val="20"/>
            <w:szCs w:val="20"/>
            <w:lang w:val="es"/>
          </w:rPr>
          <w:t>C-561 del 25/08/2020</w:t>
        </w:r>
      </w:hyperlink>
      <w:r w:rsidR="236F04C5" w:rsidRPr="008B5DBC">
        <w:rPr>
          <w:rFonts w:ascii="Arial" w:eastAsia="Arial" w:hAnsi="Arial" w:cs="Arial"/>
          <w:sz w:val="20"/>
          <w:szCs w:val="20"/>
          <w:lang w:val="es"/>
        </w:rPr>
        <w:t xml:space="preserve">, </w:t>
      </w:r>
      <w:hyperlink r:id="rId56">
        <w:r w:rsidR="236F04C5" w:rsidRPr="008B5DBC">
          <w:rPr>
            <w:rStyle w:val="Hipervnculo"/>
            <w:rFonts w:ascii="Arial" w:eastAsia="Arial" w:hAnsi="Arial" w:cs="Arial"/>
            <w:sz w:val="20"/>
            <w:szCs w:val="20"/>
            <w:lang w:val="es"/>
          </w:rPr>
          <w:t>C-566 del 27/08/2020</w:t>
        </w:r>
      </w:hyperlink>
      <w:r w:rsidR="5F87E06E" w:rsidRPr="008B5DBC">
        <w:rPr>
          <w:rFonts w:ascii="Arial" w:eastAsia="Arial" w:hAnsi="Arial" w:cs="Arial"/>
          <w:sz w:val="20"/>
          <w:szCs w:val="20"/>
          <w:lang w:val="es"/>
        </w:rPr>
        <w:t xml:space="preserve">, </w:t>
      </w:r>
      <w:hyperlink r:id="rId57">
        <w:r w:rsidR="5F87E06E" w:rsidRPr="008B5DBC">
          <w:rPr>
            <w:rStyle w:val="Hipervnculo"/>
            <w:rFonts w:ascii="Arial" w:eastAsia="Arial" w:hAnsi="Arial" w:cs="Arial"/>
            <w:sz w:val="20"/>
            <w:szCs w:val="20"/>
            <w:lang w:val="es-CO"/>
          </w:rPr>
          <w:t>C-667 del 19/11/2020</w:t>
        </w:r>
      </w:hyperlink>
      <w:r w:rsidR="00BA517A" w:rsidRPr="008B5DBC">
        <w:rPr>
          <w:rFonts w:ascii="Arial" w:eastAsia="Arial" w:hAnsi="Arial" w:cs="Arial"/>
          <w:sz w:val="20"/>
          <w:szCs w:val="20"/>
          <w:lang w:val="es-CO"/>
        </w:rPr>
        <w:t xml:space="preserve">) </w:t>
      </w:r>
      <w:hyperlink r:id="rId58">
        <w:r w:rsidR="00BA517A" w:rsidRPr="008B5DBC">
          <w:rPr>
            <w:rStyle w:val="Hipervnculo"/>
            <w:rFonts w:ascii="Arial" w:eastAsia="Arial" w:hAnsi="Arial" w:cs="Arial"/>
            <w:sz w:val="20"/>
            <w:szCs w:val="20"/>
            <w:lang w:val="es-CO"/>
          </w:rPr>
          <w:t>C-042 del 05/02/2020</w:t>
        </w:r>
      </w:hyperlink>
    </w:p>
    <w:p w14:paraId="501F6A22" w14:textId="77777777" w:rsidR="00AC5238" w:rsidRPr="006969B3" w:rsidRDefault="00AC5238" w:rsidP="00F65283">
      <w:pPr>
        <w:spacing w:after="0" w:line="240" w:lineRule="auto"/>
        <w:jc w:val="both"/>
        <w:rPr>
          <w:rFonts w:ascii="Arial" w:eastAsia="Calibri" w:hAnsi="Arial" w:cs="Arial"/>
          <w:sz w:val="20"/>
          <w:szCs w:val="20"/>
          <w:lang w:val="es-CO"/>
        </w:rPr>
      </w:pPr>
    </w:p>
    <w:p w14:paraId="774A2220" w14:textId="2F5D4793" w:rsidR="6E852434" w:rsidRPr="006969B3" w:rsidRDefault="6E852434" w:rsidP="00F65283">
      <w:pPr>
        <w:spacing w:after="0" w:line="240" w:lineRule="auto"/>
        <w:jc w:val="both"/>
        <w:rPr>
          <w:rFonts w:ascii="Arial" w:eastAsia="Calibri" w:hAnsi="Arial" w:cs="Arial"/>
          <w:lang w:val="es-CO"/>
        </w:rPr>
      </w:pPr>
      <w:r w:rsidRPr="006969B3">
        <w:rPr>
          <w:rFonts w:ascii="Arial" w:eastAsia="Calibri" w:hAnsi="Arial" w:cs="Arial"/>
          <w:lang w:val="es-CO"/>
        </w:rPr>
        <w:t xml:space="preserve">PARÁGRAFO 1o. Los artículos </w:t>
      </w:r>
      <w:r w:rsidRPr="000A2938">
        <w:rPr>
          <w:rFonts w:ascii="Arial" w:eastAsia="Calibri" w:hAnsi="Arial" w:cs="Arial"/>
          <w:lang w:val="es-CO"/>
        </w:rPr>
        <w:t>231</w:t>
      </w:r>
      <w:r w:rsidRPr="006969B3">
        <w:rPr>
          <w:rFonts w:ascii="Arial" w:eastAsia="Calibri" w:hAnsi="Arial" w:cs="Arial"/>
          <w:lang w:val="es-CO"/>
        </w:rPr>
        <w:t xml:space="preserve">, </w:t>
      </w:r>
      <w:r w:rsidRPr="000A2938">
        <w:rPr>
          <w:rFonts w:ascii="Arial" w:eastAsia="Calibri" w:hAnsi="Arial" w:cs="Arial"/>
          <w:lang w:val="es-CO"/>
        </w:rPr>
        <w:t>232</w:t>
      </w:r>
      <w:r w:rsidRPr="006969B3">
        <w:rPr>
          <w:rFonts w:ascii="Arial" w:eastAsia="Calibri" w:hAnsi="Arial" w:cs="Arial"/>
          <w:lang w:val="es-CO"/>
        </w:rPr>
        <w:t xml:space="preserve">, </w:t>
      </w:r>
      <w:r w:rsidRPr="000A2938">
        <w:rPr>
          <w:rFonts w:ascii="Arial" w:eastAsia="Calibri" w:hAnsi="Arial" w:cs="Arial"/>
          <w:lang w:val="es-CO"/>
        </w:rPr>
        <w:t>233</w:t>
      </w:r>
      <w:r w:rsidRPr="006969B3">
        <w:rPr>
          <w:rFonts w:ascii="Arial" w:eastAsia="Calibri" w:hAnsi="Arial" w:cs="Arial"/>
          <w:lang w:val="es-CO"/>
        </w:rPr>
        <w:t xml:space="preserve">, </w:t>
      </w:r>
      <w:r w:rsidRPr="000A2938">
        <w:rPr>
          <w:rFonts w:ascii="Arial" w:eastAsia="Calibri" w:hAnsi="Arial" w:cs="Arial"/>
          <w:lang w:val="es-CO"/>
        </w:rPr>
        <w:t>234</w:t>
      </w:r>
      <w:r w:rsidRPr="006969B3">
        <w:rPr>
          <w:rFonts w:ascii="Arial" w:eastAsia="Calibri" w:hAnsi="Arial" w:cs="Arial"/>
          <w:lang w:val="es-CO"/>
        </w:rPr>
        <w:t xml:space="preserve">, </w:t>
      </w:r>
      <w:r w:rsidRPr="000A2938">
        <w:rPr>
          <w:rFonts w:ascii="Arial" w:eastAsia="Calibri" w:hAnsi="Arial" w:cs="Arial"/>
          <w:lang w:val="es-CO"/>
        </w:rPr>
        <w:t>235</w:t>
      </w:r>
      <w:r w:rsidRPr="006969B3">
        <w:rPr>
          <w:rFonts w:ascii="Arial" w:eastAsia="Calibri" w:hAnsi="Arial" w:cs="Arial"/>
          <w:lang w:val="es-CO"/>
        </w:rPr>
        <w:t xml:space="preserve"> y </w:t>
      </w:r>
      <w:r w:rsidRPr="000A2938">
        <w:rPr>
          <w:rFonts w:ascii="Arial" w:eastAsia="Calibri" w:hAnsi="Arial" w:cs="Arial"/>
          <w:lang w:val="es-CO"/>
        </w:rPr>
        <w:t>236</w:t>
      </w:r>
      <w:r w:rsidRPr="006969B3">
        <w:rPr>
          <w:rFonts w:ascii="Arial" w:eastAsia="Calibri" w:hAnsi="Arial" w:cs="Arial"/>
          <w:lang w:val="es-CO"/>
        </w:rPr>
        <w:t xml:space="preserve"> de la presente ley </w:t>
      </w:r>
      <w:proofErr w:type="gramStart"/>
      <w:r w:rsidRPr="006969B3">
        <w:rPr>
          <w:rFonts w:ascii="Arial" w:eastAsia="Calibri" w:hAnsi="Arial" w:cs="Arial"/>
          <w:lang w:val="es-CO"/>
        </w:rPr>
        <w:t>entrarán en vigencia</w:t>
      </w:r>
      <w:proofErr w:type="gramEnd"/>
      <w:r w:rsidRPr="006969B3">
        <w:rPr>
          <w:rFonts w:ascii="Arial" w:eastAsia="Calibri" w:hAnsi="Arial" w:cs="Arial"/>
          <w:lang w:val="es-CO"/>
        </w:rPr>
        <w:t xml:space="preserve"> a partir del 1 de enero de 2020.</w:t>
      </w:r>
    </w:p>
    <w:p w14:paraId="4D626B97" w14:textId="77777777" w:rsidR="00AC5238" w:rsidRPr="006969B3" w:rsidRDefault="00AC5238" w:rsidP="00F65283">
      <w:pPr>
        <w:spacing w:after="0" w:line="240" w:lineRule="auto"/>
        <w:jc w:val="both"/>
        <w:rPr>
          <w:rFonts w:ascii="Arial" w:hAnsi="Arial" w:cs="Arial"/>
          <w:lang w:val="es-CO"/>
        </w:rPr>
      </w:pPr>
    </w:p>
    <w:p w14:paraId="55476E5C" w14:textId="2B2490F3" w:rsidR="6E852434" w:rsidRPr="006969B3" w:rsidRDefault="6E852434" w:rsidP="00F65283">
      <w:pPr>
        <w:spacing w:after="0" w:line="240" w:lineRule="auto"/>
        <w:jc w:val="both"/>
        <w:rPr>
          <w:rFonts w:ascii="Arial" w:eastAsia="Calibri" w:hAnsi="Arial" w:cs="Arial"/>
          <w:lang w:val="es-CO"/>
        </w:rPr>
      </w:pPr>
      <w:r w:rsidRPr="006969B3">
        <w:rPr>
          <w:rFonts w:ascii="Arial" w:eastAsia="Calibri" w:hAnsi="Arial" w:cs="Arial"/>
          <w:lang w:val="es-CO"/>
        </w:rPr>
        <w:t xml:space="preserve">PARÁGRAFO 2o. El artículo </w:t>
      </w:r>
      <w:r w:rsidRPr="000A2938">
        <w:rPr>
          <w:rFonts w:ascii="Arial" w:eastAsia="Calibri" w:hAnsi="Arial" w:cs="Arial"/>
          <w:lang w:val="es-CO"/>
        </w:rPr>
        <w:t>49</w:t>
      </w:r>
      <w:r w:rsidRPr="006969B3">
        <w:rPr>
          <w:rFonts w:ascii="Arial" w:eastAsia="Calibri" w:hAnsi="Arial" w:cs="Arial"/>
          <w:lang w:val="es-CO"/>
        </w:rPr>
        <w:t xml:space="preserve">, </w:t>
      </w:r>
      <w:r w:rsidRPr="000A2938">
        <w:rPr>
          <w:rFonts w:ascii="Arial" w:eastAsia="Calibri" w:hAnsi="Arial" w:cs="Arial"/>
          <w:lang w:val="es-CO"/>
        </w:rPr>
        <w:t>58</w:t>
      </w:r>
      <w:r w:rsidRPr="006969B3">
        <w:rPr>
          <w:rFonts w:ascii="Arial" w:eastAsia="Calibri" w:hAnsi="Arial" w:cs="Arial"/>
          <w:lang w:val="es-CO"/>
        </w:rPr>
        <w:t xml:space="preserve"> y el numeral 43.2.2. del artículo </w:t>
      </w:r>
      <w:r w:rsidRPr="000A2938">
        <w:rPr>
          <w:rFonts w:ascii="Arial" w:eastAsia="Calibri" w:hAnsi="Arial" w:cs="Arial"/>
          <w:lang w:val="es-CO"/>
        </w:rPr>
        <w:t>43</w:t>
      </w:r>
      <w:r w:rsidRPr="006969B3">
        <w:rPr>
          <w:rFonts w:ascii="Arial" w:eastAsia="Calibri" w:hAnsi="Arial" w:cs="Arial"/>
          <w:lang w:val="es-CO"/>
        </w:rPr>
        <w:t xml:space="preserve"> de la Ley 715 de 2001; el artículo </w:t>
      </w:r>
      <w:r w:rsidRPr="000A2938">
        <w:rPr>
          <w:rFonts w:ascii="Arial" w:eastAsia="Calibri" w:hAnsi="Arial" w:cs="Arial"/>
          <w:lang w:val="es-CO"/>
        </w:rPr>
        <w:t>7o</w:t>
      </w:r>
      <w:r w:rsidRPr="006969B3">
        <w:rPr>
          <w:rFonts w:ascii="Arial" w:eastAsia="Calibri" w:hAnsi="Arial" w:cs="Arial"/>
          <w:lang w:val="es-CO"/>
        </w:rPr>
        <w:t xml:space="preserve"> de la Ley 1608 de 2013 y los artículos </w:t>
      </w:r>
      <w:r w:rsidRPr="000A2938">
        <w:rPr>
          <w:rFonts w:ascii="Arial" w:eastAsia="Calibri" w:hAnsi="Arial" w:cs="Arial"/>
          <w:lang w:val="es-CO"/>
        </w:rPr>
        <w:t>2o</w:t>
      </w:r>
      <w:r w:rsidRPr="006969B3">
        <w:rPr>
          <w:rFonts w:ascii="Arial" w:eastAsia="Calibri" w:hAnsi="Arial" w:cs="Arial"/>
          <w:lang w:val="es-CO"/>
        </w:rPr>
        <w:t xml:space="preserve"> y </w:t>
      </w:r>
      <w:r w:rsidRPr="000A2938">
        <w:rPr>
          <w:rFonts w:ascii="Arial" w:eastAsia="Calibri" w:hAnsi="Arial" w:cs="Arial"/>
          <w:lang w:val="es-CO"/>
        </w:rPr>
        <w:t>3o</w:t>
      </w:r>
      <w:r w:rsidRPr="006969B3">
        <w:rPr>
          <w:rFonts w:ascii="Arial" w:eastAsia="Calibri" w:hAnsi="Arial" w:cs="Arial"/>
          <w:lang w:val="es-CO"/>
        </w:rPr>
        <w:t xml:space="preserve"> incisos 6 y 7 de la Ley 1797 de 2016, perderán vigencia el 31 de diciembre de 2019.</w:t>
      </w:r>
    </w:p>
    <w:p w14:paraId="7A85DDAE" w14:textId="77777777" w:rsidR="00AC5238" w:rsidRPr="006969B3" w:rsidRDefault="00AC5238" w:rsidP="00F65283">
      <w:pPr>
        <w:spacing w:after="0" w:line="240" w:lineRule="auto"/>
        <w:jc w:val="both"/>
        <w:rPr>
          <w:rFonts w:ascii="Arial" w:hAnsi="Arial" w:cs="Arial"/>
          <w:lang w:val="es-CO"/>
        </w:rPr>
      </w:pPr>
    </w:p>
    <w:p w14:paraId="682F9E32" w14:textId="5D0D8E54" w:rsidR="6E852434" w:rsidRPr="006969B3" w:rsidRDefault="6E852434" w:rsidP="00F65283">
      <w:pPr>
        <w:spacing w:after="0" w:line="240" w:lineRule="auto"/>
        <w:jc w:val="both"/>
        <w:rPr>
          <w:rFonts w:ascii="Arial" w:eastAsia="Calibri" w:hAnsi="Arial" w:cs="Arial"/>
          <w:lang w:val="es-CO"/>
        </w:rPr>
      </w:pPr>
      <w:r w:rsidRPr="006969B3">
        <w:rPr>
          <w:rFonts w:ascii="Arial" w:eastAsia="Calibri" w:hAnsi="Arial" w:cs="Arial"/>
          <w:lang w:val="es-CO"/>
        </w:rPr>
        <w:t xml:space="preserve">PARÁGRAFO 3o. Las disposiciones del </w:t>
      </w:r>
      <w:r w:rsidRPr="000A2938">
        <w:rPr>
          <w:rFonts w:ascii="Arial" w:eastAsia="Calibri" w:hAnsi="Arial" w:cs="Arial"/>
          <w:lang w:val="es-CO"/>
        </w:rPr>
        <w:t>Capítulo VI</w:t>
      </w:r>
      <w:r w:rsidRPr="006969B3">
        <w:rPr>
          <w:rFonts w:ascii="Arial" w:eastAsia="Calibri" w:hAnsi="Arial" w:cs="Arial"/>
          <w:lang w:val="es-CO"/>
        </w:rPr>
        <w:t xml:space="preserve"> de la Parte V del Estatuto Orgánico del Sistema Financiero perderán vigencia en el término de 24 meses contados a partir de la vigencia de la presente ley.</w:t>
      </w:r>
    </w:p>
    <w:p w14:paraId="2CFCFBEF" w14:textId="77777777" w:rsidR="00AC5238" w:rsidRPr="006969B3" w:rsidRDefault="00AC5238" w:rsidP="00F65283">
      <w:pPr>
        <w:spacing w:after="0" w:line="240" w:lineRule="auto"/>
        <w:jc w:val="both"/>
        <w:rPr>
          <w:rFonts w:ascii="Arial" w:hAnsi="Arial" w:cs="Arial"/>
          <w:sz w:val="20"/>
          <w:szCs w:val="20"/>
          <w:lang w:val="es-CO"/>
        </w:rPr>
      </w:pPr>
    </w:p>
    <w:p w14:paraId="79AED7C8" w14:textId="0C6486E8" w:rsidR="6E852434" w:rsidRPr="006969B3" w:rsidRDefault="6E852434" w:rsidP="00F65283">
      <w:pPr>
        <w:spacing w:after="0" w:line="240" w:lineRule="auto"/>
        <w:jc w:val="both"/>
        <w:rPr>
          <w:rFonts w:ascii="Arial" w:hAnsi="Arial" w:cs="Arial"/>
          <w:sz w:val="20"/>
          <w:szCs w:val="20"/>
          <w:lang w:val="es-CO"/>
        </w:rPr>
      </w:pPr>
      <w:r w:rsidRPr="00CC3E0C">
        <w:rPr>
          <w:rFonts w:ascii="Arial" w:hAnsi="Arial" w:cs="Arial"/>
          <w:sz w:val="20"/>
          <w:szCs w:val="20"/>
          <w:lang w:val="es-CO"/>
        </w:rPr>
        <w:t>(</w:t>
      </w:r>
      <w:r w:rsidR="00AC5238" w:rsidRPr="00CC3E0C">
        <w:rPr>
          <w:rFonts w:ascii="Arial" w:hAnsi="Arial" w:cs="Arial"/>
          <w:sz w:val="20"/>
          <w:szCs w:val="20"/>
          <w:lang w:val="es-CO"/>
        </w:rPr>
        <w:t>V</w:t>
      </w:r>
      <w:r w:rsidRPr="00CC3E0C">
        <w:rPr>
          <w:rFonts w:ascii="Arial" w:hAnsi="Arial" w:cs="Arial"/>
          <w:sz w:val="20"/>
          <w:szCs w:val="20"/>
          <w:lang w:val="es-CO"/>
        </w:rPr>
        <w:t>er conceptos</w:t>
      </w:r>
      <w:hyperlink r:id="rId59" w:history="1">
        <w:r w:rsidRPr="00CC3E0C">
          <w:rPr>
            <w:rStyle w:val="Hipervnculo"/>
            <w:rFonts w:ascii="Arial" w:hAnsi="Arial" w:cs="Arial"/>
            <w:sz w:val="20"/>
            <w:szCs w:val="20"/>
            <w:lang w:val="es-CO"/>
          </w:rPr>
          <w:t>: C</w:t>
        </w:r>
        <w:r w:rsidR="00AC5238" w:rsidRPr="00CC3E0C">
          <w:rPr>
            <w:rStyle w:val="Hipervnculo"/>
            <w:rFonts w:ascii="Arial" w:hAnsi="Arial" w:cs="Arial"/>
            <w:sz w:val="20"/>
            <w:szCs w:val="20"/>
            <w:lang w:val="es-CO"/>
          </w:rPr>
          <w:t>−</w:t>
        </w:r>
        <w:r w:rsidRPr="00CC3E0C">
          <w:rPr>
            <w:rStyle w:val="Hipervnculo"/>
            <w:rFonts w:ascii="Arial" w:hAnsi="Arial" w:cs="Arial"/>
            <w:sz w:val="20"/>
            <w:szCs w:val="20"/>
            <w:lang w:val="es-CO"/>
          </w:rPr>
          <w:t xml:space="preserve">040 del </w:t>
        </w:r>
        <w:r w:rsidR="00AC5238" w:rsidRPr="00CC3E0C">
          <w:rPr>
            <w:rStyle w:val="Hipervnculo"/>
            <w:rFonts w:ascii="Arial" w:hAnsi="Arial" w:cs="Arial"/>
            <w:sz w:val="20"/>
            <w:szCs w:val="20"/>
            <w:lang w:val="es-CO"/>
          </w:rPr>
          <w:t>0</w:t>
        </w:r>
        <w:r w:rsidRPr="00CC3E0C">
          <w:rPr>
            <w:rStyle w:val="Hipervnculo"/>
            <w:rFonts w:ascii="Arial" w:hAnsi="Arial" w:cs="Arial"/>
            <w:sz w:val="20"/>
            <w:szCs w:val="20"/>
            <w:lang w:val="es-CO"/>
          </w:rPr>
          <w:t>5/</w:t>
        </w:r>
        <w:r w:rsidR="00AC5238" w:rsidRPr="00CC3E0C">
          <w:rPr>
            <w:rStyle w:val="Hipervnculo"/>
            <w:rFonts w:ascii="Arial" w:hAnsi="Arial" w:cs="Arial"/>
            <w:sz w:val="20"/>
            <w:szCs w:val="20"/>
            <w:lang w:val="es-CO"/>
          </w:rPr>
          <w:t>0</w:t>
        </w:r>
        <w:r w:rsidRPr="00CC3E0C">
          <w:rPr>
            <w:rStyle w:val="Hipervnculo"/>
            <w:rFonts w:ascii="Arial" w:hAnsi="Arial" w:cs="Arial"/>
            <w:sz w:val="20"/>
            <w:szCs w:val="20"/>
            <w:lang w:val="es-CO"/>
          </w:rPr>
          <w:t>2/2020</w:t>
        </w:r>
      </w:hyperlink>
      <w:r w:rsidR="26EAED1C" w:rsidRPr="00CC3E0C">
        <w:rPr>
          <w:rFonts w:ascii="Arial" w:hAnsi="Arial" w:cs="Arial"/>
          <w:sz w:val="20"/>
          <w:szCs w:val="20"/>
          <w:lang w:val="es-CO"/>
        </w:rPr>
        <w:t xml:space="preserve">, </w:t>
      </w:r>
      <w:hyperlink r:id="rId60" w:history="1">
        <w:r w:rsidR="26EAED1C" w:rsidRPr="00CC3E0C">
          <w:rPr>
            <w:rStyle w:val="Hipervnculo"/>
            <w:rFonts w:ascii="Arial" w:hAnsi="Arial" w:cs="Arial"/>
            <w:sz w:val="20"/>
            <w:szCs w:val="20"/>
            <w:lang w:val="es-CO"/>
          </w:rPr>
          <w:t>C</w:t>
        </w:r>
        <w:r w:rsidR="00AC5238" w:rsidRPr="00CC3E0C">
          <w:rPr>
            <w:rStyle w:val="Hipervnculo"/>
            <w:rFonts w:ascii="Arial" w:hAnsi="Arial" w:cs="Arial"/>
            <w:sz w:val="20"/>
            <w:szCs w:val="20"/>
            <w:lang w:val="es-CO"/>
          </w:rPr>
          <w:t>−</w:t>
        </w:r>
        <w:r w:rsidR="26EAED1C" w:rsidRPr="00CC3E0C">
          <w:rPr>
            <w:rStyle w:val="Hipervnculo"/>
            <w:rFonts w:ascii="Arial" w:hAnsi="Arial" w:cs="Arial"/>
            <w:sz w:val="20"/>
            <w:szCs w:val="20"/>
            <w:lang w:val="es-CO"/>
          </w:rPr>
          <w:t>203 del 14</w:t>
        </w:r>
        <w:r w:rsidR="00AC5238" w:rsidRPr="00CC3E0C">
          <w:rPr>
            <w:rStyle w:val="Hipervnculo"/>
            <w:rFonts w:ascii="Arial" w:hAnsi="Arial" w:cs="Arial"/>
            <w:sz w:val="20"/>
            <w:szCs w:val="20"/>
            <w:lang w:val="es-CO"/>
          </w:rPr>
          <w:t>/0</w:t>
        </w:r>
        <w:r w:rsidR="26EAED1C" w:rsidRPr="00CC3E0C">
          <w:rPr>
            <w:rStyle w:val="Hipervnculo"/>
            <w:rFonts w:ascii="Arial" w:hAnsi="Arial" w:cs="Arial"/>
            <w:sz w:val="20"/>
            <w:szCs w:val="20"/>
            <w:lang w:val="es-CO"/>
          </w:rPr>
          <w:t>4</w:t>
        </w:r>
        <w:r w:rsidR="00AC5238" w:rsidRPr="00CC3E0C">
          <w:rPr>
            <w:rStyle w:val="Hipervnculo"/>
            <w:rFonts w:ascii="Arial" w:hAnsi="Arial" w:cs="Arial"/>
            <w:sz w:val="20"/>
            <w:szCs w:val="20"/>
            <w:lang w:val="es-CO"/>
          </w:rPr>
          <w:t>/</w:t>
        </w:r>
        <w:r w:rsidR="26EAED1C" w:rsidRPr="00CC3E0C">
          <w:rPr>
            <w:rStyle w:val="Hipervnculo"/>
            <w:rFonts w:ascii="Arial" w:hAnsi="Arial" w:cs="Arial"/>
            <w:sz w:val="20"/>
            <w:szCs w:val="20"/>
            <w:lang w:val="es-CO"/>
          </w:rPr>
          <w:t>2020</w:t>
        </w:r>
      </w:hyperlink>
      <w:r w:rsidR="26EAED1C" w:rsidRPr="00CC3E0C">
        <w:rPr>
          <w:rFonts w:ascii="Arial" w:hAnsi="Arial" w:cs="Arial"/>
          <w:sz w:val="20"/>
          <w:szCs w:val="20"/>
          <w:lang w:val="es-CO"/>
        </w:rPr>
        <w:t>)</w:t>
      </w:r>
    </w:p>
    <w:p w14:paraId="69846C57" w14:textId="77777777" w:rsidR="000537C1" w:rsidRPr="006969B3" w:rsidRDefault="000537C1" w:rsidP="00F65283">
      <w:pPr>
        <w:spacing w:after="0" w:line="240" w:lineRule="auto"/>
        <w:jc w:val="both"/>
        <w:rPr>
          <w:rFonts w:ascii="Arial" w:hAnsi="Arial" w:cs="Arial"/>
          <w:lang w:val="es-CO"/>
        </w:rPr>
      </w:pPr>
    </w:p>
    <w:p w14:paraId="36F9727A" w14:textId="53915E84" w:rsidR="00DD55A6" w:rsidRPr="006969B3" w:rsidRDefault="00DD55A6" w:rsidP="00F65283">
      <w:pPr>
        <w:spacing w:after="0" w:line="240" w:lineRule="auto"/>
        <w:jc w:val="center"/>
        <w:rPr>
          <w:rFonts w:ascii="Arial" w:eastAsia="Times New Roman" w:hAnsi="Arial" w:cs="Arial"/>
          <w:lang w:val="es-CO" w:eastAsia="es-CO"/>
        </w:rPr>
      </w:pPr>
      <w:r w:rsidRPr="006969B3">
        <w:rPr>
          <w:rFonts w:ascii="Arial" w:eastAsia="Times New Roman" w:hAnsi="Arial" w:cs="Arial"/>
          <w:lang w:val="es-CO" w:eastAsia="es-CO"/>
        </w:rPr>
        <w:t xml:space="preserve">El </w:t>
      </w:r>
      <w:proofErr w:type="gramStart"/>
      <w:r w:rsidRPr="006969B3">
        <w:rPr>
          <w:rFonts w:ascii="Arial" w:eastAsia="Times New Roman" w:hAnsi="Arial" w:cs="Arial"/>
          <w:lang w:val="es-CO" w:eastAsia="es-CO"/>
        </w:rPr>
        <w:t>Presidente</w:t>
      </w:r>
      <w:proofErr w:type="gramEnd"/>
      <w:r w:rsidRPr="006969B3">
        <w:rPr>
          <w:rFonts w:ascii="Arial" w:eastAsia="Times New Roman" w:hAnsi="Arial" w:cs="Arial"/>
          <w:lang w:val="es-CO" w:eastAsia="es-CO"/>
        </w:rPr>
        <w:t xml:space="preserve"> del Honorable Senado de la República,</w:t>
      </w:r>
    </w:p>
    <w:p w14:paraId="0AE3C480" w14:textId="77777777" w:rsidR="00274B87" w:rsidRPr="006969B3" w:rsidRDefault="00274B87" w:rsidP="00F65283">
      <w:pPr>
        <w:spacing w:after="0" w:line="240" w:lineRule="auto"/>
        <w:jc w:val="center"/>
        <w:rPr>
          <w:rFonts w:ascii="Arial" w:eastAsia="Times New Roman" w:hAnsi="Arial" w:cs="Arial"/>
          <w:lang w:val="es-CO" w:eastAsia="es-CO"/>
        </w:rPr>
      </w:pPr>
    </w:p>
    <w:p w14:paraId="1AA97190" w14:textId="5EF60E1B" w:rsidR="00DD55A6" w:rsidRPr="006969B3" w:rsidRDefault="00DD55A6" w:rsidP="00F65283">
      <w:pPr>
        <w:spacing w:after="0" w:line="240" w:lineRule="auto"/>
        <w:jc w:val="center"/>
        <w:rPr>
          <w:rFonts w:ascii="Arial" w:eastAsia="Times New Roman" w:hAnsi="Arial" w:cs="Arial"/>
          <w:lang w:val="es-CO" w:eastAsia="es-CO"/>
        </w:rPr>
      </w:pPr>
      <w:r w:rsidRPr="006969B3">
        <w:rPr>
          <w:rFonts w:ascii="Arial" w:eastAsia="Times New Roman" w:hAnsi="Arial" w:cs="Arial"/>
          <w:lang w:val="es-CO" w:eastAsia="es-CO"/>
        </w:rPr>
        <w:t>Ernesto Macías Tovar.</w:t>
      </w:r>
    </w:p>
    <w:p w14:paraId="20881713" w14:textId="77777777" w:rsidR="00274B87" w:rsidRPr="006969B3" w:rsidRDefault="00274B87" w:rsidP="00F65283">
      <w:pPr>
        <w:spacing w:after="0" w:line="240" w:lineRule="auto"/>
        <w:jc w:val="center"/>
        <w:rPr>
          <w:rFonts w:ascii="Arial" w:eastAsia="Times New Roman" w:hAnsi="Arial" w:cs="Arial"/>
          <w:lang w:val="es-CO" w:eastAsia="es-CO"/>
        </w:rPr>
      </w:pPr>
    </w:p>
    <w:p w14:paraId="71766079" w14:textId="1FE9F1A5" w:rsidR="00DD55A6" w:rsidRPr="006969B3" w:rsidRDefault="00DD55A6" w:rsidP="00F65283">
      <w:pPr>
        <w:spacing w:after="0" w:line="240" w:lineRule="auto"/>
        <w:jc w:val="center"/>
        <w:rPr>
          <w:rFonts w:ascii="Arial" w:eastAsia="Times New Roman" w:hAnsi="Arial" w:cs="Arial"/>
          <w:lang w:val="es-CO" w:eastAsia="es-CO"/>
        </w:rPr>
      </w:pPr>
      <w:r w:rsidRPr="006969B3">
        <w:rPr>
          <w:rFonts w:ascii="Arial" w:eastAsia="Times New Roman" w:hAnsi="Arial" w:cs="Arial"/>
          <w:lang w:val="es-CO" w:eastAsia="es-CO"/>
        </w:rPr>
        <w:t xml:space="preserve">El </w:t>
      </w:r>
      <w:proofErr w:type="gramStart"/>
      <w:r w:rsidRPr="006969B3">
        <w:rPr>
          <w:rFonts w:ascii="Arial" w:eastAsia="Times New Roman" w:hAnsi="Arial" w:cs="Arial"/>
          <w:lang w:val="es-CO" w:eastAsia="es-CO"/>
        </w:rPr>
        <w:t>Secretario General</w:t>
      </w:r>
      <w:proofErr w:type="gramEnd"/>
      <w:r w:rsidRPr="006969B3">
        <w:rPr>
          <w:rFonts w:ascii="Arial" w:eastAsia="Times New Roman" w:hAnsi="Arial" w:cs="Arial"/>
          <w:lang w:val="es-CO" w:eastAsia="es-CO"/>
        </w:rPr>
        <w:t xml:space="preserve"> del Honorable Senado de la República,</w:t>
      </w:r>
    </w:p>
    <w:p w14:paraId="6CE81431" w14:textId="77777777" w:rsidR="00274B87" w:rsidRPr="006969B3" w:rsidRDefault="00274B87" w:rsidP="00F65283">
      <w:pPr>
        <w:spacing w:after="0" w:line="240" w:lineRule="auto"/>
        <w:jc w:val="center"/>
        <w:rPr>
          <w:rFonts w:ascii="Arial" w:eastAsia="Times New Roman" w:hAnsi="Arial" w:cs="Arial"/>
          <w:lang w:val="es-CO" w:eastAsia="es-CO"/>
        </w:rPr>
      </w:pPr>
    </w:p>
    <w:p w14:paraId="656006E1" w14:textId="1E5B800F" w:rsidR="00DD55A6" w:rsidRPr="006969B3" w:rsidRDefault="00DD55A6" w:rsidP="00F65283">
      <w:pPr>
        <w:spacing w:after="0" w:line="240" w:lineRule="auto"/>
        <w:jc w:val="center"/>
        <w:rPr>
          <w:rFonts w:ascii="Arial" w:eastAsia="Times New Roman" w:hAnsi="Arial" w:cs="Arial"/>
          <w:lang w:val="es-CO" w:eastAsia="es-CO"/>
        </w:rPr>
      </w:pPr>
      <w:r w:rsidRPr="006969B3">
        <w:rPr>
          <w:rFonts w:ascii="Arial" w:eastAsia="Times New Roman" w:hAnsi="Arial" w:cs="Arial"/>
          <w:lang w:val="es-CO" w:eastAsia="es-CO"/>
        </w:rPr>
        <w:t xml:space="preserve">Gregorio </w:t>
      </w:r>
      <w:proofErr w:type="spellStart"/>
      <w:r w:rsidRPr="006969B3">
        <w:rPr>
          <w:rFonts w:ascii="Arial" w:eastAsia="Times New Roman" w:hAnsi="Arial" w:cs="Arial"/>
          <w:lang w:val="es-CO" w:eastAsia="es-CO"/>
        </w:rPr>
        <w:t>Eljach</w:t>
      </w:r>
      <w:proofErr w:type="spellEnd"/>
      <w:r w:rsidRPr="006969B3">
        <w:rPr>
          <w:rFonts w:ascii="Arial" w:eastAsia="Times New Roman" w:hAnsi="Arial" w:cs="Arial"/>
          <w:lang w:val="es-CO" w:eastAsia="es-CO"/>
        </w:rPr>
        <w:t xml:space="preserve"> Pacheco.</w:t>
      </w:r>
    </w:p>
    <w:p w14:paraId="374C746D" w14:textId="77777777" w:rsidR="00274B87" w:rsidRPr="006969B3" w:rsidRDefault="00274B87" w:rsidP="00F65283">
      <w:pPr>
        <w:spacing w:after="0" w:line="240" w:lineRule="auto"/>
        <w:jc w:val="center"/>
        <w:rPr>
          <w:rFonts w:ascii="Arial" w:eastAsia="Times New Roman" w:hAnsi="Arial" w:cs="Arial"/>
          <w:lang w:val="es-CO" w:eastAsia="es-CO"/>
        </w:rPr>
      </w:pPr>
    </w:p>
    <w:p w14:paraId="2FF4C892" w14:textId="0B1B3D30" w:rsidR="00DD55A6" w:rsidRPr="006969B3" w:rsidRDefault="00DD55A6" w:rsidP="00F65283">
      <w:pPr>
        <w:spacing w:after="0" w:line="240" w:lineRule="auto"/>
        <w:jc w:val="center"/>
        <w:rPr>
          <w:rFonts w:ascii="Arial" w:eastAsia="Times New Roman" w:hAnsi="Arial" w:cs="Arial"/>
          <w:lang w:val="es-CO" w:eastAsia="es-CO"/>
        </w:rPr>
      </w:pPr>
      <w:r w:rsidRPr="006969B3">
        <w:rPr>
          <w:rFonts w:ascii="Arial" w:eastAsia="Times New Roman" w:hAnsi="Arial" w:cs="Arial"/>
          <w:lang w:val="es-CO" w:eastAsia="es-CO"/>
        </w:rPr>
        <w:t xml:space="preserve">El </w:t>
      </w:r>
      <w:proofErr w:type="gramStart"/>
      <w:r w:rsidRPr="006969B3">
        <w:rPr>
          <w:rFonts w:ascii="Arial" w:eastAsia="Times New Roman" w:hAnsi="Arial" w:cs="Arial"/>
          <w:lang w:val="es-CO" w:eastAsia="es-CO"/>
        </w:rPr>
        <w:t>Presidente</w:t>
      </w:r>
      <w:proofErr w:type="gramEnd"/>
      <w:r w:rsidRPr="006969B3">
        <w:rPr>
          <w:rFonts w:ascii="Arial" w:eastAsia="Times New Roman" w:hAnsi="Arial" w:cs="Arial"/>
          <w:lang w:val="es-CO" w:eastAsia="es-CO"/>
        </w:rPr>
        <w:t xml:space="preserve"> de la Honorable Cámara de Representantes,</w:t>
      </w:r>
    </w:p>
    <w:p w14:paraId="2F0707C5" w14:textId="77777777" w:rsidR="00274B87" w:rsidRPr="006969B3" w:rsidRDefault="00274B87" w:rsidP="00F65283">
      <w:pPr>
        <w:spacing w:after="0" w:line="240" w:lineRule="auto"/>
        <w:jc w:val="center"/>
        <w:rPr>
          <w:rFonts w:ascii="Arial" w:eastAsia="Times New Roman" w:hAnsi="Arial" w:cs="Arial"/>
          <w:lang w:val="es-CO" w:eastAsia="es-CO"/>
        </w:rPr>
      </w:pPr>
    </w:p>
    <w:p w14:paraId="5CBF52EB" w14:textId="3BC1E649" w:rsidR="00DD55A6" w:rsidRPr="006969B3" w:rsidRDefault="00DD55A6" w:rsidP="00F65283">
      <w:pPr>
        <w:spacing w:after="0" w:line="240" w:lineRule="auto"/>
        <w:jc w:val="center"/>
        <w:rPr>
          <w:rFonts w:ascii="Arial" w:eastAsia="Times New Roman" w:hAnsi="Arial" w:cs="Arial"/>
          <w:lang w:val="es-CO" w:eastAsia="es-CO"/>
        </w:rPr>
      </w:pPr>
      <w:r w:rsidRPr="006969B3">
        <w:rPr>
          <w:rFonts w:ascii="Arial" w:eastAsia="Times New Roman" w:hAnsi="Arial" w:cs="Arial"/>
          <w:lang w:val="es-CO" w:eastAsia="es-CO"/>
        </w:rPr>
        <w:t>Alejandro Carlos Chacón Camargo.</w:t>
      </w:r>
    </w:p>
    <w:p w14:paraId="18AC5092" w14:textId="77777777" w:rsidR="00274B87" w:rsidRPr="006969B3" w:rsidRDefault="00274B87" w:rsidP="00F65283">
      <w:pPr>
        <w:spacing w:after="0" w:line="240" w:lineRule="auto"/>
        <w:jc w:val="center"/>
        <w:rPr>
          <w:rFonts w:ascii="Arial" w:eastAsia="Times New Roman" w:hAnsi="Arial" w:cs="Arial"/>
          <w:lang w:val="es-CO" w:eastAsia="es-CO"/>
        </w:rPr>
      </w:pPr>
    </w:p>
    <w:p w14:paraId="32DCDEF5" w14:textId="259BA08C" w:rsidR="00DD55A6" w:rsidRPr="006969B3" w:rsidRDefault="00DD55A6" w:rsidP="00F65283">
      <w:pPr>
        <w:spacing w:after="0" w:line="240" w:lineRule="auto"/>
        <w:jc w:val="center"/>
        <w:rPr>
          <w:rFonts w:ascii="Arial" w:eastAsia="Times New Roman" w:hAnsi="Arial" w:cs="Arial"/>
          <w:lang w:val="es-CO" w:eastAsia="es-CO"/>
        </w:rPr>
      </w:pPr>
      <w:r w:rsidRPr="006969B3">
        <w:rPr>
          <w:rFonts w:ascii="Arial" w:eastAsia="Times New Roman" w:hAnsi="Arial" w:cs="Arial"/>
          <w:lang w:val="es-CO" w:eastAsia="es-CO"/>
        </w:rPr>
        <w:t xml:space="preserve">El </w:t>
      </w:r>
      <w:proofErr w:type="gramStart"/>
      <w:r w:rsidRPr="006969B3">
        <w:rPr>
          <w:rFonts w:ascii="Arial" w:eastAsia="Times New Roman" w:hAnsi="Arial" w:cs="Arial"/>
          <w:lang w:val="es-CO" w:eastAsia="es-CO"/>
        </w:rPr>
        <w:t>Secretario General</w:t>
      </w:r>
      <w:proofErr w:type="gramEnd"/>
      <w:r w:rsidRPr="006969B3">
        <w:rPr>
          <w:rFonts w:ascii="Arial" w:eastAsia="Times New Roman" w:hAnsi="Arial" w:cs="Arial"/>
          <w:lang w:val="es-CO" w:eastAsia="es-CO"/>
        </w:rPr>
        <w:t xml:space="preserve"> de la Honorable Cámara de Representantes,</w:t>
      </w:r>
    </w:p>
    <w:p w14:paraId="5E6AD47A" w14:textId="77777777" w:rsidR="00274B87" w:rsidRPr="006969B3" w:rsidRDefault="00274B87" w:rsidP="00F65283">
      <w:pPr>
        <w:spacing w:after="0" w:line="240" w:lineRule="auto"/>
        <w:jc w:val="center"/>
        <w:rPr>
          <w:rFonts w:ascii="Arial" w:eastAsia="Times New Roman" w:hAnsi="Arial" w:cs="Arial"/>
          <w:lang w:val="es-CO" w:eastAsia="es-CO"/>
        </w:rPr>
      </w:pPr>
    </w:p>
    <w:p w14:paraId="5E6231D2" w14:textId="4366404F" w:rsidR="00DD55A6" w:rsidRPr="006969B3" w:rsidRDefault="00DD55A6" w:rsidP="00F65283">
      <w:pPr>
        <w:spacing w:after="0" w:line="240" w:lineRule="auto"/>
        <w:jc w:val="center"/>
        <w:rPr>
          <w:rFonts w:ascii="Arial" w:eastAsia="Times New Roman" w:hAnsi="Arial" w:cs="Arial"/>
          <w:lang w:val="es-CO" w:eastAsia="es-CO"/>
        </w:rPr>
      </w:pPr>
      <w:r w:rsidRPr="006969B3">
        <w:rPr>
          <w:rFonts w:ascii="Arial" w:eastAsia="Times New Roman" w:hAnsi="Arial" w:cs="Arial"/>
          <w:lang w:val="es-CO" w:eastAsia="es-CO"/>
        </w:rPr>
        <w:t>Jorge Humberto Mantilla Serrano.</w:t>
      </w:r>
    </w:p>
    <w:p w14:paraId="44BDF76F" w14:textId="77777777" w:rsidR="00274B87" w:rsidRPr="006969B3" w:rsidRDefault="00274B87" w:rsidP="00F65283">
      <w:pPr>
        <w:spacing w:after="0" w:line="240" w:lineRule="auto"/>
        <w:jc w:val="center"/>
        <w:rPr>
          <w:rFonts w:ascii="Arial" w:eastAsia="Times New Roman" w:hAnsi="Arial" w:cs="Arial"/>
          <w:b/>
          <w:bCs/>
          <w:lang w:val="es-CO" w:eastAsia="es-CO"/>
        </w:rPr>
      </w:pPr>
    </w:p>
    <w:p w14:paraId="781E36CD" w14:textId="46CA23E8" w:rsidR="00DD55A6" w:rsidRPr="006969B3" w:rsidRDefault="00DD55A6" w:rsidP="00F65283">
      <w:pPr>
        <w:spacing w:after="0" w:line="240" w:lineRule="auto"/>
        <w:jc w:val="center"/>
        <w:rPr>
          <w:rFonts w:ascii="Arial" w:eastAsia="Times New Roman" w:hAnsi="Arial" w:cs="Arial"/>
          <w:lang w:val="es-CO" w:eastAsia="es-CO"/>
        </w:rPr>
      </w:pPr>
      <w:r w:rsidRPr="006969B3">
        <w:rPr>
          <w:rFonts w:ascii="Arial" w:eastAsia="Times New Roman" w:hAnsi="Arial" w:cs="Arial"/>
          <w:lang w:val="es-CO" w:eastAsia="es-CO"/>
        </w:rPr>
        <w:t>REPÚBLICA DE COLOMBIA – GOBIERNO NACIONAL</w:t>
      </w:r>
    </w:p>
    <w:p w14:paraId="53D0592A" w14:textId="77777777" w:rsidR="00274B87" w:rsidRPr="006969B3" w:rsidRDefault="00274B87" w:rsidP="00F65283">
      <w:pPr>
        <w:spacing w:after="0" w:line="240" w:lineRule="auto"/>
        <w:jc w:val="center"/>
        <w:rPr>
          <w:rFonts w:ascii="Arial" w:eastAsia="Times New Roman" w:hAnsi="Arial" w:cs="Arial"/>
          <w:lang w:val="es-CO" w:eastAsia="es-CO"/>
        </w:rPr>
      </w:pPr>
    </w:p>
    <w:p w14:paraId="3A295DCB" w14:textId="7AF990F2" w:rsidR="00DD55A6" w:rsidRPr="006969B3" w:rsidRDefault="00DD55A6" w:rsidP="00F65283">
      <w:pPr>
        <w:spacing w:after="0" w:line="240" w:lineRule="auto"/>
        <w:jc w:val="center"/>
        <w:rPr>
          <w:rFonts w:ascii="Arial" w:eastAsia="Times New Roman" w:hAnsi="Arial" w:cs="Arial"/>
          <w:lang w:val="es-CO" w:eastAsia="es-CO"/>
        </w:rPr>
      </w:pPr>
      <w:r w:rsidRPr="006969B3">
        <w:rPr>
          <w:rFonts w:ascii="Arial" w:eastAsia="Times New Roman" w:hAnsi="Arial" w:cs="Arial"/>
          <w:lang w:val="es-CO" w:eastAsia="es-CO"/>
        </w:rPr>
        <w:t>Publíquese y ejecútese.</w:t>
      </w:r>
    </w:p>
    <w:p w14:paraId="533A9B4F" w14:textId="77777777" w:rsidR="00274B87" w:rsidRPr="006969B3" w:rsidRDefault="00274B87" w:rsidP="00F65283">
      <w:pPr>
        <w:spacing w:after="0" w:line="240" w:lineRule="auto"/>
        <w:jc w:val="center"/>
        <w:rPr>
          <w:rFonts w:ascii="Arial" w:eastAsia="Times New Roman" w:hAnsi="Arial" w:cs="Arial"/>
          <w:lang w:val="es-CO" w:eastAsia="es-CO"/>
        </w:rPr>
      </w:pPr>
    </w:p>
    <w:p w14:paraId="60001062" w14:textId="0A65083C" w:rsidR="00DD55A6" w:rsidRPr="006969B3" w:rsidRDefault="00DD55A6" w:rsidP="00F65283">
      <w:pPr>
        <w:spacing w:after="0" w:line="240" w:lineRule="auto"/>
        <w:jc w:val="center"/>
        <w:rPr>
          <w:rFonts w:ascii="Arial" w:eastAsia="Times New Roman" w:hAnsi="Arial" w:cs="Arial"/>
          <w:lang w:val="es-CO" w:eastAsia="es-CO"/>
        </w:rPr>
      </w:pPr>
      <w:r w:rsidRPr="006969B3">
        <w:rPr>
          <w:rFonts w:ascii="Arial" w:eastAsia="Times New Roman" w:hAnsi="Arial" w:cs="Arial"/>
          <w:lang w:val="es-CO" w:eastAsia="es-CO"/>
        </w:rPr>
        <w:t>Dada en Valledupar, a 25 de mayo de 2019.</w:t>
      </w:r>
    </w:p>
    <w:p w14:paraId="60F993CD" w14:textId="77777777" w:rsidR="00274B87" w:rsidRPr="006969B3" w:rsidRDefault="00274B87" w:rsidP="00F65283">
      <w:pPr>
        <w:spacing w:after="0" w:line="240" w:lineRule="auto"/>
        <w:jc w:val="center"/>
        <w:rPr>
          <w:rFonts w:ascii="Arial" w:eastAsia="Times New Roman" w:hAnsi="Arial" w:cs="Arial"/>
          <w:lang w:val="es-CO" w:eastAsia="es-CO"/>
        </w:rPr>
      </w:pPr>
    </w:p>
    <w:p w14:paraId="7D815F0F" w14:textId="61A80D8A" w:rsidR="00DD55A6" w:rsidRPr="006969B3" w:rsidRDefault="00DD55A6" w:rsidP="00F65283">
      <w:pPr>
        <w:spacing w:after="0" w:line="240" w:lineRule="auto"/>
        <w:jc w:val="center"/>
        <w:rPr>
          <w:rFonts w:ascii="Arial" w:eastAsia="Times New Roman" w:hAnsi="Arial" w:cs="Arial"/>
          <w:lang w:val="es-CO" w:eastAsia="es-CO"/>
        </w:rPr>
      </w:pPr>
      <w:r w:rsidRPr="006969B3">
        <w:rPr>
          <w:rFonts w:ascii="Arial" w:eastAsia="Times New Roman" w:hAnsi="Arial" w:cs="Arial"/>
          <w:lang w:val="es-CO" w:eastAsia="es-CO"/>
        </w:rPr>
        <w:t>IVÁN DUQUE MÁRQUEZ</w:t>
      </w:r>
    </w:p>
    <w:p w14:paraId="071C60D2" w14:textId="77777777" w:rsidR="00274B87" w:rsidRPr="006969B3" w:rsidRDefault="00274B87" w:rsidP="00F65283">
      <w:pPr>
        <w:spacing w:after="0" w:line="240" w:lineRule="auto"/>
        <w:jc w:val="center"/>
        <w:rPr>
          <w:rFonts w:ascii="Arial" w:eastAsia="Times New Roman" w:hAnsi="Arial" w:cs="Arial"/>
          <w:lang w:val="es-CO" w:eastAsia="es-CO"/>
        </w:rPr>
      </w:pPr>
    </w:p>
    <w:p w14:paraId="6728AC05" w14:textId="66BB0B2A" w:rsidR="00DD55A6" w:rsidRPr="006969B3" w:rsidRDefault="00DD55A6" w:rsidP="00F65283">
      <w:pPr>
        <w:spacing w:after="0" w:line="240" w:lineRule="auto"/>
        <w:jc w:val="center"/>
        <w:rPr>
          <w:rFonts w:ascii="Arial" w:eastAsia="Times New Roman" w:hAnsi="Arial" w:cs="Arial"/>
          <w:lang w:val="es-CO" w:eastAsia="es-CO"/>
        </w:rPr>
      </w:pPr>
      <w:r w:rsidRPr="006969B3">
        <w:rPr>
          <w:rFonts w:ascii="Arial" w:eastAsia="Times New Roman" w:hAnsi="Arial" w:cs="Arial"/>
          <w:lang w:val="es-CO" w:eastAsia="es-CO"/>
        </w:rPr>
        <w:t xml:space="preserve">La </w:t>
      </w:r>
      <w:proofErr w:type="gramStart"/>
      <w:r w:rsidRPr="006969B3">
        <w:rPr>
          <w:rFonts w:ascii="Arial" w:eastAsia="Times New Roman" w:hAnsi="Arial" w:cs="Arial"/>
          <w:lang w:val="es-CO" w:eastAsia="es-CO"/>
        </w:rPr>
        <w:t>Ministra</w:t>
      </w:r>
      <w:proofErr w:type="gramEnd"/>
      <w:r w:rsidRPr="006969B3">
        <w:rPr>
          <w:rFonts w:ascii="Arial" w:eastAsia="Times New Roman" w:hAnsi="Arial" w:cs="Arial"/>
          <w:lang w:val="es-CO" w:eastAsia="es-CO"/>
        </w:rPr>
        <w:t xml:space="preserve"> del Interior,</w:t>
      </w:r>
    </w:p>
    <w:p w14:paraId="30A830E9" w14:textId="77777777" w:rsidR="00274B87" w:rsidRPr="006969B3" w:rsidRDefault="00274B87" w:rsidP="00F65283">
      <w:pPr>
        <w:spacing w:after="0" w:line="240" w:lineRule="auto"/>
        <w:jc w:val="center"/>
        <w:rPr>
          <w:rFonts w:ascii="Arial" w:eastAsia="Times New Roman" w:hAnsi="Arial" w:cs="Arial"/>
          <w:lang w:val="es-CO" w:eastAsia="es-CO"/>
        </w:rPr>
      </w:pPr>
    </w:p>
    <w:p w14:paraId="1E5C3979" w14:textId="3F692EA4" w:rsidR="00DD55A6" w:rsidRPr="006969B3" w:rsidRDefault="00DD55A6" w:rsidP="00F65283">
      <w:pPr>
        <w:spacing w:after="0" w:line="240" w:lineRule="auto"/>
        <w:jc w:val="center"/>
        <w:rPr>
          <w:rFonts w:ascii="Arial" w:eastAsia="Times New Roman" w:hAnsi="Arial" w:cs="Arial"/>
          <w:lang w:val="es-CO" w:eastAsia="es-CO"/>
        </w:rPr>
      </w:pPr>
      <w:r w:rsidRPr="006969B3">
        <w:rPr>
          <w:rFonts w:ascii="Arial" w:eastAsia="Times New Roman" w:hAnsi="Arial" w:cs="Arial"/>
          <w:lang w:val="es-CO" w:eastAsia="es-CO"/>
        </w:rPr>
        <w:t>Nancy Patricia Gutiérrez Castañeda.</w:t>
      </w:r>
    </w:p>
    <w:p w14:paraId="412F14CE" w14:textId="77777777" w:rsidR="00274B87" w:rsidRPr="006969B3" w:rsidRDefault="00274B87" w:rsidP="00F65283">
      <w:pPr>
        <w:spacing w:after="0" w:line="240" w:lineRule="auto"/>
        <w:jc w:val="center"/>
        <w:rPr>
          <w:rFonts w:ascii="Arial" w:eastAsia="Times New Roman" w:hAnsi="Arial" w:cs="Arial"/>
          <w:lang w:val="es-CO" w:eastAsia="es-CO"/>
        </w:rPr>
      </w:pPr>
    </w:p>
    <w:p w14:paraId="5315A1E2" w14:textId="463E0AC3" w:rsidR="00DD55A6" w:rsidRPr="006969B3" w:rsidRDefault="00DD55A6" w:rsidP="00F65283">
      <w:pPr>
        <w:spacing w:after="0" w:line="240" w:lineRule="auto"/>
        <w:jc w:val="center"/>
        <w:rPr>
          <w:rFonts w:ascii="Arial" w:eastAsia="Times New Roman" w:hAnsi="Arial" w:cs="Arial"/>
          <w:lang w:val="es-CO" w:eastAsia="es-CO"/>
        </w:rPr>
      </w:pPr>
      <w:r w:rsidRPr="006969B3">
        <w:rPr>
          <w:rFonts w:ascii="Arial" w:eastAsia="Times New Roman" w:hAnsi="Arial" w:cs="Arial"/>
          <w:lang w:val="es-CO" w:eastAsia="es-CO"/>
        </w:rPr>
        <w:t xml:space="preserve">El </w:t>
      </w:r>
      <w:proofErr w:type="gramStart"/>
      <w:r w:rsidRPr="006969B3">
        <w:rPr>
          <w:rFonts w:ascii="Arial" w:eastAsia="Times New Roman" w:hAnsi="Arial" w:cs="Arial"/>
          <w:lang w:val="es-CO" w:eastAsia="es-CO"/>
        </w:rPr>
        <w:t>Ministro</w:t>
      </w:r>
      <w:proofErr w:type="gramEnd"/>
      <w:r w:rsidRPr="006969B3">
        <w:rPr>
          <w:rFonts w:ascii="Arial" w:eastAsia="Times New Roman" w:hAnsi="Arial" w:cs="Arial"/>
          <w:lang w:val="es-CO" w:eastAsia="es-CO"/>
        </w:rPr>
        <w:t xml:space="preserve"> de Relaciones Exteriores,</w:t>
      </w:r>
    </w:p>
    <w:p w14:paraId="552FB235" w14:textId="77777777" w:rsidR="00274B87" w:rsidRPr="006969B3" w:rsidRDefault="00274B87" w:rsidP="00F65283">
      <w:pPr>
        <w:spacing w:after="0" w:line="240" w:lineRule="auto"/>
        <w:jc w:val="center"/>
        <w:rPr>
          <w:rFonts w:ascii="Arial" w:eastAsia="Times New Roman" w:hAnsi="Arial" w:cs="Arial"/>
          <w:lang w:val="es-CO" w:eastAsia="es-CO"/>
        </w:rPr>
      </w:pPr>
    </w:p>
    <w:p w14:paraId="7FF04D83" w14:textId="21D46D27" w:rsidR="00DD55A6" w:rsidRPr="006969B3" w:rsidRDefault="00DD55A6" w:rsidP="00F65283">
      <w:pPr>
        <w:spacing w:after="0" w:line="240" w:lineRule="auto"/>
        <w:jc w:val="center"/>
        <w:rPr>
          <w:rFonts w:ascii="Arial" w:eastAsia="Times New Roman" w:hAnsi="Arial" w:cs="Arial"/>
          <w:lang w:val="es-CO" w:eastAsia="es-CO"/>
        </w:rPr>
      </w:pPr>
      <w:r w:rsidRPr="006969B3">
        <w:rPr>
          <w:rFonts w:ascii="Arial" w:eastAsia="Times New Roman" w:hAnsi="Arial" w:cs="Arial"/>
          <w:lang w:val="es-CO" w:eastAsia="es-CO"/>
        </w:rPr>
        <w:t>Carlos Holmes Trujillo García.</w:t>
      </w:r>
    </w:p>
    <w:p w14:paraId="6D6C3919" w14:textId="77777777" w:rsidR="00274B87" w:rsidRPr="006969B3" w:rsidRDefault="00274B87" w:rsidP="00F65283">
      <w:pPr>
        <w:spacing w:after="0" w:line="240" w:lineRule="auto"/>
        <w:jc w:val="center"/>
        <w:rPr>
          <w:rFonts w:ascii="Arial" w:eastAsia="Times New Roman" w:hAnsi="Arial" w:cs="Arial"/>
          <w:lang w:val="es-CO" w:eastAsia="es-CO"/>
        </w:rPr>
      </w:pPr>
    </w:p>
    <w:p w14:paraId="40DAA8CE" w14:textId="6BD75C4E" w:rsidR="00DD55A6" w:rsidRPr="006969B3" w:rsidRDefault="00DD55A6" w:rsidP="00F65283">
      <w:pPr>
        <w:spacing w:after="0" w:line="240" w:lineRule="auto"/>
        <w:jc w:val="center"/>
        <w:rPr>
          <w:rFonts w:ascii="Arial" w:eastAsia="Times New Roman" w:hAnsi="Arial" w:cs="Arial"/>
          <w:lang w:val="es-CO" w:eastAsia="es-CO"/>
        </w:rPr>
      </w:pPr>
      <w:r w:rsidRPr="006969B3">
        <w:rPr>
          <w:rFonts w:ascii="Arial" w:eastAsia="Times New Roman" w:hAnsi="Arial" w:cs="Arial"/>
          <w:lang w:val="es-CO" w:eastAsia="es-CO"/>
        </w:rPr>
        <w:t xml:space="preserve">El </w:t>
      </w:r>
      <w:proofErr w:type="gramStart"/>
      <w:r w:rsidRPr="006969B3">
        <w:rPr>
          <w:rFonts w:ascii="Arial" w:eastAsia="Times New Roman" w:hAnsi="Arial" w:cs="Arial"/>
          <w:lang w:val="es-CO" w:eastAsia="es-CO"/>
        </w:rPr>
        <w:t>Ministro</w:t>
      </w:r>
      <w:proofErr w:type="gramEnd"/>
      <w:r w:rsidRPr="006969B3">
        <w:rPr>
          <w:rFonts w:ascii="Arial" w:eastAsia="Times New Roman" w:hAnsi="Arial" w:cs="Arial"/>
          <w:lang w:val="es-CO" w:eastAsia="es-CO"/>
        </w:rPr>
        <w:t xml:space="preserve"> de Hacienda y Crédito Público,</w:t>
      </w:r>
    </w:p>
    <w:p w14:paraId="3FFD0FA7" w14:textId="77777777" w:rsidR="00274B87" w:rsidRPr="006969B3" w:rsidRDefault="00274B87" w:rsidP="00F65283">
      <w:pPr>
        <w:spacing w:after="0" w:line="240" w:lineRule="auto"/>
        <w:jc w:val="center"/>
        <w:rPr>
          <w:rFonts w:ascii="Arial" w:eastAsia="Times New Roman" w:hAnsi="Arial" w:cs="Arial"/>
          <w:lang w:val="es-CO" w:eastAsia="es-CO"/>
        </w:rPr>
      </w:pPr>
    </w:p>
    <w:p w14:paraId="1F8AB763" w14:textId="6A4E421F" w:rsidR="00DD55A6" w:rsidRPr="006969B3" w:rsidRDefault="00DD55A6" w:rsidP="00F65283">
      <w:pPr>
        <w:spacing w:after="0" w:line="240" w:lineRule="auto"/>
        <w:jc w:val="center"/>
        <w:rPr>
          <w:rFonts w:ascii="Arial" w:eastAsia="Times New Roman" w:hAnsi="Arial" w:cs="Arial"/>
          <w:lang w:val="es-CO" w:eastAsia="es-CO"/>
        </w:rPr>
      </w:pPr>
      <w:r w:rsidRPr="006969B3">
        <w:rPr>
          <w:rFonts w:ascii="Arial" w:eastAsia="Times New Roman" w:hAnsi="Arial" w:cs="Arial"/>
          <w:lang w:val="es-CO" w:eastAsia="es-CO"/>
        </w:rPr>
        <w:t>Alberto Carrasquilla Barrera.</w:t>
      </w:r>
    </w:p>
    <w:p w14:paraId="574B91E7" w14:textId="77777777" w:rsidR="00274B87" w:rsidRPr="006969B3" w:rsidRDefault="00274B87" w:rsidP="00F65283">
      <w:pPr>
        <w:spacing w:after="0" w:line="240" w:lineRule="auto"/>
        <w:jc w:val="center"/>
        <w:rPr>
          <w:rFonts w:ascii="Arial" w:eastAsia="Times New Roman" w:hAnsi="Arial" w:cs="Arial"/>
          <w:lang w:val="es-CO" w:eastAsia="es-CO"/>
        </w:rPr>
      </w:pPr>
    </w:p>
    <w:p w14:paraId="74E21A0F" w14:textId="11C797F6" w:rsidR="00274B87" w:rsidRPr="006969B3" w:rsidRDefault="00DD55A6" w:rsidP="00F65283">
      <w:pPr>
        <w:spacing w:after="0" w:line="240" w:lineRule="auto"/>
        <w:jc w:val="center"/>
        <w:rPr>
          <w:rFonts w:ascii="Arial" w:eastAsia="Times New Roman" w:hAnsi="Arial" w:cs="Arial"/>
          <w:lang w:val="es-CO" w:eastAsia="es-CO"/>
        </w:rPr>
      </w:pPr>
      <w:r w:rsidRPr="006969B3">
        <w:rPr>
          <w:rFonts w:ascii="Arial" w:eastAsia="Times New Roman" w:hAnsi="Arial" w:cs="Arial"/>
          <w:lang w:val="es-CO" w:eastAsia="es-CO"/>
        </w:rPr>
        <w:t xml:space="preserve">El </w:t>
      </w:r>
      <w:proofErr w:type="gramStart"/>
      <w:r w:rsidRPr="006969B3">
        <w:rPr>
          <w:rFonts w:ascii="Arial" w:eastAsia="Times New Roman" w:hAnsi="Arial" w:cs="Arial"/>
          <w:lang w:val="es-CO" w:eastAsia="es-CO"/>
        </w:rPr>
        <w:t>Viceministro</w:t>
      </w:r>
      <w:proofErr w:type="gramEnd"/>
      <w:r w:rsidRPr="006969B3">
        <w:rPr>
          <w:rFonts w:ascii="Arial" w:eastAsia="Times New Roman" w:hAnsi="Arial" w:cs="Arial"/>
          <w:lang w:val="es-CO" w:eastAsia="es-CO"/>
        </w:rPr>
        <w:t xml:space="preserve"> de Política Criminal y Justicia Restaurativa, encargado del empleo </w:t>
      </w:r>
    </w:p>
    <w:p w14:paraId="27AA0E8F" w14:textId="311D66C0" w:rsidR="00DD55A6" w:rsidRPr="006969B3" w:rsidRDefault="00DD55A6" w:rsidP="00F65283">
      <w:pPr>
        <w:spacing w:after="0" w:line="240" w:lineRule="auto"/>
        <w:jc w:val="center"/>
        <w:rPr>
          <w:rFonts w:ascii="Arial" w:eastAsia="Times New Roman" w:hAnsi="Arial" w:cs="Arial"/>
          <w:lang w:val="es-CO" w:eastAsia="es-CO"/>
        </w:rPr>
      </w:pPr>
      <w:r w:rsidRPr="006969B3">
        <w:rPr>
          <w:rFonts w:ascii="Arial" w:eastAsia="Times New Roman" w:hAnsi="Arial" w:cs="Arial"/>
          <w:lang w:val="es-CO" w:eastAsia="es-CO"/>
        </w:rPr>
        <w:t xml:space="preserve">de </w:t>
      </w:r>
      <w:proofErr w:type="gramStart"/>
      <w:r w:rsidRPr="006969B3">
        <w:rPr>
          <w:rFonts w:ascii="Arial" w:eastAsia="Times New Roman" w:hAnsi="Arial" w:cs="Arial"/>
          <w:lang w:val="es-CO" w:eastAsia="es-CO"/>
        </w:rPr>
        <w:t>Ministro</w:t>
      </w:r>
      <w:proofErr w:type="gramEnd"/>
      <w:r w:rsidRPr="006969B3">
        <w:rPr>
          <w:rFonts w:ascii="Arial" w:eastAsia="Times New Roman" w:hAnsi="Arial" w:cs="Arial"/>
          <w:lang w:val="es-CO" w:eastAsia="es-CO"/>
        </w:rPr>
        <w:t xml:space="preserve"> de Justicia y del Derecho,</w:t>
      </w:r>
    </w:p>
    <w:p w14:paraId="4FFB97EF" w14:textId="77777777" w:rsidR="00274B87" w:rsidRPr="006969B3" w:rsidRDefault="00274B87" w:rsidP="00F65283">
      <w:pPr>
        <w:spacing w:after="0" w:line="240" w:lineRule="auto"/>
        <w:jc w:val="center"/>
        <w:rPr>
          <w:rFonts w:ascii="Arial" w:eastAsia="Times New Roman" w:hAnsi="Arial" w:cs="Arial"/>
          <w:lang w:val="es-CO" w:eastAsia="es-CO"/>
        </w:rPr>
      </w:pPr>
    </w:p>
    <w:p w14:paraId="41FD4344" w14:textId="020090E8" w:rsidR="00DD55A6" w:rsidRPr="006969B3" w:rsidRDefault="00DD55A6" w:rsidP="00F65283">
      <w:pPr>
        <w:spacing w:after="0" w:line="240" w:lineRule="auto"/>
        <w:jc w:val="center"/>
        <w:rPr>
          <w:rFonts w:ascii="Arial" w:eastAsia="Times New Roman" w:hAnsi="Arial" w:cs="Arial"/>
          <w:lang w:val="es-CO" w:eastAsia="es-CO"/>
        </w:rPr>
      </w:pPr>
      <w:r w:rsidRPr="006969B3">
        <w:rPr>
          <w:rFonts w:ascii="Arial" w:eastAsia="Times New Roman" w:hAnsi="Arial" w:cs="Arial"/>
          <w:lang w:val="es-CO" w:eastAsia="es-CO"/>
        </w:rPr>
        <w:t>Juan Francisco Espinosa Palacios.</w:t>
      </w:r>
    </w:p>
    <w:p w14:paraId="6AC3C907" w14:textId="77777777" w:rsidR="00274B87" w:rsidRPr="006969B3" w:rsidRDefault="00274B87" w:rsidP="00F65283">
      <w:pPr>
        <w:spacing w:after="0" w:line="240" w:lineRule="auto"/>
        <w:jc w:val="center"/>
        <w:rPr>
          <w:rFonts w:ascii="Arial" w:eastAsia="Times New Roman" w:hAnsi="Arial" w:cs="Arial"/>
          <w:lang w:val="es-CO" w:eastAsia="es-CO"/>
        </w:rPr>
      </w:pPr>
    </w:p>
    <w:p w14:paraId="2C0A4DD6" w14:textId="74040CF3" w:rsidR="00DD55A6" w:rsidRPr="006969B3" w:rsidRDefault="00DD55A6" w:rsidP="00F65283">
      <w:pPr>
        <w:spacing w:after="0" w:line="240" w:lineRule="auto"/>
        <w:jc w:val="center"/>
        <w:rPr>
          <w:rFonts w:ascii="Arial" w:eastAsia="Times New Roman" w:hAnsi="Arial" w:cs="Arial"/>
          <w:lang w:val="es-CO" w:eastAsia="es-CO"/>
        </w:rPr>
      </w:pPr>
      <w:r w:rsidRPr="006969B3">
        <w:rPr>
          <w:rFonts w:ascii="Arial" w:eastAsia="Times New Roman" w:hAnsi="Arial" w:cs="Arial"/>
          <w:lang w:val="es-CO" w:eastAsia="es-CO"/>
        </w:rPr>
        <w:t xml:space="preserve">El </w:t>
      </w:r>
      <w:proofErr w:type="gramStart"/>
      <w:r w:rsidRPr="006969B3">
        <w:rPr>
          <w:rFonts w:ascii="Arial" w:eastAsia="Times New Roman" w:hAnsi="Arial" w:cs="Arial"/>
          <w:lang w:val="es-CO" w:eastAsia="es-CO"/>
        </w:rPr>
        <w:t>Ministro</w:t>
      </w:r>
      <w:proofErr w:type="gramEnd"/>
      <w:r w:rsidRPr="006969B3">
        <w:rPr>
          <w:rFonts w:ascii="Arial" w:eastAsia="Times New Roman" w:hAnsi="Arial" w:cs="Arial"/>
          <w:lang w:val="es-CO" w:eastAsia="es-CO"/>
        </w:rPr>
        <w:t xml:space="preserve"> de Defensa Nacional,</w:t>
      </w:r>
    </w:p>
    <w:p w14:paraId="5A71BD56" w14:textId="77777777" w:rsidR="00274B87" w:rsidRPr="006969B3" w:rsidRDefault="00274B87" w:rsidP="00F65283">
      <w:pPr>
        <w:spacing w:after="0" w:line="240" w:lineRule="auto"/>
        <w:jc w:val="center"/>
        <w:rPr>
          <w:rFonts w:ascii="Arial" w:eastAsia="Times New Roman" w:hAnsi="Arial" w:cs="Arial"/>
          <w:lang w:val="es-CO" w:eastAsia="es-CO"/>
        </w:rPr>
      </w:pPr>
    </w:p>
    <w:p w14:paraId="2258E52F" w14:textId="58797E35" w:rsidR="00DD55A6" w:rsidRPr="006969B3" w:rsidRDefault="00DD55A6" w:rsidP="00F65283">
      <w:pPr>
        <w:spacing w:after="0" w:line="240" w:lineRule="auto"/>
        <w:jc w:val="center"/>
        <w:rPr>
          <w:rFonts w:ascii="Arial" w:eastAsia="Times New Roman" w:hAnsi="Arial" w:cs="Arial"/>
          <w:lang w:val="es-CO" w:eastAsia="es-CO"/>
        </w:rPr>
      </w:pPr>
      <w:r w:rsidRPr="006969B3">
        <w:rPr>
          <w:rFonts w:ascii="Arial" w:eastAsia="Times New Roman" w:hAnsi="Arial" w:cs="Arial"/>
          <w:lang w:val="es-CO" w:eastAsia="es-CO"/>
        </w:rPr>
        <w:t>Lorenzo Guillermo Botero Nieto.</w:t>
      </w:r>
    </w:p>
    <w:p w14:paraId="47EB9BA8" w14:textId="77777777" w:rsidR="00274B87" w:rsidRPr="006969B3" w:rsidRDefault="00274B87" w:rsidP="00F65283">
      <w:pPr>
        <w:spacing w:after="0" w:line="240" w:lineRule="auto"/>
        <w:jc w:val="center"/>
        <w:rPr>
          <w:rFonts w:ascii="Arial" w:eastAsia="Times New Roman" w:hAnsi="Arial" w:cs="Arial"/>
          <w:lang w:val="es-CO" w:eastAsia="es-CO"/>
        </w:rPr>
      </w:pPr>
    </w:p>
    <w:p w14:paraId="2D98834D" w14:textId="77777777" w:rsidR="00274B87" w:rsidRPr="006969B3" w:rsidRDefault="00DD55A6" w:rsidP="00F65283">
      <w:pPr>
        <w:spacing w:after="0" w:line="240" w:lineRule="auto"/>
        <w:jc w:val="center"/>
        <w:rPr>
          <w:rFonts w:ascii="Arial" w:eastAsia="Times New Roman" w:hAnsi="Arial" w:cs="Arial"/>
          <w:lang w:val="es-CO" w:eastAsia="es-CO"/>
        </w:rPr>
      </w:pPr>
      <w:r w:rsidRPr="006969B3">
        <w:rPr>
          <w:rFonts w:ascii="Arial" w:eastAsia="Times New Roman" w:hAnsi="Arial" w:cs="Arial"/>
          <w:lang w:val="es-CO" w:eastAsia="es-CO"/>
        </w:rPr>
        <w:t xml:space="preserve">El </w:t>
      </w:r>
      <w:proofErr w:type="gramStart"/>
      <w:r w:rsidRPr="006969B3">
        <w:rPr>
          <w:rFonts w:ascii="Arial" w:eastAsia="Times New Roman" w:hAnsi="Arial" w:cs="Arial"/>
          <w:lang w:val="es-CO" w:eastAsia="es-CO"/>
        </w:rPr>
        <w:t>Viceministro</w:t>
      </w:r>
      <w:proofErr w:type="gramEnd"/>
      <w:r w:rsidRPr="006969B3">
        <w:rPr>
          <w:rFonts w:ascii="Arial" w:eastAsia="Times New Roman" w:hAnsi="Arial" w:cs="Arial"/>
          <w:lang w:val="es-CO" w:eastAsia="es-CO"/>
        </w:rPr>
        <w:t xml:space="preserve"> de Desarrollo Rural, encargado de las funciones del despacho del </w:t>
      </w:r>
    </w:p>
    <w:p w14:paraId="349D0A52" w14:textId="77777777" w:rsidR="00274B87" w:rsidRPr="006969B3" w:rsidRDefault="00274B87" w:rsidP="00F65283">
      <w:pPr>
        <w:spacing w:after="0" w:line="240" w:lineRule="auto"/>
        <w:jc w:val="center"/>
        <w:rPr>
          <w:rFonts w:ascii="Arial" w:eastAsia="Times New Roman" w:hAnsi="Arial" w:cs="Arial"/>
          <w:lang w:val="es-CO" w:eastAsia="es-CO"/>
        </w:rPr>
      </w:pPr>
    </w:p>
    <w:p w14:paraId="475CF8C4" w14:textId="07A1C209" w:rsidR="00DD55A6" w:rsidRPr="006969B3" w:rsidRDefault="00DD55A6" w:rsidP="00F65283">
      <w:pPr>
        <w:spacing w:after="0" w:line="240" w:lineRule="auto"/>
        <w:jc w:val="center"/>
        <w:rPr>
          <w:rFonts w:ascii="Arial" w:eastAsia="Times New Roman" w:hAnsi="Arial" w:cs="Arial"/>
          <w:lang w:val="es-CO" w:eastAsia="es-CO"/>
        </w:rPr>
      </w:pPr>
      <w:r w:rsidRPr="006969B3">
        <w:rPr>
          <w:rFonts w:ascii="Arial" w:eastAsia="Times New Roman" w:hAnsi="Arial" w:cs="Arial"/>
          <w:lang w:val="es-CO" w:eastAsia="es-CO"/>
        </w:rPr>
        <w:t>Ministro de Agricultura y Desarrollo Rural,</w:t>
      </w:r>
    </w:p>
    <w:p w14:paraId="639D895E" w14:textId="77777777" w:rsidR="00274B87" w:rsidRPr="006969B3" w:rsidRDefault="00274B87" w:rsidP="00F65283">
      <w:pPr>
        <w:spacing w:after="0" w:line="240" w:lineRule="auto"/>
        <w:jc w:val="center"/>
        <w:rPr>
          <w:rFonts w:ascii="Arial" w:eastAsia="Times New Roman" w:hAnsi="Arial" w:cs="Arial"/>
          <w:lang w:val="es-CO" w:eastAsia="es-CO"/>
        </w:rPr>
      </w:pPr>
    </w:p>
    <w:p w14:paraId="54C055FD" w14:textId="2DABBA89" w:rsidR="00DD55A6" w:rsidRPr="006969B3" w:rsidRDefault="00DD55A6" w:rsidP="00F65283">
      <w:pPr>
        <w:spacing w:after="0" w:line="240" w:lineRule="auto"/>
        <w:jc w:val="center"/>
        <w:rPr>
          <w:rFonts w:ascii="Arial" w:eastAsia="Times New Roman" w:hAnsi="Arial" w:cs="Arial"/>
          <w:lang w:val="es-CO" w:eastAsia="es-CO"/>
        </w:rPr>
      </w:pPr>
      <w:r w:rsidRPr="006969B3">
        <w:rPr>
          <w:rFonts w:ascii="Arial" w:eastAsia="Times New Roman" w:hAnsi="Arial" w:cs="Arial"/>
          <w:lang w:val="es-CO" w:eastAsia="es-CO"/>
        </w:rPr>
        <w:t>Javier Ignacio Pérez Burgos.</w:t>
      </w:r>
    </w:p>
    <w:p w14:paraId="301FD603" w14:textId="77777777" w:rsidR="00274B87" w:rsidRPr="006969B3" w:rsidRDefault="00274B87" w:rsidP="00F65283">
      <w:pPr>
        <w:spacing w:after="0" w:line="240" w:lineRule="auto"/>
        <w:jc w:val="center"/>
        <w:rPr>
          <w:rFonts w:ascii="Arial" w:eastAsia="Times New Roman" w:hAnsi="Arial" w:cs="Arial"/>
          <w:lang w:val="es-CO" w:eastAsia="es-CO"/>
        </w:rPr>
      </w:pPr>
    </w:p>
    <w:p w14:paraId="71AF9C21" w14:textId="50620C6D" w:rsidR="00DD55A6" w:rsidRPr="006969B3" w:rsidRDefault="00DD55A6" w:rsidP="00F65283">
      <w:pPr>
        <w:spacing w:after="0" w:line="240" w:lineRule="auto"/>
        <w:jc w:val="center"/>
        <w:rPr>
          <w:rFonts w:ascii="Arial" w:eastAsia="Times New Roman" w:hAnsi="Arial" w:cs="Arial"/>
          <w:lang w:val="es-CO" w:eastAsia="es-CO"/>
        </w:rPr>
      </w:pPr>
      <w:r w:rsidRPr="006969B3">
        <w:rPr>
          <w:rFonts w:ascii="Arial" w:eastAsia="Times New Roman" w:hAnsi="Arial" w:cs="Arial"/>
          <w:lang w:val="es-CO" w:eastAsia="es-CO"/>
        </w:rPr>
        <w:t xml:space="preserve">El </w:t>
      </w:r>
      <w:proofErr w:type="gramStart"/>
      <w:r w:rsidRPr="006969B3">
        <w:rPr>
          <w:rFonts w:ascii="Arial" w:eastAsia="Times New Roman" w:hAnsi="Arial" w:cs="Arial"/>
          <w:lang w:val="es-CO" w:eastAsia="es-CO"/>
        </w:rPr>
        <w:t>Ministro</w:t>
      </w:r>
      <w:proofErr w:type="gramEnd"/>
      <w:r w:rsidRPr="006969B3">
        <w:rPr>
          <w:rFonts w:ascii="Arial" w:eastAsia="Times New Roman" w:hAnsi="Arial" w:cs="Arial"/>
          <w:lang w:val="es-CO" w:eastAsia="es-CO"/>
        </w:rPr>
        <w:t xml:space="preserve"> de Salud y Protección Social,</w:t>
      </w:r>
    </w:p>
    <w:p w14:paraId="5C839B8B" w14:textId="77777777" w:rsidR="00274B87" w:rsidRPr="006969B3" w:rsidRDefault="00274B87" w:rsidP="00F65283">
      <w:pPr>
        <w:spacing w:after="0" w:line="240" w:lineRule="auto"/>
        <w:jc w:val="center"/>
        <w:rPr>
          <w:rFonts w:ascii="Arial" w:eastAsia="Times New Roman" w:hAnsi="Arial" w:cs="Arial"/>
          <w:lang w:val="es-CO" w:eastAsia="es-CO"/>
        </w:rPr>
      </w:pPr>
    </w:p>
    <w:p w14:paraId="79059A4B" w14:textId="3FF31D8E" w:rsidR="00DD55A6" w:rsidRPr="006969B3" w:rsidRDefault="00DD55A6" w:rsidP="00F65283">
      <w:pPr>
        <w:spacing w:after="0" w:line="240" w:lineRule="auto"/>
        <w:jc w:val="center"/>
        <w:rPr>
          <w:rFonts w:ascii="Arial" w:eastAsia="Times New Roman" w:hAnsi="Arial" w:cs="Arial"/>
          <w:lang w:val="es-CO" w:eastAsia="es-CO"/>
        </w:rPr>
      </w:pPr>
      <w:r w:rsidRPr="006969B3">
        <w:rPr>
          <w:rFonts w:ascii="Arial" w:eastAsia="Times New Roman" w:hAnsi="Arial" w:cs="Arial"/>
          <w:lang w:val="es-CO" w:eastAsia="es-CO"/>
        </w:rPr>
        <w:t>Juan Pablo Eusebio Uribe Retrepo.</w:t>
      </w:r>
    </w:p>
    <w:p w14:paraId="6CC1A64D" w14:textId="77777777" w:rsidR="00274B87" w:rsidRPr="006969B3" w:rsidRDefault="00274B87" w:rsidP="00F65283">
      <w:pPr>
        <w:spacing w:after="0" w:line="240" w:lineRule="auto"/>
        <w:jc w:val="center"/>
        <w:rPr>
          <w:rFonts w:ascii="Arial" w:eastAsia="Times New Roman" w:hAnsi="Arial" w:cs="Arial"/>
          <w:lang w:val="es-CO" w:eastAsia="es-CO"/>
        </w:rPr>
      </w:pPr>
    </w:p>
    <w:p w14:paraId="66FD1645" w14:textId="5C15D062" w:rsidR="00DD55A6" w:rsidRPr="006969B3" w:rsidRDefault="00DD55A6" w:rsidP="00F65283">
      <w:pPr>
        <w:spacing w:after="0" w:line="240" w:lineRule="auto"/>
        <w:jc w:val="center"/>
        <w:rPr>
          <w:rFonts w:ascii="Arial" w:eastAsia="Times New Roman" w:hAnsi="Arial" w:cs="Arial"/>
          <w:lang w:val="es-CO" w:eastAsia="es-CO"/>
        </w:rPr>
      </w:pPr>
      <w:r w:rsidRPr="006969B3">
        <w:rPr>
          <w:rFonts w:ascii="Arial" w:eastAsia="Times New Roman" w:hAnsi="Arial" w:cs="Arial"/>
          <w:lang w:val="es-CO" w:eastAsia="es-CO"/>
        </w:rPr>
        <w:t xml:space="preserve">La </w:t>
      </w:r>
      <w:proofErr w:type="gramStart"/>
      <w:r w:rsidRPr="006969B3">
        <w:rPr>
          <w:rFonts w:ascii="Arial" w:eastAsia="Times New Roman" w:hAnsi="Arial" w:cs="Arial"/>
          <w:lang w:val="es-CO" w:eastAsia="es-CO"/>
        </w:rPr>
        <w:t>Ministra</w:t>
      </w:r>
      <w:proofErr w:type="gramEnd"/>
      <w:r w:rsidRPr="006969B3">
        <w:rPr>
          <w:rFonts w:ascii="Arial" w:eastAsia="Times New Roman" w:hAnsi="Arial" w:cs="Arial"/>
          <w:lang w:val="es-CO" w:eastAsia="es-CO"/>
        </w:rPr>
        <w:t xml:space="preserve"> del Trabajo,</w:t>
      </w:r>
    </w:p>
    <w:p w14:paraId="4BE8158B" w14:textId="77777777" w:rsidR="00274B87" w:rsidRPr="006969B3" w:rsidRDefault="00274B87" w:rsidP="00F65283">
      <w:pPr>
        <w:spacing w:after="0" w:line="240" w:lineRule="auto"/>
        <w:jc w:val="center"/>
        <w:rPr>
          <w:rFonts w:ascii="Arial" w:eastAsia="Times New Roman" w:hAnsi="Arial" w:cs="Arial"/>
          <w:lang w:val="es-CO" w:eastAsia="es-CO"/>
        </w:rPr>
      </w:pPr>
    </w:p>
    <w:p w14:paraId="164C4BFB" w14:textId="218F5C73" w:rsidR="00DD55A6" w:rsidRPr="006969B3" w:rsidRDefault="00DD55A6" w:rsidP="00F65283">
      <w:pPr>
        <w:spacing w:after="0" w:line="240" w:lineRule="auto"/>
        <w:jc w:val="center"/>
        <w:rPr>
          <w:rFonts w:ascii="Arial" w:eastAsia="Times New Roman" w:hAnsi="Arial" w:cs="Arial"/>
          <w:lang w:val="es-CO" w:eastAsia="es-CO"/>
        </w:rPr>
      </w:pPr>
      <w:r w:rsidRPr="006969B3">
        <w:rPr>
          <w:rFonts w:ascii="Arial" w:eastAsia="Times New Roman" w:hAnsi="Arial" w:cs="Arial"/>
          <w:lang w:val="es-CO" w:eastAsia="es-CO"/>
        </w:rPr>
        <w:t>Alicia Victoria Arango Olmos.</w:t>
      </w:r>
    </w:p>
    <w:p w14:paraId="13DA7149" w14:textId="77777777" w:rsidR="00274B87" w:rsidRPr="006969B3" w:rsidRDefault="00274B87" w:rsidP="00F65283">
      <w:pPr>
        <w:spacing w:after="0" w:line="240" w:lineRule="auto"/>
        <w:jc w:val="center"/>
        <w:rPr>
          <w:rFonts w:ascii="Arial" w:eastAsia="Times New Roman" w:hAnsi="Arial" w:cs="Arial"/>
          <w:lang w:val="es-CO" w:eastAsia="es-CO"/>
        </w:rPr>
      </w:pPr>
    </w:p>
    <w:p w14:paraId="080B99C7" w14:textId="3E38B844" w:rsidR="00DD55A6" w:rsidRPr="006969B3" w:rsidRDefault="00DD55A6" w:rsidP="00F65283">
      <w:pPr>
        <w:spacing w:after="0" w:line="240" w:lineRule="auto"/>
        <w:jc w:val="center"/>
        <w:rPr>
          <w:rFonts w:ascii="Arial" w:eastAsia="Times New Roman" w:hAnsi="Arial" w:cs="Arial"/>
          <w:lang w:val="es-CO" w:eastAsia="es-CO"/>
        </w:rPr>
      </w:pPr>
      <w:r w:rsidRPr="006969B3">
        <w:rPr>
          <w:rFonts w:ascii="Arial" w:eastAsia="Times New Roman" w:hAnsi="Arial" w:cs="Arial"/>
          <w:lang w:val="es-CO" w:eastAsia="es-CO"/>
        </w:rPr>
        <w:t xml:space="preserve">El </w:t>
      </w:r>
      <w:proofErr w:type="gramStart"/>
      <w:r w:rsidRPr="006969B3">
        <w:rPr>
          <w:rFonts w:ascii="Arial" w:eastAsia="Times New Roman" w:hAnsi="Arial" w:cs="Arial"/>
          <w:lang w:val="es-CO" w:eastAsia="es-CO"/>
        </w:rPr>
        <w:t>Ministro</w:t>
      </w:r>
      <w:proofErr w:type="gramEnd"/>
      <w:r w:rsidRPr="006969B3">
        <w:rPr>
          <w:rFonts w:ascii="Arial" w:eastAsia="Times New Roman" w:hAnsi="Arial" w:cs="Arial"/>
          <w:lang w:val="es-CO" w:eastAsia="es-CO"/>
        </w:rPr>
        <w:t xml:space="preserve"> de Comercio, Industria y Turismo,</w:t>
      </w:r>
    </w:p>
    <w:p w14:paraId="2101CBC4" w14:textId="77777777" w:rsidR="00274B87" w:rsidRPr="006969B3" w:rsidRDefault="00274B87" w:rsidP="00F65283">
      <w:pPr>
        <w:spacing w:after="0" w:line="240" w:lineRule="auto"/>
        <w:jc w:val="center"/>
        <w:rPr>
          <w:rFonts w:ascii="Arial" w:eastAsia="Times New Roman" w:hAnsi="Arial" w:cs="Arial"/>
          <w:lang w:val="es-CO" w:eastAsia="es-CO"/>
        </w:rPr>
      </w:pPr>
    </w:p>
    <w:p w14:paraId="4017269C" w14:textId="5CF2E77B" w:rsidR="00DD55A6" w:rsidRPr="006969B3" w:rsidRDefault="00DD55A6" w:rsidP="00F65283">
      <w:pPr>
        <w:spacing w:after="0" w:line="240" w:lineRule="auto"/>
        <w:jc w:val="center"/>
        <w:rPr>
          <w:rFonts w:ascii="Arial" w:eastAsia="Times New Roman" w:hAnsi="Arial" w:cs="Arial"/>
          <w:lang w:val="es-CO" w:eastAsia="es-CO"/>
        </w:rPr>
      </w:pPr>
      <w:r w:rsidRPr="006969B3">
        <w:rPr>
          <w:rFonts w:ascii="Arial" w:eastAsia="Times New Roman" w:hAnsi="Arial" w:cs="Arial"/>
          <w:lang w:val="es-CO" w:eastAsia="es-CO"/>
        </w:rPr>
        <w:t xml:space="preserve">José Manuel Restrepo </w:t>
      </w:r>
      <w:proofErr w:type="spellStart"/>
      <w:r w:rsidRPr="006969B3">
        <w:rPr>
          <w:rFonts w:ascii="Arial" w:eastAsia="Times New Roman" w:hAnsi="Arial" w:cs="Arial"/>
          <w:lang w:val="es-CO" w:eastAsia="es-CO"/>
        </w:rPr>
        <w:t>Abondano</w:t>
      </w:r>
      <w:proofErr w:type="spellEnd"/>
      <w:r w:rsidRPr="006969B3">
        <w:rPr>
          <w:rFonts w:ascii="Arial" w:eastAsia="Times New Roman" w:hAnsi="Arial" w:cs="Arial"/>
          <w:lang w:val="es-CO" w:eastAsia="es-CO"/>
        </w:rPr>
        <w:t>.</w:t>
      </w:r>
    </w:p>
    <w:p w14:paraId="6DA74C3F" w14:textId="77777777" w:rsidR="00274B87" w:rsidRPr="006969B3" w:rsidRDefault="00274B87" w:rsidP="00F65283">
      <w:pPr>
        <w:spacing w:after="0" w:line="240" w:lineRule="auto"/>
        <w:jc w:val="center"/>
        <w:rPr>
          <w:rFonts w:ascii="Arial" w:eastAsia="Times New Roman" w:hAnsi="Arial" w:cs="Arial"/>
          <w:lang w:val="es-CO" w:eastAsia="es-CO"/>
        </w:rPr>
      </w:pPr>
    </w:p>
    <w:p w14:paraId="5330F4CE" w14:textId="462502AD" w:rsidR="00DD55A6" w:rsidRPr="006969B3" w:rsidRDefault="00DD55A6" w:rsidP="00F65283">
      <w:pPr>
        <w:spacing w:after="0" w:line="240" w:lineRule="auto"/>
        <w:jc w:val="center"/>
        <w:rPr>
          <w:rFonts w:ascii="Arial" w:eastAsia="Times New Roman" w:hAnsi="Arial" w:cs="Arial"/>
          <w:lang w:val="es-CO" w:eastAsia="es-CO"/>
        </w:rPr>
      </w:pPr>
      <w:r w:rsidRPr="006969B3">
        <w:rPr>
          <w:rFonts w:ascii="Arial" w:eastAsia="Times New Roman" w:hAnsi="Arial" w:cs="Arial"/>
          <w:lang w:val="es-CO" w:eastAsia="es-CO"/>
        </w:rPr>
        <w:t xml:space="preserve">La </w:t>
      </w:r>
      <w:proofErr w:type="gramStart"/>
      <w:r w:rsidRPr="006969B3">
        <w:rPr>
          <w:rFonts w:ascii="Arial" w:eastAsia="Times New Roman" w:hAnsi="Arial" w:cs="Arial"/>
          <w:lang w:val="es-CO" w:eastAsia="es-CO"/>
        </w:rPr>
        <w:t>Ministra</w:t>
      </w:r>
      <w:proofErr w:type="gramEnd"/>
      <w:r w:rsidRPr="006969B3">
        <w:rPr>
          <w:rFonts w:ascii="Arial" w:eastAsia="Times New Roman" w:hAnsi="Arial" w:cs="Arial"/>
          <w:lang w:val="es-CO" w:eastAsia="es-CO"/>
        </w:rPr>
        <w:t xml:space="preserve"> de Educación Nacional,</w:t>
      </w:r>
    </w:p>
    <w:p w14:paraId="14E46F02" w14:textId="77777777" w:rsidR="00274B87" w:rsidRPr="006969B3" w:rsidRDefault="00274B87" w:rsidP="00F65283">
      <w:pPr>
        <w:spacing w:after="0" w:line="240" w:lineRule="auto"/>
        <w:jc w:val="center"/>
        <w:rPr>
          <w:rFonts w:ascii="Arial" w:eastAsia="Times New Roman" w:hAnsi="Arial" w:cs="Arial"/>
          <w:lang w:val="es-CO" w:eastAsia="es-CO"/>
        </w:rPr>
      </w:pPr>
    </w:p>
    <w:p w14:paraId="182C5D47" w14:textId="6CC2AA05" w:rsidR="00DD55A6" w:rsidRPr="006969B3" w:rsidRDefault="00DD55A6" w:rsidP="00F65283">
      <w:pPr>
        <w:spacing w:after="0" w:line="240" w:lineRule="auto"/>
        <w:jc w:val="center"/>
        <w:rPr>
          <w:rFonts w:ascii="Arial" w:eastAsia="Times New Roman" w:hAnsi="Arial" w:cs="Arial"/>
          <w:lang w:val="es-CO" w:eastAsia="es-CO"/>
        </w:rPr>
      </w:pPr>
      <w:r w:rsidRPr="006969B3">
        <w:rPr>
          <w:rFonts w:ascii="Arial" w:eastAsia="Times New Roman" w:hAnsi="Arial" w:cs="Arial"/>
          <w:lang w:val="es-CO" w:eastAsia="es-CO"/>
        </w:rPr>
        <w:t>María Victoria Angulo González.</w:t>
      </w:r>
    </w:p>
    <w:p w14:paraId="03017523" w14:textId="77777777" w:rsidR="00274B87" w:rsidRPr="006969B3" w:rsidRDefault="00274B87" w:rsidP="00F65283">
      <w:pPr>
        <w:spacing w:after="0" w:line="240" w:lineRule="auto"/>
        <w:jc w:val="center"/>
        <w:rPr>
          <w:rFonts w:ascii="Arial" w:eastAsia="Times New Roman" w:hAnsi="Arial" w:cs="Arial"/>
          <w:lang w:val="es-CO" w:eastAsia="es-CO"/>
        </w:rPr>
      </w:pPr>
    </w:p>
    <w:p w14:paraId="7903297B" w14:textId="09E34F30" w:rsidR="00DD55A6" w:rsidRPr="006969B3" w:rsidRDefault="00DD55A6" w:rsidP="00F65283">
      <w:pPr>
        <w:spacing w:after="0" w:line="240" w:lineRule="auto"/>
        <w:jc w:val="center"/>
        <w:rPr>
          <w:rFonts w:ascii="Arial" w:eastAsia="Times New Roman" w:hAnsi="Arial" w:cs="Arial"/>
          <w:lang w:val="es-CO" w:eastAsia="es-CO"/>
        </w:rPr>
      </w:pPr>
      <w:r w:rsidRPr="006969B3">
        <w:rPr>
          <w:rFonts w:ascii="Arial" w:eastAsia="Times New Roman" w:hAnsi="Arial" w:cs="Arial"/>
          <w:lang w:val="es-CO" w:eastAsia="es-CO"/>
        </w:rPr>
        <w:t xml:space="preserve">La </w:t>
      </w:r>
      <w:proofErr w:type="gramStart"/>
      <w:r w:rsidRPr="006969B3">
        <w:rPr>
          <w:rFonts w:ascii="Arial" w:eastAsia="Times New Roman" w:hAnsi="Arial" w:cs="Arial"/>
          <w:lang w:val="es-CO" w:eastAsia="es-CO"/>
        </w:rPr>
        <w:t>Ministra</w:t>
      </w:r>
      <w:proofErr w:type="gramEnd"/>
      <w:r w:rsidRPr="006969B3">
        <w:rPr>
          <w:rFonts w:ascii="Arial" w:eastAsia="Times New Roman" w:hAnsi="Arial" w:cs="Arial"/>
          <w:lang w:val="es-CO" w:eastAsia="es-CO"/>
        </w:rPr>
        <w:t xml:space="preserve"> de Minas y Energía,</w:t>
      </w:r>
    </w:p>
    <w:p w14:paraId="3AA5E8DE" w14:textId="77777777" w:rsidR="00274B87" w:rsidRPr="006969B3" w:rsidRDefault="00274B87" w:rsidP="00F65283">
      <w:pPr>
        <w:spacing w:after="0" w:line="240" w:lineRule="auto"/>
        <w:jc w:val="center"/>
        <w:rPr>
          <w:rFonts w:ascii="Arial" w:eastAsia="Times New Roman" w:hAnsi="Arial" w:cs="Arial"/>
          <w:lang w:val="es-CO" w:eastAsia="es-CO"/>
        </w:rPr>
      </w:pPr>
    </w:p>
    <w:p w14:paraId="095B58D6" w14:textId="2FE84BB8" w:rsidR="00DD55A6" w:rsidRPr="006969B3" w:rsidRDefault="00DD55A6" w:rsidP="00F65283">
      <w:pPr>
        <w:spacing w:after="0" w:line="240" w:lineRule="auto"/>
        <w:jc w:val="center"/>
        <w:rPr>
          <w:rFonts w:ascii="Arial" w:eastAsia="Times New Roman" w:hAnsi="Arial" w:cs="Arial"/>
          <w:lang w:val="es-CO" w:eastAsia="es-CO"/>
        </w:rPr>
      </w:pPr>
      <w:r w:rsidRPr="006969B3">
        <w:rPr>
          <w:rFonts w:ascii="Arial" w:eastAsia="Times New Roman" w:hAnsi="Arial" w:cs="Arial"/>
          <w:lang w:val="es-CO" w:eastAsia="es-CO"/>
        </w:rPr>
        <w:t>María Fernanda Suárez Londoño.</w:t>
      </w:r>
    </w:p>
    <w:p w14:paraId="7DAD8CCF" w14:textId="77777777" w:rsidR="00274B87" w:rsidRPr="006969B3" w:rsidRDefault="00274B87" w:rsidP="00F65283">
      <w:pPr>
        <w:spacing w:after="0" w:line="240" w:lineRule="auto"/>
        <w:jc w:val="center"/>
        <w:rPr>
          <w:rFonts w:ascii="Arial" w:eastAsia="Times New Roman" w:hAnsi="Arial" w:cs="Arial"/>
          <w:lang w:val="es-CO" w:eastAsia="es-CO"/>
        </w:rPr>
      </w:pPr>
    </w:p>
    <w:p w14:paraId="106BB4AE" w14:textId="05FFDF88" w:rsidR="00DD55A6" w:rsidRPr="006969B3" w:rsidRDefault="00DD55A6" w:rsidP="00F65283">
      <w:pPr>
        <w:spacing w:after="0" w:line="240" w:lineRule="auto"/>
        <w:jc w:val="center"/>
        <w:rPr>
          <w:rFonts w:ascii="Arial" w:eastAsia="Times New Roman" w:hAnsi="Arial" w:cs="Arial"/>
          <w:lang w:val="es-CO" w:eastAsia="es-CO"/>
        </w:rPr>
      </w:pPr>
      <w:r w:rsidRPr="006969B3">
        <w:rPr>
          <w:rFonts w:ascii="Arial" w:eastAsia="Times New Roman" w:hAnsi="Arial" w:cs="Arial"/>
          <w:lang w:val="es-CO" w:eastAsia="es-CO"/>
        </w:rPr>
        <w:t xml:space="preserve">El </w:t>
      </w:r>
      <w:proofErr w:type="gramStart"/>
      <w:r w:rsidRPr="006969B3">
        <w:rPr>
          <w:rFonts w:ascii="Arial" w:eastAsia="Times New Roman" w:hAnsi="Arial" w:cs="Arial"/>
          <w:lang w:val="es-CO" w:eastAsia="es-CO"/>
        </w:rPr>
        <w:t>Ministro</w:t>
      </w:r>
      <w:proofErr w:type="gramEnd"/>
      <w:r w:rsidRPr="006969B3">
        <w:rPr>
          <w:rFonts w:ascii="Arial" w:eastAsia="Times New Roman" w:hAnsi="Arial" w:cs="Arial"/>
          <w:lang w:val="es-CO" w:eastAsia="es-CO"/>
        </w:rPr>
        <w:t xml:space="preserve"> de Ambiente y Desarrollo Sostenible,</w:t>
      </w:r>
    </w:p>
    <w:p w14:paraId="442F2179" w14:textId="77777777" w:rsidR="00274B87" w:rsidRPr="006969B3" w:rsidRDefault="00274B87" w:rsidP="00F65283">
      <w:pPr>
        <w:spacing w:after="0" w:line="240" w:lineRule="auto"/>
        <w:jc w:val="center"/>
        <w:rPr>
          <w:rFonts w:ascii="Arial" w:eastAsia="Times New Roman" w:hAnsi="Arial" w:cs="Arial"/>
          <w:lang w:val="es-CO" w:eastAsia="es-CO"/>
        </w:rPr>
      </w:pPr>
    </w:p>
    <w:p w14:paraId="0EFF2DC3" w14:textId="5F23FA38" w:rsidR="00DD55A6" w:rsidRPr="006969B3" w:rsidRDefault="00DD55A6" w:rsidP="00F65283">
      <w:pPr>
        <w:spacing w:after="0" w:line="240" w:lineRule="auto"/>
        <w:jc w:val="center"/>
        <w:rPr>
          <w:rFonts w:ascii="Arial" w:eastAsia="Times New Roman" w:hAnsi="Arial" w:cs="Arial"/>
          <w:lang w:val="es-CO" w:eastAsia="es-CO"/>
        </w:rPr>
      </w:pPr>
      <w:r w:rsidRPr="006969B3">
        <w:rPr>
          <w:rFonts w:ascii="Arial" w:eastAsia="Times New Roman" w:hAnsi="Arial" w:cs="Arial"/>
          <w:lang w:val="es-CO" w:eastAsia="es-CO"/>
        </w:rPr>
        <w:t>Ricardo José Lozano Picón.</w:t>
      </w:r>
    </w:p>
    <w:p w14:paraId="02431954" w14:textId="77777777" w:rsidR="00274B87" w:rsidRPr="006969B3" w:rsidRDefault="00274B87" w:rsidP="00F65283">
      <w:pPr>
        <w:spacing w:after="0" w:line="240" w:lineRule="auto"/>
        <w:jc w:val="center"/>
        <w:rPr>
          <w:rFonts w:ascii="Arial" w:eastAsia="Times New Roman" w:hAnsi="Arial" w:cs="Arial"/>
          <w:lang w:val="es-CO" w:eastAsia="es-CO"/>
        </w:rPr>
      </w:pPr>
    </w:p>
    <w:p w14:paraId="6E8B4E4E" w14:textId="632F5CF7" w:rsidR="00DD55A6" w:rsidRPr="006969B3" w:rsidRDefault="00DD55A6" w:rsidP="00F65283">
      <w:pPr>
        <w:spacing w:after="0" w:line="240" w:lineRule="auto"/>
        <w:jc w:val="center"/>
        <w:rPr>
          <w:rFonts w:ascii="Arial" w:eastAsia="Times New Roman" w:hAnsi="Arial" w:cs="Arial"/>
          <w:lang w:val="es-CO" w:eastAsia="es-CO"/>
        </w:rPr>
      </w:pPr>
      <w:r w:rsidRPr="006969B3">
        <w:rPr>
          <w:rFonts w:ascii="Arial" w:eastAsia="Times New Roman" w:hAnsi="Arial" w:cs="Arial"/>
          <w:lang w:val="es-CO" w:eastAsia="es-CO"/>
        </w:rPr>
        <w:t xml:space="preserve">El </w:t>
      </w:r>
      <w:proofErr w:type="gramStart"/>
      <w:r w:rsidRPr="006969B3">
        <w:rPr>
          <w:rFonts w:ascii="Arial" w:eastAsia="Times New Roman" w:hAnsi="Arial" w:cs="Arial"/>
          <w:lang w:val="es-CO" w:eastAsia="es-CO"/>
        </w:rPr>
        <w:t>Ministro</w:t>
      </w:r>
      <w:proofErr w:type="gramEnd"/>
      <w:r w:rsidRPr="006969B3">
        <w:rPr>
          <w:rFonts w:ascii="Arial" w:eastAsia="Times New Roman" w:hAnsi="Arial" w:cs="Arial"/>
          <w:lang w:val="es-CO" w:eastAsia="es-CO"/>
        </w:rPr>
        <w:t xml:space="preserve"> de Vivienda, Ciudad y Territorio,</w:t>
      </w:r>
    </w:p>
    <w:p w14:paraId="2B0E6B71" w14:textId="77777777" w:rsidR="00274B87" w:rsidRPr="006969B3" w:rsidRDefault="00274B87" w:rsidP="00F65283">
      <w:pPr>
        <w:spacing w:after="0" w:line="240" w:lineRule="auto"/>
        <w:jc w:val="center"/>
        <w:rPr>
          <w:rFonts w:ascii="Arial" w:eastAsia="Times New Roman" w:hAnsi="Arial" w:cs="Arial"/>
          <w:lang w:val="es-CO" w:eastAsia="es-CO"/>
        </w:rPr>
      </w:pPr>
    </w:p>
    <w:p w14:paraId="7147F693" w14:textId="633C9442" w:rsidR="00DD55A6" w:rsidRPr="006969B3" w:rsidRDefault="00DD55A6" w:rsidP="00F65283">
      <w:pPr>
        <w:spacing w:after="0" w:line="240" w:lineRule="auto"/>
        <w:jc w:val="center"/>
        <w:rPr>
          <w:rFonts w:ascii="Arial" w:eastAsia="Times New Roman" w:hAnsi="Arial" w:cs="Arial"/>
          <w:lang w:val="es-CO" w:eastAsia="es-CO"/>
        </w:rPr>
      </w:pPr>
      <w:r w:rsidRPr="006969B3">
        <w:rPr>
          <w:rFonts w:ascii="Arial" w:eastAsia="Times New Roman" w:hAnsi="Arial" w:cs="Arial"/>
          <w:lang w:val="es-CO" w:eastAsia="es-CO"/>
        </w:rPr>
        <w:t xml:space="preserve">Jonathan </w:t>
      </w:r>
      <w:proofErr w:type="spellStart"/>
      <w:r w:rsidRPr="006969B3">
        <w:rPr>
          <w:rFonts w:ascii="Arial" w:eastAsia="Times New Roman" w:hAnsi="Arial" w:cs="Arial"/>
          <w:lang w:val="es-CO" w:eastAsia="es-CO"/>
        </w:rPr>
        <w:t>Tybalt</w:t>
      </w:r>
      <w:proofErr w:type="spellEnd"/>
      <w:r w:rsidRPr="006969B3">
        <w:rPr>
          <w:rFonts w:ascii="Arial" w:eastAsia="Times New Roman" w:hAnsi="Arial" w:cs="Arial"/>
          <w:lang w:val="es-CO" w:eastAsia="es-CO"/>
        </w:rPr>
        <w:t xml:space="preserve"> Malagón González.</w:t>
      </w:r>
    </w:p>
    <w:p w14:paraId="26108963" w14:textId="77777777" w:rsidR="00274B87" w:rsidRPr="006969B3" w:rsidRDefault="00274B87" w:rsidP="00F65283">
      <w:pPr>
        <w:spacing w:after="0" w:line="240" w:lineRule="auto"/>
        <w:jc w:val="center"/>
        <w:rPr>
          <w:rFonts w:ascii="Arial" w:eastAsia="Times New Roman" w:hAnsi="Arial" w:cs="Arial"/>
          <w:lang w:val="es-CO" w:eastAsia="es-CO"/>
        </w:rPr>
      </w:pPr>
    </w:p>
    <w:p w14:paraId="70CB6980" w14:textId="63735389" w:rsidR="00DD55A6" w:rsidRPr="006969B3" w:rsidRDefault="00DD55A6" w:rsidP="00F65283">
      <w:pPr>
        <w:spacing w:after="0" w:line="240" w:lineRule="auto"/>
        <w:jc w:val="center"/>
        <w:rPr>
          <w:rFonts w:ascii="Arial" w:eastAsia="Times New Roman" w:hAnsi="Arial" w:cs="Arial"/>
          <w:lang w:val="es-CO" w:eastAsia="es-CO"/>
        </w:rPr>
      </w:pPr>
      <w:r w:rsidRPr="006969B3">
        <w:rPr>
          <w:rFonts w:ascii="Arial" w:eastAsia="Times New Roman" w:hAnsi="Arial" w:cs="Arial"/>
          <w:lang w:val="es-CO" w:eastAsia="es-CO"/>
        </w:rPr>
        <w:t xml:space="preserve">La </w:t>
      </w:r>
      <w:proofErr w:type="gramStart"/>
      <w:r w:rsidRPr="006969B3">
        <w:rPr>
          <w:rFonts w:ascii="Arial" w:eastAsia="Times New Roman" w:hAnsi="Arial" w:cs="Arial"/>
          <w:lang w:val="es-CO" w:eastAsia="es-CO"/>
        </w:rPr>
        <w:t>Ministra</w:t>
      </w:r>
      <w:proofErr w:type="gramEnd"/>
      <w:r w:rsidRPr="006969B3">
        <w:rPr>
          <w:rFonts w:ascii="Arial" w:eastAsia="Times New Roman" w:hAnsi="Arial" w:cs="Arial"/>
          <w:lang w:val="es-CO" w:eastAsia="es-CO"/>
        </w:rPr>
        <w:t xml:space="preserve"> de Tecnologías de la Información y las Comunicaciones,</w:t>
      </w:r>
    </w:p>
    <w:p w14:paraId="5A588DED" w14:textId="77777777" w:rsidR="00274B87" w:rsidRPr="006969B3" w:rsidRDefault="00274B87" w:rsidP="00F65283">
      <w:pPr>
        <w:spacing w:after="0" w:line="240" w:lineRule="auto"/>
        <w:jc w:val="center"/>
        <w:rPr>
          <w:rFonts w:ascii="Arial" w:eastAsia="Times New Roman" w:hAnsi="Arial" w:cs="Arial"/>
          <w:lang w:val="es-CO" w:eastAsia="es-CO"/>
        </w:rPr>
      </w:pPr>
    </w:p>
    <w:p w14:paraId="469B3655" w14:textId="1249B12A" w:rsidR="00DD55A6" w:rsidRPr="006969B3" w:rsidRDefault="00DD55A6" w:rsidP="00F65283">
      <w:pPr>
        <w:spacing w:after="0" w:line="240" w:lineRule="auto"/>
        <w:jc w:val="center"/>
        <w:rPr>
          <w:rFonts w:ascii="Arial" w:eastAsia="Times New Roman" w:hAnsi="Arial" w:cs="Arial"/>
          <w:lang w:val="es-CO" w:eastAsia="es-CO"/>
        </w:rPr>
      </w:pPr>
      <w:r w:rsidRPr="006969B3">
        <w:rPr>
          <w:rFonts w:ascii="Arial" w:eastAsia="Times New Roman" w:hAnsi="Arial" w:cs="Arial"/>
          <w:lang w:val="es-CO" w:eastAsia="es-CO"/>
        </w:rPr>
        <w:t xml:space="preserve">Sylvia Cristina </w:t>
      </w:r>
      <w:proofErr w:type="spellStart"/>
      <w:r w:rsidRPr="006969B3">
        <w:rPr>
          <w:rFonts w:ascii="Arial" w:eastAsia="Times New Roman" w:hAnsi="Arial" w:cs="Arial"/>
          <w:lang w:val="es-CO" w:eastAsia="es-CO"/>
        </w:rPr>
        <w:t>Constain</w:t>
      </w:r>
      <w:proofErr w:type="spellEnd"/>
      <w:r w:rsidRPr="006969B3">
        <w:rPr>
          <w:rFonts w:ascii="Arial" w:eastAsia="Times New Roman" w:hAnsi="Arial" w:cs="Arial"/>
          <w:lang w:val="es-CO" w:eastAsia="es-CO"/>
        </w:rPr>
        <w:t xml:space="preserve"> Rengifo.</w:t>
      </w:r>
    </w:p>
    <w:p w14:paraId="301E5999" w14:textId="77777777" w:rsidR="00274B87" w:rsidRPr="006969B3" w:rsidRDefault="00274B87" w:rsidP="00F65283">
      <w:pPr>
        <w:spacing w:after="0" w:line="240" w:lineRule="auto"/>
        <w:jc w:val="center"/>
        <w:rPr>
          <w:rFonts w:ascii="Arial" w:eastAsia="Times New Roman" w:hAnsi="Arial" w:cs="Arial"/>
          <w:lang w:val="es-CO" w:eastAsia="es-CO"/>
        </w:rPr>
      </w:pPr>
    </w:p>
    <w:p w14:paraId="4B8024D5" w14:textId="1760050C" w:rsidR="00DD55A6" w:rsidRPr="006969B3" w:rsidRDefault="00DD55A6" w:rsidP="00F65283">
      <w:pPr>
        <w:spacing w:after="0" w:line="240" w:lineRule="auto"/>
        <w:jc w:val="center"/>
        <w:rPr>
          <w:rFonts w:ascii="Arial" w:eastAsia="Times New Roman" w:hAnsi="Arial" w:cs="Arial"/>
          <w:lang w:val="es-CO" w:eastAsia="es-CO"/>
        </w:rPr>
      </w:pPr>
      <w:r w:rsidRPr="006969B3">
        <w:rPr>
          <w:rFonts w:ascii="Arial" w:eastAsia="Times New Roman" w:hAnsi="Arial" w:cs="Arial"/>
          <w:lang w:val="es-CO" w:eastAsia="es-CO"/>
        </w:rPr>
        <w:t xml:space="preserve">El </w:t>
      </w:r>
      <w:proofErr w:type="gramStart"/>
      <w:r w:rsidRPr="006969B3">
        <w:rPr>
          <w:rFonts w:ascii="Arial" w:eastAsia="Times New Roman" w:hAnsi="Arial" w:cs="Arial"/>
          <w:lang w:val="es-CO" w:eastAsia="es-CO"/>
        </w:rPr>
        <w:t>Viceministro</w:t>
      </w:r>
      <w:proofErr w:type="gramEnd"/>
      <w:r w:rsidRPr="006969B3">
        <w:rPr>
          <w:rFonts w:ascii="Arial" w:eastAsia="Times New Roman" w:hAnsi="Arial" w:cs="Arial"/>
          <w:lang w:val="es-CO" w:eastAsia="es-CO"/>
        </w:rPr>
        <w:t xml:space="preserve"> de Transporte, encargado de las funciones del despacho de la Ministra de Transporte,</w:t>
      </w:r>
    </w:p>
    <w:p w14:paraId="59AE5541" w14:textId="77777777" w:rsidR="00274B87" w:rsidRPr="006969B3" w:rsidRDefault="00274B87" w:rsidP="00F65283">
      <w:pPr>
        <w:spacing w:after="0" w:line="240" w:lineRule="auto"/>
        <w:jc w:val="center"/>
        <w:rPr>
          <w:rFonts w:ascii="Arial" w:eastAsia="Times New Roman" w:hAnsi="Arial" w:cs="Arial"/>
          <w:lang w:val="es-CO" w:eastAsia="es-CO"/>
        </w:rPr>
      </w:pPr>
    </w:p>
    <w:p w14:paraId="0E11E3F0" w14:textId="10098BC9" w:rsidR="00DD55A6" w:rsidRPr="006969B3" w:rsidRDefault="00DD55A6" w:rsidP="00F65283">
      <w:pPr>
        <w:spacing w:after="0" w:line="240" w:lineRule="auto"/>
        <w:jc w:val="center"/>
        <w:rPr>
          <w:rFonts w:ascii="Arial" w:eastAsia="Times New Roman" w:hAnsi="Arial" w:cs="Arial"/>
          <w:lang w:val="es-CO" w:eastAsia="es-CO"/>
        </w:rPr>
      </w:pPr>
      <w:r w:rsidRPr="006969B3">
        <w:rPr>
          <w:rFonts w:ascii="Arial" w:eastAsia="Times New Roman" w:hAnsi="Arial" w:cs="Arial"/>
          <w:lang w:val="es-CO" w:eastAsia="es-CO"/>
        </w:rPr>
        <w:t>Juan Camilo Ostos Romero.</w:t>
      </w:r>
    </w:p>
    <w:p w14:paraId="59446A72" w14:textId="77777777" w:rsidR="00274B87" w:rsidRPr="006969B3" w:rsidRDefault="00274B87" w:rsidP="00F65283">
      <w:pPr>
        <w:spacing w:after="0" w:line="240" w:lineRule="auto"/>
        <w:jc w:val="center"/>
        <w:rPr>
          <w:rFonts w:ascii="Arial" w:eastAsia="Times New Roman" w:hAnsi="Arial" w:cs="Arial"/>
          <w:lang w:val="es-CO" w:eastAsia="es-CO"/>
        </w:rPr>
      </w:pPr>
    </w:p>
    <w:p w14:paraId="5F621885" w14:textId="30B47BBF" w:rsidR="00DD55A6" w:rsidRPr="006969B3" w:rsidRDefault="00DD55A6" w:rsidP="00F65283">
      <w:pPr>
        <w:spacing w:after="0" w:line="240" w:lineRule="auto"/>
        <w:jc w:val="center"/>
        <w:rPr>
          <w:rFonts w:ascii="Arial" w:eastAsia="Times New Roman" w:hAnsi="Arial" w:cs="Arial"/>
          <w:lang w:val="es-CO" w:eastAsia="es-CO"/>
        </w:rPr>
      </w:pPr>
      <w:r w:rsidRPr="006969B3">
        <w:rPr>
          <w:rFonts w:ascii="Arial" w:eastAsia="Times New Roman" w:hAnsi="Arial" w:cs="Arial"/>
          <w:lang w:val="es-CO" w:eastAsia="es-CO"/>
        </w:rPr>
        <w:t xml:space="preserve">La </w:t>
      </w:r>
      <w:proofErr w:type="gramStart"/>
      <w:r w:rsidRPr="006969B3">
        <w:rPr>
          <w:rFonts w:ascii="Arial" w:eastAsia="Times New Roman" w:hAnsi="Arial" w:cs="Arial"/>
          <w:lang w:val="es-CO" w:eastAsia="es-CO"/>
        </w:rPr>
        <w:t>Ministra</w:t>
      </w:r>
      <w:proofErr w:type="gramEnd"/>
      <w:r w:rsidRPr="006969B3">
        <w:rPr>
          <w:rFonts w:ascii="Arial" w:eastAsia="Times New Roman" w:hAnsi="Arial" w:cs="Arial"/>
          <w:lang w:val="es-CO" w:eastAsia="es-CO"/>
        </w:rPr>
        <w:t xml:space="preserve"> de Cultura,</w:t>
      </w:r>
    </w:p>
    <w:p w14:paraId="16FC0A2F" w14:textId="77777777" w:rsidR="00274B87" w:rsidRPr="006969B3" w:rsidRDefault="00274B87" w:rsidP="00F65283">
      <w:pPr>
        <w:spacing w:after="0" w:line="240" w:lineRule="auto"/>
        <w:jc w:val="center"/>
        <w:rPr>
          <w:rFonts w:ascii="Arial" w:eastAsia="Times New Roman" w:hAnsi="Arial" w:cs="Arial"/>
          <w:lang w:val="es-CO" w:eastAsia="es-CO"/>
        </w:rPr>
      </w:pPr>
    </w:p>
    <w:p w14:paraId="51539835" w14:textId="5E1F5E9A" w:rsidR="00DD55A6" w:rsidRPr="006969B3" w:rsidRDefault="00DD55A6" w:rsidP="00F65283">
      <w:pPr>
        <w:spacing w:after="0" w:line="240" w:lineRule="auto"/>
        <w:jc w:val="center"/>
        <w:rPr>
          <w:rFonts w:ascii="Arial" w:eastAsia="Times New Roman" w:hAnsi="Arial" w:cs="Arial"/>
          <w:lang w:val="es-CO" w:eastAsia="es-CO"/>
        </w:rPr>
      </w:pPr>
      <w:r w:rsidRPr="006969B3">
        <w:rPr>
          <w:rFonts w:ascii="Arial" w:eastAsia="Times New Roman" w:hAnsi="Arial" w:cs="Arial"/>
          <w:lang w:val="es-CO" w:eastAsia="es-CO"/>
        </w:rPr>
        <w:t>Carmen Inés Vásquez Camacho.</w:t>
      </w:r>
    </w:p>
    <w:p w14:paraId="747D1641" w14:textId="77777777" w:rsidR="00274B87" w:rsidRPr="006969B3" w:rsidRDefault="00274B87" w:rsidP="00F65283">
      <w:pPr>
        <w:spacing w:after="0" w:line="240" w:lineRule="auto"/>
        <w:jc w:val="center"/>
        <w:rPr>
          <w:rFonts w:ascii="Arial" w:eastAsia="Times New Roman" w:hAnsi="Arial" w:cs="Arial"/>
          <w:lang w:val="es-CO" w:eastAsia="es-CO"/>
        </w:rPr>
      </w:pPr>
    </w:p>
    <w:p w14:paraId="0F0306B1" w14:textId="7DCBB36C" w:rsidR="00DD55A6" w:rsidRPr="006969B3" w:rsidRDefault="00DD55A6" w:rsidP="00F65283">
      <w:pPr>
        <w:spacing w:after="0" w:line="240" w:lineRule="auto"/>
        <w:jc w:val="center"/>
        <w:rPr>
          <w:rFonts w:ascii="Arial" w:eastAsia="Times New Roman" w:hAnsi="Arial" w:cs="Arial"/>
          <w:lang w:val="es-CO" w:eastAsia="es-CO"/>
        </w:rPr>
      </w:pPr>
      <w:r w:rsidRPr="006969B3">
        <w:rPr>
          <w:rFonts w:ascii="Arial" w:eastAsia="Times New Roman" w:hAnsi="Arial" w:cs="Arial"/>
          <w:lang w:val="es-CO" w:eastAsia="es-CO"/>
        </w:rPr>
        <w:t xml:space="preserve">La </w:t>
      </w:r>
      <w:proofErr w:type="gramStart"/>
      <w:r w:rsidRPr="006969B3">
        <w:rPr>
          <w:rFonts w:ascii="Arial" w:eastAsia="Times New Roman" w:hAnsi="Arial" w:cs="Arial"/>
          <w:lang w:val="es-CO" w:eastAsia="es-CO"/>
        </w:rPr>
        <w:t>Directora</w:t>
      </w:r>
      <w:proofErr w:type="gramEnd"/>
      <w:r w:rsidRPr="006969B3">
        <w:rPr>
          <w:rFonts w:ascii="Arial" w:eastAsia="Times New Roman" w:hAnsi="Arial" w:cs="Arial"/>
          <w:lang w:val="es-CO" w:eastAsia="es-CO"/>
        </w:rPr>
        <w:t xml:space="preserve"> del Departamento Nacional de Planeación,</w:t>
      </w:r>
    </w:p>
    <w:p w14:paraId="0AAF2129" w14:textId="77777777" w:rsidR="00274B87" w:rsidRPr="006969B3" w:rsidRDefault="00274B87" w:rsidP="00F65283">
      <w:pPr>
        <w:spacing w:after="0" w:line="240" w:lineRule="auto"/>
        <w:jc w:val="center"/>
        <w:rPr>
          <w:rFonts w:ascii="Arial" w:eastAsia="Times New Roman" w:hAnsi="Arial" w:cs="Arial"/>
          <w:lang w:val="es-CO" w:eastAsia="es-CO"/>
        </w:rPr>
      </w:pPr>
    </w:p>
    <w:p w14:paraId="02247B30" w14:textId="77777777" w:rsidR="00DD55A6" w:rsidRPr="006969B3" w:rsidRDefault="00DD55A6" w:rsidP="00F65283">
      <w:pPr>
        <w:spacing w:after="0" w:line="240" w:lineRule="auto"/>
        <w:jc w:val="center"/>
        <w:rPr>
          <w:rFonts w:ascii="Arial" w:eastAsia="Times New Roman" w:hAnsi="Arial" w:cs="Arial"/>
          <w:lang w:val="es-CO" w:eastAsia="es-CO"/>
        </w:rPr>
      </w:pPr>
      <w:r w:rsidRPr="006969B3">
        <w:rPr>
          <w:rFonts w:ascii="Arial" w:eastAsia="Times New Roman" w:hAnsi="Arial" w:cs="Arial"/>
          <w:lang w:val="es-CO" w:eastAsia="es-CO"/>
        </w:rPr>
        <w:t xml:space="preserve">Gloria Amparo Alonso </w:t>
      </w:r>
      <w:proofErr w:type="spellStart"/>
      <w:r w:rsidRPr="006969B3">
        <w:rPr>
          <w:rFonts w:ascii="Arial" w:eastAsia="Times New Roman" w:hAnsi="Arial" w:cs="Arial"/>
          <w:lang w:val="es-CO" w:eastAsia="es-CO"/>
        </w:rPr>
        <w:t>Másmela</w:t>
      </w:r>
      <w:proofErr w:type="spellEnd"/>
    </w:p>
    <w:p w14:paraId="328AED74" w14:textId="77777777" w:rsidR="00DD55A6" w:rsidRPr="006969B3" w:rsidRDefault="00DD55A6" w:rsidP="00F65283">
      <w:pPr>
        <w:spacing w:after="0" w:line="240" w:lineRule="auto"/>
        <w:jc w:val="both"/>
        <w:rPr>
          <w:rFonts w:ascii="Arial" w:hAnsi="Arial" w:cs="Arial"/>
          <w:lang w:val="es-CO"/>
        </w:rPr>
      </w:pPr>
    </w:p>
    <w:sectPr w:rsidR="00DD55A6" w:rsidRPr="006969B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239B"/>
    <w:rsid w:val="00024468"/>
    <w:rsid w:val="0003239B"/>
    <w:rsid w:val="000424E7"/>
    <w:rsid w:val="00042931"/>
    <w:rsid w:val="000537C1"/>
    <w:rsid w:val="000618E5"/>
    <w:rsid w:val="00072838"/>
    <w:rsid w:val="00080402"/>
    <w:rsid w:val="00095FEF"/>
    <w:rsid w:val="000976E8"/>
    <w:rsid w:val="000A0B01"/>
    <w:rsid w:val="000A2938"/>
    <w:rsid w:val="000D0729"/>
    <w:rsid w:val="001059A6"/>
    <w:rsid w:val="0010695C"/>
    <w:rsid w:val="00111EAE"/>
    <w:rsid w:val="00115065"/>
    <w:rsid w:val="00147420"/>
    <w:rsid w:val="00161B24"/>
    <w:rsid w:val="00185BAD"/>
    <w:rsid w:val="001A4FCC"/>
    <w:rsid w:val="001A6393"/>
    <w:rsid w:val="001B0E49"/>
    <w:rsid w:val="001D3B84"/>
    <w:rsid w:val="002402E2"/>
    <w:rsid w:val="0027174A"/>
    <w:rsid w:val="00274B87"/>
    <w:rsid w:val="002A5F13"/>
    <w:rsid w:val="002B52AE"/>
    <w:rsid w:val="002B6362"/>
    <w:rsid w:val="002C7C74"/>
    <w:rsid w:val="002F71E6"/>
    <w:rsid w:val="00374A72"/>
    <w:rsid w:val="00385E8F"/>
    <w:rsid w:val="0039463E"/>
    <w:rsid w:val="003A6AAA"/>
    <w:rsid w:val="003B0B2B"/>
    <w:rsid w:val="003B1677"/>
    <w:rsid w:val="003D1DF1"/>
    <w:rsid w:val="003D69DC"/>
    <w:rsid w:val="003E632B"/>
    <w:rsid w:val="003E6B56"/>
    <w:rsid w:val="003E76CF"/>
    <w:rsid w:val="003F77F6"/>
    <w:rsid w:val="004175FD"/>
    <w:rsid w:val="00417E8C"/>
    <w:rsid w:val="0042339A"/>
    <w:rsid w:val="0042535B"/>
    <w:rsid w:val="00437C2C"/>
    <w:rsid w:val="00443CDF"/>
    <w:rsid w:val="00447B78"/>
    <w:rsid w:val="00461C72"/>
    <w:rsid w:val="00463094"/>
    <w:rsid w:val="00486A58"/>
    <w:rsid w:val="00491FE5"/>
    <w:rsid w:val="004A0D6A"/>
    <w:rsid w:val="004A4A20"/>
    <w:rsid w:val="004F2BF0"/>
    <w:rsid w:val="005054B8"/>
    <w:rsid w:val="00512E1E"/>
    <w:rsid w:val="00531384"/>
    <w:rsid w:val="00555669"/>
    <w:rsid w:val="005663E8"/>
    <w:rsid w:val="00572CA2"/>
    <w:rsid w:val="00596D4B"/>
    <w:rsid w:val="005B31FF"/>
    <w:rsid w:val="005E136D"/>
    <w:rsid w:val="005F226E"/>
    <w:rsid w:val="005F7753"/>
    <w:rsid w:val="00602DE6"/>
    <w:rsid w:val="006043FD"/>
    <w:rsid w:val="0063239B"/>
    <w:rsid w:val="006672C7"/>
    <w:rsid w:val="00667530"/>
    <w:rsid w:val="006713AB"/>
    <w:rsid w:val="00672D82"/>
    <w:rsid w:val="006762B0"/>
    <w:rsid w:val="00677B00"/>
    <w:rsid w:val="00681F15"/>
    <w:rsid w:val="00691901"/>
    <w:rsid w:val="0069677C"/>
    <w:rsid w:val="006969B3"/>
    <w:rsid w:val="00697388"/>
    <w:rsid w:val="006B0DD7"/>
    <w:rsid w:val="006B2C1D"/>
    <w:rsid w:val="006B6D12"/>
    <w:rsid w:val="006C49A7"/>
    <w:rsid w:val="006D2929"/>
    <w:rsid w:val="006E2F22"/>
    <w:rsid w:val="006E3936"/>
    <w:rsid w:val="006E72EF"/>
    <w:rsid w:val="00710605"/>
    <w:rsid w:val="007210C2"/>
    <w:rsid w:val="007314BD"/>
    <w:rsid w:val="00737D49"/>
    <w:rsid w:val="0074467C"/>
    <w:rsid w:val="00744904"/>
    <w:rsid w:val="007538BB"/>
    <w:rsid w:val="00760E9B"/>
    <w:rsid w:val="007A534F"/>
    <w:rsid w:val="007B5FFA"/>
    <w:rsid w:val="007D4491"/>
    <w:rsid w:val="007E72F8"/>
    <w:rsid w:val="007F410D"/>
    <w:rsid w:val="008514A7"/>
    <w:rsid w:val="00865406"/>
    <w:rsid w:val="00867C0E"/>
    <w:rsid w:val="00884C85"/>
    <w:rsid w:val="00887A37"/>
    <w:rsid w:val="008B5DBC"/>
    <w:rsid w:val="009034C4"/>
    <w:rsid w:val="0090397F"/>
    <w:rsid w:val="00932193"/>
    <w:rsid w:val="00935477"/>
    <w:rsid w:val="0094161B"/>
    <w:rsid w:val="00973182"/>
    <w:rsid w:val="0097400B"/>
    <w:rsid w:val="009B1008"/>
    <w:rsid w:val="009C1DDC"/>
    <w:rsid w:val="009C6A6D"/>
    <w:rsid w:val="009D0A59"/>
    <w:rsid w:val="009D46C3"/>
    <w:rsid w:val="009F3889"/>
    <w:rsid w:val="00A107A7"/>
    <w:rsid w:val="00A357C0"/>
    <w:rsid w:val="00A700F2"/>
    <w:rsid w:val="00A76DD4"/>
    <w:rsid w:val="00A85B74"/>
    <w:rsid w:val="00AA05D8"/>
    <w:rsid w:val="00AA4AE3"/>
    <w:rsid w:val="00AA6F58"/>
    <w:rsid w:val="00AA7F67"/>
    <w:rsid w:val="00AC4234"/>
    <w:rsid w:val="00AC5238"/>
    <w:rsid w:val="00AD662D"/>
    <w:rsid w:val="00B103C5"/>
    <w:rsid w:val="00B507AB"/>
    <w:rsid w:val="00B55FFA"/>
    <w:rsid w:val="00B66C58"/>
    <w:rsid w:val="00BA517A"/>
    <w:rsid w:val="00BB1C63"/>
    <w:rsid w:val="00BC20EB"/>
    <w:rsid w:val="00BC5F98"/>
    <w:rsid w:val="00BF3A9E"/>
    <w:rsid w:val="00C06A9A"/>
    <w:rsid w:val="00C1189D"/>
    <w:rsid w:val="00C40512"/>
    <w:rsid w:val="00C62051"/>
    <w:rsid w:val="00C63738"/>
    <w:rsid w:val="00C76F1D"/>
    <w:rsid w:val="00CA07E5"/>
    <w:rsid w:val="00CC3B4E"/>
    <w:rsid w:val="00CC3E0C"/>
    <w:rsid w:val="00CE48BA"/>
    <w:rsid w:val="00CF1CD7"/>
    <w:rsid w:val="00D02AD3"/>
    <w:rsid w:val="00D02E65"/>
    <w:rsid w:val="00D17D59"/>
    <w:rsid w:val="00D27CAA"/>
    <w:rsid w:val="00D601EF"/>
    <w:rsid w:val="00D713D6"/>
    <w:rsid w:val="00D72963"/>
    <w:rsid w:val="00D83E14"/>
    <w:rsid w:val="00D931A8"/>
    <w:rsid w:val="00D93AF8"/>
    <w:rsid w:val="00DA3286"/>
    <w:rsid w:val="00DA3997"/>
    <w:rsid w:val="00DD55A6"/>
    <w:rsid w:val="00DE2F81"/>
    <w:rsid w:val="00DE49E9"/>
    <w:rsid w:val="00DE79C7"/>
    <w:rsid w:val="00E228F9"/>
    <w:rsid w:val="00E319CE"/>
    <w:rsid w:val="00E34120"/>
    <w:rsid w:val="00E52940"/>
    <w:rsid w:val="00E620AD"/>
    <w:rsid w:val="00E667FB"/>
    <w:rsid w:val="00E72ECD"/>
    <w:rsid w:val="00E73F70"/>
    <w:rsid w:val="00E826C1"/>
    <w:rsid w:val="00EB1049"/>
    <w:rsid w:val="00F06449"/>
    <w:rsid w:val="00F1702A"/>
    <w:rsid w:val="00F17158"/>
    <w:rsid w:val="00F17936"/>
    <w:rsid w:val="00F34431"/>
    <w:rsid w:val="00F65283"/>
    <w:rsid w:val="00F7327E"/>
    <w:rsid w:val="00F744C5"/>
    <w:rsid w:val="00F86107"/>
    <w:rsid w:val="00FC0811"/>
    <w:rsid w:val="00FD16D6"/>
    <w:rsid w:val="00FD2F67"/>
    <w:rsid w:val="00FD782C"/>
    <w:rsid w:val="00FE0478"/>
    <w:rsid w:val="02E77BB7"/>
    <w:rsid w:val="04AC27F6"/>
    <w:rsid w:val="05DC0C59"/>
    <w:rsid w:val="07010795"/>
    <w:rsid w:val="078615B8"/>
    <w:rsid w:val="07944568"/>
    <w:rsid w:val="092154D9"/>
    <w:rsid w:val="095E2132"/>
    <w:rsid w:val="098970A6"/>
    <w:rsid w:val="0AA3015D"/>
    <w:rsid w:val="0AD43B3B"/>
    <w:rsid w:val="0B437880"/>
    <w:rsid w:val="0B498C33"/>
    <w:rsid w:val="0BD87144"/>
    <w:rsid w:val="0DA086D8"/>
    <w:rsid w:val="0F93D6DD"/>
    <w:rsid w:val="0FACD662"/>
    <w:rsid w:val="10BD2256"/>
    <w:rsid w:val="12FFB2FD"/>
    <w:rsid w:val="13638FC4"/>
    <w:rsid w:val="13A7A8B0"/>
    <w:rsid w:val="13FE5C2F"/>
    <w:rsid w:val="150E286C"/>
    <w:rsid w:val="15F2BF3A"/>
    <w:rsid w:val="1691BF55"/>
    <w:rsid w:val="194F3249"/>
    <w:rsid w:val="1A2A99EF"/>
    <w:rsid w:val="1A6B6166"/>
    <w:rsid w:val="1ABE51C5"/>
    <w:rsid w:val="1AEB02AA"/>
    <w:rsid w:val="1DD8431F"/>
    <w:rsid w:val="1E230B3A"/>
    <w:rsid w:val="1F83B5AA"/>
    <w:rsid w:val="2045C41A"/>
    <w:rsid w:val="20B7CBB9"/>
    <w:rsid w:val="2167079E"/>
    <w:rsid w:val="236F04C5"/>
    <w:rsid w:val="259F224D"/>
    <w:rsid w:val="26EAED1C"/>
    <w:rsid w:val="29C8C88F"/>
    <w:rsid w:val="2BC3910B"/>
    <w:rsid w:val="2CE45783"/>
    <w:rsid w:val="2D54AF4A"/>
    <w:rsid w:val="2D8D801C"/>
    <w:rsid w:val="2DF7EC8D"/>
    <w:rsid w:val="2E4045D1"/>
    <w:rsid w:val="2E600B14"/>
    <w:rsid w:val="3112D5F0"/>
    <w:rsid w:val="32D45509"/>
    <w:rsid w:val="33FD8F05"/>
    <w:rsid w:val="3401A052"/>
    <w:rsid w:val="340647AB"/>
    <w:rsid w:val="3466453C"/>
    <w:rsid w:val="37B4A2A3"/>
    <w:rsid w:val="3831F8DC"/>
    <w:rsid w:val="398F27EF"/>
    <w:rsid w:val="3A74AAAA"/>
    <w:rsid w:val="3AA3A534"/>
    <w:rsid w:val="3C94AE27"/>
    <w:rsid w:val="3D0A4C5B"/>
    <w:rsid w:val="3D7DAA41"/>
    <w:rsid w:val="3EDCFD1E"/>
    <w:rsid w:val="3FCC10C5"/>
    <w:rsid w:val="40D0354F"/>
    <w:rsid w:val="41CF8307"/>
    <w:rsid w:val="41F2EB9C"/>
    <w:rsid w:val="420FA463"/>
    <w:rsid w:val="429EA5E4"/>
    <w:rsid w:val="46108AF8"/>
    <w:rsid w:val="47ADFC29"/>
    <w:rsid w:val="47D2FA32"/>
    <w:rsid w:val="4C1BD402"/>
    <w:rsid w:val="4E526BFA"/>
    <w:rsid w:val="4FFDAEB1"/>
    <w:rsid w:val="4FFE2BB5"/>
    <w:rsid w:val="50D35C53"/>
    <w:rsid w:val="518707E6"/>
    <w:rsid w:val="56BC75C8"/>
    <w:rsid w:val="578059C9"/>
    <w:rsid w:val="57C0A62D"/>
    <w:rsid w:val="58154AE7"/>
    <w:rsid w:val="583B0591"/>
    <w:rsid w:val="58DD5587"/>
    <w:rsid w:val="5B9AE9F0"/>
    <w:rsid w:val="5ED55158"/>
    <w:rsid w:val="5F87E06E"/>
    <w:rsid w:val="5FCCBE6C"/>
    <w:rsid w:val="5FD66D5B"/>
    <w:rsid w:val="618FAB8C"/>
    <w:rsid w:val="649AE20E"/>
    <w:rsid w:val="66CAC552"/>
    <w:rsid w:val="69DCE6E5"/>
    <w:rsid w:val="6A291C62"/>
    <w:rsid w:val="6A93BAE1"/>
    <w:rsid w:val="6AD79191"/>
    <w:rsid w:val="6CC65BD7"/>
    <w:rsid w:val="6CCE8829"/>
    <w:rsid w:val="6E40669C"/>
    <w:rsid w:val="6E70DEA3"/>
    <w:rsid w:val="6E852434"/>
    <w:rsid w:val="6E8BF550"/>
    <w:rsid w:val="72E17000"/>
    <w:rsid w:val="7313A78F"/>
    <w:rsid w:val="7369B7C9"/>
    <w:rsid w:val="73A6D1A0"/>
    <w:rsid w:val="756B0F07"/>
    <w:rsid w:val="7857413B"/>
    <w:rsid w:val="78683778"/>
    <w:rsid w:val="786A21E4"/>
    <w:rsid w:val="7950B43C"/>
    <w:rsid w:val="7D5A169B"/>
    <w:rsid w:val="7E8A40E6"/>
    <w:rsid w:val="7FFC71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445478"/>
  <w15:chartTrackingRefBased/>
  <w15:docId w15:val="{D28633E1-650F-4306-8ABA-9C4EE74B9F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111EAE"/>
    <w:pPr>
      <w:spacing w:before="100" w:beforeAutospacing="1" w:after="100" w:afterAutospacing="1" w:line="240" w:lineRule="auto"/>
    </w:pPr>
    <w:rPr>
      <w:rFonts w:ascii="Times New Roman" w:eastAsia="Times New Roman" w:hAnsi="Times New Roman" w:cs="Times New Roman"/>
      <w:sz w:val="24"/>
      <w:szCs w:val="24"/>
    </w:rPr>
  </w:style>
  <w:style w:type="character" w:styleId="Hipervnculo">
    <w:name w:val="Hyperlink"/>
    <w:basedOn w:val="Fuentedeprrafopredeter"/>
    <w:uiPriority w:val="99"/>
    <w:unhideWhenUsed/>
    <w:rsid w:val="00111EAE"/>
    <w:rPr>
      <w:color w:val="0000FF"/>
      <w:u w:val="single"/>
    </w:rPr>
  </w:style>
  <w:style w:type="character" w:customStyle="1" w:styleId="baj">
    <w:name w:val="b_aj"/>
    <w:basedOn w:val="Fuentedeprrafopredeter"/>
    <w:rsid w:val="00111EAE"/>
  </w:style>
  <w:style w:type="paragraph" w:customStyle="1" w:styleId="centrado">
    <w:name w:val="centrado"/>
    <w:basedOn w:val="Normal"/>
    <w:rsid w:val="00111EAE"/>
    <w:pPr>
      <w:spacing w:before="100" w:beforeAutospacing="1" w:after="100" w:afterAutospacing="1" w:line="240" w:lineRule="auto"/>
    </w:pPr>
    <w:rPr>
      <w:rFonts w:ascii="Times New Roman" w:eastAsia="Times New Roman" w:hAnsi="Times New Roman" w:cs="Times New Roman"/>
      <w:sz w:val="24"/>
      <w:szCs w:val="24"/>
    </w:rPr>
  </w:style>
  <w:style w:type="paragraph" w:styleId="Textodeglobo">
    <w:name w:val="Balloon Text"/>
    <w:basedOn w:val="Normal"/>
    <w:link w:val="TextodegloboCar"/>
    <w:uiPriority w:val="99"/>
    <w:semiHidden/>
    <w:unhideWhenUsed/>
    <w:rsid w:val="00FD2F6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D2F67"/>
    <w:rPr>
      <w:rFonts w:ascii="Segoe UI" w:hAnsi="Segoe UI" w:cs="Segoe UI"/>
      <w:sz w:val="18"/>
      <w:szCs w:val="18"/>
    </w:rPr>
  </w:style>
  <w:style w:type="paragraph" w:customStyle="1" w:styleId="msonormal0">
    <w:name w:val="msonormal"/>
    <w:basedOn w:val="Normal"/>
    <w:rsid w:val="00E319CE"/>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character" w:styleId="Hipervnculovisitado">
    <w:name w:val="FollowedHyperlink"/>
    <w:basedOn w:val="Fuentedeprrafopredeter"/>
    <w:uiPriority w:val="99"/>
    <w:semiHidden/>
    <w:unhideWhenUsed/>
    <w:rsid w:val="00E319CE"/>
    <w:rPr>
      <w:color w:val="800080"/>
      <w:u w:val="single"/>
    </w:rPr>
  </w:style>
  <w:style w:type="character" w:customStyle="1" w:styleId="normaltextrun">
    <w:name w:val="normaltextrun"/>
    <w:basedOn w:val="Fuentedeprrafopredeter"/>
    <w:rsid w:val="00744904"/>
  </w:style>
  <w:style w:type="character" w:styleId="Mencinsinresolver">
    <w:name w:val="Unresolved Mention"/>
    <w:basedOn w:val="Fuentedeprrafopredeter"/>
    <w:uiPriority w:val="99"/>
    <w:semiHidden/>
    <w:unhideWhenUsed/>
    <w:rsid w:val="00F8610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83060">
      <w:bodyDiv w:val="1"/>
      <w:marLeft w:val="0"/>
      <w:marRight w:val="0"/>
      <w:marTop w:val="0"/>
      <w:marBottom w:val="0"/>
      <w:divBdr>
        <w:top w:val="none" w:sz="0" w:space="0" w:color="auto"/>
        <w:left w:val="none" w:sz="0" w:space="0" w:color="auto"/>
        <w:bottom w:val="none" w:sz="0" w:space="0" w:color="auto"/>
        <w:right w:val="none" w:sz="0" w:space="0" w:color="auto"/>
      </w:divBdr>
    </w:div>
    <w:div w:id="137036937">
      <w:bodyDiv w:val="1"/>
      <w:marLeft w:val="0"/>
      <w:marRight w:val="0"/>
      <w:marTop w:val="0"/>
      <w:marBottom w:val="0"/>
      <w:divBdr>
        <w:top w:val="none" w:sz="0" w:space="0" w:color="auto"/>
        <w:left w:val="none" w:sz="0" w:space="0" w:color="auto"/>
        <w:bottom w:val="none" w:sz="0" w:space="0" w:color="auto"/>
        <w:right w:val="none" w:sz="0" w:space="0" w:color="auto"/>
      </w:divBdr>
    </w:div>
    <w:div w:id="217404038">
      <w:bodyDiv w:val="1"/>
      <w:marLeft w:val="0"/>
      <w:marRight w:val="0"/>
      <w:marTop w:val="0"/>
      <w:marBottom w:val="0"/>
      <w:divBdr>
        <w:top w:val="none" w:sz="0" w:space="0" w:color="auto"/>
        <w:left w:val="none" w:sz="0" w:space="0" w:color="auto"/>
        <w:bottom w:val="none" w:sz="0" w:space="0" w:color="auto"/>
        <w:right w:val="none" w:sz="0" w:space="0" w:color="auto"/>
      </w:divBdr>
    </w:div>
    <w:div w:id="365764715">
      <w:bodyDiv w:val="1"/>
      <w:marLeft w:val="0"/>
      <w:marRight w:val="0"/>
      <w:marTop w:val="0"/>
      <w:marBottom w:val="0"/>
      <w:divBdr>
        <w:top w:val="none" w:sz="0" w:space="0" w:color="auto"/>
        <w:left w:val="none" w:sz="0" w:space="0" w:color="auto"/>
        <w:bottom w:val="none" w:sz="0" w:space="0" w:color="auto"/>
        <w:right w:val="none" w:sz="0" w:space="0" w:color="auto"/>
      </w:divBdr>
    </w:div>
    <w:div w:id="369188958">
      <w:bodyDiv w:val="1"/>
      <w:marLeft w:val="0"/>
      <w:marRight w:val="0"/>
      <w:marTop w:val="0"/>
      <w:marBottom w:val="0"/>
      <w:divBdr>
        <w:top w:val="none" w:sz="0" w:space="0" w:color="auto"/>
        <w:left w:val="none" w:sz="0" w:space="0" w:color="auto"/>
        <w:bottom w:val="none" w:sz="0" w:space="0" w:color="auto"/>
        <w:right w:val="none" w:sz="0" w:space="0" w:color="auto"/>
      </w:divBdr>
    </w:div>
    <w:div w:id="392656273">
      <w:bodyDiv w:val="1"/>
      <w:marLeft w:val="0"/>
      <w:marRight w:val="0"/>
      <w:marTop w:val="0"/>
      <w:marBottom w:val="0"/>
      <w:divBdr>
        <w:top w:val="none" w:sz="0" w:space="0" w:color="auto"/>
        <w:left w:val="none" w:sz="0" w:space="0" w:color="auto"/>
        <w:bottom w:val="none" w:sz="0" w:space="0" w:color="auto"/>
        <w:right w:val="none" w:sz="0" w:space="0" w:color="auto"/>
      </w:divBdr>
    </w:div>
    <w:div w:id="431778140">
      <w:bodyDiv w:val="1"/>
      <w:marLeft w:val="0"/>
      <w:marRight w:val="0"/>
      <w:marTop w:val="0"/>
      <w:marBottom w:val="0"/>
      <w:divBdr>
        <w:top w:val="none" w:sz="0" w:space="0" w:color="auto"/>
        <w:left w:val="none" w:sz="0" w:space="0" w:color="auto"/>
        <w:bottom w:val="none" w:sz="0" w:space="0" w:color="auto"/>
        <w:right w:val="none" w:sz="0" w:space="0" w:color="auto"/>
      </w:divBdr>
    </w:div>
    <w:div w:id="496313165">
      <w:bodyDiv w:val="1"/>
      <w:marLeft w:val="0"/>
      <w:marRight w:val="0"/>
      <w:marTop w:val="0"/>
      <w:marBottom w:val="0"/>
      <w:divBdr>
        <w:top w:val="none" w:sz="0" w:space="0" w:color="auto"/>
        <w:left w:val="none" w:sz="0" w:space="0" w:color="auto"/>
        <w:bottom w:val="none" w:sz="0" w:space="0" w:color="auto"/>
        <w:right w:val="none" w:sz="0" w:space="0" w:color="auto"/>
      </w:divBdr>
    </w:div>
    <w:div w:id="536895088">
      <w:bodyDiv w:val="1"/>
      <w:marLeft w:val="0"/>
      <w:marRight w:val="0"/>
      <w:marTop w:val="0"/>
      <w:marBottom w:val="0"/>
      <w:divBdr>
        <w:top w:val="none" w:sz="0" w:space="0" w:color="auto"/>
        <w:left w:val="none" w:sz="0" w:space="0" w:color="auto"/>
        <w:bottom w:val="none" w:sz="0" w:space="0" w:color="auto"/>
        <w:right w:val="none" w:sz="0" w:space="0" w:color="auto"/>
      </w:divBdr>
    </w:div>
    <w:div w:id="622925775">
      <w:bodyDiv w:val="1"/>
      <w:marLeft w:val="0"/>
      <w:marRight w:val="0"/>
      <w:marTop w:val="0"/>
      <w:marBottom w:val="0"/>
      <w:divBdr>
        <w:top w:val="none" w:sz="0" w:space="0" w:color="auto"/>
        <w:left w:val="none" w:sz="0" w:space="0" w:color="auto"/>
        <w:bottom w:val="none" w:sz="0" w:space="0" w:color="auto"/>
        <w:right w:val="none" w:sz="0" w:space="0" w:color="auto"/>
      </w:divBdr>
    </w:div>
    <w:div w:id="807359733">
      <w:bodyDiv w:val="1"/>
      <w:marLeft w:val="0"/>
      <w:marRight w:val="0"/>
      <w:marTop w:val="0"/>
      <w:marBottom w:val="0"/>
      <w:divBdr>
        <w:top w:val="none" w:sz="0" w:space="0" w:color="auto"/>
        <w:left w:val="none" w:sz="0" w:space="0" w:color="auto"/>
        <w:bottom w:val="none" w:sz="0" w:space="0" w:color="auto"/>
        <w:right w:val="none" w:sz="0" w:space="0" w:color="auto"/>
      </w:divBdr>
    </w:div>
    <w:div w:id="884558751">
      <w:bodyDiv w:val="1"/>
      <w:marLeft w:val="0"/>
      <w:marRight w:val="0"/>
      <w:marTop w:val="0"/>
      <w:marBottom w:val="0"/>
      <w:divBdr>
        <w:top w:val="none" w:sz="0" w:space="0" w:color="auto"/>
        <w:left w:val="none" w:sz="0" w:space="0" w:color="auto"/>
        <w:bottom w:val="none" w:sz="0" w:space="0" w:color="auto"/>
        <w:right w:val="none" w:sz="0" w:space="0" w:color="auto"/>
      </w:divBdr>
    </w:div>
    <w:div w:id="941718381">
      <w:bodyDiv w:val="1"/>
      <w:marLeft w:val="0"/>
      <w:marRight w:val="0"/>
      <w:marTop w:val="0"/>
      <w:marBottom w:val="0"/>
      <w:divBdr>
        <w:top w:val="none" w:sz="0" w:space="0" w:color="auto"/>
        <w:left w:val="none" w:sz="0" w:space="0" w:color="auto"/>
        <w:bottom w:val="none" w:sz="0" w:space="0" w:color="auto"/>
        <w:right w:val="none" w:sz="0" w:space="0" w:color="auto"/>
      </w:divBdr>
    </w:div>
    <w:div w:id="1024988502">
      <w:bodyDiv w:val="1"/>
      <w:marLeft w:val="0"/>
      <w:marRight w:val="0"/>
      <w:marTop w:val="0"/>
      <w:marBottom w:val="0"/>
      <w:divBdr>
        <w:top w:val="none" w:sz="0" w:space="0" w:color="auto"/>
        <w:left w:val="none" w:sz="0" w:space="0" w:color="auto"/>
        <w:bottom w:val="none" w:sz="0" w:space="0" w:color="auto"/>
        <w:right w:val="none" w:sz="0" w:space="0" w:color="auto"/>
      </w:divBdr>
    </w:div>
    <w:div w:id="1046880926">
      <w:bodyDiv w:val="1"/>
      <w:marLeft w:val="0"/>
      <w:marRight w:val="0"/>
      <w:marTop w:val="0"/>
      <w:marBottom w:val="0"/>
      <w:divBdr>
        <w:top w:val="none" w:sz="0" w:space="0" w:color="auto"/>
        <w:left w:val="none" w:sz="0" w:space="0" w:color="auto"/>
        <w:bottom w:val="none" w:sz="0" w:space="0" w:color="auto"/>
        <w:right w:val="none" w:sz="0" w:space="0" w:color="auto"/>
      </w:divBdr>
    </w:div>
    <w:div w:id="1048530958">
      <w:bodyDiv w:val="1"/>
      <w:marLeft w:val="0"/>
      <w:marRight w:val="0"/>
      <w:marTop w:val="0"/>
      <w:marBottom w:val="0"/>
      <w:divBdr>
        <w:top w:val="none" w:sz="0" w:space="0" w:color="auto"/>
        <w:left w:val="none" w:sz="0" w:space="0" w:color="auto"/>
        <w:bottom w:val="none" w:sz="0" w:space="0" w:color="auto"/>
        <w:right w:val="none" w:sz="0" w:space="0" w:color="auto"/>
      </w:divBdr>
    </w:div>
    <w:div w:id="1128939375">
      <w:bodyDiv w:val="1"/>
      <w:marLeft w:val="0"/>
      <w:marRight w:val="0"/>
      <w:marTop w:val="0"/>
      <w:marBottom w:val="0"/>
      <w:divBdr>
        <w:top w:val="none" w:sz="0" w:space="0" w:color="auto"/>
        <w:left w:val="none" w:sz="0" w:space="0" w:color="auto"/>
        <w:bottom w:val="none" w:sz="0" w:space="0" w:color="auto"/>
        <w:right w:val="none" w:sz="0" w:space="0" w:color="auto"/>
      </w:divBdr>
    </w:div>
    <w:div w:id="1166094480">
      <w:bodyDiv w:val="1"/>
      <w:marLeft w:val="0"/>
      <w:marRight w:val="0"/>
      <w:marTop w:val="0"/>
      <w:marBottom w:val="0"/>
      <w:divBdr>
        <w:top w:val="none" w:sz="0" w:space="0" w:color="auto"/>
        <w:left w:val="none" w:sz="0" w:space="0" w:color="auto"/>
        <w:bottom w:val="none" w:sz="0" w:space="0" w:color="auto"/>
        <w:right w:val="none" w:sz="0" w:space="0" w:color="auto"/>
      </w:divBdr>
    </w:div>
    <w:div w:id="1231379047">
      <w:bodyDiv w:val="1"/>
      <w:marLeft w:val="0"/>
      <w:marRight w:val="0"/>
      <w:marTop w:val="0"/>
      <w:marBottom w:val="0"/>
      <w:divBdr>
        <w:top w:val="none" w:sz="0" w:space="0" w:color="auto"/>
        <w:left w:val="none" w:sz="0" w:space="0" w:color="auto"/>
        <w:bottom w:val="none" w:sz="0" w:space="0" w:color="auto"/>
        <w:right w:val="none" w:sz="0" w:space="0" w:color="auto"/>
      </w:divBdr>
    </w:div>
    <w:div w:id="1316059375">
      <w:bodyDiv w:val="1"/>
      <w:marLeft w:val="0"/>
      <w:marRight w:val="0"/>
      <w:marTop w:val="0"/>
      <w:marBottom w:val="0"/>
      <w:divBdr>
        <w:top w:val="none" w:sz="0" w:space="0" w:color="auto"/>
        <w:left w:val="none" w:sz="0" w:space="0" w:color="auto"/>
        <w:bottom w:val="none" w:sz="0" w:space="0" w:color="auto"/>
        <w:right w:val="none" w:sz="0" w:space="0" w:color="auto"/>
      </w:divBdr>
    </w:div>
    <w:div w:id="1331563910">
      <w:bodyDiv w:val="1"/>
      <w:marLeft w:val="0"/>
      <w:marRight w:val="0"/>
      <w:marTop w:val="0"/>
      <w:marBottom w:val="0"/>
      <w:divBdr>
        <w:top w:val="none" w:sz="0" w:space="0" w:color="auto"/>
        <w:left w:val="none" w:sz="0" w:space="0" w:color="auto"/>
        <w:bottom w:val="none" w:sz="0" w:space="0" w:color="auto"/>
        <w:right w:val="none" w:sz="0" w:space="0" w:color="auto"/>
      </w:divBdr>
    </w:div>
    <w:div w:id="1453130549">
      <w:bodyDiv w:val="1"/>
      <w:marLeft w:val="0"/>
      <w:marRight w:val="0"/>
      <w:marTop w:val="0"/>
      <w:marBottom w:val="0"/>
      <w:divBdr>
        <w:top w:val="none" w:sz="0" w:space="0" w:color="auto"/>
        <w:left w:val="none" w:sz="0" w:space="0" w:color="auto"/>
        <w:bottom w:val="none" w:sz="0" w:space="0" w:color="auto"/>
        <w:right w:val="none" w:sz="0" w:space="0" w:color="auto"/>
      </w:divBdr>
    </w:div>
    <w:div w:id="1490710003">
      <w:bodyDiv w:val="1"/>
      <w:marLeft w:val="0"/>
      <w:marRight w:val="0"/>
      <w:marTop w:val="0"/>
      <w:marBottom w:val="0"/>
      <w:divBdr>
        <w:top w:val="none" w:sz="0" w:space="0" w:color="auto"/>
        <w:left w:val="none" w:sz="0" w:space="0" w:color="auto"/>
        <w:bottom w:val="none" w:sz="0" w:space="0" w:color="auto"/>
        <w:right w:val="none" w:sz="0" w:space="0" w:color="auto"/>
      </w:divBdr>
    </w:div>
    <w:div w:id="1597975875">
      <w:bodyDiv w:val="1"/>
      <w:marLeft w:val="0"/>
      <w:marRight w:val="0"/>
      <w:marTop w:val="0"/>
      <w:marBottom w:val="0"/>
      <w:divBdr>
        <w:top w:val="none" w:sz="0" w:space="0" w:color="auto"/>
        <w:left w:val="none" w:sz="0" w:space="0" w:color="auto"/>
        <w:bottom w:val="none" w:sz="0" w:space="0" w:color="auto"/>
        <w:right w:val="none" w:sz="0" w:space="0" w:color="auto"/>
      </w:divBdr>
    </w:div>
    <w:div w:id="1764758443">
      <w:bodyDiv w:val="1"/>
      <w:marLeft w:val="0"/>
      <w:marRight w:val="0"/>
      <w:marTop w:val="0"/>
      <w:marBottom w:val="0"/>
      <w:divBdr>
        <w:top w:val="none" w:sz="0" w:space="0" w:color="auto"/>
        <w:left w:val="none" w:sz="0" w:space="0" w:color="auto"/>
        <w:bottom w:val="none" w:sz="0" w:space="0" w:color="auto"/>
        <w:right w:val="none" w:sz="0" w:space="0" w:color="auto"/>
      </w:divBdr>
    </w:div>
    <w:div w:id="1774586955">
      <w:bodyDiv w:val="1"/>
      <w:marLeft w:val="0"/>
      <w:marRight w:val="0"/>
      <w:marTop w:val="0"/>
      <w:marBottom w:val="0"/>
      <w:divBdr>
        <w:top w:val="none" w:sz="0" w:space="0" w:color="auto"/>
        <w:left w:val="none" w:sz="0" w:space="0" w:color="auto"/>
        <w:bottom w:val="none" w:sz="0" w:space="0" w:color="auto"/>
        <w:right w:val="none" w:sz="0" w:space="0" w:color="auto"/>
      </w:divBdr>
    </w:div>
    <w:div w:id="1928535581">
      <w:bodyDiv w:val="1"/>
      <w:marLeft w:val="0"/>
      <w:marRight w:val="0"/>
      <w:marTop w:val="0"/>
      <w:marBottom w:val="0"/>
      <w:divBdr>
        <w:top w:val="none" w:sz="0" w:space="0" w:color="auto"/>
        <w:left w:val="none" w:sz="0" w:space="0" w:color="auto"/>
        <w:bottom w:val="none" w:sz="0" w:space="0" w:color="auto"/>
        <w:right w:val="none" w:sz="0" w:space="0" w:color="auto"/>
      </w:divBdr>
    </w:div>
    <w:div w:id="1930502578">
      <w:bodyDiv w:val="1"/>
      <w:marLeft w:val="0"/>
      <w:marRight w:val="0"/>
      <w:marTop w:val="0"/>
      <w:marBottom w:val="0"/>
      <w:divBdr>
        <w:top w:val="none" w:sz="0" w:space="0" w:color="auto"/>
        <w:left w:val="none" w:sz="0" w:space="0" w:color="auto"/>
        <w:bottom w:val="none" w:sz="0" w:space="0" w:color="auto"/>
        <w:right w:val="none" w:sz="0" w:space="0" w:color="auto"/>
      </w:divBdr>
    </w:div>
    <w:div w:id="1981231779">
      <w:bodyDiv w:val="1"/>
      <w:marLeft w:val="0"/>
      <w:marRight w:val="0"/>
      <w:marTop w:val="0"/>
      <w:marBottom w:val="0"/>
      <w:divBdr>
        <w:top w:val="none" w:sz="0" w:space="0" w:color="auto"/>
        <w:left w:val="none" w:sz="0" w:space="0" w:color="auto"/>
        <w:bottom w:val="none" w:sz="0" w:space="0" w:color="auto"/>
        <w:right w:val="none" w:sz="0" w:space="0" w:color="auto"/>
      </w:divBdr>
    </w:div>
    <w:div w:id="2016372922">
      <w:bodyDiv w:val="1"/>
      <w:marLeft w:val="0"/>
      <w:marRight w:val="0"/>
      <w:marTop w:val="0"/>
      <w:marBottom w:val="0"/>
      <w:divBdr>
        <w:top w:val="none" w:sz="0" w:space="0" w:color="auto"/>
        <w:left w:val="none" w:sz="0" w:space="0" w:color="auto"/>
        <w:bottom w:val="none" w:sz="0" w:space="0" w:color="auto"/>
        <w:right w:val="none" w:sz="0" w:space="0" w:color="auto"/>
      </w:divBdr>
    </w:div>
    <w:div w:id="2055036385">
      <w:bodyDiv w:val="1"/>
      <w:marLeft w:val="0"/>
      <w:marRight w:val="0"/>
      <w:marTop w:val="0"/>
      <w:marBottom w:val="0"/>
      <w:divBdr>
        <w:top w:val="none" w:sz="0" w:space="0" w:color="auto"/>
        <w:left w:val="none" w:sz="0" w:space="0" w:color="auto"/>
        <w:bottom w:val="none" w:sz="0" w:space="0" w:color="auto"/>
        <w:right w:val="none" w:sz="0" w:space="0" w:color="auto"/>
      </w:divBdr>
    </w:div>
    <w:div w:id="2075197615">
      <w:bodyDiv w:val="1"/>
      <w:marLeft w:val="0"/>
      <w:marRight w:val="0"/>
      <w:marTop w:val="0"/>
      <w:marBottom w:val="0"/>
      <w:divBdr>
        <w:top w:val="none" w:sz="0" w:space="0" w:color="auto"/>
        <w:left w:val="none" w:sz="0" w:space="0" w:color="auto"/>
        <w:bottom w:val="none" w:sz="0" w:space="0" w:color="auto"/>
        <w:right w:val="none" w:sz="0" w:space="0" w:color="auto"/>
      </w:divBdr>
    </w:div>
    <w:div w:id="2114200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relatoria.colombiacompra.gov.co/ficha/C-121%20de%202020" TargetMode="External"/><Relationship Id="rId18" Type="http://schemas.openxmlformats.org/officeDocument/2006/relationships/hyperlink" Target="http://relatoria.colombiacompra.gov.co/ficha/C-709%20de%202020" TargetMode="External"/><Relationship Id="rId26" Type="http://schemas.openxmlformats.org/officeDocument/2006/relationships/hyperlink" Target="https://relatoria.colombiacompra.gov.co/ficha/C-731%20de%202021" TargetMode="External"/><Relationship Id="rId39" Type="http://schemas.openxmlformats.org/officeDocument/2006/relationships/hyperlink" Target="http://relatoria.colombiacompra.gov.co/ficha/C-566%20de%202020" TargetMode="External"/><Relationship Id="rId21" Type="http://schemas.openxmlformats.org/officeDocument/2006/relationships/hyperlink" Target="http://relatoria.colombiacompra.gov.co/ficha/4201912000007060" TargetMode="External"/><Relationship Id="rId34" Type="http://schemas.openxmlformats.org/officeDocument/2006/relationships/hyperlink" Target="http://relatoria.colombiacompra.gov.co/ficha/C-317%20de%202020" TargetMode="External"/><Relationship Id="rId42" Type="http://schemas.openxmlformats.org/officeDocument/2006/relationships/hyperlink" Target="https://relatoria.colombiacompra.gov.co/ficha/C-471%20de%202020" TargetMode="External"/><Relationship Id="rId47" Type="http://schemas.openxmlformats.org/officeDocument/2006/relationships/hyperlink" Target="http://relatoria.colombiacompra.gov.co/ficha/4201912000005892" TargetMode="External"/><Relationship Id="rId50" Type="http://schemas.openxmlformats.org/officeDocument/2006/relationships/hyperlink" Target="http://relatoria.colombiacompra.gov.co/ficha/C-118%20de%202020" TargetMode="External"/><Relationship Id="rId55" Type="http://schemas.openxmlformats.org/officeDocument/2006/relationships/hyperlink" Target="http://relatoria.colombiacompra.gov.co/ficha/C-561%20de%202020" TargetMode="Externa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relatoria.colombiacompra.gov.co/ficha/C-761%20de%202021" TargetMode="External"/><Relationship Id="rId29" Type="http://schemas.openxmlformats.org/officeDocument/2006/relationships/hyperlink" Target="http://relatoria.colombiacompra.gov.co/ficha/C-238%20de%202020" TargetMode="External"/><Relationship Id="rId11" Type="http://schemas.openxmlformats.org/officeDocument/2006/relationships/hyperlink" Target="http://relatoria.colombiacompra.gov.co/ficha/C-107%20de%202020" TargetMode="External"/><Relationship Id="rId24" Type="http://schemas.openxmlformats.org/officeDocument/2006/relationships/hyperlink" Target="http://relatoria.colombiacompra.gov.co/ficha/4201912000007305" TargetMode="External"/><Relationship Id="rId32" Type="http://schemas.openxmlformats.org/officeDocument/2006/relationships/hyperlink" Target="http://relatoria.colombiacompra.gov.co/ficha/C-235%20de%202020" TargetMode="External"/><Relationship Id="rId37" Type="http://schemas.openxmlformats.org/officeDocument/2006/relationships/hyperlink" Target="http://relatoria.colombiacompra.gov.co/ficha/C-457%20de%202020" TargetMode="External"/><Relationship Id="rId40" Type="http://schemas.openxmlformats.org/officeDocument/2006/relationships/hyperlink" Target="http://relatoria.colombiacompra.gov.co/ficha/C-120%20de%202021" TargetMode="External"/><Relationship Id="rId45" Type="http://schemas.openxmlformats.org/officeDocument/2006/relationships/hyperlink" Target="http://relatoria.colombiacompra.gov.co/ficha/C-667%20de%202020" TargetMode="External"/><Relationship Id="rId53" Type="http://schemas.openxmlformats.org/officeDocument/2006/relationships/hyperlink" Target="https://relatoria.colombiacompra.gov.co/ficha/C-181%20de%202022" TargetMode="External"/><Relationship Id="rId58" Type="http://schemas.openxmlformats.org/officeDocument/2006/relationships/hyperlink" Target="https://relatoria.colombiacompra.gov.co/ficha/C-042%20%20de%202020" TargetMode="External"/><Relationship Id="rId5" Type="http://schemas.openxmlformats.org/officeDocument/2006/relationships/styles" Target="styles.xml"/><Relationship Id="rId61" Type="http://schemas.openxmlformats.org/officeDocument/2006/relationships/fontTable" Target="fontTable.xml"/><Relationship Id="rId19" Type="http://schemas.openxmlformats.org/officeDocument/2006/relationships/hyperlink" Target="http://relatoria.colombiacompra.gov.co/ficha/C-709%20de%202020" TargetMode="External"/><Relationship Id="rId14" Type="http://schemas.openxmlformats.org/officeDocument/2006/relationships/hyperlink" Target="http://relatoria.colombiacompra.gov.co/ficha/C-122%20de%202020" TargetMode="External"/><Relationship Id="rId22" Type="http://schemas.openxmlformats.org/officeDocument/2006/relationships/hyperlink" Target="http://relatoria.colombiacompra.gov.co/ficha/4201912000006259" TargetMode="External"/><Relationship Id="rId27" Type="http://schemas.openxmlformats.org/officeDocument/2006/relationships/hyperlink" Target="http://relatoria.colombiacompra.gov.co/ficha/4201912000008090" TargetMode="External"/><Relationship Id="rId30" Type="http://schemas.openxmlformats.org/officeDocument/2006/relationships/hyperlink" Target="https://relatoria.colombiacompra.gov.co/ficha/C-156%20de%202020" TargetMode="External"/><Relationship Id="rId35" Type="http://schemas.openxmlformats.org/officeDocument/2006/relationships/hyperlink" Target="http://relatoria.colombiacompra.gov.co/ficha/C-337%20de%202020" TargetMode="External"/><Relationship Id="rId43" Type="http://schemas.openxmlformats.org/officeDocument/2006/relationships/hyperlink" Target="https://relatoria.colombiacompra.gov.co/ficha/C-301%20de%202022" TargetMode="External"/><Relationship Id="rId48" Type="http://schemas.openxmlformats.org/officeDocument/2006/relationships/hyperlink" Target="http://relatoria.colombiacompra.gov.co/ficha/4201912000008226" TargetMode="External"/><Relationship Id="rId56" Type="http://schemas.openxmlformats.org/officeDocument/2006/relationships/hyperlink" Target="http://relatoria.colombiacompra.gov.co/ficha/C-566%20de%202020" TargetMode="External"/><Relationship Id="rId8" Type="http://schemas.openxmlformats.org/officeDocument/2006/relationships/hyperlink" Target="https://relatoria.colombiacompra.gov.co/ficha/C-156%20de%202020" TargetMode="External"/><Relationship Id="rId51" Type="http://schemas.openxmlformats.org/officeDocument/2006/relationships/hyperlink" Target="http://relatoria.colombiacompra.gov.co/ficha/C-105%20de%202020" TargetMode="External"/><Relationship Id="rId3" Type="http://schemas.openxmlformats.org/officeDocument/2006/relationships/customXml" Target="../customXml/item3.xml"/><Relationship Id="rId12" Type="http://schemas.openxmlformats.org/officeDocument/2006/relationships/hyperlink" Target="http://relatoria.colombiacompra.gov.co/ficha/C-108%20de%202020" TargetMode="External"/><Relationship Id="rId17" Type="http://schemas.openxmlformats.org/officeDocument/2006/relationships/hyperlink" Target="https://relatoria.colombiacompra.gov.co/ficha/C-105%20de%202022" TargetMode="External"/><Relationship Id="rId25" Type="http://schemas.openxmlformats.org/officeDocument/2006/relationships/hyperlink" Target="https://relatoria.colombiacompra.gov.co/ficha/C-261%20del%202021" TargetMode="External"/><Relationship Id="rId33" Type="http://schemas.openxmlformats.org/officeDocument/2006/relationships/hyperlink" Target="http://relatoria.colombiacompra.gov.co/ficha/C-451%20de%202020" TargetMode="External"/><Relationship Id="rId38" Type="http://schemas.openxmlformats.org/officeDocument/2006/relationships/hyperlink" Target="http://relatoria.colombiacompra.gov.co/ficha/C-561%20de%202020" TargetMode="External"/><Relationship Id="rId46" Type="http://schemas.openxmlformats.org/officeDocument/2006/relationships/hyperlink" Target="https://relatoria.colombiacompra.gov.co/ficha/C-042%20%20de%202020" TargetMode="External"/><Relationship Id="rId59" Type="http://schemas.openxmlformats.org/officeDocument/2006/relationships/hyperlink" Target="http://relatoria.colombiacompra.gov.co/ficha/C-040%20%20de%202020" TargetMode="External"/><Relationship Id="rId20" Type="http://schemas.openxmlformats.org/officeDocument/2006/relationships/hyperlink" Target="http://relatoria.colombiacompra.gov.co/ficha/4201913000005694" TargetMode="External"/><Relationship Id="rId41" Type="http://schemas.openxmlformats.org/officeDocument/2006/relationships/hyperlink" Target="https://relatoria.colombiacompra.gov.co/ficha/C-355%20de%202020" TargetMode="External"/><Relationship Id="rId54" Type="http://schemas.openxmlformats.org/officeDocument/2006/relationships/hyperlink" Target="http://relatoria.colombiacompra.gov.co/ficha/C-319%20de%202020"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relatoria.colombiacompra.gov.co/ficha/C-557%20de%202020" TargetMode="External"/><Relationship Id="rId23" Type="http://schemas.openxmlformats.org/officeDocument/2006/relationships/hyperlink" Target="http://relatoria.colombiacompra.gov.co/ficha/4201912000007281" TargetMode="External"/><Relationship Id="rId28" Type="http://schemas.openxmlformats.org/officeDocument/2006/relationships/hyperlink" Target="http://relatoria.colombiacompra.gov.co/ficha/C-488%20de%202020" TargetMode="External"/><Relationship Id="rId36" Type="http://schemas.openxmlformats.org/officeDocument/2006/relationships/hyperlink" Target="http://relatoria.colombiacompra.gov.co/ficha/C-353%20de%202020" TargetMode="External"/><Relationship Id="rId49" Type="http://schemas.openxmlformats.org/officeDocument/2006/relationships/hyperlink" Target="http://relatoria.colombiacompra.gov.co/ficha/C-042%20%20de%202020" TargetMode="External"/><Relationship Id="rId57" Type="http://schemas.openxmlformats.org/officeDocument/2006/relationships/hyperlink" Target="http://relatoria.colombiacompra.gov.co/ficha/C-667%20de%202020" TargetMode="External"/><Relationship Id="rId10" Type="http://schemas.openxmlformats.org/officeDocument/2006/relationships/hyperlink" Target="http://relatoria.colombiacompra.gov.co/ficha/4201912000007785" TargetMode="External"/><Relationship Id="rId31" Type="http://schemas.openxmlformats.org/officeDocument/2006/relationships/hyperlink" Target="https://relatoria.colombiacompra.gov.co/ficha/C-274%20de%202020" TargetMode="External"/><Relationship Id="rId44" Type="http://schemas.openxmlformats.org/officeDocument/2006/relationships/hyperlink" Target="http://relatoria.colombiacompra.gov.co/ficha/C-319%20de%202020" TargetMode="External"/><Relationship Id="rId52" Type="http://schemas.openxmlformats.org/officeDocument/2006/relationships/hyperlink" Target="http://relatoria.colombiacompra.gov.co/ficha/C-183%20de%202020" TargetMode="External"/><Relationship Id="rId60" Type="http://schemas.openxmlformats.org/officeDocument/2006/relationships/hyperlink" Target="http://relatoria.colombiacompra.gov.co/ficha/C-203%20de%202020" TargetMode="External"/><Relationship Id="rId4" Type="http://schemas.openxmlformats.org/officeDocument/2006/relationships/customXml" Target="../customXml/item4.xml"/><Relationship Id="rId9" Type="http://schemas.openxmlformats.org/officeDocument/2006/relationships/hyperlink" Target="http://relatoria.colombiacompra.gov.co/ficha/4201912000007615"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F34831E-0515-E04A-8822-3366EDB3CB87}">
  <ds:schemaRefs>
    <ds:schemaRef ds:uri="http://schemas.openxmlformats.org/officeDocument/2006/bibliography"/>
  </ds:schemaRefs>
</ds:datastoreItem>
</file>

<file path=customXml/itemProps2.xml><?xml version="1.0" encoding="utf-8"?>
<ds:datastoreItem xmlns:ds="http://schemas.openxmlformats.org/officeDocument/2006/customXml" ds:itemID="{2323290A-427A-45C6-8ECA-240F282E244F}">
  <ds:schemaRefs>
    <ds:schemaRef ds:uri="http://schemas.microsoft.com/office/2006/metadata/properties"/>
    <ds:schemaRef ds:uri="http://www.w3.org/XML/1998/namespace"/>
    <ds:schemaRef ds:uri="http://purl.org/dc/dcmitype/"/>
    <ds:schemaRef ds:uri="http://purl.org/dc/elements/1.1/"/>
    <ds:schemaRef ds:uri="9d85dbaf-23eb-4e57-a637-93dcacc8b1a1"/>
    <ds:schemaRef ds:uri="http://purl.org/dc/terms/"/>
    <ds:schemaRef ds:uri="http://schemas.microsoft.com/office/2006/documentManagement/types"/>
    <ds:schemaRef ds:uri="http://schemas.openxmlformats.org/package/2006/metadata/core-properties"/>
    <ds:schemaRef ds:uri="http://schemas.microsoft.com/office/infopath/2007/PartnerControls"/>
    <ds:schemaRef ds:uri="a6cb9e4b-f1d1-4245-83ec-6cad768d538a"/>
  </ds:schemaRefs>
</ds:datastoreItem>
</file>

<file path=customXml/itemProps3.xml><?xml version="1.0" encoding="utf-8"?>
<ds:datastoreItem xmlns:ds="http://schemas.openxmlformats.org/officeDocument/2006/customXml" ds:itemID="{FA78CE42-804D-4D89-A58A-D1416663E698}">
  <ds:schemaRefs>
    <ds:schemaRef ds:uri="http://schemas.microsoft.com/sharepoint/v3/contenttype/forms"/>
  </ds:schemaRefs>
</ds:datastoreItem>
</file>

<file path=customXml/itemProps4.xml><?xml version="1.0" encoding="utf-8"?>
<ds:datastoreItem xmlns:ds="http://schemas.openxmlformats.org/officeDocument/2006/customXml" ds:itemID="{FF6343AA-4F33-42D5-8A84-9857DA61AC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191</Pages>
  <Words>92534</Words>
  <Characters>508939</Characters>
  <Application>Microsoft Office Word</Application>
  <DocSecurity>0</DocSecurity>
  <Lines>4241</Lines>
  <Paragraphs>1200</Paragraphs>
  <ScaleCrop>false</ScaleCrop>
  <Company/>
  <LinksUpToDate>false</LinksUpToDate>
  <CharactersWithSpaces>600273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Silvia Juliana Saavedra Arguello</dc:creator>
  <cp:keywords/>
  <dc:description/>
  <cp:lastModifiedBy>Manuela Mantilla Pacheco</cp:lastModifiedBy>
  <cp:revision>213</cp:revision>
  <dcterms:created xsi:type="dcterms:W3CDTF">2020-03-12T13:20:00Z</dcterms:created>
  <dcterms:modified xsi:type="dcterms:W3CDTF">2022-10-19T01:41:00Z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