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word/fontTable.xml" ContentType="application/vnd.openxmlformats-officedocument.wordprocessingml.fontTable+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0C6E" w:rsidRDefault="00D10C6E" w:rsidP="00D10C6E">
      <w:pPr>
        <w:jc w:val="both"/>
        <w:rPr>
          <w:rFonts w:ascii="Arial" w:hAnsi="Arial" w:cs="Arial"/>
          <w:b/>
          <w:sz w:val="24"/>
          <w:szCs w:val="24"/>
        </w:rPr>
      </w:pPr>
      <w:bookmarkStart w:id="0" w:name="_GoBack"/>
      <w:bookmarkEnd w:id="0"/>
      <w:r w:rsidRPr="007E45FE">
        <w:rPr>
          <w:rFonts w:ascii="Arial" w:hAnsi="Arial" w:cs="Arial"/>
          <w:b/>
          <w:sz w:val="24"/>
          <w:szCs w:val="24"/>
        </w:rPr>
        <w:t>CONTRATO DE OBRA PÚBLICA – ACTO DE DECLARATORIA DE DESIERTA</w:t>
      </w:r>
    </w:p>
    <w:p w:rsidR="00D10C6E" w:rsidRPr="007E45FE" w:rsidRDefault="00D10C6E" w:rsidP="00D10C6E">
      <w:pPr>
        <w:jc w:val="both"/>
        <w:rPr>
          <w:rFonts w:ascii="Arial" w:hAnsi="Arial" w:cs="Arial"/>
          <w:b/>
          <w:sz w:val="24"/>
          <w:szCs w:val="24"/>
        </w:rPr>
      </w:pPr>
    </w:p>
    <w:p w:rsidR="00D10C6E" w:rsidRDefault="00D10C6E" w:rsidP="00D10C6E">
      <w:pPr>
        <w:jc w:val="both"/>
        <w:rPr>
          <w:rFonts w:ascii="Arial" w:hAnsi="Arial" w:cs="Arial"/>
          <w:sz w:val="24"/>
          <w:szCs w:val="24"/>
        </w:rPr>
      </w:pPr>
      <w:r w:rsidRPr="007E45FE">
        <w:rPr>
          <w:rFonts w:ascii="Arial" w:hAnsi="Arial" w:cs="Arial"/>
          <w:b/>
          <w:sz w:val="24"/>
          <w:szCs w:val="24"/>
        </w:rPr>
        <w:t>SINTESIS:</w:t>
      </w:r>
      <w:r>
        <w:rPr>
          <w:rFonts w:ascii="Arial" w:hAnsi="Arial" w:cs="Arial"/>
          <w:sz w:val="24"/>
          <w:szCs w:val="24"/>
        </w:rPr>
        <w:t xml:space="preserve"> </w:t>
      </w:r>
      <w:r w:rsidRPr="007E45FE">
        <w:rPr>
          <w:rFonts w:ascii="Arial" w:hAnsi="Arial" w:cs="Arial"/>
          <w:sz w:val="24"/>
          <w:szCs w:val="24"/>
        </w:rPr>
        <w:t>Se estudia en el proceso la legalidad de las resoluciones nº. 272 del 29 de junio de 2004 y 291 del 13 de julio de 2004 que la confirma, proferidas por la Dirección General del Fondo Rotatorio de la Fuerza Aérea-FORFA, mediante las que se declaró desierto el proceso de licitación pública No. 08-FORFA-2004 que tenía por objeto la construcción del Centro de Instrucción Militar para la Seguridad y Defensa de las Bases Aéreas para el Comando Aéreo de Combate nº. 1. En tal virtud, las demandantes pretenden la declaratoria de la ilegalidad de las resoluciones expedidas por el FORFA, por cuanto a su parecer, fueron privadas injustamente del derecho a la adjudicación del contrato y, en consecuencia, la condena a la reparación de los perjuicios económicos que presuntamente les fueron causados.</w:t>
      </w:r>
    </w:p>
    <w:p w:rsidR="00D10C6E" w:rsidRDefault="00D10C6E" w:rsidP="00D10C6E">
      <w:pPr>
        <w:jc w:val="both"/>
        <w:rPr>
          <w:rFonts w:ascii="Arial" w:hAnsi="Arial" w:cs="Arial"/>
          <w:sz w:val="24"/>
          <w:szCs w:val="24"/>
        </w:rPr>
      </w:pPr>
    </w:p>
    <w:p w:rsidR="00D10C6E" w:rsidRDefault="00D10C6E" w:rsidP="00D10C6E">
      <w:pPr>
        <w:jc w:val="both"/>
        <w:rPr>
          <w:rFonts w:ascii="Arial" w:hAnsi="Arial" w:cs="Arial"/>
          <w:b/>
          <w:sz w:val="24"/>
          <w:szCs w:val="24"/>
        </w:rPr>
      </w:pPr>
      <w:r>
        <w:rPr>
          <w:rFonts w:ascii="Arial" w:hAnsi="Arial" w:cs="Arial"/>
          <w:b/>
          <w:sz w:val="24"/>
          <w:szCs w:val="24"/>
        </w:rPr>
        <w:t xml:space="preserve">INEPTITUD DE LA DEMANDA – Ineptitud sustantiva de la demanda – Declarada de Oficio – No agoto vía gubernativa </w:t>
      </w:r>
    </w:p>
    <w:p w:rsidR="00D10C6E" w:rsidRDefault="00D10C6E" w:rsidP="00D10C6E">
      <w:pPr>
        <w:jc w:val="both"/>
        <w:rPr>
          <w:rFonts w:ascii="Arial" w:hAnsi="Arial" w:cs="Arial"/>
          <w:b/>
          <w:sz w:val="24"/>
          <w:szCs w:val="24"/>
        </w:rPr>
      </w:pPr>
    </w:p>
    <w:p w:rsidR="00D10C6E" w:rsidRPr="00D10C6E" w:rsidRDefault="00D10C6E" w:rsidP="00D10C6E">
      <w:pPr>
        <w:jc w:val="both"/>
        <w:rPr>
          <w:rFonts w:ascii="Arial" w:hAnsi="Arial" w:cs="Arial"/>
          <w:sz w:val="24"/>
          <w:szCs w:val="24"/>
        </w:rPr>
      </w:pPr>
      <w:r w:rsidRPr="00D10C6E">
        <w:rPr>
          <w:rFonts w:ascii="Arial" w:hAnsi="Arial" w:cs="Arial"/>
          <w:sz w:val="24"/>
          <w:szCs w:val="24"/>
        </w:rPr>
        <w:t>La Sala considera que no se configuró en el caso bajo examen la ineptitud sustantiva de la demanda, declarada de oficio por el a quo, comoquiera que no tendría que echarse de menos la inclusión de la resolución 291 de 2004, confirmatoria de la resolución 272 del mismo año en la pretensión de nulidad propuesta por Squadra Ltda. en cuanto fue proferida para resolver el recurso de reposición presentado por la Unión Temporal Palenquero, aunado a que no le fue notificada. Esto es, en cuanto a la resolución confirmatoria no le es oponible para el caso particular de la sociedad Squadra Ltda., la vía gubernativa quedó agotada en los términos del artículo 63 del C.C.A., lo que en concordancia con el artículo 135 del mismo compendio, habilitaba a la mencionada firma para acudir a instancias judiciales, con el fin de pretender la nulidad del acto particular y concreto y el restablecimiento correlativo a dicha declaración.</w:t>
      </w:r>
    </w:p>
    <w:p w:rsidR="00D10C6E" w:rsidRDefault="00D10C6E" w:rsidP="00D10C6E">
      <w:pPr>
        <w:jc w:val="both"/>
        <w:rPr>
          <w:rFonts w:ascii="Arial" w:hAnsi="Arial" w:cs="Arial"/>
          <w:b/>
          <w:sz w:val="24"/>
          <w:szCs w:val="24"/>
        </w:rPr>
      </w:pPr>
    </w:p>
    <w:p w:rsidR="00D10C6E" w:rsidRDefault="00D10C6E" w:rsidP="00D10C6E">
      <w:pPr>
        <w:jc w:val="both"/>
        <w:rPr>
          <w:rFonts w:ascii="Arial" w:hAnsi="Arial" w:cs="Arial"/>
          <w:b/>
          <w:sz w:val="24"/>
          <w:szCs w:val="24"/>
        </w:rPr>
      </w:pPr>
      <w:r w:rsidRPr="00A14F89">
        <w:rPr>
          <w:rFonts w:ascii="Arial" w:hAnsi="Arial" w:cs="Arial"/>
          <w:b/>
          <w:sz w:val="24"/>
          <w:szCs w:val="24"/>
        </w:rPr>
        <w:t xml:space="preserve">CADUCIDAD DE LA ACCION – Declaratoria oficiosa </w:t>
      </w:r>
    </w:p>
    <w:p w:rsidR="00D10C6E" w:rsidRPr="00A14F89" w:rsidRDefault="00D10C6E" w:rsidP="00D10C6E">
      <w:pPr>
        <w:jc w:val="both"/>
        <w:rPr>
          <w:rFonts w:ascii="Arial" w:hAnsi="Arial" w:cs="Arial"/>
          <w:b/>
          <w:sz w:val="24"/>
          <w:szCs w:val="24"/>
        </w:rPr>
      </w:pPr>
    </w:p>
    <w:p w:rsidR="00D10C6E" w:rsidRPr="006D3C30" w:rsidRDefault="00D10C6E" w:rsidP="00D10C6E">
      <w:pPr>
        <w:jc w:val="both"/>
        <w:rPr>
          <w:rFonts w:ascii="Arial" w:hAnsi="Arial" w:cs="Arial"/>
          <w:sz w:val="24"/>
          <w:szCs w:val="24"/>
        </w:rPr>
      </w:pPr>
      <w:r w:rsidRPr="007E45FE">
        <w:rPr>
          <w:rFonts w:ascii="Arial" w:hAnsi="Arial" w:cs="Arial"/>
          <w:sz w:val="24"/>
          <w:szCs w:val="24"/>
        </w:rPr>
        <w:t>La jurisprudencia reiterada de esta Corporación ha sostenido que, para garantizar la seguridad jurídica, el legislador instituyó la figura de la caducidad como una sanción en los eventos en que las acciones judiciales no se ejerzan en determinado tiempo. Esto es, las partes tienen la carga procesal de impulsar el litigio dentro del plazo fijado por la ley pues de no hacerlo en tiempo oportuno, pierden la posibilidad de accionar ante la jurisdicción.</w:t>
      </w:r>
      <w:r>
        <w:rPr>
          <w:rFonts w:ascii="Arial" w:hAnsi="Arial" w:cs="Arial"/>
          <w:sz w:val="24"/>
          <w:szCs w:val="24"/>
        </w:rPr>
        <w:t xml:space="preserve"> (…) </w:t>
      </w:r>
      <w:r w:rsidRPr="007E45FE">
        <w:rPr>
          <w:rFonts w:ascii="Arial" w:hAnsi="Arial" w:cs="Arial"/>
          <w:sz w:val="24"/>
          <w:szCs w:val="24"/>
        </w:rPr>
        <w:t>es importante anotar que la caducidad no admite suspensión, salvo que se presente una solicitud de conciliación extrajudicial (de acuerdo con las previsiones de las Leyes 446 de 1998 y 640 de 2001), tampoco renuncia y, de encontrarse probada, debe ser declarada de manera oficiosa por el juez.</w:t>
      </w:r>
      <w:r>
        <w:rPr>
          <w:rFonts w:ascii="Arial" w:hAnsi="Arial" w:cs="Arial"/>
          <w:sz w:val="24"/>
          <w:szCs w:val="24"/>
        </w:rPr>
        <w:t xml:space="preserve"> (…) </w:t>
      </w:r>
      <w:r w:rsidRPr="007E45FE">
        <w:rPr>
          <w:rFonts w:ascii="Arial" w:hAnsi="Arial" w:cs="Arial"/>
          <w:sz w:val="24"/>
          <w:szCs w:val="24"/>
        </w:rPr>
        <w:t>En cuanto al término para intentar la acción de nulidad y restablecimiento del derecho contra el acto de declaratoria de desierta, encontró el a quo oportuna la demanda interpuesta por la sociedad Squadra Ltda. comoquiera que se radicó dentro del término de cuatro meses fijado por la ley para intentar la acción de nulidad y restablecimiento del derecho</w:t>
      </w:r>
      <w:r>
        <w:rPr>
          <w:rFonts w:ascii="Arial" w:hAnsi="Arial" w:cs="Arial"/>
          <w:sz w:val="24"/>
          <w:szCs w:val="24"/>
        </w:rPr>
        <w:t xml:space="preserve">. (…) </w:t>
      </w:r>
      <w:r w:rsidRPr="00A14F89">
        <w:rPr>
          <w:rFonts w:ascii="Arial" w:hAnsi="Arial" w:cs="Arial"/>
          <w:sz w:val="24"/>
          <w:szCs w:val="24"/>
        </w:rPr>
        <w:t xml:space="preserve">En el caso sub </w:t>
      </w:r>
      <w:proofErr w:type="spellStart"/>
      <w:r w:rsidRPr="00A14F89">
        <w:rPr>
          <w:rFonts w:ascii="Arial" w:hAnsi="Arial" w:cs="Arial"/>
          <w:sz w:val="24"/>
          <w:szCs w:val="24"/>
        </w:rPr>
        <w:t>exámine</w:t>
      </w:r>
      <w:proofErr w:type="spellEnd"/>
      <w:r w:rsidRPr="00A14F89">
        <w:rPr>
          <w:rFonts w:ascii="Arial" w:hAnsi="Arial" w:cs="Arial"/>
          <w:sz w:val="24"/>
          <w:szCs w:val="24"/>
        </w:rPr>
        <w:t xml:space="preserve"> como la resolución nº. 272 de 2004, la cual se notificó a los oferentes en la reanudación de la audiencia pública de adjudicación, llevada a cabo el 30 de junio de 2004 (fol. 7 c. 1, </w:t>
      </w:r>
      <w:proofErr w:type="spellStart"/>
      <w:r w:rsidRPr="00A14F89">
        <w:rPr>
          <w:rFonts w:ascii="Arial" w:hAnsi="Arial" w:cs="Arial"/>
          <w:sz w:val="24"/>
          <w:szCs w:val="24"/>
        </w:rPr>
        <w:t>exp</w:t>
      </w:r>
      <w:proofErr w:type="spellEnd"/>
      <w:r w:rsidRPr="00A14F89">
        <w:rPr>
          <w:rFonts w:ascii="Arial" w:hAnsi="Arial" w:cs="Arial"/>
          <w:sz w:val="24"/>
          <w:szCs w:val="24"/>
        </w:rPr>
        <w:t>. 2004-01700</w:t>
      </w:r>
      <w:proofErr w:type="gramStart"/>
      <w:r w:rsidRPr="00A14F89">
        <w:rPr>
          <w:rFonts w:ascii="Arial" w:hAnsi="Arial" w:cs="Arial"/>
          <w:sz w:val="24"/>
          <w:szCs w:val="24"/>
        </w:rPr>
        <w:t>) ,</w:t>
      </w:r>
      <w:proofErr w:type="gramEnd"/>
      <w:r w:rsidRPr="00A14F89">
        <w:rPr>
          <w:rFonts w:ascii="Arial" w:hAnsi="Arial" w:cs="Arial"/>
          <w:sz w:val="24"/>
          <w:szCs w:val="24"/>
        </w:rPr>
        <w:t xml:space="preserve"> se impone concluir que, en cuanto la demanda se presentó el 29 de octubre de 2004, que la firma Squadra Ltda. ejerció extemporáneamente la acción de nulidad y restablecimiento del derecho, toda vez que la oportunidad feneció el 13 de agosto siguiente, treinta días después de que fue notificada.</w:t>
      </w:r>
      <w:r>
        <w:rPr>
          <w:rFonts w:ascii="Arial" w:hAnsi="Arial" w:cs="Arial"/>
          <w:sz w:val="24"/>
          <w:szCs w:val="24"/>
        </w:rPr>
        <w:t xml:space="preserve"> </w:t>
      </w:r>
      <w:r w:rsidRPr="00A14F89">
        <w:rPr>
          <w:rFonts w:ascii="Arial" w:hAnsi="Arial" w:cs="Arial"/>
          <w:sz w:val="24"/>
          <w:szCs w:val="24"/>
        </w:rPr>
        <w:t>En consecuencia, y dado que efectivamente operó la caducidad en el expediente objeto del recurso de apelación, la Sala negará las pretensiones de la demanda</w:t>
      </w:r>
    </w:p>
    <w:p w:rsidR="008961EB" w:rsidRDefault="008961EB" w:rsidP="00BF4097">
      <w:pPr>
        <w:widowControl w:val="0"/>
        <w:tabs>
          <w:tab w:val="left" w:pos="142"/>
        </w:tabs>
        <w:overflowPunct w:val="0"/>
        <w:adjustRightInd w:val="0"/>
        <w:contextualSpacing/>
        <w:jc w:val="both"/>
        <w:rPr>
          <w:rFonts w:ascii="Arial" w:eastAsia="Times New Roman" w:hAnsi="Arial" w:cs="Arial"/>
          <w:kern w:val="28"/>
          <w:sz w:val="24"/>
          <w:szCs w:val="24"/>
          <w:lang w:val="es-ES" w:eastAsia="es-CO"/>
        </w:rPr>
      </w:pPr>
    </w:p>
    <w:p w:rsidR="00D10C6E" w:rsidRDefault="00D10C6E" w:rsidP="00BF4097">
      <w:pPr>
        <w:widowControl w:val="0"/>
        <w:tabs>
          <w:tab w:val="left" w:pos="142"/>
        </w:tabs>
        <w:overflowPunct w:val="0"/>
        <w:adjustRightInd w:val="0"/>
        <w:contextualSpacing/>
        <w:jc w:val="both"/>
        <w:rPr>
          <w:rFonts w:ascii="Arial" w:eastAsia="Times New Roman" w:hAnsi="Arial" w:cs="Arial"/>
          <w:kern w:val="28"/>
          <w:sz w:val="24"/>
          <w:szCs w:val="24"/>
          <w:lang w:val="es-ES" w:eastAsia="es-CO"/>
        </w:rPr>
      </w:pPr>
    </w:p>
    <w:p w:rsidR="00D10C6E" w:rsidRPr="00BF4097" w:rsidRDefault="00D10C6E" w:rsidP="00BF4097">
      <w:pPr>
        <w:widowControl w:val="0"/>
        <w:tabs>
          <w:tab w:val="left" w:pos="142"/>
        </w:tabs>
        <w:overflowPunct w:val="0"/>
        <w:adjustRightInd w:val="0"/>
        <w:contextualSpacing/>
        <w:jc w:val="both"/>
        <w:rPr>
          <w:rFonts w:ascii="Arial" w:eastAsia="Times New Roman" w:hAnsi="Arial" w:cs="Arial"/>
          <w:kern w:val="28"/>
          <w:sz w:val="24"/>
          <w:szCs w:val="24"/>
          <w:lang w:val="es-ES" w:eastAsia="es-CO"/>
        </w:rPr>
      </w:pPr>
    </w:p>
    <w:p w:rsidR="00A15B02" w:rsidRPr="00BF4097" w:rsidRDefault="00A15B02" w:rsidP="00BF4097">
      <w:pPr>
        <w:widowControl w:val="0"/>
        <w:tabs>
          <w:tab w:val="left" w:pos="142"/>
        </w:tabs>
        <w:overflowPunct w:val="0"/>
        <w:adjustRightInd w:val="0"/>
        <w:contextualSpacing/>
        <w:jc w:val="both"/>
        <w:rPr>
          <w:rFonts w:ascii="Arial" w:eastAsia="Times New Roman" w:hAnsi="Arial" w:cs="Arial"/>
          <w:kern w:val="28"/>
          <w:sz w:val="24"/>
          <w:szCs w:val="24"/>
          <w:lang w:val="es-ES" w:eastAsia="es-CO"/>
        </w:rPr>
      </w:pPr>
    </w:p>
    <w:p w:rsidR="00B36401" w:rsidRPr="00BF4097" w:rsidRDefault="00B36401" w:rsidP="00BF4097">
      <w:pPr>
        <w:jc w:val="center"/>
        <w:rPr>
          <w:rFonts w:ascii="Arial" w:hAnsi="Arial" w:cs="Arial"/>
          <w:b/>
          <w:sz w:val="24"/>
          <w:szCs w:val="24"/>
        </w:rPr>
      </w:pPr>
    </w:p>
    <w:p w:rsidR="00B36401" w:rsidRPr="00BF4097" w:rsidRDefault="00B36401" w:rsidP="00BF4097">
      <w:pPr>
        <w:jc w:val="center"/>
        <w:rPr>
          <w:rFonts w:ascii="Arial" w:hAnsi="Arial" w:cs="Arial"/>
          <w:b/>
          <w:sz w:val="24"/>
          <w:szCs w:val="24"/>
        </w:rPr>
      </w:pPr>
      <w:r w:rsidRPr="00BF4097">
        <w:rPr>
          <w:rFonts w:ascii="Arial" w:hAnsi="Arial" w:cs="Arial"/>
          <w:b/>
          <w:sz w:val="24"/>
          <w:szCs w:val="24"/>
        </w:rPr>
        <w:t>CONSEJO DE ESTADO</w:t>
      </w:r>
    </w:p>
    <w:p w:rsidR="00B36401" w:rsidRPr="00BF4097" w:rsidRDefault="00B36401" w:rsidP="00BF4097">
      <w:pPr>
        <w:jc w:val="center"/>
        <w:rPr>
          <w:rFonts w:ascii="Arial" w:hAnsi="Arial" w:cs="Arial"/>
          <w:b/>
          <w:sz w:val="24"/>
          <w:szCs w:val="24"/>
        </w:rPr>
      </w:pPr>
    </w:p>
    <w:p w:rsidR="00B36401" w:rsidRPr="00BF4097" w:rsidRDefault="00B36401" w:rsidP="00BF4097">
      <w:pPr>
        <w:jc w:val="center"/>
        <w:rPr>
          <w:rFonts w:ascii="Arial" w:hAnsi="Arial" w:cs="Arial"/>
          <w:b/>
          <w:sz w:val="24"/>
          <w:szCs w:val="24"/>
        </w:rPr>
      </w:pPr>
      <w:r w:rsidRPr="00BF4097">
        <w:rPr>
          <w:rFonts w:ascii="Arial" w:hAnsi="Arial" w:cs="Arial"/>
          <w:b/>
          <w:sz w:val="24"/>
          <w:szCs w:val="24"/>
        </w:rPr>
        <w:t>SALA DE LO CONTENCIOSO ADMINISTRATIVO</w:t>
      </w:r>
    </w:p>
    <w:p w:rsidR="00B36401" w:rsidRPr="00BF4097" w:rsidRDefault="00B36401" w:rsidP="00BF4097">
      <w:pPr>
        <w:jc w:val="center"/>
        <w:rPr>
          <w:rFonts w:ascii="Arial" w:hAnsi="Arial" w:cs="Arial"/>
          <w:b/>
          <w:sz w:val="24"/>
          <w:szCs w:val="24"/>
        </w:rPr>
      </w:pPr>
    </w:p>
    <w:p w:rsidR="00B36401" w:rsidRPr="00BF4097" w:rsidRDefault="00B36401" w:rsidP="00BF4097">
      <w:pPr>
        <w:jc w:val="center"/>
        <w:rPr>
          <w:rFonts w:ascii="Arial" w:hAnsi="Arial" w:cs="Arial"/>
          <w:b/>
          <w:sz w:val="24"/>
          <w:szCs w:val="24"/>
        </w:rPr>
      </w:pPr>
      <w:r w:rsidRPr="00BF4097">
        <w:rPr>
          <w:rFonts w:ascii="Arial" w:hAnsi="Arial" w:cs="Arial"/>
          <w:b/>
          <w:sz w:val="24"/>
          <w:szCs w:val="24"/>
        </w:rPr>
        <w:t xml:space="preserve">SECCIÓN TERCERA </w:t>
      </w:r>
    </w:p>
    <w:p w:rsidR="00B36401" w:rsidRPr="00BF4097" w:rsidRDefault="00B36401" w:rsidP="00BF4097">
      <w:pPr>
        <w:jc w:val="center"/>
        <w:rPr>
          <w:rFonts w:ascii="Arial" w:hAnsi="Arial" w:cs="Arial"/>
          <w:b/>
          <w:sz w:val="24"/>
          <w:szCs w:val="24"/>
        </w:rPr>
      </w:pPr>
    </w:p>
    <w:p w:rsidR="00B36401" w:rsidRPr="00BF4097" w:rsidRDefault="00B36401" w:rsidP="00BF4097">
      <w:pPr>
        <w:jc w:val="center"/>
        <w:rPr>
          <w:rFonts w:ascii="Arial" w:hAnsi="Arial" w:cs="Arial"/>
          <w:b/>
          <w:sz w:val="24"/>
          <w:szCs w:val="24"/>
        </w:rPr>
      </w:pPr>
      <w:r w:rsidRPr="00BF4097">
        <w:rPr>
          <w:rFonts w:ascii="Arial" w:hAnsi="Arial" w:cs="Arial"/>
          <w:b/>
          <w:sz w:val="24"/>
          <w:szCs w:val="24"/>
        </w:rPr>
        <w:t xml:space="preserve"> SUBSECCIÓN B</w:t>
      </w:r>
    </w:p>
    <w:p w:rsidR="00B36401" w:rsidRPr="00BF4097" w:rsidRDefault="00B36401" w:rsidP="00BF4097">
      <w:pPr>
        <w:jc w:val="center"/>
        <w:rPr>
          <w:rFonts w:ascii="Arial" w:hAnsi="Arial" w:cs="Arial"/>
          <w:b/>
          <w:sz w:val="24"/>
          <w:szCs w:val="24"/>
        </w:rPr>
      </w:pPr>
    </w:p>
    <w:p w:rsidR="00B36401" w:rsidRPr="00BF4097" w:rsidRDefault="00B36401" w:rsidP="00BF4097">
      <w:pPr>
        <w:jc w:val="center"/>
        <w:rPr>
          <w:rFonts w:ascii="Arial" w:hAnsi="Arial" w:cs="Arial"/>
          <w:sz w:val="24"/>
          <w:szCs w:val="24"/>
        </w:rPr>
      </w:pPr>
      <w:r w:rsidRPr="00BF4097">
        <w:rPr>
          <w:rFonts w:ascii="Arial" w:hAnsi="Arial" w:cs="Arial"/>
          <w:b/>
          <w:sz w:val="24"/>
          <w:szCs w:val="24"/>
        </w:rPr>
        <w:t>Consejera ponente</w:t>
      </w:r>
      <w:r w:rsidRPr="00BF4097">
        <w:rPr>
          <w:rFonts w:ascii="Arial" w:hAnsi="Arial" w:cs="Arial"/>
          <w:sz w:val="24"/>
          <w:szCs w:val="24"/>
        </w:rPr>
        <w:t xml:space="preserve">: </w:t>
      </w:r>
      <w:r w:rsidRPr="00BF4097">
        <w:rPr>
          <w:rFonts w:ascii="Arial" w:hAnsi="Arial" w:cs="Arial"/>
          <w:b/>
          <w:sz w:val="24"/>
          <w:szCs w:val="24"/>
        </w:rPr>
        <w:t>STELLA CONTO DÍAZ DEL CASTILLO</w:t>
      </w:r>
    </w:p>
    <w:p w:rsidR="00B36401" w:rsidRPr="00BF4097" w:rsidRDefault="00B36401" w:rsidP="00BF4097">
      <w:pPr>
        <w:jc w:val="both"/>
        <w:rPr>
          <w:rFonts w:ascii="Arial" w:hAnsi="Arial" w:cs="Arial"/>
          <w:sz w:val="24"/>
          <w:szCs w:val="24"/>
        </w:rPr>
      </w:pPr>
    </w:p>
    <w:p w:rsidR="00F639AF" w:rsidRPr="00BF4097" w:rsidRDefault="00F639AF" w:rsidP="00BF4097">
      <w:pPr>
        <w:tabs>
          <w:tab w:val="left" w:pos="142"/>
        </w:tabs>
        <w:jc w:val="both"/>
        <w:rPr>
          <w:rFonts w:ascii="Arial" w:eastAsia="Times New Roman" w:hAnsi="Arial" w:cs="Arial"/>
          <w:sz w:val="24"/>
          <w:szCs w:val="24"/>
          <w:lang w:val="es-ES" w:eastAsia="es-ES"/>
        </w:rPr>
      </w:pPr>
      <w:r w:rsidRPr="00BF4097">
        <w:rPr>
          <w:rFonts w:ascii="Arial" w:eastAsia="Times New Roman" w:hAnsi="Arial" w:cs="Arial"/>
          <w:sz w:val="24"/>
          <w:szCs w:val="24"/>
          <w:lang w:val="es-ES" w:eastAsia="es-ES"/>
        </w:rPr>
        <w:t>Bogotá</w:t>
      </w:r>
      <w:r w:rsidR="00B36401" w:rsidRPr="00BF4097">
        <w:rPr>
          <w:rFonts w:ascii="Arial" w:eastAsia="Times New Roman" w:hAnsi="Arial" w:cs="Arial"/>
          <w:sz w:val="24"/>
          <w:szCs w:val="24"/>
          <w:lang w:val="es-ES" w:eastAsia="es-ES"/>
        </w:rPr>
        <w:t>,</w:t>
      </w:r>
      <w:r w:rsidRPr="00BF4097">
        <w:rPr>
          <w:rFonts w:ascii="Arial" w:eastAsia="Times New Roman" w:hAnsi="Arial" w:cs="Arial"/>
          <w:sz w:val="24"/>
          <w:szCs w:val="24"/>
          <w:lang w:val="es-ES" w:eastAsia="es-ES"/>
        </w:rPr>
        <w:t xml:space="preserve"> D.C., cinco (5) de diciembre de dos mil dieciséis (2016)</w:t>
      </w:r>
    </w:p>
    <w:p w:rsidR="00F639AF" w:rsidRPr="00BF4097" w:rsidRDefault="00F639AF" w:rsidP="00BF4097">
      <w:pPr>
        <w:tabs>
          <w:tab w:val="left" w:pos="142"/>
        </w:tabs>
        <w:jc w:val="both"/>
        <w:rPr>
          <w:rFonts w:ascii="Arial" w:eastAsia="Times New Roman" w:hAnsi="Arial" w:cs="Arial"/>
          <w:sz w:val="24"/>
          <w:szCs w:val="24"/>
          <w:lang w:val="es-ES" w:eastAsia="es-ES"/>
        </w:rPr>
      </w:pPr>
    </w:p>
    <w:p w:rsidR="00B36401" w:rsidRPr="00BF4097" w:rsidRDefault="00B36401" w:rsidP="00BF4097">
      <w:pPr>
        <w:tabs>
          <w:tab w:val="left" w:pos="142"/>
        </w:tabs>
        <w:jc w:val="both"/>
        <w:rPr>
          <w:rFonts w:ascii="Arial" w:eastAsia="Times New Roman" w:hAnsi="Arial" w:cs="Arial"/>
          <w:b/>
          <w:sz w:val="24"/>
          <w:szCs w:val="24"/>
          <w:lang w:val="es-ES" w:eastAsia="es-ES"/>
        </w:rPr>
      </w:pPr>
      <w:r w:rsidRPr="00BF4097">
        <w:rPr>
          <w:rFonts w:ascii="Arial" w:eastAsia="Times New Roman" w:hAnsi="Arial" w:cs="Arial"/>
          <w:b/>
          <w:sz w:val="24"/>
          <w:szCs w:val="24"/>
          <w:lang w:val="es-ES" w:eastAsia="es-ES"/>
        </w:rPr>
        <w:t xml:space="preserve">Radicación </w:t>
      </w:r>
      <w:r w:rsidR="00F639AF" w:rsidRPr="00BF4097">
        <w:rPr>
          <w:rFonts w:ascii="Arial" w:eastAsia="Times New Roman" w:hAnsi="Arial" w:cs="Arial"/>
          <w:b/>
          <w:sz w:val="24"/>
          <w:szCs w:val="24"/>
          <w:lang w:val="es-ES" w:eastAsia="es-ES"/>
        </w:rPr>
        <w:t>número:</w:t>
      </w:r>
      <w:r w:rsidRPr="00BF4097">
        <w:rPr>
          <w:rFonts w:ascii="Arial" w:eastAsia="Times New Roman" w:hAnsi="Arial" w:cs="Arial"/>
          <w:b/>
          <w:sz w:val="24"/>
          <w:szCs w:val="24"/>
          <w:lang w:val="es-ES" w:eastAsia="es-ES"/>
        </w:rPr>
        <w:t xml:space="preserve"> 25000-23-26-000-2004-01700-</w:t>
      </w:r>
      <w:r w:rsidR="00F639AF" w:rsidRPr="00BF4097">
        <w:rPr>
          <w:rFonts w:ascii="Arial" w:eastAsia="Times New Roman" w:hAnsi="Arial" w:cs="Arial"/>
          <w:b/>
          <w:sz w:val="24"/>
          <w:szCs w:val="24"/>
          <w:lang w:val="es-ES" w:eastAsia="es-ES"/>
        </w:rPr>
        <w:t>01(33048)</w:t>
      </w:r>
    </w:p>
    <w:p w:rsidR="00B36401" w:rsidRPr="00BF4097" w:rsidRDefault="00B36401" w:rsidP="00BF4097">
      <w:pPr>
        <w:tabs>
          <w:tab w:val="left" w:pos="142"/>
        </w:tabs>
        <w:jc w:val="both"/>
        <w:rPr>
          <w:rFonts w:ascii="Arial" w:eastAsia="Times New Roman" w:hAnsi="Arial" w:cs="Arial"/>
          <w:b/>
          <w:sz w:val="24"/>
          <w:szCs w:val="24"/>
          <w:lang w:val="es-ES" w:eastAsia="es-ES"/>
        </w:rPr>
      </w:pPr>
    </w:p>
    <w:p w:rsidR="00B36401" w:rsidRPr="00BF4097" w:rsidRDefault="00F639AF" w:rsidP="00BF4097">
      <w:pPr>
        <w:tabs>
          <w:tab w:val="left" w:pos="142"/>
        </w:tabs>
        <w:jc w:val="both"/>
        <w:rPr>
          <w:rFonts w:ascii="Arial" w:eastAsia="Times New Roman" w:hAnsi="Arial" w:cs="Arial"/>
          <w:b/>
          <w:spacing w:val="-3"/>
          <w:sz w:val="24"/>
          <w:szCs w:val="24"/>
          <w:lang w:val="es-ES" w:eastAsia="es-ES"/>
        </w:rPr>
      </w:pPr>
      <w:r w:rsidRPr="00BF4097">
        <w:rPr>
          <w:rFonts w:ascii="Arial" w:eastAsia="Times New Roman" w:hAnsi="Arial" w:cs="Arial"/>
          <w:b/>
          <w:sz w:val="24"/>
          <w:szCs w:val="24"/>
          <w:lang w:val="es-ES" w:eastAsia="es-ES"/>
        </w:rPr>
        <w:t>A</w:t>
      </w:r>
      <w:r w:rsidRPr="00BF4097">
        <w:rPr>
          <w:rFonts w:ascii="Arial" w:eastAsia="Times New Roman" w:hAnsi="Arial" w:cs="Arial"/>
          <w:b/>
          <w:spacing w:val="-3"/>
          <w:sz w:val="24"/>
          <w:szCs w:val="24"/>
          <w:lang w:val="es-ES" w:eastAsia="es-ES"/>
        </w:rPr>
        <w:t>ctor:</w:t>
      </w:r>
      <w:r w:rsidR="00B36401" w:rsidRPr="00BF4097">
        <w:rPr>
          <w:rFonts w:ascii="Arial" w:eastAsia="Times New Roman" w:hAnsi="Arial" w:cs="Arial"/>
          <w:b/>
          <w:spacing w:val="-3"/>
          <w:sz w:val="24"/>
          <w:szCs w:val="24"/>
          <w:lang w:val="es-ES" w:eastAsia="es-ES"/>
        </w:rPr>
        <w:t xml:space="preserve"> </w:t>
      </w:r>
      <w:r w:rsidRPr="00BF4097">
        <w:rPr>
          <w:rFonts w:ascii="Arial" w:eastAsia="Times New Roman" w:hAnsi="Arial" w:cs="Arial"/>
          <w:b/>
          <w:spacing w:val="-3"/>
          <w:sz w:val="24"/>
          <w:szCs w:val="24"/>
          <w:lang w:val="es-ES" w:eastAsia="es-ES"/>
        </w:rPr>
        <w:t>RMR CONSTRUCCIONES S. EN C. Y OTROS (ACUMULADO)</w:t>
      </w:r>
    </w:p>
    <w:p w:rsidR="00B36401" w:rsidRPr="00BF4097" w:rsidRDefault="00B36401" w:rsidP="00BF4097">
      <w:pPr>
        <w:tabs>
          <w:tab w:val="left" w:pos="142"/>
        </w:tabs>
        <w:jc w:val="both"/>
        <w:rPr>
          <w:rFonts w:ascii="Arial" w:eastAsia="Times New Roman" w:hAnsi="Arial" w:cs="Arial"/>
          <w:b/>
          <w:spacing w:val="-3"/>
          <w:sz w:val="24"/>
          <w:szCs w:val="24"/>
          <w:lang w:val="es-ES" w:eastAsia="es-ES"/>
        </w:rPr>
      </w:pPr>
    </w:p>
    <w:p w:rsidR="00B36401" w:rsidRPr="00BF4097" w:rsidRDefault="00F639AF" w:rsidP="00BF4097">
      <w:pPr>
        <w:tabs>
          <w:tab w:val="left" w:pos="142"/>
        </w:tabs>
        <w:jc w:val="both"/>
        <w:rPr>
          <w:rFonts w:ascii="Arial" w:eastAsia="Times New Roman" w:hAnsi="Arial" w:cs="Arial"/>
          <w:b/>
          <w:sz w:val="24"/>
          <w:szCs w:val="24"/>
          <w:lang w:val="es-ES" w:eastAsia="es-ES"/>
        </w:rPr>
      </w:pPr>
      <w:r w:rsidRPr="00BF4097">
        <w:rPr>
          <w:rFonts w:ascii="Arial" w:eastAsia="Times New Roman" w:hAnsi="Arial" w:cs="Arial"/>
          <w:b/>
          <w:sz w:val="24"/>
          <w:szCs w:val="24"/>
          <w:lang w:val="es-ES" w:eastAsia="es-ES"/>
        </w:rPr>
        <w:t xml:space="preserve">Demandado: </w:t>
      </w:r>
      <w:r w:rsidRPr="00BF4097">
        <w:rPr>
          <w:rFonts w:ascii="Arial" w:eastAsia="Times New Roman" w:hAnsi="Arial" w:cs="Arial"/>
          <w:b/>
          <w:sz w:val="24"/>
          <w:szCs w:val="24"/>
          <w:lang w:val="es-ES" w:eastAsia="es-ES"/>
        </w:rPr>
        <w:tab/>
        <w:t xml:space="preserve">FONDO ROTATORIO DE LA FUERZA AÉREA, </w:t>
      </w:r>
      <w:proofErr w:type="gramStart"/>
      <w:r w:rsidRPr="00BF4097">
        <w:rPr>
          <w:rFonts w:ascii="Arial" w:eastAsia="Times New Roman" w:hAnsi="Arial" w:cs="Arial"/>
          <w:b/>
          <w:sz w:val="24"/>
          <w:szCs w:val="24"/>
          <w:lang w:val="es-ES" w:eastAsia="es-ES"/>
        </w:rPr>
        <w:t>hoy  AGENCIA</w:t>
      </w:r>
      <w:proofErr w:type="gramEnd"/>
      <w:r w:rsidRPr="00BF4097">
        <w:rPr>
          <w:rFonts w:ascii="Arial" w:eastAsia="Times New Roman" w:hAnsi="Arial" w:cs="Arial"/>
          <w:b/>
          <w:sz w:val="24"/>
          <w:szCs w:val="24"/>
          <w:lang w:val="es-ES" w:eastAsia="es-ES"/>
        </w:rPr>
        <w:t xml:space="preserve"> LOGÍSTICA DE LAS FUERZAS MILITARES</w:t>
      </w:r>
    </w:p>
    <w:p w:rsidR="00B36401" w:rsidRPr="00BF4097" w:rsidRDefault="00B36401" w:rsidP="00BF4097">
      <w:pPr>
        <w:tabs>
          <w:tab w:val="left" w:pos="142"/>
        </w:tabs>
        <w:jc w:val="both"/>
        <w:rPr>
          <w:rFonts w:ascii="Arial" w:eastAsia="Times New Roman" w:hAnsi="Arial" w:cs="Arial"/>
          <w:b/>
          <w:sz w:val="24"/>
          <w:szCs w:val="24"/>
          <w:lang w:val="es-ES" w:eastAsia="es-ES"/>
        </w:rPr>
      </w:pPr>
    </w:p>
    <w:p w:rsidR="00B36401" w:rsidRPr="00BF4097" w:rsidRDefault="00B36401" w:rsidP="00BF4097">
      <w:pPr>
        <w:tabs>
          <w:tab w:val="left" w:pos="142"/>
        </w:tabs>
        <w:jc w:val="both"/>
        <w:rPr>
          <w:rFonts w:ascii="Arial" w:eastAsia="Times New Roman" w:hAnsi="Arial" w:cs="Arial"/>
          <w:b/>
          <w:sz w:val="24"/>
          <w:szCs w:val="24"/>
          <w:lang w:val="es-ES" w:eastAsia="es-ES"/>
        </w:rPr>
      </w:pPr>
    </w:p>
    <w:p w:rsidR="00B36401" w:rsidRPr="00BF4097" w:rsidRDefault="00B36401" w:rsidP="00BF4097">
      <w:pPr>
        <w:tabs>
          <w:tab w:val="left" w:pos="142"/>
        </w:tabs>
        <w:jc w:val="both"/>
        <w:rPr>
          <w:rFonts w:ascii="Arial" w:eastAsia="Times New Roman" w:hAnsi="Arial" w:cs="Arial"/>
          <w:b/>
          <w:sz w:val="24"/>
          <w:szCs w:val="24"/>
          <w:lang w:val="es-ES" w:eastAsia="es-ES"/>
        </w:rPr>
      </w:pPr>
    </w:p>
    <w:p w:rsidR="00B36401" w:rsidRPr="00BF4097" w:rsidRDefault="00B36401" w:rsidP="00BF4097">
      <w:pPr>
        <w:tabs>
          <w:tab w:val="left" w:pos="142"/>
        </w:tabs>
        <w:jc w:val="both"/>
        <w:rPr>
          <w:rFonts w:ascii="Arial" w:eastAsia="Times New Roman" w:hAnsi="Arial" w:cs="Arial"/>
          <w:b/>
          <w:sz w:val="24"/>
          <w:szCs w:val="24"/>
          <w:lang w:val="es-ES" w:eastAsia="es-ES"/>
        </w:rPr>
      </w:pPr>
      <w:r w:rsidRPr="00BF4097">
        <w:rPr>
          <w:rFonts w:ascii="Arial" w:eastAsia="Times New Roman" w:hAnsi="Arial" w:cs="Arial"/>
          <w:b/>
          <w:sz w:val="24"/>
          <w:szCs w:val="24"/>
          <w:lang w:val="es-ES" w:eastAsia="es-ES"/>
        </w:rPr>
        <w:t>Referencia: APELACIÓN SENTENCIA - ACCIÓN DE NULIDAD Y RESTABLECIMIENTO DEL DERECHO</w:t>
      </w:r>
    </w:p>
    <w:p w:rsidR="00F639AF" w:rsidRPr="00BF4097" w:rsidRDefault="00F639AF" w:rsidP="002A6BBF">
      <w:pPr>
        <w:tabs>
          <w:tab w:val="left" w:pos="142"/>
        </w:tabs>
        <w:jc w:val="both"/>
        <w:rPr>
          <w:rFonts w:ascii="Arial" w:eastAsia="Times New Roman" w:hAnsi="Arial" w:cs="Arial"/>
          <w:b/>
          <w:sz w:val="24"/>
          <w:szCs w:val="24"/>
          <w:lang w:val="es-ES" w:eastAsia="es-ES"/>
        </w:rPr>
      </w:pPr>
    </w:p>
    <w:p w:rsidR="00B36401" w:rsidRPr="00BF4097" w:rsidRDefault="00B36401" w:rsidP="002A6BBF">
      <w:pPr>
        <w:tabs>
          <w:tab w:val="left" w:pos="142"/>
        </w:tabs>
        <w:jc w:val="both"/>
        <w:rPr>
          <w:rFonts w:ascii="Arial" w:eastAsia="Times New Roman" w:hAnsi="Arial" w:cs="Arial"/>
          <w:sz w:val="24"/>
          <w:szCs w:val="24"/>
          <w:lang w:val="es-ES" w:eastAsia="es-ES"/>
        </w:rPr>
      </w:pPr>
    </w:p>
    <w:p w:rsidR="00F639AF" w:rsidRPr="00BF4097" w:rsidRDefault="00F639AF" w:rsidP="00BF4097">
      <w:pPr>
        <w:tabs>
          <w:tab w:val="left" w:pos="142"/>
          <w:tab w:val="left" w:pos="3631"/>
        </w:tabs>
        <w:overflowPunct w:val="0"/>
        <w:autoSpaceDE w:val="0"/>
        <w:autoSpaceDN w:val="0"/>
        <w:adjustRightInd w:val="0"/>
        <w:spacing w:line="276" w:lineRule="auto"/>
        <w:jc w:val="both"/>
        <w:textAlignment w:val="baseline"/>
        <w:rPr>
          <w:rFonts w:ascii="Arial" w:eastAsia="Times New Roman" w:hAnsi="Arial" w:cs="Arial"/>
          <w:sz w:val="24"/>
          <w:szCs w:val="24"/>
          <w:lang w:eastAsia="es-ES"/>
        </w:rPr>
      </w:pPr>
    </w:p>
    <w:p w:rsidR="00F639AF" w:rsidRPr="00BF4097" w:rsidRDefault="00F639AF" w:rsidP="00BF4097">
      <w:pPr>
        <w:tabs>
          <w:tab w:val="left" w:pos="142"/>
        </w:tabs>
        <w:spacing w:line="276" w:lineRule="auto"/>
        <w:jc w:val="both"/>
        <w:rPr>
          <w:rFonts w:ascii="Arial" w:eastAsia="Times New Roman" w:hAnsi="Arial" w:cs="Arial"/>
          <w:i/>
          <w:sz w:val="24"/>
          <w:szCs w:val="24"/>
          <w:lang w:val="es-ES" w:eastAsia="es-ES"/>
        </w:rPr>
      </w:pPr>
      <w:r w:rsidRPr="00BF4097">
        <w:rPr>
          <w:rFonts w:ascii="Arial" w:eastAsia="Times New Roman" w:hAnsi="Arial" w:cs="Arial"/>
          <w:sz w:val="24"/>
          <w:szCs w:val="24"/>
          <w:lang w:val="es-ES" w:eastAsia="es-ES"/>
        </w:rPr>
        <w:t xml:space="preserve">Procede la Sala a resolver el recurso de apelación interpuesto por los demandantes en los procesos acumulados en contra de la sentencia proferida por la Sección Tercera, Subsección B del Tribunal Administrativo de Cundinamarca el 22 de marzo de 2006, por medio de la cual se denegaron las súplicas de la demanda. </w:t>
      </w: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p>
    <w:p w:rsidR="00F639AF" w:rsidRPr="00BF4097" w:rsidRDefault="00F639AF" w:rsidP="00BF4097">
      <w:pPr>
        <w:numPr>
          <w:ilvl w:val="0"/>
          <w:numId w:val="1"/>
        </w:numPr>
        <w:tabs>
          <w:tab w:val="left" w:pos="142"/>
        </w:tabs>
        <w:spacing w:line="276" w:lineRule="auto"/>
        <w:ind w:left="0"/>
        <w:jc w:val="center"/>
        <w:rPr>
          <w:rFonts w:ascii="Arial" w:eastAsia="Times New Roman" w:hAnsi="Arial" w:cs="Arial"/>
          <w:b/>
          <w:sz w:val="24"/>
          <w:szCs w:val="24"/>
          <w:lang w:val="es-ES" w:eastAsia="es-ES"/>
        </w:rPr>
      </w:pPr>
      <w:r w:rsidRPr="00BF4097">
        <w:rPr>
          <w:rFonts w:ascii="Arial" w:eastAsia="Times New Roman" w:hAnsi="Arial" w:cs="Arial"/>
          <w:b/>
          <w:sz w:val="24"/>
          <w:szCs w:val="24"/>
          <w:lang w:val="es-ES" w:eastAsia="es-ES"/>
        </w:rPr>
        <w:t>ANTECEDENTES</w:t>
      </w:r>
    </w:p>
    <w:p w:rsidR="00F639AF" w:rsidRPr="00BF4097" w:rsidRDefault="00F639AF" w:rsidP="00BF4097">
      <w:pPr>
        <w:tabs>
          <w:tab w:val="left" w:pos="142"/>
        </w:tabs>
        <w:spacing w:line="276" w:lineRule="auto"/>
        <w:jc w:val="both"/>
        <w:rPr>
          <w:rFonts w:ascii="Arial" w:eastAsia="Times New Roman" w:hAnsi="Arial" w:cs="Arial"/>
          <w:b/>
          <w:sz w:val="24"/>
          <w:szCs w:val="24"/>
          <w:lang w:val="es-ES" w:eastAsia="es-ES"/>
        </w:rPr>
      </w:pPr>
    </w:p>
    <w:p w:rsidR="00F639AF" w:rsidRPr="00BF4097" w:rsidRDefault="00F639AF" w:rsidP="00BF4097">
      <w:pPr>
        <w:numPr>
          <w:ilvl w:val="0"/>
          <w:numId w:val="19"/>
        </w:numPr>
        <w:tabs>
          <w:tab w:val="left" w:pos="142"/>
        </w:tabs>
        <w:spacing w:line="276" w:lineRule="auto"/>
        <w:ind w:left="0" w:firstLine="0"/>
        <w:jc w:val="both"/>
        <w:rPr>
          <w:rFonts w:ascii="Arial" w:eastAsia="Times New Roman" w:hAnsi="Arial" w:cs="Arial"/>
          <w:b/>
          <w:sz w:val="24"/>
          <w:szCs w:val="24"/>
          <w:lang w:val="es-ES" w:eastAsia="es-ES"/>
        </w:rPr>
      </w:pPr>
      <w:r w:rsidRPr="00BF4097">
        <w:rPr>
          <w:rFonts w:ascii="Arial" w:eastAsia="Times New Roman" w:hAnsi="Arial" w:cs="Arial"/>
          <w:b/>
          <w:sz w:val="24"/>
          <w:szCs w:val="24"/>
          <w:lang w:val="es-ES" w:eastAsia="es-ES"/>
        </w:rPr>
        <w:t>Síntesis del caso</w:t>
      </w:r>
    </w:p>
    <w:p w:rsidR="00F639AF" w:rsidRPr="00BF4097" w:rsidRDefault="00F639AF" w:rsidP="00BF4097">
      <w:pPr>
        <w:tabs>
          <w:tab w:val="left" w:pos="142"/>
        </w:tabs>
        <w:spacing w:line="276" w:lineRule="auto"/>
        <w:jc w:val="both"/>
        <w:rPr>
          <w:rFonts w:ascii="Arial" w:eastAsia="Times New Roman" w:hAnsi="Arial" w:cs="Arial"/>
          <w:b/>
          <w:sz w:val="24"/>
          <w:szCs w:val="24"/>
          <w:lang w:val="es-ES" w:eastAsia="es-ES"/>
        </w:rPr>
      </w:pP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r w:rsidRPr="00BF4097">
        <w:rPr>
          <w:rFonts w:ascii="Arial" w:eastAsia="Times New Roman" w:hAnsi="Arial" w:cs="Arial"/>
          <w:sz w:val="24"/>
          <w:szCs w:val="24"/>
          <w:lang w:val="es-ES" w:eastAsia="es-ES"/>
        </w:rPr>
        <w:t>Se estudia en el proceso la legalidad de las resoluciones nº. 272 del 29 de junio de 2004 y 291 del 13 de julio de 2004 que la confirma, proferidas por la Dirección General del Fondo Rotatorio de la Fuerza Aérea-FORFA, mediante las que se declaró desierto el proceso de licitación pública No. 08-FORFA-2004 que tenía por objeto la construcción del Centro de Instrucción Militar para la Seguridad y Defensa de las Bases Aéreas para el Comando Aéreo de Combate nº. 1. En tal virtud, las demandantes pretenden la declaratoria de la ilegalidad de las resoluciones expedidas por el FORFA, por cuanto a su parecer, fueron privadas injustamente del derecho a la adjudicación del contrato y, en consecuencia, la condena a la reparación de los perjuicios económicos que presuntamente les fueron causados.</w:t>
      </w: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p>
    <w:p w:rsidR="00F639AF" w:rsidRPr="00BF4097" w:rsidRDefault="00F639AF" w:rsidP="00BF4097">
      <w:pPr>
        <w:numPr>
          <w:ilvl w:val="0"/>
          <w:numId w:val="19"/>
        </w:numPr>
        <w:tabs>
          <w:tab w:val="left" w:pos="142"/>
        </w:tabs>
        <w:spacing w:line="276" w:lineRule="auto"/>
        <w:ind w:left="0" w:firstLine="0"/>
        <w:jc w:val="both"/>
        <w:rPr>
          <w:rFonts w:ascii="Arial" w:eastAsia="Times New Roman" w:hAnsi="Arial" w:cs="Arial"/>
          <w:b/>
          <w:sz w:val="24"/>
          <w:szCs w:val="24"/>
          <w:lang w:val="es-ES" w:eastAsia="es-ES"/>
        </w:rPr>
      </w:pPr>
      <w:r w:rsidRPr="00BF4097">
        <w:rPr>
          <w:rFonts w:ascii="Arial" w:eastAsia="Times New Roman" w:hAnsi="Arial" w:cs="Arial"/>
          <w:b/>
          <w:sz w:val="24"/>
          <w:szCs w:val="24"/>
          <w:lang w:val="es-ES" w:eastAsia="es-ES"/>
        </w:rPr>
        <w:t>Fundamento fáctico de las demandas acumuladas</w:t>
      </w:r>
    </w:p>
    <w:p w:rsidR="00F639AF" w:rsidRPr="00BF4097" w:rsidRDefault="00F639AF" w:rsidP="00BF4097">
      <w:pPr>
        <w:tabs>
          <w:tab w:val="left" w:pos="142"/>
        </w:tabs>
        <w:spacing w:line="276" w:lineRule="auto"/>
        <w:jc w:val="both"/>
        <w:rPr>
          <w:rFonts w:ascii="Arial" w:eastAsia="Times New Roman" w:hAnsi="Arial" w:cs="Arial"/>
          <w:sz w:val="24"/>
          <w:szCs w:val="24"/>
          <w:lang w:eastAsia="es-ES"/>
        </w:rPr>
      </w:pPr>
    </w:p>
    <w:p w:rsidR="00F639AF" w:rsidRPr="00BF4097" w:rsidRDefault="00F639AF" w:rsidP="00BF4097">
      <w:pPr>
        <w:tabs>
          <w:tab w:val="left" w:pos="142"/>
        </w:tabs>
        <w:spacing w:line="276" w:lineRule="auto"/>
        <w:jc w:val="both"/>
        <w:rPr>
          <w:rFonts w:ascii="Arial" w:eastAsia="Times New Roman" w:hAnsi="Arial" w:cs="Arial"/>
          <w:sz w:val="24"/>
          <w:szCs w:val="24"/>
          <w:lang w:eastAsia="es-ES"/>
        </w:rPr>
      </w:pPr>
      <w:r w:rsidRPr="00BF4097">
        <w:rPr>
          <w:rFonts w:ascii="Arial" w:eastAsia="Times New Roman" w:hAnsi="Arial" w:cs="Arial"/>
          <w:sz w:val="24"/>
          <w:szCs w:val="24"/>
          <w:lang w:eastAsia="es-ES"/>
        </w:rPr>
        <w:t xml:space="preserve">Las demandas interpuestas el 13 de agosto (fol. 4  a 29, c. 1, </w:t>
      </w:r>
      <w:proofErr w:type="spellStart"/>
      <w:r w:rsidRPr="00BF4097">
        <w:rPr>
          <w:rFonts w:ascii="Arial" w:eastAsia="Times New Roman" w:hAnsi="Arial" w:cs="Arial"/>
          <w:sz w:val="24"/>
          <w:szCs w:val="24"/>
          <w:lang w:eastAsia="es-ES"/>
        </w:rPr>
        <w:t>exp</w:t>
      </w:r>
      <w:proofErr w:type="spellEnd"/>
      <w:r w:rsidRPr="00BF4097">
        <w:rPr>
          <w:rFonts w:ascii="Arial" w:eastAsia="Times New Roman" w:hAnsi="Arial" w:cs="Arial"/>
          <w:sz w:val="24"/>
          <w:szCs w:val="24"/>
          <w:lang w:eastAsia="es-ES"/>
        </w:rPr>
        <w:t xml:space="preserve">. 2004-01700) y el 29 de octubre de 2004 (fol. 1  a 46, c. 1., </w:t>
      </w:r>
      <w:proofErr w:type="spellStart"/>
      <w:r w:rsidRPr="00BF4097">
        <w:rPr>
          <w:rFonts w:ascii="Arial" w:eastAsia="Times New Roman" w:hAnsi="Arial" w:cs="Arial"/>
          <w:sz w:val="24"/>
          <w:szCs w:val="24"/>
          <w:lang w:eastAsia="es-ES"/>
        </w:rPr>
        <w:t>exp</w:t>
      </w:r>
      <w:proofErr w:type="spellEnd"/>
      <w:r w:rsidRPr="00BF4097">
        <w:rPr>
          <w:rFonts w:ascii="Arial" w:eastAsia="Times New Roman" w:hAnsi="Arial" w:cs="Arial"/>
          <w:sz w:val="24"/>
          <w:szCs w:val="24"/>
          <w:lang w:eastAsia="es-ES"/>
        </w:rPr>
        <w:t>. 2004-02423), se sustentan en una serie de supuestos fácticos que bien pueden resumirse así:</w:t>
      </w:r>
    </w:p>
    <w:p w:rsidR="00F639AF" w:rsidRPr="00BF4097" w:rsidRDefault="00F639AF" w:rsidP="00BF4097">
      <w:pPr>
        <w:tabs>
          <w:tab w:val="left" w:pos="142"/>
        </w:tabs>
        <w:spacing w:line="276" w:lineRule="auto"/>
        <w:jc w:val="both"/>
        <w:rPr>
          <w:rFonts w:ascii="Arial" w:eastAsia="Times New Roman" w:hAnsi="Arial" w:cs="Arial"/>
          <w:sz w:val="24"/>
          <w:szCs w:val="24"/>
          <w:lang w:eastAsia="es-ES"/>
        </w:rPr>
      </w:pPr>
    </w:p>
    <w:p w:rsidR="00F639AF" w:rsidRPr="00BF4097" w:rsidRDefault="00F639AF" w:rsidP="00BF4097">
      <w:pPr>
        <w:numPr>
          <w:ilvl w:val="1"/>
          <w:numId w:val="27"/>
        </w:numPr>
        <w:tabs>
          <w:tab w:val="left" w:pos="142"/>
        </w:tabs>
        <w:spacing w:line="276" w:lineRule="auto"/>
        <w:ind w:left="0" w:firstLine="0"/>
        <w:jc w:val="both"/>
        <w:rPr>
          <w:rFonts w:ascii="Arial" w:eastAsia="Times New Roman" w:hAnsi="Arial" w:cs="Arial"/>
          <w:sz w:val="24"/>
          <w:szCs w:val="24"/>
          <w:lang w:eastAsia="es-ES"/>
        </w:rPr>
      </w:pPr>
      <w:r w:rsidRPr="00BF4097">
        <w:rPr>
          <w:rFonts w:ascii="Arial" w:eastAsia="Times New Roman" w:hAnsi="Arial" w:cs="Arial"/>
          <w:sz w:val="24"/>
          <w:szCs w:val="24"/>
          <w:lang w:eastAsia="es-ES"/>
        </w:rPr>
        <w:t>En febrero de 2004 el Fondo Rotatorio de las Fuerzas Armadas –FORFA, publicó prepliegos con miras a la apertura de un proceso licitatorio.</w:t>
      </w:r>
    </w:p>
    <w:p w:rsidR="00F639AF" w:rsidRPr="00BF4097" w:rsidRDefault="00F639AF" w:rsidP="00BF4097">
      <w:pPr>
        <w:tabs>
          <w:tab w:val="left" w:pos="142"/>
        </w:tabs>
        <w:spacing w:line="276" w:lineRule="auto"/>
        <w:jc w:val="both"/>
        <w:rPr>
          <w:rFonts w:ascii="Arial" w:eastAsia="Times New Roman" w:hAnsi="Arial" w:cs="Arial"/>
          <w:sz w:val="24"/>
          <w:szCs w:val="24"/>
          <w:lang w:eastAsia="es-ES"/>
        </w:rPr>
      </w:pPr>
    </w:p>
    <w:p w:rsidR="00F639AF" w:rsidRPr="00BF4097" w:rsidRDefault="00F639AF" w:rsidP="00BF4097">
      <w:pPr>
        <w:numPr>
          <w:ilvl w:val="1"/>
          <w:numId w:val="27"/>
        </w:numPr>
        <w:tabs>
          <w:tab w:val="left" w:pos="142"/>
        </w:tabs>
        <w:spacing w:line="276" w:lineRule="auto"/>
        <w:ind w:left="0" w:firstLine="0"/>
        <w:jc w:val="both"/>
        <w:rPr>
          <w:rFonts w:ascii="Arial" w:eastAsia="Times New Roman" w:hAnsi="Arial" w:cs="Arial"/>
          <w:sz w:val="24"/>
          <w:szCs w:val="24"/>
          <w:lang w:eastAsia="es-ES"/>
        </w:rPr>
      </w:pPr>
      <w:r w:rsidRPr="00BF4097">
        <w:rPr>
          <w:rFonts w:ascii="Arial" w:eastAsia="Times New Roman" w:hAnsi="Arial" w:cs="Arial"/>
          <w:sz w:val="24"/>
          <w:szCs w:val="24"/>
          <w:lang w:eastAsia="es-ES"/>
        </w:rPr>
        <w:t xml:space="preserve">Mediante la resolución No. 087 del 16 de febrero de 2004 ordenó la apertura de la licitación pública No. 08-FORFA-2004, cuyo objeto era la construcción del Centro de Instrucción Militar para la Seguridad y Defensa de las bases aéreas para el Comando Aéreo de Combate No. 1, ubicado en Puerto Salgar, Cundinamarca. El día 15 de marzo tuvo lugar el cierre de la presentación de propuestas. </w:t>
      </w:r>
    </w:p>
    <w:p w:rsidR="00F639AF" w:rsidRPr="00BF4097" w:rsidRDefault="00F639AF" w:rsidP="00BF4097">
      <w:pPr>
        <w:tabs>
          <w:tab w:val="left" w:pos="142"/>
        </w:tabs>
        <w:spacing w:line="276" w:lineRule="auto"/>
        <w:jc w:val="both"/>
        <w:rPr>
          <w:rFonts w:ascii="Arial" w:eastAsia="Times New Roman" w:hAnsi="Arial" w:cs="Arial"/>
          <w:sz w:val="24"/>
          <w:szCs w:val="24"/>
          <w:lang w:eastAsia="es-ES"/>
        </w:rPr>
      </w:pPr>
    </w:p>
    <w:p w:rsidR="00F639AF" w:rsidRPr="00BF4097" w:rsidRDefault="00F639AF" w:rsidP="00BF4097">
      <w:pPr>
        <w:numPr>
          <w:ilvl w:val="1"/>
          <w:numId w:val="27"/>
        </w:numPr>
        <w:tabs>
          <w:tab w:val="left" w:pos="142"/>
        </w:tabs>
        <w:spacing w:line="276" w:lineRule="auto"/>
        <w:ind w:left="0" w:firstLine="0"/>
        <w:jc w:val="both"/>
        <w:rPr>
          <w:rFonts w:ascii="Arial" w:eastAsia="Times New Roman" w:hAnsi="Arial" w:cs="Arial"/>
          <w:sz w:val="24"/>
          <w:szCs w:val="24"/>
          <w:lang w:eastAsia="es-ES"/>
        </w:rPr>
      </w:pPr>
      <w:r w:rsidRPr="00BF4097">
        <w:rPr>
          <w:rFonts w:ascii="Arial" w:eastAsia="Times New Roman" w:hAnsi="Arial" w:cs="Arial"/>
          <w:sz w:val="24"/>
          <w:szCs w:val="24"/>
          <w:lang w:eastAsia="es-ES"/>
        </w:rPr>
        <w:t>CONINSA y RAMON H, la UNIÓN TEMPORAL PALENQUERO 2004 y el CONSORCIO YUMA adquirieron los pliegos de condiciones para el proceso licitatorio, por lo que les fue entregado a cada uno de ellos un ejemplar del pliego, un CD contentivo de las adendas realizadas al mismo y de los planos de las obras a contratar.</w:t>
      </w:r>
    </w:p>
    <w:p w:rsidR="00F639AF" w:rsidRPr="00BF4097" w:rsidRDefault="00F639AF" w:rsidP="00BF4097">
      <w:pPr>
        <w:widowControl w:val="0"/>
        <w:tabs>
          <w:tab w:val="left" w:pos="142"/>
        </w:tabs>
        <w:overflowPunct w:val="0"/>
        <w:adjustRightInd w:val="0"/>
        <w:spacing w:line="276" w:lineRule="auto"/>
        <w:rPr>
          <w:rFonts w:ascii="Arial" w:eastAsia="Times New Roman" w:hAnsi="Arial" w:cs="Arial"/>
          <w:kern w:val="28"/>
          <w:sz w:val="24"/>
          <w:szCs w:val="24"/>
          <w:lang w:eastAsia="es-CO"/>
        </w:rPr>
      </w:pPr>
    </w:p>
    <w:p w:rsidR="00F639AF" w:rsidRPr="00BF4097" w:rsidRDefault="00F639AF" w:rsidP="00BF4097">
      <w:pPr>
        <w:numPr>
          <w:ilvl w:val="1"/>
          <w:numId w:val="27"/>
        </w:numPr>
        <w:tabs>
          <w:tab w:val="left" w:pos="142"/>
        </w:tabs>
        <w:spacing w:line="276" w:lineRule="auto"/>
        <w:ind w:left="0" w:firstLine="0"/>
        <w:jc w:val="both"/>
        <w:rPr>
          <w:rFonts w:ascii="Arial" w:eastAsia="Times New Roman" w:hAnsi="Arial" w:cs="Arial"/>
          <w:sz w:val="24"/>
          <w:szCs w:val="24"/>
          <w:lang w:eastAsia="es-ES"/>
        </w:rPr>
      </w:pPr>
      <w:r w:rsidRPr="00BF4097">
        <w:rPr>
          <w:rFonts w:ascii="Arial" w:eastAsia="Times New Roman" w:hAnsi="Arial" w:cs="Arial"/>
          <w:sz w:val="24"/>
          <w:szCs w:val="24"/>
          <w:lang w:eastAsia="es-ES"/>
        </w:rPr>
        <w:t>El día 15 de marzo de 2004 fue cerrado el proceso de presentación de propuestas y presentadas oportunamente las de la UNIÓN TEMPORAL PALENQUERO 2004 y del CONSORCIO YUMA.</w:t>
      </w:r>
    </w:p>
    <w:p w:rsidR="00F639AF" w:rsidRPr="00BF4097" w:rsidRDefault="00F639AF" w:rsidP="00BF4097">
      <w:pPr>
        <w:widowControl w:val="0"/>
        <w:tabs>
          <w:tab w:val="left" w:pos="142"/>
        </w:tabs>
        <w:overflowPunct w:val="0"/>
        <w:adjustRightInd w:val="0"/>
        <w:spacing w:line="276" w:lineRule="auto"/>
        <w:rPr>
          <w:rFonts w:ascii="Arial" w:eastAsia="Times New Roman" w:hAnsi="Arial" w:cs="Arial"/>
          <w:kern w:val="28"/>
          <w:sz w:val="24"/>
          <w:szCs w:val="24"/>
          <w:lang w:val="es-ES" w:eastAsia="es-CO"/>
        </w:rPr>
      </w:pPr>
    </w:p>
    <w:p w:rsidR="00F639AF" w:rsidRPr="00BF4097" w:rsidRDefault="00F639AF" w:rsidP="00BF4097">
      <w:pPr>
        <w:numPr>
          <w:ilvl w:val="1"/>
          <w:numId w:val="27"/>
        </w:numPr>
        <w:tabs>
          <w:tab w:val="left" w:pos="142"/>
        </w:tabs>
        <w:spacing w:line="276" w:lineRule="auto"/>
        <w:ind w:left="0" w:firstLine="0"/>
        <w:jc w:val="both"/>
        <w:rPr>
          <w:rFonts w:ascii="Arial" w:eastAsia="Times New Roman" w:hAnsi="Arial" w:cs="Arial"/>
          <w:sz w:val="24"/>
          <w:szCs w:val="24"/>
          <w:lang w:val="es-ES" w:eastAsia="es-ES"/>
        </w:rPr>
      </w:pPr>
      <w:r w:rsidRPr="00BF4097">
        <w:rPr>
          <w:rFonts w:ascii="Arial" w:eastAsia="Times New Roman" w:hAnsi="Arial" w:cs="Arial"/>
          <w:sz w:val="24"/>
          <w:szCs w:val="24"/>
          <w:lang w:val="es-ES" w:eastAsia="es-ES"/>
        </w:rPr>
        <w:t>El Comité Jurídico del Fondo Rotatorio de la Fuerza Aérea - FORFA determinó que las dos propuestas allegadas cumplían con las exigencias jurídicas previstas en los pliegos de condiciones y que el CONSORCIO YUMA obtuvo el primer puesto en el orden de elegibilidad.</w:t>
      </w:r>
    </w:p>
    <w:p w:rsidR="00F639AF" w:rsidRPr="00BF4097" w:rsidRDefault="00F639AF" w:rsidP="00BF4097">
      <w:pPr>
        <w:widowControl w:val="0"/>
        <w:tabs>
          <w:tab w:val="left" w:pos="142"/>
        </w:tabs>
        <w:overflowPunct w:val="0"/>
        <w:adjustRightInd w:val="0"/>
        <w:spacing w:line="276" w:lineRule="auto"/>
        <w:rPr>
          <w:rFonts w:ascii="Arial" w:eastAsia="Times New Roman" w:hAnsi="Arial" w:cs="Arial"/>
          <w:kern w:val="28"/>
          <w:sz w:val="24"/>
          <w:szCs w:val="24"/>
          <w:lang w:eastAsia="es-CO"/>
        </w:rPr>
      </w:pPr>
    </w:p>
    <w:p w:rsidR="00F639AF" w:rsidRPr="00BF4097" w:rsidRDefault="00F639AF" w:rsidP="00BF4097">
      <w:pPr>
        <w:numPr>
          <w:ilvl w:val="1"/>
          <w:numId w:val="27"/>
        </w:numPr>
        <w:tabs>
          <w:tab w:val="left" w:pos="142"/>
        </w:tabs>
        <w:spacing w:line="276" w:lineRule="auto"/>
        <w:ind w:left="0" w:firstLine="0"/>
        <w:jc w:val="both"/>
        <w:rPr>
          <w:rFonts w:ascii="Arial" w:eastAsia="Times New Roman" w:hAnsi="Arial" w:cs="Arial"/>
          <w:sz w:val="24"/>
          <w:szCs w:val="24"/>
          <w:lang w:eastAsia="es-ES"/>
        </w:rPr>
      </w:pPr>
      <w:r w:rsidRPr="00BF4097">
        <w:rPr>
          <w:rFonts w:ascii="Arial" w:eastAsia="Times New Roman" w:hAnsi="Arial" w:cs="Arial"/>
          <w:sz w:val="24"/>
          <w:szCs w:val="24"/>
          <w:lang w:eastAsia="es-ES"/>
        </w:rPr>
        <w:t>La fecha límite para la presentación de observaciones de los oferentes era el día 30 de marzo de 2004 hasta las 3:00 p.m.</w:t>
      </w:r>
    </w:p>
    <w:p w:rsidR="00F639AF" w:rsidRPr="00BF4097" w:rsidRDefault="00F639AF" w:rsidP="00BF4097">
      <w:pPr>
        <w:widowControl w:val="0"/>
        <w:tabs>
          <w:tab w:val="left" w:pos="142"/>
        </w:tabs>
        <w:overflowPunct w:val="0"/>
        <w:adjustRightInd w:val="0"/>
        <w:spacing w:line="276" w:lineRule="auto"/>
        <w:rPr>
          <w:rFonts w:ascii="Arial" w:eastAsia="Times New Roman" w:hAnsi="Arial" w:cs="Arial"/>
          <w:kern w:val="28"/>
          <w:sz w:val="24"/>
          <w:szCs w:val="24"/>
          <w:lang w:eastAsia="es-CO"/>
        </w:rPr>
      </w:pPr>
    </w:p>
    <w:p w:rsidR="00F639AF" w:rsidRPr="00BF4097" w:rsidRDefault="00F639AF" w:rsidP="00BF4097">
      <w:pPr>
        <w:numPr>
          <w:ilvl w:val="1"/>
          <w:numId w:val="27"/>
        </w:numPr>
        <w:tabs>
          <w:tab w:val="left" w:pos="142"/>
        </w:tabs>
        <w:spacing w:line="276" w:lineRule="auto"/>
        <w:ind w:left="0" w:firstLine="0"/>
        <w:jc w:val="both"/>
        <w:rPr>
          <w:rFonts w:ascii="Arial" w:eastAsia="Times New Roman" w:hAnsi="Arial" w:cs="Arial"/>
          <w:sz w:val="24"/>
          <w:szCs w:val="24"/>
          <w:lang w:eastAsia="es-ES"/>
        </w:rPr>
      </w:pPr>
      <w:r w:rsidRPr="00BF4097">
        <w:rPr>
          <w:rFonts w:ascii="Arial" w:eastAsia="Times New Roman" w:hAnsi="Arial" w:cs="Arial"/>
          <w:sz w:val="24"/>
          <w:szCs w:val="24"/>
          <w:lang w:eastAsia="es-ES"/>
        </w:rPr>
        <w:t>De conformidad con la demanda interpuesta por la firma RMR Construcciones S. en C. y otros (</w:t>
      </w:r>
      <w:proofErr w:type="spellStart"/>
      <w:r w:rsidRPr="00BF4097">
        <w:rPr>
          <w:rFonts w:ascii="Arial" w:eastAsia="Times New Roman" w:hAnsi="Arial" w:cs="Arial"/>
          <w:sz w:val="24"/>
          <w:szCs w:val="24"/>
          <w:lang w:eastAsia="es-ES"/>
        </w:rPr>
        <w:t>exp</w:t>
      </w:r>
      <w:proofErr w:type="spellEnd"/>
      <w:r w:rsidRPr="00BF4097">
        <w:rPr>
          <w:rFonts w:ascii="Arial" w:eastAsia="Times New Roman" w:hAnsi="Arial" w:cs="Arial"/>
          <w:sz w:val="24"/>
          <w:szCs w:val="24"/>
          <w:lang w:eastAsia="es-ES"/>
        </w:rPr>
        <w:t>. 2004-01700), la Unión Temporal Palenquero presentó observaciones a la propuesta del Consorcio Yuma el 30 de marzo a las 11:05 a.m. Por su parte, el Consorcio Yuma presentó sus observaciones vía fax, el mismo día a las 3:20 p.m. y en medio físico a las 9:00 a.m. del día siguiente.</w:t>
      </w:r>
    </w:p>
    <w:p w:rsidR="00F639AF" w:rsidRPr="00BF4097" w:rsidRDefault="00F639AF" w:rsidP="00BF4097">
      <w:pPr>
        <w:widowControl w:val="0"/>
        <w:tabs>
          <w:tab w:val="left" w:pos="142"/>
        </w:tabs>
        <w:overflowPunct w:val="0"/>
        <w:adjustRightInd w:val="0"/>
        <w:spacing w:line="276" w:lineRule="auto"/>
        <w:rPr>
          <w:rFonts w:ascii="Arial" w:eastAsia="Times New Roman" w:hAnsi="Arial" w:cs="Arial"/>
          <w:kern w:val="28"/>
          <w:sz w:val="24"/>
          <w:szCs w:val="24"/>
          <w:lang w:eastAsia="es-CO"/>
        </w:rPr>
      </w:pPr>
    </w:p>
    <w:p w:rsidR="00F639AF" w:rsidRPr="00BF4097" w:rsidRDefault="00F639AF" w:rsidP="00BF4097">
      <w:pPr>
        <w:numPr>
          <w:ilvl w:val="1"/>
          <w:numId w:val="27"/>
        </w:numPr>
        <w:tabs>
          <w:tab w:val="left" w:pos="142"/>
        </w:tabs>
        <w:spacing w:line="276" w:lineRule="auto"/>
        <w:ind w:left="0" w:firstLine="0"/>
        <w:jc w:val="both"/>
        <w:rPr>
          <w:rFonts w:ascii="Arial" w:eastAsia="Times New Roman" w:hAnsi="Arial" w:cs="Arial"/>
          <w:sz w:val="24"/>
          <w:szCs w:val="24"/>
          <w:lang w:eastAsia="es-ES"/>
        </w:rPr>
      </w:pPr>
      <w:r w:rsidRPr="00BF4097">
        <w:rPr>
          <w:rFonts w:ascii="Arial" w:eastAsia="Times New Roman" w:hAnsi="Arial" w:cs="Arial"/>
          <w:sz w:val="24"/>
          <w:szCs w:val="24"/>
          <w:lang w:eastAsia="es-ES"/>
        </w:rPr>
        <w:t>Llegado el día 13 de abril de 2004, fijado para la celebración de la audiencia de adjudicación, el FORFA decidió suspenderla por cuanto, de las observaciones allegadas por el Consorcio Yuma, se infería una posible violación a los principios de igualdad, transparencia y selección objetiva, comoquiera que se observó un tratamiento preferencial para la Unión Temporal Palanquero 2004, relacionado con el otorgamiento de mayor información que la prodigada a sus contendores durante el periodo de venta de los pliegos.</w:t>
      </w:r>
    </w:p>
    <w:p w:rsidR="00F639AF" w:rsidRPr="00BF4097" w:rsidRDefault="00F639AF" w:rsidP="00BF4097">
      <w:pPr>
        <w:widowControl w:val="0"/>
        <w:tabs>
          <w:tab w:val="left" w:pos="142"/>
        </w:tabs>
        <w:overflowPunct w:val="0"/>
        <w:adjustRightInd w:val="0"/>
        <w:spacing w:line="276" w:lineRule="auto"/>
        <w:rPr>
          <w:rFonts w:ascii="Arial" w:eastAsia="Times New Roman" w:hAnsi="Arial" w:cs="Arial"/>
          <w:kern w:val="28"/>
          <w:sz w:val="24"/>
          <w:szCs w:val="24"/>
          <w:lang w:eastAsia="es-CO"/>
        </w:rPr>
      </w:pPr>
    </w:p>
    <w:p w:rsidR="00F639AF" w:rsidRPr="00BF4097" w:rsidRDefault="00F639AF" w:rsidP="00BF4097">
      <w:pPr>
        <w:numPr>
          <w:ilvl w:val="1"/>
          <w:numId w:val="27"/>
        </w:numPr>
        <w:tabs>
          <w:tab w:val="left" w:pos="142"/>
        </w:tabs>
        <w:spacing w:line="276" w:lineRule="auto"/>
        <w:ind w:left="0" w:firstLine="0"/>
        <w:jc w:val="both"/>
        <w:rPr>
          <w:rFonts w:ascii="Arial" w:eastAsia="Times New Roman" w:hAnsi="Arial" w:cs="Arial"/>
          <w:sz w:val="24"/>
          <w:szCs w:val="24"/>
          <w:lang w:eastAsia="es-ES"/>
        </w:rPr>
      </w:pPr>
      <w:r w:rsidRPr="00BF4097">
        <w:rPr>
          <w:rFonts w:ascii="Arial" w:eastAsia="Times New Roman" w:hAnsi="Arial" w:cs="Arial"/>
          <w:sz w:val="24"/>
          <w:szCs w:val="24"/>
          <w:lang w:eastAsia="es-ES"/>
        </w:rPr>
        <w:t xml:space="preserve">El 24 de junio de 2004, el Procurador Delegado para la Vigilancia Preventiva dio su concepto favorable para la continuación de la audiencia de adjudicación y ordenó archivar las diligencias al considerar que no había lugar al control preventivo. </w:t>
      </w:r>
    </w:p>
    <w:p w:rsidR="00F639AF" w:rsidRPr="00BF4097" w:rsidRDefault="00F639AF" w:rsidP="00BF4097">
      <w:pPr>
        <w:widowControl w:val="0"/>
        <w:tabs>
          <w:tab w:val="left" w:pos="142"/>
        </w:tabs>
        <w:overflowPunct w:val="0"/>
        <w:adjustRightInd w:val="0"/>
        <w:spacing w:line="276" w:lineRule="auto"/>
        <w:rPr>
          <w:rFonts w:ascii="Arial" w:eastAsia="Times New Roman" w:hAnsi="Arial" w:cs="Arial"/>
          <w:kern w:val="28"/>
          <w:sz w:val="24"/>
          <w:szCs w:val="24"/>
          <w:lang w:eastAsia="es-CO"/>
        </w:rPr>
      </w:pPr>
    </w:p>
    <w:p w:rsidR="00F639AF" w:rsidRPr="00BF4097" w:rsidRDefault="00F639AF" w:rsidP="00BF4097">
      <w:pPr>
        <w:numPr>
          <w:ilvl w:val="1"/>
          <w:numId w:val="27"/>
        </w:numPr>
        <w:tabs>
          <w:tab w:val="left" w:pos="142"/>
        </w:tabs>
        <w:spacing w:line="276" w:lineRule="auto"/>
        <w:ind w:left="0" w:firstLine="0"/>
        <w:jc w:val="both"/>
        <w:rPr>
          <w:rFonts w:ascii="Arial" w:eastAsia="Times New Roman" w:hAnsi="Arial" w:cs="Arial"/>
          <w:sz w:val="24"/>
          <w:szCs w:val="24"/>
          <w:lang w:eastAsia="es-ES"/>
        </w:rPr>
      </w:pPr>
      <w:r w:rsidRPr="00BF4097">
        <w:rPr>
          <w:rFonts w:ascii="Arial" w:eastAsia="Times New Roman" w:hAnsi="Arial" w:cs="Arial"/>
          <w:sz w:val="24"/>
          <w:szCs w:val="24"/>
          <w:lang w:eastAsia="es-ES"/>
        </w:rPr>
        <w:t xml:space="preserve">El 30 de junio siguiente, se reanudó la audiencia y mediante resolución No. 272 de 2004 proferida por la Directora General de la entidad, declaró desierta la licitación y ordenó la apertura de un proceso de contratación directa. Decisión confirmada mediante la resolución No. 291 de 13 de julio de 2004. </w:t>
      </w:r>
    </w:p>
    <w:p w:rsidR="00F639AF" w:rsidRPr="00BF4097" w:rsidRDefault="00F639AF" w:rsidP="00BF4097">
      <w:pPr>
        <w:widowControl w:val="0"/>
        <w:tabs>
          <w:tab w:val="left" w:pos="142"/>
        </w:tabs>
        <w:overflowPunct w:val="0"/>
        <w:adjustRightInd w:val="0"/>
        <w:spacing w:line="276" w:lineRule="auto"/>
        <w:rPr>
          <w:rFonts w:ascii="Arial" w:eastAsia="Times New Roman" w:hAnsi="Arial" w:cs="Arial"/>
          <w:kern w:val="28"/>
          <w:sz w:val="24"/>
          <w:szCs w:val="24"/>
          <w:lang w:eastAsia="es-CO"/>
        </w:rPr>
      </w:pPr>
    </w:p>
    <w:p w:rsidR="00F639AF" w:rsidRPr="00BF4097" w:rsidRDefault="00F639AF" w:rsidP="00BF4097">
      <w:pPr>
        <w:numPr>
          <w:ilvl w:val="1"/>
          <w:numId w:val="27"/>
        </w:numPr>
        <w:tabs>
          <w:tab w:val="left" w:pos="142"/>
        </w:tabs>
        <w:spacing w:line="276" w:lineRule="auto"/>
        <w:ind w:left="0" w:firstLine="0"/>
        <w:jc w:val="both"/>
        <w:rPr>
          <w:rFonts w:ascii="Arial" w:eastAsia="Times New Roman" w:hAnsi="Arial" w:cs="Arial"/>
          <w:sz w:val="24"/>
          <w:szCs w:val="24"/>
          <w:lang w:eastAsia="es-ES"/>
        </w:rPr>
      </w:pPr>
      <w:r w:rsidRPr="00BF4097">
        <w:rPr>
          <w:rFonts w:ascii="Arial" w:eastAsia="Times New Roman" w:hAnsi="Arial" w:cs="Arial"/>
          <w:sz w:val="24"/>
          <w:szCs w:val="24"/>
          <w:lang w:eastAsia="es-ES"/>
        </w:rPr>
        <w:t xml:space="preserve"> En consecuencia, las demandantes sostienen que el Fondo Rotatorio de la Fuerza Aérea - FORFA les negó la posibilidad de ser adjudicatarias de la licitación pública No. 08-FORFA-2004. Así, mientras los miembros de la Unión Temporal Palenquero alegan que fue dicha proponente la única que actúo dentro de los tiempos establecidos durante el proceso licitatorio, Squadra Ltda. en calidad de miembro del Consorcio Yuma, señala</w:t>
      </w:r>
      <w:r w:rsidRPr="00BF4097">
        <w:rPr>
          <w:rFonts w:ascii="Arial" w:eastAsia="Times New Roman" w:hAnsi="Arial" w:cs="Arial"/>
          <w:sz w:val="24"/>
          <w:szCs w:val="24"/>
          <w:lang w:val="x-none" w:eastAsia="es-ES"/>
        </w:rPr>
        <w:t xml:space="preserve"> </w:t>
      </w:r>
      <w:r w:rsidRPr="00BF4097">
        <w:rPr>
          <w:rFonts w:ascii="Arial" w:eastAsia="Times New Roman" w:hAnsi="Arial" w:cs="Arial"/>
          <w:sz w:val="24"/>
          <w:szCs w:val="24"/>
          <w:lang w:eastAsia="es-ES"/>
        </w:rPr>
        <w:t>que el FORFA vulneró sus derechos, dado que su propuesta fue la mejor calificada dentro del proceso de licitación pública, por lo que el contrato debió serle adjudicado.</w:t>
      </w:r>
    </w:p>
    <w:p w:rsidR="00F639AF" w:rsidRPr="00BF4097" w:rsidRDefault="00F639AF" w:rsidP="00BF4097">
      <w:pPr>
        <w:tabs>
          <w:tab w:val="left" w:pos="142"/>
        </w:tabs>
        <w:spacing w:line="276" w:lineRule="auto"/>
        <w:jc w:val="both"/>
        <w:rPr>
          <w:rFonts w:ascii="Arial" w:eastAsia="Times New Roman" w:hAnsi="Arial" w:cs="Arial"/>
          <w:sz w:val="24"/>
          <w:szCs w:val="24"/>
          <w:lang w:eastAsia="es-ES"/>
        </w:rPr>
      </w:pPr>
    </w:p>
    <w:p w:rsidR="00F639AF" w:rsidRPr="00BF4097" w:rsidRDefault="00F639AF" w:rsidP="00BF4097">
      <w:pPr>
        <w:numPr>
          <w:ilvl w:val="0"/>
          <w:numId w:val="27"/>
        </w:numPr>
        <w:tabs>
          <w:tab w:val="left" w:pos="142"/>
        </w:tabs>
        <w:spacing w:line="276" w:lineRule="auto"/>
        <w:ind w:left="0"/>
        <w:jc w:val="both"/>
        <w:rPr>
          <w:rFonts w:ascii="Arial" w:eastAsia="Times New Roman" w:hAnsi="Arial" w:cs="Arial"/>
          <w:b/>
          <w:sz w:val="24"/>
          <w:szCs w:val="24"/>
          <w:lang w:eastAsia="es-ES"/>
        </w:rPr>
      </w:pPr>
      <w:r w:rsidRPr="00BF4097">
        <w:rPr>
          <w:rFonts w:ascii="Arial" w:eastAsia="Times New Roman" w:hAnsi="Arial" w:cs="Arial"/>
          <w:b/>
          <w:sz w:val="24"/>
          <w:szCs w:val="24"/>
          <w:lang w:eastAsia="es-ES"/>
        </w:rPr>
        <w:t xml:space="preserve"> Normas violadas y concepto de la violación</w:t>
      </w:r>
    </w:p>
    <w:p w:rsidR="00F639AF" w:rsidRPr="00BF4097" w:rsidRDefault="00F639AF" w:rsidP="00BF4097">
      <w:pPr>
        <w:tabs>
          <w:tab w:val="left" w:pos="142"/>
        </w:tabs>
        <w:spacing w:line="276" w:lineRule="auto"/>
        <w:jc w:val="both"/>
        <w:rPr>
          <w:rFonts w:ascii="Arial" w:eastAsia="Times New Roman" w:hAnsi="Arial" w:cs="Arial"/>
          <w:b/>
          <w:sz w:val="24"/>
          <w:szCs w:val="24"/>
          <w:lang w:eastAsia="es-ES"/>
        </w:rPr>
      </w:pP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r w:rsidRPr="00BF4097">
        <w:rPr>
          <w:rFonts w:ascii="Arial" w:eastAsia="Times New Roman" w:hAnsi="Arial" w:cs="Arial"/>
          <w:sz w:val="24"/>
          <w:szCs w:val="24"/>
          <w:lang w:val="es-ES" w:eastAsia="es-ES"/>
        </w:rPr>
        <w:t xml:space="preserve">Para la prosperidad de las pretensiones los demandantes expusieron las siguientes razones: </w:t>
      </w: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p>
    <w:p w:rsidR="00F639AF" w:rsidRPr="00BF4097" w:rsidRDefault="00F639AF" w:rsidP="00BF4097">
      <w:pPr>
        <w:numPr>
          <w:ilvl w:val="1"/>
          <w:numId w:val="27"/>
        </w:numPr>
        <w:tabs>
          <w:tab w:val="left" w:pos="142"/>
        </w:tabs>
        <w:spacing w:line="276" w:lineRule="auto"/>
        <w:ind w:left="0" w:firstLine="0"/>
        <w:jc w:val="both"/>
        <w:rPr>
          <w:rFonts w:ascii="Arial" w:eastAsia="Times New Roman" w:hAnsi="Arial" w:cs="Arial"/>
          <w:sz w:val="24"/>
          <w:szCs w:val="24"/>
          <w:lang w:val="es-ES" w:eastAsia="es-ES"/>
        </w:rPr>
      </w:pPr>
      <w:r w:rsidRPr="00BF4097">
        <w:rPr>
          <w:rFonts w:ascii="Arial" w:eastAsia="Times New Roman" w:hAnsi="Arial" w:cs="Arial"/>
          <w:b/>
          <w:sz w:val="24"/>
          <w:szCs w:val="24"/>
          <w:lang w:val="es-ES" w:eastAsia="es-ES"/>
        </w:rPr>
        <w:t>Expediente 2004-01700 – Demanda de la sociedad RMR construcciones S en C y otros</w:t>
      </w: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p>
    <w:p w:rsidR="00F639AF" w:rsidRPr="00BF4097" w:rsidRDefault="00F639AF" w:rsidP="00BF4097">
      <w:pPr>
        <w:numPr>
          <w:ilvl w:val="2"/>
          <w:numId w:val="27"/>
        </w:numPr>
        <w:tabs>
          <w:tab w:val="left" w:pos="142"/>
        </w:tabs>
        <w:spacing w:line="276" w:lineRule="auto"/>
        <w:ind w:left="0" w:firstLine="0"/>
        <w:jc w:val="both"/>
        <w:rPr>
          <w:rFonts w:ascii="Arial" w:eastAsia="Times New Roman" w:hAnsi="Arial" w:cs="Arial"/>
          <w:i/>
          <w:sz w:val="24"/>
          <w:szCs w:val="24"/>
          <w:lang w:val="es-ES" w:eastAsia="es-ES"/>
        </w:rPr>
      </w:pPr>
      <w:r w:rsidRPr="00BF4097">
        <w:rPr>
          <w:rFonts w:ascii="Arial" w:eastAsia="Times New Roman" w:hAnsi="Arial" w:cs="Arial"/>
          <w:i/>
          <w:sz w:val="24"/>
          <w:szCs w:val="24"/>
          <w:lang w:val="es-ES" w:eastAsia="es-ES"/>
        </w:rPr>
        <w:t>Desconocimiento de las normas constitucionales y legales en que debió fundarse</w:t>
      </w: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r w:rsidRPr="00BF4097">
        <w:rPr>
          <w:rFonts w:ascii="Arial" w:eastAsia="Times New Roman" w:hAnsi="Arial" w:cs="Arial"/>
          <w:sz w:val="24"/>
          <w:szCs w:val="24"/>
          <w:lang w:val="es-ES" w:eastAsia="es-ES"/>
        </w:rPr>
        <w:t>Acusó el demandante que las irregularidades en el procedimiento desconocieron el principio de legalidad, en que debía fundarse su actuación y con ello, desconocieron los artículos 1, 2, 6, 13, 29, 90 y 209 de la Constitución Política, así como los artículos 1, 23, 25, 26, 29 y 30 de la Ley 80 de 1993.  Lo anterior, por cuanto la declaratoria de desierta de la licitación se fundó en las observaciones extemporáneas presentadas por el Consorcio Yuma, al tiempo que se desconoció que dicha decisión, conforme a la ley, sólo puede ser adoptada cuando sea imposible la selección objetiva del contratista, supuesto que no se probó en el caso concreto, toda vez que la Unión Temporal Palenquero 2004 en cuanto obtuvo el mejor puntaje tenía el derecho de ser adjudicataria del contrato. Actuación que desconoció sus derechos de defensa y al debido proceso, así como el principio de buena fe, comoquiera que se censuró la obtención de mayor información por parte de la Unión Temporal Palenquero 2004, cuando la misma fue otorgada de manera autónoma por la entidad y obraba en los pliegos de condiciones publicados en la página web, de donde, a su parecer, la decisión se fundó en la presunción de mala fe del proponente. Igualmente, consideró vulnerados los principios de transparencia y economía.</w:t>
      </w: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p>
    <w:p w:rsidR="00F639AF" w:rsidRPr="00BF4097" w:rsidRDefault="00F639AF" w:rsidP="00BF4097">
      <w:pPr>
        <w:numPr>
          <w:ilvl w:val="2"/>
          <w:numId w:val="27"/>
        </w:numPr>
        <w:tabs>
          <w:tab w:val="left" w:pos="142"/>
        </w:tabs>
        <w:spacing w:line="276" w:lineRule="auto"/>
        <w:ind w:left="0"/>
        <w:jc w:val="both"/>
        <w:rPr>
          <w:rFonts w:ascii="Arial" w:eastAsia="Times New Roman" w:hAnsi="Arial" w:cs="Arial"/>
          <w:i/>
          <w:sz w:val="24"/>
          <w:szCs w:val="24"/>
          <w:lang w:val="es-ES" w:eastAsia="es-ES"/>
        </w:rPr>
      </w:pPr>
      <w:r w:rsidRPr="00BF4097">
        <w:rPr>
          <w:rFonts w:ascii="Arial" w:eastAsia="Times New Roman" w:hAnsi="Arial" w:cs="Arial"/>
          <w:i/>
          <w:sz w:val="24"/>
          <w:szCs w:val="24"/>
          <w:lang w:val="es-ES" w:eastAsia="es-ES"/>
        </w:rPr>
        <w:t>Falsa motivación</w:t>
      </w: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r w:rsidRPr="00BF4097">
        <w:rPr>
          <w:rFonts w:ascii="Arial" w:eastAsia="Times New Roman" w:hAnsi="Arial" w:cs="Arial"/>
          <w:sz w:val="24"/>
          <w:szCs w:val="24"/>
          <w:lang w:val="es-ES" w:eastAsia="es-ES"/>
        </w:rPr>
        <w:t>Toda vez que los motivos que dieron lugar a la adopción de la decisión adolecieron de falta de seriedad y contundencia, al punto que la presunta mayor información recibida por la Unión Temporal Palenquero 2004 obraba también en el pliego de condiciones y no afectaba la legalidad ni la equidad en el proceso licitatorio, tal como señaló el concepto rendido por la Procuraduría. De donde, la irregularidad observada por el consorcio Yuma no tenía la entidad suficiente para considerar imposible la selección objetiva y declarar desierto el proceso licitatorio.</w:t>
      </w: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p>
    <w:p w:rsidR="00F639AF" w:rsidRPr="00BF4097" w:rsidRDefault="00F639AF" w:rsidP="00BF4097">
      <w:pPr>
        <w:numPr>
          <w:ilvl w:val="1"/>
          <w:numId w:val="27"/>
        </w:numPr>
        <w:tabs>
          <w:tab w:val="left" w:pos="142"/>
        </w:tabs>
        <w:spacing w:line="276" w:lineRule="auto"/>
        <w:ind w:left="0" w:firstLine="0"/>
        <w:jc w:val="both"/>
        <w:rPr>
          <w:rFonts w:ascii="Arial" w:eastAsia="Times New Roman" w:hAnsi="Arial" w:cs="Arial"/>
          <w:b/>
          <w:sz w:val="24"/>
          <w:szCs w:val="24"/>
          <w:lang w:val="es-ES" w:eastAsia="es-ES"/>
        </w:rPr>
      </w:pPr>
      <w:r w:rsidRPr="00BF4097">
        <w:rPr>
          <w:rFonts w:ascii="Arial" w:eastAsia="Times New Roman" w:hAnsi="Arial" w:cs="Arial"/>
          <w:b/>
          <w:sz w:val="24"/>
          <w:szCs w:val="24"/>
          <w:lang w:val="es-ES" w:eastAsia="es-ES"/>
        </w:rPr>
        <w:t>Expediente 2004-02423 – Demanda de la sociedad Squadra Ltda.</w:t>
      </w:r>
    </w:p>
    <w:p w:rsidR="00F639AF" w:rsidRPr="00BF4097" w:rsidRDefault="00F639AF" w:rsidP="00BF4097">
      <w:pPr>
        <w:tabs>
          <w:tab w:val="left" w:pos="142"/>
        </w:tabs>
        <w:spacing w:line="276" w:lineRule="auto"/>
        <w:jc w:val="both"/>
        <w:rPr>
          <w:rFonts w:ascii="Arial" w:eastAsia="Times New Roman" w:hAnsi="Arial" w:cs="Arial"/>
          <w:b/>
          <w:sz w:val="24"/>
          <w:szCs w:val="24"/>
          <w:lang w:val="es-ES" w:eastAsia="es-ES"/>
        </w:rPr>
      </w:pPr>
    </w:p>
    <w:p w:rsidR="00F639AF" w:rsidRPr="00BF4097" w:rsidRDefault="00F639AF" w:rsidP="00BF4097">
      <w:pPr>
        <w:numPr>
          <w:ilvl w:val="2"/>
          <w:numId w:val="27"/>
        </w:numPr>
        <w:tabs>
          <w:tab w:val="left" w:pos="142"/>
        </w:tabs>
        <w:spacing w:line="276" w:lineRule="auto"/>
        <w:ind w:left="0" w:firstLine="0"/>
        <w:jc w:val="both"/>
        <w:rPr>
          <w:rFonts w:ascii="Arial" w:eastAsia="Times New Roman" w:hAnsi="Arial" w:cs="Arial"/>
          <w:i/>
          <w:sz w:val="24"/>
          <w:szCs w:val="24"/>
          <w:lang w:val="es-ES" w:eastAsia="es-ES"/>
        </w:rPr>
      </w:pPr>
      <w:r w:rsidRPr="00BF4097">
        <w:rPr>
          <w:rFonts w:ascii="Arial" w:eastAsia="Times New Roman" w:hAnsi="Arial" w:cs="Arial"/>
          <w:i/>
          <w:sz w:val="24"/>
          <w:szCs w:val="24"/>
          <w:lang w:val="es-ES" w:eastAsia="es-ES"/>
        </w:rPr>
        <w:t>Violación de los principios de igualdad y transparencia por parte del FORFA</w:t>
      </w: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r w:rsidRPr="00BF4097">
        <w:rPr>
          <w:rFonts w:ascii="Arial" w:eastAsia="Times New Roman" w:hAnsi="Arial" w:cs="Arial"/>
          <w:sz w:val="24"/>
          <w:szCs w:val="24"/>
          <w:lang w:val="es-ES" w:eastAsia="es-ES"/>
        </w:rPr>
        <w:t>A juicio de la sociedad</w:t>
      </w:r>
      <w:r w:rsidRPr="00BF4097">
        <w:rPr>
          <w:rFonts w:ascii="Arial" w:eastAsia="Times New Roman" w:hAnsi="Arial" w:cs="Arial"/>
          <w:b/>
          <w:sz w:val="24"/>
          <w:szCs w:val="24"/>
          <w:lang w:val="es-ES" w:eastAsia="es-ES"/>
        </w:rPr>
        <w:t xml:space="preserve"> </w:t>
      </w:r>
      <w:r w:rsidRPr="00BF4097">
        <w:rPr>
          <w:rFonts w:ascii="Arial" w:eastAsia="Times New Roman" w:hAnsi="Arial" w:cs="Arial"/>
          <w:sz w:val="24"/>
          <w:szCs w:val="24"/>
          <w:lang w:val="es-ES" w:eastAsia="es-ES"/>
        </w:rPr>
        <w:t>Squadra Ltda., el FORFA transgredió los principios de transparencia e igualdad que deben regir todo proceso de licitación pública, pues a sabiendas de que uno de los oferentes, la Unión Temporal Palenquero 2004, había obtenido mayor información que le facilitó la elaboración de su propuesta, declaró desierta la licitación pública nº. 08-FORFA-2004 mediante resolución nº. 272 de 29 de junio de 2004, cuando lo procedente era que advertida tal irregularidad, rechazara solamente la propuesta de la Unión Temporal Palenquero 2004 y adjudicara la licitación al Consorcio Yuma.</w:t>
      </w: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p>
    <w:p w:rsidR="00F639AF" w:rsidRPr="00BF4097" w:rsidRDefault="00F639AF" w:rsidP="00BF4097">
      <w:pPr>
        <w:numPr>
          <w:ilvl w:val="0"/>
          <w:numId w:val="27"/>
        </w:numPr>
        <w:tabs>
          <w:tab w:val="left" w:pos="142"/>
        </w:tabs>
        <w:spacing w:line="276" w:lineRule="auto"/>
        <w:ind w:left="0"/>
        <w:jc w:val="both"/>
        <w:rPr>
          <w:rFonts w:ascii="Arial" w:eastAsia="Times New Roman" w:hAnsi="Arial" w:cs="Arial"/>
          <w:b/>
          <w:sz w:val="24"/>
          <w:szCs w:val="24"/>
          <w:lang w:eastAsia="es-ES"/>
        </w:rPr>
      </w:pPr>
      <w:r w:rsidRPr="00BF4097">
        <w:rPr>
          <w:rFonts w:ascii="Arial" w:eastAsia="Times New Roman" w:hAnsi="Arial" w:cs="Arial"/>
          <w:b/>
          <w:sz w:val="24"/>
          <w:szCs w:val="24"/>
          <w:lang w:eastAsia="es-ES"/>
        </w:rPr>
        <w:t>Lo que se pretende</w:t>
      </w:r>
    </w:p>
    <w:p w:rsidR="00F639AF" w:rsidRPr="00BF4097" w:rsidRDefault="00F639AF" w:rsidP="00BF4097">
      <w:pPr>
        <w:tabs>
          <w:tab w:val="left" w:pos="142"/>
        </w:tabs>
        <w:spacing w:line="276" w:lineRule="auto"/>
        <w:jc w:val="both"/>
        <w:rPr>
          <w:rFonts w:ascii="Arial" w:eastAsia="Times New Roman" w:hAnsi="Arial" w:cs="Arial"/>
          <w:b/>
          <w:sz w:val="24"/>
          <w:szCs w:val="24"/>
          <w:lang w:eastAsia="es-ES"/>
        </w:rPr>
      </w:pPr>
    </w:p>
    <w:p w:rsidR="00F639AF" w:rsidRPr="00BF4097" w:rsidRDefault="00F639AF" w:rsidP="00BF4097">
      <w:pPr>
        <w:numPr>
          <w:ilvl w:val="1"/>
          <w:numId w:val="27"/>
        </w:numPr>
        <w:tabs>
          <w:tab w:val="left" w:pos="142"/>
        </w:tabs>
        <w:spacing w:line="276" w:lineRule="auto"/>
        <w:ind w:left="0" w:firstLine="0"/>
        <w:jc w:val="both"/>
        <w:rPr>
          <w:rFonts w:ascii="Arial" w:eastAsia="Times New Roman" w:hAnsi="Arial" w:cs="Arial"/>
          <w:b/>
          <w:sz w:val="24"/>
          <w:szCs w:val="24"/>
          <w:lang w:eastAsia="es-ES"/>
        </w:rPr>
      </w:pPr>
      <w:r w:rsidRPr="00BF4097">
        <w:rPr>
          <w:rFonts w:ascii="Arial" w:eastAsia="Times New Roman" w:hAnsi="Arial" w:cs="Arial"/>
          <w:b/>
          <w:sz w:val="24"/>
          <w:szCs w:val="24"/>
          <w:lang w:eastAsia="es-ES"/>
        </w:rPr>
        <w:t>Expediente 2004-01700</w:t>
      </w:r>
    </w:p>
    <w:p w:rsidR="00F639AF" w:rsidRPr="00BF4097" w:rsidRDefault="00F639AF" w:rsidP="00BF4097">
      <w:pPr>
        <w:tabs>
          <w:tab w:val="left" w:pos="142"/>
        </w:tabs>
        <w:spacing w:line="276" w:lineRule="auto"/>
        <w:jc w:val="both"/>
        <w:rPr>
          <w:rFonts w:ascii="Arial" w:eastAsia="Times New Roman" w:hAnsi="Arial" w:cs="Arial"/>
          <w:b/>
          <w:sz w:val="24"/>
          <w:szCs w:val="24"/>
          <w:lang w:eastAsia="es-ES"/>
        </w:rPr>
      </w:pPr>
    </w:p>
    <w:p w:rsidR="00F639AF" w:rsidRPr="00BF4097" w:rsidRDefault="00F639AF" w:rsidP="00BF4097">
      <w:pPr>
        <w:tabs>
          <w:tab w:val="left" w:pos="142"/>
        </w:tabs>
        <w:spacing w:line="276" w:lineRule="auto"/>
        <w:jc w:val="both"/>
        <w:rPr>
          <w:rFonts w:ascii="Arial" w:eastAsia="Times New Roman" w:hAnsi="Arial" w:cs="Arial"/>
          <w:sz w:val="24"/>
          <w:szCs w:val="24"/>
          <w:lang w:eastAsia="es-ES"/>
        </w:rPr>
      </w:pPr>
      <w:r w:rsidRPr="00BF4097">
        <w:rPr>
          <w:rFonts w:ascii="Arial" w:eastAsia="Times New Roman" w:hAnsi="Arial" w:cs="Arial"/>
          <w:sz w:val="24"/>
          <w:szCs w:val="24"/>
          <w:lang w:eastAsia="es-ES"/>
        </w:rPr>
        <w:t xml:space="preserve">Con fundamento en lo expuesto, la firma RMR CONSTRUCCIONES S. EN C., CÉSAR AUGUSTO BRICEÑO SALAS, la firma H ROJAS Y ASOCIADOS LTDA. y HÉCTOR DANIEL SANTIAGO MURCIA, integrantes de la UNIÓN TEMPORAL PALENQUERO mediante apoderado, formulan en contra de la Nación-Ministerio de Defensa Nacional-Fondo Rotatorio de la Fuerza Aérea Colombiana (FORFA), demanda de nulidad y restablecimiento del derecho. Solicitan las siguientes declaraciones y condenas (fol. 45, c. 1., </w:t>
      </w:r>
      <w:proofErr w:type="spellStart"/>
      <w:r w:rsidRPr="00BF4097">
        <w:rPr>
          <w:rFonts w:ascii="Arial" w:eastAsia="Times New Roman" w:hAnsi="Arial" w:cs="Arial"/>
          <w:sz w:val="24"/>
          <w:szCs w:val="24"/>
          <w:lang w:eastAsia="es-ES"/>
        </w:rPr>
        <w:t>exp</w:t>
      </w:r>
      <w:proofErr w:type="spellEnd"/>
      <w:r w:rsidRPr="00BF4097">
        <w:rPr>
          <w:rFonts w:ascii="Arial" w:eastAsia="Times New Roman" w:hAnsi="Arial" w:cs="Arial"/>
          <w:sz w:val="24"/>
          <w:szCs w:val="24"/>
          <w:lang w:eastAsia="es-ES"/>
        </w:rPr>
        <w:t>. 2004 - 01700):</w:t>
      </w:r>
    </w:p>
    <w:p w:rsidR="00F639AF" w:rsidRPr="00BF4097" w:rsidRDefault="00F639AF" w:rsidP="00BF4097">
      <w:pPr>
        <w:tabs>
          <w:tab w:val="left" w:pos="142"/>
        </w:tabs>
        <w:spacing w:line="276" w:lineRule="auto"/>
        <w:jc w:val="both"/>
        <w:rPr>
          <w:rFonts w:ascii="Arial" w:eastAsia="Times New Roman" w:hAnsi="Arial" w:cs="Arial"/>
          <w:sz w:val="24"/>
          <w:szCs w:val="24"/>
          <w:lang w:eastAsia="es-ES"/>
        </w:rPr>
      </w:pPr>
    </w:p>
    <w:p w:rsidR="00F639AF" w:rsidRPr="00BF4097" w:rsidRDefault="00F639AF" w:rsidP="00BF4097">
      <w:pPr>
        <w:tabs>
          <w:tab w:val="left" w:pos="142"/>
          <w:tab w:val="left" w:pos="567"/>
          <w:tab w:val="left" w:pos="851"/>
        </w:tabs>
        <w:jc w:val="both"/>
        <w:rPr>
          <w:rFonts w:ascii="Arial" w:eastAsia="Times New Roman" w:hAnsi="Arial" w:cs="Arial"/>
          <w:i/>
          <w:sz w:val="24"/>
          <w:szCs w:val="24"/>
          <w:lang w:eastAsia="es-ES"/>
        </w:rPr>
      </w:pPr>
      <w:r w:rsidRPr="00BF4097">
        <w:rPr>
          <w:rFonts w:ascii="Arial" w:eastAsia="Times New Roman" w:hAnsi="Arial" w:cs="Arial"/>
          <w:i/>
          <w:sz w:val="24"/>
          <w:szCs w:val="24"/>
          <w:lang w:eastAsia="es-ES"/>
        </w:rPr>
        <w:t xml:space="preserve">“1. Que es nula la Resolución No. 272 calendada el 29 de junio de 2004, proferida por la Dirección General del Fondo Rotatorio de la Fuerza Aérea Colombiana, mediante la cual resolvió declarar desierta la Licitación Pública 08-FORFA-2004, cuyo objeto fue la construcción del Centro de Instrucción Militar para la Seguridad y Defensa de las Bases Aéreas para el Comando Aéreo de Combate No.1, ubicado en Puerto Salgar, Cundinamarca. </w:t>
      </w:r>
    </w:p>
    <w:p w:rsidR="00F639AF" w:rsidRPr="00BF4097" w:rsidRDefault="00F639AF" w:rsidP="00BF4097">
      <w:pPr>
        <w:tabs>
          <w:tab w:val="left" w:pos="142"/>
          <w:tab w:val="left" w:pos="567"/>
          <w:tab w:val="left" w:pos="851"/>
        </w:tabs>
        <w:jc w:val="both"/>
        <w:rPr>
          <w:rFonts w:ascii="Arial" w:eastAsia="Times New Roman" w:hAnsi="Arial" w:cs="Arial"/>
          <w:i/>
          <w:sz w:val="24"/>
          <w:szCs w:val="24"/>
          <w:lang w:eastAsia="es-ES"/>
        </w:rPr>
      </w:pPr>
    </w:p>
    <w:p w:rsidR="00F639AF" w:rsidRPr="00BF4097" w:rsidRDefault="00F639AF" w:rsidP="00BF4097">
      <w:pPr>
        <w:tabs>
          <w:tab w:val="left" w:pos="142"/>
          <w:tab w:val="left" w:pos="567"/>
          <w:tab w:val="left" w:pos="851"/>
        </w:tabs>
        <w:jc w:val="both"/>
        <w:rPr>
          <w:rFonts w:ascii="Arial" w:eastAsia="Times New Roman" w:hAnsi="Arial" w:cs="Arial"/>
          <w:i/>
          <w:sz w:val="24"/>
          <w:szCs w:val="24"/>
          <w:lang w:eastAsia="es-ES"/>
        </w:rPr>
      </w:pPr>
      <w:r w:rsidRPr="00BF4097">
        <w:rPr>
          <w:rFonts w:ascii="Arial" w:eastAsia="Times New Roman" w:hAnsi="Arial" w:cs="Arial"/>
          <w:i/>
          <w:sz w:val="24"/>
          <w:szCs w:val="24"/>
          <w:lang w:eastAsia="es-ES"/>
        </w:rPr>
        <w:t xml:space="preserve">2. Que es nula la resolución No.291 calendada el 13 de julio de 2004, proferida por la Dirección General del Fondo Rotatorio de la Fuerza Aérea Colombiana, mediante la cual se dispuso confirmar en todas y cada una de sus partes el contenido de la resolución No.272 del 30 de junio de 2004, por medio de la cual se resolvió declarar desierta la licitación pública No. 08-FORFA-2004. </w:t>
      </w:r>
    </w:p>
    <w:p w:rsidR="00F639AF" w:rsidRPr="00BF4097" w:rsidRDefault="00F639AF" w:rsidP="00BF4097">
      <w:pPr>
        <w:tabs>
          <w:tab w:val="left" w:pos="142"/>
          <w:tab w:val="left" w:pos="567"/>
          <w:tab w:val="left" w:pos="851"/>
        </w:tabs>
        <w:jc w:val="both"/>
        <w:rPr>
          <w:rFonts w:ascii="Arial" w:eastAsia="Times New Roman" w:hAnsi="Arial" w:cs="Arial"/>
          <w:i/>
          <w:sz w:val="24"/>
          <w:szCs w:val="24"/>
          <w:lang w:eastAsia="es-ES"/>
        </w:rPr>
      </w:pPr>
    </w:p>
    <w:p w:rsidR="00F639AF" w:rsidRPr="00BF4097" w:rsidRDefault="00F639AF" w:rsidP="00BF4097">
      <w:pPr>
        <w:tabs>
          <w:tab w:val="left" w:pos="142"/>
          <w:tab w:val="left" w:pos="567"/>
          <w:tab w:val="left" w:pos="851"/>
        </w:tabs>
        <w:jc w:val="both"/>
        <w:rPr>
          <w:rFonts w:ascii="Arial" w:eastAsia="Times New Roman" w:hAnsi="Arial" w:cs="Arial"/>
          <w:i/>
          <w:sz w:val="24"/>
          <w:szCs w:val="24"/>
          <w:lang w:eastAsia="es-ES"/>
        </w:rPr>
      </w:pPr>
      <w:r w:rsidRPr="00BF4097">
        <w:rPr>
          <w:rFonts w:ascii="Arial" w:eastAsia="Times New Roman" w:hAnsi="Arial" w:cs="Arial"/>
          <w:i/>
          <w:sz w:val="24"/>
          <w:szCs w:val="24"/>
          <w:lang w:eastAsia="es-ES"/>
        </w:rPr>
        <w:t xml:space="preserve">3. Que como consecuencia de la nulidad y a título de restablecimiento del derecho, se ordene a LA NACIÓN, MINISTERIO DE DEFENSA NACIONAL, FONDO ROTATORIO DE LA FUERZA AÉREA COLOMBIANA, indemnizar a mis representados por los perjuicios económicos y morales que han sufrido por la injusta e ilegal decisión de declarar desierta la licitación en que participaron como proponente, sin que existieran razones de hecho y de derecho, y por no habérsele adjudicado cuando era la oferta con mayor puntaje (990.00 </w:t>
      </w:r>
      <w:proofErr w:type="spellStart"/>
      <w:r w:rsidRPr="00BF4097">
        <w:rPr>
          <w:rFonts w:ascii="Arial" w:eastAsia="Times New Roman" w:hAnsi="Arial" w:cs="Arial"/>
          <w:i/>
          <w:sz w:val="24"/>
          <w:szCs w:val="24"/>
          <w:lang w:eastAsia="es-ES"/>
        </w:rPr>
        <w:t>pts</w:t>
      </w:r>
      <w:proofErr w:type="spellEnd"/>
      <w:r w:rsidRPr="00BF4097">
        <w:rPr>
          <w:rFonts w:ascii="Arial" w:eastAsia="Times New Roman" w:hAnsi="Arial" w:cs="Arial"/>
          <w:i/>
          <w:sz w:val="24"/>
          <w:szCs w:val="24"/>
          <w:lang w:eastAsia="es-ES"/>
        </w:rPr>
        <w:t xml:space="preserve">) y la que ofrecía las mejores condiciones económicas, de experiencia y de capacidad financiera. </w:t>
      </w:r>
    </w:p>
    <w:p w:rsidR="00F639AF" w:rsidRPr="00BF4097" w:rsidRDefault="00F639AF" w:rsidP="00BF4097">
      <w:pPr>
        <w:tabs>
          <w:tab w:val="left" w:pos="142"/>
          <w:tab w:val="left" w:pos="567"/>
          <w:tab w:val="left" w:pos="851"/>
        </w:tabs>
        <w:jc w:val="both"/>
        <w:rPr>
          <w:rFonts w:ascii="Arial" w:eastAsia="Times New Roman" w:hAnsi="Arial" w:cs="Arial"/>
          <w:i/>
          <w:sz w:val="24"/>
          <w:szCs w:val="24"/>
          <w:lang w:eastAsia="es-ES"/>
        </w:rPr>
      </w:pPr>
    </w:p>
    <w:p w:rsidR="00F639AF" w:rsidRPr="00BF4097" w:rsidRDefault="00F639AF" w:rsidP="00BF4097">
      <w:pPr>
        <w:tabs>
          <w:tab w:val="left" w:pos="142"/>
          <w:tab w:val="left" w:pos="567"/>
          <w:tab w:val="left" w:pos="851"/>
        </w:tabs>
        <w:jc w:val="both"/>
        <w:rPr>
          <w:rFonts w:ascii="Arial" w:eastAsia="Times New Roman" w:hAnsi="Arial" w:cs="Arial"/>
          <w:i/>
          <w:sz w:val="24"/>
          <w:szCs w:val="24"/>
          <w:lang w:eastAsia="es-ES"/>
        </w:rPr>
      </w:pPr>
      <w:r w:rsidRPr="00BF4097">
        <w:rPr>
          <w:rFonts w:ascii="Arial" w:eastAsia="Times New Roman" w:hAnsi="Arial" w:cs="Arial"/>
          <w:i/>
          <w:sz w:val="24"/>
          <w:szCs w:val="24"/>
          <w:lang w:eastAsia="es-ES"/>
        </w:rPr>
        <w:t xml:space="preserve">4. La indemnización se deberá reconocer y pagar teniendo en cuenta, la utilidad legítima dejada de percibir por mi poderdante, que ha calculado la suma de CUATROCIENTOS CINCUENTA Y SIETE MILLONES QUINIENTOS SETENTA Y NUEVE MIL CIENTO VEINTIOCHO PESOS CON NOVENTA Y SIETE CENTAVOS ($457.579.128,97) de acuerdo con el cálculo realizado por el revisor fiscal de los asociados, el mismo que reposa en el respectivo proceso licitatorio. De igual forma se deberán tener en cuenta los costos de preparación de la oferta que ascienden a la suma de VEINTINUEVE MILLONES QUINIENTOS UN MIL CIENTO VEINTE PESOS ($29.501.120.00), además por los perjuicios morales causados a cada uno de mis poderdantes. </w:t>
      </w:r>
    </w:p>
    <w:p w:rsidR="00F639AF" w:rsidRPr="00BF4097" w:rsidRDefault="00F639AF" w:rsidP="00BF4097">
      <w:pPr>
        <w:tabs>
          <w:tab w:val="left" w:pos="142"/>
          <w:tab w:val="left" w:pos="567"/>
          <w:tab w:val="left" w:pos="851"/>
        </w:tabs>
        <w:jc w:val="both"/>
        <w:rPr>
          <w:rFonts w:ascii="Arial" w:eastAsia="Times New Roman" w:hAnsi="Arial" w:cs="Arial"/>
          <w:i/>
          <w:sz w:val="24"/>
          <w:szCs w:val="24"/>
          <w:lang w:eastAsia="es-ES"/>
        </w:rPr>
      </w:pPr>
    </w:p>
    <w:p w:rsidR="00F639AF" w:rsidRPr="00BF4097" w:rsidRDefault="00F639AF" w:rsidP="00BF4097">
      <w:pPr>
        <w:tabs>
          <w:tab w:val="left" w:pos="142"/>
          <w:tab w:val="left" w:pos="567"/>
          <w:tab w:val="left" w:pos="851"/>
        </w:tabs>
        <w:jc w:val="both"/>
        <w:rPr>
          <w:rFonts w:ascii="Arial" w:eastAsia="Times New Roman" w:hAnsi="Arial" w:cs="Arial"/>
          <w:i/>
          <w:sz w:val="24"/>
          <w:szCs w:val="24"/>
          <w:lang w:eastAsia="es-ES"/>
        </w:rPr>
      </w:pPr>
      <w:r w:rsidRPr="00BF4097">
        <w:rPr>
          <w:rFonts w:ascii="Arial" w:eastAsia="Times New Roman" w:hAnsi="Arial" w:cs="Arial"/>
          <w:i/>
          <w:sz w:val="24"/>
          <w:szCs w:val="24"/>
          <w:lang w:eastAsia="es-ES"/>
        </w:rPr>
        <w:t>5. Que a la sentencia que ponga fin a este proceso se le dé cumplimiento dentro del término previsto en los artículos 176 y 177 del Código Contencioso Administrativo"</w:t>
      </w:r>
    </w:p>
    <w:p w:rsidR="00F639AF" w:rsidRPr="00BF4097" w:rsidRDefault="00F639AF" w:rsidP="00BF4097">
      <w:pPr>
        <w:tabs>
          <w:tab w:val="left" w:pos="142"/>
          <w:tab w:val="left" w:pos="567"/>
          <w:tab w:val="left" w:pos="851"/>
        </w:tabs>
        <w:spacing w:line="276" w:lineRule="auto"/>
        <w:jc w:val="both"/>
        <w:rPr>
          <w:rFonts w:ascii="Arial" w:eastAsia="Times New Roman" w:hAnsi="Arial" w:cs="Arial"/>
          <w:i/>
          <w:sz w:val="24"/>
          <w:szCs w:val="24"/>
          <w:lang w:eastAsia="es-ES"/>
        </w:rPr>
      </w:pPr>
    </w:p>
    <w:p w:rsidR="00F639AF" w:rsidRPr="00BF4097" w:rsidRDefault="00F639AF" w:rsidP="00BF4097">
      <w:pPr>
        <w:numPr>
          <w:ilvl w:val="1"/>
          <w:numId w:val="27"/>
        </w:numPr>
        <w:tabs>
          <w:tab w:val="left" w:pos="142"/>
        </w:tabs>
        <w:spacing w:line="276" w:lineRule="auto"/>
        <w:ind w:left="0"/>
        <w:jc w:val="both"/>
        <w:rPr>
          <w:rFonts w:ascii="Arial" w:eastAsia="Times New Roman" w:hAnsi="Arial" w:cs="Arial"/>
          <w:b/>
          <w:sz w:val="24"/>
          <w:szCs w:val="24"/>
          <w:lang w:eastAsia="es-ES"/>
        </w:rPr>
      </w:pPr>
      <w:r w:rsidRPr="00BF4097">
        <w:rPr>
          <w:rFonts w:ascii="Arial" w:eastAsia="Times New Roman" w:hAnsi="Arial" w:cs="Arial"/>
          <w:b/>
          <w:sz w:val="24"/>
          <w:szCs w:val="24"/>
          <w:lang w:eastAsia="es-ES"/>
        </w:rPr>
        <w:t>Expediente 2004-02423</w:t>
      </w:r>
    </w:p>
    <w:p w:rsidR="00F639AF" w:rsidRPr="00BF4097" w:rsidRDefault="00F639AF" w:rsidP="00BF4097">
      <w:pPr>
        <w:tabs>
          <w:tab w:val="left" w:pos="142"/>
          <w:tab w:val="left" w:pos="567"/>
          <w:tab w:val="left" w:pos="851"/>
        </w:tabs>
        <w:spacing w:line="276" w:lineRule="auto"/>
        <w:jc w:val="both"/>
        <w:rPr>
          <w:rFonts w:ascii="Arial" w:eastAsia="Times New Roman" w:hAnsi="Arial" w:cs="Arial"/>
          <w:i/>
          <w:sz w:val="24"/>
          <w:szCs w:val="24"/>
          <w:lang w:eastAsia="es-ES"/>
        </w:rPr>
      </w:pPr>
      <w:r w:rsidRPr="00BF4097">
        <w:rPr>
          <w:rFonts w:ascii="Arial" w:eastAsia="Times New Roman" w:hAnsi="Arial" w:cs="Arial"/>
          <w:i/>
          <w:sz w:val="24"/>
          <w:szCs w:val="24"/>
          <w:lang w:eastAsia="es-ES"/>
        </w:rPr>
        <w:t xml:space="preserve"> </w:t>
      </w:r>
    </w:p>
    <w:p w:rsidR="00F639AF" w:rsidRPr="00BF4097" w:rsidRDefault="00F639AF" w:rsidP="00BF4097">
      <w:pPr>
        <w:tabs>
          <w:tab w:val="left" w:pos="142"/>
        </w:tabs>
        <w:spacing w:line="276" w:lineRule="auto"/>
        <w:jc w:val="both"/>
        <w:rPr>
          <w:rFonts w:ascii="Arial" w:eastAsia="Times New Roman" w:hAnsi="Arial" w:cs="Arial"/>
          <w:sz w:val="24"/>
          <w:szCs w:val="24"/>
          <w:lang w:eastAsia="es-ES"/>
        </w:rPr>
      </w:pPr>
      <w:r w:rsidRPr="00BF4097">
        <w:rPr>
          <w:rFonts w:ascii="Arial" w:eastAsia="Times New Roman" w:hAnsi="Arial" w:cs="Arial"/>
          <w:sz w:val="24"/>
          <w:szCs w:val="24"/>
          <w:lang w:eastAsia="es-ES"/>
        </w:rPr>
        <w:t>A su vez, la sociedad SQUADRA LTDA., integrante del CONSORCIO YUMA, mediante apoderado, formula en contra del Ministerio de Defensa Nacional-Fondo Rotatorio de la Fuerza Aérea Colombiana (FORFA) demanda de nulidad y restablecimiento del derecho, en la que presenta las siguientes pretensiones (fol. 2, c. 2.):</w:t>
      </w:r>
    </w:p>
    <w:p w:rsidR="00F639AF" w:rsidRPr="00BF4097" w:rsidRDefault="00F639AF" w:rsidP="00BF4097">
      <w:pPr>
        <w:tabs>
          <w:tab w:val="left" w:pos="142"/>
        </w:tabs>
        <w:spacing w:line="276" w:lineRule="auto"/>
        <w:jc w:val="both"/>
        <w:rPr>
          <w:rFonts w:ascii="Arial" w:eastAsia="Times New Roman" w:hAnsi="Arial" w:cs="Arial"/>
          <w:sz w:val="24"/>
          <w:szCs w:val="24"/>
          <w:lang w:eastAsia="es-ES"/>
        </w:rPr>
      </w:pPr>
    </w:p>
    <w:p w:rsidR="00F639AF" w:rsidRPr="00BF4097" w:rsidRDefault="00F639AF" w:rsidP="00BF4097">
      <w:pPr>
        <w:tabs>
          <w:tab w:val="left" w:pos="142"/>
          <w:tab w:val="left" w:pos="567"/>
          <w:tab w:val="left" w:pos="851"/>
        </w:tabs>
        <w:jc w:val="both"/>
        <w:rPr>
          <w:rFonts w:ascii="Arial" w:eastAsia="Times New Roman" w:hAnsi="Arial" w:cs="Arial"/>
          <w:i/>
          <w:sz w:val="24"/>
          <w:szCs w:val="24"/>
          <w:lang w:eastAsia="es-ES"/>
        </w:rPr>
      </w:pPr>
      <w:r w:rsidRPr="00BF4097">
        <w:rPr>
          <w:rFonts w:ascii="Arial" w:eastAsia="Times New Roman" w:hAnsi="Arial" w:cs="Arial"/>
          <w:i/>
          <w:sz w:val="24"/>
          <w:szCs w:val="24"/>
          <w:lang w:eastAsia="es-ES"/>
        </w:rPr>
        <w:t xml:space="preserve">“1. Que con fundamento en el artículo 85 del CCA, se declare la nulidad total de la resolución No. 272 del 29 de junio del 2004 expedida por el FORFA, por medio de la cual se declaró desierto el proceso licitatorio No. 008-FORFA-2004, cuyo objeto era la construcción del Centro de Instrucción Militar para la Seguridad y Defensa de las Bases Aéreas para el Comando Aéreo de Combate No.1, ubicado en Puerto Salgar (Cundinamarca) y en el cual intervino, como proponente, mi poderdante. </w:t>
      </w:r>
    </w:p>
    <w:p w:rsidR="00F639AF" w:rsidRPr="00BF4097" w:rsidRDefault="00F639AF" w:rsidP="00BF4097">
      <w:pPr>
        <w:tabs>
          <w:tab w:val="left" w:pos="142"/>
          <w:tab w:val="left" w:pos="567"/>
          <w:tab w:val="left" w:pos="851"/>
        </w:tabs>
        <w:jc w:val="both"/>
        <w:rPr>
          <w:rFonts w:ascii="Arial" w:eastAsia="Times New Roman" w:hAnsi="Arial" w:cs="Arial"/>
          <w:i/>
          <w:sz w:val="24"/>
          <w:szCs w:val="24"/>
          <w:lang w:eastAsia="es-ES"/>
        </w:rPr>
      </w:pPr>
    </w:p>
    <w:p w:rsidR="00F639AF" w:rsidRPr="00BF4097" w:rsidRDefault="00F639AF" w:rsidP="00BF4097">
      <w:pPr>
        <w:tabs>
          <w:tab w:val="left" w:pos="142"/>
          <w:tab w:val="left" w:pos="567"/>
          <w:tab w:val="left" w:pos="851"/>
        </w:tabs>
        <w:jc w:val="both"/>
        <w:rPr>
          <w:rFonts w:ascii="Arial" w:eastAsia="Times New Roman" w:hAnsi="Arial" w:cs="Arial"/>
          <w:i/>
          <w:sz w:val="24"/>
          <w:szCs w:val="24"/>
          <w:lang w:eastAsia="es-ES"/>
        </w:rPr>
      </w:pPr>
      <w:r w:rsidRPr="00BF4097">
        <w:rPr>
          <w:rFonts w:ascii="Arial" w:eastAsia="Times New Roman" w:hAnsi="Arial" w:cs="Arial"/>
          <w:i/>
          <w:sz w:val="24"/>
          <w:szCs w:val="24"/>
          <w:lang w:eastAsia="es-ES"/>
        </w:rPr>
        <w:t>2. Que con fundamento en el artículo 85 del CCA y como consecuencia de la declaración contenida en la primera pretensión y probándose, como se probará, que el CONSORCIO YUMA conformado por mi representado - SQUADRA LTDA.- y quien le cediera sus derechos consorciales -PROMOTORA APOTEMA S.A.- era llamado a ser el adjudicatario del proceso de selección contractual, se condene al FORFA a reparar a mi mandante los perjuicios causados, o que se lleguen a causar, por la no adjudicación de la mencionada licitación, tanto por concepto de lucro cesante como de daño emergente, ambos conceptos con la debida actualización en el curso del proceso o mediante el trámite previamente previsto en los artículos 307 y siguientes del Código de Procedimiento Civil, y cuya cuantía se estima en una cifra superior a los CUATROCIENTOS MILLONES DE PESOS M.L ($400.000.000.oo).</w:t>
      </w:r>
    </w:p>
    <w:p w:rsidR="00F639AF" w:rsidRPr="00BF4097" w:rsidRDefault="00F639AF" w:rsidP="00BF4097">
      <w:pPr>
        <w:tabs>
          <w:tab w:val="left" w:pos="142"/>
          <w:tab w:val="left" w:pos="567"/>
          <w:tab w:val="left" w:pos="851"/>
        </w:tabs>
        <w:jc w:val="both"/>
        <w:rPr>
          <w:rFonts w:ascii="Arial" w:eastAsia="Times New Roman" w:hAnsi="Arial" w:cs="Arial"/>
          <w:i/>
          <w:sz w:val="24"/>
          <w:szCs w:val="24"/>
          <w:lang w:eastAsia="es-ES"/>
        </w:rPr>
      </w:pPr>
    </w:p>
    <w:p w:rsidR="00F639AF" w:rsidRPr="00BF4097" w:rsidRDefault="00F639AF" w:rsidP="00BF4097">
      <w:pPr>
        <w:tabs>
          <w:tab w:val="left" w:pos="142"/>
          <w:tab w:val="left" w:pos="567"/>
          <w:tab w:val="left" w:pos="851"/>
        </w:tabs>
        <w:jc w:val="both"/>
        <w:rPr>
          <w:rFonts w:ascii="Arial" w:eastAsia="Times New Roman" w:hAnsi="Arial" w:cs="Arial"/>
          <w:i/>
          <w:sz w:val="24"/>
          <w:szCs w:val="24"/>
          <w:lang w:eastAsia="es-ES"/>
        </w:rPr>
      </w:pPr>
      <w:r w:rsidRPr="00BF4097">
        <w:rPr>
          <w:rFonts w:ascii="Arial" w:eastAsia="Times New Roman" w:hAnsi="Arial" w:cs="Arial"/>
          <w:i/>
          <w:sz w:val="24"/>
          <w:szCs w:val="24"/>
          <w:lang w:eastAsia="es-ES"/>
        </w:rPr>
        <w:t xml:space="preserve">3. Que como consecuencia de las anteriores declaraciones y también a título de restablecimiento del derecho, se condene al FORFA a reconocer y pagar a mi mandante el valor correspondiente a la corrección monetaria y los intereses que a la utilidad del contrato le hubiere producido, desde el momento en que aquellas se hubieren generado hasta cuando se haga efectivo su pago. </w:t>
      </w:r>
    </w:p>
    <w:p w:rsidR="00F639AF" w:rsidRPr="00BF4097" w:rsidRDefault="00F639AF" w:rsidP="00BF4097">
      <w:pPr>
        <w:tabs>
          <w:tab w:val="left" w:pos="142"/>
          <w:tab w:val="left" w:pos="567"/>
          <w:tab w:val="left" w:pos="851"/>
        </w:tabs>
        <w:jc w:val="both"/>
        <w:rPr>
          <w:rFonts w:ascii="Arial" w:eastAsia="Times New Roman" w:hAnsi="Arial" w:cs="Arial"/>
          <w:i/>
          <w:sz w:val="24"/>
          <w:szCs w:val="24"/>
          <w:lang w:eastAsia="es-ES"/>
        </w:rPr>
      </w:pPr>
    </w:p>
    <w:p w:rsidR="00F639AF" w:rsidRPr="00BF4097" w:rsidRDefault="00F639AF" w:rsidP="00BF4097">
      <w:pPr>
        <w:tabs>
          <w:tab w:val="left" w:pos="142"/>
          <w:tab w:val="left" w:pos="567"/>
          <w:tab w:val="left" w:pos="851"/>
        </w:tabs>
        <w:jc w:val="both"/>
        <w:rPr>
          <w:rFonts w:ascii="Arial" w:eastAsia="Times New Roman" w:hAnsi="Arial" w:cs="Arial"/>
          <w:i/>
          <w:sz w:val="24"/>
          <w:szCs w:val="24"/>
          <w:lang w:eastAsia="es-ES"/>
        </w:rPr>
      </w:pPr>
      <w:r w:rsidRPr="00BF4097">
        <w:rPr>
          <w:rFonts w:ascii="Arial" w:eastAsia="Times New Roman" w:hAnsi="Arial" w:cs="Arial"/>
          <w:i/>
          <w:sz w:val="24"/>
          <w:szCs w:val="24"/>
          <w:lang w:eastAsia="es-ES"/>
        </w:rPr>
        <w:t xml:space="preserve">4. Que se disponga el cumplimiento de la sentencia favorable en los términos de los artículos 176 a 178 del CCA, con sus correspondientes reformas y adiciones" </w:t>
      </w:r>
    </w:p>
    <w:p w:rsidR="00F639AF" w:rsidRPr="00BF4097" w:rsidRDefault="00F639AF" w:rsidP="00BF4097">
      <w:pPr>
        <w:tabs>
          <w:tab w:val="left" w:pos="142"/>
          <w:tab w:val="left" w:pos="851"/>
          <w:tab w:val="left" w:pos="993"/>
        </w:tabs>
        <w:jc w:val="both"/>
        <w:rPr>
          <w:rFonts w:ascii="Arial" w:eastAsia="Times New Roman" w:hAnsi="Arial" w:cs="Arial"/>
          <w:i/>
          <w:sz w:val="24"/>
          <w:szCs w:val="24"/>
          <w:lang w:eastAsia="es-ES"/>
        </w:rPr>
      </w:pPr>
      <w:r w:rsidRPr="00BF4097">
        <w:rPr>
          <w:rFonts w:ascii="Arial" w:eastAsia="Times New Roman" w:hAnsi="Arial" w:cs="Arial"/>
          <w:i/>
          <w:sz w:val="24"/>
          <w:szCs w:val="24"/>
          <w:lang w:eastAsia="es-ES"/>
        </w:rPr>
        <w:t xml:space="preserve"> </w:t>
      </w:r>
    </w:p>
    <w:p w:rsidR="00F639AF" w:rsidRPr="00BF4097" w:rsidRDefault="00F639AF" w:rsidP="00BF4097">
      <w:pPr>
        <w:numPr>
          <w:ilvl w:val="0"/>
          <w:numId w:val="27"/>
        </w:numPr>
        <w:tabs>
          <w:tab w:val="left" w:pos="142"/>
          <w:tab w:val="left" w:pos="851"/>
          <w:tab w:val="left" w:pos="993"/>
        </w:tabs>
        <w:spacing w:line="276" w:lineRule="auto"/>
        <w:ind w:left="0"/>
        <w:jc w:val="both"/>
        <w:rPr>
          <w:rFonts w:ascii="Arial" w:eastAsia="Times New Roman" w:hAnsi="Arial" w:cs="Arial"/>
          <w:i/>
          <w:sz w:val="24"/>
          <w:szCs w:val="24"/>
          <w:lang w:eastAsia="es-ES"/>
        </w:rPr>
      </w:pPr>
      <w:r w:rsidRPr="00BF4097">
        <w:rPr>
          <w:rFonts w:ascii="Arial" w:eastAsia="Times New Roman" w:hAnsi="Arial" w:cs="Arial"/>
          <w:b/>
          <w:bCs/>
          <w:sz w:val="24"/>
          <w:szCs w:val="24"/>
          <w:lang w:val="x-none" w:eastAsia="es-ES"/>
        </w:rPr>
        <w:t>La defensa de la demandada</w:t>
      </w:r>
    </w:p>
    <w:p w:rsidR="00F639AF" w:rsidRPr="00BF4097" w:rsidRDefault="00F639AF" w:rsidP="00BF4097">
      <w:pPr>
        <w:tabs>
          <w:tab w:val="left" w:pos="142"/>
        </w:tabs>
        <w:spacing w:line="276" w:lineRule="auto"/>
        <w:jc w:val="both"/>
        <w:rPr>
          <w:rFonts w:ascii="Arial" w:eastAsia="Times New Roman" w:hAnsi="Arial" w:cs="Arial"/>
          <w:bCs/>
          <w:i/>
          <w:sz w:val="24"/>
          <w:szCs w:val="24"/>
          <w:lang w:val="es-ES" w:eastAsia="es-ES"/>
        </w:rPr>
      </w:pPr>
    </w:p>
    <w:p w:rsidR="00F639AF" w:rsidRPr="00BF4097" w:rsidRDefault="00F639AF" w:rsidP="00BF4097">
      <w:pPr>
        <w:widowControl w:val="0"/>
        <w:numPr>
          <w:ilvl w:val="1"/>
          <w:numId w:val="27"/>
        </w:numPr>
        <w:tabs>
          <w:tab w:val="left" w:pos="142"/>
        </w:tabs>
        <w:overflowPunct w:val="0"/>
        <w:adjustRightInd w:val="0"/>
        <w:spacing w:line="276" w:lineRule="auto"/>
        <w:ind w:left="0" w:firstLine="0"/>
        <w:jc w:val="both"/>
        <w:rPr>
          <w:rFonts w:ascii="Arial" w:eastAsia="Times New Roman" w:hAnsi="Arial" w:cs="Arial"/>
          <w:b/>
          <w:bCs/>
          <w:kern w:val="28"/>
          <w:sz w:val="24"/>
          <w:szCs w:val="24"/>
          <w:lang w:val="es-ES" w:eastAsia="es-CO"/>
        </w:rPr>
      </w:pPr>
      <w:r w:rsidRPr="00BF4097">
        <w:rPr>
          <w:rFonts w:ascii="Arial" w:eastAsia="Times New Roman" w:hAnsi="Arial" w:cs="Arial"/>
          <w:b/>
          <w:kern w:val="28"/>
          <w:sz w:val="24"/>
          <w:szCs w:val="24"/>
          <w:lang w:eastAsia="es-CO"/>
        </w:rPr>
        <w:t>Expediente 2004-01700</w:t>
      </w:r>
    </w:p>
    <w:p w:rsidR="00F639AF" w:rsidRPr="00BF4097" w:rsidRDefault="00F639AF" w:rsidP="00BF4097">
      <w:pPr>
        <w:tabs>
          <w:tab w:val="left" w:pos="142"/>
        </w:tabs>
        <w:spacing w:line="276" w:lineRule="auto"/>
        <w:jc w:val="both"/>
        <w:rPr>
          <w:rFonts w:ascii="Arial" w:eastAsia="Times New Roman" w:hAnsi="Arial" w:cs="Arial"/>
          <w:bCs/>
          <w:sz w:val="24"/>
          <w:szCs w:val="24"/>
          <w:lang w:val="es-ES" w:eastAsia="es-ES"/>
        </w:rPr>
      </w:pPr>
    </w:p>
    <w:p w:rsidR="00F639AF" w:rsidRPr="00BF4097" w:rsidRDefault="00F639AF" w:rsidP="00BF4097">
      <w:pPr>
        <w:widowControl w:val="0"/>
        <w:numPr>
          <w:ilvl w:val="2"/>
          <w:numId w:val="27"/>
        </w:numPr>
        <w:tabs>
          <w:tab w:val="left" w:pos="142"/>
        </w:tabs>
        <w:overflowPunct w:val="0"/>
        <w:adjustRightInd w:val="0"/>
        <w:spacing w:line="276" w:lineRule="auto"/>
        <w:ind w:left="0"/>
        <w:contextualSpacing/>
        <w:jc w:val="both"/>
        <w:rPr>
          <w:rFonts w:ascii="Arial" w:eastAsia="Times New Roman" w:hAnsi="Arial" w:cs="Arial"/>
          <w:bCs/>
          <w:kern w:val="28"/>
          <w:sz w:val="24"/>
          <w:szCs w:val="24"/>
          <w:lang w:val="es-ES" w:eastAsia="es-CO"/>
        </w:rPr>
      </w:pPr>
      <w:r w:rsidRPr="00BF4097">
        <w:rPr>
          <w:rFonts w:ascii="Arial" w:eastAsia="Times New Roman" w:hAnsi="Arial" w:cs="Arial"/>
          <w:bCs/>
          <w:kern w:val="28"/>
          <w:sz w:val="24"/>
          <w:szCs w:val="24"/>
          <w:lang w:val="es-ES" w:eastAsia="es-CO"/>
        </w:rPr>
        <w:t>Fondo Rotatorio de la Fuerza Aérea – FORFA</w:t>
      </w:r>
    </w:p>
    <w:p w:rsidR="00F639AF" w:rsidRPr="00BF4097" w:rsidRDefault="00F639AF" w:rsidP="00BF4097">
      <w:pPr>
        <w:tabs>
          <w:tab w:val="left" w:pos="142"/>
        </w:tabs>
        <w:spacing w:line="276" w:lineRule="auto"/>
        <w:jc w:val="both"/>
        <w:rPr>
          <w:rFonts w:ascii="Arial" w:eastAsia="Times New Roman" w:hAnsi="Arial" w:cs="Arial"/>
          <w:bCs/>
          <w:sz w:val="24"/>
          <w:szCs w:val="24"/>
          <w:lang w:val="es-ES" w:eastAsia="es-ES"/>
        </w:rPr>
      </w:pPr>
    </w:p>
    <w:p w:rsidR="00F639AF" w:rsidRPr="00BF4097" w:rsidRDefault="00F639AF" w:rsidP="00BF4097">
      <w:pPr>
        <w:tabs>
          <w:tab w:val="left" w:pos="142"/>
        </w:tabs>
        <w:spacing w:line="276" w:lineRule="auto"/>
        <w:jc w:val="both"/>
        <w:rPr>
          <w:rFonts w:ascii="Arial" w:eastAsia="Times New Roman" w:hAnsi="Arial" w:cs="Arial"/>
          <w:bCs/>
          <w:sz w:val="24"/>
          <w:szCs w:val="24"/>
          <w:lang w:val="es-ES" w:eastAsia="es-ES"/>
        </w:rPr>
      </w:pPr>
      <w:r w:rsidRPr="00BF4097">
        <w:rPr>
          <w:rFonts w:ascii="Arial" w:eastAsia="Times New Roman" w:hAnsi="Arial" w:cs="Arial"/>
          <w:bCs/>
          <w:sz w:val="24"/>
          <w:szCs w:val="24"/>
          <w:lang w:val="es-ES" w:eastAsia="es-ES"/>
        </w:rPr>
        <w:t xml:space="preserve">La entidad contestó la demanda en el sentido de solicitar la denegatoria de las pretensiones incoadas (fol. 76 a 111, c.1, </w:t>
      </w:r>
      <w:proofErr w:type="spellStart"/>
      <w:r w:rsidRPr="00BF4097">
        <w:rPr>
          <w:rFonts w:ascii="Arial" w:eastAsia="Times New Roman" w:hAnsi="Arial" w:cs="Arial"/>
          <w:bCs/>
          <w:sz w:val="24"/>
          <w:szCs w:val="24"/>
          <w:lang w:val="es-ES" w:eastAsia="es-ES"/>
        </w:rPr>
        <w:t>exp</w:t>
      </w:r>
      <w:proofErr w:type="spellEnd"/>
      <w:r w:rsidRPr="00BF4097">
        <w:rPr>
          <w:rFonts w:ascii="Arial" w:eastAsia="Times New Roman" w:hAnsi="Arial" w:cs="Arial"/>
          <w:bCs/>
          <w:sz w:val="24"/>
          <w:szCs w:val="24"/>
          <w:lang w:val="es-ES" w:eastAsia="es-ES"/>
        </w:rPr>
        <w:t xml:space="preserve">. 2004-01700). Lo anterior, comoquiera que la declaratoria de licitación pública desierta en la audiencia de adjudicación era imperativa, acorde con lo dispuesto por el artículo 29 de la Ley 80 de 1993, que la impone cuando acaecieren </w:t>
      </w:r>
      <w:r w:rsidRPr="00BF4097">
        <w:rPr>
          <w:rFonts w:ascii="Arial" w:eastAsia="Times New Roman" w:hAnsi="Arial" w:cs="Arial"/>
          <w:bCs/>
          <w:i/>
          <w:sz w:val="24"/>
          <w:szCs w:val="24"/>
          <w:lang w:val="es-ES" w:eastAsia="es-ES"/>
        </w:rPr>
        <w:t>"motivos o causas que impidan la escogencia"</w:t>
      </w:r>
      <w:r w:rsidRPr="00BF4097">
        <w:rPr>
          <w:rFonts w:ascii="Arial" w:eastAsia="Times New Roman" w:hAnsi="Arial" w:cs="Arial"/>
          <w:bCs/>
          <w:sz w:val="24"/>
          <w:szCs w:val="24"/>
          <w:lang w:val="es-ES" w:eastAsia="es-ES"/>
        </w:rPr>
        <w:t>. Concepto indeterminado y en el que se comprenden las circunstancias que afectan los principios de la contratación estatal, como la igualdad y la transparencia, vulnerados durante el proceso licitatorio por la asimetría de información entre proponentes. Así mismo, puso de presente que es irrelevante el análisis de la información recibida por uno y otro proponente para establecer la legalidad de las resoluciones cuya legalidad se cuestiona.</w:t>
      </w:r>
    </w:p>
    <w:p w:rsidR="00F639AF" w:rsidRPr="00BF4097" w:rsidRDefault="00F639AF" w:rsidP="00BF4097">
      <w:pPr>
        <w:tabs>
          <w:tab w:val="left" w:pos="142"/>
        </w:tabs>
        <w:spacing w:line="276" w:lineRule="auto"/>
        <w:jc w:val="both"/>
        <w:rPr>
          <w:rFonts w:ascii="Arial" w:eastAsia="Times New Roman" w:hAnsi="Arial" w:cs="Arial"/>
          <w:bCs/>
          <w:sz w:val="24"/>
          <w:szCs w:val="24"/>
          <w:lang w:val="es-ES" w:eastAsia="es-ES"/>
        </w:rPr>
      </w:pPr>
    </w:p>
    <w:p w:rsidR="00F639AF" w:rsidRPr="00BF4097" w:rsidRDefault="00F639AF" w:rsidP="00BF4097">
      <w:pPr>
        <w:tabs>
          <w:tab w:val="left" w:pos="142"/>
        </w:tabs>
        <w:spacing w:line="276" w:lineRule="auto"/>
        <w:jc w:val="both"/>
        <w:rPr>
          <w:rFonts w:ascii="Arial" w:eastAsia="Times New Roman" w:hAnsi="Arial" w:cs="Arial"/>
          <w:bCs/>
          <w:sz w:val="24"/>
          <w:szCs w:val="24"/>
          <w:lang w:val="es-ES" w:eastAsia="es-ES"/>
        </w:rPr>
      </w:pPr>
      <w:r w:rsidRPr="00BF4097">
        <w:rPr>
          <w:rFonts w:ascii="Arial" w:eastAsia="Times New Roman" w:hAnsi="Arial" w:cs="Arial"/>
          <w:bCs/>
          <w:sz w:val="24"/>
          <w:szCs w:val="24"/>
          <w:lang w:val="es-ES" w:eastAsia="es-ES"/>
        </w:rPr>
        <w:t xml:space="preserve">Así mismo, consideró que el daño es incierto y por lo mismo, la pretensión de restablecimiento del derecho no está llamada a prosperar, comoquiera que no es claro que los demandantes estuvieran llamados obtener la adjudicación, la cual dependía de las evaluaciones definitivas y en firme, situación que no se daba en el proceso licitatorio bajo comento toda vez que las observaciones no habían sido objeto de discusión ni decisión. Así mismo, invocó jurisprudencia de esta Corporación en que se ha sostenido que los costos de preparación de la propuesta no hacen parte del perjuicio indemnizable debido a que se trata del costo de oportunidad. De otra parte, adujo que en el caso de que se encuentre probado el daño, el mismo no puede calificarse como antijurídico, habida cuenta del desconocimiento del principio de buena fe contractual en que incurrió cuando obtuvo mayor información sobre el proceso licitatorio que su contendora. </w:t>
      </w:r>
    </w:p>
    <w:p w:rsidR="00F639AF" w:rsidRPr="00BF4097" w:rsidRDefault="00F639AF" w:rsidP="00BF4097">
      <w:pPr>
        <w:tabs>
          <w:tab w:val="left" w:pos="142"/>
        </w:tabs>
        <w:spacing w:line="276" w:lineRule="auto"/>
        <w:jc w:val="both"/>
        <w:rPr>
          <w:rFonts w:ascii="Arial" w:eastAsia="Times New Roman" w:hAnsi="Arial" w:cs="Arial"/>
          <w:b/>
          <w:bCs/>
          <w:sz w:val="24"/>
          <w:szCs w:val="24"/>
          <w:lang w:val="es-ES" w:eastAsia="es-ES"/>
        </w:rPr>
      </w:pPr>
    </w:p>
    <w:p w:rsidR="00F639AF" w:rsidRPr="00BF4097" w:rsidRDefault="00F639AF" w:rsidP="00BF4097">
      <w:pPr>
        <w:tabs>
          <w:tab w:val="left" w:pos="142"/>
        </w:tabs>
        <w:spacing w:line="276" w:lineRule="auto"/>
        <w:jc w:val="both"/>
        <w:rPr>
          <w:rFonts w:ascii="Arial" w:eastAsia="Times New Roman" w:hAnsi="Arial" w:cs="Arial"/>
          <w:bCs/>
          <w:sz w:val="24"/>
          <w:szCs w:val="24"/>
          <w:lang w:val="es-ES" w:eastAsia="es-ES"/>
        </w:rPr>
      </w:pPr>
      <w:r w:rsidRPr="00BF4097">
        <w:rPr>
          <w:rFonts w:ascii="Arial" w:eastAsia="Times New Roman" w:hAnsi="Arial" w:cs="Arial"/>
          <w:bCs/>
          <w:sz w:val="24"/>
          <w:szCs w:val="24"/>
          <w:lang w:val="es-ES" w:eastAsia="es-ES"/>
        </w:rPr>
        <w:t>En relación a la extemporaneidad de las observaciones del Consorcio Yuma, afirma que, el numeral 8º del artículo 30 de la Ley 80 de 1993 estipula que el término para su presentación es de 5 días hábiles, mismo plazo señalado en el pliego de condiciones, de donde este se extendía hasta las 16:30, hora oficial de finalización de labores del FORFA y no hasta las 15:00 horas, como asevera la demanda. Adicionalmente, los hechos expuestos por el Consorcio Yuma no tenían que ver directamente con las evaluaciones sino con un aspecto relevante para todo el proceso, de manera que tenía la obligación de denunciarlos en cualquier etapa de la licitación pública. Finalmente, afirmó que los demandantes distorsionan el contenido y alcance del pronunciamiento del Procurador Delegado quien no  encontró méritos para abrir investigación disciplinaria, toda vez que el FORFA había adoptado los correctivos del caso.</w:t>
      </w:r>
    </w:p>
    <w:p w:rsidR="00F639AF" w:rsidRPr="00BF4097" w:rsidRDefault="00F639AF" w:rsidP="00BF4097">
      <w:pPr>
        <w:tabs>
          <w:tab w:val="left" w:pos="142"/>
        </w:tabs>
        <w:spacing w:line="276" w:lineRule="auto"/>
        <w:jc w:val="both"/>
        <w:rPr>
          <w:rFonts w:ascii="Arial" w:eastAsia="Times New Roman" w:hAnsi="Arial" w:cs="Arial"/>
          <w:bCs/>
          <w:sz w:val="24"/>
          <w:szCs w:val="24"/>
          <w:lang w:val="es-ES" w:eastAsia="es-ES"/>
        </w:rPr>
      </w:pPr>
    </w:p>
    <w:p w:rsidR="00F639AF" w:rsidRPr="00BF4097" w:rsidRDefault="00F639AF" w:rsidP="00BF4097">
      <w:pPr>
        <w:tabs>
          <w:tab w:val="left" w:pos="142"/>
        </w:tabs>
        <w:spacing w:line="276" w:lineRule="auto"/>
        <w:jc w:val="both"/>
        <w:rPr>
          <w:rFonts w:ascii="Arial" w:eastAsia="Times New Roman" w:hAnsi="Arial" w:cs="Arial"/>
          <w:bCs/>
          <w:sz w:val="24"/>
          <w:szCs w:val="24"/>
          <w:lang w:val="es-ES" w:eastAsia="es-ES"/>
        </w:rPr>
      </w:pPr>
      <w:r w:rsidRPr="00BF4097">
        <w:rPr>
          <w:rFonts w:ascii="Arial" w:eastAsia="Times New Roman" w:hAnsi="Arial" w:cs="Arial"/>
          <w:bCs/>
          <w:sz w:val="24"/>
          <w:szCs w:val="24"/>
          <w:lang w:val="es-ES" w:eastAsia="es-ES"/>
        </w:rPr>
        <w:t>Finalmente, propuso las siguientes excepciones:</w:t>
      </w:r>
    </w:p>
    <w:p w:rsidR="00F639AF" w:rsidRPr="00BF4097" w:rsidRDefault="00F639AF" w:rsidP="00BF4097">
      <w:pPr>
        <w:tabs>
          <w:tab w:val="left" w:pos="142"/>
        </w:tabs>
        <w:spacing w:line="276" w:lineRule="auto"/>
        <w:jc w:val="both"/>
        <w:rPr>
          <w:rFonts w:ascii="Arial" w:eastAsia="Times New Roman" w:hAnsi="Arial" w:cs="Arial"/>
          <w:bCs/>
          <w:sz w:val="24"/>
          <w:szCs w:val="24"/>
          <w:lang w:val="es-ES" w:eastAsia="es-ES"/>
        </w:rPr>
      </w:pPr>
    </w:p>
    <w:p w:rsidR="00F639AF" w:rsidRPr="00BF4097" w:rsidRDefault="00F639AF" w:rsidP="00BF4097">
      <w:pPr>
        <w:widowControl w:val="0"/>
        <w:numPr>
          <w:ilvl w:val="3"/>
          <w:numId w:val="27"/>
        </w:numPr>
        <w:tabs>
          <w:tab w:val="left" w:pos="142"/>
        </w:tabs>
        <w:overflowPunct w:val="0"/>
        <w:adjustRightInd w:val="0"/>
        <w:spacing w:line="276" w:lineRule="auto"/>
        <w:ind w:left="0" w:firstLine="0"/>
        <w:jc w:val="both"/>
        <w:rPr>
          <w:rFonts w:ascii="Arial" w:eastAsia="Times New Roman" w:hAnsi="Arial" w:cs="Arial"/>
          <w:bCs/>
          <w:i/>
          <w:kern w:val="28"/>
          <w:sz w:val="24"/>
          <w:szCs w:val="24"/>
          <w:lang w:val="es-ES" w:eastAsia="es-CO"/>
        </w:rPr>
      </w:pPr>
      <w:r w:rsidRPr="00BF4097">
        <w:rPr>
          <w:rFonts w:ascii="Arial" w:eastAsia="Times New Roman" w:hAnsi="Arial" w:cs="Arial"/>
          <w:bCs/>
          <w:i/>
          <w:kern w:val="28"/>
          <w:sz w:val="24"/>
          <w:szCs w:val="24"/>
          <w:lang w:val="es-ES" w:eastAsia="es-CO"/>
        </w:rPr>
        <w:t xml:space="preserve">"Ineptitud sustancial de la demanda”, </w:t>
      </w:r>
      <w:r w:rsidRPr="00BF4097">
        <w:rPr>
          <w:rFonts w:ascii="Arial" w:eastAsia="Times New Roman" w:hAnsi="Arial" w:cs="Arial"/>
          <w:bCs/>
          <w:kern w:val="28"/>
          <w:sz w:val="24"/>
          <w:szCs w:val="24"/>
          <w:lang w:val="es-ES" w:eastAsia="es-CO"/>
        </w:rPr>
        <w:t xml:space="preserve">derivada de (i) la falta de acumulación de pretensiones, la cual procedía en virtud del art. 145 del C.C.A., por cuanto las uniones temporales no crean una persona jurídica distinta a la de sus miembros, y por ello no pueden comparecer ante la justicia; (ii) por la indebida designación del demandado, puesto que el FORFA es un establecimiento público de orden nacional, con personería jurídica, por lo que comparece a juicio de manera autónoma, y no a través del Ministerio de Defensa; (iii)  la </w:t>
      </w:r>
      <w:r w:rsidRPr="00BF4097">
        <w:rPr>
          <w:rFonts w:ascii="Arial" w:eastAsia="Times New Roman" w:hAnsi="Arial" w:cs="Arial"/>
          <w:bCs/>
          <w:i/>
          <w:kern w:val="28"/>
          <w:sz w:val="24"/>
          <w:szCs w:val="24"/>
          <w:lang w:val="es-ES" w:eastAsia="es-CO"/>
        </w:rPr>
        <w:t>"ausencia de determinación concreta de las normas violadas y el concepto de violación, así como de los cargos endilgados al acto administrativo",</w:t>
      </w:r>
      <w:r w:rsidRPr="00BF4097">
        <w:rPr>
          <w:rFonts w:ascii="Arial" w:eastAsia="Times New Roman" w:hAnsi="Arial" w:cs="Arial"/>
          <w:bCs/>
          <w:kern w:val="28"/>
          <w:sz w:val="24"/>
          <w:szCs w:val="24"/>
          <w:lang w:val="es-ES" w:eastAsia="es-CO"/>
        </w:rPr>
        <w:t xml:space="preserve"> (iv) la</w:t>
      </w:r>
      <w:r w:rsidRPr="00BF4097">
        <w:rPr>
          <w:rFonts w:ascii="Arial" w:eastAsia="Times New Roman" w:hAnsi="Arial" w:cs="Arial"/>
          <w:bCs/>
          <w:i/>
          <w:kern w:val="28"/>
          <w:sz w:val="24"/>
          <w:szCs w:val="24"/>
          <w:lang w:val="es-ES" w:eastAsia="es-CO"/>
        </w:rPr>
        <w:t xml:space="preserve"> </w:t>
      </w:r>
      <w:r w:rsidRPr="00BF4097">
        <w:rPr>
          <w:rFonts w:ascii="Arial" w:eastAsia="Times New Roman" w:hAnsi="Arial" w:cs="Arial"/>
          <w:bCs/>
          <w:kern w:val="28"/>
          <w:sz w:val="24"/>
          <w:szCs w:val="24"/>
          <w:lang w:val="es-ES" w:eastAsia="es-CO"/>
        </w:rPr>
        <w:t>falta de</w:t>
      </w:r>
      <w:r w:rsidRPr="00BF4097">
        <w:rPr>
          <w:rFonts w:ascii="Arial" w:eastAsia="Times New Roman" w:hAnsi="Arial" w:cs="Arial"/>
          <w:bCs/>
          <w:i/>
          <w:kern w:val="28"/>
          <w:sz w:val="24"/>
          <w:szCs w:val="24"/>
          <w:lang w:val="es-ES" w:eastAsia="es-CO"/>
        </w:rPr>
        <w:t xml:space="preserve"> </w:t>
      </w:r>
      <w:r w:rsidRPr="00BF4097">
        <w:rPr>
          <w:rFonts w:ascii="Arial" w:eastAsia="Times New Roman" w:hAnsi="Arial" w:cs="Arial"/>
          <w:bCs/>
          <w:kern w:val="28"/>
          <w:sz w:val="24"/>
          <w:szCs w:val="24"/>
          <w:lang w:val="es-ES" w:eastAsia="es-CO"/>
        </w:rPr>
        <w:t>estimación razonada de la cuantía y (v) la "</w:t>
      </w:r>
      <w:r w:rsidRPr="00BF4097">
        <w:rPr>
          <w:rFonts w:ascii="Arial" w:eastAsia="Times New Roman" w:hAnsi="Arial" w:cs="Arial"/>
          <w:bCs/>
          <w:i/>
          <w:kern w:val="28"/>
          <w:sz w:val="24"/>
          <w:szCs w:val="24"/>
          <w:lang w:val="es-ES" w:eastAsia="es-CO"/>
        </w:rPr>
        <w:t xml:space="preserve">falta de consonancia entre los argumentos de la demanda y los del recurso de reposición interpuesto en vía gubernativa", </w:t>
      </w:r>
      <w:r w:rsidRPr="00BF4097">
        <w:rPr>
          <w:rFonts w:ascii="Arial" w:eastAsia="Times New Roman" w:hAnsi="Arial" w:cs="Arial"/>
          <w:bCs/>
          <w:kern w:val="28"/>
          <w:sz w:val="24"/>
          <w:szCs w:val="24"/>
          <w:lang w:val="es-ES" w:eastAsia="es-CO"/>
        </w:rPr>
        <w:t xml:space="preserve">debido a que existen imputaciones en la demanda que en el recurso de reposición no se realizaron, desconociendo que en la demanda no se pueden formular cargos, pretensiones o argumentos que en el recurso gubernativo no se hayan propuesto. </w:t>
      </w:r>
    </w:p>
    <w:p w:rsidR="00F639AF" w:rsidRPr="00BF4097" w:rsidRDefault="00F639AF" w:rsidP="00BF4097">
      <w:pPr>
        <w:tabs>
          <w:tab w:val="left" w:pos="142"/>
        </w:tabs>
        <w:spacing w:line="276" w:lineRule="auto"/>
        <w:jc w:val="both"/>
        <w:rPr>
          <w:rFonts w:ascii="Arial" w:eastAsia="Times New Roman" w:hAnsi="Arial" w:cs="Arial"/>
          <w:bCs/>
          <w:sz w:val="24"/>
          <w:szCs w:val="24"/>
          <w:lang w:val="es-ES" w:eastAsia="es-ES"/>
        </w:rPr>
      </w:pPr>
    </w:p>
    <w:p w:rsidR="00F639AF" w:rsidRPr="00BF4097" w:rsidRDefault="00F639AF" w:rsidP="00BF4097">
      <w:pPr>
        <w:widowControl w:val="0"/>
        <w:numPr>
          <w:ilvl w:val="3"/>
          <w:numId w:val="27"/>
        </w:numPr>
        <w:tabs>
          <w:tab w:val="left" w:pos="142"/>
        </w:tabs>
        <w:overflowPunct w:val="0"/>
        <w:adjustRightInd w:val="0"/>
        <w:spacing w:line="276" w:lineRule="auto"/>
        <w:ind w:left="0" w:firstLine="0"/>
        <w:jc w:val="both"/>
        <w:rPr>
          <w:rFonts w:ascii="Arial" w:eastAsia="Times New Roman" w:hAnsi="Arial" w:cs="Arial"/>
          <w:bCs/>
          <w:kern w:val="28"/>
          <w:sz w:val="24"/>
          <w:szCs w:val="24"/>
          <w:lang w:val="es-ES" w:eastAsia="es-CO"/>
        </w:rPr>
      </w:pPr>
      <w:r w:rsidRPr="00BF4097">
        <w:rPr>
          <w:rFonts w:ascii="Arial" w:eastAsia="Times New Roman" w:hAnsi="Arial" w:cs="Arial"/>
          <w:bCs/>
          <w:kern w:val="28"/>
          <w:sz w:val="24"/>
          <w:szCs w:val="24"/>
          <w:lang w:val="es-ES" w:eastAsia="es-CO"/>
        </w:rPr>
        <w:t>"</w:t>
      </w:r>
      <w:r w:rsidRPr="00BF4097">
        <w:rPr>
          <w:rFonts w:ascii="Arial" w:eastAsia="Times New Roman" w:hAnsi="Arial" w:cs="Arial"/>
          <w:bCs/>
          <w:i/>
          <w:kern w:val="28"/>
          <w:sz w:val="24"/>
          <w:szCs w:val="24"/>
          <w:lang w:val="es-ES" w:eastAsia="es-CO"/>
        </w:rPr>
        <w:t xml:space="preserve">Legalidad de los actos administrativos enjuiciados": </w:t>
      </w:r>
      <w:r w:rsidRPr="00BF4097">
        <w:rPr>
          <w:rFonts w:ascii="Arial" w:eastAsia="Times New Roman" w:hAnsi="Arial" w:cs="Arial"/>
          <w:bCs/>
          <w:kern w:val="28"/>
          <w:sz w:val="24"/>
          <w:szCs w:val="24"/>
          <w:lang w:val="es-ES" w:eastAsia="es-CO"/>
        </w:rPr>
        <w:t>la que se presume y que no fue desvirtuada por la actora.</w:t>
      </w:r>
    </w:p>
    <w:p w:rsidR="00F639AF" w:rsidRPr="00BF4097" w:rsidRDefault="00F639AF" w:rsidP="00BF4097">
      <w:pPr>
        <w:widowControl w:val="0"/>
        <w:tabs>
          <w:tab w:val="left" w:pos="142"/>
        </w:tabs>
        <w:overflowPunct w:val="0"/>
        <w:adjustRightInd w:val="0"/>
        <w:spacing w:line="276" w:lineRule="auto"/>
        <w:rPr>
          <w:rFonts w:ascii="Arial" w:eastAsia="Times New Roman" w:hAnsi="Arial" w:cs="Arial"/>
          <w:bCs/>
          <w:kern w:val="28"/>
          <w:sz w:val="24"/>
          <w:szCs w:val="24"/>
          <w:lang w:val="es-ES" w:eastAsia="es-CO"/>
        </w:rPr>
      </w:pPr>
    </w:p>
    <w:p w:rsidR="00F639AF" w:rsidRPr="00BF4097" w:rsidRDefault="00F639AF" w:rsidP="00BF4097">
      <w:pPr>
        <w:widowControl w:val="0"/>
        <w:numPr>
          <w:ilvl w:val="3"/>
          <w:numId w:val="27"/>
        </w:numPr>
        <w:tabs>
          <w:tab w:val="left" w:pos="142"/>
        </w:tabs>
        <w:overflowPunct w:val="0"/>
        <w:adjustRightInd w:val="0"/>
        <w:spacing w:line="276" w:lineRule="auto"/>
        <w:ind w:left="0" w:firstLine="0"/>
        <w:jc w:val="both"/>
        <w:rPr>
          <w:rFonts w:ascii="Arial" w:eastAsia="Times New Roman" w:hAnsi="Arial" w:cs="Arial"/>
          <w:bCs/>
          <w:kern w:val="28"/>
          <w:sz w:val="24"/>
          <w:szCs w:val="24"/>
          <w:lang w:val="es-ES" w:eastAsia="es-CO"/>
        </w:rPr>
      </w:pPr>
      <w:r w:rsidRPr="00BF4097">
        <w:rPr>
          <w:rFonts w:ascii="Arial" w:eastAsia="Times New Roman" w:hAnsi="Arial" w:cs="Arial"/>
          <w:bCs/>
          <w:kern w:val="28"/>
          <w:sz w:val="24"/>
          <w:szCs w:val="24"/>
          <w:lang w:val="es-ES" w:eastAsia="es-CO"/>
        </w:rPr>
        <w:t xml:space="preserve"> </w:t>
      </w:r>
      <w:r w:rsidRPr="00BF4097">
        <w:rPr>
          <w:rFonts w:ascii="Arial" w:eastAsia="Times New Roman" w:hAnsi="Arial" w:cs="Arial"/>
          <w:bCs/>
          <w:i/>
          <w:kern w:val="28"/>
          <w:sz w:val="24"/>
          <w:szCs w:val="24"/>
          <w:lang w:val="es-ES" w:eastAsia="es-CO"/>
        </w:rPr>
        <w:t xml:space="preserve">"Inexigibilidad de indemnización": </w:t>
      </w:r>
      <w:r w:rsidRPr="00BF4097">
        <w:rPr>
          <w:rFonts w:ascii="Arial" w:eastAsia="Times New Roman" w:hAnsi="Arial" w:cs="Arial"/>
          <w:bCs/>
          <w:kern w:val="28"/>
          <w:sz w:val="24"/>
          <w:szCs w:val="24"/>
          <w:lang w:val="es-ES" w:eastAsia="es-CO"/>
        </w:rPr>
        <w:t>pues el daño cuya reparación se pretende es eventual.</w:t>
      </w:r>
    </w:p>
    <w:p w:rsidR="00F639AF" w:rsidRPr="00BF4097" w:rsidRDefault="00F639AF" w:rsidP="00BF4097">
      <w:pPr>
        <w:widowControl w:val="0"/>
        <w:tabs>
          <w:tab w:val="left" w:pos="142"/>
        </w:tabs>
        <w:overflowPunct w:val="0"/>
        <w:adjustRightInd w:val="0"/>
        <w:spacing w:line="276" w:lineRule="auto"/>
        <w:rPr>
          <w:rFonts w:ascii="Arial" w:eastAsia="Times New Roman" w:hAnsi="Arial" w:cs="Arial"/>
          <w:bCs/>
          <w:kern w:val="28"/>
          <w:sz w:val="24"/>
          <w:szCs w:val="24"/>
          <w:lang w:val="es-ES" w:eastAsia="es-CO"/>
        </w:rPr>
      </w:pPr>
    </w:p>
    <w:p w:rsidR="00F639AF" w:rsidRPr="00BF4097" w:rsidRDefault="00F639AF" w:rsidP="00BF4097">
      <w:pPr>
        <w:numPr>
          <w:ilvl w:val="1"/>
          <w:numId w:val="27"/>
        </w:numPr>
        <w:tabs>
          <w:tab w:val="left" w:pos="142"/>
        </w:tabs>
        <w:spacing w:line="276" w:lineRule="auto"/>
        <w:ind w:left="0" w:firstLine="0"/>
        <w:jc w:val="both"/>
        <w:rPr>
          <w:rFonts w:ascii="Arial" w:eastAsia="Times New Roman" w:hAnsi="Arial" w:cs="Arial"/>
          <w:b/>
          <w:sz w:val="24"/>
          <w:szCs w:val="24"/>
          <w:lang w:eastAsia="es-ES"/>
        </w:rPr>
      </w:pPr>
      <w:r w:rsidRPr="00BF4097">
        <w:rPr>
          <w:rFonts w:ascii="Arial" w:eastAsia="Times New Roman" w:hAnsi="Arial" w:cs="Arial"/>
          <w:b/>
          <w:sz w:val="24"/>
          <w:szCs w:val="24"/>
          <w:lang w:eastAsia="es-ES"/>
        </w:rPr>
        <w:t>Expediente 2004 - 02423</w:t>
      </w:r>
    </w:p>
    <w:p w:rsidR="00F639AF" w:rsidRPr="00BF4097" w:rsidRDefault="00F639AF" w:rsidP="00BF4097">
      <w:pPr>
        <w:tabs>
          <w:tab w:val="left" w:pos="142"/>
          <w:tab w:val="left" w:pos="567"/>
          <w:tab w:val="left" w:pos="851"/>
        </w:tabs>
        <w:spacing w:line="276" w:lineRule="auto"/>
        <w:jc w:val="both"/>
        <w:rPr>
          <w:rFonts w:ascii="Arial" w:eastAsia="Times New Roman" w:hAnsi="Arial" w:cs="Arial"/>
          <w:i/>
          <w:sz w:val="24"/>
          <w:szCs w:val="24"/>
          <w:lang w:eastAsia="es-ES"/>
        </w:rPr>
      </w:pPr>
      <w:r w:rsidRPr="00BF4097">
        <w:rPr>
          <w:rFonts w:ascii="Arial" w:eastAsia="Times New Roman" w:hAnsi="Arial" w:cs="Arial"/>
          <w:i/>
          <w:sz w:val="24"/>
          <w:szCs w:val="24"/>
          <w:lang w:eastAsia="es-ES"/>
        </w:rPr>
        <w:t xml:space="preserve"> </w:t>
      </w:r>
    </w:p>
    <w:p w:rsidR="00F639AF" w:rsidRPr="00BF4097" w:rsidRDefault="00F639AF" w:rsidP="00BF4097">
      <w:pPr>
        <w:widowControl w:val="0"/>
        <w:numPr>
          <w:ilvl w:val="2"/>
          <w:numId w:val="27"/>
        </w:numPr>
        <w:tabs>
          <w:tab w:val="left" w:pos="142"/>
        </w:tabs>
        <w:overflowPunct w:val="0"/>
        <w:adjustRightInd w:val="0"/>
        <w:spacing w:line="276" w:lineRule="auto"/>
        <w:ind w:left="0"/>
        <w:contextualSpacing/>
        <w:jc w:val="both"/>
        <w:rPr>
          <w:rFonts w:ascii="Arial" w:eastAsia="Times New Roman" w:hAnsi="Arial" w:cs="Arial"/>
          <w:bCs/>
          <w:kern w:val="28"/>
          <w:sz w:val="24"/>
          <w:szCs w:val="24"/>
          <w:lang w:val="es-ES" w:eastAsia="es-CO"/>
        </w:rPr>
      </w:pPr>
      <w:r w:rsidRPr="00BF4097">
        <w:rPr>
          <w:rFonts w:ascii="Arial" w:eastAsia="Times New Roman" w:hAnsi="Arial" w:cs="Arial"/>
          <w:bCs/>
          <w:kern w:val="28"/>
          <w:sz w:val="24"/>
          <w:szCs w:val="24"/>
          <w:lang w:val="es-ES" w:eastAsia="es-CO"/>
        </w:rPr>
        <w:t xml:space="preserve">Nación-Ministerio de Defensa Nacional </w:t>
      </w:r>
    </w:p>
    <w:p w:rsidR="00F639AF" w:rsidRPr="00BF4097" w:rsidRDefault="00F639AF" w:rsidP="00BF4097">
      <w:pPr>
        <w:tabs>
          <w:tab w:val="left" w:pos="142"/>
        </w:tabs>
        <w:spacing w:line="276" w:lineRule="auto"/>
        <w:jc w:val="both"/>
        <w:rPr>
          <w:rFonts w:ascii="Arial" w:eastAsia="Times New Roman" w:hAnsi="Arial" w:cs="Arial"/>
          <w:bCs/>
          <w:sz w:val="24"/>
          <w:szCs w:val="24"/>
          <w:lang w:val="es-ES" w:eastAsia="es-ES"/>
        </w:rPr>
      </w:pPr>
    </w:p>
    <w:p w:rsidR="00F639AF" w:rsidRPr="00BF4097" w:rsidRDefault="00F639AF" w:rsidP="00BF4097">
      <w:pPr>
        <w:tabs>
          <w:tab w:val="left" w:pos="142"/>
        </w:tabs>
        <w:spacing w:line="276" w:lineRule="auto"/>
        <w:jc w:val="both"/>
        <w:rPr>
          <w:rFonts w:ascii="Arial" w:eastAsia="Times New Roman" w:hAnsi="Arial" w:cs="Arial"/>
          <w:bCs/>
          <w:sz w:val="24"/>
          <w:szCs w:val="24"/>
          <w:lang w:val="es-ES" w:eastAsia="es-ES"/>
        </w:rPr>
      </w:pPr>
      <w:r w:rsidRPr="00BF4097">
        <w:rPr>
          <w:rFonts w:ascii="Arial" w:eastAsia="Times New Roman" w:hAnsi="Arial" w:cs="Arial"/>
          <w:bCs/>
          <w:sz w:val="24"/>
          <w:szCs w:val="24"/>
          <w:lang w:val="es-ES" w:eastAsia="es-ES"/>
        </w:rPr>
        <w:t xml:space="preserve">La Nación-Ministerio de Defensa en contestación de la demanda del 4 de marzo de 2005 (fol. 61 a 63, c. 1, </w:t>
      </w:r>
      <w:proofErr w:type="spellStart"/>
      <w:r w:rsidRPr="00BF4097">
        <w:rPr>
          <w:rFonts w:ascii="Arial" w:eastAsia="Times New Roman" w:hAnsi="Arial" w:cs="Arial"/>
          <w:bCs/>
          <w:sz w:val="24"/>
          <w:szCs w:val="24"/>
          <w:lang w:val="es-ES" w:eastAsia="es-ES"/>
        </w:rPr>
        <w:t>exp</w:t>
      </w:r>
      <w:proofErr w:type="spellEnd"/>
      <w:r w:rsidRPr="00BF4097">
        <w:rPr>
          <w:rFonts w:ascii="Arial" w:eastAsia="Times New Roman" w:hAnsi="Arial" w:cs="Arial"/>
          <w:bCs/>
          <w:sz w:val="24"/>
          <w:szCs w:val="24"/>
          <w:lang w:val="es-ES" w:eastAsia="es-ES"/>
        </w:rPr>
        <w:t>. 2004-02423) se opuso a las pretensiones, al tiempo que manifestó que no le constan los hechos, toda vez que se trató de un proceso licitatorio abierto por el Fondo Rotatorio de la Fuerza Aérea –FORFA, establecimiento público adscrito al Ministerio de Defensa, que por ende, cuenta con autonomía administrativa y presupuesto propio. En consecuencia, propuso la excepción de falta de legitimación por pasiva.</w:t>
      </w:r>
      <w:r w:rsidRPr="00BF4097">
        <w:rPr>
          <w:rFonts w:ascii="Arial" w:eastAsia="Times New Roman" w:hAnsi="Arial" w:cs="Arial"/>
          <w:bCs/>
          <w:i/>
          <w:sz w:val="24"/>
          <w:szCs w:val="24"/>
          <w:lang w:val="es-ES" w:eastAsia="es-ES"/>
        </w:rPr>
        <w:t xml:space="preserve"> </w:t>
      </w:r>
      <w:r w:rsidRPr="00BF4097">
        <w:rPr>
          <w:rFonts w:ascii="Arial" w:eastAsia="Times New Roman" w:hAnsi="Arial" w:cs="Arial"/>
          <w:bCs/>
          <w:sz w:val="24"/>
          <w:szCs w:val="24"/>
          <w:lang w:val="es-ES" w:eastAsia="es-ES"/>
        </w:rPr>
        <w:t xml:space="preserve"> </w:t>
      </w:r>
    </w:p>
    <w:p w:rsidR="00F639AF" w:rsidRPr="00BF4097" w:rsidRDefault="00F639AF" w:rsidP="00BF4097">
      <w:pPr>
        <w:tabs>
          <w:tab w:val="left" w:pos="142"/>
        </w:tabs>
        <w:spacing w:line="276" w:lineRule="auto"/>
        <w:jc w:val="both"/>
        <w:rPr>
          <w:rFonts w:ascii="Arial" w:eastAsia="Times New Roman" w:hAnsi="Arial" w:cs="Arial"/>
          <w:bCs/>
          <w:sz w:val="24"/>
          <w:szCs w:val="24"/>
          <w:lang w:val="es-ES" w:eastAsia="es-ES"/>
        </w:rPr>
      </w:pPr>
    </w:p>
    <w:p w:rsidR="00F639AF" w:rsidRPr="00BF4097" w:rsidRDefault="00F639AF" w:rsidP="00BF4097">
      <w:pPr>
        <w:tabs>
          <w:tab w:val="left" w:pos="142"/>
        </w:tabs>
        <w:spacing w:line="276" w:lineRule="auto"/>
        <w:jc w:val="both"/>
        <w:rPr>
          <w:rFonts w:ascii="Arial" w:eastAsia="Times New Roman" w:hAnsi="Arial" w:cs="Arial"/>
          <w:b/>
          <w:bCs/>
          <w:sz w:val="24"/>
          <w:szCs w:val="24"/>
          <w:lang w:val="es-ES" w:eastAsia="es-ES"/>
        </w:rPr>
      </w:pPr>
      <w:r w:rsidRPr="00BF4097">
        <w:rPr>
          <w:rFonts w:ascii="Arial" w:eastAsia="Times New Roman" w:hAnsi="Arial" w:cs="Arial"/>
          <w:b/>
          <w:bCs/>
          <w:sz w:val="24"/>
          <w:szCs w:val="24"/>
          <w:lang w:val="es-ES" w:eastAsia="es-ES"/>
        </w:rPr>
        <w:t xml:space="preserve">4.2.2 Fondo Rotatorio de la Fuerza Aérea - FORFA </w:t>
      </w:r>
    </w:p>
    <w:p w:rsidR="00F639AF" w:rsidRPr="00BF4097" w:rsidRDefault="00F639AF" w:rsidP="00BF4097">
      <w:pPr>
        <w:tabs>
          <w:tab w:val="left" w:pos="142"/>
        </w:tabs>
        <w:spacing w:line="276" w:lineRule="auto"/>
        <w:jc w:val="both"/>
        <w:rPr>
          <w:rFonts w:ascii="Arial" w:eastAsia="Times New Roman" w:hAnsi="Arial" w:cs="Arial"/>
          <w:bCs/>
          <w:sz w:val="24"/>
          <w:szCs w:val="24"/>
          <w:lang w:val="es-ES" w:eastAsia="es-ES"/>
        </w:rPr>
      </w:pPr>
    </w:p>
    <w:p w:rsidR="00F639AF" w:rsidRPr="00BF4097" w:rsidRDefault="00F639AF" w:rsidP="00BF4097">
      <w:pPr>
        <w:tabs>
          <w:tab w:val="left" w:pos="142"/>
        </w:tabs>
        <w:spacing w:line="276" w:lineRule="auto"/>
        <w:jc w:val="both"/>
        <w:rPr>
          <w:rFonts w:ascii="Arial" w:eastAsia="Times New Roman" w:hAnsi="Arial" w:cs="Arial"/>
          <w:bCs/>
          <w:sz w:val="24"/>
          <w:szCs w:val="24"/>
          <w:lang w:val="es-ES" w:eastAsia="es-ES"/>
        </w:rPr>
      </w:pPr>
      <w:r w:rsidRPr="00BF4097">
        <w:rPr>
          <w:rFonts w:ascii="Arial" w:eastAsia="Times New Roman" w:hAnsi="Arial" w:cs="Arial"/>
          <w:bCs/>
          <w:sz w:val="24"/>
          <w:szCs w:val="24"/>
          <w:lang w:val="es-ES" w:eastAsia="es-ES"/>
        </w:rPr>
        <w:t>Reiteró lo dicho en la contestación de la demanda presentada en el expediente 2004-01700.</w:t>
      </w:r>
    </w:p>
    <w:p w:rsidR="00F639AF" w:rsidRPr="00BF4097" w:rsidRDefault="00F639AF" w:rsidP="00BF4097">
      <w:pPr>
        <w:tabs>
          <w:tab w:val="left" w:pos="142"/>
        </w:tabs>
        <w:spacing w:line="276" w:lineRule="auto"/>
        <w:rPr>
          <w:rFonts w:ascii="Arial" w:eastAsia="Times New Roman" w:hAnsi="Arial" w:cs="Arial"/>
          <w:bCs/>
          <w:sz w:val="24"/>
          <w:szCs w:val="24"/>
          <w:lang w:val="es-ES" w:eastAsia="es-ES"/>
        </w:rPr>
      </w:pPr>
    </w:p>
    <w:p w:rsidR="00F639AF" w:rsidRPr="00BF4097" w:rsidRDefault="00F639AF" w:rsidP="00BF4097">
      <w:pPr>
        <w:numPr>
          <w:ilvl w:val="0"/>
          <w:numId w:val="27"/>
        </w:numPr>
        <w:tabs>
          <w:tab w:val="left" w:pos="142"/>
        </w:tabs>
        <w:spacing w:line="276" w:lineRule="auto"/>
        <w:ind w:left="0" w:firstLine="0"/>
        <w:rPr>
          <w:rFonts w:ascii="Arial" w:eastAsia="Times New Roman" w:hAnsi="Arial" w:cs="Arial"/>
          <w:b/>
          <w:bCs/>
          <w:sz w:val="24"/>
          <w:szCs w:val="24"/>
          <w:lang w:val="es-ES" w:eastAsia="es-ES"/>
        </w:rPr>
      </w:pPr>
      <w:r w:rsidRPr="00BF4097">
        <w:rPr>
          <w:rFonts w:ascii="Arial" w:eastAsia="Times New Roman" w:hAnsi="Arial" w:cs="Arial"/>
          <w:b/>
          <w:bCs/>
          <w:sz w:val="24"/>
          <w:szCs w:val="24"/>
          <w:lang w:val="es-ES" w:eastAsia="es-ES"/>
        </w:rPr>
        <w:t xml:space="preserve">Alegatos en primera instancia </w:t>
      </w:r>
    </w:p>
    <w:p w:rsidR="00F639AF" w:rsidRPr="00BF4097" w:rsidRDefault="00F639AF" w:rsidP="00BF4097">
      <w:pPr>
        <w:tabs>
          <w:tab w:val="left" w:pos="142"/>
        </w:tabs>
        <w:spacing w:line="276" w:lineRule="auto"/>
        <w:rPr>
          <w:rFonts w:ascii="Arial" w:eastAsia="Times New Roman" w:hAnsi="Arial" w:cs="Arial"/>
          <w:bCs/>
          <w:sz w:val="24"/>
          <w:szCs w:val="24"/>
          <w:lang w:val="es-ES" w:eastAsia="es-ES"/>
        </w:rPr>
      </w:pPr>
    </w:p>
    <w:p w:rsidR="00F639AF" w:rsidRPr="00BF4097" w:rsidRDefault="00F639AF" w:rsidP="00BF4097">
      <w:pPr>
        <w:widowControl w:val="0"/>
        <w:numPr>
          <w:ilvl w:val="1"/>
          <w:numId w:val="27"/>
        </w:numPr>
        <w:tabs>
          <w:tab w:val="left" w:pos="142"/>
        </w:tabs>
        <w:overflowPunct w:val="0"/>
        <w:adjustRightInd w:val="0"/>
        <w:spacing w:line="276" w:lineRule="auto"/>
        <w:ind w:left="0" w:firstLine="0"/>
        <w:rPr>
          <w:rFonts w:ascii="Arial" w:eastAsia="Times New Roman" w:hAnsi="Arial" w:cs="Arial"/>
          <w:b/>
          <w:kern w:val="28"/>
          <w:sz w:val="24"/>
          <w:szCs w:val="24"/>
          <w:lang w:eastAsia="es-CO"/>
        </w:rPr>
      </w:pPr>
      <w:r w:rsidRPr="00BF4097">
        <w:rPr>
          <w:rFonts w:ascii="Arial" w:eastAsia="Times New Roman" w:hAnsi="Arial" w:cs="Arial"/>
          <w:b/>
          <w:kern w:val="28"/>
          <w:sz w:val="24"/>
          <w:szCs w:val="24"/>
          <w:lang w:eastAsia="es-CO"/>
        </w:rPr>
        <w:t xml:space="preserve"> Expediente 2004-01700 </w:t>
      </w:r>
    </w:p>
    <w:p w:rsidR="00F639AF" w:rsidRPr="00BF4097" w:rsidRDefault="00F639AF" w:rsidP="00BF4097">
      <w:pPr>
        <w:tabs>
          <w:tab w:val="left" w:pos="142"/>
        </w:tabs>
        <w:spacing w:line="276" w:lineRule="auto"/>
        <w:jc w:val="both"/>
        <w:rPr>
          <w:rFonts w:ascii="Arial" w:eastAsia="Times New Roman" w:hAnsi="Arial" w:cs="Arial"/>
          <w:bCs/>
          <w:sz w:val="24"/>
          <w:szCs w:val="24"/>
          <w:lang w:eastAsia="es-ES"/>
        </w:rPr>
      </w:pPr>
    </w:p>
    <w:p w:rsidR="00F639AF" w:rsidRPr="00BF4097" w:rsidRDefault="00F639AF" w:rsidP="00BF4097">
      <w:pPr>
        <w:tabs>
          <w:tab w:val="left" w:pos="142"/>
        </w:tabs>
        <w:spacing w:line="276" w:lineRule="auto"/>
        <w:jc w:val="both"/>
        <w:rPr>
          <w:rFonts w:ascii="Arial" w:eastAsia="Times New Roman" w:hAnsi="Arial" w:cs="Arial"/>
          <w:bCs/>
          <w:sz w:val="24"/>
          <w:szCs w:val="24"/>
          <w:lang w:val="es-ES" w:eastAsia="es-ES"/>
        </w:rPr>
      </w:pPr>
      <w:r w:rsidRPr="00BF4097">
        <w:rPr>
          <w:rFonts w:ascii="Arial" w:eastAsia="Times New Roman" w:hAnsi="Arial" w:cs="Arial"/>
          <w:bCs/>
          <w:sz w:val="24"/>
          <w:szCs w:val="24"/>
          <w:lang w:val="es-ES" w:eastAsia="es-ES"/>
        </w:rPr>
        <w:t xml:space="preserve">El </w:t>
      </w:r>
      <w:r w:rsidRPr="00BF4097">
        <w:rPr>
          <w:rFonts w:ascii="Arial" w:eastAsia="Times New Roman" w:hAnsi="Arial" w:cs="Arial"/>
          <w:b/>
          <w:bCs/>
          <w:sz w:val="24"/>
          <w:szCs w:val="24"/>
          <w:lang w:val="es-ES" w:eastAsia="es-ES"/>
        </w:rPr>
        <w:t>Fondo Rotatorio de la Fuerza Aérea - FORFA</w:t>
      </w:r>
      <w:r w:rsidRPr="00BF4097">
        <w:rPr>
          <w:rFonts w:ascii="Arial" w:eastAsia="Times New Roman" w:hAnsi="Arial" w:cs="Arial"/>
          <w:bCs/>
          <w:sz w:val="24"/>
          <w:szCs w:val="24"/>
          <w:lang w:val="es-ES" w:eastAsia="es-ES"/>
        </w:rPr>
        <w:t xml:space="preserve"> reiteró lo dicho en la contestación de la demanda (fol. 152 a 161, c.1). </w:t>
      </w:r>
    </w:p>
    <w:p w:rsidR="00F639AF" w:rsidRPr="00BF4097" w:rsidRDefault="00F639AF" w:rsidP="00BF4097">
      <w:pPr>
        <w:tabs>
          <w:tab w:val="left" w:pos="142"/>
        </w:tabs>
        <w:spacing w:line="276" w:lineRule="auto"/>
        <w:jc w:val="both"/>
        <w:rPr>
          <w:rFonts w:ascii="Arial" w:eastAsia="Times New Roman" w:hAnsi="Arial" w:cs="Arial"/>
          <w:bCs/>
          <w:sz w:val="24"/>
          <w:szCs w:val="24"/>
          <w:lang w:val="es-ES" w:eastAsia="es-ES"/>
        </w:rPr>
      </w:pPr>
    </w:p>
    <w:p w:rsidR="00F639AF" w:rsidRPr="00BF4097" w:rsidRDefault="00F639AF" w:rsidP="00BF4097">
      <w:pPr>
        <w:tabs>
          <w:tab w:val="left" w:pos="142"/>
        </w:tabs>
        <w:spacing w:line="276" w:lineRule="auto"/>
        <w:jc w:val="both"/>
        <w:rPr>
          <w:rFonts w:ascii="Arial" w:eastAsia="Times New Roman" w:hAnsi="Arial" w:cs="Arial"/>
          <w:bCs/>
          <w:sz w:val="24"/>
          <w:szCs w:val="24"/>
          <w:lang w:val="es-ES" w:eastAsia="es-ES"/>
        </w:rPr>
      </w:pPr>
      <w:r w:rsidRPr="00BF4097">
        <w:rPr>
          <w:rFonts w:ascii="Arial" w:eastAsia="Times New Roman" w:hAnsi="Arial" w:cs="Arial"/>
          <w:bCs/>
          <w:sz w:val="24"/>
          <w:szCs w:val="24"/>
          <w:lang w:val="es-ES" w:eastAsia="es-ES"/>
        </w:rPr>
        <w:t xml:space="preserve">En el mismo sentido la </w:t>
      </w:r>
      <w:r w:rsidRPr="00BF4097">
        <w:rPr>
          <w:rFonts w:ascii="Arial" w:eastAsia="Times New Roman" w:hAnsi="Arial" w:cs="Arial"/>
          <w:b/>
          <w:bCs/>
          <w:sz w:val="24"/>
          <w:szCs w:val="24"/>
          <w:lang w:val="es-ES" w:eastAsia="es-ES"/>
        </w:rPr>
        <w:t>parte demandante</w:t>
      </w:r>
      <w:r w:rsidRPr="00BF4097">
        <w:rPr>
          <w:rFonts w:ascii="Arial" w:eastAsia="Times New Roman" w:hAnsi="Arial" w:cs="Arial"/>
          <w:bCs/>
          <w:sz w:val="24"/>
          <w:szCs w:val="24"/>
          <w:lang w:val="es-ES" w:eastAsia="es-ES"/>
        </w:rPr>
        <w:t xml:space="preserve"> (fol. 162 a 176, c.1) insistió en los argumentos de la contestación de la demanda, al tiempo que aclaró que la actuación del FORFA fue infundada puesto que la Unión Temporal Palanquero 2004 no recibió información privilegiada, más que el CD que se le entregó y el respectivo pliego de condiciones, mismos documentos a los que accedió el Consorcio Yuma vía web. </w:t>
      </w:r>
    </w:p>
    <w:p w:rsidR="00F639AF" w:rsidRPr="00BF4097" w:rsidRDefault="00F639AF" w:rsidP="00BF4097">
      <w:pPr>
        <w:tabs>
          <w:tab w:val="left" w:pos="142"/>
        </w:tabs>
        <w:spacing w:line="276" w:lineRule="auto"/>
        <w:jc w:val="both"/>
        <w:rPr>
          <w:rFonts w:ascii="Arial" w:eastAsia="Times New Roman" w:hAnsi="Arial" w:cs="Arial"/>
          <w:bCs/>
          <w:sz w:val="24"/>
          <w:szCs w:val="24"/>
          <w:lang w:val="es-ES" w:eastAsia="es-ES"/>
        </w:rPr>
      </w:pPr>
    </w:p>
    <w:p w:rsidR="00F639AF" w:rsidRPr="00BF4097" w:rsidRDefault="00F639AF" w:rsidP="00BF4097">
      <w:pPr>
        <w:tabs>
          <w:tab w:val="left" w:pos="142"/>
        </w:tabs>
        <w:spacing w:line="276" w:lineRule="auto"/>
        <w:jc w:val="both"/>
        <w:rPr>
          <w:rFonts w:ascii="Arial" w:eastAsia="Times New Roman" w:hAnsi="Arial" w:cs="Arial"/>
          <w:bCs/>
          <w:sz w:val="24"/>
          <w:szCs w:val="24"/>
          <w:lang w:val="es-ES" w:eastAsia="es-ES"/>
        </w:rPr>
      </w:pPr>
      <w:r w:rsidRPr="00BF4097">
        <w:rPr>
          <w:rFonts w:ascii="Arial" w:eastAsia="Times New Roman" w:hAnsi="Arial" w:cs="Arial"/>
          <w:bCs/>
          <w:sz w:val="24"/>
          <w:szCs w:val="24"/>
          <w:lang w:val="es-ES" w:eastAsia="es-ES"/>
        </w:rPr>
        <w:t xml:space="preserve">Consideró, en adición, que el FORFA debió tener en cuenta que la declaratoria de desierta de la licitación solo opera en los casos en que sea imposible la selección objetiva del contratista, lo que no se presentó en este caso, toda vez que la Unión Temporal Palenquero 2004 obtuvo el mayor puntaje y solo restaba la audiencia de adjudicación. Sobre el particular, trajo a colación la declaración del arquitecto Juan Carlos Beltrán, quien hizo parte del comité técnico encargado de evaluar las propuestas, de la que se colige que para el momento la declaratoria, el comité evaluador ya había emitido concepto sobre las ofertas, favorable a la Unión Temporal Palenquero. Es decir, el FORFA interpretó erróneamente el artículo 25 de la Ley 80 de 1993, tanto así que declaró desierto el proceso licitatorio a través de resoluciones falsamente motivadas y fundadas en consideraciones subjetivas. </w:t>
      </w:r>
    </w:p>
    <w:p w:rsidR="00F639AF" w:rsidRPr="00BF4097" w:rsidRDefault="00F639AF" w:rsidP="00BF4097">
      <w:pPr>
        <w:tabs>
          <w:tab w:val="left" w:pos="142"/>
        </w:tabs>
        <w:spacing w:line="276" w:lineRule="auto"/>
        <w:jc w:val="both"/>
        <w:rPr>
          <w:rFonts w:ascii="Arial" w:eastAsia="Times New Roman" w:hAnsi="Arial" w:cs="Arial"/>
          <w:bCs/>
          <w:sz w:val="24"/>
          <w:szCs w:val="24"/>
          <w:lang w:val="es-ES" w:eastAsia="es-ES"/>
        </w:rPr>
      </w:pPr>
    </w:p>
    <w:p w:rsidR="00F639AF" w:rsidRPr="00BF4097" w:rsidRDefault="00F639AF" w:rsidP="00BF4097">
      <w:pPr>
        <w:tabs>
          <w:tab w:val="left" w:pos="142"/>
        </w:tabs>
        <w:spacing w:line="276" w:lineRule="auto"/>
        <w:jc w:val="both"/>
        <w:rPr>
          <w:rFonts w:ascii="Arial" w:eastAsia="Times New Roman" w:hAnsi="Arial" w:cs="Arial"/>
          <w:bCs/>
          <w:sz w:val="24"/>
          <w:szCs w:val="24"/>
          <w:lang w:val="es-ES" w:eastAsia="es-ES"/>
        </w:rPr>
      </w:pPr>
      <w:r w:rsidRPr="00BF4097">
        <w:rPr>
          <w:rFonts w:ascii="Arial" w:eastAsia="Times New Roman" w:hAnsi="Arial" w:cs="Arial"/>
          <w:bCs/>
          <w:sz w:val="24"/>
          <w:szCs w:val="24"/>
          <w:lang w:val="es-ES" w:eastAsia="es-ES"/>
        </w:rPr>
        <w:t xml:space="preserve">Finalmente, señaló que aunque existe un concepto de los veedores designados por el Comando de la Fuerza Aérea que señaló la veracidad de la asimetría de información, esto no era ápice para desconocer la igualdad de condiciones, puesto que ambos proponentes contaban con el pliego antes de la fecha de cierre estipulada, de modo que no hubo información privilegiada para la presentación de las propuestas. </w:t>
      </w: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p>
    <w:p w:rsidR="00F639AF" w:rsidRPr="00BF4097" w:rsidRDefault="00F639AF" w:rsidP="00BF4097">
      <w:pPr>
        <w:numPr>
          <w:ilvl w:val="0"/>
          <w:numId w:val="27"/>
        </w:numPr>
        <w:tabs>
          <w:tab w:val="left" w:pos="142"/>
        </w:tabs>
        <w:spacing w:line="276" w:lineRule="auto"/>
        <w:ind w:left="0" w:firstLine="0"/>
        <w:jc w:val="both"/>
        <w:rPr>
          <w:rFonts w:ascii="Arial" w:eastAsia="Times New Roman" w:hAnsi="Arial" w:cs="Arial"/>
          <w:b/>
          <w:sz w:val="24"/>
          <w:szCs w:val="24"/>
          <w:lang w:val="es-ES" w:eastAsia="es-ES"/>
        </w:rPr>
      </w:pPr>
      <w:r w:rsidRPr="00BF4097">
        <w:rPr>
          <w:rFonts w:ascii="Arial" w:eastAsia="Times New Roman" w:hAnsi="Arial" w:cs="Arial"/>
          <w:b/>
          <w:sz w:val="24"/>
          <w:szCs w:val="24"/>
          <w:lang w:val="es-ES" w:eastAsia="es-ES"/>
        </w:rPr>
        <w:t>Acumulación de procesos y subsanación de irregularidad procesal</w:t>
      </w:r>
    </w:p>
    <w:p w:rsidR="00F639AF" w:rsidRPr="00BF4097" w:rsidRDefault="00F639AF" w:rsidP="00BF4097">
      <w:pPr>
        <w:tabs>
          <w:tab w:val="left" w:pos="142"/>
        </w:tabs>
        <w:spacing w:line="276" w:lineRule="auto"/>
        <w:rPr>
          <w:rFonts w:ascii="Arial" w:eastAsia="Times New Roman" w:hAnsi="Arial" w:cs="Arial"/>
          <w:sz w:val="24"/>
          <w:szCs w:val="24"/>
          <w:lang w:val="es-ES" w:eastAsia="es-ES"/>
        </w:rPr>
      </w:pP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r w:rsidRPr="00BF4097">
        <w:rPr>
          <w:rFonts w:ascii="Arial" w:eastAsia="Times New Roman" w:hAnsi="Arial" w:cs="Arial"/>
          <w:sz w:val="24"/>
          <w:szCs w:val="24"/>
          <w:lang w:val="es-ES" w:eastAsia="es-ES"/>
        </w:rPr>
        <w:t xml:space="preserve">En el escrito de contestación de la demanda 2004-02423 la entidad demandada solicitó la acumulación con el expediente 2004-01700 (fol.110, c.1, </w:t>
      </w:r>
      <w:proofErr w:type="spellStart"/>
      <w:r w:rsidRPr="00BF4097">
        <w:rPr>
          <w:rFonts w:ascii="Arial" w:eastAsia="Times New Roman" w:hAnsi="Arial" w:cs="Arial"/>
          <w:sz w:val="24"/>
          <w:szCs w:val="24"/>
          <w:lang w:val="es-ES" w:eastAsia="es-ES"/>
        </w:rPr>
        <w:t>exp</w:t>
      </w:r>
      <w:proofErr w:type="spellEnd"/>
      <w:r w:rsidRPr="00BF4097">
        <w:rPr>
          <w:rFonts w:ascii="Arial" w:eastAsia="Times New Roman" w:hAnsi="Arial" w:cs="Arial"/>
          <w:sz w:val="24"/>
          <w:szCs w:val="24"/>
          <w:lang w:val="es-ES" w:eastAsia="es-ES"/>
        </w:rPr>
        <w:t xml:space="preserve">. 2004 -01700). Solicitud sobre la que no se pronunció el </w:t>
      </w:r>
      <w:r w:rsidRPr="00BF4097">
        <w:rPr>
          <w:rFonts w:ascii="Arial" w:eastAsia="Times New Roman" w:hAnsi="Arial" w:cs="Arial"/>
          <w:i/>
          <w:sz w:val="24"/>
          <w:szCs w:val="24"/>
          <w:lang w:val="es-ES" w:eastAsia="es-ES"/>
        </w:rPr>
        <w:t xml:space="preserve">a quo </w:t>
      </w:r>
      <w:r w:rsidRPr="00BF4097">
        <w:rPr>
          <w:rFonts w:ascii="Arial" w:eastAsia="Times New Roman" w:hAnsi="Arial" w:cs="Arial"/>
          <w:sz w:val="24"/>
          <w:szCs w:val="24"/>
          <w:lang w:val="es-ES" w:eastAsia="es-ES"/>
        </w:rPr>
        <w:t>durante el curso de la primera instancia.</w:t>
      </w: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r w:rsidRPr="00BF4097">
        <w:rPr>
          <w:rFonts w:ascii="Arial" w:eastAsia="Times New Roman" w:hAnsi="Arial" w:cs="Arial"/>
          <w:sz w:val="24"/>
          <w:szCs w:val="24"/>
          <w:lang w:val="es-ES" w:eastAsia="es-ES"/>
        </w:rPr>
        <w:t xml:space="preserve">Una vez notificada la sentencia, mediante auto del 3 de mayo de 2006 (fol. 203, c. ppal.), el Tribunal Administrativo de Cundinamarca, manifestó que la acumulación de procesos se decidió en la sentencia del 22 de marzo de 2006. </w:t>
      </w: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r w:rsidRPr="00BF4097">
        <w:rPr>
          <w:rFonts w:ascii="Arial" w:eastAsia="Times New Roman" w:hAnsi="Arial" w:cs="Arial"/>
          <w:sz w:val="24"/>
          <w:szCs w:val="24"/>
          <w:lang w:val="es-ES" w:eastAsia="es-ES"/>
        </w:rPr>
        <w:t xml:space="preserve"> </w:t>
      </w: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r w:rsidRPr="00BF4097">
        <w:rPr>
          <w:rFonts w:ascii="Arial" w:eastAsia="Times New Roman" w:hAnsi="Arial" w:cs="Arial"/>
          <w:sz w:val="24"/>
          <w:szCs w:val="24"/>
          <w:lang w:val="es-ES" w:eastAsia="es-ES"/>
        </w:rPr>
        <w:t xml:space="preserve">Si bien, encuentra la Sala que en el trámite de este asunto acaeció una irregularidad procesal, comoquiera que conforme lo señala el artículo 159 del C.P.C., aplicable por remisión expresa del artículo 145 del C.C.A., esta decisión debía adoptarse por auto y no en sentencia, además que nada se dijo en la decisión sobre el particular, comoquiera que se resolvieron conjuntamente las dos demandas sin pronunciamiento previo, lo cierto es que la misma quedó subsanada en los términos del parágrafo del artículo 140 del C.P.C., comoquiera que i) por este aspecto no se formuló la apelación y el recurso y  ii) el precitado auto de 3 de mayo de 2006 no fue cuestionado mediante la interposición de los recursos de ley. </w:t>
      </w:r>
    </w:p>
    <w:p w:rsidR="00F639AF" w:rsidRPr="00BF4097" w:rsidRDefault="00F639AF" w:rsidP="00BF4097">
      <w:pPr>
        <w:tabs>
          <w:tab w:val="left" w:pos="142"/>
        </w:tabs>
        <w:spacing w:line="276" w:lineRule="auto"/>
        <w:rPr>
          <w:rFonts w:ascii="Arial" w:eastAsia="Times New Roman" w:hAnsi="Arial" w:cs="Arial"/>
          <w:sz w:val="24"/>
          <w:szCs w:val="24"/>
          <w:lang w:val="es-ES" w:eastAsia="es-ES"/>
        </w:rPr>
      </w:pPr>
    </w:p>
    <w:p w:rsidR="00F639AF" w:rsidRPr="00BF4097" w:rsidRDefault="00F639AF" w:rsidP="00BF4097">
      <w:pPr>
        <w:numPr>
          <w:ilvl w:val="0"/>
          <w:numId w:val="27"/>
        </w:numPr>
        <w:tabs>
          <w:tab w:val="left" w:pos="142"/>
        </w:tabs>
        <w:spacing w:line="276" w:lineRule="auto"/>
        <w:ind w:left="0" w:firstLine="0"/>
        <w:rPr>
          <w:rFonts w:ascii="Arial" w:eastAsia="Times New Roman" w:hAnsi="Arial" w:cs="Arial"/>
          <w:b/>
          <w:sz w:val="24"/>
          <w:szCs w:val="24"/>
          <w:lang w:val="es-ES" w:eastAsia="es-ES"/>
        </w:rPr>
      </w:pPr>
      <w:r w:rsidRPr="00BF4097">
        <w:rPr>
          <w:rFonts w:ascii="Arial" w:eastAsia="Times New Roman" w:hAnsi="Arial" w:cs="Arial"/>
          <w:b/>
          <w:sz w:val="24"/>
          <w:szCs w:val="24"/>
          <w:lang w:val="es-ES" w:eastAsia="es-ES"/>
        </w:rPr>
        <w:t>La sentencia apelada</w:t>
      </w: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r w:rsidRPr="00BF4097">
        <w:rPr>
          <w:rFonts w:ascii="Arial" w:eastAsia="Times New Roman" w:hAnsi="Arial" w:cs="Arial"/>
          <w:sz w:val="24"/>
          <w:szCs w:val="24"/>
          <w:lang w:val="es-ES" w:eastAsia="es-ES"/>
        </w:rPr>
        <w:t>Mediante sentencia del 22 de marzo de 2006, la Subsección B de la Sección Tercera del Tribunal Administrativo de Cundinamarca negó las pretensiones incoadas por la firma RMR Construcciones S en C. y otros en la demanda del expediente no. 2004-01700 y declaró la ineptitud sustantiva de la demanda en el no. 2004-02423, iniciado por la sociedad Squadra Ltda. (fol. 178 a  196, c. ppal.).</w:t>
      </w: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r w:rsidRPr="00BF4097">
        <w:rPr>
          <w:rFonts w:ascii="Arial" w:eastAsia="Times New Roman" w:hAnsi="Arial" w:cs="Arial"/>
          <w:sz w:val="24"/>
          <w:szCs w:val="24"/>
          <w:lang w:val="es-ES" w:eastAsia="es-ES"/>
        </w:rPr>
        <w:t xml:space="preserve">Como primera medida, el </w:t>
      </w:r>
      <w:r w:rsidRPr="00BF4097">
        <w:rPr>
          <w:rFonts w:ascii="Arial" w:eastAsia="Times New Roman" w:hAnsi="Arial" w:cs="Arial"/>
          <w:i/>
          <w:sz w:val="24"/>
          <w:szCs w:val="24"/>
          <w:lang w:val="es-ES" w:eastAsia="es-ES"/>
        </w:rPr>
        <w:t xml:space="preserve">a quo </w:t>
      </w:r>
      <w:r w:rsidRPr="00BF4097">
        <w:rPr>
          <w:rFonts w:ascii="Arial" w:eastAsia="Times New Roman" w:hAnsi="Arial" w:cs="Arial"/>
          <w:sz w:val="24"/>
          <w:szCs w:val="24"/>
          <w:lang w:val="es-ES" w:eastAsia="es-ES"/>
        </w:rPr>
        <w:t xml:space="preserve">consideró que las demandas fueron radicadas oportunamente, esto es, se presentaron dentro de los cuatro meses siguientes a la notificación del acto que declaró desierta la licitación, término establecido en el numeral 2º del artículo 136 del C.C.A. </w:t>
      </w: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r w:rsidRPr="00BF4097">
        <w:rPr>
          <w:rFonts w:ascii="Arial" w:eastAsia="Times New Roman" w:hAnsi="Arial" w:cs="Arial"/>
          <w:sz w:val="24"/>
          <w:szCs w:val="24"/>
          <w:lang w:val="es-ES" w:eastAsia="es-ES"/>
        </w:rPr>
        <w:t xml:space="preserve">Pese a lo anterior, discurrió que la demanda dentro del expediente no. 2004-02423, iniciado por la firma Squadra Ltda. como integrante del consorcio Yuma, estaba viciada de ineptitud sustantiva, por cuanto en las pretensiones no se solicitó la declaratoria de nulidad del acto que la resolución n°. 272 de 2004, que declaró desierta la licitación, como lo ordena el artículo 138 del C.C.A. </w:t>
      </w: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r w:rsidRPr="00BF4097">
        <w:rPr>
          <w:rFonts w:ascii="Arial" w:eastAsia="Times New Roman" w:hAnsi="Arial" w:cs="Arial"/>
          <w:sz w:val="24"/>
          <w:szCs w:val="24"/>
          <w:lang w:val="es-ES" w:eastAsia="es-ES"/>
        </w:rPr>
        <w:t xml:space="preserve">Así las cosas, procedió a estudiar únicamente los cargos formulados contra los actos demandados en el expediente no. 2004-01700. Respecto de la extemporaneidad de las observaciones presentadas por el Consorcio Yuma, la Sala consideró que, pese a la comunicación fechada el 23 de marzo de 2004, expedida por uno de los funcionarios del FORFA en que se señalaban las 3 de la tarde como límite para la entrega de observaciones, esta no podía desconocer los términos y plazos establecidos en el pliego de condiciones, por lo cual no prosperó el cargo. En cuanto a la falsa motivación de las resoluciones que declaran desierto el proceso licitatorio, el </w:t>
      </w:r>
      <w:r w:rsidRPr="00BF4097">
        <w:rPr>
          <w:rFonts w:ascii="Arial" w:eastAsia="Times New Roman" w:hAnsi="Arial" w:cs="Arial"/>
          <w:i/>
          <w:sz w:val="24"/>
          <w:szCs w:val="24"/>
          <w:lang w:val="es-ES" w:eastAsia="es-ES"/>
        </w:rPr>
        <w:t xml:space="preserve">a quo </w:t>
      </w:r>
      <w:r w:rsidRPr="00BF4097">
        <w:rPr>
          <w:rFonts w:ascii="Arial" w:eastAsia="Times New Roman" w:hAnsi="Arial" w:cs="Arial"/>
          <w:sz w:val="24"/>
          <w:szCs w:val="24"/>
          <w:lang w:val="es-ES" w:eastAsia="es-ES"/>
        </w:rPr>
        <w:t xml:space="preserve">encontró probada la asimetría en la información entregada a ambos proponentes, así como la adecuación de la decisión del FORFA a las causales para decretar desierta la licitación establecidas en el pliego de condiciones. Así advertida la vulneración del principio de igualdad entre los oferentes, tal decisión era necesaria ante la imposibilidad de la entidad de escoger objetivamente entre una de las dos propuestas presentadas.  Por tanto, para el </w:t>
      </w:r>
      <w:r w:rsidRPr="00BF4097">
        <w:rPr>
          <w:rFonts w:ascii="Arial" w:eastAsia="Times New Roman" w:hAnsi="Arial" w:cs="Arial"/>
          <w:i/>
          <w:sz w:val="24"/>
          <w:szCs w:val="24"/>
          <w:lang w:val="es-ES" w:eastAsia="es-ES"/>
        </w:rPr>
        <w:t xml:space="preserve">a quo </w:t>
      </w:r>
      <w:r w:rsidRPr="00BF4097">
        <w:rPr>
          <w:rFonts w:ascii="Arial" w:eastAsia="Times New Roman" w:hAnsi="Arial" w:cs="Arial"/>
          <w:sz w:val="24"/>
          <w:szCs w:val="24"/>
          <w:lang w:val="es-ES" w:eastAsia="es-ES"/>
        </w:rPr>
        <w:t xml:space="preserve">resultó claro que las resoluciones demandadas no estaban viciadas de nulidad. </w:t>
      </w: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r w:rsidRPr="00BF4097">
        <w:rPr>
          <w:rFonts w:ascii="Arial" w:eastAsia="Times New Roman" w:hAnsi="Arial" w:cs="Arial"/>
          <w:sz w:val="24"/>
          <w:szCs w:val="24"/>
          <w:lang w:val="es-ES" w:eastAsia="es-ES"/>
        </w:rPr>
        <w:t>No obstante, advirtió la Sala que el trámite al que el FORFA sometió la licitación pública no. 08-FORFA-2004 fue irregular, de donde, si los demandantes pretendían el reconocimiento de perjuicios derivados de la falla en el servicio, debieron instaurar la acción de reparación directa. Por lo tanto, probada la legalidad de las resoluciones, se imponía la denegatoria de las pretensiones.</w:t>
      </w:r>
    </w:p>
    <w:p w:rsidR="00F639AF" w:rsidRPr="00BF4097" w:rsidRDefault="00F639AF" w:rsidP="00BF4097">
      <w:pPr>
        <w:tabs>
          <w:tab w:val="left" w:pos="142"/>
        </w:tabs>
        <w:spacing w:line="276" w:lineRule="auto"/>
        <w:rPr>
          <w:rFonts w:ascii="Arial" w:eastAsia="Times New Roman" w:hAnsi="Arial" w:cs="Arial"/>
          <w:b/>
          <w:sz w:val="24"/>
          <w:szCs w:val="24"/>
          <w:lang w:val="es-ES" w:eastAsia="es-ES"/>
        </w:rPr>
      </w:pPr>
    </w:p>
    <w:p w:rsidR="00F639AF" w:rsidRPr="00BF4097" w:rsidRDefault="00F639AF" w:rsidP="00BF4097">
      <w:pPr>
        <w:numPr>
          <w:ilvl w:val="0"/>
          <w:numId w:val="27"/>
        </w:numPr>
        <w:tabs>
          <w:tab w:val="left" w:pos="142"/>
        </w:tabs>
        <w:spacing w:line="276" w:lineRule="auto"/>
        <w:ind w:left="0" w:firstLine="0"/>
        <w:rPr>
          <w:rFonts w:ascii="Arial" w:eastAsia="Times New Roman" w:hAnsi="Arial" w:cs="Arial"/>
          <w:b/>
          <w:sz w:val="24"/>
          <w:szCs w:val="24"/>
          <w:lang w:val="es-ES" w:eastAsia="es-ES"/>
        </w:rPr>
      </w:pPr>
      <w:r w:rsidRPr="00BF4097">
        <w:rPr>
          <w:rFonts w:ascii="Arial" w:eastAsia="Times New Roman" w:hAnsi="Arial" w:cs="Arial"/>
          <w:b/>
          <w:sz w:val="24"/>
          <w:szCs w:val="24"/>
          <w:lang w:val="es-ES" w:eastAsia="es-ES"/>
        </w:rPr>
        <w:t>El recurso de apelación</w:t>
      </w: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p>
    <w:p w:rsidR="00F639AF" w:rsidRPr="00BF4097" w:rsidRDefault="00F639AF" w:rsidP="00BF4097">
      <w:pPr>
        <w:widowControl w:val="0"/>
        <w:numPr>
          <w:ilvl w:val="1"/>
          <w:numId w:val="27"/>
        </w:numPr>
        <w:tabs>
          <w:tab w:val="left" w:pos="142"/>
        </w:tabs>
        <w:overflowPunct w:val="0"/>
        <w:adjustRightInd w:val="0"/>
        <w:spacing w:line="276" w:lineRule="auto"/>
        <w:ind w:left="0" w:firstLine="0"/>
        <w:jc w:val="both"/>
        <w:rPr>
          <w:rFonts w:ascii="Arial" w:eastAsia="Times New Roman" w:hAnsi="Arial" w:cs="Arial"/>
          <w:b/>
          <w:kern w:val="28"/>
          <w:sz w:val="24"/>
          <w:szCs w:val="24"/>
          <w:lang w:val="es-ES" w:eastAsia="es-CO"/>
        </w:rPr>
      </w:pPr>
      <w:r w:rsidRPr="00BF4097">
        <w:rPr>
          <w:rFonts w:ascii="Arial" w:eastAsia="Times New Roman" w:hAnsi="Arial" w:cs="Arial"/>
          <w:b/>
          <w:kern w:val="28"/>
          <w:sz w:val="24"/>
          <w:szCs w:val="24"/>
          <w:lang w:val="es-ES" w:eastAsia="es-CO"/>
        </w:rPr>
        <w:t xml:space="preserve">Expediente 2004-01700. </w:t>
      </w:r>
    </w:p>
    <w:p w:rsidR="00F639AF" w:rsidRPr="00BF4097" w:rsidRDefault="00F639AF" w:rsidP="00BF4097">
      <w:pPr>
        <w:tabs>
          <w:tab w:val="left" w:pos="142"/>
        </w:tabs>
        <w:spacing w:line="276" w:lineRule="auto"/>
        <w:jc w:val="both"/>
        <w:rPr>
          <w:rFonts w:ascii="Arial" w:eastAsia="Times New Roman" w:hAnsi="Arial" w:cs="Arial"/>
          <w:sz w:val="24"/>
          <w:szCs w:val="24"/>
          <w:u w:val="single"/>
          <w:lang w:val="es-ES" w:eastAsia="es-ES"/>
        </w:rPr>
      </w:pP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r w:rsidRPr="00BF4097">
        <w:rPr>
          <w:rFonts w:ascii="Arial" w:eastAsia="Times New Roman" w:hAnsi="Arial" w:cs="Arial"/>
          <w:sz w:val="24"/>
          <w:szCs w:val="24"/>
          <w:lang w:val="es-ES" w:eastAsia="es-ES"/>
        </w:rPr>
        <w:t>Si bien la parte actora impugnó la decisión el 4 de abril de 2006 (fol. 201, c. ppal.), el recurso fue declarado desierto mediante auto de 29 de febrero de 2008, toda vez que no fue sustentado (fol. 245, c. ppal.).</w:t>
      </w: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p>
    <w:p w:rsidR="00F639AF" w:rsidRPr="00BF4097" w:rsidRDefault="00F639AF" w:rsidP="00BF4097">
      <w:pPr>
        <w:widowControl w:val="0"/>
        <w:numPr>
          <w:ilvl w:val="1"/>
          <w:numId w:val="27"/>
        </w:numPr>
        <w:tabs>
          <w:tab w:val="left" w:pos="142"/>
        </w:tabs>
        <w:overflowPunct w:val="0"/>
        <w:adjustRightInd w:val="0"/>
        <w:spacing w:line="276" w:lineRule="auto"/>
        <w:ind w:left="0" w:firstLine="0"/>
        <w:jc w:val="both"/>
        <w:rPr>
          <w:rFonts w:ascii="Arial" w:eastAsia="Times New Roman" w:hAnsi="Arial" w:cs="Arial"/>
          <w:b/>
          <w:kern w:val="28"/>
          <w:sz w:val="24"/>
          <w:szCs w:val="24"/>
          <w:lang w:val="es-ES" w:eastAsia="es-CO"/>
        </w:rPr>
      </w:pPr>
      <w:r w:rsidRPr="00BF4097">
        <w:rPr>
          <w:rFonts w:ascii="Arial" w:eastAsia="Times New Roman" w:hAnsi="Arial" w:cs="Arial"/>
          <w:b/>
          <w:kern w:val="28"/>
          <w:sz w:val="24"/>
          <w:szCs w:val="24"/>
          <w:lang w:val="es-ES" w:eastAsia="es-CO"/>
        </w:rPr>
        <w:t xml:space="preserve">Expediente 2004-02423 </w:t>
      </w: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r w:rsidRPr="00BF4097">
        <w:rPr>
          <w:rFonts w:ascii="Arial" w:eastAsia="Times New Roman" w:hAnsi="Arial" w:cs="Arial"/>
          <w:sz w:val="24"/>
          <w:szCs w:val="24"/>
          <w:lang w:val="es-ES" w:eastAsia="es-ES"/>
        </w:rPr>
        <w:t>Inconforme, la parte actora impugna la sentencia mediante memorial del 5 de abril de 2006, sustentado el 21 de septiembre de 2007 (fol. 200 a 222 a 230, c. ppal.). Solicita la revocatoria de la decisión y, por ende, la concesión de las pretensiones incoadas. Acusó el recurrente la ineptitud sustantiva de la demanda, declarada por el Tribunal por no ajustarse las pretensiones a lo ordenado por el artículo 138 del C.C.A., en cuanto comporta su negación sin análisis de los argumentos facticos y jurídicos planteados. Lo anterior, comoquiera que la resolución nº. 272 del 29 de junio de 2004 no fue recurrida por vía de reposición por los miembros del consorcio Yuma, de donde no le correspondía controvertir ese acto en sede judicial.</w:t>
      </w: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r w:rsidRPr="00BF4097">
        <w:rPr>
          <w:rFonts w:ascii="Arial" w:eastAsia="Times New Roman" w:hAnsi="Arial" w:cs="Arial"/>
          <w:sz w:val="24"/>
          <w:szCs w:val="24"/>
          <w:lang w:val="es-ES" w:eastAsia="es-ES"/>
        </w:rPr>
        <w:t>Recabó en que el recurso de reposición es de carácter facultativo y, por ende, la decisión del recurso interpuesto por el proponente Unión Temporal Palenquero 2004, por su carácter particular y concreto, no lo obliga, así como tampoco le era oponible. Por lo tanto, sólo estaba obligado a controvertir la resolución 272 de 2004, única decisión proferida respecto de su propuesta.</w:t>
      </w: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p>
    <w:p w:rsidR="00F639AF" w:rsidRPr="00BF4097" w:rsidRDefault="00F639AF" w:rsidP="00BF4097">
      <w:pPr>
        <w:widowControl w:val="0"/>
        <w:numPr>
          <w:ilvl w:val="0"/>
          <w:numId w:val="27"/>
        </w:numPr>
        <w:overflowPunct w:val="0"/>
        <w:adjustRightInd w:val="0"/>
        <w:spacing w:line="276" w:lineRule="auto"/>
        <w:ind w:left="0"/>
        <w:contextualSpacing/>
        <w:jc w:val="both"/>
        <w:rPr>
          <w:rFonts w:ascii="Arial" w:eastAsia="Times New Roman" w:hAnsi="Arial" w:cs="Arial"/>
          <w:b/>
          <w:kern w:val="28"/>
          <w:sz w:val="24"/>
          <w:szCs w:val="24"/>
          <w:lang w:val="es-ES" w:eastAsia="es-CO"/>
        </w:rPr>
      </w:pPr>
      <w:r w:rsidRPr="00BF4097">
        <w:rPr>
          <w:rFonts w:ascii="Arial" w:eastAsia="Times New Roman" w:hAnsi="Arial" w:cs="Arial"/>
          <w:b/>
          <w:kern w:val="28"/>
          <w:sz w:val="24"/>
          <w:szCs w:val="24"/>
          <w:lang w:val="es-ES" w:eastAsia="es-CO"/>
        </w:rPr>
        <w:t>Trámite procesal en esta instancia</w:t>
      </w:r>
    </w:p>
    <w:p w:rsidR="00F639AF" w:rsidRPr="00BF4097" w:rsidRDefault="00F639AF" w:rsidP="00BF4097">
      <w:pPr>
        <w:spacing w:line="276" w:lineRule="auto"/>
        <w:jc w:val="both"/>
        <w:rPr>
          <w:rFonts w:ascii="Arial" w:eastAsia="Times New Roman" w:hAnsi="Arial" w:cs="Arial"/>
          <w:b/>
          <w:sz w:val="24"/>
          <w:szCs w:val="24"/>
          <w:lang w:val="es-ES" w:eastAsia="es-ES"/>
        </w:rPr>
      </w:pPr>
    </w:p>
    <w:p w:rsidR="00F639AF" w:rsidRPr="00BF4097" w:rsidRDefault="00F639AF" w:rsidP="00BF4097">
      <w:pPr>
        <w:spacing w:line="276" w:lineRule="auto"/>
        <w:jc w:val="both"/>
        <w:rPr>
          <w:rFonts w:ascii="Arial" w:eastAsia="Times New Roman" w:hAnsi="Arial" w:cs="Arial"/>
          <w:sz w:val="24"/>
          <w:szCs w:val="24"/>
          <w:lang w:val="es-ES" w:eastAsia="es-ES"/>
        </w:rPr>
      </w:pPr>
      <w:r w:rsidRPr="00BF4097">
        <w:rPr>
          <w:rFonts w:ascii="Arial" w:eastAsia="Times New Roman" w:hAnsi="Arial" w:cs="Arial"/>
          <w:sz w:val="24"/>
          <w:szCs w:val="24"/>
          <w:lang w:val="es-ES" w:eastAsia="es-ES"/>
        </w:rPr>
        <w:t>Por medio de oficio de 11 de septiembre de 2013, el magistrado Ramiro Pazos Guerrero, manifestó su impedimento para conocer del asunto de la referencia por estar incurso en la causal del numeral 2º del artículo 141 del C.G.P. (fol. 276, c. ppal.), el cual fue aceptado por la magistrada instructora mediante auto de la misma fecha (fol. 277 a 278, c. ppal.).</w:t>
      </w:r>
    </w:p>
    <w:p w:rsidR="00F639AF" w:rsidRPr="00BF4097" w:rsidRDefault="00F639AF" w:rsidP="00BF4097">
      <w:pPr>
        <w:spacing w:line="276" w:lineRule="auto"/>
        <w:jc w:val="both"/>
        <w:rPr>
          <w:rFonts w:ascii="Arial" w:eastAsia="Times New Roman" w:hAnsi="Arial" w:cs="Arial"/>
          <w:sz w:val="24"/>
          <w:szCs w:val="24"/>
          <w:lang w:val="es-ES" w:eastAsia="es-ES"/>
        </w:rPr>
      </w:pPr>
    </w:p>
    <w:p w:rsidR="00F639AF" w:rsidRPr="00BF4097" w:rsidRDefault="00F639AF" w:rsidP="00BF4097">
      <w:pPr>
        <w:numPr>
          <w:ilvl w:val="0"/>
          <w:numId w:val="1"/>
        </w:numPr>
        <w:tabs>
          <w:tab w:val="left" w:pos="142"/>
        </w:tabs>
        <w:spacing w:line="276" w:lineRule="auto"/>
        <w:ind w:left="0"/>
        <w:jc w:val="center"/>
        <w:rPr>
          <w:rFonts w:ascii="Arial" w:eastAsia="Times New Roman" w:hAnsi="Arial" w:cs="Arial"/>
          <w:b/>
          <w:sz w:val="24"/>
          <w:szCs w:val="24"/>
          <w:lang w:val="es-ES" w:eastAsia="es-ES"/>
        </w:rPr>
      </w:pPr>
      <w:r w:rsidRPr="00BF4097">
        <w:rPr>
          <w:rFonts w:ascii="Arial" w:eastAsia="Times New Roman" w:hAnsi="Arial" w:cs="Arial"/>
          <w:b/>
          <w:sz w:val="24"/>
          <w:szCs w:val="24"/>
          <w:lang w:val="es-ES" w:eastAsia="es-ES"/>
        </w:rPr>
        <w:t xml:space="preserve">CONSIDERACIONES </w:t>
      </w:r>
    </w:p>
    <w:p w:rsidR="00F639AF" w:rsidRPr="00BF4097" w:rsidRDefault="00F639AF" w:rsidP="00BF4097">
      <w:pPr>
        <w:tabs>
          <w:tab w:val="left" w:pos="142"/>
        </w:tabs>
        <w:spacing w:line="276" w:lineRule="auto"/>
        <w:jc w:val="center"/>
        <w:rPr>
          <w:rFonts w:ascii="Arial" w:eastAsia="Times New Roman" w:hAnsi="Arial" w:cs="Arial"/>
          <w:b/>
          <w:bCs/>
          <w:sz w:val="24"/>
          <w:szCs w:val="24"/>
          <w:lang w:val="es-ES" w:eastAsia="es-ES"/>
        </w:rPr>
      </w:pPr>
    </w:p>
    <w:p w:rsidR="00F639AF" w:rsidRPr="00BF4097" w:rsidRDefault="00F639AF" w:rsidP="00BF4097">
      <w:pPr>
        <w:widowControl w:val="0"/>
        <w:numPr>
          <w:ilvl w:val="0"/>
          <w:numId w:val="30"/>
        </w:numPr>
        <w:tabs>
          <w:tab w:val="left" w:pos="142"/>
        </w:tabs>
        <w:overflowPunct w:val="0"/>
        <w:adjustRightInd w:val="0"/>
        <w:spacing w:line="276" w:lineRule="auto"/>
        <w:ind w:left="0" w:firstLine="0"/>
        <w:contextualSpacing/>
        <w:jc w:val="both"/>
        <w:rPr>
          <w:rFonts w:ascii="Arial" w:eastAsia="Times New Roman" w:hAnsi="Arial" w:cs="Arial"/>
          <w:b/>
          <w:bCs/>
          <w:kern w:val="28"/>
          <w:sz w:val="24"/>
          <w:szCs w:val="24"/>
          <w:lang w:val="es-MX" w:eastAsia="es-CO"/>
        </w:rPr>
      </w:pPr>
      <w:r w:rsidRPr="00BF4097">
        <w:rPr>
          <w:rFonts w:ascii="Arial" w:eastAsia="Times New Roman" w:hAnsi="Arial" w:cs="Arial"/>
          <w:b/>
          <w:bCs/>
          <w:kern w:val="28"/>
          <w:sz w:val="24"/>
          <w:szCs w:val="24"/>
          <w:lang w:val="es-MX" w:eastAsia="es-CO"/>
        </w:rPr>
        <w:t xml:space="preserve">Competencia </w:t>
      </w:r>
    </w:p>
    <w:p w:rsidR="00F639AF" w:rsidRPr="00BF4097" w:rsidRDefault="00F639AF" w:rsidP="00BF4097">
      <w:pPr>
        <w:tabs>
          <w:tab w:val="left" w:pos="142"/>
          <w:tab w:val="left" w:pos="709"/>
        </w:tabs>
        <w:spacing w:line="276" w:lineRule="auto"/>
        <w:jc w:val="both"/>
        <w:rPr>
          <w:rFonts w:ascii="Arial" w:eastAsia="Times New Roman" w:hAnsi="Arial" w:cs="Arial"/>
          <w:sz w:val="24"/>
          <w:szCs w:val="24"/>
          <w:lang w:val="es-ES" w:eastAsia="es-ES"/>
        </w:rPr>
      </w:pP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r w:rsidRPr="00BF4097">
        <w:rPr>
          <w:rFonts w:ascii="Arial" w:eastAsia="Times New Roman" w:hAnsi="Arial" w:cs="Arial"/>
          <w:sz w:val="24"/>
          <w:szCs w:val="24"/>
          <w:lang w:val="es-ES" w:eastAsia="es-ES"/>
        </w:rPr>
        <w:t xml:space="preserve">La Sala es competente para conocer del recurso de apelación interpuesto por la demandante sociedad Squadra Ltda., porque en el </w:t>
      </w:r>
      <w:r w:rsidRPr="00BF4097">
        <w:rPr>
          <w:rFonts w:ascii="Arial" w:eastAsia="Times New Roman" w:hAnsi="Arial" w:cs="Arial"/>
          <w:i/>
          <w:sz w:val="24"/>
          <w:szCs w:val="24"/>
          <w:lang w:val="es-ES" w:eastAsia="es-ES"/>
        </w:rPr>
        <w:t>sub lite</w:t>
      </w:r>
      <w:r w:rsidRPr="00BF4097">
        <w:rPr>
          <w:rFonts w:ascii="Arial" w:eastAsia="Times New Roman" w:hAnsi="Arial" w:cs="Arial"/>
          <w:sz w:val="24"/>
          <w:szCs w:val="24"/>
          <w:lang w:val="es-ES" w:eastAsia="es-ES"/>
        </w:rPr>
        <w:t xml:space="preserve"> la cuantía supera el límite para que una acción de nulidad y restablecimiento del derecho sea conocida en segunda instancia por esta corporación</w:t>
      </w:r>
      <w:r w:rsidRPr="00BF4097">
        <w:rPr>
          <w:rFonts w:ascii="Arial" w:eastAsia="Times New Roman" w:hAnsi="Arial" w:cs="Arial"/>
          <w:sz w:val="24"/>
          <w:szCs w:val="24"/>
          <w:vertAlign w:val="superscript"/>
          <w:lang w:val="es-ES" w:eastAsia="es-ES"/>
        </w:rPr>
        <w:footnoteReference w:id="1"/>
      </w:r>
      <w:r w:rsidRPr="00BF4097">
        <w:rPr>
          <w:rFonts w:ascii="Arial" w:eastAsia="Times New Roman" w:hAnsi="Arial" w:cs="Arial"/>
          <w:sz w:val="24"/>
          <w:szCs w:val="24"/>
          <w:lang w:val="es-ES" w:eastAsia="es-ES"/>
        </w:rPr>
        <w:t>.</w:t>
      </w: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p>
    <w:p w:rsidR="00F639AF" w:rsidRPr="00BF4097" w:rsidRDefault="00F639AF" w:rsidP="00BF4097">
      <w:pPr>
        <w:widowControl w:val="0"/>
        <w:numPr>
          <w:ilvl w:val="0"/>
          <w:numId w:val="30"/>
        </w:numPr>
        <w:tabs>
          <w:tab w:val="left" w:pos="142"/>
        </w:tabs>
        <w:overflowPunct w:val="0"/>
        <w:adjustRightInd w:val="0"/>
        <w:spacing w:line="276" w:lineRule="auto"/>
        <w:ind w:left="0" w:firstLine="0"/>
        <w:contextualSpacing/>
        <w:jc w:val="both"/>
        <w:rPr>
          <w:rFonts w:ascii="Arial" w:eastAsia="Times New Roman" w:hAnsi="Arial" w:cs="Arial"/>
          <w:b/>
          <w:bCs/>
          <w:kern w:val="28"/>
          <w:sz w:val="24"/>
          <w:szCs w:val="24"/>
          <w:lang w:val="es-ES" w:eastAsia="es-CO"/>
        </w:rPr>
      </w:pPr>
      <w:r w:rsidRPr="00BF4097">
        <w:rPr>
          <w:rFonts w:ascii="Arial" w:eastAsia="Times New Roman" w:hAnsi="Arial" w:cs="Arial"/>
          <w:b/>
          <w:bCs/>
          <w:kern w:val="28"/>
          <w:sz w:val="24"/>
          <w:szCs w:val="24"/>
          <w:lang w:val="es-ES" w:eastAsia="es-CO"/>
        </w:rPr>
        <w:t>Cuestión previa: sobre la ineptitud sustantiva de la demanda</w:t>
      </w:r>
    </w:p>
    <w:p w:rsidR="00F639AF" w:rsidRPr="00BF4097" w:rsidRDefault="00F639AF" w:rsidP="00BF4097">
      <w:pPr>
        <w:tabs>
          <w:tab w:val="left" w:pos="142"/>
        </w:tabs>
        <w:spacing w:line="276" w:lineRule="auto"/>
        <w:jc w:val="both"/>
        <w:rPr>
          <w:rFonts w:ascii="Arial" w:eastAsia="Times New Roman" w:hAnsi="Arial" w:cs="Arial"/>
          <w:b/>
          <w:bCs/>
          <w:sz w:val="24"/>
          <w:szCs w:val="24"/>
          <w:lang w:val="es-ES" w:eastAsia="es-ES"/>
        </w:rPr>
      </w:pPr>
    </w:p>
    <w:p w:rsidR="00F639AF" w:rsidRPr="00BF4097" w:rsidRDefault="00F639AF" w:rsidP="00BF4097">
      <w:pPr>
        <w:widowControl w:val="0"/>
        <w:numPr>
          <w:ilvl w:val="1"/>
          <w:numId w:val="30"/>
        </w:numPr>
        <w:tabs>
          <w:tab w:val="left" w:pos="142"/>
        </w:tabs>
        <w:overflowPunct w:val="0"/>
        <w:adjustRightInd w:val="0"/>
        <w:spacing w:line="276" w:lineRule="auto"/>
        <w:ind w:left="0" w:firstLine="0"/>
        <w:contextualSpacing/>
        <w:jc w:val="both"/>
        <w:rPr>
          <w:rFonts w:ascii="Arial" w:eastAsia="Times New Roman" w:hAnsi="Arial" w:cs="Arial"/>
          <w:kern w:val="28"/>
          <w:sz w:val="24"/>
          <w:szCs w:val="24"/>
          <w:lang w:val="es-ES" w:eastAsia="es-CO"/>
        </w:rPr>
      </w:pPr>
      <w:r w:rsidRPr="00BF4097">
        <w:rPr>
          <w:rFonts w:ascii="Arial" w:eastAsia="Times New Roman" w:hAnsi="Arial" w:cs="Arial"/>
          <w:bCs/>
          <w:kern w:val="28"/>
          <w:sz w:val="24"/>
          <w:szCs w:val="24"/>
          <w:lang w:val="es-ES" w:eastAsia="es-CO"/>
        </w:rPr>
        <w:t>Mediante resolución n.°</w:t>
      </w:r>
      <w:r w:rsidRPr="00BF4097">
        <w:rPr>
          <w:rFonts w:ascii="Arial" w:eastAsia="Times New Roman" w:hAnsi="Arial" w:cs="Arial"/>
          <w:kern w:val="28"/>
          <w:sz w:val="24"/>
          <w:szCs w:val="24"/>
          <w:lang w:val="es-ES" w:eastAsia="es-CO"/>
        </w:rPr>
        <w:t xml:space="preserve"> 272 de 29 de junio de 2004, el Fondo Rotatorio de la Fuerza Aérea Colombiana declaró desierta la licitación pública n.° 08-FORFA-04 y dispuso la contratación directa de la obra, así (fol. 1 a 6, c. 2, </w:t>
      </w:r>
      <w:proofErr w:type="spellStart"/>
      <w:r w:rsidRPr="00BF4097">
        <w:rPr>
          <w:rFonts w:ascii="Arial" w:eastAsia="Times New Roman" w:hAnsi="Arial" w:cs="Arial"/>
          <w:kern w:val="28"/>
          <w:sz w:val="24"/>
          <w:szCs w:val="24"/>
          <w:lang w:val="es-ES" w:eastAsia="es-CO"/>
        </w:rPr>
        <w:t>exp</w:t>
      </w:r>
      <w:proofErr w:type="spellEnd"/>
      <w:r w:rsidRPr="00BF4097">
        <w:rPr>
          <w:rFonts w:ascii="Arial" w:eastAsia="Times New Roman" w:hAnsi="Arial" w:cs="Arial"/>
          <w:kern w:val="28"/>
          <w:sz w:val="24"/>
          <w:szCs w:val="24"/>
          <w:lang w:val="es-ES" w:eastAsia="es-CO"/>
        </w:rPr>
        <w:t>. 2004-01700):</w:t>
      </w:r>
    </w:p>
    <w:p w:rsidR="00F639AF" w:rsidRPr="00BF4097" w:rsidRDefault="00F639AF" w:rsidP="00BF4097">
      <w:pPr>
        <w:tabs>
          <w:tab w:val="left" w:pos="142"/>
        </w:tabs>
        <w:spacing w:line="276" w:lineRule="auto"/>
        <w:contextualSpacing/>
        <w:jc w:val="both"/>
        <w:rPr>
          <w:rFonts w:ascii="Arial" w:eastAsia="Times New Roman" w:hAnsi="Arial" w:cs="Arial"/>
          <w:b/>
          <w:sz w:val="24"/>
          <w:szCs w:val="24"/>
          <w:lang w:val="es-ES" w:eastAsia="es-ES"/>
        </w:rPr>
      </w:pPr>
      <w:r w:rsidRPr="00BF4097">
        <w:rPr>
          <w:rFonts w:ascii="Arial" w:eastAsia="Times New Roman" w:hAnsi="Arial" w:cs="Arial"/>
          <w:b/>
          <w:sz w:val="24"/>
          <w:szCs w:val="24"/>
          <w:lang w:val="es-ES" w:eastAsia="es-ES"/>
        </w:rPr>
        <w:t xml:space="preserve"> </w:t>
      </w:r>
    </w:p>
    <w:p w:rsidR="00F639AF" w:rsidRPr="00BF4097" w:rsidRDefault="00F639AF" w:rsidP="00BF4097">
      <w:pPr>
        <w:tabs>
          <w:tab w:val="left" w:pos="142"/>
        </w:tabs>
        <w:contextualSpacing/>
        <w:jc w:val="both"/>
        <w:rPr>
          <w:rFonts w:ascii="Arial" w:eastAsia="Times New Roman" w:hAnsi="Arial" w:cs="Arial"/>
          <w:i/>
          <w:sz w:val="24"/>
          <w:szCs w:val="24"/>
          <w:lang w:val="es-ES" w:eastAsia="es-ES"/>
        </w:rPr>
      </w:pPr>
      <w:r w:rsidRPr="00BF4097">
        <w:rPr>
          <w:rFonts w:ascii="Arial" w:eastAsia="Times New Roman" w:hAnsi="Arial" w:cs="Arial"/>
          <w:i/>
          <w:sz w:val="24"/>
          <w:szCs w:val="24"/>
          <w:lang w:val="es-ES" w:eastAsia="es-ES"/>
        </w:rPr>
        <w:t>“Artículo Primero.- Reanúdese la Audiencia Pública de Adjudicación para el miércoles treinta (30) de junio de 2004, a las quince y treinta (15:30) horas en la Sala de Juntas de esta entidad.</w:t>
      </w:r>
    </w:p>
    <w:p w:rsidR="00F639AF" w:rsidRPr="00BF4097" w:rsidRDefault="00F639AF" w:rsidP="00BF4097">
      <w:pPr>
        <w:tabs>
          <w:tab w:val="left" w:pos="142"/>
        </w:tabs>
        <w:contextualSpacing/>
        <w:jc w:val="both"/>
        <w:rPr>
          <w:rFonts w:ascii="Arial" w:eastAsia="Times New Roman" w:hAnsi="Arial" w:cs="Arial"/>
          <w:i/>
          <w:sz w:val="24"/>
          <w:szCs w:val="24"/>
          <w:lang w:val="es-ES" w:eastAsia="es-ES"/>
        </w:rPr>
      </w:pPr>
    </w:p>
    <w:p w:rsidR="00F639AF" w:rsidRPr="00BF4097" w:rsidRDefault="00F639AF" w:rsidP="00BF4097">
      <w:pPr>
        <w:tabs>
          <w:tab w:val="left" w:pos="142"/>
        </w:tabs>
        <w:contextualSpacing/>
        <w:jc w:val="both"/>
        <w:rPr>
          <w:rFonts w:ascii="Arial" w:eastAsia="Times New Roman" w:hAnsi="Arial" w:cs="Arial"/>
          <w:i/>
          <w:sz w:val="24"/>
          <w:szCs w:val="24"/>
          <w:lang w:val="es-ES" w:eastAsia="es-ES"/>
        </w:rPr>
      </w:pPr>
      <w:r w:rsidRPr="00BF4097">
        <w:rPr>
          <w:rFonts w:ascii="Arial" w:eastAsia="Times New Roman" w:hAnsi="Arial" w:cs="Arial"/>
          <w:i/>
          <w:sz w:val="24"/>
          <w:szCs w:val="24"/>
          <w:lang w:val="es-ES" w:eastAsia="es-ES"/>
        </w:rPr>
        <w:t>Artículo Segundo.- Declárese conforme a la parte motiva de la presente resolución desierta la licitación pública 08-FORFA-2004.</w:t>
      </w:r>
    </w:p>
    <w:p w:rsidR="00F639AF" w:rsidRPr="00BF4097" w:rsidRDefault="00F639AF" w:rsidP="00BF4097">
      <w:pPr>
        <w:tabs>
          <w:tab w:val="left" w:pos="142"/>
        </w:tabs>
        <w:contextualSpacing/>
        <w:jc w:val="both"/>
        <w:rPr>
          <w:rFonts w:ascii="Arial" w:eastAsia="Times New Roman" w:hAnsi="Arial" w:cs="Arial"/>
          <w:i/>
          <w:sz w:val="24"/>
          <w:szCs w:val="24"/>
          <w:lang w:val="es-ES" w:eastAsia="es-ES"/>
        </w:rPr>
      </w:pPr>
    </w:p>
    <w:p w:rsidR="00F639AF" w:rsidRPr="00BF4097" w:rsidRDefault="00F639AF" w:rsidP="00BF4097">
      <w:pPr>
        <w:tabs>
          <w:tab w:val="left" w:pos="142"/>
        </w:tabs>
        <w:contextualSpacing/>
        <w:jc w:val="both"/>
        <w:rPr>
          <w:rFonts w:ascii="Arial" w:eastAsia="Times New Roman" w:hAnsi="Arial" w:cs="Arial"/>
          <w:i/>
          <w:sz w:val="24"/>
          <w:szCs w:val="24"/>
          <w:lang w:val="es-ES" w:eastAsia="es-ES"/>
        </w:rPr>
      </w:pPr>
      <w:r w:rsidRPr="00BF4097">
        <w:rPr>
          <w:rFonts w:ascii="Arial" w:eastAsia="Times New Roman" w:hAnsi="Arial" w:cs="Arial"/>
          <w:i/>
          <w:sz w:val="24"/>
          <w:szCs w:val="24"/>
          <w:lang w:val="es-ES" w:eastAsia="es-ES"/>
        </w:rPr>
        <w:t xml:space="preserve">Artículo tercero.- </w:t>
      </w:r>
      <w:proofErr w:type="spellStart"/>
      <w:r w:rsidRPr="00BF4097">
        <w:rPr>
          <w:rFonts w:ascii="Arial" w:eastAsia="Times New Roman" w:hAnsi="Arial" w:cs="Arial"/>
          <w:i/>
          <w:sz w:val="24"/>
          <w:szCs w:val="24"/>
          <w:lang w:val="es-ES" w:eastAsia="es-ES"/>
        </w:rPr>
        <w:t>Ordénase</w:t>
      </w:r>
      <w:proofErr w:type="spellEnd"/>
      <w:r w:rsidRPr="00BF4097">
        <w:rPr>
          <w:rFonts w:ascii="Arial" w:eastAsia="Times New Roman" w:hAnsi="Arial" w:cs="Arial"/>
          <w:i/>
          <w:sz w:val="24"/>
          <w:szCs w:val="24"/>
          <w:lang w:val="es-ES" w:eastAsia="es-ES"/>
        </w:rPr>
        <w:t xml:space="preserve"> la apertura de un nuevo proceso de conformidad a lo establecido en el artículo 16 del decreto 2170 de 2002.</w:t>
      </w:r>
    </w:p>
    <w:p w:rsidR="00F639AF" w:rsidRPr="00BF4097" w:rsidRDefault="00F639AF" w:rsidP="00BF4097">
      <w:pPr>
        <w:tabs>
          <w:tab w:val="left" w:pos="142"/>
        </w:tabs>
        <w:contextualSpacing/>
        <w:jc w:val="both"/>
        <w:rPr>
          <w:rFonts w:ascii="Arial" w:eastAsia="Times New Roman" w:hAnsi="Arial" w:cs="Arial"/>
          <w:i/>
          <w:sz w:val="24"/>
          <w:szCs w:val="24"/>
          <w:lang w:val="es-ES" w:eastAsia="es-ES"/>
        </w:rPr>
      </w:pPr>
    </w:p>
    <w:p w:rsidR="00F639AF" w:rsidRPr="00BF4097" w:rsidRDefault="00F639AF" w:rsidP="00BF4097">
      <w:pPr>
        <w:tabs>
          <w:tab w:val="left" w:pos="142"/>
        </w:tabs>
        <w:contextualSpacing/>
        <w:jc w:val="both"/>
        <w:rPr>
          <w:rFonts w:ascii="Arial" w:eastAsia="Times New Roman" w:hAnsi="Arial" w:cs="Arial"/>
          <w:sz w:val="24"/>
          <w:szCs w:val="24"/>
          <w:lang w:val="es-ES" w:eastAsia="es-ES"/>
        </w:rPr>
      </w:pPr>
      <w:r w:rsidRPr="00BF4097">
        <w:rPr>
          <w:rFonts w:ascii="Arial" w:eastAsia="Times New Roman" w:hAnsi="Arial" w:cs="Arial"/>
          <w:i/>
          <w:sz w:val="24"/>
          <w:szCs w:val="24"/>
          <w:lang w:val="es-ES" w:eastAsia="es-ES"/>
        </w:rPr>
        <w:t xml:space="preserve">Artículo cuarto.- </w:t>
      </w:r>
      <w:r w:rsidRPr="00BF4097">
        <w:rPr>
          <w:rFonts w:ascii="Arial" w:eastAsia="Times New Roman" w:hAnsi="Arial" w:cs="Arial"/>
          <w:i/>
          <w:sz w:val="24"/>
          <w:szCs w:val="24"/>
          <w:u w:val="single"/>
          <w:lang w:val="es-ES" w:eastAsia="es-ES"/>
        </w:rPr>
        <w:t>Contra la presente resolución sólo procederá el recurso de reposición, que deberá ser interpuesto dentro de los tres días hábiles siguientes a la notificación del mismo (…)”</w:t>
      </w:r>
      <w:r w:rsidRPr="00BF4097">
        <w:rPr>
          <w:rFonts w:ascii="Arial" w:eastAsia="Times New Roman" w:hAnsi="Arial" w:cs="Arial"/>
          <w:i/>
          <w:sz w:val="24"/>
          <w:szCs w:val="24"/>
          <w:lang w:val="es-ES" w:eastAsia="es-ES"/>
        </w:rPr>
        <w:t xml:space="preserve"> </w:t>
      </w:r>
      <w:r w:rsidRPr="00BF4097">
        <w:rPr>
          <w:rFonts w:ascii="Arial" w:eastAsia="Times New Roman" w:hAnsi="Arial" w:cs="Arial"/>
          <w:sz w:val="24"/>
          <w:szCs w:val="24"/>
          <w:lang w:val="es-ES" w:eastAsia="es-ES"/>
        </w:rPr>
        <w:t>– se destaca-.</w:t>
      </w:r>
    </w:p>
    <w:p w:rsidR="00F639AF" w:rsidRPr="00BF4097" w:rsidRDefault="00F639AF" w:rsidP="00BF4097">
      <w:pPr>
        <w:tabs>
          <w:tab w:val="left" w:pos="142"/>
        </w:tabs>
        <w:contextualSpacing/>
        <w:jc w:val="both"/>
        <w:rPr>
          <w:rFonts w:ascii="Arial" w:eastAsia="Times New Roman" w:hAnsi="Arial" w:cs="Arial"/>
          <w:sz w:val="24"/>
          <w:szCs w:val="24"/>
          <w:lang w:val="es-ES" w:eastAsia="es-ES"/>
        </w:rPr>
      </w:pP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r w:rsidRPr="00BF4097">
        <w:rPr>
          <w:rFonts w:ascii="Arial" w:eastAsia="Times New Roman" w:hAnsi="Arial" w:cs="Arial"/>
          <w:sz w:val="24"/>
          <w:szCs w:val="24"/>
          <w:lang w:val="es-ES" w:eastAsia="es-ES"/>
        </w:rPr>
        <w:t>Para llegar a esta conclusión la entidad sostuvo:</w:t>
      </w: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p>
    <w:p w:rsidR="00F639AF" w:rsidRPr="00BF4097" w:rsidRDefault="00F639AF" w:rsidP="00BF4097">
      <w:pPr>
        <w:tabs>
          <w:tab w:val="left" w:pos="142"/>
        </w:tabs>
        <w:jc w:val="both"/>
        <w:rPr>
          <w:rFonts w:ascii="Arial" w:eastAsia="Times New Roman" w:hAnsi="Arial" w:cs="Arial"/>
          <w:i/>
          <w:sz w:val="24"/>
          <w:szCs w:val="24"/>
          <w:lang w:val="es-ES" w:eastAsia="es-ES"/>
        </w:rPr>
      </w:pPr>
      <w:r w:rsidRPr="00BF4097">
        <w:rPr>
          <w:rFonts w:ascii="Arial" w:eastAsia="Times New Roman" w:hAnsi="Arial" w:cs="Arial"/>
          <w:i/>
          <w:sz w:val="24"/>
          <w:szCs w:val="24"/>
          <w:lang w:val="es-ES" w:eastAsia="es-ES"/>
        </w:rPr>
        <w:t xml:space="preserve">“(…) Que llegado el día y hora señalada para la diligencia de adjudicación hicieron presentes los oferentes; Consorcio Yuma y Unión Temporal Palenquero 2004; </w:t>
      </w:r>
    </w:p>
    <w:p w:rsidR="00F639AF" w:rsidRPr="00BF4097" w:rsidRDefault="00F639AF" w:rsidP="00BF4097">
      <w:pPr>
        <w:tabs>
          <w:tab w:val="left" w:pos="142"/>
        </w:tabs>
        <w:jc w:val="both"/>
        <w:rPr>
          <w:rFonts w:ascii="Arial" w:eastAsia="Times New Roman" w:hAnsi="Arial" w:cs="Arial"/>
          <w:i/>
          <w:sz w:val="24"/>
          <w:szCs w:val="24"/>
          <w:lang w:val="es-ES" w:eastAsia="es-ES"/>
        </w:rPr>
      </w:pPr>
    </w:p>
    <w:p w:rsidR="00F639AF" w:rsidRPr="00BF4097" w:rsidRDefault="00F639AF" w:rsidP="00BF4097">
      <w:pPr>
        <w:tabs>
          <w:tab w:val="left" w:pos="142"/>
        </w:tabs>
        <w:jc w:val="both"/>
        <w:rPr>
          <w:rFonts w:ascii="Arial" w:eastAsia="Times New Roman" w:hAnsi="Arial" w:cs="Arial"/>
          <w:i/>
          <w:sz w:val="24"/>
          <w:szCs w:val="24"/>
          <w:lang w:val="es-ES" w:eastAsia="es-ES"/>
        </w:rPr>
      </w:pPr>
      <w:r w:rsidRPr="00BF4097">
        <w:rPr>
          <w:rFonts w:ascii="Arial" w:eastAsia="Times New Roman" w:hAnsi="Arial" w:cs="Arial"/>
          <w:i/>
          <w:sz w:val="24"/>
          <w:szCs w:val="24"/>
          <w:lang w:val="es-ES" w:eastAsia="es-ES"/>
        </w:rPr>
        <w:t>Que en la intervención del oferente Consorcio Yuma, manifestó que el oferente U.T. Palenquero 2004, tuvo información adicional consistente en las especificaciones y un archivo de cantidades de obra y que además dentro de los documentos anexos a la oferta, la información allí presentada no concuerda con la realidad respecto de las certificaciones de obra de la U.T. Palenquero 2004. También observa que dentro del término legal el oferente había hecho algunas observaciones a las cuales la entidad debía dar respuesta, por cuanto los 5 días establecidos por la Ley 80 de 1993, es un término legal que de acuerdo al Código Municipal empieza a correr al día siguiente de su notificación;</w:t>
      </w:r>
    </w:p>
    <w:p w:rsidR="00F639AF" w:rsidRPr="00BF4097" w:rsidRDefault="00F639AF" w:rsidP="00BF4097">
      <w:pPr>
        <w:tabs>
          <w:tab w:val="left" w:pos="142"/>
        </w:tabs>
        <w:jc w:val="both"/>
        <w:rPr>
          <w:rFonts w:ascii="Arial" w:eastAsia="Times New Roman" w:hAnsi="Arial" w:cs="Arial"/>
          <w:i/>
          <w:sz w:val="24"/>
          <w:szCs w:val="24"/>
          <w:lang w:val="es-ES" w:eastAsia="es-ES"/>
        </w:rPr>
      </w:pPr>
    </w:p>
    <w:p w:rsidR="00F639AF" w:rsidRPr="00BF4097" w:rsidRDefault="00F639AF" w:rsidP="00BF4097">
      <w:pPr>
        <w:tabs>
          <w:tab w:val="left" w:pos="142"/>
        </w:tabs>
        <w:jc w:val="both"/>
        <w:rPr>
          <w:rFonts w:ascii="Arial" w:eastAsia="Times New Roman" w:hAnsi="Arial" w:cs="Arial"/>
          <w:i/>
          <w:sz w:val="24"/>
          <w:szCs w:val="24"/>
          <w:lang w:val="es-ES" w:eastAsia="es-ES"/>
        </w:rPr>
      </w:pPr>
      <w:r w:rsidRPr="00BF4097">
        <w:rPr>
          <w:rFonts w:ascii="Arial" w:eastAsia="Times New Roman" w:hAnsi="Arial" w:cs="Arial"/>
          <w:i/>
          <w:sz w:val="24"/>
          <w:szCs w:val="24"/>
          <w:lang w:val="es-ES" w:eastAsia="es-ES"/>
        </w:rPr>
        <w:t>Que al intervenir la Unión Temporal Palenquero 2004, manifiesta haber recibido información adicional por parte del Fondo, lo cual también lo registró mediante oficio de fecha 05 de abril de 2004 declarando que a cambio de obtener beneficio, le perjudicó (…)</w:t>
      </w:r>
    </w:p>
    <w:p w:rsidR="00F639AF" w:rsidRPr="00BF4097" w:rsidRDefault="00F639AF" w:rsidP="00BF4097">
      <w:pPr>
        <w:tabs>
          <w:tab w:val="left" w:pos="142"/>
        </w:tabs>
        <w:jc w:val="both"/>
        <w:rPr>
          <w:rFonts w:ascii="Arial" w:eastAsia="Times New Roman" w:hAnsi="Arial" w:cs="Arial"/>
          <w:i/>
          <w:sz w:val="24"/>
          <w:szCs w:val="24"/>
          <w:lang w:val="es-ES" w:eastAsia="es-ES"/>
        </w:rPr>
      </w:pPr>
    </w:p>
    <w:p w:rsidR="00F639AF" w:rsidRPr="00BF4097" w:rsidRDefault="00F639AF" w:rsidP="00BF4097">
      <w:pPr>
        <w:tabs>
          <w:tab w:val="left" w:pos="142"/>
        </w:tabs>
        <w:jc w:val="both"/>
        <w:rPr>
          <w:rFonts w:ascii="Arial" w:eastAsia="Times New Roman" w:hAnsi="Arial" w:cs="Arial"/>
          <w:i/>
          <w:sz w:val="24"/>
          <w:szCs w:val="24"/>
          <w:lang w:val="es-ES" w:eastAsia="es-ES"/>
        </w:rPr>
      </w:pPr>
      <w:r w:rsidRPr="00BF4097">
        <w:rPr>
          <w:rFonts w:ascii="Arial" w:eastAsia="Times New Roman" w:hAnsi="Arial" w:cs="Arial"/>
          <w:i/>
          <w:sz w:val="24"/>
          <w:szCs w:val="24"/>
          <w:lang w:val="es-ES" w:eastAsia="es-ES"/>
        </w:rPr>
        <w:t xml:space="preserve">Que en desarrollo del deber institucional de aplicar los principios de transparencia e igualdad, se inician las investigaciones del caso, que conducen a establecer que la entidad hizo copia de 5 CD, que contenían únicamente los planos de la obra, de los cuales 3 fueron entregados a los oferentes Coninsa y Ramón H, UT Palenquero 2004 y el Consorcio Yuma, verificada la información contenida en los </w:t>
      </w:r>
      <w:proofErr w:type="spellStart"/>
      <w:r w:rsidRPr="00BF4097">
        <w:rPr>
          <w:rFonts w:ascii="Arial" w:eastAsia="Times New Roman" w:hAnsi="Arial" w:cs="Arial"/>
          <w:i/>
          <w:sz w:val="24"/>
          <w:szCs w:val="24"/>
          <w:lang w:val="es-ES" w:eastAsia="es-ES"/>
        </w:rPr>
        <w:t>CDs</w:t>
      </w:r>
      <w:proofErr w:type="spellEnd"/>
      <w:r w:rsidRPr="00BF4097">
        <w:rPr>
          <w:rFonts w:ascii="Arial" w:eastAsia="Times New Roman" w:hAnsi="Arial" w:cs="Arial"/>
          <w:i/>
          <w:sz w:val="24"/>
          <w:szCs w:val="24"/>
          <w:lang w:val="es-ES" w:eastAsia="es-ES"/>
        </w:rPr>
        <w:t>, se aprecia que la del Consorcio Yuma y Coninsa coinciden en todo con lo gravado por el Fondo. Se comprueba que el CD entregado por la UT Palenquero 2004 y el Consorcio Yuma y Coninsa coinciden en todo con lo gravado</w:t>
      </w:r>
      <w:r w:rsidRPr="00BF4097">
        <w:rPr>
          <w:rFonts w:ascii="Arial" w:eastAsia="Times New Roman" w:hAnsi="Arial" w:cs="Arial"/>
          <w:sz w:val="24"/>
          <w:szCs w:val="24"/>
          <w:lang w:val="es-ES" w:eastAsia="es-ES"/>
        </w:rPr>
        <w:t xml:space="preserve"> (sic) </w:t>
      </w:r>
      <w:r w:rsidRPr="00BF4097">
        <w:rPr>
          <w:rFonts w:ascii="Arial" w:eastAsia="Times New Roman" w:hAnsi="Arial" w:cs="Arial"/>
          <w:i/>
          <w:sz w:val="24"/>
          <w:szCs w:val="24"/>
          <w:lang w:val="es-ES" w:eastAsia="es-ES"/>
        </w:rPr>
        <w:t>por el fondo. Se comprueba que el CD entregado por la UT Palenquero no es el mismo CD entregado por el Fondo a la compra de los pliegos, manifestando que no corresponde por haber sido hurtado con los equipos de cómputo de la UT Palenquero 2004, lo que comunica con el denuncio respectivo;</w:t>
      </w:r>
    </w:p>
    <w:p w:rsidR="00F639AF" w:rsidRPr="00BF4097" w:rsidRDefault="00F639AF" w:rsidP="00BF4097">
      <w:pPr>
        <w:tabs>
          <w:tab w:val="left" w:pos="142"/>
        </w:tabs>
        <w:jc w:val="both"/>
        <w:rPr>
          <w:rFonts w:ascii="Arial" w:eastAsia="Times New Roman" w:hAnsi="Arial" w:cs="Arial"/>
          <w:i/>
          <w:sz w:val="24"/>
          <w:szCs w:val="24"/>
          <w:lang w:val="es-ES" w:eastAsia="es-ES"/>
        </w:rPr>
      </w:pPr>
    </w:p>
    <w:p w:rsidR="00F639AF" w:rsidRPr="00BF4097" w:rsidRDefault="00F639AF" w:rsidP="00BF4097">
      <w:pPr>
        <w:tabs>
          <w:tab w:val="left" w:pos="142"/>
        </w:tabs>
        <w:jc w:val="both"/>
        <w:rPr>
          <w:rFonts w:ascii="Arial" w:eastAsia="Times New Roman" w:hAnsi="Arial" w:cs="Arial"/>
          <w:i/>
          <w:sz w:val="24"/>
          <w:szCs w:val="24"/>
          <w:lang w:val="es-ES" w:eastAsia="es-ES"/>
        </w:rPr>
      </w:pPr>
      <w:r w:rsidRPr="00BF4097">
        <w:rPr>
          <w:rFonts w:ascii="Arial" w:eastAsia="Times New Roman" w:hAnsi="Arial" w:cs="Arial"/>
          <w:i/>
          <w:sz w:val="24"/>
          <w:szCs w:val="24"/>
          <w:lang w:val="es-ES" w:eastAsia="es-ES"/>
        </w:rPr>
        <w:t xml:space="preserve">(…) – Que ante la observación del señor oferente, la administración ordena investigación y análisis de los </w:t>
      </w:r>
      <w:proofErr w:type="spellStart"/>
      <w:r w:rsidRPr="00BF4097">
        <w:rPr>
          <w:rFonts w:ascii="Arial" w:eastAsia="Times New Roman" w:hAnsi="Arial" w:cs="Arial"/>
          <w:i/>
          <w:sz w:val="24"/>
          <w:szCs w:val="24"/>
          <w:lang w:val="es-ES" w:eastAsia="es-ES"/>
        </w:rPr>
        <w:t>Cds</w:t>
      </w:r>
      <w:proofErr w:type="spellEnd"/>
      <w:r w:rsidRPr="00BF4097">
        <w:rPr>
          <w:rFonts w:ascii="Arial" w:eastAsia="Times New Roman" w:hAnsi="Arial" w:cs="Arial"/>
          <w:i/>
          <w:sz w:val="24"/>
          <w:szCs w:val="24"/>
          <w:lang w:val="es-ES" w:eastAsia="es-ES"/>
        </w:rPr>
        <w:t>, entregados a cada uno de los oferentes con el fin de establecer lo sucedido;</w:t>
      </w:r>
    </w:p>
    <w:p w:rsidR="00F639AF" w:rsidRPr="00BF4097" w:rsidRDefault="00F639AF" w:rsidP="00BF4097">
      <w:pPr>
        <w:tabs>
          <w:tab w:val="left" w:pos="142"/>
        </w:tabs>
        <w:jc w:val="both"/>
        <w:rPr>
          <w:rFonts w:ascii="Arial" w:eastAsia="Times New Roman" w:hAnsi="Arial" w:cs="Arial"/>
          <w:i/>
          <w:sz w:val="24"/>
          <w:szCs w:val="24"/>
          <w:lang w:val="es-ES" w:eastAsia="es-ES"/>
        </w:rPr>
      </w:pPr>
    </w:p>
    <w:p w:rsidR="00F639AF" w:rsidRPr="00BF4097" w:rsidRDefault="00F639AF" w:rsidP="00BF4097">
      <w:pPr>
        <w:tabs>
          <w:tab w:val="left" w:pos="142"/>
        </w:tabs>
        <w:jc w:val="both"/>
        <w:rPr>
          <w:rFonts w:ascii="Arial" w:eastAsia="Times New Roman" w:hAnsi="Arial" w:cs="Arial"/>
          <w:i/>
          <w:sz w:val="24"/>
          <w:szCs w:val="24"/>
          <w:lang w:val="es-ES" w:eastAsia="es-ES"/>
        </w:rPr>
      </w:pPr>
      <w:r w:rsidRPr="00BF4097">
        <w:rPr>
          <w:rFonts w:ascii="Arial" w:eastAsia="Times New Roman" w:hAnsi="Arial" w:cs="Arial"/>
          <w:i/>
          <w:sz w:val="24"/>
          <w:szCs w:val="24"/>
          <w:lang w:val="es-ES" w:eastAsia="es-ES"/>
        </w:rPr>
        <w:t xml:space="preserve">Que una vez se realizaron las investigaciones del caso en cuanto a la información que contenían los </w:t>
      </w:r>
      <w:proofErr w:type="spellStart"/>
      <w:r w:rsidRPr="00BF4097">
        <w:rPr>
          <w:rFonts w:ascii="Arial" w:eastAsia="Times New Roman" w:hAnsi="Arial" w:cs="Arial"/>
          <w:i/>
          <w:sz w:val="24"/>
          <w:szCs w:val="24"/>
          <w:lang w:val="es-ES" w:eastAsia="es-ES"/>
        </w:rPr>
        <w:t>Cd’s</w:t>
      </w:r>
      <w:proofErr w:type="spellEnd"/>
      <w:r w:rsidRPr="00BF4097">
        <w:rPr>
          <w:rFonts w:ascii="Arial" w:eastAsia="Times New Roman" w:hAnsi="Arial" w:cs="Arial"/>
          <w:i/>
          <w:sz w:val="24"/>
          <w:szCs w:val="24"/>
          <w:lang w:val="es-ES" w:eastAsia="es-ES"/>
        </w:rPr>
        <w:t>, no se obtuvo claridad en cuanto a lo sucedido (…).</w:t>
      </w:r>
    </w:p>
    <w:p w:rsidR="00F639AF" w:rsidRPr="00BF4097" w:rsidRDefault="00F639AF" w:rsidP="00BF4097">
      <w:pPr>
        <w:tabs>
          <w:tab w:val="left" w:pos="142"/>
        </w:tabs>
        <w:jc w:val="both"/>
        <w:rPr>
          <w:rFonts w:ascii="Arial" w:eastAsia="Times New Roman" w:hAnsi="Arial" w:cs="Arial"/>
          <w:i/>
          <w:sz w:val="24"/>
          <w:szCs w:val="24"/>
          <w:lang w:val="es-ES" w:eastAsia="es-ES"/>
        </w:rPr>
      </w:pPr>
    </w:p>
    <w:p w:rsidR="00F639AF" w:rsidRPr="00BF4097" w:rsidRDefault="00F639AF" w:rsidP="00BF4097">
      <w:pPr>
        <w:tabs>
          <w:tab w:val="left" w:pos="142"/>
        </w:tabs>
        <w:jc w:val="both"/>
        <w:rPr>
          <w:rFonts w:ascii="Arial" w:eastAsia="Times New Roman" w:hAnsi="Arial" w:cs="Arial"/>
          <w:i/>
          <w:sz w:val="24"/>
          <w:szCs w:val="24"/>
          <w:lang w:val="es-ES" w:eastAsia="es-ES"/>
        </w:rPr>
      </w:pPr>
      <w:r w:rsidRPr="00BF4097">
        <w:rPr>
          <w:rFonts w:ascii="Arial" w:eastAsia="Times New Roman" w:hAnsi="Arial" w:cs="Arial"/>
          <w:i/>
          <w:sz w:val="24"/>
          <w:szCs w:val="24"/>
          <w:lang w:val="es-ES" w:eastAsia="es-ES"/>
        </w:rPr>
        <w:t>(…)  Que previos los conceptos emitidos por los Comités, la junta de Licitaciones y adquisiciones recomienda a la Dirección General del Fondo, declarar desierta la Licitación Pública nº. 08-FORFA -2004, por considerar que se vulneró el principio a la igualdad que deben gozar todas y cada una de las oferentes que intervienen en los procesos de selección objetiva;</w:t>
      </w:r>
    </w:p>
    <w:p w:rsidR="00F639AF" w:rsidRPr="00BF4097" w:rsidRDefault="00F639AF" w:rsidP="00BF4097">
      <w:pPr>
        <w:tabs>
          <w:tab w:val="left" w:pos="142"/>
        </w:tabs>
        <w:jc w:val="both"/>
        <w:rPr>
          <w:rFonts w:ascii="Arial" w:eastAsia="Times New Roman" w:hAnsi="Arial" w:cs="Arial"/>
          <w:i/>
          <w:sz w:val="24"/>
          <w:szCs w:val="24"/>
          <w:lang w:val="es-ES" w:eastAsia="es-ES"/>
        </w:rPr>
      </w:pPr>
    </w:p>
    <w:p w:rsidR="00F639AF" w:rsidRPr="00BF4097" w:rsidRDefault="00F639AF" w:rsidP="00BF4097">
      <w:pPr>
        <w:tabs>
          <w:tab w:val="left" w:pos="142"/>
        </w:tabs>
        <w:jc w:val="both"/>
        <w:rPr>
          <w:rFonts w:ascii="Arial" w:eastAsia="Times New Roman" w:hAnsi="Arial" w:cs="Arial"/>
          <w:i/>
          <w:sz w:val="24"/>
          <w:szCs w:val="24"/>
          <w:lang w:val="es-ES" w:eastAsia="es-ES"/>
        </w:rPr>
      </w:pPr>
      <w:r w:rsidRPr="00BF4097">
        <w:rPr>
          <w:rFonts w:ascii="Arial" w:eastAsia="Times New Roman" w:hAnsi="Arial" w:cs="Arial"/>
          <w:i/>
          <w:sz w:val="24"/>
          <w:szCs w:val="24"/>
          <w:lang w:val="es-ES" w:eastAsia="es-ES"/>
        </w:rPr>
        <w:t>Que en virtud del principio de transparencia establecido en el Código Contencioso Administrativo y la Ley 80 de 1993, así como a lo determinado en el artículo 13 de la Constitución Política, los cuales se caracterizan por proporcionar elementos suficientes para garantizar el principio a la igualdad de los asociados y en especial para garantizar el ejercicio del poder sobre las bases de imparcialidad y publicidad, tendientes a evitar situaciones no claras o poco claras y arbitrarias;</w:t>
      </w:r>
    </w:p>
    <w:p w:rsidR="00F639AF" w:rsidRPr="00BF4097" w:rsidRDefault="00F639AF" w:rsidP="00BF4097">
      <w:pPr>
        <w:tabs>
          <w:tab w:val="left" w:pos="142"/>
        </w:tabs>
        <w:jc w:val="both"/>
        <w:rPr>
          <w:rFonts w:ascii="Arial" w:eastAsia="Times New Roman" w:hAnsi="Arial" w:cs="Arial"/>
          <w:i/>
          <w:sz w:val="24"/>
          <w:szCs w:val="24"/>
          <w:lang w:val="es-ES" w:eastAsia="es-ES"/>
        </w:rPr>
      </w:pPr>
    </w:p>
    <w:p w:rsidR="00F639AF" w:rsidRPr="00BF4097" w:rsidRDefault="00F639AF" w:rsidP="00BF4097">
      <w:pPr>
        <w:tabs>
          <w:tab w:val="left" w:pos="142"/>
        </w:tabs>
        <w:jc w:val="both"/>
        <w:rPr>
          <w:rFonts w:ascii="Arial" w:eastAsia="Times New Roman" w:hAnsi="Arial" w:cs="Arial"/>
          <w:i/>
          <w:sz w:val="24"/>
          <w:szCs w:val="24"/>
          <w:lang w:val="es-ES" w:eastAsia="es-ES"/>
        </w:rPr>
      </w:pPr>
      <w:r w:rsidRPr="00BF4097">
        <w:rPr>
          <w:rFonts w:ascii="Arial" w:eastAsia="Times New Roman" w:hAnsi="Arial" w:cs="Arial"/>
          <w:i/>
          <w:sz w:val="24"/>
          <w:szCs w:val="24"/>
          <w:lang w:val="es-ES" w:eastAsia="es-ES"/>
        </w:rPr>
        <w:t>Que de acuerdo al artículo 4º de la Ley 80 de 1993, las entidades estatales deben velar por la consecución  de los fines de la contratación;</w:t>
      </w:r>
    </w:p>
    <w:p w:rsidR="00F639AF" w:rsidRPr="00BF4097" w:rsidRDefault="00F639AF" w:rsidP="00BF4097">
      <w:pPr>
        <w:tabs>
          <w:tab w:val="left" w:pos="142"/>
        </w:tabs>
        <w:jc w:val="both"/>
        <w:rPr>
          <w:rFonts w:ascii="Arial" w:eastAsia="Times New Roman" w:hAnsi="Arial" w:cs="Arial"/>
          <w:i/>
          <w:sz w:val="24"/>
          <w:szCs w:val="24"/>
          <w:lang w:val="es-ES" w:eastAsia="es-ES"/>
        </w:rPr>
      </w:pPr>
    </w:p>
    <w:p w:rsidR="00F639AF" w:rsidRPr="00BF4097" w:rsidRDefault="00F639AF" w:rsidP="00BF4097">
      <w:pPr>
        <w:tabs>
          <w:tab w:val="left" w:pos="142"/>
        </w:tabs>
        <w:jc w:val="both"/>
        <w:rPr>
          <w:rFonts w:ascii="Arial" w:eastAsia="Times New Roman" w:hAnsi="Arial" w:cs="Arial"/>
          <w:i/>
          <w:sz w:val="24"/>
          <w:szCs w:val="24"/>
          <w:u w:val="single"/>
          <w:lang w:val="es-ES" w:eastAsia="es-ES"/>
        </w:rPr>
      </w:pPr>
      <w:r w:rsidRPr="00BF4097">
        <w:rPr>
          <w:rFonts w:ascii="Arial" w:eastAsia="Times New Roman" w:hAnsi="Arial" w:cs="Arial"/>
          <w:i/>
          <w:sz w:val="24"/>
          <w:szCs w:val="24"/>
          <w:u w:val="single"/>
          <w:lang w:val="es-ES" w:eastAsia="es-ES"/>
        </w:rPr>
        <w:t>Que se da la declaratoria de desierta de la licitación, debido a que no se dieron los supuestos para la escogencia objetiva del contratista, en virtud a que la Unión Temporal Palenquero 2004, manifestó y demostró haber obtenido información adicional, sin que la entidad en las investigaciones preliminares hubiera podido establecer las circunstancias en las que obtuvo dicha información; dejando en desventaja al Consorcio Yuma, ya que estos no obtuvieron la misma información, vulnerándoles el derecho a la igualdad establecido en la Constitución Política artículo 13, los principios de transparencia e igualdad establecidos en la Ley 80 de 1993 y Directiva Presidencial nº. 12 de 2002;</w:t>
      </w:r>
    </w:p>
    <w:p w:rsidR="00F639AF" w:rsidRPr="00BF4097" w:rsidRDefault="00F639AF" w:rsidP="00BF4097">
      <w:pPr>
        <w:tabs>
          <w:tab w:val="left" w:pos="142"/>
        </w:tabs>
        <w:jc w:val="both"/>
        <w:rPr>
          <w:rFonts w:ascii="Arial" w:eastAsia="Times New Roman" w:hAnsi="Arial" w:cs="Arial"/>
          <w:i/>
          <w:sz w:val="24"/>
          <w:szCs w:val="24"/>
          <w:lang w:val="es-ES" w:eastAsia="es-ES"/>
        </w:rPr>
      </w:pPr>
    </w:p>
    <w:p w:rsidR="00F639AF" w:rsidRPr="00BF4097" w:rsidRDefault="00F639AF" w:rsidP="00BF4097">
      <w:pPr>
        <w:tabs>
          <w:tab w:val="left" w:pos="142"/>
        </w:tabs>
        <w:jc w:val="both"/>
        <w:rPr>
          <w:rFonts w:ascii="Arial" w:eastAsia="Times New Roman" w:hAnsi="Arial" w:cs="Arial"/>
          <w:i/>
          <w:sz w:val="24"/>
          <w:szCs w:val="24"/>
          <w:lang w:val="es-ES" w:eastAsia="es-ES"/>
        </w:rPr>
      </w:pPr>
      <w:r w:rsidRPr="00BF4097">
        <w:rPr>
          <w:rFonts w:ascii="Arial" w:eastAsia="Times New Roman" w:hAnsi="Arial" w:cs="Arial"/>
          <w:i/>
          <w:sz w:val="24"/>
          <w:szCs w:val="24"/>
          <w:lang w:val="es-ES" w:eastAsia="es-ES"/>
        </w:rPr>
        <w:t>Que mediante auto de fecha 24 de junio de 2004, la Procuraduría Delegada para la Vigilancia y Prevención de la Función Pública, absuelve la queja presentada por el Consorcio Yuma, encontrado que el Fondo ha tenido en cuenta las observaciones del peticionario y que se encuentra evaluando la decisión final sobre la Licitación Pública nº.  08-FORFA-2004, disponiendo el archivo de las diligencias;</w:t>
      </w:r>
    </w:p>
    <w:p w:rsidR="00F639AF" w:rsidRPr="00BF4097" w:rsidRDefault="00F639AF" w:rsidP="00BF4097">
      <w:pPr>
        <w:tabs>
          <w:tab w:val="left" w:pos="142"/>
        </w:tabs>
        <w:jc w:val="both"/>
        <w:rPr>
          <w:rFonts w:ascii="Arial" w:eastAsia="Times New Roman" w:hAnsi="Arial" w:cs="Arial"/>
          <w:i/>
          <w:sz w:val="24"/>
          <w:szCs w:val="24"/>
          <w:lang w:val="es-ES" w:eastAsia="es-ES"/>
        </w:rPr>
      </w:pPr>
    </w:p>
    <w:p w:rsidR="00F639AF" w:rsidRPr="00BF4097" w:rsidRDefault="00F639AF" w:rsidP="00BF4097">
      <w:pPr>
        <w:tabs>
          <w:tab w:val="left" w:pos="142"/>
        </w:tabs>
        <w:jc w:val="both"/>
        <w:rPr>
          <w:rFonts w:ascii="Arial" w:eastAsia="Times New Roman" w:hAnsi="Arial" w:cs="Arial"/>
          <w:i/>
          <w:sz w:val="24"/>
          <w:szCs w:val="24"/>
          <w:lang w:val="es-ES" w:eastAsia="es-ES"/>
        </w:rPr>
      </w:pPr>
      <w:r w:rsidRPr="00BF4097">
        <w:rPr>
          <w:rFonts w:ascii="Arial" w:eastAsia="Times New Roman" w:hAnsi="Arial" w:cs="Arial"/>
          <w:i/>
          <w:sz w:val="24"/>
          <w:szCs w:val="24"/>
          <w:u w:val="single"/>
          <w:lang w:val="es-ES" w:eastAsia="es-ES"/>
        </w:rPr>
        <w:t>Que, consultada la oficina de sistemas de la entidad, en cuanto a si se colocó en ventaja a una firma que hubiera obtenido información adicional relativa a las cantidades de obra escritas en un archivo Excel frente a otra que hubiere tenido la misma información en un archivo en Word, manifiesta que se puede asegurar que efectivamente hay un menor tiempo empleado en suscribir un documento en formato de Excel siempre y cuando existan operaciones de cálculo, en las cuales se pidan resultado para una o varias columnas</w:t>
      </w:r>
      <w:r w:rsidRPr="00BF4097">
        <w:rPr>
          <w:rFonts w:ascii="Arial" w:eastAsia="Times New Roman" w:hAnsi="Arial" w:cs="Arial"/>
          <w:i/>
          <w:sz w:val="24"/>
          <w:szCs w:val="24"/>
          <w:lang w:val="es-ES" w:eastAsia="es-ES"/>
        </w:rPr>
        <w:t>.</w:t>
      </w:r>
    </w:p>
    <w:p w:rsidR="00F639AF" w:rsidRPr="00BF4097" w:rsidRDefault="00F639AF" w:rsidP="00BF4097">
      <w:pPr>
        <w:tabs>
          <w:tab w:val="left" w:pos="142"/>
        </w:tabs>
        <w:jc w:val="both"/>
        <w:rPr>
          <w:rFonts w:ascii="Arial" w:eastAsia="Times New Roman" w:hAnsi="Arial" w:cs="Arial"/>
          <w:i/>
          <w:sz w:val="24"/>
          <w:szCs w:val="24"/>
          <w:lang w:val="es-ES" w:eastAsia="es-ES"/>
        </w:rPr>
      </w:pPr>
    </w:p>
    <w:p w:rsidR="00F639AF" w:rsidRPr="00BF4097" w:rsidRDefault="00F639AF" w:rsidP="00BF4097">
      <w:pPr>
        <w:tabs>
          <w:tab w:val="left" w:pos="142"/>
        </w:tabs>
        <w:jc w:val="both"/>
        <w:rPr>
          <w:rFonts w:ascii="Arial" w:eastAsia="Times New Roman" w:hAnsi="Arial" w:cs="Arial"/>
          <w:i/>
          <w:sz w:val="24"/>
          <w:szCs w:val="24"/>
          <w:lang w:val="es-ES" w:eastAsia="es-ES"/>
        </w:rPr>
      </w:pPr>
      <w:r w:rsidRPr="00BF4097">
        <w:rPr>
          <w:rFonts w:ascii="Arial" w:eastAsia="Times New Roman" w:hAnsi="Arial" w:cs="Arial"/>
          <w:i/>
          <w:sz w:val="24"/>
          <w:szCs w:val="24"/>
          <w:lang w:val="es-ES" w:eastAsia="es-ES"/>
        </w:rPr>
        <w:t xml:space="preserve">Referente a la cantidad de tiempo invertido para uno u otro tipo de documentos es preciso indicar que el mismo está determinado por variables tales como cantidad de información, números de columnas, complejidad en la elaboración de fórmulas para cálculos aritméticos, entre otros; (…)” </w:t>
      </w:r>
      <w:r w:rsidRPr="00BF4097">
        <w:rPr>
          <w:rFonts w:ascii="Arial" w:eastAsia="Times New Roman" w:hAnsi="Arial" w:cs="Arial"/>
          <w:sz w:val="24"/>
          <w:szCs w:val="24"/>
          <w:lang w:val="es-ES" w:eastAsia="es-ES"/>
        </w:rPr>
        <w:t>– se destaca-.</w:t>
      </w:r>
    </w:p>
    <w:p w:rsidR="00F639AF" w:rsidRPr="00BF4097" w:rsidRDefault="00F639AF" w:rsidP="00BF4097">
      <w:pPr>
        <w:tabs>
          <w:tab w:val="left" w:pos="142"/>
        </w:tabs>
        <w:spacing w:line="276" w:lineRule="auto"/>
        <w:jc w:val="center"/>
        <w:rPr>
          <w:rFonts w:ascii="Arial" w:eastAsia="Times New Roman" w:hAnsi="Arial" w:cs="Arial"/>
          <w:sz w:val="24"/>
          <w:szCs w:val="24"/>
          <w:lang w:val="es-ES" w:eastAsia="es-ES"/>
        </w:rPr>
      </w:pPr>
    </w:p>
    <w:p w:rsidR="00F639AF" w:rsidRPr="00BF4097" w:rsidRDefault="00F639AF" w:rsidP="00BF4097">
      <w:pPr>
        <w:widowControl w:val="0"/>
        <w:numPr>
          <w:ilvl w:val="1"/>
          <w:numId w:val="30"/>
        </w:numPr>
        <w:tabs>
          <w:tab w:val="left" w:pos="142"/>
        </w:tabs>
        <w:overflowPunct w:val="0"/>
        <w:adjustRightInd w:val="0"/>
        <w:spacing w:line="276" w:lineRule="auto"/>
        <w:ind w:left="0" w:firstLine="0"/>
        <w:contextualSpacing/>
        <w:jc w:val="both"/>
        <w:rPr>
          <w:rFonts w:ascii="Arial" w:eastAsia="Times New Roman" w:hAnsi="Arial" w:cs="Arial"/>
          <w:kern w:val="28"/>
          <w:sz w:val="24"/>
          <w:szCs w:val="24"/>
          <w:lang w:val="es-ES" w:eastAsia="es-CO"/>
        </w:rPr>
      </w:pPr>
      <w:r w:rsidRPr="00BF4097">
        <w:rPr>
          <w:rFonts w:ascii="Arial" w:eastAsia="Times New Roman" w:hAnsi="Arial" w:cs="Arial"/>
          <w:kern w:val="28"/>
          <w:sz w:val="24"/>
          <w:szCs w:val="24"/>
          <w:lang w:val="es-ES" w:eastAsia="es-CO"/>
        </w:rPr>
        <w:t>Por medio de escrito radicado el 8 de julio de 2004, la Unión Temporal Palenquero 2004, recurrió la resolución n°. 272 de 30 de junio de 2004</w:t>
      </w:r>
      <w:r w:rsidRPr="00BF4097">
        <w:rPr>
          <w:rFonts w:ascii="Arial" w:eastAsia="Times New Roman" w:hAnsi="Arial" w:cs="Arial"/>
          <w:kern w:val="28"/>
          <w:sz w:val="24"/>
          <w:szCs w:val="24"/>
          <w:vertAlign w:val="superscript"/>
          <w:lang w:val="es-ES" w:eastAsia="es-CO"/>
        </w:rPr>
        <w:footnoteReference w:id="2"/>
      </w:r>
      <w:r w:rsidRPr="00BF4097">
        <w:rPr>
          <w:rFonts w:ascii="Arial" w:eastAsia="Times New Roman" w:hAnsi="Arial" w:cs="Arial"/>
          <w:kern w:val="28"/>
          <w:sz w:val="24"/>
          <w:szCs w:val="24"/>
          <w:lang w:val="es-ES" w:eastAsia="es-CO"/>
        </w:rPr>
        <w:t xml:space="preserve"> para que se revoque y en su lugar, se proceda a la adjudicación.</w:t>
      </w:r>
    </w:p>
    <w:p w:rsidR="00F639AF" w:rsidRPr="00BF4097" w:rsidRDefault="00F639AF" w:rsidP="00BF4097">
      <w:pPr>
        <w:widowControl w:val="0"/>
        <w:tabs>
          <w:tab w:val="left" w:pos="142"/>
        </w:tabs>
        <w:overflowPunct w:val="0"/>
        <w:adjustRightInd w:val="0"/>
        <w:spacing w:line="276" w:lineRule="auto"/>
        <w:contextualSpacing/>
        <w:jc w:val="both"/>
        <w:rPr>
          <w:rFonts w:ascii="Arial" w:eastAsia="Times New Roman" w:hAnsi="Arial" w:cs="Arial"/>
          <w:kern w:val="28"/>
          <w:sz w:val="24"/>
          <w:szCs w:val="24"/>
          <w:lang w:val="es-ES" w:eastAsia="es-CO"/>
        </w:rPr>
      </w:pPr>
    </w:p>
    <w:p w:rsidR="00F639AF" w:rsidRPr="00BF4097" w:rsidRDefault="00F639AF" w:rsidP="00BF4097">
      <w:pPr>
        <w:widowControl w:val="0"/>
        <w:numPr>
          <w:ilvl w:val="1"/>
          <w:numId w:val="30"/>
        </w:numPr>
        <w:tabs>
          <w:tab w:val="left" w:pos="142"/>
        </w:tabs>
        <w:overflowPunct w:val="0"/>
        <w:adjustRightInd w:val="0"/>
        <w:spacing w:line="276" w:lineRule="auto"/>
        <w:ind w:left="0" w:firstLine="0"/>
        <w:contextualSpacing/>
        <w:jc w:val="both"/>
        <w:rPr>
          <w:rFonts w:ascii="Arial" w:eastAsia="Times New Roman" w:hAnsi="Arial" w:cs="Arial"/>
          <w:kern w:val="28"/>
          <w:sz w:val="24"/>
          <w:szCs w:val="24"/>
          <w:lang w:val="es-ES" w:eastAsia="es-CO"/>
        </w:rPr>
      </w:pPr>
      <w:r w:rsidRPr="00BF4097">
        <w:rPr>
          <w:rFonts w:ascii="Arial" w:eastAsia="Times New Roman" w:hAnsi="Arial" w:cs="Arial"/>
          <w:kern w:val="28"/>
          <w:sz w:val="24"/>
          <w:szCs w:val="24"/>
          <w:lang w:val="es-ES" w:eastAsia="es-CO"/>
        </w:rPr>
        <w:t>Mediante resolución n.° 291 de 13 de julio de 2004, el Fondo Rotatorio de la Fuerza Aérea, FORFA negó el recurso de reposición interpuesto por el consorcio demandante, fundada en que en las condiciones en que se desarrolló el proceso licitatorio no garantizan el principio de selección objetiva, de donde se imponía la declaratoria de desierto (fol. 7 a 13, c, ibíd.). Expresamente dispuso:</w:t>
      </w:r>
    </w:p>
    <w:p w:rsidR="00F639AF" w:rsidRPr="00BF4097" w:rsidRDefault="00F639AF" w:rsidP="00BF4097">
      <w:pPr>
        <w:tabs>
          <w:tab w:val="left" w:pos="142"/>
        </w:tabs>
        <w:jc w:val="both"/>
        <w:rPr>
          <w:rFonts w:ascii="Arial" w:eastAsia="Times New Roman" w:hAnsi="Arial" w:cs="Arial"/>
          <w:sz w:val="24"/>
          <w:szCs w:val="24"/>
          <w:lang w:val="es-ES" w:eastAsia="es-ES"/>
        </w:rPr>
      </w:pPr>
    </w:p>
    <w:p w:rsidR="00F639AF" w:rsidRPr="00BF4097" w:rsidRDefault="00F639AF" w:rsidP="00BF4097">
      <w:pPr>
        <w:tabs>
          <w:tab w:val="left" w:pos="142"/>
        </w:tabs>
        <w:jc w:val="both"/>
        <w:rPr>
          <w:rFonts w:ascii="Arial" w:eastAsia="Times New Roman" w:hAnsi="Arial" w:cs="Arial"/>
          <w:i/>
          <w:sz w:val="24"/>
          <w:szCs w:val="24"/>
          <w:lang w:val="es-ES" w:eastAsia="es-ES"/>
        </w:rPr>
      </w:pPr>
      <w:r w:rsidRPr="00BF4097">
        <w:rPr>
          <w:rFonts w:ascii="Arial" w:eastAsia="Times New Roman" w:hAnsi="Arial" w:cs="Arial"/>
          <w:b/>
          <w:i/>
          <w:sz w:val="24"/>
          <w:szCs w:val="24"/>
          <w:lang w:val="es-ES" w:eastAsia="es-ES"/>
        </w:rPr>
        <w:t xml:space="preserve">“ARTÍCULO PRIMERO: </w:t>
      </w:r>
      <w:r w:rsidRPr="00BF4097">
        <w:rPr>
          <w:rFonts w:ascii="Arial" w:eastAsia="Times New Roman" w:hAnsi="Arial" w:cs="Arial"/>
          <w:i/>
          <w:sz w:val="24"/>
          <w:szCs w:val="24"/>
          <w:lang w:val="es-ES" w:eastAsia="es-ES"/>
        </w:rPr>
        <w:t>CONFIRMAR en todas y cada una de sus partes el contenido de la Resolución 272 de fecha 30 de junio de 2004, por medio de la cual se resuelve declarar Desierta la Licitación Pública n°.08 – FORFA -2004.</w:t>
      </w:r>
    </w:p>
    <w:p w:rsidR="00F639AF" w:rsidRPr="00BF4097" w:rsidRDefault="00F639AF" w:rsidP="00BF4097">
      <w:pPr>
        <w:tabs>
          <w:tab w:val="left" w:pos="142"/>
        </w:tabs>
        <w:jc w:val="both"/>
        <w:rPr>
          <w:rFonts w:ascii="Arial" w:eastAsia="Times New Roman" w:hAnsi="Arial" w:cs="Arial"/>
          <w:i/>
          <w:sz w:val="24"/>
          <w:szCs w:val="24"/>
          <w:lang w:val="es-ES" w:eastAsia="es-ES"/>
        </w:rPr>
      </w:pPr>
    </w:p>
    <w:p w:rsidR="00F639AF" w:rsidRPr="00BF4097" w:rsidRDefault="00F639AF" w:rsidP="00BF4097">
      <w:pPr>
        <w:tabs>
          <w:tab w:val="left" w:pos="142"/>
        </w:tabs>
        <w:jc w:val="both"/>
        <w:rPr>
          <w:rFonts w:ascii="Arial" w:eastAsia="Times New Roman" w:hAnsi="Arial" w:cs="Arial"/>
          <w:i/>
          <w:sz w:val="24"/>
          <w:szCs w:val="24"/>
          <w:u w:val="single"/>
          <w:lang w:val="es-ES" w:eastAsia="es-ES"/>
        </w:rPr>
      </w:pPr>
      <w:r w:rsidRPr="00BF4097">
        <w:rPr>
          <w:rFonts w:ascii="Arial" w:eastAsia="Times New Roman" w:hAnsi="Arial" w:cs="Arial"/>
          <w:b/>
          <w:i/>
          <w:sz w:val="24"/>
          <w:szCs w:val="24"/>
          <w:lang w:val="es-ES" w:eastAsia="es-ES"/>
        </w:rPr>
        <w:t>ARTÍCULO SEGUNDO</w:t>
      </w:r>
      <w:r w:rsidRPr="00BF4097">
        <w:rPr>
          <w:rFonts w:ascii="Arial" w:eastAsia="Times New Roman" w:hAnsi="Arial" w:cs="Arial"/>
          <w:b/>
          <w:i/>
          <w:sz w:val="24"/>
          <w:szCs w:val="24"/>
          <w:u w:val="single"/>
          <w:lang w:val="es-ES" w:eastAsia="es-ES"/>
        </w:rPr>
        <w:t xml:space="preserve">: </w:t>
      </w:r>
      <w:r w:rsidRPr="00BF4097">
        <w:rPr>
          <w:rFonts w:ascii="Arial" w:eastAsia="Times New Roman" w:hAnsi="Arial" w:cs="Arial"/>
          <w:i/>
          <w:sz w:val="24"/>
          <w:szCs w:val="24"/>
          <w:u w:val="single"/>
          <w:lang w:val="es-ES" w:eastAsia="es-ES"/>
        </w:rPr>
        <w:t>Notifíquese la presente Resolución al recurrente haciéndole saber que contra la presente no procede recurso alguno.</w:t>
      </w:r>
    </w:p>
    <w:p w:rsidR="00F639AF" w:rsidRPr="00BF4097" w:rsidRDefault="00F639AF" w:rsidP="00BF4097">
      <w:pPr>
        <w:tabs>
          <w:tab w:val="left" w:pos="142"/>
        </w:tabs>
        <w:jc w:val="both"/>
        <w:rPr>
          <w:rFonts w:ascii="Arial" w:eastAsia="Times New Roman" w:hAnsi="Arial" w:cs="Arial"/>
          <w:i/>
          <w:sz w:val="24"/>
          <w:szCs w:val="24"/>
          <w:lang w:val="es-ES" w:eastAsia="es-ES"/>
        </w:rPr>
      </w:pPr>
    </w:p>
    <w:p w:rsidR="00F639AF" w:rsidRPr="00BF4097" w:rsidRDefault="00F639AF" w:rsidP="00BF4097">
      <w:pPr>
        <w:tabs>
          <w:tab w:val="left" w:pos="142"/>
        </w:tabs>
        <w:jc w:val="both"/>
        <w:rPr>
          <w:rFonts w:ascii="Arial" w:eastAsia="Times New Roman" w:hAnsi="Arial" w:cs="Arial"/>
          <w:sz w:val="24"/>
          <w:szCs w:val="24"/>
          <w:lang w:val="es-ES" w:eastAsia="es-ES"/>
        </w:rPr>
      </w:pPr>
      <w:r w:rsidRPr="00BF4097">
        <w:rPr>
          <w:rFonts w:ascii="Arial" w:eastAsia="Times New Roman" w:hAnsi="Arial" w:cs="Arial"/>
          <w:b/>
          <w:i/>
          <w:sz w:val="24"/>
          <w:szCs w:val="24"/>
          <w:lang w:val="es-ES" w:eastAsia="es-ES"/>
        </w:rPr>
        <w:t xml:space="preserve">ARTÍCULO TERCERO.- </w:t>
      </w:r>
      <w:r w:rsidRPr="00BF4097">
        <w:rPr>
          <w:rFonts w:ascii="Arial" w:eastAsia="Times New Roman" w:hAnsi="Arial" w:cs="Arial"/>
          <w:i/>
          <w:sz w:val="24"/>
          <w:szCs w:val="24"/>
          <w:lang w:val="es-ES" w:eastAsia="es-ES"/>
        </w:rPr>
        <w:t xml:space="preserve">La presente Resolución rige a partir de la fecha de su expedición” </w:t>
      </w:r>
      <w:r w:rsidRPr="00BF4097">
        <w:rPr>
          <w:rFonts w:ascii="Arial" w:eastAsia="Times New Roman" w:hAnsi="Arial" w:cs="Arial"/>
          <w:sz w:val="24"/>
          <w:szCs w:val="24"/>
          <w:lang w:val="es-ES" w:eastAsia="es-ES"/>
        </w:rPr>
        <w:t>– se destaca-.</w:t>
      </w:r>
    </w:p>
    <w:p w:rsidR="00F639AF" w:rsidRPr="00BF4097" w:rsidRDefault="00F639AF" w:rsidP="00BF4097">
      <w:pPr>
        <w:widowControl w:val="0"/>
        <w:tabs>
          <w:tab w:val="left" w:pos="142"/>
        </w:tabs>
        <w:overflowPunct w:val="0"/>
        <w:adjustRightInd w:val="0"/>
        <w:spacing w:line="276" w:lineRule="auto"/>
        <w:contextualSpacing/>
        <w:jc w:val="both"/>
        <w:rPr>
          <w:rFonts w:ascii="Arial" w:eastAsia="Times New Roman" w:hAnsi="Arial" w:cs="Arial"/>
          <w:sz w:val="24"/>
          <w:szCs w:val="24"/>
          <w:lang w:val="es-ES" w:eastAsia="es-ES"/>
        </w:rPr>
      </w:pPr>
    </w:p>
    <w:p w:rsidR="00F639AF" w:rsidRPr="00BF4097" w:rsidRDefault="00F639AF" w:rsidP="00BF4097">
      <w:pPr>
        <w:widowControl w:val="0"/>
        <w:numPr>
          <w:ilvl w:val="1"/>
          <w:numId w:val="30"/>
        </w:numPr>
        <w:tabs>
          <w:tab w:val="left" w:pos="142"/>
        </w:tabs>
        <w:overflowPunct w:val="0"/>
        <w:adjustRightInd w:val="0"/>
        <w:spacing w:line="276" w:lineRule="auto"/>
        <w:ind w:left="0" w:firstLine="0"/>
        <w:contextualSpacing/>
        <w:jc w:val="both"/>
        <w:rPr>
          <w:rFonts w:ascii="Arial" w:eastAsia="Times New Roman" w:hAnsi="Arial" w:cs="Arial"/>
          <w:kern w:val="28"/>
          <w:sz w:val="24"/>
          <w:szCs w:val="24"/>
          <w:lang w:val="es-ES" w:eastAsia="es-CO"/>
        </w:rPr>
      </w:pPr>
      <w:r w:rsidRPr="00BF4097">
        <w:rPr>
          <w:rFonts w:ascii="Arial" w:eastAsia="Times New Roman" w:hAnsi="Arial" w:cs="Arial"/>
          <w:kern w:val="28"/>
          <w:sz w:val="24"/>
          <w:szCs w:val="24"/>
          <w:lang w:val="es-ES" w:eastAsia="es-CO"/>
        </w:rPr>
        <w:t>Así las cosas, la resolución n°. 291 de 2004 fue notificada personalmente al señor Alfredo José Muñoz, representante legal de la firma Unión Temporal Palenquero 2004 (fol. 14, c. ibíd.).</w:t>
      </w:r>
    </w:p>
    <w:p w:rsidR="00F639AF" w:rsidRPr="00BF4097" w:rsidRDefault="00F639AF" w:rsidP="00BF4097">
      <w:pPr>
        <w:widowControl w:val="0"/>
        <w:tabs>
          <w:tab w:val="left" w:pos="142"/>
        </w:tabs>
        <w:overflowPunct w:val="0"/>
        <w:adjustRightInd w:val="0"/>
        <w:spacing w:line="276" w:lineRule="auto"/>
        <w:contextualSpacing/>
        <w:jc w:val="both"/>
        <w:rPr>
          <w:rFonts w:ascii="Arial" w:eastAsia="Times New Roman" w:hAnsi="Arial" w:cs="Arial"/>
          <w:kern w:val="28"/>
          <w:sz w:val="24"/>
          <w:szCs w:val="24"/>
          <w:lang w:val="es-ES" w:eastAsia="es-CO"/>
        </w:rPr>
      </w:pPr>
    </w:p>
    <w:p w:rsidR="00F639AF" w:rsidRPr="00BF4097" w:rsidRDefault="00F639AF" w:rsidP="00BF4097">
      <w:pPr>
        <w:widowControl w:val="0"/>
        <w:tabs>
          <w:tab w:val="left" w:pos="142"/>
        </w:tabs>
        <w:overflowPunct w:val="0"/>
        <w:adjustRightInd w:val="0"/>
        <w:spacing w:line="276" w:lineRule="auto"/>
        <w:contextualSpacing/>
        <w:jc w:val="both"/>
        <w:rPr>
          <w:rFonts w:ascii="Arial" w:eastAsia="Times New Roman" w:hAnsi="Arial" w:cs="Arial"/>
          <w:kern w:val="28"/>
          <w:sz w:val="24"/>
          <w:szCs w:val="24"/>
          <w:lang w:val="es-ES" w:eastAsia="es-CO"/>
        </w:rPr>
      </w:pPr>
      <w:r w:rsidRPr="00BF4097">
        <w:rPr>
          <w:rFonts w:ascii="Arial" w:eastAsia="Times New Roman" w:hAnsi="Arial" w:cs="Arial"/>
          <w:kern w:val="28"/>
          <w:sz w:val="24"/>
          <w:szCs w:val="24"/>
          <w:lang w:val="es-ES" w:eastAsia="es-CO"/>
        </w:rPr>
        <w:t>Con base en las pruebas reseñadas, se conoce que la resolución n°. 272 de 29 de junio de 2004, podía ser cuestionada mediante la interposición del recurso de reposición, únicamente impetrado por la Unión Temporal Palenquero 2004. Y que confirmada la decisión mediante la resolución n°. 291 de 13 de julio de 2004, fue notificada únicamente a la recurrente; aunque el recurso de reposición fue interpuesto por la unión temporal señalada y no por los miembros del Consorcio Yuma.</w:t>
      </w:r>
    </w:p>
    <w:p w:rsidR="00F639AF" w:rsidRPr="00BF4097" w:rsidRDefault="00F639AF" w:rsidP="00BF4097">
      <w:pPr>
        <w:widowControl w:val="0"/>
        <w:tabs>
          <w:tab w:val="left" w:pos="142"/>
        </w:tabs>
        <w:overflowPunct w:val="0"/>
        <w:adjustRightInd w:val="0"/>
        <w:spacing w:line="276" w:lineRule="auto"/>
        <w:contextualSpacing/>
        <w:jc w:val="both"/>
        <w:rPr>
          <w:rFonts w:ascii="Arial" w:eastAsia="Times New Roman" w:hAnsi="Arial" w:cs="Arial"/>
          <w:kern w:val="28"/>
          <w:sz w:val="24"/>
          <w:szCs w:val="24"/>
          <w:lang w:val="es-ES" w:eastAsia="es-CO"/>
        </w:rPr>
      </w:pPr>
    </w:p>
    <w:p w:rsidR="00F639AF" w:rsidRPr="00BF4097" w:rsidRDefault="00F639AF" w:rsidP="00BF4097">
      <w:pPr>
        <w:widowControl w:val="0"/>
        <w:tabs>
          <w:tab w:val="left" w:pos="142"/>
        </w:tabs>
        <w:overflowPunct w:val="0"/>
        <w:adjustRightInd w:val="0"/>
        <w:spacing w:line="276" w:lineRule="auto"/>
        <w:contextualSpacing/>
        <w:jc w:val="both"/>
        <w:rPr>
          <w:rFonts w:ascii="Arial" w:eastAsia="Times New Roman" w:hAnsi="Arial" w:cs="Arial"/>
          <w:i/>
          <w:kern w:val="28"/>
          <w:sz w:val="24"/>
          <w:szCs w:val="24"/>
          <w:lang w:val="es-ES" w:eastAsia="es-CO"/>
        </w:rPr>
      </w:pPr>
      <w:r w:rsidRPr="00BF4097">
        <w:rPr>
          <w:rFonts w:ascii="Arial" w:eastAsia="Times New Roman" w:hAnsi="Arial" w:cs="Arial"/>
          <w:kern w:val="28"/>
          <w:sz w:val="24"/>
          <w:szCs w:val="24"/>
          <w:lang w:val="es-ES" w:eastAsia="es-CO"/>
        </w:rPr>
        <w:t xml:space="preserve">Sobre el particular, consideró el </w:t>
      </w:r>
      <w:r w:rsidRPr="00BF4097">
        <w:rPr>
          <w:rFonts w:ascii="Arial" w:eastAsia="Times New Roman" w:hAnsi="Arial" w:cs="Arial"/>
          <w:i/>
          <w:kern w:val="28"/>
          <w:sz w:val="24"/>
          <w:szCs w:val="24"/>
          <w:lang w:val="es-ES" w:eastAsia="es-CO"/>
        </w:rPr>
        <w:t>a quo</w:t>
      </w:r>
      <w:r w:rsidRPr="00BF4097">
        <w:rPr>
          <w:rFonts w:ascii="Arial" w:eastAsia="Times New Roman" w:hAnsi="Arial" w:cs="Arial"/>
          <w:kern w:val="28"/>
          <w:sz w:val="24"/>
          <w:szCs w:val="24"/>
          <w:lang w:val="es-ES" w:eastAsia="es-CO"/>
        </w:rPr>
        <w:t xml:space="preserve"> que se imponía la emisión de decisión inhibitoria, comoquiera que conforme al artículo 138 del C.C.A. </w:t>
      </w:r>
      <w:r w:rsidRPr="00BF4097">
        <w:rPr>
          <w:rFonts w:ascii="Arial" w:eastAsia="Times New Roman" w:hAnsi="Arial" w:cs="Arial"/>
          <w:i/>
          <w:kern w:val="28"/>
          <w:sz w:val="24"/>
          <w:szCs w:val="24"/>
          <w:lang w:val="es-ES" w:eastAsia="es-CO"/>
        </w:rPr>
        <w:t xml:space="preserve">“cuando los actos definitivos sean susceptibles de recursos en la vía gubernativa, también deberán demandarse las decisiones que lo modifiquen o confirmen (…), </w:t>
      </w:r>
      <w:r w:rsidRPr="00BF4097">
        <w:rPr>
          <w:rFonts w:ascii="Arial" w:eastAsia="Times New Roman" w:hAnsi="Arial" w:cs="Arial"/>
          <w:kern w:val="28"/>
          <w:sz w:val="24"/>
          <w:szCs w:val="24"/>
          <w:lang w:val="es-ES" w:eastAsia="es-CO"/>
        </w:rPr>
        <w:t xml:space="preserve">situación que se presentó en el </w:t>
      </w:r>
      <w:r w:rsidRPr="00BF4097">
        <w:rPr>
          <w:rFonts w:ascii="Arial" w:eastAsia="Times New Roman" w:hAnsi="Arial" w:cs="Arial"/>
          <w:i/>
          <w:kern w:val="28"/>
          <w:sz w:val="24"/>
          <w:szCs w:val="24"/>
          <w:lang w:val="es-ES" w:eastAsia="es-CO"/>
        </w:rPr>
        <w:t>sub lite</w:t>
      </w:r>
      <w:r w:rsidRPr="00BF4097">
        <w:rPr>
          <w:rFonts w:ascii="Arial" w:eastAsia="Times New Roman" w:hAnsi="Arial" w:cs="Arial"/>
          <w:kern w:val="28"/>
          <w:sz w:val="24"/>
          <w:szCs w:val="24"/>
          <w:lang w:val="es-ES" w:eastAsia="es-CO"/>
        </w:rPr>
        <w:t xml:space="preserve">, toda vez que la firma Squadra Ltda., en su calidad de integrante del Consorcio Yuma, exclusivamente recurrió la resolución n°. 272 de 29 de junio de 2004, sin atacar la legalidad de la resolución n°. 291 del 13 de julio siguiente de donde, no integró </w:t>
      </w:r>
      <w:r w:rsidRPr="00BF4097">
        <w:rPr>
          <w:rFonts w:ascii="Arial" w:eastAsia="Times New Roman" w:hAnsi="Arial" w:cs="Arial"/>
          <w:i/>
          <w:kern w:val="28"/>
          <w:sz w:val="24"/>
          <w:szCs w:val="24"/>
          <w:lang w:val="es-ES" w:eastAsia="es-CO"/>
        </w:rPr>
        <w:t>una proposición jurídica completa.</w:t>
      </w:r>
    </w:p>
    <w:p w:rsidR="00F639AF" w:rsidRPr="00BF4097" w:rsidRDefault="00F639AF" w:rsidP="00BF4097">
      <w:pPr>
        <w:widowControl w:val="0"/>
        <w:tabs>
          <w:tab w:val="left" w:pos="142"/>
        </w:tabs>
        <w:overflowPunct w:val="0"/>
        <w:adjustRightInd w:val="0"/>
        <w:spacing w:line="276" w:lineRule="auto"/>
        <w:contextualSpacing/>
        <w:jc w:val="both"/>
        <w:rPr>
          <w:rFonts w:ascii="Arial" w:eastAsia="Times New Roman" w:hAnsi="Arial" w:cs="Arial"/>
          <w:kern w:val="28"/>
          <w:sz w:val="24"/>
          <w:szCs w:val="24"/>
          <w:lang w:val="es-ES" w:eastAsia="es-CO"/>
        </w:rPr>
      </w:pPr>
    </w:p>
    <w:p w:rsidR="00F639AF" w:rsidRPr="00BF4097" w:rsidRDefault="00F639AF" w:rsidP="00BF4097">
      <w:pPr>
        <w:widowControl w:val="0"/>
        <w:tabs>
          <w:tab w:val="left" w:pos="142"/>
        </w:tabs>
        <w:overflowPunct w:val="0"/>
        <w:adjustRightInd w:val="0"/>
        <w:spacing w:line="276" w:lineRule="auto"/>
        <w:contextualSpacing/>
        <w:jc w:val="both"/>
        <w:rPr>
          <w:rFonts w:ascii="Arial" w:eastAsia="Times New Roman" w:hAnsi="Arial" w:cs="Arial"/>
          <w:kern w:val="28"/>
          <w:sz w:val="24"/>
          <w:szCs w:val="24"/>
          <w:lang w:val="es-ES" w:eastAsia="es-CO"/>
        </w:rPr>
      </w:pPr>
      <w:r w:rsidRPr="00BF4097">
        <w:rPr>
          <w:rFonts w:ascii="Arial" w:eastAsia="Times New Roman" w:hAnsi="Arial" w:cs="Arial"/>
          <w:kern w:val="28"/>
          <w:sz w:val="24"/>
          <w:szCs w:val="24"/>
          <w:lang w:val="es-ES" w:eastAsia="es-CO"/>
        </w:rPr>
        <w:t>La Sala revocará dicha decisión, toda vez que (i) el recurso de reposición es facultativo (art. 51 C.C.A.)</w:t>
      </w:r>
      <w:r w:rsidRPr="00BF4097">
        <w:rPr>
          <w:rFonts w:ascii="Arial" w:eastAsia="Times New Roman" w:hAnsi="Arial" w:cs="Arial"/>
          <w:kern w:val="28"/>
          <w:sz w:val="24"/>
          <w:szCs w:val="24"/>
          <w:vertAlign w:val="superscript"/>
          <w:lang w:val="es-ES" w:eastAsia="es-CO"/>
        </w:rPr>
        <w:footnoteReference w:id="3"/>
      </w:r>
      <w:r w:rsidRPr="00BF4097">
        <w:rPr>
          <w:rFonts w:ascii="Arial" w:eastAsia="Times New Roman" w:hAnsi="Arial" w:cs="Arial"/>
          <w:kern w:val="28"/>
          <w:sz w:val="24"/>
          <w:szCs w:val="24"/>
          <w:lang w:val="es-ES" w:eastAsia="es-CO"/>
        </w:rPr>
        <w:t>, (ii) la naturaleza potestativa del recurso y por ende, la calidad de accesoria de la decisión confirmatoria, implica que, en principio, no resulte exigible su demanda por vía de nulidad y restablecimiento del derecho y (iii) acorde con lo señalado por el artículo 138 del C.C.A., quien pretenda la nulidad se encuentra obligado a demandar también la decisión confirmatoria, en el caso de que dicho recurso sea el único procedente y que el actor haga uso del mismo, comoquiera que desde su ejecutoria, una vez notificada la decisión de la administración, comienza a contar el término de caducidad.  Al respecto, resulta ilustrativo el pronunciamiento proferido por la Sección Primera de esta Corporación el 16 de septiembre de 1999, sobre la aplicación del artículo 138 del C.C.A. en el caso de actos que sólo pueden ser recurridos por vía del recurso de reposición. Señaló la Sección:</w:t>
      </w:r>
    </w:p>
    <w:p w:rsidR="00F639AF" w:rsidRPr="00BF4097" w:rsidRDefault="00F639AF" w:rsidP="00BF4097">
      <w:pPr>
        <w:widowControl w:val="0"/>
        <w:tabs>
          <w:tab w:val="left" w:pos="142"/>
        </w:tabs>
        <w:overflowPunct w:val="0"/>
        <w:adjustRightInd w:val="0"/>
        <w:contextualSpacing/>
        <w:jc w:val="both"/>
        <w:rPr>
          <w:rFonts w:ascii="Arial" w:eastAsia="Times New Roman" w:hAnsi="Arial" w:cs="Arial"/>
          <w:i/>
          <w:kern w:val="28"/>
          <w:sz w:val="24"/>
          <w:szCs w:val="24"/>
          <w:lang w:val="es-ES" w:eastAsia="es-CO"/>
        </w:rPr>
      </w:pPr>
    </w:p>
    <w:p w:rsidR="00F639AF" w:rsidRPr="00BF4097" w:rsidRDefault="00F639AF" w:rsidP="00BF4097">
      <w:pPr>
        <w:jc w:val="both"/>
        <w:rPr>
          <w:rFonts w:ascii="Arial" w:eastAsia="Times New Roman" w:hAnsi="Arial" w:cs="Arial"/>
          <w:i/>
          <w:sz w:val="24"/>
          <w:szCs w:val="24"/>
          <w:lang w:val="es-ES" w:eastAsia="es-ES"/>
        </w:rPr>
      </w:pPr>
      <w:r w:rsidRPr="00BF4097">
        <w:rPr>
          <w:rFonts w:ascii="Arial" w:eastAsia="Times New Roman" w:hAnsi="Arial" w:cs="Arial"/>
          <w:i/>
          <w:sz w:val="24"/>
          <w:szCs w:val="24"/>
          <w:lang w:val="es-ES" w:eastAsia="es-ES"/>
        </w:rPr>
        <w:t xml:space="preserve">“La Sala en otras oportunidades ha considerado que el recurso de reposición, dado el carácter potestativo del mismo y eminentemente accesorio del acto principal, cuando es confirmatorio de éste, no es obligatorio de demandar, siempre y cuando que se haya interpuesto y resuelto el recurso de apelación. </w:t>
      </w:r>
    </w:p>
    <w:p w:rsidR="00F639AF" w:rsidRPr="00BF4097" w:rsidRDefault="00F639AF" w:rsidP="00BF4097">
      <w:pPr>
        <w:jc w:val="both"/>
        <w:rPr>
          <w:rFonts w:ascii="Arial" w:eastAsia="Times New Roman" w:hAnsi="Arial" w:cs="Arial"/>
          <w:i/>
          <w:sz w:val="24"/>
          <w:szCs w:val="24"/>
          <w:lang w:val="es-ES" w:eastAsia="es-ES"/>
        </w:rPr>
      </w:pPr>
    </w:p>
    <w:p w:rsidR="00F639AF" w:rsidRPr="00BF4097" w:rsidRDefault="00F639AF" w:rsidP="00BF4097">
      <w:pPr>
        <w:jc w:val="both"/>
        <w:rPr>
          <w:rFonts w:ascii="Arial" w:eastAsia="Times New Roman" w:hAnsi="Arial" w:cs="Arial"/>
          <w:i/>
          <w:sz w:val="24"/>
          <w:szCs w:val="24"/>
          <w:lang w:val="es-ES" w:eastAsia="es-ES"/>
        </w:rPr>
      </w:pPr>
      <w:r w:rsidRPr="00BF4097">
        <w:rPr>
          <w:rFonts w:ascii="Arial" w:eastAsia="Times New Roman" w:hAnsi="Arial" w:cs="Arial"/>
          <w:i/>
          <w:sz w:val="24"/>
          <w:szCs w:val="24"/>
          <w:lang w:val="es-ES" w:eastAsia="es-ES"/>
        </w:rPr>
        <w:t>Es así como en sentencia de 28 de marzo de 1996 (Expediente núm. 3603, Actora: Sociedad Flota La Macarena  S.A., Consejero ponente doctor Ernesto Rafael Ariza Muñoz), precisó la Sala lo siguiente:</w:t>
      </w:r>
    </w:p>
    <w:p w:rsidR="00F639AF" w:rsidRPr="00BF4097" w:rsidRDefault="00F639AF" w:rsidP="00BF4097">
      <w:pPr>
        <w:jc w:val="both"/>
        <w:rPr>
          <w:rFonts w:ascii="Arial" w:eastAsia="Times New Roman" w:hAnsi="Arial" w:cs="Arial"/>
          <w:i/>
          <w:sz w:val="24"/>
          <w:szCs w:val="24"/>
          <w:lang w:val="es-ES" w:eastAsia="es-ES"/>
        </w:rPr>
      </w:pPr>
    </w:p>
    <w:p w:rsidR="00F639AF" w:rsidRPr="00BF4097" w:rsidRDefault="00F639AF" w:rsidP="00BF4097">
      <w:pPr>
        <w:tabs>
          <w:tab w:val="left" w:pos="-1440"/>
          <w:tab w:val="left" w:pos="-720"/>
          <w:tab w:val="left" w:pos="3312"/>
        </w:tabs>
        <w:suppressAutoHyphens/>
        <w:jc w:val="both"/>
        <w:rPr>
          <w:rFonts w:ascii="Arial" w:eastAsia="Times New Roman" w:hAnsi="Arial" w:cs="Arial"/>
          <w:i/>
          <w:spacing w:val="-3"/>
          <w:sz w:val="24"/>
          <w:szCs w:val="24"/>
          <w:lang w:val="es-ES" w:eastAsia="es-ES"/>
        </w:rPr>
      </w:pPr>
      <w:r w:rsidRPr="00BF4097">
        <w:rPr>
          <w:rFonts w:ascii="Arial" w:eastAsia="Times New Roman" w:hAnsi="Arial" w:cs="Arial"/>
          <w:i/>
          <w:spacing w:val="-3"/>
          <w:sz w:val="24"/>
          <w:szCs w:val="24"/>
          <w:lang w:val="es-ES" w:eastAsia="es-ES"/>
        </w:rPr>
        <w:t>“…..El recurso de reposición en la vía gubernativa es un recurso optativo pues el obligatorio de interponer es el de apelación, al tenor de lo preceptuado en el artículo 51 in fine del C.C.A.</w:t>
      </w:r>
    </w:p>
    <w:p w:rsidR="00F639AF" w:rsidRPr="00BF4097" w:rsidRDefault="00F639AF" w:rsidP="00BF4097">
      <w:pPr>
        <w:tabs>
          <w:tab w:val="left" w:pos="-1440"/>
          <w:tab w:val="left" w:pos="-720"/>
          <w:tab w:val="left" w:pos="3312"/>
        </w:tabs>
        <w:suppressAutoHyphens/>
        <w:jc w:val="both"/>
        <w:rPr>
          <w:rFonts w:ascii="Arial" w:eastAsia="Times New Roman" w:hAnsi="Arial" w:cs="Arial"/>
          <w:i/>
          <w:spacing w:val="-3"/>
          <w:sz w:val="24"/>
          <w:szCs w:val="24"/>
          <w:lang w:val="es-ES" w:eastAsia="es-ES"/>
        </w:rPr>
      </w:pPr>
    </w:p>
    <w:p w:rsidR="00F639AF" w:rsidRPr="00BF4097" w:rsidRDefault="00F639AF" w:rsidP="00BF4097">
      <w:pPr>
        <w:tabs>
          <w:tab w:val="left" w:pos="-1440"/>
          <w:tab w:val="left" w:pos="-720"/>
          <w:tab w:val="left" w:pos="3312"/>
        </w:tabs>
        <w:suppressAutoHyphens/>
        <w:jc w:val="both"/>
        <w:rPr>
          <w:rFonts w:ascii="Arial" w:eastAsia="Times New Roman" w:hAnsi="Arial" w:cs="Arial"/>
          <w:i/>
          <w:spacing w:val="-3"/>
          <w:sz w:val="24"/>
          <w:szCs w:val="24"/>
          <w:u w:val="single"/>
          <w:lang w:val="es-ES" w:eastAsia="es-ES"/>
        </w:rPr>
      </w:pPr>
      <w:r w:rsidRPr="00BF4097">
        <w:rPr>
          <w:rFonts w:ascii="Arial" w:eastAsia="Times New Roman" w:hAnsi="Arial" w:cs="Arial"/>
          <w:i/>
          <w:spacing w:val="-3"/>
          <w:sz w:val="24"/>
          <w:szCs w:val="24"/>
          <w:u w:val="single"/>
          <w:lang w:val="es-ES" w:eastAsia="es-ES"/>
        </w:rPr>
        <w:t>El carácter potestativo de dicho recurso pone en evidencia que el acto que lo decide cuando es confirmatorio tiene un carácter eminentemente accesorio frente al acto que es objeto del mismo, esto es, frente al acto principal.</w:t>
      </w:r>
    </w:p>
    <w:p w:rsidR="00F639AF" w:rsidRPr="00BF4097" w:rsidRDefault="00F639AF" w:rsidP="00BF4097">
      <w:pPr>
        <w:tabs>
          <w:tab w:val="left" w:pos="-1440"/>
          <w:tab w:val="left" w:pos="-720"/>
          <w:tab w:val="left" w:pos="3312"/>
        </w:tabs>
        <w:suppressAutoHyphens/>
        <w:jc w:val="both"/>
        <w:rPr>
          <w:rFonts w:ascii="Arial" w:eastAsia="Times New Roman" w:hAnsi="Arial" w:cs="Arial"/>
          <w:i/>
          <w:spacing w:val="-3"/>
          <w:sz w:val="24"/>
          <w:szCs w:val="24"/>
          <w:lang w:val="es-ES" w:eastAsia="es-ES"/>
        </w:rPr>
      </w:pPr>
    </w:p>
    <w:p w:rsidR="00F639AF" w:rsidRPr="00BF4097" w:rsidRDefault="00F639AF" w:rsidP="00BF4097">
      <w:pPr>
        <w:tabs>
          <w:tab w:val="left" w:pos="-1440"/>
          <w:tab w:val="left" w:pos="-720"/>
          <w:tab w:val="left" w:pos="3312"/>
        </w:tabs>
        <w:suppressAutoHyphens/>
        <w:jc w:val="both"/>
        <w:rPr>
          <w:rFonts w:ascii="Arial" w:eastAsia="Times New Roman" w:hAnsi="Arial" w:cs="Arial"/>
          <w:i/>
          <w:spacing w:val="-3"/>
          <w:sz w:val="24"/>
          <w:szCs w:val="24"/>
          <w:u w:val="single"/>
          <w:lang w:val="es-ES" w:eastAsia="es-ES"/>
        </w:rPr>
      </w:pPr>
      <w:r w:rsidRPr="00BF4097">
        <w:rPr>
          <w:rFonts w:ascii="Arial" w:eastAsia="Times New Roman" w:hAnsi="Arial" w:cs="Arial"/>
          <w:i/>
          <w:spacing w:val="-3"/>
          <w:sz w:val="24"/>
          <w:szCs w:val="24"/>
          <w:u w:val="single"/>
          <w:lang w:val="es-ES" w:eastAsia="es-ES"/>
        </w:rPr>
        <w:t>De ahí pues que no obstante que al tenor de lo preceptuado en el artículo 138 inciso 3o. ibídem deban demandarse el acto definitivo, así como aquellos que lo modifiquen o confirmen a través de los recursos de reposición y de apelación, para el evento de que en la demanda se omita impugnar el acto que decide el recurso de reposición, tal omisión no podría generar la ineptitud de la misma dado el carácter accesorio de dicho recurso cuando es confirmatorio del acto principal.</w:t>
      </w:r>
    </w:p>
    <w:p w:rsidR="00F639AF" w:rsidRPr="00BF4097" w:rsidRDefault="00F639AF" w:rsidP="00BF4097">
      <w:pPr>
        <w:tabs>
          <w:tab w:val="left" w:pos="-1440"/>
          <w:tab w:val="left" w:pos="-720"/>
          <w:tab w:val="left" w:pos="3312"/>
        </w:tabs>
        <w:suppressAutoHyphens/>
        <w:jc w:val="both"/>
        <w:rPr>
          <w:rFonts w:ascii="Arial" w:eastAsia="Times New Roman" w:hAnsi="Arial" w:cs="Arial"/>
          <w:i/>
          <w:spacing w:val="-3"/>
          <w:sz w:val="24"/>
          <w:szCs w:val="24"/>
          <w:lang w:val="es-ES" w:eastAsia="es-ES"/>
        </w:rPr>
      </w:pPr>
    </w:p>
    <w:p w:rsidR="00F639AF" w:rsidRPr="00BF4097" w:rsidRDefault="00F639AF" w:rsidP="00BF4097">
      <w:pPr>
        <w:tabs>
          <w:tab w:val="left" w:pos="-1440"/>
          <w:tab w:val="left" w:pos="-720"/>
          <w:tab w:val="left" w:pos="3312"/>
        </w:tabs>
        <w:suppressAutoHyphens/>
        <w:jc w:val="both"/>
        <w:rPr>
          <w:rFonts w:ascii="Arial" w:eastAsia="Times New Roman" w:hAnsi="Arial" w:cs="Arial"/>
          <w:i/>
          <w:spacing w:val="-3"/>
          <w:sz w:val="24"/>
          <w:szCs w:val="24"/>
          <w:lang w:val="es-ES" w:eastAsia="es-ES"/>
        </w:rPr>
      </w:pPr>
      <w:r w:rsidRPr="00BF4097">
        <w:rPr>
          <w:rFonts w:ascii="Arial" w:eastAsia="Times New Roman" w:hAnsi="Arial" w:cs="Arial"/>
          <w:i/>
          <w:spacing w:val="-3"/>
          <w:sz w:val="24"/>
          <w:szCs w:val="24"/>
          <w:lang w:val="es-ES" w:eastAsia="es-ES"/>
        </w:rPr>
        <w:t>No puede perderse de vista a este respecto que el acto administrativo principal como el que decide el recurso de apelación son los presupuestos básicos para que la vía gubernativa se entienda agotada en debida forma, amén de que la notificación del último es la que tiene incidencia para el cómputo del término de caducidad, esto es, para el ejercicio oportuno de la acción.</w:t>
      </w:r>
    </w:p>
    <w:p w:rsidR="00F639AF" w:rsidRPr="00BF4097" w:rsidRDefault="00F639AF" w:rsidP="00BF4097">
      <w:pPr>
        <w:tabs>
          <w:tab w:val="left" w:pos="-1440"/>
          <w:tab w:val="left" w:pos="-720"/>
          <w:tab w:val="left" w:pos="3312"/>
        </w:tabs>
        <w:suppressAutoHyphens/>
        <w:jc w:val="both"/>
        <w:rPr>
          <w:rFonts w:ascii="Arial" w:eastAsia="Times New Roman" w:hAnsi="Arial" w:cs="Arial"/>
          <w:i/>
          <w:spacing w:val="-3"/>
          <w:sz w:val="24"/>
          <w:szCs w:val="24"/>
          <w:lang w:val="es-ES" w:eastAsia="es-ES"/>
        </w:rPr>
      </w:pPr>
    </w:p>
    <w:p w:rsidR="00F639AF" w:rsidRPr="00BF4097" w:rsidRDefault="00F639AF" w:rsidP="00BF4097">
      <w:pPr>
        <w:tabs>
          <w:tab w:val="left" w:pos="-1440"/>
          <w:tab w:val="left" w:pos="-720"/>
          <w:tab w:val="left" w:pos="3312"/>
        </w:tabs>
        <w:suppressAutoHyphens/>
        <w:jc w:val="both"/>
        <w:rPr>
          <w:rFonts w:ascii="Arial" w:eastAsia="Times New Roman" w:hAnsi="Arial" w:cs="Arial"/>
          <w:i/>
          <w:spacing w:val="-3"/>
          <w:sz w:val="24"/>
          <w:szCs w:val="24"/>
          <w:lang w:val="es-ES" w:eastAsia="es-ES"/>
        </w:rPr>
      </w:pPr>
      <w:r w:rsidRPr="00BF4097">
        <w:rPr>
          <w:rFonts w:ascii="Arial" w:eastAsia="Times New Roman" w:hAnsi="Arial" w:cs="Arial"/>
          <w:i/>
          <w:spacing w:val="-3"/>
          <w:sz w:val="24"/>
          <w:szCs w:val="24"/>
          <w:lang w:val="es-ES" w:eastAsia="es-ES"/>
        </w:rPr>
        <w:t>Las consideraciones precedentes justifican que la Sala rectifique la posición que en diversos pronunciamientos había venido adoptando en relación con el tema analizado….”</w:t>
      </w:r>
    </w:p>
    <w:p w:rsidR="00F639AF" w:rsidRPr="00BF4097" w:rsidRDefault="00F639AF" w:rsidP="00BF4097">
      <w:pPr>
        <w:jc w:val="both"/>
        <w:rPr>
          <w:rFonts w:ascii="Arial" w:eastAsia="Times New Roman" w:hAnsi="Arial" w:cs="Arial"/>
          <w:i/>
          <w:sz w:val="24"/>
          <w:szCs w:val="24"/>
          <w:lang w:val="es-ES" w:eastAsia="es-ES"/>
        </w:rPr>
      </w:pPr>
    </w:p>
    <w:p w:rsidR="00F639AF" w:rsidRPr="00BF4097" w:rsidRDefault="00F639AF" w:rsidP="00BF4097">
      <w:pPr>
        <w:jc w:val="both"/>
        <w:rPr>
          <w:rFonts w:ascii="Arial" w:eastAsia="Times New Roman" w:hAnsi="Arial" w:cs="Arial"/>
          <w:sz w:val="24"/>
          <w:szCs w:val="24"/>
          <w:lang w:val="es-ES" w:eastAsia="es-ES"/>
        </w:rPr>
      </w:pPr>
      <w:r w:rsidRPr="00BF4097">
        <w:rPr>
          <w:rFonts w:ascii="Arial" w:eastAsia="Times New Roman" w:hAnsi="Arial" w:cs="Arial"/>
          <w:i/>
          <w:sz w:val="24"/>
          <w:szCs w:val="24"/>
          <w:lang w:val="es-ES" w:eastAsia="es-ES"/>
        </w:rPr>
        <w:t xml:space="preserve">Sin embargo, en la sentencia de 31 de julio de 1997 (expediente núm. 4321, Actora: Rosana Solano de Téllez, consejero ponente doctor Ernesto Rafael Ariza Muñoz), la Sala hizo la precisión de que </w:t>
      </w:r>
      <w:r w:rsidRPr="00BF4097">
        <w:rPr>
          <w:rFonts w:ascii="Arial" w:eastAsia="Times New Roman" w:hAnsi="Arial" w:cs="Arial"/>
          <w:i/>
          <w:sz w:val="24"/>
          <w:szCs w:val="24"/>
          <w:u w:val="single"/>
          <w:lang w:val="es-ES" w:eastAsia="es-ES"/>
        </w:rPr>
        <w:t>no obstante que la interposición del recurso de reposición no sea obligatoria, en el caso de que dicho recurso sea el único procedente y que el actor haga uso del mismo, está en la obligación de demandar el acto que lo resuelve, conforme lo dispone el inciso 3° del artículo 138 del C.C.A., además de que es a partir de la notificación de este último que empieza a contarse el término de la caducidad de la acción”</w:t>
      </w:r>
      <w:r w:rsidRPr="00BF4097">
        <w:rPr>
          <w:rFonts w:ascii="Arial" w:eastAsia="Times New Roman" w:hAnsi="Arial" w:cs="Arial"/>
          <w:i/>
          <w:sz w:val="24"/>
          <w:szCs w:val="24"/>
          <w:lang w:val="es-ES" w:eastAsia="es-ES"/>
        </w:rPr>
        <w:t xml:space="preserve"> </w:t>
      </w:r>
      <w:r w:rsidRPr="00BF4097">
        <w:rPr>
          <w:rFonts w:ascii="Arial" w:eastAsia="Times New Roman" w:hAnsi="Arial" w:cs="Arial"/>
          <w:sz w:val="24"/>
          <w:szCs w:val="24"/>
          <w:lang w:val="es-ES" w:eastAsia="es-ES"/>
        </w:rPr>
        <w:t>– se destaca-.</w:t>
      </w:r>
    </w:p>
    <w:p w:rsidR="00F639AF" w:rsidRPr="00BF4097" w:rsidRDefault="00F639AF" w:rsidP="00BF4097">
      <w:pPr>
        <w:spacing w:line="276" w:lineRule="auto"/>
        <w:jc w:val="both"/>
        <w:rPr>
          <w:rFonts w:ascii="Arial" w:eastAsia="Times New Roman" w:hAnsi="Arial" w:cs="Arial"/>
          <w:sz w:val="24"/>
          <w:szCs w:val="24"/>
          <w:lang w:val="es-ES" w:eastAsia="es-ES"/>
        </w:rPr>
      </w:pPr>
    </w:p>
    <w:p w:rsidR="00F639AF" w:rsidRPr="00BF4097" w:rsidRDefault="00F639AF" w:rsidP="00BF4097">
      <w:pPr>
        <w:widowControl w:val="0"/>
        <w:tabs>
          <w:tab w:val="left" w:pos="142"/>
        </w:tabs>
        <w:overflowPunct w:val="0"/>
        <w:adjustRightInd w:val="0"/>
        <w:spacing w:line="276" w:lineRule="auto"/>
        <w:contextualSpacing/>
        <w:jc w:val="both"/>
        <w:rPr>
          <w:rFonts w:ascii="Arial" w:eastAsia="Times New Roman" w:hAnsi="Arial" w:cs="Arial"/>
          <w:kern w:val="28"/>
          <w:sz w:val="24"/>
          <w:szCs w:val="24"/>
          <w:lang w:val="es-ES" w:eastAsia="es-CO"/>
        </w:rPr>
      </w:pPr>
      <w:r w:rsidRPr="00BF4097">
        <w:rPr>
          <w:rFonts w:ascii="Arial" w:eastAsia="Times New Roman" w:hAnsi="Arial" w:cs="Arial"/>
          <w:kern w:val="28"/>
          <w:sz w:val="24"/>
          <w:szCs w:val="24"/>
          <w:lang w:val="es-ES" w:eastAsia="es-CO"/>
        </w:rPr>
        <w:t xml:space="preserve">Por las razones esbozadas, la Sala considera que no se configuró en el caso bajo examen la ineptitud sustantiva de la demanda, declarada de oficio por el </w:t>
      </w:r>
      <w:r w:rsidRPr="00BF4097">
        <w:rPr>
          <w:rFonts w:ascii="Arial" w:eastAsia="Times New Roman" w:hAnsi="Arial" w:cs="Arial"/>
          <w:i/>
          <w:kern w:val="28"/>
          <w:sz w:val="24"/>
          <w:szCs w:val="24"/>
          <w:lang w:val="es-ES" w:eastAsia="es-CO"/>
        </w:rPr>
        <w:t xml:space="preserve">a quo, </w:t>
      </w:r>
      <w:r w:rsidRPr="00BF4097">
        <w:rPr>
          <w:rFonts w:ascii="Arial" w:eastAsia="Times New Roman" w:hAnsi="Arial" w:cs="Arial"/>
          <w:kern w:val="28"/>
          <w:sz w:val="24"/>
          <w:szCs w:val="24"/>
          <w:lang w:val="es-ES" w:eastAsia="es-CO"/>
        </w:rPr>
        <w:t>comoquiera que no tendría que echarse de menos la inclusión de la resolución 291 de 2004, confirmatoria de la resolución 272 del mismo año en la pretensión de nulidad propuesta por Squadra Ltda. en cuanto fue proferida para resolver el recurso de reposición presentado por la Unión Temporal Palenquero, aunado a que no le fue notificada. Esto es, en cuanto a la resolución confirmatoria no le es oponible para el caso particular de la sociedad Squadra Ltda., la vía gubernativa quedó agotada en los términos del artículo 63 del C.C.A.</w:t>
      </w:r>
      <w:r w:rsidRPr="00BF4097">
        <w:rPr>
          <w:rFonts w:ascii="Arial" w:eastAsia="Times New Roman" w:hAnsi="Arial" w:cs="Arial"/>
          <w:kern w:val="28"/>
          <w:sz w:val="24"/>
          <w:szCs w:val="24"/>
          <w:vertAlign w:val="superscript"/>
          <w:lang w:val="es-ES" w:eastAsia="es-CO"/>
        </w:rPr>
        <w:footnoteReference w:id="4"/>
      </w:r>
      <w:r w:rsidRPr="00BF4097">
        <w:rPr>
          <w:rFonts w:ascii="Arial" w:eastAsia="Times New Roman" w:hAnsi="Arial" w:cs="Arial"/>
          <w:kern w:val="28"/>
          <w:sz w:val="24"/>
          <w:szCs w:val="24"/>
          <w:lang w:val="es-ES" w:eastAsia="es-CO"/>
        </w:rPr>
        <w:t>, lo que en concordancia con el artículo 135 del mismo compendio</w:t>
      </w:r>
      <w:r w:rsidRPr="00BF4097">
        <w:rPr>
          <w:rFonts w:ascii="Arial" w:eastAsia="Times New Roman" w:hAnsi="Arial" w:cs="Arial"/>
          <w:kern w:val="28"/>
          <w:sz w:val="24"/>
          <w:szCs w:val="24"/>
          <w:vertAlign w:val="superscript"/>
          <w:lang w:val="es-ES" w:eastAsia="es-CO"/>
        </w:rPr>
        <w:footnoteReference w:id="5"/>
      </w:r>
      <w:r w:rsidRPr="00BF4097">
        <w:rPr>
          <w:rFonts w:ascii="Arial" w:eastAsia="Times New Roman" w:hAnsi="Arial" w:cs="Arial"/>
          <w:kern w:val="28"/>
          <w:sz w:val="24"/>
          <w:szCs w:val="24"/>
          <w:lang w:val="es-ES" w:eastAsia="es-CO"/>
        </w:rPr>
        <w:t xml:space="preserve">, habilitaba a la mencionada firma para acudir a instancias judiciales, con el fin de pretender la nulidad del acto particular y concreto y el restablecimiento correlativo a dicha declaración. </w:t>
      </w:r>
    </w:p>
    <w:p w:rsidR="00F639AF" w:rsidRPr="00BF4097" w:rsidRDefault="00F639AF" w:rsidP="00BF4097">
      <w:pPr>
        <w:widowControl w:val="0"/>
        <w:tabs>
          <w:tab w:val="left" w:pos="142"/>
        </w:tabs>
        <w:overflowPunct w:val="0"/>
        <w:adjustRightInd w:val="0"/>
        <w:spacing w:line="276" w:lineRule="auto"/>
        <w:contextualSpacing/>
        <w:jc w:val="both"/>
        <w:rPr>
          <w:rFonts w:ascii="Arial" w:eastAsia="Times New Roman" w:hAnsi="Arial" w:cs="Arial"/>
          <w:kern w:val="28"/>
          <w:sz w:val="24"/>
          <w:szCs w:val="24"/>
          <w:lang w:val="es-ES" w:eastAsia="es-CO"/>
        </w:rPr>
      </w:pPr>
    </w:p>
    <w:p w:rsidR="00F639AF" w:rsidRPr="00BF4097" w:rsidRDefault="00F639AF" w:rsidP="00BF4097">
      <w:pPr>
        <w:widowControl w:val="0"/>
        <w:numPr>
          <w:ilvl w:val="0"/>
          <w:numId w:val="30"/>
        </w:numPr>
        <w:tabs>
          <w:tab w:val="left" w:pos="142"/>
        </w:tabs>
        <w:overflowPunct w:val="0"/>
        <w:adjustRightInd w:val="0"/>
        <w:spacing w:line="276" w:lineRule="auto"/>
        <w:ind w:left="0" w:firstLine="0"/>
        <w:contextualSpacing/>
        <w:jc w:val="both"/>
        <w:rPr>
          <w:rFonts w:ascii="Arial" w:eastAsia="Times New Roman" w:hAnsi="Arial" w:cs="Arial"/>
          <w:kern w:val="28"/>
          <w:sz w:val="24"/>
          <w:szCs w:val="24"/>
          <w:lang w:val="es-ES" w:eastAsia="es-CO"/>
        </w:rPr>
      </w:pPr>
      <w:r w:rsidRPr="00BF4097">
        <w:rPr>
          <w:rFonts w:ascii="Arial" w:eastAsia="Times New Roman" w:hAnsi="Arial" w:cs="Arial"/>
          <w:b/>
          <w:kern w:val="28"/>
          <w:sz w:val="24"/>
          <w:szCs w:val="24"/>
          <w:lang w:val="es-ES" w:eastAsia="es-CO"/>
        </w:rPr>
        <w:t>Declaratoria oficiosa de caducidad de la acción en el expediente 2004 -02423</w:t>
      </w:r>
    </w:p>
    <w:p w:rsidR="00F639AF" w:rsidRPr="00BF4097" w:rsidRDefault="00F639AF" w:rsidP="00BF4097">
      <w:pPr>
        <w:spacing w:line="276" w:lineRule="auto"/>
        <w:jc w:val="both"/>
        <w:rPr>
          <w:rFonts w:ascii="Arial" w:eastAsia="Times New Roman" w:hAnsi="Arial" w:cs="Arial"/>
          <w:sz w:val="24"/>
          <w:szCs w:val="24"/>
          <w:lang w:val="es-ES" w:eastAsia="es-ES"/>
        </w:rPr>
      </w:pPr>
    </w:p>
    <w:p w:rsidR="00F639AF" w:rsidRPr="00BF4097" w:rsidRDefault="00F639AF" w:rsidP="00BF4097">
      <w:pPr>
        <w:tabs>
          <w:tab w:val="left" w:pos="1134"/>
        </w:tabs>
        <w:spacing w:line="276" w:lineRule="auto"/>
        <w:contextualSpacing/>
        <w:jc w:val="both"/>
        <w:rPr>
          <w:rFonts w:ascii="Arial" w:eastAsia="Times New Roman" w:hAnsi="Arial" w:cs="Arial"/>
          <w:iCs/>
          <w:sz w:val="24"/>
          <w:szCs w:val="24"/>
          <w:lang w:val="es-ES" w:eastAsia="es-ES"/>
        </w:rPr>
      </w:pPr>
      <w:r w:rsidRPr="00BF4097">
        <w:rPr>
          <w:rFonts w:ascii="Arial" w:eastAsia="Times New Roman" w:hAnsi="Arial" w:cs="Arial"/>
          <w:iCs/>
          <w:sz w:val="24"/>
          <w:szCs w:val="24"/>
          <w:lang w:val="es-ES" w:eastAsia="es-ES"/>
        </w:rPr>
        <w:t>La jurisprudencia reiterada de esta Corporación ha sostenido que, para garantizar la seguridad jurídica, el legislador instituyó la figura de la caducidad como una sanción en los eventos en que las acciones judiciales no se ejerzan en determinado tiempo. Esto es, las partes tienen la carga procesal de impulsar el litigio dentro del plazo fijado por la ley pues de no hacerlo en tiempo oportuno, pierden la posibilidad de accionar ante la jurisdicción.</w:t>
      </w:r>
    </w:p>
    <w:p w:rsidR="00F639AF" w:rsidRPr="00BF4097" w:rsidRDefault="00F639AF" w:rsidP="00BF4097">
      <w:pPr>
        <w:tabs>
          <w:tab w:val="left" w:pos="1134"/>
        </w:tabs>
        <w:spacing w:line="276" w:lineRule="auto"/>
        <w:contextualSpacing/>
        <w:jc w:val="both"/>
        <w:rPr>
          <w:rFonts w:ascii="Arial" w:eastAsia="Times New Roman" w:hAnsi="Arial" w:cs="Arial"/>
          <w:iCs/>
          <w:sz w:val="24"/>
          <w:szCs w:val="24"/>
          <w:lang w:val="es-ES" w:eastAsia="es-ES"/>
        </w:rPr>
      </w:pPr>
    </w:p>
    <w:p w:rsidR="00F639AF" w:rsidRPr="00BF4097" w:rsidRDefault="00F639AF" w:rsidP="00BF4097">
      <w:pPr>
        <w:tabs>
          <w:tab w:val="left" w:pos="1134"/>
        </w:tabs>
        <w:spacing w:line="276" w:lineRule="auto"/>
        <w:contextualSpacing/>
        <w:jc w:val="both"/>
        <w:rPr>
          <w:rFonts w:ascii="Arial" w:eastAsia="Times New Roman" w:hAnsi="Arial" w:cs="Arial"/>
          <w:iCs/>
          <w:sz w:val="24"/>
          <w:szCs w:val="24"/>
          <w:lang w:val="es-ES" w:eastAsia="es-ES"/>
        </w:rPr>
      </w:pPr>
      <w:r w:rsidRPr="00BF4097">
        <w:rPr>
          <w:rFonts w:ascii="Arial" w:eastAsia="Times New Roman" w:hAnsi="Arial" w:cs="Arial"/>
          <w:iCs/>
          <w:sz w:val="24"/>
          <w:szCs w:val="24"/>
          <w:lang w:val="es-ES" w:eastAsia="es-ES"/>
        </w:rPr>
        <w:t>Por otro lado, es importante anotar que la caducidad no admite suspensión, salvo que se presente una solicitud de conciliación extrajudicial (de acuerdo con las previsiones de las Leyes 446 de 1998 y 640 de 2001), tampoco renuncia y, de encontrarse probada, debe ser declarada de manera oficiosa por el juez.</w:t>
      </w:r>
    </w:p>
    <w:p w:rsidR="00F639AF" w:rsidRPr="00BF4097" w:rsidRDefault="00F639AF" w:rsidP="00BF4097">
      <w:pPr>
        <w:spacing w:line="276" w:lineRule="auto"/>
        <w:jc w:val="both"/>
        <w:rPr>
          <w:rFonts w:ascii="Arial" w:eastAsia="Times New Roman" w:hAnsi="Arial" w:cs="Arial"/>
          <w:sz w:val="24"/>
          <w:szCs w:val="24"/>
          <w:lang w:val="es-ES" w:eastAsia="es-ES"/>
        </w:rPr>
      </w:pPr>
    </w:p>
    <w:p w:rsidR="00F639AF" w:rsidRPr="00BF4097" w:rsidRDefault="00F639AF" w:rsidP="00BF4097">
      <w:pPr>
        <w:spacing w:line="276" w:lineRule="auto"/>
        <w:jc w:val="both"/>
        <w:rPr>
          <w:rFonts w:ascii="Arial" w:eastAsia="Times New Roman" w:hAnsi="Arial" w:cs="Arial"/>
          <w:sz w:val="24"/>
          <w:szCs w:val="24"/>
          <w:lang w:val="es-ES" w:eastAsia="es-ES"/>
        </w:rPr>
      </w:pPr>
      <w:r w:rsidRPr="00BF4097">
        <w:rPr>
          <w:rFonts w:ascii="Arial" w:eastAsia="Times New Roman" w:hAnsi="Arial" w:cs="Arial"/>
          <w:sz w:val="24"/>
          <w:szCs w:val="24"/>
          <w:lang w:val="es-ES" w:eastAsia="es-ES"/>
        </w:rPr>
        <w:t xml:space="preserve">En cuanto al término para intentar la acción de nulidad y restablecimiento del derecho contra el acto de declaratoria de desierta, encontró el </w:t>
      </w:r>
      <w:r w:rsidRPr="00BF4097">
        <w:rPr>
          <w:rFonts w:ascii="Arial" w:eastAsia="Times New Roman" w:hAnsi="Arial" w:cs="Arial"/>
          <w:i/>
          <w:sz w:val="24"/>
          <w:szCs w:val="24"/>
          <w:lang w:val="es-ES" w:eastAsia="es-ES"/>
        </w:rPr>
        <w:t>a quo</w:t>
      </w:r>
      <w:r w:rsidRPr="00BF4097">
        <w:rPr>
          <w:rFonts w:ascii="Arial" w:eastAsia="Times New Roman" w:hAnsi="Arial" w:cs="Arial"/>
          <w:sz w:val="24"/>
          <w:szCs w:val="24"/>
          <w:lang w:val="es-ES" w:eastAsia="es-ES"/>
        </w:rPr>
        <w:t xml:space="preserve"> oportuna la demanda interpuesta por la sociedad Squadra Ltda. comoquiera que se radicó dentro del término de cuatro meses fijado por la ley para intentar la acción de nulidad y restablecimiento del derecho, contados a partir de la notificación de la resolución nº. 291 de 2004 al representante legal de la Unión Temporal Palenquero.</w:t>
      </w:r>
    </w:p>
    <w:p w:rsidR="008C3275" w:rsidRDefault="008C3275" w:rsidP="00BF4097">
      <w:pPr>
        <w:spacing w:line="276" w:lineRule="auto"/>
        <w:jc w:val="both"/>
        <w:rPr>
          <w:rFonts w:ascii="Arial" w:eastAsia="Times New Roman" w:hAnsi="Arial" w:cs="Arial"/>
          <w:sz w:val="24"/>
          <w:szCs w:val="24"/>
          <w:lang w:val="es-ES" w:eastAsia="es-ES"/>
        </w:rPr>
      </w:pPr>
    </w:p>
    <w:p w:rsidR="00F639AF" w:rsidRPr="00BF4097" w:rsidRDefault="00F639AF" w:rsidP="00BF4097">
      <w:pPr>
        <w:spacing w:line="276" w:lineRule="auto"/>
        <w:jc w:val="both"/>
        <w:rPr>
          <w:rFonts w:ascii="Arial" w:eastAsia="Times New Roman" w:hAnsi="Arial" w:cs="Arial"/>
          <w:sz w:val="24"/>
          <w:szCs w:val="24"/>
          <w:lang w:val="es-ES" w:eastAsia="es-ES"/>
        </w:rPr>
      </w:pPr>
      <w:r w:rsidRPr="00BF4097">
        <w:rPr>
          <w:rFonts w:ascii="Arial" w:eastAsia="Times New Roman" w:hAnsi="Arial" w:cs="Arial"/>
          <w:sz w:val="24"/>
          <w:szCs w:val="24"/>
          <w:lang w:val="es-ES" w:eastAsia="es-ES"/>
        </w:rPr>
        <w:t>Al respecto es pertinente observar, en primer lugar, que para la época de la expedición de la resolución nº. 272 de 2004, el artículo 87 del Código Contencioso Administrativo había sido objeto de modificación por el artículo 32 de la Ley 446 de 1998, cuyo texto dispuso</w:t>
      </w:r>
      <w:r w:rsidRPr="00BF4097">
        <w:rPr>
          <w:rFonts w:ascii="Arial" w:eastAsia="Times New Roman" w:hAnsi="Arial" w:cs="Arial"/>
          <w:sz w:val="24"/>
          <w:szCs w:val="24"/>
          <w:vertAlign w:val="superscript"/>
          <w:lang w:val="es-ES" w:eastAsia="es-ES"/>
        </w:rPr>
        <w:footnoteReference w:id="6"/>
      </w:r>
      <w:r w:rsidRPr="00BF4097">
        <w:rPr>
          <w:rFonts w:ascii="Arial" w:eastAsia="Times New Roman" w:hAnsi="Arial" w:cs="Arial"/>
          <w:sz w:val="24"/>
          <w:szCs w:val="24"/>
          <w:lang w:val="es-ES" w:eastAsia="es-ES"/>
        </w:rPr>
        <w:t>:</w:t>
      </w:r>
    </w:p>
    <w:p w:rsidR="00F639AF" w:rsidRPr="00BF4097" w:rsidRDefault="00F639AF" w:rsidP="00BF4097">
      <w:pPr>
        <w:tabs>
          <w:tab w:val="left" w:pos="9356"/>
        </w:tabs>
        <w:jc w:val="both"/>
        <w:rPr>
          <w:rFonts w:ascii="Arial" w:eastAsia="Times New Roman" w:hAnsi="Arial" w:cs="Arial"/>
          <w:i/>
          <w:sz w:val="24"/>
          <w:szCs w:val="24"/>
          <w:lang w:val="es-ES" w:eastAsia="es-ES"/>
        </w:rPr>
      </w:pPr>
      <w:r w:rsidRPr="00BF4097">
        <w:rPr>
          <w:rFonts w:ascii="Arial" w:eastAsia="Times New Roman" w:hAnsi="Arial" w:cs="Arial"/>
          <w:i/>
          <w:sz w:val="24"/>
          <w:szCs w:val="24"/>
          <w:lang w:val="es-ES" w:eastAsia="es-ES"/>
        </w:rPr>
        <w:t>“De las Controversias Contractuales. Cualquiera de las partes de un contrato podrá pedir que se declare su existencia o su nulidad y que se hagan las declaraciones, condenas o restituciones consecuenciales, que se ordene su revisión, que se declare su incumplimiento y que se condene al responsable a indemnizar los perjuicios y que se hagan otras declaraciones y condenas.</w:t>
      </w:r>
    </w:p>
    <w:p w:rsidR="00F639AF" w:rsidRPr="00BF4097" w:rsidRDefault="00F639AF" w:rsidP="00BF4097">
      <w:pPr>
        <w:tabs>
          <w:tab w:val="left" w:pos="9356"/>
        </w:tabs>
        <w:jc w:val="both"/>
        <w:rPr>
          <w:rFonts w:ascii="Arial" w:eastAsia="Times New Roman" w:hAnsi="Arial" w:cs="Arial"/>
          <w:i/>
          <w:sz w:val="24"/>
          <w:szCs w:val="24"/>
          <w:lang w:val="es-ES" w:eastAsia="es-ES"/>
        </w:rPr>
      </w:pPr>
    </w:p>
    <w:p w:rsidR="00F639AF" w:rsidRPr="00BF4097" w:rsidRDefault="00F639AF" w:rsidP="00BF4097">
      <w:pPr>
        <w:tabs>
          <w:tab w:val="left" w:pos="9356"/>
        </w:tabs>
        <w:jc w:val="both"/>
        <w:rPr>
          <w:rFonts w:ascii="Arial" w:eastAsia="Times New Roman" w:hAnsi="Arial" w:cs="Arial"/>
          <w:i/>
          <w:sz w:val="24"/>
          <w:szCs w:val="24"/>
          <w:lang w:val="es-ES" w:eastAsia="es-ES"/>
        </w:rPr>
      </w:pPr>
      <w:r w:rsidRPr="00BF4097">
        <w:rPr>
          <w:rFonts w:ascii="Arial" w:eastAsia="Times New Roman" w:hAnsi="Arial" w:cs="Arial"/>
          <w:i/>
          <w:sz w:val="24"/>
          <w:szCs w:val="24"/>
          <w:u w:val="single"/>
          <w:lang w:val="es-ES" w:eastAsia="es-ES"/>
        </w:rPr>
        <w:t>Los actos proferidos antes de la celebración del contrato, con ocasión de la actividad contractual, serán demandables mediante las acciones de nulidad y de nulidad y restablecimiento del derecho, según sea el caso, dentro de los treinta (30) días siguientes a su comunicación, notificación o publicación</w:t>
      </w:r>
      <w:r w:rsidRPr="00BF4097">
        <w:rPr>
          <w:rFonts w:ascii="Arial" w:eastAsia="Times New Roman" w:hAnsi="Arial" w:cs="Arial"/>
          <w:i/>
          <w:sz w:val="24"/>
          <w:szCs w:val="24"/>
          <w:lang w:val="es-ES" w:eastAsia="es-ES"/>
        </w:rPr>
        <w:t>. La interposición de estas acciones no interrumpirá el proceso licitatorio, ni la celebración y ejecución del contrato. Una vez celebrado este, la ilegalidad de los actos previos solamente podrá invocarse como fundamento de nulidad absoluta del contrato.</w:t>
      </w:r>
    </w:p>
    <w:p w:rsidR="00F639AF" w:rsidRPr="00BF4097" w:rsidRDefault="00F639AF" w:rsidP="00BF4097">
      <w:pPr>
        <w:tabs>
          <w:tab w:val="left" w:pos="9356"/>
        </w:tabs>
        <w:jc w:val="both"/>
        <w:rPr>
          <w:rFonts w:ascii="Arial" w:eastAsia="Times New Roman" w:hAnsi="Arial" w:cs="Arial"/>
          <w:b/>
          <w:bCs/>
          <w:i/>
          <w:sz w:val="24"/>
          <w:szCs w:val="24"/>
          <w:lang w:val="es-ES" w:eastAsia="es-ES"/>
        </w:rPr>
      </w:pPr>
    </w:p>
    <w:p w:rsidR="00F639AF" w:rsidRPr="00BF4097" w:rsidRDefault="00F639AF" w:rsidP="00BF4097">
      <w:pPr>
        <w:tabs>
          <w:tab w:val="left" w:pos="9356"/>
        </w:tabs>
        <w:jc w:val="both"/>
        <w:rPr>
          <w:rFonts w:ascii="Arial" w:eastAsia="Times New Roman" w:hAnsi="Arial" w:cs="Arial"/>
          <w:i/>
          <w:sz w:val="24"/>
          <w:szCs w:val="24"/>
          <w:lang w:val="es-ES" w:eastAsia="es-ES"/>
        </w:rPr>
      </w:pPr>
      <w:r w:rsidRPr="00BF4097">
        <w:rPr>
          <w:rFonts w:ascii="Arial" w:eastAsia="Times New Roman" w:hAnsi="Arial" w:cs="Arial"/>
          <w:i/>
          <w:sz w:val="24"/>
          <w:szCs w:val="24"/>
          <w:lang w:val="es-ES" w:eastAsia="es-ES"/>
        </w:rPr>
        <w:t xml:space="preserve">El Ministerio Público o cualquier tercero que acredite un interés directo podrá pedir que se declare su nulidad absoluta. El Juez administrativo queda facultado para declararla de oficio cuando esté plenamente demostrada en el proceso. En todo caso, dicha declaración solo podrá hacerse siempre que en él intervengan las partes contratantes o sus causahabientes (…) </w:t>
      </w:r>
      <w:r w:rsidRPr="00BF4097">
        <w:rPr>
          <w:rFonts w:ascii="Arial" w:eastAsia="Times New Roman" w:hAnsi="Arial" w:cs="Arial"/>
          <w:sz w:val="24"/>
          <w:szCs w:val="24"/>
          <w:lang w:val="es-ES" w:eastAsia="es-ES"/>
        </w:rPr>
        <w:t>– se destaca-</w:t>
      </w:r>
    </w:p>
    <w:p w:rsidR="00F639AF" w:rsidRPr="00BF4097" w:rsidRDefault="00F639AF" w:rsidP="00BF4097">
      <w:pPr>
        <w:tabs>
          <w:tab w:val="left" w:pos="9047"/>
        </w:tabs>
        <w:spacing w:line="276" w:lineRule="auto"/>
        <w:jc w:val="both"/>
        <w:rPr>
          <w:rFonts w:ascii="Arial" w:eastAsia="Times New Roman" w:hAnsi="Arial" w:cs="Arial"/>
          <w:sz w:val="24"/>
          <w:szCs w:val="24"/>
          <w:lang w:val="es-ES" w:eastAsia="es-ES"/>
        </w:rPr>
      </w:pPr>
    </w:p>
    <w:p w:rsidR="00F639AF" w:rsidRPr="00BF4097" w:rsidRDefault="00F639AF" w:rsidP="00BF4097">
      <w:pPr>
        <w:tabs>
          <w:tab w:val="left" w:pos="9047"/>
        </w:tabs>
        <w:spacing w:line="276" w:lineRule="auto"/>
        <w:jc w:val="both"/>
        <w:rPr>
          <w:rFonts w:ascii="Arial" w:eastAsia="Times New Roman" w:hAnsi="Arial" w:cs="Arial"/>
          <w:sz w:val="24"/>
          <w:szCs w:val="24"/>
          <w:lang w:eastAsia="es-ES"/>
        </w:rPr>
      </w:pPr>
      <w:r w:rsidRPr="00BF4097">
        <w:rPr>
          <w:rFonts w:ascii="Arial" w:eastAsia="Times New Roman" w:hAnsi="Arial" w:cs="Arial"/>
          <w:sz w:val="24"/>
          <w:szCs w:val="24"/>
          <w:lang w:val="es-ES" w:eastAsia="es-ES"/>
        </w:rPr>
        <w:t>D</w:t>
      </w:r>
      <w:proofErr w:type="spellStart"/>
      <w:r w:rsidRPr="00BF4097">
        <w:rPr>
          <w:rFonts w:ascii="Arial" w:eastAsia="Times New Roman" w:hAnsi="Arial" w:cs="Arial"/>
          <w:sz w:val="24"/>
          <w:szCs w:val="24"/>
          <w:lang w:eastAsia="es-ES"/>
        </w:rPr>
        <w:t>e</w:t>
      </w:r>
      <w:proofErr w:type="spellEnd"/>
      <w:r w:rsidRPr="00BF4097">
        <w:rPr>
          <w:rFonts w:ascii="Arial" w:eastAsia="Times New Roman" w:hAnsi="Arial" w:cs="Arial"/>
          <w:sz w:val="24"/>
          <w:szCs w:val="24"/>
          <w:lang w:eastAsia="es-ES"/>
        </w:rPr>
        <w:t xml:space="preserve"> la anterior previsión legislativa se desprende que al control jurisdiccional de los actos proferidos antes de la celebración del contrato, con ocasión de la actividad contractual, puede accederse mediante el ejercicio de las acciones de nulidad y de nulidad y restablecimiento del derecho, atendiendo para el efecto un término de caducidad de 30 días que se contabiliza a partir del día siguiente a aquel en que el acto se comunica, notifica o publica, según el caso.</w:t>
      </w:r>
    </w:p>
    <w:p w:rsidR="00F639AF" w:rsidRPr="00BF4097" w:rsidRDefault="00F639AF" w:rsidP="00BF4097">
      <w:pPr>
        <w:tabs>
          <w:tab w:val="left" w:pos="9047"/>
        </w:tabs>
        <w:spacing w:line="276" w:lineRule="auto"/>
        <w:jc w:val="both"/>
        <w:rPr>
          <w:rFonts w:ascii="Arial" w:eastAsia="Times New Roman" w:hAnsi="Arial" w:cs="Arial"/>
          <w:sz w:val="24"/>
          <w:szCs w:val="24"/>
          <w:lang w:eastAsia="es-ES"/>
        </w:rPr>
      </w:pPr>
    </w:p>
    <w:p w:rsidR="00F639AF" w:rsidRPr="00BF4097" w:rsidRDefault="00F639AF" w:rsidP="00BF4097">
      <w:pPr>
        <w:spacing w:line="276" w:lineRule="auto"/>
        <w:jc w:val="both"/>
        <w:rPr>
          <w:rFonts w:ascii="Arial" w:eastAsia="Times New Roman" w:hAnsi="Arial" w:cs="Arial"/>
          <w:sz w:val="24"/>
          <w:szCs w:val="24"/>
          <w:lang w:val="es-ES" w:eastAsia="es-ES"/>
        </w:rPr>
      </w:pPr>
      <w:r w:rsidRPr="00BF4097">
        <w:rPr>
          <w:rFonts w:ascii="Arial" w:eastAsia="Times New Roman" w:hAnsi="Arial" w:cs="Arial"/>
          <w:sz w:val="24"/>
          <w:szCs w:val="24"/>
          <w:lang w:val="es-ES" w:eastAsia="es-ES"/>
        </w:rPr>
        <w:t>Aunque la sociedad Squadra Ltda. señaló en el libelo que no puede considerarse que el acto que declara desierto el proceso licitatorio pueda considerarse como un acto previo que se haya expedido con ocasión de la actividad contractual, por cuanto en virtud del mismo el negocio jurídico no llega a celebrarse, lo cierto es que la Sala ha precisado que el término de 30 días para la caducidad de la acción de nulidad y restablecimiento del derecho si es aplicable a la declaratoria de licitación desierta. Se precisó:</w:t>
      </w:r>
    </w:p>
    <w:p w:rsidR="00F639AF" w:rsidRPr="00BF4097" w:rsidRDefault="00F639AF" w:rsidP="00BF4097">
      <w:pPr>
        <w:spacing w:line="276" w:lineRule="auto"/>
        <w:jc w:val="both"/>
        <w:rPr>
          <w:rFonts w:ascii="Arial" w:eastAsia="Times New Roman" w:hAnsi="Arial" w:cs="Arial"/>
          <w:sz w:val="24"/>
          <w:szCs w:val="24"/>
          <w:lang w:val="es-ES" w:eastAsia="es-ES"/>
        </w:rPr>
      </w:pPr>
    </w:p>
    <w:p w:rsidR="00F639AF" w:rsidRPr="00BF4097" w:rsidRDefault="00F639AF" w:rsidP="00BF4097">
      <w:pPr>
        <w:autoSpaceDE w:val="0"/>
        <w:autoSpaceDN w:val="0"/>
        <w:adjustRightInd w:val="0"/>
        <w:jc w:val="both"/>
        <w:rPr>
          <w:rFonts w:ascii="Arial" w:eastAsia="Times New Roman" w:hAnsi="Arial" w:cs="Arial"/>
          <w:i/>
          <w:sz w:val="24"/>
          <w:szCs w:val="24"/>
          <w:lang w:val="es-ES_tradnl" w:eastAsia="es-ES"/>
        </w:rPr>
      </w:pPr>
      <w:r w:rsidRPr="00BF4097">
        <w:rPr>
          <w:rFonts w:ascii="Arial" w:eastAsia="Times New Roman" w:hAnsi="Arial" w:cs="Arial"/>
          <w:i/>
          <w:sz w:val="24"/>
          <w:szCs w:val="24"/>
          <w:lang w:val="es-ES_tradnl" w:eastAsia="es-ES"/>
        </w:rPr>
        <w:t>Por lo tanto para la Sala no resulta acertada la interpretación del recurrente debido a que, como en reiteradas oportunidades se ha establecido</w:t>
      </w:r>
      <w:r w:rsidRPr="00BF4097">
        <w:rPr>
          <w:rFonts w:ascii="Arial" w:eastAsia="Times New Roman" w:hAnsi="Arial" w:cs="Arial"/>
          <w:i/>
          <w:sz w:val="24"/>
          <w:szCs w:val="24"/>
          <w:vertAlign w:val="superscript"/>
          <w:lang w:val="es-ES_tradnl" w:eastAsia="es-ES"/>
        </w:rPr>
        <w:footnoteReference w:id="7"/>
      </w:r>
      <w:r w:rsidRPr="00BF4097">
        <w:rPr>
          <w:rFonts w:ascii="Arial" w:eastAsia="Times New Roman" w:hAnsi="Arial" w:cs="Arial"/>
          <w:i/>
          <w:sz w:val="24"/>
          <w:szCs w:val="24"/>
          <w:lang w:val="es-ES_tradnl" w:eastAsia="es-ES"/>
        </w:rPr>
        <w:t xml:space="preserve">, la ley es clara en señalar que todos los actos precontractuales, que se expidan </w:t>
      </w:r>
      <w:r w:rsidRPr="00BF4097">
        <w:rPr>
          <w:rFonts w:ascii="Arial" w:eastAsia="Times New Roman" w:hAnsi="Arial" w:cs="Arial"/>
          <w:b/>
          <w:bCs/>
          <w:i/>
          <w:sz w:val="24"/>
          <w:szCs w:val="24"/>
          <w:lang w:val="es-ES_tradnl" w:eastAsia="es-ES"/>
        </w:rPr>
        <w:t>con ocasión de la actividad contractual</w:t>
      </w:r>
      <w:r w:rsidRPr="00BF4097">
        <w:rPr>
          <w:rFonts w:ascii="Arial" w:eastAsia="Times New Roman" w:hAnsi="Arial" w:cs="Arial"/>
          <w:i/>
          <w:sz w:val="24"/>
          <w:szCs w:val="24"/>
          <w:lang w:val="es-ES_tradnl" w:eastAsia="es-ES"/>
        </w:rPr>
        <w:t>, son susceptibles de ser atacados a través del ejercicio de la acción de nulidad y restablecimiento del derecho consagrada en el artículo 87 del C. C. A. cuyo término de caducidad es de 30 días.</w:t>
      </w:r>
    </w:p>
    <w:p w:rsidR="00F639AF" w:rsidRPr="00BF4097" w:rsidRDefault="00F639AF" w:rsidP="00BF4097">
      <w:pPr>
        <w:jc w:val="both"/>
        <w:rPr>
          <w:rFonts w:ascii="Arial" w:eastAsia="Times New Roman" w:hAnsi="Arial" w:cs="Arial"/>
          <w:i/>
          <w:sz w:val="24"/>
          <w:szCs w:val="24"/>
          <w:lang w:val="es-ES" w:eastAsia="es-ES"/>
        </w:rPr>
      </w:pPr>
    </w:p>
    <w:p w:rsidR="00F639AF" w:rsidRPr="00BF4097" w:rsidRDefault="00F639AF" w:rsidP="00BF4097">
      <w:pPr>
        <w:jc w:val="both"/>
        <w:rPr>
          <w:rFonts w:ascii="Arial" w:eastAsia="Times New Roman" w:hAnsi="Arial" w:cs="Arial"/>
          <w:i/>
          <w:sz w:val="24"/>
          <w:szCs w:val="24"/>
          <w:u w:val="single"/>
          <w:lang w:val="es-ES" w:eastAsia="es-ES"/>
        </w:rPr>
      </w:pPr>
      <w:r w:rsidRPr="00BF4097">
        <w:rPr>
          <w:rFonts w:ascii="Arial" w:eastAsia="Times New Roman" w:hAnsi="Arial" w:cs="Arial"/>
          <w:i/>
          <w:sz w:val="24"/>
          <w:szCs w:val="24"/>
          <w:u w:val="single"/>
          <w:lang w:val="es-ES" w:eastAsia="es-ES"/>
        </w:rPr>
        <w:t xml:space="preserve">Por consiguiente, el acto administrativo que declara desierta la licitación también es de aquellos expedidos con ocasión de la actividad contractual, pues por su naturaleza, uno de los efectos de esa decisión es truncar el proceso </w:t>
      </w:r>
      <w:r w:rsidRPr="00BF4097">
        <w:rPr>
          <w:rFonts w:ascii="Arial" w:eastAsia="Times New Roman" w:hAnsi="Arial" w:cs="Arial"/>
          <w:b/>
          <w:bCs/>
          <w:i/>
          <w:sz w:val="24"/>
          <w:szCs w:val="24"/>
          <w:u w:val="single"/>
          <w:lang w:val="es-ES" w:eastAsia="es-ES"/>
        </w:rPr>
        <w:t>contractual</w:t>
      </w:r>
      <w:r w:rsidRPr="00BF4097">
        <w:rPr>
          <w:rFonts w:ascii="Arial" w:eastAsia="Times New Roman" w:hAnsi="Arial" w:cs="Arial"/>
          <w:i/>
          <w:sz w:val="24"/>
          <w:szCs w:val="24"/>
          <w:u w:val="single"/>
          <w:lang w:val="es-ES" w:eastAsia="es-ES"/>
        </w:rPr>
        <w:t xml:space="preserve"> iniciado con anterioridad y por lo tanto sí es aplicable el inciso 2 del artículo 87 del C. C. A., razón por la cual la Sala modifica su tesis anterior, según la cual dicho acto solo era demandable en ejercicio de la acción de nulidad y restablecimiento del derecho, dentro del término de caducidad establecido en el artículo 136, numeral 2, es decir, de 4 meses.</w:t>
      </w:r>
    </w:p>
    <w:p w:rsidR="00F639AF" w:rsidRPr="00BF4097" w:rsidRDefault="00F639AF" w:rsidP="00BF4097">
      <w:pPr>
        <w:widowControl w:val="0"/>
        <w:autoSpaceDE w:val="0"/>
        <w:autoSpaceDN w:val="0"/>
        <w:adjustRightInd w:val="0"/>
        <w:jc w:val="both"/>
        <w:rPr>
          <w:rFonts w:ascii="Arial" w:eastAsia="Times New Roman" w:hAnsi="Arial" w:cs="Arial"/>
          <w:i/>
          <w:sz w:val="24"/>
          <w:szCs w:val="24"/>
          <w:lang w:val="es-ES" w:eastAsia="es-ES"/>
        </w:rPr>
      </w:pPr>
    </w:p>
    <w:p w:rsidR="00F639AF" w:rsidRPr="00BF4097" w:rsidRDefault="00F639AF" w:rsidP="00BF4097">
      <w:pPr>
        <w:widowControl w:val="0"/>
        <w:autoSpaceDE w:val="0"/>
        <w:autoSpaceDN w:val="0"/>
        <w:adjustRightInd w:val="0"/>
        <w:jc w:val="both"/>
        <w:rPr>
          <w:rFonts w:ascii="Arial" w:eastAsia="Times New Roman" w:hAnsi="Arial" w:cs="Arial"/>
          <w:i/>
          <w:sz w:val="24"/>
          <w:szCs w:val="24"/>
          <w:lang w:val="es-ES" w:eastAsia="es-ES"/>
        </w:rPr>
      </w:pPr>
      <w:r w:rsidRPr="00BF4097">
        <w:rPr>
          <w:rFonts w:ascii="Arial" w:eastAsia="Times New Roman" w:hAnsi="Arial" w:cs="Arial"/>
          <w:i/>
          <w:sz w:val="24"/>
          <w:szCs w:val="24"/>
          <w:lang w:val="es-ES" w:eastAsia="es-ES"/>
        </w:rPr>
        <w:t xml:space="preserve">En efecto, la posición anterior de la Sección Tercera aseveraba que el artículo 87 del C. C. A. solo era aplicable a los actos precontractuales relacionados con la actividad contractual y excluía al que declaraba desierta la licitación, a pesar de ser precontractual, porque dicho acto manifiesta la voluntad de la Administración de frustrar el procedimiento licitatorio o concursal, impidiendo la celebración del contrato, y por lo tanto no se profería con ocasión de la actividad contractual. </w:t>
      </w:r>
    </w:p>
    <w:p w:rsidR="00F639AF" w:rsidRPr="00BF4097" w:rsidRDefault="00F639AF" w:rsidP="00BF4097">
      <w:pPr>
        <w:widowControl w:val="0"/>
        <w:autoSpaceDE w:val="0"/>
        <w:autoSpaceDN w:val="0"/>
        <w:adjustRightInd w:val="0"/>
        <w:jc w:val="both"/>
        <w:rPr>
          <w:rFonts w:ascii="Arial" w:eastAsia="Times New Roman" w:hAnsi="Arial" w:cs="Arial"/>
          <w:i/>
          <w:sz w:val="24"/>
          <w:szCs w:val="24"/>
          <w:lang w:val="es-ES" w:eastAsia="es-ES"/>
        </w:rPr>
      </w:pPr>
    </w:p>
    <w:p w:rsidR="00F639AF" w:rsidRPr="00BF4097" w:rsidRDefault="00F639AF" w:rsidP="00BF4097">
      <w:pPr>
        <w:widowControl w:val="0"/>
        <w:autoSpaceDE w:val="0"/>
        <w:autoSpaceDN w:val="0"/>
        <w:adjustRightInd w:val="0"/>
        <w:jc w:val="both"/>
        <w:rPr>
          <w:rFonts w:ascii="Arial" w:eastAsia="Times New Roman" w:hAnsi="Arial" w:cs="Arial"/>
          <w:i/>
          <w:sz w:val="24"/>
          <w:szCs w:val="24"/>
          <w:lang w:val="es-ES" w:eastAsia="es-ES"/>
        </w:rPr>
      </w:pPr>
      <w:r w:rsidRPr="00BF4097">
        <w:rPr>
          <w:rFonts w:ascii="Arial" w:eastAsia="Times New Roman" w:hAnsi="Arial" w:cs="Arial"/>
          <w:i/>
          <w:sz w:val="24"/>
          <w:szCs w:val="24"/>
          <w:lang w:val="es-ES" w:eastAsia="es-ES"/>
        </w:rPr>
        <w:t xml:space="preserve">Para la Sala esa tesis resulta contraria al verdadero sentido de la ley, pues de la interpretación armónica de los artículos 24, 25 y 30 de la Ley 80 de 1993 y del artículo 87 del C. C. A., se evidencia que la intención del legislador no fue crear diversos términos de caducidad o acciones diferentes a la contractual para demandar los actos producidos durante la formación del contrato. </w:t>
      </w:r>
    </w:p>
    <w:p w:rsidR="00F639AF" w:rsidRPr="00BF4097" w:rsidRDefault="00F639AF" w:rsidP="00BF4097">
      <w:pPr>
        <w:widowControl w:val="0"/>
        <w:autoSpaceDE w:val="0"/>
        <w:autoSpaceDN w:val="0"/>
        <w:adjustRightInd w:val="0"/>
        <w:jc w:val="both"/>
        <w:rPr>
          <w:rFonts w:ascii="Arial" w:eastAsia="Times New Roman" w:hAnsi="Arial" w:cs="Arial"/>
          <w:i/>
          <w:sz w:val="24"/>
          <w:szCs w:val="24"/>
          <w:lang w:val="es-ES" w:eastAsia="es-ES"/>
        </w:rPr>
      </w:pPr>
    </w:p>
    <w:p w:rsidR="00F639AF" w:rsidRPr="00BF4097" w:rsidRDefault="00F639AF" w:rsidP="00BF4097">
      <w:pPr>
        <w:widowControl w:val="0"/>
        <w:autoSpaceDE w:val="0"/>
        <w:autoSpaceDN w:val="0"/>
        <w:adjustRightInd w:val="0"/>
        <w:jc w:val="both"/>
        <w:rPr>
          <w:rFonts w:ascii="Arial" w:eastAsia="Times New Roman" w:hAnsi="Arial" w:cs="Arial"/>
          <w:i/>
          <w:sz w:val="24"/>
          <w:szCs w:val="24"/>
          <w:lang w:val="es-ES" w:eastAsia="es-ES"/>
        </w:rPr>
      </w:pPr>
      <w:r w:rsidRPr="00BF4097">
        <w:rPr>
          <w:rFonts w:ascii="Arial" w:eastAsia="Times New Roman" w:hAnsi="Arial" w:cs="Arial"/>
          <w:i/>
          <w:sz w:val="24"/>
          <w:szCs w:val="24"/>
          <w:lang w:val="es-ES" w:eastAsia="es-ES"/>
        </w:rPr>
        <w:t xml:space="preserve">Si esto fuera así, el acto de adjudicación del contrato también tendría un término de caducidad diferente, pues el artículo 24 citado anteriormente lo incluye como aquellos expedidos durante la actividad contractual o con ocasión de ella de la misma forma en que trata el que declara desierto el proceso de escogencia. </w:t>
      </w:r>
    </w:p>
    <w:p w:rsidR="00F639AF" w:rsidRPr="00BF4097" w:rsidRDefault="00F639AF" w:rsidP="00BF4097">
      <w:pPr>
        <w:widowControl w:val="0"/>
        <w:autoSpaceDE w:val="0"/>
        <w:autoSpaceDN w:val="0"/>
        <w:adjustRightInd w:val="0"/>
        <w:jc w:val="both"/>
        <w:rPr>
          <w:rFonts w:ascii="Arial" w:eastAsia="Times New Roman" w:hAnsi="Arial" w:cs="Arial"/>
          <w:i/>
          <w:sz w:val="24"/>
          <w:szCs w:val="24"/>
          <w:lang w:val="es-ES" w:eastAsia="es-ES"/>
        </w:rPr>
      </w:pPr>
    </w:p>
    <w:p w:rsidR="00F639AF" w:rsidRPr="00BF4097" w:rsidRDefault="00F639AF" w:rsidP="00BF4097">
      <w:pPr>
        <w:widowControl w:val="0"/>
        <w:autoSpaceDE w:val="0"/>
        <w:autoSpaceDN w:val="0"/>
        <w:adjustRightInd w:val="0"/>
        <w:jc w:val="both"/>
        <w:rPr>
          <w:rFonts w:ascii="Arial" w:eastAsia="Times New Roman" w:hAnsi="Arial" w:cs="Arial"/>
          <w:i/>
          <w:sz w:val="24"/>
          <w:szCs w:val="24"/>
          <w:lang w:val="es-ES" w:eastAsia="es-ES"/>
        </w:rPr>
      </w:pPr>
      <w:r w:rsidRPr="00BF4097">
        <w:rPr>
          <w:rFonts w:ascii="Arial" w:eastAsia="Times New Roman" w:hAnsi="Arial" w:cs="Arial"/>
          <w:i/>
          <w:sz w:val="24"/>
          <w:szCs w:val="24"/>
          <w:lang w:val="es-ES" w:eastAsia="es-ES"/>
        </w:rPr>
        <w:t>Además es precisamente la actividad contractual la que da origen al acto de declaratoria de desierto de un proceso licitatorio o concursal pues si no fuera así, dicho acto no existiría toda vez que no habría lugar a su expedición porque qué se haría frustrar o finalizar?</w:t>
      </w:r>
    </w:p>
    <w:p w:rsidR="00F639AF" w:rsidRPr="00BF4097" w:rsidRDefault="00F639AF" w:rsidP="00BF4097">
      <w:pPr>
        <w:widowControl w:val="0"/>
        <w:autoSpaceDE w:val="0"/>
        <w:autoSpaceDN w:val="0"/>
        <w:adjustRightInd w:val="0"/>
        <w:jc w:val="both"/>
        <w:rPr>
          <w:rFonts w:ascii="Arial" w:eastAsia="Times New Roman" w:hAnsi="Arial" w:cs="Arial"/>
          <w:i/>
          <w:sz w:val="24"/>
          <w:szCs w:val="24"/>
          <w:lang w:val="es-ES" w:eastAsia="es-ES"/>
        </w:rPr>
      </w:pPr>
    </w:p>
    <w:p w:rsidR="00F639AF" w:rsidRPr="00BF4097" w:rsidRDefault="00F639AF" w:rsidP="00BF4097">
      <w:pPr>
        <w:widowControl w:val="0"/>
        <w:autoSpaceDE w:val="0"/>
        <w:autoSpaceDN w:val="0"/>
        <w:adjustRightInd w:val="0"/>
        <w:jc w:val="both"/>
        <w:rPr>
          <w:rFonts w:ascii="Arial" w:eastAsia="Times New Roman" w:hAnsi="Arial" w:cs="Arial"/>
          <w:i/>
          <w:sz w:val="24"/>
          <w:szCs w:val="24"/>
          <w:u w:val="single"/>
          <w:lang w:val="es-ES" w:eastAsia="es-ES"/>
        </w:rPr>
      </w:pPr>
      <w:r w:rsidRPr="00BF4097">
        <w:rPr>
          <w:rFonts w:ascii="Arial" w:eastAsia="Times New Roman" w:hAnsi="Arial" w:cs="Arial"/>
          <w:i/>
          <w:sz w:val="24"/>
          <w:szCs w:val="24"/>
          <w:u w:val="single"/>
          <w:lang w:val="es-ES" w:eastAsia="es-ES"/>
        </w:rPr>
        <w:t>Entonces, no existe una razón legal de la cual se deduzca que el acto que declara desierto el proceso licitatorio o concursal tenga un término de caducidad diferente al consagrado en el artículo 87 del C. C. A., toda vez que se trata de un acto expedido durante la actividad contractual y con ocasión de ella, que precisamente finaliza el proceso por las razones previstas en la ley 80 de 1993.</w:t>
      </w:r>
    </w:p>
    <w:p w:rsidR="00F639AF" w:rsidRPr="00BF4097" w:rsidRDefault="00F639AF" w:rsidP="00BF4097">
      <w:pPr>
        <w:jc w:val="both"/>
        <w:rPr>
          <w:rFonts w:ascii="Arial" w:eastAsia="Times New Roman" w:hAnsi="Arial" w:cs="Arial"/>
          <w:i/>
          <w:color w:val="000080"/>
          <w:sz w:val="24"/>
          <w:szCs w:val="24"/>
          <w:lang w:val="es-ES" w:eastAsia="es-ES"/>
        </w:rPr>
      </w:pPr>
    </w:p>
    <w:p w:rsidR="00F639AF" w:rsidRPr="00BF4097" w:rsidRDefault="00F639AF" w:rsidP="00BF4097">
      <w:pPr>
        <w:widowControl w:val="0"/>
        <w:autoSpaceDE w:val="0"/>
        <w:autoSpaceDN w:val="0"/>
        <w:adjustRightInd w:val="0"/>
        <w:jc w:val="both"/>
        <w:rPr>
          <w:rFonts w:ascii="Arial" w:eastAsia="Times New Roman" w:hAnsi="Arial" w:cs="Arial"/>
          <w:sz w:val="24"/>
          <w:szCs w:val="24"/>
          <w:lang w:val="es-ES" w:eastAsia="es-ES"/>
        </w:rPr>
      </w:pPr>
      <w:r w:rsidRPr="00BF4097">
        <w:rPr>
          <w:rFonts w:ascii="Arial" w:eastAsia="Times New Roman" w:hAnsi="Arial" w:cs="Arial"/>
          <w:i/>
          <w:sz w:val="24"/>
          <w:szCs w:val="24"/>
          <w:lang w:val="es-ES" w:eastAsia="es-ES"/>
        </w:rPr>
        <w:t>Por consiguiente, se analizará si la demanda que pretende la nulidad del acto de adjudicación de contrato se presentó dentro del término de caducidad de 30 días previsto en el artículo 87 del C. C. A.</w:t>
      </w:r>
      <w:r w:rsidRPr="00BF4097">
        <w:rPr>
          <w:rFonts w:ascii="Arial" w:eastAsia="Times New Roman" w:hAnsi="Arial" w:cs="Arial"/>
          <w:sz w:val="24"/>
          <w:szCs w:val="24"/>
          <w:vertAlign w:val="superscript"/>
          <w:lang w:val="es-ES" w:eastAsia="es-ES"/>
        </w:rPr>
        <w:t xml:space="preserve"> </w:t>
      </w:r>
      <w:r w:rsidRPr="00BF4097">
        <w:rPr>
          <w:rFonts w:ascii="Arial" w:eastAsia="Times New Roman" w:hAnsi="Arial" w:cs="Arial"/>
          <w:sz w:val="24"/>
          <w:szCs w:val="24"/>
          <w:vertAlign w:val="superscript"/>
          <w:lang w:val="es-ES" w:eastAsia="es-ES"/>
        </w:rPr>
        <w:footnoteReference w:id="8"/>
      </w:r>
      <w:r w:rsidRPr="00BF4097">
        <w:rPr>
          <w:rFonts w:ascii="Arial" w:eastAsia="Times New Roman" w:hAnsi="Arial" w:cs="Arial"/>
          <w:i/>
          <w:sz w:val="24"/>
          <w:szCs w:val="24"/>
          <w:lang w:val="es-ES" w:eastAsia="es-ES"/>
        </w:rPr>
        <w:t xml:space="preserve">  – </w:t>
      </w:r>
      <w:r w:rsidRPr="00BF4097">
        <w:rPr>
          <w:rFonts w:ascii="Arial" w:eastAsia="Times New Roman" w:hAnsi="Arial" w:cs="Arial"/>
          <w:sz w:val="24"/>
          <w:szCs w:val="24"/>
          <w:lang w:val="es-ES" w:eastAsia="es-ES"/>
        </w:rPr>
        <w:t>se destaca-.</w:t>
      </w:r>
    </w:p>
    <w:p w:rsidR="00F639AF" w:rsidRPr="00BF4097" w:rsidRDefault="00F639AF" w:rsidP="00BF4097">
      <w:pPr>
        <w:spacing w:line="276" w:lineRule="auto"/>
        <w:rPr>
          <w:rFonts w:ascii="Arial" w:eastAsia="Times New Roman" w:hAnsi="Arial" w:cs="Arial"/>
          <w:sz w:val="24"/>
          <w:szCs w:val="24"/>
          <w:lang w:val="es-ES" w:eastAsia="es-ES"/>
        </w:rPr>
      </w:pPr>
    </w:p>
    <w:p w:rsidR="00F639AF" w:rsidRPr="00BF4097" w:rsidRDefault="00F639AF" w:rsidP="00BF4097">
      <w:pPr>
        <w:overflowPunct w:val="0"/>
        <w:autoSpaceDE w:val="0"/>
        <w:autoSpaceDN w:val="0"/>
        <w:adjustRightInd w:val="0"/>
        <w:spacing w:line="276" w:lineRule="auto"/>
        <w:jc w:val="both"/>
        <w:rPr>
          <w:rFonts w:ascii="Arial" w:eastAsia="Times New Roman" w:hAnsi="Arial" w:cs="Arial"/>
          <w:sz w:val="24"/>
          <w:szCs w:val="24"/>
          <w:lang w:val="es-ES" w:eastAsia="es-ES"/>
        </w:rPr>
      </w:pPr>
      <w:r w:rsidRPr="00BF4097">
        <w:rPr>
          <w:rFonts w:ascii="Arial" w:eastAsia="Times New Roman" w:hAnsi="Arial" w:cs="Arial"/>
          <w:sz w:val="24"/>
          <w:szCs w:val="24"/>
          <w:lang w:val="es-ES" w:eastAsia="es-ES"/>
        </w:rPr>
        <w:t xml:space="preserve">En el caso </w:t>
      </w:r>
      <w:r w:rsidRPr="00BF4097">
        <w:rPr>
          <w:rFonts w:ascii="Arial" w:eastAsia="Times New Roman" w:hAnsi="Arial" w:cs="Arial"/>
          <w:i/>
          <w:sz w:val="24"/>
          <w:szCs w:val="24"/>
          <w:lang w:val="es-ES" w:eastAsia="es-ES"/>
        </w:rPr>
        <w:t>sub exámine</w:t>
      </w:r>
      <w:r w:rsidRPr="00BF4097">
        <w:rPr>
          <w:rFonts w:ascii="Arial" w:eastAsia="Times New Roman" w:hAnsi="Arial" w:cs="Arial"/>
          <w:sz w:val="24"/>
          <w:szCs w:val="24"/>
          <w:lang w:val="es-ES" w:eastAsia="es-ES"/>
        </w:rPr>
        <w:t xml:space="preserve"> como la resolución nº. 272 de 2004, la cual se notificó a los oferentes en la reanudación de la audiencia pública de adjudicación, llevada a cabo el 30 de junio de 2004 (fol. 7 c. 1, </w:t>
      </w:r>
      <w:proofErr w:type="spellStart"/>
      <w:r w:rsidRPr="00BF4097">
        <w:rPr>
          <w:rFonts w:ascii="Arial" w:eastAsia="Times New Roman" w:hAnsi="Arial" w:cs="Arial"/>
          <w:sz w:val="24"/>
          <w:szCs w:val="24"/>
          <w:lang w:val="es-ES" w:eastAsia="es-ES"/>
        </w:rPr>
        <w:t>exp</w:t>
      </w:r>
      <w:proofErr w:type="spellEnd"/>
      <w:r w:rsidRPr="00BF4097">
        <w:rPr>
          <w:rFonts w:ascii="Arial" w:eastAsia="Times New Roman" w:hAnsi="Arial" w:cs="Arial"/>
          <w:sz w:val="24"/>
          <w:szCs w:val="24"/>
          <w:lang w:val="es-ES" w:eastAsia="es-ES"/>
        </w:rPr>
        <w:t>. 2004-01700)</w:t>
      </w:r>
      <w:r w:rsidRPr="00BF4097">
        <w:rPr>
          <w:rFonts w:ascii="Arial" w:eastAsia="Times New Roman" w:hAnsi="Arial" w:cs="Arial"/>
          <w:sz w:val="24"/>
          <w:szCs w:val="24"/>
          <w:vertAlign w:val="superscript"/>
          <w:lang w:val="es-ES" w:eastAsia="es-ES"/>
        </w:rPr>
        <w:footnoteReference w:id="9"/>
      </w:r>
      <w:r w:rsidRPr="00BF4097">
        <w:rPr>
          <w:rFonts w:ascii="Arial" w:eastAsia="Times New Roman" w:hAnsi="Arial" w:cs="Arial"/>
          <w:sz w:val="24"/>
          <w:szCs w:val="24"/>
          <w:lang w:val="es-ES" w:eastAsia="es-ES"/>
        </w:rPr>
        <w:t xml:space="preserve">, se impone concluir que, en cuanto la demanda se presentó el </w:t>
      </w:r>
      <w:r w:rsidRPr="00BF4097">
        <w:rPr>
          <w:rFonts w:ascii="Arial" w:eastAsia="Times New Roman" w:hAnsi="Arial" w:cs="Arial"/>
          <w:sz w:val="24"/>
          <w:szCs w:val="24"/>
          <w:lang w:val="es-ES"/>
        </w:rPr>
        <w:t>29 de octubre de 2004</w:t>
      </w:r>
      <w:r w:rsidRPr="00BF4097">
        <w:rPr>
          <w:rFonts w:ascii="Arial" w:eastAsia="Times New Roman" w:hAnsi="Arial" w:cs="Arial"/>
          <w:sz w:val="24"/>
          <w:szCs w:val="24"/>
          <w:lang w:val="es-ES" w:eastAsia="es-ES"/>
        </w:rPr>
        <w:t>, que la firma Squadra Ltda. ejerció extemporáneamente la acción de nulidad y restablecimiento del derecho, toda vez que la oportunidad feneció el 13 de agosto siguiente, treinta días después de que fue notificada</w:t>
      </w:r>
      <w:r w:rsidRPr="00BF4097">
        <w:rPr>
          <w:rFonts w:ascii="Arial" w:eastAsia="Times New Roman" w:hAnsi="Arial" w:cs="Arial"/>
          <w:sz w:val="24"/>
          <w:szCs w:val="24"/>
          <w:vertAlign w:val="superscript"/>
          <w:lang w:val="es-ES" w:eastAsia="es-ES"/>
        </w:rPr>
        <w:footnoteReference w:id="10"/>
      </w:r>
      <w:r w:rsidRPr="00BF4097">
        <w:rPr>
          <w:rFonts w:ascii="Arial" w:eastAsia="Times New Roman" w:hAnsi="Arial" w:cs="Arial"/>
          <w:sz w:val="24"/>
          <w:szCs w:val="24"/>
          <w:lang w:val="es-ES" w:eastAsia="es-ES"/>
        </w:rPr>
        <w:t>.</w:t>
      </w:r>
    </w:p>
    <w:p w:rsidR="00F639AF" w:rsidRPr="00BF4097" w:rsidRDefault="00F639AF" w:rsidP="00BF4097">
      <w:pPr>
        <w:tabs>
          <w:tab w:val="left" w:pos="1134"/>
        </w:tabs>
        <w:spacing w:line="276" w:lineRule="auto"/>
        <w:contextualSpacing/>
        <w:jc w:val="both"/>
        <w:rPr>
          <w:rFonts w:ascii="Arial" w:eastAsia="Times New Roman" w:hAnsi="Arial" w:cs="Arial"/>
          <w:iCs/>
          <w:sz w:val="24"/>
          <w:szCs w:val="24"/>
          <w:lang w:val="es-ES" w:eastAsia="es-ES"/>
        </w:rPr>
      </w:pPr>
      <w:r w:rsidRPr="00BF4097">
        <w:rPr>
          <w:rFonts w:ascii="Arial" w:eastAsia="Times New Roman" w:hAnsi="Arial" w:cs="Arial"/>
          <w:iCs/>
          <w:sz w:val="24"/>
          <w:szCs w:val="24"/>
          <w:lang w:val="es-ES" w:eastAsia="es-ES"/>
        </w:rPr>
        <w:t>En consecuencia, y dado que efectivamente operó la caducidad en el expediente objeto del recurso de apelación, la Sala negará las pretensiones de la demanda</w:t>
      </w:r>
      <w:r w:rsidRPr="00BF4097">
        <w:rPr>
          <w:rFonts w:ascii="Arial" w:eastAsia="Times New Roman" w:hAnsi="Arial" w:cs="Arial"/>
          <w:iCs/>
          <w:sz w:val="24"/>
          <w:szCs w:val="24"/>
          <w:vertAlign w:val="superscript"/>
          <w:lang w:val="es-ES" w:eastAsia="es-ES"/>
        </w:rPr>
        <w:footnoteReference w:id="11"/>
      </w:r>
      <w:r w:rsidRPr="00BF4097">
        <w:rPr>
          <w:rFonts w:ascii="Arial" w:eastAsia="Times New Roman" w:hAnsi="Arial" w:cs="Arial"/>
          <w:iCs/>
          <w:sz w:val="24"/>
          <w:szCs w:val="24"/>
          <w:lang w:val="es-ES" w:eastAsia="es-ES"/>
        </w:rPr>
        <w:t>.</w:t>
      </w:r>
    </w:p>
    <w:p w:rsidR="00F639AF" w:rsidRPr="00BF4097" w:rsidRDefault="00F639AF" w:rsidP="00BF4097">
      <w:pPr>
        <w:tabs>
          <w:tab w:val="left" w:pos="1134"/>
        </w:tabs>
        <w:spacing w:line="276" w:lineRule="auto"/>
        <w:contextualSpacing/>
        <w:jc w:val="both"/>
        <w:rPr>
          <w:rFonts w:ascii="Arial" w:eastAsia="Times New Roman" w:hAnsi="Arial" w:cs="Arial"/>
          <w:i/>
          <w:iCs/>
          <w:sz w:val="24"/>
          <w:szCs w:val="24"/>
          <w:lang w:val="es-ES" w:eastAsia="es-ES"/>
        </w:rPr>
      </w:pPr>
    </w:p>
    <w:p w:rsidR="00F639AF" w:rsidRPr="00BF4097" w:rsidRDefault="00F639AF" w:rsidP="00BF4097">
      <w:pPr>
        <w:widowControl w:val="0"/>
        <w:numPr>
          <w:ilvl w:val="0"/>
          <w:numId w:val="30"/>
        </w:numPr>
        <w:tabs>
          <w:tab w:val="left" w:pos="142"/>
        </w:tabs>
        <w:overflowPunct w:val="0"/>
        <w:adjustRightInd w:val="0"/>
        <w:spacing w:line="276" w:lineRule="auto"/>
        <w:ind w:left="0" w:firstLine="0"/>
        <w:contextualSpacing/>
        <w:jc w:val="both"/>
        <w:rPr>
          <w:rFonts w:ascii="Arial" w:eastAsia="Times New Roman" w:hAnsi="Arial" w:cs="Arial"/>
          <w:kern w:val="28"/>
          <w:sz w:val="24"/>
          <w:szCs w:val="24"/>
          <w:lang w:val="es-ES" w:eastAsia="es-CO"/>
        </w:rPr>
      </w:pPr>
      <w:r w:rsidRPr="00BF4097">
        <w:rPr>
          <w:rFonts w:ascii="Arial" w:eastAsia="Times New Roman" w:hAnsi="Arial" w:cs="Arial"/>
          <w:b/>
          <w:kern w:val="28"/>
          <w:sz w:val="24"/>
          <w:szCs w:val="24"/>
          <w:lang w:val="es-ES" w:eastAsia="es-CO"/>
        </w:rPr>
        <w:t>Costas</w:t>
      </w:r>
    </w:p>
    <w:p w:rsidR="00F639AF" w:rsidRPr="00BF4097" w:rsidRDefault="00F639AF" w:rsidP="00BF4097">
      <w:pPr>
        <w:overflowPunct w:val="0"/>
        <w:autoSpaceDE w:val="0"/>
        <w:autoSpaceDN w:val="0"/>
        <w:adjustRightInd w:val="0"/>
        <w:spacing w:line="276" w:lineRule="auto"/>
        <w:jc w:val="both"/>
        <w:textAlignment w:val="baseline"/>
        <w:rPr>
          <w:rFonts w:ascii="Arial" w:eastAsia="Arial Unicode MS" w:hAnsi="Arial" w:cs="Arial"/>
          <w:sz w:val="24"/>
          <w:szCs w:val="24"/>
          <w:lang w:val="es-ES_tradnl" w:eastAsia="es-ES"/>
        </w:rPr>
      </w:pPr>
    </w:p>
    <w:p w:rsidR="00F639AF" w:rsidRPr="00BF4097" w:rsidRDefault="00F639AF" w:rsidP="00BF4097">
      <w:pPr>
        <w:overflowPunct w:val="0"/>
        <w:autoSpaceDE w:val="0"/>
        <w:autoSpaceDN w:val="0"/>
        <w:adjustRightInd w:val="0"/>
        <w:spacing w:line="276" w:lineRule="auto"/>
        <w:jc w:val="both"/>
        <w:textAlignment w:val="baseline"/>
        <w:rPr>
          <w:rFonts w:ascii="Arial" w:eastAsia="Arial Unicode MS" w:hAnsi="Arial" w:cs="Arial"/>
          <w:sz w:val="24"/>
          <w:szCs w:val="24"/>
          <w:lang w:val="es-ES_tradnl" w:eastAsia="es-ES"/>
        </w:rPr>
      </w:pPr>
      <w:r w:rsidRPr="00BF4097">
        <w:rPr>
          <w:rFonts w:ascii="Arial" w:eastAsia="Arial Unicode MS" w:hAnsi="Arial" w:cs="Arial"/>
          <w:sz w:val="24"/>
          <w:szCs w:val="24"/>
          <w:lang w:val="es-ES_tradnl" w:eastAsia="es-ES"/>
        </w:rPr>
        <w:t xml:space="preserve">En atención al artículo 55 de la Ley 446 de 1998, comoquiera que no se advierte temeridad en la actuación de las partes, no hay lugar a la imposición de costas. </w:t>
      </w: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r w:rsidRPr="00BF4097">
        <w:rPr>
          <w:rFonts w:ascii="Arial" w:eastAsia="Times New Roman" w:hAnsi="Arial" w:cs="Arial"/>
          <w:sz w:val="24"/>
          <w:szCs w:val="24"/>
          <w:lang w:val="es-ES" w:eastAsia="es-ES"/>
        </w:rPr>
        <w:t>En mérito de lo expuesto, el Consejo de Estado, Sala de lo Contencioso Administrativo, Sección Tercera, administrando justicia en nombre de la República de Colo</w:t>
      </w:r>
      <w:r w:rsidR="008C3275">
        <w:rPr>
          <w:rFonts w:ascii="Arial" w:eastAsia="Times New Roman" w:hAnsi="Arial" w:cs="Arial"/>
          <w:sz w:val="24"/>
          <w:szCs w:val="24"/>
          <w:lang w:val="es-ES" w:eastAsia="es-ES"/>
        </w:rPr>
        <w:t>mbia y por autoridad de la ley,</w:t>
      </w: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p>
    <w:p w:rsidR="00F639AF" w:rsidRPr="00BF4097" w:rsidRDefault="00F639AF" w:rsidP="00BF4097">
      <w:pPr>
        <w:keepNext/>
        <w:tabs>
          <w:tab w:val="left" w:pos="142"/>
        </w:tabs>
        <w:spacing w:line="276" w:lineRule="auto"/>
        <w:jc w:val="center"/>
        <w:rPr>
          <w:rFonts w:ascii="Arial" w:eastAsia="Times New Roman" w:hAnsi="Arial" w:cs="Arial"/>
          <w:b/>
          <w:bCs/>
          <w:sz w:val="24"/>
          <w:szCs w:val="24"/>
          <w:lang w:val="es-ES" w:eastAsia="es-ES"/>
        </w:rPr>
      </w:pPr>
      <w:r w:rsidRPr="00BF4097">
        <w:rPr>
          <w:rFonts w:ascii="Arial" w:eastAsia="Times New Roman" w:hAnsi="Arial" w:cs="Arial"/>
          <w:b/>
          <w:bCs/>
          <w:sz w:val="24"/>
          <w:szCs w:val="24"/>
          <w:lang w:val="es-ES" w:eastAsia="es-ES"/>
        </w:rPr>
        <w:t>FALLA:</w:t>
      </w:r>
    </w:p>
    <w:p w:rsidR="00F639AF" w:rsidRPr="00BF4097" w:rsidRDefault="00F639AF" w:rsidP="00BF4097">
      <w:pPr>
        <w:keepNext/>
        <w:tabs>
          <w:tab w:val="left" w:pos="142"/>
        </w:tabs>
        <w:spacing w:line="276" w:lineRule="auto"/>
        <w:jc w:val="center"/>
        <w:rPr>
          <w:rFonts w:ascii="Arial" w:eastAsia="Times New Roman" w:hAnsi="Arial" w:cs="Arial"/>
          <w:b/>
          <w:bCs/>
          <w:sz w:val="24"/>
          <w:szCs w:val="24"/>
          <w:lang w:val="es-ES" w:eastAsia="es-ES"/>
        </w:rPr>
      </w:pP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r w:rsidRPr="00BF4097">
        <w:rPr>
          <w:rFonts w:ascii="Arial" w:eastAsia="Times New Roman" w:hAnsi="Arial" w:cs="Arial"/>
          <w:b/>
          <w:sz w:val="24"/>
          <w:szCs w:val="24"/>
          <w:lang w:val="es-ES" w:eastAsia="es-ES"/>
        </w:rPr>
        <w:t xml:space="preserve">MODIFICAR </w:t>
      </w:r>
      <w:r w:rsidRPr="00BF4097">
        <w:rPr>
          <w:rFonts w:ascii="Arial" w:eastAsia="Times New Roman" w:hAnsi="Arial" w:cs="Arial"/>
          <w:sz w:val="24"/>
          <w:szCs w:val="24"/>
          <w:lang w:val="es-ES" w:eastAsia="es-ES"/>
        </w:rPr>
        <w:t>la sentencia de 22 de marzo de 2006, proferida por la Subsección B de la Sección Tercera del Tribunal Administrativo de Cundinamarca, la cual quedará así:</w:t>
      </w:r>
    </w:p>
    <w:p w:rsidR="00F639AF" w:rsidRPr="00BF4097" w:rsidRDefault="00F639AF" w:rsidP="00BF4097">
      <w:pPr>
        <w:tabs>
          <w:tab w:val="left" w:pos="142"/>
        </w:tabs>
        <w:spacing w:line="276" w:lineRule="auto"/>
        <w:jc w:val="both"/>
        <w:rPr>
          <w:rFonts w:ascii="Arial" w:eastAsia="Times New Roman" w:hAnsi="Arial" w:cs="Arial"/>
          <w:b/>
          <w:sz w:val="24"/>
          <w:szCs w:val="24"/>
          <w:lang w:val="es-ES" w:eastAsia="es-ES"/>
        </w:rPr>
      </w:pP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r w:rsidRPr="00BF4097">
        <w:rPr>
          <w:rFonts w:ascii="Arial" w:eastAsia="Times New Roman" w:hAnsi="Arial" w:cs="Arial"/>
          <w:b/>
          <w:sz w:val="24"/>
          <w:szCs w:val="24"/>
          <w:lang w:val="es-ES" w:eastAsia="es-ES"/>
        </w:rPr>
        <w:t>PRIMERO: DECLARAR</w:t>
      </w:r>
      <w:r w:rsidRPr="00BF4097">
        <w:rPr>
          <w:rFonts w:ascii="Arial" w:eastAsia="Times New Roman" w:hAnsi="Arial" w:cs="Arial"/>
          <w:sz w:val="24"/>
          <w:szCs w:val="24"/>
          <w:lang w:val="es-ES" w:eastAsia="es-ES"/>
        </w:rPr>
        <w:t xml:space="preserve"> probada, de oficio, la excepción de caducidad de la acción de nulidad y restablecimiento del derecho presentada por la sociedad Squadra Ltda., tramitada en el expediente de radicación 2004 -02423.</w:t>
      </w: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r w:rsidRPr="00BF4097">
        <w:rPr>
          <w:rFonts w:ascii="Arial" w:eastAsia="Times New Roman" w:hAnsi="Arial" w:cs="Arial"/>
          <w:b/>
          <w:sz w:val="24"/>
          <w:szCs w:val="24"/>
          <w:lang w:val="es-ES" w:eastAsia="es-ES"/>
        </w:rPr>
        <w:t xml:space="preserve">SEGUNDO: NEGAR </w:t>
      </w:r>
      <w:r w:rsidRPr="00BF4097">
        <w:rPr>
          <w:rFonts w:ascii="Arial" w:eastAsia="Times New Roman" w:hAnsi="Arial" w:cs="Arial"/>
          <w:sz w:val="24"/>
          <w:szCs w:val="24"/>
          <w:lang w:val="es-ES" w:eastAsia="es-ES"/>
        </w:rPr>
        <w:t>las pretensiones de las demandas acumuladas.</w:t>
      </w: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r w:rsidRPr="00BF4097">
        <w:rPr>
          <w:rFonts w:ascii="Arial" w:eastAsia="Times New Roman" w:hAnsi="Arial" w:cs="Arial"/>
          <w:b/>
          <w:sz w:val="24"/>
          <w:szCs w:val="24"/>
          <w:lang w:val="es-ES" w:eastAsia="es-ES"/>
        </w:rPr>
        <w:t xml:space="preserve">TERCERO: </w:t>
      </w:r>
      <w:r w:rsidRPr="00BF4097">
        <w:rPr>
          <w:rFonts w:ascii="Arial" w:eastAsia="Times New Roman" w:hAnsi="Arial" w:cs="Arial"/>
          <w:sz w:val="24"/>
          <w:szCs w:val="24"/>
          <w:lang w:val="es-ES" w:eastAsia="es-ES"/>
        </w:rPr>
        <w:t>Sin condena en costas.</w:t>
      </w: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p>
    <w:p w:rsidR="00F639AF" w:rsidRPr="00BF4097" w:rsidRDefault="00F639AF" w:rsidP="00BF4097">
      <w:pPr>
        <w:tabs>
          <w:tab w:val="left" w:pos="142"/>
        </w:tabs>
        <w:spacing w:line="276" w:lineRule="auto"/>
        <w:jc w:val="both"/>
        <w:rPr>
          <w:rFonts w:ascii="Arial" w:eastAsia="Times New Roman" w:hAnsi="Arial" w:cs="Arial"/>
          <w:sz w:val="24"/>
          <w:szCs w:val="24"/>
          <w:lang w:val="es-ES" w:eastAsia="es-ES"/>
        </w:rPr>
      </w:pPr>
      <w:r w:rsidRPr="00BF4097">
        <w:rPr>
          <w:rFonts w:ascii="Arial" w:eastAsia="Times New Roman" w:hAnsi="Arial" w:cs="Arial"/>
          <w:b/>
          <w:sz w:val="24"/>
          <w:szCs w:val="24"/>
          <w:lang w:val="es-ES" w:eastAsia="es-ES"/>
        </w:rPr>
        <w:t xml:space="preserve">CUARTO: </w:t>
      </w:r>
      <w:r w:rsidRPr="00BF4097">
        <w:rPr>
          <w:rFonts w:ascii="Arial" w:eastAsia="Times New Roman" w:hAnsi="Arial" w:cs="Arial"/>
          <w:sz w:val="24"/>
          <w:szCs w:val="24"/>
          <w:lang w:val="es-ES" w:eastAsia="es-ES"/>
        </w:rPr>
        <w:t xml:space="preserve">En firme este fallo, </w:t>
      </w:r>
      <w:r w:rsidRPr="00BF4097">
        <w:rPr>
          <w:rFonts w:ascii="Arial" w:eastAsia="Times New Roman" w:hAnsi="Arial" w:cs="Arial"/>
          <w:b/>
          <w:sz w:val="24"/>
          <w:szCs w:val="24"/>
          <w:lang w:val="es-ES" w:eastAsia="es-ES"/>
        </w:rPr>
        <w:t xml:space="preserve">DEVUÉLVASE </w:t>
      </w:r>
      <w:r w:rsidRPr="00BF4097">
        <w:rPr>
          <w:rFonts w:ascii="Arial" w:eastAsia="Times New Roman" w:hAnsi="Arial" w:cs="Arial"/>
          <w:sz w:val="24"/>
          <w:szCs w:val="24"/>
          <w:lang w:val="es-ES" w:eastAsia="es-ES"/>
        </w:rPr>
        <w:t>el expediente al tribunal de origen para lo de su cargo y expídanse a las parte las copias auténticas con las constancias de que trata el artículo 115 del Código de Procedimiento Civil.</w:t>
      </w:r>
    </w:p>
    <w:p w:rsidR="00F639AF" w:rsidRPr="00BF4097" w:rsidRDefault="00F639AF" w:rsidP="00BF4097">
      <w:pPr>
        <w:tabs>
          <w:tab w:val="left" w:pos="142"/>
        </w:tabs>
        <w:spacing w:line="276" w:lineRule="auto"/>
        <w:rPr>
          <w:rFonts w:ascii="Arial" w:eastAsia="Times New Roman" w:hAnsi="Arial" w:cs="Arial"/>
          <w:sz w:val="24"/>
          <w:szCs w:val="24"/>
          <w:lang w:val="es-ES" w:eastAsia="es-ES"/>
        </w:rPr>
      </w:pPr>
    </w:p>
    <w:p w:rsidR="00F639AF" w:rsidRPr="00BF4097" w:rsidRDefault="00F639AF" w:rsidP="00BF4097">
      <w:pPr>
        <w:autoSpaceDE w:val="0"/>
        <w:autoSpaceDN w:val="0"/>
        <w:adjustRightInd w:val="0"/>
        <w:spacing w:line="276" w:lineRule="auto"/>
        <w:contextualSpacing/>
        <w:jc w:val="both"/>
        <w:rPr>
          <w:rFonts w:ascii="Arial" w:eastAsia="Times New Roman" w:hAnsi="Arial" w:cs="Arial"/>
          <w:b/>
          <w:sz w:val="24"/>
          <w:szCs w:val="24"/>
          <w:lang w:val="es-ES_tradnl" w:eastAsia="es-ES"/>
        </w:rPr>
      </w:pPr>
      <w:r w:rsidRPr="00BF4097">
        <w:rPr>
          <w:rFonts w:ascii="Arial" w:eastAsia="Times New Roman" w:hAnsi="Arial" w:cs="Arial"/>
          <w:b/>
          <w:sz w:val="24"/>
          <w:szCs w:val="24"/>
          <w:lang w:val="es-ES_tradnl" w:eastAsia="es-ES"/>
        </w:rPr>
        <w:t>CÓPIESE, NOTIFÍQUESE y CÚMPLASE</w:t>
      </w:r>
    </w:p>
    <w:p w:rsidR="00F639AF" w:rsidRPr="00BF4097" w:rsidRDefault="00F639AF" w:rsidP="00BF4097">
      <w:pPr>
        <w:tabs>
          <w:tab w:val="left" w:pos="142"/>
        </w:tabs>
        <w:spacing w:line="276" w:lineRule="auto"/>
        <w:rPr>
          <w:rFonts w:ascii="Arial" w:eastAsia="Times New Roman" w:hAnsi="Arial" w:cs="Arial"/>
          <w:sz w:val="24"/>
          <w:szCs w:val="24"/>
          <w:lang w:val="es-ES" w:eastAsia="es-ES"/>
        </w:rPr>
      </w:pPr>
    </w:p>
    <w:p w:rsidR="00F639AF" w:rsidRPr="00BF4097" w:rsidRDefault="00F639AF" w:rsidP="0003516C">
      <w:pPr>
        <w:tabs>
          <w:tab w:val="left" w:pos="142"/>
        </w:tabs>
        <w:spacing w:line="276" w:lineRule="auto"/>
        <w:jc w:val="center"/>
        <w:rPr>
          <w:rFonts w:ascii="Arial" w:eastAsia="Times New Roman" w:hAnsi="Arial" w:cs="Arial"/>
          <w:sz w:val="24"/>
          <w:szCs w:val="24"/>
          <w:lang w:val="es-ES" w:eastAsia="es-ES"/>
        </w:rPr>
      </w:pPr>
    </w:p>
    <w:p w:rsidR="00F639AF" w:rsidRPr="00BF4097" w:rsidRDefault="00F639AF" w:rsidP="0003516C">
      <w:pPr>
        <w:tabs>
          <w:tab w:val="left" w:pos="142"/>
        </w:tabs>
        <w:spacing w:line="276" w:lineRule="auto"/>
        <w:jc w:val="center"/>
        <w:rPr>
          <w:rFonts w:ascii="Arial" w:eastAsia="Times New Roman" w:hAnsi="Arial" w:cs="Arial"/>
          <w:sz w:val="24"/>
          <w:szCs w:val="24"/>
          <w:lang w:val="es-ES" w:eastAsia="es-ES"/>
        </w:rPr>
      </w:pPr>
    </w:p>
    <w:p w:rsidR="00F639AF" w:rsidRPr="00BF4097" w:rsidRDefault="00F639AF" w:rsidP="0003516C">
      <w:pPr>
        <w:tabs>
          <w:tab w:val="left" w:pos="142"/>
        </w:tabs>
        <w:spacing w:line="276" w:lineRule="auto"/>
        <w:jc w:val="center"/>
        <w:rPr>
          <w:rFonts w:ascii="Arial" w:eastAsia="Times New Roman" w:hAnsi="Arial" w:cs="Arial"/>
          <w:sz w:val="24"/>
          <w:szCs w:val="24"/>
          <w:lang w:val="es-ES" w:eastAsia="es-ES"/>
        </w:rPr>
      </w:pPr>
    </w:p>
    <w:p w:rsidR="00F639AF" w:rsidRPr="00BF4097" w:rsidRDefault="00F639AF" w:rsidP="0003516C">
      <w:pPr>
        <w:spacing w:line="276" w:lineRule="auto"/>
        <w:contextualSpacing/>
        <w:jc w:val="center"/>
        <w:rPr>
          <w:rFonts w:ascii="Arial" w:eastAsia="Times New Roman" w:hAnsi="Arial" w:cs="Arial"/>
          <w:b/>
          <w:bCs/>
          <w:sz w:val="24"/>
          <w:szCs w:val="24"/>
          <w:lang w:val="es-ES" w:eastAsia="es-ES"/>
        </w:rPr>
      </w:pPr>
      <w:r w:rsidRPr="00BF4097">
        <w:rPr>
          <w:rFonts w:ascii="Arial" w:eastAsia="Times New Roman" w:hAnsi="Arial" w:cs="Arial"/>
          <w:b/>
          <w:bCs/>
          <w:sz w:val="24"/>
          <w:szCs w:val="24"/>
          <w:lang w:val="es-ES" w:eastAsia="es-ES"/>
        </w:rPr>
        <w:t>STELLA CONTO DÍAZ DEL CASTILLO</w:t>
      </w:r>
    </w:p>
    <w:p w:rsidR="00F639AF" w:rsidRPr="00BF4097" w:rsidRDefault="00F639AF" w:rsidP="0003516C">
      <w:pPr>
        <w:spacing w:line="276" w:lineRule="auto"/>
        <w:contextualSpacing/>
        <w:jc w:val="center"/>
        <w:rPr>
          <w:rFonts w:ascii="Arial" w:eastAsia="Times New Roman" w:hAnsi="Arial" w:cs="Arial"/>
          <w:b/>
          <w:sz w:val="24"/>
          <w:szCs w:val="24"/>
          <w:lang w:val="es-ES" w:eastAsia="es-ES"/>
        </w:rPr>
      </w:pPr>
      <w:r w:rsidRPr="00BF4097">
        <w:rPr>
          <w:rFonts w:ascii="Arial" w:eastAsia="Times New Roman" w:hAnsi="Arial" w:cs="Arial"/>
          <w:sz w:val="24"/>
          <w:szCs w:val="24"/>
          <w:lang w:val="es-ES" w:eastAsia="es-ES"/>
        </w:rPr>
        <w:t>Presidenta</w:t>
      </w:r>
    </w:p>
    <w:p w:rsidR="00F639AF" w:rsidRPr="00BF4097" w:rsidRDefault="00F639AF" w:rsidP="0003516C">
      <w:pPr>
        <w:spacing w:line="276" w:lineRule="auto"/>
        <w:contextualSpacing/>
        <w:jc w:val="center"/>
        <w:rPr>
          <w:rFonts w:ascii="Arial" w:eastAsia="Times New Roman" w:hAnsi="Arial" w:cs="Arial"/>
          <w:sz w:val="24"/>
          <w:szCs w:val="24"/>
          <w:lang w:val="es-ES" w:eastAsia="es-ES"/>
        </w:rPr>
      </w:pPr>
    </w:p>
    <w:p w:rsidR="00F639AF" w:rsidRPr="00BF4097" w:rsidRDefault="00F639AF" w:rsidP="0003516C">
      <w:pPr>
        <w:spacing w:line="276" w:lineRule="auto"/>
        <w:contextualSpacing/>
        <w:jc w:val="center"/>
        <w:rPr>
          <w:rFonts w:ascii="Arial" w:eastAsia="Times New Roman" w:hAnsi="Arial" w:cs="Arial"/>
          <w:sz w:val="24"/>
          <w:szCs w:val="24"/>
          <w:lang w:val="es-ES" w:eastAsia="es-ES"/>
        </w:rPr>
      </w:pPr>
    </w:p>
    <w:p w:rsidR="00F639AF" w:rsidRPr="00BF4097" w:rsidRDefault="00F639AF" w:rsidP="0003516C">
      <w:pPr>
        <w:spacing w:line="276" w:lineRule="auto"/>
        <w:contextualSpacing/>
        <w:jc w:val="center"/>
        <w:rPr>
          <w:rFonts w:ascii="Arial" w:eastAsia="Times New Roman" w:hAnsi="Arial" w:cs="Arial"/>
          <w:sz w:val="24"/>
          <w:szCs w:val="24"/>
          <w:lang w:val="es-ES" w:eastAsia="es-ES"/>
        </w:rPr>
      </w:pPr>
    </w:p>
    <w:p w:rsidR="0003516C" w:rsidRDefault="0003516C" w:rsidP="0003516C">
      <w:pPr>
        <w:spacing w:line="276" w:lineRule="auto"/>
        <w:contextualSpacing/>
        <w:jc w:val="center"/>
        <w:rPr>
          <w:rFonts w:ascii="Arial" w:eastAsia="Times New Roman" w:hAnsi="Arial" w:cs="Arial"/>
          <w:b/>
          <w:sz w:val="24"/>
          <w:szCs w:val="24"/>
          <w:lang w:val="es-ES" w:eastAsia="es-ES"/>
        </w:rPr>
      </w:pPr>
    </w:p>
    <w:p w:rsidR="008C3275" w:rsidRDefault="008C3275" w:rsidP="0003516C">
      <w:pPr>
        <w:spacing w:line="276" w:lineRule="auto"/>
        <w:contextualSpacing/>
        <w:jc w:val="center"/>
        <w:rPr>
          <w:rFonts w:ascii="Arial" w:eastAsia="Times New Roman" w:hAnsi="Arial" w:cs="Arial"/>
          <w:b/>
          <w:sz w:val="24"/>
          <w:szCs w:val="24"/>
          <w:lang w:val="es-ES" w:eastAsia="es-ES"/>
        </w:rPr>
      </w:pPr>
    </w:p>
    <w:p w:rsidR="00F639AF" w:rsidRPr="00BF4097" w:rsidRDefault="00F639AF" w:rsidP="0003516C">
      <w:pPr>
        <w:spacing w:line="276" w:lineRule="auto"/>
        <w:contextualSpacing/>
        <w:jc w:val="center"/>
        <w:rPr>
          <w:rFonts w:ascii="Arial" w:eastAsia="Times New Roman" w:hAnsi="Arial" w:cs="Arial"/>
          <w:sz w:val="24"/>
          <w:szCs w:val="24"/>
          <w:lang w:val="es-ES" w:eastAsia="es-ES"/>
        </w:rPr>
      </w:pPr>
      <w:r w:rsidRPr="00BF4097">
        <w:rPr>
          <w:rFonts w:ascii="Arial" w:eastAsia="Times New Roman" w:hAnsi="Arial" w:cs="Arial"/>
          <w:b/>
          <w:sz w:val="24"/>
          <w:szCs w:val="24"/>
          <w:lang w:val="es-ES" w:eastAsia="es-ES"/>
        </w:rPr>
        <w:t>RAMIRO PAZOS GUERRERO</w:t>
      </w:r>
    </w:p>
    <w:p w:rsidR="00BF4097" w:rsidRDefault="00F639AF" w:rsidP="0003516C">
      <w:pPr>
        <w:overflowPunct w:val="0"/>
        <w:autoSpaceDE w:val="0"/>
        <w:autoSpaceDN w:val="0"/>
        <w:adjustRightInd w:val="0"/>
        <w:spacing w:line="276" w:lineRule="auto"/>
        <w:jc w:val="center"/>
        <w:textAlignment w:val="baseline"/>
        <w:rPr>
          <w:rFonts w:ascii="Arial" w:eastAsia="Times New Roman" w:hAnsi="Arial" w:cs="Arial"/>
          <w:b/>
          <w:kern w:val="28"/>
          <w:sz w:val="24"/>
          <w:szCs w:val="24"/>
          <w:lang w:eastAsia="es-ES"/>
        </w:rPr>
      </w:pPr>
      <w:r w:rsidRPr="00BF4097">
        <w:rPr>
          <w:rFonts w:ascii="Arial" w:eastAsia="Times New Roman" w:hAnsi="Arial" w:cs="Arial"/>
          <w:b/>
          <w:kern w:val="28"/>
          <w:sz w:val="24"/>
          <w:szCs w:val="24"/>
          <w:lang w:eastAsia="es-ES"/>
        </w:rPr>
        <w:t>(Impedido)</w:t>
      </w:r>
    </w:p>
    <w:p w:rsidR="00BF4097" w:rsidRDefault="00BF4097" w:rsidP="0003516C">
      <w:pPr>
        <w:overflowPunct w:val="0"/>
        <w:autoSpaceDE w:val="0"/>
        <w:autoSpaceDN w:val="0"/>
        <w:adjustRightInd w:val="0"/>
        <w:spacing w:line="276" w:lineRule="auto"/>
        <w:jc w:val="center"/>
        <w:textAlignment w:val="baseline"/>
        <w:rPr>
          <w:rFonts w:ascii="Arial" w:eastAsia="Times New Roman" w:hAnsi="Arial" w:cs="Arial"/>
          <w:b/>
          <w:kern w:val="28"/>
          <w:sz w:val="24"/>
          <w:szCs w:val="24"/>
          <w:lang w:eastAsia="es-ES"/>
        </w:rPr>
      </w:pPr>
    </w:p>
    <w:p w:rsidR="00BF4097" w:rsidRDefault="00BF4097" w:rsidP="0003516C">
      <w:pPr>
        <w:overflowPunct w:val="0"/>
        <w:autoSpaceDE w:val="0"/>
        <w:autoSpaceDN w:val="0"/>
        <w:adjustRightInd w:val="0"/>
        <w:spacing w:line="276" w:lineRule="auto"/>
        <w:jc w:val="center"/>
        <w:textAlignment w:val="baseline"/>
        <w:rPr>
          <w:rFonts w:ascii="Arial" w:eastAsia="Times New Roman" w:hAnsi="Arial" w:cs="Arial"/>
          <w:b/>
          <w:kern w:val="28"/>
          <w:sz w:val="24"/>
          <w:szCs w:val="24"/>
          <w:lang w:eastAsia="es-ES"/>
        </w:rPr>
      </w:pPr>
    </w:p>
    <w:p w:rsidR="00BF4097" w:rsidRDefault="00BF4097" w:rsidP="0003516C">
      <w:pPr>
        <w:overflowPunct w:val="0"/>
        <w:autoSpaceDE w:val="0"/>
        <w:autoSpaceDN w:val="0"/>
        <w:adjustRightInd w:val="0"/>
        <w:spacing w:line="276" w:lineRule="auto"/>
        <w:jc w:val="center"/>
        <w:textAlignment w:val="baseline"/>
        <w:rPr>
          <w:rFonts w:ascii="Arial" w:eastAsia="Times New Roman" w:hAnsi="Arial" w:cs="Arial"/>
          <w:b/>
          <w:kern w:val="28"/>
          <w:sz w:val="24"/>
          <w:szCs w:val="24"/>
          <w:lang w:eastAsia="es-ES"/>
        </w:rPr>
      </w:pPr>
    </w:p>
    <w:p w:rsidR="00BF4097" w:rsidRDefault="00BF4097" w:rsidP="0003516C">
      <w:pPr>
        <w:overflowPunct w:val="0"/>
        <w:autoSpaceDE w:val="0"/>
        <w:autoSpaceDN w:val="0"/>
        <w:adjustRightInd w:val="0"/>
        <w:spacing w:line="276" w:lineRule="auto"/>
        <w:jc w:val="center"/>
        <w:textAlignment w:val="baseline"/>
        <w:rPr>
          <w:rFonts w:ascii="Arial" w:eastAsia="Times New Roman" w:hAnsi="Arial" w:cs="Arial"/>
          <w:b/>
          <w:kern w:val="28"/>
          <w:sz w:val="24"/>
          <w:szCs w:val="24"/>
          <w:lang w:eastAsia="es-ES"/>
        </w:rPr>
      </w:pPr>
    </w:p>
    <w:p w:rsidR="00BF4097" w:rsidRDefault="00BF4097" w:rsidP="0003516C">
      <w:pPr>
        <w:overflowPunct w:val="0"/>
        <w:autoSpaceDE w:val="0"/>
        <w:autoSpaceDN w:val="0"/>
        <w:adjustRightInd w:val="0"/>
        <w:spacing w:line="276" w:lineRule="auto"/>
        <w:jc w:val="center"/>
        <w:textAlignment w:val="baseline"/>
        <w:rPr>
          <w:rFonts w:ascii="Arial" w:eastAsia="Times New Roman" w:hAnsi="Arial" w:cs="Arial"/>
          <w:b/>
          <w:kern w:val="28"/>
          <w:sz w:val="24"/>
          <w:szCs w:val="24"/>
          <w:lang w:eastAsia="es-ES"/>
        </w:rPr>
      </w:pPr>
      <w:r w:rsidRPr="00BF4097">
        <w:rPr>
          <w:rFonts w:ascii="Arial" w:eastAsia="Times New Roman" w:hAnsi="Arial" w:cs="Arial"/>
          <w:b/>
          <w:sz w:val="24"/>
          <w:szCs w:val="24"/>
          <w:lang w:val="es-ES" w:eastAsia="es-ES"/>
        </w:rPr>
        <w:t>DANILO ROJAS BETANCOURTH</w:t>
      </w:r>
    </w:p>
    <w:p w:rsidR="00F639AF" w:rsidRPr="00BF4097" w:rsidRDefault="00F639AF" w:rsidP="0003516C">
      <w:pPr>
        <w:overflowPunct w:val="0"/>
        <w:autoSpaceDE w:val="0"/>
        <w:autoSpaceDN w:val="0"/>
        <w:adjustRightInd w:val="0"/>
        <w:spacing w:line="276" w:lineRule="auto"/>
        <w:jc w:val="center"/>
        <w:textAlignment w:val="baseline"/>
        <w:rPr>
          <w:rFonts w:ascii="Arial" w:eastAsia="Times New Roman" w:hAnsi="Arial" w:cs="Arial"/>
          <w:kern w:val="28"/>
          <w:sz w:val="24"/>
          <w:szCs w:val="24"/>
          <w:lang w:eastAsia="es-ES"/>
        </w:rPr>
      </w:pPr>
      <w:r w:rsidRPr="00BF4097">
        <w:rPr>
          <w:rFonts w:ascii="Arial" w:eastAsia="Times New Roman" w:hAnsi="Arial" w:cs="Arial"/>
          <w:b/>
          <w:kern w:val="28"/>
          <w:sz w:val="24"/>
          <w:szCs w:val="24"/>
          <w:lang w:eastAsia="es-ES"/>
        </w:rPr>
        <w:t>Magistrado</w:t>
      </w:r>
    </w:p>
    <w:p w:rsidR="00F639AF" w:rsidRPr="00BF4097" w:rsidRDefault="00F639AF" w:rsidP="0003516C">
      <w:pPr>
        <w:tabs>
          <w:tab w:val="left" w:pos="142"/>
        </w:tabs>
        <w:spacing w:line="276" w:lineRule="auto"/>
        <w:jc w:val="center"/>
        <w:rPr>
          <w:rFonts w:ascii="Arial" w:eastAsia="Times New Roman" w:hAnsi="Arial" w:cs="Arial"/>
          <w:b/>
          <w:sz w:val="24"/>
          <w:szCs w:val="24"/>
          <w:lang w:val="es-ES" w:eastAsia="es-ES"/>
        </w:rPr>
      </w:pPr>
    </w:p>
    <w:p w:rsidR="00653FFD" w:rsidRPr="00BF4097" w:rsidRDefault="00653FFD" w:rsidP="0003516C">
      <w:pPr>
        <w:jc w:val="center"/>
        <w:rPr>
          <w:rFonts w:ascii="Arial" w:hAnsi="Arial" w:cs="Arial"/>
          <w:sz w:val="24"/>
          <w:szCs w:val="24"/>
        </w:rPr>
      </w:pPr>
    </w:p>
    <w:sectPr w:rsidR="00653FFD" w:rsidRPr="00BF4097" w:rsidSect="00B36401">
      <w:headerReference w:type="even" r:id="rId10"/>
      <w:footerReference w:type="first" r:id="rId11"/>
      <w:pgSz w:w="12242" w:h="18722" w:code="120"/>
      <w:pgMar w:top="1701" w:right="1701" w:bottom="1701" w:left="1701"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E6ADC" w:rsidRDefault="002E6ADC" w:rsidP="00514012">
      <w:r>
        <w:separator/>
      </w:r>
    </w:p>
  </w:endnote>
  <w:endnote w:type="continuationSeparator" w:id="0">
    <w:p w:rsidR="002E6ADC" w:rsidRDefault="002E6ADC" w:rsidP="005140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Unicode MS">
    <w:altName w:val="Malgun Gothic Semilight"/>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0099" w:rsidRPr="00CE7FDF" w:rsidRDefault="00170099" w:rsidP="00170099">
    <w:pPr>
      <w:pStyle w:val="Piedepgina"/>
      <w:ind w:right="360"/>
      <w:jc w:val="center"/>
      <w:rPr>
        <w:sz w:val="18"/>
      </w:rPr>
    </w:pPr>
    <w:r w:rsidRPr="00CE7FDF">
      <w:rPr>
        <w:sz w:val="18"/>
      </w:rPr>
      <w:t xml:space="preserve">Página </w:t>
    </w:r>
    <w:r w:rsidRPr="00CE7FDF">
      <w:rPr>
        <w:rStyle w:val="Nmerodepgina"/>
        <w:sz w:val="18"/>
      </w:rPr>
      <w:fldChar w:fldCharType="begin"/>
    </w:r>
    <w:r w:rsidRPr="00CE7FDF">
      <w:rPr>
        <w:rStyle w:val="Nmerodepgina"/>
        <w:sz w:val="18"/>
      </w:rPr>
      <w:instrText xml:space="preserve"> PAGE </w:instrText>
    </w:r>
    <w:r w:rsidRPr="00CE7FDF">
      <w:rPr>
        <w:rStyle w:val="Nmerodepgina"/>
        <w:sz w:val="18"/>
      </w:rPr>
      <w:fldChar w:fldCharType="separate"/>
    </w:r>
    <w:r w:rsidR="00B36401">
      <w:rPr>
        <w:rStyle w:val="Nmerodepgina"/>
        <w:noProof/>
        <w:sz w:val="18"/>
      </w:rPr>
      <w:t>1</w:t>
    </w:r>
    <w:r w:rsidRPr="00CE7FDF">
      <w:rPr>
        <w:rStyle w:val="Nmerodepgina"/>
        <w:sz w:val="18"/>
      </w:rPr>
      <w:fldChar w:fldCharType="end"/>
    </w:r>
    <w:r w:rsidRPr="00CE7FDF">
      <w:rPr>
        <w:rStyle w:val="Nmerodepgina"/>
        <w:sz w:val="18"/>
      </w:rPr>
      <w:t xml:space="preserve"> de </w:t>
    </w:r>
    <w:r w:rsidRPr="00CE7FDF">
      <w:rPr>
        <w:rStyle w:val="Nmerodepgina"/>
        <w:sz w:val="18"/>
      </w:rPr>
      <w:fldChar w:fldCharType="begin"/>
    </w:r>
    <w:r w:rsidRPr="00CE7FDF">
      <w:rPr>
        <w:rStyle w:val="Nmerodepgina"/>
        <w:sz w:val="18"/>
      </w:rPr>
      <w:instrText xml:space="preserve"> NUMPAGES </w:instrText>
    </w:r>
    <w:r w:rsidRPr="00CE7FDF">
      <w:rPr>
        <w:rStyle w:val="Nmerodepgina"/>
        <w:sz w:val="18"/>
      </w:rPr>
      <w:fldChar w:fldCharType="separate"/>
    </w:r>
    <w:r w:rsidR="00B36401">
      <w:rPr>
        <w:rStyle w:val="Nmerodepgina"/>
        <w:noProof/>
        <w:sz w:val="18"/>
      </w:rPr>
      <w:t>21</w:t>
    </w:r>
    <w:r w:rsidRPr="00CE7FDF">
      <w:rPr>
        <w:rStyle w:val="Nmerodepgina"/>
        <w:sz w:val="18"/>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E6ADC" w:rsidRDefault="002E6ADC" w:rsidP="00514012">
      <w:r>
        <w:separator/>
      </w:r>
    </w:p>
  </w:footnote>
  <w:footnote w:type="continuationSeparator" w:id="0">
    <w:p w:rsidR="002E6ADC" w:rsidRDefault="002E6ADC" w:rsidP="00514012">
      <w:r>
        <w:continuationSeparator/>
      </w:r>
    </w:p>
  </w:footnote>
  <w:footnote w:id="1">
    <w:p w:rsidR="00F639AF" w:rsidRPr="008D3B91" w:rsidRDefault="00F639AF" w:rsidP="00F639AF">
      <w:pPr>
        <w:contextualSpacing/>
        <w:jc w:val="both"/>
        <w:rPr>
          <w:sz w:val="20"/>
        </w:rPr>
      </w:pPr>
      <w:r w:rsidRPr="008D3B91">
        <w:rPr>
          <w:rStyle w:val="Refdenotaalpie"/>
          <w:sz w:val="20"/>
        </w:rPr>
        <w:footnoteRef/>
      </w:r>
      <w:r w:rsidRPr="008D3B91">
        <w:rPr>
          <w:sz w:val="20"/>
        </w:rPr>
        <w:t xml:space="preserve"> El 29 de octubre de 2004, </w:t>
      </w:r>
      <w:r>
        <w:rPr>
          <w:sz w:val="20"/>
        </w:rPr>
        <w:t>fecha de presentación de</w:t>
      </w:r>
      <w:r w:rsidRPr="008D3B91">
        <w:rPr>
          <w:sz w:val="20"/>
        </w:rPr>
        <w:t xml:space="preserve"> la demanda, la cuantía para que un proceso iniciado en ejercicio de la acción de controversias contractuales tuviera vocación de doble instancia era de $11.860.000 y la mayor de las pretensiones fue estimada </w:t>
      </w:r>
      <w:r>
        <w:rPr>
          <w:sz w:val="20"/>
        </w:rPr>
        <w:t xml:space="preserve">por Squadra Ltda. </w:t>
      </w:r>
      <w:r w:rsidRPr="008D3B91">
        <w:rPr>
          <w:sz w:val="20"/>
        </w:rPr>
        <w:t>en $400.000.000, por concepto de perjuicios materiales (fol. 2, c. 1.).</w:t>
      </w:r>
    </w:p>
  </w:footnote>
  <w:footnote w:id="2">
    <w:p w:rsidR="00F639AF" w:rsidRPr="008D3B91" w:rsidRDefault="00F639AF" w:rsidP="00F639AF">
      <w:pPr>
        <w:pStyle w:val="Textonotapie"/>
        <w:contextualSpacing/>
        <w:rPr>
          <w:lang w:val="es-CO"/>
        </w:rPr>
      </w:pPr>
      <w:r w:rsidRPr="008D3B91">
        <w:rPr>
          <w:rStyle w:val="Refdenotaalpie"/>
        </w:rPr>
        <w:footnoteRef/>
      </w:r>
      <w:r w:rsidRPr="008D3B91">
        <w:t xml:space="preserve"> </w:t>
      </w:r>
      <w:r w:rsidRPr="008D3B91">
        <w:rPr>
          <w:lang w:val="es-CO"/>
        </w:rPr>
        <w:t xml:space="preserve">Señala la resolución nº. 291 de 13 de julio de 2004 en sus antecedentes </w:t>
      </w:r>
      <w:r w:rsidRPr="008D3B91">
        <w:rPr>
          <w:i/>
          <w:lang w:val="es-CO"/>
        </w:rPr>
        <w:t>“(…) Que, dentro del término legal, mediante escrito de fecha 8 de julio de 2004, el oferente, recurre la resolución nº. 272 de fecha 30 de junio de 2004, pretendiendo que la misma sea revocada y como consecuencia se le adjudique el contrato resultado de la Licitación Pública nº. 08-</w:t>
      </w:r>
      <w:proofErr w:type="spellStart"/>
      <w:r w:rsidRPr="008D3B91">
        <w:rPr>
          <w:i/>
          <w:lang w:val="es-CO"/>
        </w:rPr>
        <w:t>FORFA</w:t>
      </w:r>
      <w:proofErr w:type="spellEnd"/>
      <w:r w:rsidRPr="008D3B91">
        <w:rPr>
          <w:i/>
          <w:lang w:val="es-CO"/>
        </w:rPr>
        <w:t xml:space="preserve">-2004, a la Unión Temporal </w:t>
      </w:r>
      <w:proofErr w:type="spellStart"/>
      <w:r w:rsidRPr="008D3B91">
        <w:rPr>
          <w:i/>
          <w:lang w:val="es-CO"/>
        </w:rPr>
        <w:t>Palenquero</w:t>
      </w:r>
      <w:proofErr w:type="spellEnd"/>
      <w:r w:rsidRPr="008D3B91">
        <w:rPr>
          <w:i/>
          <w:lang w:val="es-CO"/>
        </w:rPr>
        <w:t xml:space="preserve"> 2004 que representa” </w:t>
      </w:r>
      <w:r w:rsidRPr="008D3B91">
        <w:rPr>
          <w:lang w:val="es-CO"/>
        </w:rPr>
        <w:t xml:space="preserve">(fol. 7, c. 2, </w:t>
      </w:r>
      <w:proofErr w:type="spellStart"/>
      <w:r w:rsidRPr="008D3B91">
        <w:rPr>
          <w:lang w:val="es-CO"/>
        </w:rPr>
        <w:t>exp</w:t>
      </w:r>
      <w:proofErr w:type="spellEnd"/>
      <w:r w:rsidRPr="008D3B91">
        <w:rPr>
          <w:lang w:val="es-CO"/>
        </w:rPr>
        <w:t>. 2004-01700)</w:t>
      </w:r>
    </w:p>
  </w:footnote>
  <w:footnote w:id="3">
    <w:p w:rsidR="00F639AF" w:rsidRPr="008D3B91" w:rsidRDefault="00F639AF" w:rsidP="00F639AF">
      <w:pPr>
        <w:pStyle w:val="Textonotapie"/>
        <w:contextualSpacing/>
        <w:rPr>
          <w:b/>
          <w:lang w:val="es-ES"/>
        </w:rPr>
      </w:pPr>
      <w:r w:rsidRPr="008D3B91">
        <w:rPr>
          <w:rStyle w:val="Refdenotaalpie"/>
          <w:b/>
        </w:rPr>
        <w:footnoteRef/>
      </w:r>
      <w:r w:rsidRPr="008D3B91">
        <w:rPr>
          <w:b/>
        </w:rPr>
        <w:t xml:space="preserve"> </w:t>
      </w:r>
      <w:r w:rsidRPr="008D3B91">
        <w:t>Código Contencioso Administrativo. Artículo  51. Modificado por el art. 3, Decreto Nacional 2304 de 1989</w:t>
      </w:r>
      <w:r w:rsidRPr="008D3B91">
        <w:rPr>
          <w:b/>
        </w:rPr>
        <w:t>.</w:t>
      </w:r>
      <w:r w:rsidRPr="008D3B91">
        <w:t xml:space="preserve"> </w:t>
      </w:r>
      <w:r w:rsidRPr="008D3B91">
        <w:rPr>
          <w:b/>
        </w:rPr>
        <w:t>“</w:t>
      </w:r>
      <w:r w:rsidRPr="008D3B91">
        <w:rPr>
          <w:i/>
        </w:rPr>
        <w:t xml:space="preserve">De los recursos de reposición y apelación habrá de hacerse uso, por escrito, en la diligencia de notificación personal, o dentro de los cinco (5) días siguientes a ella, o a la </w:t>
      </w:r>
      <w:proofErr w:type="spellStart"/>
      <w:r w:rsidRPr="008D3B91">
        <w:rPr>
          <w:i/>
        </w:rPr>
        <w:t>desfijación</w:t>
      </w:r>
      <w:proofErr w:type="spellEnd"/>
      <w:r w:rsidRPr="008D3B91">
        <w:rPr>
          <w:i/>
        </w:rPr>
        <w:t xml:space="preserve"> del edicto, o la publicación, según el caso. Los recursos contra los actos presuntos podrán interponerse en cualquier tiempo.</w:t>
      </w:r>
      <w:r w:rsidRPr="008D3B91">
        <w:rPr>
          <w:b/>
          <w:i/>
        </w:rPr>
        <w:t xml:space="preserve">// </w:t>
      </w:r>
      <w:r w:rsidRPr="008D3B91">
        <w:rPr>
          <w:i/>
        </w:rPr>
        <w:t>Los recursos se presentarán ante el funcionario que dictó la decisión, salvo lo dispuesto para el de queja, y si quien fuere competente no quisiere recibirlos podrán presentarse ante el procurador regional o ante el personero municipal, para que ordene su recibo y tramitación e imponga las sanciones correspondientes.</w:t>
      </w:r>
      <w:r w:rsidRPr="008D3B91">
        <w:rPr>
          <w:b/>
          <w:i/>
        </w:rPr>
        <w:t xml:space="preserve">// </w:t>
      </w:r>
      <w:r w:rsidRPr="008D3B91">
        <w:rPr>
          <w:i/>
        </w:rPr>
        <w:t>El recurso de apelación podrá interponerse directamente, o como subsidiario del de reposición.</w:t>
      </w:r>
      <w:r w:rsidRPr="008D3B91">
        <w:rPr>
          <w:b/>
          <w:i/>
        </w:rPr>
        <w:t xml:space="preserve">// </w:t>
      </w:r>
      <w:r w:rsidRPr="008D3B91">
        <w:rPr>
          <w:i/>
        </w:rPr>
        <w:t>Transcurridos los términos sin que se hubieren interpuesto los recursos procedentes, la decisión quedará en firme.</w:t>
      </w:r>
      <w:r w:rsidRPr="008D3B91">
        <w:rPr>
          <w:b/>
          <w:i/>
        </w:rPr>
        <w:t>// Los recursos de reposición y de queja no son obligatorios</w:t>
      </w:r>
      <w:r w:rsidRPr="008D3B91">
        <w:rPr>
          <w:i/>
        </w:rPr>
        <w:t>”</w:t>
      </w:r>
      <w:r w:rsidRPr="008D3B91">
        <w:rPr>
          <w:b/>
        </w:rPr>
        <w:t xml:space="preserve"> </w:t>
      </w:r>
      <w:r w:rsidRPr="008D3B91">
        <w:t>(se resalta).</w:t>
      </w:r>
    </w:p>
  </w:footnote>
  <w:footnote w:id="4">
    <w:p w:rsidR="00F639AF" w:rsidRPr="008D3B91" w:rsidRDefault="00F639AF" w:rsidP="00F639AF">
      <w:pPr>
        <w:pStyle w:val="Textonotapie"/>
        <w:contextualSpacing/>
        <w:rPr>
          <w:i/>
        </w:rPr>
      </w:pPr>
      <w:r w:rsidRPr="008D3B91">
        <w:rPr>
          <w:rStyle w:val="Refdenotaalpie"/>
        </w:rPr>
        <w:footnoteRef/>
      </w:r>
      <w:r w:rsidRPr="008D3B91">
        <w:t xml:space="preserve"> Código Contencioso Administrativo. Artículo  63. Modificado por el art. 8, Decreto Nacional 2304 de 1989. </w:t>
      </w:r>
      <w:r w:rsidRPr="008D3B91">
        <w:rPr>
          <w:i/>
        </w:rPr>
        <w:t>“El agotamiento de la vía gubernativa acontecerá en los casos previstos en los numerales 1º y 2º del artículo anterior, y cuando el acto administrativo quede en firme por no haber sido interpuestos los recursos de reposición o de queja”.</w:t>
      </w:r>
    </w:p>
  </w:footnote>
  <w:footnote w:id="5">
    <w:p w:rsidR="00F639AF" w:rsidRPr="008D3B91" w:rsidRDefault="00F639AF" w:rsidP="00F639AF">
      <w:pPr>
        <w:pStyle w:val="Textonotapie"/>
        <w:contextualSpacing/>
      </w:pPr>
      <w:r w:rsidRPr="008D3B91">
        <w:rPr>
          <w:rStyle w:val="Refdenotaalpie"/>
        </w:rPr>
        <w:footnoteRef/>
      </w:r>
      <w:r w:rsidRPr="008D3B91">
        <w:t xml:space="preserve"> Ibíd. Artículo  135. Modificado por el art. 22, Decreto Nacional 2304 de 1989. </w:t>
      </w:r>
      <w:r w:rsidRPr="008D3B91">
        <w:rPr>
          <w:b/>
          <w:i/>
        </w:rPr>
        <w:t>“La demanda para que se declare la nulidad de un acto particular, que ponga término a un proceso administrativo, y se restablezca el derecho del actor, debe agotar previamente la vía gubernativa mediante acto expreso o presunto por silencio negativo</w:t>
      </w:r>
      <w:r w:rsidRPr="008D3B91">
        <w:rPr>
          <w:i/>
        </w:rPr>
        <w:t xml:space="preserve">.// El silencio negativo, en relación con la primera petición también agota la vía gubernativa.// Sin embargo, si las autoridades administrativas no hubieran dado oportunidad de interponer los recursos procedentes, los interesados podrán demandar directamente los correspondientes actos </w:t>
      </w:r>
      <w:r w:rsidRPr="008D3B91">
        <w:t>(se resalta).</w:t>
      </w:r>
    </w:p>
  </w:footnote>
  <w:footnote w:id="6">
    <w:p w:rsidR="00F639AF" w:rsidRPr="008D3B91" w:rsidRDefault="00F639AF" w:rsidP="00F639AF">
      <w:pPr>
        <w:pStyle w:val="Textonotapie"/>
        <w:contextualSpacing/>
        <w:rPr>
          <w:lang w:val="es-ES"/>
        </w:rPr>
      </w:pPr>
      <w:r w:rsidRPr="008D3B91">
        <w:rPr>
          <w:rStyle w:val="Refdenotaalpie"/>
        </w:rPr>
        <w:footnoteRef/>
      </w:r>
      <w:r w:rsidRPr="008D3B91">
        <w:t xml:space="preserve"> El texto anterior, no sustraía la caducidad de los actos previos del término general de caducidad dispuesto en el numeral 2º del artículo 136. Señalaba la disposición: Artículo 87. De Las Controversias Contractuales. </w:t>
      </w:r>
      <w:r w:rsidRPr="008D3B91">
        <w:rPr>
          <w:i/>
        </w:rPr>
        <w:t>“</w:t>
      </w:r>
      <w:r w:rsidRPr="008D3B91">
        <w:rPr>
          <w:i/>
          <w:u w:val="single"/>
        </w:rPr>
        <w:t>Cualquiera de las partes de un contrato administrativo o privado con cláusula de caducidad podrá pedir que se declare su existencia o su nulidad</w:t>
      </w:r>
      <w:r w:rsidRPr="008D3B91">
        <w:rPr>
          <w:i/>
        </w:rPr>
        <w:t xml:space="preserve"> y que se hagan las declaraciones, condenaciones o restituciones consecuenciales; que se ordene su revisión; que se declare su incumplimiento y que se condene al contratante responsable a indemnizar los perjuicios y que se hagan otras declaraciones y condenaciones (…)”</w:t>
      </w:r>
      <w:r>
        <w:rPr>
          <w:i/>
        </w:rPr>
        <w:t xml:space="preserve"> </w:t>
      </w:r>
      <w:r>
        <w:t>– se destaca-</w:t>
      </w:r>
      <w:r w:rsidRPr="008D3B91">
        <w:rPr>
          <w:i/>
        </w:rPr>
        <w:t>.</w:t>
      </w:r>
    </w:p>
  </w:footnote>
  <w:footnote w:id="7">
    <w:p w:rsidR="00F639AF" w:rsidRPr="008D3B91" w:rsidRDefault="00F639AF" w:rsidP="00F639AF">
      <w:pPr>
        <w:contextualSpacing/>
        <w:jc w:val="both"/>
        <w:rPr>
          <w:sz w:val="20"/>
        </w:rPr>
      </w:pPr>
      <w:r w:rsidRPr="008D3B91">
        <w:rPr>
          <w:rStyle w:val="Refdenotaalpie"/>
          <w:sz w:val="20"/>
        </w:rPr>
        <w:footnoteRef/>
      </w:r>
      <w:r w:rsidRPr="008D3B91">
        <w:rPr>
          <w:sz w:val="20"/>
        </w:rPr>
        <w:t xml:space="preserve"> Cfr. Sentencia del 29 de junio de 2000, </w:t>
      </w:r>
      <w:proofErr w:type="spellStart"/>
      <w:r w:rsidRPr="008D3B91">
        <w:rPr>
          <w:sz w:val="20"/>
        </w:rPr>
        <w:t>exp</w:t>
      </w:r>
      <w:proofErr w:type="spellEnd"/>
      <w:r w:rsidRPr="008D3B91">
        <w:rPr>
          <w:sz w:val="20"/>
        </w:rPr>
        <w:t xml:space="preserve">: 16602, </w:t>
      </w:r>
      <w:proofErr w:type="spellStart"/>
      <w:r w:rsidRPr="008D3B91">
        <w:rPr>
          <w:sz w:val="20"/>
        </w:rPr>
        <w:t>M.P</w:t>
      </w:r>
      <w:proofErr w:type="spellEnd"/>
      <w:r w:rsidRPr="008D3B91">
        <w:rPr>
          <w:sz w:val="20"/>
        </w:rPr>
        <w:t xml:space="preserve">. María Elena Giraldo Gómez; Auto que dictó la Sección Tercera el 23 de mayo de 2002, </w:t>
      </w:r>
      <w:proofErr w:type="spellStart"/>
      <w:r w:rsidRPr="008D3B91">
        <w:rPr>
          <w:sz w:val="20"/>
        </w:rPr>
        <w:t>exp</w:t>
      </w:r>
      <w:proofErr w:type="spellEnd"/>
      <w:r w:rsidRPr="008D3B91">
        <w:rPr>
          <w:sz w:val="20"/>
        </w:rPr>
        <w:t xml:space="preserve">. 22049. </w:t>
      </w:r>
      <w:proofErr w:type="spellStart"/>
      <w:r w:rsidRPr="008D3B91">
        <w:rPr>
          <w:sz w:val="20"/>
        </w:rPr>
        <w:t>M.P</w:t>
      </w:r>
      <w:proofErr w:type="spellEnd"/>
      <w:r w:rsidRPr="008D3B91">
        <w:rPr>
          <w:sz w:val="20"/>
        </w:rPr>
        <w:t xml:space="preserve">. María Elena Giraldo Gómez.              </w:t>
      </w:r>
    </w:p>
  </w:footnote>
  <w:footnote w:id="8">
    <w:p w:rsidR="00F639AF" w:rsidRPr="008D3B91" w:rsidRDefault="00F639AF" w:rsidP="00F639AF">
      <w:pPr>
        <w:pStyle w:val="Textonotapie"/>
        <w:contextualSpacing/>
      </w:pPr>
      <w:r w:rsidRPr="008D3B91">
        <w:rPr>
          <w:rStyle w:val="Refdenotaalpie"/>
        </w:rPr>
        <w:footnoteRef/>
      </w:r>
      <w:r w:rsidRPr="008D3B91">
        <w:t xml:space="preserve"> Consejo de Estado, Sección Tercera, auto de 2 de agosto de 2006, </w:t>
      </w:r>
      <w:proofErr w:type="spellStart"/>
      <w:r w:rsidRPr="008D3B91">
        <w:t>exp</w:t>
      </w:r>
      <w:proofErr w:type="spellEnd"/>
      <w:r w:rsidRPr="008D3B91">
        <w:t xml:space="preserve">. 30141, C.P. Ramiro Saavedra Becerra. Reiteración sentencia de 14 de marzo de 2013, </w:t>
      </w:r>
      <w:proofErr w:type="spellStart"/>
      <w:r w:rsidRPr="008D3B91">
        <w:t>M.P</w:t>
      </w:r>
      <w:proofErr w:type="spellEnd"/>
      <w:r w:rsidRPr="008D3B91">
        <w:t xml:space="preserve">. Mauricio Fajardo Gómez, </w:t>
      </w:r>
      <w:proofErr w:type="spellStart"/>
      <w:r w:rsidRPr="008D3B91">
        <w:t>exp</w:t>
      </w:r>
      <w:proofErr w:type="spellEnd"/>
      <w:r w:rsidRPr="008D3B91">
        <w:t>. 24059.</w:t>
      </w:r>
    </w:p>
  </w:footnote>
  <w:footnote w:id="9">
    <w:p w:rsidR="00F639AF" w:rsidRPr="008D3B91" w:rsidRDefault="00F639AF" w:rsidP="00F639AF">
      <w:pPr>
        <w:pStyle w:val="Textonotapie"/>
        <w:contextualSpacing/>
        <w:rPr>
          <w:lang w:val="es-CO"/>
        </w:rPr>
      </w:pPr>
      <w:r w:rsidRPr="008D3B91">
        <w:rPr>
          <w:rStyle w:val="Refdenotaalpie"/>
        </w:rPr>
        <w:footnoteRef/>
      </w:r>
      <w:r w:rsidRPr="008D3B91">
        <w:t xml:space="preserve"> </w:t>
      </w:r>
      <w:r w:rsidRPr="008D3B91">
        <w:rPr>
          <w:lang w:val="es-CO"/>
        </w:rPr>
        <w:t>Señala</w:t>
      </w:r>
      <w:r>
        <w:rPr>
          <w:lang w:val="es-CO"/>
        </w:rPr>
        <w:t xml:space="preserve"> textualmente</w:t>
      </w:r>
      <w:r w:rsidRPr="008D3B91">
        <w:rPr>
          <w:lang w:val="es-CO"/>
        </w:rPr>
        <w:t xml:space="preserve"> </w:t>
      </w:r>
      <w:r>
        <w:rPr>
          <w:lang w:val="es-CO"/>
        </w:rPr>
        <w:t xml:space="preserve">la resolución nº. 291 de 2004 en sus antecedentes </w:t>
      </w:r>
      <w:r>
        <w:rPr>
          <w:i/>
          <w:lang w:val="es-CO"/>
        </w:rPr>
        <w:t>“[q]</w:t>
      </w:r>
      <w:proofErr w:type="spellStart"/>
      <w:r>
        <w:rPr>
          <w:i/>
          <w:lang w:val="es-CO"/>
        </w:rPr>
        <w:t>ue</w:t>
      </w:r>
      <w:proofErr w:type="spellEnd"/>
      <w:r>
        <w:rPr>
          <w:i/>
          <w:lang w:val="es-CO"/>
        </w:rPr>
        <w:t xml:space="preserve">, dicha resolución fue notificada a los oferentes </w:t>
      </w:r>
      <w:proofErr w:type="spellStart"/>
      <w:r>
        <w:rPr>
          <w:i/>
          <w:lang w:val="es-CO"/>
        </w:rPr>
        <w:t>particioantes</w:t>
      </w:r>
      <w:proofErr w:type="spellEnd"/>
      <w:r>
        <w:rPr>
          <w:i/>
          <w:lang w:val="es-CO"/>
        </w:rPr>
        <w:t xml:space="preserve"> en la reanudación de la Audiencia Pública de Adjudicación </w:t>
      </w:r>
      <w:r w:rsidRPr="008D3B91">
        <w:rPr>
          <w:i/>
          <w:u w:val="single"/>
          <w:lang w:val="es-CO"/>
        </w:rPr>
        <w:t xml:space="preserve">llevada a cabo el día 30 de junio del año en curso </w:t>
      </w:r>
      <w:r>
        <w:rPr>
          <w:i/>
          <w:lang w:val="es-CO"/>
        </w:rPr>
        <w:t xml:space="preserve">(…)” </w:t>
      </w:r>
      <w:r>
        <w:rPr>
          <w:lang w:val="es-CO"/>
        </w:rPr>
        <w:t>– se destaca-.</w:t>
      </w:r>
    </w:p>
  </w:footnote>
  <w:footnote w:id="10">
    <w:p w:rsidR="00F639AF" w:rsidRPr="00566DEB" w:rsidRDefault="00F639AF" w:rsidP="00F639AF">
      <w:pPr>
        <w:pStyle w:val="Textonotapie"/>
        <w:contextualSpacing/>
        <w:rPr>
          <w:lang w:val="es-ES"/>
        </w:rPr>
      </w:pPr>
      <w:r>
        <w:rPr>
          <w:rStyle w:val="Refdenotaalpie"/>
        </w:rPr>
        <w:footnoteRef/>
      </w:r>
      <w:r>
        <w:t xml:space="preserve"> </w:t>
      </w:r>
      <w:r w:rsidRPr="00566DEB">
        <w:t>Los términos judiciales y legales deben interpretarse conforme la regla general contenida en el artículo 70 del Código Civil, es decir, debe evaluarse sí la norma de manera expresa dispone que los días</w:t>
      </w:r>
      <w:r>
        <w:t xml:space="preserve"> del término respectivo</w:t>
      </w:r>
      <w:r w:rsidRPr="00566DEB">
        <w:t xml:space="preserve"> son calendario, de lo contrario se presume que son hábiles.</w:t>
      </w:r>
      <w:r>
        <w:t xml:space="preserve"> La norma en cita dispone </w:t>
      </w:r>
      <w:r>
        <w:rPr>
          <w:i/>
        </w:rPr>
        <w:t>“[e]</w:t>
      </w:r>
      <w:r w:rsidRPr="00566DEB">
        <w:rPr>
          <w:i/>
        </w:rPr>
        <w:t>n los plazos de días que se señalen en las leyes y actos oficiales, se entienden suprimidos los feriados y de vacantes, a menos de expresarse lo contrario. Los de meses y años se computan según el calendario; pero si el último día fuere feriado o de vacante, se extenderá el plazo hasta el primer día hábil</w:t>
      </w:r>
      <w:r>
        <w:rPr>
          <w:i/>
        </w:rPr>
        <w:t>”</w:t>
      </w:r>
      <w:r w:rsidRPr="00566DEB">
        <w:rPr>
          <w:i/>
        </w:rPr>
        <w:t>.</w:t>
      </w:r>
      <w:r>
        <w:rPr>
          <w:i/>
        </w:rPr>
        <w:t xml:space="preserve"> </w:t>
      </w:r>
    </w:p>
  </w:footnote>
  <w:footnote w:id="11">
    <w:p w:rsidR="00F639AF" w:rsidRPr="003D24BE" w:rsidRDefault="00F639AF" w:rsidP="00F639AF">
      <w:pPr>
        <w:contextualSpacing/>
        <w:jc w:val="both"/>
        <w:rPr>
          <w:i/>
          <w:kern w:val="28"/>
          <w:sz w:val="20"/>
        </w:rPr>
      </w:pPr>
      <w:r w:rsidRPr="003D24BE">
        <w:rPr>
          <w:rStyle w:val="Refdenotaalpie"/>
          <w:sz w:val="20"/>
        </w:rPr>
        <w:footnoteRef/>
      </w:r>
      <w:r w:rsidRPr="003D24BE">
        <w:rPr>
          <w:sz w:val="20"/>
        </w:rPr>
        <w:t xml:space="preserve"> Cfr. Consejo de Estado, Sección Tercera, sentencia de 11 de mayo de 2000, </w:t>
      </w:r>
      <w:proofErr w:type="spellStart"/>
      <w:r w:rsidRPr="003D24BE">
        <w:rPr>
          <w:sz w:val="20"/>
        </w:rPr>
        <w:t>exp</w:t>
      </w:r>
      <w:proofErr w:type="spellEnd"/>
      <w:r w:rsidRPr="003D24BE">
        <w:rPr>
          <w:sz w:val="20"/>
        </w:rPr>
        <w:t>. 12200, C.P. María Elena Giraldo Gómez</w:t>
      </w:r>
      <w:r>
        <w:rPr>
          <w:sz w:val="20"/>
        </w:rPr>
        <w:t>. Señaló la Sala en dicha ocasión</w:t>
      </w:r>
      <w:r w:rsidRPr="003D24BE">
        <w:rPr>
          <w:sz w:val="20"/>
        </w:rPr>
        <w:t xml:space="preserve">: </w:t>
      </w:r>
      <w:r>
        <w:rPr>
          <w:i/>
          <w:sz w:val="20"/>
        </w:rPr>
        <w:t xml:space="preserve">“ (…) </w:t>
      </w:r>
      <w:r w:rsidRPr="003D24BE">
        <w:rPr>
          <w:i/>
          <w:kern w:val="28"/>
          <w:sz w:val="20"/>
        </w:rPr>
        <w:t xml:space="preserve">Por otra parte, el Código Contencioso Administrativo indica que en la sentencia se deberán decidir, entre otros, las excepciones propuestas (art. 170). Por lo tanto si se encontró que tuvo ocurrencia real el hecho jurídico de caducidad de la acción debió no sólo mencionarse en la parte motiva, sino también declararse en la resolutiva, que implica que el fallo no es inhibitorio.  Tanto es así que el demandante no puede volver a proponer nueva demanda entre las mismas partes, los mismos hechos e idéntico objeto. Lo anteriormente dicho tiene fundamento en otra previsión de ley, según la cual la caducidad de la acción es excepción de fondo (art. 97 último inciso C. P. C).  El artículo </w:t>
      </w:r>
      <w:proofErr w:type="spellStart"/>
      <w:r w:rsidRPr="003D24BE">
        <w:rPr>
          <w:i/>
          <w:kern w:val="28"/>
          <w:sz w:val="20"/>
        </w:rPr>
        <w:t>antecitado</w:t>
      </w:r>
      <w:proofErr w:type="spellEnd"/>
      <w:r w:rsidRPr="003D24BE">
        <w:rPr>
          <w:i/>
          <w:kern w:val="28"/>
          <w:sz w:val="20"/>
        </w:rPr>
        <w:t xml:space="preserve"> es claro en indicar que ese hecho constituye por su naturaleza una excepción de fondo, aunque en el proceso civil se pueda proponer como excepción previa al decir  “También podrán proponerse como previas las excepciones de cosa juzgada, transacción y caducidad de la acción</w:t>
      </w:r>
      <w:r>
        <w:rPr>
          <w:i/>
          <w:kern w:val="28"/>
          <w:sz w:val="20"/>
        </w:rPr>
        <w:t xml:space="preserve"> (…)</w:t>
      </w:r>
      <w:r w:rsidRPr="003D24BE">
        <w:rPr>
          <w:i/>
          <w:kern w:val="28"/>
          <w:sz w:val="20"/>
        </w:rPr>
        <w:t>”</w:t>
      </w:r>
      <w:r>
        <w:rPr>
          <w:i/>
          <w:kern w:val="28"/>
          <w:sz w:val="20"/>
        </w:rPr>
        <w:t>.</w:t>
      </w:r>
    </w:p>
    <w:p w:rsidR="00F639AF" w:rsidRPr="003D24BE" w:rsidRDefault="00F639AF" w:rsidP="00F639AF">
      <w:pPr>
        <w:pStyle w:val="Textonotapie"/>
        <w:contextualSpacing/>
        <w:rPr>
          <w:i/>
          <w:lang w:val="es-MX"/>
        </w:rPr>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0099" w:rsidRDefault="00170099" w:rsidP="00170099">
    <w:pPr>
      <w:pStyle w:val="Encabezado"/>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170099" w:rsidRDefault="00170099">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C048D1"/>
    <w:multiLevelType w:val="multilevel"/>
    <w:tmpl w:val="03AAF672"/>
    <w:lvl w:ilvl="0">
      <w:start w:val="6"/>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i/>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07E92EFB"/>
    <w:multiLevelType w:val="hybridMultilevel"/>
    <w:tmpl w:val="E8DA9998"/>
    <w:lvl w:ilvl="0" w:tplc="C58AE8A0">
      <w:start w:val="2"/>
      <w:numFmt w:val="decimal"/>
      <w:lvlText w:val="%1."/>
      <w:lvlJc w:val="left"/>
      <w:pPr>
        <w:ind w:left="720" w:hanging="360"/>
      </w:pPr>
      <w:rPr>
        <w:rFonts w:hint="default"/>
        <w:b/>
        <w:color w:val="000000"/>
        <w:sz w:val="26"/>
        <w:szCs w:val="26"/>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9290DAD"/>
    <w:multiLevelType w:val="multilevel"/>
    <w:tmpl w:val="1D887472"/>
    <w:lvl w:ilvl="0">
      <w:start w:val="4"/>
      <w:numFmt w:val="decimal"/>
      <w:lvlText w:val="%1."/>
      <w:lvlJc w:val="left"/>
      <w:pPr>
        <w:ind w:left="720" w:hanging="360"/>
      </w:pPr>
      <w:rPr>
        <w:rFonts w:hint="default"/>
        <w:b/>
        <w:i w:val="0"/>
        <w:sz w:val="26"/>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i w:val="0"/>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15:restartNumberingAfterBreak="0">
    <w:nsid w:val="0DFD678F"/>
    <w:multiLevelType w:val="multilevel"/>
    <w:tmpl w:val="B9B295A0"/>
    <w:lvl w:ilvl="0">
      <w:start w:val="2"/>
      <w:numFmt w:val="decimal"/>
      <w:lvlText w:val="%1."/>
      <w:lvlJc w:val="left"/>
      <w:pPr>
        <w:ind w:left="420" w:hanging="420"/>
      </w:pPr>
      <w:rPr>
        <w:rFonts w:hint="default"/>
        <w:b/>
        <w:i w:val="0"/>
        <w:sz w:val="26"/>
        <w:szCs w:val="26"/>
      </w:rPr>
    </w:lvl>
    <w:lvl w:ilvl="1">
      <w:start w:val="1"/>
      <w:numFmt w:val="decimal"/>
      <w:lvlText w:val="%1.%2."/>
      <w:lvlJc w:val="left"/>
      <w:pPr>
        <w:ind w:left="862"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i w:val="0"/>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1465093A"/>
    <w:multiLevelType w:val="multilevel"/>
    <w:tmpl w:val="314A6806"/>
    <w:lvl w:ilvl="0">
      <w:start w:val="2"/>
      <w:numFmt w:val="decimal"/>
      <w:lvlText w:val="%1"/>
      <w:lvlJc w:val="left"/>
      <w:pPr>
        <w:ind w:left="360" w:hanging="36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14CC1CD3"/>
    <w:multiLevelType w:val="hybridMultilevel"/>
    <w:tmpl w:val="21FE8F46"/>
    <w:lvl w:ilvl="0" w:tplc="0C0A000F">
      <w:start w:val="1"/>
      <w:numFmt w:val="decimal"/>
      <w:lvlText w:val="%1."/>
      <w:lvlJc w:val="left"/>
      <w:pPr>
        <w:ind w:left="1776" w:hanging="360"/>
      </w:pPr>
    </w:lvl>
    <w:lvl w:ilvl="1" w:tplc="0C0A0019" w:tentative="1">
      <w:start w:val="1"/>
      <w:numFmt w:val="lowerLetter"/>
      <w:lvlText w:val="%2."/>
      <w:lvlJc w:val="left"/>
      <w:pPr>
        <w:ind w:left="2496" w:hanging="360"/>
      </w:pPr>
    </w:lvl>
    <w:lvl w:ilvl="2" w:tplc="0C0A001B" w:tentative="1">
      <w:start w:val="1"/>
      <w:numFmt w:val="lowerRoman"/>
      <w:lvlText w:val="%3."/>
      <w:lvlJc w:val="right"/>
      <w:pPr>
        <w:ind w:left="3216" w:hanging="180"/>
      </w:pPr>
    </w:lvl>
    <w:lvl w:ilvl="3" w:tplc="0C0A000F" w:tentative="1">
      <w:start w:val="1"/>
      <w:numFmt w:val="decimal"/>
      <w:lvlText w:val="%4."/>
      <w:lvlJc w:val="left"/>
      <w:pPr>
        <w:ind w:left="3936" w:hanging="360"/>
      </w:pPr>
    </w:lvl>
    <w:lvl w:ilvl="4" w:tplc="0C0A0019" w:tentative="1">
      <w:start w:val="1"/>
      <w:numFmt w:val="lowerLetter"/>
      <w:lvlText w:val="%5."/>
      <w:lvlJc w:val="left"/>
      <w:pPr>
        <w:ind w:left="4656" w:hanging="360"/>
      </w:pPr>
    </w:lvl>
    <w:lvl w:ilvl="5" w:tplc="0C0A001B" w:tentative="1">
      <w:start w:val="1"/>
      <w:numFmt w:val="lowerRoman"/>
      <w:lvlText w:val="%6."/>
      <w:lvlJc w:val="right"/>
      <w:pPr>
        <w:ind w:left="5376" w:hanging="180"/>
      </w:pPr>
    </w:lvl>
    <w:lvl w:ilvl="6" w:tplc="0C0A000F" w:tentative="1">
      <w:start w:val="1"/>
      <w:numFmt w:val="decimal"/>
      <w:lvlText w:val="%7."/>
      <w:lvlJc w:val="left"/>
      <w:pPr>
        <w:ind w:left="6096" w:hanging="360"/>
      </w:pPr>
    </w:lvl>
    <w:lvl w:ilvl="7" w:tplc="0C0A0019" w:tentative="1">
      <w:start w:val="1"/>
      <w:numFmt w:val="lowerLetter"/>
      <w:lvlText w:val="%8."/>
      <w:lvlJc w:val="left"/>
      <w:pPr>
        <w:ind w:left="6816" w:hanging="360"/>
      </w:pPr>
    </w:lvl>
    <w:lvl w:ilvl="8" w:tplc="0C0A001B" w:tentative="1">
      <w:start w:val="1"/>
      <w:numFmt w:val="lowerRoman"/>
      <w:lvlText w:val="%9."/>
      <w:lvlJc w:val="right"/>
      <w:pPr>
        <w:ind w:left="7536" w:hanging="180"/>
      </w:pPr>
    </w:lvl>
  </w:abstractNum>
  <w:abstractNum w:abstractNumId="6" w15:restartNumberingAfterBreak="0">
    <w:nsid w:val="152272EA"/>
    <w:multiLevelType w:val="hybridMultilevel"/>
    <w:tmpl w:val="98DE2950"/>
    <w:lvl w:ilvl="0" w:tplc="0C0A000F">
      <w:start w:val="1"/>
      <w:numFmt w:val="decimal"/>
      <w:lvlText w:val="%1."/>
      <w:lvlJc w:val="left"/>
      <w:pPr>
        <w:ind w:left="720" w:hanging="360"/>
      </w:pPr>
      <w:rPr>
        <w:rFonts w:hint="default"/>
        <w:i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15A462F5"/>
    <w:multiLevelType w:val="hybridMultilevel"/>
    <w:tmpl w:val="CAB400A6"/>
    <w:lvl w:ilvl="0" w:tplc="356A9230">
      <w:start w:val="1"/>
      <w:numFmt w:val="low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16B1332C"/>
    <w:multiLevelType w:val="multilevel"/>
    <w:tmpl w:val="C93814E2"/>
    <w:lvl w:ilvl="0">
      <w:start w:val="1"/>
      <w:numFmt w:val="decimal"/>
      <w:lvlText w:val="%1."/>
      <w:lvlJc w:val="left"/>
      <w:pPr>
        <w:ind w:left="360" w:hanging="360"/>
      </w:pPr>
      <w:rPr>
        <w:rFonts w:hint="default"/>
      </w:rPr>
    </w:lvl>
    <w:lvl w:ilvl="1">
      <w:start w:val="1"/>
      <w:numFmt w:val="decimal"/>
      <w:isLgl/>
      <w:lvlText w:val="%1.%2."/>
      <w:lvlJc w:val="left"/>
      <w:pPr>
        <w:ind w:left="1080" w:hanging="720"/>
      </w:pPr>
      <w:rPr>
        <w:rFonts w:hint="default"/>
        <w:b w:val="0"/>
        <w:sz w:val="26"/>
        <w:szCs w:val="26"/>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 w15:restartNumberingAfterBreak="0">
    <w:nsid w:val="17781B5C"/>
    <w:multiLevelType w:val="hybridMultilevel"/>
    <w:tmpl w:val="59BC053E"/>
    <w:lvl w:ilvl="0" w:tplc="92B222FA">
      <w:start w:val="1"/>
      <w:numFmt w:val="lowerRoman"/>
      <w:lvlText w:val="(%1)"/>
      <w:lvlJc w:val="left"/>
      <w:pPr>
        <w:ind w:left="1647" w:hanging="1080"/>
      </w:pPr>
      <w:rPr>
        <w:rFonts w:hint="default"/>
        <w:i/>
        <w:sz w:val="22"/>
        <w:szCs w:val="22"/>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10" w15:restartNumberingAfterBreak="0">
    <w:nsid w:val="1BAD6193"/>
    <w:multiLevelType w:val="hybridMultilevel"/>
    <w:tmpl w:val="A470C4C6"/>
    <w:lvl w:ilvl="0" w:tplc="2C3A1128">
      <w:start w:val="1"/>
      <w:numFmt w:val="low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26233E1C"/>
    <w:multiLevelType w:val="multilevel"/>
    <w:tmpl w:val="C408242A"/>
    <w:lvl w:ilvl="0">
      <w:start w:val="2"/>
      <w:numFmt w:val="decimal"/>
      <w:lvlText w:val="%1."/>
      <w:lvlJc w:val="left"/>
      <w:pPr>
        <w:ind w:left="420" w:hanging="420"/>
      </w:pPr>
      <w:rPr>
        <w:rFonts w:hint="default"/>
      </w:rPr>
    </w:lvl>
    <w:lvl w:ilvl="1">
      <w:start w:val="1"/>
      <w:numFmt w:val="decimal"/>
      <w:lvlText w:val="%1.%2."/>
      <w:lvlJc w:val="left"/>
      <w:pPr>
        <w:ind w:left="720" w:hanging="720"/>
      </w:pPr>
      <w:rPr>
        <w:rFonts w:hint="default"/>
        <w:b w:val="0"/>
        <w:i w:val="0"/>
        <w:sz w:val="26"/>
        <w:szCs w:val="26"/>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2B5E6293"/>
    <w:multiLevelType w:val="multilevel"/>
    <w:tmpl w:val="58FADC6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 w15:restartNumberingAfterBreak="0">
    <w:nsid w:val="34960F27"/>
    <w:multiLevelType w:val="multilevel"/>
    <w:tmpl w:val="4BE0656A"/>
    <w:lvl w:ilvl="0">
      <w:start w:val="1"/>
      <w:numFmt w:val="decimal"/>
      <w:lvlText w:val="%1."/>
      <w:lvlJc w:val="left"/>
      <w:pPr>
        <w:ind w:left="927" w:hanging="360"/>
      </w:pPr>
      <w:rPr>
        <w:rFonts w:hint="default"/>
      </w:rPr>
    </w:lvl>
    <w:lvl w:ilvl="1">
      <w:start w:val="1"/>
      <w:numFmt w:val="decimal"/>
      <w:isLgl/>
      <w:lvlText w:val="%1.%2."/>
      <w:lvlJc w:val="left"/>
      <w:pPr>
        <w:ind w:left="1287" w:hanging="720"/>
      </w:pPr>
      <w:rPr>
        <w:rFonts w:hint="default"/>
        <w:b w:val="0"/>
        <w:i w:val="0"/>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367" w:hanging="1800"/>
      </w:pPr>
      <w:rPr>
        <w:rFonts w:hint="default"/>
      </w:rPr>
    </w:lvl>
  </w:abstractNum>
  <w:abstractNum w:abstractNumId="14" w15:restartNumberingAfterBreak="0">
    <w:nsid w:val="43F26853"/>
    <w:multiLevelType w:val="hybridMultilevel"/>
    <w:tmpl w:val="2D0EC8F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4513399D"/>
    <w:multiLevelType w:val="hybridMultilevel"/>
    <w:tmpl w:val="6DEA4618"/>
    <w:lvl w:ilvl="0" w:tplc="6D526378">
      <w:start w:val="1"/>
      <w:numFmt w:val="upperRoman"/>
      <w:lvlText w:val="%1."/>
      <w:lvlJc w:val="left"/>
      <w:pPr>
        <w:ind w:left="1080" w:hanging="720"/>
      </w:pPr>
      <w:rPr>
        <w:rFonts w:hint="default"/>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4AE151C7"/>
    <w:multiLevelType w:val="hybridMultilevel"/>
    <w:tmpl w:val="59BC053E"/>
    <w:lvl w:ilvl="0" w:tplc="92B222FA">
      <w:start w:val="1"/>
      <w:numFmt w:val="lowerRoman"/>
      <w:lvlText w:val="(%1)"/>
      <w:lvlJc w:val="left"/>
      <w:pPr>
        <w:ind w:left="1647" w:hanging="1080"/>
      </w:pPr>
      <w:rPr>
        <w:rFonts w:hint="default"/>
        <w:i/>
        <w:sz w:val="22"/>
        <w:szCs w:val="22"/>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17" w15:restartNumberingAfterBreak="0">
    <w:nsid w:val="4CFE640A"/>
    <w:multiLevelType w:val="hybridMultilevel"/>
    <w:tmpl w:val="0DD4C8B8"/>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4E600FAE"/>
    <w:multiLevelType w:val="hybridMultilevel"/>
    <w:tmpl w:val="64DCAB7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50D54C17"/>
    <w:multiLevelType w:val="multilevel"/>
    <w:tmpl w:val="3FC6F89E"/>
    <w:lvl w:ilvl="0">
      <w:start w:val="1"/>
      <w:numFmt w:val="decimal"/>
      <w:lvlText w:val="%1."/>
      <w:lvlJc w:val="left"/>
      <w:pPr>
        <w:ind w:left="927" w:hanging="360"/>
      </w:pPr>
      <w:rPr>
        <w:rFonts w:hint="default"/>
      </w:rPr>
    </w:lvl>
    <w:lvl w:ilvl="1">
      <w:start w:val="1"/>
      <w:numFmt w:val="decimal"/>
      <w:isLgl/>
      <w:lvlText w:val="%1.%2."/>
      <w:lvlJc w:val="left"/>
      <w:pPr>
        <w:ind w:left="1287" w:hanging="720"/>
      </w:pPr>
      <w:rPr>
        <w:rFonts w:hint="default"/>
        <w:b/>
        <w:i w:val="0"/>
      </w:rPr>
    </w:lvl>
    <w:lvl w:ilvl="2">
      <w:start w:val="1"/>
      <w:numFmt w:val="decimal"/>
      <w:isLgl/>
      <w:lvlText w:val="%1.%2.%3."/>
      <w:lvlJc w:val="left"/>
      <w:pPr>
        <w:ind w:left="1287" w:hanging="720"/>
      </w:pPr>
      <w:rPr>
        <w:rFonts w:hint="default"/>
        <w:b/>
        <w:i w:val="0"/>
        <w:sz w:val="26"/>
        <w:szCs w:val="26"/>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367" w:hanging="1800"/>
      </w:pPr>
      <w:rPr>
        <w:rFonts w:hint="default"/>
      </w:rPr>
    </w:lvl>
  </w:abstractNum>
  <w:abstractNum w:abstractNumId="20" w15:restartNumberingAfterBreak="0">
    <w:nsid w:val="51520005"/>
    <w:multiLevelType w:val="hybridMultilevel"/>
    <w:tmpl w:val="1F1E341E"/>
    <w:lvl w:ilvl="0" w:tplc="CE38D25E">
      <w:start w:val="1"/>
      <w:numFmt w:val="lowerRoman"/>
      <w:lvlText w:val="(%1)"/>
      <w:lvlJc w:val="left"/>
      <w:pPr>
        <w:ind w:left="1080" w:hanging="720"/>
      </w:pPr>
      <w:rPr>
        <w:rFonts w:hint="default"/>
        <w:i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24F6010"/>
    <w:multiLevelType w:val="hybridMultilevel"/>
    <w:tmpl w:val="D7322DC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5C903A22"/>
    <w:multiLevelType w:val="hybridMultilevel"/>
    <w:tmpl w:val="FFD05C72"/>
    <w:lvl w:ilvl="0" w:tplc="02C0E74C">
      <w:start w:val="1"/>
      <w:numFmt w:val="lowerRoman"/>
      <w:lvlText w:val="%1)"/>
      <w:lvlJc w:val="left"/>
      <w:pPr>
        <w:ind w:left="1080" w:hanging="720"/>
      </w:pPr>
      <w:rPr>
        <w:rFonts w:hint="default"/>
        <w:i/>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15:restartNumberingAfterBreak="0">
    <w:nsid w:val="600E373D"/>
    <w:multiLevelType w:val="multilevel"/>
    <w:tmpl w:val="C1CC232E"/>
    <w:lvl w:ilvl="0">
      <w:start w:val="3"/>
      <w:numFmt w:val="decimal"/>
      <w:lvlText w:val="%1."/>
      <w:lvlJc w:val="left"/>
      <w:pPr>
        <w:ind w:left="630" w:hanging="63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b w:val="0"/>
        <w:i w:val="0"/>
        <w:sz w:val="26"/>
        <w:szCs w:val="26"/>
      </w:rPr>
    </w:lvl>
    <w:lvl w:ilvl="3">
      <w:start w:val="1"/>
      <w:numFmt w:val="decimal"/>
      <w:lvlText w:val="%1.%2.%3.%4."/>
      <w:lvlJc w:val="left"/>
      <w:pPr>
        <w:ind w:left="1080" w:hanging="1080"/>
      </w:pPr>
      <w:rPr>
        <w:rFonts w:hint="default"/>
        <w:sz w:val="26"/>
        <w:szCs w:val="26"/>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4" w15:restartNumberingAfterBreak="0">
    <w:nsid w:val="647D5ADE"/>
    <w:multiLevelType w:val="multilevel"/>
    <w:tmpl w:val="76704344"/>
    <w:lvl w:ilvl="0">
      <w:start w:val="3"/>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15:restartNumberingAfterBreak="0">
    <w:nsid w:val="655A7E02"/>
    <w:multiLevelType w:val="multilevel"/>
    <w:tmpl w:val="C57E281C"/>
    <w:lvl w:ilvl="0">
      <w:start w:val="3"/>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6" w15:restartNumberingAfterBreak="0">
    <w:nsid w:val="67BC543A"/>
    <w:multiLevelType w:val="multilevel"/>
    <w:tmpl w:val="7D86205C"/>
    <w:lvl w:ilvl="0">
      <w:start w:val="4"/>
      <w:numFmt w:val="decimal"/>
      <w:lvlText w:val="%1."/>
      <w:lvlJc w:val="left"/>
      <w:pPr>
        <w:ind w:left="720" w:hanging="360"/>
      </w:pPr>
      <w:rPr>
        <w:rFonts w:hint="default"/>
      </w:rPr>
    </w:lvl>
    <w:lvl w:ilvl="1">
      <w:start w:val="1"/>
      <w:numFmt w:val="decimal"/>
      <w:isLgl/>
      <w:lvlText w:val="%1.%2."/>
      <w:lvlJc w:val="left"/>
      <w:pPr>
        <w:ind w:left="1080" w:hanging="720"/>
      </w:pPr>
      <w:rPr>
        <w:rFonts w:hint="default"/>
        <w:b/>
        <w:sz w:val="26"/>
        <w:szCs w:val="26"/>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7" w15:restartNumberingAfterBreak="0">
    <w:nsid w:val="6BA036D7"/>
    <w:multiLevelType w:val="multilevel"/>
    <w:tmpl w:val="746CEFFA"/>
    <w:lvl w:ilvl="0">
      <w:start w:val="1"/>
      <w:numFmt w:val="decimal"/>
      <w:lvlText w:val="%1."/>
      <w:lvlJc w:val="left"/>
      <w:pPr>
        <w:ind w:left="720" w:hanging="360"/>
      </w:pPr>
      <w:rPr>
        <w:rFonts w:ascii="Arial" w:hAnsi="Arial" w:cs="Arial" w:hint="default"/>
        <w:b/>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8" w15:restartNumberingAfterBreak="0">
    <w:nsid w:val="6CA67896"/>
    <w:multiLevelType w:val="hybridMultilevel"/>
    <w:tmpl w:val="66BCB576"/>
    <w:lvl w:ilvl="0" w:tplc="92B80FAA">
      <w:start w:val="3"/>
      <w:numFmt w:val="bullet"/>
      <w:lvlText w:val="-"/>
      <w:lvlJc w:val="left"/>
      <w:pPr>
        <w:ind w:left="927" w:hanging="360"/>
      </w:pPr>
      <w:rPr>
        <w:rFonts w:ascii="Arial" w:eastAsia="Times New Roman" w:hAnsi="Arial" w:cs="Arial" w:hint="default"/>
        <w:i/>
        <w:sz w:val="22"/>
      </w:rPr>
    </w:lvl>
    <w:lvl w:ilvl="1" w:tplc="0C0A0003" w:tentative="1">
      <w:start w:val="1"/>
      <w:numFmt w:val="bullet"/>
      <w:lvlText w:val="o"/>
      <w:lvlJc w:val="left"/>
      <w:pPr>
        <w:ind w:left="1647" w:hanging="360"/>
      </w:pPr>
      <w:rPr>
        <w:rFonts w:ascii="Courier New" w:hAnsi="Courier New" w:cs="Courier New" w:hint="default"/>
      </w:rPr>
    </w:lvl>
    <w:lvl w:ilvl="2" w:tplc="0C0A0005" w:tentative="1">
      <w:start w:val="1"/>
      <w:numFmt w:val="bullet"/>
      <w:lvlText w:val=""/>
      <w:lvlJc w:val="left"/>
      <w:pPr>
        <w:ind w:left="2367" w:hanging="360"/>
      </w:pPr>
      <w:rPr>
        <w:rFonts w:ascii="Wingdings" w:hAnsi="Wingdings" w:hint="default"/>
      </w:rPr>
    </w:lvl>
    <w:lvl w:ilvl="3" w:tplc="0C0A0001" w:tentative="1">
      <w:start w:val="1"/>
      <w:numFmt w:val="bullet"/>
      <w:lvlText w:val=""/>
      <w:lvlJc w:val="left"/>
      <w:pPr>
        <w:ind w:left="3087" w:hanging="360"/>
      </w:pPr>
      <w:rPr>
        <w:rFonts w:ascii="Symbol" w:hAnsi="Symbol" w:hint="default"/>
      </w:rPr>
    </w:lvl>
    <w:lvl w:ilvl="4" w:tplc="0C0A0003" w:tentative="1">
      <w:start w:val="1"/>
      <w:numFmt w:val="bullet"/>
      <w:lvlText w:val="o"/>
      <w:lvlJc w:val="left"/>
      <w:pPr>
        <w:ind w:left="3807" w:hanging="360"/>
      </w:pPr>
      <w:rPr>
        <w:rFonts w:ascii="Courier New" w:hAnsi="Courier New" w:cs="Courier New" w:hint="default"/>
      </w:rPr>
    </w:lvl>
    <w:lvl w:ilvl="5" w:tplc="0C0A0005" w:tentative="1">
      <w:start w:val="1"/>
      <w:numFmt w:val="bullet"/>
      <w:lvlText w:val=""/>
      <w:lvlJc w:val="left"/>
      <w:pPr>
        <w:ind w:left="4527" w:hanging="360"/>
      </w:pPr>
      <w:rPr>
        <w:rFonts w:ascii="Wingdings" w:hAnsi="Wingdings" w:hint="default"/>
      </w:rPr>
    </w:lvl>
    <w:lvl w:ilvl="6" w:tplc="0C0A0001" w:tentative="1">
      <w:start w:val="1"/>
      <w:numFmt w:val="bullet"/>
      <w:lvlText w:val=""/>
      <w:lvlJc w:val="left"/>
      <w:pPr>
        <w:ind w:left="5247" w:hanging="360"/>
      </w:pPr>
      <w:rPr>
        <w:rFonts w:ascii="Symbol" w:hAnsi="Symbol" w:hint="default"/>
      </w:rPr>
    </w:lvl>
    <w:lvl w:ilvl="7" w:tplc="0C0A0003" w:tentative="1">
      <w:start w:val="1"/>
      <w:numFmt w:val="bullet"/>
      <w:lvlText w:val="o"/>
      <w:lvlJc w:val="left"/>
      <w:pPr>
        <w:ind w:left="5967" w:hanging="360"/>
      </w:pPr>
      <w:rPr>
        <w:rFonts w:ascii="Courier New" w:hAnsi="Courier New" w:cs="Courier New" w:hint="default"/>
      </w:rPr>
    </w:lvl>
    <w:lvl w:ilvl="8" w:tplc="0C0A0005" w:tentative="1">
      <w:start w:val="1"/>
      <w:numFmt w:val="bullet"/>
      <w:lvlText w:val=""/>
      <w:lvlJc w:val="left"/>
      <w:pPr>
        <w:ind w:left="6687" w:hanging="360"/>
      </w:pPr>
      <w:rPr>
        <w:rFonts w:ascii="Wingdings" w:hAnsi="Wingdings" w:hint="default"/>
      </w:rPr>
    </w:lvl>
  </w:abstractNum>
  <w:abstractNum w:abstractNumId="29" w15:restartNumberingAfterBreak="0">
    <w:nsid w:val="72DB0D03"/>
    <w:multiLevelType w:val="hybridMultilevel"/>
    <w:tmpl w:val="1096894A"/>
    <w:lvl w:ilvl="0" w:tplc="0FFCADEE">
      <w:start w:val="1"/>
      <w:numFmt w:val="lowerRoman"/>
      <w:lvlText w:val="%1)"/>
      <w:lvlJc w:val="left"/>
      <w:pPr>
        <w:ind w:left="1080" w:hanging="720"/>
      </w:pPr>
      <w:rPr>
        <w:rFonts w:hint="default"/>
        <w:i/>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5"/>
  </w:num>
  <w:num w:numId="2">
    <w:abstractNumId w:val="8"/>
  </w:num>
  <w:num w:numId="3">
    <w:abstractNumId w:val="12"/>
  </w:num>
  <w:num w:numId="4">
    <w:abstractNumId w:val="26"/>
  </w:num>
  <w:num w:numId="5">
    <w:abstractNumId w:val="23"/>
  </w:num>
  <w:num w:numId="6">
    <w:abstractNumId w:val="19"/>
  </w:num>
  <w:num w:numId="7">
    <w:abstractNumId w:val="25"/>
  </w:num>
  <w:num w:numId="8">
    <w:abstractNumId w:val="18"/>
  </w:num>
  <w:num w:numId="9">
    <w:abstractNumId w:val="13"/>
  </w:num>
  <w:num w:numId="10">
    <w:abstractNumId w:val="14"/>
  </w:num>
  <w:num w:numId="11">
    <w:abstractNumId w:val="5"/>
  </w:num>
  <w:num w:numId="12">
    <w:abstractNumId w:val="28"/>
  </w:num>
  <w:num w:numId="13">
    <w:abstractNumId w:val="16"/>
  </w:num>
  <w:num w:numId="14">
    <w:abstractNumId w:val="10"/>
  </w:num>
  <w:num w:numId="15">
    <w:abstractNumId w:val="29"/>
  </w:num>
  <w:num w:numId="16">
    <w:abstractNumId w:val="9"/>
  </w:num>
  <w:num w:numId="17">
    <w:abstractNumId w:val="7"/>
  </w:num>
  <w:num w:numId="18">
    <w:abstractNumId w:val="24"/>
  </w:num>
  <w:num w:numId="19">
    <w:abstractNumId w:val="17"/>
  </w:num>
  <w:num w:numId="20">
    <w:abstractNumId w:val="2"/>
  </w:num>
  <w:num w:numId="21">
    <w:abstractNumId w:val="1"/>
  </w:num>
  <w:num w:numId="22">
    <w:abstractNumId w:val="11"/>
  </w:num>
  <w:num w:numId="23">
    <w:abstractNumId w:val="22"/>
  </w:num>
  <w:num w:numId="24">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0"/>
  </w:num>
  <w:num w:numId="26">
    <w:abstractNumId w:val="21"/>
  </w:num>
  <w:num w:numId="27">
    <w:abstractNumId w:val="3"/>
  </w:num>
  <w:num w:numId="28">
    <w:abstractNumId w:val="20"/>
  </w:num>
  <w:num w:numId="29">
    <w:abstractNumId w:val="6"/>
  </w:num>
  <w:num w:numId="30">
    <w:abstractNumId w:val="27"/>
  </w:num>
  <w:num w:numId="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10"/>
  <w:drawingGridVerticalSpacing w:val="163"/>
  <w:displayHorizontalDrawingGridEvery w:val="2"/>
  <w:displayVerticalDrawingGridEvery w:val="2"/>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2120"/>
    <w:rsid w:val="0003516C"/>
    <w:rsid w:val="00125A8A"/>
    <w:rsid w:val="00170099"/>
    <w:rsid w:val="002006B5"/>
    <w:rsid w:val="002179DA"/>
    <w:rsid w:val="002A6BBF"/>
    <w:rsid w:val="002E6ADC"/>
    <w:rsid w:val="0038397E"/>
    <w:rsid w:val="004109F6"/>
    <w:rsid w:val="00491A1D"/>
    <w:rsid w:val="00514012"/>
    <w:rsid w:val="00653FFD"/>
    <w:rsid w:val="006D3E63"/>
    <w:rsid w:val="008346F2"/>
    <w:rsid w:val="008911DD"/>
    <w:rsid w:val="008961EB"/>
    <w:rsid w:val="008C3275"/>
    <w:rsid w:val="008F7C2A"/>
    <w:rsid w:val="009315DA"/>
    <w:rsid w:val="00A15B02"/>
    <w:rsid w:val="00AB578D"/>
    <w:rsid w:val="00AC0AE1"/>
    <w:rsid w:val="00B36401"/>
    <w:rsid w:val="00B72120"/>
    <w:rsid w:val="00BA3983"/>
    <w:rsid w:val="00BD284F"/>
    <w:rsid w:val="00BF4097"/>
    <w:rsid w:val="00C60849"/>
    <w:rsid w:val="00D10C6E"/>
    <w:rsid w:val="00D92278"/>
    <w:rsid w:val="00F639AF"/>
    <w:rsid w:val="00F97C4C"/>
    <w:rsid w:val="00FF7D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15:chartTrackingRefBased/>
  <w15:docId w15:val="{7661F01E-CE3F-4D00-B5DD-5D89C6B8FE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2"/>
      <w:szCs w:val="22"/>
      <w:lang w:val="es-CO"/>
    </w:rPr>
  </w:style>
  <w:style w:type="paragraph" w:styleId="Ttulo1">
    <w:name w:val="heading 1"/>
    <w:basedOn w:val="Normal"/>
    <w:next w:val="Normal"/>
    <w:link w:val="Ttulo1Car"/>
    <w:qFormat/>
    <w:rsid w:val="00514012"/>
    <w:pPr>
      <w:keepNext/>
      <w:jc w:val="both"/>
      <w:outlineLvl w:val="0"/>
    </w:pPr>
    <w:rPr>
      <w:rFonts w:ascii="Arial" w:eastAsia="Times New Roman" w:hAnsi="Arial" w:cs="Arial"/>
      <w:b/>
      <w:sz w:val="24"/>
      <w:szCs w:val="20"/>
      <w:lang w:val="es-ES" w:eastAsia="es-ES"/>
    </w:rPr>
  </w:style>
  <w:style w:type="paragraph" w:styleId="Ttulo2">
    <w:name w:val="heading 2"/>
    <w:basedOn w:val="Normal"/>
    <w:next w:val="Normal"/>
    <w:link w:val="Ttulo2Car"/>
    <w:semiHidden/>
    <w:unhideWhenUsed/>
    <w:qFormat/>
    <w:rsid w:val="00514012"/>
    <w:pPr>
      <w:keepNext/>
      <w:spacing w:before="240" w:after="60" w:line="276" w:lineRule="auto"/>
      <w:outlineLvl w:val="1"/>
    </w:pPr>
    <w:rPr>
      <w:rFonts w:ascii="Calibri Light" w:eastAsia="Times New Roman" w:hAnsi="Calibri Light"/>
      <w:b/>
      <w:bCs/>
      <w:i/>
      <w:iCs/>
      <w:sz w:val="28"/>
      <w:szCs w:val="28"/>
      <w:lang w:val="es-ES" w:eastAsia="es-ES"/>
    </w:rPr>
  </w:style>
  <w:style w:type="paragraph" w:styleId="Ttulo3">
    <w:name w:val="heading 3"/>
    <w:basedOn w:val="Normal"/>
    <w:next w:val="Normal"/>
    <w:link w:val="Ttulo3Car"/>
    <w:uiPriority w:val="9"/>
    <w:semiHidden/>
    <w:unhideWhenUsed/>
    <w:qFormat/>
    <w:rsid w:val="00BA3983"/>
    <w:pPr>
      <w:keepNext/>
      <w:spacing w:before="240" w:after="60"/>
      <w:outlineLvl w:val="2"/>
    </w:pPr>
    <w:rPr>
      <w:rFonts w:ascii="Calibri Light" w:eastAsia="Times New Roman" w:hAnsi="Calibri Light"/>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514012"/>
    <w:rPr>
      <w:rFonts w:ascii="Arial" w:eastAsia="Times New Roman" w:hAnsi="Arial" w:cs="Arial"/>
      <w:b/>
      <w:sz w:val="24"/>
      <w:lang w:val="es-ES" w:eastAsia="es-ES"/>
    </w:rPr>
  </w:style>
  <w:style w:type="character" w:customStyle="1" w:styleId="Ttulo2Car">
    <w:name w:val="Título 2 Car"/>
    <w:link w:val="Ttulo2"/>
    <w:semiHidden/>
    <w:rsid w:val="00514012"/>
    <w:rPr>
      <w:rFonts w:ascii="Calibri Light" w:eastAsia="Times New Roman" w:hAnsi="Calibri Light"/>
      <w:b/>
      <w:bCs/>
      <w:i/>
      <w:iCs/>
      <w:sz w:val="28"/>
      <w:szCs w:val="28"/>
      <w:lang w:val="es-ES" w:eastAsia="es-ES"/>
    </w:rPr>
  </w:style>
  <w:style w:type="numbering" w:customStyle="1" w:styleId="Sinlista1">
    <w:name w:val="Sin lista1"/>
    <w:next w:val="Sinlista"/>
    <w:uiPriority w:val="99"/>
    <w:semiHidden/>
    <w:unhideWhenUsed/>
    <w:rsid w:val="00514012"/>
  </w:style>
  <w:style w:type="paragraph" w:styleId="Textoindependiente">
    <w:name w:val="Body Text"/>
    <w:basedOn w:val="Normal"/>
    <w:link w:val="TextoindependienteCar"/>
    <w:rsid w:val="00514012"/>
    <w:pPr>
      <w:autoSpaceDE w:val="0"/>
      <w:autoSpaceDN w:val="0"/>
      <w:adjustRightInd w:val="0"/>
      <w:jc w:val="both"/>
    </w:pPr>
    <w:rPr>
      <w:rFonts w:ascii="Arial" w:eastAsia="Times New Roman" w:hAnsi="Arial" w:cs="Arial"/>
      <w:sz w:val="26"/>
      <w:szCs w:val="20"/>
      <w:lang w:val="es-ES_tradnl" w:eastAsia="es-ES"/>
    </w:rPr>
  </w:style>
  <w:style w:type="character" w:customStyle="1" w:styleId="TextoindependienteCar">
    <w:name w:val="Texto independiente Car"/>
    <w:link w:val="Textoindependiente"/>
    <w:rsid w:val="00514012"/>
    <w:rPr>
      <w:rFonts w:ascii="Arial" w:eastAsia="Times New Roman" w:hAnsi="Arial" w:cs="Arial"/>
      <w:sz w:val="26"/>
      <w:lang w:val="es-ES_tradnl" w:eastAsia="es-ES"/>
    </w:rPr>
  </w:style>
  <w:style w:type="character" w:styleId="Refdenotaalpie">
    <w:name w:val="footnote reference"/>
    <w:aliases w:val="Ref. de nota al pie 2,Texto de nota al pie,Appel note de bas de page,Footnotes refss,Footnote number,referencia nota al pie,BVI fnr,f,4_G,16 Point,Superscript 6 Point,Texto nota al pie,Pie de Página,FC,Texto de nota al pi,Pie de Pàgi"/>
    <w:qFormat/>
    <w:rsid w:val="00514012"/>
    <w:rPr>
      <w:vertAlign w:val="superscript"/>
    </w:rPr>
  </w:style>
  <w:style w:type="paragraph" w:styleId="Textonotapie">
    <w:name w:val="footnote text"/>
    <w:aliases w:val="Footnote Text Char Char Char Char Char,Footnote Text Char Char Char Char,Footnote reference,FA Fu,Footnote Text Cha,Footnote Text Char Char Char,FA Fußnotentext,FA Fuﬂnotentext,Footnote Text Char Char,texto de nota al p"/>
    <w:basedOn w:val="Normal"/>
    <w:link w:val="TextonotapieCar1"/>
    <w:autoRedefine/>
    <w:qFormat/>
    <w:rsid w:val="00514012"/>
    <w:pPr>
      <w:overflowPunct w:val="0"/>
      <w:autoSpaceDE w:val="0"/>
      <w:autoSpaceDN w:val="0"/>
      <w:adjustRightInd w:val="0"/>
      <w:jc w:val="both"/>
      <w:textAlignment w:val="baseline"/>
    </w:pPr>
    <w:rPr>
      <w:rFonts w:ascii="Arial" w:eastAsia="Times New Roman" w:hAnsi="Arial" w:cs="Arial"/>
      <w:kern w:val="28"/>
      <w:sz w:val="20"/>
      <w:szCs w:val="20"/>
      <w:lang w:val="es-ES_tradnl" w:eastAsia="es-ES"/>
    </w:rPr>
  </w:style>
  <w:style w:type="character" w:customStyle="1" w:styleId="TextonotapieCar">
    <w:name w:val="Texto nota pie Car"/>
    <w:uiPriority w:val="99"/>
    <w:semiHidden/>
    <w:rsid w:val="00514012"/>
    <w:rPr>
      <w:lang w:eastAsia="en-US"/>
    </w:rPr>
  </w:style>
  <w:style w:type="character" w:customStyle="1" w:styleId="TextonotapieCar1">
    <w:name w:val="Texto nota pie Car1"/>
    <w:aliases w:val="Footnote Text Char Char Char Char Char Car,Footnote Text Char Char Char Char Car,Footnote reference Car,FA Fu Car,Footnote Text Cha Car,Footnote Text Char Char Char Car,FA Fußnotentext Car,FA Fuﬂnotentext Car,Texto nota pie Car Car"/>
    <w:link w:val="Textonotapie"/>
    <w:rsid w:val="00514012"/>
    <w:rPr>
      <w:rFonts w:ascii="Arial" w:eastAsia="Times New Roman" w:hAnsi="Arial" w:cs="Arial"/>
      <w:kern w:val="28"/>
      <w:lang w:val="es-ES_tradnl" w:eastAsia="es-ES"/>
    </w:rPr>
  </w:style>
  <w:style w:type="paragraph" w:customStyle="1" w:styleId="Textoindependiente21">
    <w:name w:val="Texto independiente 21"/>
    <w:basedOn w:val="Normal"/>
    <w:rsid w:val="00514012"/>
    <w:pPr>
      <w:overflowPunct w:val="0"/>
      <w:autoSpaceDE w:val="0"/>
      <w:autoSpaceDN w:val="0"/>
      <w:adjustRightInd w:val="0"/>
      <w:spacing w:line="480" w:lineRule="auto"/>
      <w:jc w:val="both"/>
      <w:textAlignment w:val="baseline"/>
    </w:pPr>
    <w:rPr>
      <w:rFonts w:ascii="Arial" w:eastAsia="Times New Roman" w:hAnsi="Arial" w:cs="Arial"/>
      <w:sz w:val="24"/>
      <w:szCs w:val="20"/>
      <w:lang w:val="es-ES" w:eastAsia="es-ES"/>
    </w:rPr>
  </w:style>
  <w:style w:type="paragraph" w:styleId="NormalWeb">
    <w:name w:val="Normal (Web)"/>
    <w:basedOn w:val="Normal"/>
    <w:link w:val="NormalWebCar"/>
    <w:uiPriority w:val="99"/>
    <w:rsid w:val="00514012"/>
    <w:pPr>
      <w:spacing w:before="100" w:beforeAutospacing="1" w:after="100" w:afterAutospacing="1"/>
    </w:pPr>
    <w:rPr>
      <w:rFonts w:ascii="Times New Roman" w:eastAsia="Times New Roman" w:hAnsi="Times New Roman" w:cs="Arial"/>
      <w:sz w:val="24"/>
      <w:szCs w:val="24"/>
      <w:lang w:val="es-ES" w:eastAsia="es-ES"/>
    </w:rPr>
  </w:style>
  <w:style w:type="paragraph" w:styleId="Encabezado">
    <w:name w:val="header"/>
    <w:basedOn w:val="Normal"/>
    <w:link w:val="EncabezadoCar"/>
    <w:rsid w:val="00514012"/>
    <w:pPr>
      <w:tabs>
        <w:tab w:val="center" w:pos="4252"/>
        <w:tab w:val="right" w:pos="8504"/>
      </w:tabs>
      <w:overflowPunct w:val="0"/>
      <w:autoSpaceDE w:val="0"/>
      <w:autoSpaceDN w:val="0"/>
      <w:adjustRightInd w:val="0"/>
      <w:textAlignment w:val="baseline"/>
    </w:pPr>
    <w:rPr>
      <w:rFonts w:ascii="Times New Roman" w:eastAsia="Times New Roman" w:hAnsi="Times New Roman" w:cs="Arial"/>
      <w:sz w:val="26"/>
      <w:szCs w:val="20"/>
      <w:lang w:val="es-ES_tradnl" w:eastAsia="es-ES"/>
    </w:rPr>
  </w:style>
  <w:style w:type="character" w:customStyle="1" w:styleId="EncabezadoCar">
    <w:name w:val="Encabezado Car"/>
    <w:link w:val="Encabezado"/>
    <w:rsid w:val="00514012"/>
    <w:rPr>
      <w:rFonts w:ascii="Times New Roman" w:eastAsia="Times New Roman" w:hAnsi="Times New Roman" w:cs="Arial"/>
      <w:sz w:val="26"/>
      <w:lang w:val="es-ES_tradnl" w:eastAsia="es-ES"/>
    </w:rPr>
  </w:style>
  <w:style w:type="paragraph" w:customStyle="1" w:styleId="BodyText23">
    <w:name w:val="Body Text 23"/>
    <w:basedOn w:val="Normal"/>
    <w:rsid w:val="00514012"/>
    <w:pPr>
      <w:overflowPunct w:val="0"/>
      <w:autoSpaceDE w:val="0"/>
      <w:autoSpaceDN w:val="0"/>
      <w:adjustRightInd w:val="0"/>
      <w:spacing w:line="360" w:lineRule="auto"/>
      <w:jc w:val="both"/>
      <w:textAlignment w:val="baseline"/>
    </w:pPr>
    <w:rPr>
      <w:rFonts w:ascii="Arial" w:eastAsia="Times New Roman" w:hAnsi="Arial" w:cs="Arial"/>
      <w:sz w:val="24"/>
      <w:szCs w:val="20"/>
      <w:lang w:val="es-ES" w:eastAsia="es-ES"/>
    </w:rPr>
  </w:style>
  <w:style w:type="character" w:styleId="Nmerodepgina">
    <w:name w:val="page number"/>
    <w:rsid w:val="00514012"/>
  </w:style>
  <w:style w:type="paragraph" w:styleId="Prrafodelista">
    <w:name w:val="List Paragraph"/>
    <w:basedOn w:val="Normal"/>
    <w:qFormat/>
    <w:rsid w:val="00514012"/>
    <w:pPr>
      <w:widowControl w:val="0"/>
      <w:overflowPunct w:val="0"/>
      <w:adjustRightInd w:val="0"/>
      <w:ind w:left="720"/>
      <w:contextualSpacing/>
    </w:pPr>
    <w:rPr>
      <w:rFonts w:ascii="Times New Roman" w:eastAsia="Times New Roman" w:hAnsi="Times New Roman" w:cs="Arial"/>
      <w:kern w:val="28"/>
      <w:sz w:val="24"/>
      <w:szCs w:val="24"/>
      <w:lang w:val="es-ES" w:eastAsia="es-CO"/>
    </w:rPr>
  </w:style>
  <w:style w:type="paragraph" w:customStyle="1" w:styleId="Style1">
    <w:name w:val="Style 1"/>
    <w:rsid w:val="00514012"/>
    <w:pPr>
      <w:widowControl w:val="0"/>
      <w:autoSpaceDE w:val="0"/>
      <w:autoSpaceDN w:val="0"/>
      <w:adjustRightInd w:val="0"/>
    </w:pPr>
    <w:rPr>
      <w:rFonts w:ascii="Arial" w:eastAsia="Times New Roman" w:hAnsi="Arial" w:cs="Arial"/>
      <w:kern w:val="28"/>
      <w:sz w:val="26"/>
      <w:lang w:eastAsia="es-ES"/>
    </w:rPr>
  </w:style>
  <w:style w:type="character" w:customStyle="1" w:styleId="CharacterStyle1">
    <w:name w:val="Character Style 1"/>
    <w:rsid w:val="00514012"/>
    <w:rPr>
      <w:sz w:val="20"/>
      <w:szCs w:val="20"/>
    </w:rPr>
  </w:style>
  <w:style w:type="paragraph" w:styleId="Textoindependiente2">
    <w:name w:val="Body Text 2"/>
    <w:basedOn w:val="Normal"/>
    <w:link w:val="Textoindependiente2Car"/>
    <w:rsid w:val="00514012"/>
    <w:pPr>
      <w:spacing w:after="120" w:line="480" w:lineRule="auto"/>
    </w:pPr>
    <w:rPr>
      <w:rFonts w:ascii="Arial" w:eastAsia="Times New Roman" w:hAnsi="Arial" w:cs="Arial"/>
      <w:sz w:val="26"/>
      <w:szCs w:val="20"/>
      <w:lang w:val="x-none" w:eastAsia="es-ES"/>
    </w:rPr>
  </w:style>
  <w:style w:type="character" w:customStyle="1" w:styleId="Textoindependiente2Car">
    <w:name w:val="Texto independiente 2 Car"/>
    <w:link w:val="Textoindependiente2"/>
    <w:rsid w:val="00514012"/>
    <w:rPr>
      <w:rFonts w:ascii="Arial" w:eastAsia="Times New Roman" w:hAnsi="Arial" w:cs="Arial"/>
      <w:sz w:val="26"/>
      <w:lang w:val="x-none" w:eastAsia="es-ES"/>
    </w:rPr>
  </w:style>
  <w:style w:type="paragraph" w:customStyle="1" w:styleId="BodyText21">
    <w:name w:val="Body Text 21"/>
    <w:basedOn w:val="Normal"/>
    <w:link w:val="BodyText21Car"/>
    <w:rsid w:val="00514012"/>
    <w:pPr>
      <w:widowControl w:val="0"/>
      <w:autoSpaceDE w:val="0"/>
      <w:autoSpaceDN w:val="0"/>
      <w:spacing w:line="480" w:lineRule="auto"/>
      <w:jc w:val="both"/>
    </w:pPr>
    <w:rPr>
      <w:rFonts w:ascii="Arial" w:eastAsia="Times New Roman" w:hAnsi="Arial" w:cs="Arial"/>
      <w:sz w:val="24"/>
      <w:szCs w:val="24"/>
      <w:lang w:val="es-ES_tradnl" w:eastAsia="es-ES"/>
    </w:rPr>
  </w:style>
  <w:style w:type="paragraph" w:styleId="Textodeglobo">
    <w:name w:val="Balloon Text"/>
    <w:basedOn w:val="Normal"/>
    <w:link w:val="TextodegloboCar"/>
    <w:rsid w:val="00514012"/>
    <w:rPr>
      <w:rFonts w:ascii="Tahoma" w:eastAsia="Times New Roman" w:hAnsi="Tahoma" w:cs="Arial"/>
      <w:sz w:val="16"/>
      <w:szCs w:val="16"/>
      <w:lang w:val="x-none" w:eastAsia="es-ES"/>
    </w:rPr>
  </w:style>
  <w:style w:type="character" w:customStyle="1" w:styleId="TextodegloboCar">
    <w:name w:val="Texto de globo Car"/>
    <w:link w:val="Textodeglobo"/>
    <w:rsid w:val="00514012"/>
    <w:rPr>
      <w:rFonts w:ascii="Tahoma" w:eastAsia="Times New Roman" w:hAnsi="Tahoma" w:cs="Arial"/>
      <w:sz w:val="16"/>
      <w:szCs w:val="16"/>
      <w:lang w:val="x-none" w:eastAsia="es-ES"/>
    </w:rPr>
  </w:style>
  <w:style w:type="character" w:customStyle="1" w:styleId="textonavy1">
    <w:name w:val="texto_navy1"/>
    <w:rsid w:val="00514012"/>
    <w:rPr>
      <w:color w:val="000080"/>
    </w:rPr>
  </w:style>
  <w:style w:type="paragraph" w:styleId="Piedepgina">
    <w:name w:val="footer"/>
    <w:basedOn w:val="Normal"/>
    <w:link w:val="PiedepginaCar"/>
    <w:rsid w:val="00514012"/>
    <w:pPr>
      <w:tabs>
        <w:tab w:val="center" w:pos="4419"/>
        <w:tab w:val="right" w:pos="8838"/>
      </w:tabs>
      <w:spacing w:after="200" w:line="276" w:lineRule="auto"/>
    </w:pPr>
    <w:rPr>
      <w:rFonts w:ascii="Arial" w:eastAsia="Times New Roman" w:hAnsi="Arial" w:cs="Arial"/>
      <w:sz w:val="26"/>
      <w:szCs w:val="20"/>
      <w:lang w:val="x-none" w:eastAsia="es-ES"/>
    </w:rPr>
  </w:style>
  <w:style w:type="character" w:customStyle="1" w:styleId="PiedepginaCar">
    <w:name w:val="Pie de página Car"/>
    <w:link w:val="Piedepgina"/>
    <w:rsid w:val="00514012"/>
    <w:rPr>
      <w:rFonts w:ascii="Arial" w:eastAsia="Times New Roman" w:hAnsi="Arial" w:cs="Arial"/>
      <w:sz w:val="26"/>
      <w:lang w:val="x-none" w:eastAsia="es-ES"/>
    </w:rPr>
  </w:style>
  <w:style w:type="character" w:styleId="Textoennegrita">
    <w:name w:val="Strong"/>
    <w:uiPriority w:val="22"/>
    <w:qFormat/>
    <w:rsid w:val="00514012"/>
    <w:rPr>
      <w:b/>
      <w:bCs/>
    </w:rPr>
  </w:style>
  <w:style w:type="character" w:customStyle="1" w:styleId="FootnoteTextCharCharCharCharCharCar1">
    <w:name w:val="Footnote Text Char Char Char Char Char Car1"/>
    <w:aliases w:val="Footnote Text Char Char Char Char Car1,Footnote reference Car1,FA Fu Car1"/>
    <w:semiHidden/>
    <w:locked/>
    <w:rsid w:val="00514012"/>
    <w:rPr>
      <w:rFonts w:ascii="Courier New" w:hAnsi="Courier New" w:cs="Courier New"/>
      <w:sz w:val="24"/>
      <w:lang w:eastAsia="es-ES"/>
    </w:rPr>
  </w:style>
  <w:style w:type="paragraph" w:styleId="Lista">
    <w:name w:val="List"/>
    <w:basedOn w:val="Normal"/>
    <w:unhideWhenUsed/>
    <w:rsid w:val="00514012"/>
    <w:pPr>
      <w:overflowPunct w:val="0"/>
      <w:autoSpaceDE w:val="0"/>
      <w:autoSpaceDN w:val="0"/>
      <w:adjustRightInd w:val="0"/>
      <w:ind w:left="360" w:hanging="360"/>
    </w:pPr>
    <w:rPr>
      <w:rFonts w:ascii="Arial" w:eastAsia="Times New Roman" w:hAnsi="Arial" w:cs="Arial"/>
      <w:sz w:val="26"/>
      <w:szCs w:val="20"/>
      <w:lang w:val="es-ES_tradnl" w:eastAsia="es-ES"/>
    </w:rPr>
  </w:style>
  <w:style w:type="paragraph" w:customStyle="1" w:styleId="Default">
    <w:name w:val="Default"/>
    <w:rsid w:val="00514012"/>
    <w:pPr>
      <w:autoSpaceDE w:val="0"/>
      <w:autoSpaceDN w:val="0"/>
      <w:adjustRightInd w:val="0"/>
    </w:pPr>
    <w:rPr>
      <w:rFonts w:ascii="Arial" w:eastAsia="Times New Roman" w:hAnsi="Arial" w:cs="Arial"/>
      <w:color w:val="000000"/>
      <w:kern w:val="28"/>
      <w:sz w:val="24"/>
      <w:szCs w:val="24"/>
      <w:lang w:val="es-ES" w:eastAsia="es-ES"/>
    </w:rPr>
  </w:style>
  <w:style w:type="character" w:styleId="nfasis">
    <w:name w:val="Emphasis"/>
    <w:uiPriority w:val="20"/>
    <w:qFormat/>
    <w:rsid w:val="00514012"/>
    <w:rPr>
      <w:b/>
      <w:bCs/>
      <w:i w:val="0"/>
      <w:iCs w:val="0"/>
    </w:rPr>
  </w:style>
  <w:style w:type="paragraph" w:styleId="Sinespaciado">
    <w:name w:val="No Spacing"/>
    <w:qFormat/>
    <w:rsid w:val="00514012"/>
    <w:rPr>
      <w:rFonts w:ascii="Arial" w:eastAsia="Times New Roman" w:hAnsi="Arial" w:cs="Arial"/>
      <w:kern w:val="28"/>
      <w:sz w:val="24"/>
      <w:szCs w:val="24"/>
      <w:lang w:val="es-ES" w:eastAsia="es-ES"/>
    </w:rPr>
  </w:style>
  <w:style w:type="table" w:styleId="Tablaconcuadrcula">
    <w:name w:val="Table Grid"/>
    <w:basedOn w:val="Tablanormal"/>
    <w:rsid w:val="00514012"/>
    <w:rPr>
      <w:rFonts w:ascii="Arial" w:eastAsia="Times New Roman" w:hAnsi="Arial" w:cs="Arial"/>
      <w:sz w:val="26"/>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uiPriority w:val="99"/>
    <w:unhideWhenUsed/>
    <w:rsid w:val="00514012"/>
    <w:rPr>
      <w:color w:val="0000FF"/>
      <w:u w:val="single"/>
    </w:rPr>
  </w:style>
  <w:style w:type="character" w:customStyle="1" w:styleId="apple-converted-space">
    <w:name w:val="apple-converted-space"/>
    <w:rsid w:val="00514012"/>
  </w:style>
  <w:style w:type="paragraph" w:customStyle="1" w:styleId="Textoindependiente31">
    <w:name w:val="Texto independiente 31"/>
    <w:basedOn w:val="Normal"/>
    <w:rsid w:val="00514012"/>
    <w:pPr>
      <w:widowControl w:val="0"/>
      <w:spacing w:line="360" w:lineRule="auto"/>
      <w:jc w:val="both"/>
    </w:pPr>
    <w:rPr>
      <w:rFonts w:ascii="Arial" w:eastAsia="Times New Roman" w:hAnsi="Arial"/>
      <w:sz w:val="24"/>
      <w:szCs w:val="20"/>
      <w:lang w:val="es-ES" w:eastAsia="es-ES"/>
    </w:rPr>
  </w:style>
  <w:style w:type="character" w:styleId="Refdecomentario">
    <w:name w:val="annotation reference"/>
    <w:rsid w:val="00514012"/>
    <w:rPr>
      <w:sz w:val="16"/>
      <w:szCs w:val="16"/>
    </w:rPr>
  </w:style>
  <w:style w:type="paragraph" w:styleId="Textocomentario">
    <w:name w:val="annotation text"/>
    <w:basedOn w:val="Normal"/>
    <w:link w:val="TextocomentarioCar"/>
    <w:rsid w:val="00514012"/>
    <w:pPr>
      <w:spacing w:after="200" w:line="276" w:lineRule="auto"/>
    </w:pPr>
    <w:rPr>
      <w:rFonts w:ascii="Arial" w:eastAsia="Times New Roman" w:hAnsi="Arial" w:cs="Arial"/>
      <w:sz w:val="26"/>
      <w:szCs w:val="20"/>
      <w:lang w:val="es-ES" w:eastAsia="es-ES"/>
    </w:rPr>
  </w:style>
  <w:style w:type="character" w:customStyle="1" w:styleId="TextocomentarioCar">
    <w:name w:val="Texto comentario Car"/>
    <w:link w:val="Textocomentario"/>
    <w:rsid w:val="00514012"/>
    <w:rPr>
      <w:rFonts w:ascii="Arial" w:eastAsia="Times New Roman" w:hAnsi="Arial" w:cs="Arial"/>
      <w:sz w:val="26"/>
      <w:lang w:val="es-ES" w:eastAsia="es-ES"/>
    </w:rPr>
  </w:style>
  <w:style w:type="paragraph" w:styleId="Asuntodelcomentario">
    <w:name w:val="annotation subject"/>
    <w:basedOn w:val="Textocomentario"/>
    <w:next w:val="Textocomentario"/>
    <w:link w:val="AsuntodelcomentarioCar"/>
    <w:rsid w:val="00514012"/>
    <w:rPr>
      <w:b/>
      <w:bCs/>
    </w:rPr>
  </w:style>
  <w:style w:type="character" w:customStyle="1" w:styleId="AsuntodelcomentarioCar">
    <w:name w:val="Asunto del comentario Car"/>
    <w:link w:val="Asuntodelcomentario"/>
    <w:rsid w:val="00514012"/>
    <w:rPr>
      <w:rFonts w:ascii="Arial" w:eastAsia="Times New Roman" w:hAnsi="Arial" w:cs="Arial"/>
      <w:b/>
      <w:bCs/>
      <w:sz w:val="26"/>
      <w:lang w:val="es-ES" w:eastAsia="es-ES"/>
    </w:rPr>
  </w:style>
  <w:style w:type="paragraph" w:styleId="Textoindependiente3">
    <w:name w:val="Body Text 3"/>
    <w:basedOn w:val="Normal"/>
    <w:link w:val="Textoindependiente3Car"/>
    <w:rsid w:val="00514012"/>
    <w:pPr>
      <w:spacing w:after="120" w:line="276" w:lineRule="auto"/>
    </w:pPr>
    <w:rPr>
      <w:rFonts w:ascii="Arial" w:eastAsia="Times New Roman" w:hAnsi="Arial" w:cs="Arial"/>
      <w:sz w:val="16"/>
      <w:szCs w:val="16"/>
      <w:lang w:val="es-ES" w:eastAsia="es-ES"/>
    </w:rPr>
  </w:style>
  <w:style w:type="character" w:customStyle="1" w:styleId="Textoindependiente3Car">
    <w:name w:val="Texto independiente 3 Car"/>
    <w:link w:val="Textoindependiente3"/>
    <w:rsid w:val="00514012"/>
    <w:rPr>
      <w:rFonts w:ascii="Arial" w:eastAsia="Times New Roman" w:hAnsi="Arial" w:cs="Arial"/>
      <w:sz w:val="16"/>
      <w:szCs w:val="16"/>
      <w:lang w:val="es-ES" w:eastAsia="es-ES"/>
    </w:rPr>
  </w:style>
  <w:style w:type="character" w:customStyle="1" w:styleId="BodyText21Car">
    <w:name w:val="Body Text 21 Car"/>
    <w:link w:val="BodyText21"/>
    <w:rsid w:val="00514012"/>
    <w:rPr>
      <w:rFonts w:ascii="Arial" w:eastAsia="Times New Roman" w:hAnsi="Arial" w:cs="Arial"/>
      <w:sz w:val="24"/>
      <w:szCs w:val="24"/>
      <w:lang w:val="es-ES_tradnl" w:eastAsia="es-ES"/>
    </w:rPr>
  </w:style>
  <w:style w:type="paragraph" w:customStyle="1" w:styleId="Textodebloque1">
    <w:name w:val="Texto de bloque1"/>
    <w:basedOn w:val="Normal"/>
    <w:rsid w:val="00514012"/>
    <w:pPr>
      <w:overflowPunct w:val="0"/>
      <w:autoSpaceDE w:val="0"/>
      <w:autoSpaceDN w:val="0"/>
      <w:adjustRightInd w:val="0"/>
      <w:ind w:left="720" w:firstLine="706"/>
      <w:jc w:val="both"/>
      <w:textAlignment w:val="baseline"/>
    </w:pPr>
    <w:rPr>
      <w:rFonts w:ascii="Times New Roman" w:eastAsia="Times New Roman" w:hAnsi="Times New Roman"/>
      <w:i/>
      <w:sz w:val="24"/>
      <w:szCs w:val="20"/>
      <w:lang w:val="es-ES_tradnl" w:eastAsia="es-ES"/>
    </w:rPr>
  </w:style>
  <w:style w:type="paragraph" w:customStyle="1" w:styleId="ParrafoCdeE">
    <w:name w:val="Parrafo C de E"/>
    <w:basedOn w:val="Normal"/>
    <w:rsid w:val="00514012"/>
    <w:pPr>
      <w:overflowPunct w:val="0"/>
      <w:autoSpaceDE w:val="0"/>
      <w:autoSpaceDN w:val="0"/>
      <w:adjustRightInd w:val="0"/>
      <w:spacing w:line="360" w:lineRule="auto"/>
      <w:ind w:firstLine="1418"/>
      <w:jc w:val="both"/>
      <w:textAlignment w:val="baseline"/>
    </w:pPr>
    <w:rPr>
      <w:rFonts w:ascii="Arial" w:eastAsia="Times New Roman" w:hAnsi="Arial"/>
      <w:sz w:val="24"/>
      <w:szCs w:val="20"/>
      <w:lang w:val="es-ES_tradnl" w:eastAsia="es-ES"/>
    </w:rPr>
  </w:style>
  <w:style w:type="paragraph" w:customStyle="1" w:styleId="BodyText28">
    <w:name w:val="Body Text 28"/>
    <w:basedOn w:val="Normal"/>
    <w:rsid w:val="00514012"/>
    <w:pPr>
      <w:widowControl w:val="0"/>
      <w:tabs>
        <w:tab w:val="left" w:pos="0"/>
        <w:tab w:val="left" w:pos="708"/>
        <w:tab w:val="left" w:pos="1416"/>
        <w:tab w:val="left" w:pos="2124"/>
        <w:tab w:val="left" w:pos="2832"/>
        <w:tab w:val="left" w:pos="3540"/>
        <w:tab w:val="left" w:pos="4956"/>
        <w:tab w:val="left" w:pos="5664"/>
        <w:tab w:val="left" w:pos="6372"/>
        <w:tab w:val="left" w:pos="7080"/>
        <w:tab w:val="left" w:pos="7788"/>
        <w:tab w:val="left" w:pos="8496"/>
      </w:tabs>
      <w:suppressAutoHyphens/>
      <w:overflowPunct w:val="0"/>
      <w:autoSpaceDE w:val="0"/>
      <w:autoSpaceDN w:val="0"/>
      <w:adjustRightInd w:val="0"/>
      <w:spacing w:line="360" w:lineRule="auto"/>
      <w:jc w:val="both"/>
      <w:textAlignment w:val="baseline"/>
    </w:pPr>
    <w:rPr>
      <w:rFonts w:ascii="Arial" w:eastAsia="Times New Roman" w:hAnsi="Arial"/>
      <w:spacing w:val="-2"/>
      <w:szCs w:val="20"/>
      <w:lang w:val="es-ES" w:eastAsia="es-ES"/>
    </w:rPr>
  </w:style>
  <w:style w:type="paragraph" w:customStyle="1" w:styleId="Textoindependiente22">
    <w:name w:val="Texto independiente 22"/>
    <w:basedOn w:val="Normal"/>
    <w:rsid w:val="00514012"/>
    <w:pPr>
      <w:overflowPunct w:val="0"/>
      <w:autoSpaceDE w:val="0"/>
      <w:autoSpaceDN w:val="0"/>
      <w:adjustRightInd w:val="0"/>
      <w:spacing w:line="480" w:lineRule="auto"/>
      <w:jc w:val="both"/>
      <w:textAlignment w:val="baseline"/>
    </w:pPr>
    <w:rPr>
      <w:rFonts w:ascii="Arial" w:eastAsia="Times New Roman" w:hAnsi="Arial" w:cs="Arial"/>
      <w:sz w:val="24"/>
      <w:szCs w:val="20"/>
      <w:lang w:val="es-ES" w:eastAsia="es-ES"/>
    </w:rPr>
  </w:style>
  <w:style w:type="character" w:customStyle="1" w:styleId="Hipervnculo1">
    <w:name w:val="Hipervínculo1"/>
    <w:rsid w:val="00514012"/>
    <w:rPr>
      <w:color w:val="0000FF"/>
      <w:u w:val="single"/>
    </w:rPr>
  </w:style>
  <w:style w:type="paragraph" w:customStyle="1" w:styleId="textocaja">
    <w:name w:val="textocaja"/>
    <w:basedOn w:val="Normal"/>
    <w:uiPriority w:val="99"/>
    <w:rsid w:val="00514012"/>
    <w:pPr>
      <w:spacing w:before="100" w:beforeAutospacing="1" w:after="100" w:afterAutospacing="1"/>
      <w:jc w:val="both"/>
    </w:pPr>
    <w:rPr>
      <w:rFonts w:ascii="Georgia" w:eastAsia="Times New Roman" w:hAnsi="Georgia"/>
      <w:lang w:eastAsia="es-CO"/>
    </w:rPr>
  </w:style>
  <w:style w:type="character" w:customStyle="1" w:styleId="NormalWebCar">
    <w:name w:val="Normal (Web) Car"/>
    <w:link w:val="NormalWeb"/>
    <w:uiPriority w:val="99"/>
    <w:rsid w:val="00514012"/>
    <w:rPr>
      <w:rFonts w:ascii="Times New Roman" w:eastAsia="Times New Roman" w:hAnsi="Times New Roman" w:cs="Arial"/>
      <w:sz w:val="24"/>
      <w:szCs w:val="24"/>
      <w:lang w:val="es-ES" w:eastAsia="es-ES"/>
    </w:rPr>
  </w:style>
  <w:style w:type="paragraph" w:customStyle="1" w:styleId="Citaentexto">
    <w:name w:val="Cita en texto"/>
    <w:basedOn w:val="Normal"/>
    <w:qFormat/>
    <w:rsid w:val="00514012"/>
    <w:pPr>
      <w:widowControl w:val="0"/>
      <w:autoSpaceDE w:val="0"/>
      <w:autoSpaceDN w:val="0"/>
      <w:adjustRightInd w:val="0"/>
      <w:spacing w:line="276" w:lineRule="auto"/>
      <w:ind w:left="567" w:right="567"/>
      <w:jc w:val="both"/>
    </w:pPr>
    <w:rPr>
      <w:rFonts w:ascii="Century Gothic" w:eastAsia="Times New Roman" w:hAnsi="Century Gothic"/>
      <w:i/>
      <w:iCs/>
      <w:lang w:val="es-ES" w:eastAsia="es-ES"/>
    </w:rPr>
  </w:style>
  <w:style w:type="paragraph" w:customStyle="1" w:styleId="ProyectosCE">
    <w:name w:val="Proyectos CE"/>
    <w:basedOn w:val="Normal"/>
    <w:qFormat/>
    <w:rsid w:val="00514012"/>
    <w:pPr>
      <w:spacing w:line="360" w:lineRule="auto"/>
      <w:jc w:val="both"/>
    </w:pPr>
    <w:rPr>
      <w:rFonts w:ascii="Century Gothic" w:eastAsia="Times New Roman" w:hAnsi="Century Gothic" w:cs="Arial"/>
      <w:sz w:val="24"/>
      <w:szCs w:val="24"/>
      <w:lang w:val="es-ES" w:eastAsia="es-ES"/>
    </w:rPr>
  </w:style>
  <w:style w:type="character" w:customStyle="1" w:styleId="baj">
    <w:name w:val="b_aj"/>
    <w:rsid w:val="00514012"/>
  </w:style>
  <w:style w:type="paragraph" w:styleId="Textosinformato">
    <w:name w:val="Plain Text"/>
    <w:basedOn w:val="Normal"/>
    <w:link w:val="TextosinformatoCar"/>
    <w:rsid w:val="00514012"/>
    <w:rPr>
      <w:rFonts w:ascii="Courier New" w:eastAsia="Times New Roman" w:hAnsi="Courier New" w:cs="Courier New"/>
      <w:sz w:val="26"/>
      <w:szCs w:val="20"/>
      <w:lang w:val="es-ES" w:eastAsia="es-ES"/>
    </w:rPr>
  </w:style>
  <w:style w:type="character" w:customStyle="1" w:styleId="TextosinformatoCar">
    <w:name w:val="Texto sin formato Car"/>
    <w:link w:val="Textosinformato"/>
    <w:rsid w:val="00514012"/>
    <w:rPr>
      <w:rFonts w:ascii="Courier New" w:eastAsia="Times New Roman" w:hAnsi="Courier New" w:cs="Courier New"/>
      <w:sz w:val="26"/>
      <w:lang w:val="es-ES" w:eastAsia="es-ES"/>
    </w:rPr>
  </w:style>
  <w:style w:type="paragraph" w:styleId="Sangra2detindependiente">
    <w:name w:val="Body Text Indent 2"/>
    <w:basedOn w:val="Normal"/>
    <w:link w:val="Sangra2detindependienteCar"/>
    <w:semiHidden/>
    <w:unhideWhenUsed/>
    <w:rsid w:val="00514012"/>
    <w:pPr>
      <w:spacing w:after="120" w:line="480" w:lineRule="auto"/>
      <w:ind w:left="283"/>
    </w:pPr>
    <w:rPr>
      <w:rFonts w:ascii="Arial" w:eastAsia="Times New Roman" w:hAnsi="Arial" w:cs="Arial"/>
      <w:sz w:val="26"/>
      <w:szCs w:val="20"/>
      <w:lang w:val="es-ES" w:eastAsia="es-ES"/>
    </w:rPr>
  </w:style>
  <w:style w:type="character" w:customStyle="1" w:styleId="Sangra2detindependienteCar">
    <w:name w:val="Sangría 2 de t. independiente Car"/>
    <w:link w:val="Sangra2detindependiente"/>
    <w:semiHidden/>
    <w:rsid w:val="00514012"/>
    <w:rPr>
      <w:rFonts w:ascii="Arial" w:eastAsia="Times New Roman" w:hAnsi="Arial" w:cs="Arial"/>
      <w:sz w:val="26"/>
      <w:lang w:val="es-ES" w:eastAsia="es-ES"/>
    </w:rPr>
  </w:style>
  <w:style w:type="paragraph" w:styleId="Sangradetextonormal">
    <w:name w:val="Body Text Indent"/>
    <w:basedOn w:val="Normal"/>
    <w:link w:val="SangradetextonormalCar"/>
    <w:semiHidden/>
    <w:unhideWhenUsed/>
    <w:rsid w:val="00514012"/>
    <w:pPr>
      <w:spacing w:after="120" w:line="276" w:lineRule="auto"/>
      <w:ind w:left="283"/>
    </w:pPr>
    <w:rPr>
      <w:rFonts w:ascii="Arial" w:eastAsia="Times New Roman" w:hAnsi="Arial" w:cs="Arial"/>
      <w:sz w:val="26"/>
      <w:szCs w:val="20"/>
      <w:lang w:val="es-ES" w:eastAsia="es-ES"/>
    </w:rPr>
  </w:style>
  <w:style w:type="character" w:customStyle="1" w:styleId="SangradetextonormalCar">
    <w:name w:val="Sangría de texto normal Car"/>
    <w:link w:val="Sangradetextonormal"/>
    <w:semiHidden/>
    <w:rsid w:val="00514012"/>
    <w:rPr>
      <w:rFonts w:ascii="Arial" w:eastAsia="Times New Roman" w:hAnsi="Arial" w:cs="Arial"/>
      <w:sz w:val="26"/>
      <w:lang w:val="es-ES" w:eastAsia="es-ES"/>
    </w:rPr>
  </w:style>
  <w:style w:type="numbering" w:customStyle="1" w:styleId="Sinlista2">
    <w:name w:val="Sin lista2"/>
    <w:next w:val="Sinlista"/>
    <w:uiPriority w:val="99"/>
    <w:semiHidden/>
    <w:unhideWhenUsed/>
    <w:rsid w:val="00F639AF"/>
  </w:style>
  <w:style w:type="table" w:customStyle="1" w:styleId="Tablaconcuadrcula1">
    <w:name w:val="Tabla con cuadrícula1"/>
    <w:basedOn w:val="Tablanormal"/>
    <w:next w:val="Tablaconcuadrcula"/>
    <w:rsid w:val="00F639AF"/>
    <w:rPr>
      <w:rFonts w:ascii="Arial" w:eastAsia="Times New Roman" w:hAnsi="Arial" w:cs="Arial"/>
      <w:sz w:val="26"/>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link w:val="Ttulo3"/>
    <w:uiPriority w:val="9"/>
    <w:semiHidden/>
    <w:rsid w:val="00BA3983"/>
    <w:rPr>
      <w:rFonts w:ascii="Calibri Light" w:eastAsia="Times New Roman" w:hAnsi="Calibri Light" w:cs="Times New Roman"/>
      <w:b/>
      <w:bCs/>
      <w:sz w:val="26"/>
      <w:szCs w:val="26"/>
      <w:lang w:val="es-CO"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7022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Props1.xml><?xml version="1.0" encoding="utf-8"?>
<ds:datastoreItem xmlns:ds="http://schemas.openxmlformats.org/officeDocument/2006/customXml" ds:itemID="{618088BE-A139-4838-B139-E64C4D1CE7AD}"/>
</file>

<file path=customXml/itemProps2.xml><?xml version="1.0" encoding="utf-8"?>
<ds:datastoreItem xmlns:ds="http://schemas.openxmlformats.org/officeDocument/2006/customXml" ds:itemID="{AD8579DE-DDB3-4599-99EE-A25A01DF429D}">
  <ds:schemaRefs>
    <ds:schemaRef ds:uri="http://schemas.microsoft.com/sharepoint/v3/contenttype/forms"/>
  </ds:schemaRefs>
</ds:datastoreItem>
</file>

<file path=customXml/itemProps3.xml><?xml version="1.0" encoding="utf-8"?>
<ds:datastoreItem xmlns:ds="http://schemas.openxmlformats.org/officeDocument/2006/customXml" ds:itemID="{EB7A5299-FC1C-4A66-809E-8438EC528C1C}">
  <ds:schemaRefs>
    <ds:schemaRef ds:uri="http://schemas.microsoft.com/office/2006/metadata/properties"/>
    <ds:schemaRef ds:uri="http://purl.org/dc/elements/1.1/"/>
    <ds:schemaRef ds:uri="a6cb9e4b-f1d1-4245-83ec-6cad768d538a"/>
    <ds:schemaRef ds:uri="http://purl.org/dc/terms/"/>
    <ds:schemaRef ds:uri="http://schemas.openxmlformats.org/package/2006/metadata/core-properties"/>
    <ds:schemaRef ds:uri="http://purl.org/dc/dcmitype/"/>
    <ds:schemaRef ds:uri="http://schemas.microsoft.com/office/2006/documentManagement/types"/>
    <ds:schemaRef ds:uri="http://schemas.microsoft.com/office/infopath/2007/PartnerControls"/>
    <ds:schemaRef ds:uri="9d85dbaf-23eb-4e57-a637-93dcacc8b1a1"/>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7769</Words>
  <Characters>44288</Characters>
  <Application>Microsoft Office Word</Application>
  <DocSecurity>0</DocSecurity>
  <Lines>369</Lines>
  <Paragraphs>103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JENNY CAROLINA LEAL OLIVOS</dc:creator>
  <cp:keywords/>
  <dc:description/>
  <cp:lastModifiedBy>Silvia Juliana Saavedra Arguello</cp:lastModifiedBy>
  <cp:revision>2</cp:revision>
  <dcterms:created xsi:type="dcterms:W3CDTF">2020-04-15T23:57:00Z</dcterms:created>
  <dcterms:modified xsi:type="dcterms:W3CDTF">2020-04-15T23:57:00Z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