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5030" w:rsidRPr="00732015" w:rsidRDefault="00DC7AFA" w:rsidP="003676A1">
      <w:pPr>
        <w:spacing w:after="0" w:line="240" w:lineRule="auto"/>
        <w:jc w:val="both"/>
        <w:rPr>
          <w:rFonts w:ascii="Arial" w:hAnsi="Arial" w:cs="Arial"/>
          <w:color w:val="000000"/>
          <w:spacing w:val="2"/>
        </w:rPr>
      </w:pPr>
      <w:bookmarkStart w:id="0" w:name="_GoBack"/>
      <w:r w:rsidRPr="00732015">
        <w:rPr>
          <w:rFonts w:ascii="Arial" w:hAnsi="Arial" w:cs="Arial"/>
          <w:b/>
          <w:color w:val="000000"/>
          <w:spacing w:val="2"/>
        </w:rPr>
        <w:t>CADUCIDAD – Acción de reparación directa</w:t>
      </w:r>
    </w:p>
    <w:p w:rsidR="00DC7AFA" w:rsidRPr="00732015" w:rsidRDefault="00DC7AFA" w:rsidP="003676A1">
      <w:pPr>
        <w:spacing w:after="0" w:line="240" w:lineRule="auto"/>
        <w:jc w:val="both"/>
        <w:rPr>
          <w:rFonts w:ascii="Arial" w:hAnsi="Arial" w:cs="Arial"/>
          <w:color w:val="000000"/>
          <w:spacing w:val="2"/>
        </w:rPr>
      </w:pPr>
    </w:p>
    <w:p w:rsidR="00DC7AFA" w:rsidRPr="00732015" w:rsidRDefault="00DC7AFA" w:rsidP="003676A1">
      <w:pPr>
        <w:spacing w:after="0" w:line="240" w:lineRule="auto"/>
        <w:jc w:val="both"/>
        <w:rPr>
          <w:rFonts w:ascii="Arial" w:hAnsi="Arial" w:cs="Arial"/>
          <w:spacing w:val="4"/>
          <w:lang w:eastAsia="es-CO"/>
        </w:rPr>
      </w:pPr>
      <w:r w:rsidRPr="00732015">
        <w:rPr>
          <w:rFonts w:ascii="Arial" w:hAnsi="Arial" w:cs="Arial"/>
          <w:spacing w:val="4"/>
          <w:lang w:eastAsia="es-CO"/>
        </w:rPr>
        <w:t>En concordancia con el artículo 136 del Código Contencioso Administrativo contenido en el Decreto Ley 01 de 1984, en los casos en los cuales se ejerce la acción de reparación directa con fundamento en la privación injusta de la libertad, el término de caducidad de dos (2) años se cuenta desde el momento en el cual el sindicado recupera la libertad y/o la providencia absolutoria queda ejecutoriada -lo último que ocurra (…) comoquiera que de conformidad con lo dispuesto por las Leyes 446 de 1998 y 640 de 2001, normas vigentes para el momento de interposición de la demanda,el término de caducidad de la acción se suspende cuando se presenta solicitud de conciliación extrajudicial en derecho.</w:t>
      </w:r>
    </w:p>
    <w:p w:rsidR="00DC7AFA" w:rsidRPr="00732015" w:rsidRDefault="00DC7AFA" w:rsidP="003676A1">
      <w:pPr>
        <w:spacing w:after="0" w:line="240" w:lineRule="auto"/>
        <w:jc w:val="both"/>
        <w:rPr>
          <w:rFonts w:ascii="Arial" w:hAnsi="Arial" w:cs="Arial"/>
          <w:color w:val="000000"/>
          <w:spacing w:val="2"/>
        </w:rPr>
      </w:pPr>
    </w:p>
    <w:p w:rsidR="008118A9" w:rsidRPr="00732015" w:rsidRDefault="00720F3D" w:rsidP="003676A1">
      <w:pPr>
        <w:spacing w:after="0" w:line="240" w:lineRule="auto"/>
        <w:jc w:val="both"/>
        <w:rPr>
          <w:rFonts w:ascii="Arial" w:hAnsi="Arial" w:cs="Arial"/>
          <w:color w:val="000000"/>
          <w:spacing w:val="2"/>
        </w:rPr>
      </w:pPr>
      <w:r w:rsidRPr="00732015">
        <w:rPr>
          <w:rFonts w:ascii="Arial" w:hAnsi="Arial" w:cs="Arial"/>
          <w:b/>
          <w:color w:val="000000"/>
          <w:spacing w:val="2"/>
        </w:rPr>
        <w:t>RÉGIMEN DE RESPONSABILIDAD –</w:t>
      </w:r>
      <w:r w:rsidRPr="00732015">
        <w:rPr>
          <w:rFonts w:ascii="Arial" w:hAnsi="Arial" w:cs="Arial"/>
          <w:color w:val="000000"/>
          <w:spacing w:val="2"/>
        </w:rPr>
        <w:t xml:space="preserve"> </w:t>
      </w:r>
      <w:r w:rsidRPr="00732015">
        <w:rPr>
          <w:rFonts w:ascii="Arial" w:hAnsi="Arial" w:cs="Arial"/>
          <w:b/>
          <w:color w:val="000000"/>
          <w:spacing w:val="2"/>
        </w:rPr>
        <w:t>Privación injusta de la libertad</w:t>
      </w:r>
    </w:p>
    <w:p w:rsidR="00720F3D" w:rsidRPr="00732015" w:rsidRDefault="00720F3D" w:rsidP="003676A1">
      <w:pPr>
        <w:spacing w:after="0" w:line="240" w:lineRule="auto"/>
        <w:jc w:val="both"/>
        <w:rPr>
          <w:rFonts w:ascii="Arial" w:hAnsi="Arial" w:cs="Arial"/>
          <w:color w:val="000000"/>
          <w:spacing w:val="2"/>
        </w:rPr>
      </w:pPr>
    </w:p>
    <w:p w:rsidR="00720F3D" w:rsidRPr="00732015" w:rsidRDefault="00720F3D" w:rsidP="003676A1">
      <w:pPr>
        <w:pStyle w:val="Sinespaciado"/>
        <w:jc w:val="both"/>
        <w:rPr>
          <w:rFonts w:ascii="Arial" w:eastAsia="Times New Roman" w:hAnsi="Arial" w:cs="Arial"/>
          <w:lang w:val="es-ES" w:eastAsia="es-ES"/>
        </w:rPr>
      </w:pPr>
      <w:r w:rsidRPr="00732015">
        <w:rPr>
          <w:rFonts w:ascii="Arial" w:hAnsi="Arial" w:cs="Arial"/>
        </w:rPr>
        <w:t xml:space="preserve">La imputación de responsabilidad en estos casos </w:t>
      </w:r>
      <w:r w:rsidRPr="00732015">
        <w:rPr>
          <w:rFonts w:ascii="Arial" w:hAnsi="Arial" w:cs="Arial"/>
          <w:i/>
        </w:rPr>
        <w:t>–bien sea en aplicación del régimen objetivo o subjetivo-</w:t>
      </w:r>
      <w:r w:rsidRPr="00732015">
        <w:rPr>
          <w:rFonts w:ascii="Arial" w:hAnsi="Arial" w:cs="Arial"/>
        </w:rPr>
        <w:t xml:space="preserve">, de ninguna manera excluye la posibilidad de apreciar </w:t>
      </w:r>
      <w:r w:rsidRPr="00732015">
        <w:rPr>
          <w:rFonts w:ascii="Arial" w:eastAsia="Times New Roman" w:hAnsi="Arial" w:cs="Arial"/>
          <w:lang w:val="es-ES" w:eastAsia="es-ES"/>
        </w:rPr>
        <w:t xml:space="preserve">la existencia de algún supuesto de hecho en virtud del cual pudiera entenderse configurada una causal de exoneración, a saber: </w:t>
      </w:r>
      <w:r w:rsidRPr="00732015">
        <w:rPr>
          <w:rFonts w:ascii="Arial" w:eastAsia="Times New Roman" w:hAnsi="Arial" w:cs="Arial"/>
          <w:i/>
          <w:lang w:val="es-ES" w:eastAsia="es-ES"/>
        </w:rPr>
        <w:t xml:space="preserve">i) </w:t>
      </w:r>
      <w:r w:rsidRPr="00732015">
        <w:rPr>
          <w:rFonts w:ascii="Arial" w:eastAsia="Times New Roman" w:hAnsi="Arial" w:cs="Arial"/>
          <w:lang w:val="es-ES" w:eastAsia="es-ES"/>
        </w:rPr>
        <w:t xml:space="preserve">fuerza mayor, </w:t>
      </w:r>
      <w:r w:rsidRPr="00732015">
        <w:rPr>
          <w:rFonts w:ascii="Arial" w:eastAsia="Times New Roman" w:hAnsi="Arial" w:cs="Arial"/>
          <w:i/>
          <w:lang w:val="es-ES" w:eastAsia="es-ES"/>
        </w:rPr>
        <w:t>ii)</w:t>
      </w:r>
      <w:r w:rsidRPr="00732015">
        <w:rPr>
          <w:rFonts w:ascii="Arial" w:eastAsia="Times New Roman" w:hAnsi="Arial" w:cs="Arial"/>
          <w:lang w:val="es-ES" w:eastAsia="es-ES"/>
        </w:rPr>
        <w:t xml:space="preserve"> hecho exclusivo de un tercero o </w:t>
      </w:r>
      <w:r w:rsidRPr="00732015">
        <w:rPr>
          <w:rFonts w:ascii="Arial" w:eastAsia="Times New Roman" w:hAnsi="Arial" w:cs="Arial"/>
          <w:i/>
          <w:lang w:val="es-ES" w:eastAsia="es-ES"/>
        </w:rPr>
        <w:t>iii)</w:t>
      </w:r>
      <w:r w:rsidRPr="00732015">
        <w:rPr>
          <w:rFonts w:ascii="Arial" w:eastAsia="Times New Roman" w:hAnsi="Arial" w:cs="Arial"/>
          <w:lang w:val="es-ES" w:eastAsia="es-ES"/>
        </w:rPr>
        <w:t xml:space="preserve"> culpa exclusiva y determinante de la víctima.</w:t>
      </w:r>
    </w:p>
    <w:p w:rsidR="00720F3D" w:rsidRPr="00732015" w:rsidRDefault="00720F3D" w:rsidP="003676A1">
      <w:pPr>
        <w:pStyle w:val="Sinespaciado"/>
        <w:jc w:val="both"/>
        <w:rPr>
          <w:rFonts w:ascii="Arial" w:eastAsia="Times New Roman" w:hAnsi="Arial" w:cs="Arial"/>
          <w:lang w:val="es-ES" w:eastAsia="es-ES"/>
        </w:rPr>
      </w:pPr>
    </w:p>
    <w:p w:rsidR="00720F3D" w:rsidRPr="00732015" w:rsidRDefault="00720F3D" w:rsidP="003676A1">
      <w:pPr>
        <w:pStyle w:val="Sinespaciado"/>
        <w:jc w:val="both"/>
        <w:rPr>
          <w:rFonts w:ascii="Arial" w:eastAsia="Times New Roman" w:hAnsi="Arial" w:cs="Arial"/>
          <w:b/>
          <w:lang w:val="es-ES" w:eastAsia="es-ES"/>
        </w:rPr>
      </w:pPr>
      <w:r w:rsidRPr="00732015">
        <w:rPr>
          <w:rFonts w:ascii="Arial" w:eastAsia="Times New Roman" w:hAnsi="Arial" w:cs="Arial"/>
          <w:b/>
          <w:lang w:val="es-ES" w:eastAsia="es-ES"/>
        </w:rPr>
        <w:t>HECHO DE LA VÍCTIMA – Responsabilidad del Estado</w:t>
      </w:r>
    </w:p>
    <w:p w:rsidR="00720F3D" w:rsidRPr="00732015" w:rsidRDefault="00720F3D" w:rsidP="003676A1">
      <w:pPr>
        <w:pStyle w:val="Sinespaciado"/>
        <w:jc w:val="both"/>
        <w:rPr>
          <w:rFonts w:ascii="Arial" w:eastAsia="Times New Roman" w:hAnsi="Arial" w:cs="Arial"/>
          <w:lang w:val="es-ES" w:eastAsia="es-ES"/>
        </w:rPr>
      </w:pPr>
    </w:p>
    <w:p w:rsidR="00720F3D" w:rsidRPr="00732015" w:rsidRDefault="00720F3D" w:rsidP="003676A1">
      <w:pPr>
        <w:pStyle w:val="Sinespaciado"/>
        <w:jc w:val="both"/>
        <w:rPr>
          <w:rFonts w:ascii="Arial" w:hAnsi="Arial" w:cs="Arial"/>
        </w:rPr>
      </w:pPr>
      <w:r w:rsidRPr="00732015">
        <w:rPr>
          <w:rFonts w:ascii="Arial" w:hAnsi="Arial" w:cs="Arial"/>
        </w:rPr>
        <w:t>La jurisprudencia de esta Corporación ha definido los parámetros con base en los cuales resulta forzoso reconocer que la responsabilidad del Estado no puede quedar comprometida como consecuencia de la actuación de la autoridad pública en el caso concreto, en consideración a que el carácter de hecho causalmente vinculado a la producción del daño no es predicable de aquella, sino del proceder -</w:t>
      </w:r>
      <w:r w:rsidRPr="00732015">
        <w:rPr>
          <w:rFonts w:ascii="Arial" w:hAnsi="Arial" w:cs="Arial"/>
          <w:i/>
        </w:rPr>
        <w:t>activo u omisivo</w:t>
      </w:r>
      <w:r w:rsidRPr="00732015">
        <w:rPr>
          <w:rFonts w:ascii="Arial" w:hAnsi="Arial" w:cs="Arial"/>
        </w:rPr>
        <w:t xml:space="preserve">- de quien sufre el perjuicio. Así pues, en punto de los requisitos para considerar que concurre, en un supuesto específico, el hecho de la víctima como eximente de responsabilidad administrativa, (…) </w:t>
      </w:r>
      <w:r w:rsidR="00CB27EE" w:rsidRPr="00732015">
        <w:rPr>
          <w:rFonts w:ascii="Arial" w:hAnsi="Arial" w:cs="Arial"/>
        </w:rPr>
        <w:t>a efectos de que opere el hecho de la víctima como eximente de responsabilidad, resulta necesario aclarar, en cada caso concreto, si el proceder -</w:t>
      </w:r>
      <w:r w:rsidR="00CB27EE" w:rsidRPr="00732015">
        <w:rPr>
          <w:rFonts w:ascii="Arial" w:hAnsi="Arial" w:cs="Arial"/>
          <w:i/>
        </w:rPr>
        <w:t>se repite,</w:t>
      </w:r>
      <w:r w:rsidR="00CB27EE" w:rsidRPr="00732015">
        <w:rPr>
          <w:rFonts w:ascii="Arial" w:hAnsi="Arial" w:cs="Arial"/>
        </w:rPr>
        <w:t xml:space="preserve"> </w:t>
      </w:r>
      <w:r w:rsidR="00CB27EE" w:rsidRPr="00732015">
        <w:rPr>
          <w:rFonts w:ascii="Arial" w:hAnsi="Arial" w:cs="Arial"/>
          <w:i/>
        </w:rPr>
        <w:t>activo u omisivo</w:t>
      </w:r>
      <w:r w:rsidR="00CB27EE" w:rsidRPr="00732015">
        <w:rPr>
          <w:rFonts w:ascii="Arial" w:hAnsi="Arial" w:cs="Arial"/>
        </w:rPr>
        <w:t xml:space="preserve">- de aquella tuvo o no injerencia y en qué medida, en la producción del daño. Ello, comoquiera que </w:t>
      </w:r>
      <w:smartTag w:uri="urn:schemas-microsoft-com:office:smarttags" w:element="PersonName">
        <w:smartTagPr>
          <w:attr w:name="ProductID" w:val="la Sala"/>
        </w:smartTagPr>
        <w:r w:rsidR="00CB27EE" w:rsidRPr="00732015">
          <w:rPr>
            <w:rFonts w:ascii="Arial" w:hAnsi="Arial" w:cs="Arial"/>
          </w:rPr>
          <w:t>la Sala</w:t>
        </w:r>
      </w:smartTag>
      <w:r w:rsidR="00CB27EE" w:rsidRPr="00732015">
        <w:rPr>
          <w:rFonts w:ascii="Arial" w:hAnsi="Arial" w:cs="Arial"/>
        </w:rPr>
        <w:t xml:space="preserve"> ha señalado que el hecho de la víctima, como causal de exoneración de responsabilidad o de reducción del monto de la condena respectiva, debe constituir, exclusiva o parcialmente, la causa eficiente del perjuicio reclamado.</w:t>
      </w:r>
    </w:p>
    <w:p w:rsidR="00CB27EE" w:rsidRPr="00732015" w:rsidRDefault="00CB27EE" w:rsidP="003676A1">
      <w:pPr>
        <w:pStyle w:val="Sinespaciado"/>
        <w:jc w:val="both"/>
        <w:rPr>
          <w:rFonts w:ascii="Arial" w:hAnsi="Arial" w:cs="Arial"/>
        </w:rPr>
      </w:pPr>
    </w:p>
    <w:p w:rsidR="00CB27EE" w:rsidRPr="00732015" w:rsidRDefault="003676A1" w:rsidP="003676A1">
      <w:pPr>
        <w:pStyle w:val="Sinespaciado"/>
        <w:jc w:val="both"/>
        <w:rPr>
          <w:rFonts w:ascii="Arial" w:hAnsi="Arial" w:cs="Arial"/>
        </w:rPr>
      </w:pPr>
      <w:r w:rsidRPr="00732015">
        <w:rPr>
          <w:rFonts w:ascii="Arial" w:hAnsi="Arial" w:cs="Arial"/>
          <w:b/>
        </w:rPr>
        <w:t>PRIVACIÓN DE LA LIBERTAD – Medida de aseguramiento</w:t>
      </w:r>
    </w:p>
    <w:p w:rsidR="003676A1" w:rsidRPr="00732015" w:rsidRDefault="003676A1" w:rsidP="003676A1">
      <w:pPr>
        <w:pStyle w:val="Sinespaciado"/>
        <w:jc w:val="both"/>
        <w:rPr>
          <w:rFonts w:ascii="Arial" w:hAnsi="Arial" w:cs="Arial"/>
        </w:rPr>
      </w:pPr>
    </w:p>
    <w:p w:rsidR="003676A1" w:rsidRPr="00732015" w:rsidRDefault="003676A1" w:rsidP="003676A1">
      <w:pPr>
        <w:overflowPunct w:val="0"/>
        <w:autoSpaceDE w:val="0"/>
        <w:autoSpaceDN w:val="0"/>
        <w:adjustRightInd w:val="0"/>
        <w:spacing w:line="240" w:lineRule="auto"/>
        <w:jc w:val="both"/>
        <w:textAlignment w:val="baseline"/>
        <w:rPr>
          <w:rFonts w:ascii="Arial" w:eastAsia="Times New Roman" w:hAnsi="Arial" w:cs="Arial"/>
          <w:lang w:val="es-ES_tradnl" w:eastAsia="es-ES"/>
        </w:rPr>
      </w:pPr>
      <w:r w:rsidRPr="00732015">
        <w:rPr>
          <w:rFonts w:ascii="Arial" w:eastAsia="Times New Roman" w:hAnsi="Arial" w:cs="Arial"/>
          <w:lang w:val="es-ES_tradnl" w:eastAsia="es-ES"/>
        </w:rPr>
        <w:t>La privación de la libertad derivada de una medida de aseguramiento legalmente proferida, por reunirse el pleno de los requisitos legales para ser emitida, no se torna injusta por el solo hecho de haberse declarado la prescripción de la acción penal a favor del procesado, toda vez que si bien esta clase de decisión mantiene la intangibilidad de la presunción de inocencia, lo cierto es que deja en vilo el estudio y definición de fondo respecto de la conducta punible endilgada, circunstancia que impone -para efecto de determinar la responsabilidad patrimonial del Estado- la valoración, en cada caso concreto, respecto de la actuación de la víctima, en punto de establecer si dio lugar a que apareciera razonablemente comprometida su responsabilidad por el presunto delito por el cual fue procesado o si su actuación procesal se dirigió a dilatar el proceso para provocar el vencimiento del término de prescripción.</w:t>
      </w:r>
    </w:p>
    <w:p w:rsidR="003676A1" w:rsidRPr="00732015" w:rsidRDefault="003676A1" w:rsidP="003676A1">
      <w:pPr>
        <w:overflowPunct w:val="0"/>
        <w:autoSpaceDE w:val="0"/>
        <w:autoSpaceDN w:val="0"/>
        <w:adjustRightInd w:val="0"/>
        <w:spacing w:line="240" w:lineRule="auto"/>
        <w:jc w:val="both"/>
        <w:textAlignment w:val="baseline"/>
        <w:rPr>
          <w:rFonts w:ascii="Arial" w:eastAsia="Times New Roman" w:hAnsi="Arial" w:cs="Arial"/>
          <w:lang w:val="es-ES_tradnl" w:eastAsia="es-ES"/>
        </w:rPr>
      </w:pPr>
    </w:p>
    <w:p w:rsidR="003676A1" w:rsidRPr="00732015" w:rsidRDefault="003676A1" w:rsidP="003676A1">
      <w:pPr>
        <w:overflowPunct w:val="0"/>
        <w:autoSpaceDE w:val="0"/>
        <w:autoSpaceDN w:val="0"/>
        <w:adjustRightInd w:val="0"/>
        <w:spacing w:line="360" w:lineRule="auto"/>
        <w:jc w:val="both"/>
        <w:textAlignment w:val="baseline"/>
        <w:rPr>
          <w:rFonts w:ascii="Arial" w:eastAsia="Times New Roman" w:hAnsi="Arial" w:cs="Arial"/>
          <w:lang w:val="es-ES_tradnl" w:eastAsia="es-ES"/>
        </w:rPr>
      </w:pPr>
    </w:p>
    <w:p w:rsidR="003676A1" w:rsidRPr="00732015" w:rsidRDefault="003676A1" w:rsidP="00720F3D">
      <w:pPr>
        <w:pStyle w:val="Sinespaciado"/>
        <w:spacing w:line="360" w:lineRule="auto"/>
        <w:jc w:val="both"/>
        <w:rPr>
          <w:rFonts w:ascii="Arial" w:hAnsi="Arial" w:cs="Arial"/>
        </w:rPr>
      </w:pPr>
    </w:p>
    <w:p w:rsidR="00720F3D" w:rsidRPr="00732015" w:rsidRDefault="00720F3D" w:rsidP="00720F3D">
      <w:pPr>
        <w:pStyle w:val="Sinespaciado"/>
        <w:spacing w:line="360" w:lineRule="auto"/>
        <w:jc w:val="both"/>
        <w:rPr>
          <w:rFonts w:ascii="Arial" w:hAnsi="Arial" w:cs="Arial"/>
        </w:rPr>
      </w:pPr>
    </w:p>
    <w:p w:rsidR="00DC7AFA" w:rsidRPr="00732015" w:rsidRDefault="00DC7AFA" w:rsidP="00720F3D">
      <w:pPr>
        <w:pStyle w:val="Sinespaciado"/>
        <w:spacing w:line="360" w:lineRule="auto"/>
        <w:jc w:val="both"/>
        <w:rPr>
          <w:rFonts w:ascii="Arial" w:eastAsia="Times New Roman" w:hAnsi="Arial" w:cs="Arial"/>
          <w:lang w:val="es-ES" w:eastAsia="es-ES"/>
        </w:rPr>
      </w:pPr>
    </w:p>
    <w:p w:rsidR="00DC7AFA" w:rsidRPr="00732015" w:rsidRDefault="00DC7AFA" w:rsidP="003676A1">
      <w:pPr>
        <w:spacing w:after="0" w:line="240" w:lineRule="auto"/>
        <w:jc w:val="both"/>
        <w:rPr>
          <w:rFonts w:ascii="Arial" w:hAnsi="Arial" w:cs="Arial"/>
          <w:color w:val="000000"/>
          <w:spacing w:val="2"/>
        </w:rPr>
      </w:pPr>
    </w:p>
    <w:p w:rsidR="008118A9" w:rsidRPr="00732015" w:rsidRDefault="00720F3D" w:rsidP="003676A1">
      <w:pPr>
        <w:spacing w:after="0" w:line="240" w:lineRule="auto"/>
        <w:jc w:val="both"/>
        <w:rPr>
          <w:rFonts w:ascii="Arial" w:hAnsi="Arial" w:cs="Arial"/>
          <w:b/>
          <w:color w:val="000000"/>
          <w:spacing w:val="2"/>
        </w:rPr>
      </w:pPr>
      <w:r w:rsidRPr="00732015">
        <w:rPr>
          <w:rFonts w:ascii="Arial" w:hAnsi="Arial" w:cs="Arial"/>
          <w:b/>
          <w:color w:val="000000"/>
          <w:spacing w:val="2"/>
        </w:rPr>
        <w:t>RÉGIMEN DE RESPONSABILIDAD –</w:t>
      </w:r>
      <w:r w:rsidRPr="00732015">
        <w:rPr>
          <w:rFonts w:ascii="Arial" w:hAnsi="Arial" w:cs="Arial"/>
          <w:color w:val="000000"/>
          <w:spacing w:val="2"/>
        </w:rPr>
        <w:t xml:space="preserve"> </w:t>
      </w:r>
      <w:r w:rsidRPr="00732015">
        <w:rPr>
          <w:rFonts w:ascii="Arial" w:hAnsi="Arial" w:cs="Arial"/>
          <w:b/>
          <w:color w:val="000000"/>
          <w:spacing w:val="2"/>
        </w:rPr>
        <w:t>Privación injusta de la libertad</w:t>
      </w:r>
    </w:p>
    <w:p w:rsidR="00720F3D" w:rsidRPr="00732015" w:rsidRDefault="00720F3D" w:rsidP="003676A1">
      <w:pPr>
        <w:spacing w:after="0" w:line="240" w:lineRule="auto"/>
        <w:jc w:val="both"/>
        <w:rPr>
          <w:rFonts w:ascii="Arial" w:hAnsi="Arial" w:cs="Arial"/>
          <w:color w:val="000000"/>
          <w:spacing w:val="2"/>
        </w:rPr>
      </w:pPr>
    </w:p>
    <w:p w:rsidR="00720F3D" w:rsidRPr="00732015" w:rsidRDefault="00720F3D" w:rsidP="003676A1">
      <w:pPr>
        <w:pStyle w:val="Sinespaciado"/>
        <w:jc w:val="both"/>
        <w:rPr>
          <w:rFonts w:ascii="Arial" w:eastAsia="Times New Roman" w:hAnsi="Arial" w:cs="Arial"/>
          <w:lang w:val="es-ES" w:eastAsia="es-ES"/>
        </w:rPr>
      </w:pPr>
      <w:r w:rsidRPr="00732015">
        <w:rPr>
          <w:rFonts w:ascii="Arial" w:hAnsi="Arial" w:cs="Arial"/>
        </w:rPr>
        <w:t xml:space="preserve">La imputación de responsabilidad en estos casos </w:t>
      </w:r>
      <w:r w:rsidRPr="00732015">
        <w:rPr>
          <w:rFonts w:ascii="Arial" w:hAnsi="Arial" w:cs="Arial"/>
          <w:i/>
        </w:rPr>
        <w:t>–bien sea en aplicación del régimen objetivo o subjetivo-</w:t>
      </w:r>
      <w:r w:rsidRPr="00732015">
        <w:rPr>
          <w:rFonts w:ascii="Arial" w:hAnsi="Arial" w:cs="Arial"/>
        </w:rPr>
        <w:t xml:space="preserve">, de ninguna manera excluye la posibilidad de apreciar </w:t>
      </w:r>
      <w:r w:rsidRPr="00732015">
        <w:rPr>
          <w:rFonts w:ascii="Arial" w:eastAsia="Times New Roman" w:hAnsi="Arial" w:cs="Arial"/>
          <w:lang w:val="es-ES" w:eastAsia="es-ES"/>
        </w:rPr>
        <w:t xml:space="preserve">la existencia de algún supuesto de hecho en virtud del cual pudiera entenderse configurada una causal de exoneración, a saber: </w:t>
      </w:r>
      <w:r w:rsidRPr="00732015">
        <w:rPr>
          <w:rFonts w:ascii="Arial" w:eastAsia="Times New Roman" w:hAnsi="Arial" w:cs="Arial"/>
          <w:i/>
          <w:lang w:val="es-ES" w:eastAsia="es-ES"/>
        </w:rPr>
        <w:t xml:space="preserve">i) </w:t>
      </w:r>
      <w:r w:rsidRPr="00732015">
        <w:rPr>
          <w:rFonts w:ascii="Arial" w:eastAsia="Times New Roman" w:hAnsi="Arial" w:cs="Arial"/>
          <w:lang w:val="es-ES" w:eastAsia="es-ES"/>
        </w:rPr>
        <w:t xml:space="preserve">fuerza mayor, </w:t>
      </w:r>
      <w:r w:rsidRPr="00732015">
        <w:rPr>
          <w:rFonts w:ascii="Arial" w:eastAsia="Times New Roman" w:hAnsi="Arial" w:cs="Arial"/>
          <w:i/>
          <w:lang w:val="es-ES" w:eastAsia="es-ES"/>
        </w:rPr>
        <w:t>ii)</w:t>
      </w:r>
      <w:r w:rsidRPr="00732015">
        <w:rPr>
          <w:rFonts w:ascii="Arial" w:eastAsia="Times New Roman" w:hAnsi="Arial" w:cs="Arial"/>
          <w:lang w:val="es-ES" w:eastAsia="es-ES"/>
        </w:rPr>
        <w:t xml:space="preserve"> hecho exclusivo de un tercero o </w:t>
      </w:r>
      <w:r w:rsidRPr="00732015">
        <w:rPr>
          <w:rFonts w:ascii="Arial" w:eastAsia="Times New Roman" w:hAnsi="Arial" w:cs="Arial"/>
          <w:i/>
          <w:lang w:val="es-ES" w:eastAsia="es-ES"/>
        </w:rPr>
        <w:t>iii)</w:t>
      </w:r>
      <w:r w:rsidRPr="00732015">
        <w:rPr>
          <w:rFonts w:ascii="Arial" w:eastAsia="Times New Roman" w:hAnsi="Arial" w:cs="Arial"/>
          <w:lang w:val="es-ES" w:eastAsia="es-ES"/>
        </w:rPr>
        <w:t xml:space="preserve"> culpa exclusiva y determinante de la víctima.</w:t>
      </w:r>
    </w:p>
    <w:p w:rsidR="00720F3D" w:rsidRPr="00732015" w:rsidRDefault="00720F3D" w:rsidP="003676A1">
      <w:pPr>
        <w:pStyle w:val="Sinespaciado"/>
        <w:jc w:val="both"/>
        <w:rPr>
          <w:rFonts w:ascii="Arial" w:eastAsia="Times New Roman" w:hAnsi="Arial" w:cs="Arial"/>
          <w:lang w:val="es-ES" w:eastAsia="es-ES"/>
        </w:rPr>
      </w:pPr>
    </w:p>
    <w:p w:rsidR="00720F3D" w:rsidRPr="00732015" w:rsidRDefault="00720F3D" w:rsidP="003676A1">
      <w:pPr>
        <w:pStyle w:val="Sinespaciado"/>
        <w:jc w:val="both"/>
        <w:rPr>
          <w:rFonts w:ascii="Arial" w:eastAsia="Times New Roman" w:hAnsi="Arial" w:cs="Arial"/>
          <w:lang w:val="es-ES" w:eastAsia="es-ES"/>
        </w:rPr>
      </w:pPr>
      <w:r w:rsidRPr="00732015">
        <w:rPr>
          <w:rFonts w:ascii="Arial" w:eastAsia="Times New Roman" w:hAnsi="Arial" w:cs="Arial"/>
          <w:b/>
          <w:lang w:val="es-ES" w:eastAsia="es-ES"/>
        </w:rPr>
        <w:t>HECHO DE LA VÍCTIMA – Responsabilidad del Estado</w:t>
      </w:r>
    </w:p>
    <w:p w:rsidR="00720F3D" w:rsidRPr="00732015" w:rsidRDefault="00720F3D" w:rsidP="003676A1">
      <w:pPr>
        <w:pStyle w:val="Sinespaciado"/>
        <w:jc w:val="both"/>
        <w:rPr>
          <w:rFonts w:ascii="Arial" w:eastAsia="Times New Roman" w:hAnsi="Arial" w:cs="Arial"/>
          <w:lang w:val="es-ES" w:eastAsia="es-ES"/>
        </w:rPr>
      </w:pPr>
    </w:p>
    <w:p w:rsidR="00720F3D" w:rsidRPr="00732015" w:rsidRDefault="00720F3D" w:rsidP="003676A1">
      <w:pPr>
        <w:pStyle w:val="Sinespaciado"/>
        <w:jc w:val="both"/>
        <w:rPr>
          <w:rFonts w:ascii="Arial" w:hAnsi="Arial" w:cs="Arial"/>
        </w:rPr>
      </w:pPr>
      <w:r w:rsidRPr="00732015">
        <w:rPr>
          <w:rFonts w:ascii="Arial" w:hAnsi="Arial" w:cs="Arial"/>
        </w:rPr>
        <w:t>La jurisprudencia de esta Corporación ha definido los parámetros con base en los cuales resulta forzoso reconocer que la responsabilidad del Estado no puede quedar comprometida como consecuencia de la actuación de la autoridad pública en el caso concreto, en consideración a que el carácter de hecho causalmente vinculado a la producción del daño no es predicable de aquella, sino del proceder -</w:t>
      </w:r>
      <w:r w:rsidRPr="00732015">
        <w:rPr>
          <w:rFonts w:ascii="Arial" w:hAnsi="Arial" w:cs="Arial"/>
          <w:i/>
        </w:rPr>
        <w:t>activo u omisivo</w:t>
      </w:r>
      <w:r w:rsidRPr="00732015">
        <w:rPr>
          <w:rFonts w:ascii="Arial" w:hAnsi="Arial" w:cs="Arial"/>
        </w:rPr>
        <w:t xml:space="preserve">- de quien sufre el perjuicio. Así pues, en punto de los requisitos para considerar que concurre, en un supuesto específico, el hecho de la víctima como eximente de responsabilidad administrativa, (…) </w:t>
      </w:r>
      <w:r w:rsidR="00CB27EE" w:rsidRPr="00732015">
        <w:rPr>
          <w:rFonts w:ascii="Arial" w:hAnsi="Arial" w:cs="Arial"/>
        </w:rPr>
        <w:t>a efectos de que opere el hecho de la víctima como eximente de responsabilidad, resulta necesario aclarar, en cada caso concreto, si el proceder -</w:t>
      </w:r>
      <w:r w:rsidR="00CB27EE" w:rsidRPr="00732015">
        <w:rPr>
          <w:rFonts w:ascii="Arial" w:hAnsi="Arial" w:cs="Arial"/>
          <w:i/>
        </w:rPr>
        <w:t>se repite,</w:t>
      </w:r>
      <w:r w:rsidR="00CB27EE" w:rsidRPr="00732015">
        <w:rPr>
          <w:rFonts w:ascii="Arial" w:hAnsi="Arial" w:cs="Arial"/>
        </w:rPr>
        <w:t xml:space="preserve"> </w:t>
      </w:r>
      <w:r w:rsidR="00CB27EE" w:rsidRPr="00732015">
        <w:rPr>
          <w:rFonts w:ascii="Arial" w:hAnsi="Arial" w:cs="Arial"/>
          <w:i/>
        </w:rPr>
        <w:t>activo u omisivo</w:t>
      </w:r>
      <w:r w:rsidR="00CB27EE" w:rsidRPr="00732015">
        <w:rPr>
          <w:rFonts w:ascii="Arial" w:hAnsi="Arial" w:cs="Arial"/>
        </w:rPr>
        <w:t xml:space="preserve">- de aquella tuvo o no injerencia y en qué medida, en la producción del daño. Ello, comoquiera que </w:t>
      </w:r>
      <w:smartTag w:uri="urn:schemas-microsoft-com:office:smarttags" w:element="PersonName">
        <w:smartTagPr>
          <w:attr w:name="ProductID" w:val="la Sala"/>
        </w:smartTagPr>
        <w:r w:rsidR="00CB27EE" w:rsidRPr="00732015">
          <w:rPr>
            <w:rFonts w:ascii="Arial" w:hAnsi="Arial" w:cs="Arial"/>
          </w:rPr>
          <w:t>la Sala</w:t>
        </w:r>
      </w:smartTag>
      <w:r w:rsidR="00CB27EE" w:rsidRPr="00732015">
        <w:rPr>
          <w:rFonts w:ascii="Arial" w:hAnsi="Arial" w:cs="Arial"/>
        </w:rPr>
        <w:t xml:space="preserve"> ha señalado que el hecho de la víctima, como causal de exoneración de responsabilidad o de reducción del monto de la condena respectiva, debe constituir, exclusiva o parcialmente, la causa eficiente del perjuicio reclamado.</w:t>
      </w:r>
    </w:p>
    <w:p w:rsidR="00CB27EE" w:rsidRPr="00732015" w:rsidRDefault="00CB27EE" w:rsidP="003676A1">
      <w:pPr>
        <w:pStyle w:val="Sinespaciado"/>
        <w:jc w:val="both"/>
        <w:rPr>
          <w:rFonts w:ascii="Arial" w:hAnsi="Arial" w:cs="Arial"/>
        </w:rPr>
      </w:pPr>
    </w:p>
    <w:p w:rsidR="00CB27EE" w:rsidRPr="00732015" w:rsidRDefault="003676A1" w:rsidP="003676A1">
      <w:pPr>
        <w:pStyle w:val="Sinespaciado"/>
        <w:jc w:val="both"/>
        <w:rPr>
          <w:rFonts w:ascii="Arial" w:hAnsi="Arial" w:cs="Arial"/>
        </w:rPr>
      </w:pPr>
      <w:r w:rsidRPr="00732015">
        <w:rPr>
          <w:rFonts w:ascii="Arial" w:hAnsi="Arial" w:cs="Arial"/>
          <w:b/>
        </w:rPr>
        <w:t>PRIVACIÓN DE LA LIBERTAD – Medida de aseguramiento</w:t>
      </w:r>
    </w:p>
    <w:p w:rsidR="003676A1" w:rsidRPr="00732015" w:rsidRDefault="003676A1" w:rsidP="003676A1">
      <w:pPr>
        <w:pStyle w:val="Sinespaciado"/>
        <w:jc w:val="both"/>
        <w:rPr>
          <w:rFonts w:ascii="Arial" w:hAnsi="Arial" w:cs="Arial"/>
        </w:rPr>
      </w:pPr>
    </w:p>
    <w:p w:rsidR="0095446C" w:rsidRPr="00732015" w:rsidRDefault="003676A1" w:rsidP="0095446C">
      <w:pPr>
        <w:overflowPunct w:val="0"/>
        <w:autoSpaceDE w:val="0"/>
        <w:autoSpaceDN w:val="0"/>
        <w:adjustRightInd w:val="0"/>
        <w:spacing w:line="240" w:lineRule="auto"/>
        <w:jc w:val="both"/>
        <w:textAlignment w:val="baseline"/>
        <w:rPr>
          <w:rFonts w:ascii="Arial" w:eastAsia="Times New Roman" w:hAnsi="Arial" w:cs="Arial"/>
          <w:lang w:val="es-ES_tradnl" w:eastAsia="es-ES"/>
        </w:rPr>
      </w:pPr>
      <w:r w:rsidRPr="00732015">
        <w:rPr>
          <w:rFonts w:ascii="Arial" w:eastAsia="Times New Roman" w:hAnsi="Arial" w:cs="Arial"/>
          <w:lang w:val="es-ES_tradnl" w:eastAsia="es-ES"/>
        </w:rPr>
        <w:t>La privación de la libertad derivada de una medida de aseguramiento legalmente proferida, por reunirse el pleno de los requisitos legales para ser emitida, no se torna injusta por el solo hecho de haberse declarado la prescripción de la acción penal a favor del procesado, toda vez que si bien esta clase de decisión mantiene la intangibilidad de la presunción de inocencia, lo cierto es que deja en vilo el estudio y definición de fondo respecto de la conducta punible endilgada, circunstancia que impone -para efecto de determinar la responsabilidad patrimonial del Estado- la valoración, en cada caso concreto, respecto de la actuación de la víctima, en punto de establecer si dio lugar a que apareciera razonablemente comprometida su responsabilidad por el presunto delito por el cual fue procesado o si su actuación procesal se dirigió a dilatar el proceso para provocar el vencimiento del término de prescripción</w:t>
      </w:r>
    </w:p>
    <w:bookmarkEnd w:id="0"/>
    <w:p w:rsidR="0095446C" w:rsidRPr="0095446C" w:rsidRDefault="0095446C" w:rsidP="0095446C">
      <w:pPr>
        <w:overflowPunct w:val="0"/>
        <w:autoSpaceDE w:val="0"/>
        <w:autoSpaceDN w:val="0"/>
        <w:adjustRightInd w:val="0"/>
        <w:spacing w:line="240" w:lineRule="auto"/>
        <w:jc w:val="both"/>
        <w:textAlignment w:val="baseline"/>
        <w:rPr>
          <w:rFonts w:ascii="Arial" w:eastAsia="Times New Roman" w:hAnsi="Arial" w:cs="Arial"/>
          <w:sz w:val="24"/>
          <w:szCs w:val="24"/>
          <w:lang w:val="es-ES_tradnl" w:eastAsia="es-ES"/>
        </w:rPr>
      </w:pPr>
    </w:p>
    <w:p w:rsidR="00DC7AFA" w:rsidRPr="00DC7AFA" w:rsidRDefault="00DC7AFA" w:rsidP="00BC5030">
      <w:pPr>
        <w:spacing w:after="0" w:line="240" w:lineRule="auto"/>
        <w:jc w:val="both"/>
        <w:rPr>
          <w:rFonts w:ascii="Arial" w:hAnsi="Arial" w:cs="Arial"/>
          <w:color w:val="000000"/>
          <w:spacing w:val="2"/>
          <w:sz w:val="24"/>
          <w:szCs w:val="24"/>
        </w:rPr>
      </w:pPr>
    </w:p>
    <w:p w:rsidR="00A624FC" w:rsidRPr="00A143CE" w:rsidRDefault="00A624FC" w:rsidP="00A430A6">
      <w:pPr>
        <w:spacing w:after="0" w:line="240" w:lineRule="auto"/>
        <w:jc w:val="center"/>
        <w:rPr>
          <w:rFonts w:ascii="Arial" w:hAnsi="Arial" w:cs="Arial"/>
          <w:b/>
          <w:color w:val="000000"/>
          <w:spacing w:val="2"/>
          <w:sz w:val="24"/>
          <w:szCs w:val="24"/>
        </w:rPr>
      </w:pPr>
      <w:r w:rsidRPr="00A143CE">
        <w:rPr>
          <w:rFonts w:ascii="Arial" w:hAnsi="Arial" w:cs="Arial"/>
          <w:b/>
          <w:color w:val="000000"/>
          <w:spacing w:val="2"/>
          <w:sz w:val="24"/>
          <w:szCs w:val="24"/>
        </w:rPr>
        <w:t>CONSEJO DE ESTADO</w:t>
      </w:r>
    </w:p>
    <w:p w:rsidR="002E7A46" w:rsidRPr="00A143CE" w:rsidRDefault="002E7A46" w:rsidP="002E7A46">
      <w:pPr>
        <w:spacing w:after="0" w:line="240" w:lineRule="auto"/>
        <w:jc w:val="center"/>
        <w:rPr>
          <w:rFonts w:ascii="Arial" w:hAnsi="Arial" w:cs="Arial"/>
          <w:b/>
          <w:color w:val="000000"/>
          <w:spacing w:val="2"/>
          <w:sz w:val="24"/>
          <w:szCs w:val="24"/>
        </w:rPr>
      </w:pPr>
    </w:p>
    <w:p w:rsidR="00A624FC" w:rsidRPr="00A143CE" w:rsidRDefault="00A624FC" w:rsidP="002E7A46">
      <w:pPr>
        <w:spacing w:after="0" w:line="240" w:lineRule="auto"/>
        <w:jc w:val="center"/>
        <w:rPr>
          <w:rFonts w:ascii="Arial" w:hAnsi="Arial" w:cs="Arial"/>
          <w:b/>
          <w:color w:val="000000"/>
          <w:spacing w:val="2"/>
          <w:sz w:val="24"/>
          <w:szCs w:val="24"/>
        </w:rPr>
      </w:pPr>
      <w:r w:rsidRPr="00A143CE">
        <w:rPr>
          <w:rFonts w:ascii="Arial" w:hAnsi="Arial" w:cs="Arial"/>
          <w:b/>
          <w:color w:val="000000"/>
          <w:spacing w:val="2"/>
          <w:sz w:val="24"/>
          <w:szCs w:val="24"/>
        </w:rPr>
        <w:t>SALA DE LO CONTENCIOSO ADMINISTRATIVO</w:t>
      </w:r>
    </w:p>
    <w:p w:rsidR="002E7A46" w:rsidRPr="00A143CE" w:rsidRDefault="002E7A46" w:rsidP="002E7A46">
      <w:pPr>
        <w:spacing w:after="0" w:line="240" w:lineRule="auto"/>
        <w:jc w:val="center"/>
        <w:rPr>
          <w:rFonts w:ascii="Arial" w:hAnsi="Arial" w:cs="Arial"/>
          <w:b/>
          <w:color w:val="000000"/>
          <w:spacing w:val="2"/>
          <w:sz w:val="24"/>
          <w:szCs w:val="24"/>
        </w:rPr>
      </w:pPr>
    </w:p>
    <w:p w:rsidR="002E7A46" w:rsidRPr="00A143CE" w:rsidRDefault="00A624FC" w:rsidP="002E7A46">
      <w:pPr>
        <w:spacing w:after="0" w:line="240" w:lineRule="auto"/>
        <w:jc w:val="center"/>
        <w:rPr>
          <w:rFonts w:ascii="Arial" w:hAnsi="Arial" w:cs="Arial"/>
          <w:b/>
          <w:color w:val="000000"/>
          <w:spacing w:val="2"/>
          <w:sz w:val="24"/>
          <w:szCs w:val="24"/>
        </w:rPr>
      </w:pPr>
      <w:r w:rsidRPr="00A143CE">
        <w:rPr>
          <w:rFonts w:ascii="Arial" w:hAnsi="Arial" w:cs="Arial"/>
          <w:b/>
          <w:color w:val="000000"/>
          <w:spacing w:val="2"/>
          <w:sz w:val="24"/>
          <w:szCs w:val="24"/>
        </w:rPr>
        <w:t>SECCIÓN TERCERA</w:t>
      </w:r>
    </w:p>
    <w:p w:rsidR="002E7A46" w:rsidRPr="00A143CE" w:rsidRDefault="002E7A46" w:rsidP="002E7A46">
      <w:pPr>
        <w:spacing w:after="0" w:line="240" w:lineRule="auto"/>
        <w:jc w:val="center"/>
        <w:rPr>
          <w:rFonts w:ascii="Arial" w:hAnsi="Arial" w:cs="Arial"/>
          <w:b/>
          <w:color w:val="000000"/>
          <w:spacing w:val="2"/>
          <w:sz w:val="24"/>
          <w:szCs w:val="24"/>
        </w:rPr>
      </w:pPr>
    </w:p>
    <w:p w:rsidR="00A624FC" w:rsidRPr="00A143CE" w:rsidRDefault="002E7A46" w:rsidP="002E7A46">
      <w:pPr>
        <w:spacing w:after="0" w:line="240" w:lineRule="auto"/>
        <w:jc w:val="center"/>
        <w:rPr>
          <w:rFonts w:ascii="Arial" w:hAnsi="Arial" w:cs="Arial"/>
          <w:b/>
          <w:color w:val="000000"/>
          <w:spacing w:val="2"/>
          <w:sz w:val="24"/>
          <w:szCs w:val="24"/>
        </w:rPr>
      </w:pPr>
      <w:r w:rsidRPr="00A143CE">
        <w:rPr>
          <w:rFonts w:ascii="Arial" w:hAnsi="Arial" w:cs="Arial"/>
          <w:b/>
          <w:color w:val="000000"/>
          <w:spacing w:val="2"/>
          <w:sz w:val="24"/>
          <w:szCs w:val="24"/>
        </w:rPr>
        <w:t>SUBSECCIÓN A</w:t>
      </w:r>
    </w:p>
    <w:p w:rsidR="00A624FC" w:rsidRPr="00A143CE" w:rsidRDefault="00A624FC" w:rsidP="002E7A46">
      <w:pPr>
        <w:pStyle w:val="Sinespaciado"/>
        <w:jc w:val="center"/>
        <w:rPr>
          <w:rFonts w:ascii="Arial" w:hAnsi="Arial" w:cs="Arial"/>
          <w:color w:val="000000"/>
          <w:sz w:val="24"/>
          <w:szCs w:val="24"/>
        </w:rPr>
      </w:pPr>
    </w:p>
    <w:p w:rsidR="00A624FC" w:rsidRPr="00A143CE" w:rsidRDefault="00933D25" w:rsidP="002E7A46">
      <w:pPr>
        <w:spacing w:after="0" w:line="240" w:lineRule="auto"/>
        <w:jc w:val="center"/>
        <w:rPr>
          <w:rFonts w:ascii="Arial" w:hAnsi="Arial" w:cs="Arial"/>
          <w:b/>
          <w:color w:val="000000"/>
          <w:spacing w:val="2"/>
          <w:sz w:val="24"/>
          <w:szCs w:val="24"/>
        </w:rPr>
      </w:pPr>
      <w:r w:rsidRPr="00A143CE">
        <w:rPr>
          <w:rFonts w:ascii="Arial" w:hAnsi="Arial" w:cs="Arial"/>
          <w:b/>
          <w:color w:val="000000"/>
          <w:spacing w:val="2"/>
          <w:sz w:val="24"/>
          <w:szCs w:val="24"/>
        </w:rPr>
        <w:t>Consejera</w:t>
      </w:r>
      <w:r w:rsidR="002E7A46" w:rsidRPr="00A143CE">
        <w:rPr>
          <w:rFonts w:ascii="Arial" w:hAnsi="Arial" w:cs="Arial"/>
          <w:b/>
          <w:color w:val="000000"/>
          <w:spacing w:val="2"/>
          <w:sz w:val="24"/>
          <w:szCs w:val="24"/>
        </w:rPr>
        <w:t xml:space="preserve"> p</w:t>
      </w:r>
      <w:r w:rsidR="00A624FC" w:rsidRPr="00A143CE">
        <w:rPr>
          <w:rFonts w:ascii="Arial" w:hAnsi="Arial" w:cs="Arial"/>
          <w:b/>
          <w:color w:val="000000"/>
          <w:spacing w:val="2"/>
          <w:sz w:val="24"/>
          <w:szCs w:val="24"/>
        </w:rPr>
        <w:t>onente</w:t>
      </w:r>
      <w:r w:rsidRPr="00A143CE">
        <w:rPr>
          <w:rFonts w:ascii="Arial" w:hAnsi="Arial" w:cs="Arial"/>
          <w:b/>
          <w:color w:val="000000"/>
          <w:spacing w:val="2"/>
          <w:sz w:val="24"/>
          <w:szCs w:val="24"/>
        </w:rPr>
        <w:t>: MARTA NUBIA VELÁSQUEZ RICO</w:t>
      </w:r>
      <w:r w:rsidR="002E7A46" w:rsidRPr="00A143CE">
        <w:rPr>
          <w:rFonts w:ascii="Arial" w:hAnsi="Arial" w:cs="Arial"/>
          <w:b/>
          <w:color w:val="000000"/>
          <w:spacing w:val="2"/>
          <w:sz w:val="24"/>
          <w:szCs w:val="24"/>
        </w:rPr>
        <w:t xml:space="preserve"> (E)</w:t>
      </w:r>
    </w:p>
    <w:p w:rsidR="00A624FC" w:rsidRPr="00A143CE" w:rsidRDefault="00A624FC" w:rsidP="002E7A46">
      <w:pPr>
        <w:spacing w:after="0" w:line="240" w:lineRule="auto"/>
        <w:jc w:val="both"/>
        <w:rPr>
          <w:rFonts w:ascii="Arial" w:hAnsi="Arial" w:cs="Arial"/>
          <w:color w:val="000000"/>
          <w:sz w:val="24"/>
          <w:szCs w:val="24"/>
        </w:rPr>
      </w:pPr>
    </w:p>
    <w:p w:rsidR="00D84308" w:rsidRPr="00A143CE" w:rsidRDefault="002C1AEE" w:rsidP="002E7A46">
      <w:pPr>
        <w:spacing w:after="0" w:line="240" w:lineRule="auto"/>
        <w:jc w:val="both"/>
        <w:rPr>
          <w:rFonts w:ascii="Arial" w:hAnsi="Arial" w:cs="Arial"/>
          <w:b/>
          <w:color w:val="000000"/>
          <w:spacing w:val="2"/>
          <w:sz w:val="24"/>
          <w:szCs w:val="24"/>
        </w:rPr>
      </w:pPr>
      <w:r>
        <w:rPr>
          <w:rFonts w:ascii="Arial" w:hAnsi="Arial" w:cs="Arial"/>
          <w:color w:val="000000"/>
          <w:spacing w:val="2"/>
          <w:sz w:val="24"/>
          <w:szCs w:val="24"/>
        </w:rPr>
        <w:t xml:space="preserve">Bogotá, </w:t>
      </w:r>
      <w:r w:rsidR="00C05B31" w:rsidRPr="00A143CE">
        <w:rPr>
          <w:rFonts w:ascii="Arial" w:hAnsi="Arial" w:cs="Arial"/>
          <w:color w:val="000000"/>
          <w:spacing w:val="2"/>
          <w:sz w:val="24"/>
          <w:szCs w:val="24"/>
        </w:rPr>
        <w:t>D.C.,</w:t>
      </w:r>
      <w:r w:rsidR="004C1592" w:rsidRPr="00A143CE">
        <w:rPr>
          <w:rFonts w:ascii="Arial" w:hAnsi="Arial" w:cs="Arial"/>
          <w:color w:val="000000"/>
          <w:spacing w:val="2"/>
          <w:sz w:val="24"/>
          <w:szCs w:val="24"/>
        </w:rPr>
        <w:t xml:space="preserve"> diecinueve (19) de julio de dos mil diecisiete </w:t>
      </w:r>
      <w:r w:rsidR="009D2B03" w:rsidRPr="00A143CE">
        <w:rPr>
          <w:rFonts w:ascii="Arial" w:hAnsi="Arial" w:cs="Arial"/>
          <w:color w:val="000000"/>
          <w:spacing w:val="2"/>
          <w:sz w:val="24"/>
          <w:szCs w:val="24"/>
        </w:rPr>
        <w:t>(</w:t>
      </w:r>
      <w:r w:rsidR="004C1592" w:rsidRPr="00A143CE">
        <w:rPr>
          <w:rFonts w:ascii="Arial" w:hAnsi="Arial" w:cs="Arial"/>
          <w:color w:val="000000"/>
          <w:spacing w:val="2"/>
          <w:sz w:val="24"/>
          <w:szCs w:val="24"/>
        </w:rPr>
        <w:t>2017</w:t>
      </w:r>
      <w:r w:rsidR="009D2B03" w:rsidRPr="00A143CE">
        <w:rPr>
          <w:rFonts w:ascii="Arial" w:hAnsi="Arial" w:cs="Arial"/>
          <w:color w:val="000000"/>
          <w:spacing w:val="2"/>
          <w:sz w:val="24"/>
          <w:szCs w:val="24"/>
        </w:rPr>
        <w:t>)</w:t>
      </w:r>
    </w:p>
    <w:p w:rsidR="00267AAD" w:rsidRPr="00A143CE" w:rsidRDefault="00267AAD" w:rsidP="002E7A46">
      <w:pPr>
        <w:pStyle w:val="Sinespaciado"/>
        <w:jc w:val="both"/>
        <w:rPr>
          <w:rFonts w:ascii="Arial" w:hAnsi="Arial" w:cs="Arial"/>
          <w:sz w:val="24"/>
          <w:szCs w:val="24"/>
          <w:lang w:eastAsia="es-CO"/>
        </w:rPr>
      </w:pPr>
    </w:p>
    <w:p w:rsidR="00A624FC" w:rsidRPr="00A143CE" w:rsidRDefault="002E7A46" w:rsidP="002E7A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b/>
          <w:spacing w:val="4"/>
          <w:sz w:val="24"/>
          <w:szCs w:val="24"/>
          <w:lang w:eastAsia="es-CO"/>
        </w:rPr>
      </w:pPr>
      <w:r w:rsidRPr="00A143CE">
        <w:rPr>
          <w:rFonts w:ascii="Arial" w:hAnsi="Arial" w:cs="Arial"/>
          <w:b/>
          <w:spacing w:val="4"/>
          <w:sz w:val="24"/>
          <w:szCs w:val="24"/>
          <w:lang w:eastAsia="es-CO"/>
        </w:rPr>
        <w:t xml:space="preserve">Radicación número: </w:t>
      </w:r>
      <w:r w:rsidR="00D51C27" w:rsidRPr="00A143CE">
        <w:rPr>
          <w:rFonts w:ascii="Arial" w:hAnsi="Arial" w:cs="Arial"/>
          <w:b/>
          <w:spacing w:val="4"/>
          <w:sz w:val="24"/>
          <w:szCs w:val="24"/>
          <w:lang w:eastAsia="es-CO"/>
        </w:rPr>
        <w:t>73001</w:t>
      </w:r>
      <w:r w:rsidRPr="00A143CE">
        <w:rPr>
          <w:rFonts w:ascii="Arial" w:hAnsi="Arial" w:cs="Arial"/>
          <w:b/>
          <w:spacing w:val="4"/>
          <w:sz w:val="24"/>
          <w:szCs w:val="24"/>
          <w:lang w:eastAsia="es-CO"/>
        </w:rPr>
        <w:t>-</w:t>
      </w:r>
      <w:r w:rsidR="00D51C27" w:rsidRPr="00A143CE">
        <w:rPr>
          <w:rFonts w:ascii="Arial" w:hAnsi="Arial" w:cs="Arial"/>
          <w:b/>
          <w:spacing w:val="4"/>
          <w:sz w:val="24"/>
          <w:szCs w:val="24"/>
          <w:lang w:eastAsia="es-CO"/>
        </w:rPr>
        <w:t>23</w:t>
      </w:r>
      <w:r w:rsidRPr="00A143CE">
        <w:rPr>
          <w:rFonts w:ascii="Arial" w:hAnsi="Arial" w:cs="Arial"/>
          <w:b/>
          <w:spacing w:val="4"/>
          <w:sz w:val="24"/>
          <w:szCs w:val="24"/>
          <w:lang w:eastAsia="es-CO"/>
        </w:rPr>
        <w:t>-</w:t>
      </w:r>
      <w:r w:rsidR="00D51C27" w:rsidRPr="00A143CE">
        <w:rPr>
          <w:rFonts w:ascii="Arial" w:hAnsi="Arial" w:cs="Arial"/>
          <w:b/>
          <w:spacing w:val="4"/>
          <w:sz w:val="24"/>
          <w:szCs w:val="24"/>
          <w:lang w:eastAsia="es-CO"/>
        </w:rPr>
        <w:t>31</w:t>
      </w:r>
      <w:r w:rsidRPr="00A143CE">
        <w:rPr>
          <w:rFonts w:ascii="Arial" w:hAnsi="Arial" w:cs="Arial"/>
          <w:b/>
          <w:spacing w:val="4"/>
          <w:sz w:val="24"/>
          <w:szCs w:val="24"/>
          <w:lang w:eastAsia="es-CO"/>
        </w:rPr>
        <w:t>-</w:t>
      </w:r>
      <w:r w:rsidR="00D51C27" w:rsidRPr="00A143CE">
        <w:rPr>
          <w:rFonts w:ascii="Arial" w:hAnsi="Arial" w:cs="Arial"/>
          <w:b/>
          <w:spacing w:val="4"/>
          <w:sz w:val="24"/>
          <w:szCs w:val="24"/>
          <w:lang w:eastAsia="es-CO"/>
        </w:rPr>
        <w:t>000</w:t>
      </w:r>
      <w:r w:rsidRPr="00A143CE">
        <w:rPr>
          <w:rFonts w:ascii="Arial" w:hAnsi="Arial" w:cs="Arial"/>
          <w:b/>
          <w:spacing w:val="4"/>
          <w:sz w:val="24"/>
          <w:szCs w:val="24"/>
          <w:lang w:eastAsia="es-CO"/>
        </w:rPr>
        <w:t>-</w:t>
      </w:r>
      <w:r w:rsidR="00D51C27" w:rsidRPr="00A143CE">
        <w:rPr>
          <w:rFonts w:ascii="Arial" w:hAnsi="Arial" w:cs="Arial"/>
          <w:b/>
          <w:spacing w:val="4"/>
          <w:sz w:val="24"/>
          <w:szCs w:val="24"/>
          <w:lang w:eastAsia="es-CO"/>
        </w:rPr>
        <w:t>2009</w:t>
      </w:r>
      <w:r w:rsidRPr="00A143CE">
        <w:rPr>
          <w:rFonts w:ascii="Arial" w:hAnsi="Arial" w:cs="Arial"/>
          <w:b/>
          <w:spacing w:val="4"/>
          <w:sz w:val="24"/>
          <w:szCs w:val="24"/>
          <w:lang w:eastAsia="es-CO"/>
        </w:rPr>
        <w:t>-00458-01</w:t>
      </w:r>
      <w:r w:rsidR="00D51C27" w:rsidRPr="00A143CE">
        <w:rPr>
          <w:rFonts w:ascii="Arial" w:hAnsi="Arial" w:cs="Arial"/>
          <w:b/>
          <w:spacing w:val="4"/>
          <w:sz w:val="24"/>
          <w:szCs w:val="24"/>
          <w:lang w:eastAsia="es-CO"/>
        </w:rPr>
        <w:t>(45389)</w:t>
      </w:r>
    </w:p>
    <w:p w:rsidR="002E7A46" w:rsidRPr="00A143CE" w:rsidRDefault="002E7A46" w:rsidP="002E7A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b/>
          <w:spacing w:val="4"/>
          <w:sz w:val="24"/>
          <w:szCs w:val="24"/>
          <w:lang w:eastAsia="es-CO"/>
        </w:rPr>
      </w:pPr>
    </w:p>
    <w:p w:rsidR="00A624FC" w:rsidRPr="00A143CE" w:rsidRDefault="002E7A46" w:rsidP="002E7A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b/>
          <w:spacing w:val="4"/>
          <w:sz w:val="24"/>
          <w:szCs w:val="24"/>
          <w:lang w:eastAsia="es-CO"/>
        </w:rPr>
      </w:pPr>
      <w:r w:rsidRPr="00A143CE">
        <w:rPr>
          <w:rFonts w:ascii="Arial" w:hAnsi="Arial" w:cs="Arial"/>
          <w:b/>
          <w:spacing w:val="4"/>
          <w:sz w:val="24"/>
          <w:szCs w:val="24"/>
          <w:lang w:eastAsia="es-CO"/>
        </w:rPr>
        <w:t xml:space="preserve">Actor: </w:t>
      </w:r>
      <w:r w:rsidR="00D51C27" w:rsidRPr="00A143CE">
        <w:rPr>
          <w:rFonts w:ascii="Arial" w:hAnsi="Arial" w:cs="Arial"/>
          <w:b/>
          <w:spacing w:val="4"/>
          <w:sz w:val="24"/>
          <w:szCs w:val="24"/>
          <w:lang w:eastAsia="es-CO"/>
        </w:rPr>
        <w:t>CARLOS</w:t>
      </w:r>
      <w:r w:rsidRPr="00A143CE">
        <w:rPr>
          <w:rFonts w:ascii="Arial" w:hAnsi="Arial" w:cs="Arial"/>
          <w:b/>
          <w:spacing w:val="4"/>
          <w:sz w:val="24"/>
          <w:szCs w:val="24"/>
          <w:lang w:eastAsia="es-CO"/>
        </w:rPr>
        <w:t xml:space="preserve"> ENRIQUE TRUJILLO OCAMPO Y OTRO</w:t>
      </w:r>
    </w:p>
    <w:p w:rsidR="002E7A46" w:rsidRPr="00A143CE" w:rsidRDefault="002E7A46" w:rsidP="002E7A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b/>
          <w:spacing w:val="4"/>
          <w:sz w:val="24"/>
          <w:szCs w:val="24"/>
          <w:lang w:eastAsia="es-CO"/>
        </w:rPr>
      </w:pPr>
    </w:p>
    <w:p w:rsidR="00A624FC" w:rsidRPr="00A143CE" w:rsidRDefault="002E7A46" w:rsidP="002E7A4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spacing w:after="0" w:line="240" w:lineRule="auto"/>
        <w:jc w:val="both"/>
        <w:rPr>
          <w:rFonts w:ascii="Arial" w:eastAsia="Times New Roman" w:hAnsi="Arial" w:cs="Arial"/>
          <w:b/>
          <w:bCs/>
          <w:spacing w:val="4"/>
          <w:sz w:val="24"/>
          <w:szCs w:val="24"/>
          <w:lang w:eastAsia="es-ES"/>
        </w:rPr>
      </w:pPr>
      <w:r w:rsidRPr="00A143CE">
        <w:rPr>
          <w:rFonts w:ascii="Arial" w:eastAsia="Times New Roman" w:hAnsi="Arial" w:cs="Arial"/>
          <w:b/>
          <w:bCs/>
          <w:spacing w:val="4"/>
          <w:sz w:val="24"/>
          <w:szCs w:val="24"/>
          <w:lang w:eastAsia="es-ES"/>
        </w:rPr>
        <w:t>Demandado: NACIÓN -</w:t>
      </w:r>
      <w:r w:rsidR="00D51C27" w:rsidRPr="00A143CE">
        <w:rPr>
          <w:rFonts w:ascii="Arial" w:eastAsia="Times New Roman" w:hAnsi="Arial" w:cs="Arial"/>
          <w:b/>
          <w:bCs/>
          <w:spacing w:val="4"/>
          <w:sz w:val="24"/>
          <w:szCs w:val="24"/>
          <w:lang w:eastAsia="es-ES"/>
        </w:rPr>
        <w:t xml:space="preserve"> RAMA JUDICIAL - FISCALÍA GENERAL DE LA </w:t>
      </w:r>
      <w:r w:rsidR="00D51C27" w:rsidRPr="00A143CE">
        <w:rPr>
          <w:rFonts w:ascii="Arial" w:eastAsia="Times New Roman" w:hAnsi="Arial" w:cs="Arial"/>
          <w:b/>
          <w:bCs/>
          <w:spacing w:val="4"/>
          <w:sz w:val="24"/>
          <w:szCs w:val="24"/>
          <w:lang w:eastAsia="es-ES"/>
        </w:rPr>
        <w:lastRenderedPageBreak/>
        <w:t xml:space="preserve">NACIÓN </w:t>
      </w:r>
    </w:p>
    <w:p w:rsidR="002E7A46" w:rsidRPr="00A143CE" w:rsidRDefault="002E7A46" w:rsidP="002E7A4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spacing w:after="0" w:line="240" w:lineRule="auto"/>
        <w:jc w:val="both"/>
        <w:rPr>
          <w:rFonts w:ascii="Arial" w:eastAsia="Times New Roman" w:hAnsi="Arial" w:cs="Arial"/>
          <w:b/>
          <w:bCs/>
          <w:spacing w:val="4"/>
          <w:sz w:val="24"/>
          <w:szCs w:val="24"/>
          <w:lang w:eastAsia="es-ES"/>
        </w:rPr>
      </w:pPr>
    </w:p>
    <w:p w:rsidR="002E7A46" w:rsidRPr="00A143CE" w:rsidRDefault="002E7A46" w:rsidP="002E7A4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spacing w:after="0" w:line="240" w:lineRule="auto"/>
        <w:jc w:val="both"/>
        <w:rPr>
          <w:rFonts w:ascii="Arial" w:eastAsia="Times New Roman" w:hAnsi="Arial" w:cs="Arial"/>
          <w:b/>
          <w:bCs/>
          <w:spacing w:val="4"/>
          <w:sz w:val="24"/>
          <w:szCs w:val="24"/>
          <w:lang w:eastAsia="es-ES"/>
        </w:rPr>
      </w:pPr>
    </w:p>
    <w:p w:rsidR="002E7A46" w:rsidRPr="00A143CE" w:rsidRDefault="002E7A46" w:rsidP="002E7A4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spacing w:after="0" w:line="240" w:lineRule="auto"/>
        <w:jc w:val="both"/>
        <w:rPr>
          <w:rFonts w:ascii="Arial" w:eastAsia="Times New Roman" w:hAnsi="Arial" w:cs="Arial"/>
          <w:b/>
          <w:bCs/>
          <w:spacing w:val="4"/>
          <w:sz w:val="24"/>
          <w:szCs w:val="24"/>
          <w:lang w:eastAsia="es-ES"/>
        </w:rPr>
      </w:pPr>
    </w:p>
    <w:p w:rsidR="00A624FC" w:rsidRPr="00A143CE" w:rsidRDefault="002E7A46" w:rsidP="002E7A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b/>
          <w:spacing w:val="4"/>
          <w:sz w:val="24"/>
          <w:szCs w:val="24"/>
          <w:lang w:eastAsia="es-CO"/>
        </w:rPr>
      </w:pPr>
      <w:r w:rsidRPr="00A143CE">
        <w:rPr>
          <w:rFonts w:ascii="Arial" w:hAnsi="Arial" w:cs="Arial"/>
          <w:b/>
          <w:spacing w:val="4"/>
          <w:sz w:val="24"/>
          <w:szCs w:val="24"/>
          <w:lang w:eastAsia="es-CO"/>
        </w:rPr>
        <w:t xml:space="preserve">Referencia: </w:t>
      </w:r>
      <w:r w:rsidR="00D51C27" w:rsidRPr="00A143CE">
        <w:rPr>
          <w:rFonts w:ascii="Arial" w:hAnsi="Arial" w:cs="Arial"/>
          <w:b/>
          <w:spacing w:val="4"/>
          <w:sz w:val="24"/>
          <w:szCs w:val="24"/>
          <w:lang w:eastAsia="es-CO"/>
        </w:rPr>
        <w:t>ACCIÓN</w:t>
      </w:r>
      <w:r w:rsidRPr="00A143CE">
        <w:rPr>
          <w:rFonts w:ascii="Arial" w:hAnsi="Arial" w:cs="Arial"/>
          <w:b/>
          <w:spacing w:val="4"/>
          <w:sz w:val="24"/>
          <w:szCs w:val="24"/>
          <w:lang w:eastAsia="es-CO"/>
        </w:rPr>
        <w:t xml:space="preserve"> </w:t>
      </w:r>
      <w:r w:rsidR="00A624FC" w:rsidRPr="00A143CE">
        <w:rPr>
          <w:rFonts w:ascii="Arial" w:hAnsi="Arial" w:cs="Arial"/>
          <w:b/>
          <w:spacing w:val="4"/>
          <w:sz w:val="24"/>
          <w:szCs w:val="24"/>
          <w:lang w:eastAsia="es-CO"/>
        </w:rPr>
        <w:t xml:space="preserve">REPARACIÓN DIRECTA </w:t>
      </w:r>
    </w:p>
    <w:p w:rsidR="00A624FC" w:rsidRPr="00A143CE" w:rsidRDefault="00A624FC" w:rsidP="002E7A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b/>
          <w:color w:val="000000"/>
          <w:spacing w:val="2"/>
          <w:sz w:val="24"/>
          <w:szCs w:val="24"/>
        </w:rPr>
      </w:pPr>
    </w:p>
    <w:p w:rsidR="005F5218" w:rsidRPr="00A143CE" w:rsidRDefault="00A624FC" w:rsidP="002E7A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pacing w:val="2"/>
          <w:sz w:val="24"/>
          <w:szCs w:val="24"/>
        </w:rPr>
      </w:pPr>
      <w:r w:rsidRPr="00A143CE">
        <w:rPr>
          <w:rFonts w:ascii="Arial" w:hAnsi="Arial" w:cs="Arial"/>
          <w:sz w:val="24"/>
          <w:szCs w:val="24"/>
          <w:lang w:eastAsia="es-CO"/>
        </w:rPr>
        <w:t>Tema</w:t>
      </w:r>
      <w:r w:rsidR="00D51C27" w:rsidRPr="00A143CE">
        <w:rPr>
          <w:rFonts w:ascii="Arial" w:hAnsi="Arial" w:cs="Arial"/>
          <w:sz w:val="24"/>
          <w:szCs w:val="24"/>
          <w:lang w:eastAsia="es-CO"/>
        </w:rPr>
        <w:t>s</w:t>
      </w:r>
      <w:r w:rsidRPr="00A143CE">
        <w:rPr>
          <w:rFonts w:ascii="Arial" w:hAnsi="Arial" w:cs="Arial"/>
          <w:sz w:val="24"/>
          <w:szCs w:val="24"/>
          <w:lang w:eastAsia="es-CO"/>
        </w:rPr>
        <w:t xml:space="preserve">: </w:t>
      </w:r>
      <w:r w:rsidR="005F5218" w:rsidRPr="00A143CE">
        <w:rPr>
          <w:rFonts w:ascii="Arial" w:hAnsi="Arial" w:cs="Arial"/>
          <w:spacing w:val="4"/>
          <w:sz w:val="24"/>
          <w:szCs w:val="24"/>
          <w:lang w:eastAsia="es-CO"/>
        </w:rPr>
        <w:t>Responsabilidad del Estado por privación injusta de la libertad, reiteración de jurisprudencia en eventos en los que se prueba el hecho propio de la víctima como causal eximente de responsabilidad del Estado.</w:t>
      </w:r>
    </w:p>
    <w:p w:rsidR="00E33E7A" w:rsidRPr="00A143CE" w:rsidRDefault="00E33E7A" w:rsidP="002E7A46">
      <w:pPr>
        <w:pStyle w:val="Sinespaciado"/>
        <w:spacing w:line="360" w:lineRule="auto"/>
        <w:jc w:val="both"/>
        <w:rPr>
          <w:rFonts w:ascii="Arial" w:hAnsi="Arial" w:cs="Arial"/>
          <w:sz w:val="24"/>
          <w:szCs w:val="24"/>
          <w:lang w:eastAsia="es-CO"/>
        </w:rPr>
      </w:pPr>
    </w:p>
    <w:p w:rsidR="00396368" w:rsidRPr="00A143CE" w:rsidRDefault="00DA45F6" w:rsidP="002E7A46">
      <w:pPr>
        <w:spacing w:after="0" w:line="360" w:lineRule="auto"/>
        <w:jc w:val="both"/>
        <w:rPr>
          <w:rFonts w:ascii="Arial" w:eastAsia="Times New Roman" w:hAnsi="Arial" w:cs="Arial"/>
          <w:sz w:val="24"/>
          <w:szCs w:val="24"/>
          <w:lang w:eastAsia="es-CO"/>
        </w:rPr>
      </w:pPr>
      <w:r w:rsidRPr="00A143CE">
        <w:rPr>
          <w:rFonts w:ascii="Arial" w:hAnsi="Arial" w:cs="Arial"/>
          <w:sz w:val="24"/>
          <w:szCs w:val="24"/>
        </w:rPr>
        <w:t xml:space="preserve">Corresponde a la Sala pronunciarse sobre </w:t>
      </w:r>
      <w:r w:rsidR="00F05EFC" w:rsidRPr="00A143CE">
        <w:rPr>
          <w:rFonts w:ascii="Arial" w:eastAsia="Times New Roman" w:hAnsi="Arial" w:cs="Arial"/>
          <w:sz w:val="24"/>
          <w:szCs w:val="24"/>
          <w:lang w:eastAsia="es-CO"/>
        </w:rPr>
        <w:t>el recurso de apelación in</w:t>
      </w:r>
      <w:r w:rsidR="0032736A" w:rsidRPr="00A143CE">
        <w:rPr>
          <w:rFonts w:ascii="Arial" w:eastAsia="Times New Roman" w:hAnsi="Arial" w:cs="Arial"/>
          <w:sz w:val="24"/>
          <w:szCs w:val="24"/>
          <w:lang w:eastAsia="es-CO"/>
        </w:rPr>
        <w:t>t</w:t>
      </w:r>
      <w:r w:rsidR="001367C6" w:rsidRPr="00A143CE">
        <w:rPr>
          <w:rFonts w:ascii="Arial" w:eastAsia="Times New Roman" w:hAnsi="Arial" w:cs="Arial"/>
          <w:sz w:val="24"/>
          <w:szCs w:val="24"/>
          <w:lang w:eastAsia="es-CO"/>
        </w:rPr>
        <w:t>erpuesto por la</w:t>
      </w:r>
      <w:r w:rsidR="00396368" w:rsidRPr="00A143CE">
        <w:rPr>
          <w:rFonts w:ascii="Arial" w:eastAsia="Times New Roman" w:hAnsi="Arial" w:cs="Arial"/>
          <w:sz w:val="24"/>
          <w:szCs w:val="24"/>
          <w:lang w:eastAsia="es-CO"/>
        </w:rPr>
        <w:t xml:space="preserve"> </w:t>
      </w:r>
      <w:r w:rsidR="001367C6" w:rsidRPr="00A143CE">
        <w:rPr>
          <w:rFonts w:ascii="Arial" w:eastAsia="Times New Roman" w:hAnsi="Arial" w:cs="Arial"/>
          <w:sz w:val="24"/>
          <w:szCs w:val="24"/>
          <w:lang w:eastAsia="es-CO"/>
        </w:rPr>
        <w:t>parte demandante</w:t>
      </w:r>
      <w:r w:rsidR="00F05EFC" w:rsidRPr="00A143CE">
        <w:rPr>
          <w:rFonts w:ascii="Arial" w:eastAsia="Times New Roman" w:hAnsi="Arial" w:cs="Arial"/>
          <w:sz w:val="24"/>
          <w:szCs w:val="24"/>
          <w:lang w:eastAsia="es-CO"/>
        </w:rPr>
        <w:t xml:space="preserve">, contra la sentencia proferida por el </w:t>
      </w:r>
      <w:r w:rsidR="00E33E7A" w:rsidRPr="00A143CE">
        <w:rPr>
          <w:rFonts w:ascii="Arial" w:eastAsia="Times New Roman" w:hAnsi="Arial" w:cs="Arial"/>
          <w:sz w:val="24"/>
          <w:szCs w:val="24"/>
          <w:lang w:eastAsia="es-CO"/>
        </w:rPr>
        <w:t>Tribuna</w:t>
      </w:r>
      <w:r w:rsidR="00451E4A" w:rsidRPr="00A143CE">
        <w:rPr>
          <w:rFonts w:ascii="Arial" w:eastAsia="Times New Roman" w:hAnsi="Arial" w:cs="Arial"/>
          <w:sz w:val="24"/>
          <w:szCs w:val="24"/>
          <w:lang w:eastAsia="es-CO"/>
        </w:rPr>
        <w:t>l Admini</w:t>
      </w:r>
      <w:r w:rsidR="00AA2846" w:rsidRPr="00A143CE">
        <w:rPr>
          <w:rFonts w:ascii="Arial" w:eastAsia="Times New Roman" w:hAnsi="Arial" w:cs="Arial"/>
          <w:sz w:val="24"/>
          <w:szCs w:val="24"/>
          <w:lang w:eastAsia="es-CO"/>
        </w:rPr>
        <w:t>strativo del Tolima</w:t>
      </w:r>
      <w:r w:rsidR="00451E4A" w:rsidRPr="00A143CE">
        <w:rPr>
          <w:rFonts w:ascii="Arial" w:eastAsia="Times New Roman" w:hAnsi="Arial" w:cs="Arial"/>
          <w:sz w:val="24"/>
          <w:szCs w:val="24"/>
          <w:lang w:eastAsia="es-CO"/>
        </w:rPr>
        <w:t xml:space="preserve"> el 18</w:t>
      </w:r>
      <w:r w:rsidR="0062727B" w:rsidRPr="00A143CE">
        <w:rPr>
          <w:rFonts w:ascii="Arial" w:eastAsia="Times New Roman" w:hAnsi="Arial" w:cs="Arial"/>
          <w:sz w:val="24"/>
          <w:szCs w:val="24"/>
          <w:lang w:eastAsia="es-CO"/>
        </w:rPr>
        <w:t xml:space="preserve"> de </w:t>
      </w:r>
      <w:r w:rsidR="00451E4A" w:rsidRPr="00A143CE">
        <w:rPr>
          <w:rFonts w:ascii="Arial" w:eastAsia="Times New Roman" w:hAnsi="Arial" w:cs="Arial"/>
          <w:sz w:val="24"/>
          <w:szCs w:val="24"/>
          <w:lang w:eastAsia="es-CO"/>
        </w:rPr>
        <w:t xml:space="preserve">mayo </w:t>
      </w:r>
      <w:r w:rsidR="00E55EE0" w:rsidRPr="00A143CE">
        <w:rPr>
          <w:rFonts w:ascii="Arial" w:eastAsia="Times New Roman" w:hAnsi="Arial" w:cs="Arial"/>
          <w:sz w:val="24"/>
          <w:szCs w:val="24"/>
          <w:lang w:eastAsia="es-CO"/>
        </w:rPr>
        <w:t>de 201</w:t>
      </w:r>
      <w:r w:rsidR="00E33E7A" w:rsidRPr="00A143CE">
        <w:rPr>
          <w:rFonts w:ascii="Arial" w:eastAsia="Times New Roman" w:hAnsi="Arial" w:cs="Arial"/>
          <w:sz w:val="24"/>
          <w:szCs w:val="24"/>
          <w:lang w:eastAsia="es-CO"/>
        </w:rPr>
        <w:t>2</w:t>
      </w:r>
      <w:r w:rsidR="00F05EFC" w:rsidRPr="00A143CE">
        <w:rPr>
          <w:rFonts w:ascii="Arial" w:eastAsia="Times New Roman" w:hAnsi="Arial" w:cs="Arial"/>
          <w:sz w:val="24"/>
          <w:szCs w:val="24"/>
          <w:lang w:eastAsia="es-CO"/>
        </w:rPr>
        <w:t xml:space="preserve">, mediante la cual </w:t>
      </w:r>
      <w:r w:rsidR="00396368" w:rsidRPr="00A143CE">
        <w:rPr>
          <w:rFonts w:ascii="Arial" w:eastAsia="Times New Roman" w:hAnsi="Arial" w:cs="Arial"/>
          <w:sz w:val="24"/>
          <w:szCs w:val="24"/>
          <w:lang w:eastAsia="es-CO"/>
        </w:rPr>
        <w:t xml:space="preserve">se </w:t>
      </w:r>
      <w:r w:rsidR="001367C6" w:rsidRPr="00A143CE">
        <w:rPr>
          <w:rFonts w:ascii="Arial" w:eastAsia="Times New Roman" w:hAnsi="Arial" w:cs="Arial"/>
          <w:sz w:val="24"/>
          <w:szCs w:val="24"/>
          <w:lang w:eastAsia="es-CO"/>
        </w:rPr>
        <w:t xml:space="preserve">denegaron las </w:t>
      </w:r>
      <w:r w:rsidR="00396368" w:rsidRPr="00A143CE">
        <w:rPr>
          <w:rFonts w:ascii="Arial" w:eastAsia="Times New Roman" w:hAnsi="Arial" w:cs="Arial"/>
          <w:sz w:val="24"/>
          <w:szCs w:val="24"/>
          <w:lang w:eastAsia="es-CO"/>
        </w:rPr>
        <w:t>pretensiones de la demanda</w:t>
      </w:r>
      <w:r w:rsidR="00E33E7A" w:rsidRPr="00A143CE">
        <w:rPr>
          <w:rFonts w:ascii="Arial" w:eastAsia="Times New Roman" w:hAnsi="Arial" w:cs="Arial"/>
          <w:sz w:val="24"/>
          <w:szCs w:val="24"/>
          <w:lang w:eastAsia="es-CO"/>
        </w:rPr>
        <w:t>.</w:t>
      </w:r>
    </w:p>
    <w:p w:rsidR="00DA45F6" w:rsidRPr="00A143CE" w:rsidRDefault="00DA45F6" w:rsidP="002E7A46">
      <w:pPr>
        <w:pStyle w:val="Sinespaciado"/>
        <w:jc w:val="both"/>
        <w:rPr>
          <w:rFonts w:ascii="Arial" w:hAnsi="Arial" w:cs="Arial"/>
          <w:sz w:val="24"/>
          <w:szCs w:val="24"/>
        </w:rPr>
      </w:pPr>
    </w:p>
    <w:p w:rsidR="006D4609" w:rsidRPr="00A143CE" w:rsidRDefault="006D4609" w:rsidP="00F66071">
      <w:pPr>
        <w:pStyle w:val="Sinespaciado"/>
        <w:rPr>
          <w:rFonts w:ascii="Arial" w:hAnsi="Arial" w:cs="Arial"/>
          <w:sz w:val="24"/>
          <w:szCs w:val="24"/>
          <w:lang w:eastAsia="es-CO"/>
        </w:rPr>
      </w:pPr>
    </w:p>
    <w:p w:rsidR="00A624FC" w:rsidRPr="00A143CE" w:rsidRDefault="00A624FC" w:rsidP="00A624FC">
      <w:pPr>
        <w:spacing w:after="0"/>
        <w:jc w:val="center"/>
        <w:rPr>
          <w:rFonts w:ascii="Arial" w:eastAsia="Times New Roman" w:hAnsi="Arial" w:cs="Arial"/>
          <w:b/>
          <w:color w:val="000000"/>
          <w:spacing w:val="2"/>
          <w:sz w:val="24"/>
          <w:szCs w:val="24"/>
          <w:lang w:eastAsia="es-ES"/>
        </w:rPr>
      </w:pPr>
      <w:r w:rsidRPr="00A143CE">
        <w:rPr>
          <w:rFonts w:ascii="Arial" w:eastAsia="Times New Roman" w:hAnsi="Arial" w:cs="Arial"/>
          <w:b/>
          <w:color w:val="000000"/>
          <w:spacing w:val="2"/>
          <w:sz w:val="24"/>
          <w:szCs w:val="24"/>
          <w:lang w:eastAsia="es-ES"/>
        </w:rPr>
        <w:t>I.  ANTECEDENTES</w:t>
      </w:r>
    </w:p>
    <w:p w:rsidR="0062727B" w:rsidRPr="00A143CE" w:rsidRDefault="0062727B" w:rsidP="00F66071">
      <w:pPr>
        <w:pStyle w:val="Sinespaciado"/>
        <w:rPr>
          <w:rFonts w:ascii="Arial" w:hAnsi="Arial" w:cs="Arial"/>
          <w:sz w:val="24"/>
          <w:szCs w:val="24"/>
          <w:lang w:eastAsia="es-CO"/>
        </w:rPr>
      </w:pPr>
    </w:p>
    <w:p w:rsidR="00E65C80" w:rsidRPr="00A143CE" w:rsidRDefault="00D51C27" w:rsidP="00E65C80">
      <w:pPr>
        <w:tabs>
          <w:tab w:val="left" w:pos="-720"/>
        </w:tabs>
        <w:suppressAutoHyphens/>
        <w:spacing w:after="0" w:line="360" w:lineRule="auto"/>
        <w:jc w:val="both"/>
        <w:rPr>
          <w:rFonts w:ascii="Arial" w:hAnsi="Arial" w:cs="Arial"/>
          <w:spacing w:val="-3"/>
          <w:sz w:val="24"/>
          <w:szCs w:val="24"/>
          <w:lang w:eastAsia="es-CO"/>
        </w:rPr>
      </w:pPr>
      <w:r w:rsidRPr="00A143CE">
        <w:rPr>
          <w:rFonts w:ascii="Arial" w:hAnsi="Arial" w:cs="Arial"/>
          <w:b/>
          <w:spacing w:val="4"/>
          <w:sz w:val="24"/>
          <w:szCs w:val="24"/>
          <w:lang w:eastAsia="es-CO"/>
        </w:rPr>
        <w:t>1.1.</w:t>
      </w:r>
      <w:r w:rsidRPr="00A143CE">
        <w:rPr>
          <w:rFonts w:ascii="Arial" w:hAnsi="Arial" w:cs="Arial"/>
          <w:spacing w:val="4"/>
          <w:sz w:val="24"/>
          <w:szCs w:val="24"/>
          <w:lang w:eastAsia="es-CO"/>
        </w:rPr>
        <w:t xml:space="preserve"> </w:t>
      </w:r>
      <w:r w:rsidR="005F5218" w:rsidRPr="00A143CE">
        <w:rPr>
          <w:rFonts w:ascii="Arial" w:hAnsi="Arial" w:cs="Arial"/>
          <w:spacing w:val="4"/>
          <w:sz w:val="24"/>
          <w:szCs w:val="24"/>
          <w:lang w:eastAsia="es-CO"/>
        </w:rPr>
        <w:t xml:space="preserve">Mediante </w:t>
      </w:r>
      <w:r w:rsidR="0067585D" w:rsidRPr="00A143CE">
        <w:rPr>
          <w:rFonts w:ascii="Arial" w:hAnsi="Arial" w:cs="Arial"/>
          <w:spacing w:val="4"/>
          <w:sz w:val="24"/>
          <w:szCs w:val="24"/>
          <w:lang w:eastAsia="es-CO"/>
        </w:rPr>
        <w:t>escrito pres</w:t>
      </w:r>
      <w:r w:rsidR="00E33E7A" w:rsidRPr="00A143CE">
        <w:rPr>
          <w:rFonts w:ascii="Arial" w:hAnsi="Arial" w:cs="Arial"/>
          <w:spacing w:val="4"/>
          <w:sz w:val="24"/>
          <w:szCs w:val="24"/>
          <w:lang w:eastAsia="es-CO"/>
        </w:rPr>
        <w:t>entado el 1</w:t>
      </w:r>
      <w:r w:rsidR="00310841" w:rsidRPr="00A143CE">
        <w:rPr>
          <w:rFonts w:ascii="Arial" w:hAnsi="Arial" w:cs="Arial"/>
          <w:spacing w:val="4"/>
          <w:sz w:val="24"/>
          <w:szCs w:val="24"/>
          <w:lang w:eastAsia="es-CO"/>
        </w:rPr>
        <w:t>0</w:t>
      </w:r>
      <w:r w:rsidR="006F4163" w:rsidRPr="00A143CE">
        <w:rPr>
          <w:rFonts w:ascii="Arial" w:hAnsi="Arial" w:cs="Arial"/>
          <w:spacing w:val="4"/>
          <w:sz w:val="24"/>
          <w:szCs w:val="24"/>
          <w:lang w:eastAsia="es-CO"/>
        </w:rPr>
        <w:t xml:space="preserve"> de </w:t>
      </w:r>
      <w:r w:rsidR="00451E4A" w:rsidRPr="00A143CE">
        <w:rPr>
          <w:rFonts w:ascii="Arial" w:hAnsi="Arial" w:cs="Arial"/>
          <w:spacing w:val="4"/>
          <w:sz w:val="24"/>
          <w:szCs w:val="24"/>
          <w:lang w:eastAsia="es-CO"/>
        </w:rPr>
        <w:t>agosto</w:t>
      </w:r>
      <w:r w:rsidR="00E33E7A" w:rsidRPr="00A143CE">
        <w:rPr>
          <w:rFonts w:ascii="Arial" w:hAnsi="Arial" w:cs="Arial"/>
          <w:spacing w:val="4"/>
          <w:sz w:val="24"/>
          <w:szCs w:val="24"/>
          <w:lang w:eastAsia="es-CO"/>
        </w:rPr>
        <w:t xml:space="preserve"> de 2009</w:t>
      </w:r>
      <w:r w:rsidR="00D84308" w:rsidRPr="00A143CE">
        <w:rPr>
          <w:rStyle w:val="Refdenotaalpie"/>
          <w:rFonts w:ascii="Arial" w:hAnsi="Arial" w:cs="Arial"/>
          <w:spacing w:val="4"/>
          <w:sz w:val="24"/>
          <w:szCs w:val="24"/>
          <w:lang w:eastAsia="es-CO"/>
        </w:rPr>
        <w:footnoteReference w:id="2"/>
      </w:r>
      <w:r w:rsidR="00E65C80" w:rsidRPr="00A143CE">
        <w:rPr>
          <w:rFonts w:ascii="Arial" w:hAnsi="Arial" w:cs="Arial"/>
          <w:spacing w:val="4"/>
          <w:sz w:val="24"/>
          <w:szCs w:val="24"/>
          <w:lang w:eastAsia="es-CO"/>
        </w:rPr>
        <w:t xml:space="preserve">, </w:t>
      </w:r>
      <w:r w:rsidR="005F5218" w:rsidRPr="00A143CE">
        <w:rPr>
          <w:rFonts w:ascii="Arial" w:hAnsi="Arial" w:cs="Arial"/>
          <w:spacing w:val="4"/>
          <w:sz w:val="24"/>
          <w:szCs w:val="24"/>
          <w:lang w:eastAsia="es-CO"/>
        </w:rPr>
        <w:t>el señor Carlos Enrique Trujillo Ocampo</w:t>
      </w:r>
      <w:r w:rsidR="00451E4A" w:rsidRPr="00A143CE">
        <w:rPr>
          <w:rFonts w:ascii="Arial" w:hAnsi="Arial" w:cs="Arial"/>
          <w:spacing w:val="4"/>
          <w:sz w:val="24"/>
          <w:szCs w:val="24"/>
          <w:lang w:eastAsia="es-CO"/>
        </w:rPr>
        <w:t xml:space="preserve"> actuando en nombre propio y en representación de su menor hija Karen Lorena Trujillo; Evanith Olarte Nuñez, Fabiola Ocampo de Trujillo, Blanca Dolly, Mir</w:t>
      </w:r>
      <w:r w:rsidR="00933D25" w:rsidRPr="00A143CE">
        <w:rPr>
          <w:rFonts w:ascii="Arial" w:hAnsi="Arial" w:cs="Arial"/>
          <w:spacing w:val="4"/>
          <w:sz w:val="24"/>
          <w:szCs w:val="24"/>
          <w:lang w:eastAsia="es-CO"/>
        </w:rPr>
        <w:t>ian, Rosa Idaly Trujillo Ocampo</w:t>
      </w:r>
      <w:r w:rsidR="00451E4A" w:rsidRPr="00A143CE">
        <w:rPr>
          <w:rFonts w:ascii="Arial" w:hAnsi="Arial" w:cs="Arial"/>
          <w:spacing w:val="4"/>
          <w:sz w:val="24"/>
          <w:szCs w:val="24"/>
          <w:lang w:eastAsia="es-CO"/>
        </w:rPr>
        <w:t xml:space="preserve"> </w:t>
      </w:r>
      <w:r w:rsidR="006F4163" w:rsidRPr="00A143CE">
        <w:rPr>
          <w:rFonts w:ascii="Arial" w:hAnsi="Arial" w:cs="Arial"/>
          <w:spacing w:val="4"/>
          <w:sz w:val="24"/>
          <w:szCs w:val="24"/>
          <w:lang w:eastAsia="es-CO"/>
        </w:rPr>
        <w:t>interpus</w:t>
      </w:r>
      <w:r w:rsidR="0067585D" w:rsidRPr="00A143CE">
        <w:rPr>
          <w:rFonts w:ascii="Arial" w:hAnsi="Arial" w:cs="Arial"/>
          <w:spacing w:val="4"/>
          <w:sz w:val="24"/>
          <w:szCs w:val="24"/>
          <w:lang w:eastAsia="es-CO"/>
        </w:rPr>
        <w:t>ieron</w:t>
      </w:r>
      <w:r w:rsidR="006F4163" w:rsidRPr="00A143CE">
        <w:rPr>
          <w:rFonts w:ascii="Arial" w:hAnsi="Arial" w:cs="Arial"/>
          <w:spacing w:val="4"/>
          <w:sz w:val="24"/>
          <w:szCs w:val="24"/>
          <w:lang w:eastAsia="es-CO"/>
        </w:rPr>
        <w:t xml:space="preserve"> </w:t>
      </w:r>
      <w:r w:rsidR="00E65C80" w:rsidRPr="00A143CE">
        <w:rPr>
          <w:rFonts w:ascii="Arial" w:hAnsi="Arial" w:cs="Arial"/>
          <w:spacing w:val="4"/>
          <w:sz w:val="24"/>
          <w:szCs w:val="24"/>
          <w:lang w:eastAsia="es-CO"/>
        </w:rPr>
        <w:t>demanda en ejercicio de la acción de reparació</w:t>
      </w:r>
      <w:r w:rsidR="006F4163" w:rsidRPr="00A143CE">
        <w:rPr>
          <w:rFonts w:ascii="Arial" w:hAnsi="Arial" w:cs="Arial"/>
          <w:spacing w:val="4"/>
          <w:sz w:val="24"/>
          <w:szCs w:val="24"/>
          <w:lang w:eastAsia="es-CO"/>
        </w:rPr>
        <w:t>n directa contra la Nación –</w:t>
      </w:r>
      <w:r w:rsidR="00BD7198" w:rsidRPr="00A143CE">
        <w:rPr>
          <w:rFonts w:ascii="Arial" w:hAnsi="Arial" w:cs="Arial"/>
          <w:spacing w:val="4"/>
          <w:sz w:val="24"/>
          <w:szCs w:val="24"/>
          <w:lang w:eastAsia="es-CO"/>
        </w:rPr>
        <w:t xml:space="preserve"> </w:t>
      </w:r>
      <w:r w:rsidR="00451E4A" w:rsidRPr="00A143CE">
        <w:rPr>
          <w:rFonts w:ascii="Arial" w:hAnsi="Arial" w:cs="Arial"/>
          <w:spacing w:val="4"/>
          <w:sz w:val="24"/>
          <w:szCs w:val="24"/>
          <w:lang w:eastAsia="es-CO"/>
        </w:rPr>
        <w:t>Rama Judicial</w:t>
      </w:r>
      <w:r w:rsidR="005F5218" w:rsidRPr="00A143CE">
        <w:rPr>
          <w:rFonts w:ascii="Arial" w:hAnsi="Arial" w:cs="Arial"/>
          <w:spacing w:val="4"/>
          <w:sz w:val="24"/>
          <w:szCs w:val="24"/>
          <w:lang w:eastAsia="es-CO"/>
        </w:rPr>
        <w:t xml:space="preserve"> – Dirección Ejecutiva de Administración de Justicia y la</w:t>
      </w:r>
      <w:r w:rsidR="00451E4A" w:rsidRPr="00A143CE">
        <w:rPr>
          <w:rFonts w:ascii="Arial" w:hAnsi="Arial" w:cs="Arial"/>
          <w:spacing w:val="4"/>
          <w:sz w:val="24"/>
          <w:szCs w:val="24"/>
          <w:lang w:eastAsia="es-CO"/>
        </w:rPr>
        <w:t xml:space="preserve"> </w:t>
      </w:r>
      <w:r w:rsidR="00E65C80" w:rsidRPr="00A143CE">
        <w:rPr>
          <w:rFonts w:ascii="Arial" w:hAnsi="Arial" w:cs="Arial"/>
          <w:spacing w:val="4"/>
          <w:sz w:val="24"/>
          <w:szCs w:val="24"/>
          <w:lang w:eastAsia="es-CO"/>
        </w:rPr>
        <w:t>Fiscalía General de la Nación</w:t>
      </w:r>
      <w:r w:rsidR="00BD7198" w:rsidRPr="00A143CE">
        <w:rPr>
          <w:rFonts w:ascii="Arial" w:hAnsi="Arial" w:cs="Arial"/>
          <w:spacing w:val="4"/>
          <w:sz w:val="24"/>
          <w:szCs w:val="24"/>
          <w:lang w:eastAsia="es-CO"/>
        </w:rPr>
        <w:t xml:space="preserve">, con </w:t>
      </w:r>
      <w:r w:rsidR="006F4163" w:rsidRPr="00A143CE">
        <w:rPr>
          <w:rFonts w:ascii="Arial" w:hAnsi="Arial" w:cs="Arial"/>
          <w:spacing w:val="4"/>
          <w:sz w:val="24"/>
          <w:szCs w:val="24"/>
          <w:lang w:eastAsia="es-CO"/>
        </w:rPr>
        <w:t>el fin de que se le</w:t>
      </w:r>
      <w:r w:rsidR="00451E4A" w:rsidRPr="00A143CE">
        <w:rPr>
          <w:rFonts w:ascii="Arial" w:hAnsi="Arial" w:cs="Arial"/>
          <w:spacing w:val="4"/>
          <w:sz w:val="24"/>
          <w:szCs w:val="24"/>
          <w:lang w:eastAsia="es-CO"/>
        </w:rPr>
        <w:t>s</w:t>
      </w:r>
      <w:r w:rsidR="00E65C80" w:rsidRPr="00A143CE">
        <w:rPr>
          <w:rFonts w:ascii="Arial" w:hAnsi="Arial" w:cs="Arial"/>
          <w:spacing w:val="4"/>
          <w:sz w:val="24"/>
          <w:szCs w:val="24"/>
          <w:lang w:eastAsia="es-CO"/>
        </w:rPr>
        <w:t xml:space="preserve"> declara</w:t>
      </w:r>
      <w:r w:rsidR="006F4163" w:rsidRPr="00A143CE">
        <w:rPr>
          <w:rFonts w:ascii="Arial" w:hAnsi="Arial" w:cs="Arial"/>
          <w:spacing w:val="4"/>
          <w:sz w:val="24"/>
          <w:szCs w:val="24"/>
          <w:lang w:eastAsia="es-CO"/>
        </w:rPr>
        <w:t>ra patrimonialmente responsable</w:t>
      </w:r>
      <w:r w:rsidR="005F5218" w:rsidRPr="00A143CE">
        <w:rPr>
          <w:rFonts w:ascii="Arial" w:hAnsi="Arial" w:cs="Arial"/>
          <w:spacing w:val="4"/>
          <w:sz w:val="24"/>
          <w:szCs w:val="24"/>
          <w:lang w:eastAsia="es-CO"/>
        </w:rPr>
        <w:t>s</w:t>
      </w:r>
      <w:r w:rsidR="00E65C80" w:rsidRPr="00A143CE">
        <w:rPr>
          <w:rFonts w:ascii="Arial" w:hAnsi="Arial" w:cs="Arial"/>
          <w:spacing w:val="-3"/>
          <w:sz w:val="24"/>
          <w:szCs w:val="24"/>
          <w:lang w:eastAsia="es-CO"/>
        </w:rPr>
        <w:t xml:space="preserve"> por los per</w:t>
      </w:r>
      <w:r w:rsidR="00AF1288" w:rsidRPr="00A143CE">
        <w:rPr>
          <w:rFonts w:ascii="Arial" w:hAnsi="Arial" w:cs="Arial"/>
          <w:spacing w:val="-3"/>
          <w:sz w:val="24"/>
          <w:szCs w:val="24"/>
          <w:lang w:eastAsia="es-CO"/>
        </w:rPr>
        <w:t>juicios sufridos</w:t>
      </w:r>
      <w:r w:rsidR="00235BA4" w:rsidRPr="00A143CE">
        <w:rPr>
          <w:rFonts w:ascii="Arial" w:hAnsi="Arial" w:cs="Arial"/>
          <w:spacing w:val="-3"/>
          <w:sz w:val="24"/>
          <w:szCs w:val="24"/>
          <w:lang w:eastAsia="es-CO"/>
        </w:rPr>
        <w:t xml:space="preserve"> </w:t>
      </w:r>
      <w:r w:rsidR="005F5218" w:rsidRPr="00A143CE">
        <w:rPr>
          <w:rFonts w:ascii="Arial" w:hAnsi="Arial" w:cs="Arial"/>
          <w:spacing w:val="-3"/>
          <w:sz w:val="24"/>
          <w:szCs w:val="24"/>
          <w:lang w:eastAsia="es-CO"/>
        </w:rPr>
        <w:t xml:space="preserve">como consecuencia de la privación injusta de la libertad de que fue objeto el primero de los nombrados dentro de un proceso penal adelantado en su contra por los delitos de </w:t>
      </w:r>
      <w:r w:rsidR="00310841" w:rsidRPr="00A143CE">
        <w:rPr>
          <w:rFonts w:ascii="Arial" w:hAnsi="Arial" w:cs="Arial"/>
          <w:spacing w:val="-3"/>
          <w:sz w:val="24"/>
          <w:szCs w:val="24"/>
          <w:lang w:eastAsia="es-CO"/>
        </w:rPr>
        <w:t>concierto para delinquir, porte ilegal de armas y extorsión en la modalidad de tentativa</w:t>
      </w:r>
      <w:r w:rsidR="00E65C80" w:rsidRPr="00A143CE">
        <w:rPr>
          <w:rStyle w:val="Refdenotaalpie"/>
          <w:rFonts w:ascii="Arial" w:hAnsi="Arial" w:cs="Arial"/>
          <w:spacing w:val="-3"/>
          <w:sz w:val="24"/>
          <w:szCs w:val="24"/>
          <w:lang w:eastAsia="es-CO"/>
        </w:rPr>
        <w:footnoteReference w:id="3"/>
      </w:r>
      <w:r w:rsidR="00E65C80" w:rsidRPr="00A143CE">
        <w:rPr>
          <w:rFonts w:ascii="Arial" w:hAnsi="Arial" w:cs="Arial"/>
          <w:i/>
          <w:spacing w:val="4"/>
          <w:sz w:val="24"/>
          <w:szCs w:val="24"/>
          <w:lang w:eastAsia="es-CO"/>
        </w:rPr>
        <w:t xml:space="preserve">. </w:t>
      </w:r>
    </w:p>
    <w:p w:rsidR="00E65C80" w:rsidRPr="00A143CE" w:rsidRDefault="00E65C80" w:rsidP="00267AAD">
      <w:pPr>
        <w:pStyle w:val="Sinespaciado"/>
        <w:rPr>
          <w:rFonts w:ascii="Arial" w:hAnsi="Arial" w:cs="Arial"/>
          <w:sz w:val="24"/>
          <w:szCs w:val="24"/>
          <w:lang w:eastAsia="es-CO"/>
        </w:rPr>
      </w:pPr>
    </w:p>
    <w:p w:rsidR="00DD547D" w:rsidRPr="00A143CE" w:rsidRDefault="00DD547D" w:rsidP="00DD547D">
      <w:pPr>
        <w:spacing w:after="0" w:line="360" w:lineRule="auto"/>
        <w:jc w:val="both"/>
        <w:rPr>
          <w:rFonts w:ascii="Arial" w:eastAsia="Times New Roman" w:hAnsi="Arial" w:cs="Arial"/>
          <w:sz w:val="24"/>
          <w:szCs w:val="24"/>
          <w:lang w:eastAsia="es-CO"/>
        </w:rPr>
      </w:pPr>
      <w:r w:rsidRPr="00A143CE">
        <w:rPr>
          <w:rFonts w:ascii="Arial" w:eastAsia="Times New Roman" w:hAnsi="Arial" w:cs="Arial"/>
          <w:sz w:val="24"/>
          <w:szCs w:val="24"/>
          <w:lang w:eastAsia="es-CO"/>
        </w:rPr>
        <w:t>Como consecuencia de la anterior declaración, solici</w:t>
      </w:r>
      <w:r w:rsidR="0051546E" w:rsidRPr="00A143CE">
        <w:rPr>
          <w:rFonts w:ascii="Arial" w:eastAsia="Times New Roman" w:hAnsi="Arial" w:cs="Arial"/>
          <w:sz w:val="24"/>
          <w:szCs w:val="24"/>
          <w:lang w:eastAsia="es-CO"/>
        </w:rPr>
        <w:t xml:space="preserve">taron que se </w:t>
      </w:r>
      <w:r w:rsidR="003C63CC" w:rsidRPr="00A143CE">
        <w:rPr>
          <w:rFonts w:ascii="Arial" w:eastAsia="Times New Roman" w:hAnsi="Arial" w:cs="Arial"/>
          <w:sz w:val="24"/>
          <w:szCs w:val="24"/>
          <w:lang w:eastAsia="es-CO"/>
        </w:rPr>
        <w:t>condenar</w:t>
      </w:r>
      <w:r w:rsidR="0051546E" w:rsidRPr="00A143CE">
        <w:rPr>
          <w:rFonts w:ascii="Arial" w:eastAsia="Times New Roman" w:hAnsi="Arial" w:cs="Arial"/>
          <w:sz w:val="24"/>
          <w:szCs w:val="24"/>
          <w:lang w:eastAsia="es-CO"/>
        </w:rPr>
        <w:t>a</w:t>
      </w:r>
      <w:r w:rsidRPr="00A143CE">
        <w:rPr>
          <w:rFonts w:ascii="Arial" w:eastAsia="Times New Roman" w:hAnsi="Arial" w:cs="Arial"/>
          <w:sz w:val="24"/>
          <w:szCs w:val="24"/>
          <w:lang w:eastAsia="es-CO"/>
        </w:rPr>
        <w:t xml:space="preserve"> a la</w:t>
      </w:r>
      <w:r w:rsidR="002D6ABB" w:rsidRPr="00A143CE">
        <w:rPr>
          <w:rFonts w:ascii="Arial" w:eastAsia="Times New Roman" w:hAnsi="Arial" w:cs="Arial"/>
          <w:sz w:val="24"/>
          <w:szCs w:val="24"/>
          <w:lang w:eastAsia="es-CO"/>
        </w:rPr>
        <w:t>s</w:t>
      </w:r>
      <w:r w:rsidRPr="00A143CE">
        <w:rPr>
          <w:rFonts w:ascii="Arial" w:eastAsia="Times New Roman" w:hAnsi="Arial" w:cs="Arial"/>
          <w:sz w:val="24"/>
          <w:szCs w:val="24"/>
          <w:lang w:eastAsia="es-CO"/>
        </w:rPr>
        <w:t xml:space="preserve"> entidad</w:t>
      </w:r>
      <w:r w:rsidR="002D6ABB" w:rsidRPr="00A143CE">
        <w:rPr>
          <w:rFonts w:ascii="Arial" w:eastAsia="Times New Roman" w:hAnsi="Arial" w:cs="Arial"/>
          <w:sz w:val="24"/>
          <w:szCs w:val="24"/>
          <w:lang w:eastAsia="es-CO"/>
        </w:rPr>
        <w:t>es</w:t>
      </w:r>
      <w:r w:rsidRPr="00A143CE">
        <w:rPr>
          <w:rFonts w:ascii="Arial" w:eastAsia="Times New Roman" w:hAnsi="Arial" w:cs="Arial"/>
          <w:sz w:val="24"/>
          <w:szCs w:val="24"/>
          <w:lang w:eastAsia="es-CO"/>
        </w:rPr>
        <w:t xml:space="preserve"> demandada</w:t>
      </w:r>
      <w:r w:rsidR="002D6ABB" w:rsidRPr="00A143CE">
        <w:rPr>
          <w:rFonts w:ascii="Arial" w:eastAsia="Times New Roman" w:hAnsi="Arial" w:cs="Arial"/>
          <w:sz w:val="24"/>
          <w:szCs w:val="24"/>
          <w:lang w:eastAsia="es-CO"/>
        </w:rPr>
        <w:t>s</w:t>
      </w:r>
      <w:r w:rsidRPr="00A143CE">
        <w:rPr>
          <w:rFonts w:ascii="Arial" w:eastAsia="Times New Roman" w:hAnsi="Arial" w:cs="Arial"/>
          <w:sz w:val="24"/>
          <w:szCs w:val="24"/>
          <w:lang w:eastAsia="es-CO"/>
        </w:rPr>
        <w:t xml:space="preserve"> a pagar, por concepto de indemnización de perjuicios morales</w:t>
      </w:r>
      <w:r w:rsidR="00EE12F3" w:rsidRPr="00A143CE">
        <w:rPr>
          <w:rFonts w:ascii="Arial" w:eastAsia="Times New Roman" w:hAnsi="Arial" w:cs="Arial"/>
          <w:sz w:val="24"/>
          <w:szCs w:val="24"/>
          <w:lang w:eastAsia="es-CO"/>
        </w:rPr>
        <w:t xml:space="preserve"> </w:t>
      </w:r>
      <w:r w:rsidR="0051546E" w:rsidRPr="00A143CE">
        <w:rPr>
          <w:rFonts w:ascii="Arial" w:eastAsia="Times New Roman" w:hAnsi="Arial" w:cs="Arial"/>
          <w:sz w:val="24"/>
          <w:szCs w:val="24"/>
          <w:lang w:eastAsia="es-CO"/>
        </w:rPr>
        <w:t>la suma</w:t>
      </w:r>
      <w:r w:rsidR="00EE12F3" w:rsidRPr="00A143CE">
        <w:rPr>
          <w:rFonts w:ascii="Arial" w:eastAsia="Times New Roman" w:hAnsi="Arial" w:cs="Arial"/>
          <w:sz w:val="24"/>
          <w:szCs w:val="24"/>
          <w:lang w:eastAsia="es-CO"/>
        </w:rPr>
        <w:t xml:space="preserve"> equivalente </w:t>
      </w:r>
      <w:r w:rsidR="0051546E" w:rsidRPr="00A143CE">
        <w:rPr>
          <w:rFonts w:ascii="Arial" w:eastAsia="Times New Roman" w:hAnsi="Arial" w:cs="Arial"/>
          <w:sz w:val="24"/>
          <w:szCs w:val="24"/>
          <w:lang w:eastAsia="es-CO"/>
        </w:rPr>
        <w:t xml:space="preserve">en pesos </w:t>
      </w:r>
      <w:r w:rsidR="00EE12F3" w:rsidRPr="00A143CE">
        <w:rPr>
          <w:rFonts w:ascii="Arial" w:eastAsia="Times New Roman" w:hAnsi="Arial" w:cs="Arial"/>
          <w:sz w:val="24"/>
          <w:szCs w:val="24"/>
          <w:lang w:eastAsia="es-CO"/>
        </w:rPr>
        <w:t xml:space="preserve">a </w:t>
      </w:r>
      <w:r w:rsidR="002D6ABB" w:rsidRPr="00A143CE">
        <w:rPr>
          <w:rFonts w:ascii="Arial" w:eastAsia="Times New Roman" w:hAnsi="Arial" w:cs="Arial"/>
          <w:sz w:val="24"/>
          <w:szCs w:val="24"/>
          <w:lang w:eastAsia="es-CO"/>
        </w:rPr>
        <w:t>200 SMLMV</w:t>
      </w:r>
      <w:r w:rsidR="00E33E7A" w:rsidRPr="00A143CE">
        <w:rPr>
          <w:rFonts w:ascii="Arial" w:eastAsia="Times New Roman" w:hAnsi="Arial" w:cs="Arial"/>
          <w:sz w:val="24"/>
          <w:szCs w:val="24"/>
          <w:lang w:eastAsia="es-CO"/>
        </w:rPr>
        <w:t xml:space="preserve"> para </w:t>
      </w:r>
      <w:r w:rsidR="0051546E" w:rsidRPr="00A143CE">
        <w:rPr>
          <w:rFonts w:ascii="Arial" w:eastAsia="Times New Roman" w:hAnsi="Arial" w:cs="Arial"/>
          <w:sz w:val="24"/>
          <w:szCs w:val="24"/>
          <w:lang w:eastAsia="es-CO"/>
        </w:rPr>
        <w:t>el principal afectado</w:t>
      </w:r>
      <w:r w:rsidR="002D6ABB" w:rsidRPr="00A143CE">
        <w:rPr>
          <w:rFonts w:ascii="Arial" w:eastAsia="Times New Roman" w:hAnsi="Arial" w:cs="Arial"/>
          <w:sz w:val="24"/>
          <w:szCs w:val="24"/>
          <w:lang w:eastAsia="es-CO"/>
        </w:rPr>
        <w:t xml:space="preserve">, 100 SMLMV para cada una de sus hermanas, la misma cantidad que solicitó a favor de </w:t>
      </w:r>
      <w:r w:rsidR="00933D25" w:rsidRPr="00A143CE">
        <w:rPr>
          <w:rFonts w:ascii="Arial" w:eastAsia="Times New Roman" w:hAnsi="Arial" w:cs="Arial"/>
          <w:sz w:val="24"/>
          <w:szCs w:val="24"/>
          <w:lang w:eastAsia="es-CO"/>
        </w:rPr>
        <w:t xml:space="preserve">una de </w:t>
      </w:r>
      <w:r w:rsidR="002D6ABB" w:rsidRPr="00A143CE">
        <w:rPr>
          <w:rFonts w:ascii="Arial" w:eastAsia="Times New Roman" w:hAnsi="Arial" w:cs="Arial"/>
          <w:sz w:val="24"/>
          <w:szCs w:val="24"/>
          <w:lang w:eastAsia="es-CO"/>
        </w:rPr>
        <w:t xml:space="preserve">ellas por concepto de daño a la vida en relación; </w:t>
      </w:r>
      <w:r w:rsidR="0051546E" w:rsidRPr="00A143CE">
        <w:rPr>
          <w:rFonts w:ascii="Arial" w:eastAsia="Times New Roman" w:hAnsi="Arial" w:cs="Arial"/>
          <w:sz w:val="24"/>
          <w:szCs w:val="24"/>
          <w:lang w:eastAsia="es-CO"/>
        </w:rPr>
        <w:t xml:space="preserve">por concepto de indemnización de perjuicios materiales </w:t>
      </w:r>
      <w:r w:rsidR="005F5955" w:rsidRPr="00A143CE">
        <w:rPr>
          <w:rFonts w:ascii="Arial" w:eastAsia="Times New Roman" w:hAnsi="Arial" w:cs="Arial"/>
          <w:sz w:val="24"/>
          <w:szCs w:val="24"/>
          <w:lang w:eastAsia="es-CO"/>
        </w:rPr>
        <w:t xml:space="preserve">en la modalidad </w:t>
      </w:r>
      <w:r w:rsidR="0051546E" w:rsidRPr="00A143CE">
        <w:rPr>
          <w:rFonts w:ascii="Arial" w:eastAsia="Times New Roman" w:hAnsi="Arial" w:cs="Arial"/>
          <w:sz w:val="24"/>
          <w:szCs w:val="24"/>
          <w:lang w:eastAsia="es-CO"/>
        </w:rPr>
        <w:t xml:space="preserve">daño emergente se solicitó la restitución de los gastos ocasionados en la contratación de los servicios </w:t>
      </w:r>
      <w:r w:rsidR="0051546E" w:rsidRPr="00A143CE">
        <w:rPr>
          <w:rFonts w:ascii="Arial" w:eastAsia="Times New Roman" w:hAnsi="Arial" w:cs="Arial"/>
          <w:sz w:val="24"/>
          <w:szCs w:val="24"/>
          <w:lang w:eastAsia="es-CO"/>
        </w:rPr>
        <w:lastRenderedPageBreak/>
        <w:t xml:space="preserve">profesionales de un abogado y, por concepto de </w:t>
      </w:r>
      <w:r w:rsidR="005F5955" w:rsidRPr="00A143CE">
        <w:rPr>
          <w:rFonts w:ascii="Arial" w:eastAsia="Times New Roman" w:hAnsi="Arial" w:cs="Arial"/>
          <w:sz w:val="24"/>
          <w:szCs w:val="24"/>
          <w:lang w:eastAsia="es-CO"/>
        </w:rPr>
        <w:t>lucro c</w:t>
      </w:r>
      <w:r w:rsidR="00095454" w:rsidRPr="00A143CE">
        <w:rPr>
          <w:rFonts w:ascii="Arial" w:eastAsia="Times New Roman" w:hAnsi="Arial" w:cs="Arial"/>
          <w:sz w:val="24"/>
          <w:szCs w:val="24"/>
          <w:lang w:eastAsia="es-CO"/>
        </w:rPr>
        <w:t xml:space="preserve">esante, </w:t>
      </w:r>
      <w:r w:rsidR="00933D25" w:rsidRPr="00A143CE">
        <w:rPr>
          <w:rFonts w:ascii="Arial" w:eastAsia="Times New Roman" w:hAnsi="Arial" w:cs="Arial"/>
          <w:sz w:val="24"/>
          <w:szCs w:val="24"/>
          <w:lang w:eastAsia="es-CO"/>
        </w:rPr>
        <w:t xml:space="preserve">se </w:t>
      </w:r>
      <w:r w:rsidR="0051546E" w:rsidRPr="00A143CE">
        <w:rPr>
          <w:rFonts w:ascii="Arial" w:eastAsia="Times New Roman" w:hAnsi="Arial" w:cs="Arial"/>
          <w:sz w:val="24"/>
          <w:szCs w:val="24"/>
          <w:lang w:eastAsia="es-CO"/>
        </w:rPr>
        <w:t>deprecó la suma de $13.000.000 a favor del demandante principal</w:t>
      </w:r>
      <w:r w:rsidR="005F5955" w:rsidRPr="00A143CE">
        <w:rPr>
          <w:rFonts w:ascii="Arial" w:eastAsia="Times New Roman" w:hAnsi="Arial" w:cs="Arial"/>
          <w:sz w:val="24"/>
          <w:szCs w:val="24"/>
          <w:lang w:eastAsia="es-CO"/>
        </w:rPr>
        <w:t>.</w:t>
      </w:r>
      <w:r w:rsidR="00D03D2F" w:rsidRPr="00A143CE">
        <w:rPr>
          <w:rFonts w:ascii="Arial" w:eastAsia="Times New Roman" w:hAnsi="Arial" w:cs="Arial"/>
          <w:sz w:val="24"/>
          <w:szCs w:val="24"/>
          <w:lang w:eastAsia="es-CO"/>
        </w:rPr>
        <w:t xml:space="preserve"> </w:t>
      </w:r>
    </w:p>
    <w:p w:rsidR="00D03D2F" w:rsidRPr="00A143CE" w:rsidRDefault="00D03D2F" w:rsidP="00DD547D">
      <w:pPr>
        <w:spacing w:after="0" w:line="360" w:lineRule="auto"/>
        <w:jc w:val="both"/>
        <w:rPr>
          <w:rFonts w:ascii="Arial" w:eastAsia="Times New Roman" w:hAnsi="Arial" w:cs="Arial"/>
          <w:sz w:val="24"/>
          <w:szCs w:val="24"/>
          <w:lang w:eastAsia="es-CO"/>
        </w:rPr>
      </w:pPr>
    </w:p>
    <w:p w:rsidR="00386D19" w:rsidRPr="00A143CE" w:rsidRDefault="00310841" w:rsidP="00E65C80">
      <w:pPr>
        <w:spacing w:after="0" w:line="360" w:lineRule="auto"/>
        <w:jc w:val="both"/>
        <w:rPr>
          <w:rFonts w:ascii="Arial" w:eastAsia="Times New Roman" w:hAnsi="Arial" w:cs="Arial"/>
          <w:sz w:val="24"/>
          <w:szCs w:val="24"/>
          <w:lang w:eastAsia="es-ES"/>
        </w:rPr>
      </w:pPr>
      <w:r w:rsidRPr="00A143CE">
        <w:rPr>
          <w:rFonts w:ascii="Arial" w:hAnsi="Arial" w:cs="Arial"/>
          <w:spacing w:val="-3"/>
          <w:sz w:val="24"/>
          <w:szCs w:val="24"/>
          <w:lang w:eastAsia="es-CO"/>
        </w:rPr>
        <w:t xml:space="preserve">Como </w:t>
      </w:r>
      <w:r w:rsidR="0051546E" w:rsidRPr="00A143CE">
        <w:rPr>
          <w:rFonts w:ascii="Arial" w:hAnsi="Arial" w:cs="Arial"/>
          <w:b/>
          <w:spacing w:val="-3"/>
          <w:sz w:val="24"/>
          <w:szCs w:val="24"/>
          <w:lang w:eastAsia="es-CO"/>
        </w:rPr>
        <w:t>fundamentos fácticos</w:t>
      </w:r>
      <w:r w:rsidR="0051546E" w:rsidRPr="00A143CE">
        <w:rPr>
          <w:rFonts w:ascii="Arial" w:hAnsi="Arial" w:cs="Arial"/>
          <w:spacing w:val="-3"/>
          <w:sz w:val="24"/>
          <w:szCs w:val="24"/>
          <w:lang w:eastAsia="es-CO"/>
        </w:rPr>
        <w:t xml:space="preserve"> de</w:t>
      </w:r>
      <w:r w:rsidRPr="00A143CE">
        <w:rPr>
          <w:rFonts w:ascii="Arial" w:hAnsi="Arial" w:cs="Arial"/>
          <w:spacing w:val="-3"/>
          <w:sz w:val="24"/>
          <w:szCs w:val="24"/>
          <w:lang w:eastAsia="es-CO"/>
        </w:rPr>
        <w:t xml:space="preserve"> las pretensiones </w:t>
      </w:r>
      <w:r w:rsidR="0051546E" w:rsidRPr="00A143CE">
        <w:rPr>
          <w:rFonts w:ascii="Arial" w:hAnsi="Arial" w:cs="Arial"/>
          <w:spacing w:val="-3"/>
          <w:sz w:val="24"/>
          <w:szCs w:val="24"/>
          <w:lang w:eastAsia="es-CO"/>
        </w:rPr>
        <w:t xml:space="preserve">se </w:t>
      </w:r>
      <w:r w:rsidRPr="00A143CE">
        <w:rPr>
          <w:rFonts w:ascii="Arial" w:hAnsi="Arial" w:cs="Arial"/>
          <w:spacing w:val="-3"/>
          <w:sz w:val="24"/>
          <w:szCs w:val="24"/>
          <w:lang w:eastAsia="es-CO"/>
        </w:rPr>
        <w:t xml:space="preserve">narró, en síntesis, </w:t>
      </w:r>
      <w:r w:rsidR="00E65C80" w:rsidRPr="00A143CE">
        <w:rPr>
          <w:rFonts w:ascii="Arial" w:eastAsia="Times New Roman" w:hAnsi="Arial" w:cs="Arial"/>
          <w:sz w:val="24"/>
          <w:szCs w:val="24"/>
          <w:lang w:eastAsia="es-ES"/>
        </w:rPr>
        <w:t xml:space="preserve">que </w:t>
      </w:r>
      <w:r w:rsidR="00386D19" w:rsidRPr="00A143CE">
        <w:rPr>
          <w:rFonts w:ascii="Arial" w:eastAsia="Times New Roman" w:hAnsi="Arial" w:cs="Arial"/>
          <w:sz w:val="24"/>
          <w:szCs w:val="24"/>
          <w:lang w:eastAsia="es-ES"/>
        </w:rPr>
        <w:t>la Fiscalía Doce Seccional de la Unidad de Patrimonio Económico de Ibagué</w:t>
      </w:r>
      <w:r w:rsidR="00095454" w:rsidRPr="00A143CE">
        <w:rPr>
          <w:rFonts w:ascii="Arial" w:eastAsia="Times New Roman" w:hAnsi="Arial" w:cs="Arial"/>
          <w:sz w:val="24"/>
          <w:szCs w:val="24"/>
          <w:lang w:eastAsia="es-ES"/>
        </w:rPr>
        <w:t xml:space="preserve"> </w:t>
      </w:r>
      <w:r w:rsidR="00386D19" w:rsidRPr="00A143CE">
        <w:rPr>
          <w:rFonts w:ascii="Arial" w:eastAsia="Times New Roman" w:hAnsi="Arial" w:cs="Arial"/>
          <w:sz w:val="24"/>
          <w:szCs w:val="24"/>
          <w:lang w:eastAsia="es-ES"/>
        </w:rPr>
        <w:t>adelantó investigación penal en contra del señor Carlos Enrique Trujillo Ocampo, por los delitos de concierto para delinquir en concurso con el porte ilegal de armas y extorsión en la modalidad de tentativa.</w:t>
      </w:r>
    </w:p>
    <w:p w:rsidR="00095454" w:rsidRPr="00A143CE" w:rsidRDefault="00095454" w:rsidP="005E15C1">
      <w:pPr>
        <w:pStyle w:val="Sinespaciado"/>
        <w:rPr>
          <w:rFonts w:ascii="Arial" w:hAnsi="Arial" w:cs="Arial"/>
          <w:sz w:val="24"/>
          <w:szCs w:val="24"/>
          <w:lang w:eastAsia="es-ES"/>
        </w:rPr>
      </w:pPr>
    </w:p>
    <w:p w:rsidR="00095454" w:rsidRPr="00A143CE" w:rsidRDefault="0051546E" w:rsidP="00E65C80">
      <w:pPr>
        <w:spacing w:after="0" w:line="360" w:lineRule="auto"/>
        <w:jc w:val="both"/>
        <w:rPr>
          <w:rFonts w:ascii="Arial" w:eastAsia="Times New Roman" w:hAnsi="Arial" w:cs="Arial"/>
          <w:sz w:val="24"/>
          <w:szCs w:val="24"/>
          <w:lang w:eastAsia="es-ES"/>
        </w:rPr>
      </w:pPr>
      <w:r w:rsidRPr="00A143CE">
        <w:rPr>
          <w:rFonts w:ascii="Arial" w:eastAsia="Times New Roman" w:hAnsi="Arial" w:cs="Arial"/>
          <w:sz w:val="24"/>
          <w:szCs w:val="24"/>
          <w:lang w:eastAsia="es-ES"/>
        </w:rPr>
        <w:t xml:space="preserve">Señaló el libelo </w:t>
      </w:r>
      <w:r w:rsidR="00CC0C64" w:rsidRPr="00A143CE">
        <w:rPr>
          <w:rFonts w:ascii="Arial" w:eastAsia="Times New Roman" w:hAnsi="Arial" w:cs="Arial"/>
          <w:sz w:val="24"/>
          <w:szCs w:val="24"/>
          <w:lang w:eastAsia="es-ES"/>
        </w:rPr>
        <w:t>que el 25 de abril de 2000</w:t>
      </w:r>
      <w:r w:rsidR="00004698" w:rsidRPr="00A143CE">
        <w:rPr>
          <w:rFonts w:ascii="Arial" w:eastAsia="Times New Roman" w:hAnsi="Arial" w:cs="Arial"/>
          <w:sz w:val="24"/>
          <w:szCs w:val="24"/>
          <w:lang w:eastAsia="es-ES"/>
        </w:rPr>
        <w:t xml:space="preserve"> se resolvió</w:t>
      </w:r>
      <w:r w:rsidR="00CC0C64" w:rsidRPr="00A143CE">
        <w:rPr>
          <w:rFonts w:ascii="Arial" w:eastAsia="Times New Roman" w:hAnsi="Arial" w:cs="Arial"/>
          <w:sz w:val="24"/>
          <w:szCs w:val="24"/>
          <w:lang w:eastAsia="es-ES"/>
        </w:rPr>
        <w:t xml:space="preserve"> </w:t>
      </w:r>
      <w:r w:rsidR="00004698" w:rsidRPr="00A143CE">
        <w:rPr>
          <w:rFonts w:ascii="Arial" w:eastAsia="Times New Roman" w:hAnsi="Arial" w:cs="Arial"/>
          <w:sz w:val="24"/>
          <w:szCs w:val="24"/>
          <w:lang w:eastAsia="es-ES"/>
        </w:rPr>
        <w:t xml:space="preserve">la </w:t>
      </w:r>
      <w:r w:rsidR="00CC0C64" w:rsidRPr="00A143CE">
        <w:rPr>
          <w:rFonts w:ascii="Arial" w:eastAsia="Times New Roman" w:hAnsi="Arial" w:cs="Arial"/>
          <w:sz w:val="24"/>
          <w:szCs w:val="24"/>
          <w:lang w:eastAsia="es-ES"/>
        </w:rPr>
        <w:t xml:space="preserve">situación jurídica </w:t>
      </w:r>
      <w:r w:rsidR="00095454" w:rsidRPr="00A143CE">
        <w:rPr>
          <w:rFonts w:ascii="Arial" w:eastAsia="Times New Roman" w:hAnsi="Arial" w:cs="Arial"/>
          <w:sz w:val="24"/>
          <w:szCs w:val="24"/>
          <w:lang w:eastAsia="es-ES"/>
        </w:rPr>
        <w:t xml:space="preserve">del señor </w:t>
      </w:r>
      <w:r w:rsidR="005E15C1" w:rsidRPr="00A143CE">
        <w:rPr>
          <w:rFonts w:ascii="Arial" w:eastAsia="Times New Roman" w:hAnsi="Arial" w:cs="Arial"/>
          <w:sz w:val="24"/>
          <w:szCs w:val="24"/>
          <w:lang w:eastAsia="es-ES"/>
        </w:rPr>
        <w:t>Carlos Enrique Trujillo Ocampo</w:t>
      </w:r>
      <w:r w:rsidR="00095454" w:rsidRPr="00A143CE">
        <w:rPr>
          <w:rFonts w:ascii="Arial" w:eastAsia="Times New Roman" w:hAnsi="Arial" w:cs="Arial"/>
          <w:sz w:val="24"/>
          <w:szCs w:val="24"/>
          <w:lang w:eastAsia="es-ES"/>
        </w:rPr>
        <w:t xml:space="preserve">, </w:t>
      </w:r>
      <w:r w:rsidR="00004698" w:rsidRPr="00A143CE">
        <w:rPr>
          <w:rFonts w:ascii="Arial" w:eastAsia="Times New Roman" w:hAnsi="Arial" w:cs="Arial"/>
          <w:sz w:val="24"/>
          <w:szCs w:val="24"/>
          <w:lang w:eastAsia="es-ES"/>
        </w:rPr>
        <w:t>impon</w:t>
      </w:r>
      <w:r w:rsidR="005E15C1" w:rsidRPr="00A143CE">
        <w:rPr>
          <w:rFonts w:ascii="Arial" w:eastAsia="Times New Roman" w:hAnsi="Arial" w:cs="Arial"/>
          <w:sz w:val="24"/>
          <w:szCs w:val="24"/>
          <w:lang w:eastAsia="es-ES"/>
        </w:rPr>
        <w:t>iéndole medida de aseguramiento consistente en detención preventiva,</w:t>
      </w:r>
      <w:r w:rsidR="00004698" w:rsidRPr="00A143CE">
        <w:rPr>
          <w:rFonts w:ascii="Arial" w:eastAsia="Times New Roman" w:hAnsi="Arial" w:cs="Arial"/>
          <w:sz w:val="24"/>
          <w:szCs w:val="24"/>
          <w:lang w:eastAsia="es-ES"/>
        </w:rPr>
        <w:t xml:space="preserve"> posteriormente</w:t>
      </w:r>
      <w:r w:rsidR="005E15C1" w:rsidRPr="00A143CE">
        <w:rPr>
          <w:rFonts w:ascii="Arial" w:eastAsia="Times New Roman" w:hAnsi="Arial" w:cs="Arial"/>
          <w:sz w:val="24"/>
          <w:szCs w:val="24"/>
          <w:lang w:eastAsia="es-ES"/>
        </w:rPr>
        <w:t xml:space="preserve">, señaló que </w:t>
      </w:r>
      <w:r w:rsidR="00004698" w:rsidRPr="00A143CE">
        <w:rPr>
          <w:rFonts w:ascii="Arial" w:eastAsia="Times New Roman" w:hAnsi="Arial" w:cs="Arial"/>
          <w:sz w:val="24"/>
          <w:szCs w:val="24"/>
          <w:lang w:eastAsia="es-ES"/>
        </w:rPr>
        <w:t xml:space="preserve">el 6 de octubre del mismo año, se profirió </w:t>
      </w:r>
      <w:r w:rsidRPr="00A143CE">
        <w:rPr>
          <w:rFonts w:ascii="Arial" w:eastAsia="Times New Roman" w:hAnsi="Arial" w:cs="Arial"/>
          <w:sz w:val="24"/>
          <w:szCs w:val="24"/>
          <w:lang w:eastAsia="es-ES"/>
        </w:rPr>
        <w:t>r</w:t>
      </w:r>
      <w:r w:rsidR="005E15C1" w:rsidRPr="00A143CE">
        <w:rPr>
          <w:rFonts w:ascii="Arial" w:eastAsia="Times New Roman" w:hAnsi="Arial" w:cs="Arial"/>
          <w:sz w:val="24"/>
          <w:szCs w:val="24"/>
          <w:lang w:eastAsia="es-ES"/>
        </w:rPr>
        <w:t>esolución de acusación como autor de los delitos referidos</w:t>
      </w:r>
      <w:r w:rsidR="009372FA" w:rsidRPr="00A143CE">
        <w:rPr>
          <w:rFonts w:ascii="Arial" w:eastAsia="Times New Roman" w:hAnsi="Arial" w:cs="Arial"/>
          <w:sz w:val="24"/>
          <w:szCs w:val="24"/>
          <w:lang w:eastAsia="es-ES"/>
        </w:rPr>
        <w:t>.</w:t>
      </w:r>
    </w:p>
    <w:p w:rsidR="00004698" w:rsidRPr="00A143CE" w:rsidRDefault="00004698" w:rsidP="00E65C80">
      <w:pPr>
        <w:spacing w:after="0" w:line="360" w:lineRule="auto"/>
        <w:jc w:val="both"/>
        <w:rPr>
          <w:rFonts w:ascii="Arial" w:eastAsia="Times New Roman" w:hAnsi="Arial" w:cs="Arial"/>
          <w:sz w:val="24"/>
          <w:szCs w:val="24"/>
          <w:lang w:eastAsia="es-ES"/>
        </w:rPr>
      </w:pPr>
    </w:p>
    <w:p w:rsidR="00E65C80" w:rsidRPr="00A143CE" w:rsidRDefault="0051546E" w:rsidP="0033630B">
      <w:pPr>
        <w:spacing w:after="0" w:line="360" w:lineRule="auto"/>
        <w:jc w:val="both"/>
        <w:rPr>
          <w:rFonts w:ascii="Arial" w:hAnsi="Arial" w:cs="Arial"/>
          <w:sz w:val="24"/>
          <w:szCs w:val="24"/>
        </w:rPr>
      </w:pPr>
      <w:r w:rsidRPr="00A143CE">
        <w:rPr>
          <w:rFonts w:ascii="Arial" w:eastAsia="Times New Roman" w:hAnsi="Arial" w:cs="Arial"/>
          <w:sz w:val="24"/>
          <w:szCs w:val="24"/>
          <w:lang w:eastAsia="es-ES"/>
        </w:rPr>
        <w:t>Manifestaron los demandantes</w:t>
      </w:r>
      <w:r w:rsidR="00095454" w:rsidRPr="00A143CE">
        <w:rPr>
          <w:rFonts w:ascii="Arial" w:eastAsia="Times New Roman" w:hAnsi="Arial" w:cs="Arial"/>
          <w:sz w:val="24"/>
          <w:szCs w:val="24"/>
          <w:lang w:eastAsia="es-ES"/>
        </w:rPr>
        <w:t xml:space="preserve"> que el Juzgado </w:t>
      </w:r>
      <w:r w:rsidR="00004698" w:rsidRPr="00A143CE">
        <w:rPr>
          <w:rFonts w:ascii="Arial" w:eastAsia="Times New Roman" w:hAnsi="Arial" w:cs="Arial"/>
          <w:sz w:val="24"/>
          <w:szCs w:val="24"/>
          <w:lang w:eastAsia="es-ES"/>
        </w:rPr>
        <w:t>Segundo Penal del Circuito Especializado de Ibagué, mediante pro</w:t>
      </w:r>
      <w:r w:rsidRPr="00A143CE">
        <w:rPr>
          <w:rFonts w:ascii="Arial" w:eastAsia="Times New Roman" w:hAnsi="Arial" w:cs="Arial"/>
          <w:sz w:val="24"/>
          <w:szCs w:val="24"/>
          <w:lang w:eastAsia="es-ES"/>
        </w:rPr>
        <w:t>veído de 7 de noviembre de 2006</w:t>
      </w:r>
      <w:r w:rsidR="00933D25" w:rsidRPr="00A143CE">
        <w:rPr>
          <w:rFonts w:ascii="Arial" w:eastAsia="Times New Roman" w:hAnsi="Arial" w:cs="Arial"/>
          <w:sz w:val="24"/>
          <w:szCs w:val="24"/>
          <w:lang w:eastAsia="es-ES"/>
        </w:rPr>
        <w:t>,</w:t>
      </w:r>
      <w:r w:rsidR="00004698" w:rsidRPr="00A143CE">
        <w:rPr>
          <w:rFonts w:ascii="Arial" w:eastAsia="Times New Roman" w:hAnsi="Arial" w:cs="Arial"/>
          <w:sz w:val="24"/>
          <w:szCs w:val="24"/>
          <w:lang w:eastAsia="es-ES"/>
        </w:rPr>
        <w:t xml:space="preserve"> decretó la extinción de la acción penal a favor del señor </w:t>
      </w:r>
      <w:r w:rsidR="005E15C1" w:rsidRPr="00A143CE">
        <w:rPr>
          <w:rFonts w:ascii="Arial" w:eastAsia="Times New Roman" w:hAnsi="Arial" w:cs="Arial"/>
          <w:sz w:val="24"/>
          <w:szCs w:val="24"/>
          <w:lang w:eastAsia="es-ES"/>
        </w:rPr>
        <w:t>Carlos Enrique Trujillo Ocampo</w:t>
      </w:r>
      <w:r w:rsidR="00933D25" w:rsidRPr="00A143CE">
        <w:rPr>
          <w:rFonts w:ascii="Arial" w:eastAsia="Times New Roman" w:hAnsi="Arial" w:cs="Arial"/>
          <w:sz w:val="24"/>
          <w:szCs w:val="24"/>
          <w:lang w:eastAsia="es-ES"/>
        </w:rPr>
        <w:t>, por lo que concluyó</w:t>
      </w:r>
      <w:r w:rsidR="003F3E11" w:rsidRPr="00A143CE">
        <w:rPr>
          <w:rFonts w:ascii="Arial" w:eastAsia="Times New Roman" w:hAnsi="Arial" w:cs="Arial"/>
          <w:sz w:val="24"/>
          <w:szCs w:val="24"/>
          <w:lang w:eastAsia="es-ES"/>
        </w:rPr>
        <w:t xml:space="preserve"> </w:t>
      </w:r>
      <w:r w:rsidR="009372FA" w:rsidRPr="00A143CE">
        <w:rPr>
          <w:rFonts w:ascii="Arial" w:eastAsia="Times New Roman" w:hAnsi="Arial" w:cs="Arial"/>
          <w:sz w:val="24"/>
          <w:szCs w:val="24"/>
          <w:lang w:eastAsia="es-ES"/>
        </w:rPr>
        <w:t>que</w:t>
      </w:r>
      <w:r w:rsidR="003F3E11" w:rsidRPr="00A143CE">
        <w:rPr>
          <w:rFonts w:ascii="Arial" w:eastAsia="Times New Roman" w:hAnsi="Arial" w:cs="Arial"/>
          <w:sz w:val="24"/>
          <w:szCs w:val="24"/>
          <w:lang w:eastAsia="es-ES"/>
        </w:rPr>
        <w:t xml:space="preserve"> permaneció privado de su libertad </w:t>
      </w:r>
      <w:r w:rsidR="009372FA" w:rsidRPr="00A143CE">
        <w:rPr>
          <w:rFonts w:ascii="Arial" w:eastAsia="Times New Roman" w:hAnsi="Arial" w:cs="Arial"/>
          <w:sz w:val="24"/>
          <w:szCs w:val="24"/>
          <w:lang w:eastAsia="es-ES"/>
        </w:rPr>
        <w:t>desde el 25</w:t>
      </w:r>
      <w:r w:rsidR="003F3E11" w:rsidRPr="00A143CE">
        <w:rPr>
          <w:rFonts w:ascii="Arial" w:eastAsia="Times New Roman" w:hAnsi="Arial" w:cs="Arial"/>
          <w:sz w:val="24"/>
          <w:szCs w:val="24"/>
          <w:lang w:eastAsia="es-ES"/>
        </w:rPr>
        <w:t xml:space="preserve"> de </w:t>
      </w:r>
      <w:r w:rsidR="009372FA" w:rsidRPr="00A143CE">
        <w:rPr>
          <w:rFonts w:ascii="Arial" w:eastAsia="Times New Roman" w:hAnsi="Arial" w:cs="Arial"/>
          <w:sz w:val="24"/>
          <w:szCs w:val="24"/>
          <w:lang w:eastAsia="es-ES"/>
        </w:rPr>
        <w:t>abril de 2000 y hasta el 23</w:t>
      </w:r>
      <w:r w:rsidR="003F3E11" w:rsidRPr="00A143CE">
        <w:rPr>
          <w:rFonts w:ascii="Arial" w:eastAsia="Times New Roman" w:hAnsi="Arial" w:cs="Arial"/>
          <w:sz w:val="24"/>
          <w:szCs w:val="24"/>
          <w:lang w:eastAsia="es-ES"/>
        </w:rPr>
        <w:t xml:space="preserve"> de </w:t>
      </w:r>
      <w:r w:rsidR="009372FA" w:rsidRPr="00A143CE">
        <w:rPr>
          <w:rFonts w:ascii="Arial" w:eastAsia="Times New Roman" w:hAnsi="Arial" w:cs="Arial"/>
          <w:sz w:val="24"/>
          <w:szCs w:val="24"/>
          <w:lang w:eastAsia="es-ES"/>
        </w:rPr>
        <w:t>mayo</w:t>
      </w:r>
      <w:r w:rsidR="003F3E11" w:rsidRPr="00A143CE">
        <w:rPr>
          <w:rFonts w:ascii="Arial" w:eastAsia="Times New Roman" w:hAnsi="Arial" w:cs="Arial"/>
          <w:sz w:val="24"/>
          <w:szCs w:val="24"/>
          <w:lang w:eastAsia="es-ES"/>
        </w:rPr>
        <w:t xml:space="preserve"> de 200</w:t>
      </w:r>
      <w:r w:rsidR="009372FA" w:rsidRPr="00A143CE">
        <w:rPr>
          <w:rFonts w:ascii="Arial" w:eastAsia="Times New Roman" w:hAnsi="Arial" w:cs="Arial"/>
          <w:sz w:val="24"/>
          <w:szCs w:val="24"/>
          <w:lang w:eastAsia="es-ES"/>
        </w:rPr>
        <w:t>1</w:t>
      </w:r>
      <w:r w:rsidR="003F3E11" w:rsidRPr="00A143CE">
        <w:rPr>
          <w:rFonts w:ascii="Arial" w:eastAsia="Times New Roman" w:hAnsi="Arial" w:cs="Arial"/>
          <w:sz w:val="24"/>
          <w:szCs w:val="24"/>
          <w:lang w:eastAsia="es-ES"/>
        </w:rPr>
        <w:t xml:space="preserve">, </w:t>
      </w:r>
      <w:r w:rsidRPr="00A143CE">
        <w:rPr>
          <w:rFonts w:ascii="Arial" w:eastAsia="Times New Roman" w:hAnsi="Arial" w:cs="Arial"/>
          <w:sz w:val="24"/>
          <w:szCs w:val="24"/>
          <w:lang w:eastAsia="es-ES"/>
        </w:rPr>
        <w:t xml:space="preserve">detención que </w:t>
      </w:r>
      <w:r w:rsidR="000A7775" w:rsidRPr="00A143CE">
        <w:rPr>
          <w:rFonts w:ascii="Arial" w:hAnsi="Arial" w:cs="Arial"/>
          <w:sz w:val="24"/>
          <w:szCs w:val="24"/>
        </w:rPr>
        <w:t xml:space="preserve">se tornó injusta, </w:t>
      </w:r>
      <w:r w:rsidR="00E65C80" w:rsidRPr="00A143CE">
        <w:rPr>
          <w:rFonts w:ascii="Arial" w:hAnsi="Arial" w:cs="Arial"/>
          <w:sz w:val="24"/>
          <w:szCs w:val="24"/>
        </w:rPr>
        <w:t>comoquiera que la Fiscalía n</w:t>
      </w:r>
      <w:r w:rsidRPr="00A143CE">
        <w:rPr>
          <w:rFonts w:ascii="Arial" w:hAnsi="Arial" w:cs="Arial"/>
          <w:sz w:val="24"/>
          <w:szCs w:val="24"/>
        </w:rPr>
        <w:t>o tenía</w:t>
      </w:r>
      <w:r w:rsidR="00E65C80" w:rsidRPr="00A143CE">
        <w:rPr>
          <w:rFonts w:ascii="Arial" w:hAnsi="Arial" w:cs="Arial"/>
          <w:sz w:val="24"/>
          <w:szCs w:val="24"/>
        </w:rPr>
        <w:t xml:space="preserve"> </w:t>
      </w:r>
      <w:r w:rsidR="004779CA" w:rsidRPr="00A143CE">
        <w:rPr>
          <w:rFonts w:ascii="Arial" w:hAnsi="Arial" w:cs="Arial"/>
          <w:sz w:val="24"/>
          <w:szCs w:val="24"/>
        </w:rPr>
        <w:t xml:space="preserve">las </w:t>
      </w:r>
      <w:r w:rsidR="00E65C80" w:rsidRPr="00A143CE">
        <w:rPr>
          <w:rFonts w:ascii="Arial" w:hAnsi="Arial" w:cs="Arial"/>
          <w:sz w:val="24"/>
          <w:szCs w:val="24"/>
        </w:rPr>
        <w:t>pruebas ne</w:t>
      </w:r>
      <w:r w:rsidR="003F3E11" w:rsidRPr="00A143CE">
        <w:rPr>
          <w:rFonts w:ascii="Arial" w:hAnsi="Arial" w:cs="Arial"/>
          <w:sz w:val="24"/>
          <w:szCs w:val="24"/>
        </w:rPr>
        <w:t>cesarias para procesarlo</w:t>
      </w:r>
      <w:r w:rsidR="000A7775" w:rsidRPr="00A143CE">
        <w:rPr>
          <w:rFonts w:ascii="Arial" w:hAnsi="Arial" w:cs="Arial"/>
          <w:sz w:val="24"/>
          <w:szCs w:val="24"/>
        </w:rPr>
        <w:t xml:space="preserve"> por los</w:t>
      </w:r>
      <w:r w:rsidR="00BA760B" w:rsidRPr="00A143CE">
        <w:rPr>
          <w:rFonts w:ascii="Arial" w:hAnsi="Arial" w:cs="Arial"/>
          <w:sz w:val="24"/>
          <w:szCs w:val="24"/>
        </w:rPr>
        <w:t xml:space="preserve"> delito</w:t>
      </w:r>
      <w:r w:rsidR="000A7775" w:rsidRPr="00A143CE">
        <w:rPr>
          <w:rFonts w:ascii="Arial" w:hAnsi="Arial" w:cs="Arial"/>
          <w:sz w:val="24"/>
          <w:szCs w:val="24"/>
        </w:rPr>
        <w:t>s</w:t>
      </w:r>
      <w:r w:rsidR="005F08B8" w:rsidRPr="00A143CE">
        <w:rPr>
          <w:rFonts w:ascii="Arial" w:hAnsi="Arial" w:cs="Arial"/>
          <w:sz w:val="24"/>
          <w:szCs w:val="24"/>
        </w:rPr>
        <w:t xml:space="preserve"> </w:t>
      </w:r>
      <w:r w:rsidR="001800EE" w:rsidRPr="00A143CE">
        <w:rPr>
          <w:rFonts w:ascii="Arial" w:hAnsi="Arial" w:cs="Arial"/>
          <w:sz w:val="24"/>
          <w:szCs w:val="24"/>
        </w:rPr>
        <w:t>imputados</w:t>
      </w:r>
      <w:r w:rsidR="003F3E11" w:rsidRPr="00A143CE">
        <w:rPr>
          <w:rFonts w:ascii="Arial" w:hAnsi="Arial" w:cs="Arial"/>
          <w:sz w:val="24"/>
          <w:szCs w:val="24"/>
        </w:rPr>
        <w:t>, ni mucho menos para privarlo</w:t>
      </w:r>
      <w:r w:rsidRPr="00A143CE">
        <w:rPr>
          <w:rFonts w:ascii="Arial" w:hAnsi="Arial" w:cs="Arial"/>
          <w:sz w:val="24"/>
          <w:szCs w:val="24"/>
        </w:rPr>
        <w:t xml:space="preserve"> de su libertad.</w:t>
      </w:r>
    </w:p>
    <w:p w:rsidR="00235BA4" w:rsidRPr="00A143CE" w:rsidRDefault="00235BA4" w:rsidP="0033630B">
      <w:pPr>
        <w:spacing w:after="0" w:line="360" w:lineRule="auto"/>
        <w:jc w:val="both"/>
        <w:rPr>
          <w:rFonts w:ascii="Arial" w:hAnsi="Arial" w:cs="Arial"/>
          <w:sz w:val="24"/>
          <w:szCs w:val="24"/>
        </w:rPr>
      </w:pPr>
    </w:p>
    <w:p w:rsidR="0051546E" w:rsidRPr="00A143CE" w:rsidRDefault="0051546E" w:rsidP="0033630B">
      <w:pPr>
        <w:spacing w:after="0" w:line="360" w:lineRule="auto"/>
        <w:jc w:val="both"/>
        <w:rPr>
          <w:rFonts w:ascii="Arial" w:hAnsi="Arial" w:cs="Arial"/>
          <w:sz w:val="24"/>
          <w:szCs w:val="24"/>
        </w:rPr>
      </w:pPr>
      <w:r w:rsidRPr="00A143CE">
        <w:rPr>
          <w:rFonts w:ascii="Arial" w:hAnsi="Arial" w:cs="Arial"/>
          <w:sz w:val="24"/>
          <w:szCs w:val="24"/>
        </w:rPr>
        <w:t>Se adujo, finalmente</w:t>
      </w:r>
      <w:r w:rsidR="00D40382" w:rsidRPr="00A143CE">
        <w:rPr>
          <w:rFonts w:ascii="Arial" w:hAnsi="Arial" w:cs="Arial"/>
          <w:sz w:val="24"/>
          <w:szCs w:val="24"/>
        </w:rPr>
        <w:t>, que los demandantes sufrieron</w:t>
      </w:r>
      <w:r w:rsidRPr="00A143CE">
        <w:rPr>
          <w:rFonts w:ascii="Arial" w:hAnsi="Arial" w:cs="Arial"/>
          <w:sz w:val="24"/>
          <w:szCs w:val="24"/>
        </w:rPr>
        <w:t xml:space="preserve"> graves perjuicios del orden material e inmat</w:t>
      </w:r>
      <w:r w:rsidR="00C84E2F" w:rsidRPr="00A143CE">
        <w:rPr>
          <w:rFonts w:ascii="Arial" w:hAnsi="Arial" w:cs="Arial"/>
          <w:sz w:val="24"/>
          <w:szCs w:val="24"/>
        </w:rPr>
        <w:t>erial como consecuencia de la privación</w:t>
      </w:r>
      <w:r w:rsidRPr="00A143CE">
        <w:rPr>
          <w:rFonts w:ascii="Arial" w:hAnsi="Arial" w:cs="Arial"/>
          <w:sz w:val="24"/>
          <w:szCs w:val="24"/>
        </w:rPr>
        <w:t xml:space="preserve"> injusta del señor Trujillo Ocampo, los cuales debían ser indemnizados por las entidades demandadas.</w:t>
      </w:r>
    </w:p>
    <w:p w:rsidR="007477BB" w:rsidRPr="00A143CE" w:rsidRDefault="00483D4B" w:rsidP="007477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pacing w:val="4"/>
          <w:sz w:val="24"/>
          <w:szCs w:val="24"/>
          <w:lang w:eastAsia="es-CO"/>
        </w:rPr>
      </w:pPr>
      <w:r w:rsidRPr="00A143CE">
        <w:rPr>
          <w:rFonts w:ascii="Arial" w:eastAsia="Times New Roman" w:hAnsi="Arial" w:cs="Arial"/>
          <w:spacing w:val="4"/>
          <w:sz w:val="24"/>
          <w:szCs w:val="24"/>
          <w:lang w:eastAsia="es-CO"/>
        </w:rPr>
        <w:t>La demanda fue admitida mediante auto de</w:t>
      </w:r>
      <w:r w:rsidR="00E65C80" w:rsidRPr="00A143CE">
        <w:rPr>
          <w:rFonts w:ascii="Arial" w:hAnsi="Arial" w:cs="Arial"/>
          <w:spacing w:val="4"/>
          <w:sz w:val="24"/>
          <w:szCs w:val="24"/>
          <w:lang w:eastAsia="es-CO"/>
        </w:rPr>
        <w:t xml:space="preserve"> </w:t>
      </w:r>
      <w:r w:rsidR="007477BB" w:rsidRPr="00A143CE">
        <w:rPr>
          <w:rFonts w:ascii="Arial" w:hAnsi="Arial" w:cs="Arial"/>
          <w:spacing w:val="4"/>
          <w:sz w:val="24"/>
          <w:szCs w:val="24"/>
          <w:lang w:eastAsia="es-CO"/>
        </w:rPr>
        <w:t>14</w:t>
      </w:r>
      <w:r w:rsidR="005233F0" w:rsidRPr="00A143CE">
        <w:rPr>
          <w:rFonts w:ascii="Arial" w:hAnsi="Arial" w:cs="Arial"/>
          <w:spacing w:val="4"/>
          <w:sz w:val="24"/>
          <w:szCs w:val="24"/>
          <w:lang w:eastAsia="es-CO"/>
        </w:rPr>
        <w:t xml:space="preserve"> de </w:t>
      </w:r>
      <w:r w:rsidR="007477BB" w:rsidRPr="00A143CE">
        <w:rPr>
          <w:rFonts w:ascii="Arial" w:hAnsi="Arial" w:cs="Arial"/>
          <w:spacing w:val="4"/>
          <w:sz w:val="24"/>
          <w:szCs w:val="24"/>
          <w:lang w:eastAsia="es-CO"/>
        </w:rPr>
        <w:t>dici</w:t>
      </w:r>
      <w:r w:rsidR="00F3170B" w:rsidRPr="00A143CE">
        <w:rPr>
          <w:rFonts w:ascii="Arial" w:hAnsi="Arial" w:cs="Arial"/>
          <w:spacing w:val="4"/>
          <w:sz w:val="24"/>
          <w:szCs w:val="24"/>
          <w:lang w:eastAsia="es-CO"/>
        </w:rPr>
        <w:t>embre de 2009</w:t>
      </w:r>
      <w:r w:rsidR="005233F0" w:rsidRPr="00A143CE">
        <w:rPr>
          <w:rFonts w:ascii="Arial" w:hAnsi="Arial" w:cs="Arial"/>
          <w:spacing w:val="4"/>
          <w:sz w:val="24"/>
          <w:szCs w:val="24"/>
          <w:lang w:eastAsia="es-CO"/>
        </w:rPr>
        <w:t>,</w:t>
      </w:r>
      <w:r w:rsidRPr="00A143CE">
        <w:rPr>
          <w:rFonts w:ascii="Arial" w:hAnsi="Arial" w:cs="Arial"/>
          <w:spacing w:val="4"/>
          <w:sz w:val="24"/>
          <w:szCs w:val="24"/>
          <w:lang w:eastAsia="es-CO"/>
        </w:rPr>
        <w:t xml:space="preserve"> proferido por el Tribunal Administrativo del Tolima, providencia que se notificó en </w:t>
      </w:r>
      <w:r w:rsidR="00E65C80" w:rsidRPr="00A143CE">
        <w:rPr>
          <w:rFonts w:ascii="Arial" w:hAnsi="Arial" w:cs="Arial"/>
          <w:spacing w:val="4"/>
          <w:sz w:val="24"/>
          <w:szCs w:val="24"/>
          <w:lang w:eastAsia="es-CO"/>
        </w:rPr>
        <w:t>legal forma a la</w:t>
      </w:r>
      <w:r w:rsidR="00442E21" w:rsidRPr="00A143CE">
        <w:rPr>
          <w:rFonts w:ascii="Arial" w:hAnsi="Arial" w:cs="Arial"/>
          <w:spacing w:val="4"/>
          <w:sz w:val="24"/>
          <w:szCs w:val="24"/>
          <w:lang w:eastAsia="es-CO"/>
        </w:rPr>
        <w:t>s</w:t>
      </w:r>
      <w:r w:rsidR="00E65C80" w:rsidRPr="00A143CE">
        <w:rPr>
          <w:rFonts w:ascii="Arial" w:hAnsi="Arial" w:cs="Arial"/>
          <w:spacing w:val="4"/>
          <w:sz w:val="24"/>
          <w:szCs w:val="24"/>
          <w:lang w:eastAsia="es-CO"/>
        </w:rPr>
        <w:t xml:space="preserve"> entidad</w:t>
      </w:r>
      <w:r w:rsidR="007477BB" w:rsidRPr="00A143CE">
        <w:rPr>
          <w:rFonts w:ascii="Arial" w:hAnsi="Arial" w:cs="Arial"/>
          <w:spacing w:val="4"/>
          <w:sz w:val="24"/>
          <w:szCs w:val="24"/>
          <w:lang w:eastAsia="es-CO"/>
        </w:rPr>
        <w:t>es</w:t>
      </w:r>
      <w:r w:rsidR="00E65C80" w:rsidRPr="00A143CE">
        <w:rPr>
          <w:rFonts w:ascii="Arial" w:hAnsi="Arial" w:cs="Arial"/>
          <w:spacing w:val="4"/>
          <w:sz w:val="24"/>
          <w:szCs w:val="24"/>
          <w:lang w:eastAsia="es-CO"/>
        </w:rPr>
        <w:t xml:space="preserve"> demandada</w:t>
      </w:r>
      <w:r w:rsidR="007477BB" w:rsidRPr="00A143CE">
        <w:rPr>
          <w:rFonts w:ascii="Arial" w:hAnsi="Arial" w:cs="Arial"/>
          <w:spacing w:val="4"/>
          <w:sz w:val="24"/>
          <w:szCs w:val="24"/>
          <w:lang w:eastAsia="es-CO"/>
        </w:rPr>
        <w:t>s</w:t>
      </w:r>
      <w:r w:rsidR="00E65C80" w:rsidRPr="00A143CE">
        <w:rPr>
          <w:rFonts w:ascii="Arial" w:hAnsi="Arial" w:cs="Arial"/>
          <w:spacing w:val="4"/>
          <w:sz w:val="24"/>
          <w:szCs w:val="24"/>
          <w:lang w:eastAsia="es-CO"/>
        </w:rPr>
        <w:t xml:space="preserve"> y al Ministerio Público</w:t>
      </w:r>
      <w:r w:rsidR="009C3052" w:rsidRPr="00A143CE">
        <w:rPr>
          <w:rStyle w:val="Refdenotaalpie"/>
          <w:rFonts w:ascii="Arial" w:hAnsi="Arial" w:cs="Arial"/>
          <w:spacing w:val="4"/>
          <w:sz w:val="24"/>
          <w:szCs w:val="24"/>
          <w:lang w:eastAsia="es-CO"/>
        </w:rPr>
        <w:footnoteReference w:id="4"/>
      </w:r>
      <w:r w:rsidRPr="00A143CE">
        <w:rPr>
          <w:rFonts w:ascii="Arial" w:hAnsi="Arial" w:cs="Arial"/>
          <w:spacing w:val="4"/>
          <w:sz w:val="24"/>
          <w:szCs w:val="24"/>
          <w:lang w:eastAsia="es-CO"/>
        </w:rPr>
        <w:t>.</w:t>
      </w:r>
    </w:p>
    <w:p w:rsidR="007477BB" w:rsidRPr="00A143CE" w:rsidRDefault="007477BB" w:rsidP="00E63A74">
      <w:pPr>
        <w:pStyle w:val="Sinespaciado"/>
        <w:rPr>
          <w:rFonts w:ascii="Arial" w:hAnsi="Arial" w:cs="Arial"/>
          <w:sz w:val="24"/>
          <w:szCs w:val="24"/>
          <w:lang w:eastAsia="es-CO"/>
        </w:rPr>
      </w:pPr>
    </w:p>
    <w:p w:rsidR="00BD0C91" w:rsidRPr="00A143CE" w:rsidRDefault="00483D4B" w:rsidP="007477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z w:val="24"/>
          <w:szCs w:val="24"/>
        </w:rPr>
      </w:pPr>
      <w:r w:rsidRPr="00A143CE">
        <w:rPr>
          <w:rFonts w:ascii="Arial" w:hAnsi="Arial" w:cs="Arial"/>
          <w:b/>
          <w:spacing w:val="4"/>
          <w:sz w:val="24"/>
          <w:szCs w:val="24"/>
          <w:lang w:eastAsia="es-CO"/>
        </w:rPr>
        <w:t xml:space="preserve">1.2. </w:t>
      </w:r>
      <w:r w:rsidR="007477BB" w:rsidRPr="00A143CE">
        <w:rPr>
          <w:rFonts w:ascii="Arial" w:hAnsi="Arial" w:cs="Arial"/>
          <w:spacing w:val="4"/>
          <w:sz w:val="24"/>
          <w:szCs w:val="24"/>
          <w:lang w:eastAsia="es-CO"/>
        </w:rPr>
        <w:t xml:space="preserve">La Rama Judicial – Dirección Ejecutiva de Administración Judicial </w:t>
      </w:r>
      <w:r w:rsidRPr="00A143CE">
        <w:rPr>
          <w:rFonts w:ascii="Arial" w:hAnsi="Arial" w:cs="Arial"/>
          <w:spacing w:val="4"/>
          <w:sz w:val="24"/>
          <w:szCs w:val="24"/>
          <w:lang w:eastAsia="es-CO"/>
        </w:rPr>
        <w:t xml:space="preserve">la </w:t>
      </w:r>
      <w:r w:rsidR="007477BB" w:rsidRPr="00A143CE">
        <w:rPr>
          <w:rFonts w:ascii="Arial" w:hAnsi="Arial" w:cs="Arial"/>
          <w:spacing w:val="4"/>
          <w:sz w:val="24"/>
          <w:szCs w:val="24"/>
          <w:lang w:eastAsia="es-CO"/>
        </w:rPr>
        <w:t xml:space="preserve">contestó y se opuso a </w:t>
      </w:r>
      <w:r w:rsidR="000578D7" w:rsidRPr="00A143CE">
        <w:rPr>
          <w:rFonts w:ascii="Arial" w:hAnsi="Arial" w:cs="Arial"/>
          <w:spacing w:val="4"/>
          <w:sz w:val="24"/>
          <w:szCs w:val="24"/>
          <w:lang w:eastAsia="es-CO"/>
        </w:rPr>
        <w:t>las pretensiones</w:t>
      </w:r>
      <w:r w:rsidRPr="00A143CE">
        <w:rPr>
          <w:rFonts w:ascii="Arial" w:hAnsi="Arial" w:cs="Arial"/>
          <w:spacing w:val="4"/>
          <w:sz w:val="24"/>
          <w:szCs w:val="24"/>
          <w:lang w:eastAsia="es-CO"/>
        </w:rPr>
        <w:t xml:space="preserve"> contenidas en ella</w:t>
      </w:r>
      <w:r w:rsidR="000578D7" w:rsidRPr="00A143CE">
        <w:rPr>
          <w:rFonts w:ascii="Arial" w:hAnsi="Arial" w:cs="Arial"/>
          <w:spacing w:val="4"/>
          <w:sz w:val="24"/>
          <w:szCs w:val="24"/>
          <w:lang w:eastAsia="es-CO"/>
        </w:rPr>
        <w:t xml:space="preserve">, </w:t>
      </w:r>
      <w:r w:rsidRPr="00A143CE">
        <w:rPr>
          <w:rFonts w:ascii="Arial" w:hAnsi="Arial" w:cs="Arial"/>
          <w:spacing w:val="4"/>
          <w:sz w:val="24"/>
          <w:szCs w:val="24"/>
          <w:lang w:eastAsia="es-CO"/>
        </w:rPr>
        <w:t xml:space="preserve">para lo cual </w:t>
      </w:r>
      <w:r w:rsidR="006C5EAD" w:rsidRPr="00A143CE">
        <w:rPr>
          <w:rFonts w:ascii="Arial" w:hAnsi="Arial" w:cs="Arial"/>
          <w:sz w:val="24"/>
          <w:szCs w:val="24"/>
        </w:rPr>
        <w:t xml:space="preserve">fundamentó su defensa en los antecedentes jurisprudenciales relacionados </w:t>
      </w:r>
      <w:r w:rsidR="0078259F" w:rsidRPr="00A143CE">
        <w:rPr>
          <w:rFonts w:ascii="Arial" w:hAnsi="Arial" w:cs="Arial"/>
          <w:sz w:val="24"/>
          <w:szCs w:val="24"/>
        </w:rPr>
        <w:t xml:space="preserve">con </w:t>
      </w:r>
      <w:r w:rsidR="006C5EAD" w:rsidRPr="00A143CE">
        <w:rPr>
          <w:rFonts w:ascii="Arial" w:hAnsi="Arial" w:cs="Arial"/>
          <w:sz w:val="24"/>
          <w:szCs w:val="24"/>
        </w:rPr>
        <w:t xml:space="preserve">el principio de celeridad y eficiencia de la </w:t>
      </w:r>
      <w:r w:rsidR="0078259F" w:rsidRPr="00A143CE">
        <w:rPr>
          <w:rFonts w:ascii="Arial" w:hAnsi="Arial" w:cs="Arial"/>
          <w:sz w:val="24"/>
          <w:szCs w:val="24"/>
        </w:rPr>
        <w:t>a</w:t>
      </w:r>
      <w:r w:rsidR="00933D25" w:rsidRPr="00A143CE">
        <w:rPr>
          <w:rFonts w:ascii="Arial" w:hAnsi="Arial" w:cs="Arial"/>
          <w:sz w:val="24"/>
          <w:szCs w:val="24"/>
        </w:rPr>
        <w:t>dministración de justicia. C</w:t>
      </w:r>
      <w:r w:rsidR="006C5EAD" w:rsidRPr="00A143CE">
        <w:rPr>
          <w:rFonts w:ascii="Arial" w:hAnsi="Arial" w:cs="Arial"/>
          <w:sz w:val="24"/>
          <w:szCs w:val="24"/>
        </w:rPr>
        <w:t xml:space="preserve">itó la sentencia T – 1249 de </w:t>
      </w:r>
      <w:r w:rsidR="00D40382" w:rsidRPr="00A143CE">
        <w:rPr>
          <w:rFonts w:ascii="Arial" w:hAnsi="Arial" w:cs="Arial"/>
          <w:sz w:val="24"/>
          <w:szCs w:val="24"/>
        </w:rPr>
        <w:t>2004 de la Corte Constitucional</w:t>
      </w:r>
      <w:r w:rsidR="001F081E" w:rsidRPr="00A143CE">
        <w:rPr>
          <w:rFonts w:ascii="Arial" w:hAnsi="Arial" w:cs="Arial"/>
          <w:sz w:val="24"/>
          <w:szCs w:val="24"/>
        </w:rPr>
        <w:t>,</w:t>
      </w:r>
      <w:r w:rsidR="006C5EAD" w:rsidRPr="00A143CE">
        <w:rPr>
          <w:rFonts w:ascii="Arial" w:hAnsi="Arial" w:cs="Arial"/>
          <w:sz w:val="24"/>
          <w:szCs w:val="24"/>
        </w:rPr>
        <w:t xml:space="preserve"> a través de la cual se señaló que la mora judicial no genera de manera automática la violación a los derechos </w:t>
      </w:r>
      <w:r w:rsidR="006C5EAD" w:rsidRPr="00A143CE">
        <w:rPr>
          <w:rFonts w:ascii="Arial" w:hAnsi="Arial" w:cs="Arial"/>
          <w:sz w:val="24"/>
          <w:szCs w:val="24"/>
        </w:rPr>
        <w:lastRenderedPageBreak/>
        <w:t>fundamentales del debido proceso y al acceso a l</w:t>
      </w:r>
      <w:r w:rsidR="00BD0C91" w:rsidRPr="00A143CE">
        <w:rPr>
          <w:rFonts w:ascii="Arial" w:hAnsi="Arial" w:cs="Arial"/>
          <w:sz w:val="24"/>
          <w:szCs w:val="24"/>
        </w:rPr>
        <w:t xml:space="preserve">a administración de justicia, </w:t>
      </w:r>
      <w:r w:rsidR="006C5EAD" w:rsidRPr="00A143CE">
        <w:rPr>
          <w:rFonts w:ascii="Arial" w:hAnsi="Arial" w:cs="Arial"/>
          <w:sz w:val="24"/>
          <w:szCs w:val="24"/>
        </w:rPr>
        <w:t xml:space="preserve">toda vez que deben tomarse en consideración </w:t>
      </w:r>
      <w:r w:rsidRPr="00A143CE">
        <w:rPr>
          <w:rFonts w:ascii="Arial" w:hAnsi="Arial" w:cs="Arial"/>
          <w:sz w:val="24"/>
          <w:szCs w:val="24"/>
        </w:rPr>
        <w:t xml:space="preserve">las </w:t>
      </w:r>
      <w:r w:rsidR="006C5EAD" w:rsidRPr="00A143CE">
        <w:rPr>
          <w:rFonts w:ascii="Arial" w:hAnsi="Arial" w:cs="Arial"/>
          <w:sz w:val="24"/>
          <w:szCs w:val="24"/>
        </w:rPr>
        <w:t xml:space="preserve">diferentes circunstancias </w:t>
      </w:r>
      <w:r w:rsidRPr="00A143CE">
        <w:rPr>
          <w:rFonts w:ascii="Arial" w:hAnsi="Arial" w:cs="Arial"/>
          <w:sz w:val="24"/>
          <w:szCs w:val="24"/>
        </w:rPr>
        <w:t>particulares del D</w:t>
      </w:r>
      <w:r w:rsidR="00483A4D" w:rsidRPr="00A143CE">
        <w:rPr>
          <w:rFonts w:ascii="Arial" w:hAnsi="Arial" w:cs="Arial"/>
          <w:sz w:val="24"/>
          <w:szCs w:val="24"/>
        </w:rPr>
        <w:t>espacho que adelanta la actuación y del trámite mismo.</w:t>
      </w:r>
    </w:p>
    <w:p w:rsidR="00BD0C91" w:rsidRPr="00A143CE" w:rsidRDefault="00BD0C91" w:rsidP="00BD0C91">
      <w:pPr>
        <w:pStyle w:val="Sinespaciado"/>
        <w:rPr>
          <w:rFonts w:ascii="Arial" w:hAnsi="Arial" w:cs="Arial"/>
          <w:sz w:val="24"/>
          <w:szCs w:val="24"/>
        </w:rPr>
      </w:pPr>
    </w:p>
    <w:p w:rsidR="007477BB" w:rsidRPr="00A143CE" w:rsidRDefault="00483D4B" w:rsidP="00BD0C91">
      <w:pPr>
        <w:pStyle w:val="Sinespaciado"/>
        <w:spacing w:line="360" w:lineRule="auto"/>
        <w:jc w:val="both"/>
        <w:rPr>
          <w:rFonts w:ascii="Arial" w:hAnsi="Arial" w:cs="Arial"/>
          <w:sz w:val="24"/>
          <w:szCs w:val="24"/>
        </w:rPr>
      </w:pPr>
      <w:r w:rsidRPr="00A143CE">
        <w:rPr>
          <w:rFonts w:ascii="Arial" w:hAnsi="Arial" w:cs="Arial"/>
          <w:sz w:val="24"/>
          <w:szCs w:val="24"/>
        </w:rPr>
        <w:t>De otra parte</w:t>
      </w:r>
      <w:r w:rsidR="00483A4D" w:rsidRPr="00A143CE">
        <w:rPr>
          <w:rFonts w:ascii="Arial" w:hAnsi="Arial" w:cs="Arial"/>
          <w:sz w:val="24"/>
          <w:szCs w:val="24"/>
        </w:rPr>
        <w:t xml:space="preserve">, formuló excepciones de (i) </w:t>
      </w:r>
      <w:r w:rsidR="00BD0C91" w:rsidRPr="00A143CE">
        <w:rPr>
          <w:rFonts w:ascii="Arial" w:hAnsi="Arial" w:cs="Arial"/>
          <w:sz w:val="24"/>
          <w:szCs w:val="24"/>
        </w:rPr>
        <w:t>“</w:t>
      </w:r>
      <w:r w:rsidR="00483A4D" w:rsidRPr="00A143CE">
        <w:rPr>
          <w:rFonts w:ascii="Arial" w:hAnsi="Arial" w:cs="Arial"/>
          <w:i/>
          <w:sz w:val="24"/>
          <w:szCs w:val="24"/>
        </w:rPr>
        <w:t>Inexistencia de Perjuicios</w:t>
      </w:r>
      <w:r w:rsidR="00BD0C91" w:rsidRPr="00A143CE">
        <w:rPr>
          <w:rFonts w:ascii="Arial" w:hAnsi="Arial" w:cs="Arial"/>
          <w:i/>
          <w:sz w:val="24"/>
          <w:szCs w:val="24"/>
        </w:rPr>
        <w:t>”</w:t>
      </w:r>
      <w:r w:rsidR="00483A4D" w:rsidRPr="00A143CE">
        <w:rPr>
          <w:rFonts w:ascii="Arial" w:hAnsi="Arial" w:cs="Arial"/>
          <w:sz w:val="24"/>
          <w:szCs w:val="24"/>
        </w:rPr>
        <w:t xml:space="preserve"> e (ii) </w:t>
      </w:r>
      <w:r w:rsidR="00BD0C91" w:rsidRPr="00A143CE">
        <w:rPr>
          <w:rFonts w:ascii="Arial" w:hAnsi="Arial" w:cs="Arial"/>
          <w:i/>
          <w:sz w:val="24"/>
          <w:szCs w:val="24"/>
        </w:rPr>
        <w:t>“</w:t>
      </w:r>
      <w:r w:rsidR="00483A4D" w:rsidRPr="00A143CE">
        <w:rPr>
          <w:rFonts w:ascii="Arial" w:hAnsi="Arial" w:cs="Arial"/>
          <w:i/>
          <w:sz w:val="24"/>
          <w:szCs w:val="24"/>
        </w:rPr>
        <w:t>Innominada</w:t>
      </w:r>
      <w:r w:rsidR="00BD0C91" w:rsidRPr="00A143CE">
        <w:rPr>
          <w:rFonts w:ascii="Arial" w:hAnsi="Arial" w:cs="Arial"/>
          <w:i/>
          <w:sz w:val="24"/>
          <w:szCs w:val="24"/>
        </w:rPr>
        <w:t>”</w:t>
      </w:r>
      <w:r w:rsidR="00483A4D" w:rsidRPr="00A143CE">
        <w:rPr>
          <w:rFonts w:ascii="Arial" w:hAnsi="Arial" w:cs="Arial"/>
          <w:sz w:val="24"/>
          <w:szCs w:val="24"/>
        </w:rPr>
        <w:t xml:space="preserve">, aduciendo que las autoridades que conocieron el proceso penal adelantado en contra del señor Carlos </w:t>
      </w:r>
      <w:r w:rsidR="001F081E" w:rsidRPr="00A143CE">
        <w:rPr>
          <w:rFonts w:ascii="Arial" w:hAnsi="Arial" w:cs="Arial"/>
          <w:sz w:val="24"/>
          <w:szCs w:val="24"/>
        </w:rPr>
        <w:t>Enrique Trujillo Ocampo</w:t>
      </w:r>
      <w:r w:rsidR="00C73F8A" w:rsidRPr="00A143CE">
        <w:rPr>
          <w:rFonts w:ascii="Arial" w:hAnsi="Arial" w:cs="Arial"/>
          <w:sz w:val="24"/>
          <w:szCs w:val="24"/>
        </w:rPr>
        <w:t xml:space="preserve"> actuaron con diligencia y cuidado</w:t>
      </w:r>
      <w:r w:rsidRPr="00A143CE">
        <w:rPr>
          <w:rStyle w:val="Refdenotaalpie"/>
          <w:rFonts w:ascii="Arial" w:hAnsi="Arial" w:cs="Arial"/>
          <w:sz w:val="24"/>
          <w:szCs w:val="24"/>
        </w:rPr>
        <w:footnoteReference w:id="5"/>
      </w:r>
      <w:r w:rsidR="00C73F8A" w:rsidRPr="00A143CE">
        <w:rPr>
          <w:rFonts w:ascii="Arial" w:hAnsi="Arial" w:cs="Arial"/>
          <w:sz w:val="24"/>
          <w:szCs w:val="24"/>
        </w:rPr>
        <w:t xml:space="preserve">. </w:t>
      </w:r>
    </w:p>
    <w:p w:rsidR="00C73F8A" w:rsidRPr="00A143CE" w:rsidRDefault="00C73F8A" w:rsidP="007477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z w:val="24"/>
          <w:szCs w:val="24"/>
        </w:rPr>
      </w:pPr>
    </w:p>
    <w:p w:rsidR="00B67D82" w:rsidRPr="00A143CE" w:rsidRDefault="00483D4B" w:rsidP="0033605A">
      <w:pPr>
        <w:pStyle w:val="Textoindependiente2"/>
        <w:tabs>
          <w:tab w:val="left" w:pos="1701"/>
        </w:tabs>
        <w:spacing w:after="0" w:line="360" w:lineRule="auto"/>
        <w:jc w:val="both"/>
        <w:rPr>
          <w:rFonts w:ascii="Arial" w:eastAsia="Calibri" w:hAnsi="Arial" w:cs="Arial"/>
          <w:bCs/>
          <w:lang w:val="es-CO"/>
        </w:rPr>
      </w:pPr>
      <w:r w:rsidRPr="00A143CE">
        <w:rPr>
          <w:rFonts w:ascii="Arial" w:eastAsia="Calibri" w:hAnsi="Arial" w:cs="Arial"/>
          <w:bCs/>
          <w:lang w:val="es-CO"/>
        </w:rPr>
        <w:t xml:space="preserve">A su turno, </w:t>
      </w:r>
      <w:r w:rsidR="00C17D45" w:rsidRPr="00A143CE">
        <w:rPr>
          <w:rFonts w:ascii="Arial" w:eastAsia="Calibri" w:hAnsi="Arial" w:cs="Arial"/>
          <w:bCs/>
          <w:lang w:val="es-CO"/>
        </w:rPr>
        <w:t>la</w:t>
      </w:r>
      <w:r w:rsidR="00E65C80" w:rsidRPr="00A143CE">
        <w:rPr>
          <w:rFonts w:ascii="Arial" w:eastAsia="Calibri" w:hAnsi="Arial" w:cs="Arial"/>
          <w:bCs/>
        </w:rPr>
        <w:t xml:space="preserve"> Fiscalía General de la Nación </w:t>
      </w:r>
      <w:r w:rsidR="00C17D45" w:rsidRPr="00A143CE">
        <w:rPr>
          <w:rFonts w:ascii="Arial" w:eastAsia="Calibri" w:hAnsi="Arial" w:cs="Arial"/>
          <w:bCs/>
          <w:lang w:val="es-CO"/>
        </w:rPr>
        <w:t xml:space="preserve">se opuso igualmente a todas las pretensiones de la demanda </w:t>
      </w:r>
      <w:r w:rsidR="00D40382" w:rsidRPr="00A143CE">
        <w:rPr>
          <w:rFonts w:ascii="Arial" w:eastAsia="Calibri" w:hAnsi="Arial" w:cs="Arial"/>
          <w:bCs/>
          <w:lang w:val="es-CO"/>
        </w:rPr>
        <w:t xml:space="preserve">e indicó </w:t>
      </w:r>
      <w:r w:rsidR="00C17D45" w:rsidRPr="00A143CE">
        <w:rPr>
          <w:rFonts w:ascii="Arial" w:eastAsia="Calibri" w:hAnsi="Arial" w:cs="Arial"/>
          <w:bCs/>
          <w:lang w:val="es-CO"/>
        </w:rPr>
        <w:t xml:space="preserve">que, en el presente caso, no se configuran los supuestos que permiten estructurar su responsabilidad patrimonial. En ese sentido, </w:t>
      </w:r>
      <w:r w:rsidR="00176525" w:rsidRPr="00A143CE">
        <w:rPr>
          <w:rFonts w:ascii="Arial" w:eastAsia="Calibri" w:hAnsi="Arial" w:cs="Arial"/>
          <w:bCs/>
          <w:lang w:val="es-CO"/>
        </w:rPr>
        <w:t>manifestó que actuó conforme a d</w:t>
      </w:r>
      <w:r w:rsidR="00C17D45" w:rsidRPr="00A143CE">
        <w:rPr>
          <w:rFonts w:ascii="Arial" w:eastAsia="Calibri" w:hAnsi="Arial" w:cs="Arial"/>
          <w:bCs/>
          <w:lang w:val="es-CO"/>
        </w:rPr>
        <w:t>erecho, esto es, dentro del marco de la ley penal, sin que se pudiera advertir irregularidad alguna que ameritara el decreto de una indemnización patrimonial en favor del demandante</w:t>
      </w:r>
      <w:r w:rsidR="00C17D45" w:rsidRPr="00A143CE">
        <w:rPr>
          <w:rStyle w:val="Refdenotaalpie"/>
          <w:rFonts w:ascii="Arial" w:hAnsi="Arial" w:cs="Arial"/>
        </w:rPr>
        <w:footnoteReference w:id="6"/>
      </w:r>
      <w:r w:rsidR="00B67D82" w:rsidRPr="00A143CE">
        <w:rPr>
          <w:rFonts w:ascii="Arial" w:hAnsi="Arial" w:cs="Arial"/>
          <w:spacing w:val="2"/>
          <w:lang w:val="es-CO"/>
        </w:rPr>
        <w:t>.</w:t>
      </w:r>
    </w:p>
    <w:p w:rsidR="00B67D82" w:rsidRPr="00A143CE" w:rsidRDefault="00B67D82" w:rsidP="0033605A">
      <w:pPr>
        <w:pStyle w:val="Textoindependiente2"/>
        <w:tabs>
          <w:tab w:val="left" w:pos="1701"/>
        </w:tabs>
        <w:spacing w:after="0" w:line="360" w:lineRule="auto"/>
        <w:jc w:val="both"/>
        <w:rPr>
          <w:rFonts w:ascii="Arial" w:hAnsi="Arial" w:cs="Arial"/>
          <w:spacing w:val="2"/>
          <w:lang w:val="es-CO"/>
        </w:rPr>
      </w:pPr>
    </w:p>
    <w:p w:rsidR="009D452D" w:rsidRPr="00A143CE" w:rsidRDefault="00547DF1" w:rsidP="00267AAD">
      <w:pPr>
        <w:tabs>
          <w:tab w:val="left" w:pos="8280"/>
        </w:tabs>
        <w:spacing w:after="0" w:line="360" w:lineRule="auto"/>
        <w:jc w:val="both"/>
        <w:rPr>
          <w:rFonts w:ascii="Arial" w:hAnsi="Arial" w:cs="Arial"/>
          <w:sz w:val="24"/>
          <w:szCs w:val="24"/>
        </w:rPr>
      </w:pPr>
      <w:r w:rsidRPr="00A143CE">
        <w:rPr>
          <w:rFonts w:ascii="Arial" w:hAnsi="Arial" w:cs="Arial"/>
          <w:b/>
          <w:sz w:val="24"/>
          <w:szCs w:val="24"/>
        </w:rPr>
        <w:t xml:space="preserve">1.3. </w:t>
      </w:r>
      <w:r w:rsidRPr="00A143CE">
        <w:rPr>
          <w:rFonts w:ascii="Arial" w:hAnsi="Arial" w:cs="Arial"/>
          <w:sz w:val="24"/>
          <w:szCs w:val="24"/>
        </w:rPr>
        <w:t xml:space="preserve">Por auto de </w:t>
      </w:r>
      <w:r w:rsidR="00E214B3" w:rsidRPr="00A143CE">
        <w:rPr>
          <w:rFonts w:ascii="Arial" w:hAnsi="Arial" w:cs="Arial"/>
          <w:sz w:val="24"/>
          <w:szCs w:val="24"/>
        </w:rPr>
        <w:t>28</w:t>
      </w:r>
      <w:r w:rsidR="00FF7018" w:rsidRPr="00A143CE">
        <w:rPr>
          <w:rFonts w:ascii="Arial" w:hAnsi="Arial" w:cs="Arial"/>
          <w:sz w:val="24"/>
          <w:szCs w:val="24"/>
        </w:rPr>
        <w:t xml:space="preserve"> de </w:t>
      </w:r>
      <w:r w:rsidR="00E214B3" w:rsidRPr="00A143CE">
        <w:rPr>
          <w:rFonts w:ascii="Arial" w:hAnsi="Arial" w:cs="Arial"/>
          <w:sz w:val="24"/>
          <w:szCs w:val="24"/>
        </w:rPr>
        <w:t>mayo</w:t>
      </w:r>
      <w:r w:rsidR="00FF7018" w:rsidRPr="00A143CE">
        <w:rPr>
          <w:rFonts w:ascii="Arial" w:hAnsi="Arial" w:cs="Arial"/>
          <w:sz w:val="24"/>
          <w:szCs w:val="24"/>
        </w:rPr>
        <w:t xml:space="preserve"> de 2010</w:t>
      </w:r>
      <w:r w:rsidRPr="00A143CE">
        <w:rPr>
          <w:rFonts w:ascii="Arial" w:hAnsi="Arial" w:cs="Arial"/>
          <w:sz w:val="24"/>
          <w:szCs w:val="24"/>
        </w:rPr>
        <w:t xml:space="preserve">, </w:t>
      </w:r>
      <w:r w:rsidR="001F081E" w:rsidRPr="00A143CE">
        <w:rPr>
          <w:rFonts w:ascii="Arial" w:hAnsi="Arial" w:cs="Arial"/>
          <w:sz w:val="24"/>
          <w:szCs w:val="24"/>
        </w:rPr>
        <w:t>se abrió el proceso a pruebas y</w:t>
      </w:r>
      <w:r w:rsidRPr="00A143CE">
        <w:rPr>
          <w:rFonts w:ascii="Arial" w:hAnsi="Arial" w:cs="Arial"/>
          <w:sz w:val="24"/>
          <w:szCs w:val="24"/>
        </w:rPr>
        <w:t xml:space="preserve"> una vez concluido el término probatorio, mediante proveído de</w:t>
      </w:r>
      <w:r w:rsidR="00A61E44" w:rsidRPr="00A143CE">
        <w:rPr>
          <w:rFonts w:ascii="Arial" w:hAnsi="Arial" w:cs="Arial"/>
          <w:sz w:val="24"/>
          <w:szCs w:val="24"/>
        </w:rPr>
        <w:t xml:space="preserve"> 2</w:t>
      </w:r>
      <w:r w:rsidR="00E214B3" w:rsidRPr="00A143CE">
        <w:rPr>
          <w:rFonts w:ascii="Arial" w:hAnsi="Arial" w:cs="Arial"/>
          <w:sz w:val="24"/>
          <w:szCs w:val="24"/>
        </w:rPr>
        <w:t xml:space="preserve"> </w:t>
      </w:r>
      <w:r w:rsidR="00A61E44" w:rsidRPr="00A143CE">
        <w:rPr>
          <w:rFonts w:ascii="Arial" w:hAnsi="Arial" w:cs="Arial"/>
          <w:sz w:val="24"/>
          <w:szCs w:val="24"/>
        </w:rPr>
        <w:t>de marzo de 2012</w:t>
      </w:r>
      <w:r w:rsidR="001F081E" w:rsidRPr="00A143CE">
        <w:rPr>
          <w:rFonts w:ascii="Arial" w:hAnsi="Arial" w:cs="Arial"/>
          <w:sz w:val="24"/>
          <w:szCs w:val="24"/>
        </w:rPr>
        <w:t>,</w:t>
      </w:r>
      <w:r w:rsidRPr="00A143CE">
        <w:rPr>
          <w:rFonts w:ascii="Arial" w:hAnsi="Arial" w:cs="Arial"/>
          <w:sz w:val="24"/>
          <w:szCs w:val="24"/>
        </w:rPr>
        <w:t xml:space="preserve"> se</w:t>
      </w:r>
      <w:r w:rsidR="00FF7018" w:rsidRPr="00A143CE">
        <w:rPr>
          <w:rFonts w:ascii="Arial" w:hAnsi="Arial" w:cs="Arial"/>
          <w:sz w:val="24"/>
          <w:szCs w:val="24"/>
        </w:rPr>
        <w:t xml:space="preserve"> </w:t>
      </w:r>
      <w:r w:rsidR="009D452D" w:rsidRPr="00A143CE">
        <w:rPr>
          <w:rFonts w:ascii="Arial" w:hAnsi="Arial" w:cs="Arial"/>
          <w:sz w:val="24"/>
          <w:szCs w:val="24"/>
        </w:rPr>
        <w:t>corrió traslado a las partes para alega</w:t>
      </w:r>
      <w:r w:rsidRPr="00A143CE">
        <w:rPr>
          <w:rFonts w:ascii="Arial" w:hAnsi="Arial" w:cs="Arial"/>
          <w:sz w:val="24"/>
          <w:szCs w:val="24"/>
        </w:rPr>
        <w:t>r</w:t>
      </w:r>
      <w:r w:rsidR="009D452D" w:rsidRPr="00A143CE">
        <w:rPr>
          <w:rFonts w:ascii="Arial" w:hAnsi="Arial" w:cs="Arial"/>
          <w:sz w:val="24"/>
          <w:szCs w:val="24"/>
        </w:rPr>
        <w:t xml:space="preserve"> de conclusión y al Ministerio Público para que rindiera concepto</w:t>
      </w:r>
      <w:r w:rsidRPr="00A143CE">
        <w:rPr>
          <w:rFonts w:ascii="Arial" w:hAnsi="Arial" w:cs="Arial"/>
          <w:sz w:val="24"/>
          <w:szCs w:val="24"/>
        </w:rPr>
        <w:t xml:space="preserve"> de </w:t>
      </w:r>
      <w:r w:rsidR="001F081E" w:rsidRPr="00A143CE">
        <w:rPr>
          <w:rFonts w:ascii="Arial" w:hAnsi="Arial" w:cs="Arial"/>
          <w:sz w:val="24"/>
          <w:szCs w:val="24"/>
        </w:rPr>
        <w:t>fondo, término durante el cual e</w:t>
      </w:r>
      <w:r w:rsidRPr="00A143CE">
        <w:rPr>
          <w:rFonts w:ascii="Arial" w:hAnsi="Arial" w:cs="Arial"/>
          <w:sz w:val="24"/>
          <w:szCs w:val="24"/>
        </w:rPr>
        <w:t>ste último guardó silencio</w:t>
      </w:r>
      <w:r w:rsidRPr="00A143CE">
        <w:rPr>
          <w:rStyle w:val="Refdenotaalpie"/>
          <w:rFonts w:ascii="Arial" w:hAnsi="Arial" w:cs="Arial"/>
          <w:sz w:val="24"/>
          <w:szCs w:val="24"/>
        </w:rPr>
        <w:footnoteReference w:id="7"/>
      </w:r>
      <w:r w:rsidRPr="00A143CE">
        <w:rPr>
          <w:rFonts w:ascii="Arial" w:hAnsi="Arial" w:cs="Arial"/>
          <w:sz w:val="24"/>
          <w:szCs w:val="24"/>
        </w:rPr>
        <w:t>.</w:t>
      </w:r>
    </w:p>
    <w:p w:rsidR="00C84E2F" w:rsidRPr="00A143CE" w:rsidRDefault="00C84E2F" w:rsidP="00267AAD">
      <w:pPr>
        <w:tabs>
          <w:tab w:val="left" w:pos="8280"/>
        </w:tabs>
        <w:spacing w:after="0" w:line="360" w:lineRule="auto"/>
        <w:jc w:val="both"/>
        <w:rPr>
          <w:rFonts w:ascii="Arial" w:hAnsi="Arial" w:cs="Arial"/>
          <w:sz w:val="24"/>
          <w:szCs w:val="24"/>
        </w:rPr>
      </w:pPr>
    </w:p>
    <w:p w:rsidR="00547DF1" w:rsidRPr="00A143CE" w:rsidRDefault="00547DF1" w:rsidP="008D5070">
      <w:pPr>
        <w:pStyle w:val="Textoindependiente2"/>
        <w:tabs>
          <w:tab w:val="left" w:pos="8280"/>
        </w:tabs>
        <w:spacing w:after="0" w:line="360" w:lineRule="auto"/>
        <w:jc w:val="both"/>
        <w:rPr>
          <w:rFonts w:ascii="Arial" w:hAnsi="Arial" w:cs="Arial"/>
          <w:spacing w:val="2"/>
          <w:lang w:val="es-CO"/>
        </w:rPr>
      </w:pPr>
      <w:r w:rsidRPr="00A143CE">
        <w:rPr>
          <w:rFonts w:ascii="Arial" w:hAnsi="Arial" w:cs="Arial"/>
          <w:spacing w:val="2"/>
          <w:lang w:val="es-CO"/>
        </w:rPr>
        <w:t>En sus alegatos</w:t>
      </w:r>
      <w:r w:rsidR="001F081E" w:rsidRPr="00A143CE">
        <w:rPr>
          <w:rFonts w:ascii="Arial" w:hAnsi="Arial" w:cs="Arial"/>
          <w:spacing w:val="2"/>
          <w:lang w:val="es-CO"/>
        </w:rPr>
        <w:t>,</w:t>
      </w:r>
      <w:r w:rsidRPr="00A143CE">
        <w:rPr>
          <w:rFonts w:ascii="Arial" w:hAnsi="Arial" w:cs="Arial"/>
          <w:spacing w:val="2"/>
          <w:lang w:val="es-CO"/>
        </w:rPr>
        <w:t xml:space="preserve"> la parte actora reiteró los argumentos expuestos con la demanda e insistió en que la privación de la libertad del señor Carlos Enrique Trujillo Ocampo era</w:t>
      </w:r>
      <w:r w:rsidR="00C84E2F" w:rsidRPr="00A143CE">
        <w:rPr>
          <w:rFonts w:ascii="Arial" w:hAnsi="Arial" w:cs="Arial"/>
          <w:spacing w:val="2"/>
          <w:lang w:val="es-CO"/>
        </w:rPr>
        <w:t xml:space="preserve"> </w:t>
      </w:r>
      <w:r w:rsidRPr="00A143CE">
        <w:rPr>
          <w:rFonts w:ascii="Arial" w:hAnsi="Arial" w:cs="Arial"/>
          <w:spacing w:val="2"/>
          <w:lang w:val="es-CO"/>
        </w:rPr>
        <w:t>una carga que no estaba en la obligación de soportar, razón por la cual el Estado debía responder patrimonialmente por el daño antijurídico que le había causado</w:t>
      </w:r>
      <w:r w:rsidRPr="00A143CE">
        <w:rPr>
          <w:rStyle w:val="Refdenotaalpie"/>
          <w:rFonts w:ascii="Arial" w:hAnsi="Arial" w:cs="Arial"/>
          <w:spacing w:val="2"/>
          <w:lang w:val="es-CO"/>
        </w:rPr>
        <w:footnoteReference w:id="8"/>
      </w:r>
      <w:r w:rsidRPr="00A143CE">
        <w:rPr>
          <w:rFonts w:ascii="Arial" w:hAnsi="Arial" w:cs="Arial"/>
          <w:spacing w:val="2"/>
          <w:lang w:val="es-CO"/>
        </w:rPr>
        <w:t>.</w:t>
      </w:r>
    </w:p>
    <w:p w:rsidR="00C84E2F" w:rsidRPr="00A143CE" w:rsidRDefault="00C84E2F" w:rsidP="008D5070">
      <w:pPr>
        <w:pStyle w:val="Textoindependiente2"/>
        <w:tabs>
          <w:tab w:val="left" w:pos="8280"/>
        </w:tabs>
        <w:spacing w:after="0" w:line="360" w:lineRule="auto"/>
        <w:jc w:val="both"/>
        <w:rPr>
          <w:rFonts w:ascii="Arial" w:hAnsi="Arial" w:cs="Arial"/>
          <w:spacing w:val="2"/>
          <w:lang w:val="es-CO"/>
        </w:rPr>
      </w:pPr>
    </w:p>
    <w:p w:rsidR="00547DF1" w:rsidRPr="00A143CE" w:rsidRDefault="00547DF1" w:rsidP="008D5070">
      <w:pPr>
        <w:pStyle w:val="Textoindependiente2"/>
        <w:tabs>
          <w:tab w:val="left" w:pos="8280"/>
        </w:tabs>
        <w:spacing w:after="0" w:line="360" w:lineRule="auto"/>
        <w:jc w:val="both"/>
        <w:rPr>
          <w:rFonts w:ascii="Arial" w:hAnsi="Arial" w:cs="Arial"/>
          <w:spacing w:val="2"/>
          <w:lang w:val="es-CO"/>
        </w:rPr>
      </w:pPr>
      <w:r w:rsidRPr="00A143CE">
        <w:rPr>
          <w:rFonts w:ascii="Arial" w:hAnsi="Arial" w:cs="Arial"/>
          <w:spacing w:val="2"/>
          <w:lang w:val="es-CO"/>
        </w:rPr>
        <w:t xml:space="preserve">Por su parte, las entidades demandadas reiteraron en esta oportunidad procesal los argumentos presentados en el trámite de primera instancia e insistieron en que, en el caso bajo estudio, la privación de la libertad del ahora demandante era una carga que estaba en la obligación de soportar, habida cuenta </w:t>
      </w:r>
      <w:r w:rsidR="001F081E" w:rsidRPr="00A143CE">
        <w:rPr>
          <w:rFonts w:ascii="Arial" w:hAnsi="Arial" w:cs="Arial"/>
          <w:spacing w:val="2"/>
          <w:lang w:val="es-CO"/>
        </w:rPr>
        <w:t xml:space="preserve">de </w:t>
      </w:r>
      <w:r w:rsidRPr="00A143CE">
        <w:rPr>
          <w:rFonts w:ascii="Arial" w:hAnsi="Arial" w:cs="Arial"/>
          <w:spacing w:val="2"/>
          <w:lang w:val="es-CO"/>
        </w:rPr>
        <w:t xml:space="preserve">que existían </w:t>
      </w:r>
      <w:r w:rsidRPr="00A143CE">
        <w:rPr>
          <w:rFonts w:ascii="Arial" w:hAnsi="Arial" w:cs="Arial"/>
          <w:spacing w:val="2"/>
          <w:lang w:val="es-CO"/>
        </w:rPr>
        <w:lastRenderedPageBreak/>
        <w:t>elementos probatorios suficientes para presumir la comisión de los delitos que se le imputaban</w:t>
      </w:r>
      <w:r w:rsidRPr="00A143CE">
        <w:rPr>
          <w:rStyle w:val="Refdenotaalpie"/>
          <w:rFonts w:ascii="Arial" w:hAnsi="Arial" w:cs="Arial"/>
          <w:spacing w:val="2"/>
          <w:lang w:val="es-CO"/>
        </w:rPr>
        <w:footnoteReference w:id="9"/>
      </w:r>
      <w:r w:rsidRPr="00A143CE">
        <w:rPr>
          <w:rFonts w:ascii="Arial" w:hAnsi="Arial" w:cs="Arial"/>
          <w:spacing w:val="2"/>
          <w:lang w:val="es-CO"/>
        </w:rPr>
        <w:t>.</w:t>
      </w:r>
    </w:p>
    <w:p w:rsidR="000F2C77" w:rsidRPr="00A143CE" w:rsidRDefault="000F2C77" w:rsidP="00D31619">
      <w:pPr>
        <w:pStyle w:val="Textoindependiente2"/>
        <w:spacing w:after="0" w:line="360" w:lineRule="auto"/>
        <w:jc w:val="both"/>
        <w:rPr>
          <w:rFonts w:ascii="Arial" w:hAnsi="Arial" w:cs="Arial"/>
          <w:spacing w:val="2"/>
          <w:lang w:val="es-CO"/>
        </w:rPr>
      </w:pPr>
    </w:p>
    <w:p w:rsidR="000F2C77" w:rsidRPr="00A143CE" w:rsidRDefault="000F2C77" w:rsidP="00D31619">
      <w:pPr>
        <w:pStyle w:val="Textoindependiente2"/>
        <w:spacing w:after="0" w:line="360" w:lineRule="auto"/>
        <w:jc w:val="both"/>
        <w:rPr>
          <w:rFonts w:ascii="Arial" w:hAnsi="Arial" w:cs="Arial"/>
          <w:b/>
          <w:spacing w:val="2"/>
          <w:lang w:val="es-CO"/>
        </w:rPr>
      </w:pPr>
      <w:r w:rsidRPr="00A143CE">
        <w:rPr>
          <w:rFonts w:ascii="Arial" w:hAnsi="Arial" w:cs="Arial"/>
          <w:b/>
          <w:spacing w:val="2"/>
          <w:lang w:val="es-CO"/>
        </w:rPr>
        <w:t>1.4. La sentencia de primera instancia</w:t>
      </w:r>
    </w:p>
    <w:p w:rsidR="000F2C77" w:rsidRPr="00A143CE" w:rsidRDefault="000F2C77" w:rsidP="00D31619">
      <w:pPr>
        <w:pStyle w:val="Textoindependiente2"/>
        <w:spacing w:after="0" w:line="360" w:lineRule="auto"/>
        <w:jc w:val="both"/>
        <w:rPr>
          <w:rFonts w:ascii="Arial" w:hAnsi="Arial" w:cs="Arial"/>
          <w:spacing w:val="2"/>
          <w:lang w:val="es-CO"/>
        </w:rPr>
      </w:pPr>
    </w:p>
    <w:p w:rsidR="00E65C80" w:rsidRPr="00A143CE" w:rsidRDefault="00E65C80" w:rsidP="00D31619">
      <w:pPr>
        <w:pStyle w:val="Textoindependiente2"/>
        <w:spacing w:after="0" w:line="360" w:lineRule="auto"/>
        <w:jc w:val="both"/>
        <w:rPr>
          <w:rFonts w:ascii="Arial" w:hAnsi="Arial" w:cs="Arial"/>
          <w:iCs/>
          <w:spacing w:val="2"/>
          <w:lang w:val="es-CO"/>
        </w:rPr>
      </w:pPr>
      <w:r w:rsidRPr="00A143CE">
        <w:rPr>
          <w:rFonts w:ascii="Arial" w:hAnsi="Arial" w:cs="Arial"/>
          <w:spacing w:val="2"/>
        </w:rPr>
        <w:t>El Tribunal Administrativo de</w:t>
      </w:r>
      <w:r w:rsidR="006B02A9" w:rsidRPr="00A143CE">
        <w:rPr>
          <w:rFonts w:ascii="Arial" w:hAnsi="Arial" w:cs="Arial"/>
          <w:spacing w:val="2"/>
          <w:lang w:val="es-CO"/>
        </w:rPr>
        <w:t xml:space="preserve">l Tolima </w:t>
      </w:r>
      <w:r w:rsidRPr="00A143CE">
        <w:rPr>
          <w:rFonts w:ascii="Arial" w:hAnsi="Arial" w:cs="Arial"/>
          <w:bCs/>
          <w:spacing w:val="2"/>
        </w:rPr>
        <w:t xml:space="preserve">profirió sentencia </w:t>
      </w:r>
      <w:r w:rsidRPr="00A143CE">
        <w:rPr>
          <w:rFonts w:ascii="Arial" w:hAnsi="Arial" w:cs="Arial"/>
          <w:spacing w:val="2"/>
        </w:rPr>
        <w:t xml:space="preserve">el </w:t>
      </w:r>
      <w:r w:rsidR="006B02A9" w:rsidRPr="00A143CE">
        <w:rPr>
          <w:rFonts w:ascii="Arial" w:hAnsi="Arial" w:cs="Arial"/>
          <w:spacing w:val="2"/>
          <w:lang w:val="es-CO"/>
        </w:rPr>
        <w:t>18</w:t>
      </w:r>
      <w:r w:rsidRPr="00A143CE">
        <w:rPr>
          <w:rFonts w:ascii="Arial" w:hAnsi="Arial" w:cs="Arial"/>
          <w:spacing w:val="2"/>
          <w:lang w:val="es-CO"/>
        </w:rPr>
        <w:t xml:space="preserve"> </w:t>
      </w:r>
      <w:r w:rsidRPr="00A143CE">
        <w:rPr>
          <w:rFonts w:ascii="Arial" w:hAnsi="Arial" w:cs="Arial"/>
          <w:spacing w:val="2"/>
        </w:rPr>
        <w:t xml:space="preserve">de </w:t>
      </w:r>
      <w:r w:rsidR="006B02A9" w:rsidRPr="00A143CE">
        <w:rPr>
          <w:rFonts w:ascii="Arial" w:hAnsi="Arial" w:cs="Arial"/>
          <w:spacing w:val="2"/>
          <w:lang w:val="es-CO"/>
        </w:rPr>
        <w:t>may</w:t>
      </w:r>
      <w:r w:rsidR="00767E5D" w:rsidRPr="00A143CE">
        <w:rPr>
          <w:rFonts w:ascii="Arial" w:hAnsi="Arial" w:cs="Arial"/>
          <w:spacing w:val="2"/>
          <w:lang w:val="es-CO"/>
        </w:rPr>
        <w:t>o</w:t>
      </w:r>
      <w:r w:rsidRPr="00A143CE">
        <w:rPr>
          <w:rFonts w:ascii="Arial" w:hAnsi="Arial" w:cs="Arial"/>
          <w:spacing w:val="2"/>
          <w:lang w:val="es-CO"/>
        </w:rPr>
        <w:t xml:space="preserve"> de 201</w:t>
      </w:r>
      <w:r w:rsidR="00767E5D" w:rsidRPr="00A143CE">
        <w:rPr>
          <w:rFonts w:ascii="Arial" w:hAnsi="Arial" w:cs="Arial"/>
          <w:spacing w:val="2"/>
          <w:lang w:val="es-CO"/>
        </w:rPr>
        <w:t>2</w:t>
      </w:r>
      <w:r w:rsidRPr="00A143CE">
        <w:rPr>
          <w:rFonts w:ascii="Arial" w:hAnsi="Arial" w:cs="Arial"/>
          <w:spacing w:val="2"/>
        </w:rPr>
        <w:t>,</w:t>
      </w:r>
      <w:r w:rsidR="006D7F97" w:rsidRPr="00A143CE">
        <w:rPr>
          <w:rFonts w:ascii="Arial" w:hAnsi="Arial" w:cs="Arial"/>
          <w:spacing w:val="2"/>
          <w:lang w:val="es-CO"/>
        </w:rPr>
        <w:t xml:space="preserve"> oportunidad en la cual denegó</w:t>
      </w:r>
      <w:r w:rsidR="0063306C" w:rsidRPr="00A143CE">
        <w:rPr>
          <w:rFonts w:ascii="Arial" w:hAnsi="Arial" w:cs="Arial"/>
          <w:spacing w:val="2"/>
          <w:lang w:val="es-CO"/>
        </w:rPr>
        <w:t xml:space="preserve"> </w:t>
      </w:r>
      <w:r w:rsidR="00303856" w:rsidRPr="00A143CE">
        <w:rPr>
          <w:rFonts w:ascii="Arial" w:hAnsi="Arial" w:cs="Arial"/>
          <w:iCs/>
          <w:spacing w:val="2"/>
          <w:lang w:val="es-CO"/>
        </w:rPr>
        <w:t xml:space="preserve">las </w:t>
      </w:r>
      <w:r w:rsidRPr="00A143CE">
        <w:rPr>
          <w:rFonts w:ascii="Arial" w:hAnsi="Arial" w:cs="Arial"/>
          <w:iCs/>
          <w:spacing w:val="2"/>
        </w:rPr>
        <w:t>pretensiones de la demanda</w:t>
      </w:r>
      <w:r w:rsidR="006D7F97" w:rsidRPr="00A143CE">
        <w:rPr>
          <w:rFonts w:ascii="Arial" w:hAnsi="Arial" w:cs="Arial"/>
          <w:iCs/>
          <w:spacing w:val="2"/>
          <w:lang w:val="es-CO"/>
        </w:rPr>
        <w:t xml:space="preserve">, </w:t>
      </w:r>
      <w:r w:rsidR="00DA4B98" w:rsidRPr="00A143CE">
        <w:rPr>
          <w:rFonts w:ascii="Arial" w:hAnsi="Arial" w:cs="Arial"/>
          <w:iCs/>
          <w:spacing w:val="2"/>
          <w:lang w:val="es-CO"/>
        </w:rPr>
        <w:t>por considerar que la privación de la libertad de la que fue objeto el señor Carlos Enrique Trujillo Ocampo</w:t>
      </w:r>
      <w:r w:rsidR="001F081E" w:rsidRPr="00A143CE">
        <w:rPr>
          <w:rFonts w:ascii="Arial" w:hAnsi="Arial" w:cs="Arial"/>
          <w:iCs/>
          <w:spacing w:val="2"/>
          <w:lang w:val="es-CO"/>
        </w:rPr>
        <w:t xml:space="preserve"> no se configuró como injusta y a su vez</w:t>
      </w:r>
      <w:r w:rsidR="00DA4B98" w:rsidRPr="00A143CE">
        <w:rPr>
          <w:rFonts w:ascii="Arial" w:hAnsi="Arial" w:cs="Arial"/>
          <w:iCs/>
          <w:spacing w:val="2"/>
          <w:lang w:val="es-CO"/>
        </w:rPr>
        <w:t xml:space="preserve"> no se probó la existencia de una falla de la Administración de Justicia que pudiera determinar la responsabilidad de las entidades demandadas por los posibles daños sufridos por los demandantes.</w:t>
      </w:r>
    </w:p>
    <w:p w:rsidR="00960695" w:rsidRPr="00A143CE" w:rsidRDefault="00960695" w:rsidP="00D31619">
      <w:pPr>
        <w:pStyle w:val="Textoindependiente2"/>
        <w:spacing w:after="0" w:line="360" w:lineRule="auto"/>
        <w:jc w:val="both"/>
        <w:rPr>
          <w:rFonts w:ascii="Arial" w:hAnsi="Arial" w:cs="Arial"/>
          <w:iCs/>
          <w:spacing w:val="2"/>
          <w:lang w:val="es-CO"/>
        </w:rPr>
      </w:pPr>
    </w:p>
    <w:p w:rsidR="00A04695" w:rsidRPr="00A143CE" w:rsidRDefault="00DA4B98" w:rsidP="00EE6B37">
      <w:pPr>
        <w:pStyle w:val="Textoindependiente2"/>
        <w:spacing w:after="0" w:line="360" w:lineRule="auto"/>
        <w:jc w:val="both"/>
        <w:rPr>
          <w:rFonts w:ascii="Arial" w:hAnsi="Arial" w:cs="Arial"/>
          <w:spacing w:val="2"/>
          <w:lang w:val="es-CO"/>
        </w:rPr>
      </w:pPr>
      <w:r w:rsidRPr="00A143CE">
        <w:rPr>
          <w:rFonts w:ascii="Arial" w:hAnsi="Arial" w:cs="Arial"/>
          <w:spacing w:val="2"/>
          <w:lang w:val="es-CO"/>
        </w:rPr>
        <w:t>Asimismo, manifestó que n</w:t>
      </w:r>
      <w:r w:rsidR="00176525" w:rsidRPr="00A143CE">
        <w:rPr>
          <w:rFonts w:ascii="Arial" w:hAnsi="Arial" w:cs="Arial"/>
          <w:spacing w:val="2"/>
          <w:lang w:val="es-CO"/>
        </w:rPr>
        <w:t xml:space="preserve">o se hallaba </w:t>
      </w:r>
      <w:r w:rsidR="00A04695" w:rsidRPr="00A143CE">
        <w:rPr>
          <w:rFonts w:ascii="Arial" w:hAnsi="Arial" w:cs="Arial"/>
          <w:spacing w:val="2"/>
          <w:lang w:val="es-CO"/>
        </w:rPr>
        <w:t xml:space="preserve">prueba o argumento para catalogar como antijurídico el daño que pudo haber sufrido el actor, en virtud del tiempo que permaneció privado de su libertad, comoquiera que la autoridad judicial actuó de manera diligente, toda vez que existían elementos de juicio que justificaron </w:t>
      </w:r>
      <w:r w:rsidR="006B02A9" w:rsidRPr="00A143CE">
        <w:rPr>
          <w:rFonts w:ascii="Arial" w:hAnsi="Arial" w:cs="Arial"/>
          <w:spacing w:val="2"/>
          <w:lang w:val="es-CO"/>
        </w:rPr>
        <w:t xml:space="preserve">sus actuaciones </w:t>
      </w:r>
      <w:r w:rsidR="00A04695" w:rsidRPr="00A143CE">
        <w:rPr>
          <w:rFonts w:ascii="Arial" w:hAnsi="Arial" w:cs="Arial"/>
          <w:spacing w:val="2"/>
          <w:lang w:val="es-CO"/>
        </w:rPr>
        <w:t>y</w:t>
      </w:r>
      <w:r w:rsidR="001F081E" w:rsidRPr="00A143CE">
        <w:rPr>
          <w:rFonts w:ascii="Arial" w:hAnsi="Arial" w:cs="Arial"/>
          <w:spacing w:val="2"/>
          <w:lang w:val="es-CO"/>
        </w:rPr>
        <w:t xml:space="preserve"> aseveró que</w:t>
      </w:r>
      <w:r w:rsidR="00A04695" w:rsidRPr="00A143CE">
        <w:rPr>
          <w:rFonts w:ascii="Arial" w:hAnsi="Arial" w:cs="Arial"/>
          <w:spacing w:val="2"/>
          <w:lang w:val="es-CO"/>
        </w:rPr>
        <w:t xml:space="preserve"> aunque el juicio penal culminó con la </w:t>
      </w:r>
      <w:r w:rsidR="00960695" w:rsidRPr="00A143CE">
        <w:rPr>
          <w:rFonts w:ascii="Arial" w:hAnsi="Arial" w:cs="Arial"/>
          <w:spacing w:val="2"/>
          <w:lang w:val="es-CO"/>
        </w:rPr>
        <w:t>prescripción del proceso penal</w:t>
      </w:r>
      <w:r w:rsidR="00A04695" w:rsidRPr="00A143CE">
        <w:rPr>
          <w:rFonts w:ascii="Arial" w:hAnsi="Arial" w:cs="Arial"/>
          <w:spacing w:val="2"/>
          <w:lang w:val="es-CO"/>
        </w:rPr>
        <w:t>, no puede aceptarse que la privación de la libertad fue</w:t>
      </w:r>
      <w:r w:rsidRPr="00A143CE">
        <w:rPr>
          <w:rFonts w:ascii="Arial" w:hAnsi="Arial" w:cs="Arial"/>
          <w:spacing w:val="2"/>
          <w:lang w:val="es-CO"/>
        </w:rPr>
        <w:t>re</w:t>
      </w:r>
      <w:r w:rsidR="00A04695" w:rsidRPr="00A143CE">
        <w:rPr>
          <w:rFonts w:ascii="Arial" w:hAnsi="Arial" w:cs="Arial"/>
          <w:spacing w:val="2"/>
          <w:lang w:val="es-CO"/>
        </w:rPr>
        <w:t xml:space="preserve"> injusta</w:t>
      </w:r>
      <w:r w:rsidRPr="00A143CE">
        <w:rPr>
          <w:rStyle w:val="Refdenotaalpie"/>
          <w:rFonts w:ascii="Arial" w:hAnsi="Arial" w:cs="Arial"/>
          <w:iCs/>
          <w:spacing w:val="2"/>
          <w:lang w:val="es-CO"/>
        </w:rPr>
        <w:footnoteReference w:id="10"/>
      </w:r>
      <w:r w:rsidRPr="00A143CE">
        <w:rPr>
          <w:rFonts w:ascii="Arial" w:hAnsi="Arial" w:cs="Arial"/>
          <w:iCs/>
          <w:spacing w:val="2"/>
          <w:lang w:val="es-CO"/>
        </w:rPr>
        <w:t>.</w:t>
      </w:r>
    </w:p>
    <w:p w:rsidR="000D19A5" w:rsidRPr="00A143CE" w:rsidRDefault="000D19A5" w:rsidP="00E65C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jc w:val="both"/>
        <w:rPr>
          <w:rFonts w:ascii="Arial" w:hAnsi="Arial" w:cs="Arial"/>
          <w:b/>
          <w:spacing w:val="4"/>
          <w:sz w:val="24"/>
          <w:szCs w:val="24"/>
          <w:lang w:eastAsia="es-CO"/>
        </w:rPr>
      </w:pPr>
    </w:p>
    <w:p w:rsidR="00DA4B98" w:rsidRPr="00A143CE" w:rsidRDefault="00DA4B98" w:rsidP="00E65C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jc w:val="both"/>
        <w:rPr>
          <w:rFonts w:ascii="Arial" w:hAnsi="Arial" w:cs="Arial"/>
          <w:b/>
          <w:spacing w:val="4"/>
          <w:sz w:val="24"/>
          <w:szCs w:val="24"/>
          <w:lang w:eastAsia="es-CO"/>
        </w:rPr>
      </w:pPr>
      <w:r w:rsidRPr="00A143CE">
        <w:rPr>
          <w:rFonts w:ascii="Arial" w:hAnsi="Arial" w:cs="Arial"/>
          <w:b/>
          <w:color w:val="000000"/>
          <w:spacing w:val="4"/>
          <w:sz w:val="24"/>
          <w:szCs w:val="24"/>
          <w:lang w:eastAsia="es-CO"/>
        </w:rPr>
        <w:t>1.5. El</w:t>
      </w:r>
      <w:r w:rsidRPr="00A143CE">
        <w:rPr>
          <w:rFonts w:ascii="Arial" w:hAnsi="Arial" w:cs="Arial"/>
          <w:b/>
          <w:spacing w:val="4"/>
          <w:sz w:val="24"/>
          <w:szCs w:val="24"/>
          <w:lang w:eastAsia="es-CO"/>
        </w:rPr>
        <w:t xml:space="preserve"> recurso de apelación</w:t>
      </w:r>
    </w:p>
    <w:p w:rsidR="00771ED3" w:rsidRPr="00A143CE" w:rsidRDefault="00771ED3" w:rsidP="002432ED">
      <w:pPr>
        <w:pStyle w:val="Sinespaciado"/>
        <w:rPr>
          <w:rFonts w:ascii="Arial" w:hAnsi="Arial" w:cs="Arial"/>
          <w:sz w:val="24"/>
          <w:szCs w:val="24"/>
          <w:lang w:eastAsia="es-CO"/>
        </w:rPr>
      </w:pPr>
    </w:p>
    <w:p w:rsidR="00F13FCC" w:rsidRPr="00A143CE" w:rsidRDefault="00DA4B98" w:rsidP="00035A1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pacing w:val="2"/>
          <w:sz w:val="24"/>
          <w:szCs w:val="24"/>
        </w:rPr>
      </w:pPr>
      <w:r w:rsidRPr="00A143CE">
        <w:rPr>
          <w:rFonts w:ascii="Arial" w:hAnsi="Arial" w:cs="Arial"/>
          <w:spacing w:val="2"/>
          <w:sz w:val="24"/>
          <w:szCs w:val="24"/>
        </w:rPr>
        <w:t xml:space="preserve">De manera oportuna, la </w:t>
      </w:r>
      <w:r w:rsidR="00F70AD4" w:rsidRPr="00A143CE">
        <w:rPr>
          <w:rFonts w:ascii="Arial" w:hAnsi="Arial" w:cs="Arial"/>
          <w:spacing w:val="2"/>
          <w:sz w:val="24"/>
          <w:szCs w:val="24"/>
        </w:rPr>
        <w:t xml:space="preserve">parte actora </w:t>
      </w:r>
      <w:r w:rsidRPr="00A143CE">
        <w:rPr>
          <w:rFonts w:ascii="Arial" w:hAnsi="Arial" w:cs="Arial"/>
          <w:spacing w:val="2"/>
          <w:sz w:val="24"/>
          <w:szCs w:val="24"/>
        </w:rPr>
        <w:t xml:space="preserve">interpuso </w:t>
      </w:r>
      <w:r w:rsidR="002E48CD" w:rsidRPr="00A143CE">
        <w:rPr>
          <w:rFonts w:ascii="Arial" w:hAnsi="Arial" w:cs="Arial"/>
          <w:spacing w:val="2"/>
          <w:sz w:val="24"/>
          <w:szCs w:val="24"/>
        </w:rPr>
        <w:t>recurso de apelación</w:t>
      </w:r>
      <w:r w:rsidR="00F13FCC" w:rsidRPr="00A143CE">
        <w:rPr>
          <w:rFonts w:ascii="Arial" w:hAnsi="Arial" w:cs="Arial"/>
          <w:spacing w:val="2"/>
          <w:sz w:val="24"/>
          <w:szCs w:val="24"/>
        </w:rPr>
        <w:t xml:space="preserve"> en contra de la providencia de primera instancia, el cual fue concedido a través de proveído de 31 de agosto de 2012 y admitido por esta Corporación el 30 de octubre de la misma anualidad</w:t>
      </w:r>
      <w:r w:rsidR="00F13FCC" w:rsidRPr="00A143CE">
        <w:rPr>
          <w:rStyle w:val="Refdenotaalpie"/>
          <w:rFonts w:ascii="Arial" w:hAnsi="Arial" w:cs="Arial"/>
          <w:iCs/>
          <w:spacing w:val="2"/>
          <w:sz w:val="24"/>
          <w:szCs w:val="24"/>
        </w:rPr>
        <w:footnoteReference w:id="11"/>
      </w:r>
      <w:r w:rsidR="00F13FCC" w:rsidRPr="00A143CE">
        <w:rPr>
          <w:rFonts w:ascii="Arial" w:hAnsi="Arial" w:cs="Arial"/>
          <w:spacing w:val="2"/>
          <w:sz w:val="24"/>
          <w:szCs w:val="24"/>
        </w:rPr>
        <w:t>.</w:t>
      </w:r>
    </w:p>
    <w:p w:rsidR="00F13FCC" w:rsidRPr="00A143CE" w:rsidRDefault="00F13FCC" w:rsidP="00035A1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pacing w:val="2"/>
          <w:sz w:val="24"/>
          <w:szCs w:val="24"/>
        </w:rPr>
      </w:pPr>
    </w:p>
    <w:p w:rsidR="001E00C0" w:rsidRPr="00A143CE" w:rsidRDefault="00F13FCC" w:rsidP="00035A1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pacing w:val="2"/>
          <w:sz w:val="24"/>
          <w:szCs w:val="24"/>
        </w:rPr>
      </w:pPr>
      <w:r w:rsidRPr="00A143CE">
        <w:rPr>
          <w:rFonts w:ascii="Arial" w:hAnsi="Arial" w:cs="Arial"/>
          <w:spacing w:val="2"/>
          <w:sz w:val="24"/>
          <w:szCs w:val="24"/>
        </w:rPr>
        <w:t xml:space="preserve">Los accionantes insistieron en que </w:t>
      </w:r>
      <w:r w:rsidR="00F317E5" w:rsidRPr="00A143CE">
        <w:rPr>
          <w:rFonts w:ascii="Arial" w:hAnsi="Arial" w:cs="Arial"/>
          <w:spacing w:val="2"/>
          <w:sz w:val="24"/>
          <w:szCs w:val="24"/>
        </w:rPr>
        <w:t>d</w:t>
      </w:r>
      <w:r w:rsidR="00AE286C" w:rsidRPr="00A143CE">
        <w:rPr>
          <w:rFonts w:ascii="Arial" w:hAnsi="Arial" w:cs="Arial"/>
          <w:spacing w:val="2"/>
          <w:sz w:val="24"/>
          <w:szCs w:val="24"/>
        </w:rPr>
        <w:t xml:space="preserve">entro del plenario se </w:t>
      </w:r>
      <w:r w:rsidR="00F317E5" w:rsidRPr="00A143CE">
        <w:rPr>
          <w:rFonts w:ascii="Arial" w:hAnsi="Arial" w:cs="Arial"/>
          <w:spacing w:val="2"/>
          <w:sz w:val="24"/>
          <w:szCs w:val="24"/>
        </w:rPr>
        <w:t>encuentra</w:t>
      </w:r>
      <w:r w:rsidR="00C43ECC" w:rsidRPr="00A143CE">
        <w:rPr>
          <w:rFonts w:ascii="Arial" w:hAnsi="Arial" w:cs="Arial"/>
          <w:spacing w:val="2"/>
          <w:sz w:val="24"/>
          <w:szCs w:val="24"/>
        </w:rPr>
        <w:t>n</w:t>
      </w:r>
      <w:r w:rsidR="00F317E5" w:rsidRPr="00A143CE">
        <w:rPr>
          <w:rFonts w:ascii="Arial" w:hAnsi="Arial" w:cs="Arial"/>
          <w:spacing w:val="2"/>
          <w:sz w:val="24"/>
          <w:szCs w:val="24"/>
        </w:rPr>
        <w:t xml:space="preserve"> demostrado</w:t>
      </w:r>
      <w:r w:rsidR="00C43ECC" w:rsidRPr="00A143CE">
        <w:rPr>
          <w:rFonts w:ascii="Arial" w:hAnsi="Arial" w:cs="Arial"/>
          <w:spacing w:val="2"/>
          <w:sz w:val="24"/>
          <w:szCs w:val="24"/>
        </w:rPr>
        <w:t>s</w:t>
      </w:r>
      <w:r w:rsidR="00F317E5" w:rsidRPr="00A143CE">
        <w:rPr>
          <w:rFonts w:ascii="Arial" w:hAnsi="Arial" w:cs="Arial"/>
          <w:spacing w:val="2"/>
          <w:sz w:val="24"/>
          <w:szCs w:val="24"/>
        </w:rPr>
        <w:t xml:space="preserve"> los</w:t>
      </w:r>
      <w:r w:rsidR="00AE286C" w:rsidRPr="00A143CE">
        <w:rPr>
          <w:rFonts w:ascii="Arial" w:hAnsi="Arial" w:cs="Arial"/>
          <w:spacing w:val="2"/>
          <w:sz w:val="24"/>
          <w:szCs w:val="24"/>
        </w:rPr>
        <w:t xml:space="preserve"> elementos de la responsabilidad extracontractual de</w:t>
      </w:r>
      <w:r w:rsidR="00D40382" w:rsidRPr="00A143CE">
        <w:rPr>
          <w:rFonts w:ascii="Arial" w:hAnsi="Arial" w:cs="Arial"/>
          <w:spacing w:val="2"/>
          <w:sz w:val="24"/>
          <w:szCs w:val="24"/>
        </w:rPr>
        <w:t>l</w:t>
      </w:r>
      <w:r w:rsidR="00AE286C" w:rsidRPr="00A143CE">
        <w:rPr>
          <w:rFonts w:ascii="Arial" w:hAnsi="Arial" w:cs="Arial"/>
          <w:spacing w:val="2"/>
          <w:sz w:val="24"/>
          <w:szCs w:val="24"/>
        </w:rPr>
        <w:t xml:space="preserve"> Estado</w:t>
      </w:r>
      <w:r w:rsidR="00D40382" w:rsidRPr="00A143CE">
        <w:rPr>
          <w:rFonts w:ascii="Arial" w:hAnsi="Arial" w:cs="Arial"/>
          <w:spacing w:val="2"/>
          <w:sz w:val="24"/>
          <w:szCs w:val="24"/>
        </w:rPr>
        <w:t>,</w:t>
      </w:r>
      <w:r w:rsidR="0085044B" w:rsidRPr="00A143CE">
        <w:rPr>
          <w:rFonts w:ascii="Arial" w:hAnsi="Arial" w:cs="Arial"/>
          <w:spacing w:val="2"/>
          <w:sz w:val="24"/>
          <w:szCs w:val="24"/>
        </w:rPr>
        <w:t xml:space="preserve"> así como los perjui</w:t>
      </w:r>
      <w:r w:rsidRPr="00A143CE">
        <w:rPr>
          <w:rFonts w:ascii="Arial" w:hAnsi="Arial" w:cs="Arial"/>
          <w:spacing w:val="2"/>
          <w:sz w:val="24"/>
          <w:szCs w:val="24"/>
        </w:rPr>
        <w:t xml:space="preserve">cios causados a los demandantes, señalaron </w:t>
      </w:r>
      <w:r w:rsidR="0085044B" w:rsidRPr="00A143CE">
        <w:rPr>
          <w:rFonts w:ascii="Arial" w:hAnsi="Arial" w:cs="Arial"/>
          <w:spacing w:val="2"/>
          <w:sz w:val="24"/>
          <w:szCs w:val="24"/>
        </w:rPr>
        <w:t xml:space="preserve">que en </w:t>
      </w:r>
      <w:r w:rsidR="001E00C0" w:rsidRPr="00A143CE">
        <w:rPr>
          <w:rFonts w:ascii="Arial" w:hAnsi="Arial" w:cs="Arial"/>
          <w:spacing w:val="2"/>
          <w:sz w:val="24"/>
          <w:szCs w:val="24"/>
        </w:rPr>
        <w:t>los eventos en que se demuestra que la priva</w:t>
      </w:r>
      <w:r w:rsidRPr="00A143CE">
        <w:rPr>
          <w:rFonts w:ascii="Arial" w:hAnsi="Arial" w:cs="Arial"/>
          <w:spacing w:val="2"/>
          <w:sz w:val="24"/>
          <w:szCs w:val="24"/>
        </w:rPr>
        <w:t>ción de la libertad fue injusta</w:t>
      </w:r>
      <w:r w:rsidR="001E00C0" w:rsidRPr="00A143CE">
        <w:rPr>
          <w:rFonts w:ascii="Arial" w:hAnsi="Arial" w:cs="Arial"/>
          <w:spacing w:val="2"/>
          <w:sz w:val="24"/>
          <w:szCs w:val="24"/>
        </w:rPr>
        <w:t xml:space="preserve"> s</w:t>
      </w:r>
      <w:r w:rsidR="00D40382" w:rsidRPr="00A143CE">
        <w:rPr>
          <w:rFonts w:ascii="Arial" w:hAnsi="Arial" w:cs="Arial"/>
          <w:spacing w:val="2"/>
          <w:sz w:val="24"/>
          <w:szCs w:val="24"/>
        </w:rPr>
        <w:t>e está ante un daño imputable a la Administración</w:t>
      </w:r>
      <w:r w:rsidR="001E00C0" w:rsidRPr="00A143CE">
        <w:rPr>
          <w:rFonts w:ascii="Arial" w:hAnsi="Arial" w:cs="Arial"/>
          <w:spacing w:val="2"/>
          <w:sz w:val="24"/>
          <w:szCs w:val="24"/>
        </w:rPr>
        <w:t>,</w:t>
      </w:r>
      <w:r w:rsidRPr="00A143CE">
        <w:rPr>
          <w:rFonts w:ascii="Arial" w:hAnsi="Arial" w:cs="Arial"/>
          <w:spacing w:val="2"/>
          <w:sz w:val="24"/>
          <w:szCs w:val="24"/>
        </w:rPr>
        <w:t xml:space="preserve"> el cual</w:t>
      </w:r>
      <w:r w:rsidR="001E00C0" w:rsidRPr="00A143CE">
        <w:rPr>
          <w:rFonts w:ascii="Arial" w:hAnsi="Arial" w:cs="Arial"/>
          <w:spacing w:val="2"/>
          <w:sz w:val="24"/>
          <w:szCs w:val="24"/>
        </w:rPr>
        <w:t xml:space="preserve"> debe ser indemnizado con fundamento </w:t>
      </w:r>
      <w:r w:rsidRPr="00A143CE">
        <w:rPr>
          <w:rFonts w:ascii="Arial" w:hAnsi="Arial" w:cs="Arial"/>
          <w:spacing w:val="2"/>
          <w:sz w:val="24"/>
          <w:szCs w:val="24"/>
        </w:rPr>
        <w:t>en lo dispuesto por</w:t>
      </w:r>
      <w:r w:rsidR="001E00C0" w:rsidRPr="00A143CE">
        <w:rPr>
          <w:rFonts w:ascii="Arial" w:hAnsi="Arial" w:cs="Arial"/>
          <w:spacing w:val="2"/>
          <w:sz w:val="24"/>
          <w:szCs w:val="24"/>
        </w:rPr>
        <w:t xml:space="preserve"> el artículo 90 de la Constitución Política, </w:t>
      </w:r>
      <w:r w:rsidR="0085044B" w:rsidRPr="00A143CE">
        <w:rPr>
          <w:rFonts w:ascii="Arial" w:hAnsi="Arial" w:cs="Arial"/>
          <w:spacing w:val="2"/>
          <w:sz w:val="24"/>
          <w:szCs w:val="24"/>
        </w:rPr>
        <w:t>así</w:t>
      </w:r>
      <w:r w:rsidR="001E00C0" w:rsidRPr="00A143CE">
        <w:rPr>
          <w:rFonts w:ascii="Arial" w:hAnsi="Arial" w:cs="Arial"/>
          <w:spacing w:val="2"/>
          <w:sz w:val="24"/>
          <w:szCs w:val="24"/>
        </w:rPr>
        <w:t xml:space="preserve"> las </w:t>
      </w:r>
      <w:r w:rsidR="001E00C0" w:rsidRPr="00A143CE">
        <w:rPr>
          <w:rFonts w:ascii="Arial" w:hAnsi="Arial" w:cs="Arial"/>
          <w:spacing w:val="2"/>
          <w:sz w:val="24"/>
          <w:szCs w:val="24"/>
        </w:rPr>
        <w:lastRenderedPageBreak/>
        <w:t>razones de absolución o de preclusión de la investigación no obedezcan a ninguna de las causales previstas en el artículo 414 del Decreto 2700 de 1991.</w:t>
      </w:r>
    </w:p>
    <w:p w:rsidR="0085044B" w:rsidRPr="00A143CE" w:rsidRDefault="0085044B" w:rsidP="00035A1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pacing w:val="2"/>
          <w:sz w:val="24"/>
          <w:szCs w:val="24"/>
        </w:rPr>
      </w:pPr>
    </w:p>
    <w:p w:rsidR="0085044B" w:rsidRPr="00A143CE" w:rsidRDefault="0085044B" w:rsidP="0085044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pacing w:val="2"/>
          <w:sz w:val="24"/>
          <w:szCs w:val="24"/>
        </w:rPr>
      </w:pPr>
      <w:r w:rsidRPr="00A143CE">
        <w:rPr>
          <w:rFonts w:ascii="Arial" w:hAnsi="Arial" w:cs="Arial"/>
          <w:spacing w:val="2"/>
          <w:sz w:val="24"/>
          <w:szCs w:val="24"/>
        </w:rPr>
        <w:t xml:space="preserve">En consecuencia, </w:t>
      </w:r>
      <w:r w:rsidR="00345CDA" w:rsidRPr="00A143CE">
        <w:rPr>
          <w:rFonts w:ascii="Arial" w:hAnsi="Arial" w:cs="Arial"/>
          <w:spacing w:val="2"/>
          <w:sz w:val="24"/>
          <w:szCs w:val="24"/>
        </w:rPr>
        <w:t>solicitaron</w:t>
      </w:r>
      <w:r w:rsidRPr="00A143CE">
        <w:rPr>
          <w:rFonts w:ascii="Arial" w:hAnsi="Arial" w:cs="Arial"/>
          <w:spacing w:val="2"/>
          <w:sz w:val="24"/>
          <w:szCs w:val="24"/>
        </w:rPr>
        <w:t xml:space="preserve"> que se revocara la sentencia de primera </w:t>
      </w:r>
      <w:r w:rsidR="00345CDA" w:rsidRPr="00A143CE">
        <w:rPr>
          <w:rFonts w:ascii="Arial" w:hAnsi="Arial" w:cs="Arial"/>
          <w:spacing w:val="2"/>
          <w:sz w:val="24"/>
          <w:szCs w:val="24"/>
        </w:rPr>
        <w:t xml:space="preserve">instancia y, </w:t>
      </w:r>
      <w:r w:rsidR="00D40382" w:rsidRPr="00A143CE">
        <w:rPr>
          <w:rFonts w:ascii="Arial" w:hAnsi="Arial" w:cs="Arial"/>
          <w:spacing w:val="2"/>
          <w:sz w:val="24"/>
          <w:szCs w:val="24"/>
        </w:rPr>
        <w:t xml:space="preserve">en </w:t>
      </w:r>
      <w:r w:rsidR="00345CDA" w:rsidRPr="00A143CE">
        <w:rPr>
          <w:rFonts w:ascii="Arial" w:hAnsi="Arial" w:cs="Arial"/>
          <w:spacing w:val="2"/>
          <w:sz w:val="24"/>
          <w:szCs w:val="24"/>
        </w:rPr>
        <w:t>su lugar, se accediera</w:t>
      </w:r>
      <w:r w:rsidRPr="00A143CE">
        <w:rPr>
          <w:rFonts w:ascii="Arial" w:hAnsi="Arial" w:cs="Arial"/>
          <w:spacing w:val="2"/>
          <w:sz w:val="24"/>
          <w:szCs w:val="24"/>
        </w:rPr>
        <w:t xml:space="preserve"> a</w:t>
      </w:r>
      <w:r w:rsidR="00DA4B98" w:rsidRPr="00A143CE">
        <w:rPr>
          <w:rFonts w:ascii="Arial" w:hAnsi="Arial" w:cs="Arial"/>
          <w:spacing w:val="2"/>
          <w:sz w:val="24"/>
          <w:szCs w:val="24"/>
        </w:rPr>
        <w:t xml:space="preserve"> las pretensiones de la demanda</w:t>
      </w:r>
      <w:r w:rsidR="00DA4B98" w:rsidRPr="00A143CE">
        <w:rPr>
          <w:rStyle w:val="Refdenotaalpie"/>
          <w:rFonts w:ascii="Arial" w:hAnsi="Arial" w:cs="Arial"/>
          <w:spacing w:val="2"/>
          <w:sz w:val="24"/>
          <w:szCs w:val="24"/>
        </w:rPr>
        <w:footnoteReference w:id="12"/>
      </w:r>
      <w:r w:rsidR="00D40382" w:rsidRPr="00A143CE">
        <w:rPr>
          <w:rFonts w:ascii="Arial" w:hAnsi="Arial" w:cs="Arial"/>
          <w:spacing w:val="2"/>
          <w:sz w:val="24"/>
          <w:szCs w:val="24"/>
        </w:rPr>
        <w:t>.</w:t>
      </w:r>
    </w:p>
    <w:p w:rsidR="002E48CD" w:rsidRPr="00A143CE" w:rsidRDefault="002E48CD" w:rsidP="00956661">
      <w:pPr>
        <w:pStyle w:val="Sinespaciado"/>
        <w:rPr>
          <w:rFonts w:ascii="Arial" w:hAnsi="Arial" w:cs="Arial"/>
          <w:sz w:val="24"/>
          <w:szCs w:val="24"/>
          <w:lang w:eastAsia="es-CO"/>
        </w:rPr>
      </w:pPr>
    </w:p>
    <w:p w:rsidR="00E65C80" w:rsidRPr="00A143CE" w:rsidRDefault="00345CDA" w:rsidP="00E65C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pacing w:val="2"/>
          <w:sz w:val="24"/>
          <w:szCs w:val="24"/>
        </w:rPr>
      </w:pPr>
      <w:r w:rsidRPr="00A143CE">
        <w:rPr>
          <w:rFonts w:ascii="Arial" w:hAnsi="Arial" w:cs="Arial"/>
          <w:b/>
          <w:spacing w:val="2"/>
          <w:sz w:val="24"/>
          <w:szCs w:val="24"/>
        </w:rPr>
        <w:t xml:space="preserve">1.6. </w:t>
      </w:r>
      <w:r w:rsidRPr="00A143CE">
        <w:rPr>
          <w:rFonts w:ascii="Arial" w:hAnsi="Arial" w:cs="Arial"/>
          <w:spacing w:val="2"/>
          <w:sz w:val="24"/>
          <w:szCs w:val="24"/>
        </w:rPr>
        <w:t xml:space="preserve">Mediante proveído </w:t>
      </w:r>
      <w:r w:rsidR="00682B3E" w:rsidRPr="00A143CE">
        <w:rPr>
          <w:rFonts w:ascii="Arial" w:hAnsi="Arial" w:cs="Arial"/>
          <w:spacing w:val="2"/>
          <w:sz w:val="24"/>
          <w:szCs w:val="24"/>
        </w:rPr>
        <w:t>de</w:t>
      </w:r>
      <w:r w:rsidR="00916759" w:rsidRPr="00A143CE">
        <w:rPr>
          <w:rFonts w:ascii="Arial" w:hAnsi="Arial" w:cs="Arial"/>
          <w:spacing w:val="2"/>
          <w:sz w:val="24"/>
          <w:szCs w:val="24"/>
        </w:rPr>
        <w:t xml:space="preserve"> 29</w:t>
      </w:r>
      <w:r w:rsidR="001F0E3A" w:rsidRPr="00A143CE">
        <w:rPr>
          <w:rFonts w:ascii="Arial" w:hAnsi="Arial" w:cs="Arial"/>
          <w:spacing w:val="2"/>
          <w:sz w:val="24"/>
          <w:szCs w:val="24"/>
        </w:rPr>
        <w:t xml:space="preserve"> de </w:t>
      </w:r>
      <w:r w:rsidR="00916759" w:rsidRPr="00A143CE">
        <w:rPr>
          <w:rFonts w:ascii="Arial" w:hAnsi="Arial" w:cs="Arial"/>
          <w:spacing w:val="2"/>
          <w:sz w:val="24"/>
          <w:szCs w:val="24"/>
        </w:rPr>
        <w:t>noviembre</w:t>
      </w:r>
      <w:r w:rsidR="001F0E3A" w:rsidRPr="00A143CE">
        <w:rPr>
          <w:rFonts w:ascii="Arial" w:hAnsi="Arial" w:cs="Arial"/>
          <w:spacing w:val="2"/>
          <w:sz w:val="24"/>
          <w:szCs w:val="24"/>
        </w:rPr>
        <w:t xml:space="preserve"> </w:t>
      </w:r>
      <w:r w:rsidR="005B1FEA" w:rsidRPr="00A143CE">
        <w:rPr>
          <w:rFonts w:ascii="Arial" w:hAnsi="Arial" w:cs="Arial"/>
          <w:bCs/>
          <w:spacing w:val="2"/>
          <w:sz w:val="24"/>
          <w:szCs w:val="24"/>
        </w:rPr>
        <w:t>d</w:t>
      </w:r>
      <w:r w:rsidR="00916759" w:rsidRPr="00A143CE">
        <w:rPr>
          <w:rFonts w:ascii="Arial" w:hAnsi="Arial" w:cs="Arial"/>
          <w:bCs/>
          <w:spacing w:val="2"/>
          <w:sz w:val="24"/>
          <w:szCs w:val="24"/>
        </w:rPr>
        <w:t>e 2012</w:t>
      </w:r>
      <w:r w:rsidR="00E65C80" w:rsidRPr="00A143CE">
        <w:rPr>
          <w:rFonts w:ascii="Arial" w:hAnsi="Arial" w:cs="Arial"/>
          <w:spacing w:val="2"/>
          <w:sz w:val="24"/>
          <w:szCs w:val="24"/>
        </w:rPr>
        <w:t xml:space="preserve"> se corrió traslado a las partes para que alegaran de conclusión y al Ministerio Públi</w:t>
      </w:r>
      <w:r w:rsidR="004B1B8D" w:rsidRPr="00A143CE">
        <w:rPr>
          <w:rFonts w:ascii="Arial" w:hAnsi="Arial" w:cs="Arial"/>
          <w:spacing w:val="2"/>
          <w:sz w:val="24"/>
          <w:szCs w:val="24"/>
        </w:rPr>
        <w:t>co</w:t>
      </w:r>
      <w:r w:rsidRPr="00A143CE">
        <w:rPr>
          <w:rFonts w:ascii="Arial" w:hAnsi="Arial" w:cs="Arial"/>
          <w:spacing w:val="2"/>
          <w:sz w:val="24"/>
          <w:szCs w:val="24"/>
        </w:rPr>
        <w:t xml:space="preserve"> para que rindiera concepto de fondo</w:t>
      </w:r>
      <w:r w:rsidRPr="00A143CE">
        <w:rPr>
          <w:rStyle w:val="Refdenotaalpie"/>
          <w:rFonts w:ascii="Arial" w:hAnsi="Arial" w:cs="Arial"/>
          <w:bCs/>
          <w:spacing w:val="2"/>
          <w:sz w:val="24"/>
          <w:szCs w:val="24"/>
        </w:rPr>
        <w:footnoteReference w:id="13"/>
      </w:r>
      <w:r w:rsidR="00E65C80" w:rsidRPr="00A143CE">
        <w:rPr>
          <w:rFonts w:ascii="Arial" w:hAnsi="Arial" w:cs="Arial"/>
          <w:spacing w:val="2"/>
          <w:sz w:val="24"/>
          <w:szCs w:val="24"/>
        </w:rPr>
        <w:t>.</w:t>
      </w:r>
    </w:p>
    <w:p w:rsidR="00E65C80" w:rsidRPr="00A143CE" w:rsidRDefault="00E65C80" w:rsidP="00E65C80">
      <w:pPr>
        <w:pStyle w:val="Sinespaciado"/>
        <w:rPr>
          <w:rFonts w:ascii="Arial" w:hAnsi="Arial" w:cs="Arial"/>
          <w:sz w:val="24"/>
          <w:szCs w:val="24"/>
        </w:rPr>
      </w:pPr>
    </w:p>
    <w:p w:rsidR="00BF2C79" w:rsidRPr="00A143CE" w:rsidRDefault="00E65C80" w:rsidP="00BF2C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iCs/>
          <w:spacing w:val="2"/>
          <w:sz w:val="24"/>
          <w:szCs w:val="24"/>
        </w:rPr>
      </w:pPr>
      <w:r w:rsidRPr="00A143CE">
        <w:rPr>
          <w:rFonts w:ascii="Arial" w:hAnsi="Arial" w:cs="Arial"/>
          <w:spacing w:val="2"/>
          <w:sz w:val="24"/>
          <w:szCs w:val="24"/>
        </w:rPr>
        <w:t xml:space="preserve">En esta </w:t>
      </w:r>
      <w:r w:rsidR="003F1A00" w:rsidRPr="00A143CE">
        <w:rPr>
          <w:rFonts w:ascii="Arial" w:hAnsi="Arial" w:cs="Arial"/>
          <w:spacing w:val="4"/>
          <w:sz w:val="24"/>
          <w:szCs w:val="24"/>
        </w:rPr>
        <w:t>oportunidad procesal</w:t>
      </w:r>
      <w:r w:rsidR="001F081E" w:rsidRPr="00A143CE">
        <w:rPr>
          <w:rFonts w:ascii="Arial" w:hAnsi="Arial" w:cs="Arial"/>
          <w:spacing w:val="4"/>
          <w:sz w:val="24"/>
          <w:szCs w:val="24"/>
        </w:rPr>
        <w:t>,</w:t>
      </w:r>
      <w:r w:rsidR="003F1A00" w:rsidRPr="00A143CE">
        <w:rPr>
          <w:rFonts w:ascii="Arial" w:hAnsi="Arial" w:cs="Arial"/>
          <w:spacing w:val="4"/>
          <w:sz w:val="24"/>
          <w:szCs w:val="24"/>
        </w:rPr>
        <w:t xml:space="preserve"> </w:t>
      </w:r>
      <w:r w:rsidR="0030150A" w:rsidRPr="00A143CE">
        <w:rPr>
          <w:rFonts w:ascii="Arial" w:hAnsi="Arial" w:cs="Arial"/>
          <w:spacing w:val="4"/>
          <w:sz w:val="24"/>
          <w:szCs w:val="24"/>
        </w:rPr>
        <w:t xml:space="preserve">la Fiscalía General de la Nación allegó </w:t>
      </w:r>
      <w:r w:rsidR="00EB56A0" w:rsidRPr="00A143CE">
        <w:rPr>
          <w:rFonts w:ascii="Arial" w:hAnsi="Arial" w:cs="Arial"/>
          <w:spacing w:val="4"/>
          <w:sz w:val="24"/>
          <w:szCs w:val="24"/>
        </w:rPr>
        <w:t xml:space="preserve">oportunamente </w:t>
      </w:r>
      <w:r w:rsidR="0074200D" w:rsidRPr="00A143CE">
        <w:rPr>
          <w:rFonts w:ascii="Arial" w:hAnsi="Arial" w:cs="Arial"/>
          <w:spacing w:val="4"/>
          <w:sz w:val="24"/>
          <w:szCs w:val="24"/>
        </w:rPr>
        <w:t>escrito de alegato</w:t>
      </w:r>
      <w:r w:rsidR="00BF2C79" w:rsidRPr="00A143CE">
        <w:rPr>
          <w:rFonts w:ascii="Arial" w:hAnsi="Arial" w:cs="Arial"/>
          <w:spacing w:val="4"/>
          <w:sz w:val="24"/>
          <w:szCs w:val="24"/>
        </w:rPr>
        <w:t>s</w:t>
      </w:r>
      <w:r w:rsidR="001F081E" w:rsidRPr="00A143CE">
        <w:rPr>
          <w:rFonts w:ascii="Arial" w:hAnsi="Arial" w:cs="Arial"/>
          <w:spacing w:val="4"/>
          <w:sz w:val="24"/>
          <w:szCs w:val="24"/>
        </w:rPr>
        <w:t xml:space="preserve"> de conclusión, en e</w:t>
      </w:r>
      <w:r w:rsidR="0030150A" w:rsidRPr="00A143CE">
        <w:rPr>
          <w:rFonts w:ascii="Arial" w:hAnsi="Arial" w:cs="Arial"/>
          <w:spacing w:val="4"/>
          <w:sz w:val="24"/>
          <w:szCs w:val="24"/>
        </w:rPr>
        <w:t>l</w:t>
      </w:r>
      <w:r w:rsidR="001F081E" w:rsidRPr="00A143CE">
        <w:rPr>
          <w:rFonts w:ascii="Arial" w:hAnsi="Arial" w:cs="Arial"/>
          <w:spacing w:val="4"/>
          <w:sz w:val="24"/>
          <w:szCs w:val="24"/>
        </w:rPr>
        <w:t xml:space="preserve"> que</w:t>
      </w:r>
      <w:r w:rsidR="0030150A" w:rsidRPr="00A143CE">
        <w:rPr>
          <w:rFonts w:ascii="Arial" w:hAnsi="Arial" w:cs="Arial"/>
          <w:spacing w:val="4"/>
          <w:sz w:val="24"/>
          <w:szCs w:val="24"/>
        </w:rPr>
        <w:t xml:space="preserve"> </w:t>
      </w:r>
      <w:r w:rsidR="00BF2C79" w:rsidRPr="00A143CE">
        <w:rPr>
          <w:rFonts w:ascii="Arial" w:hAnsi="Arial" w:cs="Arial"/>
          <w:iCs/>
          <w:spacing w:val="2"/>
          <w:sz w:val="24"/>
          <w:szCs w:val="24"/>
        </w:rPr>
        <w:t xml:space="preserve">aseveró que se debía confirmar la sentencia denegatoria de las pretensiones de la demanda, por cuanto </w:t>
      </w:r>
      <w:r w:rsidR="001F081E" w:rsidRPr="00A143CE">
        <w:rPr>
          <w:rFonts w:ascii="Arial" w:hAnsi="Arial" w:cs="Arial"/>
          <w:iCs/>
          <w:spacing w:val="2"/>
          <w:sz w:val="24"/>
          <w:szCs w:val="24"/>
        </w:rPr>
        <w:t>quedó demostrado que</w:t>
      </w:r>
      <w:r w:rsidR="00BF2C79" w:rsidRPr="00A143CE">
        <w:rPr>
          <w:rFonts w:ascii="Arial" w:hAnsi="Arial" w:cs="Arial"/>
          <w:iCs/>
          <w:spacing w:val="2"/>
          <w:sz w:val="24"/>
          <w:szCs w:val="24"/>
        </w:rPr>
        <w:t xml:space="preserve"> dentro del proceso penal adelantado contra el señor Carlos</w:t>
      </w:r>
      <w:r w:rsidR="00176525" w:rsidRPr="00A143CE">
        <w:rPr>
          <w:rFonts w:ascii="Arial" w:hAnsi="Arial" w:cs="Arial"/>
          <w:iCs/>
          <w:spacing w:val="2"/>
          <w:sz w:val="24"/>
          <w:szCs w:val="24"/>
        </w:rPr>
        <w:t xml:space="preserve"> Enrique Trujillo Ocampo llegó a</w:t>
      </w:r>
      <w:r w:rsidR="00BF2C79" w:rsidRPr="00A143CE">
        <w:rPr>
          <w:rFonts w:ascii="Arial" w:hAnsi="Arial" w:cs="Arial"/>
          <w:iCs/>
          <w:spacing w:val="2"/>
          <w:sz w:val="24"/>
          <w:szCs w:val="24"/>
        </w:rPr>
        <w:t xml:space="preserve"> la etapa de juzgamiento, lo que significa que hasta ese momento hubo indicios graves en su contra que permitieron proferir la medida de aseguramiento y la resolución de acusación. Asimismo</w:t>
      </w:r>
      <w:r w:rsidR="0085044B" w:rsidRPr="00A143CE">
        <w:rPr>
          <w:rFonts w:ascii="Arial" w:hAnsi="Arial" w:cs="Arial"/>
          <w:iCs/>
          <w:spacing w:val="2"/>
          <w:sz w:val="24"/>
          <w:szCs w:val="24"/>
        </w:rPr>
        <w:t>,</w:t>
      </w:r>
      <w:r w:rsidR="00BF2C79" w:rsidRPr="00A143CE">
        <w:rPr>
          <w:rFonts w:ascii="Arial" w:hAnsi="Arial" w:cs="Arial"/>
          <w:iCs/>
          <w:spacing w:val="2"/>
          <w:sz w:val="24"/>
          <w:szCs w:val="24"/>
        </w:rPr>
        <w:t xml:space="preserve"> señal</w:t>
      </w:r>
      <w:r w:rsidR="0085044B" w:rsidRPr="00A143CE">
        <w:rPr>
          <w:rFonts w:ascii="Arial" w:hAnsi="Arial" w:cs="Arial"/>
          <w:iCs/>
          <w:spacing w:val="2"/>
          <w:sz w:val="24"/>
          <w:szCs w:val="24"/>
        </w:rPr>
        <w:t>ó</w:t>
      </w:r>
      <w:r w:rsidR="00BF2C79" w:rsidRPr="00A143CE">
        <w:rPr>
          <w:rFonts w:ascii="Arial" w:hAnsi="Arial" w:cs="Arial"/>
          <w:iCs/>
          <w:spacing w:val="2"/>
          <w:sz w:val="24"/>
          <w:szCs w:val="24"/>
        </w:rPr>
        <w:t xml:space="preserve"> </w:t>
      </w:r>
      <w:r w:rsidR="00DE1B31" w:rsidRPr="00A143CE">
        <w:rPr>
          <w:rFonts w:ascii="Arial" w:hAnsi="Arial" w:cs="Arial"/>
          <w:iCs/>
          <w:spacing w:val="2"/>
          <w:sz w:val="24"/>
          <w:szCs w:val="24"/>
        </w:rPr>
        <w:t>que el hoy dem</w:t>
      </w:r>
      <w:r w:rsidR="00B10E70" w:rsidRPr="00A143CE">
        <w:rPr>
          <w:rFonts w:ascii="Arial" w:hAnsi="Arial" w:cs="Arial"/>
          <w:iCs/>
          <w:spacing w:val="2"/>
          <w:sz w:val="24"/>
          <w:szCs w:val="24"/>
        </w:rPr>
        <w:t>an</w:t>
      </w:r>
      <w:r w:rsidR="00DE1B31" w:rsidRPr="00A143CE">
        <w:rPr>
          <w:rFonts w:ascii="Arial" w:hAnsi="Arial" w:cs="Arial"/>
          <w:iCs/>
          <w:spacing w:val="2"/>
          <w:sz w:val="24"/>
          <w:szCs w:val="24"/>
        </w:rPr>
        <w:t>d</w:t>
      </w:r>
      <w:r w:rsidR="00B10E70" w:rsidRPr="00A143CE">
        <w:rPr>
          <w:rFonts w:ascii="Arial" w:hAnsi="Arial" w:cs="Arial"/>
          <w:iCs/>
          <w:spacing w:val="2"/>
          <w:sz w:val="24"/>
          <w:szCs w:val="24"/>
        </w:rPr>
        <w:t>a</w:t>
      </w:r>
      <w:r w:rsidR="00DE1B31" w:rsidRPr="00A143CE">
        <w:rPr>
          <w:rFonts w:ascii="Arial" w:hAnsi="Arial" w:cs="Arial"/>
          <w:iCs/>
          <w:spacing w:val="2"/>
          <w:sz w:val="24"/>
          <w:szCs w:val="24"/>
        </w:rPr>
        <w:t>nte se encontraba en el deber jurídico de soportar la privación d</w:t>
      </w:r>
      <w:r w:rsidR="00B10E70" w:rsidRPr="00A143CE">
        <w:rPr>
          <w:rFonts w:ascii="Arial" w:hAnsi="Arial" w:cs="Arial"/>
          <w:iCs/>
          <w:spacing w:val="2"/>
          <w:sz w:val="24"/>
          <w:szCs w:val="24"/>
        </w:rPr>
        <w:t>e su libertad comoquiera que e</w:t>
      </w:r>
      <w:r w:rsidR="00DE1B31" w:rsidRPr="00A143CE">
        <w:rPr>
          <w:rFonts w:ascii="Arial" w:hAnsi="Arial" w:cs="Arial"/>
          <w:iCs/>
          <w:spacing w:val="2"/>
          <w:sz w:val="24"/>
          <w:szCs w:val="24"/>
        </w:rPr>
        <w:t xml:space="preserve">xistían serios elementos de los cuales se podía </w:t>
      </w:r>
      <w:r w:rsidR="00B10E70" w:rsidRPr="00A143CE">
        <w:rPr>
          <w:rFonts w:ascii="Arial" w:hAnsi="Arial" w:cs="Arial"/>
          <w:iCs/>
          <w:spacing w:val="2"/>
          <w:sz w:val="24"/>
          <w:szCs w:val="24"/>
        </w:rPr>
        <w:t>estructurar</w:t>
      </w:r>
      <w:r w:rsidR="00DE1B31" w:rsidRPr="00A143CE">
        <w:rPr>
          <w:rFonts w:ascii="Arial" w:hAnsi="Arial" w:cs="Arial"/>
          <w:iCs/>
          <w:spacing w:val="2"/>
          <w:sz w:val="24"/>
          <w:szCs w:val="24"/>
        </w:rPr>
        <w:t xml:space="preserve"> la responsabilidad penal</w:t>
      </w:r>
      <w:r w:rsidR="00345CDA" w:rsidRPr="00A143CE">
        <w:rPr>
          <w:rStyle w:val="Refdenotaalpie"/>
          <w:rFonts w:ascii="Arial" w:hAnsi="Arial" w:cs="Arial"/>
          <w:spacing w:val="4"/>
          <w:sz w:val="24"/>
          <w:szCs w:val="24"/>
        </w:rPr>
        <w:footnoteReference w:id="14"/>
      </w:r>
      <w:r w:rsidR="00B10E70" w:rsidRPr="00A143CE">
        <w:rPr>
          <w:rFonts w:ascii="Arial" w:hAnsi="Arial" w:cs="Arial"/>
          <w:iCs/>
          <w:spacing w:val="2"/>
          <w:sz w:val="24"/>
          <w:szCs w:val="24"/>
        </w:rPr>
        <w:t>.</w:t>
      </w:r>
    </w:p>
    <w:p w:rsidR="00BF2C79" w:rsidRPr="00A143CE" w:rsidRDefault="00BF2C79" w:rsidP="00BF2C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iCs/>
          <w:spacing w:val="2"/>
          <w:sz w:val="24"/>
          <w:szCs w:val="24"/>
        </w:rPr>
      </w:pPr>
    </w:p>
    <w:p w:rsidR="00B10E70" w:rsidRPr="00A143CE" w:rsidRDefault="0030150A" w:rsidP="007F50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pacing w:val="4"/>
          <w:sz w:val="24"/>
          <w:szCs w:val="24"/>
        </w:rPr>
      </w:pPr>
      <w:r w:rsidRPr="00A143CE">
        <w:rPr>
          <w:rFonts w:ascii="Arial" w:hAnsi="Arial" w:cs="Arial"/>
          <w:spacing w:val="4"/>
          <w:sz w:val="24"/>
          <w:szCs w:val="24"/>
        </w:rPr>
        <w:t>L</w:t>
      </w:r>
      <w:r w:rsidR="003F1A00" w:rsidRPr="00A143CE">
        <w:rPr>
          <w:rFonts w:ascii="Arial" w:hAnsi="Arial" w:cs="Arial"/>
          <w:spacing w:val="4"/>
          <w:sz w:val="24"/>
          <w:szCs w:val="24"/>
        </w:rPr>
        <w:t>a</w:t>
      </w:r>
      <w:r w:rsidRPr="00A143CE">
        <w:rPr>
          <w:rFonts w:ascii="Arial" w:hAnsi="Arial" w:cs="Arial"/>
          <w:spacing w:val="4"/>
          <w:sz w:val="24"/>
          <w:szCs w:val="24"/>
        </w:rPr>
        <w:t xml:space="preserve"> parte actora</w:t>
      </w:r>
      <w:r w:rsidR="007F5026" w:rsidRPr="00A143CE">
        <w:rPr>
          <w:rFonts w:ascii="Arial" w:hAnsi="Arial" w:cs="Arial"/>
          <w:spacing w:val="4"/>
          <w:sz w:val="24"/>
          <w:szCs w:val="24"/>
        </w:rPr>
        <w:t xml:space="preserve"> </w:t>
      </w:r>
      <w:r w:rsidR="00B10E70" w:rsidRPr="00A143CE">
        <w:rPr>
          <w:rFonts w:ascii="Arial" w:hAnsi="Arial" w:cs="Arial"/>
          <w:spacing w:val="4"/>
          <w:sz w:val="24"/>
          <w:szCs w:val="24"/>
        </w:rPr>
        <w:t>y el Ministerio Público guardaron silencio.</w:t>
      </w:r>
    </w:p>
    <w:p w:rsidR="00C84E2F" w:rsidRPr="00A143CE" w:rsidRDefault="00C84E2F" w:rsidP="001156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Arial" w:hAnsi="Arial" w:cs="Arial"/>
          <w:spacing w:val="4"/>
          <w:sz w:val="24"/>
          <w:szCs w:val="24"/>
        </w:rPr>
      </w:pPr>
    </w:p>
    <w:p w:rsidR="00235BA4" w:rsidRPr="00A143CE" w:rsidRDefault="00235BA4" w:rsidP="00267AAD">
      <w:pPr>
        <w:pStyle w:val="Sinespaciado"/>
        <w:rPr>
          <w:rFonts w:ascii="Arial" w:hAnsi="Arial" w:cs="Arial"/>
          <w:sz w:val="24"/>
          <w:szCs w:val="24"/>
        </w:rPr>
      </w:pPr>
    </w:p>
    <w:p w:rsidR="00A624FC" w:rsidRPr="00A143CE" w:rsidRDefault="00505892" w:rsidP="00A624FC">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center"/>
        <w:outlineLvl w:val="0"/>
        <w:rPr>
          <w:rFonts w:ascii="Arial" w:eastAsia="Times New Roman" w:hAnsi="Arial" w:cs="Arial"/>
          <w:b/>
          <w:color w:val="000000"/>
          <w:spacing w:val="2"/>
          <w:sz w:val="24"/>
          <w:szCs w:val="24"/>
          <w:lang w:eastAsia="es-ES"/>
        </w:rPr>
      </w:pPr>
      <w:r w:rsidRPr="00A143CE">
        <w:rPr>
          <w:rFonts w:ascii="Arial" w:eastAsia="Times New Roman" w:hAnsi="Arial" w:cs="Arial"/>
          <w:b/>
          <w:color w:val="000000"/>
          <w:spacing w:val="2"/>
          <w:sz w:val="24"/>
          <w:szCs w:val="24"/>
          <w:lang w:eastAsia="es-ES"/>
        </w:rPr>
        <w:t>I</w:t>
      </w:r>
      <w:r w:rsidR="001307A5" w:rsidRPr="00A143CE">
        <w:rPr>
          <w:rFonts w:ascii="Arial" w:eastAsia="Times New Roman" w:hAnsi="Arial" w:cs="Arial"/>
          <w:b/>
          <w:color w:val="000000"/>
          <w:spacing w:val="2"/>
          <w:sz w:val="24"/>
          <w:szCs w:val="24"/>
          <w:lang w:eastAsia="es-ES"/>
        </w:rPr>
        <w:t>I.</w:t>
      </w:r>
      <w:r w:rsidR="00C32AC9" w:rsidRPr="00A143CE">
        <w:rPr>
          <w:rFonts w:ascii="Arial" w:eastAsia="Times New Roman" w:hAnsi="Arial" w:cs="Arial"/>
          <w:b/>
          <w:color w:val="000000"/>
          <w:spacing w:val="2"/>
          <w:sz w:val="24"/>
          <w:szCs w:val="24"/>
          <w:lang w:eastAsia="es-ES"/>
        </w:rPr>
        <w:t xml:space="preserve"> CONSIDERACIONES</w:t>
      </w:r>
    </w:p>
    <w:p w:rsidR="008E15F3" w:rsidRPr="00A143CE" w:rsidRDefault="008E15F3" w:rsidP="00A624FC">
      <w:pPr>
        <w:pStyle w:val="Sinespaciado"/>
        <w:rPr>
          <w:rFonts w:ascii="Arial" w:hAnsi="Arial" w:cs="Arial"/>
          <w:sz w:val="24"/>
          <w:szCs w:val="24"/>
        </w:rPr>
      </w:pPr>
    </w:p>
    <w:p w:rsidR="00A624FC" w:rsidRPr="00A143CE" w:rsidRDefault="00C6282C" w:rsidP="00A624FC">
      <w:pPr>
        <w:tabs>
          <w:tab w:val="left" w:pos="4680"/>
        </w:tabs>
        <w:overflowPunct w:val="0"/>
        <w:autoSpaceDE w:val="0"/>
        <w:autoSpaceDN w:val="0"/>
        <w:adjustRightInd w:val="0"/>
        <w:spacing w:after="0" w:line="360" w:lineRule="auto"/>
        <w:ind w:right="-15"/>
        <w:jc w:val="both"/>
        <w:textAlignment w:val="baseline"/>
        <w:rPr>
          <w:rFonts w:ascii="Arial" w:eastAsia="Times New Roman" w:hAnsi="Arial" w:cs="Arial"/>
          <w:b/>
          <w:color w:val="000000"/>
          <w:spacing w:val="2"/>
          <w:sz w:val="24"/>
          <w:szCs w:val="24"/>
          <w:lang w:eastAsia="es-ES"/>
        </w:rPr>
      </w:pPr>
      <w:r w:rsidRPr="00A143CE">
        <w:rPr>
          <w:rFonts w:ascii="Arial" w:eastAsia="Times New Roman" w:hAnsi="Arial" w:cs="Arial"/>
          <w:b/>
          <w:color w:val="000000"/>
          <w:spacing w:val="2"/>
          <w:sz w:val="24"/>
          <w:szCs w:val="24"/>
          <w:lang w:eastAsia="es-ES"/>
        </w:rPr>
        <w:t>2.</w:t>
      </w:r>
      <w:r w:rsidR="00A624FC" w:rsidRPr="00A143CE">
        <w:rPr>
          <w:rFonts w:ascii="Arial" w:eastAsia="Times New Roman" w:hAnsi="Arial" w:cs="Arial"/>
          <w:b/>
          <w:color w:val="000000"/>
          <w:spacing w:val="2"/>
          <w:sz w:val="24"/>
          <w:szCs w:val="24"/>
          <w:lang w:eastAsia="es-ES"/>
        </w:rPr>
        <w:t>1. Competencia</w:t>
      </w:r>
    </w:p>
    <w:p w:rsidR="00A624FC" w:rsidRPr="00A143CE" w:rsidRDefault="00A624FC" w:rsidP="00217080">
      <w:pPr>
        <w:pStyle w:val="Sinespaciado"/>
        <w:rPr>
          <w:rFonts w:ascii="Arial" w:hAnsi="Arial" w:cs="Arial"/>
          <w:sz w:val="24"/>
          <w:szCs w:val="24"/>
        </w:rPr>
      </w:pPr>
    </w:p>
    <w:p w:rsidR="00127C4A" w:rsidRPr="00A143CE" w:rsidRDefault="00127C4A" w:rsidP="00127C4A">
      <w:pPr>
        <w:spacing w:after="0" w:line="360" w:lineRule="auto"/>
        <w:jc w:val="both"/>
        <w:rPr>
          <w:rFonts w:ascii="Arial" w:hAnsi="Arial" w:cs="Arial"/>
          <w:spacing w:val="2"/>
          <w:sz w:val="24"/>
          <w:szCs w:val="24"/>
        </w:rPr>
      </w:pPr>
      <w:r w:rsidRPr="00A143CE">
        <w:rPr>
          <w:rFonts w:ascii="Arial" w:hAnsi="Arial" w:cs="Arial"/>
          <w:spacing w:val="2"/>
          <w:sz w:val="24"/>
          <w:szCs w:val="24"/>
        </w:rPr>
        <w:t>La Sala es competente desde el punto de vista funcional para con</w:t>
      </w:r>
      <w:r w:rsidR="001670A7" w:rsidRPr="00A143CE">
        <w:rPr>
          <w:rFonts w:ascii="Arial" w:hAnsi="Arial" w:cs="Arial"/>
          <w:spacing w:val="2"/>
          <w:sz w:val="24"/>
          <w:szCs w:val="24"/>
        </w:rPr>
        <w:t>ocer del asunto, en razón del recurso</w:t>
      </w:r>
      <w:r w:rsidRPr="00A143CE">
        <w:rPr>
          <w:rFonts w:ascii="Arial" w:hAnsi="Arial" w:cs="Arial"/>
          <w:spacing w:val="2"/>
          <w:sz w:val="24"/>
          <w:szCs w:val="24"/>
        </w:rPr>
        <w:t xml:space="preserve"> de apelación i</w:t>
      </w:r>
      <w:r w:rsidR="00D46F15" w:rsidRPr="00A143CE">
        <w:rPr>
          <w:rFonts w:ascii="Arial" w:hAnsi="Arial" w:cs="Arial"/>
          <w:spacing w:val="2"/>
          <w:sz w:val="24"/>
          <w:szCs w:val="24"/>
        </w:rPr>
        <w:t>nterpuesto por la</w:t>
      </w:r>
      <w:r w:rsidR="00233FF9" w:rsidRPr="00A143CE">
        <w:rPr>
          <w:rFonts w:ascii="Arial" w:hAnsi="Arial" w:cs="Arial"/>
          <w:spacing w:val="2"/>
          <w:sz w:val="24"/>
          <w:szCs w:val="24"/>
        </w:rPr>
        <w:t xml:space="preserve"> parte demandante</w:t>
      </w:r>
      <w:r w:rsidRPr="00A143CE">
        <w:rPr>
          <w:rFonts w:ascii="Arial" w:hAnsi="Arial" w:cs="Arial"/>
          <w:spacing w:val="2"/>
          <w:sz w:val="24"/>
          <w:szCs w:val="24"/>
        </w:rPr>
        <w:t xml:space="preserve"> en contra de la sentencia proferida por el T</w:t>
      </w:r>
      <w:r w:rsidR="00233FF9" w:rsidRPr="00A143CE">
        <w:rPr>
          <w:rFonts w:ascii="Arial" w:hAnsi="Arial" w:cs="Arial"/>
          <w:spacing w:val="2"/>
          <w:sz w:val="24"/>
          <w:szCs w:val="24"/>
        </w:rPr>
        <w:t>ribunal Administrativo de</w:t>
      </w:r>
      <w:r w:rsidR="007C261B" w:rsidRPr="00A143CE">
        <w:rPr>
          <w:rFonts w:ascii="Arial" w:hAnsi="Arial" w:cs="Arial"/>
          <w:spacing w:val="2"/>
          <w:sz w:val="24"/>
          <w:szCs w:val="24"/>
        </w:rPr>
        <w:t>l Tolima el 18</w:t>
      </w:r>
      <w:r w:rsidR="00D46F15" w:rsidRPr="00A143CE">
        <w:rPr>
          <w:rFonts w:ascii="Arial" w:hAnsi="Arial" w:cs="Arial"/>
          <w:spacing w:val="2"/>
          <w:sz w:val="24"/>
          <w:szCs w:val="24"/>
        </w:rPr>
        <w:t xml:space="preserve"> de </w:t>
      </w:r>
      <w:r w:rsidR="007C261B" w:rsidRPr="00A143CE">
        <w:rPr>
          <w:rFonts w:ascii="Arial" w:hAnsi="Arial" w:cs="Arial"/>
          <w:spacing w:val="2"/>
          <w:sz w:val="24"/>
          <w:szCs w:val="24"/>
        </w:rPr>
        <w:t>mayo</w:t>
      </w:r>
      <w:r w:rsidRPr="00A143CE">
        <w:rPr>
          <w:rFonts w:ascii="Arial" w:hAnsi="Arial" w:cs="Arial"/>
          <w:spacing w:val="2"/>
          <w:sz w:val="24"/>
          <w:szCs w:val="24"/>
        </w:rPr>
        <w:t xml:space="preserve"> de 201</w:t>
      </w:r>
      <w:r w:rsidR="007C261B" w:rsidRPr="00A143CE">
        <w:rPr>
          <w:rFonts w:ascii="Arial" w:hAnsi="Arial" w:cs="Arial"/>
          <w:spacing w:val="2"/>
          <w:sz w:val="24"/>
          <w:szCs w:val="24"/>
        </w:rPr>
        <w:t>2</w:t>
      </w:r>
      <w:r w:rsidRPr="00A143CE">
        <w:rPr>
          <w:rFonts w:ascii="Arial" w:hAnsi="Arial" w:cs="Arial"/>
          <w:spacing w:val="2"/>
          <w:sz w:val="24"/>
          <w:szCs w:val="24"/>
        </w:rPr>
        <w:t>, en proceso con vocación de doble instancia ante esta Corporación</w:t>
      </w:r>
      <w:r w:rsidRPr="00A143CE">
        <w:rPr>
          <w:rStyle w:val="Refdenotaalpie"/>
          <w:rFonts w:ascii="Arial" w:hAnsi="Arial" w:cs="Arial"/>
          <w:spacing w:val="2"/>
          <w:sz w:val="24"/>
          <w:szCs w:val="24"/>
        </w:rPr>
        <w:footnoteReference w:id="15"/>
      </w:r>
      <w:r w:rsidRPr="00A143CE">
        <w:rPr>
          <w:rFonts w:ascii="Arial" w:hAnsi="Arial" w:cs="Arial"/>
          <w:spacing w:val="2"/>
          <w:sz w:val="24"/>
          <w:szCs w:val="24"/>
        </w:rPr>
        <w:t>.</w:t>
      </w:r>
    </w:p>
    <w:p w:rsidR="00255AB5" w:rsidRPr="00A143CE" w:rsidRDefault="00255AB5" w:rsidP="00127C4A">
      <w:pPr>
        <w:spacing w:after="0" w:line="360" w:lineRule="auto"/>
        <w:jc w:val="both"/>
        <w:rPr>
          <w:rFonts w:ascii="Arial" w:hAnsi="Arial" w:cs="Arial"/>
          <w:spacing w:val="2"/>
          <w:sz w:val="24"/>
          <w:szCs w:val="24"/>
        </w:rPr>
      </w:pPr>
    </w:p>
    <w:p w:rsidR="00A624FC" w:rsidRPr="00A143CE" w:rsidRDefault="00C6282C" w:rsidP="00A624FC">
      <w:pPr>
        <w:overflowPunct w:val="0"/>
        <w:autoSpaceDE w:val="0"/>
        <w:autoSpaceDN w:val="0"/>
        <w:adjustRightInd w:val="0"/>
        <w:spacing w:after="0" w:line="360" w:lineRule="auto"/>
        <w:ind w:right="96"/>
        <w:jc w:val="both"/>
        <w:textAlignment w:val="baseline"/>
        <w:rPr>
          <w:rFonts w:ascii="Arial" w:hAnsi="Arial" w:cs="Arial"/>
          <w:b/>
          <w:color w:val="000000"/>
          <w:spacing w:val="2"/>
          <w:sz w:val="24"/>
          <w:szCs w:val="24"/>
        </w:rPr>
      </w:pPr>
      <w:r w:rsidRPr="00A143CE">
        <w:rPr>
          <w:rFonts w:ascii="Arial" w:hAnsi="Arial" w:cs="Arial"/>
          <w:b/>
          <w:color w:val="000000"/>
          <w:spacing w:val="2"/>
          <w:sz w:val="24"/>
          <w:szCs w:val="24"/>
        </w:rPr>
        <w:t>2.</w:t>
      </w:r>
      <w:r w:rsidR="00A624FC" w:rsidRPr="00A143CE">
        <w:rPr>
          <w:rFonts w:ascii="Arial" w:hAnsi="Arial" w:cs="Arial"/>
          <w:b/>
          <w:color w:val="000000"/>
          <w:spacing w:val="2"/>
          <w:sz w:val="24"/>
          <w:szCs w:val="24"/>
        </w:rPr>
        <w:t>2. Ejercicio oportuno de la acción</w:t>
      </w:r>
    </w:p>
    <w:p w:rsidR="00FF0D7D" w:rsidRPr="00A143CE" w:rsidRDefault="00FF0D7D" w:rsidP="00FF0D7D">
      <w:pPr>
        <w:pStyle w:val="Sinespaciado"/>
        <w:rPr>
          <w:rFonts w:ascii="Arial" w:hAnsi="Arial" w:cs="Arial"/>
          <w:sz w:val="24"/>
          <w:szCs w:val="24"/>
        </w:rPr>
      </w:pPr>
    </w:p>
    <w:p w:rsidR="00C1054C" w:rsidRPr="00A143CE" w:rsidRDefault="00C1054C" w:rsidP="00C1054C">
      <w:pPr>
        <w:pStyle w:val="Continuarlista"/>
        <w:spacing w:after="0" w:line="360" w:lineRule="auto"/>
        <w:ind w:left="0"/>
        <w:jc w:val="both"/>
        <w:rPr>
          <w:rFonts w:ascii="Arial" w:hAnsi="Arial" w:cs="Arial"/>
          <w:color w:val="000000"/>
          <w:spacing w:val="2"/>
        </w:rPr>
      </w:pPr>
      <w:r w:rsidRPr="00A143CE">
        <w:rPr>
          <w:rFonts w:ascii="Arial" w:hAnsi="Arial" w:cs="Arial"/>
          <w:color w:val="000000"/>
          <w:spacing w:val="2"/>
        </w:rPr>
        <w:t>En concordancia con el artículo 136 del Código Contencioso Administrativo contenido en el Decreto Ley 01 de 1984</w:t>
      </w:r>
      <w:r w:rsidRPr="00A143CE">
        <w:rPr>
          <w:rStyle w:val="Refdenotaalpie"/>
          <w:rFonts w:ascii="Arial" w:hAnsi="Arial" w:cs="Arial"/>
          <w:color w:val="000000"/>
          <w:spacing w:val="2"/>
        </w:rPr>
        <w:footnoteReference w:id="16"/>
      </w:r>
      <w:r w:rsidRPr="00A143CE">
        <w:rPr>
          <w:rFonts w:ascii="Arial" w:hAnsi="Arial" w:cs="Arial"/>
          <w:color w:val="000000"/>
          <w:spacing w:val="2"/>
        </w:rPr>
        <w:t xml:space="preserve">, en los casos en los cuales se ejerce la acción de reparación directa con fundamento en la privación injusta de la libertad, el término de caducidad de dos (2) años se cuenta desde el momento en el cual el sindicado recupera la libertad y/o la providencia absolutoria queda ejecutoriada </w:t>
      </w:r>
      <w:r w:rsidRPr="00A143CE">
        <w:rPr>
          <w:rFonts w:ascii="Arial" w:hAnsi="Arial" w:cs="Arial"/>
          <w:i/>
          <w:color w:val="000000"/>
          <w:spacing w:val="2"/>
        </w:rPr>
        <w:t>-lo último que ocurra-</w:t>
      </w:r>
      <w:r w:rsidRPr="00A143CE">
        <w:rPr>
          <w:rStyle w:val="Refdenotaalpie"/>
          <w:rFonts w:ascii="Arial" w:hAnsi="Arial" w:cs="Arial"/>
          <w:iCs/>
          <w:color w:val="000000"/>
          <w:spacing w:val="2"/>
        </w:rPr>
        <w:footnoteReference w:id="17"/>
      </w:r>
      <w:r w:rsidRPr="00A143CE">
        <w:rPr>
          <w:rFonts w:ascii="Arial" w:hAnsi="Arial" w:cs="Arial"/>
          <w:color w:val="000000"/>
          <w:spacing w:val="2"/>
        </w:rPr>
        <w:t xml:space="preserve">. </w:t>
      </w:r>
    </w:p>
    <w:p w:rsidR="00B76109" w:rsidRPr="00A143CE" w:rsidRDefault="00B76109" w:rsidP="00D52194">
      <w:pPr>
        <w:pStyle w:val="Sinespaciado"/>
        <w:spacing w:line="360" w:lineRule="auto"/>
        <w:jc w:val="both"/>
        <w:rPr>
          <w:rFonts w:ascii="Arial" w:hAnsi="Arial" w:cs="Arial"/>
          <w:spacing w:val="2"/>
          <w:sz w:val="24"/>
          <w:szCs w:val="24"/>
          <w:highlight w:val="yellow"/>
        </w:rPr>
      </w:pPr>
    </w:p>
    <w:p w:rsidR="00B76109" w:rsidRPr="00A143CE" w:rsidRDefault="00B76109" w:rsidP="00B76109">
      <w:pPr>
        <w:pStyle w:val="Sinespaciado"/>
        <w:spacing w:line="360" w:lineRule="auto"/>
        <w:jc w:val="both"/>
        <w:rPr>
          <w:rFonts w:ascii="Arial" w:hAnsi="Arial" w:cs="Arial"/>
          <w:sz w:val="24"/>
          <w:szCs w:val="24"/>
          <w:highlight w:val="yellow"/>
        </w:rPr>
      </w:pPr>
      <w:r w:rsidRPr="00A143CE">
        <w:rPr>
          <w:rFonts w:ascii="Arial" w:hAnsi="Arial" w:cs="Arial"/>
          <w:spacing w:val="2"/>
          <w:sz w:val="24"/>
          <w:szCs w:val="24"/>
        </w:rPr>
        <w:t xml:space="preserve">En el </w:t>
      </w:r>
      <w:r w:rsidRPr="00A143CE">
        <w:rPr>
          <w:rFonts w:ascii="Arial" w:hAnsi="Arial" w:cs="Arial"/>
          <w:i/>
          <w:spacing w:val="2"/>
          <w:sz w:val="24"/>
          <w:szCs w:val="24"/>
        </w:rPr>
        <w:t>sub examine</w:t>
      </w:r>
      <w:r w:rsidRPr="00A143CE">
        <w:rPr>
          <w:rFonts w:ascii="Arial" w:hAnsi="Arial" w:cs="Arial"/>
          <w:spacing w:val="2"/>
          <w:sz w:val="24"/>
          <w:szCs w:val="24"/>
        </w:rPr>
        <w:t xml:space="preserve"> la responsabilidad patrimonial que se solicita en la demanda se origina en los daños que se alegaron sufridos por los demandantes con ocasión de la privación de la libertad del señor Carlos Enrique Trujillo Ocampo, ocurrida entre el 25 de abril de 2000 y el 23 de mayo de 2001, no obstante, </w:t>
      </w:r>
      <w:r w:rsidRPr="00A143CE">
        <w:rPr>
          <w:rFonts w:ascii="Arial" w:hAnsi="Arial" w:cs="Arial"/>
          <w:sz w:val="24"/>
          <w:szCs w:val="24"/>
        </w:rPr>
        <w:t>el Juzgado Segundo Penal del Circuito Especializado, a través de providencia de 7 de noviembre de 2006</w:t>
      </w:r>
      <w:r w:rsidR="001F081E" w:rsidRPr="00A143CE">
        <w:rPr>
          <w:rFonts w:ascii="Arial" w:hAnsi="Arial" w:cs="Arial"/>
          <w:sz w:val="24"/>
          <w:szCs w:val="24"/>
        </w:rPr>
        <w:t>,</w:t>
      </w:r>
      <w:r w:rsidRPr="00A143CE">
        <w:rPr>
          <w:rFonts w:ascii="Arial" w:hAnsi="Arial" w:cs="Arial"/>
          <w:sz w:val="24"/>
          <w:szCs w:val="24"/>
        </w:rPr>
        <w:t xml:space="preserve"> declaró la extinción de la acción penal adelantada contra Carlos Enrique Trujillo Ocampo y otros acusados</w:t>
      </w:r>
      <w:r w:rsidRPr="00A143CE">
        <w:rPr>
          <w:rStyle w:val="Refdenotaalpie"/>
          <w:rFonts w:ascii="Arial" w:hAnsi="Arial" w:cs="Arial"/>
          <w:sz w:val="24"/>
          <w:szCs w:val="24"/>
        </w:rPr>
        <w:footnoteReference w:id="18"/>
      </w:r>
      <w:r w:rsidRPr="00A143CE">
        <w:rPr>
          <w:rFonts w:ascii="Arial" w:hAnsi="Arial" w:cs="Arial"/>
          <w:sz w:val="24"/>
          <w:szCs w:val="24"/>
        </w:rPr>
        <w:t>, decisión que fue objeto de recurso de reposición, el cual se resolvió a través de providencia de 7 de mayo de 2007 y, de conformidad con la constancia de ejecutoria del Centro de Servicios Administrativos de los Juzgados Penales Esp</w:t>
      </w:r>
      <w:r w:rsidR="001F081E" w:rsidRPr="00A143CE">
        <w:rPr>
          <w:rFonts w:ascii="Arial" w:hAnsi="Arial" w:cs="Arial"/>
          <w:sz w:val="24"/>
          <w:szCs w:val="24"/>
        </w:rPr>
        <w:t>ecializados de Ibagué, la misma</w:t>
      </w:r>
      <w:r w:rsidRPr="00A143CE">
        <w:rPr>
          <w:rFonts w:ascii="Arial" w:hAnsi="Arial" w:cs="Arial"/>
          <w:sz w:val="24"/>
          <w:szCs w:val="24"/>
        </w:rPr>
        <w:t xml:space="preserve"> cobró firmeza el 19 de junio de 2007</w:t>
      </w:r>
      <w:r w:rsidR="0018757B" w:rsidRPr="00A143CE">
        <w:rPr>
          <w:rStyle w:val="Refdenotaalpie"/>
          <w:rFonts w:ascii="Arial" w:hAnsi="Arial" w:cs="Arial"/>
          <w:sz w:val="24"/>
          <w:szCs w:val="24"/>
        </w:rPr>
        <w:footnoteReference w:id="19"/>
      </w:r>
      <w:r w:rsidRPr="00A143CE">
        <w:rPr>
          <w:rFonts w:ascii="Arial" w:hAnsi="Arial" w:cs="Arial"/>
          <w:sz w:val="24"/>
          <w:szCs w:val="24"/>
        </w:rPr>
        <w:t>.</w:t>
      </w:r>
    </w:p>
    <w:p w:rsidR="00B76109" w:rsidRPr="00A143CE" w:rsidRDefault="00B76109" w:rsidP="00235BA4">
      <w:pPr>
        <w:pStyle w:val="Sinespaciado"/>
        <w:rPr>
          <w:rFonts w:ascii="Arial" w:hAnsi="Arial" w:cs="Arial"/>
          <w:sz w:val="24"/>
          <w:szCs w:val="24"/>
          <w:lang w:eastAsia="es-CO"/>
        </w:rPr>
      </w:pPr>
    </w:p>
    <w:p w:rsidR="00B76109" w:rsidRPr="00A143CE" w:rsidRDefault="00B76109" w:rsidP="00B76109">
      <w:pPr>
        <w:pStyle w:val="Textoindependiente"/>
        <w:spacing w:after="0" w:line="360" w:lineRule="auto"/>
        <w:jc w:val="both"/>
        <w:rPr>
          <w:rFonts w:ascii="Arial" w:hAnsi="Arial" w:cs="Arial"/>
          <w:spacing w:val="2"/>
          <w:sz w:val="24"/>
          <w:szCs w:val="24"/>
          <w:lang w:eastAsia="es-CO"/>
        </w:rPr>
      </w:pPr>
      <w:r w:rsidRPr="00A143CE">
        <w:rPr>
          <w:rFonts w:ascii="Arial" w:hAnsi="Arial" w:cs="Arial"/>
          <w:spacing w:val="2"/>
          <w:sz w:val="24"/>
          <w:szCs w:val="24"/>
          <w:lang w:eastAsia="es-CO"/>
        </w:rPr>
        <w:t>Ahora bien, comoquiera que de conformidad con lo dispuesto por las Leyes 446 de 1998 y 640 de 2001</w:t>
      </w:r>
      <w:r w:rsidRPr="00A143CE">
        <w:rPr>
          <w:rStyle w:val="Refdenotaalpie"/>
          <w:rFonts w:ascii="Arial" w:hAnsi="Arial" w:cs="Arial"/>
          <w:spacing w:val="2"/>
          <w:sz w:val="24"/>
          <w:szCs w:val="24"/>
          <w:lang w:eastAsia="es-CO"/>
        </w:rPr>
        <w:footnoteReference w:id="20"/>
      </w:r>
      <w:r w:rsidRPr="00A143CE">
        <w:rPr>
          <w:rFonts w:ascii="Arial" w:hAnsi="Arial" w:cs="Arial"/>
          <w:spacing w:val="2"/>
          <w:sz w:val="24"/>
          <w:szCs w:val="24"/>
          <w:lang w:eastAsia="es-CO"/>
        </w:rPr>
        <w:t xml:space="preserve">, normas vigentes para el momento de interposición de </w:t>
      </w:r>
      <w:r w:rsidRPr="00A143CE">
        <w:rPr>
          <w:rFonts w:ascii="Arial" w:hAnsi="Arial" w:cs="Arial"/>
          <w:spacing w:val="2"/>
          <w:sz w:val="24"/>
          <w:szCs w:val="24"/>
          <w:lang w:eastAsia="es-CO"/>
        </w:rPr>
        <w:lastRenderedPageBreak/>
        <w:t>la demanda</w:t>
      </w:r>
      <w:r w:rsidRPr="00A143CE">
        <w:rPr>
          <w:rStyle w:val="Refdenotaalpie"/>
          <w:rFonts w:ascii="Arial" w:hAnsi="Arial" w:cs="Arial"/>
          <w:spacing w:val="2"/>
          <w:sz w:val="24"/>
          <w:szCs w:val="24"/>
          <w:lang w:eastAsia="es-CO"/>
        </w:rPr>
        <w:footnoteReference w:id="21"/>
      </w:r>
      <w:r w:rsidRPr="00A143CE">
        <w:rPr>
          <w:rFonts w:ascii="Arial" w:hAnsi="Arial" w:cs="Arial"/>
          <w:spacing w:val="2"/>
          <w:sz w:val="24"/>
          <w:szCs w:val="24"/>
          <w:lang w:eastAsia="es-CO"/>
        </w:rPr>
        <w:t>,el término de caducidad de la acción se suspende cuando se presenta solicitud de conciliación extrajudicial en derecho y en este caso obra en el expediente constancia de haberse llevado a cabo audiencia de conciliación extrajudicial</w:t>
      </w:r>
      <w:r w:rsidRPr="00A143CE">
        <w:rPr>
          <w:rStyle w:val="Refdenotaalpie"/>
          <w:rFonts w:ascii="Arial" w:hAnsi="Arial" w:cs="Arial"/>
          <w:spacing w:val="2"/>
          <w:sz w:val="24"/>
          <w:szCs w:val="24"/>
          <w:lang w:eastAsia="es-CO"/>
        </w:rPr>
        <w:footnoteReference w:id="22"/>
      </w:r>
      <w:r w:rsidRPr="00A143CE">
        <w:rPr>
          <w:rFonts w:ascii="Arial" w:hAnsi="Arial" w:cs="Arial"/>
          <w:spacing w:val="2"/>
          <w:sz w:val="24"/>
          <w:szCs w:val="24"/>
          <w:lang w:eastAsia="es-CO"/>
        </w:rPr>
        <w:t xml:space="preserve"> el 6 de agosto de 2009 en la Procuraduría Judicial Veintiséis de Ibagué, en donde se declaró terminado el trámite conciliatorio y, además, se hizo constar que la solicitud de conciliación fue presentada el 7 de mayo de 2009, un mes y trece días antes de que operara la caducidad, es del caso entender qu</w:t>
      </w:r>
      <w:r w:rsidR="00D40382" w:rsidRPr="00A143CE">
        <w:rPr>
          <w:rFonts w:ascii="Arial" w:hAnsi="Arial" w:cs="Arial"/>
          <w:spacing w:val="2"/>
          <w:sz w:val="24"/>
          <w:szCs w:val="24"/>
          <w:lang w:eastAsia="es-CO"/>
        </w:rPr>
        <w:t>e los</w:t>
      </w:r>
      <w:r w:rsidRPr="00A143CE">
        <w:rPr>
          <w:rFonts w:ascii="Arial" w:hAnsi="Arial" w:cs="Arial"/>
          <w:spacing w:val="2"/>
          <w:sz w:val="24"/>
          <w:szCs w:val="24"/>
          <w:lang w:eastAsia="es-CO"/>
        </w:rPr>
        <w:t xml:space="preserve"> demandante</w:t>
      </w:r>
      <w:r w:rsidR="00D40382" w:rsidRPr="00A143CE">
        <w:rPr>
          <w:rFonts w:ascii="Arial" w:hAnsi="Arial" w:cs="Arial"/>
          <w:spacing w:val="2"/>
          <w:sz w:val="24"/>
          <w:szCs w:val="24"/>
          <w:lang w:eastAsia="es-CO"/>
        </w:rPr>
        <w:t>s</w:t>
      </w:r>
      <w:r w:rsidRPr="00A143CE">
        <w:rPr>
          <w:rFonts w:ascii="Arial" w:hAnsi="Arial" w:cs="Arial"/>
          <w:spacing w:val="2"/>
          <w:sz w:val="24"/>
          <w:szCs w:val="24"/>
          <w:lang w:eastAsia="es-CO"/>
        </w:rPr>
        <w:t xml:space="preserve"> tenía</w:t>
      </w:r>
      <w:r w:rsidR="00D40382" w:rsidRPr="00A143CE">
        <w:rPr>
          <w:rFonts w:ascii="Arial" w:hAnsi="Arial" w:cs="Arial"/>
          <w:spacing w:val="2"/>
          <w:sz w:val="24"/>
          <w:szCs w:val="24"/>
          <w:lang w:eastAsia="es-CO"/>
        </w:rPr>
        <w:t>n</w:t>
      </w:r>
      <w:r w:rsidRPr="00A143CE">
        <w:rPr>
          <w:rFonts w:ascii="Arial" w:hAnsi="Arial" w:cs="Arial"/>
          <w:spacing w:val="2"/>
          <w:sz w:val="24"/>
          <w:szCs w:val="24"/>
          <w:lang w:eastAsia="es-CO"/>
        </w:rPr>
        <w:t xml:space="preserve"> hasta el </w:t>
      </w:r>
      <w:r w:rsidRPr="00A143CE">
        <w:rPr>
          <w:rFonts w:ascii="Arial" w:hAnsi="Arial" w:cs="Arial"/>
          <w:b/>
          <w:spacing w:val="2"/>
          <w:sz w:val="24"/>
          <w:szCs w:val="24"/>
          <w:lang w:eastAsia="es-CO"/>
        </w:rPr>
        <w:t>19 de septiembre de 2009</w:t>
      </w:r>
      <w:r w:rsidR="001F081E" w:rsidRPr="00A143CE">
        <w:rPr>
          <w:rFonts w:ascii="Arial" w:hAnsi="Arial" w:cs="Arial"/>
          <w:spacing w:val="2"/>
          <w:sz w:val="24"/>
          <w:szCs w:val="24"/>
          <w:lang w:eastAsia="es-CO"/>
        </w:rPr>
        <w:t xml:space="preserve"> para interponer la demanda y</w:t>
      </w:r>
      <w:r w:rsidRPr="00A143CE">
        <w:rPr>
          <w:rFonts w:ascii="Arial" w:hAnsi="Arial" w:cs="Arial"/>
          <w:spacing w:val="2"/>
          <w:sz w:val="24"/>
          <w:szCs w:val="24"/>
          <w:lang w:eastAsia="es-CO"/>
        </w:rPr>
        <w:t xml:space="preserve"> como la presentó con anterioridad a esa fecha, esto es, el </w:t>
      </w:r>
      <w:r w:rsidRPr="00A143CE">
        <w:rPr>
          <w:rFonts w:ascii="Arial" w:hAnsi="Arial" w:cs="Arial"/>
          <w:b/>
          <w:spacing w:val="2"/>
          <w:sz w:val="24"/>
          <w:szCs w:val="24"/>
          <w:lang w:eastAsia="es-CO"/>
        </w:rPr>
        <w:t>10 de agosto de 2009</w:t>
      </w:r>
      <w:r w:rsidRPr="00A143CE">
        <w:rPr>
          <w:rFonts w:ascii="Arial" w:hAnsi="Arial" w:cs="Arial"/>
          <w:spacing w:val="2"/>
          <w:sz w:val="24"/>
          <w:szCs w:val="24"/>
          <w:lang w:eastAsia="es-CO"/>
        </w:rPr>
        <w:t>, forzoso viene a ser que se encontraba dentro del término previsto para tal fin, circunstancia que impone proseguir con el estudio de fondo del recurso incoado por la parte demandante.</w:t>
      </w:r>
    </w:p>
    <w:p w:rsidR="00F64646" w:rsidRPr="00A143CE" w:rsidRDefault="00F64646" w:rsidP="00E66EB4">
      <w:pPr>
        <w:pStyle w:val="Sinespaciado"/>
        <w:rPr>
          <w:rFonts w:ascii="Arial" w:hAnsi="Arial" w:cs="Arial"/>
          <w:sz w:val="24"/>
          <w:szCs w:val="24"/>
        </w:rPr>
      </w:pPr>
    </w:p>
    <w:p w:rsidR="003D0CBE" w:rsidRPr="00A143CE" w:rsidRDefault="003D0CBE" w:rsidP="000B3874">
      <w:pPr>
        <w:pStyle w:val="Sinespaciado"/>
        <w:rPr>
          <w:rFonts w:ascii="Arial" w:hAnsi="Arial" w:cs="Arial"/>
          <w:sz w:val="24"/>
          <w:szCs w:val="24"/>
        </w:rPr>
      </w:pPr>
    </w:p>
    <w:p w:rsidR="00753004" w:rsidRPr="00A143CE" w:rsidRDefault="0000536B" w:rsidP="00F74C75">
      <w:pPr>
        <w:pStyle w:val="Prrafodelista"/>
        <w:tabs>
          <w:tab w:val="left" w:pos="0"/>
        </w:tabs>
        <w:spacing w:line="360" w:lineRule="auto"/>
        <w:ind w:left="0"/>
        <w:jc w:val="both"/>
        <w:rPr>
          <w:rFonts w:ascii="Arial" w:eastAsia="Calibri" w:hAnsi="Arial" w:cs="Arial"/>
          <w:b/>
          <w:lang w:val="es-CO" w:eastAsia="en-US"/>
        </w:rPr>
      </w:pPr>
      <w:r w:rsidRPr="00A143CE">
        <w:rPr>
          <w:rFonts w:ascii="Arial" w:eastAsia="Calibri" w:hAnsi="Arial" w:cs="Arial"/>
          <w:b/>
          <w:lang w:val="es-CO" w:eastAsia="en-US"/>
        </w:rPr>
        <w:t>2.</w:t>
      </w:r>
      <w:r w:rsidR="001F081E" w:rsidRPr="00A143CE">
        <w:rPr>
          <w:rFonts w:ascii="Arial" w:eastAsia="Calibri" w:hAnsi="Arial" w:cs="Arial"/>
          <w:b/>
          <w:lang w:val="es-CO" w:eastAsia="en-US"/>
        </w:rPr>
        <w:t>3</w:t>
      </w:r>
      <w:r w:rsidRPr="00A143CE">
        <w:rPr>
          <w:rFonts w:ascii="Arial" w:eastAsia="Calibri" w:hAnsi="Arial" w:cs="Arial"/>
          <w:b/>
          <w:lang w:val="es-CO" w:eastAsia="en-US"/>
        </w:rPr>
        <w:t>. Los hechos probados</w:t>
      </w:r>
    </w:p>
    <w:p w:rsidR="003D0CBE" w:rsidRPr="00A143CE" w:rsidRDefault="003D0CBE" w:rsidP="00F74C75">
      <w:pPr>
        <w:pStyle w:val="Prrafodelista"/>
        <w:tabs>
          <w:tab w:val="left" w:pos="0"/>
        </w:tabs>
        <w:spacing w:line="360" w:lineRule="auto"/>
        <w:ind w:left="0"/>
        <w:jc w:val="both"/>
        <w:rPr>
          <w:rFonts w:ascii="Arial" w:eastAsia="Calibri" w:hAnsi="Arial" w:cs="Arial"/>
          <w:b/>
          <w:lang w:val="es-CO" w:eastAsia="en-US"/>
        </w:rPr>
      </w:pPr>
    </w:p>
    <w:p w:rsidR="00240AF5" w:rsidRPr="00A143CE" w:rsidRDefault="00240AF5" w:rsidP="007B06F9">
      <w:pPr>
        <w:pStyle w:val="Prrafodelista"/>
        <w:tabs>
          <w:tab w:val="left" w:pos="0"/>
        </w:tabs>
        <w:spacing w:line="360" w:lineRule="auto"/>
        <w:ind w:left="0"/>
        <w:jc w:val="both"/>
        <w:rPr>
          <w:rFonts w:ascii="Arial" w:hAnsi="Arial" w:cs="Arial"/>
        </w:rPr>
      </w:pPr>
      <w:r w:rsidRPr="00A143CE">
        <w:rPr>
          <w:rFonts w:ascii="Arial" w:hAnsi="Arial" w:cs="Arial"/>
        </w:rPr>
        <w:t>En atención al material probatorio obra</w:t>
      </w:r>
      <w:r w:rsidR="00DC62D9" w:rsidRPr="00A143CE">
        <w:rPr>
          <w:rFonts w:ascii="Arial" w:hAnsi="Arial" w:cs="Arial"/>
        </w:rPr>
        <w:t xml:space="preserve">nte en el expediente, recaudado </w:t>
      </w:r>
      <w:r w:rsidRPr="00A143CE">
        <w:rPr>
          <w:rFonts w:ascii="Arial" w:hAnsi="Arial" w:cs="Arial"/>
        </w:rPr>
        <w:t>oportunamente y con el lleno de los requisitos legales, se tien</w:t>
      </w:r>
      <w:r w:rsidR="0000536B" w:rsidRPr="00A143CE">
        <w:rPr>
          <w:rFonts w:ascii="Arial" w:hAnsi="Arial" w:cs="Arial"/>
        </w:rPr>
        <w:t>en debidamente demostrados en este</w:t>
      </w:r>
      <w:r w:rsidRPr="00A143CE">
        <w:rPr>
          <w:rFonts w:ascii="Arial" w:hAnsi="Arial" w:cs="Arial"/>
        </w:rPr>
        <w:t xml:space="preserve"> proceso los siguientes hechos:</w:t>
      </w:r>
    </w:p>
    <w:p w:rsidR="00894C0F" w:rsidRPr="00A143CE" w:rsidRDefault="00894C0F" w:rsidP="007B06F9">
      <w:pPr>
        <w:pStyle w:val="Prrafodelista"/>
        <w:tabs>
          <w:tab w:val="left" w:pos="0"/>
        </w:tabs>
        <w:spacing w:line="360" w:lineRule="auto"/>
        <w:ind w:left="0"/>
        <w:jc w:val="both"/>
        <w:rPr>
          <w:rFonts w:ascii="Arial" w:hAnsi="Arial" w:cs="Arial"/>
        </w:rPr>
      </w:pPr>
    </w:p>
    <w:p w:rsidR="005D1B62" w:rsidRPr="00A143CE" w:rsidRDefault="00F76BF6" w:rsidP="007B06F9">
      <w:pPr>
        <w:pStyle w:val="Prrafodelista"/>
        <w:tabs>
          <w:tab w:val="left" w:pos="0"/>
        </w:tabs>
        <w:spacing w:line="360" w:lineRule="auto"/>
        <w:ind w:left="0"/>
        <w:jc w:val="both"/>
        <w:rPr>
          <w:rFonts w:ascii="Arial" w:hAnsi="Arial" w:cs="Arial"/>
        </w:rPr>
      </w:pPr>
      <w:r w:rsidRPr="00A143CE">
        <w:rPr>
          <w:rFonts w:ascii="Arial" w:hAnsi="Arial" w:cs="Arial"/>
        </w:rPr>
        <w:t>- Que l</w:t>
      </w:r>
      <w:r w:rsidR="005D4BFD" w:rsidRPr="00A143CE">
        <w:rPr>
          <w:rFonts w:ascii="Arial" w:hAnsi="Arial" w:cs="Arial"/>
        </w:rPr>
        <w:t xml:space="preserve">a </w:t>
      </w:r>
      <w:r w:rsidR="005D1B62" w:rsidRPr="00A143CE">
        <w:rPr>
          <w:rFonts w:ascii="Arial" w:hAnsi="Arial" w:cs="Arial"/>
        </w:rPr>
        <w:t xml:space="preserve">Fiscalía </w:t>
      </w:r>
      <w:r w:rsidR="00FD5656" w:rsidRPr="00A143CE">
        <w:rPr>
          <w:rFonts w:ascii="Arial" w:hAnsi="Arial" w:cs="Arial"/>
        </w:rPr>
        <w:t>Veintiuno</w:t>
      </w:r>
      <w:r w:rsidR="00FA017E" w:rsidRPr="00A143CE">
        <w:rPr>
          <w:rFonts w:ascii="Arial" w:hAnsi="Arial" w:cs="Arial"/>
        </w:rPr>
        <w:t xml:space="preserve"> </w:t>
      </w:r>
      <w:r w:rsidR="00FD5656" w:rsidRPr="00A143CE">
        <w:rPr>
          <w:rFonts w:ascii="Arial" w:hAnsi="Arial" w:cs="Arial"/>
        </w:rPr>
        <w:t>Seccional de Ibagué</w:t>
      </w:r>
      <w:r w:rsidR="001F081E" w:rsidRPr="00A143CE">
        <w:rPr>
          <w:rFonts w:ascii="Arial" w:hAnsi="Arial" w:cs="Arial"/>
        </w:rPr>
        <w:t>,</w:t>
      </w:r>
      <w:r w:rsidR="00FA017E" w:rsidRPr="00A143CE">
        <w:rPr>
          <w:rFonts w:ascii="Arial" w:hAnsi="Arial" w:cs="Arial"/>
        </w:rPr>
        <w:t xml:space="preserve"> mediante </w:t>
      </w:r>
      <w:r w:rsidR="005D4BFD" w:rsidRPr="00A143CE">
        <w:rPr>
          <w:rFonts w:ascii="Arial" w:hAnsi="Arial" w:cs="Arial"/>
        </w:rPr>
        <w:t>R</w:t>
      </w:r>
      <w:r w:rsidR="00FA017E" w:rsidRPr="00A143CE">
        <w:rPr>
          <w:rFonts w:ascii="Arial" w:hAnsi="Arial" w:cs="Arial"/>
        </w:rPr>
        <w:t>esolución de 9 de enero de 2000</w:t>
      </w:r>
      <w:r w:rsidR="00D40382" w:rsidRPr="00A143CE">
        <w:rPr>
          <w:rFonts w:ascii="Arial" w:hAnsi="Arial" w:cs="Arial"/>
        </w:rPr>
        <w:t>,</w:t>
      </w:r>
      <w:r w:rsidR="00974849" w:rsidRPr="00A143CE">
        <w:rPr>
          <w:rFonts w:ascii="Arial" w:hAnsi="Arial" w:cs="Arial"/>
        </w:rPr>
        <w:t xml:space="preserve"> ordenó</w:t>
      </w:r>
      <w:r w:rsidR="005D4BFD" w:rsidRPr="00A143CE">
        <w:rPr>
          <w:rFonts w:ascii="Arial" w:hAnsi="Arial" w:cs="Arial"/>
        </w:rPr>
        <w:t xml:space="preserve"> la interceptación de los números telefónicos 2676192, 2697548,</w:t>
      </w:r>
      <w:r w:rsidR="009C2E90" w:rsidRPr="00A143CE">
        <w:rPr>
          <w:rFonts w:ascii="Arial" w:hAnsi="Arial" w:cs="Arial"/>
        </w:rPr>
        <w:t xml:space="preserve"> 2646814 y 2680751, en atención a</w:t>
      </w:r>
      <w:r w:rsidR="005D1B62" w:rsidRPr="00A143CE">
        <w:rPr>
          <w:rFonts w:ascii="Arial" w:hAnsi="Arial" w:cs="Arial"/>
        </w:rPr>
        <w:t xml:space="preserve"> una llamada telefónica anónima que señaló la existencia de una banda delictiva dedicada al tráfico, elaboración y distribución de drogas alucinógenas</w:t>
      </w:r>
      <w:r w:rsidR="005D1B62" w:rsidRPr="00A143CE">
        <w:rPr>
          <w:rStyle w:val="Refdenotaalpie"/>
          <w:rFonts w:ascii="Arial" w:hAnsi="Arial" w:cs="Arial"/>
        </w:rPr>
        <w:footnoteReference w:id="23"/>
      </w:r>
      <w:r w:rsidR="009C2E90" w:rsidRPr="00A143CE">
        <w:rPr>
          <w:rFonts w:ascii="Arial" w:hAnsi="Arial" w:cs="Arial"/>
        </w:rPr>
        <w:t>.</w:t>
      </w:r>
    </w:p>
    <w:p w:rsidR="005D1B62" w:rsidRPr="00A143CE" w:rsidRDefault="005D1B62" w:rsidP="007B06F9">
      <w:pPr>
        <w:pStyle w:val="Prrafodelista"/>
        <w:tabs>
          <w:tab w:val="left" w:pos="0"/>
        </w:tabs>
        <w:spacing w:line="360" w:lineRule="auto"/>
        <w:ind w:left="0"/>
        <w:jc w:val="both"/>
        <w:rPr>
          <w:rFonts w:ascii="Arial" w:hAnsi="Arial" w:cs="Arial"/>
        </w:rPr>
      </w:pPr>
    </w:p>
    <w:p w:rsidR="00894C0F" w:rsidRPr="00A143CE" w:rsidRDefault="0000536B" w:rsidP="007B06F9">
      <w:pPr>
        <w:pStyle w:val="Prrafodelista"/>
        <w:tabs>
          <w:tab w:val="left" w:pos="0"/>
        </w:tabs>
        <w:spacing w:line="360" w:lineRule="auto"/>
        <w:ind w:left="0"/>
        <w:jc w:val="both"/>
        <w:rPr>
          <w:rFonts w:ascii="Arial" w:hAnsi="Arial" w:cs="Arial"/>
        </w:rPr>
      </w:pPr>
      <w:r w:rsidRPr="00A143CE">
        <w:rPr>
          <w:rFonts w:ascii="Arial" w:hAnsi="Arial" w:cs="Arial"/>
        </w:rPr>
        <w:t>- Que</w:t>
      </w:r>
      <w:r w:rsidR="009C2E90" w:rsidRPr="00A143CE">
        <w:rPr>
          <w:rFonts w:ascii="Arial" w:hAnsi="Arial" w:cs="Arial"/>
        </w:rPr>
        <w:t xml:space="preserve"> la Fiscalía Veintiuno Seccional </w:t>
      </w:r>
      <w:r w:rsidR="00FD5656" w:rsidRPr="00A143CE">
        <w:rPr>
          <w:rFonts w:ascii="Arial" w:hAnsi="Arial" w:cs="Arial"/>
        </w:rPr>
        <w:t>de Ibagué</w:t>
      </w:r>
      <w:r w:rsidR="001F081E" w:rsidRPr="00A143CE">
        <w:rPr>
          <w:rFonts w:ascii="Arial" w:hAnsi="Arial" w:cs="Arial"/>
        </w:rPr>
        <w:t>,</w:t>
      </w:r>
      <w:r w:rsidR="00894C0F" w:rsidRPr="00A143CE">
        <w:rPr>
          <w:rFonts w:ascii="Arial" w:hAnsi="Arial" w:cs="Arial"/>
        </w:rPr>
        <w:t xml:space="preserve"> mediante </w:t>
      </w:r>
      <w:r w:rsidR="005F115F" w:rsidRPr="00A143CE">
        <w:rPr>
          <w:rFonts w:ascii="Arial" w:hAnsi="Arial" w:cs="Arial"/>
        </w:rPr>
        <w:t>proveído de 10 de abril de 2000</w:t>
      </w:r>
      <w:r w:rsidR="00D40382" w:rsidRPr="00A143CE">
        <w:rPr>
          <w:rFonts w:ascii="Arial" w:hAnsi="Arial" w:cs="Arial"/>
        </w:rPr>
        <w:t>,</w:t>
      </w:r>
      <w:r w:rsidR="00894C0F" w:rsidRPr="00A143CE">
        <w:rPr>
          <w:rFonts w:ascii="Arial" w:hAnsi="Arial" w:cs="Arial"/>
        </w:rPr>
        <w:t xml:space="preserve"> dio apertura a una investigación penal en contra de varios ciudadanos, entre ellos el señor Carlos Enrique Trujillo Ocampo</w:t>
      </w:r>
      <w:r w:rsidR="008B7CB8" w:rsidRPr="00A143CE">
        <w:rPr>
          <w:rFonts w:ascii="Arial" w:hAnsi="Arial" w:cs="Arial"/>
        </w:rPr>
        <w:t>, por el punible de concierto para delinquir</w:t>
      </w:r>
      <w:r w:rsidR="008B7CB8" w:rsidRPr="00A143CE">
        <w:rPr>
          <w:rStyle w:val="Refdenotaalpie"/>
          <w:rFonts w:ascii="Arial" w:hAnsi="Arial" w:cs="Arial"/>
        </w:rPr>
        <w:footnoteReference w:id="24"/>
      </w:r>
      <w:r w:rsidR="008B7CB8" w:rsidRPr="00A143CE">
        <w:rPr>
          <w:rFonts w:ascii="Arial" w:hAnsi="Arial" w:cs="Arial"/>
        </w:rPr>
        <w:t>, así pues, la entidad libró orden de captura en su contra</w:t>
      </w:r>
      <w:r w:rsidR="008B7CB8" w:rsidRPr="00A143CE">
        <w:rPr>
          <w:rStyle w:val="Refdenotaalpie"/>
          <w:rFonts w:ascii="Arial" w:hAnsi="Arial" w:cs="Arial"/>
        </w:rPr>
        <w:footnoteReference w:id="25"/>
      </w:r>
      <w:r w:rsidR="00D40382" w:rsidRPr="00A143CE">
        <w:rPr>
          <w:rFonts w:ascii="Arial" w:hAnsi="Arial" w:cs="Arial"/>
        </w:rPr>
        <w:t>,</w:t>
      </w:r>
      <w:r w:rsidR="001F081E" w:rsidRPr="00A143CE">
        <w:rPr>
          <w:rFonts w:ascii="Arial" w:hAnsi="Arial" w:cs="Arial"/>
        </w:rPr>
        <w:t xml:space="preserve"> la cual se materializó al </w:t>
      </w:r>
      <w:r w:rsidR="00F61AA2" w:rsidRPr="00A143CE">
        <w:rPr>
          <w:rFonts w:ascii="Arial" w:hAnsi="Arial" w:cs="Arial"/>
        </w:rPr>
        <w:t>11 de abril de 2000</w:t>
      </w:r>
      <w:r w:rsidR="001F081E" w:rsidRPr="00A143CE">
        <w:rPr>
          <w:rFonts w:ascii="Arial" w:hAnsi="Arial" w:cs="Arial"/>
        </w:rPr>
        <w:t>,</w:t>
      </w:r>
      <w:r w:rsidR="00F61AA2" w:rsidRPr="00A143CE">
        <w:rPr>
          <w:rFonts w:ascii="Arial" w:hAnsi="Arial" w:cs="Arial"/>
        </w:rPr>
        <w:t xml:space="preserve"> de conformidad con el informe realizado por el Jefe de la Sección de Información y Análisis del CTI del Tolima</w:t>
      </w:r>
      <w:r w:rsidR="00801E84" w:rsidRPr="00A143CE">
        <w:rPr>
          <w:rStyle w:val="Refdenotaalpie"/>
          <w:rFonts w:ascii="Arial" w:hAnsi="Arial" w:cs="Arial"/>
        </w:rPr>
        <w:footnoteReference w:id="26"/>
      </w:r>
      <w:r w:rsidR="007F7090" w:rsidRPr="00A143CE">
        <w:rPr>
          <w:rFonts w:ascii="Arial" w:hAnsi="Arial" w:cs="Arial"/>
        </w:rPr>
        <w:t>.</w:t>
      </w:r>
    </w:p>
    <w:p w:rsidR="007F7090" w:rsidRPr="00A143CE" w:rsidRDefault="007F7090" w:rsidP="007B06F9">
      <w:pPr>
        <w:pStyle w:val="Prrafodelista"/>
        <w:tabs>
          <w:tab w:val="left" w:pos="0"/>
        </w:tabs>
        <w:spacing w:line="360" w:lineRule="auto"/>
        <w:ind w:left="0"/>
        <w:jc w:val="both"/>
        <w:rPr>
          <w:rFonts w:ascii="Arial" w:hAnsi="Arial" w:cs="Arial"/>
        </w:rPr>
      </w:pPr>
    </w:p>
    <w:p w:rsidR="00307709" w:rsidRPr="00A143CE" w:rsidRDefault="005F115F" w:rsidP="007B06F9">
      <w:pPr>
        <w:pStyle w:val="Prrafodelista"/>
        <w:tabs>
          <w:tab w:val="left" w:pos="0"/>
        </w:tabs>
        <w:spacing w:line="360" w:lineRule="auto"/>
        <w:ind w:left="0"/>
        <w:jc w:val="both"/>
        <w:rPr>
          <w:rFonts w:ascii="Arial" w:hAnsi="Arial" w:cs="Arial"/>
        </w:rPr>
      </w:pPr>
      <w:r w:rsidRPr="00A143CE">
        <w:rPr>
          <w:rFonts w:ascii="Arial" w:hAnsi="Arial" w:cs="Arial"/>
        </w:rPr>
        <w:lastRenderedPageBreak/>
        <w:t>- Que</w:t>
      </w:r>
      <w:r w:rsidR="00E24ADE" w:rsidRPr="00A143CE">
        <w:rPr>
          <w:rFonts w:ascii="Arial" w:hAnsi="Arial" w:cs="Arial"/>
        </w:rPr>
        <w:t xml:space="preserve"> e</w:t>
      </w:r>
      <w:r w:rsidR="001A3D82" w:rsidRPr="00A143CE">
        <w:rPr>
          <w:rFonts w:ascii="Arial" w:hAnsi="Arial" w:cs="Arial"/>
        </w:rPr>
        <w:t>l 15 de abril de 2000</w:t>
      </w:r>
      <w:r w:rsidRPr="00A143CE">
        <w:rPr>
          <w:rFonts w:ascii="Arial" w:hAnsi="Arial" w:cs="Arial"/>
        </w:rPr>
        <w:t>,</w:t>
      </w:r>
      <w:r w:rsidR="001A3D82" w:rsidRPr="00A143CE">
        <w:rPr>
          <w:rFonts w:ascii="Arial" w:hAnsi="Arial" w:cs="Arial"/>
        </w:rPr>
        <w:t xml:space="preserve"> se efectuó diligencia de indagatoria al señor Carlos Enrique Tr</w:t>
      </w:r>
      <w:r w:rsidRPr="00A143CE">
        <w:rPr>
          <w:rFonts w:ascii="Arial" w:hAnsi="Arial" w:cs="Arial"/>
        </w:rPr>
        <w:t>ujillo Ocampo,</w:t>
      </w:r>
      <w:r w:rsidR="00B83AFB" w:rsidRPr="00A143CE">
        <w:rPr>
          <w:rFonts w:ascii="Arial" w:hAnsi="Arial" w:cs="Arial"/>
        </w:rPr>
        <w:t xml:space="preserve"> se destaca la</w:t>
      </w:r>
      <w:r w:rsidR="00307709" w:rsidRPr="00A143CE">
        <w:rPr>
          <w:rFonts w:ascii="Arial" w:hAnsi="Arial" w:cs="Arial"/>
        </w:rPr>
        <w:t xml:space="preserve"> siguiente</w:t>
      </w:r>
      <w:r w:rsidR="00B073AD" w:rsidRPr="00A143CE">
        <w:rPr>
          <w:rFonts w:ascii="Arial" w:hAnsi="Arial" w:cs="Arial"/>
        </w:rPr>
        <w:t xml:space="preserve"> declaración (s</w:t>
      </w:r>
      <w:r w:rsidR="00B83AFB" w:rsidRPr="00A143CE">
        <w:rPr>
          <w:rFonts w:ascii="Arial" w:hAnsi="Arial" w:cs="Arial"/>
        </w:rPr>
        <w:t>e transcribe de manera literal, incluso con errores)</w:t>
      </w:r>
      <w:r w:rsidR="00307709" w:rsidRPr="00A143CE">
        <w:rPr>
          <w:rFonts w:ascii="Arial" w:hAnsi="Arial" w:cs="Arial"/>
        </w:rPr>
        <w:t>:</w:t>
      </w:r>
    </w:p>
    <w:p w:rsidR="00307709" w:rsidRPr="00A143CE" w:rsidRDefault="00307709" w:rsidP="0065640A">
      <w:pPr>
        <w:pStyle w:val="Sinespaciado"/>
        <w:rPr>
          <w:rFonts w:ascii="Arial" w:hAnsi="Arial" w:cs="Arial"/>
          <w:sz w:val="24"/>
          <w:szCs w:val="24"/>
        </w:rPr>
      </w:pPr>
    </w:p>
    <w:p w:rsidR="00307709" w:rsidRPr="00A143CE" w:rsidRDefault="00307709" w:rsidP="00307709">
      <w:pPr>
        <w:pStyle w:val="Prrafodelista"/>
        <w:tabs>
          <w:tab w:val="left" w:pos="426"/>
        </w:tabs>
        <w:spacing w:line="276" w:lineRule="auto"/>
        <w:ind w:left="567" w:right="617"/>
        <w:jc w:val="both"/>
        <w:rPr>
          <w:rFonts w:ascii="Arial" w:hAnsi="Arial" w:cs="Arial"/>
          <w:i/>
        </w:rPr>
      </w:pPr>
      <w:r w:rsidRPr="00A143CE">
        <w:rPr>
          <w:rFonts w:ascii="Arial" w:hAnsi="Arial" w:cs="Arial"/>
          <w:i/>
        </w:rPr>
        <w:t xml:space="preserve">“PREGUNTADO: En esta investigación se ha presentado un informe C.T.I. en donde relacionan el examen hecho a las interceptaciones y seguimientos (se le da lectura). Que </w:t>
      </w:r>
      <w:r w:rsidR="00176525" w:rsidRPr="00A143CE">
        <w:rPr>
          <w:rFonts w:ascii="Arial" w:hAnsi="Arial" w:cs="Arial"/>
          <w:i/>
        </w:rPr>
        <w:t>dice usted sobre esto. CONTESTO:</w:t>
      </w:r>
      <w:r w:rsidRPr="00A143CE">
        <w:rPr>
          <w:rFonts w:ascii="Arial" w:hAnsi="Arial" w:cs="Arial"/>
          <w:i/>
        </w:rPr>
        <w:t xml:space="preserve"> Resulta que a mi me dio Alvaro machado un arma de fuego para vender, no se de donde la saco, yo le dije a Jaramillo que si tenia quien compraba eso, yo le dije a Alvaro que me la había decomisado la Sijin, yo le dije que se la iba a llevar, a Lennis un señor que conoce a Alvaro, en el taller en donde Alex, eso eran mentiras para ganarme una platica; el arma la dejaron donde mi hermana y yo la lleve a donde Jaramillo, el es u</w:t>
      </w:r>
      <w:r w:rsidR="00DD6B32" w:rsidRPr="00A143CE">
        <w:rPr>
          <w:rFonts w:ascii="Arial" w:hAnsi="Arial" w:cs="Arial"/>
          <w:i/>
        </w:rPr>
        <w:t>n</w:t>
      </w:r>
      <w:r w:rsidRPr="00A143CE">
        <w:rPr>
          <w:rFonts w:ascii="Arial" w:hAnsi="Arial" w:cs="Arial"/>
          <w:i/>
        </w:rPr>
        <w:t xml:space="preserve"> retirado de la policía vive en la 3ª., etapa del Jordan no se la dirección, el la vendio no se en cuanto (…)”</w:t>
      </w:r>
      <w:r w:rsidRPr="00A143CE">
        <w:rPr>
          <w:rStyle w:val="Refdenotaalpie"/>
          <w:rFonts w:ascii="Arial" w:hAnsi="Arial" w:cs="Arial"/>
          <w:i/>
        </w:rPr>
        <w:footnoteReference w:id="27"/>
      </w:r>
      <w:r w:rsidRPr="00A143CE">
        <w:rPr>
          <w:rFonts w:ascii="Arial" w:hAnsi="Arial" w:cs="Arial"/>
          <w:i/>
        </w:rPr>
        <w:t>.</w:t>
      </w:r>
    </w:p>
    <w:p w:rsidR="00552E42" w:rsidRPr="00A143CE" w:rsidRDefault="00552E42" w:rsidP="00307709">
      <w:pPr>
        <w:pStyle w:val="Prrafodelista"/>
        <w:tabs>
          <w:tab w:val="left" w:pos="426"/>
        </w:tabs>
        <w:spacing w:line="276" w:lineRule="auto"/>
        <w:ind w:left="567" w:right="617"/>
        <w:jc w:val="both"/>
        <w:rPr>
          <w:rFonts w:ascii="Arial" w:hAnsi="Arial" w:cs="Arial"/>
          <w:i/>
        </w:rPr>
      </w:pPr>
    </w:p>
    <w:p w:rsidR="00E24ADE" w:rsidRPr="00A143CE" w:rsidRDefault="00E24ADE" w:rsidP="00307709">
      <w:pPr>
        <w:pStyle w:val="Prrafodelista"/>
        <w:tabs>
          <w:tab w:val="left" w:pos="426"/>
        </w:tabs>
        <w:spacing w:line="276" w:lineRule="auto"/>
        <w:ind w:left="567" w:right="617"/>
        <w:jc w:val="both"/>
        <w:rPr>
          <w:rFonts w:ascii="Arial" w:hAnsi="Arial" w:cs="Arial"/>
          <w:i/>
        </w:rPr>
      </w:pPr>
    </w:p>
    <w:p w:rsidR="008B7CB8" w:rsidRPr="00A143CE" w:rsidRDefault="005F115F" w:rsidP="007B06F9">
      <w:pPr>
        <w:pStyle w:val="Prrafodelista"/>
        <w:tabs>
          <w:tab w:val="left" w:pos="0"/>
        </w:tabs>
        <w:spacing w:line="360" w:lineRule="auto"/>
        <w:ind w:left="0"/>
        <w:jc w:val="both"/>
        <w:rPr>
          <w:rFonts w:ascii="Arial" w:hAnsi="Arial" w:cs="Arial"/>
        </w:rPr>
      </w:pPr>
      <w:r w:rsidRPr="00A143CE">
        <w:rPr>
          <w:rFonts w:ascii="Arial" w:hAnsi="Arial" w:cs="Arial"/>
        </w:rPr>
        <w:t>- Que</w:t>
      </w:r>
      <w:r w:rsidR="00E24ADE" w:rsidRPr="00A143CE">
        <w:rPr>
          <w:rFonts w:ascii="Arial" w:hAnsi="Arial" w:cs="Arial"/>
        </w:rPr>
        <w:t xml:space="preserve"> </w:t>
      </w:r>
      <w:r w:rsidR="008B4FD2" w:rsidRPr="00A143CE">
        <w:rPr>
          <w:rFonts w:ascii="Arial" w:hAnsi="Arial" w:cs="Arial"/>
        </w:rPr>
        <w:t>el 18 de abril</w:t>
      </w:r>
      <w:r w:rsidRPr="00A143CE">
        <w:rPr>
          <w:rFonts w:ascii="Arial" w:hAnsi="Arial" w:cs="Arial"/>
        </w:rPr>
        <w:t xml:space="preserve"> d</w:t>
      </w:r>
      <w:r w:rsidR="001F081E" w:rsidRPr="00A143CE">
        <w:rPr>
          <w:rFonts w:ascii="Arial" w:hAnsi="Arial" w:cs="Arial"/>
        </w:rPr>
        <w:t>e 2000</w:t>
      </w:r>
      <w:r w:rsidR="008B4FD2" w:rsidRPr="00A143CE">
        <w:rPr>
          <w:rFonts w:ascii="Arial" w:hAnsi="Arial" w:cs="Arial"/>
        </w:rPr>
        <w:t xml:space="preserve"> se expidió boleta de encarcelación en contra del señor Carl</w:t>
      </w:r>
      <w:r w:rsidRPr="00A143CE">
        <w:rPr>
          <w:rFonts w:ascii="Arial" w:hAnsi="Arial" w:cs="Arial"/>
        </w:rPr>
        <w:t>os Enrique Trujillo Ocampo</w:t>
      </w:r>
      <w:r w:rsidR="008B4FD2" w:rsidRPr="00A143CE">
        <w:rPr>
          <w:rFonts w:ascii="Arial" w:hAnsi="Arial" w:cs="Arial"/>
        </w:rPr>
        <w:t xml:space="preserve"> por parte de la Fiscalía Primera de Patrimonio Económico de Ibagué, a través de la cual se le solicit</w:t>
      </w:r>
      <w:r w:rsidR="00E24ADE" w:rsidRPr="00A143CE">
        <w:rPr>
          <w:rFonts w:ascii="Arial" w:hAnsi="Arial" w:cs="Arial"/>
        </w:rPr>
        <w:t>ó</w:t>
      </w:r>
      <w:r w:rsidR="008B4FD2" w:rsidRPr="00A143CE">
        <w:rPr>
          <w:rFonts w:ascii="Arial" w:hAnsi="Arial" w:cs="Arial"/>
        </w:rPr>
        <w:t xml:space="preserve"> al Director de la </w:t>
      </w:r>
      <w:r w:rsidR="00E24ADE" w:rsidRPr="00A143CE">
        <w:rPr>
          <w:rFonts w:ascii="Arial" w:hAnsi="Arial" w:cs="Arial"/>
        </w:rPr>
        <w:t>Cárcel del Distrito que se sirviera</w:t>
      </w:r>
      <w:r w:rsidR="008B4FD2" w:rsidRPr="00A143CE">
        <w:rPr>
          <w:rFonts w:ascii="Arial" w:hAnsi="Arial" w:cs="Arial"/>
        </w:rPr>
        <w:t xml:space="preserve"> mantenerlo rec</w:t>
      </w:r>
      <w:r w:rsidR="001F081E" w:rsidRPr="00A143CE">
        <w:rPr>
          <w:rFonts w:ascii="Arial" w:hAnsi="Arial" w:cs="Arial"/>
        </w:rPr>
        <w:t>luido en ese centro carcelario</w:t>
      </w:r>
      <w:r w:rsidR="008B4FD2" w:rsidRPr="00A143CE">
        <w:rPr>
          <w:rFonts w:ascii="Arial" w:hAnsi="Arial" w:cs="Arial"/>
        </w:rPr>
        <w:t xml:space="preserve"> hasta nueva orden</w:t>
      </w:r>
      <w:r w:rsidR="008B4FD2" w:rsidRPr="00A143CE">
        <w:rPr>
          <w:rStyle w:val="Refdenotaalpie"/>
          <w:rFonts w:ascii="Arial" w:hAnsi="Arial" w:cs="Arial"/>
        </w:rPr>
        <w:footnoteReference w:id="28"/>
      </w:r>
      <w:r w:rsidR="001A79FA" w:rsidRPr="00A143CE">
        <w:rPr>
          <w:rFonts w:ascii="Arial" w:hAnsi="Arial" w:cs="Arial"/>
        </w:rPr>
        <w:t>.</w:t>
      </w:r>
    </w:p>
    <w:p w:rsidR="001A79FA" w:rsidRPr="00A143CE" w:rsidRDefault="001A79FA" w:rsidP="007B06F9">
      <w:pPr>
        <w:pStyle w:val="Prrafodelista"/>
        <w:tabs>
          <w:tab w:val="left" w:pos="0"/>
        </w:tabs>
        <w:spacing w:line="360" w:lineRule="auto"/>
        <w:ind w:left="0"/>
        <w:jc w:val="both"/>
        <w:rPr>
          <w:rFonts w:ascii="Arial" w:hAnsi="Arial" w:cs="Arial"/>
        </w:rPr>
      </w:pPr>
    </w:p>
    <w:p w:rsidR="00894C0F" w:rsidRPr="00A143CE" w:rsidRDefault="00E24ADE" w:rsidP="007B06F9">
      <w:pPr>
        <w:pStyle w:val="Prrafodelista"/>
        <w:tabs>
          <w:tab w:val="left" w:pos="0"/>
        </w:tabs>
        <w:spacing w:line="360" w:lineRule="auto"/>
        <w:ind w:left="0"/>
        <w:jc w:val="both"/>
        <w:rPr>
          <w:rFonts w:ascii="Arial" w:hAnsi="Arial" w:cs="Arial"/>
        </w:rPr>
      </w:pPr>
      <w:r w:rsidRPr="00A143CE">
        <w:rPr>
          <w:rFonts w:ascii="Arial" w:hAnsi="Arial" w:cs="Arial"/>
        </w:rPr>
        <w:t>- Q</w:t>
      </w:r>
      <w:r w:rsidR="005F115F" w:rsidRPr="00A143CE">
        <w:rPr>
          <w:rFonts w:ascii="Arial" w:hAnsi="Arial" w:cs="Arial"/>
        </w:rPr>
        <w:t>ue</w:t>
      </w:r>
      <w:r w:rsidRPr="00A143CE">
        <w:rPr>
          <w:rFonts w:ascii="Arial" w:hAnsi="Arial" w:cs="Arial"/>
        </w:rPr>
        <w:t xml:space="preserve"> el </w:t>
      </w:r>
      <w:r w:rsidR="001A79FA" w:rsidRPr="00A143CE">
        <w:rPr>
          <w:rFonts w:ascii="Arial" w:hAnsi="Arial" w:cs="Arial"/>
        </w:rPr>
        <w:t xml:space="preserve">25 de </w:t>
      </w:r>
      <w:r w:rsidR="001F081E" w:rsidRPr="00A143CE">
        <w:rPr>
          <w:rFonts w:ascii="Arial" w:hAnsi="Arial" w:cs="Arial"/>
        </w:rPr>
        <w:t xml:space="preserve">abril de 2000 la Fiscalía Doce de la </w:t>
      </w:r>
      <w:r w:rsidR="001A79FA" w:rsidRPr="00A143CE">
        <w:rPr>
          <w:rFonts w:ascii="Arial" w:hAnsi="Arial" w:cs="Arial"/>
        </w:rPr>
        <w:t xml:space="preserve">Unidad Primera de </w:t>
      </w:r>
      <w:r w:rsidR="001F081E" w:rsidRPr="00A143CE">
        <w:rPr>
          <w:rFonts w:ascii="Arial" w:hAnsi="Arial" w:cs="Arial"/>
        </w:rPr>
        <w:t>Patrimonio Económico</w:t>
      </w:r>
      <w:r w:rsidRPr="00A143CE">
        <w:rPr>
          <w:rFonts w:ascii="Arial" w:hAnsi="Arial" w:cs="Arial"/>
        </w:rPr>
        <w:t xml:space="preserve"> profirió r</w:t>
      </w:r>
      <w:r w:rsidR="001A79FA" w:rsidRPr="00A143CE">
        <w:rPr>
          <w:rFonts w:ascii="Arial" w:hAnsi="Arial" w:cs="Arial"/>
        </w:rPr>
        <w:t>esoluci</w:t>
      </w:r>
      <w:r w:rsidR="004C5763" w:rsidRPr="00A143CE">
        <w:rPr>
          <w:rFonts w:ascii="Arial" w:hAnsi="Arial" w:cs="Arial"/>
        </w:rPr>
        <w:t xml:space="preserve">ón a través de la cual le impuso medida de aseguramiento al señor Carlos Enrique Trujillo Ocampo </w:t>
      </w:r>
      <w:r w:rsidR="008A423D" w:rsidRPr="00A143CE">
        <w:rPr>
          <w:rFonts w:ascii="Arial" w:hAnsi="Arial" w:cs="Arial"/>
        </w:rPr>
        <w:t xml:space="preserve">y a los otros ciudadanos vinculados a la investigación, </w:t>
      </w:r>
      <w:r w:rsidR="004C5763" w:rsidRPr="00A143CE">
        <w:rPr>
          <w:rFonts w:ascii="Arial" w:hAnsi="Arial" w:cs="Arial"/>
        </w:rPr>
        <w:t xml:space="preserve">consistente en detención preventiva sin beneficio de la libertad, como </w:t>
      </w:r>
      <w:r w:rsidR="008A423D" w:rsidRPr="00A143CE">
        <w:rPr>
          <w:rFonts w:ascii="Arial" w:hAnsi="Arial" w:cs="Arial"/>
        </w:rPr>
        <w:t>coa</w:t>
      </w:r>
      <w:r w:rsidR="004C5763" w:rsidRPr="00A143CE">
        <w:rPr>
          <w:rFonts w:ascii="Arial" w:hAnsi="Arial" w:cs="Arial"/>
        </w:rPr>
        <w:t>utor</w:t>
      </w:r>
      <w:r w:rsidR="008A423D" w:rsidRPr="00A143CE">
        <w:rPr>
          <w:rFonts w:ascii="Arial" w:hAnsi="Arial" w:cs="Arial"/>
        </w:rPr>
        <w:t>es</w:t>
      </w:r>
      <w:r w:rsidR="004C5763" w:rsidRPr="00A143CE">
        <w:rPr>
          <w:rFonts w:ascii="Arial" w:hAnsi="Arial" w:cs="Arial"/>
        </w:rPr>
        <w:t xml:space="preserve"> de las conductas punibles de concierto para delinquir, en concurso con el hurto calificado y agravado, falsedad material en documento público, falsedad en documento privado, suplantación de autoridad y porte ilegal de armas de fuego de defensa personal</w:t>
      </w:r>
      <w:r w:rsidR="004C5763" w:rsidRPr="00A143CE">
        <w:rPr>
          <w:rStyle w:val="Refdenotaalpie"/>
          <w:rFonts w:ascii="Arial" w:hAnsi="Arial" w:cs="Arial"/>
        </w:rPr>
        <w:footnoteReference w:id="29"/>
      </w:r>
      <w:r w:rsidR="00176525" w:rsidRPr="00A143CE">
        <w:rPr>
          <w:rFonts w:ascii="Arial" w:hAnsi="Arial" w:cs="Arial"/>
        </w:rPr>
        <w:t xml:space="preserve"> (se transcribe textualmente)</w:t>
      </w:r>
      <w:r w:rsidR="00A84033" w:rsidRPr="00A143CE">
        <w:rPr>
          <w:rFonts w:ascii="Arial" w:hAnsi="Arial" w:cs="Arial"/>
        </w:rPr>
        <w:t>.</w:t>
      </w:r>
    </w:p>
    <w:p w:rsidR="002C0E04" w:rsidRPr="00A143CE" w:rsidRDefault="002C0E04" w:rsidP="007B06F9">
      <w:pPr>
        <w:pStyle w:val="Prrafodelista"/>
        <w:tabs>
          <w:tab w:val="left" w:pos="0"/>
        </w:tabs>
        <w:spacing w:line="360" w:lineRule="auto"/>
        <w:ind w:left="0"/>
        <w:jc w:val="both"/>
        <w:rPr>
          <w:rFonts w:ascii="Arial" w:hAnsi="Arial" w:cs="Arial"/>
        </w:rPr>
      </w:pPr>
    </w:p>
    <w:p w:rsidR="00D9670F" w:rsidRPr="00A143CE" w:rsidRDefault="002C0E04" w:rsidP="005F115F">
      <w:pPr>
        <w:pStyle w:val="Prrafodelista"/>
        <w:spacing w:line="276" w:lineRule="auto"/>
        <w:ind w:left="567" w:right="617"/>
        <w:jc w:val="both"/>
        <w:rPr>
          <w:rFonts w:ascii="Arial" w:hAnsi="Arial" w:cs="Arial"/>
          <w:i/>
        </w:rPr>
      </w:pPr>
      <w:r w:rsidRPr="00A143CE">
        <w:rPr>
          <w:rFonts w:ascii="Arial" w:hAnsi="Arial" w:cs="Arial"/>
          <w:i/>
        </w:rPr>
        <w:t>“</w:t>
      </w:r>
      <w:r w:rsidR="00D9670F" w:rsidRPr="00A143CE">
        <w:rPr>
          <w:rFonts w:ascii="Arial" w:hAnsi="Arial" w:cs="Arial"/>
          <w:i/>
        </w:rPr>
        <w:t xml:space="preserve">En los análisis a las conversaciones reportadas por los diferentes abonados, se evidenció la existencia de una banda delincuencial dedicada a diferentes actividades ilícitas como el Hurto, </w:t>
      </w:r>
      <w:r w:rsidR="00C35C7F" w:rsidRPr="00A143CE">
        <w:rPr>
          <w:rFonts w:ascii="Arial" w:hAnsi="Arial" w:cs="Arial"/>
          <w:i/>
        </w:rPr>
        <w:t xml:space="preserve">Estafa, Suplantación de autoridad, entre otros, hipótesis que surge a través de las comunicaciones entre los usuarios ya mencionados entre las cuales programan actividades a desarrollar utilizando términos clave, pero aun </w:t>
      </w:r>
      <w:r w:rsidR="00C35C7F" w:rsidRPr="00A143CE">
        <w:rPr>
          <w:rFonts w:ascii="Arial" w:hAnsi="Arial" w:cs="Arial"/>
          <w:i/>
        </w:rPr>
        <w:lastRenderedPageBreak/>
        <w:t xml:space="preserve">así y teniendo en cuenta la secuencia de los diálogos se puede concluir que se refieren a actos delictivos. </w:t>
      </w:r>
    </w:p>
    <w:p w:rsidR="00D9670F" w:rsidRPr="00A143CE" w:rsidRDefault="00D9670F" w:rsidP="005F115F">
      <w:pPr>
        <w:pStyle w:val="Prrafodelista"/>
        <w:spacing w:line="276" w:lineRule="auto"/>
        <w:ind w:left="567" w:right="617"/>
        <w:jc w:val="both"/>
        <w:rPr>
          <w:rFonts w:ascii="Arial" w:hAnsi="Arial" w:cs="Arial"/>
          <w:i/>
        </w:rPr>
      </w:pPr>
    </w:p>
    <w:p w:rsidR="00C35C7F" w:rsidRPr="00A143CE" w:rsidRDefault="00C35C7F" w:rsidP="005F115F">
      <w:pPr>
        <w:pStyle w:val="Prrafodelista"/>
        <w:spacing w:line="276" w:lineRule="auto"/>
        <w:ind w:left="567" w:right="617"/>
        <w:jc w:val="both"/>
        <w:rPr>
          <w:rFonts w:ascii="Arial" w:hAnsi="Arial" w:cs="Arial"/>
          <w:i/>
        </w:rPr>
      </w:pPr>
      <w:r w:rsidRPr="00A143CE">
        <w:rPr>
          <w:rFonts w:ascii="Arial" w:hAnsi="Arial" w:cs="Arial"/>
          <w:i/>
        </w:rPr>
        <w:t xml:space="preserve">(…) </w:t>
      </w:r>
    </w:p>
    <w:p w:rsidR="00C35C7F" w:rsidRPr="00A143CE" w:rsidRDefault="00C35C7F" w:rsidP="005F115F">
      <w:pPr>
        <w:pStyle w:val="Prrafodelista"/>
        <w:spacing w:line="276" w:lineRule="auto"/>
        <w:ind w:left="567" w:right="617"/>
        <w:jc w:val="both"/>
        <w:rPr>
          <w:rFonts w:ascii="Arial" w:hAnsi="Arial" w:cs="Arial"/>
          <w:i/>
        </w:rPr>
      </w:pPr>
    </w:p>
    <w:p w:rsidR="002C0E04" w:rsidRPr="00A143CE" w:rsidRDefault="002C0E04" w:rsidP="005F115F">
      <w:pPr>
        <w:pStyle w:val="Prrafodelista"/>
        <w:spacing w:line="276" w:lineRule="auto"/>
        <w:ind w:left="567" w:right="617"/>
        <w:jc w:val="both"/>
        <w:rPr>
          <w:rFonts w:ascii="Arial" w:hAnsi="Arial" w:cs="Arial"/>
          <w:i/>
        </w:rPr>
      </w:pPr>
      <w:r w:rsidRPr="00A143CE">
        <w:rPr>
          <w:rFonts w:ascii="Arial" w:hAnsi="Arial" w:cs="Arial"/>
          <w:i/>
        </w:rPr>
        <w:t xml:space="preserve">Es un hecho evidente y así lo demuestran las pruebas, que (…) y </w:t>
      </w:r>
      <w:r w:rsidRPr="00A143CE">
        <w:rPr>
          <w:rFonts w:ascii="Arial" w:hAnsi="Arial" w:cs="Arial"/>
          <w:b/>
          <w:i/>
        </w:rPr>
        <w:t>CARLOS ENRIQUE TRUJILLO OCAMPO</w:t>
      </w:r>
      <w:r w:rsidRPr="00A143CE">
        <w:rPr>
          <w:rFonts w:ascii="Arial" w:hAnsi="Arial" w:cs="Arial"/>
          <w:i/>
        </w:rPr>
        <w:t>, entre otros tienen conformada una bien organizada banda dedicadas al HURTO, FALSEDAD, SUPLANTACIÓN DE AUTORIDAD y otros.</w:t>
      </w:r>
    </w:p>
    <w:p w:rsidR="002C0E04" w:rsidRPr="00A143CE" w:rsidRDefault="002C0E04" w:rsidP="005F115F">
      <w:pPr>
        <w:pStyle w:val="Prrafodelista"/>
        <w:spacing w:line="276" w:lineRule="auto"/>
        <w:ind w:left="567" w:right="617"/>
        <w:jc w:val="both"/>
        <w:rPr>
          <w:rFonts w:ascii="Arial" w:hAnsi="Arial" w:cs="Arial"/>
          <w:i/>
        </w:rPr>
      </w:pPr>
    </w:p>
    <w:p w:rsidR="002C0E04" w:rsidRPr="00A143CE" w:rsidRDefault="002C0E04" w:rsidP="005F115F">
      <w:pPr>
        <w:pStyle w:val="Prrafodelista"/>
        <w:spacing w:line="276" w:lineRule="auto"/>
        <w:ind w:left="567" w:right="617"/>
        <w:jc w:val="both"/>
        <w:rPr>
          <w:rFonts w:ascii="Arial" w:hAnsi="Arial" w:cs="Arial"/>
          <w:i/>
        </w:rPr>
      </w:pPr>
      <w:r w:rsidRPr="00A143CE">
        <w:rPr>
          <w:rFonts w:ascii="Arial" w:hAnsi="Arial" w:cs="Arial"/>
          <w:i/>
        </w:rPr>
        <w:t>Dentro de las actividades delictivas desarrolladas por estos se han establecido las siguientes:</w:t>
      </w:r>
    </w:p>
    <w:p w:rsidR="005F115F" w:rsidRPr="00A143CE" w:rsidRDefault="005F115F" w:rsidP="005F115F">
      <w:pPr>
        <w:pStyle w:val="Prrafodelista"/>
        <w:spacing w:line="276" w:lineRule="auto"/>
        <w:ind w:left="567" w:right="617"/>
        <w:jc w:val="both"/>
        <w:rPr>
          <w:rFonts w:ascii="Arial" w:hAnsi="Arial" w:cs="Arial"/>
          <w:i/>
        </w:rPr>
      </w:pPr>
    </w:p>
    <w:p w:rsidR="002C0E04" w:rsidRPr="00A143CE" w:rsidRDefault="002C0E04" w:rsidP="005F115F">
      <w:pPr>
        <w:pStyle w:val="Prrafodelista"/>
        <w:spacing w:line="276" w:lineRule="auto"/>
        <w:ind w:left="567" w:right="617"/>
        <w:jc w:val="both"/>
        <w:rPr>
          <w:rFonts w:ascii="Arial" w:hAnsi="Arial" w:cs="Arial"/>
          <w:i/>
        </w:rPr>
      </w:pPr>
      <w:r w:rsidRPr="00A143CE">
        <w:rPr>
          <w:rFonts w:ascii="Arial" w:hAnsi="Arial" w:cs="Arial"/>
          <w:i/>
        </w:rPr>
        <w:t>El Hurto Perpetrado el cuatro (4) de diciembre de</w:t>
      </w:r>
      <w:r w:rsidR="00D9670F" w:rsidRPr="00A143CE">
        <w:rPr>
          <w:rFonts w:ascii="Arial" w:hAnsi="Arial" w:cs="Arial"/>
          <w:i/>
        </w:rPr>
        <w:t xml:space="preserve"> </w:t>
      </w:r>
      <w:r w:rsidRPr="00A143CE">
        <w:rPr>
          <w:rFonts w:ascii="Arial" w:hAnsi="Arial" w:cs="Arial"/>
          <w:i/>
        </w:rPr>
        <w:t xml:space="preserve">1.999 en jurisdicción del Municipio del espinal, en el que un grupo de personas aproximadamente doce, </w:t>
      </w:r>
      <w:r w:rsidR="00E8564A" w:rsidRPr="00A143CE">
        <w:rPr>
          <w:rFonts w:ascii="Arial" w:hAnsi="Arial" w:cs="Arial"/>
          <w:i/>
        </w:rPr>
        <w:t>encapuchados con armas de fuego, se apoderaron de las volquetas de placas CTM-141 CHEVROLET NOKIA ROJAS y SSM-117 conducidas por</w:t>
      </w:r>
      <w:r w:rsidR="00C35C7F" w:rsidRPr="00A143CE">
        <w:rPr>
          <w:rFonts w:ascii="Arial" w:hAnsi="Arial" w:cs="Arial"/>
          <w:i/>
        </w:rPr>
        <w:t xml:space="preserve"> (…)</w:t>
      </w:r>
      <w:r w:rsidR="00E8564A" w:rsidRPr="00A143CE">
        <w:rPr>
          <w:rFonts w:ascii="Arial" w:hAnsi="Arial" w:cs="Arial"/>
          <w:i/>
        </w:rPr>
        <w:t>, y después de reducir a la impotencia a sus conductores procedieron a dejarlos abandonados y bajo vigilancia de cuatro de los facinerosos mientras el grupo restante desapareció con los automotores. Las fotocopias de esas denuncias aparecen a folios 252 y 253.</w:t>
      </w:r>
    </w:p>
    <w:p w:rsidR="00E8564A" w:rsidRPr="00A143CE" w:rsidRDefault="00E8564A" w:rsidP="005F115F">
      <w:pPr>
        <w:pStyle w:val="Prrafodelista"/>
        <w:spacing w:line="276" w:lineRule="auto"/>
        <w:ind w:left="567" w:right="617"/>
        <w:jc w:val="both"/>
        <w:rPr>
          <w:rFonts w:ascii="Arial" w:hAnsi="Arial" w:cs="Arial"/>
          <w:i/>
        </w:rPr>
      </w:pPr>
    </w:p>
    <w:p w:rsidR="00C35C7F" w:rsidRPr="00A143CE" w:rsidRDefault="00E8564A" w:rsidP="00C35C7F">
      <w:pPr>
        <w:pStyle w:val="Prrafodelista"/>
        <w:spacing w:line="276" w:lineRule="auto"/>
        <w:ind w:left="567" w:right="617"/>
        <w:jc w:val="both"/>
        <w:rPr>
          <w:rFonts w:ascii="Arial" w:hAnsi="Arial" w:cs="Arial"/>
          <w:i/>
        </w:rPr>
      </w:pPr>
      <w:r w:rsidRPr="00A143CE">
        <w:rPr>
          <w:rFonts w:ascii="Arial" w:hAnsi="Arial" w:cs="Arial"/>
          <w:i/>
        </w:rPr>
        <w:t xml:space="preserve">Sobre estos hechos, es claro señalar el implicado </w:t>
      </w:r>
      <w:r w:rsidR="00C35C7F" w:rsidRPr="00A143CE">
        <w:rPr>
          <w:rFonts w:ascii="Arial" w:hAnsi="Arial" w:cs="Arial"/>
          <w:i/>
        </w:rPr>
        <w:t xml:space="preserve">(…) </w:t>
      </w:r>
      <w:r w:rsidRPr="00A143CE">
        <w:rPr>
          <w:rFonts w:ascii="Arial" w:hAnsi="Arial" w:cs="Arial"/>
          <w:i/>
        </w:rPr>
        <w:t xml:space="preserve">que quienes estuvieran en la comisión de este </w:t>
      </w:r>
      <w:r w:rsidR="0093706C" w:rsidRPr="00A143CE">
        <w:rPr>
          <w:rFonts w:ascii="Arial" w:hAnsi="Arial" w:cs="Arial"/>
          <w:i/>
        </w:rPr>
        <w:t>ilícito</w:t>
      </w:r>
      <w:r w:rsidRPr="00A143CE">
        <w:rPr>
          <w:rFonts w:ascii="Arial" w:hAnsi="Arial" w:cs="Arial"/>
          <w:i/>
        </w:rPr>
        <w:t xml:space="preserve"> fueron </w:t>
      </w:r>
      <w:r w:rsidRPr="00A143CE">
        <w:rPr>
          <w:rFonts w:ascii="Arial" w:hAnsi="Arial" w:cs="Arial"/>
          <w:b/>
          <w:i/>
        </w:rPr>
        <w:t>CARLOS TRUJILLO</w:t>
      </w:r>
      <w:r w:rsidRPr="00A143CE">
        <w:rPr>
          <w:rFonts w:ascii="Arial" w:hAnsi="Arial" w:cs="Arial"/>
          <w:i/>
        </w:rPr>
        <w:t>, (…)</w:t>
      </w:r>
      <w:r w:rsidR="00C35C7F" w:rsidRPr="00A143CE">
        <w:rPr>
          <w:rFonts w:ascii="Arial" w:hAnsi="Arial" w:cs="Arial"/>
          <w:i/>
        </w:rPr>
        <w:t>.</w:t>
      </w:r>
    </w:p>
    <w:p w:rsidR="00C35C7F" w:rsidRPr="00A143CE" w:rsidRDefault="00C35C7F" w:rsidP="00C35C7F">
      <w:pPr>
        <w:pStyle w:val="Prrafodelista"/>
        <w:spacing w:line="276" w:lineRule="auto"/>
        <w:ind w:left="567" w:right="617"/>
        <w:jc w:val="both"/>
        <w:rPr>
          <w:rFonts w:ascii="Arial" w:hAnsi="Arial" w:cs="Arial"/>
          <w:i/>
        </w:rPr>
      </w:pPr>
    </w:p>
    <w:p w:rsidR="00772741" w:rsidRPr="00A143CE" w:rsidRDefault="000A3B37" w:rsidP="00C35C7F">
      <w:pPr>
        <w:pStyle w:val="Prrafodelista"/>
        <w:spacing w:line="276" w:lineRule="auto"/>
        <w:ind w:left="567" w:right="617"/>
        <w:jc w:val="both"/>
        <w:rPr>
          <w:rFonts w:ascii="Arial" w:hAnsi="Arial" w:cs="Arial"/>
          <w:i/>
        </w:rPr>
      </w:pPr>
      <w:r w:rsidRPr="00A143CE">
        <w:rPr>
          <w:rFonts w:ascii="Arial" w:hAnsi="Arial" w:cs="Arial"/>
          <w:i/>
        </w:rPr>
        <w:t xml:space="preserve">Esta versión coincide en un todo con las denuncias formuladas por los conductores de las volquetas. Agrega que </w:t>
      </w:r>
      <w:r w:rsidRPr="00A143CE">
        <w:rPr>
          <w:rFonts w:ascii="Arial" w:hAnsi="Arial" w:cs="Arial"/>
          <w:b/>
          <w:i/>
        </w:rPr>
        <w:t>CARLOS TRUJILLO</w:t>
      </w:r>
      <w:r w:rsidRPr="00A143CE">
        <w:rPr>
          <w:rFonts w:ascii="Arial" w:hAnsi="Arial" w:cs="Arial"/>
          <w:i/>
        </w:rPr>
        <w:t xml:space="preserve"> y </w:t>
      </w:r>
      <w:r w:rsidR="00C35C7F" w:rsidRPr="00A143CE">
        <w:rPr>
          <w:rFonts w:ascii="Arial" w:hAnsi="Arial" w:cs="Arial"/>
          <w:i/>
        </w:rPr>
        <w:t xml:space="preserve">(…) </w:t>
      </w:r>
      <w:r w:rsidRPr="00A143CE">
        <w:rPr>
          <w:rFonts w:ascii="Arial" w:hAnsi="Arial" w:cs="Arial"/>
          <w:i/>
        </w:rPr>
        <w:t>le cogieron una droga a un tipo y ellos la vendieron y CARLOS apareció con una moto. Confiesa así mismo que CARLOS y el Coronel se fueron para Bogotá para quitarle a un tipo SEISCIENTOS MILLONES DE PESOS y que esos datos se los había dado ALFONSO, (esto se encuentra corroborado con las grabaciones telefónicas)</w:t>
      </w:r>
      <w:r w:rsidR="00772741" w:rsidRPr="00A143CE">
        <w:rPr>
          <w:rFonts w:ascii="Arial" w:hAnsi="Arial" w:cs="Arial"/>
          <w:i/>
        </w:rPr>
        <w:t>.</w:t>
      </w:r>
    </w:p>
    <w:p w:rsidR="00772741" w:rsidRPr="00A143CE" w:rsidRDefault="00772741" w:rsidP="00C35C7F">
      <w:pPr>
        <w:pStyle w:val="Prrafodelista"/>
        <w:spacing w:line="276" w:lineRule="auto"/>
        <w:ind w:left="567" w:right="617"/>
        <w:jc w:val="both"/>
        <w:rPr>
          <w:rFonts w:ascii="Arial" w:hAnsi="Arial" w:cs="Arial"/>
          <w:i/>
        </w:rPr>
      </w:pPr>
    </w:p>
    <w:p w:rsidR="00772741" w:rsidRPr="00A143CE" w:rsidRDefault="00772741" w:rsidP="00C35C7F">
      <w:pPr>
        <w:pStyle w:val="Prrafodelista"/>
        <w:spacing w:line="276" w:lineRule="auto"/>
        <w:ind w:left="567" w:right="617"/>
        <w:jc w:val="both"/>
        <w:rPr>
          <w:rFonts w:ascii="Arial" w:hAnsi="Arial" w:cs="Arial"/>
          <w:i/>
        </w:rPr>
      </w:pPr>
      <w:r w:rsidRPr="00A143CE">
        <w:rPr>
          <w:rFonts w:ascii="Arial" w:hAnsi="Arial" w:cs="Arial"/>
          <w:i/>
        </w:rPr>
        <w:t>En contra de CARLOS ENRIQUE TRUJILLO OCAMPO (…) obra en su contra el hecho perpetuado en contra de (…), empleado del Banco de la República, el hurto de dos volquetas en la ciudad del espinal, el hurto perpetrado el pasado 10 de abril en la Corporación Forestal del Tolima, el hecho que se pretendió realizar el 18  de febrero del corriente año frente a las instalaciones del Palacio de Justicia, a más de los hechos que se pretendieron realizar en uno de los bancos de la ciudad donde se pretendió cobrar un CDT por varios millones pesos.</w:t>
      </w:r>
    </w:p>
    <w:p w:rsidR="00772741" w:rsidRPr="00A143CE" w:rsidRDefault="00772741" w:rsidP="00C35C7F">
      <w:pPr>
        <w:pStyle w:val="Prrafodelista"/>
        <w:spacing w:line="276" w:lineRule="auto"/>
        <w:ind w:left="567" w:right="617"/>
        <w:jc w:val="both"/>
        <w:rPr>
          <w:rFonts w:ascii="Arial" w:hAnsi="Arial" w:cs="Arial"/>
          <w:i/>
        </w:rPr>
      </w:pPr>
    </w:p>
    <w:p w:rsidR="00772741" w:rsidRPr="00A143CE" w:rsidRDefault="00772741" w:rsidP="00C35C7F">
      <w:pPr>
        <w:pStyle w:val="Prrafodelista"/>
        <w:spacing w:line="276" w:lineRule="auto"/>
        <w:ind w:left="567" w:right="617"/>
        <w:jc w:val="both"/>
        <w:rPr>
          <w:rFonts w:ascii="Arial" w:hAnsi="Arial" w:cs="Arial"/>
          <w:i/>
        </w:rPr>
      </w:pPr>
      <w:r w:rsidRPr="00A143CE">
        <w:rPr>
          <w:rFonts w:ascii="Arial" w:hAnsi="Arial" w:cs="Arial"/>
          <w:i/>
        </w:rPr>
        <w:t>(…)</w:t>
      </w:r>
    </w:p>
    <w:p w:rsidR="00772741" w:rsidRPr="00A143CE" w:rsidRDefault="00772741" w:rsidP="00C35C7F">
      <w:pPr>
        <w:pStyle w:val="Prrafodelista"/>
        <w:spacing w:line="276" w:lineRule="auto"/>
        <w:ind w:left="567" w:right="617"/>
        <w:jc w:val="both"/>
        <w:rPr>
          <w:rFonts w:ascii="Arial" w:hAnsi="Arial" w:cs="Arial"/>
          <w:i/>
        </w:rPr>
      </w:pPr>
    </w:p>
    <w:p w:rsidR="00C35C7F" w:rsidRPr="00A143CE" w:rsidRDefault="00772741" w:rsidP="00C35C7F">
      <w:pPr>
        <w:pStyle w:val="Prrafodelista"/>
        <w:spacing w:line="276" w:lineRule="auto"/>
        <w:ind w:left="567" w:right="617"/>
        <w:jc w:val="both"/>
        <w:rPr>
          <w:rFonts w:ascii="Arial" w:hAnsi="Arial" w:cs="Arial"/>
          <w:i/>
        </w:rPr>
      </w:pPr>
      <w:r w:rsidRPr="00A143CE">
        <w:rPr>
          <w:rFonts w:ascii="Arial" w:hAnsi="Arial" w:cs="Arial"/>
          <w:i/>
        </w:rPr>
        <w:t>Como viene de verse las personas antes descritas se asociaron con un fin determinado, esto es</w:t>
      </w:r>
      <w:r w:rsidR="00B84CF3" w:rsidRPr="00A143CE">
        <w:rPr>
          <w:rFonts w:ascii="Arial" w:hAnsi="Arial" w:cs="Arial"/>
          <w:i/>
        </w:rPr>
        <w:t xml:space="preserve"> </w:t>
      </w:r>
      <w:r w:rsidRPr="00A143CE">
        <w:rPr>
          <w:rFonts w:ascii="Arial" w:hAnsi="Arial" w:cs="Arial"/>
          <w:i/>
        </w:rPr>
        <w:t xml:space="preserve">cometer delitos, y para ello se repartían la </w:t>
      </w:r>
      <w:r w:rsidRPr="00A143CE">
        <w:rPr>
          <w:rFonts w:ascii="Arial" w:hAnsi="Arial" w:cs="Arial"/>
          <w:i/>
        </w:rPr>
        <w:lastRenderedPageBreak/>
        <w:t xml:space="preserve">misión de trabajo, unos hacían seguimiento a la víctima, otros ejecutaban la acción, otros participaban en la consecución de la información y documentos y otros ejecutaban el </w:t>
      </w:r>
      <w:r w:rsidR="00DD6B32" w:rsidRPr="00A143CE">
        <w:rPr>
          <w:rFonts w:ascii="Arial" w:hAnsi="Arial" w:cs="Arial"/>
          <w:i/>
        </w:rPr>
        <w:t>hecho</w:t>
      </w:r>
      <w:r w:rsidR="000A3B37" w:rsidRPr="00A143CE">
        <w:rPr>
          <w:rFonts w:ascii="Arial" w:hAnsi="Arial" w:cs="Arial"/>
          <w:i/>
        </w:rPr>
        <w:t>”</w:t>
      </w:r>
      <w:r w:rsidR="00DD6B32" w:rsidRPr="00A143CE">
        <w:rPr>
          <w:rStyle w:val="Refdenotaalpie"/>
          <w:rFonts w:ascii="Arial" w:hAnsi="Arial" w:cs="Arial"/>
          <w:i/>
        </w:rPr>
        <w:t xml:space="preserve"> </w:t>
      </w:r>
      <w:r w:rsidR="00DD6B32" w:rsidRPr="00A143CE">
        <w:rPr>
          <w:rStyle w:val="Refdenotaalpie"/>
          <w:rFonts w:ascii="Arial" w:hAnsi="Arial" w:cs="Arial"/>
        </w:rPr>
        <w:footnoteReference w:id="30"/>
      </w:r>
      <w:r w:rsidR="00D40382" w:rsidRPr="00A143CE">
        <w:rPr>
          <w:rFonts w:ascii="Arial" w:hAnsi="Arial" w:cs="Arial"/>
        </w:rPr>
        <w:t>(destacado del original).</w:t>
      </w:r>
    </w:p>
    <w:p w:rsidR="00C35C7F" w:rsidRPr="00A143CE" w:rsidRDefault="00C35C7F" w:rsidP="00C35C7F">
      <w:pPr>
        <w:pStyle w:val="Prrafodelista"/>
        <w:spacing w:line="276" w:lineRule="auto"/>
        <w:ind w:left="567" w:right="617"/>
        <w:jc w:val="both"/>
        <w:rPr>
          <w:rFonts w:ascii="Arial" w:hAnsi="Arial" w:cs="Arial"/>
          <w:i/>
        </w:rPr>
      </w:pPr>
    </w:p>
    <w:p w:rsidR="00CF5B0B" w:rsidRPr="00A143CE" w:rsidRDefault="00CF5B0B" w:rsidP="005F115F">
      <w:pPr>
        <w:pStyle w:val="Prrafodelista"/>
        <w:tabs>
          <w:tab w:val="left" w:pos="0"/>
        </w:tabs>
        <w:spacing w:line="276" w:lineRule="auto"/>
        <w:ind w:left="0"/>
        <w:jc w:val="both"/>
        <w:rPr>
          <w:rFonts w:ascii="Arial" w:hAnsi="Arial" w:cs="Arial"/>
        </w:rPr>
      </w:pPr>
    </w:p>
    <w:p w:rsidR="005443C9" w:rsidRPr="00A143CE" w:rsidRDefault="0000536B" w:rsidP="007B06F9">
      <w:pPr>
        <w:pStyle w:val="Prrafodelista"/>
        <w:tabs>
          <w:tab w:val="left" w:pos="0"/>
        </w:tabs>
        <w:spacing w:line="360" w:lineRule="auto"/>
        <w:ind w:left="0"/>
        <w:jc w:val="both"/>
        <w:rPr>
          <w:rFonts w:ascii="Arial" w:hAnsi="Arial" w:cs="Arial"/>
        </w:rPr>
      </w:pPr>
      <w:r w:rsidRPr="00A143CE">
        <w:rPr>
          <w:rFonts w:ascii="Arial" w:hAnsi="Arial" w:cs="Arial"/>
        </w:rPr>
        <w:t>- Que</w:t>
      </w:r>
      <w:r w:rsidR="00E24ADE" w:rsidRPr="00A143CE">
        <w:rPr>
          <w:rFonts w:ascii="Arial" w:hAnsi="Arial" w:cs="Arial"/>
        </w:rPr>
        <w:t xml:space="preserve"> e</w:t>
      </w:r>
      <w:r w:rsidR="00A373B0" w:rsidRPr="00A143CE">
        <w:rPr>
          <w:rFonts w:ascii="Arial" w:hAnsi="Arial" w:cs="Arial"/>
        </w:rPr>
        <w:t>l 10 de</w:t>
      </w:r>
      <w:r w:rsidR="001F081E" w:rsidRPr="00A143CE">
        <w:rPr>
          <w:rFonts w:ascii="Arial" w:hAnsi="Arial" w:cs="Arial"/>
        </w:rPr>
        <w:t xml:space="preserve"> mayo de 2000</w:t>
      </w:r>
      <w:r w:rsidR="0093706C" w:rsidRPr="00A143CE">
        <w:rPr>
          <w:rFonts w:ascii="Arial" w:hAnsi="Arial" w:cs="Arial"/>
        </w:rPr>
        <w:t xml:space="preserve"> la Fiscalía Doce -</w:t>
      </w:r>
      <w:r w:rsidR="00A373B0" w:rsidRPr="00A143CE">
        <w:rPr>
          <w:rFonts w:ascii="Arial" w:hAnsi="Arial" w:cs="Arial"/>
        </w:rPr>
        <w:t xml:space="preserve"> Unidad Primera de Patrimonio Económico</w:t>
      </w:r>
      <w:r w:rsidR="0093706C" w:rsidRPr="00A143CE">
        <w:rPr>
          <w:rFonts w:ascii="Arial" w:hAnsi="Arial" w:cs="Arial"/>
        </w:rPr>
        <w:t xml:space="preserve"> de Ibagué</w:t>
      </w:r>
      <w:r w:rsidR="00A373B0" w:rsidRPr="00A143CE">
        <w:rPr>
          <w:rFonts w:ascii="Arial" w:hAnsi="Arial" w:cs="Arial"/>
        </w:rPr>
        <w:t xml:space="preserve"> estudió la petición formulada por el defensor del señor Carlos Enr</w:t>
      </w:r>
      <w:r w:rsidR="001F081E" w:rsidRPr="00A143CE">
        <w:rPr>
          <w:rFonts w:ascii="Arial" w:hAnsi="Arial" w:cs="Arial"/>
        </w:rPr>
        <w:t>ique Trujillo Ocampo, en punto de</w:t>
      </w:r>
      <w:r w:rsidR="00A373B0" w:rsidRPr="00A143CE">
        <w:rPr>
          <w:rFonts w:ascii="Arial" w:hAnsi="Arial" w:cs="Arial"/>
        </w:rPr>
        <w:t xml:space="preserve"> sustituir la detención preventiva por la detención domiciliaria, la cual se negó en razón a que </w:t>
      </w:r>
      <w:r w:rsidR="0093706C" w:rsidRPr="00A143CE">
        <w:rPr>
          <w:rFonts w:ascii="Arial" w:hAnsi="Arial" w:cs="Arial"/>
        </w:rPr>
        <w:t>en ese momento</w:t>
      </w:r>
      <w:r w:rsidR="00A373B0" w:rsidRPr="00A143CE">
        <w:rPr>
          <w:rFonts w:ascii="Arial" w:hAnsi="Arial" w:cs="Arial"/>
        </w:rPr>
        <w:t xml:space="preserve"> no</w:t>
      </w:r>
      <w:r w:rsidR="00085F3A" w:rsidRPr="00A143CE">
        <w:rPr>
          <w:rFonts w:ascii="Arial" w:hAnsi="Arial" w:cs="Arial"/>
        </w:rPr>
        <w:t xml:space="preserve"> se cumplían los requisitos para acceder a tal beneficio</w:t>
      </w:r>
      <w:r w:rsidR="00085F3A" w:rsidRPr="00A143CE">
        <w:rPr>
          <w:rStyle w:val="Refdenotaalpie"/>
          <w:rFonts w:ascii="Arial" w:hAnsi="Arial" w:cs="Arial"/>
        </w:rPr>
        <w:footnoteReference w:id="31"/>
      </w:r>
      <w:r w:rsidR="00904A4E" w:rsidRPr="00A143CE">
        <w:rPr>
          <w:rFonts w:ascii="Arial" w:hAnsi="Arial" w:cs="Arial"/>
        </w:rPr>
        <w:t>.</w:t>
      </w:r>
    </w:p>
    <w:p w:rsidR="00F615E4" w:rsidRPr="00A143CE" w:rsidRDefault="00F615E4" w:rsidP="007B06F9">
      <w:pPr>
        <w:pStyle w:val="Prrafodelista"/>
        <w:tabs>
          <w:tab w:val="left" w:pos="0"/>
        </w:tabs>
        <w:spacing w:line="360" w:lineRule="auto"/>
        <w:ind w:left="0"/>
        <w:jc w:val="both"/>
        <w:rPr>
          <w:rFonts w:ascii="Arial" w:hAnsi="Arial" w:cs="Arial"/>
        </w:rPr>
      </w:pPr>
    </w:p>
    <w:p w:rsidR="00F615E4" w:rsidRPr="00A143CE" w:rsidRDefault="0000536B" w:rsidP="007B06F9">
      <w:pPr>
        <w:pStyle w:val="Prrafodelista"/>
        <w:tabs>
          <w:tab w:val="left" w:pos="0"/>
        </w:tabs>
        <w:spacing w:line="360" w:lineRule="auto"/>
        <w:ind w:left="0"/>
        <w:jc w:val="both"/>
        <w:rPr>
          <w:rFonts w:ascii="Arial" w:hAnsi="Arial" w:cs="Arial"/>
        </w:rPr>
      </w:pPr>
      <w:r w:rsidRPr="00A143CE">
        <w:rPr>
          <w:rFonts w:ascii="Arial" w:hAnsi="Arial" w:cs="Arial"/>
        </w:rPr>
        <w:t>- Que</w:t>
      </w:r>
      <w:r w:rsidR="00E24ADE" w:rsidRPr="00A143CE">
        <w:rPr>
          <w:rFonts w:ascii="Arial" w:hAnsi="Arial" w:cs="Arial"/>
        </w:rPr>
        <w:t xml:space="preserve"> l</w:t>
      </w:r>
      <w:r w:rsidR="00F615E4" w:rsidRPr="00A143CE">
        <w:rPr>
          <w:rFonts w:ascii="Arial" w:hAnsi="Arial" w:cs="Arial"/>
        </w:rPr>
        <w:t xml:space="preserve">a </w:t>
      </w:r>
      <w:r w:rsidR="0093706C" w:rsidRPr="00A143CE">
        <w:rPr>
          <w:rFonts w:ascii="Arial" w:hAnsi="Arial" w:cs="Arial"/>
        </w:rPr>
        <w:t>referida Fiscalía Doce</w:t>
      </w:r>
      <w:r w:rsidR="001F081E" w:rsidRPr="00A143CE">
        <w:rPr>
          <w:rFonts w:ascii="Arial" w:hAnsi="Arial" w:cs="Arial"/>
        </w:rPr>
        <w:t>,</w:t>
      </w:r>
      <w:r w:rsidR="00F615E4" w:rsidRPr="00A143CE">
        <w:rPr>
          <w:rFonts w:ascii="Arial" w:hAnsi="Arial" w:cs="Arial"/>
        </w:rPr>
        <w:t xml:space="preserve"> mediante providencia de </w:t>
      </w:r>
      <w:r w:rsidR="0093706C" w:rsidRPr="00A143CE">
        <w:rPr>
          <w:rFonts w:ascii="Arial" w:hAnsi="Arial" w:cs="Arial"/>
        </w:rPr>
        <w:t>6 de octubre de 2000, profirió resolución de a</w:t>
      </w:r>
      <w:r w:rsidR="00F615E4" w:rsidRPr="00A143CE">
        <w:rPr>
          <w:rFonts w:ascii="Arial" w:hAnsi="Arial" w:cs="Arial"/>
        </w:rPr>
        <w:t>cusación en contra del señor Carlos Enrique Trujillo Ocampo como autor de los punibles de concierto para delinquir, extorsión en la modalidad de tentativa y porte ilegal de armas de defensa personal</w:t>
      </w:r>
      <w:r w:rsidR="00F615E4" w:rsidRPr="00A143CE">
        <w:rPr>
          <w:rStyle w:val="Refdenotaalpie"/>
          <w:rFonts w:ascii="Arial" w:hAnsi="Arial" w:cs="Arial"/>
        </w:rPr>
        <w:footnoteReference w:id="32"/>
      </w:r>
      <w:r w:rsidR="00F615E4" w:rsidRPr="00A143CE">
        <w:rPr>
          <w:rFonts w:ascii="Arial" w:hAnsi="Arial" w:cs="Arial"/>
        </w:rPr>
        <w:t>.</w:t>
      </w:r>
    </w:p>
    <w:p w:rsidR="00035889" w:rsidRPr="00A143CE" w:rsidRDefault="00035889" w:rsidP="007B06F9">
      <w:pPr>
        <w:pStyle w:val="Prrafodelista"/>
        <w:tabs>
          <w:tab w:val="left" w:pos="0"/>
        </w:tabs>
        <w:spacing w:line="360" w:lineRule="auto"/>
        <w:ind w:left="0"/>
        <w:jc w:val="both"/>
        <w:rPr>
          <w:rFonts w:ascii="Arial" w:hAnsi="Arial" w:cs="Arial"/>
        </w:rPr>
      </w:pPr>
    </w:p>
    <w:p w:rsidR="00904A4E" w:rsidRPr="00A143CE" w:rsidRDefault="0000536B" w:rsidP="007B06F9">
      <w:pPr>
        <w:pStyle w:val="Prrafodelista"/>
        <w:tabs>
          <w:tab w:val="left" w:pos="0"/>
        </w:tabs>
        <w:spacing w:line="360" w:lineRule="auto"/>
        <w:ind w:left="0"/>
        <w:jc w:val="both"/>
        <w:rPr>
          <w:rFonts w:ascii="Arial" w:hAnsi="Arial" w:cs="Arial"/>
        </w:rPr>
      </w:pPr>
      <w:r w:rsidRPr="00A143CE">
        <w:rPr>
          <w:rFonts w:ascii="Arial" w:hAnsi="Arial" w:cs="Arial"/>
        </w:rPr>
        <w:t>- Que</w:t>
      </w:r>
      <w:r w:rsidR="00E24ADE" w:rsidRPr="00A143CE">
        <w:rPr>
          <w:rFonts w:ascii="Arial" w:hAnsi="Arial" w:cs="Arial"/>
        </w:rPr>
        <w:t xml:space="preserve"> el</w:t>
      </w:r>
      <w:r w:rsidR="00891941" w:rsidRPr="00A143CE">
        <w:rPr>
          <w:rFonts w:ascii="Arial" w:hAnsi="Arial" w:cs="Arial"/>
        </w:rPr>
        <w:t xml:space="preserve"> Juzgado Quin</w:t>
      </w:r>
      <w:r w:rsidR="0093706C" w:rsidRPr="00A143CE">
        <w:rPr>
          <w:rFonts w:ascii="Arial" w:hAnsi="Arial" w:cs="Arial"/>
        </w:rPr>
        <w:t>to Penal del Circuito de Ibagué</w:t>
      </w:r>
      <w:r w:rsidR="001F081E" w:rsidRPr="00A143CE">
        <w:rPr>
          <w:rFonts w:ascii="Arial" w:hAnsi="Arial" w:cs="Arial"/>
        </w:rPr>
        <w:t>,</w:t>
      </w:r>
      <w:r w:rsidR="00891941" w:rsidRPr="00A143CE">
        <w:rPr>
          <w:rFonts w:ascii="Arial" w:hAnsi="Arial" w:cs="Arial"/>
        </w:rPr>
        <w:t xml:space="preserve"> en auto de 7 de mayo de 2001, negó la petición de libertad provisional elevada por el defensor del señor Carlos Enrique Trujillo Ocampo</w:t>
      </w:r>
      <w:r w:rsidR="00891941" w:rsidRPr="00A143CE">
        <w:rPr>
          <w:rStyle w:val="Refdenotaalpie"/>
          <w:rFonts w:ascii="Arial" w:hAnsi="Arial" w:cs="Arial"/>
        </w:rPr>
        <w:footnoteReference w:id="33"/>
      </w:r>
      <w:r w:rsidR="00891941" w:rsidRPr="00A143CE">
        <w:rPr>
          <w:rFonts w:ascii="Arial" w:hAnsi="Arial" w:cs="Arial"/>
        </w:rPr>
        <w:t>, decisión que fue recurrida</w:t>
      </w:r>
      <w:r w:rsidR="001F081E" w:rsidRPr="00A143CE">
        <w:rPr>
          <w:rFonts w:ascii="Arial" w:hAnsi="Arial" w:cs="Arial"/>
        </w:rPr>
        <w:t xml:space="preserve"> por e</w:t>
      </w:r>
      <w:r w:rsidR="00947517" w:rsidRPr="00A143CE">
        <w:rPr>
          <w:rFonts w:ascii="Arial" w:hAnsi="Arial" w:cs="Arial"/>
        </w:rPr>
        <w:t>ste</w:t>
      </w:r>
      <w:r w:rsidR="00891941" w:rsidRPr="00A143CE">
        <w:rPr>
          <w:rStyle w:val="Refdenotaalpie"/>
          <w:rFonts w:ascii="Arial" w:hAnsi="Arial" w:cs="Arial"/>
        </w:rPr>
        <w:footnoteReference w:id="34"/>
      </w:r>
      <w:r w:rsidR="001F081E" w:rsidRPr="00A143CE">
        <w:rPr>
          <w:rFonts w:ascii="Arial" w:hAnsi="Arial" w:cs="Arial"/>
        </w:rPr>
        <w:t xml:space="preserve"> y, como</w:t>
      </w:r>
      <w:r w:rsidR="00947517" w:rsidRPr="00A143CE">
        <w:rPr>
          <w:rFonts w:ascii="Arial" w:hAnsi="Arial" w:cs="Arial"/>
        </w:rPr>
        <w:t xml:space="preserve"> consecuencia, el referido Juzgado</w:t>
      </w:r>
      <w:r w:rsidR="001F081E" w:rsidRPr="00A143CE">
        <w:rPr>
          <w:rFonts w:ascii="Arial" w:hAnsi="Arial" w:cs="Arial"/>
        </w:rPr>
        <w:t>,</w:t>
      </w:r>
      <w:r w:rsidR="00B337BD" w:rsidRPr="00A143CE">
        <w:rPr>
          <w:rFonts w:ascii="Arial" w:hAnsi="Arial" w:cs="Arial"/>
        </w:rPr>
        <w:t xml:space="preserve"> </w:t>
      </w:r>
      <w:r w:rsidR="00947517" w:rsidRPr="00A143CE">
        <w:rPr>
          <w:rFonts w:ascii="Arial" w:hAnsi="Arial" w:cs="Arial"/>
        </w:rPr>
        <w:t>mediante providencia</w:t>
      </w:r>
      <w:r w:rsidR="00B337BD" w:rsidRPr="00A143CE">
        <w:rPr>
          <w:rFonts w:ascii="Arial" w:hAnsi="Arial" w:cs="Arial"/>
        </w:rPr>
        <w:t xml:space="preserve"> de 22 de mayo de 2001</w:t>
      </w:r>
      <w:r w:rsidR="001F081E" w:rsidRPr="00A143CE">
        <w:rPr>
          <w:rFonts w:ascii="Arial" w:hAnsi="Arial" w:cs="Arial"/>
        </w:rPr>
        <w:t>,</w:t>
      </w:r>
      <w:r w:rsidR="00B337BD" w:rsidRPr="00A143CE">
        <w:rPr>
          <w:rFonts w:ascii="Arial" w:hAnsi="Arial" w:cs="Arial"/>
        </w:rPr>
        <w:t xml:space="preserve"> resolvió conceder la libertad provisional al señor Carlos Enrique Trujillo Ocampo</w:t>
      </w:r>
      <w:r w:rsidR="001F081E" w:rsidRPr="00A143CE">
        <w:rPr>
          <w:rFonts w:ascii="Arial" w:hAnsi="Arial" w:cs="Arial"/>
        </w:rPr>
        <w:t>,</w:t>
      </w:r>
      <w:r w:rsidR="00B337BD" w:rsidRPr="00A143CE">
        <w:rPr>
          <w:rFonts w:ascii="Arial" w:hAnsi="Arial" w:cs="Arial"/>
        </w:rPr>
        <w:t xml:space="preserve"> previa caución prendaria</w:t>
      </w:r>
      <w:r w:rsidR="00B337BD" w:rsidRPr="00A143CE">
        <w:rPr>
          <w:rStyle w:val="Refdenotaalpie"/>
          <w:rFonts w:ascii="Arial" w:hAnsi="Arial" w:cs="Arial"/>
        </w:rPr>
        <w:footnoteReference w:id="35"/>
      </w:r>
      <w:r w:rsidR="00891941" w:rsidRPr="00A143CE">
        <w:rPr>
          <w:rFonts w:ascii="Arial" w:hAnsi="Arial" w:cs="Arial"/>
        </w:rPr>
        <w:t>.</w:t>
      </w:r>
    </w:p>
    <w:p w:rsidR="00B337BD" w:rsidRPr="00A143CE" w:rsidRDefault="00B337BD" w:rsidP="007B06F9">
      <w:pPr>
        <w:pStyle w:val="Prrafodelista"/>
        <w:tabs>
          <w:tab w:val="left" w:pos="0"/>
        </w:tabs>
        <w:spacing w:line="360" w:lineRule="auto"/>
        <w:ind w:left="0"/>
        <w:jc w:val="both"/>
        <w:rPr>
          <w:rFonts w:ascii="Arial" w:hAnsi="Arial" w:cs="Arial"/>
        </w:rPr>
      </w:pPr>
    </w:p>
    <w:p w:rsidR="00841EE5" w:rsidRPr="00A143CE" w:rsidRDefault="0093706C" w:rsidP="007B06F9">
      <w:pPr>
        <w:pStyle w:val="Prrafodelista"/>
        <w:tabs>
          <w:tab w:val="left" w:pos="0"/>
        </w:tabs>
        <w:spacing w:line="360" w:lineRule="auto"/>
        <w:ind w:left="0"/>
        <w:jc w:val="both"/>
        <w:rPr>
          <w:rFonts w:ascii="Arial" w:hAnsi="Arial" w:cs="Arial"/>
        </w:rPr>
      </w:pPr>
      <w:r w:rsidRPr="00A143CE">
        <w:rPr>
          <w:rFonts w:ascii="Arial" w:hAnsi="Arial" w:cs="Arial"/>
        </w:rPr>
        <w:t>- Que</w:t>
      </w:r>
      <w:r w:rsidR="00E24ADE" w:rsidRPr="00A143CE">
        <w:rPr>
          <w:rFonts w:ascii="Arial" w:hAnsi="Arial" w:cs="Arial"/>
        </w:rPr>
        <w:t xml:space="preserve"> e</w:t>
      </w:r>
      <w:r w:rsidR="00841EE5" w:rsidRPr="00A143CE">
        <w:rPr>
          <w:rFonts w:ascii="Arial" w:hAnsi="Arial" w:cs="Arial"/>
        </w:rPr>
        <w:t xml:space="preserve">l </w:t>
      </w:r>
      <w:r w:rsidR="005443C9" w:rsidRPr="00A143CE">
        <w:rPr>
          <w:rFonts w:ascii="Arial" w:hAnsi="Arial" w:cs="Arial"/>
        </w:rPr>
        <w:t>23 de mayo de 200</w:t>
      </w:r>
      <w:r w:rsidR="00E24ADE" w:rsidRPr="00A143CE">
        <w:rPr>
          <w:rFonts w:ascii="Arial" w:hAnsi="Arial" w:cs="Arial"/>
        </w:rPr>
        <w:t>1</w:t>
      </w:r>
      <w:r w:rsidR="00841EE5" w:rsidRPr="00A143CE">
        <w:rPr>
          <w:rFonts w:ascii="Arial" w:hAnsi="Arial" w:cs="Arial"/>
        </w:rPr>
        <w:t xml:space="preserve"> el Juzgado Quinto Pe</w:t>
      </w:r>
      <w:r w:rsidRPr="00A143CE">
        <w:rPr>
          <w:rFonts w:ascii="Arial" w:hAnsi="Arial" w:cs="Arial"/>
        </w:rPr>
        <w:t>nal del Circuito de Ibagué llevó</w:t>
      </w:r>
      <w:r w:rsidR="00841EE5" w:rsidRPr="00A143CE">
        <w:rPr>
          <w:rFonts w:ascii="Arial" w:hAnsi="Arial" w:cs="Arial"/>
        </w:rPr>
        <w:t xml:space="preserve"> a cabo diligencia de </w:t>
      </w:r>
      <w:r w:rsidR="00841EE5" w:rsidRPr="00A143CE">
        <w:rPr>
          <w:rFonts w:ascii="Arial" w:hAnsi="Arial" w:cs="Arial"/>
          <w:i/>
        </w:rPr>
        <w:t>“caución prendaria y compromiso”</w:t>
      </w:r>
      <w:r w:rsidR="00841EE5" w:rsidRPr="00A143CE">
        <w:rPr>
          <w:rFonts w:ascii="Arial" w:hAnsi="Arial" w:cs="Arial"/>
        </w:rPr>
        <w:t xml:space="preserve">, en la que el señor Carlos Enrique Trujillo Ocampo </w:t>
      </w:r>
      <w:r w:rsidRPr="00A143CE">
        <w:rPr>
          <w:rFonts w:ascii="Arial" w:hAnsi="Arial" w:cs="Arial"/>
        </w:rPr>
        <w:t>presentó recibo de consignación</w:t>
      </w:r>
      <w:r w:rsidR="00947517" w:rsidRPr="00A143CE">
        <w:rPr>
          <w:rFonts w:ascii="Arial" w:hAnsi="Arial" w:cs="Arial"/>
        </w:rPr>
        <w:t xml:space="preserve"> demostrando así que se había pagado la respectiva caución, por lo que procedió a </w:t>
      </w:r>
      <w:r w:rsidR="00841EE5" w:rsidRPr="00A143CE">
        <w:rPr>
          <w:rFonts w:ascii="Arial" w:hAnsi="Arial" w:cs="Arial"/>
        </w:rPr>
        <w:t>suscribi</w:t>
      </w:r>
      <w:r w:rsidR="00947517" w:rsidRPr="00A143CE">
        <w:rPr>
          <w:rFonts w:ascii="Arial" w:hAnsi="Arial" w:cs="Arial"/>
        </w:rPr>
        <w:t>r</w:t>
      </w:r>
      <w:r w:rsidR="00841EE5" w:rsidRPr="00A143CE">
        <w:rPr>
          <w:rFonts w:ascii="Arial" w:hAnsi="Arial" w:cs="Arial"/>
        </w:rPr>
        <w:t xml:space="preserve"> acta de compromiso con el fin de disfrutar del beneficio de libertad provisional concedida mediante providencia de 22 mayo de 2001</w:t>
      </w:r>
      <w:r w:rsidR="00841EE5" w:rsidRPr="00A143CE">
        <w:rPr>
          <w:rStyle w:val="Refdenotaalpie"/>
          <w:rFonts w:ascii="Arial" w:hAnsi="Arial" w:cs="Arial"/>
        </w:rPr>
        <w:footnoteReference w:id="36"/>
      </w:r>
      <w:r w:rsidR="005443C9" w:rsidRPr="00A143CE">
        <w:rPr>
          <w:rFonts w:ascii="Arial" w:hAnsi="Arial" w:cs="Arial"/>
        </w:rPr>
        <w:t>.</w:t>
      </w:r>
    </w:p>
    <w:p w:rsidR="00176525" w:rsidRPr="00A143CE" w:rsidRDefault="00176525" w:rsidP="007B06F9">
      <w:pPr>
        <w:pStyle w:val="Prrafodelista"/>
        <w:tabs>
          <w:tab w:val="left" w:pos="0"/>
        </w:tabs>
        <w:spacing w:line="360" w:lineRule="auto"/>
        <w:ind w:left="0"/>
        <w:jc w:val="both"/>
        <w:rPr>
          <w:rFonts w:ascii="Arial" w:hAnsi="Arial" w:cs="Arial"/>
        </w:rPr>
      </w:pPr>
    </w:p>
    <w:p w:rsidR="008E3A17" w:rsidRPr="00A143CE" w:rsidRDefault="0093706C" w:rsidP="00D454CA">
      <w:pPr>
        <w:pStyle w:val="Prrafodelista"/>
        <w:tabs>
          <w:tab w:val="left" w:pos="0"/>
        </w:tabs>
        <w:spacing w:line="360" w:lineRule="auto"/>
        <w:ind w:left="0"/>
        <w:jc w:val="both"/>
        <w:rPr>
          <w:rFonts w:ascii="Arial" w:hAnsi="Arial" w:cs="Arial"/>
        </w:rPr>
      </w:pPr>
      <w:r w:rsidRPr="00A143CE">
        <w:rPr>
          <w:rFonts w:ascii="Arial" w:hAnsi="Arial" w:cs="Arial"/>
        </w:rPr>
        <w:t xml:space="preserve">- Que </w:t>
      </w:r>
      <w:r w:rsidR="00E24ADE" w:rsidRPr="00A143CE">
        <w:rPr>
          <w:rFonts w:ascii="Arial" w:hAnsi="Arial" w:cs="Arial"/>
        </w:rPr>
        <w:t xml:space="preserve">el </w:t>
      </w:r>
      <w:r w:rsidR="00146A0A" w:rsidRPr="00A143CE">
        <w:rPr>
          <w:rFonts w:ascii="Arial" w:hAnsi="Arial" w:cs="Arial"/>
        </w:rPr>
        <w:t>Juzgado Segundo Penal del Circuito Especializado</w:t>
      </w:r>
      <w:r w:rsidR="00102E1D" w:rsidRPr="00A143CE">
        <w:rPr>
          <w:rFonts w:ascii="Arial" w:hAnsi="Arial" w:cs="Arial"/>
        </w:rPr>
        <w:t xml:space="preserve"> de Ibagué,</w:t>
      </w:r>
      <w:r w:rsidR="00146A0A" w:rsidRPr="00A143CE">
        <w:rPr>
          <w:rFonts w:ascii="Arial" w:hAnsi="Arial" w:cs="Arial"/>
        </w:rPr>
        <w:t xml:space="preserve"> a través de providencia de 7 de noviembre de 2006</w:t>
      </w:r>
      <w:r w:rsidR="001F081E" w:rsidRPr="00A143CE">
        <w:rPr>
          <w:rFonts w:ascii="Arial" w:hAnsi="Arial" w:cs="Arial"/>
        </w:rPr>
        <w:t>,</w:t>
      </w:r>
      <w:r w:rsidR="00146A0A" w:rsidRPr="00A143CE">
        <w:rPr>
          <w:rFonts w:ascii="Arial" w:hAnsi="Arial" w:cs="Arial"/>
        </w:rPr>
        <w:t xml:space="preserve"> declaró la extinción de la acción penal </w:t>
      </w:r>
      <w:r w:rsidR="00146A0A" w:rsidRPr="00A143CE">
        <w:rPr>
          <w:rFonts w:ascii="Arial" w:hAnsi="Arial" w:cs="Arial"/>
        </w:rPr>
        <w:lastRenderedPageBreak/>
        <w:t>adelantada contra Carlos Enrique Trujillo Ocampo</w:t>
      </w:r>
      <w:r w:rsidR="008A423D" w:rsidRPr="00A143CE">
        <w:rPr>
          <w:rFonts w:ascii="Arial" w:hAnsi="Arial" w:cs="Arial"/>
        </w:rPr>
        <w:t xml:space="preserve"> y otros acusados</w:t>
      </w:r>
      <w:r w:rsidR="00146A0A" w:rsidRPr="00A143CE">
        <w:rPr>
          <w:rStyle w:val="Refdenotaalpie"/>
          <w:rFonts w:ascii="Arial" w:hAnsi="Arial" w:cs="Arial"/>
        </w:rPr>
        <w:footnoteReference w:id="37"/>
      </w:r>
      <w:r w:rsidR="001E38C0" w:rsidRPr="00A143CE">
        <w:rPr>
          <w:rFonts w:ascii="Arial" w:hAnsi="Arial" w:cs="Arial"/>
        </w:rPr>
        <w:t>, decisi</w:t>
      </w:r>
      <w:r w:rsidR="00D454CA" w:rsidRPr="00A143CE">
        <w:rPr>
          <w:rFonts w:ascii="Arial" w:hAnsi="Arial" w:cs="Arial"/>
        </w:rPr>
        <w:t>ón que fue recurrida y se confirmó a través de providencia de 7 de mayo de 2007</w:t>
      </w:r>
      <w:r w:rsidR="001F081E" w:rsidRPr="00A143CE">
        <w:rPr>
          <w:rFonts w:ascii="Arial" w:hAnsi="Arial" w:cs="Arial"/>
        </w:rPr>
        <w:t>,</w:t>
      </w:r>
      <w:r w:rsidR="00D454CA" w:rsidRPr="00A143CE">
        <w:rPr>
          <w:rFonts w:ascii="Arial" w:hAnsi="Arial" w:cs="Arial"/>
        </w:rPr>
        <w:t xml:space="preserve"> la cual cobró firmeza el 19 de junio de 2007</w:t>
      </w:r>
      <w:r w:rsidR="00D454CA" w:rsidRPr="00A143CE">
        <w:rPr>
          <w:rStyle w:val="Refdenotaalpie"/>
          <w:rFonts w:ascii="Arial" w:hAnsi="Arial" w:cs="Arial"/>
        </w:rPr>
        <w:footnoteReference w:id="38"/>
      </w:r>
      <w:r w:rsidR="00D454CA" w:rsidRPr="00A143CE">
        <w:rPr>
          <w:rFonts w:ascii="Arial" w:hAnsi="Arial" w:cs="Arial"/>
        </w:rPr>
        <w:t>.</w:t>
      </w:r>
    </w:p>
    <w:p w:rsidR="00D454CA" w:rsidRPr="00A143CE" w:rsidRDefault="00D454CA" w:rsidP="007960A7">
      <w:pPr>
        <w:pStyle w:val="Sinespaciado"/>
        <w:spacing w:line="360" w:lineRule="auto"/>
        <w:jc w:val="both"/>
        <w:rPr>
          <w:rFonts w:ascii="Arial" w:hAnsi="Arial" w:cs="Arial"/>
          <w:spacing w:val="2"/>
          <w:sz w:val="24"/>
          <w:szCs w:val="24"/>
        </w:rPr>
      </w:pPr>
    </w:p>
    <w:p w:rsidR="00D454CA" w:rsidRPr="00A143CE" w:rsidRDefault="001F081E" w:rsidP="00D454CA">
      <w:pPr>
        <w:spacing w:line="360" w:lineRule="auto"/>
        <w:jc w:val="both"/>
        <w:rPr>
          <w:rFonts w:ascii="Arial" w:eastAsia="Times New Roman" w:hAnsi="Arial" w:cs="Arial"/>
          <w:b/>
          <w:sz w:val="24"/>
          <w:szCs w:val="24"/>
          <w:lang w:val="es-ES" w:eastAsia="es-ES"/>
        </w:rPr>
      </w:pPr>
      <w:r w:rsidRPr="00A143CE">
        <w:rPr>
          <w:rFonts w:ascii="Arial" w:eastAsia="Times New Roman" w:hAnsi="Arial" w:cs="Arial"/>
          <w:b/>
          <w:sz w:val="24"/>
          <w:szCs w:val="24"/>
          <w:lang w:val="es-ES" w:eastAsia="es-ES"/>
        </w:rPr>
        <w:t>2.4</w:t>
      </w:r>
      <w:r w:rsidR="00D454CA" w:rsidRPr="00A143CE">
        <w:rPr>
          <w:rFonts w:ascii="Arial" w:eastAsia="Times New Roman" w:hAnsi="Arial" w:cs="Arial"/>
          <w:b/>
          <w:sz w:val="24"/>
          <w:szCs w:val="24"/>
          <w:lang w:val="es-ES" w:eastAsia="es-ES"/>
        </w:rPr>
        <w:t>. Análisis de la Sala</w:t>
      </w:r>
    </w:p>
    <w:p w:rsidR="00D454CA" w:rsidRPr="00A143CE" w:rsidRDefault="00D454CA" w:rsidP="00D454CA">
      <w:pPr>
        <w:pStyle w:val="Sinespaciado"/>
        <w:rPr>
          <w:rFonts w:ascii="Arial" w:hAnsi="Arial" w:cs="Arial"/>
          <w:sz w:val="24"/>
          <w:szCs w:val="24"/>
          <w:highlight w:val="lightGray"/>
          <w:lang w:val="es-ES"/>
        </w:rPr>
      </w:pPr>
    </w:p>
    <w:p w:rsidR="00970201" w:rsidRPr="00A143CE" w:rsidRDefault="00970201" w:rsidP="00970201">
      <w:pPr>
        <w:pStyle w:val="Sinespaciado"/>
        <w:spacing w:line="360" w:lineRule="auto"/>
        <w:jc w:val="both"/>
        <w:rPr>
          <w:rFonts w:ascii="Arial" w:hAnsi="Arial" w:cs="Arial"/>
          <w:spacing w:val="2"/>
          <w:sz w:val="24"/>
          <w:szCs w:val="24"/>
        </w:rPr>
      </w:pPr>
      <w:r w:rsidRPr="00A143CE">
        <w:rPr>
          <w:rFonts w:ascii="Arial" w:hAnsi="Arial" w:cs="Arial"/>
          <w:spacing w:val="2"/>
          <w:sz w:val="24"/>
          <w:szCs w:val="24"/>
        </w:rPr>
        <w:t xml:space="preserve">Valorado en conjunto el material probatorio que antecede, ha de decirse que se encuentra suficientemente acreditado en el presente caso que el señor Carlos Enrique Trujillo Ocampo fue procesado penalmente y, como consecuencia de ello, privado de su libertad, la que recobró al concederse el beneficio de la libertad provisional, mediante proveído de 22 de mayo de 2001 del Juzgado Quinto Penal de Circuito de Ibagué. Posteriormente, el Juzgado </w:t>
      </w:r>
      <w:r w:rsidRPr="00A143CE">
        <w:rPr>
          <w:rFonts w:ascii="Arial" w:hAnsi="Arial" w:cs="Arial"/>
          <w:sz w:val="24"/>
          <w:szCs w:val="24"/>
        </w:rPr>
        <w:t>Segundo Penal del Circuito Especializado</w:t>
      </w:r>
      <w:r w:rsidR="00D04BB7" w:rsidRPr="00A143CE">
        <w:rPr>
          <w:rFonts w:ascii="Arial" w:hAnsi="Arial" w:cs="Arial"/>
          <w:sz w:val="24"/>
          <w:szCs w:val="24"/>
        </w:rPr>
        <w:t xml:space="preserve"> de Ibagué</w:t>
      </w:r>
      <w:r w:rsidRPr="00A143CE">
        <w:rPr>
          <w:rFonts w:ascii="Arial" w:hAnsi="Arial" w:cs="Arial"/>
          <w:sz w:val="24"/>
          <w:szCs w:val="24"/>
        </w:rPr>
        <w:t>, a través de providencia de 7 de noviembre de 2006 declaró la extinción de la acción penal adelantada contra Carlos Enrique Trujillo Ocampo</w:t>
      </w:r>
      <w:r w:rsidRPr="00A143CE">
        <w:rPr>
          <w:rFonts w:ascii="Arial" w:hAnsi="Arial" w:cs="Arial"/>
          <w:spacing w:val="2"/>
          <w:sz w:val="24"/>
          <w:szCs w:val="24"/>
        </w:rPr>
        <w:t>.</w:t>
      </w:r>
    </w:p>
    <w:p w:rsidR="00970201" w:rsidRPr="00A143CE" w:rsidRDefault="00970201" w:rsidP="00970201">
      <w:pPr>
        <w:pStyle w:val="Sinespaciado"/>
        <w:rPr>
          <w:rFonts w:ascii="Arial" w:hAnsi="Arial" w:cs="Arial"/>
          <w:sz w:val="24"/>
          <w:szCs w:val="24"/>
        </w:rPr>
      </w:pPr>
    </w:p>
    <w:p w:rsidR="007C27F6" w:rsidRPr="00A143CE" w:rsidRDefault="007C27F6" w:rsidP="007C27F6">
      <w:pPr>
        <w:pStyle w:val="Sinespaciado"/>
        <w:spacing w:line="360" w:lineRule="auto"/>
        <w:jc w:val="both"/>
        <w:rPr>
          <w:rFonts w:ascii="Arial" w:hAnsi="Arial" w:cs="Arial"/>
          <w:spacing w:val="2"/>
          <w:sz w:val="24"/>
          <w:szCs w:val="24"/>
        </w:rPr>
      </w:pPr>
      <w:r w:rsidRPr="00A143CE">
        <w:rPr>
          <w:rFonts w:ascii="Arial" w:hAnsi="Arial" w:cs="Arial"/>
          <w:spacing w:val="2"/>
          <w:sz w:val="24"/>
          <w:szCs w:val="24"/>
        </w:rPr>
        <w:t xml:space="preserve">En estas condiciones, estima la Sala que el presente asunto se </w:t>
      </w:r>
      <w:r w:rsidR="001F081E" w:rsidRPr="00A143CE">
        <w:rPr>
          <w:rFonts w:ascii="Arial" w:hAnsi="Arial" w:cs="Arial"/>
          <w:spacing w:val="2"/>
          <w:sz w:val="24"/>
          <w:szCs w:val="24"/>
        </w:rPr>
        <w:t xml:space="preserve">podría </w:t>
      </w:r>
      <w:r w:rsidRPr="00A143CE">
        <w:rPr>
          <w:rFonts w:ascii="Arial" w:hAnsi="Arial" w:cs="Arial"/>
          <w:spacing w:val="2"/>
          <w:sz w:val="24"/>
          <w:szCs w:val="24"/>
        </w:rPr>
        <w:t>enmarca</w:t>
      </w:r>
      <w:r w:rsidR="001F081E" w:rsidRPr="00A143CE">
        <w:rPr>
          <w:rFonts w:ascii="Arial" w:hAnsi="Arial" w:cs="Arial"/>
          <w:spacing w:val="2"/>
          <w:sz w:val="24"/>
          <w:szCs w:val="24"/>
        </w:rPr>
        <w:t>r</w:t>
      </w:r>
      <w:r w:rsidR="00860CD6" w:rsidRPr="00A143CE">
        <w:rPr>
          <w:rFonts w:ascii="Arial" w:hAnsi="Arial" w:cs="Arial"/>
          <w:spacing w:val="2"/>
          <w:sz w:val="24"/>
          <w:szCs w:val="24"/>
        </w:rPr>
        <w:t xml:space="preserve"> en un</w:t>
      </w:r>
      <w:r w:rsidRPr="00A143CE">
        <w:rPr>
          <w:rFonts w:ascii="Arial" w:hAnsi="Arial" w:cs="Arial"/>
          <w:spacing w:val="2"/>
          <w:sz w:val="24"/>
          <w:szCs w:val="24"/>
        </w:rPr>
        <w:t xml:space="preserve"> régimen subjetivo de responsabilidad por el d</w:t>
      </w:r>
      <w:r w:rsidR="001F081E" w:rsidRPr="00A143CE">
        <w:rPr>
          <w:rFonts w:ascii="Arial" w:hAnsi="Arial" w:cs="Arial"/>
          <w:spacing w:val="2"/>
          <w:sz w:val="24"/>
          <w:szCs w:val="24"/>
        </w:rPr>
        <w:t>efectuoso funcionamiento de la Administración de J</w:t>
      </w:r>
      <w:r w:rsidRPr="00A143CE">
        <w:rPr>
          <w:rFonts w:ascii="Arial" w:hAnsi="Arial" w:cs="Arial"/>
          <w:spacing w:val="2"/>
          <w:sz w:val="24"/>
          <w:szCs w:val="24"/>
        </w:rPr>
        <w:t xml:space="preserve">usticia, dado el </w:t>
      </w:r>
      <w:r w:rsidR="001F081E" w:rsidRPr="00A143CE">
        <w:rPr>
          <w:rFonts w:ascii="Arial" w:hAnsi="Arial" w:cs="Arial"/>
          <w:spacing w:val="2"/>
          <w:sz w:val="24"/>
          <w:szCs w:val="24"/>
        </w:rPr>
        <w:t xml:space="preserve">posible </w:t>
      </w:r>
      <w:r w:rsidRPr="00A143CE">
        <w:rPr>
          <w:rFonts w:ascii="Arial" w:hAnsi="Arial" w:cs="Arial"/>
          <w:spacing w:val="2"/>
          <w:sz w:val="24"/>
          <w:szCs w:val="24"/>
        </w:rPr>
        <w:t xml:space="preserve">funcionamiento anormal del mismo en el marco del proceso penal adelantado en contra del señor Carlos Enrique Trujillo Ocampo, circunstancia particular que imponía a los operadores judiciales obrar con diligencia y celeridad, en aras de adoptar las decisiones pertinentes de manera oportuna y sin desmedro de los derechos de la persona sindicada, que además se encontraba </w:t>
      </w:r>
      <w:r w:rsidR="001F081E" w:rsidRPr="00A143CE">
        <w:rPr>
          <w:rFonts w:ascii="Arial" w:hAnsi="Arial" w:cs="Arial"/>
          <w:spacing w:val="2"/>
          <w:sz w:val="24"/>
          <w:szCs w:val="24"/>
        </w:rPr>
        <w:t>bajo medida de aseguramiento, omisión que posiblemente conllevó</w:t>
      </w:r>
      <w:r w:rsidRPr="00A143CE">
        <w:rPr>
          <w:rFonts w:ascii="Arial" w:hAnsi="Arial" w:cs="Arial"/>
          <w:spacing w:val="2"/>
          <w:sz w:val="24"/>
          <w:szCs w:val="24"/>
        </w:rPr>
        <w:t xml:space="preserve"> </w:t>
      </w:r>
      <w:r w:rsidR="006F08CA" w:rsidRPr="00A143CE">
        <w:rPr>
          <w:rFonts w:ascii="Arial" w:hAnsi="Arial" w:cs="Arial"/>
          <w:spacing w:val="2"/>
          <w:sz w:val="24"/>
          <w:szCs w:val="24"/>
        </w:rPr>
        <w:t xml:space="preserve">la </w:t>
      </w:r>
      <w:r w:rsidRPr="00A143CE">
        <w:rPr>
          <w:rFonts w:ascii="Arial" w:hAnsi="Arial" w:cs="Arial"/>
          <w:spacing w:val="2"/>
          <w:sz w:val="24"/>
          <w:szCs w:val="24"/>
        </w:rPr>
        <w:t xml:space="preserve">ocurrencia de la prescripción de la acción penal. </w:t>
      </w:r>
    </w:p>
    <w:p w:rsidR="007C27F6" w:rsidRPr="00A143CE" w:rsidRDefault="007C27F6" w:rsidP="007C27F6">
      <w:pPr>
        <w:pStyle w:val="Sinespaciado"/>
        <w:rPr>
          <w:rFonts w:ascii="Arial" w:hAnsi="Arial" w:cs="Arial"/>
          <w:sz w:val="24"/>
          <w:szCs w:val="24"/>
        </w:rPr>
      </w:pPr>
    </w:p>
    <w:p w:rsidR="007C27F6" w:rsidRPr="00A143CE" w:rsidRDefault="007C27F6" w:rsidP="007C27F6">
      <w:pPr>
        <w:pStyle w:val="Sinespaciado"/>
        <w:spacing w:line="360" w:lineRule="auto"/>
        <w:jc w:val="both"/>
        <w:rPr>
          <w:rFonts w:ascii="Arial" w:eastAsia="Times New Roman" w:hAnsi="Arial" w:cs="Arial"/>
          <w:sz w:val="24"/>
          <w:szCs w:val="24"/>
          <w:lang w:val="es-ES" w:eastAsia="es-ES"/>
        </w:rPr>
      </w:pPr>
      <w:r w:rsidRPr="00A143CE">
        <w:rPr>
          <w:rFonts w:ascii="Arial" w:hAnsi="Arial" w:cs="Arial"/>
          <w:sz w:val="24"/>
          <w:szCs w:val="24"/>
        </w:rPr>
        <w:t xml:space="preserve">Como se expuso anteriormente, resulta necesario reiterar que la imputación de responsabilidad en estos casos </w:t>
      </w:r>
      <w:r w:rsidRPr="00A143CE">
        <w:rPr>
          <w:rFonts w:ascii="Arial" w:hAnsi="Arial" w:cs="Arial"/>
          <w:i/>
          <w:sz w:val="24"/>
          <w:szCs w:val="24"/>
        </w:rPr>
        <w:t>–bien sea en aplicación del régimen objetivo o subjetivo-</w:t>
      </w:r>
      <w:r w:rsidRPr="00A143CE">
        <w:rPr>
          <w:rFonts w:ascii="Arial" w:hAnsi="Arial" w:cs="Arial"/>
          <w:sz w:val="24"/>
          <w:szCs w:val="24"/>
        </w:rPr>
        <w:t xml:space="preserve">, de ninguna manera excluye la posibilidad de apreciar </w:t>
      </w:r>
      <w:r w:rsidRPr="00A143CE">
        <w:rPr>
          <w:rFonts w:ascii="Arial" w:eastAsia="Times New Roman" w:hAnsi="Arial" w:cs="Arial"/>
          <w:sz w:val="24"/>
          <w:szCs w:val="24"/>
          <w:lang w:val="es-ES" w:eastAsia="es-ES"/>
        </w:rPr>
        <w:t xml:space="preserve">la existencia de algún supuesto de hecho en virtud del cual pudiera entenderse configurada una causal de exoneración, a saber: </w:t>
      </w:r>
      <w:r w:rsidRPr="00A143CE">
        <w:rPr>
          <w:rFonts w:ascii="Arial" w:eastAsia="Times New Roman" w:hAnsi="Arial" w:cs="Arial"/>
          <w:i/>
          <w:sz w:val="24"/>
          <w:szCs w:val="24"/>
          <w:lang w:val="es-ES" w:eastAsia="es-ES"/>
        </w:rPr>
        <w:t xml:space="preserve">i) </w:t>
      </w:r>
      <w:r w:rsidRPr="00A143CE">
        <w:rPr>
          <w:rFonts w:ascii="Arial" w:eastAsia="Times New Roman" w:hAnsi="Arial" w:cs="Arial"/>
          <w:sz w:val="24"/>
          <w:szCs w:val="24"/>
          <w:lang w:val="es-ES" w:eastAsia="es-ES"/>
        </w:rPr>
        <w:t xml:space="preserve">fuerza mayor, </w:t>
      </w:r>
      <w:r w:rsidRPr="00A143CE">
        <w:rPr>
          <w:rFonts w:ascii="Arial" w:eastAsia="Times New Roman" w:hAnsi="Arial" w:cs="Arial"/>
          <w:i/>
          <w:sz w:val="24"/>
          <w:szCs w:val="24"/>
          <w:lang w:val="es-ES" w:eastAsia="es-ES"/>
        </w:rPr>
        <w:t>ii)</w:t>
      </w:r>
      <w:r w:rsidRPr="00A143CE">
        <w:rPr>
          <w:rFonts w:ascii="Arial" w:eastAsia="Times New Roman" w:hAnsi="Arial" w:cs="Arial"/>
          <w:sz w:val="24"/>
          <w:szCs w:val="24"/>
          <w:lang w:val="es-ES" w:eastAsia="es-ES"/>
        </w:rPr>
        <w:t xml:space="preserve"> hecho exclusivo de un tercero o </w:t>
      </w:r>
      <w:r w:rsidRPr="00A143CE">
        <w:rPr>
          <w:rFonts w:ascii="Arial" w:eastAsia="Times New Roman" w:hAnsi="Arial" w:cs="Arial"/>
          <w:i/>
          <w:sz w:val="24"/>
          <w:szCs w:val="24"/>
          <w:lang w:val="es-ES" w:eastAsia="es-ES"/>
        </w:rPr>
        <w:t>iii)</w:t>
      </w:r>
      <w:r w:rsidRPr="00A143CE">
        <w:rPr>
          <w:rFonts w:ascii="Arial" w:eastAsia="Times New Roman" w:hAnsi="Arial" w:cs="Arial"/>
          <w:sz w:val="24"/>
          <w:szCs w:val="24"/>
          <w:lang w:val="es-ES" w:eastAsia="es-ES"/>
        </w:rPr>
        <w:t xml:space="preserve"> culpa exclusiva y determinante de la víctima.</w:t>
      </w:r>
    </w:p>
    <w:p w:rsidR="00C84E2F" w:rsidRPr="00A143CE" w:rsidRDefault="00C84E2F" w:rsidP="007C27F6">
      <w:pPr>
        <w:pStyle w:val="Sinespaciado"/>
        <w:spacing w:line="360" w:lineRule="auto"/>
        <w:jc w:val="both"/>
        <w:rPr>
          <w:rFonts w:ascii="Arial" w:hAnsi="Arial" w:cs="Arial"/>
          <w:sz w:val="24"/>
          <w:szCs w:val="24"/>
        </w:rPr>
      </w:pPr>
    </w:p>
    <w:p w:rsidR="007C27F6" w:rsidRPr="00A143CE" w:rsidRDefault="007C27F6" w:rsidP="007C27F6">
      <w:pPr>
        <w:pStyle w:val="Sinespaciado"/>
        <w:spacing w:line="360" w:lineRule="auto"/>
        <w:jc w:val="both"/>
        <w:rPr>
          <w:rFonts w:ascii="Arial" w:hAnsi="Arial" w:cs="Arial"/>
          <w:sz w:val="24"/>
          <w:szCs w:val="24"/>
        </w:rPr>
      </w:pPr>
      <w:r w:rsidRPr="00A143CE">
        <w:rPr>
          <w:rFonts w:ascii="Arial" w:hAnsi="Arial" w:cs="Arial"/>
          <w:sz w:val="24"/>
          <w:szCs w:val="24"/>
        </w:rPr>
        <w:lastRenderedPageBreak/>
        <w:t>Es por lo anterior que, frente a la declaración de prescripción de la acción penal que en el presente caso sirve de sustento a la demanda, resulta necesario analizar si se encuentra acreditado algún supuesto de hecho que pueda dar lugar a exonerar de responsabilidad patrimonial al Estado</w:t>
      </w:r>
      <w:r w:rsidRPr="00A143CE">
        <w:rPr>
          <w:rStyle w:val="Refdenotaalpie"/>
          <w:rFonts w:ascii="Arial" w:hAnsi="Arial" w:cs="Arial"/>
          <w:sz w:val="24"/>
          <w:szCs w:val="24"/>
        </w:rPr>
        <w:footnoteReference w:id="39"/>
      </w:r>
      <w:r w:rsidRPr="00A143CE">
        <w:rPr>
          <w:rFonts w:ascii="Arial" w:hAnsi="Arial" w:cs="Arial"/>
          <w:sz w:val="24"/>
          <w:szCs w:val="24"/>
        </w:rPr>
        <w:t xml:space="preserve">, teniendo en cuenta, precisamente, que en el proceso penal no existió una decisión de fondo que resolviera en concreto sobre la responsabilidad endilgada al hoy demandante y que, además, debe valorarse la conducta procesal del sindicado y su defensa, en orden a establecer si con ella se dilató el trámite para generar la prescripción de la acción penal, actuación de la cual no podría valerse ahora para sacar avante las pretensiones incoadas en el presente proceso. </w:t>
      </w:r>
    </w:p>
    <w:p w:rsidR="007C27F6" w:rsidRPr="00A143CE" w:rsidRDefault="007C27F6" w:rsidP="007C27F6">
      <w:pPr>
        <w:pStyle w:val="Sinespaciado"/>
        <w:rPr>
          <w:rFonts w:ascii="Arial" w:hAnsi="Arial" w:cs="Arial"/>
          <w:sz w:val="24"/>
          <w:szCs w:val="24"/>
        </w:rPr>
      </w:pPr>
    </w:p>
    <w:p w:rsidR="007C27F6" w:rsidRPr="00A143CE" w:rsidRDefault="007C27F6" w:rsidP="007C27F6">
      <w:pPr>
        <w:spacing w:after="0" w:line="360" w:lineRule="auto"/>
        <w:jc w:val="both"/>
        <w:rPr>
          <w:rFonts w:ascii="Arial" w:hAnsi="Arial" w:cs="Arial"/>
          <w:sz w:val="24"/>
          <w:szCs w:val="24"/>
        </w:rPr>
      </w:pPr>
      <w:r w:rsidRPr="00A143CE">
        <w:rPr>
          <w:rFonts w:ascii="Arial" w:hAnsi="Arial" w:cs="Arial"/>
          <w:sz w:val="24"/>
          <w:szCs w:val="24"/>
        </w:rPr>
        <w:t>La jurisprudencia de esta Corporación ha definido los parámetros con base en los cuales resulta forzoso reconocer que la responsabilidad del Estado no puede quedar comprometida como consecuencia de la actuación de la autoridad pública en el caso concreto, en consideración a que el carácter de hecho causalmente vinculado a la producción d</w:t>
      </w:r>
      <w:r w:rsidR="006F08CA" w:rsidRPr="00A143CE">
        <w:rPr>
          <w:rFonts w:ascii="Arial" w:hAnsi="Arial" w:cs="Arial"/>
          <w:sz w:val="24"/>
          <w:szCs w:val="24"/>
        </w:rPr>
        <w:t>el daño no es predicable de aque</w:t>
      </w:r>
      <w:r w:rsidRPr="00A143CE">
        <w:rPr>
          <w:rFonts w:ascii="Arial" w:hAnsi="Arial" w:cs="Arial"/>
          <w:sz w:val="24"/>
          <w:szCs w:val="24"/>
        </w:rPr>
        <w:t>lla, sino del proceder -</w:t>
      </w:r>
      <w:r w:rsidRPr="00A143CE">
        <w:rPr>
          <w:rFonts w:ascii="Arial" w:hAnsi="Arial" w:cs="Arial"/>
          <w:i/>
          <w:sz w:val="24"/>
          <w:szCs w:val="24"/>
        </w:rPr>
        <w:t>activo u omisivo</w:t>
      </w:r>
      <w:r w:rsidRPr="00A143CE">
        <w:rPr>
          <w:rFonts w:ascii="Arial" w:hAnsi="Arial" w:cs="Arial"/>
          <w:sz w:val="24"/>
          <w:szCs w:val="24"/>
        </w:rPr>
        <w:t xml:space="preserve">- de quien sufre el perjuicio. Así pues, en punto de los requisitos para considerar que concurre, en un supuesto específico, el hecho de la víctima como eximente de responsabilidad administrativa, </w:t>
      </w:r>
      <w:smartTag w:uri="urn:schemas-microsoft-com:office:smarttags" w:element="PersonName">
        <w:smartTagPr>
          <w:attr w:name="ProductID" w:val="la Sala"/>
        </w:smartTagPr>
        <w:r w:rsidRPr="00A143CE">
          <w:rPr>
            <w:rFonts w:ascii="Arial" w:hAnsi="Arial" w:cs="Arial"/>
            <w:sz w:val="24"/>
            <w:szCs w:val="24"/>
          </w:rPr>
          <w:t>la Sala</w:t>
        </w:r>
      </w:smartTag>
      <w:r w:rsidRPr="00A143CE">
        <w:rPr>
          <w:rFonts w:ascii="Arial" w:hAnsi="Arial" w:cs="Arial"/>
          <w:sz w:val="24"/>
          <w:szCs w:val="24"/>
        </w:rPr>
        <w:t xml:space="preserve"> ha expresado</w:t>
      </w:r>
      <w:r w:rsidR="00494786" w:rsidRPr="00A143CE">
        <w:rPr>
          <w:rFonts w:ascii="Arial" w:hAnsi="Arial" w:cs="Arial"/>
          <w:sz w:val="24"/>
          <w:szCs w:val="24"/>
        </w:rPr>
        <w:t xml:space="preserve"> (se transcribe textualmente)</w:t>
      </w:r>
      <w:r w:rsidRPr="00A143CE">
        <w:rPr>
          <w:rFonts w:ascii="Arial" w:hAnsi="Arial" w:cs="Arial"/>
          <w:sz w:val="24"/>
          <w:szCs w:val="24"/>
        </w:rPr>
        <w:t>:</w:t>
      </w:r>
    </w:p>
    <w:p w:rsidR="007C27F6" w:rsidRPr="00A143CE" w:rsidRDefault="007C27F6" w:rsidP="007C27F6">
      <w:pPr>
        <w:pStyle w:val="Sinespaciado"/>
        <w:rPr>
          <w:rFonts w:ascii="Arial" w:hAnsi="Arial" w:cs="Arial"/>
          <w:sz w:val="24"/>
          <w:szCs w:val="24"/>
        </w:rPr>
      </w:pPr>
    </w:p>
    <w:p w:rsidR="007C27F6" w:rsidRPr="00A143CE" w:rsidRDefault="007C27F6" w:rsidP="007C27F6">
      <w:pPr>
        <w:pStyle w:val="BlockText"/>
        <w:spacing w:line="276" w:lineRule="auto"/>
        <w:ind w:right="590" w:firstLine="0"/>
        <w:rPr>
          <w:rFonts w:ascii="Arial" w:hAnsi="Arial" w:cs="Arial"/>
          <w:szCs w:val="24"/>
        </w:rPr>
      </w:pPr>
      <w:r w:rsidRPr="00A143CE">
        <w:rPr>
          <w:rFonts w:ascii="Arial" w:hAnsi="Arial" w:cs="Arial"/>
          <w:szCs w:val="24"/>
        </w:rPr>
        <w:t xml:space="preserve">“Cabe recordar que </w:t>
      </w:r>
      <w:r w:rsidRPr="00A143CE">
        <w:rPr>
          <w:rFonts w:ascii="Arial" w:hAnsi="Arial" w:cs="Arial"/>
          <w:b/>
          <w:szCs w:val="24"/>
        </w:rPr>
        <w:t xml:space="preserve">la </w:t>
      </w:r>
      <w:r w:rsidRPr="00A143CE">
        <w:rPr>
          <w:rFonts w:ascii="Arial" w:hAnsi="Arial" w:cs="Arial"/>
          <w:b/>
          <w:szCs w:val="24"/>
          <w:u w:val="single"/>
        </w:rPr>
        <w:t>culpa exclusiva de la víctima, entendida como la violación por parte de ésta de las obligaciones a las cuales está sujeto el administrado, exonera de responsabilidad al Estado en la producción del daño</w:t>
      </w:r>
      <w:r w:rsidRPr="00A143CE">
        <w:rPr>
          <w:rFonts w:ascii="Arial" w:hAnsi="Arial" w:cs="Arial"/>
          <w:szCs w:val="24"/>
        </w:rPr>
        <w:t xml:space="preserve">. Así, </w:t>
      </w:r>
      <w:smartTag w:uri="urn:schemas-microsoft-com:office:smarttags" w:element="PersonName">
        <w:smartTagPr>
          <w:attr w:name="ProductID" w:val="la Sala"/>
        </w:smartTagPr>
        <w:r w:rsidRPr="00A143CE">
          <w:rPr>
            <w:rFonts w:ascii="Arial" w:hAnsi="Arial" w:cs="Arial"/>
            <w:szCs w:val="24"/>
          </w:rPr>
          <w:t>la Sala</w:t>
        </w:r>
      </w:smartTag>
      <w:r w:rsidRPr="00A143CE">
        <w:rPr>
          <w:rFonts w:ascii="Arial" w:hAnsi="Arial" w:cs="Arial"/>
          <w:szCs w:val="24"/>
        </w:rPr>
        <w:t xml:space="preserve"> en pronunciamientos anteriores ha señalado:</w:t>
      </w:r>
    </w:p>
    <w:p w:rsidR="007C27F6" w:rsidRPr="00A143CE" w:rsidRDefault="007C27F6" w:rsidP="007C27F6">
      <w:pPr>
        <w:pStyle w:val="BlockText"/>
        <w:spacing w:line="276" w:lineRule="auto"/>
        <w:ind w:left="1152" w:right="590" w:firstLine="0"/>
        <w:rPr>
          <w:rFonts w:ascii="Arial" w:hAnsi="Arial" w:cs="Arial"/>
          <w:i w:val="0"/>
          <w:szCs w:val="24"/>
        </w:rPr>
      </w:pPr>
    </w:p>
    <w:p w:rsidR="007C27F6" w:rsidRPr="00A143CE" w:rsidRDefault="007C27F6" w:rsidP="007C27F6">
      <w:pPr>
        <w:pStyle w:val="BlockText"/>
        <w:spacing w:line="276" w:lineRule="auto"/>
        <w:ind w:left="1152" w:right="590" w:firstLine="0"/>
        <w:rPr>
          <w:rFonts w:ascii="Arial" w:hAnsi="Arial" w:cs="Arial"/>
          <w:iCs/>
          <w:szCs w:val="24"/>
          <w:lang w:val="es-CO"/>
        </w:rPr>
      </w:pPr>
      <w:r w:rsidRPr="00A143CE">
        <w:rPr>
          <w:rFonts w:ascii="Arial" w:hAnsi="Arial" w:cs="Arial"/>
          <w:iCs/>
          <w:szCs w:val="24"/>
        </w:rPr>
        <w:t xml:space="preserve">‘… Específicamente, para que pueda hablarse de culpa de la víctima jurídicamente, ha dicho el Consejo de Estado, </w:t>
      </w:r>
      <w:r w:rsidRPr="00A143CE">
        <w:rPr>
          <w:rFonts w:ascii="Arial" w:hAnsi="Arial" w:cs="Arial"/>
          <w:b/>
          <w:iCs/>
          <w:szCs w:val="24"/>
          <w:u w:val="single"/>
        </w:rPr>
        <w:t>debe estar demostrada además de la simple causalidad material según la cual la víctima directa participó y fue causa eficiente en la producción del resultado o daño, el que dicha conducta provino del actuar imprudente o culposo de ella, que implicó la desatención a obligaciones o reglas a las que debía estar sujeta</w:t>
      </w:r>
      <w:r w:rsidRPr="00A143CE">
        <w:rPr>
          <w:rFonts w:ascii="Arial" w:hAnsi="Arial" w:cs="Arial"/>
          <w:iCs/>
          <w:szCs w:val="24"/>
        </w:rPr>
        <w:t xml:space="preserve">. Por tanto puede suceder en un caso determinado, que una sea la causa física o material del daño y otra, distinta, la causa jurídica la cual puede encontrarse presente en hechos anteriores al suceso, pero que fueron determinantes o eficientes </w:t>
      </w:r>
      <w:r w:rsidRPr="00A143CE">
        <w:rPr>
          <w:rFonts w:ascii="Arial" w:hAnsi="Arial" w:cs="Arial"/>
          <w:iCs/>
          <w:szCs w:val="24"/>
        </w:rPr>
        <w:lastRenderedPageBreak/>
        <w:t xml:space="preserve">en su producción.  </w:t>
      </w:r>
      <w:r w:rsidRPr="00A143CE">
        <w:rPr>
          <w:rFonts w:ascii="Arial" w:hAnsi="Arial" w:cs="Arial"/>
          <w:iCs/>
          <w:szCs w:val="24"/>
          <w:lang w:val="es-CO"/>
        </w:rPr>
        <w:t xml:space="preserve">Lo anterior permite concluir que si bien se probó la falla del servicio también se demostró que el daño provino del comportamiento exclusivo de la propia víctima directa, la cual rompe el nexo de causalidad; con esta ruptura el daño no puede ser imputable al demandado porque aunque la conducta anómala de </w:t>
      </w:r>
      <w:smartTag w:uri="urn:schemas-microsoft-com:office:smarttags" w:element="PersonName">
        <w:smartTagPr>
          <w:attr w:name="ProductID" w:val="la Administración"/>
        </w:smartTagPr>
        <w:r w:rsidRPr="00A143CE">
          <w:rPr>
            <w:rFonts w:ascii="Arial" w:hAnsi="Arial" w:cs="Arial"/>
            <w:iCs/>
            <w:szCs w:val="24"/>
            <w:lang w:val="es-CO"/>
          </w:rPr>
          <w:t>la Administración</w:t>
        </w:r>
      </w:smartTag>
      <w:r w:rsidRPr="00A143CE">
        <w:rPr>
          <w:rFonts w:ascii="Arial" w:hAnsi="Arial" w:cs="Arial"/>
          <w:iCs/>
          <w:szCs w:val="24"/>
          <w:lang w:val="es-CO"/>
        </w:rPr>
        <w:t xml:space="preserve"> fue causa material o física del daño sufrido por los demandantes, la única causa eficiente del mismo fue el actuar exclusivo y reprochable del señor Mauro Restrepo Giraldo, quien con su conducta culposa de desacato a las obligaciones a él conferidas, se expuso total e imprudentemente a sufrir el daño….’</w:t>
      </w:r>
      <w:r w:rsidRPr="00A143CE">
        <w:rPr>
          <w:rStyle w:val="Refdenotaalpie"/>
          <w:rFonts w:ascii="Arial" w:hAnsi="Arial" w:cs="Arial"/>
          <w:iCs/>
          <w:szCs w:val="24"/>
          <w:lang w:val="es-CO"/>
        </w:rPr>
        <w:footnoteReference w:id="40"/>
      </w:r>
    </w:p>
    <w:p w:rsidR="007C27F6" w:rsidRPr="00A143CE" w:rsidRDefault="007C27F6" w:rsidP="007C27F6">
      <w:pPr>
        <w:pStyle w:val="Sinespaciado"/>
        <w:rPr>
          <w:rFonts w:ascii="Arial" w:hAnsi="Arial" w:cs="Arial"/>
          <w:sz w:val="24"/>
          <w:szCs w:val="24"/>
        </w:rPr>
      </w:pPr>
    </w:p>
    <w:p w:rsidR="007C27F6" w:rsidRPr="00A143CE" w:rsidRDefault="007C27F6" w:rsidP="007C27F6">
      <w:pPr>
        <w:pStyle w:val="BlockText"/>
        <w:spacing w:line="276" w:lineRule="auto"/>
        <w:ind w:left="444" w:right="590" w:firstLine="708"/>
        <w:rPr>
          <w:rFonts w:ascii="Arial" w:hAnsi="Arial" w:cs="Arial"/>
          <w:szCs w:val="24"/>
          <w:lang w:val="es-CO"/>
        </w:rPr>
      </w:pPr>
      <w:r w:rsidRPr="00A143CE">
        <w:rPr>
          <w:rFonts w:ascii="Arial" w:hAnsi="Arial" w:cs="Arial"/>
          <w:szCs w:val="24"/>
          <w:lang w:val="es-CO"/>
        </w:rPr>
        <w:t>De igual forma, se ha dicho:</w:t>
      </w:r>
    </w:p>
    <w:p w:rsidR="007C27F6" w:rsidRPr="00A143CE" w:rsidRDefault="007C27F6" w:rsidP="007C27F6">
      <w:pPr>
        <w:pStyle w:val="Sinespaciado"/>
        <w:rPr>
          <w:rFonts w:ascii="Arial" w:hAnsi="Arial" w:cs="Arial"/>
          <w:sz w:val="24"/>
          <w:szCs w:val="24"/>
        </w:rPr>
      </w:pPr>
    </w:p>
    <w:p w:rsidR="007C27F6" w:rsidRPr="00A143CE" w:rsidRDefault="007C27F6" w:rsidP="007C27F6">
      <w:pPr>
        <w:pStyle w:val="BlockText"/>
        <w:spacing w:line="276" w:lineRule="auto"/>
        <w:ind w:left="1152" w:right="590" w:firstLine="0"/>
        <w:rPr>
          <w:rFonts w:ascii="Arial" w:hAnsi="Arial" w:cs="Arial"/>
          <w:iCs/>
          <w:szCs w:val="24"/>
        </w:rPr>
      </w:pPr>
      <w:r w:rsidRPr="00A143CE">
        <w:rPr>
          <w:rFonts w:ascii="Arial" w:hAnsi="Arial" w:cs="Arial"/>
          <w:iCs/>
          <w:szCs w:val="24"/>
        </w:rPr>
        <w:t xml:space="preserve">‘…. para que la culpa de la víctima releve de responsabilidad a la administración, aquella debe cumplir con los siguientes requisitos: </w:t>
      </w:r>
    </w:p>
    <w:p w:rsidR="007C27F6" w:rsidRPr="00A143CE" w:rsidRDefault="007C27F6" w:rsidP="007C27F6">
      <w:pPr>
        <w:pStyle w:val="Sinespaciado"/>
        <w:rPr>
          <w:rFonts w:ascii="Arial" w:hAnsi="Arial" w:cs="Arial"/>
          <w:sz w:val="24"/>
          <w:szCs w:val="24"/>
        </w:rPr>
      </w:pPr>
    </w:p>
    <w:p w:rsidR="007C27F6" w:rsidRPr="00A143CE" w:rsidRDefault="007C27F6" w:rsidP="007C27F6">
      <w:pPr>
        <w:pStyle w:val="BlockText"/>
        <w:spacing w:line="276" w:lineRule="auto"/>
        <w:ind w:left="1152" w:right="590" w:firstLine="0"/>
        <w:rPr>
          <w:rFonts w:ascii="Arial" w:hAnsi="Arial" w:cs="Arial"/>
          <w:iCs/>
          <w:szCs w:val="24"/>
        </w:rPr>
      </w:pPr>
      <w:r w:rsidRPr="00A143CE">
        <w:rPr>
          <w:rFonts w:ascii="Arial" w:hAnsi="Arial" w:cs="Arial"/>
          <w:iCs/>
          <w:szCs w:val="24"/>
        </w:rPr>
        <w:t>-Una relación de causalidad entre el hecho de la víctima y el daño. Si el hecho del afectado es la causa única, exclusiva o determinante del daño, la exoneración es total. Por el contrario, si ese hecho no tuvo incidencia en la producción del daño, debe declararse la responsabilidad estatal. Ahora bien, si la actuación de la víctima concurre con otra causa para la producción del daño, se producirá una liberación parcial, por aplicación del principio de concausalidad y de reducción en la apreciación del daño, de acuerdo con lo previsto en el artículo 2357 del Código Civil.</w:t>
      </w:r>
    </w:p>
    <w:p w:rsidR="007C27F6" w:rsidRPr="00A143CE" w:rsidRDefault="007C27F6" w:rsidP="007C27F6">
      <w:pPr>
        <w:pStyle w:val="Sinespaciado"/>
        <w:rPr>
          <w:rFonts w:ascii="Arial" w:hAnsi="Arial" w:cs="Arial"/>
          <w:sz w:val="24"/>
          <w:szCs w:val="24"/>
        </w:rPr>
      </w:pPr>
    </w:p>
    <w:p w:rsidR="007C27F6" w:rsidRPr="00A143CE" w:rsidRDefault="007C27F6" w:rsidP="007C27F6">
      <w:pPr>
        <w:pStyle w:val="BlockText"/>
        <w:spacing w:line="276" w:lineRule="auto"/>
        <w:ind w:left="1152" w:right="590" w:firstLine="0"/>
        <w:rPr>
          <w:rFonts w:ascii="Arial" w:hAnsi="Arial" w:cs="Arial"/>
          <w:i w:val="0"/>
          <w:iCs/>
          <w:szCs w:val="24"/>
        </w:rPr>
      </w:pPr>
      <w:r w:rsidRPr="00A143CE">
        <w:rPr>
          <w:rFonts w:ascii="Arial" w:hAnsi="Arial" w:cs="Arial"/>
          <w:iCs/>
          <w:szCs w:val="24"/>
        </w:rPr>
        <w:t>-El hecho de la víctima no debe ser imputable al ofensor, toda vez que si el comportamiento de aquella fue propiciado o impulsado por el ofensor, de manera tal que no le sea ajeno a éste, no podrá exonerarse de responsabilidad a la administración...’ ”</w:t>
      </w:r>
      <w:r w:rsidRPr="00A143CE">
        <w:rPr>
          <w:rStyle w:val="Refdenotaalpie"/>
          <w:rFonts w:ascii="Arial" w:hAnsi="Arial" w:cs="Arial"/>
          <w:iCs/>
          <w:szCs w:val="24"/>
        </w:rPr>
        <w:footnoteReference w:id="41"/>
      </w:r>
      <w:r w:rsidRPr="00A143CE">
        <w:rPr>
          <w:rFonts w:ascii="Arial" w:hAnsi="Arial" w:cs="Arial"/>
          <w:iCs/>
          <w:szCs w:val="24"/>
          <w:vertAlign w:val="superscript"/>
        </w:rPr>
        <w:t>-</w:t>
      </w:r>
      <w:r w:rsidRPr="00A143CE">
        <w:rPr>
          <w:rStyle w:val="Refdenotaalpie"/>
          <w:rFonts w:ascii="Arial" w:hAnsi="Arial" w:cs="Arial"/>
          <w:iCs/>
          <w:szCs w:val="24"/>
        </w:rPr>
        <w:footnoteReference w:id="42"/>
      </w:r>
      <w:r w:rsidRPr="00A143CE">
        <w:rPr>
          <w:rFonts w:ascii="Arial" w:hAnsi="Arial" w:cs="Arial"/>
          <w:iCs/>
          <w:szCs w:val="24"/>
        </w:rPr>
        <w:t xml:space="preserve"> </w:t>
      </w:r>
      <w:r w:rsidRPr="00A143CE">
        <w:rPr>
          <w:rFonts w:ascii="Arial" w:hAnsi="Arial" w:cs="Arial"/>
          <w:i w:val="0"/>
          <w:iCs/>
          <w:szCs w:val="24"/>
        </w:rPr>
        <w:t>(Se destaca).</w:t>
      </w:r>
    </w:p>
    <w:p w:rsidR="007C27F6" w:rsidRPr="00A143CE" w:rsidRDefault="007C27F6" w:rsidP="007C27F6">
      <w:pPr>
        <w:rPr>
          <w:rFonts w:ascii="Arial" w:hAnsi="Arial" w:cs="Arial"/>
          <w:sz w:val="24"/>
          <w:szCs w:val="24"/>
        </w:rPr>
      </w:pPr>
    </w:p>
    <w:p w:rsidR="007C27F6" w:rsidRPr="00A143CE" w:rsidRDefault="007C27F6" w:rsidP="007C27F6">
      <w:pPr>
        <w:spacing w:after="0" w:line="360" w:lineRule="auto"/>
        <w:jc w:val="both"/>
        <w:rPr>
          <w:rFonts w:ascii="Arial" w:hAnsi="Arial" w:cs="Arial"/>
          <w:sz w:val="24"/>
          <w:szCs w:val="24"/>
        </w:rPr>
      </w:pPr>
      <w:r w:rsidRPr="00A143CE">
        <w:rPr>
          <w:rFonts w:ascii="Arial" w:hAnsi="Arial" w:cs="Arial"/>
          <w:sz w:val="24"/>
          <w:szCs w:val="24"/>
        </w:rPr>
        <w:t>Por otra parte, a efectos de que opere el hecho de la víctima como eximente de responsabilidad, resulta necesario aclarar, en cada caso concreto, si el proceder -</w:t>
      </w:r>
      <w:r w:rsidRPr="00A143CE">
        <w:rPr>
          <w:rFonts w:ascii="Arial" w:hAnsi="Arial" w:cs="Arial"/>
          <w:i/>
          <w:sz w:val="24"/>
          <w:szCs w:val="24"/>
        </w:rPr>
        <w:t>se repite,</w:t>
      </w:r>
      <w:r w:rsidRPr="00A143CE">
        <w:rPr>
          <w:rFonts w:ascii="Arial" w:hAnsi="Arial" w:cs="Arial"/>
          <w:sz w:val="24"/>
          <w:szCs w:val="24"/>
        </w:rPr>
        <w:t xml:space="preserve"> </w:t>
      </w:r>
      <w:r w:rsidRPr="00A143CE">
        <w:rPr>
          <w:rFonts w:ascii="Arial" w:hAnsi="Arial" w:cs="Arial"/>
          <w:i/>
          <w:sz w:val="24"/>
          <w:szCs w:val="24"/>
        </w:rPr>
        <w:t>activo u omisivo</w:t>
      </w:r>
      <w:r w:rsidR="006F08CA" w:rsidRPr="00A143CE">
        <w:rPr>
          <w:rFonts w:ascii="Arial" w:hAnsi="Arial" w:cs="Arial"/>
          <w:sz w:val="24"/>
          <w:szCs w:val="24"/>
        </w:rPr>
        <w:t>- de aquella tuvo o no</w:t>
      </w:r>
      <w:r w:rsidRPr="00A143CE">
        <w:rPr>
          <w:rFonts w:ascii="Arial" w:hAnsi="Arial" w:cs="Arial"/>
          <w:sz w:val="24"/>
          <w:szCs w:val="24"/>
        </w:rPr>
        <w:t xml:space="preserve"> injerencia y en qué medida,</w:t>
      </w:r>
      <w:r w:rsidR="006F08CA" w:rsidRPr="00A143CE">
        <w:rPr>
          <w:rFonts w:ascii="Arial" w:hAnsi="Arial" w:cs="Arial"/>
          <w:sz w:val="24"/>
          <w:szCs w:val="24"/>
        </w:rPr>
        <w:t xml:space="preserve"> en la producción del daño. E</w:t>
      </w:r>
      <w:r w:rsidRPr="00A143CE">
        <w:rPr>
          <w:rFonts w:ascii="Arial" w:hAnsi="Arial" w:cs="Arial"/>
          <w:sz w:val="24"/>
          <w:szCs w:val="24"/>
        </w:rPr>
        <w:t>llo</w:t>
      </w:r>
      <w:r w:rsidR="006F08CA" w:rsidRPr="00A143CE">
        <w:rPr>
          <w:rFonts w:ascii="Arial" w:hAnsi="Arial" w:cs="Arial"/>
          <w:sz w:val="24"/>
          <w:szCs w:val="24"/>
        </w:rPr>
        <w:t>,</w:t>
      </w:r>
      <w:r w:rsidRPr="00A143CE">
        <w:rPr>
          <w:rFonts w:ascii="Arial" w:hAnsi="Arial" w:cs="Arial"/>
          <w:sz w:val="24"/>
          <w:szCs w:val="24"/>
        </w:rPr>
        <w:t xml:space="preserve"> comoquiera que </w:t>
      </w:r>
      <w:smartTag w:uri="urn:schemas-microsoft-com:office:smarttags" w:element="PersonName">
        <w:smartTagPr>
          <w:attr w:name="ProductID" w:val="la Sala"/>
        </w:smartTagPr>
        <w:r w:rsidRPr="00A143CE">
          <w:rPr>
            <w:rFonts w:ascii="Arial" w:hAnsi="Arial" w:cs="Arial"/>
            <w:sz w:val="24"/>
            <w:szCs w:val="24"/>
          </w:rPr>
          <w:t>la Sala</w:t>
        </w:r>
      </w:smartTag>
      <w:r w:rsidRPr="00A143CE">
        <w:rPr>
          <w:rFonts w:ascii="Arial" w:hAnsi="Arial" w:cs="Arial"/>
          <w:sz w:val="24"/>
          <w:szCs w:val="24"/>
        </w:rPr>
        <w:t xml:space="preserve"> ha señalado que el hecho de la víctima, como causal de exoneración de responsabilidad o de reducción del monto </w:t>
      </w:r>
      <w:r w:rsidRPr="00A143CE">
        <w:rPr>
          <w:rFonts w:ascii="Arial" w:hAnsi="Arial" w:cs="Arial"/>
          <w:sz w:val="24"/>
          <w:szCs w:val="24"/>
        </w:rPr>
        <w:lastRenderedPageBreak/>
        <w:t xml:space="preserve">de la condena respectiva, debe constituir, exclusiva o parcialmente, </w:t>
      </w:r>
      <w:r w:rsidR="006F08CA" w:rsidRPr="00A143CE">
        <w:rPr>
          <w:rFonts w:ascii="Arial" w:hAnsi="Arial" w:cs="Arial"/>
          <w:sz w:val="24"/>
          <w:szCs w:val="24"/>
        </w:rPr>
        <w:t xml:space="preserve">la </w:t>
      </w:r>
      <w:r w:rsidRPr="00A143CE">
        <w:rPr>
          <w:rFonts w:ascii="Arial" w:hAnsi="Arial" w:cs="Arial"/>
          <w:sz w:val="24"/>
          <w:szCs w:val="24"/>
        </w:rPr>
        <w:t xml:space="preserve">causa eficiente del perjuicio </w:t>
      </w:r>
      <w:r w:rsidR="00494786" w:rsidRPr="00A143CE">
        <w:rPr>
          <w:rFonts w:ascii="Arial" w:hAnsi="Arial" w:cs="Arial"/>
          <w:sz w:val="24"/>
          <w:szCs w:val="24"/>
        </w:rPr>
        <w:t>reclamado, pues de no ser así (se transcribe textualmente),</w:t>
      </w:r>
    </w:p>
    <w:p w:rsidR="007C27F6" w:rsidRPr="00A143CE" w:rsidRDefault="007C27F6" w:rsidP="007C27F6">
      <w:pPr>
        <w:pStyle w:val="Sinespaciado"/>
        <w:rPr>
          <w:rFonts w:ascii="Arial" w:hAnsi="Arial" w:cs="Arial"/>
          <w:sz w:val="24"/>
          <w:szCs w:val="24"/>
        </w:rPr>
      </w:pPr>
    </w:p>
    <w:p w:rsidR="007C27F6" w:rsidRPr="00A143CE" w:rsidRDefault="007C27F6" w:rsidP="007C27F6">
      <w:pPr>
        <w:pStyle w:val="BlockText"/>
        <w:spacing w:line="276" w:lineRule="auto"/>
        <w:ind w:right="590" w:firstLine="0"/>
        <w:rPr>
          <w:rFonts w:ascii="Arial" w:hAnsi="Arial" w:cs="Arial"/>
          <w:szCs w:val="24"/>
        </w:rPr>
      </w:pPr>
      <w:r w:rsidRPr="00A143CE">
        <w:rPr>
          <w:rFonts w:ascii="Arial" w:hAnsi="Arial" w:cs="Arial"/>
          <w:szCs w:val="24"/>
        </w:rPr>
        <w:t>“... se estaría dando aplicación a la teoría de la equivalencia de las condiciones, desechada por la doctrina y la jurisprudencia, desde hace mucho tiempo, para establecer el nexo de causalidad. Al respecto, son interesantes las siguientes precisiones del profesor Javier Tamayo Jaramillo:</w:t>
      </w:r>
    </w:p>
    <w:p w:rsidR="006F08CA" w:rsidRPr="00A143CE" w:rsidRDefault="006F08CA" w:rsidP="007C27F6">
      <w:pPr>
        <w:pStyle w:val="BlockText"/>
        <w:spacing w:line="276" w:lineRule="auto"/>
        <w:ind w:right="590" w:firstLine="0"/>
        <w:rPr>
          <w:rFonts w:ascii="Arial" w:hAnsi="Arial" w:cs="Arial"/>
          <w:szCs w:val="24"/>
        </w:rPr>
      </w:pPr>
    </w:p>
    <w:p w:rsidR="007C27F6" w:rsidRPr="00A143CE" w:rsidRDefault="007C27F6" w:rsidP="007C27F6">
      <w:pPr>
        <w:pStyle w:val="BlockText"/>
        <w:spacing w:line="276" w:lineRule="auto"/>
        <w:ind w:right="590" w:firstLine="0"/>
        <w:rPr>
          <w:rFonts w:ascii="Arial" w:hAnsi="Arial" w:cs="Arial"/>
          <w:szCs w:val="24"/>
        </w:rPr>
      </w:pPr>
      <w:r w:rsidRPr="00A143CE">
        <w:rPr>
          <w:rFonts w:ascii="Arial" w:hAnsi="Arial" w:cs="Arial"/>
          <w:szCs w:val="24"/>
          <w:lang w:val="es-CO"/>
        </w:rPr>
        <w:t>‘</w:t>
      </w:r>
      <w:r w:rsidRPr="00A143CE">
        <w:rPr>
          <w:rFonts w:ascii="Arial" w:hAnsi="Arial" w:cs="Arial"/>
          <w:szCs w:val="24"/>
        </w:rPr>
        <w:t>Para explicar el vínculo de causalidad que debe existir entre el hecho y el daño, se han ideado varias teoría</w:t>
      </w:r>
      <w:r w:rsidR="00355D5D" w:rsidRPr="00A143CE">
        <w:rPr>
          <w:rFonts w:ascii="Arial" w:hAnsi="Arial" w:cs="Arial"/>
          <w:szCs w:val="24"/>
        </w:rPr>
        <w:t xml:space="preserve">s; las más importantes son: la </w:t>
      </w:r>
      <w:r w:rsidRPr="00A143CE">
        <w:rPr>
          <w:rFonts w:ascii="Arial" w:hAnsi="Arial" w:cs="Arial"/>
          <w:szCs w:val="24"/>
        </w:rPr>
        <w:t xml:space="preserve">teoría de la </w:t>
      </w:r>
      <w:r w:rsidR="00355D5D" w:rsidRPr="00A143CE">
        <w:rPr>
          <w:rFonts w:ascii="Arial" w:hAnsi="Arial" w:cs="Arial"/>
          <w:szCs w:val="24"/>
        </w:rPr>
        <w:t>equivalencia de las condiciones</w:t>
      </w:r>
      <w:r w:rsidRPr="00A143CE">
        <w:rPr>
          <w:rFonts w:ascii="Arial" w:hAnsi="Arial" w:cs="Arial"/>
          <w:szCs w:val="24"/>
        </w:rPr>
        <w:t xml:space="preserve"> y la teoría de la causalida</w:t>
      </w:r>
      <w:r w:rsidR="00355D5D" w:rsidRPr="00A143CE">
        <w:rPr>
          <w:rFonts w:ascii="Arial" w:hAnsi="Arial" w:cs="Arial"/>
          <w:szCs w:val="24"/>
        </w:rPr>
        <w:t>d adecuada</w:t>
      </w:r>
      <w:r w:rsidRPr="00A143CE">
        <w:rPr>
          <w:rFonts w:ascii="Arial" w:hAnsi="Arial" w:cs="Arial"/>
          <w:szCs w:val="24"/>
        </w:rPr>
        <w:t>.  De acuerdo con la primera, todas las causas que contribuyeron a la producción del daño se consideran, desde el punto de vista jurídico, como causantes del hecho, y quienes estén detrás de cualquiera de esas causas, deben responder.  A esta teoría se la rechaza por su inaplicabilidad práctica, pues deshumanizaría la responsabilidad civil y permitiría, absurdamente, buscar responsables hasta el infinito.  Para suavizar este criterio, se ha ideado la llamada teoría de la causalidad adecuada, según la cual no todos los fenómenos que contribuyeron a la producción del daño tienen relevancia para determinar la causa jurídica del perjuicio; se considera que solamente causó el daño aquel o aquellos fenómenos que normalmente debieron haberlo producido; esta teoría permite romper el vínculo de causalidad en tal forma, que solo la causa relevante es la que ha podido producir el daño...</w:t>
      </w:r>
    </w:p>
    <w:p w:rsidR="007C27F6" w:rsidRPr="00A143CE" w:rsidRDefault="007C27F6" w:rsidP="007C27F6">
      <w:pPr>
        <w:pStyle w:val="Sinespaciado"/>
        <w:rPr>
          <w:rFonts w:ascii="Arial" w:hAnsi="Arial" w:cs="Arial"/>
          <w:sz w:val="24"/>
          <w:szCs w:val="24"/>
        </w:rPr>
      </w:pPr>
    </w:p>
    <w:p w:rsidR="007C27F6" w:rsidRPr="00A143CE" w:rsidRDefault="007C27F6" w:rsidP="007C27F6">
      <w:pPr>
        <w:pStyle w:val="BlockText"/>
        <w:spacing w:line="276" w:lineRule="auto"/>
        <w:ind w:right="590" w:firstLine="0"/>
        <w:rPr>
          <w:rFonts w:ascii="Arial" w:hAnsi="Arial" w:cs="Arial"/>
          <w:szCs w:val="24"/>
        </w:rPr>
      </w:pPr>
      <w:r w:rsidRPr="00A143CE">
        <w:rPr>
          <w:rFonts w:ascii="Arial" w:hAnsi="Arial" w:cs="Arial"/>
          <w:szCs w:val="24"/>
        </w:rPr>
        <w:t>A no dudarlo, la aceptación de la causa extraña como causal liberatoria de la presunción de responsabilidad es, en el fondo, la consagración de la teoría de la causalidad adecuada... aplicando la teoría de la causalidad adecuada, el juez considera que la causa externa ha sido el hecho que normalmente ha producido el daño, y, en consecuencia, el vínculo de causalidad debe romperse de tal modo, que el demandado no se considere jurídicamente como causante del daño...’”</w:t>
      </w:r>
      <w:r w:rsidRPr="00A143CE">
        <w:rPr>
          <w:rStyle w:val="Refdenotaalpie"/>
          <w:rFonts w:ascii="Arial" w:hAnsi="Arial" w:cs="Arial"/>
          <w:szCs w:val="24"/>
        </w:rPr>
        <w:footnoteReference w:id="43"/>
      </w:r>
      <w:r w:rsidRPr="00A143CE">
        <w:rPr>
          <w:rFonts w:ascii="Arial" w:hAnsi="Arial" w:cs="Arial"/>
          <w:szCs w:val="24"/>
          <w:vertAlign w:val="superscript"/>
        </w:rPr>
        <w:t>-</w:t>
      </w:r>
      <w:r w:rsidRPr="00A143CE">
        <w:rPr>
          <w:rStyle w:val="Refdenotaalpie"/>
          <w:rFonts w:ascii="Arial" w:hAnsi="Arial" w:cs="Arial"/>
          <w:szCs w:val="24"/>
        </w:rPr>
        <w:footnoteReference w:id="44"/>
      </w:r>
      <w:r w:rsidR="00DD6B32" w:rsidRPr="00A143CE">
        <w:rPr>
          <w:rFonts w:ascii="Arial" w:hAnsi="Arial" w:cs="Arial"/>
          <w:szCs w:val="24"/>
        </w:rPr>
        <w:t>.</w:t>
      </w:r>
    </w:p>
    <w:p w:rsidR="00DD6B32" w:rsidRPr="00A143CE" w:rsidRDefault="00DD6B32" w:rsidP="00D454CA">
      <w:pPr>
        <w:overflowPunct w:val="0"/>
        <w:autoSpaceDE w:val="0"/>
        <w:autoSpaceDN w:val="0"/>
        <w:adjustRightInd w:val="0"/>
        <w:spacing w:line="360" w:lineRule="auto"/>
        <w:jc w:val="both"/>
        <w:textAlignment w:val="baseline"/>
        <w:rPr>
          <w:rFonts w:ascii="Arial" w:eastAsia="Times New Roman" w:hAnsi="Arial" w:cs="Arial"/>
          <w:sz w:val="24"/>
          <w:szCs w:val="24"/>
          <w:lang w:val="es-ES_tradnl" w:eastAsia="es-ES"/>
        </w:rPr>
      </w:pPr>
    </w:p>
    <w:p w:rsidR="00F7686C" w:rsidRPr="00A143CE" w:rsidRDefault="00F7686C" w:rsidP="00D454CA">
      <w:pPr>
        <w:overflowPunct w:val="0"/>
        <w:autoSpaceDE w:val="0"/>
        <w:autoSpaceDN w:val="0"/>
        <w:adjustRightInd w:val="0"/>
        <w:spacing w:line="360" w:lineRule="auto"/>
        <w:jc w:val="both"/>
        <w:textAlignment w:val="baseline"/>
        <w:rPr>
          <w:rFonts w:ascii="Arial" w:eastAsia="Times New Roman" w:hAnsi="Arial" w:cs="Arial"/>
          <w:sz w:val="24"/>
          <w:szCs w:val="24"/>
          <w:lang w:val="es-ES_tradnl" w:eastAsia="es-ES"/>
        </w:rPr>
      </w:pPr>
      <w:r w:rsidRPr="00A143CE">
        <w:rPr>
          <w:rFonts w:ascii="Arial" w:eastAsia="Times New Roman" w:hAnsi="Arial" w:cs="Arial"/>
          <w:sz w:val="24"/>
          <w:szCs w:val="24"/>
          <w:lang w:val="es-ES_tradnl" w:eastAsia="es-ES"/>
        </w:rPr>
        <w:t>A la luz de lo anterior, considera la Sala que la privación de la libertad derivada de una medida de aseguramiento legalmente proferida, por reunirse el pleno de los requisitos legales</w:t>
      </w:r>
      <w:r w:rsidR="006F08CA" w:rsidRPr="00A143CE">
        <w:rPr>
          <w:rFonts w:ascii="Arial" w:eastAsia="Times New Roman" w:hAnsi="Arial" w:cs="Arial"/>
          <w:sz w:val="24"/>
          <w:szCs w:val="24"/>
          <w:lang w:val="es-ES_tradnl" w:eastAsia="es-ES"/>
        </w:rPr>
        <w:t xml:space="preserve"> para ser emitida, no se torna</w:t>
      </w:r>
      <w:r w:rsidRPr="00A143CE">
        <w:rPr>
          <w:rFonts w:ascii="Arial" w:eastAsia="Times New Roman" w:hAnsi="Arial" w:cs="Arial"/>
          <w:sz w:val="24"/>
          <w:szCs w:val="24"/>
          <w:lang w:val="es-ES_tradnl" w:eastAsia="es-ES"/>
        </w:rPr>
        <w:t xml:space="preserve"> injusta por el solo hecho de haberse declarado la prescripción de la acción penal a fa</w:t>
      </w:r>
      <w:r w:rsidR="006F08CA" w:rsidRPr="00A143CE">
        <w:rPr>
          <w:rFonts w:ascii="Arial" w:eastAsia="Times New Roman" w:hAnsi="Arial" w:cs="Arial"/>
          <w:sz w:val="24"/>
          <w:szCs w:val="24"/>
          <w:lang w:val="es-ES_tradnl" w:eastAsia="es-ES"/>
        </w:rPr>
        <w:t xml:space="preserve">vor del procesado, toda </w:t>
      </w:r>
      <w:r w:rsidR="006F08CA" w:rsidRPr="00A143CE">
        <w:rPr>
          <w:rFonts w:ascii="Arial" w:eastAsia="Times New Roman" w:hAnsi="Arial" w:cs="Arial"/>
          <w:sz w:val="24"/>
          <w:szCs w:val="24"/>
          <w:lang w:val="es-ES_tradnl" w:eastAsia="es-ES"/>
        </w:rPr>
        <w:lastRenderedPageBreak/>
        <w:t>vez que</w:t>
      </w:r>
      <w:r w:rsidRPr="00A143CE">
        <w:rPr>
          <w:rFonts w:ascii="Arial" w:eastAsia="Times New Roman" w:hAnsi="Arial" w:cs="Arial"/>
          <w:sz w:val="24"/>
          <w:szCs w:val="24"/>
          <w:lang w:val="es-ES_tradnl" w:eastAsia="es-ES"/>
        </w:rPr>
        <w:t xml:space="preserve"> si bien esta clase de decisión mantiene la intangibilidad de la presunción de inocencia, lo cierto es que deja en vilo el estudio y definición de fondo respecto de la conducta punible endilgada, circunstancia que impone </w:t>
      </w:r>
      <w:r w:rsidRPr="00A143CE">
        <w:rPr>
          <w:rFonts w:ascii="Arial" w:eastAsia="Times New Roman" w:hAnsi="Arial" w:cs="Arial"/>
          <w:i/>
          <w:sz w:val="24"/>
          <w:szCs w:val="24"/>
          <w:lang w:val="es-ES_tradnl" w:eastAsia="es-ES"/>
        </w:rPr>
        <w:t xml:space="preserve">-para efecto de determinar la responsabilidad patrimonial del Estado- </w:t>
      </w:r>
      <w:r w:rsidRPr="00A143CE">
        <w:rPr>
          <w:rFonts w:ascii="Arial" w:eastAsia="Times New Roman" w:hAnsi="Arial" w:cs="Arial"/>
          <w:sz w:val="24"/>
          <w:szCs w:val="24"/>
          <w:lang w:val="es-ES_tradnl" w:eastAsia="es-ES"/>
        </w:rPr>
        <w:t>la valoración, en cada caso concreto, respecto de la act</w:t>
      </w:r>
      <w:r w:rsidR="006F08CA" w:rsidRPr="00A143CE">
        <w:rPr>
          <w:rFonts w:ascii="Arial" w:eastAsia="Times New Roman" w:hAnsi="Arial" w:cs="Arial"/>
          <w:sz w:val="24"/>
          <w:szCs w:val="24"/>
          <w:lang w:val="es-ES_tradnl" w:eastAsia="es-ES"/>
        </w:rPr>
        <w:t>uación de la víctima, en punto de</w:t>
      </w:r>
      <w:r w:rsidRPr="00A143CE">
        <w:rPr>
          <w:rFonts w:ascii="Arial" w:eastAsia="Times New Roman" w:hAnsi="Arial" w:cs="Arial"/>
          <w:sz w:val="24"/>
          <w:szCs w:val="24"/>
          <w:lang w:val="es-ES_tradnl" w:eastAsia="es-ES"/>
        </w:rPr>
        <w:t xml:space="preserve"> establecer si dio lugar a que apareciera razonablemente comprometida su responsabilidad por el presunto </w:t>
      </w:r>
      <w:r w:rsidR="00F669DC" w:rsidRPr="00A143CE">
        <w:rPr>
          <w:rFonts w:ascii="Arial" w:eastAsia="Times New Roman" w:hAnsi="Arial" w:cs="Arial"/>
          <w:sz w:val="24"/>
          <w:szCs w:val="24"/>
          <w:lang w:val="es-ES_tradnl" w:eastAsia="es-ES"/>
        </w:rPr>
        <w:t>delito por el cual fue procesado</w:t>
      </w:r>
      <w:r w:rsidRPr="00A143CE">
        <w:rPr>
          <w:rFonts w:ascii="Arial" w:eastAsia="Times New Roman" w:hAnsi="Arial" w:cs="Arial"/>
          <w:sz w:val="24"/>
          <w:szCs w:val="24"/>
          <w:lang w:val="es-ES_tradnl" w:eastAsia="es-ES"/>
        </w:rPr>
        <w:t xml:space="preserve"> o si su actuación procesal se dirigió a dilatar el proceso para provocar el vencimiento del término de prescripción.</w:t>
      </w:r>
    </w:p>
    <w:p w:rsidR="00F7686C" w:rsidRPr="00A143CE" w:rsidRDefault="00F7686C" w:rsidP="00012187">
      <w:pPr>
        <w:pStyle w:val="Sinespaciado"/>
        <w:rPr>
          <w:rFonts w:ascii="Arial" w:hAnsi="Arial" w:cs="Arial"/>
          <w:sz w:val="24"/>
          <w:szCs w:val="24"/>
          <w:lang w:val="es-ES_tradnl" w:eastAsia="es-ES"/>
        </w:rPr>
      </w:pPr>
    </w:p>
    <w:p w:rsidR="00D454CA" w:rsidRPr="00A143CE" w:rsidRDefault="006F08CA" w:rsidP="00D454CA">
      <w:pPr>
        <w:overflowPunct w:val="0"/>
        <w:autoSpaceDE w:val="0"/>
        <w:autoSpaceDN w:val="0"/>
        <w:adjustRightInd w:val="0"/>
        <w:spacing w:line="360" w:lineRule="auto"/>
        <w:jc w:val="both"/>
        <w:textAlignment w:val="baseline"/>
        <w:rPr>
          <w:rFonts w:ascii="Arial" w:hAnsi="Arial" w:cs="Arial"/>
          <w:sz w:val="24"/>
          <w:szCs w:val="24"/>
        </w:rPr>
      </w:pPr>
      <w:r w:rsidRPr="00A143CE">
        <w:rPr>
          <w:rFonts w:ascii="Arial" w:eastAsia="Times New Roman" w:hAnsi="Arial" w:cs="Arial"/>
          <w:sz w:val="24"/>
          <w:szCs w:val="24"/>
          <w:lang w:val="es-ES_tradnl" w:eastAsia="es-ES"/>
        </w:rPr>
        <w:t xml:space="preserve">Así </w:t>
      </w:r>
      <w:r w:rsidR="00F669DC" w:rsidRPr="00A143CE">
        <w:rPr>
          <w:rFonts w:ascii="Arial" w:eastAsia="Times New Roman" w:hAnsi="Arial" w:cs="Arial"/>
          <w:sz w:val="24"/>
          <w:szCs w:val="24"/>
          <w:lang w:val="es-ES_tradnl" w:eastAsia="es-ES"/>
        </w:rPr>
        <w:t>pues,</w:t>
      </w:r>
      <w:r w:rsidR="00D454CA" w:rsidRPr="00A143CE">
        <w:rPr>
          <w:rFonts w:ascii="Arial" w:eastAsia="Times New Roman" w:hAnsi="Arial" w:cs="Arial"/>
          <w:sz w:val="24"/>
          <w:szCs w:val="24"/>
          <w:lang w:val="es-ES_tradnl" w:eastAsia="es-ES"/>
        </w:rPr>
        <w:t xml:space="preserve"> a juicio de la Sala, </w:t>
      </w:r>
      <w:r w:rsidR="00D454CA" w:rsidRPr="00A143CE">
        <w:rPr>
          <w:rFonts w:ascii="Arial" w:hAnsi="Arial" w:cs="Arial"/>
          <w:sz w:val="24"/>
          <w:szCs w:val="24"/>
        </w:rPr>
        <w:t>si bien el directamente afectado fue objeto de una medida restrictiva de su libertad dentro del proceso que en su contra se adelan</w:t>
      </w:r>
      <w:r w:rsidR="006E7CE0" w:rsidRPr="00A143CE">
        <w:rPr>
          <w:rFonts w:ascii="Arial" w:hAnsi="Arial" w:cs="Arial"/>
          <w:sz w:val="24"/>
          <w:szCs w:val="24"/>
        </w:rPr>
        <w:t>tó por los</w:t>
      </w:r>
      <w:r w:rsidR="00D454CA" w:rsidRPr="00A143CE">
        <w:rPr>
          <w:rFonts w:ascii="Arial" w:hAnsi="Arial" w:cs="Arial"/>
          <w:sz w:val="24"/>
          <w:szCs w:val="24"/>
        </w:rPr>
        <w:t xml:space="preserve"> delito</w:t>
      </w:r>
      <w:r w:rsidR="006E7CE0" w:rsidRPr="00A143CE">
        <w:rPr>
          <w:rFonts w:ascii="Arial" w:hAnsi="Arial" w:cs="Arial"/>
          <w:sz w:val="24"/>
          <w:szCs w:val="24"/>
        </w:rPr>
        <w:t>s</w:t>
      </w:r>
      <w:r w:rsidR="00D454CA" w:rsidRPr="00A143CE">
        <w:rPr>
          <w:rFonts w:ascii="Arial" w:hAnsi="Arial" w:cs="Arial"/>
          <w:sz w:val="24"/>
          <w:szCs w:val="24"/>
        </w:rPr>
        <w:t xml:space="preserve"> de </w:t>
      </w:r>
      <w:r w:rsidR="006E7CE0" w:rsidRPr="00A143CE">
        <w:rPr>
          <w:rFonts w:ascii="Arial" w:hAnsi="Arial" w:cs="Arial"/>
          <w:sz w:val="24"/>
          <w:szCs w:val="24"/>
        </w:rPr>
        <w:t>concierto para delinquir,</w:t>
      </w:r>
      <w:r w:rsidR="009946A3" w:rsidRPr="00A143CE">
        <w:rPr>
          <w:rFonts w:ascii="Arial" w:hAnsi="Arial" w:cs="Arial"/>
          <w:sz w:val="24"/>
          <w:szCs w:val="24"/>
        </w:rPr>
        <w:t xml:space="preserve"> extorsión en la modalidad de tentativa y porte ilegal de armas de defensa personal, </w:t>
      </w:r>
      <w:r w:rsidR="00D454CA" w:rsidRPr="00A143CE">
        <w:rPr>
          <w:rFonts w:ascii="Arial" w:hAnsi="Arial" w:cs="Arial"/>
          <w:sz w:val="24"/>
          <w:szCs w:val="24"/>
        </w:rPr>
        <w:t>dicha decisión no implicó la configuración de un daño antijurídico, comoquiera que su actuación fue la causa directa y determinante para que fuera</w:t>
      </w:r>
      <w:r w:rsidRPr="00A143CE">
        <w:rPr>
          <w:rFonts w:ascii="Arial" w:hAnsi="Arial" w:cs="Arial"/>
          <w:sz w:val="24"/>
          <w:szCs w:val="24"/>
        </w:rPr>
        <w:t xml:space="preserve"> privado de su libertad, hecho e</w:t>
      </w:r>
      <w:r w:rsidR="00D454CA" w:rsidRPr="00A143CE">
        <w:rPr>
          <w:rFonts w:ascii="Arial" w:hAnsi="Arial" w:cs="Arial"/>
          <w:sz w:val="24"/>
          <w:szCs w:val="24"/>
        </w:rPr>
        <w:t>ste que fue ajeno a la Administración.</w:t>
      </w:r>
    </w:p>
    <w:p w:rsidR="00D454CA" w:rsidRPr="00A143CE" w:rsidRDefault="006F08CA" w:rsidP="00D454CA">
      <w:pPr>
        <w:pStyle w:val="Textoindependiente33"/>
        <w:rPr>
          <w:rFonts w:cs="Arial"/>
          <w:szCs w:val="24"/>
        </w:rPr>
      </w:pPr>
      <w:r w:rsidRPr="00A143CE">
        <w:rPr>
          <w:rFonts w:cs="Arial"/>
          <w:szCs w:val="24"/>
        </w:rPr>
        <w:t>En similares términos</w:t>
      </w:r>
      <w:r w:rsidR="00D454CA" w:rsidRPr="00A143CE">
        <w:rPr>
          <w:rFonts w:cs="Arial"/>
          <w:szCs w:val="24"/>
        </w:rPr>
        <w:t xml:space="preserve"> esta Sala, al declarar probada la causal eximente de responsabilidad consistente en la culpa exclusiva de la víctima en un caso de privación injusta de la libertad, razonó de la siguiente forma: </w:t>
      </w:r>
    </w:p>
    <w:p w:rsidR="00D454CA" w:rsidRPr="00A143CE" w:rsidRDefault="00D454CA" w:rsidP="00D454CA">
      <w:pPr>
        <w:pStyle w:val="Textoindependiente33"/>
        <w:rPr>
          <w:rFonts w:cs="Arial"/>
          <w:szCs w:val="24"/>
        </w:rPr>
      </w:pPr>
    </w:p>
    <w:p w:rsidR="00D454CA" w:rsidRPr="00A143CE" w:rsidRDefault="00D454CA" w:rsidP="006F08CA">
      <w:pPr>
        <w:ind w:left="567" w:right="617"/>
        <w:jc w:val="both"/>
        <w:rPr>
          <w:rFonts w:ascii="Arial" w:hAnsi="Arial" w:cs="Arial"/>
          <w:i/>
          <w:sz w:val="24"/>
          <w:szCs w:val="24"/>
          <w:lang w:val="es-ES"/>
        </w:rPr>
      </w:pPr>
      <w:r w:rsidRPr="00A143CE">
        <w:rPr>
          <w:rFonts w:ascii="Arial" w:hAnsi="Arial" w:cs="Arial"/>
          <w:i/>
          <w:sz w:val="24"/>
          <w:szCs w:val="24"/>
        </w:rPr>
        <w:t>“</w:t>
      </w:r>
      <w:r w:rsidRPr="00A143CE">
        <w:rPr>
          <w:rFonts w:ascii="Arial" w:hAnsi="Arial" w:cs="Arial"/>
          <w:i/>
          <w:sz w:val="24"/>
          <w:szCs w:val="24"/>
          <w:lang w:val="es-ES"/>
        </w:rPr>
        <w:t>Así las cosas, para la Sala es evidente que la señora Lesbia Olave Cabal no obró en la forma debida, es decir, en la que jurídicamente le es exigible a cualquier ciudadano, máxime si se tiene en cuenta que, prevalida de su condición de secretaria de la Secretaría Departamental de Educación del departamento del Valle, participó en la comisión de las conductas punibles que se le imputaron y que dieron lugar a que, con el lleno de los requisitos legales, se profiriera la referida medida de aseguramiento en su contra.</w:t>
      </w:r>
    </w:p>
    <w:p w:rsidR="00D454CA" w:rsidRPr="00A143CE" w:rsidRDefault="00D454CA" w:rsidP="006E7CE0">
      <w:pPr>
        <w:pStyle w:val="Sinespaciado"/>
        <w:rPr>
          <w:rFonts w:ascii="Arial" w:hAnsi="Arial" w:cs="Arial"/>
          <w:sz w:val="24"/>
          <w:szCs w:val="24"/>
          <w:lang w:val="es-ES"/>
        </w:rPr>
      </w:pPr>
    </w:p>
    <w:p w:rsidR="00D454CA" w:rsidRPr="00A143CE" w:rsidRDefault="00D454CA" w:rsidP="006F08CA">
      <w:pPr>
        <w:ind w:left="567" w:right="617"/>
        <w:jc w:val="both"/>
        <w:rPr>
          <w:rFonts w:ascii="Arial" w:hAnsi="Arial" w:cs="Arial"/>
          <w:i/>
          <w:sz w:val="24"/>
          <w:szCs w:val="24"/>
          <w:lang w:val="es-ES"/>
        </w:rPr>
      </w:pPr>
      <w:r w:rsidRPr="00A143CE">
        <w:rPr>
          <w:rFonts w:ascii="Arial" w:hAnsi="Arial" w:cs="Arial"/>
          <w:i/>
          <w:sz w:val="24"/>
          <w:szCs w:val="24"/>
          <w:lang w:val="es-ES"/>
        </w:rPr>
        <w:t>Por lo anterior, es claro que se configuró la causal eximente de responsabilidad consistente en la culpa exclusiva de la víctima, la cual permite liberar de responsabilidad a la entidad demandada por los hechos que se le imputan”</w:t>
      </w:r>
      <w:r w:rsidRPr="00A143CE">
        <w:rPr>
          <w:rStyle w:val="Refdenotaalpie"/>
          <w:rFonts w:ascii="Arial" w:hAnsi="Arial" w:cs="Arial"/>
          <w:sz w:val="24"/>
          <w:szCs w:val="24"/>
          <w:lang w:val="es-ES"/>
        </w:rPr>
        <w:footnoteReference w:id="45"/>
      </w:r>
      <w:r w:rsidRPr="00A143CE">
        <w:rPr>
          <w:rFonts w:ascii="Arial" w:hAnsi="Arial" w:cs="Arial"/>
          <w:sz w:val="24"/>
          <w:szCs w:val="24"/>
          <w:lang w:val="es-ES"/>
        </w:rPr>
        <w:t>.</w:t>
      </w:r>
    </w:p>
    <w:p w:rsidR="00DD6B32" w:rsidRPr="00A143CE" w:rsidRDefault="00DD6B32" w:rsidP="00DD6B32">
      <w:pPr>
        <w:pStyle w:val="Sinespaciado"/>
        <w:rPr>
          <w:rFonts w:ascii="Arial" w:hAnsi="Arial" w:cs="Arial"/>
          <w:sz w:val="24"/>
          <w:szCs w:val="24"/>
          <w:lang w:val="es-ES"/>
        </w:rPr>
      </w:pPr>
    </w:p>
    <w:p w:rsidR="005744F3" w:rsidRPr="00A143CE" w:rsidRDefault="005744F3" w:rsidP="005744F3">
      <w:pPr>
        <w:spacing w:after="0" w:line="360" w:lineRule="auto"/>
        <w:jc w:val="both"/>
        <w:rPr>
          <w:rFonts w:ascii="Arial" w:hAnsi="Arial" w:cs="Arial"/>
          <w:sz w:val="24"/>
          <w:szCs w:val="24"/>
        </w:rPr>
      </w:pPr>
      <w:r w:rsidRPr="00A143CE">
        <w:rPr>
          <w:rFonts w:ascii="Arial" w:hAnsi="Arial" w:cs="Arial"/>
          <w:sz w:val="24"/>
          <w:szCs w:val="24"/>
        </w:rPr>
        <w:t>En el presente caso</w:t>
      </w:r>
      <w:r w:rsidR="006F08CA" w:rsidRPr="00A143CE">
        <w:rPr>
          <w:rFonts w:ascii="Arial" w:hAnsi="Arial" w:cs="Arial"/>
          <w:sz w:val="24"/>
          <w:szCs w:val="24"/>
        </w:rPr>
        <w:t>,</w:t>
      </w:r>
      <w:r w:rsidRPr="00A143CE">
        <w:rPr>
          <w:rFonts w:ascii="Arial" w:hAnsi="Arial" w:cs="Arial"/>
          <w:sz w:val="24"/>
          <w:szCs w:val="24"/>
        </w:rPr>
        <w:t xml:space="preserve"> se tiene que la vinculación al proceso penal del señor Carlos Enrique Trujillo Ocampo</w:t>
      </w:r>
      <w:r w:rsidR="006F08CA" w:rsidRPr="00A143CE">
        <w:rPr>
          <w:rFonts w:ascii="Arial" w:hAnsi="Arial" w:cs="Arial"/>
          <w:sz w:val="24"/>
          <w:szCs w:val="24"/>
        </w:rPr>
        <w:t xml:space="preserve"> se dispuso</w:t>
      </w:r>
      <w:r w:rsidRPr="00A143CE">
        <w:rPr>
          <w:rFonts w:ascii="Arial" w:hAnsi="Arial" w:cs="Arial"/>
          <w:sz w:val="24"/>
          <w:szCs w:val="24"/>
        </w:rPr>
        <w:t xml:space="preserve"> en razón de las interceptaciones telefónicas </w:t>
      </w:r>
      <w:r w:rsidRPr="00A143CE">
        <w:rPr>
          <w:rFonts w:ascii="Arial" w:hAnsi="Arial" w:cs="Arial"/>
          <w:sz w:val="24"/>
          <w:szCs w:val="24"/>
        </w:rPr>
        <w:lastRenderedPageBreak/>
        <w:t>efectuadas por la Fiscalía Veintiuno, Unidad Seccional de Reacción Inmediata de Ibagué a causa de una llamada telefónica anónima que señaló la existencia de una banda delictiva dedicada al tráfico, elaboración y distribución de drogas alucinógenas, interceptaciones que, en esencia, sirvieron de base para que la Fiscalía impusiera la medida de aseguramiento consistente en detención preventiva.</w:t>
      </w:r>
    </w:p>
    <w:p w:rsidR="005744F3" w:rsidRPr="00A143CE" w:rsidRDefault="005744F3" w:rsidP="005744F3">
      <w:pPr>
        <w:spacing w:after="0" w:line="360" w:lineRule="auto"/>
        <w:jc w:val="both"/>
        <w:rPr>
          <w:rFonts w:ascii="Arial" w:hAnsi="Arial" w:cs="Arial"/>
          <w:sz w:val="24"/>
          <w:szCs w:val="24"/>
        </w:rPr>
      </w:pPr>
    </w:p>
    <w:p w:rsidR="005744F3" w:rsidRPr="00A143CE" w:rsidRDefault="005744F3" w:rsidP="005744F3">
      <w:pPr>
        <w:spacing w:line="360" w:lineRule="auto"/>
        <w:jc w:val="both"/>
        <w:rPr>
          <w:rFonts w:ascii="Arial" w:hAnsi="Arial" w:cs="Arial"/>
          <w:color w:val="000000"/>
          <w:sz w:val="24"/>
          <w:szCs w:val="24"/>
        </w:rPr>
      </w:pPr>
      <w:r w:rsidRPr="00A143CE">
        <w:rPr>
          <w:rFonts w:ascii="Arial" w:eastAsia="Times New Roman" w:hAnsi="Arial" w:cs="Arial"/>
          <w:sz w:val="24"/>
          <w:szCs w:val="24"/>
          <w:lang w:val="es-ES" w:eastAsia="es-ES"/>
        </w:rPr>
        <w:t xml:space="preserve">Asimismo, el acervo probatorio da cuenta </w:t>
      </w:r>
      <w:r w:rsidRPr="00A143CE">
        <w:rPr>
          <w:rFonts w:ascii="Arial" w:eastAsia="Times New Roman" w:hAnsi="Arial" w:cs="Arial"/>
          <w:i/>
          <w:sz w:val="24"/>
          <w:szCs w:val="24"/>
          <w:lang w:val="es-ES" w:eastAsia="es-ES"/>
        </w:rPr>
        <w:t>–como se indicó–,</w:t>
      </w:r>
      <w:r w:rsidRPr="00A143CE">
        <w:rPr>
          <w:rFonts w:ascii="Arial" w:eastAsia="Times New Roman" w:hAnsi="Arial" w:cs="Arial"/>
          <w:sz w:val="24"/>
          <w:szCs w:val="24"/>
          <w:lang w:val="es-ES" w:eastAsia="es-ES"/>
        </w:rPr>
        <w:t xml:space="preserve"> que al momento de rendir indagatoria, el señor Carlos Enrique Trujillo </w:t>
      </w:r>
      <w:r w:rsidR="006F08CA" w:rsidRPr="00A143CE">
        <w:rPr>
          <w:rFonts w:ascii="Arial" w:eastAsia="Times New Roman" w:hAnsi="Arial" w:cs="Arial"/>
          <w:sz w:val="24"/>
          <w:szCs w:val="24"/>
          <w:lang w:val="es-ES" w:eastAsia="es-ES"/>
        </w:rPr>
        <w:t>Ocampo</w:t>
      </w:r>
      <w:r w:rsidRPr="00A143CE">
        <w:rPr>
          <w:rFonts w:ascii="Arial" w:eastAsia="Times New Roman" w:hAnsi="Arial" w:cs="Arial"/>
          <w:sz w:val="24"/>
          <w:szCs w:val="24"/>
          <w:lang w:val="es-ES" w:eastAsia="es-ES"/>
        </w:rPr>
        <w:t xml:space="preserve"> manifestó poseer un arma de fuego con el fin de venderla, sin que hubiere acreditado dentro del proceso la propiedad y el respectivo permiso de porte y/o tenencia de la referida arma de fuego, por el contrario, el procesado admitió haber adquirido dicha arma de fuego </w:t>
      </w:r>
      <w:r w:rsidR="00AE5529" w:rsidRPr="00A143CE">
        <w:rPr>
          <w:rFonts w:ascii="Arial" w:eastAsia="Times New Roman" w:hAnsi="Arial" w:cs="Arial"/>
          <w:sz w:val="24"/>
          <w:szCs w:val="24"/>
          <w:lang w:val="es-ES" w:eastAsia="es-ES"/>
        </w:rPr>
        <w:t>de manera negligente.</w:t>
      </w:r>
    </w:p>
    <w:p w:rsidR="005744F3" w:rsidRPr="00A143CE" w:rsidRDefault="005744F3" w:rsidP="005744F3">
      <w:pPr>
        <w:pStyle w:val="Sinespaciado"/>
        <w:rPr>
          <w:rFonts w:ascii="Arial" w:hAnsi="Arial" w:cs="Arial"/>
          <w:sz w:val="24"/>
          <w:szCs w:val="24"/>
        </w:rPr>
      </w:pPr>
    </w:p>
    <w:p w:rsidR="000070AF" w:rsidRPr="00A143CE" w:rsidRDefault="006E7CE0" w:rsidP="00D454CA">
      <w:pPr>
        <w:spacing w:line="360" w:lineRule="auto"/>
        <w:jc w:val="both"/>
        <w:rPr>
          <w:rFonts w:ascii="Arial" w:hAnsi="Arial" w:cs="Arial"/>
          <w:sz w:val="24"/>
          <w:szCs w:val="24"/>
          <w:lang w:val="es-ES"/>
        </w:rPr>
      </w:pPr>
      <w:r w:rsidRPr="00A143CE">
        <w:rPr>
          <w:rFonts w:ascii="Arial" w:hAnsi="Arial" w:cs="Arial"/>
          <w:sz w:val="24"/>
          <w:szCs w:val="24"/>
          <w:lang w:val="es-ES"/>
        </w:rPr>
        <w:t>En efecto, en el plenario quedó acreditado que la causa eficiente o adecuada de la privación de la libertad del señor Trujillo Oca</w:t>
      </w:r>
      <w:r w:rsidR="006F08CA" w:rsidRPr="00A143CE">
        <w:rPr>
          <w:rFonts w:ascii="Arial" w:hAnsi="Arial" w:cs="Arial"/>
          <w:sz w:val="24"/>
          <w:szCs w:val="24"/>
          <w:lang w:val="es-ES"/>
        </w:rPr>
        <w:t>mpo no fue una actuación de la Administración de J</w:t>
      </w:r>
      <w:r w:rsidRPr="00A143CE">
        <w:rPr>
          <w:rFonts w:ascii="Arial" w:hAnsi="Arial" w:cs="Arial"/>
          <w:sz w:val="24"/>
          <w:szCs w:val="24"/>
          <w:lang w:val="es-ES"/>
        </w:rPr>
        <w:t>usticia, sino la propia co</w:t>
      </w:r>
      <w:r w:rsidR="006F08CA" w:rsidRPr="00A143CE">
        <w:rPr>
          <w:rFonts w:ascii="Arial" w:hAnsi="Arial" w:cs="Arial"/>
          <w:sz w:val="24"/>
          <w:szCs w:val="24"/>
          <w:lang w:val="es-ES"/>
        </w:rPr>
        <w:t>nducta de aquel, dada su aparente</w:t>
      </w:r>
      <w:r w:rsidRPr="00A143CE">
        <w:rPr>
          <w:rFonts w:ascii="Arial" w:hAnsi="Arial" w:cs="Arial"/>
          <w:sz w:val="24"/>
          <w:szCs w:val="24"/>
          <w:lang w:val="es-ES"/>
        </w:rPr>
        <w:t xml:space="preserve"> pertenencia a una red de delincuencia organizada y su posible participación en la comisión de varios delitos</w:t>
      </w:r>
      <w:r w:rsidR="000070AF" w:rsidRPr="00A143CE">
        <w:rPr>
          <w:rFonts w:ascii="Arial" w:hAnsi="Arial" w:cs="Arial"/>
          <w:sz w:val="24"/>
          <w:szCs w:val="24"/>
          <w:lang w:val="es-ES"/>
        </w:rPr>
        <w:t xml:space="preserve">, entre estos, el de concierto para delinquir, del que finalmente fue acusado y respecto del cual se tenían </w:t>
      </w:r>
      <w:r w:rsidR="00EC637B" w:rsidRPr="00A143CE">
        <w:rPr>
          <w:rFonts w:ascii="Arial" w:hAnsi="Arial" w:cs="Arial"/>
          <w:sz w:val="24"/>
          <w:szCs w:val="24"/>
          <w:lang w:val="es-ES"/>
        </w:rPr>
        <w:t>grabaciones que lo comprometían</w:t>
      </w:r>
      <w:r w:rsidR="000070AF" w:rsidRPr="00A143CE">
        <w:rPr>
          <w:rFonts w:ascii="Arial" w:hAnsi="Arial" w:cs="Arial"/>
          <w:sz w:val="24"/>
          <w:szCs w:val="24"/>
          <w:lang w:val="es-ES"/>
        </w:rPr>
        <w:t>, hechos que solo se podía esclarecer en el escenario de un proceso penal.</w:t>
      </w:r>
    </w:p>
    <w:p w:rsidR="006245FE" w:rsidRPr="00A143CE" w:rsidRDefault="006245FE" w:rsidP="005744F3">
      <w:pPr>
        <w:pStyle w:val="Sinespaciado"/>
        <w:rPr>
          <w:rFonts w:ascii="Arial" w:hAnsi="Arial" w:cs="Arial"/>
          <w:sz w:val="24"/>
          <w:szCs w:val="24"/>
          <w:lang w:val="es-ES"/>
        </w:rPr>
      </w:pPr>
    </w:p>
    <w:p w:rsidR="00C712C6" w:rsidRPr="00A143CE" w:rsidRDefault="00F669DC" w:rsidP="00176525">
      <w:pPr>
        <w:spacing w:line="360" w:lineRule="auto"/>
        <w:ind w:right="50"/>
        <w:jc w:val="both"/>
        <w:rPr>
          <w:rFonts w:ascii="Arial" w:hAnsi="Arial" w:cs="Arial"/>
          <w:sz w:val="24"/>
          <w:szCs w:val="24"/>
        </w:rPr>
      </w:pPr>
      <w:r w:rsidRPr="00A143CE">
        <w:rPr>
          <w:rFonts w:ascii="Arial" w:hAnsi="Arial" w:cs="Arial"/>
          <w:sz w:val="24"/>
          <w:szCs w:val="24"/>
        </w:rPr>
        <w:t>Así las cosas</w:t>
      </w:r>
      <w:r w:rsidR="00C712C6" w:rsidRPr="00A143CE">
        <w:rPr>
          <w:rFonts w:ascii="Arial" w:hAnsi="Arial" w:cs="Arial"/>
          <w:sz w:val="24"/>
          <w:szCs w:val="24"/>
        </w:rPr>
        <w:t>, dadas las particularidades del presente caso</w:t>
      </w:r>
      <w:r w:rsidR="006F08CA" w:rsidRPr="00A143CE">
        <w:rPr>
          <w:rFonts w:ascii="Arial" w:hAnsi="Arial" w:cs="Arial"/>
          <w:sz w:val="24"/>
          <w:szCs w:val="24"/>
        </w:rPr>
        <w:t xml:space="preserve"> </w:t>
      </w:r>
      <w:r w:rsidR="00C712C6" w:rsidRPr="00A143CE">
        <w:rPr>
          <w:rFonts w:ascii="Arial" w:hAnsi="Arial" w:cs="Arial"/>
          <w:sz w:val="24"/>
          <w:szCs w:val="24"/>
        </w:rPr>
        <w:t xml:space="preserve">y consecuente con la línea jurisprudencial a la que, igualmente, se aludió en precedencia </w:t>
      </w:r>
      <w:r w:rsidR="00C712C6" w:rsidRPr="00A143CE">
        <w:rPr>
          <w:rFonts w:ascii="Arial" w:hAnsi="Arial" w:cs="Arial"/>
          <w:i/>
          <w:sz w:val="24"/>
          <w:szCs w:val="24"/>
        </w:rPr>
        <w:t>-de acuerdo con la cual el hecho exclusivo de la víctima, entendido como la violación por parte de ésta de las obligaciones a las cuales está sujeto el ciudadano, exonera de responsabilidad a la Administración-</w:t>
      </w:r>
      <w:r w:rsidR="00C712C6" w:rsidRPr="00A143CE">
        <w:rPr>
          <w:rFonts w:ascii="Arial" w:hAnsi="Arial" w:cs="Arial"/>
          <w:sz w:val="24"/>
          <w:szCs w:val="24"/>
        </w:rPr>
        <w:t>, no puede menos que concluirse que, con base en las afirmaciones anteriormente expuestas, está demostrada en el expediente la configuración de la causal eximente de responsabilidad consistente en la culpa exclusiva de la víctima, esto es del señor</w:t>
      </w:r>
      <w:r w:rsidR="005744F3" w:rsidRPr="00A143CE">
        <w:rPr>
          <w:rFonts w:ascii="Arial" w:hAnsi="Arial" w:cs="Arial"/>
          <w:sz w:val="24"/>
          <w:szCs w:val="24"/>
        </w:rPr>
        <w:t xml:space="preserve"> Carlos Enrique Trujillo Ocampo</w:t>
      </w:r>
      <w:r w:rsidR="00C712C6" w:rsidRPr="00A143CE">
        <w:rPr>
          <w:rFonts w:ascii="Arial" w:hAnsi="Arial" w:cs="Arial"/>
          <w:sz w:val="24"/>
          <w:szCs w:val="24"/>
        </w:rPr>
        <w:t xml:space="preserve">, en el acaecimiento del resultado en que se tradujo la decisión de la Fiscalía General de la Nación al proferir una medida de aseguramiento en su contra, es decir, la pérdida de su libertad. </w:t>
      </w:r>
    </w:p>
    <w:p w:rsidR="00BA59D2" w:rsidRPr="00A143CE" w:rsidRDefault="00BA59D2" w:rsidP="00BA59D2">
      <w:pPr>
        <w:pStyle w:val="Sinespaciado"/>
        <w:rPr>
          <w:rFonts w:ascii="Arial" w:hAnsi="Arial" w:cs="Arial"/>
          <w:sz w:val="24"/>
          <w:szCs w:val="24"/>
        </w:rPr>
      </w:pPr>
    </w:p>
    <w:p w:rsidR="00C712C6" w:rsidRPr="00A143CE" w:rsidRDefault="00713DB5" w:rsidP="00BA59D2">
      <w:pPr>
        <w:pStyle w:val="Sinespaciado"/>
        <w:spacing w:line="360" w:lineRule="auto"/>
        <w:jc w:val="both"/>
        <w:rPr>
          <w:rFonts w:ascii="Arial" w:hAnsi="Arial" w:cs="Arial"/>
          <w:sz w:val="24"/>
          <w:szCs w:val="24"/>
          <w:lang w:eastAsia="es-CO"/>
        </w:rPr>
      </w:pPr>
      <w:r w:rsidRPr="00A143CE">
        <w:rPr>
          <w:rFonts w:ascii="Arial" w:hAnsi="Arial" w:cs="Arial"/>
          <w:sz w:val="24"/>
          <w:szCs w:val="24"/>
        </w:rPr>
        <w:lastRenderedPageBreak/>
        <w:t>Es preciso señalar que esta Subsección en s</w:t>
      </w:r>
      <w:r w:rsidR="00BA59D2" w:rsidRPr="00A143CE">
        <w:rPr>
          <w:rFonts w:ascii="Arial" w:hAnsi="Arial" w:cs="Arial"/>
          <w:sz w:val="24"/>
          <w:szCs w:val="24"/>
        </w:rPr>
        <w:t>entenc</w:t>
      </w:r>
      <w:r w:rsidRPr="00A143CE">
        <w:rPr>
          <w:rFonts w:ascii="Arial" w:hAnsi="Arial" w:cs="Arial"/>
          <w:sz w:val="24"/>
          <w:szCs w:val="24"/>
        </w:rPr>
        <w:t>ia de 23 de noviembre de 2016 dentro</w:t>
      </w:r>
      <w:r w:rsidR="00BA59D2" w:rsidRPr="00A143CE">
        <w:rPr>
          <w:rFonts w:ascii="Arial" w:hAnsi="Arial" w:cs="Arial"/>
          <w:sz w:val="24"/>
          <w:szCs w:val="24"/>
        </w:rPr>
        <w:t xml:space="preserve"> </w:t>
      </w:r>
      <w:r w:rsidRPr="00A143CE">
        <w:rPr>
          <w:rFonts w:ascii="Arial" w:hAnsi="Arial" w:cs="Arial"/>
          <w:sz w:val="24"/>
          <w:szCs w:val="24"/>
        </w:rPr>
        <w:t>d</w:t>
      </w:r>
      <w:r w:rsidR="00BA59D2" w:rsidRPr="00A143CE">
        <w:rPr>
          <w:rFonts w:ascii="Arial" w:hAnsi="Arial" w:cs="Arial"/>
          <w:sz w:val="24"/>
          <w:szCs w:val="24"/>
        </w:rPr>
        <w:t>el expediente No. 40571</w:t>
      </w:r>
      <w:r w:rsidR="003246F5" w:rsidRPr="00A143CE">
        <w:rPr>
          <w:rStyle w:val="Refdenotaalpie"/>
          <w:rFonts w:ascii="Arial" w:hAnsi="Arial" w:cs="Arial"/>
          <w:sz w:val="24"/>
          <w:szCs w:val="24"/>
        </w:rPr>
        <w:footnoteReference w:id="46"/>
      </w:r>
      <w:r w:rsidR="00860CD6" w:rsidRPr="00A143CE">
        <w:rPr>
          <w:rFonts w:ascii="Arial" w:hAnsi="Arial" w:cs="Arial"/>
          <w:sz w:val="24"/>
          <w:szCs w:val="24"/>
        </w:rPr>
        <w:t xml:space="preserve"> </w:t>
      </w:r>
      <w:r w:rsidR="00BA59D2" w:rsidRPr="00A143CE">
        <w:rPr>
          <w:rFonts w:ascii="Arial" w:hAnsi="Arial" w:cs="Arial"/>
          <w:sz w:val="24"/>
          <w:szCs w:val="24"/>
        </w:rPr>
        <w:t>declaró la culpa exclusiva de la víctima del demandante, quien estuvo vinculado a la investigación penal junto con el señor Carlos Enrique Trujillo Ocampo.</w:t>
      </w:r>
    </w:p>
    <w:p w:rsidR="00BA59D2" w:rsidRPr="00A143CE" w:rsidRDefault="00BA59D2" w:rsidP="005744F3">
      <w:pPr>
        <w:pStyle w:val="Sinespaciado"/>
        <w:rPr>
          <w:rFonts w:ascii="Arial" w:hAnsi="Arial" w:cs="Arial"/>
          <w:sz w:val="24"/>
          <w:szCs w:val="24"/>
          <w:lang w:eastAsia="es-CO"/>
        </w:rPr>
      </w:pPr>
    </w:p>
    <w:p w:rsidR="005744F3" w:rsidRPr="00A143CE" w:rsidRDefault="005744F3" w:rsidP="005744F3">
      <w:pPr>
        <w:spacing w:line="360" w:lineRule="auto"/>
        <w:jc w:val="both"/>
        <w:rPr>
          <w:rFonts w:ascii="Arial" w:hAnsi="Arial" w:cs="Arial"/>
          <w:sz w:val="24"/>
          <w:szCs w:val="24"/>
          <w:lang w:val="es-ES"/>
        </w:rPr>
      </w:pPr>
      <w:r w:rsidRPr="00A143CE">
        <w:rPr>
          <w:rFonts w:ascii="Arial" w:hAnsi="Arial" w:cs="Arial"/>
          <w:sz w:val="24"/>
          <w:szCs w:val="24"/>
          <w:lang w:val="es-ES"/>
        </w:rPr>
        <w:t>De acuerdo con todo lo anterior, forzoso resulta concluir acerca de la ausencia de daño antijurídico, por cuanto se configuró la causal eximente de responsabilidad consistente en la culpa exclusiva de la víctima, lo cual impone la necesidad de confirmar la sentencia de primera instancia.</w:t>
      </w:r>
    </w:p>
    <w:p w:rsidR="00C712C6" w:rsidRPr="00A143CE" w:rsidRDefault="00C712C6" w:rsidP="00035889">
      <w:pPr>
        <w:pStyle w:val="Sinespaciado"/>
        <w:rPr>
          <w:rFonts w:ascii="Arial" w:hAnsi="Arial" w:cs="Arial"/>
          <w:sz w:val="24"/>
          <w:szCs w:val="24"/>
          <w:lang w:val="es-ES" w:eastAsia="es-CO"/>
        </w:rPr>
      </w:pPr>
    </w:p>
    <w:p w:rsidR="00D454CA" w:rsidRPr="00A143CE" w:rsidRDefault="00F572C0" w:rsidP="00D454CA">
      <w:pPr>
        <w:spacing w:line="360" w:lineRule="auto"/>
        <w:jc w:val="both"/>
        <w:rPr>
          <w:rFonts w:ascii="Arial" w:eastAsia="Times New Roman" w:hAnsi="Arial" w:cs="Arial"/>
          <w:b/>
          <w:spacing w:val="4"/>
          <w:sz w:val="24"/>
          <w:szCs w:val="24"/>
          <w:lang w:eastAsia="es-ES"/>
        </w:rPr>
      </w:pPr>
      <w:r w:rsidRPr="00A143CE">
        <w:rPr>
          <w:rFonts w:ascii="Arial" w:eastAsia="Times New Roman" w:hAnsi="Arial" w:cs="Arial"/>
          <w:b/>
          <w:spacing w:val="4"/>
          <w:sz w:val="24"/>
          <w:szCs w:val="24"/>
          <w:lang w:eastAsia="es-ES"/>
        </w:rPr>
        <w:t>2.5</w:t>
      </w:r>
      <w:r w:rsidR="00D454CA" w:rsidRPr="00A143CE">
        <w:rPr>
          <w:rFonts w:ascii="Arial" w:eastAsia="Times New Roman" w:hAnsi="Arial" w:cs="Arial"/>
          <w:b/>
          <w:spacing w:val="4"/>
          <w:sz w:val="24"/>
          <w:szCs w:val="24"/>
          <w:lang w:eastAsia="es-ES"/>
        </w:rPr>
        <w:t>.- Condena en costas</w:t>
      </w:r>
    </w:p>
    <w:p w:rsidR="00EC637B" w:rsidRPr="00A143CE" w:rsidRDefault="00EC637B" w:rsidP="00EC637B">
      <w:pPr>
        <w:overflowPunct w:val="0"/>
        <w:autoSpaceDE w:val="0"/>
        <w:autoSpaceDN w:val="0"/>
        <w:adjustRightInd w:val="0"/>
        <w:spacing w:after="0" w:line="360" w:lineRule="auto"/>
        <w:jc w:val="both"/>
        <w:rPr>
          <w:rFonts w:ascii="Arial" w:hAnsi="Arial" w:cs="Arial"/>
          <w:spacing w:val="2"/>
          <w:sz w:val="24"/>
          <w:szCs w:val="24"/>
        </w:rPr>
      </w:pPr>
      <w:r w:rsidRPr="00A143CE">
        <w:rPr>
          <w:rFonts w:ascii="Arial" w:hAnsi="Arial" w:cs="Arial"/>
          <w:spacing w:val="2"/>
          <w:sz w:val="24"/>
          <w:szCs w:val="24"/>
        </w:rPr>
        <w:t xml:space="preserve">Finalmente, toda vez que para el momento en que se profiere este fallo, el artículo 171 del Código Contencioso Administrativo contenido en el Decreto Ley 01 de 1984, como fuera modificado por el artículo 55 de la Ley 446 de 1998 indica que sólo hay lugar a la imposición de costas cuando alguna de las partes haya actuado temerariamente y, debido a que ninguna procedió de esa forma en el </w:t>
      </w:r>
      <w:r w:rsidRPr="00A143CE">
        <w:rPr>
          <w:rFonts w:ascii="Arial" w:hAnsi="Arial" w:cs="Arial"/>
          <w:i/>
          <w:iCs/>
          <w:spacing w:val="2"/>
          <w:sz w:val="24"/>
          <w:szCs w:val="24"/>
        </w:rPr>
        <w:t>sub lite</w:t>
      </w:r>
      <w:r w:rsidRPr="00A143CE">
        <w:rPr>
          <w:rFonts w:ascii="Arial" w:hAnsi="Arial" w:cs="Arial"/>
          <w:spacing w:val="2"/>
          <w:sz w:val="24"/>
          <w:szCs w:val="24"/>
        </w:rPr>
        <w:t>, no habrá lugar a imponerlas.</w:t>
      </w:r>
    </w:p>
    <w:p w:rsidR="00EC637B" w:rsidRPr="00A143CE" w:rsidRDefault="00EC637B" w:rsidP="00EC637B">
      <w:pPr>
        <w:overflowPunct w:val="0"/>
        <w:autoSpaceDE w:val="0"/>
        <w:autoSpaceDN w:val="0"/>
        <w:adjustRightInd w:val="0"/>
        <w:spacing w:after="0" w:line="360" w:lineRule="auto"/>
        <w:jc w:val="both"/>
        <w:rPr>
          <w:rFonts w:ascii="Arial" w:eastAsia="Times New Roman" w:hAnsi="Arial" w:cs="Arial"/>
          <w:spacing w:val="4"/>
          <w:sz w:val="24"/>
          <w:szCs w:val="24"/>
          <w:lang w:eastAsia="es-ES"/>
        </w:rPr>
      </w:pPr>
    </w:p>
    <w:p w:rsidR="00EC637B" w:rsidRPr="00A143CE" w:rsidRDefault="00EC637B" w:rsidP="00EC637B">
      <w:pPr>
        <w:overflowPunct w:val="0"/>
        <w:autoSpaceDE w:val="0"/>
        <w:autoSpaceDN w:val="0"/>
        <w:adjustRightInd w:val="0"/>
        <w:spacing w:after="0" w:line="360" w:lineRule="auto"/>
        <w:jc w:val="both"/>
        <w:rPr>
          <w:rFonts w:ascii="Arial" w:eastAsia="Times New Roman" w:hAnsi="Arial" w:cs="Arial"/>
          <w:spacing w:val="4"/>
          <w:sz w:val="24"/>
          <w:szCs w:val="24"/>
          <w:lang w:eastAsia="es-ES"/>
        </w:rPr>
      </w:pPr>
      <w:r w:rsidRPr="00A143CE">
        <w:rPr>
          <w:rFonts w:ascii="Arial" w:eastAsia="Times New Roman" w:hAnsi="Arial" w:cs="Arial"/>
          <w:spacing w:val="4"/>
          <w:sz w:val="24"/>
          <w:szCs w:val="24"/>
          <w:lang w:eastAsia="es-ES"/>
        </w:rPr>
        <w:t>En mérito de lo expuesto, el Consejo de Estado, en Sala de lo Contencioso Administrativo, Sección Tercera, Subsección A, administrando Justicia en nombre de la República y por autoridad de la ley,</w:t>
      </w:r>
    </w:p>
    <w:p w:rsidR="00035889" w:rsidRPr="00A143CE" w:rsidRDefault="00035889" w:rsidP="00035889">
      <w:pPr>
        <w:overflowPunct w:val="0"/>
        <w:autoSpaceDE w:val="0"/>
        <w:autoSpaceDN w:val="0"/>
        <w:adjustRightInd w:val="0"/>
        <w:spacing w:line="360" w:lineRule="auto"/>
        <w:jc w:val="both"/>
        <w:rPr>
          <w:rFonts w:ascii="Arial" w:eastAsia="Times New Roman" w:hAnsi="Arial" w:cs="Arial"/>
          <w:spacing w:val="2"/>
          <w:sz w:val="24"/>
          <w:szCs w:val="24"/>
          <w:lang w:eastAsia="es-ES"/>
        </w:rPr>
      </w:pPr>
    </w:p>
    <w:p w:rsidR="00035889" w:rsidRPr="00A143CE" w:rsidRDefault="00035889" w:rsidP="00035889">
      <w:pPr>
        <w:spacing w:line="360" w:lineRule="auto"/>
        <w:jc w:val="center"/>
        <w:rPr>
          <w:rFonts w:ascii="Arial" w:hAnsi="Arial" w:cs="Arial"/>
          <w:b/>
          <w:spacing w:val="2"/>
          <w:sz w:val="24"/>
          <w:szCs w:val="24"/>
        </w:rPr>
      </w:pPr>
      <w:r w:rsidRPr="00A143CE">
        <w:rPr>
          <w:rFonts w:ascii="Arial" w:hAnsi="Arial" w:cs="Arial"/>
          <w:b/>
          <w:spacing w:val="2"/>
          <w:sz w:val="24"/>
          <w:szCs w:val="24"/>
        </w:rPr>
        <w:t>FALLA</w:t>
      </w:r>
    </w:p>
    <w:p w:rsidR="00035889" w:rsidRPr="00A143CE" w:rsidRDefault="00035889" w:rsidP="00035889">
      <w:pPr>
        <w:suppressAutoHyphens/>
        <w:spacing w:line="360" w:lineRule="auto"/>
        <w:jc w:val="both"/>
        <w:rPr>
          <w:rFonts w:ascii="Arial" w:hAnsi="Arial" w:cs="Arial"/>
          <w:spacing w:val="-3"/>
          <w:sz w:val="24"/>
          <w:szCs w:val="24"/>
          <w:lang w:val="es-ES_tradnl" w:eastAsia="es-CO"/>
        </w:rPr>
      </w:pPr>
      <w:r w:rsidRPr="00A143CE">
        <w:rPr>
          <w:rFonts w:ascii="Arial" w:eastAsia="Times New Roman" w:hAnsi="Arial" w:cs="Arial"/>
          <w:b/>
          <w:bCs/>
          <w:color w:val="000000"/>
          <w:sz w:val="24"/>
          <w:szCs w:val="24"/>
          <w:lang w:val="es-ES" w:eastAsia="es-ES"/>
        </w:rPr>
        <w:t>PRIMERO: CONFIRMAR</w:t>
      </w:r>
      <w:r w:rsidRPr="00A143CE">
        <w:rPr>
          <w:rFonts w:ascii="Arial" w:hAnsi="Arial" w:cs="Arial"/>
          <w:b/>
          <w:spacing w:val="-3"/>
          <w:sz w:val="24"/>
          <w:szCs w:val="24"/>
          <w:lang w:val="es-ES_tradnl" w:eastAsia="es-CO"/>
        </w:rPr>
        <w:t xml:space="preserve"> </w:t>
      </w:r>
      <w:r w:rsidRPr="00A143CE">
        <w:rPr>
          <w:rFonts w:ascii="Arial" w:hAnsi="Arial" w:cs="Arial"/>
          <w:spacing w:val="-3"/>
          <w:sz w:val="24"/>
          <w:szCs w:val="24"/>
          <w:lang w:val="es-ES_tradnl" w:eastAsia="es-CO"/>
        </w:rPr>
        <w:t>la sentencia proferida por el Tribunal Administrativo de</w:t>
      </w:r>
      <w:r w:rsidR="00EC637B" w:rsidRPr="00A143CE">
        <w:rPr>
          <w:rFonts w:ascii="Arial" w:hAnsi="Arial" w:cs="Arial"/>
          <w:spacing w:val="-3"/>
          <w:sz w:val="24"/>
          <w:szCs w:val="24"/>
          <w:lang w:val="es-ES_tradnl" w:eastAsia="es-CO"/>
        </w:rPr>
        <w:t>l</w:t>
      </w:r>
      <w:r w:rsidRPr="00A143CE">
        <w:rPr>
          <w:rFonts w:ascii="Arial" w:hAnsi="Arial" w:cs="Arial"/>
          <w:spacing w:val="-3"/>
          <w:sz w:val="24"/>
          <w:szCs w:val="24"/>
          <w:lang w:val="es-ES_tradnl" w:eastAsia="es-CO"/>
        </w:rPr>
        <w:t xml:space="preserve"> </w:t>
      </w:r>
      <w:r w:rsidR="00EC637B" w:rsidRPr="00A143CE">
        <w:rPr>
          <w:rFonts w:ascii="Arial" w:hAnsi="Arial" w:cs="Arial"/>
          <w:spacing w:val="-3"/>
          <w:sz w:val="24"/>
          <w:szCs w:val="24"/>
          <w:lang w:val="es-ES_tradnl" w:eastAsia="es-CO"/>
        </w:rPr>
        <w:t>Tolima</w:t>
      </w:r>
      <w:r w:rsidRPr="00A143CE">
        <w:rPr>
          <w:rFonts w:ascii="Arial" w:hAnsi="Arial" w:cs="Arial"/>
          <w:spacing w:val="-3"/>
          <w:sz w:val="24"/>
          <w:szCs w:val="24"/>
          <w:lang w:val="es-ES_tradnl" w:eastAsia="es-CO"/>
        </w:rPr>
        <w:t xml:space="preserve"> el </w:t>
      </w:r>
      <w:r w:rsidR="00EC637B" w:rsidRPr="00A143CE">
        <w:rPr>
          <w:rFonts w:ascii="Arial" w:hAnsi="Arial" w:cs="Arial"/>
          <w:spacing w:val="-3"/>
          <w:sz w:val="24"/>
          <w:szCs w:val="24"/>
          <w:lang w:val="es-ES_tradnl" w:eastAsia="es-CO"/>
        </w:rPr>
        <w:t>18 de mayo de 2012</w:t>
      </w:r>
      <w:r w:rsidRPr="00A143CE">
        <w:rPr>
          <w:rFonts w:ascii="Arial" w:hAnsi="Arial" w:cs="Arial"/>
          <w:spacing w:val="-3"/>
          <w:sz w:val="24"/>
          <w:szCs w:val="24"/>
          <w:lang w:val="es-ES_tradnl" w:eastAsia="es-CO"/>
        </w:rPr>
        <w:t xml:space="preserve">. </w:t>
      </w:r>
    </w:p>
    <w:p w:rsidR="00EC637B" w:rsidRPr="00A143CE" w:rsidRDefault="00EC637B" w:rsidP="00EC637B">
      <w:pPr>
        <w:pStyle w:val="Sinespaciado"/>
        <w:rPr>
          <w:rFonts w:ascii="Arial" w:hAnsi="Arial" w:cs="Arial"/>
          <w:sz w:val="24"/>
          <w:szCs w:val="24"/>
          <w:lang w:val="es-ES_tradnl" w:eastAsia="es-CO"/>
        </w:rPr>
      </w:pPr>
    </w:p>
    <w:p w:rsidR="00035889" w:rsidRPr="00A143CE" w:rsidRDefault="00035889" w:rsidP="00035889">
      <w:pPr>
        <w:widowControl w:val="0"/>
        <w:spacing w:line="360" w:lineRule="auto"/>
        <w:jc w:val="both"/>
        <w:rPr>
          <w:rFonts w:ascii="Arial" w:hAnsi="Arial" w:cs="Arial"/>
          <w:sz w:val="24"/>
          <w:szCs w:val="24"/>
          <w:lang w:eastAsia="es-CO"/>
        </w:rPr>
      </w:pPr>
      <w:r w:rsidRPr="00A143CE">
        <w:rPr>
          <w:rFonts w:ascii="Arial" w:hAnsi="Arial" w:cs="Arial"/>
          <w:b/>
          <w:spacing w:val="-3"/>
          <w:sz w:val="24"/>
          <w:szCs w:val="24"/>
          <w:lang w:val="es-ES_tradnl" w:eastAsia="es-CO"/>
        </w:rPr>
        <w:t>SEGUNDO</w:t>
      </w:r>
      <w:r w:rsidRPr="00A143CE">
        <w:rPr>
          <w:rFonts w:ascii="Arial" w:hAnsi="Arial" w:cs="Arial"/>
          <w:spacing w:val="-3"/>
          <w:sz w:val="24"/>
          <w:szCs w:val="24"/>
          <w:lang w:val="es-ES_tradnl" w:eastAsia="es-CO"/>
        </w:rPr>
        <w:t>:</w:t>
      </w:r>
      <w:r w:rsidRPr="00A143CE">
        <w:rPr>
          <w:rFonts w:ascii="Arial" w:hAnsi="Arial" w:cs="Arial"/>
          <w:b/>
          <w:spacing w:val="-3"/>
          <w:sz w:val="24"/>
          <w:szCs w:val="24"/>
          <w:lang w:val="es-ES_tradnl" w:eastAsia="es-CO"/>
        </w:rPr>
        <w:t xml:space="preserve"> </w:t>
      </w:r>
      <w:r w:rsidR="00503047" w:rsidRPr="00A143CE">
        <w:rPr>
          <w:rFonts w:ascii="Arial" w:eastAsia="Times New Roman" w:hAnsi="Arial" w:cs="Arial"/>
          <w:sz w:val="24"/>
          <w:szCs w:val="24"/>
          <w:lang w:val="es-ES" w:eastAsia="es-ES"/>
        </w:rPr>
        <w:t>Sin condena en costas</w:t>
      </w:r>
    </w:p>
    <w:p w:rsidR="00035889" w:rsidRPr="00A143CE" w:rsidRDefault="00035889" w:rsidP="00035889">
      <w:pPr>
        <w:pStyle w:val="Sinespaciado"/>
        <w:rPr>
          <w:rFonts w:ascii="Arial" w:hAnsi="Arial" w:cs="Arial"/>
          <w:sz w:val="24"/>
          <w:szCs w:val="24"/>
          <w:lang w:eastAsia="es-CO"/>
        </w:rPr>
      </w:pPr>
    </w:p>
    <w:p w:rsidR="00503047" w:rsidRPr="00A143CE" w:rsidRDefault="00035889" w:rsidP="00503047">
      <w:pPr>
        <w:spacing w:line="360" w:lineRule="auto"/>
        <w:jc w:val="both"/>
        <w:rPr>
          <w:rFonts w:ascii="Arial" w:eastAsia="Times New Roman" w:hAnsi="Arial" w:cs="Arial"/>
          <w:spacing w:val="-3"/>
          <w:sz w:val="24"/>
          <w:szCs w:val="24"/>
          <w:lang w:val="es-ES_tradnl" w:eastAsia="es-ES"/>
        </w:rPr>
      </w:pPr>
      <w:r w:rsidRPr="00A143CE">
        <w:rPr>
          <w:rFonts w:ascii="Arial" w:hAnsi="Arial" w:cs="Arial"/>
          <w:b/>
          <w:sz w:val="24"/>
          <w:szCs w:val="24"/>
          <w:lang w:eastAsia="es-CO"/>
        </w:rPr>
        <w:t>TERCERO</w:t>
      </w:r>
      <w:r w:rsidRPr="00A143CE">
        <w:rPr>
          <w:rFonts w:ascii="Arial" w:hAnsi="Arial" w:cs="Arial"/>
          <w:sz w:val="24"/>
          <w:szCs w:val="24"/>
          <w:lang w:eastAsia="es-CO"/>
        </w:rPr>
        <w:t>:</w:t>
      </w:r>
      <w:r w:rsidR="00503047" w:rsidRPr="00A143CE">
        <w:rPr>
          <w:rFonts w:ascii="Arial" w:eastAsia="Times New Roman" w:hAnsi="Arial" w:cs="Arial"/>
          <w:sz w:val="24"/>
          <w:szCs w:val="24"/>
          <w:lang w:val="es-ES" w:eastAsia="es-ES"/>
        </w:rPr>
        <w:t xml:space="preserve"> Ejecutoriada esta providencia, </w:t>
      </w:r>
      <w:r w:rsidR="00503047" w:rsidRPr="00A143CE">
        <w:rPr>
          <w:rFonts w:ascii="Arial" w:eastAsia="Times New Roman" w:hAnsi="Arial" w:cs="Arial"/>
          <w:b/>
          <w:sz w:val="24"/>
          <w:szCs w:val="24"/>
          <w:lang w:val="es-ES" w:eastAsia="es-ES"/>
        </w:rPr>
        <w:t>DEVOLVER</w:t>
      </w:r>
      <w:r w:rsidR="00503047" w:rsidRPr="00A143CE">
        <w:rPr>
          <w:rFonts w:ascii="Arial" w:eastAsia="Times New Roman" w:hAnsi="Arial" w:cs="Arial"/>
          <w:sz w:val="24"/>
          <w:szCs w:val="24"/>
          <w:lang w:val="es-ES" w:eastAsia="es-ES"/>
        </w:rPr>
        <w:t xml:space="preserve"> el expediente al Tribunal de origen para su cumplimiento</w:t>
      </w:r>
      <w:r w:rsidR="00503047" w:rsidRPr="00A143CE">
        <w:rPr>
          <w:rFonts w:ascii="Arial" w:eastAsia="Times New Roman" w:hAnsi="Arial" w:cs="Arial"/>
          <w:spacing w:val="-3"/>
          <w:sz w:val="24"/>
          <w:szCs w:val="24"/>
          <w:lang w:val="es-ES_tradnl" w:eastAsia="es-ES"/>
        </w:rPr>
        <w:t>.</w:t>
      </w:r>
    </w:p>
    <w:p w:rsidR="00035889" w:rsidRPr="00A143CE" w:rsidRDefault="00035889" w:rsidP="00035889">
      <w:pPr>
        <w:spacing w:line="360" w:lineRule="auto"/>
        <w:jc w:val="both"/>
        <w:rPr>
          <w:rFonts w:ascii="Arial" w:eastAsia="Times New Roman" w:hAnsi="Arial" w:cs="Arial"/>
          <w:sz w:val="24"/>
          <w:szCs w:val="24"/>
          <w:lang w:val="es-ES_tradnl" w:eastAsia="es-ES"/>
        </w:rPr>
      </w:pPr>
    </w:p>
    <w:p w:rsidR="00035889" w:rsidRPr="00A143CE" w:rsidRDefault="00035889" w:rsidP="00C84E2F">
      <w:pPr>
        <w:pStyle w:val="Sinespaciado"/>
        <w:rPr>
          <w:rFonts w:ascii="Arial" w:hAnsi="Arial" w:cs="Arial"/>
          <w:sz w:val="24"/>
          <w:szCs w:val="24"/>
        </w:rPr>
      </w:pPr>
    </w:p>
    <w:p w:rsidR="00C84E2F" w:rsidRPr="00A143CE" w:rsidRDefault="00C84E2F" w:rsidP="00035889">
      <w:pPr>
        <w:spacing w:line="360" w:lineRule="auto"/>
        <w:jc w:val="both"/>
        <w:rPr>
          <w:rFonts w:ascii="Arial" w:eastAsia="Times New Roman" w:hAnsi="Arial" w:cs="Arial"/>
          <w:spacing w:val="-3"/>
          <w:sz w:val="24"/>
          <w:szCs w:val="24"/>
          <w:lang w:val="es-ES_tradnl" w:eastAsia="es-ES"/>
        </w:rPr>
      </w:pPr>
    </w:p>
    <w:p w:rsidR="00035889" w:rsidRPr="00A143CE" w:rsidRDefault="00035889" w:rsidP="00035889">
      <w:pPr>
        <w:jc w:val="center"/>
        <w:rPr>
          <w:rFonts w:ascii="Arial" w:hAnsi="Arial" w:cs="Arial"/>
          <w:b/>
          <w:bCs/>
          <w:spacing w:val="2"/>
          <w:sz w:val="24"/>
          <w:szCs w:val="24"/>
        </w:rPr>
      </w:pPr>
      <w:r w:rsidRPr="00A143CE">
        <w:rPr>
          <w:rFonts w:ascii="Arial" w:hAnsi="Arial" w:cs="Arial"/>
          <w:b/>
          <w:bCs/>
          <w:spacing w:val="2"/>
          <w:sz w:val="24"/>
          <w:szCs w:val="24"/>
        </w:rPr>
        <w:t>CÓPIESE, NOTIFÍQUESE Y CÚMPLASE</w:t>
      </w:r>
    </w:p>
    <w:p w:rsidR="00035889" w:rsidRPr="00A143CE" w:rsidRDefault="00035889" w:rsidP="00C84E2F">
      <w:pPr>
        <w:pStyle w:val="Sinespaciado"/>
        <w:rPr>
          <w:rFonts w:ascii="Arial" w:hAnsi="Arial" w:cs="Arial"/>
          <w:sz w:val="24"/>
          <w:szCs w:val="24"/>
        </w:rPr>
      </w:pPr>
    </w:p>
    <w:p w:rsidR="00035889" w:rsidRPr="00A143CE" w:rsidRDefault="00035889" w:rsidP="00035889">
      <w:pPr>
        <w:rPr>
          <w:rFonts w:ascii="Arial" w:hAnsi="Arial" w:cs="Arial"/>
          <w:sz w:val="24"/>
          <w:szCs w:val="24"/>
        </w:rPr>
      </w:pPr>
    </w:p>
    <w:p w:rsidR="00176525" w:rsidRPr="00A143CE" w:rsidRDefault="00176525" w:rsidP="00035889">
      <w:pPr>
        <w:rPr>
          <w:rFonts w:ascii="Arial" w:hAnsi="Arial" w:cs="Arial"/>
          <w:sz w:val="24"/>
          <w:szCs w:val="24"/>
        </w:rPr>
      </w:pPr>
    </w:p>
    <w:p w:rsidR="00035889" w:rsidRPr="00A143CE" w:rsidRDefault="00035889" w:rsidP="00035889">
      <w:pPr>
        <w:spacing w:line="360" w:lineRule="auto"/>
        <w:jc w:val="center"/>
        <w:rPr>
          <w:rFonts w:ascii="Arial" w:hAnsi="Arial" w:cs="Arial"/>
          <w:b/>
          <w:bCs/>
          <w:color w:val="000000"/>
          <w:spacing w:val="2"/>
          <w:sz w:val="24"/>
          <w:szCs w:val="24"/>
        </w:rPr>
      </w:pPr>
      <w:r w:rsidRPr="00A143CE">
        <w:rPr>
          <w:rFonts w:ascii="Arial" w:hAnsi="Arial" w:cs="Arial"/>
          <w:b/>
          <w:bCs/>
          <w:color w:val="000000"/>
          <w:spacing w:val="2"/>
          <w:sz w:val="24"/>
          <w:szCs w:val="24"/>
        </w:rPr>
        <w:t xml:space="preserve">MARTA NUBIA VELÁSQUEZ RICO      </w:t>
      </w:r>
    </w:p>
    <w:p w:rsidR="00035889" w:rsidRPr="00A143CE" w:rsidRDefault="00035889" w:rsidP="00035889">
      <w:pPr>
        <w:spacing w:line="360" w:lineRule="auto"/>
        <w:jc w:val="center"/>
        <w:rPr>
          <w:rFonts w:ascii="Arial" w:hAnsi="Arial" w:cs="Arial"/>
          <w:b/>
          <w:bCs/>
          <w:color w:val="000000"/>
          <w:spacing w:val="2"/>
          <w:sz w:val="24"/>
          <w:szCs w:val="24"/>
        </w:rPr>
      </w:pPr>
    </w:p>
    <w:p w:rsidR="00035889" w:rsidRPr="00A143CE" w:rsidRDefault="00035889" w:rsidP="00035889">
      <w:pPr>
        <w:spacing w:line="360" w:lineRule="auto"/>
        <w:jc w:val="center"/>
        <w:rPr>
          <w:rFonts w:ascii="Arial" w:hAnsi="Arial" w:cs="Arial"/>
          <w:b/>
          <w:bCs/>
          <w:color w:val="000000"/>
          <w:spacing w:val="2"/>
          <w:sz w:val="24"/>
          <w:szCs w:val="24"/>
        </w:rPr>
      </w:pPr>
    </w:p>
    <w:p w:rsidR="005744F3" w:rsidRPr="00A143CE" w:rsidRDefault="00035889" w:rsidP="00EC637B">
      <w:pPr>
        <w:spacing w:line="360" w:lineRule="auto"/>
        <w:jc w:val="center"/>
        <w:rPr>
          <w:rFonts w:ascii="Arial" w:eastAsia="Times New Roman" w:hAnsi="Arial" w:cs="Arial"/>
          <w:sz w:val="24"/>
          <w:szCs w:val="24"/>
          <w:lang w:val="es-ES" w:eastAsia="es-ES"/>
        </w:rPr>
      </w:pPr>
      <w:r w:rsidRPr="00A143CE">
        <w:rPr>
          <w:rFonts w:ascii="Arial" w:hAnsi="Arial" w:cs="Arial"/>
          <w:b/>
          <w:bCs/>
          <w:color w:val="000000"/>
          <w:spacing w:val="2"/>
          <w:sz w:val="24"/>
          <w:szCs w:val="24"/>
        </w:rPr>
        <w:t>CARLOS ALBERTO ZAMBRANO BARRERA</w:t>
      </w:r>
    </w:p>
    <w:sectPr w:rsidR="005744F3" w:rsidRPr="00A143CE" w:rsidSect="002E7A46">
      <w:headerReference w:type="default" r:id="rId11"/>
      <w:headerReference w:type="first" r:id="rId12"/>
      <w:footerReference w:type="first" r:id="rId13"/>
      <w:pgSz w:w="12242" w:h="18722" w:code="121"/>
      <w:pgMar w:top="1701" w:right="1701" w:bottom="1701" w:left="1701"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78F6" w:rsidRDefault="008478F6" w:rsidP="00A624FC">
      <w:pPr>
        <w:spacing w:after="0" w:line="240" w:lineRule="auto"/>
      </w:pPr>
      <w:r>
        <w:separator/>
      </w:r>
    </w:p>
  </w:endnote>
  <w:endnote w:type="continuationSeparator" w:id="0">
    <w:p w:rsidR="008478F6" w:rsidRDefault="008478F6" w:rsidP="00A624FC">
      <w:pPr>
        <w:spacing w:after="0" w:line="240" w:lineRule="auto"/>
      </w:pPr>
      <w:r>
        <w:continuationSeparator/>
      </w:r>
    </w:p>
  </w:endnote>
  <w:endnote w:type="continuationNotice" w:id="1">
    <w:p w:rsidR="008478F6" w:rsidRDefault="008478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6EE3" w:rsidRDefault="00326EE3" w:rsidP="00635BB8">
    <w:pPr>
      <w:pStyle w:val="Piedepgina"/>
      <w:tabs>
        <w:tab w:val="clear" w:pos="4419"/>
        <w:tab w:val="clear" w:pos="8838"/>
      </w:tabs>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78F6" w:rsidRDefault="008478F6" w:rsidP="00A624FC">
      <w:pPr>
        <w:spacing w:after="0" w:line="240" w:lineRule="auto"/>
      </w:pPr>
      <w:r>
        <w:separator/>
      </w:r>
    </w:p>
  </w:footnote>
  <w:footnote w:type="continuationSeparator" w:id="0">
    <w:p w:rsidR="008478F6" w:rsidRDefault="008478F6" w:rsidP="00A624FC">
      <w:pPr>
        <w:spacing w:after="0" w:line="240" w:lineRule="auto"/>
      </w:pPr>
      <w:r>
        <w:continuationSeparator/>
      </w:r>
    </w:p>
  </w:footnote>
  <w:footnote w:type="continuationNotice" w:id="1">
    <w:p w:rsidR="008478F6" w:rsidRDefault="008478F6">
      <w:pPr>
        <w:spacing w:after="0" w:line="240" w:lineRule="auto"/>
      </w:pPr>
    </w:p>
  </w:footnote>
  <w:footnote w:id="2">
    <w:p w:rsidR="00326EE3" w:rsidRPr="00227C5C" w:rsidRDefault="00326EE3" w:rsidP="00227C5C">
      <w:pPr>
        <w:pStyle w:val="Sinespaciado"/>
        <w:jc w:val="both"/>
        <w:rPr>
          <w:sz w:val="20"/>
          <w:szCs w:val="20"/>
        </w:rPr>
      </w:pPr>
      <w:r w:rsidRPr="00227C5C">
        <w:rPr>
          <w:rStyle w:val="Refdenotaalpie"/>
          <w:rFonts w:ascii="Arial" w:hAnsi="Arial" w:cs="Arial"/>
          <w:sz w:val="20"/>
          <w:szCs w:val="20"/>
        </w:rPr>
        <w:footnoteRef/>
      </w:r>
      <w:r w:rsidRPr="00227C5C">
        <w:rPr>
          <w:rFonts w:ascii="Arial" w:hAnsi="Arial" w:cs="Arial"/>
          <w:sz w:val="20"/>
          <w:szCs w:val="20"/>
        </w:rPr>
        <w:t xml:space="preserve"> </w:t>
      </w:r>
      <w:r>
        <w:rPr>
          <w:rFonts w:ascii="Arial" w:hAnsi="Arial" w:cs="Arial"/>
          <w:sz w:val="20"/>
          <w:szCs w:val="20"/>
        </w:rPr>
        <w:t>Fl.</w:t>
      </w:r>
      <w:r w:rsidRPr="00227C5C">
        <w:rPr>
          <w:rFonts w:ascii="Arial" w:hAnsi="Arial" w:cs="Arial"/>
          <w:sz w:val="20"/>
          <w:szCs w:val="20"/>
        </w:rPr>
        <w:t xml:space="preserve"> </w:t>
      </w:r>
      <w:r>
        <w:rPr>
          <w:rFonts w:ascii="Arial" w:hAnsi="Arial" w:cs="Arial"/>
          <w:sz w:val="20"/>
          <w:szCs w:val="20"/>
        </w:rPr>
        <w:t>1 C. 1</w:t>
      </w:r>
    </w:p>
  </w:footnote>
  <w:footnote w:id="3">
    <w:p w:rsidR="00326EE3" w:rsidRPr="009372FA" w:rsidRDefault="00326EE3" w:rsidP="009372FA">
      <w:pPr>
        <w:pStyle w:val="Sinespaciado"/>
        <w:jc w:val="both"/>
        <w:rPr>
          <w:rFonts w:ascii="Arial" w:hAnsi="Arial" w:cs="Arial"/>
          <w:sz w:val="20"/>
          <w:szCs w:val="20"/>
          <w:lang w:val="es-ES"/>
        </w:rPr>
      </w:pPr>
      <w:r w:rsidRPr="009372FA">
        <w:rPr>
          <w:rStyle w:val="Refdenotaalpie"/>
          <w:rFonts w:ascii="Arial" w:hAnsi="Arial" w:cs="Arial"/>
          <w:sz w:val="20"/>
          <w:szCs w:val="20"/>
        </w:rPr>
        <w:footnoteRef/>
      </w:r>
      <w:r>
        <w:rPr>
          <w:rFonts w:ascii="Arial" w:hAnsi="Arial" w:cs="Arial"/>
          <w:sz w:val="20"/>
          <w:szCs w:val="20"/>
          <w:lang w:val="es-ES"/>
        </w:rPr>
        <w:t xml:space="preserve"> Fl</w:t>
      </w:r>
      <w:r w:rsidRPr="009372FA">
        <w:rPr>
          <w:rFonts w:ascii="Arial" w:hAnsi="Arial" w:cs="Arial"/>
          <w:sz w:val="20"/>
          <w:szCs w:val="20"/>
          <w:lang w:val="es-ES"/>
        </w:rPr>
        <w:t>s</w:t>
      </w:r>
      <w:r>
        <w:rPr>
          <w:rFonts w:ascii="Arial" w:hAnsi="Arial" w:cs="Arial"/>
          <w:sz w:val="20"/>
          <w:szCs w:val="20"/>
          <w:lang w:val="es-ES"/>
        </w:rPr>
        <w:t>. 81 a</w:t>
      </w:r>
      <w:r w:rsidRPr="009372FA">
        <w:rPr>
          <w:rFonts w:ascii="Arial" w:hAnsi="Arial" w:cs="Arial"/>
          <w:sz w:val="20"/>
          <w:szCs w:val="20"/>
          <w:lang w:val="es-ES"/>
        </w:rPr>
        <w:t xml:space="preserve"> 88 </w:t>
      </w:r>
      <w:r>
        <w:rPr>
          <w:rFonts w:ascii="Arial" w:hAnsi="Arial" w:cs="Arial"/>
          <w:sz w:val="20"/>
          <w:szCs w:val="20"/>
          <w:lang w:val="es-ES"/>
        </w:rPr>
        <w:t>C. 1.</w:t>
      </w:r>
    </w:p>
  </w:footnote>
  <w:footnote w:id="4">
    <w:p w:rsidR="00326EE3" w:rsidRPr="00235BA4" w:rsidRDefault="00326EE3" w:rsidP="00235BA4">
      <w:pPr>
        <w:pStyle w:val="Sinespaciado"/>
        <w:rPr>
          <w:rFonts w:ascii="Arial" w:hAnsi="Arial" w:cs="Arial"/>
          <w:sz w:val="20"/>
          <w:szCs w:val="20"/>
        </w:rPr>
      </w:pPr>
      <w:r w:rsidRPr="00235BA4">
        <w:rPr>
          <w:rStyle w:val="Refdenotaalpie"/>
          <w:rFonts w:ascii="Arial" w:hAnsi="Arial" w:cs="Arial"/>
          <w:sz w:val="20"/>
          <w:szCs w:val="20"/>
        </w:rPr>
        <w:footnoteRef/>
      </w:r>
      <w:r w:rsidRPr="00235BA4">
        <w:rPr>
          <w:rFonts w:ascii="Arial" w:hAnsi="Arial" w:cs="Arial"/>
          <w:sz w:val="20"/>
          <w:szCs w:val="20"/>
        </w:rPr>
        <w:t xml:space="preserve"> Fls. 100, 103 y 104 C. 1.</w:t>
      </w:r>
    </w:p>
  </w:footnote>
  <w:footnote w:id="5">
    <w:p w:rsidR="00326EE3" w:rsidRPr="00235BA4" w:rsidRDefault="00326EE3" w:rsidP="00235BA4">
      <w:pPr>
        <w:pStyle w:val="Sinespaciado"/>
        <w:rPr>
          <w:rFonts w:ascii="Arial" w:hAnsi="Arial" w:cs="Arial"/>
          <w:sz w:val="20"/>
          <w:szCs w:val="20"/>
        </w:rPr>
      </w:pPr>
      <w:r w:rsidRPr="00235BA4">
        <w:rPr>
          <w:rStyle w:val="Refdenotaalpie"/>
          <w:rFonts w:ascii="Arial" w:hAnsi="Arial" w:cs="Arial"/>
          <w:sz w:val="20"/>
          <w:szCs w:val="20"/>
        </w:rPr>
        <w:footnoteRef/>
      </w:r>
      <w:r w:rsidRPr="00235BA4">
        <w:rPr>
          <w:rFonts w:ascii="Arial" w:hAnsi="Arial" w:cs="Arial"/>
          <w:sz w:val="20"/>
          <w:szCs w:val="20"/>
        </w:rPr>
        <w:t xml:space="preserve"> Fls.</w:t>
      </w:r>
      <w:r>
        <w:rPr>
          <w:rFonts w:ascii="Arial" w:hAnsi="Arial" w:cs="Arial"/>
          <w:sz w:val="20"/>
          <w:szCs w:val="20"/>
        </w:rPr>
        <w:t xml:space="preserve"> 110 a</w:t>
      </w:r>
      <w:r w:rsidRPr="00235BA4">
        <w:rPr>
          <w:rFonts w:ascii="Arial" w:hAnsi="Arial" w:cs="Arial"/>
          <w:sz w:val="20"/>
          <w:szCs w:val="20"/>
        </w:rPr>
        <w:t xml:space="preserve"> 112 C.1. </w:t>
      </w:r>
    </w:p>
  </w:footnote>
  <w:footnote w:id="6">
    <w:p w:rsidR="00326EE3" w:rsidRPr="00235BA4" w:rsidRDefault="00326EE3" w:rsidP="00235BA4">
      <w:pPr>
        <w:pStyle w:val="Sinespaciado"/>
        <w:rPr>
          <w:rFonts w:ascii="Arial" w:hAnsi="Arial" w:cs="Arial"/>
          <w:sz w:val="20"/>
          <w:szCs w:val="20"/>
        </w:rPr>
      </w:pPr>
      <w:r w:rsidRPr="00235BA4">
        <w:rPr>
          <w:rStyle w:val="Refdenotaalpie"/>
          <w:rFonts w:ascii="Arial" w:hAnsi="Arial" w:cs="Arial"/>
          <w:sz w:val="20"/>
          <w:szCs w:val="20"/>
        </w:rPr>
        <w:footnoteRef/>
      </w:r>
      <w:r w:rsidRPr="00235BA4">
        <w:rPr>
          <w:rFonts w:ascii="Arial" w:hAnsi="Arial" w:cs="Arial"/>
          <w:sz w:val="20"/>
          <w:szCs w:val="20"/>
        </w:rPr>
        <w:t xml:space="preserve"> Fls.</w:t>
      </w:r>
      <w:r>
        <w:rPr>
          <w:rFonts w:ascii="Arial" w:hAnsi="Arial" w:cs="Arial"/>
          <w:sz w:val="20"/>
          <w:szCs w:val="20"/>
        </w:rPr>
        <w:t xml:space="preserve"> 123 a</w:t>
      </w:r>
      <w:r w:rsidRPr="00235BA4">
        <w:rPr>
          <w:rFonts w:ascii="Arial" w:hAnsi="Arial" w:cs="Arial"/>
          <w:sz w:val="20"/>
          <w:szCs w:val="20"/>
        </w:rPr>
        <w:t xml:space="preserve"> 129 C 1. </w:t>
      </w:r>
    </w:p>
  </w:footnote>
  <w:footnote w:id="7">
    <w:p w:rsidR="00326EE3" w:rsidRPr="00235BA4" w:rsidRDefault="00326EE3" w:rsidP="00235BA4">
      <w:pPr>
        <w:pStyle w:val="Sinespaciado"/>
        <w:rPr>
          <w:rFonts w:ascii="Arial" w:hAnsi="Arial" w:cs="Arial"/>
        </w:rPr>
      </w:pPr>
      <w:r w:rsidRPr="00235BA4">
        <w:rPr>
          <w:rStyle w:val="Refdenotaalpie"/>
          <w:rFonts w:ascii="Arial" w:hAnsi="Arial" w:cs="Arial"/>
          <w:sz w:val="20"/>
          <w:szCs w:val="20"/>
        </w:rPr>
        <w:footnoteRef/>
      </w:r>
      <w:r w:rsidRPr="00235BA4">
        <w:rPr>
          <w:rFonts w:ascii="Arial" w:hAnsi="Arial" w:cs="Arial"/>
          <w:sz w:val="20"/>
          <w:szCs w:val="20"/>
        </w:rPr>
        <w:t xml:space="preserve"> Fls. 133 a 134, 158 C. 1</w:t>
      </w:r>
      <w:r w:rsidRPr="00235BA4">
        <w:rPr>
          <w:rFonts w:ascii="Arial" w:hAnsi="Arial" w:cs="Arial"/>
        </w:rPr>
        <w:t>.</w:t>
      </w:r>
    </w:p>
  </w:footnote>
  <w:footnote w:id="8">
    <w:p w:rsidR="00326EE3" w:rsidRPr="008D5070" w:rsidRDefault="00326EE3" w:rsidP="00547DF1">
      <w:pPr>
        <w:pStyle w:val="Sinespaciado"/>
        <w:jc w:val="both"/>
      </w:pPr>
      <w:r w:rsidRPr="00235BA4">
        <w:rPr>
          <w:rStyle w:val="Refdenotaalpie"/>
          <w:rFonts w:ascii="Arial" w:hAnsi="Arial" w:cs="Arial"/>
          <w:sz w:val="20"/>
          <w:szCs w:val="20"/>
        </w:rPr>
        <w:footnoteRef/>
      </w:r>
      <w:r>
        <w:rPr>
          <w:rFonts w:ascii="Arial" w:hAnsi="Arial" w:cs="Arial"/>
          <w:sz w:val="20"/>
          <w:szCs w:val="20"/>
        </w:rPr>
        <w:t>Fls. 179 a</w:t>
      </w:r>
      <w:r w:rsidRPr="00235BA4">
        <w:rPr>
          <w:rFonts w:ascii="Arial" w:hAnsi="Arial" w:cs="Arial"/>
          <w:sz w:val="20"/>
          <w:szCs w:val="20"/>
        </w:rPr>
        <w:t xml:space="preserve"> 182 C. 1</w:t>
      </w:r>
    </w:p>
  </w:footnote>
  <w:footnote w:id="9">
    <w:p w:rsidR="00326EE3" w:rsidRPr="006B02A9" w:rsidRDefault="00326EE3" w:rsidP="00547DF1">
      <w:pPr>
        <w:pStyle w:val="Sinespaciado"/>
        <w:jc w:val="both"/>
        <w:rPr>
          <w:rFonts w:ascii="Arial" w:hAnsi="Arial" w:cs="Arial"/>
          <w:sz w:val="20"/>
          <w:szCs w:val="20"/>
        </w:rPr>
      </w:pPr>
      <w:r w:rsidRPr="006B02A9">
        <w:rPr>
          <w:rStyle w:val="Refdenotaalpie"/>
          <w:rFonts w:ascii="Arial" w:hAnsi="Arial" w:cs="Arial"/>
          <w:sz w:val="20"/>
          <w:szCs w:val="20"/>
        </w:rPr>
        <w:footnoteRef/>
      </w:r>
      <w:r>
        <w:rPr>
          <w:rFonts w:ascii="Arial" w:hAnsi="Arial" w:cs="Arial"/>
          <w:sz w:val="20"/>
          <w:szCs w:val="20"/>
        </w:rPr>
        <w:t xml:space="preserve"> Folios 159 -160, 175 a 178 C. 1</w:t>
      </w:r>
    </w:p>
  </w:footnote>
  <w:footnote w:id="10">
    <w:p w:rsidR="00326EE3" w:rsidRPr="00227C5C" w:rsidRDefault="00326EE3" w:rsidP="00DA4B98">
      <w:pPr>
        <w:pStyle w:val="Sinespaciado"/>
        <w:jc w:val="both"/>
        <w:rPr>
          <w:rFonts w:ascii="Arial" w:hAnsi="Arial" w:cs="Arial"/>
          <w:sz w:val="20"/>
          <w:szCs w:val="20"/>
        </w:rPr>
      </w:pPr>
      <w:r w:rsidRPr="00227C5C">
        <w:rPr>
          <w:rStyle w:val="Refdenotaalpie"/>
          <w:rFonts w:ascii="Arial" w:hAnsi="Arial" w:cs="Arial"/>
          <w:sz w:val="20"/>
          <w:szCs w:val="20"/>
        </w:rPr>
        <w:footnoteRef/>
      </w:r>
      <w:r>
        <w:rPr>
          <w:rFonts w:ascii="Arial" w:hAnsi="Arial" w:cs="Arial"/>
          <w:sz w:val="20"/>
          <w:szCs w:val="20"/>
        </w:rPr>
        <w:t xml:space="preserve"> Fls. 188 a 195</w:t>
      </w:r>
      <w:r w:rsidRPr="00227C5C">
        <w:rPr>
          <w:rFonts w:ascii="Arial" w:hAnsi="Arial" w:cs="Arial"/>
          <w:sz w:val="20"/>
          <w:szCs w:val="20"/>
        </w:rPr>
        <w:t xml:space="preserve"> </w:t>
      </w:r>
      <w:r>
        <w:rPr>
          <w:rFonts w:ascii="Arial" w:hAnsi="Arial" w:cs="Arial"/>
          <w:sz w:val="20"/>
          <w:szCs w:val="20"/>
        </w:rPr>
        <w:t>C. Ppal.</w:t>
      </w:r>
    </w:p>
  </w:footnote>
  <w:footnote w:id="11">
    <w:p w:rsidR="00326EE3" w:rsidRPr="0085044B" w:rsidRDefault="00326EE3" w:rsidP="00F13FCC">
      <w:pPr>
        <w:pStyle w:val="Sinespaciado"/>
        <w:jc w:val="both"/>
        <w:rPr>
          <w:rFonts w:ascii="Arial" w:hAnsi="Arial" w:cs="Arial"/>
          <w:sz w:val="20"/>
          <w:szCs w:val="20"/>
        </w:rPr>
      </w:pPr>
      <w:r w:rsidRPr="0085044B">
        <w:rPr>
          <w:rStyle w:val="Refdenotaalpie"/>
          <w:rFonts w:ascii="Arial" w:hAnsi="Arial" w:cs="Arial"/>
          <w:sz w:val="20"/>
          <w:szCs w:val="20"/>
        </w:rPr>
        <w:footnoteRef/>
      </w:r>
      <w:r>
        <w:rPr>
          <w:rFonts w:ascii="Arial" w:hAnsi="Arial" w:cs="Arial"/>
          <w:sz w:val="20"/>
          <w:szCs w:val="20"/>
        </w:rPr>
        <w:t xml:space="preserve"> Fl. 208 a 209,</w:t>
      </w:r>
      <w:r w:rsidRPr="0085044B">
        <w:rPr>
          <w:rFonts w:ascii="Arial" w:hAnsi="Arial" w:cs="Arial"/>
          <w:sz w:val="20"/>
          <w:szCs w:val="20"/>
        </w:rPr>
        <w:t xml:space="preserve"> 214</w:t>
      </w:r>
      <w:r>
        <w:rPr>
          <w:rFonts w:ascii="Arial" w:hAnsi="Arial" w:cs="Arial"/>
          <w:sz w:val="20"/>
          <w:szCs w:val="20"/>
        </w:rPr>
        <w:t xml:space="preserve"> C. Ppal.</w:t>
      </w:r>
    </w:p>
  </w:footnote>
  <w:footnote w:id="12">
    <w:p w:rsidR="00326EE3" w:rsidRPr="0085044B" w:rsidRDefault="00326EE3" w:rsidP="00DA4B98">
      <w:pPr>
        <w:pStyle w:val="Sinespaciado"/>
        <w:jc w:val="both"/>
        <w:rPr>
          <w:rFonts w:ascii="Arial" w:hAnsi="Arial" w:cs="Arial"/>
          <w:sz w:val="20"/>
          <w:szCs w:val="20"/>
        </w:rPr>
      </w:pPr>
      <w:r w:rsidRPr="0085044B">
        <w:rPr>
          <w:rStyle w:val="Refdenotaalpie"/>
          <w:rFonts w:ascii="Arial" w:hAnsi="Arial" w:cs="Arial"/>
          <w:sz w:val="20"/>
          <w:szCs w:val="20"/>
        </w:rPr>
        <w:footnoteRef/>
      </w:r>
      <w:r w:rsidRPr="0085044B">
        <w:rPr>
          <w:rFonts w:ascii="Arial" w:hAnsi="Arial" w:cs="Arial"/>
          <w:sz w:val="20"/>
          <w:szCs w:val="20"/>
        </w:rPr>
        <w:t xml:space="preserve"> </w:t>
      </w:r>
      <w:r>
        <w:rPr>
          <w:rFonts w:ascii="Arial" w:hAnsi="Arial" w:cs="Arial"/>
          <w:sz w:val="20"/>
          <w:szCs w:val="20"/>
        </w:rPr>
        <w:t xml:space="preserve">Fls. 198 a </w:t>
      </w:r>
      <w:r w:rsidRPr="0085044B">
        <w:rPr>
          <w:rFonts w:ascii="Arial" w:hAnsi="Arial" w:cs="Arial"/>
          <w:sz w:val="20"/>
          <w:szCs w:val="20"/>
        </w:rPr>
        <w:t xml:space="preserve">206 </w:t>
      </w:r>
      <w:r>
        <w:rPr>
          <w:rFonts w:ascii="Arial" w:hAnsi="Arial" w:cs="Arial"/>
          <w:sz w:val="20"/>
          <w:szCs w:val="20"/>
        </w:rPr>
        <w:t>C. Ppal.</w:t>
      </w:r>
      <w:r w:rsidRPr="0085044B">
        <w:rPr>
          <w:rFonts w:ascii="Arial" w:hAnsi="Arial" w:cs="Arial"/>
          <w:sz w:val="20"/>
          <w:szCs w:val="20"/>
        </w:rPr>
        <w:t xml:space="preserve"> </w:t>
      </w:r>
    </w:p>
  </w:footnote>
  <w:footnote w:id="13">
    <w:p w:rsidR="00326EE3" w:rsidRPr="00D35296" w:rsidRDefault="00326EE3" w:rsidP="00345CDA">
      <w:pPr>
        <w:pStyle w:val="Sinespaciado"/>
        <w:jc w:val="both"/>
        <w:rPr>
          <w:rFonts w:ascii="Arial" w:hAnsi="Arial" w:cs="Arial"/>
          <w:sz w:val="20"/>
          <w:szCs w:val="20"/>
        </w:rPr>
      </w:pPr>
      <w:r w:rsidRPr="00D35296">
        <w:rPr>
          <w:rStyle w:val="Refdenotaalpie"/>
          <w:rFonts w:ascii="Arial" w:hAnsi="Arial" w:cs="Arial"/>
          <w:sz w:val="20"/>
          <w:szCs w:val="20"/>
        </w:rPr>
        <w:footnoteRef/>
      </w:r>
      <w:r>
        <w:rPr>
          <w:rFonts w:ascii="Arial" w:hAnsi="Arial" w:cs="Arial"/>
          <w:sz w:val="20"/>
          <w:szCs w:val="20"/>
        </w:rPr>
        <w:t xml:space="preserve"> Fl.</w:t>
      </w:r>
      <w:r w:rsidRPr="00D35296">
        <w:rPr>
          <w:rFonts w:ascii="Arial" w:hAnsi="Arial" w:cs="Arial"/>
          <w:sz w:val="20"/>
          <w:szCs w:val="20"/>
        </w:rPr>
        <w:t xml:space="preserve"> 218 </w:t>
      </w:r>
      <w:r>
        <w:rPr>
          <w:rFonts w:ascii="Arial" w:hAnsi="Arial" w:cs="Arial"/>
          <w:sz w:val="20"/>
          <w:szCs w:val="20"/>
        </w:rPr>
        <w:t>C. Ppal.</w:t>
      </w:r>
    </w:p>
  </w:footnote>
  <w:footnote w:id="14">
    <w:p w:rsidR="00326EE3" w:rsidRPr="00D35296" w:rsidRDefault="00326EE3" w:rsidP="00345CDA">
      <w:pPr>
        <w:pStyle w:val="Sinespaciado"/>
        <w:jc w:val="both"/>
        <w:rPr>
          <w:rFonts w:ascii="Arial" w:hAnsi="Arial" w:cs="Arial"/>
          <w:sz w:val="20"/>
          <w:szCs w:val="20"/>
        </w:rPr>
      </w:pPr>
      <w:r w:rsidRPr="00D35296">
        <w:rPr>
          <w:rStyle w:val="Refdenotaalpie"/>
          <w:rFonts w:ascii="Arial" w:hAnsi="Arial" w:cs="Arial"/>
          <w:sz w:val="20"/>
          <w:szCs w:val="20"/>
        </w:rPr>
        <w:footnoteRef/>
      </w:r>
      <w:r>
        <w:rPr>
          <w:rFonts w:ascii="Arial" w:hAnsi="Arial" w:cs="Arial"/>
          <w:sz w:val="20"/>
          <w:szCs w:val="20"/>
        </w:rPr>
        <w:t xml:space="preserve"> F</w:t>
      </w:r>
      <w:r w:rsidRPr="00D35296">
        <w:rPr>
          <w:rFonts w:ascii="Arial" w:hAnsi="Arial" w:cs="Arial"/>
          <w:sz w:val="20"/>
          <w:szCs w:val="20"/>
        </w:rPr>
        <w:t>ls</w:t>
      </w:r>
      <w:r>
        <w:rPr>
          <w:rFonts w:ascii="Arial" w:hAnsi="Arial" w:cs="Arial"/>
          <w:sz w:val="20"/>
          <w:szCs w:val="20"/>
        </w:rPr>
        <w:t xml:space="preserve">. 219 a </w:t>
      </w:r>
      <w:r w:rsidRPr="00D35296">
        <w:rPr>
          <w:rFonts w:ascii="Arial" w:hAnsi="Arial" w:cs="Arial"/>
          <w:sz w:val="20"/>
          <w:szCs w:val="20"/>
        </w:rPr>
        <w:t>222</w:t>
      </w:r>
      <w:r>
        <w:rPr>
          <w:rFonts w:ascii="Arial" w:hAnsi="Arial" w:cs="Arial"/>
          <w:sz w:val="20"/>
          <w:szCs w:val="20"/>
        </w:rPr>
        <w:t xml:space="preserve"> C. Ppal</w:t>
      </w:r>
      <w:r w:rsidRPr="00D35296">
        <w:rPr>
          <w:rFonts w:ascii="Arial" w:hAnsi="Arial" w:cs="Arial"/>
          <w:sz w:val="20"/>
          <w:szCs w:val="20"/>
        </w:rPr>
        <w:t>.</w:t>
      </w:r>
    </w:p>
  </w:footnote>
  <w:footnote w:id="15">
    <w:p w:rsidR="00326EE3" w:rsidRPr="00227C5C" w:rsidRDefault="00326EE3" w:rsidP="00D35296">
      <w:pPr>
        <w:pStyle w:val="Sinespaciado"/>
        <w:jc w:val="both"/>
      </w:pPr>
      <w:r w:rsidRPr="00D35296">
        <w:rPr>
          <w:rStyle w:val="Refdenotaalpie"/>
          <w:rFonts w:ascii="Arial" w:hAnsi="Arial" w:cs="Arial"/>
          <w:sz w:val="20"/>
          <w:szCs w:val="20"/>
        </w:rPr>
        <w:footnoteRef/>
      </w:r>
      <w:r w:rsidRPr="00D35296">
        <w:rPr>
          <w:rFonts w:ascii="Arial" w:hAnsi="Arial" w:cs="Arial"/>
          <w:sz w:val="20"/>
          <w:szCs w:val="20"/>
        </w:rPr>
        <w:t xml:space="preserve"> La Ley 270 de 1996 desarrolló la responsabilidad del Estado en los eventos de error jurisdiccional, defectuoso funcionamiento de la administración de justicia y privación injusta de la libertad, y fijó la competencia funcional para conocer de tales asuntos en primera instancia, en cabeza de los Tribunales Administrativos y, en segunda instancia, en el Consejo de Estado, sin que sea relevante consideración alguna relacionada con la cuantía. Para tal efecto puede consultarse el auto proferido por la Sala Plena de lo Contencioso Administrativo el 9 de septiembre de 2008, C.P. Mauricio Fajardo Gómez, expediente 11001-03-26-000-2008-00009-00, actor: Luz Elena Muñoz y otros.</w:t>
      </w:r>
    </w:p>
  </w:footnote>
  <w:footnote w:id="16">
    <w:p w:rsidR="00326EE3" w:rsidRPr="0019284B" w:rsidRDefault="00326EE3" w:rsidP="00C1054C">
      <w:pPr>
        <w:autoSpaceDE w:val="0"/>
        <w:autoSpaceDN w:val="0"/>
        <w:adjustRightInd w:val="0"/>
        <w:spacing w:after="0" w:line="240" w:lineRule="auto"/>
        <w:jc w:val="both"/>
        <w:rPr>
          <w:rFonts w:ascii="Arial" w:hAnsi="Arial" w:cs="Arial"/>
          <w:sz w:val="20"/>
          <w:szCs w:val="20"/>
        </w:rPr>
      </w:pPr>
      <w:r w:rsidRPr="0019284B">
        <w:rPr>
          <w:rStyle w:val="Refdenotaalpie"/>
          <w:rFonts w:ascii="Arial" w:hAnsi="Arial" w:cs="Arial"/>
          <w:sz w:val="20"/>
          <w:szCs w:val="20"/>
        </w:rPr>
        <w:footnoteRef/>
      </w:r>
      <w:r w:rsidRPr="0019284B">
        <w:rPr>
          <w:rFonts w:ascii="Arial" w:hAnsi="Arial" w:cs="Arial"/>
          <w:sz w:val="20"/>
          <w:szCs w:val="20"/>
        </w:rPr>
        <w:t xml:space="preserve"> Normatividad aplicable al presente caso, de conformidad con lo señalado en el artículo 308  de la Ley 1437 de 2011, </w:t>
      </w:r>
      <w:r w:rsidRPr="0019284B">
        <w:rPr>
          <w:rFonts w:ascii="Arial" w:hAnsi="Arial" w:cs="Arial"/>
          <w:sz w:val="20"/>
          <w:szCs w:val="20"/>
          <w:lang w:eastAsia="es-CO"/>
        </w:rPr>
        <w:t xml:space="preserve">por la cual se expide el Código de Procedimiento Administrativo y de lo Contencioso Administrativo, en los siguientes términos: </w:t>
      </w:r>
      <w:r w:rsidRPr="0019284B">
        <w:rPr>
          <w:rFonts w:ascii="Arial" w:hAnsi="Arial" w:cs="Arial"/>
          <w:i/>
          <w:sz w:val="20"/>
          <w:szCs w:val="20"/>
          <w:lang w:eastAsia="es-CO"/>
        </w:rPr>
        <w:t>“Los procedimientos y las actuaciones administrativas, así como las demandas y procesos en curso a la vigencia de la presente ley seguirán rigiéndose y culminarán de conformidad con el régimen jurídico anterior.”</w:t>
      </w:r>
    </w:p>
  </w:footnote>
  <w:footnote w:id="17">
    <w:p w:rsidR="00326EE3" w:rsidRPr="00FB37DF" w:rsidRDefault="00326EE3" w:rsidP="00C1054C">
      <w:pPr>
        <w:pStyle w:val="Sinespaciado"/>
        <w:jc w:val="both"/>
        <w:rPr>
          <w:rFonts w:ascii="Arial" w:hAnsi="Arial" w:cs="Arial"/>
          <w:sz w:val="20"/>
          <w:szCs w:val="20"/>
        </w:rPr>
      </w:pPr>
      <w:r w:rsidRPr="00FB37DF">
        <w:rPr>
          <w:rStyle w:val="Refdenotaalpie"/>
          <w:rFonts w:ascii="Arial" w:hAnsi="Arial" w:cs="Arial"/>
          <w:sz w:val="20"/>
          <w:szCs w:val="20"/>
        </w:rPr>
        <w:footnoteRef/>
      </w:r>
      <w:r w:rsidRPr="00FB37DF">
        <w:rPr>
          <w:rFonts w:ascii="Arial" w:hAnsi="Arial" w:cs="Arial"/>
          <w:sz w:val="20"/>
          <w:szCs w:val="20"/>
        </w:rPr>
        <w:t xml:space="preserve"> Al respecto consultar, por ejemplo, Sentencia del 14 de febrero de 2002. Exp: 13.622. Consejera Ponente: Dra. María Elena Giraldo Gómez. Dicho criterio ha sido reiterado por la Subsección en sentencia de 11 de agosto de 2011, Exp: 21801, así como por la Sección en auto de 19 de julio de 2010, Radicación 25000-23-26-000-2009-00236-01(37410), Consejero Ponente (E): Dr. Mauricio Fajardo Gómez.</w:t>
      </w:r>
    </w:p>
  </w:footnote>
  <w:footnote w:id="18">
    <w:p w:rsidR="00326EE3" w:rsidRPr="00F669DC" w:rsidRDefault="00326EE3" w:rsidP="00F669DC">
      <w:pPr>
        <w:pStyle w:val="Sinespaciado"/>
        <w:jc w:val="both"/>
        <w:rPr>
          <w:rFonts w:ascii="Arial" w:hAnsi="Arial" w:cs="Arial"/>
          <w:sz w:val="20"/>
          <w:szCs w:val="20"/>
        </w:rPr>
      </w:pPr>
      <w:r w:rsidRPr="00F669DC">
        <w:rPr>
          <w:rStyle w:val="Refdenotaalpie"/>
          <w:rFonts w:ascii="Arial" w:hAnsi="Arial" w:cs="Arial"/>
          <w:sz w:val="20"/>
          <w:szCs w:val="20"/>
        </w:rPr>
        <w:footnoteRef/>
      </w:r>
      <w:r w:rsidRPr="00F669DC">
        <w:rPr>
          <w:rFonts w:ascii="Arial" w:hAnsi="Arial" w:cs="Arial"/>
          <w:sz w:val="20"/>
          <w:szCs w:val="20"/>
        </w:rPr>
        <w:t xml:space="preserve"> </w:t>
      </w:r>
      <w:r>
        <w:rPr>
          <w:rFonts w:ascii="Arial" w:hAnsi="Arial" w:cs="Arial"/>
          <w:sz w:val="20"/>
          <w:szCs w:val="20"/>
        </w:rPr>
        <w:t>Fl</w:t>
      </w:r>
      <w:r w:rsidRPr="00F669DC">
        <w:rPr>
          <w:rFonts w:ascii="Arial" w:hAnsi="Arial" w:cs="Arial"/>
          <w:sz w:val="20"/>
          <w:szCs w:val="20"/>
        </w:rPr>
        <w:t>s</w:t>
      </w:r>
      <w:r>
        <w:rPr>
          <w:rFonts w:ascii="Arial" w:hAnsi="Arial" w:cs="Arial"/>
          <w:sz w:val="20"/>
          <w:szCs w:val="20"/>
        </w:rPr>
        <w:t>.</w:t>
      </w:r>
      <w:r w:rsidRPr="00F669DC">
        <w:rPr>
          <w:rFonts w:ascii="Arial" w:hAnsi="Arial" w:cs="Arial"/>
          <w:sz w:val="20"/>
          <w:szCs w:val="20"/>
        </w:rPr>
        <w:t xml:space="preserve"> 85 </w:t>
      </w:r>
      <w:r>
        <w:rPr>
          <w:rFonts w:ascii="Arial" w:hAnsi="Arial" w:cs="Arial"/>
          <w:sz w:val="20"/>
          <w:szCs w:val="20"/>
        </w:rPr>
        <w:t>a</w:t>
      </w:r>
      <w:r w:rsidRPr="00F669DC">
        <w:rPr>
          <w:rFonts w:ascii="Arial" w:hAnsi="Arial" w:cs="Arial"/>
          <w:sz w:val="20"/>
          <w:szCs w:val="20"/>
        </w:rPr>
        <w:t xml:space="preserve"> 102 C.14.</w:t>
      </w:r>
    </w:p>
  </w:footnote>
  <w:footnote w:id="19">
    <w:p w:rsidR="00326EE3" w:rsidRPr="0018757B" w:rsidRDefault="00326EE3" w:rsidP="00F669DC">
      <w:pPr>
        <w:pStyle w:val="Sinespaciado"/>
        <w:jc w:val="both"/>
      </w:pPr>
      <w:r w:rsidRPr="00F669DC">
        <w:rPr>
          <w:rStyle w:val="Refdenotaalpie"/>
          <w:rFonts w:ascii="Arial" w:hAnsi="Arial" w:cs="Arial"/>
          <w:sz w:val="20"/>
          <w:szCs w:val="20"/>
        </w:rPr>
        <w:footnoteRef/>
      </w:r>
      <w:r w:rsidRPr="00F669DC">
        <w:rPr>
          <w:rFonts w:ascii="Arial" w:hAnsi="Arial" w:cs="Arial"/>
          <w:sz w:val="20"/>
          <w:szCs w:val="20"/>
        </w:rPr>
        <w:t xml:space="preserve"> Fl. 78 C. 1.</w:t>
      </w:r>
    </w:p>
  </w:footnote>
  <w:footnote w:id="20">
    <w:p w:rsidR="00326EE3" w:rsidRPr="006A1FED" w:rsidRDefault="00326EE3" w:rsidP="00B76109">
      <w:pPr>
        <w:pStyle w:val="Sinespaciado"/>
        <w:jc w:val="both"/>
        <w:rPr>
          <w:rFonts w:ascii="Arial" w:hAnsi="Arial" w:cs="Arial"/>
          <w:sz w:val="20"/>
          <w:szCs w:val="20"/>
        </w:rPr>
      </w:pPr>
      <w:r w:rsidRPr="006A1FED">
        <w:rPr>
          <w:rStyle w:val="Refdenotaalpie"/>
          <w:rFonts w:ascii="Arial" w:hAnsi="Arial" w:cs="Arial"/>
          <w:sz w:val="20"/>
          <w:szCs w:val="20"/>
        </w:rPr>
        <w:footnoteRef/>
      </w:r>
      <w:r w:rsidRPr="006A1FED">
        <w:rPr>
          <w:rFonts w:ascii="Arial" w:hAnsi="Arial" w:cs="Arial"/>
          <w:sz w:val="20"/>
          <w:szCs w:val="20"/>
        </w:rPr>
        <w:t xml:space="preserve"> ARTICULO 21. SUSPENSIÓN DE LA PRESCRIPCIÓN O DE LA CADUCIDAD. La presentación de la solicitud de conciliación extrajudicial en derecho ante el conciliador suspende el término de prescripción o de caducidad, según el caso, hasta que se logre el acuerdo conciliatorio o hasta que el acta de conciliación se haya registrado en los casos en que este trámite sea exigido por la ley o hasta que se expidan las constancias a que se refiere el artículo 2o. de la presente ley o hasta que se venza el término de tres (3) meses a que se refiere el artículo anterior, lo que ocurra primero. Esta suspensión operará por una sola vez y será improrrogable.</w:t>
      </w:r>
    </w:p>
  </w:footnote>
  <w:footnote w:id="21">
    <w:p w:rsidR="00326EE3" w:rsidRPr="005D4849" w:rsidRDefault="00326EE3" w:rsidP="00B76109">
      <w:pPr>
        <w:pStyle w:val="Sinespaciado"/>
        <w:jc w:val="both"/>
        <w:rPr>
          <w:rFonts w:ascii="Arial" w:hAnsi="Arial" w:cs="Arial"/>
          <w:sz w:val="20"/>
          <w:szCs w:val="20"/>
        </w:rPr>
      </w:pPr>
      <w:r w:rsidRPr="005D4849">
        <w:rPr>
          <w:rStyle w:val="Refdenotaalpie"/>
          <w:rFonts w:ascii="Arial" w:hAnsi="Arial" w:cs="Arial"/>
          <w:sz w:val="20"/>
          <w:szCs w:val="20"/>
        </w:rPr>
        <w:footnoteRef/>
      </w:r>
      <w:r w:rsidRPr="005D4849">
        <w:rPr>
          <w:rFonts w:ascii="Arial" w:hAnsi="Arial" w:cs="Arial"/>
          <w:sz w:val="20"/>
          <w:szCs w:val="20"/>
        </w:rPr>
        <w:t xml:space="preserve"> S</w:t>
      </w:r>
      <w:r w:rsidRPr="005D4849">
        <w:rPr>
          <w:rFonts w:ascii="Arial" w:hAnsi="Arial" w:cs="Arial"/>
          <w:sz w:val="20"/>
          <w:szCs w:val="20"/>
          <w:shd w:val="clear" w:color="auto" w:fill="FFFFFF"/>
        </w:rPr>
        <w:t>e recuerda que la demanda se interpuso el 10 de agosto de 2009</w:t>
      </w:r>
      <w:r>
        <w:rPr>
          <w:rFonts w:ascii="Arial" w:hAnsi="Arial" w:cs="Arial"/>
          <w:sz w:val="20"/>
          <w:szCs w:val="20"/>
          <w:shd w:val="clear" w:color="auto" w:fill="FFFFFF"/>
        </w:rPr>
        <w:t>.</w:t>
      </w:r>
    </w:p>
  </w:footnote>
  <w:footnote w:id="22">
    <w:p w:rsidR="00326EE3" w:rsidRPr="006A1FED" w:rsidRDefault="00326EE3" w:rsidP="00B76109">
      <w:pPr>
        <w:pStyle w:val="Sinespaciado"/>
        <w:jc w:val="both"/>
        <w:rPr>
          <w:rFonts w:ascii="Arial" w:hAnsi="Arial" w:cs="Arial"/>
          <w:sz w:val="20"/>
          <w:szCs w:val="20"/>
        </w:rPr>
      </w:pPr>
      <w:r w:rsidRPr="006A1FED">
        <w:rPr>
          <w:rStyle w:val="Refdenotaalpie"/>
          <w:rFonts w:ascii="Arial" w:hAnsi="Arial" w:cs="Arial"/>
          <w:sz w:val="20"/>
          <w:szCs w:val="20"/>
        </w:rPr>
        <w:footnoteRef/>
      </w:r>
      <w:r>
        <w:rPr>
          <w:rFonts w:ascii="Arial" w:hAnsi="Arial" w:cs="Arial"/>
          <w:sz w:val="20"/>
          <w:szCs w:val="20"/>
        </w:rPr>
        <w:t xml:space="preserve"> Fl. 2 C. 1</w:t>
      </w:r>
      <w:r w:rsidRPr="006A1FED">
        <w:rPr>
          <w:rFonts w:ascii="Arial" w:hAnsi="Arial" w:cs="Arial"/>
          <w:sz w:val="20"/>
          <w:szCs w:val="20"/>
          <w:lang w:val="es-ES"/>
        </w:rPr>
        <w:t>.</w:t>
      </w:r>
    </w:p>
  </w:footnote>
  <w:footnote w:id="23">
    <w:p w:rsidR="00326EE3" w:rsidRPr="00E24ADE" w:rsidRDefault="00326EE3" w:rsidP="00E24ADE">
      <w:pPr>
        <w:pStyle w:val="Sinespaciado"/>
        <w:jc w:val="both"/>
        <w:rPr>
          <w:rFonts w:ascii="Arial" w:hAnsi="Arial" w:cs="Arial"/>
          <w:sz w:val="20"/>
          <w:szCs w:val="20"/>
        </w:rPr>
      </w:pPr>
      <w:r w:rsidRPr="00E24ADE">
        <w:rPr>
          <w:rStyle w:val="Refdenotaalpie"/>
          <w:rFonts w:ascii="Arial" w:hAnsi="Arial" w:cs="Arial"/>
          <w:sz w:val="20"/>
          <w:szCs w:val="20"/>
        </w:rPr>
        <w:footnoteRef/>
      </w:r>
      <w:r w:rsidRPr="00E24ADE">
        <w:rPr>
          <w:rFonts w:ascii="Arial" w:hAnsi="Arial" w:cs="Arial"/>
          <w:sz w:val="20"/>
          <w:szCs w:val="20"/>
        </w:rPr>
        <w:t xml:space="preserve"> </w:t>
      </w:r>
      <w:r>
        <w:rPr>
          <w:rFonts w:ascii="Arial" w:hAnsi="Arial" w:cs="Arial"/>
          <w:sz w:val="20"/>
          <w:szCs w:val="20"/>
        </w:rPr>
        <w:t>Fl</w:t>
      </w:r>
      <w:r w:rsidRPr="00E24ADE">
        <w:rPr>
          <w:rFonts w:ascii="Arial" w:hAnsi="Arial" w:cs="Arial"/>
          <w:sz w:val="20"/>
          <w:szCs w:val="20"/>
        </w:rPr>
        <w:t>s</w:t>
      </w:r>
      <w:r>
        <w:rPr>
          <w:rFonts w:ascii="Arial" w:hAnsi="Arial" w:cs="Arial"/>
          <w:sz w:val="20"/>
          <w:szCs w:val="20"/>
        </w:rPr>
        <w:t>.</w:t>
      </w:r>
      <w:r w:rsidRPr="00E24ADE">
        <w:rPr>
          <w:rFonts w:ascii="Arial" w:hAnsi="Arial" w:cs="Arial"/>
          <w:sz w:val="20"/>
          <w:szCs w:val="20"/>
        </w:rPr>
        <w:t xml:space="preserve"> 4 </w:t>
      </w:r>
      <w:r>
        <w:rPr>
          <w:rFonts w:ascii="Arial" w:hAnsi="Arial" w:cs="Arial"/>
          <w:sz w:val="20"/>
          <w:szCs w:val="20"/>
        </w:rPr>
        <w:t>a</w:t>
      </w:r>
      <w:r w:rsidRPr="00E24ADE">
        <w:rPr>
          <w:rFonts w:ascii="Arial" w:hAnsi="Arial" w:cs="Arial"/>
          <w:sz w:val="20"/>
          <w:szCs w:val="20"/>
        </w:rPr>
        <w:t xml:space="preserve"> 6</w:t>
      </w:r>
      <w:r>
        <w:rPr>
          <w:rFonts w:ascii="Arial" w:hAnsi="Arial" w:cs="Arial"/>
          <w:sz w:val="20"/>
          <w:szCs w:val="20"/>
        </w:rPr>
        <w:t xml:space="preserve"> C</w:t>
      </w:r>
      <w:r w:rsidRPr="00E24ADE">
        <w:rPr>
          <w:rFonts w:ascii="Arial" w:hAnsi="Arial" w:cs="Arial"/>
          <w:sz w:val="20"/>
          <w:szCs w:val="20"/>
        </w:rPr>
        <w:t xml:space="preserve"> 1 de pruebas.</w:t>
      </w:r>
    </w:p>
  </w:footnote>
  <w:footnote w:id="24">
    <w:p w:rsidR="00326EE3" w:rsidRPr="00E24ADE" w:rsidRDefault="00326EE3" w:rsidP="00E24ADE">
      <w:pPr>
        <w:pStyle w:val="Sinespaciado"/>
        <w:jc w:val="both"/>
        <w:rPr>
          <w:rFonts w:ascii="Arial" w:hAnsi="Arial" w:cs="Arial"/>
          <w:sz w:val="20"/>
          <w:szCs w:val="20"/>
        </w:rPr>
      </w:pPr>
      <w:r w:rsidRPr="00E24ADE">
        <w:rPr>
          <w:rStyle w:val="Refdenotaalpie"/>
          <w:rFonts w:ascii="Arial" w:hAnsi="Arial" w:cs="Arial"/>
          <w:sz w:val="20"/>
          <w:szCs w:val="20"/>
        </w:rPr>
        <w:footnoteRef/>
      </w:r>
      <w:r>
        <w:rPr>
          <w:rFonts w:ascii="Arial" w:hAnsi="Arial" w:cs="Arial"/>
          <w:sz w:val="20"/>
          <w:szCs w:val="20"/>
        </w:rPr>
        <w:t xml:space="preserve"> Fls. 64 a 65 C.</w:t>
      </w:r>
      <w:r w:rsidRPr="00E24ADE">
        <w:rPr>
          <w:rFonts w:ascii="Arial" w:hAnsi="Arial" w:cs="Arial"/>
          <w:sz w:val="20"/>
          <w:szCs w:val="20"/>
        </w:rPr>
        <w:t xml:space="preserve"> 1 de pruebas.</w:t>
      </w:r>
    </w:p>
  </w:footnote>
  <w:footnote w:id="25">
    <w:p w:rsidR="00326EE3" w:rsidRPr="00E24ADE" w:rsidRDefault="00326EE3" w:rsidP="00E24ADE">
      <w:pPr>
        <w:pStyle w:val="Sinespaciado"/>
        <w:jc w:val="both"/>
        <w:rPr>
          <w:rFonts w:ascii="Arial" w:hAnsi="Arial" w:cs="Arial"/>
          <w:sz w:val="20"/>
          <w:szCs w:val="20"/>
        </w:rPr>
      </w:pPr>
      <w:r w:rsidRPr="00E24ADE">
        <w:rPr>
          <w:rStyle w:val="Refdenotaalpie"/>
          <w:rFonts w:ascii="Arial" w:hAnsi="Arial" w:cs="Arial"/>
          <w:sz w:val="20"/>
          <w:szCs w:val="20"/>
        </w:rPr>
        <w:footnoteRef/>
      </w:r>
      <w:r>
        <w:rPr>
          <w:rFonts w:ascii="Arial" w:hAnsi="Arial" w:cs="Arial"/>
          <w:sz w:val="20"/>
          <w:szCs w:val="20"/>
        </w:rPr>
        <w:t xml:space="preserve"> Fl. 77 C.</w:t>
      </w:r>
      <w:r w:rsidRPr="00E24ADE">
        <w:rPr>
          <w:rFonts w:ascii="Arial" w:hAnsi="Arial" w:cs="Arial"/>
          <w:sz w:val="20"/>
          <w:szCs w:val="20"/>
        </w:rPr>
        <w:t xml:space="preserve"> 1 de pruebas.</w:t>
      </w:r>
    </w:p>
  </w:footnote>
  <w:footnote w:id="26">
    <w:p w:rsidR="00326EE3" w:rsidRPr="00E24ADE" w:rsidRDefault="00326EE3" w:rsidP="00E24ADE">
      <w:pPr>
        <w:pStyle w:val="Sinespaciado"/>
        <w:jc w:val="both"/>
        <w:rPr>
          <w:rFonts w:ascii="Arial" w:hAnsi="Arial" w:cs="Arial"/>
          <w:sz w:val="20"/>
          <w:szCs w:val="20"/>
        </w:rPr>
      </w:pPr>
      <w:r w:rsidRPr="00E24ADE">
        <w:rPr>
          <w:rStyle w:val="Refdenotaalpie"/>
          <w:rFonts w:ascii="Arial" w:hAnsi="Arial" w:cs="Arial"/>
          <w:sz w:val="20"/>
          <w:szCs w:val="20"/>
        </w:rPr>
        <w:footnoteRef/>
      </w:r>
      <w:r>
        <w:rPr>
          <w:rFonts w:ascii="Arial" w:hAnsi="Arial" w:cs="Arial"/>
          <w:sz w:val="20"/>
          <w:szCs w:val="20"/>
        </w:rPr>
        <w:t xml:space="preserve"> Fl. 125 C. </w:t>
      </w:r>
      <w:r w:rsidRPr="00E24ADE">
        <w:rPr>
          <w:rFonts w:ascii="Arial" w:hAnsi="Arial" w:cs="Arial"/>
          <w:sz w:val="20"/>
          <w:szCs w:val="20"/>
        </w:rPr>
        <w:t>1 de pruebas.</w:t>
      </w:r>
    </w:p>
  </w:footnote>
  <w:footnote w:id="27">
    <w:p w:rsidR="00326EE3" w:rsidRPr="0065640A" w:rsidRDefault="00326EE3" w:rsidP="0065640A">
      <w:pPr>
        <w:pStyle w:val="Sinespaciado"/>
        <w:jc w:val="both"/>
        <w:rPr>
          <w:rFonts w:ascii="Arial" w:hAnsi="Arial" w:cs="Arial"/>
          <w:sz w:val="20"/>
          <w:szCs w:val="20"/>
        </w:rPr>
      </w:pPr>
      <w:r w:rsidRPr="0065640A">
        <w:rPr>
          <w:rStyle w:val="Refdenotaalpie"/>
          <w:rFonts w:ascii="Arial" w:hAnsi="Arial" w:cs="Arial"/>
          <w:sz w:val="20"/>
          <w:szCs w:val="20"/>
        </w:rPr>
        <w:footnoteRef/>
      </w:r>
      <w:r>
        <w:rPr>
          <w:rFonts w:ascii="Arial" w:hAnsi="Arial" w:cs="Arial"/>
          <w:sz w:val="20"/>
          <w:szCs w:val="20"/>
        </w:rPr>
        <w:t xml:space="preserve"> Fl. 281 C.</w:t>
      </w:r>
      <w:r w:rsidRPr="0065640A">
        <w:rPr>
          <w:rFonts w:ascii="Arial" w:hAnsi="Arial" w:cs="Arial"/>
          <w:sz w:val="20"/>
          <w:szCs w:val="20"/>
        </w:rPr>
        <w:t xml:space="preserve"> 1 de pruebas.</w:t>
      </w:r>
    </w:p>
  </w:footnote>
  <w:footnote w:id="28">
    <w:p w:rsidR="00326EE3" w:rsidRPr="0065640A" w:rsidRDefault="00326EE3" w:rsidP="0065640A">
      <w:pPr>
        <w:pStyle w:val="Sinespaciado"/>
        <w:jc w:val="both"/>
        <w:rPr>
          <w:rFonts w:ascii="Arial" w:hAnsi="Arial" w:cs="Arial"/>
          <w:sz w:val="20"/>
          <w:szCs w:val="20"/>
        </w:rPr>
      </w:pPr>
      <w:r w:rsidRPr="0065640A">
        <w:rPr>
          <w:rStyle w:val="Refdenotaalpie"/>
          <w:rFonts w:ascii="Arial" w:hAnsi="Arial" w:cs="Arial"/>
          <w:sz w:val="20"/>
          <w:szCs w:val="20"/>
        </w:rPr>
        <w:footnoteRef/>
      </w:r>
      <w:r>
        <w:rPr>
          <w:rFonts w:ascii="Arial" w:hAnsi="Arial" w:cs="Arial"/>
          <w:sz w:val="20"/>
          <w:szCs w:val="20"/>
        </w:rPr>
        <w:t xml:space="preserve"> Fl.</w:t>
      </w:r>
      <w:r w:rsidRPr="0065640A">
        <w:rPr>
          <w:rFonts w:ascii="Arial" w:hAnsi="Arial" w:cs="Arial"/>
          <w:sz w:val="20"/>
          <w:szCs w:val="20"/>
        </w:rPr>
        <w:t xml:space="preserve"> 15 </w:t>
      </w:r>
      <w:r>
        <w:rPr>
          <w:rFonts w:ascii="Arial" w:hAnsi="Arial" w:cs="Arial"/>
          <w:sz w:val="20"/>
          <w:szCs w:val="20"/>
        </w:rPr>
        <w:t>C. 2.</w:t>
      </w:r>
    </w:p>
  </w:footnote>
  <w:footnote w:id="29">
    <w:p w:rsidR="00326EE3" w:rsidRPr="00494786" w:rsidRDefault="00326EE3" w:rsidP="00494786">
      <w:pPr>
        <w:pStyle w:val="Sinespaciado"/>
        <w:jc w:val="both"/>
        <w:rPr>
          <w:rFonts w:ascii="Arial" w:hAnsi="Arial" w:cs="Arial"/>
          <w:sz w:val="20"/>
          <w:szCs w:val="20"/>
        </w:rPr>
      </w:pPr>
      <w:r w:rsidRPr="00494786">
        <w:rPr>
          <w:rStyle w:val="Refdenotaalpie"/>
          <w:rFonts w:ascii="Arial" w:hAnsi="Arial" w:cs="Arial"/>
          <w:sz w:val="20"/>
          <w:szCs w:val="20"/>
        </w:rPr>
        <w:footnoteRef/>
      </w:r>
      <w:r w:rsidRPr="00494786">
        <w:rPr>
          <w:rFonts w:ascii="Arial" w:hAnsi="Arial" w:cs="Arial"/>
          <w:sz w:val="20"/>
          <w:szCs w:val="20"/>
        </w:rPr>
        <w:t xml:space="preserve"> Fls. 176 a 212 C. 2.</w:t>
      </w:r>
    </w:p>
  </w:footnote>
  <w:footnote w:id="30">
    <w:p w:rsidR="00326EE3" w:rsidRPr="00DD6B32" w:rsidRDefault="00326EE3" w:rsidP="00DD6B32">
      <w:pPr>
        <w:pStyle w:val="Sinespaciado"/>
        <w:jc w:val="both"/>
        <w:rPr>
          <w:rFonts w:ascii="Arial" w:hAnsi="Arial" w:cs="Arial"/>
          <w:sz w:val="20"/>
          <w:szCs w:val="20"/>
        </w:rPr>
      </w:pPr>
      <w:r w:rsidRPr="00DD6B32">
        <w:rPr>
          <w:rStyle w:val="Refdenotaalpie"/>
          <w:rFonts w:ascii="Arial" w:hAnsi="Arial" w:cs="Arial"/>
          <w:sz w:val="20"/>
          <w:szCs w:val="20"/>
        </w:rPr>
        <w:footnoteRef/>
      </w:r>
      <w:r w:rsidRPr="00DD6B32">
        <w:rPr>
          <w:rFonts w:ascii="Arial" w:hAnsi="Arial" w:cs="Arial"/>
          <w:sz w:val="20"/>
          <w:szCs w:val="20"/>
        </w:rPr>
        <w:t xml:space="preserve"> Fl. 192 a 193, 200 C. 2.</w:t>
      </w:r>
    </w:p>
  </w:footnote>
  <w:footnote w:id="31">
    <w:p w:rsidR="00326EE3" w:rsidRPr="00DD6B32" w:rsidRDefault="00326EE3" w:rsidP="00DD6B32">
      <w:pPr>
        <w:pStyle w:val="Sinespaciado"/>
        <w:jc w:val="both"/>
        <w:rPr>
          <w:rFonts w:ascii="Arial" w:hAnsi="Arial" w:cs="Arial"/>
          <w:sz w:val="20"/>
          <w:szCs w:val="20"/>
        </w:rPr>
      </w:pPr>
      <w:r w:rsidRPr="00DD6B32">
        <w:rPr>
          <w:rStyle w:val="Refdenotaalpie"/>
          <w:rFonts w:ascii="Arial" w:hAnsi="Arial" w:cs="Arial"/>
          <w:sz w:val="20"/>
          <w:szCs w:val="20"/>
        </w:rPr>
        <w:footnoteRef/>
      </w:r>
      <w:r w:rsidRPr="00DD6B32">
        <w:rPr>
          <w:rFonts w:ascii="Arial" w:hAnsi="Arial" w:cs="Arial"/>
          <w:sz w:val="20"/>
          <w:szCs w:val="20"/>
        </w:rPr>
        <w:t xml:space="preserve"> Fls. 168 a 173 C. 3.</w:t>
      </w:r>
    </w:p>
  </w:footnote>
  <w:footnote w:id="32">
    <w:p w:rsidR="00326EE3" w:rsidRPr="00DD6B32" w:rsidRDefault="00326EE3" w:rsidP="00DD6B32">
      <w:pPr>
        <w:pStyle w:val="Sinespaciado"/>
        <w:jc w:val="both"/>
        <w:rPr>
          <w:rFonts w:ascii="Arial" w:hAnsi="Arial" w:cs="Arial"/>
          <w:sz w:val="20"/>
          <w:szCs w:val="20"/>
        </w:rPr>
      </w:pPr>
      <w:r w:rsidRPr="00DD6B32">
        <w:rPr>
          <w:rStyle w:val="Refdenotaalpie"/>
          <w:rFonts w:ascii="Arial" w:hAnsi="Arial" w:cs="Arial"/>
          <w:sz w:val="20"/>
          <w:szCs w:val="20"/>
        </w:rPr>
        <w:footnoteRef/>
      </w:r>
      <w:r w:rsidRPr="00DD6B32">
        <w:rPr>
          <w:rFonts w:ascii="Arial" w:hAnsi="Arial" w:cs="Arial"/>
          <w:sz w:val="20"/>
          <w:szCs w:val="20"/>
        </w:rPr>
        <w:t xml:space="preserve"> Fls. 174 a 274 C. 9.</w:t>
      </w:r>
    </w:p>
  </w:footnote>
  <w:footnote w:id="33">
    <w:p w:rsidR="00326EE3" w:rsidRPr="00DD6B32" w:rsidRDefault="00326EE3" w:rsidP="00DD6B32">
      <w:pPr>
        <w:pStyle w:val="Sinespaciado"/>
        <w:jc w:val="both"/>
        <w:rPr>
          <w:rFonts w:ascii="Arial" w:hAnsi="Arial" w:cs="Arial"/>
          <w:sz w:val="20"/>
          <w:szCs w:val="20"/>
        </w:rPr>
      </w:pPr>
      <w:r w:rsidRPr="00DD6B32">
        <w:rPr>
          <w:rStyle w:val="Refdenotaalpie"/>
          <w:rFonts w:ascii="Arial" w:hAnsi="Arial" w:cs="Arial"/>
          <w:sz w:val="20"/>
          <w:szCs w:val="20"/>
        </w:rPr>
        <w:footnoteRef/>
      </w:r>
      <w:r w:rsidRPr="00DD6B32">
        <w:rPr>
          <w:rFonts w:ascii="Arial" w:hAnsi="Arial" w:cs="Arial"/>
          <w:sz w:val="20"/>
          <w:szCs w:val="20"/>
        </w:rPr>
        <w:t xml:space="preserve"> Fls. 551 a 556 C. 11.</w:t>
      </w:r>
    </w:p>
  </w:footnote>
  <w:footnote w:id="34">
    <w:p w:rsidR="00326EE3" w:rsidRPr="00DD6B32" w:rsidRDefault="00326EE3" w:rsidP="00DD6B32">
      <w:pPr>
        <w:pStyle w:val="Sinespaciado"/>
        <w:jc w:val="both"/>
        <w:rPr>
          <w:rFonts w:ascii="Arial" w:hAnsi="Arial" w:cs="Arial"/>
          <w:sz w:val="20"/>
          <w:szCs w:val="20"/>
        </w:rPr>
      </w:pPr>
      <w:r w:rsidRPr="00DD6B32">
        <w:rPr>
          <w:rStyle w:val="Refdenotaalpie"/>
          <w:rFonts w:ascii="Arial" w:hAnsi="Arial" w:cs="Arial"/>
          <w:sz w:val="20"/>
          <w:szCs w:val="20"/>
        </w:rPr>
        <w:footnoteRef/>
      </w:r>
      <w:r w:rsidRPr="00DD6B32">
        <w:rPr>
          <w:rFonts w:ascii="Arial" w:hAnsi="Arial" w:cs="Arial"/>
          <w:sz w:val="20"/>
          <w:szCs w:val="20"/>
        </w:rPr>
        <w:t xml:space="preserve"> Fls. 573 a 574 C. 11.</w:t>
      </w:r>
    </w:p>
  </w:footnote>
  <w:footnote w:id="35">
    <w:p w:rsidR="00326EE3" w:rsidRPr="00DD6B32" w:rsidRDefault="00326EE3" w:rsidP="00DD6B32">
      <w:pPr>
        <w:pStyle w:val="Sinespaciado"/>
        <w:jc w:val="both"/>
        <w:rPr>
          <w:rFonts w:ascii="Arial" w:hAnsi="Arial" w:cs="Arial"/>
          <w:sz w:val="20"/>
          <w:szCs w:val="20"/>
        </w:rPr>
      </w:pPr>
      <w:r w:rsidRPr="00DD6B32">
        <w:rPr>
          <w:rStyle w:val="Refdenotaalpie"/>
          <w:rFonts w:ascii="Arial" w:hAnsi="Arial" w:cs="Arial"/>
          <w:sz w:val="20"/>
          <w:szCs w:val="20"/>
        </w:rPr>
        <w:footnoteRef/>
      </w:r>
      <w:r w:rsidRPr="00DD6B32">
        <w:rPr>
          <w:rFonts w:ascii="Arial" w:hAnsi="Arial" w:cs="Arial"/>
          <w:sz w:val="20"/>
          <w:szCs w:val="20"/>
        </w:rPr>
        <w:t xml:space="preserve"> Fls. 613 a 618 C. 11.</w:t>
      </w:r>
    </w:p>
  </w:footnote>
  <w:footnote w:id="36">
    <w:p w:rsidR="00326EE3" w:rsidRPr="00035889" w:rsidRDefault="00326EE3" w:rsidP="00DD6B32">
      <w:pPr>
        <w:pStyle w:val="Sinespaciado"/>
        <w:jc w:val="both"/>
        <w:rPr>
          <w:rFonts w:ascii="Arial" w:hAnsi="Arial" w:cs="Arial"/>
          <w:sz w:val="20"/>
          <w:szCs w:val="20"/>
        </w:rPr>
      </w:pPr>
      <w:r w:rsidRPr="00DD6B32">
        <w:rPr>
          <w:rStyle w:val="Refdenotaalpie"/>
          <w:rFonts w:ascii="Arial" w:hAnsi="Arial" w:cs="Arial"/>
          <w:sz w:val="20"/>
          <w:szCs w:val="20"/>
        </w:rPr>
        <w:footnoteRef/>
      </w:r>
      <w:r w:rsidRPr="00DD6B32">
        <w:rPr>
          <w:rFonts w:ascii="Arial" w:hAnsi="Arial" w:cs="Arial"/>
          <w:sz w:val="20"/>
          <w:szCs w:val="20"/>
        </w:rPr>
        <w:t xml:space="preserve"> Fl. 628 C. 11.</w:t>
      </w:r>
    </w:p>
  </w:footnote>
  <w:footnote w:id="37">
    <w:p w:rsidR="00326EE3" w:rsidRPr="00035889" w:rsidRDefault="00326EE3" w:rsidP="00035889">
      <w:pPr>
        <w:pStyle w:val="Sinespaciado"/>
        <w:jc w:val="both"/>
        <w:rPr>
          <w:rFonts w:ascii="Arial" w:hAnsi="Arial" w:cs="Arial"/>
          <w:sz w:val="20"/>
          <w:szCs w:val="20"/>
        </w:rPr>
      </w:pPr>
      <w:r w:rsidRPr="00035889">
        <w:rPr>
          <w:rStyle w:val="Refdenotaalpie"/>
          <w:rFonts w:ascii="Arial" w:hAnsi="Arial" w:cs="Arial"/>
          <w:sz w:val="20"/>
          <w:szCs w:val="20"/>
        </w:rPr>
        <w:footnoteRef/>
      </w:r>
      <w:r w:rsidRPr="00035889">
        <w:rPr>
          <w:rFonts w:ascii="Arial" w:hAnsi="Arial" w:cs="Arial"/>
          <w:sz w:val="20"/>
          <w:szCs w:val="20"/>
        </w:rPr>
        <w:t xml:space="preserve"> Fls. 85 a 102 C. 14.</w:t>
      </w:r>
    </w:p>
  </w:footnote>
  <w:footnote w:id="38">
    <w:p w:rsidR="00326EE3" w:rsidRPr="00D454CA" w:rsidRDefault="00326EE3" w:rsidP="00035889">
      <w:pPr>
        <w:pStyle w:val="Textonotapie"/>
        <w:spacing w:line="240" w:lineRule="auto"/>
        <w:jc w:val="both"/>
        <w:rPr>
          <w:lang w:val="es-CO"/>
        </w:rPr>
      </w:pPr>
      <w:r w:rsidRPr="00035889">
        <w:rPr>
          <w:rStyle w:val="Refdenotaalpie"/>
          <w:rFonts w:ascii="Arial" w:hAnsi="Arial" w:cs="Arial"/>
        </w:rPr>
        <w:footnoteRef/>
      </w:r>
      <w:r w:rsidRPr="00035889">
        <w:rPr>
          <w:rFonts w:ascii="Arial" w:hAnsi="Arial" w:cs="Arial"/>
        </w:rPr>
        <w:t xml:space="preserve"> </w:t>
      </w:r>
      <w:r w:rsidRPr="00035889">
        <w:rPr>
          <w:rFonts w:ascii="Arial" w:hAnsi="Arial" w:cs="Arial"/>
          <w:lang w:val="es-CO"/>
        </w:rPr>
        <w:t>Fl. 135 a 144 C. 14, 78, C. 1.</w:t>
      </w:r>
    </w:p>
  </w:footnote>
  <w:footnote w:id="39">
    <w:p w:rsidR="00326EE3" w:rsidRPr="0019284B" w:rsidRDefault="00326EE3" w:rsidP="007C27F6">
      <w:pPr>
        <w:pStyle w:val="Textonotapie"/>
        <w:spacing w:after="0" w:line="240" w:lineRule="auto"/>
        <w:jc w:val="both"/>
        <w:rPr>
          <w:rFonts w:ascii="Arial" w:hAnsi="Arial" w:cs="Arial"/>
          <w:lang w:val="es-CO"/>
        </w:rPr>
      </w:pPr>
      <w:r w:rsidRPr="00D04BB7">
        <w:rPr>
          <w:rStyle w:val="Refdenotaalpie"/>
          <w:rFonts w:ascii="Arial" w:hAnsi="Arial" w:cs="Arial"/>
        </w:rPr>
        <w:footnoteRef/>
      </w:r>
      <w:r w:rsidRPr="00D04BB7">
        <w:rPr>
          <w:rFonts w:ascii="Arial" w:hAnsi="Arial" w:cs="Arial"/>
        </w:rPr>
        <w:t xml:space="preserve"> </w:t>
      </w:r>
      <w:r w:rsidRPr="00D04BB7">
        <w:rPr>
          <w:rFonts w:ascii="Arial" w:hAnsi="Arial" w:cs="Arial"/>
          <w:lang w:val="es-CO"/>
        </w:rPr>
        <w:t>En este sentido se pueden consultar, entre otras, las siguientes providencias proferidas por esta Subsección: sentencia de 9 de julio de 2014, expediente: 38.438; sentencia de 9 de octubre de 2013, expediente: 33.564; sentencia de 11 de abril de 2012, expediente 23.513; sentencia de 27 de enero de 2016, expediente 39.613.</w:t>
      </w:r>
    </w:p>
  </w:footnote>
  <w:footnote w:id="40">
    <w:p w:rsidR="00326EE3" w:rsidRPr="0019284B" w:rsidRDefault="00326EE3" w:rsidP="007C27F6">
      <w:pPr>
        <w:pStyle w:val="Piedepgina"/>
        <w:spacing w:after="0" w:line="240" w:lineRule="auto"/>
        <w:jc w:val="both"/>
        <w:rPr>
          <w:rFonts w:ascii="Arial" w:hAnsi="Arial" w:cs="Arial"/>
        </w:rPr>
      </w:pPr>
      <w:r w:rsidRPr="0019284B">
        <w:rPr>
          <w:rStyle w:val="Refdenotaalpie"/>
          <w:rFonts w:ascii="Arial" w:hAnsi="Arial" w:cs="Arial"/>
        </w:rPr>
        <w:footnoteRef/>
      </w:r>
      <w:r w:rsidRPr="0019284B">
        <w:rPr>
          <w:rFonts w:ascii="Arial" w:hAnsi="Arial" w:cs="Arial"/>
        </w:rPr>
        <w:t xml:space="preserve"> Nota original de la senten</w:t>
      </w:r>
      <w:r>
        <w:rPr>
          <w:rFonts w:ascii="Arial" w:hAnsi="Arial" w:cs="Arial"/>
        </w:rPr>
        <w:t xml:space="preserve">cia citada: Consejo de Estado, </w:t>
      </w:r>
      <w:r>
        <w:rPr>
          <w:rFonts w:ascii="Arial" w:hAnsi="Arial" w:cs="Arial"/>
          <w:lang w:val="es-CO"/>
        </w:rPr>
        <w:t>s</w:t>
      </w:r>
      <w:r w:rsidRPr="0019284B">
        <w:rPr>
          <w:rFonts w:ascii="Arial" w:hAnsi="Arial" w:cs="Arial"/>
        </w:rPr>
        <w:t>en</w:t>
      </w:r>
      <w:r>
        <w:rPr>
          <w:rFonts w:ascii="Arial" w:hAnsi="Arial" w:cs="Arial"/>
        </w:rPr>
        <w:t xml:space="preserve">tencia de 25 de julio de 2002, </w:t>
      </w:r>
      <w:r>
        <w:rPr>
          <w:rFonts w:ascii="Arial" w:hAnsi="Arial" w:cs="Arial"/>
          <w:lang w:val="es-CO"/>
        </w:rPr>
        <w:t>e</w:t>
      </w:r>
      <w:r w:rsidRPr="0019284B">
        <w:rPr>
          <w:rFonts w:ascii="Arial" w:hAnsi="Arial" w:cs="Arial"/>
        </w:rPr>
        <w:t>xp. 13744, Actor: Gloria Esther Noreña B.</w:t>
      </w:r>
    </w:p>
  </w:footnote>
  <w:footnote w:id="41">
    <w:p w:rsidR="00326EE3" w:rsidRPr="0019284B" w:rsidRDefault="00326EE3" w:rsidP="007C27F6">
      <w:pPr>
        <w:pStyle w:val="Piedepgina"/>
        <w:spacing w:after="0" w:line="240" w:lineRule="auto"/>
        <w:jc w:val="both"/>
        <w:rPr>
          <w:rFonts w:ascii="Arial" w:hAnsi="Arial" w:cs="Arial"/>
          <w:lang w:val="es-CO"/>
        </w:rPr>
      </w:pPr>
      <w:r w:rsidRPr="0019284B">
        <w:rPr>
          <w:rStyle w:val="Refdenotaalpie"/>
          <w:rFonts w:ascii="Arial" w:hAnsi="Arial" w:cs="Arial"/>
        </w:rPr>
        <w:footnoteRef/>
      </w:r>
      <w:r w:rsidRPr="0019284B">
        <w:rPr>
          <w:rFonts w:ascii="Arial" w:hAnsi="Arial" w:cs="Arial"/>
        </w:rPr>
        <w:t xml:space="preserve"> Nota original de la sentencia citada: </w:t>
      </w:r>
      <w:r>
        <w:rPr>
          <w:rFonts w:ascii="Arial" w:hAnsi="Arial" w:cs="Arial"/>
          <w:lang w:val="es-CO"/>
        </w:rPr>
        <w:t>Consejo de Estado, s</w:t>
      </w:r>
      <w:r w:rsidRPr="0019284B">
        <w:rPr>
          <w:rFonts w:ascii="Arial" w:hAnsi="Arial" w:cs="Arial"/>
          <w:lang w:val="es-CO"/>
        </w:rPr>
        <w:t>entencia  d</w:t>
      </w:r>
      <w:r>
        <w:rPr>
          <w:rFonts w:ascii="Arial" w:hAnsi="Arial" w:cs="Arial"/>
          <w:lang w:val="es-CO"/>
        </w:rPr>
        <w:t>e 2 de mayo de 2002 e</w:t>
      </w:r>
      <w:r w:rsidRPr="0019284B">
        <w:rPr>
          <w:rFonts w:ascii="Arial" w:hAnsi="Arial" w:cs="Arial"/>
          <w:lang w:val="es-CO"/>
        </w:rPr>
        <w:t>xp. 13262, Actor: Héctor A. Correa Cardona y otros.</w:t>
      </w:r>
    </w:p>
  </w:footnote>
  <w:footnote w:id="42">
    <w:p w:rsidR="00326EE3" w:rsidRPr="0019284B" w:rsidRDefault="00326EE3" w:rsidP="007C27F6">
      <w:pPr>
        <w:pStyle w:val="Piedepgina"/>
        <w:spacing w:after="0" w:line="240" w:lineRule="auto"/>
        <w:jc w:val="both"/>
        <w:rPr>
          <w:rFonts w:ascii="Arial" w:hAnsi="Arial" w:cs="Arial"/>
        </w:rPr>
      </w:pPr>
      <w:r w:rsidRPr="0019284B">
        <w:rPr>
          <w:rStyle w:val="Refdenotaalpie"/>
          <w:rFonts w:ascii="Arial" w:hAnsi="Arial" w:cs="Arial"/>
        </w:rPr>
        <w:footnoteRef/>
      </w:r>
      <w:r w:rsidRPr="0019284B">
        <w:rPr>
          <w:rFonts w:ascii="Arial" w:hAnsi="Arial" w:cs="Arial"/>
        </w:rPr>
        <w:t xml:space="preserve"> Consejo de Estado, Sala de lo Contencioso Administrativo, Sección Tercera, sentencia de veinte (20) de abril de dos mil cinco (2005); Consejero Ponente: Ramiro Saavedra Becerra; Radicación: 05001-23-24-000-1994-00103-01(15784); Actor: Francisco Luis Vanegas Ospina y otros; Demandado: Municipio de Tarso.</w:t>
      </w:r>
    </w:p>
  </w:footnote>
  <w:footnote w:id="43">
    <w:p w:rsidR="00326EE3" w:rsidRPr="0019284B" w:rsidRDefault="00326EE3" w:rsidP="007C27F6">
      <w:pPr>
        <w:pStyle w:val="Piedepgina"/>
        <w:spacing w:after="0" w:line="240" w:lineRule="auto"/>
        <w:jc w:val="both"/>
        <w:rPr>
          <w:rFonts w:ascii="Arial" w:hAnsi="Arial" w:cs="Arial"/>
        </w:rPr>
      </w:pPr>
      <w:r w:rsidRPr="0019284B">
        <w:rPr>
          <w:rStyle w:val="Refdenotaalpie"/>
          <w:rFonts w:ascii="Arial" w:hAnsi="Arial" w:cs="Arial"/>
        </w:rPr>
        <w:footnoteRef/>
      </w:r>
      <w:r w:rsidRPr="0019284B">
        <w:rPr>
          <w:rFonts w:ascii="Arial" w:hAnsi="Arial" w:cs="Arial"/>
        </w:rPr>
        <w:t xml:space="preserve"> Nota original de la sentencia citada: TAMAYO JARAMILLO, Javier. De </w:t>
      </w:r>
      <w:smartTag w:uri="urn:schemas-microsoft-com:office:smarttags" w:element="PersonName">
        <w:smartTagPr>
          <w:attr w:name="ProductID" w:val="la Responsabilidad Civil."/>
        </w:smartTagPr>
        <w:r w:rsidRPr="0019284B">
          <w:rPr>
            <w:rFonts w:ascii="Arial" w:hAnsi="Arial" w:cs="Arial"/>
          </w:rPr>
          <w:t>la Responsabilidad Civil.</w:t>
        </w:r>
      </w:smartTag>
      <w:r w:rsidRPr="0019284B">
        <w:rPr>
          <w:rFonts w:ascii="Arial" w:hAnsi="Arial" w:cs="Arial"/>
        </w:rPr>
        <w:t xml:space="preserve">  Las presunciones de responsabilidad y sus medios de defensa. Edit. Temis, 2ª edición. Tomo I, vol</w:t>
      </w:r>
      <w:r w:rsidRPr="0019284B">
        <w:rPr>
          <w:rFonts w:ascii="Arial" w:hAnsi="Arial" w:cs="Arial"/>
          <w:lang w:val="es-CO"/>
        </w:rPr>
        <w:t>.</w:t>
      </w:r>
      <w:r w:rsidRPr="0019284B">
        <w:rPr>
          <w:rFonts w:ascii="Arial" w:hAnsi="Arial" w:cs="Arial"/>
        </w:rPr>
        <w:t xml:space="preserve"> 2., Santafé de Bogotá, 1996. pp. 245, 246.</w:t>
      </w:r>
    </w:p>
  </w:footnote>
  <w:footnote w:id="44">
    <w:p w:rsidR="00326EE3" w:rsidRPr="0019284B" w:rsidRDefault="00326EE3" w:rsidP="007C27F6">
      <w:pPr>
        <w:pStyle w:val="Piedepgina"/>
        <w:spacing w:after="0" w:line="240" w:lineRule="auto"/>
        <w:jc w:val="both"/>
        <w:rPr>
          <w:rFonts w:ascii="Arial" w:hAnsi="Arial" w:cs="Arial"/>
        </w:rPr>
      </w:pPr>
      <w:r w:rsidRPr="0019284B">
        <w:rPr>
          <w:rStyle w:val="Refdenotaalpie"/>
          <w:rFonts w:ascii="Arial" w:hAnsi="Arial" w:cs="Arial"/>
        </w:rPr>
        <w:footnoteRef/>
      </w:r>
      <w:r w:rsidRPr="0019284B">
        <w:rPr>
          <w:rFonts w:ascii="Arial" w:hAnsi="Arial" w:cs="Arial"/>
        </w:rPr>
        <w:t xml:space="preserve"> Consejo de Estado, Sala de lo Contencioso Administrativo, Sección Tercera, sentencia de dieciocho de octubre de dos mil, Radicación número: 11981; Consejero Ponente: Alier Eduardo Hernández Enríquez; Actor: María Celeny Zapata Zapata y otros.</w:t>
      </w:r>
    </w:p>
  </w:footnote>
  <w:footnote w:id="45">
    <w:p w:rsidR="00326EE3" w:rsidRPr="00DE5C16" w:rsidRDefault="00326EE3" w:rsidP="00D454CA">
      <w:pPr>
        <w:pStyle w:val="Textonotapie"/>
        <w:jc w:val="both"/>
        <w:rPr>
          <w:rFonts w:ascii="Arial" w:hAnsi="Arial" w:cs="Arial"/>
        </w:rPr>
      </w:pPr>
      <w:r w:rsidRPr="00342049">
        <w:rPr>
          <w:rStyle w:val="Refdenotaalpie"/>
          <w:rFonts w:ascii="Arial" w:hAnsi="Arial" w:cs="Arial"/>
        </w:rPr>
        <w:footnoteRef/>
      </w:r>
      <w:r w:rsidRPr="00342049">
        <w:rPr>
          <w:rFonts w:ascii="Arial" w:hAnsi="Arial" w:cs="Arial"/>
        </w:rPr>
        <w:t xml:space="preserve"> Consejo de Estado, Sección Tercera, Subsección A, sentenc</w:t>
      </w:r>
      <w:r>
        <w:rPr>
          <w:rFonts w:ascii="Arial" w:hAnsi="Arial" w:cs="Arial"/>
        </w:rPr>
        <w:t xml:space="preserve">ia del 4 de noviembre de 2015, </w:t>
      </w:r>
      <w:r>
        <w:rPr>
          <w:rFonts w:ascii="Arial" w:hAnsi="Arial" w:cs="Arial"/>
          <w:lang w:val="es-CO"/>
        </w:rPr>
        <w:t>e</w:t>
      </w:r>
      <w:r w:rsidRPr="00342049">
        <w:rPr>
          <w:rFonts w:ascii="Arial" w:hAnsi="Arial" w:cs="Arial"/>
        </w:rPr>
        <w:t xml:space="preserve">xp. 38.178, M.P. Carlos Alberto Zambrano Barrera. </w:t>
      </w:r>
    </w:p>
  </w:footnote>
  <w:footnote w:id="46">
    <w:p w:rsidR="00326EE3" w:rsidRPr="003246F5" w:rsidRDefault="00326EE3">
      <w:pPr>
        <w:pStyle w:val="Textonotapie"/>
        <w:rPr>
          <w:rFonts w:ascii="Arial" w:hAnsi="Arial" w:cs="Arial"/>
          <w:sz w:val="22"/>
          <w:szCs w:val="22"/>
          <w:lang w:val="es-CO"/>
        </w:rPr>
      </w:pPr>
      <w:r w:rsidRPr="003246F5">
        <w:rPr>
          <w:rStyle w:val="Refdenotaalpie"/>
          <w:rFonts w:ascii="Arial" w:hAnsi="Arial" w:cs="Arial"/>
          <w:sz w:val="22"/>
          <w:szCs w:val="22"/>
        </w:rPr>
        <w:footnoteRef/>
      </w:r>
      <w:r w:rsidRPr="003246F5">
        <w:rPr>
          <w:rFonts w:ascii="Arial" w:hAnsi="Arial" w:cs="Arial"/>
          <w:sz w:val="22"/>
          <w:szCs w:val="22"/>
          <w:lang w:val="es-CO"/>
        </w:rPr>
        <w:t xml:space="preserve"> M.P. Carlos Alberto Zambrano Barrera</w:t>
      </w:r>
      <w:r>
        <w:rPr>
          <w:rFonts w:ascii="Arial" w:hAnsi="Arial" w:cs="Arial"/>
          <w:sz w:val="22"/>
          <w:szCs w:val="22"/>
          <w:lang w:val="es-CO"/>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6EE3" w:rsidRPr="00267AAD" w:rsidRDefault="00326EE3" w:rsidP="00267AAD">
    <w:pPr>
      <w:pStyle w:val="Encabezado"/>
      <w:tabs>
        <w:tab w:val="clear" w:pos="4419"/>
        <w:tab w:val="clear" w:pos="8838"/>
      </w:tabs>
      <w:spacing w:line="240" w:lineRule="auto"/>
      <w:ind w:left="2832"/>
      <w:jc w:val="both"/>
      <w:rPr>
        <w:sz w:val="16"/>
        <w:szCs w:val="16"/>
        <w:lang w:val="es-CO"/>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6EE3" w:rsidRDefault="00326EE3">
    <w:pPr>
      <w:pStyle w:val="Encabezado"/>
    </w:pPr>
  </w:p>
  <w:p w:rsidR="00326EE3" w:rsidRDefault="00326EE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55A5E"/>
    <w:multiLevelType w:val="multilevel"/>
    <w:tmpl w:val="1086408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8264796"/>
    <w:multiLevelType w:val="hybridMultilevel"/>
    <w:tmpl w:val="F6CA604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83278A7"/>
    <w:multiLevelType w:val="multilevel"/>
    <w:tmpl w:val="1DDC04A2"/>
    <w:lvl w:ilvl="0">
      <w:start w:val="5"/>
      <w:numFmt w:val="decimal"/>
      <w:lvlText w:val="%1."/>
      <w:lvlJc w:val="left"/>
      <w:pPr>
        <w:ind w:left="540" w:hanging="540"/>
      </w:pPr>
      <w:rPr>
        <w:rFonts w:hint="default"/>
      </w:rPr>
    </w:lvl>
    <w:lvl w:ilvl="1">
      <w:start w:val="10"/>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98B2679"/>
    <w:multiLevelType w:val="multilevel"/>
    <w:tmpl w:val="568A762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B525792"/>
    <w:multiLevelType w:val="hybridMultilevel"/>
    <w:tmpl w:val="EDA43FD4"/>
    <w:lvl w:ilvl="0" w:tplc="9792224A">
      <w:start w:val="50"/>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2F41772"/>
    <w:multiLevelType w:val="hybridMultilevel"/>
    <w:tmpl w:val="146AA268"/>
    <w:lvl w:ilvl="0" w:tplc="240A0009">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6" w15:restartNumberingAfterBreak="0">
    <w:nsid w:val="332F4F2D"/>
    <w:multiLevelType w:val="multilevel"/>
    <w:tmpl w:val="7370FB4E"/>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5245947"/>
    <w:multiLevelType w:val="hybridMultilevel"/>
    <w:tmpl w:val="C596C7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A4E79F4"/>
    <w:multiLevelType w:val="multilevel"/>
    <w:tmpl w:val="7370FB4E"/>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BE751B6"/>
    <w:multiLevelType w:val="multilevel"/>
    <w:tmpl w:val="7370FB4E"/>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4D431E0"/>
    <w:multiLevelType w:val="hybridMultilevel"/>
    <w:tmpl w:val="F67A2DDA"/>
    <w:lvl w:ilvl="0" w:tplc="86947946">
      <w:start w:val="1"/>
      <w:numFmt w:val="lowerRoman"/>
      <w:lvlText w:val="%1)"/>
      <w:lvlJc w:val="left"/>
      <w:pPr>
        <w:ind w:left="1080" w:hanging="720"/>
      </w:pPr>
      <w:rPr>
        <w:rFonts w:hint="default"/>
        <w:i/>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4A1B22C4"/>
    <w:multiLevelType w:val="multilevel"/>
    <w:tmpl w:val="568A762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90D18E0"/>
    <w:multiLevelType w:val="hybridMultilevel"/>
    <w:tmpl w:val="E09EC37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5B8C6611"/>
    <w:multiLevelType w:val="multilevel"/>
    <w:tmpl w:val="EAAC4B6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6BD6437B"/>
    <w:multiLevelType w:val="multilevel"/>
    <w:tmpl w:val="568A762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CD87096"/>
    <w:multiLevelType w:val="multilevel"/>
    <w:tmpl w:val="7370FB4E"/>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72B01878"/>
    <w:multiLevelType w:val="multilevel"/>
    <w:tmpl w:val="7370FB4E"/>
    <w:lvl w:ilvl="0">
      <w:start w:val="5"/>
      <w:numFmt w:val="decimal"/>
      <w:lvlText w:val="%1"/>
      <w:lvlJc w:val="left"/>
      <w:pPr>
        <w:ind w:left="360" w:hanging="360"/>
      </w:pPr>
      <w:rPr>
        <w:rFonts w:eastAsia="Times New Roman" w:hint="default"/>
        <w:b w:val="0"/>
      </w:rPr>
    </w:lvl>
    <w:lvl w:ilvl="1">
      <w:start w:val="1"/>
      <w:numFmt w:val="decimal"/>
      <w:lvlText w:val="%1.%2"/>
      <w:lvlJc w:val="left"/>
      <w:pPr>
        <w:ind w:left="360" w:hanging="360"/>
      </w:pPr>
      <w:rPr>
        <w:rFonts w:eastAsia="Times New Roman" w:hint="default"/>
        <w:b w:val="0"/>
      </w:rPr>
    </w:lvl>
    <w:lvl w:ilvl="2">
      <w:start w:val="1"/>
      <w:numFmt w:val="decimal"/>
      <w:lvlText w:val="%1.%2.%3"/>
      <w:lvlJc w:val="left"/>
      <w:pPr>
        <w:ind w:left="720" w:hanging="720"/>
      </w:pPr>
      <w:rPr>
        <w:rFonts w:eastAsia="Times New Roman" w:hint="default"/>
        <w:b w:val="0"/>
      </w:rPr>
    </w:lvl>
    <w:lvl w:ilvl="3">
      <w:start w:val="1"/>
      <w:numFmt w:val="decimal"/>
      <w:lvlText w:val="%1.%2.%3.%4"/>
      <w:lvlJc w:val="left"/>
      <w:pPr>
        <w:ind w:left="1080" w:hanging="1080"/>
      </w:pPr>
      <w:rPr>
        <w:rFonts w:eastAsia="Times New Roman" w:hint="default"/>
        <w:b w:val="0"/>
      </w:rPr>
    </w:lvl>
    <w:lvl w:ilvl="4">
      <w:start w:val="1"/>
      <w:numFmt w:val="decimal"/>
      <w:lvlText w:val="%1.%2.%3.%4.%5"/>
      <w:lvlJc w:val="left"/>
      <w:pPr>
        <w:ind w:left="1080" w:hanging="1080"/>
      </w:pPr>
      <w:rPr>
        <w:rFonts w:eastAsia="Times New Roman" w:hint="default"/>
        <w:b w:val="0"/>
      </w:rPr>
    </w:lvl>
    <w:lvl w:ilvl="5">
      <w:start w:val="1"/>
      <w:numFmt w:val="decimal"/>
      <w:lvlText w:val="%1.%2.%3.%4.%5.%6"/>
      <w:lvlJc w:val="left"/>
      <w:pPr>
        <w:ind w:left="1440" w:hanging="1440"/>
      </w:pPr>
      <w:rPr>
        <w:rFonts w:eastAsia="Times New Roman" w:hint="default"/>
        <w:b w:val="0"/>
      </w:rPr>
    </w:lvl>
    <w:lvl w:ilvl="6">
      <w:start w:val="1"/>
      <w:numFmt w:val="decimal"/>
      <w:lvlText w:val="%1.%2.%3.%4.%5.%6.%7"/>
      <w:lvlJc w:val="left"/>
      <w:pPr>
        <w:ind w:left="1440" w:hanging="1440"/>
      </w:pPr>
      <w:rPr>
        <w:rFonts w:eastAsia="Times New Roman" w:hint="default"/>
        <w:b w:val="0"/>
      </w:rPr>
    </w:lvl>
    <w:lvl w:ilvl="7">
      <w:start w:val="1"/>
      <w:numFmt w:val="decimal"/>
      <w:lvlText w:val="%1.%2.%3.%4.%5.%6.%7.%8"/>
      <w:lvlJc w:val="left"/>
      <w:pPr>
        <w:ind w:left="1800" w:hanging="1800"/>
      </w:pPr>
      <w:rPr>
        <w:rFonts w:eastAsia="Times New Roman" w:hint="default"/>
        <w:b w:val="0"/>
      </w:rPr>
    </w:lvl>
    <w:lvl w:ilvl="8">
      <w:start w:val="1"/>
      <w:numFmt w:val="decimal"/>
      <w:lvlText w:val="%1.%2.%3.%4.%5.%6.%7.%8.%9"/>
      <w:lvlJc w:val="left"/>
      <w:pPr>
        <w:ind w:left="1800" w:hanging="1800"/>
      </w:pPr>
      <w:rPr>
        <w:rFonts w:eastAsia="Times New Roman" w:hint="default"/>
        <w:b w:val="0"/>
      </w:rPr>
    </w:lvl>
  </w:abstractNum>
  <w:abstractNum w:abstractNumId="17" w15:restartNumberingAfterBreak="0">
    <w:nsid w:val="72BD156E"/>
    <w:multiLevelType w:val="multilevel"/>
    <w:tmpl w:val="568A762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741E7796"/>
    <w:multiLevelType w:val="hybridMultilevel"/>
    <w:tmpl w:val="FF867486"/>
    <w:lvl w:ilvl="0" w:tplc="24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74D14C9F"/>
    <w:multiLevelType w:val="multilevel"/>
    <w:tmpl w:val="7370FB4E"/>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75213CB1"/>
    <w:multiLevelType w:val="hybridMultilevel"/>
    <w:tmpl w:val="A91E956C"/>
    <w:lvl w:ilvl="0" w:tplc="24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7BEF6210"/>
    <w:multiLevelType w:val="multilevel"/>
    <w:tmpl w:val="83887758"/>
    <w:lvl w:ilvl="0">
      <w:start w:val="5"/>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num w:numId="1">
    <w:abstractNumId w:val="20"/>
  </w:num>
  <w:num w:numId="2">
    <w:abstractNumId w:val="10"/>
  </w:num>
  <w:num w:numId="3">
    <w:abstractNumId w:val="1"/>
  </w:num>
  <w:num w:numId="4">
    <w:abstractNumId w:val="7"/>
  </w:num>
  <w:num w:numId="5">
    <w:abstractNumId w:val="0"/>
  </w:num>
  <w:num w:numId="6">
    <w:abstractNumId w:val="13"/>
  </w:num>
  <w:num w:numId="7">
    <w:abstractNumId w:val="17"/>
  </w:num>
  <w:num w:numId="8">
    <w:abstractNumId w:val="5"/>
  </w:num>
  <w:num w:numId="9">
    <w:abstractNumId w:val="18"/>
  </w:num>
  <w:num w:numId="10">
    <w:abstractNumId w:val="2"/>
  </w:num>
  <w:num w:numId="11">
    <w:abstractNumId w:val="12"/>
  </w:num>
  <w:num w:numId="12">
    <w:abstractNumId w:val="14"/>
  </w:num>
  <w:num w:numId="13">
    <w:abstractNumId w:val="3"/>
  </w:num>
  <w:num w:numId="14">
    <w:abstractNumId w:val="11"/>
  </w:num>
  <w:num w:numId="15">
    <w:abstractNumId w:val="6"/>
  </w:num>
  <w:num w:numId="16">
    <w:abstractNumId w:val="15"/>
  </w:num>
  <w:num w:numId="17">
    <w:abstractNumId w:val="9"/>
  </w:num>
  <w:num w:numId="18">
    <w:abstractNumId w:val="19"/>
  </w:num>
  <w:num w:numId="19">
    <w:abstractNumId w:val="8"/>
  </w:num>
  <w:num w:numId="20">
    <w:abstractNumId w:val="16"/>
  </w:num>
  <w:num w:numId="21">
    <w:abstractNumId w:val="21"/>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rawingGridVerticalSpacing w:val="163"/>
  <w:displayHorizontalDrawingGridEvery w:val="2"/>
  <w:displayVerticalDrawingGridEvery w:val="2"/>
  <w:characterSpacingControl w:val="doNotCompress"/>
  <w:hdrShapeDefaults>
    <o:shapedefaults v:ext="edit" spidmax="3074"/>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24FC"/>
    <w:rsid w:val="00000AEA"/>
    <w:rsid w:val="00004698"/>
    <w:rsid w:val="00004DD0"/>
    <w:rsid w:val="0000536B"/>
    <w:rsid w:val="000070AF"/>
    <w:rsid w:val="000106C1"/>
    <w:rsid w:val="00012187"/>
    <w:rsid w:val="00012F03"/>
    <w:rsid w:val="00014B76"/>
    <w:rsid w:val="00015100"/>
    <w:rsid w:val="00020C9C"/>
    <w:rsid w:val="0002131D"/>
    <w:rsid w:val="0002584A"/>
    <w:rsid w:val="0003408F"/>
    <w:rsid w:val="0003418D"/>
    <w:rsid w:val="00035889"/>
    <w:rsid w:val="00035A17"/>
    <w:rsid w:val="00037F05"/>
    <w:rsid w:val="0004102C"/>
    <w:rsid w:val="000418B0"/>
    <w:rsid w:val="00042B8A"/>
    <w:rsid w:val="00043AF2"/>
    <w:rsid w:val="0004452A"/>
    <w:rsid w:val="00045CA8"/>
    <w:rsid w:val="00050B89"/>
    <w:rsid w:val="00050E6C"/>
    <w:rsid w:val="00051D46"/>
    <w:rsid w:val="000578D7"/>
    <w:rsid w:val="000603D7"/>
    <w:rsid w:val="000621F1"/>
    <w:rsid w:val="00062C21"/>
    <w:rsid w:val="000630C1"/>
    <w:rsid w:val="00070A44"/>
    <w:rsid w:val="00073088"/>
    <w:rsid w:val="0007411C"/>
    <w:rsid w:val="00075573"/>
    <w:rsid w:val="00085F3A"/>
    <w:rsid w:val="0008726D"/>
    <w:rsid w:val="00091DFE"/>
    <w:rsid w:val="00092457"/>
    <w:rsid w:val="00095454"/>
    <w:rsid w:val="00095ED9"/>
    <w:rsid w:val="00096EBA"/>
    <w:rsid w:val="00097E49"/>
    <w:rsid w:val="000A11C8"/>
    <w:rsid w:val="000A3B37"/>
    <w:rsid w:val="000A40A7"/>
    <w:rsid w:val="000A455D"/>
    <w:rsid w:val="000A57C2"/>
    <w:rsid w:val="000A7775"/>
    <w:rsid w:val="000A7E7A"/>
    <w:rsid w:val="000B3874"/>
    <w:rsid w:val="000B645E"/>
    <w:rsid w:val="000C1C71"/>
    <w:rsid w:val="000C2269"/>
    <w:rsid w:val="000C3DCD"/>
    <w:rsid w:val="000C475B"/>
    <w:rsid w:val="000C7BF3"/>
    <w:rsid w:val="000D144B"/>
    <w:rsid w:val="000D19A5"/>
    <w:rsid w:val="000D1A92"/>
    <w:rsid w:val="000D239D"/>
    <w:rsid w:val="000D2C32"/>
    <w:rsid w:val="000D2EC0"/>
    <w:rsid w:val="000D3714"/>
    <w:rsid w:val="000D6E36"/>
    <w:rsid w:val="000D6EB5"/>
    <w:rsid w:val="000E2126"/>
    <w:rsid w:val="000E4D0F"/>
    <w:rsid w:val="000E619E"/>
    <w:rsid w:val="000F1BE3"/>
    <w:rsid w:val="000F271C"/>
    <w:rsid w:val="000F2C77"/>
    <w:rsid w:val="000F5968"/>
    <w:rsid w:val="001005FA"/>
    <w:rsid w:val="00102E1D"/>
    <w:rsid w:val="001051A3"/>
    <w:rsid w:val="00107341"/>
    <w:rsid w:val="001079DD"/>
    <w:rsid w:val="00110339"/>
    <w:rsid w:val="0011088D"/>
    <w:rsid w:val="00110AE0"/>
    <w:rsid w:val="00112ACB"/>
    <w:rsid w:val="001141AF"/>
    <w:rsid w:val="001156EF"/>
    <w:rsid w:val="00115894"/>
    <w:rsid w:val="00115BBD"/>
    <w:rsid w:val="001177D6"/>
    <w:rsid w:val="00120DF6"/>
    <w:rsid w:val="00121C9E"/>
    <w:rsid w:val="00123858"/>
    <w:rsid w:val="001252D7"/>
    <w:rsid w:val="00126AD2"/>
    <w:rsid w:val="00127C4A"/>
    <w:rsid w:val="00130258"/>
    <w:rsid w:val="001307A5"/>
    <w:rsid w:val="001327A7"/>
    <w:rsid w:val="00134BB7"/>
    <w:rsid w:val="001367C6"/>
    <w:rsid w:val="0013717C"/>
    <w:rsid w:val="00140AD7"/>
    <w:rsid w:val="00142C82"/>
    <w:rsid w:val="00142E3F"/>
    <w:rsid w:val="001457B9"/>
    <w:rsid w:val="00146A0A"/>
    <w:rsid w:val="00153BDF"/>
    <w:rsid w:val="00153FD8"/>
    <w:rsid w:val="0015468C"/>
    <w:rsid w:val="00162014"/>
    <w:rsid w:val="0016595B"/>
    <w:rsid w:val="001670A7"/>
    <w:rsid w:val="00171BA6"/>
    <w:rsid w:val="00174F86"/>
    <w:rsid w:val="001759A5"/>
    <w:rsid w:val="00176525"/>
    <w:rsid w:val="001771D6"/>
    <w:rsid w:val="00177582"/>
    <w:rsid w:val="001800EE"/>
    <w:rsid w:val="001810A4"/>
    <w:rsid w:val="00181799"/>
    <w:rsid w:val="00182325"/>
    <w:rsid w:val="00186AF0"/>
    <w:rsid w:val="0018757B"/>
    <w:rsid w:val="001932CF"/>
    <w:rsid w:val="0019657E"/>
    <w:rsid w:val="00196BC6"/>
    <w:rsid w:val="001A3D82"/>
    <w:rsid w:val="001A79FA"/>
    <w:rsid w:val="001B2166"/>
    <w:rsid w:val="001B32BD"/>
    <w:rsid w:val="001C25F4"/>
    <w:rsid w:val="001C3357"/>
    <w:rsid w:val="001C44DC"/>
    <w:rsid w:val="001C756B"/>
    <w:rsid w:val="001D1928"/>
    <w:rsid w:val="001D47B6"/>
    <w:rsid w:val="001D4C9B"/>
    <w:rsid w:val="001E00C0"/>
    <w:rsid w:val="001E38C0"/>
    <w:rsid w:val="001E4FDF"/>
    <w:rsid w:val="001E59CE"/>
    <w:rsid w:val="001E5A49"/>
    <w:rsid w:val="001E6952"/>
    <w:rsid w:val="001F081E"/>
    <w:rsid w:val="001F0E3A"/>
    <w:rsid w:val="001F4D35"/>
    <w:rsid w:val="001F4E7D"/>
    <w:rsid w:val="001F67FF"/>
    <w:rsid w:val="002008F7"/>
    <w:rsid w:val="0020535C"/>
    <w:rsid w:val="00205E73"/>
    <w:rsid w:val="00207213"/>
    <w:rsid w:val="00210F79"/>
    <w:rsid w:val="00211DB3"/>
    <w:rsid w:val="00217080"/>
    <w:rsid w:val="0021708F"/>
    <w:rsid w:val="00217EBB"/>
    <w:rsid w:val="00220B3B"/>
    <w:rsid w:val="00220EF8"/>
    <w:rsid w:val="00223515"/>
    <w:rsid w:val="00227C5C"/>
    <w:rsid w:val="002320F6"/>
    <w:rsid w:val="00233229"/>
    <w:rsid w:val="00233FF9"/>
    <w:rsid w:val="00235930"/>
    <w:rsid w:val="00235BA4"/>
    <w:rsid w:val="0023737E"/>
    <w:rsid w:val="002406EA"/>
    <w:rsid w:val="00240AF5"/>
    <w:rsid w:val="00241B79"/>
    <w:rsid w:val="002427BE"/>
    <w:rsid w:val="002432ED"/>
    <w:rsid w:val="002444B7"/>
    <w:rsid w:val="00245FDA"/>
    <w:rsid w:val="0025126B"/>
    <w:rsid w:val="00255AB5"/>
    <w:rsid w:val="00256D76"/>
    <w:rsid w:val="00256E48"/>
    <w:rsid w:val="00262B94"/>
    <w:rsid w:val="0026566E"/>
    <w:rsid w:val="0026645E"/>
    <w:rsid w:val="00267AAD"/>
    <w:rsid w:val="00272270"/>
    <w:rsid w:val="0028615B"/>
    <w:rsid w:val="002916F8"/>
    <w:rsid w:val="002941D9"/>
    <w:rsid w:val="0029557D"/>
    <w:rsid w:val="002A1E77"/>
    <w:rsid w:val="002A219F"/>
    <w:rsid w:val="002A3406"/>
    <w:rsid w:val="002A6F7C"/>
    <w:rsid w:val="002B14D2"/>
    <w:rsid w:val="002B41BC"/>
    <w:rsid w:val="002B679D"/>
    <w:rsid w:val="002C0E04"/>
    <w:rsid w:val="002C1AEE"/>
    <w:rsid w:val="002C7E58"/>
    <w:rsid w:val="002D1FF7"/>
    <w:rsid w:val="002D44F7"/>
    <w:rsid w:val="002D6356"/>
    <w:rsid w:val="002D6ABB"/>
    <w:rsid w:val="002D768C"/>
    <w:rsid w:val="002E158E"/>
    <w:rsid w:val="002E1B00"/>
    <w:rsid w:val="002E22A5"/>
    <w:rsid w:val="002E48CD"/>
    <w:rsid w:val="002E7A46"/>
    <w:rsid w:val="002F0FEE"/>
    <w:rsid w:val="002F13E9"/>
    <w:rsid w:val="002F27E6"/>
    <w:rsid w:val="002F4277"/>
    <w:rsid w:val="002F529A"/>
    <w:rsid w:val="002F64EE"/>
    <w:rsid w:val="002F6AC2"/>
    <w:rsid w:val="002F7ADA"/>
    <w:rsid w:val="002F7BBE"/>
    <w:rsid w:val="0030150A"/>
    <w:rsid w:val="003023DA"/>
    <w:rsid w:val="0030282A"/>
    <w:rsid w:val="00303856"/>
    <w:rsid w:val="00303B24"/>
    <w:rsid w:val="00304D6B"/>
    <w:rsid w:val="0030631C"/>
    <w:rsid w:val="00307709"/>
    <w:rsid w:val="00310841"/>
    <w:rsid w:val="00312F9E"/>
    <w:rsid w:val="003145F1"/>
    <w:rsid w:val="00316A88"/>
    <w:rsid w:val="003246F5"/>
    <w:rsid w:val="00325CE3"/>
    <w:rsid w:val="00326EE3"/>
    <w:rsid w:val="0032736A"/>
    <w:rsid w:val="00327DB3"/>
    <w:rsid w:val="003302AE"/>
    <w:rsid w:val="00335878"/>
    <w:rsid w:val="0033605A"/>
    <w:rsid w:val="0033630B"/>
    <w:rsid w:val="00337BDB"/>
    <w:rsid w:val="00340400"/>
    <w:rsid w:val="003418FE"/>
    <w:rsid w:val="00341D34"/>
    <w:rsid w:val="00345CDA"/>
    <w:rsid w:val="00355723"/>
    <w:rsid w:val="00355D5D"/>
    <w:rsid w:val="0035769A"/>
    <w:rsid w:val="00361FC0"/>
    <w:rsid w:val="003676A1"/>
    <w:rsid w:val="00372527"/>
    <w:rsid w:val="00376A57"/>
    <w:rsid w:val="00386D19"/>
    <w:rsid w:val="00386E6C"/>
    <w:rsid w:val="00390498"/>
    <w:rsid w:val="00390CF6"/>
    <w:rsid w:val="00391B7C"/>
    <w:rsid w:val="003936B2"/>
    <w:rsid w:val="00393E86"/>
    <w:rsid w:val="00396368"/>
    <w:rsid w:val="00397CAB"/>
    <w:rsid w:val="003A01A2"/>
    <w:rsid w:val="003A1ADD"/>
    <w:rsid w:val="003A3C27"/>
    <w:rsid w:val="003A7E99"/>
    <w:rsid w:val="003B2092"/>
    <w:rsid w:val="003B2624"/>
    <w:rsid w:val="003B690F"/>
    <w:rsid w:val="003B76BA"/>
    <w:rsid w:val="003C030D"/>
    <w:rsid w:val="003C0B84"/>
    <w:rsid w:val="003C2C64"/>
    <w:rsid w:val="003C3291"/>
    <w:rsid w:val="003C4604"/>
    <w:rsid w:val="003C63CC"/>
    <w:rsid w:val="003C721F"/>
    <w:rsid w:val="003D0CBE"/>
    <w:rsid w:val="003D27D8"/>
    <w:rsid w:val="003D2B60"/>
    <w:rsid w:val="003D2D70"/>
    <w:rsid w:val="003D3B10"/>
    <w:rsid w:val="003D60BD"/>
    <w:rsid w:val="003E355B"/>
    <w:rsid w:val="003E3E08"/>
    <w:rsid w:val="003E5022"/>
    <w:rsid w:val="003E5E08"/>
    <w:rsid w:val="003E6E3D"/>
    <w:rsid w:val="003E7A65"/>
    <w:rsid w:val="003F07D8"/>
    <w:rsid w:val="003F1A00"/>
    <w:rsid w:val="003F3E11"/>
    <w:rsid w:val="003F700A"/>
    <w:rsid w:val="00402276"/>
    <w:rsid w:val="0040372D"/>
    <w:rsid w:val="00405C78"/>
    <w:rsid w:val="0041034E"/>
    <w:rsid w:val="00410C31"/>
    <w:rsid w:val="00420881"/>
    <w:rsid w:val="00421E78"/>
    <w:rsid w:val="00424F53"/>
    <w:rsid w:val="00436588"/>
    <w:rsid w:val="00441442"/>
    <w:rsid w:val="00441C56"/>
    <w:rsid w:val="00441FB1"/>
    <w:rsid w:val="00442E21"/>
    <w:rsid w:val="00451E4A"/>
    <w:rsid w:val="004559B7"/>
    <w:rsid w:val="00456445"/>
    <w:rsid w:val="00462DC7"/>
    <w:rsid w:val="00466193"/>
    <w:rsid w:val="0046664C"/>
    <w:rsid w:val="00466A8C"/>
    <w:rsid w:val="004678E1"/>
    <w:rsid w:val="0046792B"/>
    <w:rsid w:val="004700F8"/>
    <w:rsid w:val="00472C0B"/>
    <w:rsid w:val="00476677"/>
    <w:rsid w:val="004779CA"/>
    <w:rsid w:val="00480A67"/>
    <w:rsid w:val="00483A4D"/>
    <w:rsid w:val="00483D4B"/>
    <w:rsid w:val="00483F70"/>
    <w:rsid w:val="0048618F"/>
    <w:rsid w:val="00486C67"/>
    <w:rsid w:val="0049397C"/>
    <w:rsid w:val="004943B0"/>
    <w:rsid w:val="00494786"/>
    <w:rsid w:val="00495300"/>
    <w:rsid w:val="004A3A6D"/>
    <w:rsid w:val="004B024A"/>
    <w:rsid w:val="004B1B8D"/>
    <w:rsid w:val="004B1FAD"/>
    <w:rsid w:val="004B2FA3"/>
    <w:rsid w:val="004B3956"/>
    <w:rsid w:val="004B588A"/>
    <w:rsid w:val="004B7EC8"/>
    <w:rsid w:val="004C02EB"/>
    <w:rsid w:val="004C1592"/>
    <w:rsid w:val="004C27AE"/>
    <w:rsid w:val="004C353C"/>
    <w:rsid w:val="004C5763"/>
    <w:rsid w:val="004D28B6"/>
    <w:rsid w:val="004D55AA"/>
    <w:rsid w:val="004D6E56"/>
    <w:rsid w:val="004E2172"/>
    <w:rsid w:val="004E2578"/>
    <w:rsid w:val="004E4DF6"/>
    <w:rsid w:val="004E638A"/>
    <w:rsid w:val="00500A45"/>
    <w:rsid w:val="00501939"/>
    <w:rsid w:val="00501B47"/>
    <w:rsid w:val="00503047"/>
    <w:rsid w:val="0050555D"/>
    <w:rsid w:val="00505892"/>
    <w:rsid w:val="0050615B"/>
    <w:rsid w:val="00510AAC"/>
    <w:rsid w:val="00514C10"/>
    <w:rsid w:val="00514C39"/>
    <w:rsid w:val="0051546E"/>
    <w:rsid w:val="00517B6F"/>
    <w:rsid w:val="005233F0"/>
    <w:rsid w:val="00531BB3"/>
    <w:rsid w:val="00532122"/>
    <w:rsid w:val="0053452B"/>
    <w:rsid w:val="005402CE"/>
    <w:rsid w:val="005443C9"/>
    <w:rsid w:val="00545ED2"/>
    <w:rsid w:val="005466A9"/>
    <w:rsid w:val="00547DF1"/>
    <w:rsid w:val="00550598"/>
    <w:rsid w:val="00552E42"/>
    <w:rsid w:val="005544F1"/>
    <w:rsid w:val="005578F4"/>
    <w:rsid w:val="00560F46"/>
    <w:rsid w:val="00562160"/>
    <w:rsid w:val="00563B0A"/>
    <w:rsid w:val="005671A4"/>
    <w:rsid w:val="005710F3"/>
    <w:rsid w:val="00573544"/>
    <w:rsid w:val="005744F3"/>
    <w:rsid w:val="00576A6A"/>
    <w:rsid w:val="00576D69"/>
    <w:rsid w:val="005807B4"/>
    <w:rsid w:val="00585617"/>
    <w:rsid w:val="00590768"/>
    <w:rsid w:val="00591DA0"/>
    <w:rsid w:val="005A3E34"/>
    <w:rsid w:val="005A5D1D"/>
    <w:rsid w:val="005A7686"/>
    <w:rsid w:val="005B1FEA"/>
    <w:rsid w:val="005B2D14"/>
    <w:rsid w:val="005B3080"/>
    <w:rsid w:val="005B3562"/>
    <w:rsid w:val="005B45FF"/>
    <w:rsid w:val="005B49BC"/>
    <w:rsid w:val="005B4BDA"/>
    <w:rsid w:val="005B7490"/>
    <w:rsid w:val="005C1215"/>
    <w:rsid w:val="005C5F8A"/>
    <w:rsid w:val="005D074F"/>
    <w:rsid w:val="005D1B62"/>
    <w:rsid w:val="005D25F6"/>
    <w:rsid w:val="005D4BFD"/>
    <w:rsid w:val="005D5CAE"/>
    <w:rsid w:val="005D6537"/>
    <w:rsid w:val="005E15C1"/>
    <w:rsid w:val="005E2873"/>
    <w:rsid w:val="005E2A79"/>
    <w:rsid w:val="005E3312"/>
    <w:rsid w:val="005E4F38"/>
    <w:rsid w:val="005F0249"/>
    <w:rsid w:val="005F0405"/>
    <w:rsid w:val="005F08B8"/>
    <w:rsid w:val="005F115F"/>
    <w:rsid w:val="005F3E7C"/>
    <w:rsid w:val="005F5218"/>
    <w:rsid w:val="005F5248"/>
    <w:rsid w:val="005F5955"/>
    <w:rsid w:val="00604B58"/>
    <w:rsid w:val="0060642A"/>
    <w:rsid w:val="0060689F"/>
    <w:rsid w:val="006108A6"/>
    <w:rsid w:val="006114B0"/>
    <w:rsid w:val="00613293"/>
    <w:rsid w:val="006141E5"/>
    <w:rsid w:val="00620370"/>
    <w:rsid w:val="00620734"/>
    <w:rsid w:val="0062168D"/>
    <w:rsid w:val="006245FE"/>
    <w:rsid w:val="00624684"/>
    <w:rsid w:val="0062727B"/>
    <w:rsid w:val="0062772F"/>
    <w:rsid w:val="0063306C"/>
    <w:rsid w:val="006351C4"/>
    <w:rsid w:val="0063569E"/>
    <w:rsid w:val="00635BB8"/>
    <w:rsid w:val="0065640A"/>
    <w:rsid w:val="006619A7"/>
    <w:rsid w:val="006661F4"/>
    <w:rsid w:val="00673BBC"/>
    <w:rsid w:val="00674AA1"/>
    <w:rsid w:val="0067585D"/>
    <w:rsid w:val="006771C1"/>
    <w:rsid w:val="00680082"/>
    <w:rsid w:val="0068008D"/>
    <w:rsid w:val="00680AB4"/>
    <w:rsid w:val="00681AD8"/>
    <w:rsid w:val="00682B3E"/>
    <w:rsid w:val="006A1D56"/>
    <w:rsid w:val="006A2F45"/>
    <w:rsid w:val="006A418A"/>
    <w:rsid w:val="006A6D7C"/>
    <w:rsid w:val="006A7928"/>
    <w:rsid w:val="006B02A9"/>
    <w:rsid w:val="006B5758"/>
    <w:rsid w:val="006B5B9F"/>
    <w:rsid w:val="006B7161"/>
    <w:rsid w:val="006C3740"/>
    <w:rsid w:val="006C5EAD"/>
    <w:rsid w:val="006C6DFD"/>
    <w:rsid w:val="006D1EE5"/>
    <w:rsid w:val="006D437D"/>
    <w:rsid w:val="006D4609"/>
    <w:rsid w:val="006D56FB"/>
    <w:rsid w:val="006D631C"/>
    <w:rsid w:val="006D7F97"/>
    <w:rsid w:val="006E0242"/>
    <w:rsid w:val="006E19E6"/>
    <w:rsid w:val="006E57D2"/>
    <w:rsid w:val="006E7CE0"/>
    <w:rsid w:val="006F08CA"/>
    <w:rsid w:val="006F15A3"/>
    <w:rsid w:val="006F2C55"/>
    <w:rsid w:val="006F30B7"/>
    <w:rsid w:val="006F3BE1"/>
    <w:rsid w:val="006F4163"/>
    <w:rsid w:val="00701545"/>
    <w:rsid w:val="0070217F"/>
    <w:rsid w:val="00706CBF"/>
    <w:rsid w:val="00707D5C"/>
    <w:rsid w:val="007117AE"/>
    <w:rsid w:val="00713DB5"/>
    <w:rsid w:val="007156BE"/>
    <w:rsid w:val="0071614D"/>
    <w:rsid w:val="007171E4"/>
    <w:rsid w:val="00720F3D"/>
    <w:rsid w:val="00725C47"/>
    <w:rsid w:val="00730B88"/>
    <w:rsid w:val="007316D1"/>
    <w:rsid w:val="00732015"/>
    <w:rsid w:val="00736361"/>
    <w:rsid w:val="0074200D"/>
    <w:rsid w:val="0074384B"/>
    <w:rsid w:val="00743B9D"/>
    <w:rsid w:val="00744E44"/>
    <w:rsid w:val="007453B4"/>
    <w:rsid w:val="00746642"/>
    <w:rsid w:val="00746E69"/>
    <w:rsid w:val="007477BB"/>
    <w:rsid w:val="00750252"/>
    <w:rsid w:val="007502B7"/>
    <w:rsid w:val="00753004"/>
    <w:rsid w:val="0075302C"/>
    <w:rsid w:val="00753FFF"/>
    <w:rsid w:val="007573FA"/>
    <w:rsid w:val="00762A61"/>
    <w:rsid w:val="00764A47"/>
    <w:rsid w:val="00767E5D"/>
    <w:rsid w:val="00771ED3"/>
    <w:rsid w:val="00772741"/>
    <w:rsid w:val="0078259F"/>
    <w:rsid w:val="0078293B"/>
    <w:rsid w:val="00787751"/>
    <w:rsid w:val="0079042C"/>
    <w:rsid w:val="0079164C"/>
    <w:rsid w:val="00791ABA"/>
    <w:rsid w:val="00792C2F"/>
    <w:rsid w:val="00793002"/>
    <w:rsid w:val="007960A7"/>
    <w:rsid w:val="00796CCF"/>
    <w:rsid w:val="007A01B2"/>
    <w:rsid w:val="007A061D"/>
    <w:rsid w:val="007A1BDA"/>
    <w:rsid w:val="007A2A12"/>
    <w:rsid w:val="007A2D00"/>
    <w:rsid w:val="007A3925"/>
    <w:rsid w:val="007A4D38"/>
    <w:rsid w:val="007A6E4D"/>
    <w:rsid w:val="007B0268"/>
    <w:rsid w:val="007B06F9"/>
    <w:rsid w:val="007B4496"/>
    <w:rsid w:val="007B4618"/>
    <w:rsid w:val="007B6775"/>
    <w:rsid w:val="007C261B"/>
    <w:rsid w:val="007C27F6"/>
    <w:rsid w:val="007C326E"/>
    <w:rsid w:val="007C365F"/>
    <w:rsid w:val="007E4C18"/>
    <w:rsid w:val="007E72FC"/>
    <w:rsid w:val="007F11F7"/>
    <w:rsid w:val="007F15A0"/>
    <w:rsid w:val="007F354F"/>
    <w:rsid w:val="007F4C26"/>
    <w:rsid w:val="007F5026"/>
    <w:rsid w:val="007F7090"/>
    <w:rsid w:val="0080175F"/>
    <w:rsid w:val="00801E84"/>
    <w:rsid w:val="00804AD9"/>
    <w:rsid w:val="008078EA"/>
    <w:rsid w:val="008118A9"/>
    <w:rsid w:val="00811946"/>
    <w:rsid w:val="008144F8"/>
    <w:rsid w:val="0081452C"/>
    <w:rsid w:val="00814CA8"/>
    <w:rsid w:val="00816BD4"/>
    <w:rsid w:val="00820F11"/>
    <w:rsid w:val="00825B97"/>
    <w:rsid w:val="00832A94"/>
    <w:rsid w:val="0083625D"/>
    <w:rsid w:val="008364F8"/>
    <w:rsid w:val="00841EE5"/>
    <w:rsid w:val="00846044"/>
    <w:rsid w:val="008478F6"/>
    <w:rsid w:val="0085044B"/>
    <w:rsid w:val="00854C28"/>
    <w:rsid w:val="008552AC"/>
    <w:rsid w:val="00860323"/>
    <w:rsid w:val="00860CD6"/>
    <w:rsid w:val="00861D07"/>
    <w:rsid w:val="008626E6"/>
    <w:rsid w:val="00863301"/>
    <w:rsid w:val="00871FD1"/>
    <w:rsid w:val="008764E4"/>
    <w:rsid w:val="00876ACA"/>
    <w:rsid w:val="008814F7"/>
    <w:rsid w:val="00881ACC"/>
    <w:rsid w:val="008856AC"/>
    <w:rsid w:val="00886104"/>
    <w:rsid w:val="008918DB"/>
    <w:rsid w:val="00891941"/>
    <w:rsid w:val="0089440E"/>
    <w:rsid w:val="00894C0F"/>
    <w:rsid w:val="00896787"/>
    <w:rsid w:val="008A423D"/>
    <w:rsid w:val="008A5B6A"/>
    <w:rsid w:val="008B073C"/>
    <w:rsid w:val="008B238B"/>
    <w:rsid w:val="008B248E"/>
    <w:rsid w:val="008B4FD2"/>
    <w:rsid w:val="008B5FF9"/>
    <w:rsid w:val="008B7CB8"/>
    <w:rsid w:val="008B7CE1"/>
    <w:rsid w:val="008B7E0B"/>
    <w:rsid w:val="008C1920"/>
    <w:rsid w:val="008D1D69"/>
    <w:rsid w:val="008D1EA8"/>
    <w:rsid w:val="008D5070"/>
    <w:rsid w:val="008D6FB9"/>
    <w:rsid w:val="008E15F3"/>
    <w:rsid w:val="008E2E75"/>
    <w:rsid w:val="008E3171"/>
    <w:rsid w:val="008E3A17"/>
    <w:rsid w:val="008E4A19"/>
    <w:rsid w:val="008E777D"/>
    <w:rsid w:val="008E7CF0"/>
    <w:rsid w:val="008F4285"/>
    <w:rsid w:val="008F4ABD"/>
    <w:rsid w:val="00900239"/>
    <w:rsid w:val="009014B0"/>
    <w:rsid w:val="009021BE"/>
    <w:rsid w:val="00902E2D"/>
    <w:rsid w:val="00904A4E"/>
    <w:rsid w:val="00904F64"/>
    <w:rsid w:val="00916759"/>
    <w:rsid w:val="0091776A"/>
    <w:rsid w:val="00921305"/>
    <w:rsid w:val="00921693"/>
    <w:rsid w:val="00922612"/>
    <w:rsid w:val="00922916"/>
    <w:rsid w:val="00923306"/>
    <w:rsid w:val="0092426D"/>
    <w:rsid w:val="00933D25"/>
    <w:rsid w:val="009354ED"/>
    <w:rsid w:val="009369A5"/>
    <w:rsid w:val="0093706C"/>
    <w:rsid w:val="009372FA"/>
    <w:rsid w:val="00937808"/>
    <w:rsid w:val="009417F2"/>
    <w:rsid w:val="00941A66"/>
    <w:rsid w:val="009439E6"/>
    <w:rsid w:val="009450EF"/>
    <w:rsid w:val="00947517"/>
    <w:rsid w:val="00952846"/>
    <w:rsid w:val="00953766"/>
    <w:rsid w:val="0095446C"/>
    <w:rsid w:val="00956661"/>
    <w:rsid w:val="0095796E"/>
    <w:rsid w:val="00960695"/>
    <w:rsid w:val="0096207A"/>
    <w:rsid w:val="00967F81"/>
    <w:rsid w:val="00970201"/>
    <w:rsid w:val="00972C67"/>
    <w:rsid w:val="00974172"/>
    <w:rsid w:val="00974849"/>
    <w:rsid w:val="0097564F"/>
    <w:rsid w:val="00977E57"/>
    <w:rsid w:val="009946A3"/>
    <w:rsid w:val="00994E12"/>
    <w:rsid w:val="00995C44"/>
    <w:rsid w:val="009A1267"/>
    <w:rsid w:val="009A140F"/>
    <w:rsid w:val="009A7240"/>
    <w:rsid w:val="009B128C"/>
    <w:rsid w:val="009B160A"/>
    <w:rsid w:val="009B1CD0"/>
    <w:rsid w:val="009B2554"/>
    <w:rsid w:val="009C1509"/>
    <w:rsid w:val="009C1AAC"/>
    <w:rsid w:val="009C2D6C"/>
    <w:rsid w:val="009C2E90"/>
    <w:rsid w:val="009C3052"/>
    <w:rsid w:val="009C5282"/>
    <w:rsid w:val="009D09B5"/>
    <w:rsid w:val="009D2B03"/>
    <w:rsid w:val="009D452D"/>
    <w:rsid w:val="009E3558"/>
    <w:rsid w:val="009E433B"/>
    <w:rsid w:val="009E7F30"/>
    <w:rsid w:val="009F06E0"/>
    <w:rsid w:val="009F135D"/>
    <w:rsid w:val="009F594E"/>
    <w:rsid w:val="009F7AA9"/>
    <w:rsid w:val="009F7AF6"/>
    <w:rsid w:val="00A04695"/>
    <w:rsid w:val="00A04C84"/>
    <w:rsid w:val="00A07708"/>
    <w:rsid w:val="00A0796E"/>
    <w:rsid w:val="00A1145E"/>
    <w:rsid w:val="00A13E99"/>
    <w:rsid w:val="00A143CE"/>
    <w:rsid w:val="00A149E9"/>
    <w:rsid w:val="00A20346"/>
    <w:rsid w:val="00A24737"/>
    <w:rsid w:val="00A27AD7"/>
    <w:rsid w:val="00A373B0"/>
    <w:rsid w:val="00A41E1B"/>
    <w:rsid w:val="00A428A3"/>
    <w:rsid w:val="00A430A6"/>
    <w:rsid w:val="00A43F55"/>
    <w:rsid w:val="00A5422C"/>
    <w:rsid w:val="00A615EF"/>
    <w:rsid w:val="00A61949"/>
    <w:rsid w:val="00A61E44"/>
    <w:rsid w:val="00A624FC"/>
    <w:rsid w:val="00A644B2"/>
    <w:rsid w:val="00A6457A"/>
    <w:rsid w:val="00A64CEF"/>
    <w:rsid w:val="00A664BE"/>
    <w:rsid w:val="00A674E7"/>
    <w:rsid w:val="00A7345D"/>
    <w:rsid w:val="00A74040"/>
    <w:rsid w:val="00A7497D"/>
    <w:rsid w:val="00A74CC3"/>
    <w:rsid w:val="00A7680D"/>
    <w:rsid w:val="00A76E5C"/>
    <w:rsid w:val="00A812AC"/>
    <w:rsid w:val="00A8166C"/>
    <w:rsid w:val="00A84033"/>
    <w:rsid w:val="00A92BA1"/>
    <w:rsid w:val="00A93457"/>
    <w:rsid w:val="00A96031"/>
    <w:rsid w:val="00AA0A1E"/>
    <w:rsid w:val="00AA2846"/>
    <w:rsid w:val="00AA3730"/>
    <w:rsid w:val="00AA7FD2"/>
    <w:rsid w:val="00AB2286"/>
    <w:rsid w:val="00AB511D"/>
    <w:rsid w:val="00AB7334"/>
    <w:rsid w:val="00AC0376"/>
    <w:rsid w:val="00AC24AB"/>
    <w:rsid w:val="00AC4F81"/>
    <w:rsid w:val="00AD1ADA"/>
    <w:rsid w:val="00AD3333"/>
    <w:rsid w:val="00AD550E"/>
    <w:rsid w:val="00AD6D1E"/>
    <w:rsid w:val="00AE03C0"/>
    <w:rsid w:val="00AE286C"/>
    <w:rsid w:val="00AE3925"/>
    <w:rsid w:val="00AE4ECD"/>
    <w:rsid w:val="00AE5529"/>
    <w:rsid w:val="00AF1288"/>
    <w:rsid w:val="00AF6225"/>
    <w:rsid w:val="00AF7FA7"/>
    <w:rsid w:val="00B00C87"/>
    <w:rsid w:val="00B01EC0"/>
    <w:rsid w:val="00B03A7F"/>
    <w:rsid w:val="00B073AD"/>
    <w:rsid w:val="00B0743E"/>
    <w:rsid w:val="00B10E70"/>
    <w:rsid w:val="00B11F76"/>
    <w:rsid w:val="00B16449"/>
    <w:rsid w:val="00B26200"/>
    <w:rsid w:val="00B27807"/>
    <w:rsid w:val="00B32C94"/>
    <w:rsid w:val="00B337BD"/>
    <w:rsid w:val="00B33829"/>
    <w:rsid w:val="00B40078"/>
    <w:rsid w:val="00B40E77"/>
    <w:rsid w:val="00B42CEF"/>
    <w:rsid w:val="00B43979"/>
    <w:rsid w:val="00B439D6"/>
    <w:rsid w:val="00B457D2"/>
    <w:rsid w:val="00B50092"/>
    <w:rsid w:val="00B50A44"/>
    <w:rsid w:val="00B539D2"/>
    <w:rsid w:val="00B55495"/>
    <w:rsid w:val="00B60690"/>
    <w:rsid w:val="00B65A6C"/>
    <w:rsid w:val="00B67D82"/>
    <w:rsid w:val="00B710B1"/>
    <w:rsid w:val="00B74934"/>
    <w:rsid w:val="00B74D0F"/>
    <w:rsid w:val="00B76109"/>
    <w:rsid w:val="00B77521"/>
    <w:rsid w:val="00B83AFB"/>
    <w:rsid w:val="00B84CF3"/>
    <w:rsid w:val="00B859EB"/>
    <w:rsid w:val="00B94684"/>
    <w:rsid w:val="00B9550B"/>
    <w:rsid w:val="00B97902"/>
    <w:rsid w:val="00B97CCC"/>
    <w:rsid w:val="00BA078F"/>
    <w:rsid w:val="00BA07DE"/>
    <w:rsid w:val="00BA0B9F"/>
    <w:rsid w:val="00BA1A69"/>
    <w:rsid w:val="00BA4089"/>
    <w:rsid w:val="00BA59D2"/>
    <w:rsid w:val="00BA760B"/>
    <w:rsid w:val="00BA77D5"/>
    <w:rsid w:val="00BA7879"/>
    <w:rsid w:val="00BB0F82"/>
    <w:rsid w:val="00BB18FC"/>
    <w:rsid w:val="00BB46D1"/>
    <w:rsid w:val="00BB7DBF"/>
    <w:rsid w:val="00BC387E"/>
    <w:rsid w:val="00BC5030"/>
    <w:rsid w:val="00BC7530"/>
    <w:rsid w:val="00BC777B"/>
    <w:rsid w:val="00BC78E3"/>
    <w:rsid w:val="00BD0C91"/>
    <w:rsid w:val="00BD0F93"/>
    <w:rsid w:val="00BD1505"/>
    <w:rsid w:val="00BD43A3"/>
    <w:rsid w:val="00BD459D"/>
    <w:rsid w:val="00BD7198"/>
    <w:rsid w:val="00BD75EA"/>
    <w:rsid w:val="00BE2664"/>
    <w:rsid w:val="00BE2EBC"/>
    <w:rsid w:val="00BE33BE"/>
    <w:rsid w:val="00BF0C31"/>
    <w:rsid w:val="00BF1D74"/>
    <w:rsid w:val="00BF2793"/>
    <w:rsid w:val="00BF2C79"/>
    <w:rsid w:val="00BF3983"/>
    <w:rsid w:val="00BF5F46"/>
    <w:rsid w:val="00BF72AF"/>
    <w:rsid w:val="00C01C0B"/>
    <w:rsid w:val="00C05B31"/>
    <w:rsid w:val="00C06955"/>
    <w:rsid w:val="00C1054C"/>
    <w:rsid w:val="00C14C69"/>
    <w:rsid w:val="00C167A8"/>
    <w:rsid w:val="00C17D45"/>
    <w:rsid w:val="00C24050"/>
    <w:rsid w:val="00C25090"/>
    <w:rsid w:val="00C2758B"/>
    <w:rsid w:val="00C3275B"/>
    <w:rsid w:val="00C32AC9"/>
    <w:rsid w:val="00C350C2"/>
    <w:rsid w:val="00C35C7F"/>
    <w:rsid w:val="00C40105"/>
    <w:rsid w:val="00C41893"/>
    <w:rsid w:val="00C43ECC"/>
    <w:rsid w:val="00C501E1"/>
    <w:rsid w:val="00C5148A"/>
    <w:rsid w:val="00C554C9"/>
    <w:rsid w:val="00C55F95"/>
    <w:rsid w:val="00C6048C"/>
    <w:rsid w:val="00C6282C"/>
    <w:rsid w:val="00C62E6E"/>
    <w:rsid w:val="00C64EDD"/>
    <w:rsid w:val="00C651B6"/>
    <w:rsid w:val="00C712C6"/>
    <w:rsid w:val="00C7389F"/>
    <w:rsid w:val="00C73F8A"/>
    <w:rsid w:val="00C81145"/>
    <w:rsid w:val="00C84E2F"/>
    <w:rsid w:val="00C911FA"/>
    <w:rsid w:val="00CA2954"/>
    <w:rsid w:val="00CA6C27"/>
    <w:rsid w:val="00CB27EE"/>
    <w:rsid w:val="00CB3332"/>
    <w:rsid w:val="00CB7C64"/>
    <w:rsid w:val="00CC0C64"/>
    <w:rsid w:val="00CC2460"/>
    <w:rsid w:val="00CC2535"/>
    <w:rsid w:val="00CC2C78"/>
    <w:rsid w:val="00CC41E0"/>
    <w:rsid w:val="00CC49AC"/>
    <w:rsid w:val="00CC7DD0"/>
    <w:rsid w:val="00CD0CF1"/>
    <w:rsid w:val="00CD58E1"/>
    <w:rsid w:val="00CD6DB8"/>
    <w:rsid w:val="00CE23AB"/>
    <w:rsid w:val="00CE2605"/>
    <w:rsid w:val="00CE34CD"/>
    <w:rsid w:val="00CE37DE"/>
    <w:rsid w:val="00CE5F63"/>
    <w:rsid w:val="00CF1597"/>
    <w:rsid w:val="00CF5B0B"/>
    <w:rsid w:val="00CF5B7B"/>
    <w:rsid w:val="00D03D2F"/>
    <w:rsid w:val="00D04BB7"/>
    <w:rsid w:val="00D06671"/>
    <w:rsid w:val="00D14DCF"/>
    <w:rsid w:val="00D201BD"/>
    <w:rsid w:val="00D20953"/>
    <w:rsid w:val="00D276AC"/>
    <w:rsid w:val="00D31604"/>
    <w:rsid w:val="00D31619"/>
    <w:rsid w:val="00D33B37"/>
    <w:rsid w:val="00D35296"/>
    <w:rsid w:val="00D35561"/>
    <w:rsid w:val="00D37FD7"/>
    <w:rsid w:val="00D40382"/>
    <w:rsid w:val="00D41460"/>
    <w:rsid w:val="00D41930"/>
    <w:rsid w:val="00D42851"/>
    <w:rsid w:val="00D434A2"/>
    <w:rsid w:val="00D45121"/>
    <w:rsid w:val="00D454CA"/>
    <w:rsid w:val="00D45589"/>
    <w:rsid w:val="00D46F15"/>
    <w:rsid w:val="00D51C27"/>
    <w:rsid w:val="00D52194"/>
    <w:rsid w:val="00D53FBD"/>
    <w:rsid w:val="00D55EB4"/>
    <w:rsid w:val="00D56266"/>
    <w:rsid w:val="00D5632E"/>
    <w:rsid w:val="00D6091F"/>
    <w:rsid w:val="00D62D12"/>
    <w:rsid w:val="00D6563F"/>
    <w:rsid w:val="00D7060A"/>
    <w:rsid w:val="00D750BB"/>
    <w:rsid w:val="00D75E62"/>
    <w:rsid w:val="00D77574"/>
    <w:rsid w:val="00D84308"/>
    <w:rsid w:val="00D86E18"/>
    <w:rsid w:val="00D875B6"/>
    <w:rsid w:val="00D87B10"/>
    <w:rsid w:val="00D9670F"/>
    <w:rsid w:val="00DA27D0"/>
    <w:rsid w:val="00DA4071"/>
    <w:rsid w:val="00DA45F6"/>
    <w:rsid w:val="00DA4B98"/>
    <w:rsid w:val="00DA6435"/>
    <w:rsid w:val="00DA6997"/>
    <w:rsid w:val="00DB3B06"/>
    <w:rsid w:val="00DB4E9A"/>
    <w:rsid w:val="00DB5BD8"/>
    <w:rsid w:val="00DB7467"/>
    <w:rsid w:val="00DB7A3F"/>
    <w:rsid w:val="00DC0E0F"/>
    <w:rsid w:val="00DC46F5"/>
    <w:rsid w:val="00DC62D9"/>
    <w:rsid w:val="00DC7AFA"/>
    <w:rsid w:val="00DD4989"/>
    <w:rsid w:val="00DD4EF7"/>
    <w:rsid w:val="00DD547D"/>
    <w:rsid w:val="00DD6B32"/>
    <w:rsid w:val="00DD7132"/>
    <w:rsid w:val="00DE1B31"/>
    <w:rsid w:val="00DE2E40"/>
    <w:rsid w:val="00DE2FE3"/>
    <w:rsid w:val="00DE3CD6"/>
    <w:rsid w:val="00DE4FA6"/>
    <w:rsid w:val="00DF195F"/>
    <w:rsid w:val="00DF2168"/>
    <w:rsid w:val="00DF538B"/>
    <w:rsid w:val="00DF7BE4"/>
    <w:rsid w:val="00E00406"/>
    <w:rsid w:val="00E15E51"/>
    <w:rsid w:val="00E214B3"/>
    <w:rsid w:val="00E24ADE"/>
    <w:rsid w:val="00E308E5"/>
    <w:rsid w:val="00E33E7A"/>
    <w:rsid w:val="00E340D2"/>
    <w:rsid w:val="00E3674C"/>
    <w:rsid w:val="00E40D20"/>
    <w:rsid w:val="00E41221"/>
    <w:rsid w:val="00E41B4E"/>
    <w:rsid w:val="00E42874"/>
    <w:rsid w:val="00E45D86"/>
    <w:rsid w:val="00E5172E"/>
    <w:rsid w:val="00E51BC4"/>
    <w:rsid w:val="00E51E31"/>
    <w:rsid w:val="00E55ED2"/>
    <w:rsid w:val="00E55EE0"/>
    <w:rsid w:val="00E614B0"/>
    <w:rsid w:val="00E624D5"/>
    <w:rsid w:val="00E633E6"/>
    <w:rsid w:val="00E63A74"/>
    <w:rsid w:val="00E64525"/>
    <w:rsid w:val="00E65C80"/>
    <w:rsid w:val="00E66147"/>
    <w:rsid w:val="00E66EB4"/>
    <w:rsid w:val="00E67789"/>
    <w:rsid w:val="00E67D1F"/>
    <w:rsid w:val="00E73111"/>
    <w:rsid w:val="00E8064F"/>
    <w:rsid w:val="00E80BFC"/>
    <w:rsid w:val="00E80E68"/>
    <w:rsid w:val="00E81AF6"/>
    <w:rsid w:val="00E82DC0"/>
    <w:rsid w:val="00E832FC"/>
    <w:rsid w:val="00E847C2"/>
    <w:rsid w:val="00E84BA8"/>
    <w:rsid w:val="00E8564A"/>
    <w:rsid w:val="00E86ED6"/>
    <w:rsid w:val="00E90143"/>
    <w:rsid w:val="00E9079B"/>
    <w:rsid w:val="00E91CDD"/>
    <w:rsid w:val="00E92842"/>
    <w:rsid w:val="00E96575"/>
    <w:rsid w:val="00E96B7A"/>
    <w:rsid w:val="00E97B37"/>
    <w:rsid w:val="00EA002D"/>
    <w:rsid w:val="00EA2308"/>
    <w:rsid w:val="00EA269F"/>
    <w:rsid w:val="00EA65DC"/>
    <w:rsid w:val="00EA771D"/>
    <w:rsid w:val="00EA7BC3"/>
    <w:rsid w:val="00EB31A9"/>
    <w:rsid w:val="00EB56A0"/>
    <w:rsid w:val="00EB5EF6"/>
    <w:rsid w:val="00EB61C9"/>
    <w:rsid w:val="00EC0B24"/>
    <w:rsid w:val="00EC2DBB"/>
    <w:rsid w:val="00EC5876"/>
    <w:rsid w:val="00EC637B"/>
    <w:rsid w:val="00EC6AC0"/>
    <w:rsid w:val="00ED0141"/>
    <w:rsid w:val="00ED3025"/>
    <w:rsid w:val="00ED3125"/>
    <w:rsid w:val="00ED447B"/>
    <w:rsid w:val="00ED6448"/>
    <w:rsid w:val="00EE0796"/>
    <w:rsid w:val="00EE12F3"/>
    <w:rsid w:val="00EE2651"/>
    <w:rsid w:val="00EE6B37"/>
    <w:rsid w:val="00EF2BE6"/>
    <w:rsid w:val="00F00FCB"/>
    <w:rsid w:val="00F01466"/>
    <w:rsid w:val="00F01BD1"/>
    <w:rsid w:val="00F030C8"/>
    <w:rsid w:val="00F03F29"/>
    <w:rsid w:val="00F0406D"/>
    <w:rsid w:val="00F05EFC"/>
    <w:rsid w:val="00F1283D"/>
    <w:rsid w:val="00F13213"/>
    <w:rsid w:val="00F13A1B"/>
    <w:rsid w:val="00F13F1C"/>
    <w:rsid w:val="00F13FCC"/>
    <w:rsid w:val="00F16263"/>
    <w:rsid w:val="00F164BC"/>
    <w:rsid w:val="00F20E81"/>
    <w:rsid w:val="00F21549"/>
    <w:rsid w:val="00F22F57"/>
    <w:rsid w:val="00F27E45"/>
    <w:rsid w:val="00F3170B"/>
    <w:rsid w:val="00F317E5"/>
    <w:rsid w:val="00F430A9"/>
    <w:rsid w:val="00F43B11"/>
    <w:rsid w:val="00F4446A"/>
    <w:rsid w:val="00F5067C"/>
    <w:rsid w:val="00F54F28"/>
    <w:rsid w:val="00F55FA3"/>
    <w:rsid w:val="00F565CA"/>
    <w:rsid w:val="00F566FB"/>
    <w:rsid w:val="00F56DC3"/>
    <w:rsid w:val="00F572C0"/>
    <w:rsid w:val="00F615E4"/>
    <w:rsid w:val="00F61AA2"/>
    <w:rsid w:val="00F63BA4"/>
    <w:rsid w:val="00F64646"/>
    <w:rsid w:val="00F65C4D"/>
    <w:rsid w:val="00F66071"/>
    <w:rsid w:val="00F669DC"/>
    <w:rsid w:val="00F6736A"/>
    <w:rsid w:val="00F70AD4"/>
    <w:rsid w:val="00F73B67"/>
    <w:rsid w:val="00F7466C"/>
    <w:rsid w:val="00F74C75"/>
    <w:rsid w:val="00F7686C"/>
    <w:rsid w:val="00F76BF6"/>
    <w:rsid w:val="00F832A5"/>
    <w:rsid w:val="00F865EA"/>
    <w:rsid w:val="00F929BC"/>
    <w:rsid w:val="00F92F14"/>
    <w:rsid w:val="00F9621C"/>
    <w:rsid w:val="00F97678"/>
    <w:rsid w:val="00FA017E"/>
    <w:rsid w:val="00FA2FDA"/>
    <w:rsid w:val="00FB0149"/>
    <w:rsid w:val="00FB095C"/>
    <w:rsid w:val="00FB343B"/>
    <w:rsid w:val="00FB4EB3"/>
    <w:rsid w:val="00FC1A0D"/>
    <w:rsid w:val="00FC4BAC"/>
    <w:rsid w:val="00FC67AC"/>
    <w:rsid w:val="00FC6988"/>
    <w:rsid w:val="00FC77F5"/>
    <w:rsid w:val="00FD132D"/>
    <w:rsid w:val="00FD5656"/>
    <w:rsid w:val="00FD7F4F"/>
    <w:rsid w:val="00FE0276"/>
    <w:rsid w:val="00FE114B"/>
    <w:rsid w:val="00FE3967"/>
    <w:rsid w:val="00FE424B"/>
    <w:rsid w:val="00FE5150"/>
    <w:rsid w:val="00FF054E"/>
    <w:rsid w:val="00FF0D7D"/>
    <w:rsid w:val="00FF5EC5"/>
    <w:rsid w:val="00FF7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3074"/>
    <o:shapelayout v:ext="edit">
      <o:idmap v:ext="edit" data="1"/>
    </o:shapelayout>
  </w:shapeDefaults>
  <w:decimalSymbol w:val="."/>
  <w:listSeparator w:val=","/>
  <w15:chartTrackingRefBased/>
  <w15:docId w15:val="{CD834159-DE18-488F-B6BF-95DC3B3D6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val="es-CO"/>
    </w:rPr>
  </w:style>
  <w:style w:type="paragraph" w:styleId="Ttulo3">
    <w:name w:val="heading 3"/>
    <w:basedOn w:val="Normal"/>
    <w:next w:val="Normal"/>
    <w:link w:val="Ttulo3Car"/>
    <w:uiPriority w:val="9"/>
    <w:unhideWhenUsed/>
    <w:qFormat/>
    <w:rsid w:val="00994E12"/>
    <w:pPr>
      <w:keepNext/>
      <w:spacing w:before="240" w:after="60"/>
      <w:outlineLvl w:val="2"/>
    </w:pPr>
    <w:rPr>
      <w:rFonts w:ascii="Cambria" w:eastAsia="Times New Roman" w:hAnsi="Cambria"/>
      <w:b/>
      <w:bCs/>
      <w:sz w:val="26"/>
      <w:szCs w:val="26"/>
      <w:lang w:val="x-none"/>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Footnote Text Char Char Char Char Char Car,Footnote Text Char Char Char Char Car,Footnote reference Car,FA Fu Car,Footnote Text Cha Car,Footnote Text Char Char Char Car,FA Fußnotentext Car,FA Fuﬂnotentext Car,texto de nota al p Car"/>
    <w:link w:val="Textonotapie"/>
    <w:uiPriority w:val="99"/>
    <w:locked/>
    <w:rsid w:val="00A624FC"/>
    <w:rPr>
      <w:lang w:val="x-none"/>
    </w:rPr>
  </w:style>
  <w:style w:type="paragraph" w:styleId="Textonotapie">
    <w:name w:val="footnote text"/>
    <w:aliases w:val="Footnote Text Char Char Char Char Char,Footnote Text Char Char Char Char,Footnote reference,FA Fu,Footnote Text Cha,Footnote Text Char Char Char,FA Fußnotentext,FA Fuﬂnotentext,Footnote Text Char Char,texto de nota al p,FA Fu Car Car,ft,F,C"/>
    <w:basedOn w:val="Normal"/>
    <w:link w:val="TextonotapieCar"/>
    <w:unhideWhenUsed/>
    <w:qFormat/>
    <w:rsid w:val="00A624FC"/>
    <w:rPr>
      <w:sz w:val="20"/>
      <w:szCs w:val="20"/>
      <w:lang w:val="x-none" w:eastAsia="x-none"/>
    </w:rPr>
  </w:style>
  <w:style w:type="character" w:customStyle="1" w:styleId="TextonotapieCar1">
    <w:name w:val="Texto nota pie Car1"/>
    <w:uiPriority w:val="99"/>
    <w:semiHidden/>
    <w:rsid w:val="00A624FC"/>
    <w:rPr>
      <w:lang w:eastAsia="en-US"/>
    </w:rPr>
  </w:style>
  <w:style w:type="character" w:styleId="Refdenotaalpie">
    <w:name w:val="footnote reference"/>
    <w:aliases w:val="Ref. de nota al pie 2,Texto de nota al pie,Pie de Página,FC,Appel note de bas de page,Footnotes refss,Footnote number,referencia nota al pie,BVI fnr,f,4_G,16 Point,Superscript 6 Point,Texto nota al pie,Texto de nota al pi,Pie de Pàgi,R"/>
    <w:unhideWhenUsed/>
    <w:qFormat/>
    <w:rsid w:val="00A624FC"/>
    <w:rPr>
      <w:vertAlign w:val="superscript"/>
    </w:rPr>
  </w:style>
  <w:style w:type="paragraph" w:styleId="Encabezado">
    <w:name w:val="header"/>
    <w:basedOn w:val="Normal"/>
    <w:link w:val="EncabezadoCar"/>
    <w:unhideWhenUsed/>
    <w:rsid w:val="00A624FC"/>
    <w:pPr>
      <w:tabs>
        <w:tab w:val="center" w:pos="4419"/>
        <w:tab w:val="right" w:pos="8838"/>
      </w:tabs>
    </w:pPr>
    <w:rPr>
      <w:sz w:val="20"/>
      <w:szCs w:val="20"/>
      <w:lang w:val="x-none" w:eastAsia="x-none"/>
    </w:rPr>
  </w:style>
  <w:style w:type="character" w:customStyle="1" w:styleId="EncabezadoCar">
    <w:name w:val="Encabezado Car"/>
    <w:link w:val="Encabezado"/>
    <w:rsid w:val="00A624FC"/>
    <w:rPr>
      <w:lang w:val="x-none" w:eastAsia="x-none"/>
    </w:rPr>
  </w:style>
  <w:style w:type="paragraph" w:styleId="Piedepgina">
    <w:name w:val="footer"/>
    <w:basedOn w:val="Normal"/>
    <w:link w:val="PiedepginaCar"/>
    <w:unhideWhenUsed/>
    <w:rsid w:val="00A624FC"/>
    <w:pPr>
      <w:tabs>
        <w:tab w:val="center" w:pos="4419"/>
        <w:tab w:val="right" w:pos="8838"/>
      </w:tabs>
    </w:pPr>
    <w:rPr>
      <w:sz w:val="20"/>
      <w:szCs w:val="20"/>
      <w:lang w:val="x-none" w:eastAsia="x-none"/>
    </w:rPr>
  </w:style>
  <w:style w:type="character" w:customStyle="1" w:styleId="PiedepginaCar">
    <w:name w:val="Pie de página Car"/>
    <w:link w:val="Piedepgina"/>
    <w:rsid w:val="00A624FC"/>
    <w:rPr>
      <w:lang w:val="x-none" w:eastAsia="x-none"/>
    </w:rPr>
  </w:style>
  <w:style w:type="paragraph" w:styleId="Sinespaciado">
    <w:name w:val="No Spacing"/>
    <w:link w:val="SinespaciadoCar"/>
    <w:uiPriority w:val="1"/>
    <w:qFormat/>
    <w:rsid w:val="00A624FC"/>
    <w:rPr>
      <w:sz w:val="22"/>
      <w:szCs w:val="22"/>
      <w:lang w:val="es-CO"/>
    </w:rPr>
  </w:style>
  <w:style w:type="paragraph" w:styleId="Textoindependiente">
    <w:name w:val="Body Text"/>
    <w:basedOn w:val="Normal"/>
    <w:link w:val="TextoindependienteCar"/>
    <w:uiPriority w:val="99"/>
    <w:unhideWhenUsed/>
    <w:rsid w:val="00A624FC"/>
    <w:pPr>
      <w:spacing w:after="120"/>
    </w:pPr>
    <w:rPr>
      <w:lang w:val="es-ES"/>
    </w:rPr>
  </w:style>
  <w:style w:type="character" w:customStyle="1" w:styleId="TextoindependienteCar">
    <w:name w:val="Texto independiente Car"/>
    <w:link w:val="Textoindependiente"/>
    <w:uiPriority w:val="99"/>
    <w:rsid w:val="00A624FC"/>
    <w:rPr>
      <w:sz w:val="22"/>
      <w:szCs w:val="22"/>
      <w:lang w:val="es-ES" w:eastAsia="en-US"/>
    </w:rPr>
  </w:style>
  <w:style w:type="paragraph" w:styleId="Prrafodelista">
    <w:name w:val="List Paragraph"/>
    <w:basedOn w:val="Normal"/>
    <w:qFormat/>
    <w:rsid w:val="00A624FC"/>
    <w:pPr>
      <w:spacing w:after="0" w:line="240" w:lineRule="auto"/>
      <w:ind w:left="708"/>
    </w:pPr>
    <w:rPr>
      <w:rFonts w:ascii="Times New Roman" w:eastAsia="Times New Roman" w:hAnsi="Times New Roman"/>
      <w:sz w:val="24"/>
      <w:szCs w:val="24"/>
      <w:lang w:val="es-ES" w:eastAsia="es-ES"/>
    </w:rPr>
  </w:style>
  <w:style w:type="paragraph" w:styleId="Textoindependiente2">
    <w:name w:val="Body Text 2"/>
    <w:basedOn w:val="Normal"/>
    <w:link w:val="Textoindependiente2Car"/>
    <w:uiPriority w:val="99"/>
    <w:unhideWhenUsed/>
    <w:rsid w:val="00A624FC"/>
    <w:pPr>
      <w:spacing w:after="120" w:line="480" w:lineRule="auto"/>
    </w:pPr>
    <w:rPr>
      <w:rFonts w:ascii="Times New Roman" w:eastAsia="Times New Roman" w:hAnsi="Times New Roman"/>
      <w:sz w:val="24"/>
      <w:szCs w:val="24"/>
      <w:lang w:val="x-none" w:eastAsia="x-none"/>
    </w:rPr>
  </w:style>
  <w:style w:type="character" w:customStyle="1" w:styleId="Textoindependiente2Car">
    <w:name w:val="Texto independiente 2 Car"/>
    <w:link w:val="Textoindependiente2"/>
    <w:uiPriority w:val="99"/>
    <w:rsid w:val="00A624FC"/>
    <w:rPr>
      <w:rFonts w:ascii="Times New Roman" w:eastAsia="Times New Roman" w:hAnsi="Times New Roman"/>
      <w:sz w:val="24"/>
      <w:szCs w:val="24"/>
      <w:lang w:val="x-none" w:eastAsia="x-none"/>
    </w:rPr>
  </w:style>
  <w:style w:type="paragraph" w:styleId="Continuarlista">
    <w:name w:val="List Continue"/>
    <w:basedOn w:val="Normal"/>
    <w:uiPriority w:val="99"/>
    <w:unhideWhenUsed/>
    <w:rsid w:val="00A624FC"/>
    <w:pPr>
      <w:spacing w:after="120" w:line="240" w:lineRule="auto"/>
      <w:ind w:left="283"/>
      <w:contextualSpacing/>
    </w:pPr>
    <w:rPr>
      <w:rFonts w:ascii="Times New Roman" w:eastAsia="Times New Roman" w:hAnsi="Times New Roman"/>
      <w:sz w:val="24"/>
      <w:szCs w:val="24"/>
      <w:lang w:val="es-ES" w:eastAsia="es-ES"/>
    </w:rPr>
  </w:style>
  <w:style w:type="character" w:customStyle="1" w:styleId="apple-converted-space">
    <w:name w:val="apple-converted-space"/>
    <w:rsid w:val="00A624FC"/>
  </w:style>
  <w:style w:type="paragraph" w:customStyle="1" w:styleId="xmsonormal">
    <w:name w:val="x_msonormal"/>
    <w:basedOn w:val="Normal"/>
    <w:rsid w:val="00A624FC"/>
    <w:pPr>
      <w:spacing w:before="100" w:beforeAutospacing="1" w:after="100" w:afterAutospacing="1" w:line="240" w:lineRule="auto"/>
    </w:pPr>
    <w:rPr>
      <w:rFonts w:ascii="Times New Roman" w:eastAsia="Times New Roman" w:hAnsi="Times New Roman"/>
      <w:sz w:val="24"/>
      <w:szCs w:val="24"/>
      <w:lang w:eastAsia="es-CO"/>
    </w:rPr>
  </w:style>
  <w:style w:type="paragraph" w:styleId="Textodeglobo">
    <w:name w:val="Balloon Text"/>
    <w:basedOn w:val="Normal"/>
    <w:link w:val="TextodegloboCar"/>
    <w:uiPriority w:val="99"/>
    <w:semiHidden/>
    <w:unhideWhenUsed/>
    <w:rsid w:val="00095ED9"/>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095ED9"/>
    <w:rPr>
      <w:rFonts w:ascii="Tahoma" w:hAnsi="Tahoma" w:cs="Tahoma"/>
      <w:sz w:val="16"/>
      <w:szCs w:val="16"/>
      <w:lang w:eastAsia="en-US"/>
    </w:rPr>
  </w:style>
  <w:style w:type="character" w:customStyle="1" w:styleId="BodyText21Car">
    <w:name w:val="Body Text 21 Car"/>
    <w:link w:val="BodyText21"/>
    <w:locked/>
    <w:rsid w:val="00CE34CD"/>
    <w:rPr>
      <w:rFonts w:ascii="Arial" w:hAnsi="Arial" w:cs="Arial"/>
      <w:sz w:val="24"/>
      <w:lang w:val="es-ES_tradnl"/>
    </w:rPr>
  </w:style>
  <w:style w:type="paragraph" w:customStyle="1" w:styleId="BodyText21">
    <w:name w:val="Body Text 21"/>
    <w:basedOn w:val="Normal"/>
    <w:link w:val="BodyText21Car"/>
    <w:rsid w:val="00CE34CD"/>
    <w:pPr>
      <w:overflowPunct w:val="0"/>
      <w:autoSpaceDE w:val="0"/>
      <w:autoSpaceDN w:val="0"/>
      <w:adjustRightInd w:val="0"/>
      <w:spacing w:after="0" w:line="480" w:lineRule="auto"/>
      <w:jc w:val="both"/>
    </w:pPr>
    <w:rPr>
      <w:rFonts w:ascii="Arial" w:hAnsi="Arial" w:cs="Arial"/>
      <w:sz w:val="24"/>
      <w:szCs w:val="20"/>
      <w:lang w:val="es-ES_tradnl" w:eastAsia="es-ES"/>
    </w:rPr>
  </w:style>
  <w:style w:type="character" w:styleId="Hipervnculo">
    <w:name w:val="Hyperlink"/>
    <w:uiPriority w:val="99"/>
    <w:semiHidden/>
    <w:unhideWhenUsed/>
    <w:rsid w:val="00B42CEF"/>
    <w:rPr>
      <w:color w:val="0000FF"/>
      <w:u w:val="single"/>
    </w:rPr>
  </w:style>
  <w:style w:type="paragraph" w:styleId="NormalWeb">
    <w:name w:val="Normal (Web)"/>
    <w:basedOn w:val="Normal"/>
    <w:uiPriority w:val="99"/>
    <w:unhideWhenUsed/>
    <w:rsid w:val="00B42CEF"/>
    <w:pPr>
      <w:spacing w:before="100" w:beforeAutospacing="1" w:after="100" w:afterAutospacing="1" w:line="240" w:lineRule="auto"/>
    </w:pPr>
    <w:rPr>
      <w:rFonts w:ascii="Times New Roman" w:eastAsia="Times New Roman" w:hAnsi="Times New Roman"/>
      <w:sz w:val="24"/>
      <w:szCs w:val="24"/>
      <w:lang w:eastAsia="es-CO"/>
    </w:rPr>
  </w:style>
  <w:style w:type="character" w:customStyle="1" w:styleId="SinespaciadoCar">
    <w:name w:val="Sin espaciado Car"/>
    <w:link w:val="Sinespaciado"/>
    <w:uiPriority w:val="1"/>
    <w:locked/>
    <w:rsid w:val="00C81145"/>
    <w:rPr>
      <w:sz w:val="22"/>
      <w:szCs w:val="22"/>
      <w:lang w:eastAsia="en-US"/>
    </w:rPr>
  </w:style>
  <w:style w:type="paragraph" w:customStyle="1" w:styleId="ecxmsofootnotetext">
    <w:name w:val="ecxmsofootnotetext"/>
    <w:basedOn w:val="Normal"/>
    <w:rsid w:val="009439E6"/>
    <w:pPr>
      <w:spacing w:before="100" w:beforeAutospacing="1" w:after="100" w:afterAutospacing="1" w:line="240" w:lineRule="auto"/>
    </w:pPr>
    <w:rPr>
      <w:rFonts w:ascii="Times New Roman" w:eastAsia="Times New Roman" w:hAnsi="Times New Roman"/>
      <w:sz w:val="24"/>
      <w:szCs w:val="24"/>
      <w:lang w:val="es-ES" w:eastAsia="es-ES"/>
    </w:rPr>
  </w:style>
  <w:style w:type="paragraph" w:customStyle="1" w:styleId="Cuadrculamedia21">
    <w:name w:val="Cuadrícula media 21"/>
    <w:qFormat/>
    <w:rsid w:val="0079042C"/>
    <w:rPr>
      <w:sz w:val="22"/>
      <w:szCs w:val="22"/>
      <w:lang w:val="es-CO"/>
    </w:rPr>
  </w:style>
  <w:style w:type="character" w:customStyle="1" w:styleId="Ttulo3Car">
    <w:name w:val="Título 3 Car"/>
    <w:link w:val="Ttulo3"/>
    <w:uiPriority w:val="9"/>
    <w:rsid w:val="00994E12"/>
    <w:rPr>
      <w:rFonts w:ascii="Cambria" w:eastAsia="Times New Roman" w:hAnsi="Cambria"/>
      <w:b/>
      <w:bCs/>
      <w:sz w:val="26"/>
      <w:szCs w:val="26"/>
      <w:lang w:val="x-none" w:eastAsia="en-US"/>
    </w:rPr>
  </w:style>
  <w:style w:type="paragraph" w:customStyle="1" w:styleId="BlockText">
    <w:name w:val="Block Text"/>
    <w:basedOn w:val="Normal"/>
    <w:rsid w:val="007960A7"/>
    <w:pPr>
      <w:overflowPunct w:val="0"/>
      <w:autoSpaceDE w:val="0"/>
      <w:autoSpaceDN w:val="0"/>
      <w:adjustRightInd w:val="0"/>
      <w:spacing w:after="0" w:line="240" w:lineRule="auto"/>
      <w:ind w:left="720" w:firstLine="706"/>
      <w:jc w:val="both"/>
      <w:textAlignment w:val="baseline"/>
    </w:pPr>
    <w:rPr>
      <w:rFonts w:ascii="Times New Roman" w:eastAsia="Times New Roman" w:hAnsi="Times New Roman"/>
      <w:i/>
      <w:sz w:val="24"/>
      <w:szCs w:val="20"/>
      <w:lang w:val="es-ES_tradnl" w:eastAsia="es-ES"/>
    </w:rPr>
  </w:style>
  <w:style w:type="paragraph" w:customStyle="1" w:styleId="Textoindependiente33">
    <w:name w:val="Texto independiente 33"/>
    <w:basedOn w:val="Normal"/>
    <w:rsid w:val="00D454CA"/>
    <w:pPr>
      <w:overflowPunct w:val="0"/>
      <w:autoSpaceDE w:val="0"/>
      <w:autoSpaceDN w:val="0"/>
      <w:adjustRightInd w:val="0"/>
      <w:spacing w:after="0" w:line="360" w:lineRule="auto"/>
      <w:jc w:val="both"/>
    </w:pPr>
    <w:rPr>
      <w:rFonts w:ascii="Arial" w:eastAsia="Times New Roman" w:hAnsi="Arial"/>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9394649">
      <w:bodyDiv w:val="1"/>
      <w:marLeft w:val="0"/>
      <w:marRight w:val="0"/>
      <w:marTop w:val="0"/>
      <w:marBottom w:val="0"/>
      <w:divBdr>
        <w:top w:val="none" w:sz="0" w:space="0" w:color="auto"/>
        <w:left w:val="none" w:sz="0" w:space="0" w:color="auto"/>
        <w:bottom w:val="none" w:sz="0" w:space="0" w:color="auto"/>
        <w:right w:val="none" w:sz="0" w:space="0" w:color="auto"/>
      </w:divBdr>
    </w:div>
    <w:div w:id="693842575">
      <w:bodyDiv w:val="1"/>
      <w:marLeft w:val="0"/>
      <w:marRight w:val="0"/>
      <w:marTop w:val="0"/>
      <w:marBottom w:val="0"/>
      <w:divBdr>
        <w:top w:val="none" w:sz="0" w:space="0" w:color="auto"/>
        <w:left w:val="none" w:sz="0" w:space="0" w:color="auto"/>
        <w:bottom w:val="none" w:sz="0" w:space="0" w:color="auto"/>
        <w:right w:val="none" w:sz="0" w:space="0" w:color="auto"/>
      </w:divBdr>
    </w:div>
    <w:div w:id="1090002238">
      <w:bodyDiv w:val="1"/>
      <w:marLeft w:val="0"/>
      <w:marRight w:val="0"/>
      <w:marTop w:val="0"/>
      <w:marBottom w:val="0"/>
      <w:divBdr>
        <w:top w:val="none" w:sz="0" w:space="0" w:color="auto"/>
        <w:left w:val="none" w:sz="0" w:space="0" w:color="auto"/>
        <w:bottom w:val="none" w:sz="0" w:space="0" w:color="auto"/>
        <w:right w:val="none" w:sz="0" w:space="0" w:color="auto"/>
      </w:divBdr>
    </w:div>
    <w:div w:id="1454327614">
      <w:bodyDiv w:val="1"/>
      <w:marLeft w:val="0"/>
      <w:marRight w:val="0"/>
      <w:marTop w:val="0"/>
      <w:marBottom w:val="0"/>
      <w:divBdr>
        <w:top w:val="none" w:sz="0" w:space="0" w:color="auto"/>
        <w:left w:val="none" w:sz="0" w:space="0" w:color="auto"/>
        <w:bottom w:val="none" w:sz="0" w:space="0" w:color="auto"/>
        <w:right w:val="none" w:sz="0" w:space="0" w:color="auto"/>
      </w:divBdr>
    </w:div>
    <w:div w:id="1627740841">
      <w:bodyDiv w:val="1"/>
      <w:marLeft w:val="0"/>
      <w:marRight w:val="0"/>
      <w:marTop w:val="0"/>
      <w:marBottom w:val="0"/>
      <w:divBdr>
        <w:top w:val="none" w:sz="0" w:space="0" w:color="auto"/>
        <w:left w:val="none" w:sz="0" w:space="0" w:color="auto"/>
        <w:bottom w:val="none" w:sz="0" w:space="0" w:color="auto"/>
        <w:right w:val="none" w:sz="0" w:space="0" w:color="auto"/>
      </w:divBdr>
    </w:div>
    <w:div w:id="1758864434">
      <w:bodyDiv w:val="1"/>
      <w:marLeft w:val="0"/>
      <w:marRight w:val="0"/>
      <w:marTop w:val="0"/>
      <w:marBottom w:val="0"/>
      <w:divBdr>
        <w:top w:val="none" w:sz="0" w:space="0" w:color="auto"/>
        <w:left w:val="none" w:sz="0" w:space="0" w:color="auto"/>
        <w:bottom w:val="none" w:sz="0" w:space="0" w:color="auto"/>
        <w:right w:val="none" w:sz="0" w:space="0" w:color="auto"/>
      </w:divBdr>
    </w:div>
    <w:div w:id="1777359050">
      <w:bodyDiv w:val="1"/>
      <w:marLeft w:val="0"/>
      <w:marRight w:val="0"/>
      <w:marTop w:val="0"/>
      <w:marBottom w:val="0"/>
      <w:divBdr>
        <w:top w:val="none" w:sz="0" w:space="0" w:color="auto"/>
        <w:left w:val="none" w:sz="0" w:space="0" w:color="auto"/>
        <w:bottom w:val="none" w:sz="0" w:space="0" w:color="auto"/>
        <w:right w:val="none" w:sz="0" w:space="0" w:color="auto"/>
      </w:divBdr>
    </w:div>
    <w:div w:id="2033341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C31549-018E-4D35-94FB-337F44BCD4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EEE41C1-DEF6-4452-964D-129648D14C47}">
  <ds:schemaRefs>
    <ds:schemaRef ds:uri="http://schemas.microsoft.com/sharepoint/v3/contenttype/forms"/>
  </ds:schemaRefs>
</ds:datastoreItem>
</file>

<file path=customXml/itemProps3.xml><?xml version="1.0" encoding="utf-8"?>
<ds:datastoreItem xmlns:ds="http://schemas.openxmlformats.org/officeDocument/2006/customXml" ds:itemID="{CD38CCE5-0D4A-4E45-922A-D02DAACB489F}">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a6cb9e4b-f1d1-4245-83ec-6cad768d538a"/>
    <ds:schemaRef ds:uri="9d85dbaf-23eb-4e57-a637-93dcacc8b1a1"/>
    <ds:schemaRef ds:uri="http://www.w3.org/XML/1998/namespace"/>
    <ds:schemaRef ds:uri="http://purl.org/dc/dcmitype/"/>
  </ds:schemaRefs>
</ds:datastoreItem>
</file>

<file path=customXml/itemProps4.xml><?xml version="1.0" encoding="utf-8"?>
<ds:datastoreItem xmlns:ds="http://schemas.openxmlformats.org/officeDocument/2006/customXml" ds:itemID="{AA4578D3-4BF1-4147-80A2-B841F1E87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6076</Words>
  <Characters>34635</Characters>
  <Application>Microsoft Office Word</Application>
  <DocSecurity>0</DocSecurity>
  <Lines>288</Lines>
  <Paragraphs>81</Paragraphs>
  <ScaleCrop>false</ScaleCrop>
  <HeadingPairs>
    <vt:vector size="2" baseType="variant">
      <vt:variant>
        <vt:lpstr>Título</vt:lpstr>
      </vt:variant>
      <vt:variant>
        <vt:i4>1</vt:i4>
      </vt:variant>
    </vt:vector>
  </HeadingPairs>
  <TitlesOfParts>
    <vt:vector size="1" baseType="lpstr">
      <vt:lpstr/>
    </vt:vector>
  </TitlesOfParts>
  <Company>CONSEJO SUPERIOR DE LA JUDICATURA</Company>
  <LinksUpToDate>false</LinksUpToDate>
  <CharactersWithSpaces>40630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FERNANDA SERNA QUIROGA</dc:creator>
  <cp:keywords/>
  <cp:lastModifiedBy>Silvia Juliana Saavedra Arguello</cp:lastModifiedBy>
  <cp:revision>2</cp:revision>
  <cp:lastPrinted>2017-07-05T15:41:00Z</cp:lastPrinted>
  <dcterms:created xsi:type="dcterms:W3CDTF">2020-05-09T18:51:00Z</dcterms:created>
  <dcterms:modified xsi:type="dcterms:W3CDTF">2020-05-09T18:51:00Z</dcterms:modified>
</cp:coreProperties>
</file>