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4155C" w14:textId="31DCDF3B" w:rsidR="00E50A12" w:rsidRPr="007421E2" w:rsidRDefault="00D95C35" w:rsidP="007421E2">
      <w:pPr>
        <w:spacing w:after="0" w:line="240" w:lineRule="auto"/>
        <w:ind w:left="1701" w:right="1581"/>
        <w:jc w:val="both"/>
        <w:rPr>
          <w:rFonts w:eastAsia="Arial"/>
          <w:color w:val="FF0000"/>
        </w:rPr>
      </w:pPr>
      <w:bookmarkStart w:id="0" w:name="_Hlk48982220"/>
      <w:bookmarkStart w:id="1" w:name="_Hlk46840473"/>
      <w:r w:rsidRPr="00774083">
        <w:rPr>
          <w:rFonts w:ascii="Arial" w:eastAsia="Arial" w:hAnsi="Arial" w:cs="Arial"/>
          <w:color w:val="FF0000"/>
          <w:sz w:val="20"/>
          <w:szCs w:val="20"/>
        </w:rPr>
        <w:t xml:space="preserve">Nota: la siguiente norma se trascribe completa, pero de ella la Agencia Nacional de Contratación Pública –Colombia Compra Eficiente– solo ha emitido conceptos que interpretan las siguientes disposiciones relacionadas con la contratación estatal: </w:t>
      </w:r>
      <w:bookmarkEnd w:id="0"/>
      <w:r w:rsidR="00274F51">
        <w:rPr>
          <w:rFonts w:ascii="Arial" w:eastAsia="Arial" w:hAnsi="Arial" w:cs="Arial"/>
          <w:color w:val="FF0000"/>
          <w:sz w:val="20"/>
          <w:szCs w:val="20"/>
        </w:rPr>
        <w:t xml:space="preserve">Artículo </w:t>
      </w:r>
      <w:r w:rsidR="00E50A12" w:rsidRPr="00502542">
        <w:rPr>
          <w:rFonts w:ascii="Arial" w:eastAsia="Arial" w:hAnsi="Arial" w:cs="Arial"/>
          <w:color w:val="FF0000"/>
          <w:sz w:val="20"/>
          <w:szCs w:val="20"/>
        </w:rPr>
        <w:t>4.</w:t>
      </w:r>
      <w:r w:rsidR="00E50A12" w:rsidRPr="007421E2">
        <w:rPr>
          <w:rFonts w:eastAsia="Arial"/>
          <w:color w:val="FF0000"/>
        </w:rPr>
        <w:t>  </w:t>
      </w:r>
    </w:p>
    <w:p w14:paraId="12C4E7F3" w14:textId="4AD84FD0" w:rsidR="007421E2" w:rsidRDefault="007421E2" w:rsidP="00E50A12">
      <w:pPr>
        <w:pStyle w:val="xmsonormal"/>
        <w:jc w:val="both"/>
        <w:rPr>
          <w:rStyle w:val="eop"/>
          <w:rFonts w:ascii="Arial" w:hAnsi="Arial" w:cs="Arial"/>
          <w:color w:val="000000"/>
          <w:sz w:val="20"/>
          <w:szCs w:val="20"/>
          <w:shd w:val="clear" w:color="auto" w:fill="FFFFFF"/>
        </w:rPr>
      </w:pPr>
    </w:p>
    <w:p w14:paraId="302F87F0" w14:textId="77777777" w:rsidR="007421E2" w:rsidRPr="00774083" w:rsidRDefault="007421E2" w:rsidP="007421E2">
      <w:pPr>
        <w:spacing w:after="0" w:line="240" w:lineRule="auto"/>
        <w:ind w:left="1701" w:right="1581"/>
        <w:jc w:val="both"/>
        <w:rPr>
          <w:rFonts w:ascii="Arial" w:eastAsia="Arial" w:hAnsi="Arial" w:cs="Arial"/>
          <w:color w:val="FF0000"/>
          <w:sz w:val="20"/>
          <w:szCs w:val="20"/>
        </w:rPr>
      </w:pPr>
      <w:bookmarkStart w:id="2" w:name="_Hlk48982691"/>
      <w:bookmarkStart w:id="3" w:name="_Hlk48982233"/>
      <w:r w:rsidRPr="00774083">
        <w:rPr>
          <w:rFonts w:ascii="Arial" w:eastAsia="Arial" w:hAnsi="Arial" w:cs="Arial"/>
          <w:color w:val="FF0000"/>
          <w:sz w:val="20"/>
          <w:szCs w:val="20"/>
        </w:rPr>
        <w:t>Los conceptos se relacionan al pie de cada disposición, y abren dando “clic” en el hipervínculo</w:t>
      </w:r>
      <w:bookmarkEnd w:id="2"/>
      <w:r w:rsidRPr="00774083">
        <w:rPr>
          <w:rFonts w:ascii="Arial" w:eastAsia="Arial" w:hAnsi="Arial" w:cs="Arial"/>
          <w:color w:val="FF0000"/>
          <w:sz w:val="20"/>
          <w:szCs w:val="20"/>
        </w:rPr>
        <w:t>.</w:t>
      </w:r>
    </w:p>
    <w:bookmarkEnd w:id="1"/>
    <w:bookmarkEnd w:id="3"/>
    <w:p w14:paraId="2D829D0A" w14:textId="77777777" w:rsidR="000F27A4" w:rsidRDefault="000F27A4" w:rsidP="00187968">
      <w:pPr>
        <w:spacing w:after="0" w:line="240" w:lineRule="auto"/>
        <w:rPr>
          <w:rFonts w:ascii="Arial" w:eastAsia="Times New Roman" w:hAnsi="Arial" w:cs="Arial"/>
          <w:b/>
          <w:bCs/>
          <w:lang w:eastAsia="es-CO"/>
        </w:rPr>
      </w:pPr>
    </w:p>
    <w:p w14:paraId="386220AB" w14:textId="3C439A8A" w:rsidR="0016141D" w:rsidRPr="000F27A4" w:rsidRDefault="0016141D" w:rsidP="00501C99">
      <w:pPr>
        <w:spacing w:after="0" w:line="240" w:lineRule="auto"/>
        <w:jc w:val="center"/>
        <w:rPr>
          <w:rFonts w:ascii="Arial" w:eastAsia="Times New Roman" w:hAnsi="Arial" w:cs="Arial"/>
          <w:b/>
          <w:bCs/>
          <w:lang w:eastAsia="es-CO"/>
        </w:rPr>
      </w:pPr>
      <w:r w:rsidRPr="000F27A4">
        <w:rPr>
          <w:rFonts w:ascii="Arial" w:eastAsia="Times New Roman" w:hAnsi="Arial" w:cs="Arial"/>
          <w:b/>
          <w:bCs/>
          <w:lang w:eastAsia="es-CO"/>
        </w:rPr>
        <w:t>DECRETO 1737 DE 1998</w:t>
      </w:r>
    </w:p>
    <w:p w14:paraId="08D91575" w14:textId="77777777" w:rsidR="00197C3D" w:rsidRDefault="00197C3D" w:rsidP="00501C99">
      <w:pPr>
        <w:spacing w:after="0" w:line="240" w:lineRule="auto"/>
        <w:jc w:val="center"/>
        <w:rPr>
          <w:rFonts w:ascii="Arial" w:eastAsia="Times New Roman" w:hAnsi="Arial" w:cs="Arial"/>
          <w:b/>
          <w:bCs/>
          <w:lang w:eastAsia="es-CO"/>
        </w:rPr>
      </w:pPr>
    </w:p>
    <w:p w14:paraId="4342F5C2" w14:textId="4D607799" w:rsidR="0016141D" w:rsidRPr="000F27A4" w:rsidRDefault="006A55D6" w:rsidP="00501C99">
      <w:pPr>
        <w:spacing w:after="0" w:line="240" w:lineRule="auto"/>
        <w:jc w:val="center"/>
        <w:rPr>
          <w:rFonts w:ascii="Arial" w:eastAsia="Times New Roman" w:hAnsi="Arial" w:cs="Arial"/>
          <w:b/>
          <w:bCs/>
          <w:lang w:eastAsia="es-CO"/>
        </w:rPr>
      </w:pPr>
      <w:r w:rsidRPr="000F27A4">
        <w:rPr>
          <w:rFonts w:ascii="Arial" w:eastAsia="Times New Roman" w:hAnsi="Arial" w:cs="Arial"/>
          <w:b/>
          <w:bCs/>
          <w:lang w:eastAsia="es-CO"/>
        </w:rPr>
        <w:t>P</w:t>
      </w:r>
      <w:r w:rsidR="0016141D" w:rsidRPr="000F27A4">
        <w:rPr>
          <w:rFonts w:ascii="Arial" w:eastAsia="Times New Roman" w:hAnsi="Arial" w:cs="Arial"/>
          <w:b/>
          <w:bCs/>
          <w:lang w:eastAsia="es-CO"/>
        </w:rPr>
        <w:t>or el cual se expiden medidas de austeridad y eficiencia y se someten a condiciones especiales la asunción de compromisos por parte de las entidades públicas que manejan recursos del Tesoro Público.</w:t>
      </w:r>
    </w:p>
    <w:p w14:paraId="43311787" w14:textId="77777777" w:rsidR="00197C3D" w:rsidRDefault="00197C3D" w:rsidP="00501C99">
      <w:pPr>
        <w:spacing w:after="0" w:line="240" w:lineRule="auto"/>
        <w:jc w:val="center"/>
        <w:rPr>
          <w:rFonts w:ascii="Arial" w:eastAsia="Times New Roman" w:hAnsi="Arial" w:cs="Arial"/>
          <w:b/>
          <w:bCs/>
          <w:lang w:eastAsia="es-CO"/>
        </w:rPr>
      </w:pPr>
      <w:bookmarkStart w:id="4" w:name="ver_1341637"/>
      <w:bookmarkEnd w:id="4"/>
    </w:p>
    <w:p w14:paraId="729305FF" w14:textId="1A5B7F58" w:rsidR="0016141D" w:rsidRPr="000F27A4" w:rsidRDefault="0016141D" w:rsidP="00501C99">
      <w:pPr>
        <w:spacing w:after="0" w:line="240" w:lineRule="auto"/>
        <w:jc w:val="center"/>
        <w:rPr>
          <w:rFonts w:ascii="Arial" w:eastAsia="Times New Roman" w:hAnsi="Arial" w:cs="Arial"/>
          <w:b/>
          <w:bCs/>
          <w:lang w:eastAsia="es-CO"/>
        </w:rPr>
      </w:pPr>
      <w:r w:rsidRPr="000F27A4">
        <w:rPr>
          <w:rFonts w:ascii="Arial" w:eastAsia="Times New Roman" w:hAnsi="Arial" w:cs="Arial"/>
          <w:b/>
          <w:bCs/>
          <w:lang w:eastAsia="es-CO"/>
        </w:rPr>
        <w:t>El Presidente de la República de Colombia, en ejercicio de sus facultades constitucionales y legales, en especial de las que le confiere el artículo 189, numerales 11 y 20, de la Constitución Política, y previo el concepto del Consejo de Ministros, de conformidad con el artículo 76 del Decreto 111 de 1996,</w:t>
      </w:r>
    </w:p>
    <w:p w14:paraId="0D59FE54" w14:textId="61859B94" w:rsidR="0016141D" w:rsidRPr="000F27A4" w:rsidRDefault="0016141D" w:rsidP="00501C99">
      <w:pPr>
        <w:spacing w:after="0" w:line="240" w:lineRule="auto"/>
        <w:jc w:val="center"/>
        <w:rPr>
          <w:rFonts w:ascii="Arial" w:eastAsia="Times New Roman" w:hAnsi="Arial" w:cs="Arial"/>
          <w:b/>
          <w:bCs/>
          <w:lang w:eastAsia="es-CO"/>
        </w:rPr>
      </w:pPr>
    </w:p>
    <w:p w14:paraId="507E8533" w14:textId="6D70809A" w:rsidR="0016141D" w:rsidRPr="000F27A4" w:rsidRDefault="0016141D" w:rsidP="00501C99">
      <w:pPr>
        <w:spacing w:after="0" w:line="240" w:lineRule="auto"/>
        <w:jc w:val="center"/>
        <w:rPr>
          <w:rFonts w:ascii="Arial" w:eastAsia="Times New Roman" w:hAnsi="Arial" w:cs="Arial"/>
          <w:b/>
          <w:bCs/>
          <w:lang w:eastAsia="es-CO"/>
        </w:rPr>
      </w:pPr>
      <w:r w:rsidRPr="000F27A4">
        <w:rPr>
          <w:rFonts w:ascii="Arial" w:eastAsia="Times New Roman" w:hAnsi="Arial" w:cs="Arial"/>
          <w:b/>
          <w:bCs/>
          <w:lang w:eastAsia="es-CO"/>
        </w:rPr>
        <w:t>DECRETA:</w:t>
      </w:r>
    </w:p>
    <w:p w14:paraId="10027940" w14:textId="49F255E7" w:rsidR="000F27A4" w:rsidRDefault="000F27A4" w:rsidP="00501C99">
      <w:pPr>
        <w:spacing w:after="0" w:line="240" w:lineRule="auto"/>
        <w:jc w:val="center"/>
        <w:rPr>
          <w:rFonts w:ascii="Arial" w:eastAsia="Times New Roman" w:hAnsi="Arial" w:cs="Arial"/>
          <w:lang w:eastAsia="es-CO"/>
        </w:rPr>
      </w:pPr>
    </w:p>
    <w:p w14:paraId="4B5B5247" w14:textId="5416559C" w:rsidR="000F27A4" w:rsidRPr="000F27A4" w:rsidRDefault="00187968" w:rsidP="000F27A4">
      <w:pPr>
        <w:pStyle w:val="parrafo-division"/>
        <w:spacing w:before="0" w:beforeAutospacing="0" w:after="0" w:afterAutospacing="0" w:line="293" w:lineRule="atLeast"/>
        <w:jc w:val="center"/>
        <w:rPr>
          <w:rFonts w:ascii="Arial" w:hAnsi="Arial" w:cs="Arial"/>
          <w:b/>
          <w:bCs/>
          <w:color w:val="000000"/>
          <w:sz w:val="22"/>
          <w:szCs w:val="22"/>
        </w:rPr>
      </w:pPr>
      <w:r>
        <w:rPr>
          <w:rStyle w:val="Textoennegrita"/>
          <w:rFonts w:ascii="Arial" w:hAnsi="Arial" w:cs="Arial"/>
          <w:color w:val="000000"/>
          <w:sz w:val="22"/>
          <w:szCs w:val="22"/>
        </w:rPr>
        <w:t>CAPÍTULO</w:t>
      </w:r>
      <w:r w:rsidR="000F27A4" w:rsidRPr="000F27A4">
        <w:rPr>
          <w:rStyle w:val="Textoennegrita"/>
          <w:rFonts w:ascii="Arial" w:hAnsi="Arial" w:cs="Arial"/>
          <w:color w:val="000000"/>
          <w:sz w:val="22"/>
          <w:szCs w:val="22"/>
        </w:rPr>
        <w:t xml:space="preserve"> I</w:t>
      </w:r>
    </w:p>
    <w:p w14:paraId="09705306" w14:textId="2EEC59F3" w:rsidR="000F27A4" w:rsidRPr="000F27A4" w:rsidRDefault="000F27A4" w:rsidP="000F27A4">
      <w:pPr>
        <w:pStyle w:val="parrafo-division"/>
        <w:spacing w:before="0" w:beforeAutospacing="0" w:after="0" w:afterAutospacing="0" w:line="293" w:lineRule="atLeast"/>
        <w:jc w:val="center"/>
        <w:rPr>
          <w:rFonts w:ascii="Arial" w:hAnsi="Arial" w:cs="Arial"/>
          <w:b/>
          <w:bCs/>
          <w:color w:val="000000"/>
          <w:sz w:val="22"/>
          <w:szCs w:val="22"/>
        </w:rPr>
      </w:pPr>
      <w:r>
        <w:rPr>
          <w:rStyle w:val="Textoennegrita"/>
          <w:rFonts w:ascii="Arial" w:hAnsi="Arial" w:cs="Arial"/>
          <w:color w:val="000000"/>
          <w:sz w:val="22"/>
          <w:szCs w:val="22"/>
        </w:rPr>
        <w:t>Á</w:t>
      </w:r>
      <w:r w:rsidRPr="000F27A4">
        <w:rPr>
          <w:rStyle w:val="Textoennegrita"/>
          <w:rFonts w:ascii="Arial" w:hAnsi="Arial" w:cs="Arial"/>
          <w:color w:val="000000"/>
          <w:sz w:val="22"/>
          <w:szCs w:val="22"/>
        </w:rPr>
        <w:t>mbito de regulación y disposiciones generales</w:t>
      </w:r>
    </w:p>
    <w:p w14:paraId="70D66DF6" w14:textId="77777777" w:rsidR="000F27A4" w:rsidRPr="009600E3" w:rsidRDefault="000F27A4" w:rsidP="00501C99">
      <w:pPr>
        <w:spacing w:after="0" w:line="240" w:lineRule="auto"/>
        <w:jc w:val="center"/>
        <w:rPr>
          <w:rFonts w:ascii="Arial" w:eastAsia="Times New Roman" w:hAnsi="Arial" w:cs="Arial"/>
          <w:lang w:eastAsia="es-CO"/>
        </w:rPr>
      </w:pPr>
    </w:p>
    <w:p w14:paraId="466F579F"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w:t>
      </w:r>
      <w:r w:rsidRPr="009600E3">
        <w:rPr>
          <w:rFonts w:ascii="Arial" w:hAnsi="Arial" w:cs="Arial"/>
          <w:sz w:val="22"/>
          <w:szCs w:val="22"/>
        </w:rPr>
        <w:t> Se sujetan a la regulación de este decreto, salvo en lo expresamente aquí exceptuado, los organismos, entidades, entes públicos, y personas jurídicas que financien sus gastos con recursos del Tesoro Público. </w:t>
      </w:r>
    </w:p>
    <w:p w14:paraId="5F5ED494" w14:textId="290EB8AE"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5" w:name="ver_1341640"/>
      <w:bookmarkEnd w:id="5"/>
    </w:p>
    <w:p w14:paraId="540E20BC"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2°.</w:t>
      </w:r>
      <w:r w:rsidRPr="009600E3">
        <w:rPr>
          <w:rFonts w:ascii="Arial" w:hAnsi="Arial" w:cs="Arial"/>
          <w:sz w:val="22"/>
          <w:szCs w:val="22"/>
        </w:rPr>
        <w:t> Las entidades territoriales adoptarán medidas equivalentes a las aquí dispuestas en sus organizaciones administrativas. </w:t>
      </w:r>
    </w:p>
    <w:p w14:paraId="3D0AA683"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77E8B460" w14:textId="4706AD0D" w:rsidR="006C17A8" w:rsidRPr="006C17A8" w:rsidRDefault="00187968" w:rsidP="00501C99">
      <w:pPr>
        <w:pStyle w:val="parrafo-division"/>
        <w:spacing w:before="0" w:beforeAutospacing="0" w:after="0" w:afterAutospacing="0"/>
        <w:jc w:val="center"/>
        <w:rPr>
          <w:rStyle w:val="Textoennegrita"/>
          <w:rFonts w:ascii="Arial" w:hAnsi="Arial" w:cs="Arial"/>
          <w:sz w:val="22"/>
          <w:szCs w:val="22"/>
        </w:rPr>
      </w:pPr>
      <w:r>
        <w:rPr>
          <w:rStyle w:val="Textoennegrita"/>
          <w:rFonts w:ascii="Arial" w:hAnsi="Arial" w:cs="Arial"/>
          <w:color w:val="000000"/>
          <w:sz w:val="22"/>
          <w:szCs w:val="22"/>
        </w:rPr>
        <w:t>CAPÍTULO</w:t>
      </w:r>
      <w:r w:rsidR="006C17A8" w:rsidRPr="006C17A8">
        <w:rPr>
          <w:rStyle w:val="Textoennegrita"/>
          <w:rFonts w:ascii="Arial" w:hAnsi="Arial" w:cs="Arial"/>
          <w:color w:val="000000"/>
          <w:sz w:val="22"/>
          <w:szCs w:val="22"/>
        </w:rPr>
        <w:t xml:space="preserve"> II</w:t>
      </w:r>
    </w:p>
    <w:p w14:paraId="7DE23B1D" w14:textId="30F66761" w:rsidR="00C12E94" w:rsidRPr="006C17A8" w:rsidRDefault="00C12E94" w:rsidP="00501C99">
      <w:pPr>
        <w:pStyle w:val="parrafo-division"/>
        <w:spacing w:before="0" w:beforeAutospacing="0" w:after="0" w:afterAutospacing="0"/>
        <w:jc w:val="center"/>
        <w:rPr>
          <w:rStyle w:val="Textoennegrita"/>
          <w:rFonts w:ascii="Arial" w:hAnsi="Arial" w:cs="Arial"/>
          <w:sz w:val="22"/>
          <w:szCs w:val="22"/>
        </w:rPr>
      </w:pPr>
      <w:r w:rsidRPr="006C17A8">
        <w:rPr>
          <w:rStyle w:val="Textoennegrita"/>
          <w:rFonts w:ascii="Arial" w:hAnsi="Arial" w:cs="Arial"/>
          <w:sz w:val="22"/>
          <w:szCs w:val="22"/>
        </w:rPr>
        <w:t>Administración de personal, contratación de servicios personales</w:t>
      </w:r>
    </w:p>
    <w:p w14:paraId="7457BDD5" w14:textId="77777777" w:rsidR="00501C99" w:rsidRPr="009600E3" w:rsidRDefault="00501C99" w:rsidP="00501C99">
      <w:pPr>
        <w:pStyle w:val="parrafo-division"/>
        <w:spacing w:before="0" w:beforeAutospacing="0" w:after="0" w:afterAutospacing="0"/>
        <w:jc w:val="center"/>
        <w:rPr>
          <w:rFonts w:ascii="Arial" w:hAnsi="Arial" w:cs="Arial"/>
          <w:sz w:val="22"/>
          <w:szCs w:val="22"/>
        </w:rPr>
      </w:pPr>
    </w:p>
    <w:p w14:paraId="64707282" w14:textId="77777777" w:rsidR="00C12E94" w:rsidRPr="009600E3" w:rsidRDefault="00C12E94" w:rsidP="00501C99">
      <w:pPr>
        <w:pStyle w:val="NormalWeb"/>
        <w:spacing w:before="0" w:beforeAutospacing="0" w:after="0" w:afterAutospacing="0"/>
        <w:jc w:val="both"/>
        <w:rPr>
          <w:rFonts w:ascii="Arial" w:hAnsi="Arial" w:cs="Arial"/>
          <w:sz w:val="22"/>
          <w:szCs w:val="22"/>
        </w:rPr>
      </w:pPr>
      <w:bookmarkStart w:id="6" w:name="ver_30152632"/>
      <w:bookmarkStart w:id="7" w:name="ver_1341642"/>
      <w:bookmarkEnd w:id="6"/>
      <w:bookmarkEnd w:id="7"/>
      <w:r w:rsidRPr="009600E3">
        <w:rPr>
          <w:rStyle w:val="Textoennegrita"/>
          <w:rFonts w:ascii="Arial" w:hAnsi="Arial" w:cs="Arial"/>
          <w:b w:val="0"/>
          <w:bCs w:val="0"/>
          <w:sz w:val="22"/>
          <w:szCs w:val="22"/>
        </w:rPr>
        <w:t>Artículo 3°.</w:t>
      </w:r>
      <w:r w:rsidRPr="009600E3">
        <w:rPr>
          <w:rFonts w:ascii="Arial" w:hAnsi="Arial" w:cs="Arial"/>
          <w:sz w:val="22"/>
          <w:szCs w:val="22"/>
        </w:rPr>
        <w:t> Los contratos de prestación de servicios con personas naturales o jurídicas, sólo se podrán celebrar cuando no exista personal de planta con capacidad para realizar las actividades que se contratarán.  </w:t>
      </w:r>
    </w:p>
    <w:p w14:paraId="48E5DBD6"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352F8F30"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7C94F43C"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796A8CCB" w14:textId="77777777" w:rsidR="00C12E94" w:rsidRPr="009600E3" w:rsidRDefault="00C12E94"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 </w:t>
      </w:r>
    </w:p>
    <w:p w14:paraId="7BCCFCEC" w14:textId="77777777" w:rsidR="00C12E94" w:rsidRPr="009600E3" w:rsidRDefault="00C12E94" w:rsidP="00501C99">
      <w:pPr>
        <w:spacing w:after="0" w:line="240" w:lineRule="auto"/>
        <w:jc w:val="both"/>
        <w:rPr>
          <w:rFonts w:ascii="Arial" w:eastAsia="Times New Roman" w:hAnsi="Arial" w:cs="Arial"/>
          <w:lang w:eastAsia="es-CO"/>
        </w:rPr>
      </w:pPr>
    </w:p>
    <w:p w14:paraId="5668910C" w14:textId="37A2CE31" w:rsidR="0016141D" w:rsidRPr="009600E3" w:rsidRDefault="00F67479" w:rsidP="00501C99">
      <w:pPr>
        <w:spacing w:after="0" w:line="240" w:lineRule="auto"/>
        <w:jc w:val="both"/>
        <w:rPr>
          <w:rFonts w:ascii="Arial" w:eastAsia="Times New Roman" w:hAnsi="Arial" w:cs="Arial"/>
          <w:lang w:eastAsia="es-CO"/>
        </w:rPr>
      </w:pPr>
      <w:r w:rsidRPr="009600E3">
        <w:rPr>
          <w:rFonts w:ascii="Arial" w:eastAsia="Times New Roman" w:hAnsi="Arial" w:cs="Arial"/>
          <w:lang w:eastAsia="es-CO"/>
        </w:rPr>
        <w:t>A</w:t>
      </w:r>
      <w:r w:rsidR="0016141D" w:rsidRPr="009600E3">
        <w:rPr>
          <w:rFonts w:ascii="Arial" w:eastAsia="Times New Roman" w:hAnsi="Arial" w:cs="Arial"/>
          <w:lang w:eastAsia="es-CO"/>
        </w:rPr>
        <w:t>rtículo 4°. Está prohibido el pacto de remuneración para pago de servicios personales calificados con personas naturales y jurídicas, encaminados a la prestación de servicios en forma continua para asuntos propios de la respectiva entidad, por valor mensual superior a la remuneración total mensual establecida para el jefe de la entidad. </w:t>
      </w:r>
    </w:p>
    <w:p w14:paraId="04915E5E" w14:textId="77777777" w:rsidR="0016141D" w:rsidRPr="009600E3" w:rsidRDefault="0016141D" w:rsidP="00501C99">
      <w:pPr>
        <w:spacing w:after="0" w:line="240" w:lineRule="auto"/>
        <w:jc w:val="both"/>
        <w:rPr>
          <w:rFonts w:ascii="Arial" w:eastAsia="Times New Roman" w:hAnsi="Arial" w:cs="Arial"/>
          <w:lang w:eastAsia="es-CO"/>
        </w:rPr>
      </w:pPr>
      <w:r w:rsidRPr="009600E3">
        <w:rPr>
          <w:rFonts w:ascii="Arial" w:eastAsia="Times New Roman" w:hAnsi="Arial" w:cs="Arial"/>
          <w:lang w:eastAsia="es-CO"/>
        </w:rPr>
        <w:t>  </w:t>
      </w:r>
    </w:p>
    <w:p w14:paraId="57DDE9EE" w14:textId="4F3375EA" w:rsidR="0016141D" w:rsidRPr="009600E3" w:rsidRDefault="0016141D" w:rsidP="00501C99">
      <w:pPr>
        <w:spacing w:after="0" w:line="240" w:lineRule="auto"/>
        <w:jc w:val="both"/>
        <w:rPr>
          <w:rFonts w:ascii="Arial" w:eastAsia="Times New Roman" w:hAnsi="Arial" w:cs="Arial"/>
          <w:lang w:eastAsia="es-CO"/>
        </w:rPr>
      </w:pPr>
      <w:r w:rsidRPr="009600E3">
        <w:rPr>
          <w:rFonts w:ascii="Arial" w:eastAsia="Times New Roman" w:hAnsi="Arial" w:cs="Arial"/>
          <w:lang w:eastAsia="es-CO"/>
        </w:rPr>
        <w:t>Parágrafo</w:t>
      </w:r>
      <w:r w:rsidR="00501C99" w:rsidRPr="009600E3">
        <w:rPr>
          <w:rFonts w:ascii="Arial" w:eastAsia="Times New Roman" w:hAnsi="Arial" w:cs="Arial"/>
          <w:lang w:eastAsia="es-CO"/>
        </w:rPr>
        <w:t xml:space="preserve"> 1</w:t>
      </w:r>
      <w:r w:rsidRPr="009600E3">
        <w:rPr>
          <w:rFonts w:ascii="Arial" w:eastAsia="Times New Roman" w:hAnsi="Arial" w:cs="Arial"/>
          <w:lang w:eastAsia="es-CO"/>
        </w:rPr>
        <w:t>. Se entiende por remuneración total mensual del jefe de la entidad, la que corresponda a éste en cada uno de dichos períodos, sin que en ningún caso puedan tenerse en consideración los factores prestacionales. </w:t>
      </w:r>
    </w:p>
    <w:p w14:paraId="7764289F" w14:textId="77777777" w:rsidR="0016141D" w:rsidRPr="00B80407" w:rsidRDefault="0016141D" w:rsidP="00501C99">
      <w:pPr>
        <w:spacing w:after="0" w:line="240" w:lineRule="auto"/>
        <w:jc w:val="both"/>
        <w:rPr>
          <w:rFonts w:ascii="Arial" w:eastAsia="Times New Roman" w:hAnsi="Arial" w:cs="Arial"/>
          <w:sz w:val="20"/>
          <w:szCs w:val="20"/>
          <w:lang w:eastAsia="es-CO"/>
        </w:rPr>
      </w:pPr>
      <w:r w:rsidRPr="009600E3">
        <w:rPr>
          <w:rFonts w:ascii="Arial" w:eastAsia="Times New Roman" w:hAnsi="Arial" w:cs="Arial"/>
          <w:sz w:val="20"/>
          <w:szCs w:val="20"/>
          <w:lang w:eastAsia="es-CO"/>
        </w:rPr>
        <w:t>  </w:t>
      </w:r>
    </w:p>
    <w:p w14:paraId="74314026" w14:textId="7DC88A17" w:rsidR="00F67479" w:rsidRPr="00B80407" w:rsidRDefault="00F67479" w:rsidP="00501C99">
      <w:pPr>
        <w:spacing w:after="0" w:line="240" w:lineRule="auto"/>
        <w:jc w:val="both"/>
        <w:rPr>
          <w:rFonts w:ascii="Arial" w:hAnsi="Arial" w:cs="Arial"/>
          <w:sz w:val="20"/>
          <w:szCs w:val="20"/>
        </w:rPr>
      </w:pPr>
      <w:r w:rsidRPr="00B80407">
        <w:rPr>
          <w:rFonts w:ascii="Arial" w:hAnsi="Arial" w:cs="Arial"/>
          <w:sz w:val="20"/>
          <w:szCs w:val="20"/>
        </w:rPr>
        <w:t xml:space="preserve">(Ver conceptos: </w:t>
      </w:r>
      <w:hyperlink r:id="rId7" w:history="1">
        <w:r w:rsidRPr="00B80407">
          <w:rPr>
            <w:rStyle w:val="Hipervnculo"/>
            <w:rFonts w:ascii="Arial" w:hAnsi="Arial" w:cs="Arial"/>
            <w:sz w:val="20"/>
            <w:szCs w:val="20"/>
          </w:rPr>
          <w:t>4201913000005089 del 06/08/201</w:t>
        </w:r>
        <w:r w:rsidR="00501C99" w:rsidRPr="00B80407">
          <w:rPr>
            <w:rStyle w:val="Hipervnculo"/>
            <w:rFonts w:ascii="Arial" w:hAnsi="Arial" w:cs="Arial"/>
            <w:sz w:val="20"/>
            <w:szCs w:val="20"/>
          </w:rPr>
          <w:t>9</w:t>
        </w:r>
      </w:hyperlink>
      <w:r w:rsidR="00501C99" w:rsidRPr="00B80407">
        <w:rPr>
          <w:rFonts w:ascii="Arial" w:hAnsi="Arial" w:cs="Arial"/>
          <w:sz w:val="20"/>
          <w:szCs w:val="20"/>
        </w:rPr>
        <w:t>)</w:t>
      </w:r>
    </w:p>
    <w:p w14:paraId="5B90290F" w14:textId="77777777" w:rsidR="00501C99" w:rsidRPr="00B80407" w:rsidRDefault="00501C99" w:rsidP="00501C99">
      <w:pPr>
        <w:spacing w:after="0" w:line="240" w:lineRule="auto"/>
        <w:jc w:val="both"/>
        <w:rPr>
          <w:rFonts w:ascii="Arial" w:hAnsi="Arial" w:cs="Arial"/>
          <w:sz w:val="20"/>
          <w:szCs w:val="20"/>
        </w:rPr>
      </w:pPr>
    </w:p>
    <w:p w14:paraId="17387B69" w14:textId="77777777" w:rsidR="00501C99" w:rsidRPr="00941DED" w:rsidRDefault="00501C99" w:rsidP="00501C99">
      <w:pPr>
        <w:pStyle w:val="NormalWeb"/>
        <w:spacing w:before="0" w:beforeAutospacing="0" w:after="0" w:afterAutospacing="0"/>
        <w:jc w:val="both"/>
        <w:rPr>
          <w:rFonts w:ascii="Arial" w:hAnsi="Arial" w:cs="Arial"/>
          <w:i/>
          <w:iCs/>
          <w:sz w:val="22"/>
          <w:szCs w:val="22"/>
        </w:rPr>
      </w:pPr>
      <w:r w:rsidRPr="0009608D">
        <w:rPr>
          <w:rStyle w:val="Textoennegrita"/>
          <w:rFonts w:ascii="Arial" w:hAnsi="Arial" w:cs="Arial"/>
          <w:b w:val="0"/>
          <w:bCs w:val="0"/>
          <w:sz w:val="22"/>
          <w:szCs w:val="22"/>
        </w:rPr>
        <w:t>Parágrafo 2°.</w:t>
      </w:r>
      <w:r w:rsidRPr="00941DED">
        <w:rPr>
          <w:rStyle w:val="nfasis"/>
          <w:rFonts w:ascii="Arial" w:hAnsi="Arial" w:cs="Arial"/>
          <w:i w:val="0"/>
          <w:iCs w:val="0"/>
          <w:sz w:val="22"/>
          <w:szCs w:val="22"/>
        </w:rPr>
        <w:t> Los servicios a que hace referencia el presente artículo corresponden exclusivamente a aquellos comprendidos en el concepto de "remuneración servicios técnicos" desarrollado en el decreto de liquidación del presupuesto general de la Nación, con independencia del presupuesto con cargo al cual se realice su pago.</w:t>
      </w:r>
      <w:r w:rsidRPr="00941DED">
        <w:rPr>
          <w:rFonts w:ascii="Arial" w:hAnsi="Arial" w:cs="Arial"/>
          <w:i/>
          <w:iCs/>
          <w:sz w:val="22"/>
          <w:szCs w:val="22"/>
        </w:rPr>
        <w:t> </w:t>
      </w:r>
    </w:p>
    <w:p w14:paraId="6CE324E9" w14:textId="77777777" w:rsidR="00501C99" w:rsidRPr="00941DED" w:rsidRDefault="00501C99" w:rsidP="00501C99">
      <w:pPr>
        <w:pStyle w:val="NormalWeb"/>
        <w:spacing w:before="0" w:beforeAutospacing="0" w:after="0" w:afterAutospacing="0"/>
        <w:jc w:val="both"/>
        <w:rPr>
          <w:rFonts w:ascii="Arial" w:hAnsi="Arial" w:cs="Arial"/>
          <w:sz w:val="22"/>
          <w:szCs w:val="22"/>
        </w:rPr>
      </w:pPr>
      <w:r w:rsidRPr="00941DED">
        <w:rPr>
          <w:rFonts w:ascii="Arial" w:hAnsi="Arial" w:cs="Arial"/>
          <w:sz w:val="22"/>
          <w:szCs w:val="22"/>
        </w:rPr>
        <w:t>  </w:t>
      </w:r>
    </w:p>
    <w:p w14:paraId="610C0092" w14:textId="77777777" w:rsidR="00501C99" w:rsidRPr="00941DED" w:rsidRDefault="00501C99" w:rsidP="00501C99">
      <w:pPr>
        <w:pStyle w:val="NormalWeb"/>
        <w:spacing w:before="0" w:beforeAutospacing="0" w:after="0" w:afterAutospacing="0"/>
        <w:jc w:val="both"/>
        <w:rPr>
          <w:rFonts w:ascii="Arial" w:hAnsi="Arial" w:cs="Arial"/>
          <w:sz w:val="22"/>
          <w:szCs w:val="22"/>
        </w:rPr>
      </w:pPr>
      <w:r w:rsidRPr="00941DED">
        <w:rPr>
          <w:rStyle w:val="Textoennegrita"/>
          <w:rFonts w:ascii="Arial" w:hAnsi="Arial" w:cs="Arial"/>
          <w:b w:val="0"/>
          <w:bCs w:val="0"/>
          <w:sz w:val="22"/>
          <w:szCs w:val="22"/>
        </w:rPr>
        <w:t>Parágrafo 3°.</w:t>
      </w:r>
      <w:r w:rsidRPr="00941DED">
        <w:rPr>
          <w:rStyle w:val="nfasis"/>
          <w:rFonts w:ascii="Arial" w:hAnsi="Arial" w:cs="Arial"/>
          <w:i w:val="0"/>
          <w:iCs w:val="0"/>
          <w:sz w:val="22"/>
          <w:szCs w:val="22"/>
        </w:rPr>
        <w:t> De manera excepcional, para aquellos eventos en los que se requiera contratar servicios altamente calificados, podrán pactarse honorarios superiores a la remuneración total mensual establecida para el jefe de la entidad, los cuales no podrán exceder del valor total mensual de remuneración del jefe de la entidad incluidos los factores prestacionales y las contribuciones inherentes a la nómina, relacionadas con seguridad social y para fiscales a cargo del empleador. En estos eventos el Representante Legal de la entidad deberá certificar el cumplimiento de los siguientes aspectos: 1. Justificar la necesidad del servicio personal altamente calificado. 2. Indicar las características y calidades específicas, altamente calificadas, que reúne el contratista para la ejecución del contrato, y 3. Determinar las características de los productos y/o servicios que se espera obtener.</w:t>
      </w:r>
      <w:r w:rsidRPr="00941DED">
        <w:rPr>
          <w:rFonts w:ascii="Arial" w:hAnsi="Arial" w:cs="Arial"/>
          <w:sz w:val="22"/>
          <w:szCs w:val="22"/>
        </w:rPr>
        <w:t> </w:t>
      </w:r>
    </w:p>
    <w:p w14:paraId="247EB9AE" w14:textId="77777777" w:rsidR="00501C99" w:rsidRPr="00941DED" w:rsidRDefault="00501C99" w:rsidP="00501C99">
      <w:pPr>
        <w:pStyle w:val="NormalWeb"/>
        <w:spacing w:before="0" w:beforeAutospacing="0" w:after="0" w:afterAutospacing="0"/>
        <w:jc w:val="both"/>
        <w:rPr>
          <w:rFonts w:ascii="Arial" w:hAnsi="Arial" w:cs="Arial"/>
          <w:sz w:val="22"/>
          <w:szCs w:val="22"/>
        </w:rPr>
      </w:pPr>
      <w:r w:rsidRPr="00941DED">
        <w:rPr>
          <w:rFonts w:ascii="Arial" w:hAnsi="Arial" w:cs="Arial"/>
          <w:sz w:val="22"/>
          <w:szCs w:val="22"/>
        </w:rPr>
        <w:t>  </w:t>
      </w:r>
    </w:p>
    <w:p w14:paraId="2CA61D7B" w14:textId="77777777" w:rsidR="00501C99" w:rsidRPr="00941DED" w:rsidRDefault="00501C99" w:rsidP="00501C99">
      <w:pPr>
        <w:pStyle w:val="NormalWeb"/>
        <w:spacing w:before="0" w:beforeAutospacing="0" w:after="0" w:afterAutospacing="0"/>
        <w:jc w:val="both"/>
        <w:rPr>
          <w:rFonts w:ascii="Arial" w:hAnsi="Arial" w:cs="Arial"/>
          <w:sz w:val="22"/>
          <w:szCs w:val="22"/>
        </w:rPr>
      </w:pPr>
      <w:r w:rsidRPr="00941DED">
        <w:rPr>
          <w:rStyle w:val="Textoennegrita"/>
          <w:rFonts w:ascii="Arial" w:hAnsi="Arial" w:cs="Arial"/>
          <w:b w:val="0"/>
          <w:bCs w:val="0"/>
          <w:sz w:val="22"/>
          <w:szCs w:val="22"/>
        </w:rPr>
        <w:t>Parágrafo 4°.</w:t>
      </w:r>
      <w:r w:rsidRPr="00941DED">
        <w:rPr>
          <w:rStyle w:val="nfasis"/>
          <w:rFonts w:ascii="Arial" w:hAnsi="Arial" w:cs="Arial"/>
          <w:i w:val="0"/>
          <w:iCs w:val="0"/>
          <w:sz w:val="22"/>
          <w:szCs w:val="22"/>
        </w:rPr>
        <w:t> Se entiende por servicios altamente calificados aquellos requeridos en situaciones de alto nivel de especialidad, complejidad y detalle.</w:t>
      </w:r>
      <w:r w:rsidRPr="00941DED">
        <w:rPr>
          <w:rFonts w:ascii="Arial" w:hAnsi="Arial" w:cs="Arial"/>
          <w:sz w:val="22"/>
          <w:szCs w:val="22"/>
        </w:rPr>
        <w:t> </w:t>
      </w:r>
    </w:p>
    <w:p w14:paraId="5BCD99CA" w14:textId="77777777" w:rsidR="00501C99" w:rsidRPr="009600E3" w:rsidRDefault="00501C99" w:rsidP="00501C99">
      <w:pPr>
        <w:pStyle w:val="NormalWeb"/>
        <w:spacing w:before="0" w:beforeAutospacing="0" w:after="0" w:afterAutospacing="0"/>
        <w:jc w:val="both"/>
        <w:rPr>
          <w:rStyle w:val="Textoennegrita"/>
          <w:rFonts w:ascii="Arial" w:hAnsi="Arial" w:cs="Arial"/>
          <w:b w:val="0"/>
          <w:bCs w:val="0"/>
          <w:sz w:val="22"/>
          <w:szCs w:val="22"/>
        </w:rPr>
      </w:pPr>
      <w:bookmarkStart w:id="8" w:name="ver_1341643"/>
      <w:bookmarkStart w:id="9" w:name="ver_30152646"/>
      <w:bookmarkStart w:id="10" w:name="ver_1341644"/>
      <w:bookmarkEnd w:id="8"/>
      <w:bookmarkEnd w:id="9"/>
      <w:bookmarkEnd w:id="10"/>
    </w:p>
    <w:p w14:paraId="41CA36EE" w14:textId="7D024993"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5°.</w:t>
      </w:r>
      <w:r w:rsidRPr="009600E3">
        <w:rPr>
          <w:rFonts w:ascii="Arial" w:hAnsi="Arial" w:cs="Arial"/>
          <w:sz w:val="22"/>
          <w:szCs w:val="22"/>
        </w:rPr>
        <w:t> La vinculación de supernumerarios sólo podrá hacerse cuando no exista personal de planta suficiente para atender las actividades requeridas. En este caso, deberá motivarse la vinculación, previo estudio de las vacantes disponibles en la planta de personal. </w:t>
      </w:r>
    </w:p>
    <w:p w14:paraId="05AA23F4"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6B31F2CC" w14:textId="68E93E27" w:rsidR="00501C99" w:rsidRPr="009600E3" w:rsidRDefault="00187968" w:rsidP="00501C99">
      <w:pPr>
        <w:pStyle w:val="parrafo-division"/>
        <w:spacing w:before="0" w:beforeAutospacing="0" w:after="0" w:afterAutospacing="0"/>
        <w:jc w:val="center"/>
        <w:rPr>
          <w:rFonts w:ascii="Arial" w:hAnsi="Arial" w:cs="Arial"/>
          <w:sz w:val="22"/>
          <w:szCs w:val="22"/>
        </w:rPr>
      </w:pPr>
      <w:bookmarkStart w:id="11" w:name="ver_1341645"/>
      <w:bookmarkEnd w:id="11"/>
      <w:r>
        <w:rPr>
          <w:rStyle w:val="Textoennegrita"/>
          <w:rFonts w:ascii="Arial" w:hAnsi="Arial" w:cs="Arial"/>
          <w:sz w:val="22"/>
          <w:szCs w:val="22"/>
        </w:rPr>
        <w:t>CAPÍTULO</w:t>
      </w:r>
      <w:r w:rsidR="00501C99" w:rsidRPr="009600E3">
        <w:rPr>
          <w:rStyle w:val="Textoennegrita"/>
          <w:rFonts w:ascii="Arial" w:hAnsi="Arial" w:cs="Arial"/>
          <w:sz w:val="22"/>
          <w:szCs w:val="22"/>
        </w:rPr>
        <w:t xml:space="preserve"> III</w:t>
      </w:r>
    </w:p>
    <w:p w14:paraId="763C6DEC" w14:textId="77777777" w:rsidR="00501C99" w:rsidRPr="009600E3" w:rsidRDefault="00501C99" w:rsidP="00501C99">
      <w:pPr>
        <w:pStyle w:val="parrafo-division"/>
        <w:spacing w:before="0" w:beforeAutospacing="0" w:after="0" w:afterAutospacing="0"/>
        <w:jc w:val="center"/>
        <w:rPr>
          <w:rFonts w:ascii="Arial" w:hAnsi="Arial" w:cs="Arial"/>
          <w:sz w:val="22"/>
          <w:szCs w:val="22"/>
        </w:rPr>
      </w:pPr>
      <w:r w:rsidRPr="009600E3">
        <w:rPr>
          <w:rStyle w:val="Textoennegrita"/>
          <w:rFonts w:ascii="Arial" w:hAnsi="Arial" w:cs="Arial"/>
          <w:sz w:val="22"/>
          <w:szCs w:val="22"/>
        </w:rPr>
        <w:t>Publicidad y publicaciones</w:t>
      </w:r>
    </w:p>
    <w:p w14:paraId="0751F3A5" w14:textId="77777777" w:rsidR="00501C99" w:rsidRPr="009600E3" w:rsidRDefault="00501C99" w:rsidP="00501C99">
      <w:pPr>
        <w:spacing w:after="0" w:line="240" w:lineRule="auto"/>
        <w:jc w:val="both"/>
        <w:rPr>
          <w:rFonts w:ascii="Arial" w:hAnsi="Arial" w:cs="Arial"/>
        </w:rPr>
      </w:pPr>
      <w:bookmarkStart w:id="12" w:name="ver_30152650"/>
      <w:bookmarkStart w:id="13" w:name="ver_1341646"/>
      <w:bookmarkStart w:id="14" w:name="ver_30152633"/>
      <w:bookmarkStart w:id="15" w:name="ver_30152638"/>
      <w:bookmarkEnd w:id="12"/>
    </w:p>
    <w:p w14:paraId="6DFCAC9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6º</w:t>
      </w:r>
      <w:r w:rsidRPr="009600E3">
        <w:rPr>
          <w:rFonts w:ascii="Arial" w:hAnsi="Arial" w:cs="Arial"/>
          <w:sz w:val="22"/>
          <w:szCs w:val="22"/>
        </w:rPr>
        <w:t>. Está prohibida la celebración de contratos de publicidad con cargo a los recursos del Tesoro Público, con excepción de los contratos del Departamento Administrativo de la Presidencia de la República, de la Unidad Administrativa Especial Dirección de Impuestos y Aduanas Nacionales para dar cumplimiento a lo dispuesto en el literal ll) del artículo 19 del Decreto 1071 de 1999, y de las Empresas Industriales y Comerciales del Estado que tienen por objeto la comercialización de bienes y servicios en competencia con particulares, en consonancia con lo dispuesto en el artículo 9º del Decreto 1737 de 1998, la celebración de estos contratos sólo se podrá dirigir a la promoción de específicos bienes o servicios que ofrezca la empresa en competencia con particulares. </w:t>
      </w:r>
    </w:p>
    <w:p w14:paraId="11774BFF" w14:textId="6C12295A" w:rsidR="00501C99" w:rsidRPr="009600E3" w:rsidRDefault="00501C99" w:rsidP="00501C99">
      <w:pPr>
        <w:pStyle w:val="NormalWeb"/>
        <w:spacing w:before="0" w:beforeAutospacing="0" w:after="0" w:afterAutospacing="0"/>
        <w:jc w:val="both"/>
        <w:rPr>
          <w:rFonts w:ascii="Arial" w:hAnsi="Arial" w:cs="Arial"/>
          <w:sz w:val="22"/>
          <w:szCs w:val="22"/>
        </w:rPr>
      </w:pPr>
    </w:p>
    <w:p w14:paraId="28AB2F68"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Las entidades que tengan autorizados en sus presupuestos rubros para publicidad, deberán reducirlos en un treinta por ciento (30%) en el presente año, tomando como base de la reducción el monto inicial del presupuesto o apropiación para publicidad. </w:t>
      </w:r>
    </w:p>
    <w:p w14:paraId="464644FE" w14:textId="77777777" w:rsidR="00501C99" w:rsidRPr="009600E3" w:rsidRDefault="00501C99" w:rsidP="00501C99">
      <w:pPr>
        <w:spacing w:after="0" w:line="240" w:lineRule="auto"/>
        <w:jc w:val="both"/>
        <w:rPr>
          <w:rFonts w:ascii="Arial" w:hAnsi="Arial" w:cs="Arial"/>
        </w:rPr>
      </w:pPr>
      <w:bookmarkStart w:id="16" w:name="ver_1341647"/>
      <w:bookmarkEnd w:id="13"/>
      <w:bookmarkEnd w:id="14"/>
      <w:bookmarkEnd w:id="15"/>
      <w:bookmarkEnd w:id="16"/>
    </w:p>
    <w:p w14:paraId="10D1A90E"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7°.</w:t>
      </w:r>
      <w:r w:rsidRPr="009600E3">
        <w:rPr>
          <w:rFonts w:ascii="Arial" w:hAnsi="Arial" w:cs="Arial"/>
          <w:sz w:val="22"/>
          <w:szCs w:val="22"/>
        </w:rPr>
        <w:t> Solamente se publicarán los avisos institucionales que sean requeridos por la ley. En estas publicaciones se procurará la mayor limitación, entre otros, en cuanto a contenido, extensión, tamaño y medio de publicación, de tal manera que se logre la mayor austeridad en el gasto y la reducción real de costos. </w:t>
      </w:r>
    </w:p>
    <w:p w14:paraId="38F07EAE" w14:textId="7EED55B8"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17" w:name="ver_30152622"/>
      <w:bookmarkStart w:id="18" w:name="ver_1341648"/>
      <w:bookmarkStart w:id="19" w:name="ver_30152623"/>
      <w:bookmarkStart w:id="20" w:name="ver_30152624"/>
      <w:bookmarkStart w:id="21" w:name="ver_30152627"/>
      <w:bookmarkStart w:id="22" w:name="ver_30152637"/>
      <w:bookmarkStart w:id="23" w:name="ver_30152640"/>
      <w:bookmarkStart w:id="24" w:name="ver_30152645"/>
      <w:bookmarkEnd w:id="17"/>
    </w:p>
    <w:p w14:paraId="7D38B7C4"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Artículo 8º. La impresión de informes, folletos o textos institucionales se deberá hacer con observancia del orden y prioridades establecidos en normas y directivas presidenciales en cuanto respecta a la utilización de la Imprenta Nacional y de otras instituciones prestatarias de estos servicios.  </w:t>
      </w:r>
    </w:p>
    <w:p w14:paraId="03EEE340"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7E90CA44"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ningún caso las entidades objeto de esta reglamentación podrán patrocinar, contratar o realizar directamente la edición, impresión o publicación de documentos que no estén relacionados con las funciones que legalmente deben cumplir, ni contratar o patrocinar la impresión de ediciones de lujo, ni de impresiones con policromías, salvo cuando se trate de cartografía básica y temática, de las campañas institucionales de comunicación de la U.A.E. Dirección de Impuestos y Aduanas Nacionales, y de las publicaciones que requieran efectuar las Empresas Industriales y Comerciales del Estado del orden nacional que tengan un intercambio económico frecuente con empresas extranjeras o cuyo desarrollo empresarial dependa de la inversión extranjera, cuando la finalidad de tales publicaciones sea la difusión y promoción de las perspectivas económicas y posibilidades de desarrollo que ofrece el país.  </w:t>
      </w:r>
    </w:p>
    <w:p w14:paraId="13AC7F8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BA4217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Parágrafo 1º. El Ministerio de Relaciones Exteriores podrá realizar publicaciones de lujo o con policromías, cuando se trate de publicaciones para promocionar la imagen de Colombia en el exterior o de impresos que se requieran para el cumplimiento de las funciones protocolarias del mismo.  </w:t>
      </w:r>
    </w:p>
    <w:p w14:paraId="42A40B59"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2A54359E"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Parágrafo 2º. El Ministerio de Defensa Nacional podrá editar la Revista Defensa Nacional en policromía, teniendo en cuenta que es una publicación institucional de carácter cultural, educativa e informativa, que difunde la filosofía y las políticas del Gobierno Nacional, del Ministro y de los Mandos Militares, con el propósito de mejorar la imagen institucional ante la opinión nacional e internacional.  </w:t>
      </w:r>
    </w:p>
    <w:p w14:paraId="7B99B188"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23CA504"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Parágrafo 3º. El Departamento Administrativo de la Presidencia de la República podrá realizar publicaciones de lujo o con policromías, en atención al carácter especial de su misión y al ejercicio de la función pública, como también la Agencia Presidencial para la Acción Social y la Cooperación Internacional -Acción Social- para el cumplimiento de su función de promoción y coordinación de la Cooperación Internacional y, solo con policromías, para el desarrollo de programas de atención a la población vulnerable y vulnerada. </w:t>
      </w:r>
    </w:p>
    <w:p w14:paraId="09D8628E" w14:textId="77777777" w:rsidR="00501C99" w:rsidRPr="0009608D" w:rsidRDefault="00501C99" w:rsidP="00501C99">
      <w:pPr>
        <w:spacing w:after="0" w:line="240" w:lineRule="auto"/>
        <w:jc w:val="both"/>
        <w:rPr>
          <w:rFonts w:ascii="Arial" w:hAnsi="Arial" w:cs="Arial"/>
        </w:rPr>
      </w:pPr>
      <w:bookmarkStart w:id="25" w:name="ver_30152629"/>
      <w:bookmarkStart w:id="26" w:name="ver_1341649"/>
      <w:bookmarkEnd w:id="18"/>
      <w:bookmarkEnd w:id="19"/>
      <w:bookmarkEnd w:id="20"/>
      <w:bookmarkEnd w:id="21"/>
      <w:bookmarkEnd w:id="22"/>
      <w:bookmarkEnd w:id="23"/>
      <w:bookmarkEnd w:id="24"/>
      <w:bookmarkEnd w:id="25"/>
    </w:p>
    <w:p w14:paraId="4D49A505"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09608D">
        <w:rPr>
          <w:rStyle w:val="Textoennegrita"/>
          <w:rFonts w:ascii="Arial" w:hAnsi="Arial" w:cs="Arial"/>
          <w:b w:val="0"/>
          <w:bCs w:val="0"/>
          <w:sz w:val="22"/>
          <w:szCs w:val="22"/>
        </w:rPr>
        <w:t>Artículo 9º</w:t>
      </w:r>
      <w:r w:rsidRPr="0009608D">
        <w:rPr>
          <w:rFonts w:ascii="Arial" w:hAnsi="Arial" w:cs="Arial"/>
          <w:sz w:val="22"/>
          <w:szCs w:val="22"/>
        </w:rPr>
        <w:t>.</w:t>
      </w:r>
      <w:r w:rsidRPr="009600E3">
        <w:rPr>
          <w:rFonts w:ascii="Arial" w:hAnsi="Arial" w:cs="Arial"/>
          <w:sz w:val="22"/>
          <w:szCs w:val="22"/>
        </w:rPr>
        <w:t xml:space="preserve"> Las entidades objeto de la regulación de este decreto no podrán en ningún caso difundir expresiones de aplauso, censura, solidaridad o similares, o publicitar o promover la imagen de la entidad o sus funcionarios con cargo a recursos públicos. </w:t>
      </w:r>
    </w:p>
    <w:p w14:paraId="1D4C9CF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1F2D8126"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Lo dispuesto en el inciso anterior no será aplicable al Departamento Administrativo de la Presidencia de la República cuando en ejercicio de las actividades de protocolo inherentes al desempeño de la misión presidencial, requiera la ordenación de publicación de avisos de condolencia por el fallecimiento de altos dignatarios y personajes de la vida nacional o sus familiares y de dignatarios o personajes extranjeros. </w:t>
      </w:r>
    </w:p>
    <w:p w14:paraId="2FC0601A" w14:textId="77777777" w:rsidR="00501C99" w:rsidRPr="009600E3" w:rsidRDefault="00501C99" w:rsidP="00501C99">
      <w:pPr>
        <w:pStyle w:val="NormalWeb"/>
        <w:spacing w:before="0" w:beforeAutospacing="0" w:after="0" w:afterAutospacing="0"/>
        <w:jc w:val="both"/>
        <w:rPr>
          <w:rFonts w:ascii="Arial" w:hAnsi="Arial" w:cs="Arial"/>
          <w:sz w:val="22"/>
          <w:szCs w:val="22"/>
        </w:rPr>
      </w:pPr>
    </w:p>
    <w:p w14:paraId="72044F57" w14:textId="0D421E59" w:rsidR="00501C99" w:rsidRPr="009600E3" w:rsidRDefault="00187968" w:rsidP="00501C99">
      <w:pPr>
        <w:pStyle w:val="parrafo-division"/>
        <w:spacing w:before="0" w:beforeAutospacing="0" w:after="0" w:afterAutospacing="0"/>
        <w:jc w:val="center"/>
        <w:rPr>
          <w:rFonts w:ascii="Arial" w:hAnsi="Arial" w:cs="Arial"/>
          <w:sz w:val="22"/>
          <w:szCs w:val="22"/>
        </w:rPr>
      </w:pPr>
      <w:bookmarkStart w:id="27" w:name="ver_1341650"/>
      <w:bookmarkEnd w:id="26"/>
      <w:bookmarkEnd w:id="27"/>
      <w:r>
        <w:rPr>
          <w:rStyle w:val="Textoennegrita"/>
          <w:rFonts w:ascii="Arial" w:hAnsi="Arial" w:cs="Arial"/>
          <w:sz w:val="22"/>
          <w:szCs w:val="22"/>
        </w:rPr>
        <w:lastRenderedPageBreak/>
        <w:t>CAPÍTULO</w:t>
      </w:r>
      <w:r w:rsidR="00501C99" w:rsidRPr="009600E3">
        <w:rPr>
          <w:rStyle w:val="Textoennegrita"/>
          <w:rFonts w:ascii="Arial" w:hAnsi="Arial" w:cs="Arial"/>
          <w:sz w:val="22"/>
          <w:szCs w:val="22"/>
        </w:rPr>
        <w:t xml:space="preserve"> IV</w:t>
      </w:r>
    </w:p>
    <w:p w14:paraId="2A64AEB9" w14:textId="77777777" w:rsidR="00501C99" w:rsidRPr="009600E3" w:rsidRDefault="00501C99" w:rsidP="00501C99">
      <w:pPr>
        <w:pStyle w:val="parrafo-division"/>
        <w:spacing w:before="0" w:beforeAutospacing="0" w:after="0" w:afterAutospacing="0"/>
        <w:jc w:val="center"/>
        <w:rPr>
          <w:rFonts w:ascii="Arial" w:hAnsi="Arial" w:cs="Arial"/>
          <w:sz w:val="22"/>
          <w:szCs w:val="22"/>
        </w:rPr>
      </w:pPr>
      <w:r w:rsidRPr="009600E3">
        <w:rPr>
          <w:rStyle w:val="Textoennegrita"/>
          <w:rFonts w:ascii="Arial" w:hAnsi="Arial" w:cs="Arial"/>
          <w:sz w:val="22"/>
          <w:szCs w:val="22"/>
        </w:rPr>
        <w:t>Servicios administrativos</w:t>
      </w:r>
    </w:p>
    <w:p w14:paraId="738FBB42" w14:textId="77777777" w:rsidR="00501C99" w:rsidRPr="009600E3" w:rsidRDefault="00501C99" w:rsidP="00501C99">
      <w:pPr>
        <w:spacing w:after="0" w:line="240" w:lineRule="auto"/>
        <w:jc w:val="both"/>
        <w:rPr>
          <w:rFonts w:ascii="Arial" w:hAnsi="Arial" w:cs="Arial"/>
        </w:rPr>
      </w:pPr>
      <w:bookmarkStart w:id="28" w:name="ver_1341651"/>
      <w:bookmarkEnd w:id="28"/>
    </w:p>
    <w:p w14:paraId="6C0FBAD3"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10.</w:t>
      </w:r>
      <w:r w:rsidRPr="009600E3">
        <w:rPr>
          <w:rFonts w:ascii="Arial" w:hAnsi="Arial" w:cs="Arial"/>
          <w:sz w:val="22"/>
          <w:szCs w:val="22"/>
        </w:rPr>
        <w:t> Está prohibida la utilización de recursos públicos para relaciones públicas, para afiliación o pago de cuotas de servidores públicos a clubes sociales o para el otorgamiento y pago de tarjetas de crédito a dichos servidores. </w:t>
      </w:r>
    </w:p>
    <w:p w14:paraId="531DA357" w14:textId="530594D2"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29" w:name="ver_30152631"/>
      <w:bookmarkStart w:id="30" w:name="ver_1341652"/>
      <w:bookmarkEnd w:id="29"/>
    </w:p>
    <w:p w14:paraId="33102D4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11. </w:t>
      </w:r>
      <w:r w:rsidRPr="009600E3">
        <w:rPr>
          <w:rFonts w:ascii="Arial" w:hAnsi="Arial" w:cs="Arial"/>
          <w:sz w:val="22"/>
          <w:szCs w:val="22"/>
        </w:rPr>
        <w:t>Las entidades objeto de la regulación de este decreto, no podrán con recursos públicos celebrar contratos que tengan por objeto el alojamiento, alimentación, encaminadas a desarrollar, planear o revisar las actividades y funciones que normativa y funcionalmente le competen.  </w:t>
      </w:r>
    </w:p>
    <w:p w14:paraId="0EA4D8A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65174CF0"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Cuando reuniones con propósitos similares tengan ocurrencia en la sede de trabajo los servicios de alimentación podrán adquirirse exclusivamente dentro de las regulaciones vigentes en materia de cajas menores.  </w:t>
      </w:r>
    </w:p>
    <w:p w14:paraId="49EF72B9"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0210ED64"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Lo previsto en este artículo no se aplica a los seminarios o actividades de capacitación que de acuerdo con las normas vigentes se deban ofrecer u organizar, y que sea necesario desarrollar con la presencia de los funcionarios que permanecen a las sedes o regionales de los organismos, entidades, entes públicos y personas jurídicas de otras partes del país. En este caso el ordenador del gasto deberá dejar constancia de dicha situación en forma previa a la autorización del gasto.  </w:t>
      </w:r>
    </w:p>
    <w:p w14:paraId="5E6FC20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0074A427"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Tampoco se encuentran dentro del ámbito de regulación de esta disposición, las actividades necesarias para la negociación de pactos y convenciones colectivas, o aquellas actividades que se deban adelantar o programar cuando el país sea sede de un encuentro ceremonia, asamblea o reunión de organismos internacionales o de grupos de trabajo internacionales. </w:t>
      </w:r>
    </w:p>
    <w:p w14:paraId="7FBA3B12" w14:textId="77777777" w:rsidR="00501C99" w:rsidRPr="009600E3" w:rsidRDefault="00501C99" w:rsidP="00501C99">
      <w:pPr>
        <w:spacing w:after="0" w:line="240" w:lineRule="auto"/>
        <w:jc w:val="both"/>
        <w:rPr>
          <w:rFonts w:ascii="Arial" w:hAnsi="Arial" w:cs="Arial"/>
        </w:rPr>
      </w:pPr>
      <w:bookmarkStart w:id="31" w:name="ver_30152630"/>
      <w:bookmarkStart w:id="32" w:name="ver_1341653"/>
      <w:bookmarkStart w:id="33" w:name="ver_30152643"/>
      <w:bookmarkEnd w:id="30"/>
      <w:bookmarkEnd w:id="31"/>
    </w:p>
    <w:p w14:paraId="2679106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12. </w:t>
      </w:r>
      <w:r w:rsidRPr="009600E3">
        <w:rPr>
          <w:rFonts w:ascii="Arial" w:hAnsi="Arial" w:cs="Arial"/>
          <w:sz w:val="22"/>
          <w:szCs w:val="22"/>
        </w:rPr>
        <w:t>Está prohibida la realización de recepciones, fiestas, agasajos o conmemoraciones de las entidades con cargo a los recursos del Tesoro Público. </w:t>
      </w:r>
    </w:p>
    <w:p w14:paraId="0D784593"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A11C44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Se exceptúan de la anterior disposición, los gastos que efectúen el Departamento Administrativo de la Presidencia de la República, y los gastos para reuniones protocolarias o internacionales que requieran realizar los Ministerios de Relaciones Exteriores, de Comercio Exterior y de Defensa Nacional y la Policía Nacional, lo mismo que aquellas conmemoraciones de aniversarios de creación o fundación de las empresas industriales y comerciales del Estado del orden nacional cuyo significado, en criterio del Departamento Administrativo de la Presidencia de la República, revista particular importancia para la historia del país. </w:t>
      </w:r>
    </w:p>
    <w:p w14:paraId="75248AC1" w14:textId="77777777" w:rsidR="00501C99" w:rsidRPr="009600E3" w:rsidRDefault="00501C99" w:rsidP="00501C99">
      <w:pPr>
        <w:spacing w:after="0" w:line="240" w:lineRule="auto"/>
        <w:jc w:val="both"/>
        <w:rPr>
          <w:rFonts w:ascii="Arial" w:hAnsi="Arial" w:cs="Arial"/>
        </w:rPr>
      </w:pPr>
      <w:bookmarkStart w:id="34" w:name="ver_1341654"/>
      <w:bookmarkEnd w:id="32"/>
      <w:bookmarkEnd w:id="33"/>
      <w:bookmarkEnd w:id="34"/>
    </w:p>
    <w:p w14:paraId="15EBF19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13.</w:t>
      </w:r>
      <w:r w:rsidRPr="009600E3">
        <w:rPr>
          <w:rFonts w:ascii="Arial" w:hAnsi="Arial" w:cs="Arial"/>
          <w:sz w:val="22"/>
          <w:szCs w:val="22"/>
        </w:rPr>
        <w:t> Está prohibido a los organismos, entidades, entes públicos y entes autónomos que utilizan recursos públicos, la impresión, suministro y utilización, con cargo a dichos recursos, de tarjetas de navidad, tarjetas de presentación o tarjetas de conmemoraciones. Se excluyen de esta restricción al Presidente de la República y al Vicepresidente de la República. </w:t>
      </w:r>
    </w:p>
    <w:p w14:paraId="1AD42B5A" w14:textId="25710F4B"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35" w:name="ver_1341655"/>
      <w:bookmarkEnd w:id="35"/>
    </w:p>
    <w:p w14:paraId="588FCD85"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14.</w:t>
      </w:r>
      <w:r w:rsidRPr="009600E3">
        <w:rPr>
          <w:rFonts w:ascii="Arial" w:hAnsi="Arial" w:cs="Arial"/>
          <w:sz w:val="22"/>
          <w:szCs w:val="22"/>
        </w:rPr>
        <w:t> Los organismos, entidades, entes públicos y entes autónomos sujetos a esta reglamentación deberán, a través del área administrativa correspondiente, asignar códigos para llamadas internacionales, nacionales y a líneas celulares. Los jefes de cada área, a los cuales se asignarán teléfonos con código, serán responsables del conocimiento de dichos códigos y, consecuentemente, de evitar el uso de teléfonos con código para fines personales por parte de los funcionarios de las respectivas dependencias. </w:t>
      </w:r>
    </w:p>
    <w:p w14:paraId="7E7898D3" w14:textId="70B55568"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36" w:name="ver_1341656"/>
      <w:bookmarkStart w:id="37" w:name="ver_30152626"/>
      <w:bookmarkStart w:id="38" w:name="ver_30152628"/>
      <w:bookmarkStart w:id="39" w:name="ver_30152641"/>
      <w:bookmarkStart w:id="40" w:name="ver_30152636"/>
      <w:bookmarkStart w:id="41" w:name="ver_30152642"/>
      <w:bookmarkStart w:id="42" w:name="ver_30152647"/>
      <w:bookmarkStart w:id="43" w:name="ver_30152649"/>
      <w:bookmarkEnd w:id="36"/>
    </w:p>
    <w:p w14:paraId="738BC2F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lastRenderedPageBreak/>
        <w:t>Artículo 15.</w:t>
      </w:r>
      <w:r w:rsidRPr="009600E3">
        <w:rPr>
          <w:rFonts w:ascii="Arial" w:hAnsi="Arial" w:cs="Arial"/>
          <w:sz w:val="22"/>
          <w:szCs w:val="22"/>
        </w:rPr>
        <w:t xml:space="preserve"> Podrá asignarse un teléfono celular con cargo a recursos del Tesoro Público exclusivamente a los siguientes funcionarios: Presidente de la República, Vicepresidente de la República, secretarios del Departamento Administrativo de la Presidencia de la República, ministros del despacho, viceministros, directores generales, embajadores, secretarios generales, directores, subdirectores y jefes de unidad de ministerios y departamentos administrativos y unidades administrativas especiales; superintendentes y superintendentes delegados; gerentes y subgerentes, directores y subdirectores, presidentes y vicepresidentes de establecimientos públicos y empresas industriales y comerciales del Estado, así como a los funcionarios de las mismas categorías antes mencionadas de las regionales de todas estas entidades; Senadores de la República, Representantes a la Cámara y secretarios de estas corporaciones; magistrados de las altas Cortes judiciales (Corte Constitucional, Corte Suprema de Justicia, Consejo Superior de la Judicatura, Consejo de Estado, Consejo Nacional Electoral); Contralor General de la República, </w:t>
      </w:r>
      <w:proofErr w:type="spellStart"/>
      <w:r w:rsidRPr="009600E3">
        <w:rPr>
          <w:rFonts w:ascii="Arial" w:hAnsi="Arial" w:cs="Arial"/>
          <w:sz w:val="22"/>
          <w:szCs w:val="22"/>
        </w:rPr>
        <w:t>Vicecontralor</w:t>
      </w:r>
      <w:proofErr w:type="spellEnd"/>
      <w:r w:rsidRPr="009600E3">
        <w:rPr>
          <w:rFonts w:ascii="Arial" w:hAnsi="Arial" w:cs="Arial"/>
          <w:sz w:val="22"/>
          <w:szCs w:val="22"/>
        </w:rPr>
        <w:t>; Procurador General de la Nación, Viceprocurador; Fiscal General de la Nación, Vicefiscal; Registrador Nacional del Estado Civil, Defensor del Pueblo y generales de la República. </w:t>
      </w:r>
    </w:p>
    <w:p w14:paraId="53C4A3A7"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39C7109D"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Parágrafo.</w:t>
      </w:r>
      <w:r w:rsidRPr="009600E3">
        <w:rPr>
          <w:rFonts w:ascii="Arial" w:hAnsi="Arial" w:cs="Arial"/>
          <w:sz w:val="22"/>
          <w:szCs w:val="22"/>
        </w:rPr>
        <w:t> Los secretarios generales de organismos de investigación y fiscalización, entendidos por éstos, el Departamento Administrativo de Seguridad -DAS-, la Fiscalía General de la Nación, la Procuraduría General de la Nación, la Defensoría del Pueblo y la Contraloría General de la República, así como los de la Policía Nacional y de las Fuerzas Armadas, podrán asignar teléfonos celulares a otros funcionarios de manera exclusiva para el desarrollo de actividades especiales de investigación y custodia y sin que dicha asignación pueda tener un carácter permanente. Así mismo, los secretarios generales de las otras entidades mencionadas, o quienes hagan sus veces, podrán asignar teléfonos celulares para la custodia de los funcionarios públicos de la respectiva entidad, cuando así lo recomienden los estudios de seguridad aprobados en cada caso por el Departamento Administrativo de Seguridad. </w:t>
      </w:r>
    </w:p>
    <w:p w14:paraId="65C667E2" w14:textId="2ED55CAF"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44" w:name="ver_1341657"/>
      <w:bookmarkEnd w:id="37"/>
      <w:bookmarkEnd w:id="38"/>
      <w:bookmarkEnd w:id="39"/>
      <w:bookmarkEnd w:id="40"/>
      <w:bookmarkEnd w:id="41"/>
      <w:bookmarkEnd w:id="42"/>
      <w:bookmarkEnd w:id="43"/>
      <w:bookmarkEnd w:id="44"/>
    </w:p>
    <w:p w14:paraId="078C24F8"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16.</w:t>
      </w:r>
      <w:r w:rsidRPr="009600E3">
        <w:rPr>
          <w:rFonts w:ascii="Arial" w:hAnsi="Arial" w:cs="Arial"/>
          <w:sz w:val="22"/>
          <w:szCs w:val="22"/>
        </w:rPr>
        <w:t> Los secretarios generales de los organismos, entidades, entes y personas a que se refiere el presente decreto, o quienes hagan sus veces, tienen la responsabilidad de recoger los teléfonos celulares que puedan estar usando servidores diferentes a los aquí señalados, dentro del término de los quince (15) días siguientes a la entrada en vigencia del presente decreto. </w:t>
      </w:r>
    </w:p>
    <w:p w14:paraId="2672E5BC"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20E41426"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cuanto ello sea contractualmente posible, de manera inmediata, se rescindirán los contratos existentes, o se suspenderán los servicios sobre los teléfonos celulares sobrantes. Los aparatos podrán ser dados de baja o rematados de acuerdo con las disposiciones vigentes. </w:t>
      </w:r>
    </w:p>
    <w:p w14:paraId="4D62836A" w14:textId="47ACF9AA"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45" w:name="ver_30152620"/>
      <w:bookmarkStart w:id="46" w:name="ver_1341658"/>
      <w:bookmarkStart w:id="47" w:name="ver_30152621"/>
      <w:bookmarkStart w:id="48" w:name="ver_30152651"/>
      <w:bookmarkEnd w:id="45"/>
    </w:p>
    <w:p w14:paraId="57585897" w14:textId="12C018A9"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17.</w:t>
      </w:r>
      <w:r w:rsidRPr="009600E3">
        <w:rPr>
          <w:rFonts w:ascii="Arial" w:hAnsi="Arial" w:cs="Arial"/>
          <w:sz w:val="22"/>
          <w:szCs w:val="22"/>
        </w:rPr>
        <w:t xml:space="preserve"> Se podrán asignar vehículos de uso oficial con cargo a los recursos del Tesoro Público exclusivamente a los siguientes servidores: Presidente de la República, Altos Comisionados, Altos Consejeros Presidenciales, secretarios y consejeros del Departamento Administrativo de la Presidencia de la República, ministros del despacho, viceministros, secretarios generales y directores de ministerios; directores, subdirectores, secretarios generales y jefes de unidad de departamentos administrativos y funcionarios que en estos últimos, de acuerdo con sus normas orgánicas, tengan rango de directores de ministerio; embajadores y cónsules generales de Colombia con rango de embajador; superintendentes, superintendentes delegados, y secretarios generales de superintendencias; directores y subdirectores, presidentes y vicepresidentes de establecimientos públicos, unidades administrativas especiales y empresas industriales y comerciales del Estado, así como a los secretarios generales de dichas </w:t>
      </w:r>
      <w:proofErr w:type="spellStart"/>
      <w:r w:rsidRPr="009600E3">
        <w:rPr>
          <w:rFonts w:ascii="Arial" w:hAnsi="Arial" w:cs="Arial"/>
          <w:sz w:val="22"/>
          <w:szCs w:val="22"/>
        </w:rPr>
        <w:t>entidades;rectores</w:t>
      </w:r>
      <w:proofErr w:type="spellEnd"/>
      <w:r w:rsidRPr="009600E3">
        <w:rPr>
          <w:rFonts w:ascii="Arial" w:hAnsi="Arial" w:cs="Arial"/>
          <w:sz w:val="22"/>
          <w:szCs w:val="22"/>
        </w:rPr>
        <w:t>, vicerrectores y secretarios generales de entes universitarios autónomos del nivel nacional; senadores de la República y representantes a la Cámara, y secretarios generales de estas corporaciones; magistrados de las altas cortes (Corte Constitucional, Corte</w:t>
      </w:r>
      <w:r w:rsidR="000A3048">
        <w:rPr>
          <w:rFonts w:ascii="Arial" w:hAnsi="Arial" w:cs="Arial"/>
          <w:sz w:val="22"/>
          <w:szCs w:val="22"/>
        </w:rPr>
        <w:t xml:space="preserve"> </w:t>
      </w:r>
      <w:r w:rsidRPr="009600E3">
        <w:rPr>
          <w:rFonts w:ascii="Arial" w:hAnsi="Arial" w:cs="Arial"/>
          <w:sz w:val="22"/>
          <w:szCs w:val="22"/>
        </w:rPr>
        <w:t>Suprema de Justicia, Consejo de Estado, Consejo</w:t>
      </w:r>
      <w:r w:rsidR="000A3048">
        <w:rPr>
          <w:rFonts w:ascii="Arial" w:hAnsi="Arial" w:cs="Arial"/>
          <w:sz w:val="22"/>
          <w:szCs w:val="22"/>
        </w:rPr>
        <w:t xml:space="preserve"> </w:t>
      </w:r>
      <w:r w:rsidRPr="009600E3">
        <w:rPr>
          <w:rFonts w:ascii="Arial" w:hAnsi="Arial" w:cs="Arial"/>
          <w:sz w:val="22"/>
          <w:szCs w:val="22"/>
        </w:rPr>
        <w:t xml:space="preserve">Superior de la Judicatura, Consejo Nacional Electoral); Contralor </w:t>
      </w:r>
      <w:r w:rsidRPr="009600E3">
        <w:rPr>
          <w:rFonts w:ascii="Arial" w:hAnsi="Arial" w:cs="Arial"/>
          <w:sz w:val="22"/>
          <w:szCs w:val="22"/>
        </w:rPr>
        <w:lastRenderedPageBreak/>
        <w:t>General de la</w:t>
      </w:r>
      <w:r w:rsidR="000A3048">
        <w:rPr>
          <w:rFonts w:ascii="Arial" w:hAnsi="Arial" w:cs="Arial"/>
          <w:sz w:val="22"/>
          <w:szCs w:val="22"/>
        </w:rPr>
        <w:t xml:space="preserve"> </w:t>
      </w:r>
      <w:r w:rsidRPr="009600E3">
        <w:rPr>
          <w:rFonts w:ascii="Arial" w:hAnsi="Arial" w:cs="Arial"/>
          <w:sz w:val="22"/>
          <w:szCs w:val="22"/>
        </w:rPr>
        <w:t xml:space="preserve">República, </w:t>
      </w:r>
      <w:proofErr w:type="spellStart"/>
      <w:r w:rsidRPr="009600E3">
        <w:rPr>
          <w:rFonts w:ascii="Arial" w:hAnsi="Arial" w:cs="Arial"/>
          <w:sz w:val="22"/>
          <w:szCs w:val="22"/>
        </w:rPr>
        <w:t>Vicecontralor</w:t>
      </w:r>
      <w:proofErr w:type="spellEnd"/>
      <w:r w:rsidRPr="009600E3">
        <w:rPr>
          <w:rFonts w:ascii="Arial" w:hAnsi="Arial" w:cs="Arial"/>
          <w:sz w:val="22"/>
          <w:szCs w:val="22"/>
        </w:rPr>
        <w:t xml:space="preserve"> y Secretario General de la Contraloría General de la República; Procurador General de la Nación, Viceprocurador, Secretario General de la Procuraduría General de la Nación; Defensor del Pueblo y Secretario General de la Defensoría del Pueblo; Registrador Nacional del Estado Civil y secretario general de la Registraduría Nacional del Estado Civil; Fiscal General de la Nación, Vicefiscal y Secretario General de la Fiscalía General de la Nación y generales de la República. </w:t>
      </w:r>
    </w:p>
    <w:p w14:paraId="734B85F3"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335EA71A"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las altas cortes, el Congreso de la República, los organismos de investigación, los organismos de fiscalización y control y la organización electoral, se podrá asignar vehículo a quienes ocupen cargos del nivel directivo equivalente a los aquí señalados para los Ministerios. </w:t>
      </w:r>
    </w:p>
    <w:p w14:paraId="513D529B"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3896ED0F"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caso de existir regionales de los organismos señalados en este artículo, podrá asignarse vehículo al servidor que tenga a su cargo la dirección de la respectiva regional. </w:t>
      </w:r>
    </w:p>
    <w:p w14:paraId="11112FBE"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B6156F3"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las Fuerzas Armadas, la Policía Nacional, la Fiscalía General de la Nación, y el Departamento Administrativo de Seguridad -DAS-, la asignación de vehículos se hará de conformidad con sus necesidades operativas y con las normas vigentes. </w:t>
      </w:r>
    </w:p>
    <w:p w14:paraId="40519AB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15A86028"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Parágrafo 1º. En el evento de existir primas o préstamos económicos para adquisición de vehículo en los organismos antes señalados, la asignación de vehículos se sujetará a las normas vigentes que regulan tales primas o préstamos. </w:t>
      </w:r>
    </w:p>
    <w:p w14:paraId="777D8890"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25ECF8B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Parágrafo 2º. Se exceptúa de lo dispuesto en el presente artículo al Departamento Administrativo de la Presidencia de la República, entidad que asignará, por intermedio de su Director, los vehículos de uso oficial a sus funcionarios teniendo en cuenta únicamente las necesidades del servicio y las condiciones para el ejercicio de la función pública. </w:t>
      </w:r>
    </w:p>
    <w:p w14:paraId="3C8B56FB" w14:textId="77777777" w:rsidR="00501C99" w:rsidRPr="009600E3" w:rsidRDefault="00501C99" w:rsidP="00501C99">
      <w:pPr>
        <w:spacing w:after="0" w:line="240" w:lineRule="auto"/>
        <w:jc w:val="both"/>
        <w:rPr>
          <w:rFonts w:ascii="Arial" w:hAnsi="Arial" w:cs="Arial"/>
        </w:rPr>
      </w:pPr>
      <w:bookmarkStart w:id="49" w:name="ver_1341659"/>
      <w:bookmarkEnd w:id="46"/>
      <w:bookmarkEnd w:id="47"/>
      <w:bookmarkEnd w:id="48"/>
      <w:bookmarkEnd w:id="49"/>
    </w:p>
    <w:p w14:paraId="4894A94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18.</w:t>
      </w:r>
      <w:r w:rsidRPr="009600E3">
        <w:rPr>
          <w:rFonts w:ascii="Arial" w:hAnsi="Arial" w:cs="Arial"/>
          <w:sz w:val="22"/>
          <w:szCs w:val="22"/>
        </w:rPr>
        <w:t> En los órganos, organismos, entes y entidades enumeradas en el artículo anterior no se podrá aumentar el número de vehículos existente al momento de la entrada en vigencia de este decreto, salvo expresa autorización del Director General del Presupuesto Nacional. La reposición o cambio de los vehículos existentes a un costo mayor, deberá también contar con dicha autorización. </w:t>
      </w:r>
    </w:p>
    <w:p w14:paraId="0A2E2D29"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28872BC1"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los órganos, organismos, entes y entidades enumeradas en el artículo anterior se constituirá un grupo de vehículos operativos administrado directamente por la dependencia administrativa que tenga a su cargo las actividades en materia de transportes. Su utilización se hará de manera exclusiva y precisa para atender necesidades ocasionales e indispensables propias de las funciones de cada órgano y en ningún caso se podrá destinar uno o más vehículos al uso habitual y permanente de un servidor público distintos de los mencionados en el artículo anterior. </w:t>
      </w:r>
    </w:p>
    <w:p w14:paraId="64A644E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9AD6DAA"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Será responsabilidad de los secretarios generales, o quienes hagan sus veces, observar el cabal cumplimiento de esta disposición. De igual modo, será responsabilidad de cada conductor de vehículo, de acuerdo con las obligaciones de todo servidor público, poner en conocimiento de aquél la utilización de vehículo operativos no ajustada a estos parámetros. </w:t>
      </w:r>
    </w:p>
    <w:p w14:paraId="6DD1BD94" w14:textId="5297FC61" w:rsidR="00501C99" w:rsidRPr="009600E3" w:rsidRDefault="00501C99" w:rsidP="009600E3">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50" w:name="ver_1341660"/>
      <w:bookmarkEnd w:id="50"/>
    </w:p>
    <w:p w14:paraId="2262D3F9"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19.</w:t>
      </w:r>
      <w:r w:rsidRPr="009600E3">
        <w:rPr>
          <w:rFonts w:ascii="Arial" w:hAnsi="Arial" w:cs="Arial"/>
          <w:sz w:val="22"/>
          <w:szCs w:val="22"/>
        </w:rPr>
        <w:t xml:space="preserve"> Dentro de los dos meses siguientes a la vigencia del presente decreto, los secretarios generales de los órganos, organismos, entes y entidades enumeradas en el artículo 1°, o quienes hagan sus veces, elaborarán un estudio detallado sobre el número de vehículos sobrantes, una vez cubiertas las necesidades de protección y operativas de cada entidad. El estudio contemplará, de acuerdo con el número de vehículos sobrantes, las posibilidades de traspaso a otras entidades </w:t>
      </w:r>
      <w:r w:rsidRPr="009600E3">
        <w:rPr>
          <w:rFonts w:ascii="Arial" w:hAnsi="Arial" w:cs="Arial"/>
          <w:sz w:val="22"/>
          <w:szCs w:val="22"/>
        </w:rPr>
        <w:lastRenderedPageBreak/>
        <w:t>y la venta o remate de los vehículos; el programa se deberá poner en práctica una vez sea aprobado por el respectivo representante legal. </w:t>
      </w:r>
    </w:p>
    <w:p w14:paraId="4E2EC1D6" w14:textId="2208FD0B" w:rsidR="00501C99" w:rsidRPr="009600E3" w:rsidRDefault="00501C99" w:rsidP="009600E3">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51" w:name="ver_30152635"/>
      <w:bookmarkStart w:id="52" w:name="ver_1341661"/>
      <w:bookmarkEnd w:id="51"/>
    </w:p>
    <w:p w14:paraId="72CF1039"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20.</w:t>
      </w:r>
      <w:r w:rsidRPr="009600E3">
        <w:rPr>
          <w:rFonts w:ascii="Arial" w:hAnsi="Arial" w:cs="Arial"/>
          <w:sz w:val="22"/>
          <w:szCs w:val="22"/>
        </w:rPr>
        <w:t> No se podrán iniciar trámites de licitación, contrataciones directas, o celebración de contratos, cuyo objeto sea la realización de cualquier trabajo material sobre bienes inmuebles, que implique mejoras útiles o suntuarias, tales como el embellecimiento, la ornamentación o la instalación o adecuación de acabados estéticos. </w:t>
      </w:r>
    </w:p>
    <w:p w14:paraId="0CAE409D"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13F17BB6"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consecuencia, sólo se podrán adelantar trámites de licitación y contrataciones para la realización de trabajos materiales sobre bienes inmuebles, cuando el contrato constituya una mejora necesaria para mantener la estructura física de dichos bienes. </w:t>
      </w:r>
    </w:p>
    <w:p w14:paraId="3223C33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210412FB"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Parágrafo.</w:t>
      </w:r>
      <w:r w:rsidRPr="009600E3">
        <w:rPr>
          <w:rFonts w:ascii="Arial" w:hAnsi="Arial" w:cs="Arial"/>
          <w:sz w:val="22"/>
          <w:szCs w:val="22"/>
        </w:rPr>
        <w:t> El Ministerio de Relaciones Exteriores quedará exento de la aplicación del presente artículo, cuando se trate de la realización de obras que tiendan a la conservación, mantenimiento y/o adecuación de los salones de estado y de las oficinas, ya sea que se trate de inmuebles de propiedad del Fondo Rotatorio del Ministerio de Relaciones Exteriores o de inmuebles tomados en arrendamiento. </w:t>
      </w:r>
    </w:p>
    <w:p w14:paraId="3458FB67"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4B17E8D"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Así mismo, quedará exento de la aplicación del presente artículo, cuando se trate de obras que tiendan a la conservación, mantenimiento y/o adecuación de los bienes inmuebles tomados en arrendamiento para el funcionamiento de las oficinas y residencias asignadas a las diferentes Misiones Diplomáticas y Oficinas Consulares de Colombia en el exterior. </w:t>
      </w:r>
    </w:p>
    <w:p w14:paraId="3850C2C9" w14:textId="77777777" w:rsidR="00501C99" w:rsidRPr="009600E3" w:rsidRDefault="00501C99" w:rsidP="00501C99">
      <w:pPr>
        <w:pStyle w:val="NormalWeb"/>
        <w:spacing w:before="0" w:beforeAutospacing="0" w:after="0" w:afterAutospacing="0"/>
        <w:jc w:val="both"/>
        <w:rPr>
          <w:rFonts w:ascii="Arial" w:hAnsi="Arial" w:cs="Arial"/>
          <w:sz w:val="22"/>
          <w:szCs w:val="22"/>
        </w:rPr>
      </w:pPr>
    </w:p>
    <w:p w14:paraId="17F9538A" w14:textId="77777777" w:rsidR="00501C99" w:rsidRPr="009600E3" w:rsidRDefault="00501C99" w:rsidP="00501C99">
      <w:pPr>
        <w:pStyle w:val="NormalWeb"/>
        <w:spacing w:before="0" w:beforeAutospacing="0" w:after="0" w:afterAutospacing="0"/>
        <w:jc w:val="both"/>
        <w:rPr>
          <w:rFonts w:ascii="Arial" w:hAnsi="Arial" w:cs="Arial"/>
          <w:sz w:val="22"/>
          <w:szCs w:val="22"/>
        </w:rPr>
      </w:pPr>
      <w:bookmarkStart w:id="53" w:name="ver_1341662"/>
      <w:bookmarkEnd w:id="52"/>
      <w:r w:rsidRPr="009600E3">
        <w:rPr>
          <w:rStyle w:val="Textoennegrita"/>
          <w:rFonts w:ascii="Arial" w:hAnsi="Arial" w:cs="Arial"/>
          <w:b w:val="0"/>
          <w:bCs w:val="0"/>
          <w:sz w:val="22"/>
          <w:szCs w:val="22"/>
        </w:rPr>
        <w:t>Artículo 21.</w:t>
      </w:r>
      <w:r w:rsidRPr="009600E3">
        <w:rPr>
          <w:rFonts w:ascii="Arial" w:hAnsi="Arial" w:cs="Arial"/>
          <w:sz w:val="22"/>
          <w:szCs w:val="22"/>
        </w:rPr>
        <w:t> Sólo se podrán iniciar trámites para la contratación o renovación de contratos de suministro, mantenimiento o reparación de bienes muebles y para la adquisición de bienes inmuebles, cuando el Secretario General, o quien haga sus veces, determine en forma motivada que la contratación es indispensable para el normal funcionamiento de la entidad o para la prestación de los servicios a su cargo. </w:t>
      </w:r>
    </w:p>
    <w:p w14:paraId="53069040" w14:textId="77777777" w:rsidR="00501C99" w:rsidRPr="009600E3" w:rsidRDefault="00501C99" w:rsidP="00501C99">
      <w:pPr>
        <w:pStyle w:val="NormalWeb"/>
        <w:spacing w:before="0" w:beforeAutospacing="0" w:after="0" w:afterAutospacing="0"/>
        <w:jc w:val="both"/>
        <w:rPr>
          <w:rFonts w:ascii="Arial" w:hAnsi="Arial" w:cs="Arial"/>
          <w:sz w:val="22"/>
          <w:szCs w:val="22"/>
        </w:rPr>
      </w:pPr>
    </w:p>
    <w:bookmarkEnd w:id="53"/>
    <w:p w14:paraId="5581A5E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22.</w:t>
      </w:r>
      <w:r w:rsidRPr="009600E3">
        <w:rPr>
          <w:rFonts w:ascii="Arial" w:hAnsi="Arial" w:cs="Arial"/>
          <w:sz w:val="22"/>
          <w:szCs w:val="22"/>
        </w:rPr>
        <w:t> Las oficinas de Control Interno y Control Interno Disciplinario verificarán en forma mensual el cumplimiento de estas disposiciones, como de las demás de restricción de gasto que continúan vigentes; estas dependencias prepararán y enviarán al representante legal de las entidades, entes u organismos respectivos, y a los organismos de fiscalización, un informe mensual, que determine el grado de cumplimiento de estas disposiciones y las acciones que se deben tomar al respecto. </w:t>
      </w:r>
    </w:p>
    <w:p w14:paraId="69C5AF3B"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5FE06C5C"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En todo caso, será responsabilidad de los secretarios generales, o quienes hagan sus veces, velar por el estricto cumplimiento de las disposiciones aquí contenidas. </w:t>
      </w:r>
    </w:p>
    <w:p w14:paraId="72B32156" w14:textId="6317CF8E" w:rsidR="00501C99" w:rsidRPr="009600E3" w:rsidRDefault="00501C99" w:rsidP="009600E3">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bookmarkStart w:id="54" w:name="ver_1341664"/>
      <w:bookmarkEnd w:id="54"/>
    </w:p>
    <w:p w14:paraId="5D12DD72" w14:textId="77777777"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Style w:val="Textoennegrita"/>
          <w:rFonts w:ascii="Arial" w:hAnsi="Arial" w:cs="Arial"/>
          <w:b w:val="0"/>
          <w:bCs w:val="0"/>
          <w:sz w:val="22"/>
          <w:szCs w:val="22"/>
        </w:rPr>
        <w:t>Artículo 23.</w:t>
      </w:r>
      <w:r w:rsidRPr="009600E3">
        <w:rPr>
          <w:rFonts w:ascii="Arial" w:hAnsi="Arial" w:cs="Arial"/>
          <w:sz w:val="22"/>
          <w:szCs w:val="22"/>
        </w:rPr>
        <w:t> El presente decreto rige a partir de la fecha de su publicación y deroga los Decretos 2568 de 1994, 707 de 1992, los artículos 8°, 9° y 13 del Decreto 26 de 1998, y las demás disposiciones que le sean contrarias. </w:t>
      </w:r>
    </w:p>
    <w:p w14:paraId="26761337" w14:textId="6B5E4598" w:rsidR="00501C99" w:rsidRPr="009600E3" w:rsidRDefault="00501C99" w:rsidP="00501C99">
      <w:pPr>
        <w:pStyle w:val="NormalWeb"/>
        <w:spacing w:before="0" w:beforeAutospacing="0" w:after="0" w:afterAutospacing="0"/>
        <w:jc w:val="both"/>
        <w:rPr>
          <w:rFonts w:ascii="Arial" w:hAnsi="Arial" w:cs="Arial"/>
          <w:sz w:val="22"/>
          <w:szCs w:val="22"/>
        </w:rPr>
      </w:pPr>
      <w:r w:rsidRPr="009600E3">
        <w:rPr>
          <w:rFonts w:ascii="Arial" w:hAnsi="Arial" w:cs="Arial"/>
          <w:sz w:val="22"/>
          <w:szCs w:val="22"/>
        </w:rPr>
        <w:t> </w:t>
      </w:r>
    </w:p>
    <w:p w14:paraId="1ACBD9A8" w14:textId="50C9C2A8" w:rsidR="00501C99" w:rsidRPr="009600E3" w:rsidRDefault="00501C99" w:rsidP="009600E3">
      <w:pPr>
        <w:pStyle w:val="NormalWeb"/>
        <w:spacing w:before="0" w:beforeAutospacing="0" w:after="0" w:afterAutospacing="0"/>
        <w:jc w:val="center"/>
        <w:rPr>
          <w:rFonts w:ascii="Arial" w:hAnsi="Arial" w:cs="Arial"/>
          <w:b/>
          <w:bCs/>
          <w:sz w:val="22"/>
          <w:szCs w:val="22"/>
        </w:rPr>
      </w:pPr>
      <w:bookmarkStart w:id="55" w:name="ver_1341665"/>
      <w:bookmarkEnd w:id="55"/>
      <w:r w:rsidRPr="009600E3">
        <w:rPr>
          <w:rFonts w:ascii="Arial" w:hAnsi="Arial" w:cs="Arial"/>
          <w:b/>
          <w:bCs/>
          <w:sz w:val="22"/>
          <w:szCs w:val="22"/>
        </w:rPr>
        <w:t>Publíquese y cúmplase.</w:t>
      </w:r>
    </w:p>
    <w:p w14:paraId="0B617FFE" w14:textId="40E9D5A1" w:rsidR="00501C99" w:rsidRPr="009600E3" w:rsidRDefault="00501C99" w:rsidP="009600E3">
      <w:pPr>
        <w:pStyle w:val="NormalWeb"/>
        <w:spacing w:before="0" w:beforeAutospacing="0" w:after="0" w:afterAutospacing="0"/>
        <w:jc w:val="center"/>
        <w:rPr>
          <w:rFonts w:ascii="Arial" w:hAnsi="Arial" w:cs="Arial"/>
          <w:b/>
          <w:bCs/>
          <w:sz w:val="22"/>
          <w:szCs w:val="22"/>
        </w:rPr>
      </w:pPr>
      <w:r w:rsidRPr="009600E3">
        <w:rPr>
          <w:rFonts w:ascii="Arial" w:hAnsi="Arial" w:cs="Arial"/>
          <w:b/>
          <w:bCs/>
          <w:sz w:val="22"/>
          <w:szCs w:val="22"/>
        </w:rPr>
        <w:t>Dado en Santa Fe de Bogotá, D. C., a 21 de agosto de 1998.</w:t>
      </w:r>
    </w:p>
    <w:p w14:paraId="30048F1F" w14:textId="76E29530" w:rsidR="00501C99" w:rsidRPr="009600E3" w:rsidRDefault="00501C99" w:rsidP="009600E3">
      <w:pPr>
        <w:pStyle w:val="NormalWeb"/>
        <w:spacing w:before="0" w:beforeAutospacing="0" w:after="0" w:afterAutospacing="0"/>
        <w:jc w:val="center"/>
        <w:rPr>
          <w:rFonts w:ascii="Arial" w:hAnsi="Arial" w:cs="Arial"/>
          <w:b/>
          <w:bCs/>
          <w:sz w:val="22"/>
          <w:szCs w:val="22"/>
        </w:rPr>
      </w:pPr>
      <w:r w:rsidRPr="009600E3">
        <w:rPr>
          <w:rStyle w:val="Textoennegrita"/>
          <w:rFonts w:ascii="Arial" w:hAnsi="Arial" w:cs="Arial"/>
          <w:sz w:val="22"/>
          <w:szCs w:val="22"/>
        </w:rPr>
        <w:t>ANDRES PASTRANA ARANGO</w:t>
      </w:r>
    </w:p>
    <w:p w14:paraId="4BAF3E24" w14:textId="3B24F546" w:rsidR="00501C99" w:rsidRPr="009600E3" w:rsidRDefault="00501C99" w:rsidP="009600E3">
      <w:pPr>
        <w:pStyle w:val="NormalWeb"/>
        <w:spacing w:before="0" w:beforeAutospacing="0" w:after="0" w:afterAutospacing="0"/>
        <w:jc w:val="center"/>
        <w:rPr>
          <w:rFonts w:ascii="Arial" w:hAnsi="Arial" w:cs="Arial"/>
          <w:b/>
          <w:bCs/>
          <w:sz w:val="22"/>
          <w:szCs w:val="22"/>
        </w:rPr>
      </w:pPr>
      <w:r w:rsidRPr="009600E3">
        <w:rPr>
          <w:rFonts w:ascii="Arial" w:hAnsi="Arial" w:cs="Arial"/>
          <w:b/>
          <w:bCs/>
          <w:sz w:val="22"/>
          <w:szCs w:val="22"/>
        </w:rPr>
        <w:t>El Ministro de Hacienda y Crédito Público,</w:t>
      </w:r>
    </w:p>
    <w:p w14:paraId="385BFAC6" w14:textId="6E07D93C" w:rsidR="00501C99" w:rsidRPr="009600E3" w:rsidRDefault="00501C99" w:rsidP="009600E3">
      <w:pPr>
        <w:pStyle w:val="NormalWeb"/>
        <w:spacing w:before="0" w:beforeAutospacing="0" w:after="0" w:afterAutospacing="0"/>
        <w:jc w:val="center"/>
        <w:rPr>
          <w:rFonts w:ascii="Arial" w:hAnsi="Arial" w:cs="Arial"/>
          <w:b/>
          <w:bCs/>
          <w:sz w:val="22"/>
          <w:szCs w:val="22"/>
        </w:rPr>
      </w:pPr>
      <w:r w:rsidRPr="009600E3">
        <w:rPr>
          <w:rStyle w:val="Textoennegrita"/>
          <w:rFonts w:ascii="Arial" w:hAnsi="Arial" w:cs="Arial"/>
          <w:sz w:val="22"/>
          <w:szCs w:val="22"/>
        </w:rPr>
        <w:t>Juan Camilo Restrepo.</w:t>
      </w:r>
    </w:p>
    <w:p w14:paraId="3BB04569" w14:textId="3E25C9B5" w:rsidR="00501C99" w:rsidRPr="009600E3" w:rsidRDefault="00501C99" w:rsidP="009600E3">
      <w:pPr>
        <w:pStyle w:val="NormalWeb"/>
        <w:spacing w:before="0" w:beforeAutospacing="0" w:after="0" w:afterAutospacing="0"/>
        <w:jc w:val="center"/>
        <w:rPr>
          <w:rFonts w:ascii="Arial" w:hAnsi="Arial" w:cs="Arial"/>
          <w:sz w:val="22"/>
          <w:szCs w:val="22"/>
        </w:rPr>
      </w:pPr>
    </w:p>
    <w:p w14:paraId="7804AE12" w14:textId="77777777" w:rsidR="00C12E94" w:rsidRPr="009600E3" w:rsidRDefault="00C12E94" w:rsidP="00501C99">
      <w:pPr>
        <w:spacing w:after="0" w:line="240" w:lineRule="auto"/>
        <w:jc w:val="both"/>
        <w:rPr>
          <w:rFonts w:ascii="Arial" w:hAnsi="Arial" w:cs="Arial"/>
        </w:rPr>
      </w:pPr>
    </w:p>
    <w:sectPr w:rsidR="00C12E94" w:rsidRPr="009600E3"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41D"/>
    <w:rsid w:val="0009608D"/>
    <w:rsid w:val="000A3048"/>
    <w:rsid w:val="000F27A4"/>
    <w:rsid w:val="0016141D"/>
    <w:rsid w:val="00187968"/>
    <w:rsid w:val="00197C3D"/>
    <w:rsid w:val="00274F51"/>
    <w:rsid w:val="002E61C6"/>
    <w:rsid w:val="00364A78"/>
    <w:rsid w:val="003E60E5"/>
    <w:rsid w:val="003F5DD8"/>
    <w:rsid w:val="00501C99"/>
    <w:rsid w:val="00502542"/>
    <w:rsid w:val="006A55D6"/>
    <w:rsid w:val="006C17A8"/>
    <w:rsid w:val="007421E2"/>
    <w:rsid w:val="008077BA"/>
    <w:rsid w:val="00941DED"/>
    <w:rsid w:val="009600E3"/>
    <w:rsid w:val="009B5265"/>
    <w:rsid w:val="00A76441"/>
    <w:rsid w:val="00B80407"/>
    <w:rsid w:val="00C12E94"/>
    <w:rsid w:val="00D95C35"/>
    <w:rsid w:val="00DF0D4A"/>
    <w:rsid w:val="00DF1A90"/>
    <w:rsid w:val="00E50A12"/>
    <w:rsid w:val="00F67479"/>
    <w:rsid w:val="00FE798F"/>
    <w:rsid w:val="1C5F296C"/>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C8055"/>
  <w15:chartTrackingRefBased/>
  <w15:docId w15:val="{0CB88CD8-8BCA-482C-B4F4-3DECDDF21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6141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16141D"/>
  </w:style>
  <w:style w:type="character" w:styleId="Hipervnculo">
    <w:name w:val="Hyperlink"/>
    <w:basedOn w:val="Fuentedeprrafopredeter"/>
    <w:uiPriority w:val="99"/>
    <w:unhideWhenUsed/>
    <w:rsid w:val="0016141D"/>
    <w:rPr>
      <w:color w:val="0000FF"/>
      <w:u w:val="single"/>
    </w:rPr>
  </w:style>
  <w:style w:type="character" w:styleId="Textoennegrita">
    <w:name w:val="Strong"/>
    <w:basedOn w:val="Fuentedeprrafopredeter"/>
    <w:uiPriority w:val="22"/>
    <w:qFormat/>
    <w:rsid w:val="0016141D"/>
    <w:rPr>
      <w:b/>
      <w:bCs/>
    </w:rPr>
  </w:style>
  <w:style w:type="paragraph" w:customStyle="1" w:styleId="parrafo-division">
    <w:name w:val="parrafo-division"/>
    <w:basedOn w:val="Normal"/>
    <w:rsid w:val="00C12E9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501C99"/>
    <w:rPr>
      <w:i/>
      <w:iCs/>
    </w:rPr>
  </w:style>
  <w:style w:type="paragraph" w:customStyle="1" w:styleId="xmsonormal">
    <w:name w:val="x_msonormal"/>
    <w:basedOn w:val="Normal"/>
    <w:rsid w:val="00E50A12"/>
    <w:pPr>
      <w:spacing w:after="0" w:line="240" w:lineRule="auto"/>
    </w:pPr>
    <w:rPr>
      <w:rFonts w:ascii="Calibri" w:hAnsi="Calibri" w:cs="Times New Roman"/>
      <w:lang w:eastAsia="es-CO"/>
    </w:rPr>
  </w:style>
  <w:style w:type="character" w:customStyle="1" w:styleId="normaltextrun">
    <w:name w:val="normaltextrun"/>
    <w:basedOn w:val="Fuentedeprrafopredeter"/>
    <w:rsid w:val="00E50A12"/>
  </w:style>
  <w:style w:type="character" w:customStyle="1" w:styleId="eop">
    <w:name w:val="eop"/>
    <w:basedOn w:val="Fuentedeprrafopredeter"/>
    <w:rsid w:val="00E50A12"/>
  </w:style>
  <w:style w:type="character" w:styleId="Mencinsinresolver">
    <w:name w:val="Unresolved Mention"/>
    <w:basedOn w:val="Fuentedeprrafopredeter"/>
    <w:uiPriority w:val="99"/>
    <w:semiHidden/>
    <w:unhideWhenUsed/>
    <w:rsid w:val="007421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955185">
      <w:bodyDiv w:val="1"/>
      <w:marLeft w:val="0"/>
      <w:marRight w:val="0"/>
      <w:marTop w:val="0"/>
      <w:marBottom w:val="0"/>
      <w:divBdr>
        <w:top w:val="none" w:sz="0" w:space="0" w:color="auto"/>
        <w:left w:val="none" w:sz="0" w:space="0" w:color="auto"/>
        <w:bottom w:val="none" w:sz="0" w:space="0" w:color="auto"/>
        <w:right w:val="none" w:sz="0" w:space="0" w:color="auto"/>
      </w:divBdr>
      <w:divsChild>
        <w:div w:id="1599674186">
          <w:marLeft w:val="0"/>
          <w:marRight w:val="0"/>
          <w:marTop w:val="0"/>
          <w:marBottom w:val="0"/>
          <w:divBdr>
            <w:top w:val="none" w:sz="0" w:space="0" w:color="auto"/>
            <w:left w:val="none" w:sz="0" w:space="0" w:color="auto"/>
            <w:bottom w:val="none" w:sz="0" w:space="0" w:color="auto"/>
            <w:right w:val="none" w:sz="0" w:space="0" w:color="auto"/>
          </w:divBdr>
        </w:div>
        <w:div w:id="1869873876">
          <w:marLeft w:val="0"/>
          <w:marRight w:val="0"/>
          <w:marTop w:val="0"/>
          <w:marBottom w:val="0"/>
          <w:divBdr>
            <w:top w:val="none" w:sz="0" w:space="0" w:color="auto"/>
            <w:left w:val="none" w:sz="0" w:space="0" w:color="auto"/>
            <w:bottom w:val="none" w:sz="0" w:space="0" w:color="auto"/>
            <w:right w:val="none" w:sz="0" w:space="0" w:color="auto"/>
          </w:divBdr>
        </w:div>
      </w:divsChild>
    </w:div>
    <w:div w:id="1005980330">
      <w:bodyDiv w:val="1"/>
      <w:marLeft w:val="0"/>
      <w:marRight w:val="0"/>
      <w:marTop w:val="0"/>
      <w:marBottom w:val="0"/>
      <w:divBdr>
        <w:top w:val="none" w:sz="0" w:space="0" w:color="auto"/>
        <w:left w:val="none" w:sz="0" w:space="0" w:color="auto"/>
        <w:bottom w:val="none" w:sz="0" w:space="0" w:color="auto"/>
        <w:right w:val="none" w:sz="0" w:space="0" w:color="auto"/>
      </w:divBdr>
      <w:divsChild>
        <w:div w:id="1994261949">
          <w:marLeft w:val="0"/>
          <w:marRight w:val="0"/>
          <w:marTop w:val="0"/>
          <w:marBottom w:val="0"/>
          <w:divBdr>
            <w:top w:val="none" w:sz="0" w:space="0" w:color="auto"/>
            <w:left w:val="none" w:sz="0" w:space="0" w:color="auto"/>
            <w:bottom w:val="none" w:sz="0" w:space="0" w:color="auto"/>
            <w:right w:val="none" w:sz="0" w:space="0" w:color="auto"/>
          </w:divBdr>
          <w:divsChild>
            <w:div w:id="330568121">
              <w:marLeft w:val="0"/>
              <w:marRight w:val="0"/>
              <w:marTop w:val="0"/>
              <w:marBottom w:val="0"/>
              <w:divBdr>
                <w:top w:val="none" w:sz="0" w:space="0" w:color="auto"/>
                <w:left w:val="none" w:sz="0" w:space="0" w:color="auto"/>
                <w:bottom w:val="none" w:sz="0" w:space="0" w:color="auto"/>
                <w:right w:val="none" w:sz="0" w:space="0" w:color="auto"/>
              </w:divBdr>
            </w:div>
          </w:divsChild>
        </w:div>
        <w:div w:id="1665620613">
          <w:marLeft w:val="0"/>
          <w:marRight w:val="0"/>
          <w:marTop w:val="0"/>
          <w:marBottom w:val="0"/>
          <w:divBdr>
            <w:top w:val="none" w:sz="0" w:space="0" w:color="auto"/>
            <w:left w:val="none" w:sz="0" w:space="0" w:color="auto"/>
            <w:bottom w:val="none" w:sz="0" w:space="0" w:color="auto"/>
            <w:right w:val="none" w:sz="0" w:space="0" w:color="auto"/>
          </w:divBdr>
          <w:divsChild>
            <w:div w:id="742727308">
              <w:marLeft w:val="0"/>
              <w:marRight w:val="0"/>
              <w:marTop w:val="0"/>
              <w:marBottom w:val="0"/>
              <w:divBdr>
                <w:top w:val="none" w:sz="0" w:space="0" w:color="auto"/>
                <w:left w:val="none" w:sz="0" w:space="0" w:color="auto"/>
                <w:bottom w:val="none" w:sz="0" w:space="0" w:color="auto"/>
                <w:right w:val="none" w:sz="0" w:space="0" w:color="auto"/>
              </w:divBdr>
            </w:div>
          </w:divsChild>
        </w:div>
        <w:div w:id="1214275766">
          <w:marLeft w:val="0"/>
          <w:marRight w:val="0"/>
          <w:marTop w:val="300"/>
          <w:marBottom w:val="300"/>
          <w:divBdr>
            <w:top w:val="none" w:sz="0" w:space="0" w:color="auto"/>
            <w:left w:val="none" w:sz="0" w:space="0" w:color="auto"/>
            <w:bottom w:val="none" w:sz="0" w:space="0" w:color="auto"/>
            <w:right w:val="none" w:sz="0" w:space="0" w:color="auto"/>
          </w:divBdr>
        </w:div>
        <w:div w:id="2124958473">
          <w:marLeft w:val="0"/>
          <w:marRight w:val="0"/>
          <w:marTop w:val="0"/>
          <w:marBottom w:val="0"/>
          <w:divBdr>
            <w:top w:val="none" w:sz="0" w:space="0" w:color="auto"/>
            <w:left w:val="none" w:sz="0" w:space="0" w:color="auto"/>
            <w:bottom w:val="none" w:sz="0" w:space="0" w:color="auto"/>
            <w:right w:val="none" w:sz="0" w:space="0" w:color="auto"/>
          </w:divBdr>
          <w:divsChild>
            <w:div w:id="135306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962643">
      <w:bodyDiv w:val="1"/>
      <w:marLeft w:val="0"/>
      <w:marRight w:val="0"/>
      <w:marTop w:val="0"/>
      <w:marBottom w:val="0"/>
      <w:divBdr>
        <w:top w:val="none" w:sz="0" w:space="0" w:color="auto"/>
        <w:left w:val="none" w:sz="0" w:space="0" w:color="auto"/>
        <w:bottom w:val="none" w:sz="0" w:space="0" w:color="auto"/>
        <w:right w:val="none" w:sz="0" w:space="0" w:color="auto"/>
      </w:divBdr>
      <w:divsChild>
        <w:div w:id="150801496">
          <w:marLeft w:val="0"/>
          <w:marRight w:val="0"/>
          <w:marTop w:val="0"/>
          <w:marBottom w:val="0"/>
          <w:divBdr>
            <w:top w:val="none" w:sz="0" w:space="0" w:color="auto"/>
            <w:left w:val="none" w:sz="0" w:space="0" w:color="auto"/>
            <w:bottom w:val="none" w:sz="0" w:space="0" w:color="auto"/>
            <w:right w:val="none" w:sz="0" w:space="0" w:color="auto"/>
          </w:divBdr>
        </w:div>
        <w:div w:id="656958623">
          <w:marLeft w:val="0"/>
          <w:marRight w:val="0"/>
          <w:marTop w:val="0"/>
          <w:marBottom w:val="150"/>
          <w:divBdr>
            <w:top w:val="none" w:sz="0" w:space="0" w:color="auto"/>
            <w:left w:val="none" w:sz="0" w:space="0" w:color="auto"/>
            <w:bottom w:val="none" w:sz="0" w:space="0" w:color="auto"/>
            <w:right w:val="none" w:sz="0" w:space="0" w:color="auto"/>
          </w:divBdr>
        </w:div>
        <w:div w:id="1610968351">
          <w:marLeft w:val="0"/>
          <w:marRight w:val="0"/>
          <w:marTop w:val="0"/>
          <w:marBottom w:val="150"/>
          <w:divBdr>
            <w:top w:val="none" w:sz="0" w:space="0" w:color="auto"/>
            <w:left w:val="none" w:sz="0" w:space="0" w:color="auto"/>
            <w:bottom w:val="none" w:sz="0" w:space="0" w:color="auto"/>
            <w:right w:val="none" w:sz="0" w:space="0" w:color="auto"/>
          </w:divBdr>
        </w:div>
        <w:div w:id="2105412688">
          <w:marLeft w:val="0"/>
          <w:marRight w:val="0"/>
          <w:marTop w:val="0"/>
          <w:marBottom w:val="0"/>
          <w:divBdr>
            <w:top w:val="none" w:sz="0" w:space="0" w:color="auto"/>
            <w:left w:val="none" w:sz="0" w:space="0" w:color="auto"/>
            <w:bottom w:val="none" w:sz="0" w:space="0" w:color="auto"/>
            <w:right w:val="none" w:sz="0" w:space="0" w:color="auto"/>
          </w:divBdr>
          <w:divsChild>
            <w:div w:id="18409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784">
      <w:bodyDiv w:val="1"/>
      <w:marLeft w:val="0"/>
      <w:marRight w:val="0"/>
      <w:marTop w:val="0"/>
      <w:marBottom w:val="0"/>
      <w:divBdr>
        <w:top w:val="none" w:sz="0" w:space="0" w:color="auto"/>
        <w:left w:val="none" w:sz="0" w:space="0" w:color="auto"/>
        <w:bottom w:val="none" w:sz="0" w:space="0" w:color="auto"/>
        <w:right w:val="none" w:sz="0" w:space="0" w:color="auto"/>
      </w:divBdr>
    </w:div>
    <w:div w:id="2067485968">
      <w:bodyDiv w:val="1"/>
      <w:marLeft w:val="0"/>
      <w:marRight w:val="0"/>
      <w:marTop w:val="0"/>
      <w:marBottom w:val="0"/>
      <w:divBdr>
        <w:top w:val="none" w:sz="0" w:space="0" w:color="auto"/>
        <w:left w:val="none" w:sz="0" w:space="0" w:color="auto"/>
        <w:bottom w:val="none" w:sz="0" w:space="0" w:color="auto"/>
        <w:right w:val="none" w:sz="0" w:space="0" w:color="auto"/>
      </w:divBdr>
      <w:divsChild>
        <w:div w:id="2131119216">
          <w:marLeft w:val="0"/>
          <w:marRight w:val="0"/>
          <w:marTop w:val="0"/>
          <w:marBottom w:val="0"/>
          <w:divBdr>
            <w:top w:val="none" w:sz="0" w:space="0" w:color="auto"/>
            <w:left w:val="none" w:sz="0" w:space="0" w:color="auto"/>
            <w:bottom w:val="none" w:sz="0" w:space="0" w:color="auto"/>
            <w:right w:val="none" w:sz="0" w:space="0" w:color="auto"/>
          </w:divBdr>
          <w:divsChild>
            <w:div w:id="1230312749">
              <w:marLeft w:val="0"/>
              <w:marRight w:val="0"/>
              <w:marTop w:val="0"/>
              <w:marBottom w:val="0"/>
              <w:divBdr>
                <w:top w:val="none" w:sz="0" w:space="0" w:color="auto"/>
                <w:left w:val="none" w:sz="0" w:space="0" w:color="auto"/>
                <w:bottom w:val="none" w:sz="0" w:space="0" w:color="auto"/>
                <w:right w:val="none" w:sz="0" w:space="0" w:color="auto"/>
              </w:divBdr>
            </w:div>
          </w:divsChild>
        </w:div>
        <w:div w:id="1587836154">
          <w:marLeft w:val="0"/>
          <w:marRight w:val="0"/>
          <w:marTop w:val="0"/>
          <w:marBottom w:val="0"/>
          <w:divBdr>
            <w:top w:val="none" w:sz="0" w:space="0" w:color="auto"/>
            <w:left w:val="none" w:sz="0" w:space="0" w:color="auto"/>
            <w:bottom w:val="none" w:sz="0" w:space="0" w:color="auto"/>
            <w:right w:val="none" w:sz="0" w:space="0" w:color="auto"/>
          </w:divBdr>
          <w:divsChild>
            <w:div w:id="60256370">
              <w:marLeft w:val="0"/>
              <w:marRight w:val="0"/>
              <w:marTop w:val="0"/>
              <w:marBottom w:val="0"/>
              <w:divBdr>
                <w:top w:val="none" w:sz="0" w:space="0" w:color="auto"/>
                <w:left w:val="none" w:sz="0" w:space="0" w:color="auto"/>
                <w:bottom w:val="none" w:sz="0" w:space="0" w:color="auto"/>
                <w:right w:val="none" w:sz="0" w:space="0" w:color="auto"/>
              </w:divBdr>
            </w:div>
          </w:divsChild>
        </w:div>
        <w:div w:id="1191869847">
          <w:marLeft w:val="0"/>
          <w:marRight w:val="0"/>
          <w:marTop w:val="300"/>
          <w:marBottom w:val="300"/>
          <w:divBdr>
            <w:top w:val="none" w:sz="0" w:space="0" w:color="auto"/>
            <w:left w:val="none" w:sz="0" w:space="0" w:color="auto"/>
            <w:bottom w:val="none" w:sz="0" w:space="0" w:color="auto"/>
            <w:right w:val="none" w:sz="0" w:space="0" w:color="auto"/>
          </w:divBdr>
        </w:div>
        <w:div w:id="999889210">
          <w:marLeft w:val="0"/>
          <w:marRight w:val="0"/>
          <w:marTop w:val="0"/>
          <w:marBottom w:val="0"/>
          <w:divBdr>
            <w:top w:val="none" w:sz="0" w:space="0" w:color="auto"/>
            <w:left w:val="none" w:sz="0" w:space="0" w:color="auto"/>
            <w:bottom w:val="none" w:sz="0" w:space="0" w:color="auto"/>
            <w:right w:val="none" w:sz="0" w:space="0" w:color="auto"/>
          </w:divBdr>
          <w:divsChild>
            <w:div w:id="723988128">
              <w:marLeft w:val="0"/>
              <w:marRight w:val="0"/>
              <w:marTop w:val="0"/>
              <w:marBottom w:val="0"/>
              <w:divBdr>
                <w:top w:val="none" w:sz="0" w:space="0" w:color="auto"/>
                <w:left w:val="none" w:sz="0" w:space="0" w:color="auto"/>
                <w:bottom w:val="none" w:sz="0" w:space="0" w:color="auto"/>
                <w:right w:val="none" w:sz="0" w:space="0" w:color="auto"/>
              </w:divBdr>
            </w:div>
          </w:divsChild>
        </w:div>
        <w:div w:id="379092494">
          <w:marLeft w:val="0"/>
          <w:marRight w:val="0"/>
          <w:marTop w:val="0"/>
          <w:marBottom w:val="0"/>
          <w:divBdr>
            <w:top w:val="none" w:sz="0" w:space="0" w:color="auto"/>
            <w:left w:val="none" w:sz="0" w:space="0" w:color="auto"/>
            <w:bottom w:val="none" w:sz="0" w:space="0" w:color="auto"/>
            <w:right w:val="none" w:sz="0" w:space="0" w:color="auto"/>
          </w:divBdr>
          <w:divsChild>
            <w:div w:id="1626689829">
              <w:marLeft w:val="0"/>
              <w:marRight w:val="0"/>
              <w:marTop w:val="0"/>
              <w:marBottom w:val="0"/>
              <w:divBdr>
                <w:top w:val="none" w:sz="0" w:space="0" w:color="auto"/>
                <w:left w:val="none" w:sz="0" w:space="0" w:color="auto"/>
                <w:bottom w:val="none" w:sz="0" w:space="0" w:color="auto"/>
                <w:right w:val="none" w:sz="0" w:space="0" w:color="auto"/>
              </w:divBdr>
            </w:div>
          </w:divsChild>
        </w:div>
        <w:div w:id="2060082753">
          <w:marLeft w:val="0"/>
          <w:marRight w:val="0"/>
          <w:marTop w:val="0"/>
          <w:marBottom w:val="0"/>
          <w:divBdr>
            <w:top w:val="none" w:sz="0" w:space="0" w:color="auto"/>
            <w:left w:val="none" w:sz="0" w:space="0" w:color="auto"/>
            <w:bottom w:val="none" w:sz="0" w:space="0" w:color="auto"/>
            <w:right w:val="none" w:sz="0" w:space="0" w:color="auto"/>
          </w:divBdr>
          <w:divsChild>
            <w:div w:id="517812831">
              <w:marLeft w:val="0"/>
              <w:marRight w:val="0"/>
              <w:marTop w:val="0"/>
              <w:marBottom w:val="0"/>
              <w:divBdr>
                <w:top w:val="none" w:sz="0" w:space="0" w:color="auto"/>
                <w:left w:val="none" w:sz="0" w:space="0" w:color="auto"/>
                <w:bottom w:val="none" w:sz="0" w:space="0" w:color="auto"/>
                <w:right w:val="none" w:sz="0" w:space="0" w:color="auto"/>
              </w:divBdr>
            </w:div>
          </w:divsChild>
        </w:div>
        <w:div w:id="407848686">
          <w:marLeft w:val="0"/>
          <w:marRight w:val="0"/>
          <w:marTop w:val="0"/>
          <w:marBottom w:val="0"/>
          <w:divBdr>
            <w:top w:val="none" w:sz="0" w:space="0" w:color="auto"/>
            <w:left w:val="none" w:sz="0" w:space="0" w:color="auto"/>
            <w:bottom w:val="none" w:sz="0" w:space="0" w:color="auto"/>
            <w:right w:val="none" w:sz="0" w:space="0" w:color="auto"/>
          </w:divBdr>
          <w:divsChild>
            <w:div w:id="69087376">
              <w:marLeft w:val="0"/>
              <w:marRight w:val="0"/>
              <w:marTop w:val="0"/>
              <w:marBottom w:val="0"/>
              <w:divBdr>
                <w:top w:val="none" w:sz="0" w:space="0" w:color="auto"/>
                <w:left w:val="none" w:sz="0" w:space="0" w:color="auto"/>
                <w:bottom w:val="none" w:sz="0" w:space="0" w:color="auto"/>
                <w:right w:val="none" w:sz="0" w:space="0" w:color="auto"/>
              </w:divBdr>
            </w:div>
          </w:divsChild>
        </w:div>
        <w:div w:id="1152216325">
          <w:marLeft w:val="0"/>
          <w:marRight w:val="0"/>
          <w:marTop w:val="300"/>
          <w:marBottom w:val="300"/>
          <w:divBdr>
            <w:top w:val="none" w:sz="0" w:space="0" w:color="auto"/>
            <w:left w:val="none" w:sz="0" w:space="0" w:color="auto"/>
            <w:bottom w:val="none" w:sz="0" w:space="0" w:color="auto"/>
            <w:right w:val="none" w:sz="0" w:space="0" w:color="auto"/>
          </w:divBdr>
        </w:div>
        <w:div w:id="2025865222">
          <w:marLeft w:val="0"/>
          <w:marRight w:val="0"/>
          <w:marTop w:val="0"/>
          <w:marBottom w:val="0"/>
          <w:divBdr>
            <w:top w:val="none" w:sz="0" w:space="0" w:color="auto"/>
            <w:left w:val="none" w:sz="0" w:space="0" w:color="auto"/>
            <w:bottom w:val="none" w:sz="0" w:space="0" w:color="auto"/>
            <w:right w:val="none" w:sz="0" w:space="0" w:color="auto"/>
          </w:divBdr>
          <w:divsChild>
            <w:div w:id="2027171009">
              <w:marLeft w:val="0"/>
              <w:marRight w:val="0"/>
              <w:marTop w:val="0"/>
              <w:marBottom w:val="0"/>
              <w:divBdr>
                <w:top w:val="none" w:sz="0" w:space="0" w:color="auto"/>
                <w:left w:val="none" w:sz="0" w:space="0" w:color="auto"/>
                <w:bottom w:val="none" w:sz="0" w:space="0" w:color="auto"/>
                <w:right w:val="none" w:sz="0" w:space="0" w:color="auto"/>
              </w:divBdr>
            </w:div>
          </w:divsChild>
        </w:div>
        <w:div w:id="613680293">
          <w:marLeft w:val="0"/>
          <w:marRight w:val="0"/>
          <w:marTop w:val="0"/>
          <w:marBottom w:val="0"/>
          <w:divBdr>
            <w:top w:val="none" w:sz="0" w:space="0" w:color="auto"/>
            <w:left w:val="none" w:sz="0" w:space="0" w:color="auto"/>
            <w:bottom w:val="none" w:sz="0" w:space="0" w:color="auto"/>
            <w:right w:val="none" w:sz="0" w:space="0" w:color="auto"/>
          </w:divBdr>
          <w:divsChild>
            <w:div w:id="1359503254">
              <w:marLeft w:val="0"/>
              <w:marRight w:val="0"/>
              <w:marTop w:val="0"/>
              <w:marBottom w:val="0"/>
              <w:divBdr>
                <w:top w:val="none" w:sz="0" w:space="0" w:color="auto"/>
                <w:left w:val="none" w:sz="0" w:space="0" w:color="auto"/>
                <w:bottom w:val="none" w:sz="0" w:space="0" w:color="auto"/>
                <w:right w:val="none" w:sz="0" w:space="0" w:color="auto"/>
              </w:divBdr>
            </w:div>
          </w:divsChild>
        </w:div>
        <w:div w:id="2052804239">
          <w:marLeft w:val="0"/>
          <w:marRight w:val="0"/>
          <w:marTop w:val="0"/>
          <w:marBottom w:val="0"/>
          <w:divBdr>
            <w:top w:val="none" w:sz="0" w:space="0" w:color="auto"/>
            <w:left w:val="none" w:sz="0" w:space="0" w:color="auto"/>
            <w:bottom w:val="none" w:sz="0" w:space="0" w:color="auto"/>
            <w:right w:val="none" w:sz="0" w:space="0" w:color="auto"/>
          </w:divBdr>
          <w:divsChild>
            <w:div w:id="1082605842">
              <w:marLeft w:val="0"/>
              <w:marRight w:val="0"/>
              <w:marTop w:val="0"/>
              <w:marBottom w:val="0"/>
              <w:divBdr>
                <w:top w:val="none" w:sz="0" w:space="0" w:color="auto"/>
                <w:left w:val="none" w:sz="0" w:space="0" w:color="auto"/>
                <w:bottom w:val="none" w:sz="0" w:space="0" w:color="auto"/>
                <w:right w:val="none" w:sz="0" w:space="0" w:color="auto"/>
              </w:divBdr>
            </w:div>
          </w:divsChild>
        </w:div>
        <w:div w:id="1776559783">
          <w:marLeft w:val="0"/>
          <w:marRight w:val="0"/>
          <w:marTop w:val="0"/>
          <w:marBottom w:val="0"/>
          <w:divBdr>
            <w:top w:val="none" w:sz="0" w:space="0" w:color="auto"/>
            <w:left w:val="none" w:sz="0" w:space="0" w:color="auto"/>
            <w:bottom w:val="none" w:sz="0" w:space="0" w:color="auto"/>
            <w:right w:val="none" w:sz="0" w:space="0" w:color="auto"/>
          </w:divBdr>
          <w:divsChild>
            <w:div w:id="1552690312">
              <w:marLeft w:val="0"/>
              <w:marRight w:val="0"/>
              <w:marTop w:val="0"/>
              <w:marBottom w:val="0"/>
              <w:divBdr>
                <w:top w:val="none" w:sz="0" w:space="0" w:color="auto"/>
                <w:left w:val="none" w:sz="0" w:space="0" w:color="auto"/>
                <w:bottom w:val="none" w:sz="0" w:space="0" w:color="auto"/>
                <w:right w:val="none" w:sz="0" w:space="0" w:color="auto"/>
              </w:divBdr>
            </w:div>
          </w:divsChild>
        </w:div>
        <w:div w:id="2070834591">
          <w:marLeft w:val="0"/>
          <w:marRight w:val="0"/>
          <w:marTop w:val="0"/>
          <w:marBottom w:val="0"/>
          <w:divBdr>
            <w:top w:val="none" w:sz="0" w:space="0" w:color="auto"/>
            <w:left w:val="none" w:sz="0" w:space="0" w:color="auto"/>
            <w:bottom w:val="none" w:sz="0" w:space="0" w:color="auto"/>
            <w:right w:val="none" w:sz="0" w:space="0" w:color="auto"/>
          </w:divBdr>
          <w:divsChild>
            <w:div w:id="1816482571">
              <w:marLeft w:val="0"/>
              <w:marRight w:val="0"/>
              <w:marTop w:val="0"/>
              <w:marBottom w:val="0"/>
              <w:divBdr>
                <w:top w:val="none" w:sz="0" w:space="0" w:color="auto"/>
                <w:left w:val="none" w:sz="0" w:space="0" w:color="auto"/>
                <w:bottom w:val="none" w:sz="0" w:space="0" w:color="auto"/>
                <w:right w:val="none" w:sz="0" w:space="0" w:color="auto"/>
              </w:divBdr>
            </w:div>
          </w:divsChild>
        </w:div>
        <w:div w:id="780993454">
          <w:marLeft w:val="0"/>
          <w:marRight w:val="0"/>
          <w:marTop w:val="0"/>
          <w:marBottom w:val="0"/>
          <w:divBdr>
            <w:top w:val="none" w:sz="0" w:space="0" w:color="auto"/>
            <w:left w:val="none" w:sz="0" w:space="0" w:color="auto"/>
            <w:bottom w:val="none" w:sz="0" w:space="0" w:color="auto"/>
            <w:right w:val="none" w:sz="0" w:space="0" w:color="auto"/>
          </w:divBdr>
          <w:divsChild>
            <w:div w:id="415519778">
              <w:marLeft w:val="0"/>
              <w:marRight w:val="0"/>
              <w:marTop w:val="0"/>
              <w:marBottom w:val="0"/>
              <w:divBdr>
                <w:top w:val="none" w:sz="0" w:space="0" w:color="auto"/>
                <w:left w:val="none" w:sz="0" w:space="0" w:color="auto"/>
                <w:bottom w:val="none" w:sz="0" w:space="0" w:color="auto"/>
                <w:right w:val="none" w:sz="0" w:space="0" w:color="auto"/>
              </w:divBdr>
            </w:div>
          </w:divsChild>
        </w:div>
        <w:div w:id="278536131">
          <w:marLeft w:val="0"/>
          <w:marRight w:val="0"/>
          <w:marTop w:val="0"/>
          <w:marBottom w:val="0"/>
          <w:divBdr>
            <w:top w:val="none" w:sz="0" w:space="0" w:color="auto"/>
            <w:left w:val="none" w:sz="0" w:space="0" w:color="auto"/>
            <w:bottom w:val="none" w:sz="0" w:space="0" w:color="auto"/>
            <w:right w:val="none" w:sz="0" w:space="0" w:color="auto"/>
          </w:divBdr>
          <w:divsChild>
            <w:div w:id="878935733">
              <w:marLeft w:val="0"/>
              <w:marRight w:val="0"/>
              <w:marTop w:val="0"/>
              <w:marBottom w:val="0"/>
              <w:divBdr>
                <w:top w:val="none" w:sz="0" w:space="0" w:color="auto"/>
                <w:left w:val="none" w:sz="0" w:space="0" w:color="auto"/>
                <w:bottom w:val="none" w:sz="0" w:space="0" w:color="auto"/>
                <w:right w:val="none" w:sz="0" w:space="0" w:color="auto"/>
              </w:divBdr>
            </w:div>
          </w:divsChild>
        </w:div>
        <w:div w:id="1915123473">
          <w:marLeft w:val="0"/>
          <w:marRight w:val="0"/>
          <w:marTop w:val="0"/>
          <w:marBottom w:val="0"/>
          <w:divBdr>
            <w:top w:val="none" w:sz="0" w:space="0" w:color="auto"/>
            <w:left w:val="none" w:sz="0" w:space="0" w:color="auto"/>
            <w:bottom w:val="none" w:sz="0" w:space="0" w:color="auto"/>
            <w:right w:val="none" w:sz="0" w:space="0" w:color="auto"/>
          </w:divBdr>
          <w:divsChild>
            <w:div w:id="2106262251">
              <w:marLeft w:val="0"/>
              <w:marRight w:val="0"/>
              <w:marTop w:val="0"/>
              <w:marBottom w:val="0"/>
              <w:divBdr>
                <w:top w:val="none" w:sz="0" w:space="0" w:color="auto"/>
                <w:left w:val="none" w:sz="0" w:space="0" w:color="auto"/>
                <w:bottom w:val="none" w:sz="0" w:space="0" w:color="auto"/>
                <w:right w:val="none" w:sz="0" w:space="0" w:color="auto"/>
              </w:divBdr>
            </w:div>
          </w:divsChild>
        </w:div>
        <w:div w:id="1018039903">
          <w:marLeft w:val="0"/>
          <w:marRight w:val="0"/>
          <w:marTop w:val="0"/>
          <w:marBottom w:val="0"/>
          <w:divBdr>
            <w:top w:val="none" w:sz="0" w:space="0" w:color="auto"/>
            <w:left w:val="none" w:sz="0" w:space="0" w:color="auto"/>
            <w:bottom w:val="none" w:sz="0" w:space="0" w:color="auto"/>
            <w:right w:val="none" w:sz="0" w:space="0" w:color="auto"/>
          </w:divBdr>
          <w:divsChild>
            <w:div w:id="1659772478">
              <w:marLeft w:val="0"/>
              <w:marRight w:val="0"/>
              <w:marTop w:val="0"/>
              <w:marBottom w:val="0"/>
              <w:divBdr>
                <w:top w:val="none" w:sz="0" w:space="0" w:color="auto"/>
                <w:left w:val="none" w:sz="0" w:space="0" w:color="auto"/>
                <w:bottom w:val="none" w:sz="0" w:space="0" w:color="auto"/>
                <w:right w:val="none" w:sz="0" w:space="0" w:color="auto"/>
              </w:divBdr>
            </w:div>
          </w:divsChild>
        </w:div>
        <w:div w:id="684481259">
          <w:marLeft w:val="0"/>
          <w:marRight w:val="0"/>
          <w:marTop w:val="0"/>
          <w:marBottom w:val="0"/>
          <w:divBdr>
            <w:top w:val="none" w:sz="0" w:space="0" w:color="auto"/>
            <w:left w:val="none" w:sz="0" w:space="0" w:color="auto"/>
            <w:bottom w:val="none" w:sz="0" w:space="0" w:color="auto"/>
            <w:right w:val="none" w:sz="0" w:space="0" w:color="auto"/>
          </w:divBdr>
          <w:divsChild>
            <w:div w:id="1550612449">
              <w:marLeft w:val="0"/>
              <w:marRight w:val="0"/>
              <w:marTop w:val="0"/>
              <w:marBottom w:val="0"/>
              <w:divBdr>
                <w:top w:val="none" w:sz="0" w:space="0" w:color="auto"/>
                <w:left w:val="none" w:sz="0" w:space="0" w:color="auto"/>
                <w:bottom w:val="none" w:sz="0" w:space="0" w:color="auto"/>
                <w:right w:val="none" w:sz="0" w:space="0" w:color="auto"/>
              </w:divBdr>
            </w:div>
          </w:divsChild>
        </w:div>
        <w:div w:id="643240112">
          <w:marLeft w:val="0"/>
          <w:marRight w:val="0"/>
          <w:marTop w:val="0"/>
          <w:marBottom w:val="0"/>
          <w:divBdr>
            <w:top w:val="none" w:sz="0" w:space="0" w:color="auto"/>
            <w:left w:val="none" w:sz="0" w:space="0" w:color="auto"/>
            <w:bottom w:val="none" w:sz="0" w:space="0" w:color="auto"/>
            <w:right w:val="none" w:sz="0" w:space="0" w:color="auto"/>
          </w:divBdr>
          <w:divsChild>
            <w:div w:id="401173215">
              <w:marLeft w:val="0"/>
              <w:marRight w:val="0"/>
              <w:marTop w:val="0"/>
              <w:marBottom w:val="0"/>
              <w:divBdr>
                <w:top w:val="none" w:sz="0" w:space="0" w:color="auto"/>
                <w:left w:val="none" w:sz="0" w:space="0" w:color="auto"/>
                <w:bottom w:val="none" w:sz="0" w:space="0" w:color="auto"/>
                <w:right w:val="none" w:sz="0" w:space="0" w:color="auto"/>
              </w:divBdr>
            </w:div>
          </w:divsChild>
        </w:div>
        <w:div w:id="1125856314">
          <w:marLeft w:val="0"/>
          <w:marRight w:val="0"/>
          <w:marTop w:val="0"/>
          <w:marBottom w:val="0"/>
          <w:divBdr>
            <w:top w:val="none" w:sz="0" w:space="0" w:color="auto"/>
            <w:left w:val="none" w:sz="0" w:space="0" w:color="auto"/>
            <w:bottom w:val="none" w:sz="0" w:space="0" w:color="auto"/>
            <w:right w:val="none" w:sz="0" w:space="0" w:color="auto"/>
          </w:divBdr>
          <w:divsChild>
            <w:div w:id="902252017">
              <w:marLeft w:val="0"/>
              <w:marRight w:val="0"/>
              <w:marTop w:val="0"/>
              <w:marBottom w:val="0"/>
              <w:divBdr>
                <w:top w:val="none" w:sz="0" w:space="0" w:color="auto"/>
                <w:left w:val="none" w:sz="0" w:space="0" w:color="auto"/>
                <w:bottom w:val="none" w:sz="0" w:space="0" w:color="auto"/>
                <w:right w:val="none" w:sz="0" w:space="0" w:color="auto"/>
              </w:divBdr>
            </w:div>
          </w:divsChild>
        </w:div>
        <w:div w:id="456603700">
          <w:marLeft w:val="0"/>
          <w:marRight w:val="0"/>
          <w:marTop w:val="0"/>
          <w:marBottom w:val="0"/>
          <w:divBdr>
            <w:top w:val="none" w:sz="0" w:space="0" w:color="auto"/>
            <w:left w:val="none" w:sz="0" w:space="0" w:color="auto"/>
            <w:bottom w:val="none" w:sz="0" w:space="0" w:color="auto"/>
            <w:right w:val="none" w:sz="0" w:space="0" w:color="auto"/>
          </w:divBdr>
          <w:divsChild>
            <w:div w:id="1046754091">
              <w:marLeft w:val="0"/>
              <w:marRight w:val="0"/>
              <w:marTop w:val="0"/>
              <w:marBottom w:val="0"/>
              <w:divBdr>
                <w:top w:val="none" w:sz="0" w:space="0" w:color="auto"/>
                <w:left w:val="none" w:sz="0" w:space="0" w:color="auto"/>
                <w:bottom w:val="none" w:sz="0" w:space="0" w:color="auto"/>
                <w:right w:val="none" w:sz="0" w:space="0" w:color="auto"/>
              </w:divBdr>
            </w:div>
          </w:divsChild>
        </w:div>
        <w:div w:id="1009988199">
          <w:marLeft w:val="0"/>
          <w:marRight w:val="0"/>
          <w:marTop w:val="0"/>
          <w:marBottom w:val="0"/>
          <w:divBdr>
            <w:top w:val="none" w:sz="0" w:space="0" w:color="auto"/>
            <w:left w:val="none" w:sz="0" w:space="0" w:color="auto"/>
            <w:bottom w:val="none" w:sz="0" w:space="0" w:color="auto"/>
            <w:right w:val="none" w:sz="0" w:space="0" w:color="auto"/>
          </w:divBdr>
          <w:divsChild>
            <w:div w:id="1272974495">
              <w:marLeft w:val="0"/>
              <w:marRight w:val="0"/>
              <w:marTop w:val="0"/>
              <w:marBottom w:val="0"/>
              <w:divBdr>
                <w:top w:val="none" w:sz="0" w:space="0" w:color="auto"/>
                <w:left w:val="none" w:sz="0" w:space="0" w:color="auto"/>
                <w:bottom w:val="none" w:sz="0" w:space="0" w:color="auto"/>
                <w:right w:val="none" w:sz="0" w:space="0" w:color="auto"/>
              </w:divBdr>
            </w:div>
          </w:divsChild>
        </w:div>
        <w:div w:id="6805447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4201913000005089"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6DA8BC-12A8-4C9B-8659-B4396A371BAE}">
  <ds:schemaRefs>
    <ds:schemaRef ds:uri="http://purl.org/dc/elements/1.1/"/>
    <ds:schemaRef ds:uri="http://purl.org/dc/terms/"/>
    <ds:schemaRef ds:uri="http://www.w3.org/XML/1998/namespace"/>
    <ds:schemaRef ds:uri="a6cb9e4b-f1d1-4245-83ec-6cad768d538a"/>
    <ds:schemaRef ds:uri="9d85dbaf-23eb-4e57-a637-93dcacc8b1a1"/>
    <ds:schemaRef ds:uri="http://purl.org/dc/dcmityp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490852F3-A38D-41BA-9810-3014599F28D3}"/>
</file>

<file path=customXml/itemProps3.xml><?xml version="1.0" encoding="utf-8"?>
<ds:datastoreItem xmlns:ds="http://schemas.openxmlformats.org/officeDocument/2006/customXml" ds:itemID="{F130BBC2-DDC7-4001-B1B7-0EDA535256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3648</Words>
  <Characters>20064</Characters>
  <Application>Microsoft Office Word</Application>
  <DocSecurity>0</DocSecurity>
  <Lines>167</Lines>
  <Paragraphs>47</Paragraphs>
  <ScaleCrop>false</ScaleCrop>
  <Company/>
  <LinksUpToDate>false</LinksUpToDate>
  <CharactersWithSpaces>23665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20</cp:revision>
  <dcterms:created xsi:type="dcterms:W3CDTF">2020-04-07T19:01:00Z</dcterms:created>
  <dcterms:modified xsi:type="dcterms:W3CDTF">2022-06-28T18:42:00Z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