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83348AF" w14:textId="77777777" w:rsidR="00483977" w:rsidRPr="00822F66" w:rsidRDefault="00483977" w:rsidP="00483977">
      <w:pPr>
        <w:jc w:val="right"/>
        <w:rPr>
          <w:rFonts w:ascii="Arial" w:hAnsi="Arial" w:cs="Arial"/>
          <w:bCs/>
          <w:color w:val="000000" w:themeColor="text1"/>
          <w:sz w:val="16"/>
          <w:szCs w:val="16"/>
          <w:lang w:eastAsia="es-ES"/>
        </w:rPr>
      </w:pPr>
      <w:bookmarkStart w:id="0" w:name="_Hlk34041509"/>
      <w:bookmarkStart w:id="1" w:name="_Hlk28946138"/>
      <w:bookmarkStart w:id="2" w:name="_Hlk29548183"/>
      <w:bookmarkEnd w:id="0"/>
      <w:r w:rsidRPr="00822F66">
        <w:rPr>
          <w:rFonts w:ascii="Arial" w:hAnsi="Arial" w:cs="Arial"/>
          <w:bCs/>
          <w:color w:val="000000" w:themeColor="text1"/>
          <w:sz w:val="16"/>
          <w:szCs w:val="16"/>
          <w:lang w:eastAsia="es-ES"/>
        </w:rPr>
        <w:t>CCE-DES-FM-17</w:t>
      </w:r>
    </w:p>
    <w:p w14:paraId="6055302A" w14:textId="77777777" w:rsidR="00483977" w:rsidRPr="00822F66" w:rsidRDefault="00483977" w:rsidP="004C0517">
      <w:pPr>
        <w:rPr>
          <w:rFonts w:ascii="Arial" w:hAnsi="Arial" w:cs="Arial"/>
          <w:bCs/>
          <w:color w:val="000000" w:themeColor="text1"/>
          <w:sz w:val="16"/>
          <w:szCs w:val="16"/>
        </w:rPr>
      </w:pPr>
    </w:p>
    <w:p w14:paraId="2D29EBB0" w14:textId="71955851" w:rsidR="00D335E2" w:rsidRPr="00981B8D" w:rsidRDefault="00885322" w:rsidP="006A0F23">
      <w:pPr>
        <w:jc w:val="both"/>
        <w:rPr>
          <w:rFonts w:ascii="Arial" w:hAnsi="Arial" w:cs="Arial"/>
          <w:b/>
          <w:bCs/>
          <w:color w:val="000000" w:themeColor="text1"/>
          <w:sz w:val="22"/>
        </w:rPr>
      </w:pPr>
      <w:r w:rsidRPr="00981B8D">
        <w:rPr>
          <w:rFonts w:ascii="Arial" w:hAnsi="Arial" w:cs="Arial"/>
          <w:b/>
          <w:bCs/>
          <w:color w:val="000000" w:themeColor="text1"/>
          <w:sz w:val="22"/>
        </w:rPr>
        <w:t>EXPERIENCIA</w:t>
      </w:r>
      <w:r w:rsidR="004C0517" w:rsidRPr="00981B8D">
        <w:rPr>
          <w:rFonts w:ascii="Arial" w:hAnsi="Arial" w:cs="Arial"/>
          <w:b/>
          <w:bCs/>
          <w:color w:val="000000" w:themeColor="text1"/>
          <w:sz w:val="22"/>
        </w:rPr>
        <w:t xml:space="preserve"> </w:t>
      </w:r>
      <w:bookmarkStart w:id="3" w:name="_Hlk39676694"/>
      <w:r w:rsidR="00236E03" w:rsidRPr="00981B8D">
        <w:rPr>
          <w:rFonts w:ascii="Arial" w:eastAsia="Calibri" w:hAnsi="Arial" w:cs="Arial"/>
          <w:b/>
          <w:color w:val="000000" w:themeColor="text1"/>
          <w:sz w:val="22"/>
        </w:rPr>
        <w:t>–</w:t>
      </w:r>
      <w:bookmarkEnd w:id="3"/>
      <w:r w:rsidR="00236E03" w:rsidRPr="00981B8D">
        <w:rPr>
          <w:rFonts w:ascii="Arial" w:eastAsia="Calibri" w:hAnsi="Arial" w:cs="Arial"/>
          <w:b/>
          <w:color w:val="000000" w:themeColor="text1"/>
          <w:sz w:val="22"/>
        </w:rPr>
        <w:t xml:space="preserve"> </w:t>
      </w:r>
      <w:r w:rsidR="00CF4597">
        <w:rPr>
          <w:rFonts w:ascii="Arial" w:eastAsia="Calibri" w:hAnsi="Arial" w:cs="Arial"/>
          <w:b/>
          <w:color w:val="000000" w:themeColor="text1"/>
          <w:sz w:val="22"/>
        </w:rPr>
        <w:t>Características</w:t>
      </w:r>
      <w:r w:rsidR="00CF4597" w:rsidRPr="00981B8D">
        <w:rPr>
          <w:rFonts w:ascii="Arial" w:eastAsia="Calibri" w:hAnsi="Arial" w:cs="Arial"/>
          <w:b/>
          <w:color w:val="000000" w:themeColor="text1"/>
          <w:sz w:val="22"/>
        </w:rPr>
        <w:t xml:space="preserve"> </w:t>
      </w:r>
      <w:r w:rsidR="0083017E" w:rsidRPr="00981B8D">
        <w:rPr>
          <w:rFonts w:ascii="Arial" w:eastAsia="Calibri" w:hAnsi="Arial" w:cs="Arial"/>
          <w:b/>
          <w:color w:val="000000" w:themeColor="text1"/>
          <w:sz w:val="22"/>
        </w:rPr>
        <w:t xml:space="preserve">– </w:t>
      </w:r>
      <w:r w:rsidR="0083017E" w:rsidRPr="00981B8D">
        <w:rPr>
          <w:rFonts w:ascii="Arial" w:hAnsi="Arial" w:cs="Arial"/>
          <w:b/>
          <w:bCs/>
          <w:color w:val="000000" w:themeColor="text1"/>
          <w:sz w:val="22"/>
        </w:rPr>
        <w:t>Colombia Compra Eficiente</w:t>
      </w:r>
    </w:p>
    <w:p w14:paraId="33D8AC86" w14:textId="77777777" w:rsidR="00D335E2" w:rsidRPr="00981B8D" w:rsidRDefault="00D335E2" w:rsidP="006A0F23">
      <w:pPr>
        <w:jc w:val="both"/>
        <w:rPr>
          <w:rFonts w:ascii="Arial" w:hAnsi="Arial" w:cs="Arial"/>
          <w:b/>
          <w:bCs/>
          <w:color w:val="000000" w:themeColor="text1"/>
          <w:sz w:val="20"/>
          <w:szCs w:val="20"/>
        </w:rPr>
      </w:pPr>
    </w:p>
    <w:p w14:paraId="372E087E" w14:textId="77777777" w:rsidR="004919AE" w:rsidRPr="004919AE" w:rsidRDefault="004919AE" w:rsidP="004919AE">
      <w:pPr>
        <w:jc w:val="both"/>
        <w:rPr>
          <w:rFonts w:ascii="Arial" w:hAnsi="Arial" w:cs="Arial"/>
          <w:color w:val="000000" w:themeColor="text1"/>
          <w:sz w:val="20"/>
          <w:szCs w:val="20"/>
        </w:rPr>
      </w:pPr>
      <w:r w:rsidRPr="004919AE">
        <w:rPr>
          <w:rFonts w:ascii="Arial" w:hAnsi="Arial" w:cs="Arial"/>
          <w:color w:val="000000" w:themeColor="text1"/>
          <w:sz w:val="20"/>
          <w:szCs w:val="20"/>
        </w:rPr>
        <w:t xml:space="preserve">A partir de lo anterior, se pueden extraer cuatro conclusiones relevantes para evaluar las figuras y reformas estatutarias de las sociedades comerciales, respecto de la experiencia: </w:t>
      </w:r>
    </w:p>
    <w:p w14:paraId="7C089F7D" w14:textId="77777777" w:rsidR="004919AE" w:rsidRPr="004919AE" w:rsidRDefault="004919AE" w:rsidP="004919AE">
      <w:pPr>
        <w:jc w:val="both"/>
        <w:rPr>
          <w:rFonts w:ascii="Arial" w:hAnsi="Arial" w:cs="Arial"/>
          <w:color w:val="000000" w:themeColor="text1"/>
          <w:sz w:val="20"/>
          <w:szCs w:val="20"/>
        </w:rPr>
      </w:pPr>
      <w:r w:rsidRPr="004919AE">
        <w:rPr>
          <w:rFonts w:ascii="Arial" w:hAnsi="Arial" w:cs="Arial"/>
          <w:color w:val="000000" w:themeColor="text1"/>
          <w:sz w:val="20"/>
          <w:szCs w:val="20"/>
        </w:rPr>
        <w:t>i) La experiencia es personal, esto es, se adquiere participando, directa o indirectamente, sin que sea posible no hacerlo y tener experiencia.</w:t>
      </w:r>
    </w:p>
    <w:p w14:paraId="71DB76D1" w14:textId="77777777" w:rsidR="004919AE" w:rsidRPr="004919AE" w:rsidRDefault="004919AE" w:rsidP="004919AE">
      <w:pPr>
        <w:jc w:val="both"/>
        <w:rPr>
          <w:rFonts w:ascii="Arial" w:hAnsi="Arial" w:cs="Arial"/>
          <w:color w:val="000000" w:themeColor="text1"/>
          <w:sz w:val="20"/>
          <w:szCs w:val="20"/>
        </w:rPr>
      </w:pPr>
      <w:r w:rsidRPr="004919AE">
        <w:rPr>
          <w:rFonts w:ascii="Arial" w:hAnsi="Arial" w:cs="Arial"/>
          <w:color w:val="000000" w:themeColor="text1"/>
          <w:sz w:val="20"/>
          <w:szCs w:val="20"/>
        </w:rPr>
        <w:t>ii) La experiencia se puede compartir, sin que implique que la compartida a una persona se entienda suya, ya que dentro del procedimiento contractual se reflejará que esa persona tiene la experiencia de otra, como es el caso de las figuras asociativas –consorcios y uniones temporales–, que se verificará en el documento privado de constitución.</w:t>
      </w:r>
    </w:p>
    <w:p w14:paraId="0B6A2C3C" w14:textId="77777777" w:rsidR="004919AE" w:rsidRPr="004919AE" w:rsidRDefault="004919AE" w:rsidP="004919AE">
      <w:pPr>
        <w:jc w:val="both"/>
        <w:rPr>
          <w:rFonts w:ascii="Arial" w:hAnsi="Arial" w:cs="Arial"/>
          <w:color w:val="000000" w:themeColor="text1"/>
          <w:sz w:val="20"/>
          <w:szCs w:val="20"/>
        </w:rPr>
      </w:pPr>
      <w:r w:rsidRPr="004919AE">
        <w:rPr>
          <w:rFonts w:ascii="Arial" w:hAnsi="Arial" w:cs="Arial"/>
          <w:color w:val="000000" w:themeColor="text1"/>
          <w:sz w:val="20"/>
          <w:szCs w:val="20"/>
        </w:rPr>
        <w:t>iii) La experiencia se puede transferir, y esto es diferente a compartir, lo que implica que la experiencia de una persona se traslada a otra, y esta última acredita la experiencia como propia, como sucede con algunas figuras y reformas estatutarias, excepto para la escisión que se explicará con más detalle en el numeral 2.3 de este concepto.</w:t>
      </w:r>
    </w:p>
    <w:p w14:paraId="504C1652" w14:textId="59111157" w:rsidR="00BB225A" w:rsidRDefault="004919AE" w:rsidP="004919AE">
      <w:pPr>
        <w:jc w:val="both"/>
        <w:rPr>
          <w:rFonts w:ascii="Arial" w:hAnsi="Arial" w:cs="Arial"/>
          <w:color w:val="000000" w:themeColor="text1"/>
          <w:sz w:val="20"/>
          <w:szCs w:val="20"/>
        </w:rPr>
      </w:pPr>
      <w:r w:rsidRPr="004919AE">
        <w:rPr>
          <w:rFonts w:ascii="Arial" w:hAnsi="Arial" w:cs="Arial"/>
          <w:color w:val="000000" w:themeColor="text1"/>
          <w:sz w:val="20"/>
          <w:szCs w:val="20"/>
        </w:rPr>
        <w:t>iv) Cuando la persona que adquirió la experiencia desaparece o se liquida no es posible que comparta o transfiera su experiencia, porque al ser personal sigue la suerte de quien la adquirió.</w:t>
      </w:r>
    </w:p>
    <w:p w14:paraId="7ED31397" w14:textId="77777777" w:rsidR="004919AE" w:rsidRPr="00981B8D" w:rsidRDefault="004919AE" w:rsidP="004919AE">
      <w:pPr>
        <w:jc w:val="both"/>
        <w:rPr>
          <w:rFonts w:ascii="Arial" w:hAnsi="Arial" w:cs="Arial"/>
          <w:b/>
          <w:bCs/>
          <w:color w:val="000000" w:themeColor="text1"/>
          <w:sz w:val="20"/>
          <w:szCs w:val="20"/>
        </w:rPr>
      </w:pPr>
    </w:p>
    <w:p w14:paraId="72CCFD54" w14:textId="2D7B8D5F" w:rsidR="0083017E" w:rsidRPr="00981B8D" w:rsidRDefault="0083017E" w:rsidP="0083017E">
      <w:pPr>
        <w:jc w:val="both"/>
        <w:rPr>
          <w:rFonts w:ascii="Arial" w:hAnsi="Arial" w:cs="Arial"/>
          <w:b/>
          <w:bCs/>
          <w:color w:val="000000" w:themeColor="text1"/>
          <w:sz w:val="22"/>
        </w:rPr>
      </w:pPr>
      <w:r w:rsidRPr="00981B8D">
        <w:rPr>
          <w:rFonts w:ascii="Arial" w:hAnsi="Arial" w:cs="Arial"/>
          <w:b/>
          <w:bCs/>
          <w:color w:val="000000" w:themeColor="text1"/>
          <w:sz w:val="22"/>
        </w:rPr>
        <w:t xml:space="preserve">EXPERIENCIA </w:t>
      </w:r>
      <w:r w:rsidRPr="00981B8D">
        <w:rPr>
          <w:rFonts w:ascii="Arial" w:eastAsia="Calibri" w:hAnsi="Arial" w:cs="Arial"/>
          <w:b/>
          <w:color w:val="000000" w:themeColor="text1"/>
          <w:sz w:val="22"/>
        </w:rPr>
        <w:t>– Escisión</w:t>
      </w:r>
    </w:p>
    <w:p w14:paraId="3D1F7DEC" w14:textId="77777777" w:rsidR="0083017E" w:rsidRPr="00981B8D" w:rsidRDefault="0083017E" w:rsidP="0083017E">
      <w:pPr>
        <w:pStyle w:val="Sinespaciado"/>
        <w:widowControl w:val="0"/>
        <w:autoSpaceDE w:val="0"/>
        <w:autoSpaceDN w:val="0"/>
        <w:jc w:val="both"/>
        <w:rPr>
          <w:rFonts w:ascii="Arial" w:hAnsi="Arial" w:cs="Arial"/>
          <w:b/>
          <w:color w:val="000000" w:themeColor="text1"/>
          <w:sz w:val="20"/>
          <w:szCs w:val="20"/>
        </w:rPr>
      </w:pPr>
    </w:p>
    <w:p w14:paraId="7990E875" w14:textId="285CB6ED" w:rsidR="004919AE" w:rsidRDefault="004919AE" w:rsidP="004919AE">
      <w:pPr>
        <w:jc w:val="both"/>
        <w:rPr>
          <w:rFonts w:ascii="Arial" w:hAnsi="Arial" w:cs="Arial"/>
          <w:color w:val="000000" w:themeColor="text1"/>
          <w:sz w:val="20"/>
          <w:szCs w:val="20"/>
        </w:rPr>
      </w:pPr>
      <w:r w:rsidRPr="004919AE">
        <w:rPr>
          <w:rFonts w:ascii="Arial" w:hAnsi="Arial" w:cs="Arial"/>
          <w:color w:val="000000" w:themeColor="text1"/>
          <w:sz w:val="20"/>
          <w:szCs w:val="20"/>
        </w:rPr>
        <w:t>En la primera modalidad de escisión, teniendo en cuenta que la sociedad continúa sin alteraciones, conserva su experiencia, de manera que no la transfiere porque para ello tendría que «disolverse» –pero no «liquidarse», puesto que la «liquidación» implicaría que desaparece la persona y así su experiencia–. Para explicarlo hay que volver a la definición de «disolución», donde la persona jurídica no desaparece y solo puede hacer trámites para «liquidarse»; sin embargo, hay una excepción a esa regla y es, precisamente, la figura que aquí se explica, donde la sociedad realiza actuaciones para escindirse. En la primera modalidad de escisión no existe «disolución», lo que significa que la persona continúa por sí misma y puede adquirir experiencia, pero no puede transferirla porque le pertenece a ella que fue quien la adquirió y la conserva.</w:t>
      </w:r>
    </w:p>
    <w:p w14:paraId="07E26F47" w14:textId="77777777" w:rsidR="004919AE" w:rsidRPr="004919AE" w:rsidRDefault="004919AE" w:rsidP="004919AE">
      <w:pPr>
        <w:jc w:val="both"/>
        <w:rPr>
          <w:rFonts w:ascii="Arial" w:hAnsi="Arial" w:cs="Arial"/>
          <w:color w:val="000000" w:themeColor="text1"/>
          <w:sz w:val="20"/>
          <w:szCs w:val="20"/>
        </w:rPr>
      </w:pPr>
    </w:p>
    <w:p w14:paraId="5FCE1821" w14:textId="5A370FE3" w:rsidR="004919AE" w:rsidRDefault="004919AE" w:rsidP="004919AE">
      <w:pPr>
        <w:jc w:val="both"/>
        <w:rPr>
          <w:rFonts w:ascii="Arial" w:hAnsi="Arial" w:cs="Arial"/>
          <w:color w:val="000000" w:themeColor="text1"/>
          <w:sz w:val="20"/>
          <w:szCs w:val="20"/>
        </w:rPr>
      </w:pPr>
      <w:r w:rsidRPr="004919AE">
        <w:rPr>
          <w:rFonts w:ascii="Arial" w:hAnsi="Arial" w:cs="Arial"/>
          <w:color w:val="000000" w:themeColor="text1"/>
          <w:sz w:val="20"/>
          <w:szCs w:val="20"/>
        </w:rPr>
        <w:t xml:space="preserve">Por otro lado, a pesar de que en la segunda modalidad existe «disolución», no hay transferencia de la experiencia porque la persona jurídica fraccionada deja de ser quién es y desaparece, quedando dividida en varias sociedades nuevas o existentes que reciben su patrimonio, sin que sea posible determinar cuál de todas las sociedades que recibieron parte del patrimonio de la sociedad escindida tiene la experiencia. </w:t>
      </w:r>
    </w:p>
    <w:p w14:paraId="0D696982" w14:textId="77777777" w:rsidR="003D3CC0" w:rsidRDefault="003D3CC0" w:rsidP="004919AE">
      <w:pPr>
        <w:jc w:val="both"/>
        <w:rPr>
          <w:rFonts w:ascii="Arial" w:hAnsi="Arial" w:cs="Arial"/>
          <w:color w:val="000000" w:themeColor="text1"/>
          <w:sz w:val="20"/>
          <w:szCs w:val="20"/>
        </w:rPr>
      </w:pPr>
    </w:p>
    <w:p w14:paraId="115FEB7D" w14:textId="1F60A8C3" w:rsidR="0032086B" w:rsidRPr="008A5A9C" w:rsidRDefault="003D3CC0" w:rsidP="0032086B">
      <w:pPr>
        <w:jc w:val="both"/>
        <w:rPr>
          <w:rFonts w:ascii="Arial" w:hAnsi="Arial" w:cs="Arial"/>
          <w:color w:val="000000" w:themeColor="text1"/>
          <w:sz w:val="20"/>
          <w:szCs w:val="20"/>
          <w:highlight w:val="yellow"/>
        </w:rPr>
      </w:pPr>
      <w:r w:rsidRPr="003D3CC0">
        <w:rPr>
          <w:rFonts w:ascii="Arial" w:hAnsi="Arial" w:cs="Arial"/>
          <w:color w:val="000000" w:themeColor="text1"/>
          <w:sz w:val="20"/>
          <w:szCs w:val="20"/>
        </w:rPr>
        <w:t>Tampoco es posible que todas las sociedades que recibieron el patrimonio acrediten la misma experiencia multiplicándola tantas veces sea posible, porque la experiencia es de quien la adquirió, y esa persona jurídica no puede continuar en otra persona, porque desapareció, quedando fraccionada en 2 o más partes. En efecto, admitir la posibilidad de que se transfiera y se multiplique la experiencia, desconocería la noción y finalidad de la experiencia como personal, esto es, que se adquiere por la participación en actividades iguales o similares a las que se van a contratar. Además, tampoco responde a la transferencia de la experiencia, que se daría si la persona jurídica sigue siendo quien es, pero a través de otra, como sucede en figuras como la fusión.</w:t>
      </w:r>
    </w:p>
    <w:p w14:paraId="2C2634CB" w14:textId="77777777" w:rsidR="005370B4" w:rsidRDefault="005370B4">
      <w:pPr>
        <w:spacing w:after="200" w:line="276" w:lineRule="auto"/>
        <w:rPr>
          <w:rFonts w:ascii="Arial" w:hAnsi="Arial" w:cs="Arial"/>
          <w:sz w:val="22"/>
          <w:szCs w:val="20"/>
        </w:rPr>
      </w:pPr>
    </w:p>
    <w:p w14:paraId="47907C7B" w14:textId="099ECCDF" w:rsidR="00CF4597" w:rsidRDefault="00CF4597">
      <w:pPr>
        <w:spacing w:after="200" w:line="276" w:lineRule="auto"/>
        <w:rPr>
          <w:rFonts w:ascii="Arial" w:hAnsi="Arial" w:cs="Arial"/>
          <w:sz w:val="22"/>
          <w:szCs w:val="20"/>
        </w:rPr>
      </w:pPr>
      <w:r>
        <w:rPr>
          <w:rFonts w:ascii="Arial" w:hAnsi="Arial" w:cs="Arial"/>
          <w:sz w:val="22"/>
          <w:szCs w:val="20"/>
        </w:rPr>
        <w:br w:type="page"/>
      </w:r>
    </w:p>
    <w:p w14:paraId="6F393FE1" w14:textId="0B114D4C" w:rsidR="008A5A9C" w:rsidRDefault="008A5A9C" w:rsidP="008A5A9C">
      <w:pPr>
        <w:spacing w:line="276" w:lineRule="auto"/>
        <w:rPr>
          <w:rFonts w:ascii="Arial" w:hAnsi="Arial" w:cs="Arial"/>
          <w:b/>
          <w:sz w:val="22"/>
          <w:szCs w:val="20"/>
          <w:lang w:val="es-CO"/>
        </w:rPr>
      </w:pPr>
      <w:r>
        <w:rPr>
          <w:rFonts w:ascii="Arial" w:hAnsi="Arial" w:cs="Arial"/>
          <w:sz w:val="22"/>
          <w:szCs w:val="20"/>
        </w:rPr>
        <w:lastRenderedPageBreak/>
        <w:t xml:space="preserve">Bogotá D.C., </w:t>
      </w:r>
      <w:r w:rsidR="00FE2E64">
        <w:rPr>
          <w:rFonts w:ascii="Arial" w:hAnsi="Arial" w:cs="Arial"/>
          <w:b/>
          <w:sz w:val="22"/>
          <w:szCs w:val="20"/>
        </w:rPr>
        <w:t>09/12/2020</w:t>
      </w:r>
    </w:p>
    <w:p w14:paraId="0254878A" w14:textId="10CE09DA" w:rsidR="008A5A9C" w:rsidRDefault="008A5A9C" w:rsidP="008A5A9C">
      <w:pPr>
        <w:jc w:val="right"/>
        <w:rPr>
          <w:rFonts w:ascii="Arial" w:hAnsi="Arial" w:cs="Arial"/>
          <w:sz w:val="22"/>
          <w:lang w:val="es-ES" w:eastAsia="en-GB"/>
        </w:rPr>
      </w:pPr>
      <w:r>
        <w:rPr>
          <w:rFonts w:ascii="Arial" w:hAnsi="Arial" w:cs="Arial"/>
          <w:b/>
          <w:sz w:val="22"/>
          <w:szCs w:val="20"/>
        </w:rPr>
        <w:t xml:space="preserve">N° Radicado: </w:t>
      </w:r>
      <w:r w:rsidR="009F0C0E" w:rsidRPr="009F0C0E">
        <w:rPr>
          <w:rFonts w:ascii="Arial" w:hAnsi="Arial" w:cs="Arial"/>
          <w:b/>
          <w:sz w:val="22"/>
          <w:szCs w:val="20"/>
        </w:rPr>
        <w:t>2202013000011951</w:t>
      </w:r>
    </w:p>
    <w:p w14:paraId="7E80B7C1" w14:textId="29A9491D" w:rsidR="00A37FB6" w:rsidRPr="006A0F23" w:rsidRDefault="00A37FB6" w:rsidP="006A0F23">
      <w:pPr>
        <w:tabs>
          <w:tab w:val="left" w:pos="3374"/>
        </w:tabs>
        <w:jc w:val="right"/>
        <w:rPr>
          <w:rFonts w:ascii="Arial" w:eastAsia="Calibri" w:hAnsi="Arial" w:cs="Arial"/>
          <w:color w:val="000000" w:themeColor="text1"/>
          <w:sz w:val="22"/>
        </w:rPr>
      </w:pPr>
      <w:r w:rsidRPr="006A0F23">
        <w:rPr>
          <w:rFonts w:ascii="Arial" w:eastAsia="Calibri" w:hAnsi="Arial" w:cs="Arial"/>
          <w:color w:val="000000" w:themeColor="text1"/>
          <w:sz w:val="22"/>
        </w:rPr>
        <w:tab/>
      </w:r>
    </w:p>
    <w:p w14:paraId="614B7E97" w14:textId="77777777" w:rsidR="006A0F23" w:rsidRPr="006A0F23" w:rsidRDefault="006A0F23" w:rsidP="006A0F23">
      <w:pPr>
        <w:tabs>
          <w:tab w:val="left" w:pos="3374"/>
        </w:tabs>
        <w:jc w:val="right"/>
        <w:rPr>
          <w:rFonts w:ascii="Arial" w:eastAsia="Calibri" w:hAnsi="Arial" w:cs="Arial"/>
          <w:color w:val="000000" w:themeColor="text1"/>
          <w:sz w:val="22"/>
        </w:rPr>
      </w:pPr>
    </w:p>
    <w:p w14:paraId="393D3C60" w14:textId="77777777" w:rsidR="00AB745E" w:rsidRPr="006A0F23" w:rsidRDefault="00A37FB6" w:rsidP="00D01760">
      <w:pPr>
        <w:rPr>
          <w:rFonts w:ascii="Arial" w:eastAsia="Calibri" w:hAnsi="Arial" w:cs="Arial"/>
          <w:color w:val="000000" w:themeColor="text1"/>
          <w:sz w:val="22"/>
        </w:rPr>
      </w:pPr>
      <w:r w:rsidRPr="006A0F23">
        <w:rPr>
          <w:rFonts w:ascii="Arial" w:eastAsia="Calibri" w:hAnsi="Arial" w:cs="Arial"/>
          <w:color w:val="000000" w:themeColor="text1"/>
          <w:sz w:val="22"/>
        </w:rPr>
        <w:t>Señor</w:t>
      </w:r>
    </w:p>
    <w:p w14:paraId="16863497" w14:textId="547CB22E" w:rsidR="00A37FB6" w:rsidRPr="00592C46" w:rsidRDefault="008A5A9C" w:rsidP="00D01760">
      <w:pPr>
        <w:rPr>
          <w:rFonts w:ascii="Arial" w:eastAsia="Calibri" w:hAnsi="Arial" w:cs="Arial"/>
          <w:b/>
          <w:bCs/>
          <w:color w:val="000000" w:themeColor="text1"/>
          <w:sz w:val="22"/>
        </w:rPr>
      </w:pPr>
      <w:r>
        <w:rPr>
          <w:rFonts w:ascii="Arial" w:eastAsia="Calibri" w:hAnsi="Arial" w:cs="Arial"/>
          <w:b/>
          <w:bCs/>
          <w:color w:val="000000" w:themeColor="text1"/>
          <w:sz w:val="22"/>
        </w:rPr>
        <w:t>Antonio José Pinillos</w:t>
      </w:r>
    </w:p>
    <w:p w14:paraId="359C48BE" w14:textId="77777777" w:rsidR="00A37FB6" w:rsidRPr="006A0F23" w:rsidRDefault="00A37FB6" w:rsidP="00D01760">
      <w:pPr>
        <w:rPr>
          <w:rFonts w:ascii="Arial" w:eastAsia="Calibri" w:hAnsi="Arial" w:cs="Arial"/>
          <w:color w:val="000000" w:themeColor="text1"/>
          <w:sz w:val="22"/>
        </w:rPr>
      </w:pPr>
      <w:r w:rsidRPr="006A0F23">
        <w:rPr>
          <w:rFonts w:ascii="Arial" w:eastAsia="Calibri" w:hAnsi="Arial" w:cs="Arial"/>
          <w:color w:val="000000" w:themeColor="text1"/>
          <w:sz w:val="22"/>
        </w:rPr>
        <w:t>Ciudad</w:t>
      </w:r>
    </w:p>
    <w:p w14:paraId="479F6A3A" w14:textId="44A1D908" w:rsidR="00A37FB6" w:rsidRPr="006A0F23" w:rsidRDefault="00E03AC6" w:rsidP="00851174">
      <w:pPr>
        <w:pStyle w:val="Sinespaciado"/>
        <w:jc w:val="center"/>
        <w:rPr>
          <w:rFonts w:ascii="Arial" w:hAnsi="Arial" w:cs="Arial"/>
          <w:b/>
          <w:color w:val="000000" w:themeColor="text1"/>
          <w:sz w:val="22"/>
        </w:rPr>
      </w:pPr>
      <w:r w:rsidRPr="006A0F23">
        <w:rPr>
          <w:rFonts w:ascii="Arial" w:hAnsi="Arial" w:cs="Arial"/>
          <w:b/>
          <w:color w:val="000000" w:themeColor="text1"/>
          <w:sz w:val="22"/>
        </w:rPr>
        <w:t>Concepto C</w:t>
      </w:r>
      <w:r w:rsidR="00A37FB6" w:rsidRPr="006A0F23">
        <w:rPr>
          <w:rFonts w:ascii="Arial" w:hAnsi="Arial" w:cs="Arial"/>
          <w:b/>
          <w:color w:val="000000" w:themeColor="text1"/>
          <w:sz w:val="22"/>
        </w:rPr>
        <w:t xml:space="preserve"> </w:t>
      </w:r>
      <w:r w:rsidR="00CF4597">
        <w:rPr>
          <w:rFonts w:ascii="Arial" w:hAnsi="Arial" w:cs="Arial"/>
          <w:b/>
          <w:color w:val="000000" w:themeColor="text1"/>
          <w:sz w:val="22"/>
        </w:rPr>
        <w:t>–</w:t>
      </w:r>
      <w:r w:rsidR="00592C46">
        <w:rPr>
          <w:rFonts w:ascii="Arial" w:hAnsi="Arial" w:cs="Arial"/>
          <w:b/>
          <w:color w:val="000000" w:themeColor="text1"/>
          <w:sz w:val="22"/>
        </w:rPr>
        <w:t xml:space="preserve"> </w:t>
      </w:r>
      <w:r w:rsidR="008A5A9C">
        <w:rPr>
          <w:rFonts w:ascii="Arial" w:hAnsi="Arial" w:cs="Arial"/>
          <w:b/>
          <w:color w:val="000000" w:themeColor="text1"/>
          <w:sz w:val="22"/>
        </w:rPr>
        <w:t>708</w:t>
      </w:r>
      <w:r w:rsidR="00A37FB6" w:rsidRPr="006A0F23">
        <w:rPr>
          <w:rFonts w:ascii="Arial" w:hAnsi="Arial" w:cs="Arial"/>
          <w:b/>
          <w:color w:val="000000" w:themeColor="text1"/>
          <w:sz w:val="22"/>
        </w:rPr>
        <w:t xml:space="preserve"> de 2020</w:t>
      </w:r>
    </w:p>
    <w:p w14:paraId="49BB1EAB" w14:textId="77777777" w:rsidR="00A37FB6" w:rsidRPr="006A0F23" w:rsidRDefault="00A37FB6" w:rsidP="00851174">
      <w:pPr>
        <w:pStyle w:val="Sinespaciado"/>
        <w:jc w:val="both"/>
        <w:rPr>
          <w:rFonts w:ascii="Arial" w:hAnsi="Arial" w:cs="Arial"/>
          <w:bCs/>
          <w:color w:val="000000" w:themeColor="text1"/>
          <w:sz w:val="22"/>
        </w:rPr>
      </w:pPr>
    </w:p>
    <w:tbl>
      <w:tblPr>
        <w:tblStyle w:val="Tablaconcuadrcula"/>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37"/>
      </w:tblGrid>
      <w:tr w:rsidR="006A0F23" w:rsidRPr="006A0F23" w14:paraId="20C2FA60" w14:textId="77777777" w:rsidTr="000825D8">
        <w:tc>
          <w:tcPr>
            <w:tcW w:w="2689" w:type="dxa"/>
            <w:hideMark/>
          </w:tcPr>
          <w:p w14:paraId="2A9459AB" w14:textId="77777777" w:rsidR="00A37FB6" w:rsidRPr="006A0F23" w:rsidRDefault="00A37FB6" w:rsidP="00851174">
            <w:pPr>
              <w:pStyle w:val="Sinespaciado"/>
              <w:jc w:val="both"/>
              <w:rPr>
                <w:rFonts w:ascii="Arial" w:hAnsi="Arial" w:cs="Arial"/>
                <w:b/>
                <w:color w:val="000000" w:themeColor="text1"/>
                <w:sz w:val="22"/>
              </w:rPr>
            </w:pPr>
            <w:r w:rsidRPr="006A0F23">
              <w:rPr>
                <w:rFonts w:ascii="Arial" w:hAnsi="Arial" w:cs="Arial"/>
                <w:b/>
                <w:color w:val="000000" w:themeColor="text1"/>
                <w:sz w:val="22"/>
              </w:rPr>
              <w:t xml:space="preserve">Temas:           </w:t>
            </w:r>
          </w:p>
          <w:p w14:paraId="1840BCE8" w14:textId="77777777" w:rsidR="00A37FB6" w:rsidRPr="006A0F23" w:rsidRDefault="00A37FB6" w:rsidP="00851174">
            <w:pPr>
              <w:pStyle w:val="Sinespaciado"/>
              <w:jc w:val="both"/>
              <w:rPr>
                <w:rFonts w:ascii="Arial" w:hAnsi="Arial" w:cs="Arial"/>
                <w:bCs/>
                <w:color w:val="000000" w:themeColor="text1"/>
                <w:sz w:val="22"/>
              </w:rPr>
            </w:pPr>
            <w:r w:rsidRPr="006A0F23">
              <w:rPr>
                <w:rFonts w:ascii="Arial" w:hAnsi="Arial" w:cs="Arial"/>
                <w:bCs/>
                <w:color w:val="000000" w:themeColor="text1"/>
                <w:sz w:val="22"/>
              </w:rPr>
              <w:t xml:space="preserve">                           </w:t>
            </w:r>
          </w:p>
        </w:tc>
        <w:tc>
          <w:tcPr>
            <w:tcW w:w="6237" w:type="dxa"/>
            <w:hideMark/>
          </w:tcPr>
          <w:p w14:paraId="6152B34E" w14:textId="100FDF47" w:rsidR="004023D4" w:rsidRDefault="0083017E" w:rsidP="0083017E">
            <w:pPr>
              <w:pStyle w:val="Sinespaciado"/>
              <w:jc w:val="both"/>
              <w:rPr>
                <w:rFonts w:ascii="Arial" w:hAnsi="Arial" w:cs="Arial"/>
                <w:bCs/>
                <w:color w:val="000000" w:themeColor="text1"/>
                <w:sz w:val="22"/>
              </w:rPr>
            </w:pPr>
            <w:r w:rsidRPr="00981B8D">
              <w:rPr>
                <w:rFonts w:ascii="Arial" w:hAnsi="Arial" w:cs="Arial"/>
                <w:bCs/>
                <w:color w:val="000000" w:themeColor="text1"/>
                <w:sz w:val="22"/>
              </w:rPr>
              <w:t xml:space="preserve">EXPERIENCIA – </w:t>
            </w:r>
            <w:r w:rsidR="00CF4597">
              <w:rPr>
                <w:rFonts w:ascii="Arial" w:hAnsi="Arial" w:cs="Arial"/>
                <w:bCs/>
                <w:color w:val="000000" w:themeColor="text1"/>
                <w:sz w:val="22"/>
              </w:rPr>
              <w:t>Características</w:t>
            </w:r>
            <w:r w:rsidR="00CF4597" w:rsidRPr="00981B8D">
              <w:rPr>
                <w:rFonts w:ascii="Arial" w:hAnsi="Arial" w:cs="Arial"/>
                <w:bCs/>
                <w:color w:val="000000" w:themeColor="text1"/>
                <w:sz w:val="22"/>
              </w:rPr>
              <w:t xml:space="preserve"> </w:t>
            </w:r>
            <w:r w:rsidRPr="00981B8D">
              <w:rPr>
                <w:rFonts w:ascii="Arial" w:hAnsi="Arial" w:cs="Arial"/>
                <w:bCs/>
                <w:color w:val="000000" w:themeColor="text1"/>
                <w:sz w:val="22"/>
              </w:rPr>
              <w:t xml:space="preserve">– Colombia Compra Eficiente </w:t>
            </w:r>
            <w:r w:rsidR="004023D4" w:rsidRPr="00981B8D">
              <w:rPr>
                <w:rFonts w:ascii="Arial" w:hAnsi="Arial" w:cs="Arial"/>
                <w:bCs/>
                <w:color w:val="000000" w:themeColor="text1"/>
                <w:sz w:val="22"/>
              </w:rPr>
              <w:t xml:space="preserve">/ </w:t>
            </w:r>
            <w:r w:rsidRPr="00981B8D">
              <w:rPr>
                <w:rFonts w:ascii="Arial" w:hAnsi="Arial" w:cs="Arial"/>
                <w:bCs/>
                <w:color w:val="000000" w:themeColor="text1"/>
                <w:sz w:val="22"/>
              </w:rPr>
              <w:t>EXPERIENCIA</w:t>
            </w:r>
            <w:r w:rsidR="00EA1073" w:rsidRPr="00981B8D">
              <w:rPr>
                <w:rFonts w:ascii="Arial" w:hAnsi="Arial" w:cs="Arial"/>
                <w:bCs/>
                <w:color w:val="000000" w:themeColor="text1"/>
                <w:sz w:val="22"/>
              </w:rPr>
              <w:t xml:space="preserve"> </w:t>
            </w:r>
            <w:r w:rsidRPr="00981B8D">
              <w:rPr>
                <w:rFonts w:ascii="Arial" w:hAnsi="Arial" w:cs="Arial"/>
                <w:bCs/>
                <w:color w:val="000000" w:themeColor="text1"/>
                <w:sz w:val="22"/>
              </w:rPr>
              <w:t>– Escisión</w:t>
            </w:r>
          </w:p>
          <w:p w14:paraId="2A9135B5" w14:textId="77777777" w:rsidR="00BF1E9C" w:rsidRPr="006A0F23" w:rsidRDefault="00BF1E9C" w:rsidP="0083017E">
            <w:pPr>
              <w:pStyle w:val="Sinespaciado"/>
              <w:jc w:val="both"/>
              <w:rPr>
                <w:rFonts w:ascii="Arial" w:hAnsi="Arial" w:cs="Arial"/>
                <w:bCs/>
                <w:color w:val="000000" w:themeColor="text1"/>
                <w:sz w:val="22"/>
              </w:rPr>
            </w:pPr>
          </w:p>
          <w:p w14:paraId="069BC436" w14:textId="3FE2FB96" w:rsidR="00A37FB6" w:rsidRPr="006A0F23" w:rsidRDefault="00A37FB6" w:rsidP="00851174">
            <w:pPr>
              <w:pStyle w:val="Sinespaciado"/>
              <w:jc w:val="both"/>
              <w:rPr>
                <w:rFonts w:ascii="Arial" w:hAnsi="Arial" w:cs="Arial"/>
                <w:bCs/>
                <w:color w:val="000000" w:themeColor="text1"/>
                <w:sz w:val="22"/>
              </w:rPr>
            </w:pPr>
          </w:p>
        </w:tc>
      </w:tr>
      <w:tr w:rsidR="00A37FB6" w:rsidRPr="006A0F23" w14:paraId="62473A71" w14:textId="77777777" w:rsidTr="000825D8">
        <w:tc>
          <w:tcPr>
            <w:tcW w:w="2689" w:type="dxa"/>
          </w:tcPr>
          <w:p w14:paraId="730BF589" w14:textId="77777777" w:rsidR="00A37FB6" w:rsidRPr="006A0F23" w:rsidRDefault="00A37FB6" w:rsidP="00851174">
            <w:pPr>
              <w:pStyle w:val="Sinespaciado"/>
              <w:jc w:val="both"/>
              <w:rPr>
                <w:rFonts w:ascii="Arial" w:hAnsi="Arial" w:cs="Arial"/>
                <w:b/>
                <w:color w:val="000000" w:themeColor="text1"/>
                <w:sz w:val="22"/>
              </w:rPr>
            </w:pPr>
            <w:r w:rsidRPr="006A0F23">
              <w:rPr>
                <w:rFonts w:ascii="Arial" w:hAnsi="Arial" w:cs="Arial"/>
                <w:b/>
                <w:color w:val="000000" w:themeColor="text1"/>
                <w:sz w:val="22"/>
              </w:rPr>
              <w:t xml:space="preserve">Radicación:                              </w:t>
            </w:r>
          </w:p>
        </w:tc>
        <w:tc>
          <w:tcPr>
            <w:tcW w:w="6237" w:type="dxa"/>
          </w:tcPr>
          <w:p w14:paraId="2CD77F9B" w14:textId="4B236EDD" w:rsidR="00A37FB6" w:rsidRPr="006A0F23" w:rsidRDefault="00A37FB6" w:rsidP="004D2DD0">
            <w:pPr>
              <w:pStyle w:val="Sinespaciado"/>
              <w:jc w:val="both"/>
              <w:rPr>
                <w:rFonts w:ascii="Arial" w:hAnsi="Arial" w:cs="Arial"/>
                <w:bCs/>
                <w:color w:val="000000" w:themeColor="text1"/>
                <w:sz w:val="22"/>
              </w:rPr>
            </w:pPr>
            <w:r w:rsidRPr="006A0F23">
              <w:rPr>
                <w:rFonts w:ascii="Arial" w:hAnsi="Arial" w:cs="Arial"/>
                <w:bCs/>
                <w:color w:val="000000" w:themeColor="text1"/>
                <w:sz w:val="22"/>
              </w:rPr>
              <w:t xml:space="preserve">Respuesta a consulta # </w:t>
            </w:r>
            <w:r w:rsidR="008A5A9C" w:rsidRPr="008A5A9C">
              <w:rPr>
                <w:rFonts w:ascii="Arial" w:hAnsi="Arial" w:cs="Arial"/>
                <w:bCs/>
                <w:color w:val="000000" w:themeColor="text1"/>
                <w:sz w:val="22"/>
              </w:rPr>
              <w:t>4202013000009671</w:t>
            </w:r>
          </w:p>
        </w:tc>
      </w:tr>
    </w:tbl>
    <w:p w14:paraId="6199F8C9" w14:textId="77777777" w:rsidR="00A37FB6" w:rsidRPr="006A0F23" w:rsidRDefault="00A37FB6" w:rsidP="00D01760">
      <w:pPr>
        <w:jc w:val="both"/>
        <w:rPr>
          <w:rFonts w:ascii="Arial" w:eastAsia="Calibri" w:hAnsi="Arial" w:cs="Arial"/>
          <w:color w:val="000000" w:themeColor="text1"/>
          <w:sz w:val="22"/>
        </w:rPr>
      </w:pPr>
    </w:p>
    <w:p w14:paraId="6AEA1AE6" w14:textId="77777777" w:rsidR="00A37FB6" w:rsidRPr="006A0F23" w:rsidRDefault="00A37FB6" w:rsidP="00D01760">
      <w:pPr>
        <w:rPr>
          <w:rFonts w:ascii="Arial" w:eastAsia="Calibri" w:hAnsi="Arial" w:cs="Arial"/>
          <w:color w:val="000000" w:themeColor="text1"/>
          <w:sz w:val="22"/>
        </w:rPr>
      </w:pPr>
    </w:p>
    <w:p w14:paraId="3216C844" w14:textId="2C79AE74" w:rsidR="00A37FB6" w:rsidRPr="006A0F23" w:rsidRDefault="00A37FB6" w:rsidP="004D2DD0">
      <w:pPr>
        <w:spacing w:line="276" w:lineRule="auto"/>
        <w:ind w:right="49"/>
        <w:jc w:val="both"/>
        <w:rPr>
          <w:rFonts w:ascii="Arial" w:eastAsia="Calibri" w:hAnsi="Arial" w:cs="Arial"/>
          <w:color w:val="000000" w:themeColor="text1"/>
          <w:sz w:val="22"/>
        </w:rPr>
      </w:pPr>
      <w:r w:rsidRPr="006A0F23">
        <w:rPr>
          <w:rFonts w:ascii="Arial" w:eastAsia="Calibri" w:hAnsi="Arial" w:cs="Arial"/>
          <w:color w:val="000000" w:themeColor="text1"/>
          <w:sz w:val="22"/>
        </w:rPr>
        <w:t>Estimad</w:t>
      </w:r>
      <w:r w:rsidR="00AB745E" w:rsidRPr="006A0F23">
        <w:rPr>
          <w:rFonts w:ascii="Arial" w:eastAsia="Calibri" w:hAnsi="Arial" w:cs="Arial"/>
          <w:color w:val="000000" w:themeColor="text1"/>
          <w:sz w:val="22"/>
        </w:rPr>
        <w:t xml:space="preserve">o </w:t>
      </w:r>
      <w:r w:rsidRPr="006A0F23">
        <w:rPr>
          <w:rFonts w:ascii="Arial" w:eastAsia="Calibri" w:hAnsi="Arial" w:cs="Arial"/>
          <w:color w:val="000000" w:themeColor="text1"/>
          <w:sz w:val="22"/>
        </w:rPr>
        <w:t>señor</w:t>
      </w:r>
      <w:r w:rsidR="00AB745E" w:rsidRPr="006A0F23">
        <w:rPr>
          <w:rFonts w:ascii="Arial" w:eastAsia="Calibri" w:hAnsi="Arial" w:cs="Arial"/>
          <w:color w:val="000000" w:themeColor="text1"/>
          <w:sz w:val="22"/>
        </w:rPr>
        <w:t xml:space="preserve"> </w:t>
      </w:r>
      <w:r w:rsidR="008A5A9C">
        <w:rPr>
          <w:rFonts w:ascii="Arial" w:eastAsia="Calibri" w:hAnsi="Arial" w:cs="Arial"/>
          <w:color w:val="000000" w:themeColor="text1"/>
          <w:sz w:val="22"/>
        </w:rPr>
        <w:t>Pinillos</w:t>
      </w:r>
      <w:r w:rsidRPr="006A0F23">
        <w:rPr>
          <w:rFonts w:ascii="Arial" w:eastAsia="Calibri" w:hAnsi="Arial" w:cs="Arial"/>
          <w:color w:val="000000" w:themeColor="text1"/>
          <w:sz w:val="22"/>
        </w:rPr>
        <w:t>,</w:t>
      </w:r>
    </w:p>
    <w:p w14:paraId="2F0DA2F5" w14:textId="77777777" w:rsidR="00A37FB6" w:rsidRPr="006A0F23" w:rsidRDefault="00A37FB6" w:rsidP="00D01760">
      <w:pPr>
        <w:rPr>
          <w:rFonts w:ascii="Arial" w:eastAsia="Calibri" w:hAnsi="Arial" w:cs="Arial"/>
          <w:color w:val="000000" w:themeColor="text1"/>
          <w:sz w:val="22"/>
        </w:rPr>
      </w:pPr>
    </w:p>
    <w:p w14:paraId="39316B12" w14:textId="2047BAF5" w:rsidR="00A37FB6" w:rsidRPr="006A0F23" w:rsidRDefault="00A37FB6" w:rsidP="00D01760">
      <w:pPr>
        <w:spacing w:line="276" w:lineRule="auto"/>
        <w:ind w:right="49"/>
        <w:jc w:val="both"/>
        <w:rPr>
          <w:rFonts w:ascii="Arial" w:eastAsia="Calibri" w:hAnsi="Arial" w:cs="Arial"/>
          <w:color w:val="000000" w:themeColor="text1"/>
          <w:sz w:val="22"/>
        </w:rPr>
      </w:pPr>
      <w:r w:rsidRPr="006A0F23">
        <w:rPr>
          <w:rFonts w:ascii="Arial" w:eastAsia="Calibri" w:hAnsi="Arial" w:cs="Arial"/>
          <w:color w:val="000000" w:themeColor="text1"/>
          <w:sz w:val="22"/>
        </w:rPr>
        <w:t>La Agencia Nacional de Contratación Pública ―</w:t>
      </w:r>
      <w:r w:rsidR="004023D4" w:rsidRPr="006A0F23">
        <w:rPr>
          <w:rFonts w:ascii="Arial" w:eastAsia="Calibri" w:hAnsi="Arial" w:cs="Arial"/>
          <w:color w:val="000000" w:themeColor="text1"/>
          <w:sz w:val="22"/>
        </w:rPr>
        <w:t xml:space="preserve"> </w:t>
      </w:r>
      <w:r w:rsidRPr="006A0F23">
        <w:rPr>
          <w:rFonts w:ascii="Arial" w:eastAsia="Calibri" w:hAnsi="Arial" w:cs="Arial"/>
          <w:color w:val="000000" w:themeColor="text1"/>
          <w:sz w:val="22"/>
        </w:rPr>
        <w:t>Colombia Compra Eficiente</w:t>
      </w:r>
      <w:r w:rsidR="004023D4" w:rsidRPr="006A0F23">
        <w:rPr>
          <w:rFonts w:ascii="Arial" w:eastAsia="Calibri" w:hAnsi="Arial" w:cs="Arial"/>
          <w:color w:val="000000" w:themeColor="text1"/>
          <w:sz w:val="22"/>
        </w:rPr>
        <w:t xml:space="preserve"> </w:t>
      </w:r>
      <w:r w:rsidRPr="006A0F23">
        <w:rPr>
          <w:rFonts w:ascii="Arial" w:eastAsia="Calibri" w:hAnsi="Arial" w:cs="Arial"/>
          <w:color w:val="000000" w:themeColor="text1"/>
          <w:sz w:val="22"/>
        </w:rPr>
        <w:t xml:space="preserve">responde su </w:t>
      </w:r>
      <w:r w:rsidRPr="00000966">
        <w:rPr>
          <w:rFonts w:ascii="Arial" w:eastAsia="Calibri" w:hAnsi="Arial" w:cs="Arial"/>
          <w:color w:val="000000" w:themeColor="text1"/>
          <w:sz w:val="22"/>
        </w:rPr>
        <w:t>consulta</w:t>
      </w:r>
      <w:r w:rsidR="008A5A9C">
        <w:rPr>
          <w:rFonts w:ascii="Arial" w:eastAsia="Calibri" w:hAnsi="Arial" w:cs="Arial"/>
          <w:color w:val="000000" w:themeColor="text1"/>
          <w:sz w:val="22"/>
        </w:rPr>
        <w:t xml:space="preserve"> del 23 de octubre de 2020</w:t>
      </w:r>
      <w:r w:rsidRPr="006A0F23">
        <w:rPr>
          <w:rFonts w:ascii="Arial" w:eastAsia="Calibri" w:hAnsi="Arial" w:cs="Arial"/>
          <w:color w:val="000000" w:themeColor="text1"/>
          <w:sz w:val="22"/>
        </w:rPr>
        <w:t xml:space="preserve"> en ejercicio de la competencia otorgada por el numeral 8 del artículo 11 y el numeral 5 del artículo 3 del Decreto Ley 4170 de 2011. </w:t>
      </w:r>
    </w:p>
    <w:p w14:paraId="37E551C1" w14:textId="77777777" w:rsidR="00A37FB6" w:rsidRPr="006A0F23" w:rsidRDefault="00A37FB6" w:rsidP="004023D4">
      <w:pPr>
        <w:jc w:val="both"/>
        <w:rPr>
          <w:rFonts w:ascii="Arial" w:eastAsia="Calibri" w:hAnsi="Arial" w:cs="Arial"/>
          <w:color w:val="000000" w:themeColor="text1"/>
          <w:sz w:val="22"/>
        </w:rPr>
      </w:pPr>
    </w:p>
    <w:p w14:paraId="737E2623" w14:textId="6515A4FB" w:rsidR="00A37FB6" w:rsidRPr="006A0F23" w:rsidRDefault="00592C46" w:rsidP="00592C46">
      <w:pPr>
        <w:pStyle w:val="Prrafodelista"/>
        <w:tabs>
          <w:tab w:val="left" w:pos="284"/>
        </w:tabs>
        <w:ind w:left="0"/>
        <w:jc w:val="both"/>
        <w:rPr>
          <w:rFonts w:ascii="Arial" w:eastAsia="Calibri" w:hAnsi="Arial" w:cs="Arial"/>
          <w:b/>
          <w:color w:val="000000" w:themeColor="text1"/>
          <w:sz w:val="22"/>
        </w:rPr>
      </w:pPr>
      <w:r>
        <w:rPr>
          <w:rFonts w:ascii="Arial" w:eastAsia="Calibri" w:hAnsi="Arial" w:cs="Arial"/>
          <w:b/>
          <w:color w:val="000000" w:themeColor="text1"/>
          <w:sz w:val="22"/>
        </w:rPr>
        <w:t xml:space="preserve">1. </w:t>
      </w:r>
      <w:r w:rsidR="00A37FB6" w:rsidRPr="006A0F23">
        <w:rPr>
          <w:rFonts w:ascii="Arial" w:eastAsia="Calibri" w:hAnsi="Arial" w:cs="Arial"/>
          <w:b/>
          <w:color w:val="000000" w:themeColor="text1"/>
          <w:sz w:val="22"/>
        </w:rPr>
        <w:t>Problema</w:t>
      </w:r>
      <w:r w:rsidR="008A5A9C">
        <w:rPr>
          <w:rFonts w:ascii="Arial" w:eastAsia="Calibri" w:hAnsi="Arial" w:cs="Arial"/>
          <w:b/>
          <w:color w:val="000000" w:themeColor="text1"/>
          <w:sz w:val="22"/>
        </w:rPr>
        <w:t>s</w:t>
      </w:r>
      <w:r w:rsidR="00A37FB6" w:rsidRPr="006A0F23">
        <w:rPr>
          <w:rFonts w:ascii="Arial" w:eastAsia="Calibri" w:hAnsi="Arial" w:cs="Arial"/>
          <w:b/>
          <w:color w:val="000000" w:themeColor="text1"/>
          <w:sz w:val="22"/>
        </w:rPr>
        <w:t xml:space="preserve"> planteado</w:t>
      </w:r>
      <w:r w:rsidR="008A5A9C">
        <w:rPr>
          <w:rFonts w:ascii="Arial" w:eastAsia="Calibri" w:hAnsi="Arial" w:cs="Arial"/>
          <w:b/>
          <w:color w:val="000000" w:themeColor="text1"/>
          <w:sz w:val="22"/>
        </w:rPr>
        <w:t>s</w:t>
      </w:r>
    </w:p>
    <w:p w14:paraId="498A026D" w14:textId="77777777" w:rsidR="00A37FB6" w:rsidRPr="006A0F23" w:rsidRDefault="00A37FB6" w:rsidP="004023D4">
      <w:pPr>
        <w:tabs>
          <w:tab w:val="left" w:pos="426"/>
        </w:tabs>
        <w:jc w:val="both"/>
        <w:rPr>
          <w:rFonts w:ascii="Arial" w:eastAsia="Calibri" w:hAnsi="Arial" w:cs="Arial"/>
          <w:b/>
          <w:color w:val="000000" w:themeColor="text1"/>
          <w:sz w:val="22"/>
        </w:rPr>
      </w:pPr>
    </w:p>
    <w:p w14:paraId="11F9B382" w14:textId="69E9AD85" w:rsidR="008A5A9C" w:rsidRPr="008A5A9C" w:rsidRDefault="00A37FB6" w:rsidP="008A5A9C">
      <w:pPr>
        <w:spacing w:line="276" w:lineRule="auto"/>
        <w:ind w:right="49"/>
        <w:jc w:val="both"/>
        <w:rPr>
          <w:rFonts w:ascii="Arial" w:eastAsia="Calibri" w:hAnsi="Arial" w:cs="Arial"/>
          <w:color w:val="000000" w:themeColor="text1"/>
          <w:sz w:val="22"/>
        </w:rPr>
      </w:pPr>
      <w:r w:rsidRPr="006A0F23">
        <w:rPr>
          <w:rFonts w:ascii="Arial" w:eastAsia="Calibri" w:hAnsi="Arial" w:cs="Arial"/>
          <w:color w:val="000000" w:themeColor="text1"/>
          <w:sz w:val="22"/>
        </w:rPr>
        <w:t>Usted realiza la</w:t>
      </w:r>
      <w:r w:rsidR="008A5A9C">
        <w:rPr>
          <w:rFonts w:ascii="Arial" w:eastAsia="Calibri" w:hAnsi="Arial" w:cs="Arial"/>
          <w:color w:val="000000" w:themeColor="text1"/>
          <w:sz w:val="22"/>
        </w:rPr>
        <w:t>s</w:t>
      </w:r>
      <w:r w:rsidRPr="006A0F23">
        <w:rPr>
          <w:rFonts w:ascii="Arial" w:eastAsia="Calibri" w:hAnsi="Arial" w:cs="Arial"/>
          <w:color w:val="000000" w:themeColor="text1"/>
          <w:sz w:val="22"/>
        </w:rPr>
        <w:t xml:space="preserve"> siguiente</w:t>
      </w:r>
      <w:r w:rsidR="008A5A9C">
        <w:rPr>
          <w:rFonts w:ascii="Arial" w:eastAsia="Calibri" w:hAnsi="Arial" w:cs="Arial"/>
          <w:color w:val="000000" w:themeColor="text1"/>
          <w:sz w:val="22"/>
        </w:rPr>
        <w:t>s</w:t>
      </w:r>
      <w:r w:rsidRPr="006A0F23">
        <w:rPr>
          <w:rFonts w:ascii="Arial" w:eastAsia="Calibri" w:hAnsi="Arial" w:cs="Arial"/>
          <w:color w:val="000000" w:themeColor="text1"/>
          <w:sz w:val="22"/>
        </w:rPr>
        <w:t xml:space="preserve"> pregunta</w:t>
      </w:r>
      <w:r w:rsidR="008A5A9C">
        <w:rPr>
          <w:rFonts w:ascii="Arial" w:eastAsia="Calibri" w:hAnsi="Arial" w:cs="Arial"/>
          <w:color w:val="000000" w:themeColor="text1"/>
          <w:sz w:val="22"/>
        </w:rPr>
        <w:t>s</w:t>
      </w:r>
      <w:r w:rsidRPr="006A0F23">
        <w:rPr>
          <w:rFonts w:ascii="Arial" w:eastAsia="Calibri" w:hAnsi="Arial" w:cs="Arial"/>
          <w:color w:val="000000" w:themeColor="text1"/>
          <w:sz w:val="22"/>
        </w:rPr>
        <w:t>:</w:t>
      </w:r>
      <w:r w:rsidR="00885322">
        <w:rPr>
          <w:rFonts w:ascii="Arial" w:eastAsia="Calibri" w:hAnsi="Arial" w:cs="Arial"/>
          <w:color w:val="000000" w:themeColor="text1"/>
          <w:sz w:val="22"/>
        </w:rPr>
        <w:t xml:space="preserve"> </w:t>
      </w:r>
      <w:r w:rsidR="007B6436" w:rsidRPr="006A0F23">
        <w:rPr>
          <w:rFonts w:ascii="Arial" w:eastAsia="Calibri" w:hAnsi="Arial" w:cs="Arial"/>
          <w:color w:val="000000" w:themeColor="text1"/>
          <w:sz w:val="22"/>
        </w:rPr>
        <w:t>«</w:t>
      </w:r>
      <w:r w:rsidR="00592C46" w:rsidRPr="00912110">
        <w:rPr>
          <w:rFonts w:ascii="Arial" w:eastAsia="Calibri" w:hAnsi="Arial" w:cs="Arial"/>
          <w:color w:val="000000" w:themeColor="text1"/>
          <w:sz w:val="22"/>
        </w:rPr>
        <w:t xml:space="preserve">[…] </w:t>
      </w:r>
      <w:r w:rsidR="008A5A9C" w:rsidRPr="008A5A9C">
        <w:rPr>
          <w:rFonts w:ascii="Arial" w:eastAsia="Calibri" w:hAnsi="Arial" w:cs="Arial"/>
          <w:color w:val="000000" w:themeColor="text1"/>
          <w:sz w:val="22"/>
        </w:rPr>
        <w:t>1. Si el art. 2.2.1.1.1.5.3 del Decreto 1082 de 2015 establece que el interesado, a efectos</w:t>
      </w:r>
      <w:r w:rsidR="008A5A9C">
        <w:rPr>
          <w:rFonts w:ascii="Arial" w:eastAsia="Calibri" w:hAnsi="Arial" w:cs="Arial"/>
          <w:color w:val="000000" w:themeColor="text1"/>
          <w:sz w:val="22"/>
        </w:rPr>
        <w:t xml:space="preserve"> </w:t>
      </w:r>
      <w:r w:rsidR="008A5A9C" w:rsidRPr="008A5A9C">
        <w:rPr>
          <w:rFonts w:ascii="Arial" w:eastAsia="Calibri" w:hAnsi="Arial" w:cs="Arial"/>
          <w:color w:val="000000" w:themeColor="text1"/>
          <w:sz w:val="22"/>
        </w:rPr>
        <w:t>de acreditar su experiencia en el Registro Único de Proponentes (RUP), puede incluir</w:t>
      </w:r>
      <w:r w:rsidR="008A5A9C">
        <w:rPr>
          <w:rFonts w:ascii="Arial" w:eastAsia="Calibri" w:hAnsi="Arial" w:cs="Arial"/>
          <w:color w:val="000000" w:themeColor="text1"/>
          <w:sz w:val="22"/>
        </w:rPr>
        <w:t xml:space="preserve"> </w:t>
      </w:r>
      <w:r w:rsidR="008A5A9C" w:rsidRPr="008A5A9C">
        <w:rPr>
          <w:rFonts w:ascii="Arial" w:eastAsia="Calibri" w:hAnsi="Arial" w:cs="Arial"/>
          <w:color w:val="000000" w:themeColor="text1"/>
          <w:sz w:val="22"/>
        </w:rPr>
        <w:t>“(…) [l]os contratos celebrados por (…) sociedades en las cuales tenga o haya tenido participación</w:t>
      </w:r>
      <w:r w:rsidR="008A5A9C">
        <w:rPr>
          <w:rFonts w:ascii="Arial" w:eastAsia="Calibri" w:hAnsi="Arial" w:cs="Arial"/>
          <w:color w:val="000000" w:themeColor="text1"/>
          <w:sz w:val="22"/>
        </w:rPr>
        <w:t xml:space="preserve"> </w:t>
      </w:r>
      <w:r w:rsidR="008A5A9C" w:rsidRPr="008A5A9C">
        <w:rPr>
          <w:rFonts w:ascii="Arial" w:eastAsia="Calibri" w:hAnsi="Arial" w:cs="Arial"/>
          <w:color w:val="000000" w:themeColor="text1"/>
          <w:sz w:val="22"/>
        </w:rPr>
        <w:t>(…)”, ¿no puede entenderse que esta regla administrativa resulta plenamente</w:t>
      </w:r>
      <w:r w:rsidR="008A5A9C">
        <w:rPr>
          <w:rFonts w:ascii="Arial" w:eastAsia="Calibri" w:hAnsi="Arial" w:cs="Arial"/>
          <w:color w:val="000000" w:themeColor="text1"/>
          <w:sz w:val="22"/>
        </w:rPr>
        <w:t xml:space="preserve"> </w:t>
      </w:r>
      <w:r w:rsidR="008A5A9C" w:rsidRPr="008A5A9C">
        <w:rPr>
          <w:rFonts w:ascii="Arial" w:eastAsia="Calibri" w:hAnsi="Arial" w:cs="Arial"/>
          <w:color w:val="000000" w:themeColor="text1"/>
          <w:sz w:val="22"/>
        </w:rPr>
        <w:t>aplicable a las sociedades generadas por una escisión, en tanto uno de los atributos</w:t>
      </w:r>
      <w:r w:rsidR="008A5A9C">
        <w:rPr>
          <w:rFonts w:ascii="Arial" w:eastAsia="Calibri" w:hAnsi="Arial" w:cs="Arial"/>
          <w:color w:val="000000" w:themeColor="text1"/>
          <w:sz w:val="22"/>
        </w:rPr>
        <w:t xml:space="preserve"> </w:t>
      </w:r>
      <w:r w:rsidR="008A5A9C" w:rsidRPr="008A5A9C">
        <w:rPr>
          <w:rFonts w:ascii="Arial" w:eastAsia="Calibri" w:hAnsi="Arial" w:cs="Arial"/>
          <w:color w:val="000000" w:themeColor="text1"/>
          <w:sz w:val="22"/>
        </w:rPr>
        <w:t>de su personalidad (el patrimonio) participaba del patrimonio la sociedad original,</w:t>
      </w:r>
      <w:r w:rsidR="008A5A9C">
        <w:rPr>
          <w:rFonts w:ascii="Arial" w:eastAsia="Calibri" w:hAnsi="Arial" w:cs="Arial"/>
          <w:color w:val="000000" w:themeColor="text1"/>
          <w:sz w:val="22"/>
        </w:rPr>
        <w:t xml:space="preserve"> </w:t>
      </w:r>
      <w:r w:rsidR="008A5A9C" w:rsidRPr="008A5A9C">
        <w:rPr>
          <w:rFonts w:ascii="Arial" w:eastAsia="Calibri" w:hAnsi="Arial" w:cs="Arial"/>
          <w:color w:val="000000" w:themeColor="text1"/>
          <w:sz w:val="22"/>
        </w:rPr>
        <w:t>que celebró y ejecutó el contrato estatal correspondiente? Téngase en cuenta que sin</w:t>
      </w:r>
      <w:r w:rsidR="008A5A9C">
        <w:rPr>
          <w:rFonts w:ascii="Arial" w:eastAsia="Calibri" w:hAnsi="Arial" w:cs="Arial"/>
          <w:color w:val="000000" w:themeColor="text1"/>
          <w:sz w:val="22"/>
        </w:rPr>
        <w:t xml:space="preserve"> </w:t>
      </w:r>
      <w:r w:rsidR="008A5A9C" w:rsidRPr="008A5A9C">
        <w:rPr>
          <w:rFonts w:ascii="Arial" w:eastAsia="Calibri" w:hAnsi="Arial" w:cs="Arial"/>
          <w:color w:val="000000" w:themeColor="text1"/>
          <w:sz w:val="22"/>
        </w:rPr>
        <w:t>el patrimonio no es posible concebir a un sujeto de derecho (atributo de la</w:t>
      </w:r>
    </w:p>
    <w:p w14:paraId="336836C1" w14:textId="44B2A68D" w:rsidR="008A5A9C" w:rsidRDefault="008A5A9C" w:rsidP="008A5A9C">
      <w:pPr>
        <w:spacing w:line="276" w:lineRule="auto"/>
        <w:ind w:right="49"/>
        <w:jc w:val="both"/>
        <w:rPr>
          <w:rFonts w:ascii="Arial" w:eastAsia="Calibri" w:hAnsi="Arial" w:cs="Arial"/>
          <w:color w:val="000000" w:themeColor="text1"/>
          <w:sz w:val="22"/>
        </w:rPr>
      </w:pPr>
      <w:r w:rsidRPr="008A5A9C">
        <w:rPr>
          <w:rFonts w:ascii="Arial" w:eastAsia="Calibri" w:hAnsi="Arial" w:cs="Arial"/>
          <w:color w:val="000000" w:themeColor="text1"/>
          <w:sz w:val="22"/>
        </w:rPr>
        <w:t>personalidad).</w:t>
      </w:r>
    </w:p>
    <w:p w14:paraId="14AC43E5" w14:textId="77777777" w:rsidR="008A5A9C" w:rsidRPr="008A5A9C" w:rsidRDefault="008A5A9C" w:rsidP="008A5A9C">
      <w:pPr>
        <w:spacing w:line="276" w:lineRule="auto"/>
        <w:ind w:right="49"/>
        <w:jc w:val="both"/>
        <w:rPr>
          <w:rFonts w:ascii="Arial" w:eastAsia="Calibri" w:hAnsi="Arial" w:cs="Arial"/>
          <w:color w:val="000000" w:themeColor="text1"/>
          <w:sz w:val="22"/>
        </w:rPr>
      </w:pPr>
    </w:p>
    <w:p w14:paraId="26358556" w14:textId="54FFA423" w:rsidR="008A5A9C" w:rsidRDefault="006B0D0D" w:rsidP="008A5A9C">
      <w:pPr>
        <w:spacing w:line="276" w:lineRule="auto"/>
        <w:ind w:right="49"/>
        <w:jc w:val="both"/>
        <w:rPr>
          <w:rFonts w:ascii="Arial" w:eastAsia="Calibri" w:hAnsi="Arial" w:cs="Arial"/>
          <w:color w:val="000000" w:themeColor="text1"/>
          <w:sz w:val="22"/>
        </w:rPr>
      </w:pPr>
      <w:r>
        <w:rPr>
          <w:rFonts w:ascii="Arial" w:eastAsia="Calibri" w:hAnsi="Arial" w:cs="Arial"/>
          <w:color w:val="000000" w:themeColor="text1"/>
          <w:sz w:val="22"/>
        </w:rPr>
        <w:t>»</w:t>
      </w:r>
      <w:r w:rsidR="008A5A9C" w:rsidRPr="008A5A9C">
        <w:rPr>
          <w:rFonts w:ascii="Arial" w:eastAsia="Calibri" w:hAnsi="Arial" w:cs="Arial"/>
          <w:color w:val="000000" w:themeColor="text1"/>
          <w:sz w:val="22"/>
        </w:rPr>
        <w:t>2. Si la misma norma administrativa faculta a los integrantes de un consorcio o una</w:t>
      </w:r>
      <w:r w:rsidR="008A5A9C">
        <w:rPr>
          <w:rFonts w:ascii="Arial" w:eastAsia="Calibri" w:hAnsi="Arial" w:cs="Arial"/>
          <w:color w:val="000000" w:themeColor="text1"/>
          <w:sz w:val="22"/>
        </w:rPr>
        <w:t xml:space="preserve"> </w:t>
      </w:r>
      <w:r w:rsidR="008A5A9C" w:rsidRPr="008A5A9C">
        <w:rPr>
          <w:rFonts w:ascii="Arial" w:eastAsia="Calibri" w:hAnsi="Arial" w:cs="Arial"/>
          <w:color w:val="000000" w:themeColor="text1"/>
          <w:sz w:val="22"/>
        </w:rPr>
        <w:t>unión temporal a hacer valer la experiencia contractual de dichos entes asociativos, y</w:t>
      </w:r>
      <w:r w:rsidR="008A5A9C">
        <w:rPr>
          <w:rFonts w:ascii="Arial" w:eastAsia="Calibri" w:hAnsi="Arial" w:cs="Arial"/>
          <w:color w:val="000000" w:themeColor="text1"/>
          <w:sz w:val="22"/>
        </w:rPr>
        <w:t xml:space="preserve"> </w:t>
      </w:r>
      <w:r w:rsidR="008A5A9C" w:rsidRPr="008A5A9C">
        <w:rPr>
          <w:rFonts w:ascii="Arial" w:eastAsia="Calibri" w:hAnsi="Arial" w:cs="Arial"/>
          <w:color w:val="000000" w:themeColor="text1"/>
          <w:sz w:val="22"/>
        </w:rPr>
        <w:t>siendo que el verdadero sujeto contractual es el consorcio y la unión temporal, nunca</w:t>
      </w:r>
      <w:r w:rsidR="008A5A9C">
        <w:rPr>
          <w:rFonts w:ascii="Arial" w:eastAsia="Calibri" w:hAnsi="Arial" w:cs="Arial"/>
          <w:color w:val="000000" w:themeColor="text1"/>
          <w:sz w:val="22"/>
        </w:rPr>
        <w:t xml:space="preserve"> </w:t>
      </w:r>
      <w:r w:rsidR="008A5A9C" w:rsidRPr="008A5A9C">
        <w:rPr>
          <w:rFonts w:ascii="Arial" w:eastAsia="Calibri" w:hAnsi="Arial" w:cs="Arial"/>
          <w:color w:val="000000" w:themeColor="text1"/>
          <w:sz w:val="22"/>
        </w:rPr>
        <w:t>sus miembros, ¿por qué no aplicar este mismo razonamiento a las sociedades</w:t>
      </w:r>
      <w:r w:rsidR="008A5A9C">
        <w:rPr>
          <w:rFonts w:ascii="Arial" w:eastAsia="Calibri" w:hAnsi="Arial" w:cs="Arial"/>
          <w:color w:val="000000" w:themeColor="text1"/>
          <w:sz w:val="22"/>
        </w:rPr>
        <w:t xml:space="preserve"> </w:t>
      </w:r>
      <w:r w:rsidR="008A5A9C" w:rsidRPr="008A5A9C">
        <w:rPr>
          <w:rFonts w:ascii="Arial" w:eastAsia="Calibri" w:hAnsi="Arial" w:cs="Arial"/>
          <w:color w:val="000000" w:themeColor="text1"/>
          <w:sz w:val="22"/>
        </w:rPr>
        <w:t>producidas por la escisión de un contratista del Estado?</w:t>
      </w:r>
    </w:p>
    <w:p w14:paraId="321CFACA" w14:textId="77777777" w:rsidR="008A5A9C" w:rsidRPr="008A5A9C" w:rsidRDefault="008A5A9C" w:rsidP="008A5A9C">
      <w:pPr>
        <w:spacing w:line="276" w:lineRule="auto"/>
        <w:ind w:right="49"/>
        <w:jc w:val="both"/>
        <w:rPr>
          <w:rFonts w:ascii="Arial" w:eastAsia="Calibri" w:hAnsi="Arial" w:cs="Arial"/>
          <w:color w:val="000000" w:themeColor="text1"/>
          <w:sz w:val="22"/>
        </w:rPr>
      </w:pPr>
    </w:p>
    <w:p w14:paraId="4E8BF739" w14:textId="6E48A85B" w:rsidR="00A37FB6" w:rsidRPr="006A0F23" w:rsidRDefault="006B0D0D" w:rsidP="008A5A9C">
      <w:pPr>
        <w:spacing w:line="276" w:lineRule="auto"/>
        <w:ind w:right="49"/>
        <w:jc w:val="both"/>
        <w:rPr>
          <w:rFonts w:ascii="Arial" w:eastAsia="Calibri" w:hAnsi="Arial" w:cs="Arial"/>
          <w:color w:val="000000" w:themeColor="text1"/>
          <w:sz w:val="22"/>
        </w:rPr>
      </w:pPr>
      <w:r>
        <w:rPr>
          <w:rFonts w:ascii="Arial" w:eastAsia="Calibri" w:hAnsi="Arial" w:cs="Arial"/>
          <w:color w:val="000000" w:themeColor="text1"/>
          <w:sz w:val="22"/>
        </w:rPr>
        <w:t>»</w:t>
      </w:r>
      <w:r w:rsidR="008A5A9C" w:rsidRPr="008A5A9C">
        <w:rPr>
          <w:rFonts w:ascii="Arial" w:eastAsia="Calibri" w:hAnsi="Arial" w:cs="Arial"/>
          <w:color w:val="000000" w:themeColor="text1"/>
          <w:sz w:val="22"/>
        </w:rPr>
        <w:t>3. Igualmente, si la norma reglamentaria en comento también autoriza a los socios de</w:t>
      </w:r>
      <w:r w:rsidR="008A5A9C">
        <w:rPr>
          <w:rFonts w:ascii="Arial" w:eastAsia="Calibri" w:hAnsi="Arial" w:cs="Arial"/>
          <w:color w:val="000000" w:themeColor="text1"/>
          <w:sz w:val="22"/>
        </w:rPr>
        <w:t xml:space="preserve"> </w:t>
      </w:r>
      <w:r w:rsidR="008A5A9C" w:rsidRPr="008A5A9C">
        <w:rPr>
          <w:rFonts w:ascii="Arial" w:eastAsia="Calibri" w:hAnsi="Arial" w:cs="Arial"/>
          <w:color w:val="000000" w:themeColor="text1"/>
          <w:sz w:val="22"/>
        </w:rPr>
        <w:t>la sociedad contratista del Estado para incorporar a los primeros la experiencia</w:t>
      </w:r>
      <w:r w:rsidR="008A5A9C">
        <w:rPr>
          <w:rFonts w:ascii="Arial" w:eastAsia="Calibri" w:hAnsi="Arial" w:cs="Arial"/>
          <w:color w:val="000000" w:themeColor="text1"/>
          <w:sz w:val="22"/>
        </w:rPr>
        <w:t xml:space="preserve"> </w:t>
      </w:r>
      <w:r w:rsidR="008A5A9C" w:rsidRPr="008A5A9C">
        <w:rPr>
          <w:rFonts w:ascii="Arial" w:eastAsia="Calibri" w:hAnsi="Arial" w:cs="Arial"/>
          <w:color w:val="000000" w:themeColor="text1"/>
          <w:sz w:val="22"/>
        </w:rPr>
        <w:t xml:space="preserve">contractual </w:t>
      </w:r>
      <w:r w:rsidR="008A5A9C" w:rsidRPr="008A5A9C">
        <w:rPr>
          <w:rFonts w:ascii="Arial" w:eastAsia="Calibri" w:hAnsi="Arial" w:cs="Arial"/>
          <w:color w:val="000000" w:themeColor="text1"/>
          <w:sz w:val="22"/>
        </w:rPr>
        <w:lastRenderedPageBreak/>
        <w:t>de la segunda, ¿por qué no aplicar este mismo razonamiento a las</w:t>
      </w:r>
      <w:r w:rsidR="008A5A9C">
        <w:rPr>
          <w:rFonts w:ascii="Arial" w:eastAsia="Calibri" w:hAnsi="Arial" w:cs="Arial"/>
          <w:color w:val="000000" w:themeColor="text1"/>
          <w:sz w:val="22"/>
        </w:rPr>
        <w:t xml:space="preserve"> </w:t>
      </w:r>
      <w:r w:rsidR="008A5A9C" w:rsidRPr="008A5A9C">
        <w:rPr>
          <w:rFonts w:ascii="Arial" w:eastAsia="Calibri" w:hAnsi="Arial" w:cs="Arial"/>
          <w:color w:val="000000" w:themeColor="text1"/>
          <w:sz w:val="22"/>
        </w:rPr>
        <w:t xml:space="preserve">sociedades producidas por la escisión de un contratista del Estado? </w:t>
      </w:r>
      <w:r w:rsidR="00885322" w:rsidRPr="00912110">
        <w:rPr>
          <w:rFonts w:ascii="Arial" w:eastAsia="Calibri" w:hAnsi="Arial" w:cs="Arial"/>
          <w:color w:val="000000" w:themeColor="text1"/>
          <w:sz w:val="22"/>
        </w:rPr>
        <w:t>[…]</w:t>
      </w:r>
      <w:r w:rsidR="000E41F0" w:rsidRPr="006A0F23">
        <w:rPr>
          <w:rFonts w:ascii="Arial" w:eastAsia="Calibri" w:hAnsi="Arial" w:cs="Arial"/>
          <w:color w:val="000000" w:themeColor="text1"/>
          <w:sz w:val="22"/>
        </w:rPr>
        <w:t>»</w:t>
      </w:r>
      <w:r w:rsidR="00885322">
        <w:rPr>
          <w:rFonts w:ascii="Arial" w:eastAsia="Calibri" w:hAnsi="Arial" w:cs="Arial"/>
          <w:color w:val="000000" w:themeColor="text1"/>
          <w:sz w:val="22"/>
        </w:rPr>
        <w:t>.</w:t>
      </w:r>
    </w:p>
    <w:p w14:paraId="6A982790" w14:textId="77777777" w:rsidR="00A37FB6" w:rsidRPr="006A0F23" w:rsidRDefault="00A37FB6" w:rsidP="004023D4">
      <w:pPr>
        <w:tabs>
          <w:tab w:val="left" w:pos="426"/>
        </w:tabs>
        <w:jc w:val="both"/>
        <w:rPr>
          <w:rFonts w:ascii="Arial" w:eastAsia="Calibri" w:hAnsi="Arial" w:cs="Arial"/>
          <w:color w:val="000000" w:themeColor="text1"/>
          <w:sz w:val="22"/>
        </w:rPr>
      </w:pPr>
    </w:p>
    <w:p w14:paraId="6A32A1B1" w14:textId="7BFEFFD4" w:rsidR="00A37FB6" w:rsidRPr="00592C46" w:rsidRDefault="00592C46" w:rsidP="00592C46">
      <w:pPr>
        <w:tabs>
          <w:tab w:val="left" w:pos="426"/>
        </w:tabs>
        <w:jc w:val="both"/>
        <w:rPr>
          <w:rFonts w:ascii="Arial" w:eastAsia="Calibri" w:hAnsi="Arial" w:cs="Arial"/>
          <w:b/>
          <w:color w:val="000000" w:themeColor="text1"/>
          <w:sz w:val="22"/>
        </w:rPr>
      </w:pPr>
      <w:r>
        <w:rPr>
          <w:rFonts w:ascii="Arial" w:eastAsia="Calibri" w:hAnsi="Arial" w:cs="Arial"/>
          <w:b/>
          <w:color w:val="000000" w:themeColor="text1"/>
          <w:sz w:val="22"/>
        </w:rPr>
        <w:t xml:space="preserve">2. </w:t>
      </w:r>
      <w:r w:rsidR="00A37FB6" w:rsidRPr="00592C46">
        <w:rPr>
          <w:rFonts w:ascii="Arial" w:eastAsia="Calibri" w:hAnsi="Arial" w:cs="Arial"/>
          <w:b/>
          <w:color w:val="000000" w:themeColor="text1"/>
          <w:sz w:val="22"/>
        </w:rPr>
        <w:t>Consideraciones</w:t>
      </w:r>
    </w:p>
    <w:bookmarkEnd w:id="1"/>
    <w:p w14:paraId="0EDDB750" w14:textId="6ACE2791" w:rsidR="0006498C" w:rsidRPr="006A0F23" w:rsidRDefault="0006498C" w:rsidP="004023D4">
      <w:pPr>
        <w:jc w:val="both"/>
        <w:rPr>
          <w:rFonts w:ascii="Arial" w:hAnsi="Arial" w:cs="Arial"/>
          <w:color w:val="000000" w:themeColor="text1"/>
          <w:sz w:val="22"/>
        </w:rPr>
      </w:pPr>
    </w:p>
    <w:p w14:paraId="7CE32657" w14:textId="48F6C5CC" w:rsidR="004E0F28" w:rsidRDefault="004E0F28" w:rsidP="00FE2612">
      <w:pPr>
        <w:spacing w:line="276" w:lineRule="auto"/>
        <w:jc w:val="both"/>
        <w:rPr>
          <w:rFonts w:ascii="Arial" w:eastAsia="Calibri" w:hAnsi="Arial" w:cs="Arial"/>
          <w:b/>
          <w:sz w:val="22"/>
        </w:rPr>
      </w:pPr>
      <w:r w:rsidRPr="00271E9E">
        <w:rPr>
          <w:rFonts w:ascii="Arial" w:eastAsia="Calibri" w:hAnsi="Arial" w:cs="Arial"/>
          <w:b/>
          <w:sz w:val="22"/>
        </w:rPr>
        <w:t>2.1 Introducción</w:t>
      </w:r>
    </w:p>
    <w:p w14:paraId="3E0F0112" w14:textId="77777777" w:rsidR="00384698" w:rsidRDefault="00384698" w:rsidP="00FE2612">
      <w:pPr>
        <w:spacing w:line="276" w:lineRule="auto"/>
        <w:jc w:val="both"/>
        <w:rPr>
          <w:rFonts w:ascii="Arial" w:eastAsia="Calibri" w:hAnsi="Arial" w:cs="Arial"/>
          <w:b/>
          <w:sz w:val="22"/>
        </w:rPr>
      </w:pPr>
    </w:p>
    <w:p w14:paraId="7971E9A7" w14:textId="5B62589C" w:rsidR="003116C2" w:rsidRDefault="00384698" w:rsidP="00384698">
      <w:pPr>
        <w:spacing w:after="120" w:line="276" w:lineRule="auto"/>
        <w:jc w:val="both"/>
        <w:rPr>
          <w:rFonts w:ascii="Arial" w:eastAsia="Calibri" w:hAnsi="Arial" w:cs="Arial"/>
          <w:sz w:val="22"/>
        </w:rPr>
      </w:pPr>
      <w:r w:rsidRPr="007947DE">
        <w:rPr>
          <w:rFonts w:ascii="Arial" w:eastAsia="Calibri" w:hAnsi="Arial" w:cs="Arial"/>
          <w:sz w:val="22"/>
        </w:rPr>
        <w:t>La Agencia Nacional de Contratación Pública ― Colombia Compra Eficiente en l</w:t>
      </w:r>
      <w:r w:rsidR="005A5C0A">
        <w:rPr>
          <w:rFonts w:ascii="Arial" w:eastAsia="Calibri" w:hAnsi="Arial" w:cs="Arial"/>
          <w:sz w:val="22"/>
        </w:rPr>
        <w:t>os</w:t>
      </w:r>
      <w:r w:rsidRPr="007947DE">
        <w:rPr>
          <w:rFonts w:ascii="Arial" w:eastAsia="Calibri" w:hAnsi="Arial" w:cs="Arial"/>
          <w:sz w:val="22"/>
        </w:rPr>
        <w:t xml:space="preserve"> concepto</w:t>
      </w:r>
      <w:r w:rsidR="005A5C0A">
        <w:rPr>
          <w:rFonts w:ascii="Arial" w:eastAsia="Calibri" w:hAnsi="Arial" w:cs="Arial"/>
          <w:sz w:val="22"/>
        </w:rPr>
        <w:t>s</w:t>
      </w:r>
      <w:r w:rsidRPr="007947DE">
        <w:rPr>
          <w:rFonts w:ascii="Arial" w:eastAsia="Calibri" w:hAnsi="Arial" w:cs="Arial"/>
          <w:sz w:val="22"/>
        </w:rPr>
        <w:t xml:space="preserve"> con radicado</w:t>
      </w:r>
      <w:r w:rsidR="005A5C0A">
        <w:rPr>
          <w:rFonts w:ascii="Arial" w:eastAsia="Calibri" w:hAnsi="Arial" w:cs="Arial"/>
          <w:sz w:val="22"/>
        </w:rPr>
        <w:t>s</w:t>
      </w:r>
      <w:r w:rsidRPr="007947DE">
        <w:rPr>
          <w:rFonts w:ascii="Arial" w:eastAsia="Calibri" w:hAnsi="Arial" w:cs="Arial"/>
          <w:sz w:val="22"/>
        </w:rPr>
        <w:t xml:space="preserve"> No. </w:t>
      </w:r>
      <w:r>
        <w:rPr>
          <w:rFonts w:ascii="Arial" w:eastAsia="Calibri" w:hAnsi="Arial" w:cs="Arial"/>
          <w:sz w:val="22"/>
        </w:rPr>
        <w:t>C - 002</w:t>
      </w:r>
      <w:r w:rsidRPr="007947DE">
        <w:rPr>
          <w:rFonts w:ascii="Arial" w:eastAsia="Calibri" w:hAnsi="Arial" w:cs="Arial"/>
          <w:sz w:val="22"/>
        </w:rPr>
        <w:t xml:space="preserve"> del </w:t>
      </w:r>
      <w:r>
        <w:rPr>
          <w:rFonts w:ascii="Arial" w:eastAsia="Calibri" w:hAnsi="Arial" w:cs="Arial"/>
          <w:sz w:val="22"/>
        </w:rPr>
        <w:t>20</w:t>
      </w:r>
      <w:r w:rsidRPr="007947DE">
        <w:rPr>
          <w:rFonts w:ascii="Arial" w:eastAsia="Calibri" w:hAnsi="Arial" w:cs="Arial"/>
          <w:sz w:val="22"/>
        </w:rPr>
        <w:t xml:space="preserve"> de </w:t>
      </w:r>
      <w:r>
        <w:rPr>
          <w:rFonts w:ascii="Arial" w:eastAsia="Calibri" w:hAnsi="Arial" w:cs="Arial"/>
          <w:sz w:val="22"/>
        </w:rPr>
        <w:t>febrero</w:t>
      </w:r>
      <w:r w:rsidRPr="007947DE">
        <w:rPr>
          <w:rFonts w:ascii="Arial" w:eastAsia="Calibri" w:hAnsi="Arial" w:cs="Arial"/>
          <w:sz w:val="22"/>
        </w:rPr>
        <w:t xml:space="preserve"> de 20</w:t>
      </w:r>
      <w:r>
        <w:rPr>
          <w:rFonts w:ascii="Arial" w:eastAsia="Calibri" w:hAnsi="Arial" w:cs="Arial"/>
          <w:sz w:val="22"/>
        </w:rPr>
        <w:t>20</w:t>
      </w:r>
      <w:r w:rsidR="005A5C0A">
        <w:rPr>
          <w:rFonts w:ascii="Arial" w:eastAsia="Calibri" w:hAnsi="Arial" w:cs="Arial"/>
          <w:sz w:val="22"/>
        </w:rPr>
        <w:t xml:space="preserve"> y C-491 del 27 de julio de 2020</w:t>
      </w:r>
      <w:r w:rsidRPr="007947DE">
        <w:rPr>
          <w:rFonts w:ascii="Arial" w:eastAsia="Calibri" w:hAnsi="Arial" w:cs="Arial"/>
          <w:sz w:val="22"/>
        </w:rPr>
        <w:t>, se pronunció</w:t>
      </w:r>
      <w:r>
        <w:rPr>
          <w:rFonts w:ascii="Arial" w:eastAsia="Calibri" w:hAnsi="Arial" w:cs="Arial"/>
          <w:sz w:val="22"/>
        </w:rPr>
        <w:t xml:space="preserve"> </w:t>
      </w:r>
      <w:r w:rsidRPr="007947DE">
        <w:rPr>
          <w:rFonts w:ascii="Arial" w:eastAsia="Calibri" w:hAnsi="Arial" w:cs="Arial"/>
          <w:sz w:val="22"/>
        </w:rPr>
        <w:t>sobre las</w:t>
      </w:r>
      <w:r>
        <w:rPr>
          <w:rFonts w:ascii="Arial" w:eastAsia="Calibri" w:hAnsi="Arial" w:cs="Arial"/>
          <w:sz w:val="22"/>
        </w:rPr>
        <w:t xml:space="preserve"> figuras y reformas estatutarias de transformación, fusión y escisión, </w:t>
      </w:r>
      <w:r w:rsidR="00BF1E9C">
        <w:rPr>
          <w:rFonts w:ascii="Arial" w:eastAsia="Calibri" w:hAnsi="Arial" w:cs="Arial"/>
          <w:sz w:val="22"/>
        </w:rPr>
        <w:t xml:space="preserve">los </w:t>
      </w:r>
      <w:r>
        <w:rPr>
          <w:rFonts w:ascii="Arial" w:eastAsia="Calibri" w:hAnsi="Arial" w:cs="Arial"/>
          <w:sz w:val="22"/>
        </w:rPr>
        <w:t>cual</w:t>
      </w:r>
      <w:r w:rsidR="00BF1E9C">
        <w:rPr>
          <w:rFonts w:ascii="Arial" w:eastAsia="Calibri" w:hAnsi="Arial" w:cs="Arial"/>
          <w:sz w:val="22"/>
        </w:rPr>
        <w:t>es</w:t>
      </w:r>
      <w:r>
        <w:rPr>
          <w:rFonts w:ascii="Arial" w:eastAsia="Calibri" w:hAnsi="Arial" w:cs="Arial"/>
          <w:sz w:val="22"/>
        </w:rPr>
        <w:t xml:space="preserve"> recoge</w:t>
      </w:r>
      <w:r w:rsidR="00BF1E9C">
        <w:rPr>
          <w:rFonts w:ascii="Arial" w:eastAsia="Calibri" w:hAnsi="Arial" w:cs="Arial"/>
          <w:sz w:val="22"/>
        </w:rPr>
        <w:t>n</w:t>
      </w:r>
      <w:r>
        <w:rPr>
          <w:rFonts w:ascii="Arial" w:eastAsia="Calibri" w:hAnsi="Arial" w:cs="Arial"/>
          <w:sz w:val="22"/>
        </w:rPr>
        <w:t xml:space="preserve"> y cambia</w:t>
      </w:r>
      <w:r w:rsidR="00BF1E9C">
        <w:rPr>
          <w:rFonts w:ascii="Arial" w:eastAsia="Calibri" w:hAnsi="Arial" w:cs="Arial"/>
          <w:sz w:val="22"/>
        </w:rPr>
        <w:t>n</w:t>
      </w:r>
      <w:r>
        <w:rPr>
          <w:rFonts w:ascii="Arial" w:eastAsia="Calibri" w:hAnsi="Arial" w:cs="Arial"/>
          <w:sz w:val="22"/>
        </w:rPr>
        <w:t xml:space="preserve"> la posición anterior de la Subdirección de Gestión Contractual sobre el tema, expresada en los conceptos </w:t>
      </w:r>
      <w:r w:rsidRPr="00885322">
        <w:rPr>
          <w:rFonts w:ascii="Arial" w:eastAsia="Calibri" w:hAnsi="Arial" w:cs="Arial"/>
          <w:color w:val="000000" w:themeColor="text1"/>
          <w:sz w:val="22"/>
        </w:rPr>
        <w:t>215130007347 del</w:t>
      </w:r>
      <w:r w:rsidR="003116C2">
        <w:rPr>
          <w:rFonts w:ascii="Arial" w:eastAsia="Calibri" w:hAnsi="Arial" w:cs="Arial"/>
          <w:color w:val="000000" w:themeColor="text1"/>
          <w:sz w:val="22"/>
        </w:rPr>
        <w:t xml:space="preserve"> 7</w:t>
      </w:r>
      <w:r w:rsidRPr="00885322">
        <w:rPr>
          <w:rFonts w:ascii="Arial" w:eastAsia="Calibri" w:hAnsi="Arial" w:cs="Arial"/>
          <w:color w:val="000000" w:themeColor="text1"/>
          <w:sz w:val="22"/>
        </w:rPr>
        <w:t xml:space="preserve"> de octubre de 2015</w:t>
      </w:r>
      <w:r>
        <w:rPr>
          <w:rFonts w:ascii="Arial" w:eastAsia="Calibri" w:hAnsi="Arial" w:cs="Arial"/>
          <w:color w:val="000000" w:themeColor="text1"/>
          <w:sz w:val="22"/>
        </w:rPr>
        <w:t>,</w:t>
      </w:r>
      <w:r w:rsidRPr="00885322">
        <w:rPr>
          <w:rFonts w:ascii="Arial" w:eastAsia="Calibri" w:hAnsi="Arial" w:cs="Arial"/>
          <w:color w:val="000000" w:themeColor="text1"/>
          <w:sz w:val="22"/>
        </w:rPr>
        <w:t xml:space="preserve"> 4201714000000888 del </w:t>
      </w:r>
      <w:r w:rsidR="003116C2">
        <w:rPr>
          <w:rFonts w:ascii="Arial" w:eastAsia="Calibri" w:hAnsi="Arial" w:cs="Arial"/>
          <w:color w:val="000000" w:themeColor="text1"/>
          <w:sz w:val="22"/>
        </w:rPr>
        <w:t>22</w:t>
      </w:r>
      <w:r w:rsidRPr="00885322">
        <w:rPr>
          <w:rFonts w:ascii="Arial" w:eastAsia="Calibri" w:hAnsi="Arial" w:cs="Arial"/>
          <w:color w:val="000000" w:themeColor="text1"/>
          <w:sz w:val="22"/>
        </w:rPr>
        <w:t xml:space="preserve"> de </w:t>
      </w:r>
      <w:r w:rsidR="003116C2">
        <w:rPr>
          <w:rFonts w:ascii="Arial" w:eastAsia="Calibri" w:hAnsi="Arial" w:cs="Arial"/>
          <w:color w:val="000000" w:themeColor="text1"/>
          <w:sz w:val="22"/>
        </w:rPr>
        <w:t>marzo</w:t>
      </w:r>
      <w:r w:rsidRPr="00885322">
        <w:rPr>
          <w:rFonts w:ascii="Arial" w:eastAsia="Calibri" w:hAnsi="Arial" w:cs="Arial"/>
          <w:color w:val="000000" w:themeColor="text1"/>
          <w:sz w:val="22"/>
        </w:rPr>
        <w:t xml:space="preserve"> de 201</w:t>
      </w:r>
      <w:r w:rsidR="003116C2">
        <w:rPr>
          <w:rFonts w:ascii="Arial" w:eastAsia="Calibri" w:hAnsi="Arial" w:cs="Arial"/>
          <w:color w:val="000000" w:themeColor="text1"/>
          <w:sz w:val="22"/>
        </w:rPr>
        <w:t>7</w:t>
      </w:r>
      <w:r>
        <w:rPr>
          <w:rFonts w:ascii="Arial" w:eastAsia="Calibri" w:hAnsi="Arial" w:cs="Arial"/>
          <w:color w:val="000000" w:themeColor="text1"/>
          <w:sz w:val="22"/>
        </w:rPr>
        <w:t xml:space="preserve"> y</w:t>
      </w:r>
      <w:r w:rsidRPr="00885322">
        <w:rPr>
          <w:rFonts w:ascii="Arial" w:eastAsia="Calibri" w:hAnsi="Arial" w:cs="Arial"/>
          <w:color w:val="000000" w:themeColor="text1"/>
          <w:sz w:val="22"/>
        </w:rPr>
        <w:t xml:space="preserve"> 4201814000009419 del 2</w:t>
      </w:r>
      <w:r w:rsidR="003116C2">
        <w:rPr>
          <w:rFonts w:ascii="Arial" w:eastAsia="Calibri" w:hAnsi="Arial" w:cs="Arial"/>
          <w:color w:val="000000" w:themeColor="text1"/>
          <w:sz w:val="22"/>
        </w:rPr>
        <w:t>4</w:t>
      </w:r>
      <w:r w:rsidRPr="00885322">
        <w:rPr>
          <w:rFonts w:ascii="Arial" w:eastAsia="Calibri" w:hAnsi="Arial" w:cs="Arial"/>
          <w:color w:val="000000" w:themeColor="text1"/>
          <w:sz w:val="22"/>
        </w:rPr>
        <w:t xml:space="preserve"> de </w:t>
      </w:r>
      <w:r w:rsidR="003116C2">
        <w:rPr>
          <w:rFonts w:ascii="Arial" w:eastAsia="Calibri" w:hAnsi="Arial" w:cs="Arial"/>
          <w:color w:val="000000" w:themeColor="text1"/>
          <w:sz w:val="22"/>
        </w:rPr>
        <w:t>diciembre</w:t>
      </w:r>
      <w:r w:rsidRPr="00885322">
        <w:rPr>
          <w:rFonts w:ascii="Arial" w:eastAsia="Calibri" w:hAnsi="Arial" w:cs="Arial"/>
          <w:color w:val="000000" w:themeColor="text1"/>
          <w:sz w:val="22"/>
        </w:rPr>
        <w:t xml:space="preserve"> de 201</w:t>
      </w:r>
      <w:r w:rsidR="003116C2">
        <w:rPr>
          <w:rFonts w:ascii="Arial" w:eastAsia="Calibri" w:hAnsi="Arial" w:cs="Arial"/>
          <w:color w:val="000000" w:themeColor="text1"/>
          <w:sz w:val="22"/>
        </w:rPr>
        <w:t>8</w:t>
      </w:r>
      <w:r w:rsidRPr="007947DE">
        <w:rPr>
          <w:rFonts w:ascii="Arial" w:eastAsia="Calibri" w:hAnsi="Arial" w:cs="Arial"/>
          <w:sz w:val="22"/>
        </w:rPr>
        <w:t xml:space="preserve">. </w:t>
      </w:r>
    </w:p>
    <w:p w14:paraId="50ED28F1" w14:textId="66EE4637" w:rsidR="00384698" w:rsidRDefault="003116C2" w:rsidP="003116C2">
      <w:pPr>
        <w:spacing w:after="120" w:line="276" w:lineRule="auto"/>
        <w:ind w:firstLine="708"/>
        <w:jc w:val="both"/>
        <w:rPr>
          <w:rFonts w:ascii="Arial" w:eastAsia="Calibri" w:hAnsi="Arial" w:cs="Arial"/>
          <w:sz w:val="22"/>
        </w:rPr>
      </w:pPr>
      <w:r>
        <w:rPr>
          <w:rFonts w:ascii="Arial" w:eastAsia="Calibri" w:hAnsi="Arial" w:cs="Arial"/>
          <w:sz w:val="22"/>
        </w:rPr>
        <w:t xml:space="preserve">Estos conceptos sostenían que en la fusión y </w:t>
      </w:r>
      <w:r w:rsidR="003513C4">
        <w:rPr>
          <w:rFonts w:ascii="Arial" w:eastAsia="Calibri" w:hAnsi="Arial" w:cs="Arial"/>
          <w:sz w:val="22"/>
        </w:rPr>
        <w:t xml:space="preserve">en la </w:t>
      </w:r>
      <w:r>
        <w:rPr>
          <w:rFonts w:ascii="Arial" w:eastAsia="Calibri" w:hAnsi="Arial" w:cs="Arial"/>
          <w:sz w:val="22"/>
        </w:rPr>
        <w:t xml:space="preserve">escisión no era posible la transferencia de la experiencia porque esta es personal e intransferible, de acuerdo con el artículo </w:t>
      </w:r>
      <w:r w:rsidR="000825D8" w:rsidRPr="000825D8">
        <w:rPr>
          <w:rFonts w:ascii="Arial" w:eastAsia="Calibri" w:hAnsi="Arial" w:cs="Arial"/>
          <w:sz w:val="22"/>
        </w:rPr>
        <w:t>2.2.1.1.1.5.3.</w:t>
      </w:r>
      <w:r w:rsidR="000825D8">
        <w:rPr>
          <w:rFonts w:ascii="Arial" w:eastAsia="Calibri" w:hAnsi="Arial" w:cs="Arial"/>
          <w:sz w:val="22"/>
        </w:rPr>
        <w:t xml:space="preserve"> </w:t>
      </w:r>
      <w:r>
        <w:rPr>
          <w:rFonts w:ascii="Arial" w:eastAsia="Calibri" w:hAnsi="Arial" w:cs="Arial"/>
          <w:sz w:val="22"/>
        </w:rPr>
        <w:t>del Decreto 1082 de 2015 que dispone: «[…]</w:t>
      </w:r>
      <w:r w:rsidR="000825D8">
        <w:rPr>
          <w:rFonts w:ascii="Arial" w:eastAsia="Calibri" w:hAnsi="Arial" w:cs="Arial"/>
          <w:sz w:val="22"/>
        </w:rPr>
        <w:t xml:space="preserve"> </w:t>
      </w:r>
      <w:r w:rsidRPr="003116C2">
        <w:rPr>
          <w:rFonts w:ascii="Arial" w:eastAsia="Calibri" w:hAnsi="Arial" w:cs="Arial"/>
          <w:sz w:val="22"/>
        </w:rPr>
        <w:t>Los contratos celebrados por el interesado para cada uno de los bienes, obras y servicios que ofrecerá a las Entidades Estatales, identificados con el Clasificador de Bienes y Servicios en el tercer nivel y su valor expresado en SMMLV</w:t>
      </w:r>
      <w:r w:rsidR="00F7120D">
        <w:rPr>
          <w:rFonts w:ascii="Arial" w:eastAsia="Calibri" w:hAnsi="Arial" w:cs="Arial"/>
          <w:sz w:val="22"/>
        </w:rPr>
        <w:t xml:space="preserve"> </w:t>
      </w:r>
      <w:r w:rsidR="000825D8">
        <w:rPr>
          <w:rFonts w:ascii="Arial" w:eastAsia="Calibri" w:hAnsi="Arial" w:cs="Arial"/>
          <w:sz w:val="22"/>
        </w:rPr>
        <w:t>[…]</w:t>
      </w:r>
      <w:r>
        <w:rPr>
          <w:rFonts w:ascii="Arial" w:eastAsia="Calibri" w:hAnsi="Arial" w:cs="Arial"/>
          <w:sz w:val="22"/>
        </w:rPr>
        <w:t>»</w:t>
      </w:r>
      <w:r w:rsidR="000825D8">
        <w:rPr>
          <w:rFonts w:ascii="Arial" w:eastAsia="Calibri" w:hAnsi="Arial" w:cs="Arial"/>
          <w:sz w:val="22"/>
        </w:rPr>
        <w:t>. No obstante, de conformidad con la regulación aplicable y teniendo en cuenta los conceptos de «disolución</w:t>
      </w:r>
      <w:r w:rsidR="00AF5A6D">
        <w:rPr>
          <w:rFonts w:ascii="Arial" w:eastAsia="Calibri" w:hAnsi="Arial" w:cs="Arial"/>
          <w:sz w:val="22"/>
        </w:rPr>
        <w:t>»</w:t>
      </w:r>
      <w:r w:rsidR="000825D8">
        <w:rPr>
          <w:rFonts w:ascii="Arial" w:eastAsia="Calibri" w:hAnsi="Arial" w:cs="Arial"/>
          <w:sz w:val="22"/>
        </w:rPr>
        <w:t xml:space="preserve"> y </w:t>
      </w:r>
      <w:r w:rsidR="00AF5A6D">
        <w:rPr>
          <w:rFonts w:ascii="Arial" w:eastAsia="Calibri" w:hAnsi="Arial" w:cs="Arial"/>
          <w:sz w:val="22"/>
        </w:rPr>
        <w:t>«</w:t>
      </w:r>
      <w:r w:rsidR="000825D8">
        <w:rPr>
          <w:rFonts w:ascii="Arial" w:eastAsia="Calibri" w:hAnsi="Arial" w:cs="Arial"/>
          <w:sz w:val="22"/>
        </w:rPr>
        <w:t>liquidación</w:t>
      </w:r>
      <w:r w:rsidR="00AF5A6D">
        <w:rPr>
          <w:rFonts w:ascii="Arial" w:eastAsia="Calibri" w:hAnsi="Arial" w:cs="Arial"/>
          <w:sz w:val="22"/>
        </w:rPr>
        <w:t>»</w:t>
      </w:r>
      <w:r w:rsidR="003513C4">
        <w:rPr>
          <w:rFonts w:ascii="Arial" w:eastAsia="Calibri" w:hAnsi="Arial" w:cs="Arial"/>
          <w:sz w:val="22"/>
        </w:rPr>
        <w:t xml:space="preserve"> del Código de Comercio</w:t>
      </w:r>
      <w:r w:rsidR="00AF5A6D">
        <w:rPr>
          <w:rFonts w:ascii="Arial" w:eastAsia="Calibri" w:hAnsi="Arial" w:cs="Arial"/>
          <w:sz w:val="22"/>
        </w:rPr>
        <w:t xml:space="preserve">, </w:t>
      </w:r>
      <w:r w:rsidR="003513C4">
        <w:rPr>
          <w:rFonts w:ascii="Arial" w:eastAsia="Calibri" w:hAnsi="Arial" w:cs="Arial"/>
          <w:sz w:val="22"/>
        </w:rPr>
        <w:t xml:space="preserve">que se desarrollarán más adelante, </w:t>
      </w:r>
      <w:r w:rsidR="00AF5A6D">
        <w:rPr>
          <w:rFonts w:ascii="Arial" w:eastAsia="Calibri" w:hAnsi="Arial" w:cs="Arial"/>
          <w:sz w:val="22"/>
        </w:rPr>
        <w:t>en l</w:t>
      </w:r>
      <w:r w:rsidR="005A5C0A">
        <w:rPr>
          <w:rFonts w:ascii="Arial" w:eastAsia="Calibri" w:hAnsi="Arial" w:cs="Arial"/>
          <w:sz w:val="22"/>
        </w:rPr>
        <w:t>os</w:t>
      </w:r>
      <w:r w:rsidR="00AF5A6D">
        <w:rPr>
          <w:rFonts w:ascii="Arial" w:eastAsia="Calibri" w:hAnsi="Arial" w:cs="Arial"/>
          <w:sz w:val="22"/>
        </w:rPr>
        <w:t xml:space="preserve"> concepto</w:t>
      </w:r>
      <w:r w:rsidR="005A5C0A">
        <w:rPr>
          <w:rFonts w:ascii="Arial" w:eastAsia="Calibri" w:hAnsi="Arial" w:cs="Arial"/>
          <w:sz w:val="22"/>
        </w:rPr>
        <w:t>s</w:t>
      </w:r>
      <w:r w:rsidR="00AF5A6D">
        <w:rPr>
          <w:rFonts w:ascii="Arial" w:eastAsia="Calibri" w:hAnsi="Arial" w:cs="Arial"/>
          <w:sz w:val="22"/>
        </w:rPr>
        <w:t xml:space="preserve"> C - 002</w:t>
      </w:r>
      <w:r w:rsidR="00AF5A6D" w:rsidRPr="007947DE">
        <w:rPr>
          <w:rFonts w:ascii="Arial" w:eastAsia="Calibri" w:hAnsi="Arial" w:cs="Arial"/>
          <w:sz w:val="22"/>
        </w:rPr>
        <w:t xml:space="preserve"> del </w:t>
      </w:r>
      <w:r w:rsidR="00AF5A6D">
        <w:rPr>
          <w:rFonts w:ascii="Arial" w:eastAsia="Calibri" w:hAnsi="Arial" w:cs="Arial"/>
          <w:sz w:val="22"/>
        </w:rPr>
        <w:t>20</w:t>
      </w:r>
      <w:r w:rsidR="00AF5A6D" w:rsidRPr="007947DE">
        <w:rPr>
          <w:rFonts w:ascii="Arial" w:eastAsia="Calibri" w:hAnsi="Arial" w:cs="Arial"/>
          <w:sz w:val="22"/>
        </w:rPr>
        <w:t xml:space="preserve"> de </w:t>
      </w:r>
      <w:r w:rsidR="00AF5A6D">
        <w:rPr>
          <w:rFonts w:ascii="Arial" w:eastAsia="Calibri" w:hAnsi="Arial" w:cs="Arial"/>
          <w:sz w:val="22"/>
        </w:rPr>
        <w:t>febrero</w:t>
      </w:r>
      <w:r w:rsidR="00AF5A6D" w:rsidRPr="007947DE">
        <w:rPr>
          <w:rFonts w:ascii="Arial" w:eastAsia="Calibri" w:hAnsi="Arial" w:cs="Arial"/>
          <w:sz w:val="22"/>
        </w:rPr>
        <w:t xml:space="preserve"> de 20</w:t>
      </w:r>
      <w:r w:rsidR="00AF5A6D">
        <w:rPr>
          <w:rFonts w:ascii="Arial" w:eastAsia="Calibri" w:hAnsi="Arial" w:cs="Arial"/>
          <w:sz w:val="22"/>
        </w:rPr>
        <w:t xml:space="preserve">20 </w:t>
      </w:r>
      <w:r w:rsidR="005A5C0A">
        <w:rPr>
          <w:rFonts w:ascii="Arial" w:eastAsia="Calibri" w:hAnsi="Arial" w:cs="Arial"/>
          <w:sz w:val="22"/>
        </w:rPr>
        <w:t>y C-491 del 27 de julio de 2020</w:t>
      </w:r>
      <w:r w:rsidR="005A5C0A" w:rsidRPr="007947DE">
        <w:rPr>
          <w:rFonts w:ascii="Arial" w:eastAsia="Calibri" w:hAnsi="Arial" w:cs="Arial"/>
          <w:sz w:val="22"/>
        </w:rPr>
        <w:t>,</w:t>
      </w:r>
      <w:r w:rsidR="005A5C0A">
        <w:rPr>
          <w:rFonts w:ascii="Arial" w:eastAsia="Calibri" w:hAnsi="Arial" w:cs="Arial"/>
          <w:sz w:val="22"/>
        </w:rPr>
        <w:t xml:space="preserve"> </w:t>
      </w:r>
      <w:r w:rsidR="00AF5A6D">
        <w:rPr>
          <w:rFonts w:ascii="Arial" w:eastAsia="Calibri" w:hAnsi="Arial" w:cs="Arial"/>
          <w:sz w:val="22"/>
        </w:rPr>
        <w:t>se señala que es viable la transferencia de experiencia en la transformación y en la fusión</w:t>
      </w:r>
      <w:r w:rsidR="003513C4">
        <w:rPr>
          <w:rFonts w:ascii="Arial" w:eastAsia="Calibri" w:hAnsi="Arial" w:cs="Arial"/>
          <w:sz w:val="22"/>
        </w:rPr>
        <w:t>,</w:t>
      </w:r>
      <w:r w:rsidR="00AF5A6D">
        <w:rPr>
          <w:rFonts w:ascii="Arial" w:eastAsia="Calibri" w:hAnsi="Arial" w:cs="Arial"/>
          <w:sz w:val="22"/>
        </w:rPr>
        <w:t xml:space="preserve"> pero no en la escisión</w:t>
      </w:r>
      <w:r w:rsidR="00B93160">
        <w:rPr>
          <w:rFonts w:ascii="Arial" w:eastAsia="Calibri" w:hAnsi="Arial" w:cs="Arial"/>
          <w:sz w:val="22"/>
        </w:rPr>
        <w:t>,</w:t>
      </w:r>
      <w:r w:rsidR="00AF5A6D">
        <w:rPr>
          <w:rFonts w:ascii="Arial" w:eastAsia="Calibri" w:hAnsi="Arial" w:cs="Arial"/>
          <w:sz w:val="22"/>
        </w:rPr>
        <w:t xml:space="preserve"> lo cual se ratifica ahora. </w:t>
      </w:r>
      <w:r w:rsidR="00384698" w:rsidRPr="007947DE">
        <w:rPr>
          <w:rFonts w:ascii="Arial" w:eastAsia="Calibri" w:hAnsi="Arial" w:cs="Arial"/>
          <w:sz w:val="22"/>
        </w:rPr>
        <w:t>La tesis desarrollada en dicho</w:t>
      </w:r>
      <w:r w:rsidR="00B93160">
        <w:rPr>
          <w:rFonts w:ascii="Arial" w:eastAsia="Calibri" w:hAnsi="Arial" w:cs="Arial"/>
          <w:sz w:val="22"/>
        </w:rPr>
        <w:t>s</w:t>
      </w:r>
      <w:r w:rsidR="00384698" w:rsidRPr="007947DE">
        <w:rPr>
          <w:rFonts w:ascii="Arial" w:eastAsia="Calibri" w:hAnsi="Arial" w:cs="Arial"/>
          <w:sz w:val="22"/>
        </w:rPr>
        <w:t xml:space="preserve"> concepto</w:t>
      </w:r>
      <w:r w:rsidR="00B93160">
        <w:rPr>
          <w:rFonts w:ascii="Arial" w:eastAsia="Calibri" w:hAnsi="Arial" w:cs="Arial"/>
          <w:sz w:val="22"/>
        </w:rPr>
        <w:t>s</w:t>
      </w:r>
      <w:r w:rsidR="00384698" w:rsidRPr="007947DE">
        <w:rPr>
          <w:rFonts w:ascii="Arial" w:eastAsia="Calibri" w:hAnsi="Arial" w:cs="Arial"/>
          <w:sz w:val="22"/>
        </w:rPr>
        <w:t xml:space="preserve"> </w:t>
      </w:r>
      <w:r w:rsidR="00B93160">
        <w:rPr>
          <w:rFonts w:ascii="Arial" w:eastAsia="Calibri" w:hAnsi="Arial" w:cs="Arial"/>
          <w:sz w:val="22"/>
        </w:rPr>
        <w:t>se</w:t>
      </w:r>
      <w:r w:rsidR="00384698" w:rsidRPr="007947DE">
        <w:rPr>
          <w:rFonts w:ascii="Arial" w:eastAsia="Calibri" w:hAnsi="Arial" w:cs="Arial"/>
          <w:sz w:val="22"/>
        </w:rPr>
        <w:t xml:space="preserve"> expone a continuación</w:t>
      </w:r>
      <w:r w:rsidR="00384698">
        <w:rPr>
          <w:rFonts w:ascii="Arial" w:eastAsia="Calibri" w:hAnsi="Arial" w:cs="Arial"/>
          <w:sz w:val="22"/>
        </w:rPr>
        <w:t>.</w:t>
      </w:r>
    </w:p>
    <w:p w14:paraId="6B529E0C" w14:textId="5E089B3F" w:rsidR="004E0F28" w:rsidRPr="00271E9E" w:rsidRDefault="004E0F28" w:rsidP="00384698">
      <w:pPr>
        <w:spacing w:line="276" w:lineRule="auto"/>
        <w:ind w:firstLine="708"/>
        <w:jc w:val="both"/>
        <w:rPr>
          <w:rFonts w:ascii="Arial" w:eastAsia="Calibri" w:hAnsi="Arial" w:cs="Arial"/>
          <w:sz w:val="22"/>
        </w:rPr>
      </w:pPr>
      <w:r w:rsidRPr="00271E9E">
        <w:rPr>
          <w:rFonts w:ascii="Arial" w:eastAsia="Calibri" w:hAnsi="Arial" w:cs="Arial"/>
          <w:sz w:val="22"/>
        </w:rPr>
        <w:t xml:space="preserve">La contratación pública involucra, entre otras relaciones, la interacción entre la Administración Pública y quienes buscan ofrecerle al Estado los bienes, obras o servicios que requiere para satisfacer sus necesidades, y en esa medida cumplir con el fin principal que es satisfacer el interés general. Por tanto, esa relación entre el Estado y los proveedores se enmarca en las reglas establecidas en la normativa del Sistema de Compra Pública, con el fin de </w:t>
      </w:r>
      <w:r w:rsidR="00082E8C">
        <w:rPr>
          <w:rFonts w:ascii="Arial" w:eastAsia="Calibri" w:hAnsi="Arial" w:cs="Arial"/>
          <w:sz w:val="22"/>
        </w:rPr>
        <w:t>lograr</w:t>
      </w:r>
      <w:r w:rsidR="00A50DA6">
        <w:rPr>
          <w:rFonts w:ascii="Arial" w:eastAsia="Calibri" w:hAnsi="Arial" w:cs="Arial"/>
          <w:sz w:val="22"/>
        </w:rPr>
        <w:t xml:space="preserve"> </w:t>
      </w:r>
      <w:r w:rsidRPr="00271E9E">
        <w:rPr>
          <w:rFonts w:ascii="Arial" w:eastAsia="Calibri" w:hAnsi="Arial" w:cs="Arial"/>
          <w:sz w:val="22"/>
        </w:rPr>
        <w:t>el cumplimiento de los principios de la</w:t>
      </w:r>
      <w:r w:rsidR="00A510E3">
        <w:rPr>
          <w:rFonts w:ascii="Arial" w:eastAsia="Calibri" w:hAnsi="Arial" w:cs="Arial"/>
          <w:sz w:val="22"/>
        </w:rPr>
        <w:t xml:space="preserve"> función administrativa y la</w:t>
      </w:r>
      <w:r w:rsidRPr="00271E9E">
        <w:rPr>
          <w:rFonts w:ascii="Arial" w:eastAsia="Calibri" w:hAnsi="Arial" w:cs="Arial"/>
          <w:sz w:val="22"/>
        </w:rPr>
        <w:t xml:space="preserve"> contratación pública, entre otros objetivos.</w:t>
      </w:r>
    </w:p>
    <w:p w14:paraId="5B86194F" w14:textId="6AB40004" w:rsidR="004E0F28" w:rsidRPr="00271E9E" w:rsidRDefault="004E0F28" w:rsidP="004E0F28">
      <w:pPr>
        <w:spacing w:before="120" w:after="120" w:line="276" w:lineRule="auto"/>
        <w:ind w:firstLine="708"/>
        <w:jc w:val="both"/>
        <w:rPr>
          <w:rFonts w:ascii="Arial" w:eastAsia="Calibri" w:hAnsi="Arial" w:cs="Arial"/>
          <w:sz w:val="22"/>
        </w:rPr>
      </w:pPr>
      <w:r w:rsidRPr="00271E9E">
        <w:rPr>
          <w:rFonts w:ascii="Arial" w:eastAsia="Calibri" w:hAnsi="Arial" w:cs="Arial"/>
          <w:sz w:val="22"/>
        </w:rPr>
        <w:t xml:space="preserve">Por consiguiente, la normativa del Sistema de Compra Pública contiene disposiciones que le indican a la entidad las actividades y documentos que debe desarrollar en sus procedimientos contractuales, y con base en ello los proveedores pueden conocer los aspectos del objeto de la contratación para </w:t>
      </w:r>
      <w:r w:rsidR="005E4406">
        <w:rPr>
          <w:rFonts w:ascii="Arial" w:eastAsia="Calibri" w:hAnsi="Arial" w:cs="Arial"/>
          <w:sz w:val="22"/>
        </w:rPr>
        <w:t xml:space="preserve">elaborar y </w:t>
      </w:r>
      <w:r w:rsidRPr="00271E9E">
        <w:rPr>
          <w:rFonts w:ascii="Arial" w:eastAsia="Calibri" w:hAnsi="Arial" w:cs="Arial"/>
          <w:sz w:val="22"/>
        </w:rPr>
        <w:t>presentar sus ofertas</w:t>
      </w:r>
      <w:r w:rsidR="001A4ABE">
        <w:rPr>
          <w:rFonts w:ascii="Arial" w:eastAsia="Calibri" w:hAnsi="Arial" w:cs="Arial"/>
          <w:sz w:val="22"/>
        </w:rPr>
        <w:t>. Lo anterior</w:t>
      </w:r>
      <w:r w:rsidRPr="00271E9E">
        <w:rPr>
          <w:rFonts w:ascii="Arial" w:eastAsia="Calibri" w:hAnsi="Arial" w:cs="Arial"/>
          <w:sz w:val="22"/>
        </w:rPr>
        <w:t xml:space="preserve"> teniendo en cuenta los parámetros que define la entidad en la etapa de planeación del proceso, de acuerdo con las normas relacionadas con la adquisición de que se trate, y que quedan definidos en el pliego de condiciones como documento del proceso. </w:t>
      </w:r>
    </w:p>
    <w:p w14:paraId="4285DBB8" w14:textId="65A09BB2" w:rsidR="004E0F28" w:rsidRPr="00271E9E" w:rsidRDefault="004E0F28" w:rsidP="004E0F28">
      <w:pPr>
        <w:spacing w:before="120" w:after="120" w:line="276" w:lineRule="auto"/>
        <w:ind w:firstLine="708"/>
        <w:jc w:val="both"/>
        <w:rPr>
          <w:rFonts w:ascii="Arial" w:eastAsia="Calibri" w:hAnsi="Arial" w:cs="Arial"/>
          <w:sz w:val="22"/>
        </w:rPr>
      </w:pPr>
      <w:r w:rsidRPr="00271E9E">
        <w:rPr>
          <w:rFonts w:ascii="Arial" w:eastAsia="Calibri" w:hAnsi="Arial" w:cs="Arial"/>
          <w:sz w:val="22"/>
        </w:rPr>
        <w:lastRenderedPageBreak/>
        <w:t xml:space="preserve">En ese sentido, se debe tener en cuenta que de acuerdo con la Ley 80 de 1993, pueden ser </w:t>
      </w:r>
      <w:r w:rsidR="00954138">
        <w:rPr>
          <w:rFonts w:ascii="Arial" w:eastAsia="Calibri" w:hAnsi="Arial" w:cs="Arial"/>
          <w:sz w:val="22"/>
        </w:rPr>
        <w:t>contratistas</w:t>
      </w:r>
      <w:r w:rsidR="00954138" w:rsidRPr="00271E9E">
        <w:rPr>
          <w:rFonts w:ascii="Arial" w:eastAsia="Calibri" w:hAnsi="Arial" w:cs="Arial"/>
          <w:sz w:val="22"/>
        </w:rPr>
        <w:t xml:space="preserve"> </w:t>
      </w:r>
      <w:r w:rsidRPr="00271E9E">
        <w:rPr>
          <w:rFonts w:ascii="Arial" w:eastAsia="Calibri" w:hAnsi="Arial" w:cs="Arial"/>
          <w:sz w:val="22"/>
        </w:rPr>
        <w:t xml:space="preserve">del Estado las personas consideradas legalmente capaces, </w:t>
      </w:r>
      <w:r w:rsidR="00954138">
        <w:rPr>
          <w:rFonts w:ascii="Arial" w:eastAsia="Calibri" w:hAnsi="Arial" w:cs="Arial"/>
          <w:sz w:val="22"/>
        </w:rPr>
        <w:t xml:space="preserve">entre otras, </w:t>
      </w:r>
      <w:r w:rsidRPr="00271E9E">
        <w:rPr>
          <w:rFonts w:ascii="Arial" w:eastAsia="Calibri" w:hAnsi="Arial" w:cs="Arial"/>
          <w:sz w:val="22"/>
        </w:rPr>
        <w:t>las personas jurídicas</w:t>
      </w:r>
      <w:r w:rsidRPr="00271E9E">
        <w:rPr>
          <w:rStyle w:val="Refdenotaalpie"/>
          <w:rFonts w:ascii="Arial" w:eastAsia="Calibri" w:hAnsi="Arial" w:cs="Arial"/>
          <w:sz w:val="22"/>
        </w:rPr>
        <w:footnoteReference w:id="1"/>
      </w:r>
      <w:r w:rsidRPr="00271E9E">
        <w:rPr>
          <w:rFonts w:ascii="Arial" w:eastAsia="Calibri" w:hAnsi="Arial" w:cs="Arial"/>
          <w:sz w:val="22"/>
        </w:rPr>
        <w:t xml:space="preserve">, que de acuerdo con el Código Civil tienen capacidad </w:t>
      </w:r>
      <w:r>
        <w:rPr>
          <w:rFonts w:ascii="Arial" w:eastAsia="Calibri" w:hAnsi="Arial" w:cs="Arial"/>
          <w:sz w:val="22"/>
        </w:rPr>
        <w:t>para</w:t>
      </w:r>
      <w:r w:rsidRPr="00271E9E">
        <w:rPr>
          <w:rFonts w:ascii="Arial" w:eastAsia="Calibri" w:hAnsi="Arial" w:cs="Arial"/>
          <w:sz w:val="22"/>
        </w:rPr>
        <w:t xml:space="preserve"> ejercer derechos y contraer obligaciones. Un tipo de persona</w:t>
      </w:r>
      <w:r w:rsidR="00954138">
        <w:rPr>
          <w:rFonts w:ascii="Arial" w:eastAsia="Calibri" w:hAnsi="Arial" w:cs="Arial"/>
          <w:sz w:val="22"/>
        </w:rPr>
        <w:t>s</w:t>
      </w:r>
      <w:r w:rsidRPr="00271E9E">
        <w:rPr>
          <w:rFonts w:ascii="Arial" w:eastAsia="Calibri" w:hAnsi="Arial" w:cs="Arial"/>
          <w:sz w:val="22"/>
        </w:rPr>
        <w:t xml:space="preserve"> jurídica</w:t>
      </w:r>
      <w:r w:rsidR="00954138">
        <w:rPr>
          <w:rFonts w:ascii="Arial" w:eastAsia="Calibri" w:hAnsi="Arial" w:cs="Arial"/>
          <w:sz w:val="22"/>
        </w:rPr>
        <w:t>s</w:t>
      </w:r>
      <w:r w:rsidRPr="00271E9E">
        <w:rPr>
          <w:rFonts w:ascii="Arial" w:eastAsia="Calibri" w:hAnsi="Arial" w:cs="Arial"/>
          <w:sz w:val="22"/>
        </w:rPr>
        <w:t xml:space="preserve"> son las sociedades comerciales</w:t>
      </w:r>
      <w:r w:rsidRPr="00271E9E">
        <w:rPr>
          <w:rStyle w:val="Refdenotaalpie"/>
          <w:rFonts w:ascii="Arial" w:eastAsia="Calibri" w:hAnsi="Arial" w:cs="Arial"/>
          <w:sz w:val="22"/>
        </w:rPr>
        <w:footnoteReference w:id="2"/>
      </w:r>
      <w:r w:rsidR="00694D8E">
        <w:rPr>
          <w:rFonts w:ascii="Arial" w:eastAsia="Calibri" w:hAnsi="Arial" w:cs="Arial"/>
          <w:sz w:val="22"/>
        </w:rPr>
        <w:t>,</w:t>
      </w:r>
      <w:r w:rsidRPr="00271E9E">
        <w:rPr>
          <w:rFonts w:ascii="Arial" w:eastAsia="Calibri" w:hAnsi="Arial" w:cs="Arial"/>
          <w:sz w:val="22"/>
        </w:rPr>
        <w:t xml:space="preserve"> reguladas, principalmente, en el Código de Comercio</w:t>
      </w:r>
      <w:r w:rsidRPr="00271E9E">
        <w:rPr>
          <w:rStyle w:val="Refdenotaalpie"/>
          <w:rFonts w:ascii="Arial" w:eastAsia="Calibri" w:hAnsi="Arial" w:cs="Arial"/>
          <w:sz w:val="22"/>
        </w:rPr>
        <w:footnoteReference w:id="3"/>
      </w:r>
      <w:r w:rsidRPr="00271E9E">
        <w:rPr>
          <w:rFonts w:ascii="Arial" w:eastAsia="Calibri" w:hAnsi="Arial" w:cs="Arial"/>
          <w:sz w:val="22"/>
        </w:rPr>
        <w:t>, donde se establecen las figuras y reformas estatutarias aplicables a estas</w:t>
      </w:r>
      <w:r w:rsidR="00070A64">
        <w:rPr>
          <w:rFonts w:ascii="Arial" w:eastAsia="Calibri" w:hAnsi="Arial" w:cs="Arial"/>
          <w:sz w:val="22"/>
        </w:rPr>
        <w:t>, tales</w:t>
      </w:r>
      <w:r w:rsidRPr="00271E9E">
        <w:rPr>
          <w:rFonts w:ascii="Arial" w:eastAsia="Calibri" w:hAnsi="Arial" w:cs="Arial"/>
          <w:sz w:val="22"/>
        </w:rPr>
        <w:t xml:space="preserve"> como</w:t>
      </w:r>
      <w:r w:rsidR="00070A64">
        <w:rPr>
          <w:rFonts w:ascii="Arial" w:eastAsia="Calibri" w:hAnsi="Arial" w:cs="Arial"/>
          <w:sz w:val="22"/>
        </w:rPr>
        <w:t>,</w:t>
      </w:r>
      <w:r w:rsidRPr="00271E9E">
        <w:rPr>
          <w:rFonts w:ascii="Arial" w:eastAsia="Calibri" w:hAnsi="Arial" w:cs="Arial"/>
          <w:sz w:val="22"/>
        </w:rPr>
        <w:t xml:space="preserve"> la transformación, la escisión y la fusión.   </w:t>
      </w:r>
    </w:p>
    <w:p w14:paraId="244AEA87" w14:textId="216C45E8" w:rsidR="004E0F28" w:rsidRPr="00271E9E" w:rsidRDefault="004E0F28" w:rsidP="008F0346">
      <w:pPr>
        <w:spacing w:line="276" w:lineRule="auto"/>
        <w:ind w:firstLine="708"/>
        <w:jc w:val="both"/>
        <w:rPr>
          <w:rFonts w:ascii="Arial" w:eastAsia="Calibri" w:hAnsi="Arial" w:cs="Arial"/>
          <w:sz w:val="22"/>
        </w:rPr>
      </w:pPr>
      <w:r w:rsidRPr="00271E9E">
        <w:rPr>
          <w:rFonts w:ascii="Arial" w:eastAsia="Calibri" w:hAnsi="Arial" w:cs="Arial"/>
          <w:sz w:val="22"/>
        </w:rPr>
        <w:t>Por tanto, para resolver su consulta</w:t>
      </w:r>
      <w:r w:rsidR="00694D8E">
        <w:rPr>
          <w:rFonts w:ascii="Arial" w:eastAsia="Calibri" w:hAnsi="Arial" w:cs="Arial"/>
          <w:sz w:val="22"/>
        </w:rPr>
        <w:t>,</w:t>
      </w:r>
      <w:r w:rsidRPr="00271E9E">
        <w:rPr>
          <w:rFonts w:ascii="Arial" w:eastAsia="Calibri" w:hAnsi="Arial" w:cs="Arial"/>
          <w:sz w:val="22"/>
        </w:rPr>
        <w:t xml:space="preserve"> relacionada con la transferencia de experiencia de las personas jurídicas: i) en primer lugar se </w:t>
      </w:r>
      <w:r w:rsidR="00954138">
        <w:rPr>
          <w:rFonts w:ascii="Arial" w:eastAsia="Calibri" w:hAnsi="Arial" w:cs="Arial"/>
          <w:sz w:val="22"/>
        </w:rPr>
        <w:t>expondrá</w:t>
      </w:r>
      <w:r w:rsidR="00954138" w:rsidRPr="00271E9E">
        <w:rPr>
          <w:rFonts w:ascii="Arial" w:eastAsia="Calibri" w:hAnsi="Arial" w:cs="Arial"/>
          <w:sz w:val="22"/>
        </w:rPr>
        <w:t xml:space="preserve"> </w:t>
      </w:r>
      <w:r w:rsidRPr="00271E9E">
        <w:rPr>
          <w:rFonts w:ascii="Arial" w:eastAsia="Calibri" w:hAnsi="Arial" w:cs="Arial"/>
          <w:sz w:val="22"/>
        </w:rPr>
        <w:t xml:space="preserve">la regulación sobre </w:t>
      </w:r>
      <w:r w:rsidR="00954138">
        <w:rPr>
          <w:rFonts w:ascii="Arial" w:eastAsia="Calibri" w:hAnsi="Arial" w:cs="Arial"/>
          <w:sz w:val="22"/>
        </w:rPr>
        <w:t xml:space="preserve">la </w:t>
      </w:r>
      <w:r w:rsidRPr="00271E9E">
        <w:rPr>
          <w:rFonts w:ascii="Arial" w:eastAsia="Calibri" w:hAnsi="Arial" w:cs="Arial"/>
          <w:sz w:val="22"/>
        </w:rPr>
        <w:t xml:space="preserve">experiencia; ii) después </w:t>
      </w:r>
      <w:r w:rsidR="00954138">
        <w:rPr>
          <w:rFonts w:ascii="Arial" w:eastAsia="Calibri" w:hAnsi="Arial" w:cs="Arial"/>
          <w:sz w:val="22"/>
        </w:rPr>
        <w:t xml:space="preserve"> se analizará</w:t>
      </w:r>
      <w:r w:rsidRPr="00271E9E">
        <w:rPr>
          <w:rFonts w:ascii="Arial" w:eastAsia="Calibri" w:hAnsi="Arial" w:cs="Arial"/>
          <w:sz w:val="22"/>
        </w:rPr>
        <w:t xml:space="preserve"> </w:t>
      </w:r>
      <w:r w:rsidR="00070A64">
        <w:rPr>
          <w:rFonts w:ascii="Arial" w:eastAsia="Calibri" w:hAnsi="Arial" w:cs="Arial"/>
          <w:sz w:val="22"/>
        </w:rPr>
        <w:t>el tema de la experiencia</w:t>
      </w:r>
      <w:r w:rsidR="00FF4F46">
        <w:rPr>
          <w:rFonts w:ascii="Arial" w:eastAsia="Calibri" w:hAnsi="Arial" w:cs="Arial"/>
          <w:sz w:val="22"/>
        </w:rPr>
        <w:t xml:space="preserve"> </w:t>
      </w:r>
      <w:r w:rsidR="00954138">
        <w:rPr>
          <w:rFonts w:ascii="Arial" w:eastAsia="Calibri" w:hAnsi="Arial" w:cs="Arial"/>
          <w:sz w:val="22"/>
        </w:rPr>
        <w:t>en relación con</w:t>
      </w:r>
      <w:r w:rsidR="0051293F">
        <w:rPr>
          <w:rFonts w:ascii="Arial" w:eastAsia="Calibri" w:hAnsi="Arial" w:cs="Arial"/>
          <w:sz w:val="22"/>
        </w:rPr>
        <w:t xml:space="preserve"> la escisión</w:t>
      </w:r>
      <w:r w:rsidR="00954138">
        <w:rPr>
          <w:rFonts w:ascii="Arial" w:eastAsia="Calibri" w:hAnsi="Arial" w:cs="Arial"/>
          <w:sz w:val="22"/>
        </w:rPr>
        <w:t>,</w:t>
      </w:r>
      <w:r w:rsidR="0051293F">
        <w:rPr>
          <w:rFonts w:ascii="Arial" w:eastAsia="Calibri" w:hAnsi="Arial" w:cs="Arial"/>
          <w:sz w:val="22"/>
        </w:rPr>
        <w:t xml:space="preserve"> como</w:t>
      </w:r>
      <w:r w:rsidRPr="00271E9E">
        <w:rPr>
          <w:rFonts w:ascii="Arial" w:eastAsia="Calibri" w:hAnsi="Arial" w:cs="Arial"/>
          <w:sz w:val="22"/>
        </w:rPr>
        <w:t xml:space="preserve"> figura que aplica a las sociedades comerciales; y finalmente iii) se determinará si es posible transferir la experiencia </w:t>
      </w:r>
      <w:r w:rsidR="00694D8E">
        <w:rPr>
          <w:rFonts w:ascii="Arial" w:eastAsia="Calibri" w:hAnsi="Arial" w:cs="Arial"/>
          <w:sz w:val="22"/>
        </w:rPr>
        <w:t xml:space="preserve">en virtud de </w:t>
      </w:r>
      <w:r w:rsidRPr="00271E9E">
        <w:rPr>
          <w:rFonts w:ascii="Arial" w:eastAsia="Calibri" w:hAnsi="Arial" w:cs="Arial"/>
          <w:sz w:val="22"/>
        </w:rPr>
        <w:t xml:space="preserve">la </w:t>
      </w:r>
      <w:r w:rsidR="00C56E30">
        <w:rPr>
          <w:rFonts w:ascii="Arial" w:eastAsia="Calibri" w:hAnsi="Arial" w:cs="Arial"/>
          <w:sz w:val="22"/>
        </w:rPr>
        <w:t>escisión</w:t>
      </w:r>
      <w:r w:rsidRPr="00271E9E">
        <w:rPr>
          <w:rFonts w:ascii="Arial" w:eastAsia="Calibri" w:hAnsi="Arial" w:cs="Arial"/>
          <w:sz w:val="22"/>
        </w:rPr>
        <w:t xml:space="preserve"> de una empresa. </w:t>
      </w:r>
    </w:p>
    <w:p w14:paraId="6913F7DC" w14:textId="77777777" w:rsidR="004E0F28" w:rsidRPr="00271E9E" w:rsidRDefault="004E0F28" w:rsidP="008F0346">
      <w:pPr>
        <w:spacing w:line="276" w:lineRule="auto"/>
        <w:jc w:val="both"/>
        <w:rPr>
          <w:rFonts w:ascii="Arial" w:eastAsia="Calibri" w:hAnsi="Arial" w:cs="Arial"/>
          <w:sz w:val="22"/>
        </w:rPr>
      </w:pPr>
    </w:p>
    <w:p w14:paraId="3E18A351" w14:textId="77777777" w:rsidR="004E0F28" w:rsidRPr="00271E9E" w:rsidRDefault="004E0F28" w:rsidP="008F0346">
      <w:pPr>
        <w:spacing w:line="276" w:lineRule="auto"/>
        <w:jc w:val="both"/>
        <w:rPr>
          <w:rFonts w:ascii="Arial" w:eastAsia="Calibri" w:hAnsi="Arial" w:cs="Arial"/>
          <w:b/>
          <w:sz w:val="22"/>
        </w:rPr>
      </w:pPr>
      <w:r w:rsidRPr="00271E9E">
        <w:rPr>
          <w:rFonts w:ascii="Arial" w:eastAsia="Calibri" w:hAnsi="Arial" w:cs="Arial"/>
          <w:b/>
          <w:sz w:val="22"/>
        </w:rPr>
        <w:t>2.2 Experiencia en la contratación pública: aproximación general al concepto y consideraciones del ente rector de la contratación pública</w:t>
      </w:r>
    </w:p>
    <w:p w14:paraId="523E1F95" w14:textId="77777777" w:rsidR="004E0F28" w:rsidRPr="00271E9E" w:rsidRDefault="004E0F28" w:rsidP="008F0346">
      <w:pPr>
        <w:spacing w:line="276" w:lineRule="auto"/>
        <w:jc w:val="both"/>
        <w:rPr>
          <w:rFonts w:ascii="Arial" w:eastAsia="Calibri" w:hAnsi="Arial" w:cs="Arial"/>
          <w:b/>
          <w:sz w:val="22"/>
        </w:rPr>
      </w:pPr>
    </w:p>
    <w:p w14:paraId="344E8A12" w14:textId="51C295F2" w:rsidR="004E0F28" w:rsidRPr="00271E9E" w:rsidRDefault="00954138" w:rsidP="008F0346">
      <w:pPr>
        <w:spacing w:line="276" w:lineRule="auto"/>
        <w:jc w:val="both"/>
        <w:rPr>
          <w:rFonts w:ascii="Arial" w:eastAsia="Calibri" w:hAnsi="Arial" w:cs="Arial"/>
          <w:b/>
          <w:sz w:val="22"/>
        </w:rPr>
      </w:pPr>
      <w:r>
        <w:rPr>
          <w:rFonts w:ascii="Arial" w:eastAsia="Calibri" w:hAnsi="Arial" w:cs="Arial"/>
          <w:b/>
          <w:sz w:val="22"/>
        </w:rPr>
        <w:t>2.</w:t>
      </w:r>
      <w:r w:rsidR="0071411B">
        <w:rPr>
          <w:rFonts w:ascii="Arial" w:eastAsia="Calibri" w:hAnsi="Arial" w:cs="Arial"/>
          <w:b/>
          <w:sz w:val="22"/>
        </w:rPr>
        <w:t>2</w:t>
      </w:r>
      <w:r>
        <w:rPr>
          <w:rFonts w:ascii="Arial" w:eastAsia="Calibri" w:hAnsi="Arial" w:cs="Arial"/>
          <w:b/>
          <w:sz w:val="22"/>
        </w:rPr>
        <w:t>.1.</w:t>
      </w:r>
      <w:r w:rsidR="004E0F28" w:rsidRPr="00271E9E">
        <w:rPr>
          <w:rFonts w:ascii="Arial" w:eastAsia="Calibri" w:hAnsi="Arial" w:cs="Arial"/>
          <w:b/>
          <w:sz w:val="22"/>
        </w:rPr>
        <w:t xml:space="preserve"> Norma general</w:t>
      </w:r>
    </w:p>
    <w:p w14:paraId="4413A071" w14:textId="77777777" w:rsidR="004E0F28" w:rsidRPr="00271E9E" w:rsidRDefault="004E0F28" w:rsidP="008F0346">
      <w:pPr>
        <w:spacing w:line="276" w:lineRule="auto"/>
        <w:jc w:val="both"/>
        <w:rPr>
          <w:rFonts w:ascii="Arial" w:eastAsia="Calibri" w:hAnsi="Arial" w:cs="Arial"/>
          <w:b/>
          <w:sz w:val="22"/>
        </w:rPr>
      </w:pPr>
    </w:p>
    <w:p w14:paraId="3FFEE8F7" w14:textId="30FF3563" w:rsidR="004E0F28" w:rsidRPr="00271E9E" w:rsidRDefault="004E0F28" w:rsidP="008F0346">
      <w:pPr>
        <w:spacing w:line="276" w:lineRule="auto"/>
        <w:jc w:val="both"/>
        <w:rPr>
          <w:rFonts w:ascii="Arial" w:eastAsia="Calibri" w:hAnsi="Arial" w:cs="Arial"/>
          <w:sz w:val="22"/>
          <w:highlight w:val="yellow"/>
        </w:rPr>
      </w:pPr>
      <w:r w:rsidRPr="00271E9E">
        <w:rPr>
          <w:rFonts w:ascii="Arial" w:eastAsia="Calibri" w:hAnsi="Arial" w:cs="Arial"/>
          <w:sz w:val="22"/>
        </w:rPr>
        <w:t xml:space="preserve">La Ley 1150 de 2007, en el artículo 5, establece los requisitos habilitantes para participar en un procedimiento </w:t>
      </w:r>
      <w:r w:rsidR="00954138">
        <w:rPr>
          <w:rFonts w:ascii="Arial" w:eastAsia="Calibri" w:hAnsi="Arial" w:cs="Arial"/>
          <w:sz w:val="22"/>
        </w:rPr>
        <w:t>de selección</w:t>
      </w:r>
      <w:r w:rsidRPr="00271E9E">
        <w:rPr>
          <w:rFonts w:ascii="Arial" w:eastAsia="Calibri" w:hAnsi="Arial" w:cs="Arial"/>
          <w:sz w:val="22"/>
        </w:rPr>
        <w:t>, dentro de los cuales se destaca la experiencia, y cuyo propósito es que las entidades fijen unos requisitos mínimos que debe tener y acreditar el proponente, para que la entidad pueda verificar su aptitud para participar en el procedimiento de contratación y, si se le adjudica, ejecutar el contrato estatal</w:t>
      </w:r>
      <w:r w:rsidRPr="00271E9E">
        <w:rPr>
          <w:rStyle w:val="Refdenotaalpie"/>
          <w:rFonts w:ascii="Arial" w:eastAsia="Calibri" w:hAnsi="Arial" w:cs="Arial"/>
          <w:sz w:val="22"/>
        </w:rPr>
        <w:footnoteReference w:id="4"/>
      </w:r>
      <w:r w:rsidRPr="00271E9E">
        <w:rPr>
          <w:rFonts w:ascii="Arial" w:eastAsia="Calibri" w:hAnsi="Arial" w:cs="Arial"/>
          <w:sz w:val="22"/>
        </w:rPr>
        <w:t xml:space="preserve">. En ese </w:t>
      </w:r>
      <w:r w:rsidRPr="00271E9E">
        <w:rPr>
          <w:rFonts w:ascii="Arial" w:eastAsia="Calibri" w:hAnsi="Arial" w:cs="Arial"/>
          <w:sz w:val="22"/>
        </w:rPr>
        <w:lastRenderedPageBreak/>
        <w:t>sentido, la entidad</w:t>
      </w:r>
      <w:r>
        <w:rPr>
          <w:rFonts w:ascii="Arial" w:eastAsia="Calibri" w:hAnsi="Arial" w:cs="Arial"/>
          <w:sz w:val="22"/>
        </w:rPr>
        <w:t>,</w:t>
      </w:r>
      <w:r w:rsidRPr="00271E9E">
        <w:rPr>
          <w:rFonts w:ascii="Arial" w:eastAsia="Calibri" w:hAnsi="Arial" w:cs="Arial"/>
          <w:sz w:val="22"/>
        </w:rPr>
        <w:t xml:space="preserve"> como responsable de la estructuración de su procedimiento de contratación, es autónoma para requerir la experiencia necesaria para el objeto contractual que se pretende satisfacer con el procedimiento, para lo cual, de acuerdo con el artículo 2.2.1.1.1.6.2. del Decreto 1082 de 2015, debe tener en cuenta el estudio del sector y sus componentes como la identificación de riesgos, el mercado y precio del bien, obra o servicio a contratar</w:t>
      </w:r>
      <w:r w:rsidRPr="00271E9E">
        <w:rPr>
          <w:rStyle w:val="Refdenotaalpie"/>
          <w:rFonts w:ascii="Arial" w:eastAsia="Calibri" w:hAnsi="Arial" w:cs="Arial"/>
          <w:sz w:val="22"/>
        </w:rPr>
        <w:footnoteReference w:id="5"/>
      </w:r>
      <w:r w:rsidRPr="00271E9E">
        <w:rPr>
          <w:rFonts w:ascii="Arial" w:eastAsia="Calibri" w:hAnsi="Arial" w:cs="Arial"/>
          <w:sz w:val="22"/>
        </w:rPr>
        <w:t>.</w:t>
      </w:r>
    </w:p>
    <w:p w14:paraId="313C245F" w14:textId="7E2E9B13" w:rsidR="004E0F28" w:rsidRPr="00271E9E" w:rsidRDefault="004E0F28" w:rsidP="004E0F28">
      <w:pPr>
        <w:spacing w:before="120" w:after="120" w:line="276" w:lineRule="auto"/>
        <w:ind w:firstLine="708"/>
        <w:jc w:val="both"/>
        <w:rPr>
          <w:rFonts w:ascii="Arial" w:eastAsia="Calibri" w:hAnsi="Arial" w:cs="Arial"/>
          <w:sz w:val="22"/>
        </w:rPr>
      </w:pPr>
      <w:r w:rsidRPr="00271E9E">
        <w:rPr>
          <w:rFonts w:ascii="Arial" w:eastAsia="Calibri" w:hAnsi="Arial" w:cs="Arial"/>
          <w:sz w:val="22"/>
        </w:rPr>
        <w:t xml:space="preserve">La experiencia que se deriva de los contratos que el proponente ha celebrado y ejecutado con diferentes contratantes, sin importar la naturaleza de estos, se verifica con el Registro Único de Proponentes </w:t>
      </w:r>
      <w:r w:rsidR="004E7E29">
        <w:rPr>
          <w:rFonts w:ascii="Arial" w:eastAsia="Calibri" w:hAnsi="Arial" w:cs="Arial"/>
          <w:sz w:val="22"/>
        </w:rPr>
        <w:t>–</w:t>
      </w:r>
      <w:r w:rsidRPr="00271E9E">
        <w:rPr>
          <w:rFonts w:ascii="Arial" w:eastAsia="Calibri" w:hAnsi="Arial" w:cs="Arial"/>
          <w:sz w:val="22"/>
        </w:rPr>
        <w:t>RUP</w:t>
      </w:r>
      <w:r w:rsidR="004E7E29">
        <w:rPr>
          <w:rFonts w:ascii="Arial" w:eastAsia="Calibri" w:hAnsi="Arial" w:cs="Arial"/>
          <w:sz w:val="22"/>
        </w:rPr>
        <w:t>–</w:t>
      </w:r>
      <w:r w:rsidRPr="00271E9E">
        <w:rPr>
          <w:rStyle w:val="Refdenotaalpie"/>
          <w:rFonts w:ascii="Arial" w:eastAsia="Calibri" w:hAnsi="Arial" w:cs="Arial"/>
          <w:sz w:val="22"/>
        </w:rPr>
        <w:footnoteReference w:id="6"/>
      </w:r>
      <w:r w:rsidRPr="00271E9E">
        <w:rPr>
          <w:rFonts w:ascii="Arial" w:eastAsia="Calibri" w:hAnsi="Arial" w:cs="Arial"/>
          <w:sz w:val="22"/>
        </w:rPr>
        <w:t xml:space="preserve">, cuando este certificado sea exigible de acuerdo con la ley, en el cual constan los requisitos habilitantes que se evalúan exclusivamente con este documento, que es su plena prueba, sin que la entidad o </w:t>
      </w:r>
      <w:r w:rsidR="00694D8E">
        <w:rPr>
          <w:rFonts w:ascii="Arial" w:eastAsia="Calibri" w:hAnsi="Arial" w:cs="Arial"/>
          <w:sz w:val="22"/>
        </w:rPr>
        <w:t>e</w:t>
      </w:r>
      <w:r w:rsidRPr="00271E9E">
        <w:rPr>
          <w:rFonts w:ascii="Arial" w:eastAsia="Calibri" w:hAnsi="Arial" w:cs="Arial"/>
          <w:sz w:val="22"/>
        </w:rPr>
        <w:t>l proponente</w:t>
      </w:r>
      <w:r w:rsidR="004E7E29">
        <w:rPr>
          <w:rFonts w:ascii="Arial" w:eastAsia="Calibri" w:hAnsi="Arial" w:cs="Arial"/>
          <w:sz w:val="22"/>
        </w:rPr>
        <w:t>, en principio,</w:t>
      </w:r>
      <w:r w:rsidRPr="00271E9E">
        <w:rPr>
          <w:rFonts w:ascii="Arial" w:eastAsia="Calibri" w:hAnsi="Arial" w:cs="Arial"/>
          <w:sz w:val="22"/>
        </w:rPr>
        <w:t xml:space="preserve"> </w:t>
      </w:r>
      <w:r w:rsidR="00694D8E">
        <w:rPr>
          <w:rFonts w:ascii="Arial" w:eastAsia="Calibri" w:hAnsi="Arial" w:cs="Arial"/>
          <w:sz w:val="22"/>
        </w:rPr>
        <w:t xml:space="preserve">puedan </w:t>
      </w:r>
      <w:r w:rsidRPr="00271E9E">
        <w:rPr>
          <w:rFonts w:ascii="Arial" w:eastAsia="Calibri" w:hAnsi="Arial" w:cs="Arial"/>
          <w:sz w:val="22"/>
        </w:rPr>
        <w:t>solicitar o aportar otra documentación</w:t>
      </w:r>
      <w:r w:rsidRPr="00271E9E">
        <w:rPr>
          <w:rStyle w:val="Refdenotaalpie"/>
          <w:rFonts w:ascii="Arial" w:eastAsia="Calibri" w:hAnsi="Arial" w:cs="Arial"/>
          <w:sz w:val="22"/>
        </w:rPr>
        <w:footnoteReference w:id="7"/>
      </w:r>
      <w:r w:rsidRPr="00271E9E">
        <w:rPr>
          <w:rFonts w:ascii="Arial" w:eastAsia="Calibri" w:hAnsi="Arial" w:cs="Arial"/>
          <w:sz w:val="22"/>
        </w:rPr>
        <w:t>.</w:t>
      </w:r>
    </w:p>
    <w:p w14:paraId="6B4C25C7" w14:textId="6CE49650" w:rsidR="004E0F28" w:rsidRPr="00271E9E" w:rsidRDefault="004E0F28" w:rsidP="008F0346">
      <w:pPr>
        <w:spacing w:line="276" w:lineRule="auto"/>
        <w:ind w:firstLine="708"/>
        <w:jc w:val="both"/>
        <w:rPr>
          <w:rFonts w:ascii="Arial" w:eastAsia="Calibri" w:hAnsi="Arial" w:cs="Arial"/>
          <w:sz w:val="22"/>
        </w:rPr>
      </w:pPr>
      <w:r w:rsidRPr="00271E9E">
        <w:rPr>
          <w:rFonts w:ascii="Arial" w:eastAsia="Calibri" w:hAnsi="Arial" w:cs="Arial"/>
          <w:sz w:val="22"/>
        </w:rPr>
        <w:lastRenderedPageBreak/>
        <w:t>Respecto de la experiencia, esta debe inscribirse, renovarse o actualizarse en el RUP con copia de los contratos o con certificados de los contratos celebrados por el proponente con diferentes contratantes, quienes son terceros que los expiden cuando el contrato fue ejecutado y recibieron los bienes, obras o servicios de parte del proponente</w:t>
      </w:r>
      <w:r w:rsidR="004E7E29">
        <w:rPr>
          <w:rFonts w:ascii="Arial" w:eastAsia="Calibri" w:hAnsi="Arial" w:cs="Arial"/>
          <w:sz w:val="22"/>
        </w:rPr>
        <w:t>.</w:t>
      </w:r>
      <w:r w:rsidRPr="00271E9E">
        <w:rPr>
          <w:rFonts w:ascii="Arial" w:eastAsia="Calibri" w:hAnsi="Arial" w:cs="Arial"/>
          <w:sz w:val="22"/>
        </w:rPr>
        <w:t xml:space="preserve"> </w:t>
      </w:r>
      <w:r w:rsidR="004E7E29">
        <w:rPr>
          <w:rFonts w:ascii="Arial" w:eastAsia="Calibri" w:hAnsi="Arial" w:cs="Arial"/>
          <w:sz w:val="22"/>
        </w:rPr>
        <w:t>E</w:t>
      </w:r>
      <w:r w:rsidRPr="00271E9E">
        <w:rPr>
          <w:rFonts w:ascii="Arial" w:eastAsia="Calibri" w:hAnsi="Arial" w:cs="Arial"/>
          <w:sz w:val="22"/>
        </w:rPr>
        <w:t>sos documentos deben codificarse con el clasificador de bienes y servicios en el tercer nivel</w:t>
      </w:r>
      <w:r w:rsidRPr="00271E9E">
        <w:rPr>
          <w:rStyle w:val="Refdenotaalpie"/>
          <w:rFonts w:ascii="Arial" w:eastAsia="Calibri" w:hAnsi="Arial" w:cs="Arial"/>
          <w:sz w:val="22"/>
        </w:rPr>
        <w:footnoteReference w:id="8"/>
      </w:r>
      <w:r w:rsidRPr="00271E9E">
        <w:rPr>
          <w:rFonts w:ascii="Arial" w:eastAsia="Calibri" w:hAnsi="Arial" w:cs="Arial"/>
          <w:sz w:val="22"/>
        </w:rPr>
        <w:t>. De esta manera, lo que se verifica con el RUP</w:t>
      </w:r>
      <w:r w:rsidR="004E7E29">
        <w:rPr>
          <w:rFonts w:ascii="Arial" w:eastAsia="Calibri" w:hAnsi="Arial" w:cs="Arial"/>
          <w:sz w:val="22"/>
        </w:rPr>
        <w:t>, entre otros requisitos,</w:t>
      </w:r>
      <w:r w:rsidRPr="00271E9E">
        <w:rPr>
          <w:rFonts w:ascii="Arial" w:eastAsia="Calibri" w:hAnsi="Arial" w:cs="Arial"/>
          <w:sz w:val="22"/>
        </w:rPr>
        <w:t xml:space="preserve"> es que el proponente tenga experiencia en la ejecución del objeto que pretende contratar la entidad, esto es, que haya celebrado y ejecutado contratos que se asimilen a la necesidad que la entidad requiere satisfacer con el procedimiento contractual, sin que sea necesario que su objeto sea idéntico.</w:t>
      </w:r>
    </w:p>
    <w:p w14:paraId="63523841" w14:textId="77777777" w:rsidR="004E0F28" w:rsidRPr="00271E9E" w:rsidRDefault="004E0F28" w:rsidP="008F0346">
      <w:pPr>
        <w:spacing w:line="276" w:lineRule="auto"/>
        <w:jc w:val="both"/>
        <w:rPr>
          <w:rFonts w:ascii="Arial" w:eastAsia="Calibri" w:hAnsi="Arial" w:cs="Arial"/>
          <w:sz w:val="22"/>
        </w:rPr>
      </w:pPr>
    </w:p>
    <w:p w14:paraId="64450448" w14:textId="1867664A" w:rsidR="004E0F28" w:rsidRPr="00271E9E" w:rsidRDefault="00954138" w:rsidP="008F0346">
      <w:pPr>
        <w:spacing w:line="276" w:lineRule="auto"/>
        <w:jc w:val="both"/>
        <w:rPr>
          <w:rFonts w:ascii="Arial" w:eastAsia="Calibri" w:hAnsi="Arial" w:cs="Arial"/>
          <w:b/>
          <w:bCs/>
          <w:sz w:val="22"/>
        </w:rPr>
      </w:pPr>
      <w:r>
        <w:rPr>
          <w:rFonts w:ascii="Arial" w:eastAsia="Calibri" w:hAnsi="Arial" w:cs="Arial"/>
          <w:b/>
          <w:bCs/>
          <w:sz w:val="22"/>
        </w:rPr>
        <w:t>2.</w:t>
      </w:r>
      <w:r w:rsidR="0071411B">
        <w:rPr>
          <w:rFonts w:ascii="Arial" w:eastAsia="Calibri" w:hAnsi="Arial" w:cs="Arial"/>
          <w:b/>
          <w:bCs/>
          <w:sz w:val="22"/>
        </w:rPr>
        <w:t>2</w:t>
      </w:r>
      <w:r>
        <w:rPr>
          <w:rFonts w:ascii="Arial" w:eastAsia="Calibri" w:hAnsi="Arial" w:cs="Arial"/>
          <w:b/>
          <w:bCs/>
          <w:sz w:val="22"/>
        </w:rPr>
        <w:t>.2.</w:t>
      </w:r>
      <w:r w:rsidR="004E0F28" w:rsidRPr="00271E9E">
        <w:rPr>
          <w:rFonts w:ascii="Arial" w:eastAsia="Calibri" w:hAnsi="Arial" w:cs="Arial"/>
          <w:b/>
          <w:bCs/>
          <w:sz w:val="22"/>
        </w:rPr>
        <w:t xml:space="preserve"> Consideraciones de Colombia Compra Eficiente respecto de la experiencia</w:t>
      </w:r>
    </w:p>
    <w:p w14:paraId="46C222DC" w14:textId="77777777" w:rsidR="004E0F28" w:rsidRPr="00271E9E" w:rsidRDefault="004E0F28" w:rsidP="008F0346">
      <w:pPr>
        <w:spacing w:line="276" w:lineRule="auto"/>
        <w:jc w:val="both"/>
        <w:rPr>
          <w:rFonts w:ascii="Arial" w:eastAsia="Calibri" w:hAnsi="Arial" w:cs="Arial"/>
          <w:b/>
          <w:bCs/>
          <w:sz w:val="22"/>
        </w:rPr>
      </w:pPr>
    </w:p>
    <w:p w14:paraId="20C0308F" w14:textId="3E49BD3A" w:rsidR="004E0F28" w:rsidRPr="00271E9E" w:rsidRDefault="004E0F28" w:rsidP="008F0346">
      <w:pPr>
        <w:spacing w:line="276" w:lineRule="auto"/>
        <w:jc w:val="both"/>
        <w:rPr>
          <w:rFonts w:ascii="Arial" w:eastAsia="Calibri" w:hAnsi="Arial" w:cs="Arial"/>
          <w:sz w:val="22"/>
        </w:rPr>
      </w:pPr>
      <w:r w:rsidRPr="00271E9E">
        <w:rPr>
          <w:rFonts w:ascii="Arial" w:eastAsia="Calibri" w:hAnsi="Arial" w:cs="Arial"/>
          <w:sz w:val="22"/>
        </w:rPr>
        <w:t xml:space="preserve">La Agencia Nacional de Contratación Pública </w:t>
      </w:r>
      <w:r w:rsidR="004E7E29">
        <w:rPr>
          <w:rFonts w:ascii="Arial" w:eastAsia="Calibri" w:hAnsi="Arial" w:cs="Arial"/>
          <w:sz w:val="22"/>
        </w:rPr>
        <w:t>–</w:t>
      </w:r>
      <w:r w:rsidRPr="00271E9E">
        <w:rPr>
          <w:rFonts w:ascii="Arial" w:eastAsia="Calibri" w:hAnsi="Arial" w:cs="Arial"/>
          <w:sz w:val="22"/>
        </w:rPr>
        <w:t xml:space="preserve"> Colombia Compra Eficiente puso a disposición de los interesados del </w:t>
      </w:r>
      <w:r w:rsidR="004E7E29">
        <w:rPr>
          <w:rFonts w:ascii="Arial" w:eastAsia="Calibri" w:hAnsi="Arial" w:cs="Arial"/>
          <w:sz w:val="22"/>
        </w:rPr>
        <w:t>s</w:t>
      </w:r>
      <w:r w:rsidRPr="00271E9E">
        <w:rPr>
          <w:rFonts w:ascii="Arial" w:eastAsia="Calibri" w:hAnsi="Arial" w:cs="Arial"/>
          <w:sz w:val="22"/>
        </w:rPr>
        <w:t xml:space="preserve">istema de </w:t>
      </w:r>
      <w:r w:rsidR="004E7E29">
        <w:rPr>
          <w:rFonts w:ascii="Arial" w:eastAsia="Calibri" w:hAnsi="Arial" w:cs="Arial"/>
          <w:sz w:val="22"/>
        </w:rPr>
        <w:t>c</w:t>
      </w:r>
      <w:r w:rsidRPr="00271E9E">
        <w:rPr>
          <w:rFonts w:ascii="Arial" w:eastAsia="Calibri" w:hAnsi="Arial" w:cs="Arial"/>
          <w:sz w:val="22"/>
        </w:rPr>
        <w:t xml:space="preserve">ompra </w:t>
      </w:r>
      <w:r w:rsidR="004E7E29">
        <w:rPr>
          <w:rFonts w:ascii="Arial" w:eastAsia="Calibri" w:hAnsi="Arial" w:cs="Arial"/>
          <w:sz w:val="22"/>
        </w:rPr>
        <w:t>p</w:t>
      </w:r>
      <w:r w:rsidRPr="00271E9E">
        <w:rPr>
          <w:rFonts w:ascii="Arial" w:eastAsia="Calibri" w:hAnsi="Arial" w:cs="Arial"/>
          <w:sz w:val="22"/>
        </w:rPr>
        <w:t xml:space="preserve">ública el </w:t>
      </w:r>
      <w:r w:rsidR="004E7E29">
        <w:rPr>
          <w:rFonts w:ascii="Arial" w:eastAsia="Calibri" w:hAnsi="Arial" w:cs="Arial"/>
          <w:sz w:val="22"/>
        </w:rPr>
        <w:t>m</w:t>
      </w:r>
      <w:r w:rsidRPr="00271E9E">
        <w:rPr>
          <w:rFonts w:ascii="Arial" w:eastAsia="Calibri" w:hAnsi="Arial" w:cs="Arial"/>
          <w:sz w:val="22"/>
        </w:rPr>
        <w:t xml:space="preserve">anual para determinar y verificar requisitos habilitantes en los procesos de contratación, donde se establecen las definiciones de cada requisito habilitante y se dan lineamientos orientadores sobre lo que las entidades pueden hacer para establecerlos, en este caso, frente a la experiencia. </w:t>
      </w:r>
      <w:r w:rsidR="007D4DFD">
        <w:rPr>
          <w:rFonts w:ascii="Arial" w:eastAsia="Calibri" w:hAnsi="Arial" w:cs="Arial"/>
          <w:sz w:val="22"/>
        </w:rPr>
        <w:t>En relación con</w:t>
      </w:r>
      <w:r w:rsidRPr="00271E9E">
        <w:rPr>
          <w:rFonts w:ascii="Arial" w:eastAsia="Calibri" w:hAnsi="Arial" w:cs="Arial"/>
          <w:sz w:val="22"/>
        </w:rPr>
        <w:t xml:space="preserve"> la experiencia</w:t>
      </w:r>
      <w:r>
        <w:rPr>
          <w:rFonts w:ascii="Arial" w:eastAsia="Calibri" w:hAnsi="Arial" w:cs="Arial"/>
          <w:sz w:val="22"/>
        </w:rPr>
        <w:t>,</w:t>
      </w:r>
      <w:r w:rsidRPr="00271E9E">
        <w:rPr>
          <w:rFonts w:ascii="Arial" w:eastAsia="Calibri" w:hAnsi="Arial" w:cs="Arial"/>
          <w:sz w:val="22"/>
        </w:rPr>
        <w:t xml:space="preserve"> como requisito habilitante señalado en su consulta, el </w:t>
      </w:r>
      <w:r w:rsidR="004E7E29">
        <w:rPr>
          <w:rFonts w:ascii="Arial" w:eastAsia="Calibri" w:hAnsi="Arial" w:cs="Arial"/>
          <w:sz w:val="22"/>
        </w:rPr>
        <w:t>m</w:t>
      </w:r>
      <w:r w:rsidRPr="00271E9E">
        <w:rPr>
          <w:rFonts w:ascii="Arial" w:eastAsia="Calibri" w:hAnsi="Arial" w:cs="Arial"/>
          <w:sz w:val="22"/>
        </w:rPr>
        <w:t xml:space="preserve">anual se centra en una de sus cualidades y es que es personal, lo cual significa que la experiencia </w:t>
      </w:r>
      <w:r w:rsidR="004E7E29">
        <w:rPr>
          <w:rFonts w:ascii="Arial" w:eastAsia="Calibri" w:hAnsi="Arial" w:cs="Arial"/>
          <w:sz w:val="22"/>
        </w:rPr>
        <w:t xml:space="preserve">se adquiere </w:t>
      </w:r>
      <w:r w:rsidRPr="00271E9E">
        <w:rPr>
          <w:rFonts w:ascii="Arial" w:eastAsia="Calibri" w:hAnsi="Arial" w:cs="Arial"/>
          <w:sz w:val="22"/>
        </w:rPr>
        <w:t xml:space="preserve">en razón a </w:t>
      </w:r>
      <w:r w:rsidR="004E7E29">
        <w:rPr>
          <w:rFonts w:ascii="Arial" w:eastAsia="Calibri" w:hAnsi="Arial" w:cs="Arial"/>
          <w:sz w:val="22"/>
        </w:rPr>
        <w:t>la</w:t>
      </w:r>
      <w:r w:rsidRPr="00271E9E">
        <w:rPr>
          <w:rFonts w:ascii="Arial" w:eastAsia="Calibri" w:hAnsi="Arial" w:cs="Arial"/>
          <w:sz w:val="22"/>
        </w:rPr>
        <w:t xml:space="preserve"> participación, con anterioridad, en actividades que le permitieron </w:t>
      </w:r>
      <w:r w:rsidRPr="00271E9E">
        <w:rPr>
          <w:rFonts w:ascii="Arial" w:eastAsia="Calibri" w:hAnsi="Arial" w:cs="Arial"/>
          <w:sz w:val="22"/>
        </w:rPr>
        <w:lastRenderedPageBreak/>
        <w:t xml:space="preserve">conocer cómo ejecutar el objeto contractual que la entidad pretende satisfacer </w:t>
      </w:r>
      <w:r w:rsidR="004E7E29">
        <w:rPr>
          <w:rFonts w:ascii="Arial" w:eastAsia="Calibri" w:hAnsi="Arial" w:cs="Arial"/>
          <w:sz w:val="22"/>
        </w:rPr>
        <w:t>con su proceso de contratación</w:t>
      </w:r>
      <w:r w:rsidRPr="00271E9E">
        <w:rPr>
          <w:rStyle w:val="Refdenotaalpie"/>
          <w:rFonts w:ascii="Arial" w:eastAsia="Calibri" w:hAnsi="Arial" w:cs="Arial"/>
          <w:sz w:val="22"/>
        </w:rPr>
        <w:footnoteReference w:id="9"/>
      </w:r>
      <w:r w:rsidRPr="00271E9E">
        <w:rPr>
          <w:rFonts w:ascii="Arial" w:eastAsia="Calibri" w:hAnsi="Arial" w:cs="Arial"/>
          <w:sz w:val="22"/>
        </w:rPr>
        <w:t>.</w:t>
      </w:r>
    </w:p>
    <w:p w14:paraId="40525BCA" w14:textId="6407ED6F" w:rsidR="004E7E29" w:rsidRDefault="004E0F28" w:rsidP="004E0F28">
      <w:pPr>
        <w:spacing w:before="120" w:after="120" w:line="276" w:lineRule="auto"/>
        <w:ind w:firstLine="708"/>
        <w:jc w:val="both"/>
        <w:rPr>
          <w:rFonts w:ascii="Arial" w:eastAsia="Calibri" w:hAnsi="Arial" w:cs="Arial"/>
          <w:sz w:val="22"/>
        </w:rPr>
      </w:pPr>
      <w:r w:rsidRPr="00271E9E">
        <w:rPr>
          <w:rFonts w:ascii="Arial" w:eastAsia="Calibri" w:hAnsi="Arial" w:cs="Arial"/>
          <w:sz w:val="22"/>
        </w:rPr>
        <w:t xml:space="preserve">Lo anterior es </w:t>
      </w:r>
      <w:r w:rsidR="004F4CD4">
        <w:rPr>
          <w:rFonts w:ascii="Arial" w:eastAsia="Calibri" w:hAnsi="Arial" w:cs="Arial"/>
          <w:sz w:val="22"/>
        </w:rPr>
        <w:t>determinante,</w:t>
      </w:r>
      <w:r w:rsidRPr="00271E9E">
        <w:rPr>
          <w:rFonts w:ascii="Arial" w:eastAsia="Calibri" w:hAnsi="Arial" w:cs="Arial"/>
          <w:sz w:val="22"/>
        </w:rPr>
        <w:t xml:space="preserve"> porque no es posible tener experiencia si en la práctica no se ha ejercido lo que se ofrece a </w:t>
      </w:r>
      <w:r w:rsidR="00694D8E">
        <w:rPr>
          <w:rFonts w:ascii="Arial" w:eastAsia="Calibri" w:hAnsi="Arial" w:cs="Arial"/>
          <w:sz w:val="22"/>
        </w:rPr>
        <w:t>l</w:t>
      </w:r>
      <w:r w:rsidR="00544D0B">
        <w:rPr>
          <w:rFonts w:ascii="Arial" w:eastAsia="Calibri" w:hAnsi="Arial" w:cs="Arial"/>
          <w:sz w:val="22"/>
        </w:rPr>
        <w:t>a</w:t>
      </w:r>
      <w:r w:rsidR="00694D8E">
        <w:rPr>
          <w:rFonts w:ascii="Arial" w:eastAsia="Calibri" w:hAnsi="Arial" w:cs="Arial"/>
          <w:sz w:val="22"/>
        </w:rPr>
        <w:t>s</w:t>
      </w:r>
      <w:r w:rsidR="00544D0B">
        <w:rPr>
          <w:rFonts w:ascii="Arial" w:eastAsia="Calibri" w:hAnsi="Arial" w:cs="Arial"/>
          <w:sz w:val="22"/>
        </w:rPr>
        <w:t xml:space="preserve"> etidades</w:t>
      </w:r>
      <w:r w:rsidRPr="00271E9E">
        <w:rPr>
          <w:rFonts w:ascii="Arial" w:eastAsia="Calibri" w:hAnsi="Arial" w:cs="Arial"/>
          <w:sz w:val="22"/>
        </w:rPr>
        <w:t xml:space="preserve"> contratantes</w:t>
      </w:r>
      <w:r w:rsidR="004E7E29">
        <w:rPr>
          <w:rFonts w:ascii="Arial" w:eastAsia="Calibri" w:hAnsi="Arial" w:cs="Arial"/>
          <w:sz w:val="22"/>
        </w:rPr>
        <w:t>. P</w:t>
      </w:r>
      <w:r w:rsidRPr="00271E9E">
        <w:rPr>
          <w:rFonts w:ascii="Arial" w:eastAsia="Calibri" w:hAnsi="Arial" w:cs="Arial"/>
          <w:sz w:val="22"/>
        </w:rPr>
        <w:t xml:space="preserve">recisamente de la experiencia se deriva el conocimiento </w:t>
      </w:r>
      <w:r w:rsidR="004F4CD4">
        <w:rPr>
          <w:rFonts w:ascii="Arial" w:eastAsia="Calibri" w:hAnsi="Arial" w:cs="Arial"/>
          <w:sz w:val="22"/>
        </w:rPr>
        <w:t>d</w:t>
      </w:r>
      <w:r w:rsidRPr="00271E9E">
        <w:rPr>
          <w:rFonts w:ascii="Arial" w:eastAsia="Calibri" w:hAnsi="Arial" w:cs="Arial"/>
          <w:sz w:val="22"/>
        </w:rPr>
        <w:t xml:space="preserve">el proponente, y para la contratación pública es importante, </w:t>
      </w:r>
      <w:r w:rsidR="004E7E29">
        <w:rPr>
          <w:rFonts w:ascii="Arial" w:eastAsia="Calibri" w:hAnsi="Arial" w:cs="Arial"/>
          <w:sz w:val="22"/>
        </w:rPr>
        <w:t>por</w:t>
      </w:r>
      <w:r w:rsidRPr="00271E9E">
        <w:rPr>
          <w:rFonts w:ascii="Arial" w:eastAsia="Calibri" w:hAnsi="Arial" w:cs="Arial"/>
          <w:sz w:val="22"/>
        </w:rPr>
        <w:t xml:space="preserve">que garantiza que no </w:t>
      </w:r>
      <w:r w:rsidR="004F4CD4">
        <w:rPr>
          <w:rFonts w:ascii="Arial" w:eastAsia="Calibri" w:hAnsi="Arial" w:cs="Arial"/>
          <w:sz w:val="22"/>
        </w:rPr>
        <w:t>habrá</w:t>
      </w:r>
      <w:r w:rsidRPr="00271E9E">
        <w:rPr>
          <w:rFonts w:ascii="Arial" w:eastAsia="Calibri" w:hAnsi="Arial" w:cs="Arial"/>
          <w:sz w:val="22"/>
        </w:rPr>
        <w:t xml:space="preserve"> improvisación </w:t>
      </w:r>
      <w:r w:rsidR="004F4CD4">
        <w:rPr>
          <w:rFonts w:ascii="Arial" w:eastAsia="Calibri" w:hAnsi="Arial" w:cs="Arial"/>
          <w:sz w:val="22"/>
        </w:rPr>
        <w:t xml:space="preserve">ni </w:t>
      </w:r>
      <w:r w:rsidRPr="00271E9E">
        <w:rPr>
          <w:rFonts w:ascii="Arial" w:eastAsia="Calibri" w:hAnsi="Arial" w:cs="Arial"/>
          <w:sz w:val="22"/>
        </w:rPr>
        <w:t xml:space="preserve">mayores costos por errores o dificultades originadas en realizar una actividad por primera vez. Adicionalmente, el Manual </w:t>
      </w:r>
      <w:r w:rsidR="004F4CD4">
        <w:rPr>
          <w:rFonts w:ascii="Arial" w:eastAsia="Calibri" w:hAnsi="Arial" w:cs="Arial"/>
          <w:sz w:val="22"/>
        </w:rPr>
        <w:t>explica</w:t>
      </w:r>
      <w:r w:rsidRPr="00271E9E">
        <w:rPr>
          <w:rFonts w:ascii="Arial" w:eastAsia="Calibri" w:hAnsi="Arial" w:cs="Arial"/>
          <w:sz w:val="22"/>
        </w:rPr>
        <w:t xml:space="preserve"> que la experiencia puede obten</w:t>
      </w:r>
      <w:r w:rsidR="004F4CD4">
        <w:rPr>
          <w:rFonts w:ascii="Arial" w:eastAsia="Calibri" w:hAnsi="Arial" w:cs="Arial"/>
          <w:sz w:val="22"/>
        </w:rPr>
        <w:t>erse</w:t>
      </w:r>
      <w:r w:rsidRPr="00271E9E">
        <w:rPr>
          <w:rFonts w:ascii="Arial" w:eastAsia="Calibri" w:hAnsi="Arial" w:cs="Arial"/>
          <w:sz w:val="22"/>
        </w:rPr>
        <w:t xml:space="preserve"> directamente o por participar asociado con otra persona, como es el caso de los proponentes plurales, en </w:t>
      </w:r>
      <w:r w:rsidR="004F4CD4">
        <w:rPr>
          <w:rFonts w:ascii="Arial" w:eastAsia="Calibri" w:hAnsi="Arial" w:cs="Arial"/>
          <w:sz w:val="22"/>
        </w:rPr>
        <w:t>cuyo evento l</w:t>
      </w:r>
      <w:r w:rsidRPr="00271E9E">
        <w:rPr>
          <w:rFonts w:ascii="Arial" w:eastAsia="Calibri" w:hAnsi="Arial" w:cs="Arial"/>
          <w:sz w:val="22"/>
        </w:rPr>
        <w:t>a experiencia no deja de ser personal</w:t>
      </w:r>
      <w:r w:rsidR="004E7E29">
        <w:rPr>
          <w:rFonts w:ascii="Arial" w:eastAsia="Calibri" w:hAnsi="Arial" w:cs="Arial"/>
          <w:sz w:val="22"/>
        </w:rPr>
        <w:t>,</w:t>
      </w:r>
      <w:r w:rsidRPr="00271E9E">
        <w:rPr>
          <w:rFonts w:ascii="Arial" w:eastAsia="Calibri" w:hAnsi="Arial" w:cs="Arial"/>
          <w:sz w:val="22"/>
        </w:rPr>
        <w:t xml:space="preserve"> sino que es proporcional a la participación como miembro de un consorcio o unión temporal, donde por </w:t>
      </w:r>
      <w:r w:rsidR="004F4CD4">
        <w:rPr>
          <w:rFonts w:ascii="Arial" w:eastAsia="Calibri" w:hAnsi="Arial" w:cs="Arial"/>
          <w:sz w:val="22"/>
        </w:rPr>
        <w:t>tratarse de</w:t>
      </w:r>
      <w:r w:rsidRPr="00271E9E">
        <w:rPr>
          <w:rFonts w:ascii="Arial" w:eastAsia="Calibri" w:hAnsi="Arial" w:cs="Arial"/>
          <w:sz w:val="22"/>
        </w:rPr>
        <w:t xml:space="preserve"> esquemas asociativos la experiencia es compartida. </w:t>
      </w:r>
    </w:p>
    <w:p w14:paraId="72AEF87E" w14:textId="11374653" w:rsidR="004F4CD4" w:rsidRDefault="004E0F28" w:rsidP="004E0F28">
      <w:pPr>
        <w:spacing w:before="120" w:after="120" w:line="276" w:lineRule="auto"/>
        <w:ind w:firstLine="708"/>
        <w:jc w:val="both"/>
        <w:rPr>
          <w:rFonts w:ascii="Arial" w:eastAsia="Calibri" w:hAnsi="Arial" w:cs="Arial"/>
          <w:sz w:val="22"/>
        </w:rPr>
      </w:pPr>
      <w:r w:rsidRPr="00271E9E">
        <w:rPr>
          <w:rFonts w:ascii="Arial" w:eastAsia="Calibri" w:hAnsi="Arial" w:cs="Arial"/>
          <w:sz w:val="22"/>
        </w:rPr>
        <w:t xml:space="preserve">Por otra parte, la Agencia recomienda que la experiencia que se solicite sea proporcional y no igual al objeto que se va a contratar, ya que esto puede limitar la participación de los </w:t>
      </w:r>
      <w:r w:rsidR="004E7E29">
        <w:rPr>
          <w:rFonts w:ascii="Arial" w:eastAsia="Calibri" w:hAnsi="Arial" w:cs="Arial"/>
          <w:sz w:val="22"/>
        </w:rPr>
        <w:t>proponentes</w:t>
      </w:r>
      <w:r w:rsidR="004E7E29" w:rsidRPr="00271E9E">
        <w:rPr>
          <w:rFonts w:ascii="Arial" w:eastAsia="Calibri" w:hAnsi="Arial" w:cs="Arial"/>
          <w:sz w:val="22"/>
        </w:rPr>
        <w:t xml:space="preserve"> </w:t>
      </w:r>
      <w:r w:rsidRPr="00271E9E">
        <w:rPr>
          <w:rFonts w:ascii="Arial" w:eastAsia="Calibri" w:hAnsi="Arial" w:cs="Arial"/>
          <w:sz w:val="22"/>
        </w:rPr>
        <w:t>por no haber ejecutado un objeto igual pero s</w:t>
      </w:r>
      <w:r>
        <w:rPr>
          <w:rFonts w:ascii="Arial" w:eastAsia="Calibri" w:hAnsi="Arial" w:cs="Arial"/>
          <w:sz w:val="22"/>
        </w:rPr>
        <w:t>í</w:t>
      </w:r>
      <w:r w:rsidRPr="00271E9E">
        <w:rPr>
          <w:rFonts w:ascii="Arial" w:eastAsia="Calibri" w:hAnsi="Arial" w:cs="Arial"/>
          <w:sz w:val="22"/>
        </w:rPr>
        <w:t xml:space="preserve"> similar, que puede funcionar para las exigencias de la entidad</w:t>
      </w:r>
      <w:r w:rsidR="004E7E29">
        <w:rPr>
          <w:rFonts w:ascii="Arial" w:eastAsia="Calibri" w:hAnsi="Arial" w:cs="Arial"/>
          <w:sz w:val="22"/>
        </w:rPr>
        <w:t>, permitiendo</w:t>
      </w:r>
      <w:r w:rsidRPr="00271E9E">
        <w:rPr>
          <w:rFonts w:ascii="Arial" w:eastAsia="Calibri" w:hAnsi="Arial" w:cs="Arial"/>
          <w:sz w:val="22"/>
        </w:rPr>
        <w:t xml:space="preserve"> que exista pluralidad de oferentes. </w:t>
      </w:r>
    </w:p>
    <w:p w14:paraId="0813A13D" w14:textId="109189D7" w:rsidR="004E0F28" w:rsidRPr="00271E9E" w:rsidRDefault="004E7E29" w:rsidP="004E0F28">
      <w:pPr>
        <w:spacing w:before="120" w:after="120" w:line="276" w:lineRule="auto"/>
        <w:ind w:firstLine="708"/>
        <w:jc w:val="both"/>
        <w:rPr>
          <w:rFonts w:ascii="Arial" w:eastAsia="Calibri" w:hAnsi="Arial" w:cs="Arial"/>
          <w:sz w:val="22"/>
        </w:rPr>
      </w:pPr>
      <w:r>
        <w:rPr>
          <w:rFonts w:ascii="Arial" w:eastAsia="Calibri" w:hAnsi="Arial" w:cs="Arial"/>
          <w:sz w:val="22"/>
        </w:rPr>
        <w:t>A partir de lo anterior</w:t>
      </w:r>
      <w:r w:rsidR="004E0F28" w:rsidRPr="00271E9E">
        <w:rPr>
          <w:rFonts w:ascii="Arial" w:eastAsia="Calibri" w:hAnsi="Arial" w:cs="Arial"/>
          <w:sz w:val="22"/>
        </w:rPr>
        <w:t xml:space="preserve">, se pueden extraer cuatro conclusiones relevantes para evaluar las figuras y reformas estatutarias de las sociedades comerciales, respecto de la experiencia: </w:t>
      </w:r>
    </w:p>
    <w:p w14:paraId="741D58FB" w14:textId="1A376596" w:rsidR="004E0F28" w:rsidRPr="00271E9E" w:rsidRDefault="004E0F28" w:rsidP="004E0F28">
      <w:pPr>
        <w:spacing w:before="120" w:after="120" w:line="276" w:lineRule="auto"/>
        <w:ind w:firstLine="708"/>
        <w:jc w:val="both"/>
        <w:rPr>
          <w:rFonts w:ascii="Arial" w:eastAsia="Calibri" w:hAnsi="Arial" w:cs="Arial"/>
          <w:sz w:val="22"/>
        </w:rPr>
      </w:pPr>
      <w:r w:rsidRPr="00271E9E">
        <w:rPr>
          <w:rFonts w:ascii="Arial" w:eastAsia="Calibri" w:hAnsi="Arial" w:cs="Arial"/>
          <w:sz w:val="22"/>
        </w:rPr>
        <w:lastRenderedPageBreak/>
        <w:t xml:space="preserve">i) </w:t>
      </w:r>
      <w:r>
        <w:rPr>
          <w:rFonts w:ascii="Arial" w:eastAsia="Calibri" w:hAnsi="Arial" w:cs="Arial"/>
          <w:sz w:val="22"/>
        </w:rPr>
        <w:t>L</w:t>
      </w:r>
      <w:r w:rsidRPr="00271E9E">
        <w:rPr>
          <w:rFonts w:ascii="Arial" w:eastAsia="Calibri" w:hAnsi="Arial" w:cs="Arial"/>
          <w:sz w:val="22"/>
        </w:rPr>
        <w:t xml:space="preserve">a experiencia es personal, esto es, se adquiere participando, directa o indirectamente, sin que sea posible </w:t>
      </w:r>
      <w:r w:rsidR="004F4CD4">
        <w:rPr>
          <w:rFonts w:ascii="Arial" w:eastAsia="Calibri" w:hAnsi="Arial" w:cs="Arial"/>
          <w:sz w:val="22"/>
        </w:rPr>
        <w:t>no</w:t>
      </w:r>
      <w:r w:rsidRPr="00271E9E">
        <w:rPr>
          <w:rFonts w:ascii="Arial" w:eastAsia="Calibri" w:hAnsi="Arial" w:cs="Arial"/>
          <w:sz w:val="22"/>
        </w:rPr>
        <w:t xml:space="preserve"> </w:t>
      </w:r>
      <w:r w:rsidR="004F4CD4">
        <w:rPr>
          <w:rFonts w:ascii="Arial" w:eastAsia="Calibri" w:hAnsi="Arial" w:cs="Arial"/>
          <w:sz w:val="22"/>
        </w:rPr>
        <w:t>hacerlo</w:t>
      </w:r>
      <w:r w:rsidRPr="00271E9E">
        <w:rPr>
          <w:rFonts w:ascii="Arial" w:eastAsia="Calibri" w:hAnsi="Arial" w:cs="Arial"/>
          <w:sz w:val="22"/>
        </w:rPr>
        <w:t xml:space="preserve"> y tener experiencia.</w:t>
      </w:r>
    </w:p>
    <w:p w14:paraId="24EB7B63" w14:textId="0DF4D4CA" w:rsidR="004E0F28" w:rsidRPr="00384698" w:rsidRDefault="004E0F28" w:rsidP="004E0F28">
      <w:pPr>
        <w:spacing w:before="120" w:after="120" w:line="276" w:lineRule="auto"/>
        <w:ind w:firstLine="708"/>
        <w:jc w:val="both"/>
        <w:rPr>
          <w:rFonts w:ascii="Arial" w:eastAsia="Calibri" w:hAnsi="Arial" w:cs="Arial"/>
          <w:sz w:val="22"/>
        </w:rPr>
      </w:pPr>
      <w:r w:rsidRPr="00384698">
        <w:rPr>
          <w:rFonts w:ascii="Arial" w:eastAsia="Calibri" w:hAnsi="Arial" w:cs="Arial"/>
          <w:sz w:val="22"/>
        </w:rPr>
        <w:t>ii) La experiencia se puede compartir, sin que implique que la compartid</w:t>
      </w:r>
      <w:r w:rsidR="004F4CD4" w:rsidRPr="00384698">
        <w:rPr>
          <w:rFonts w:ascii="Arial" w:eastAsia="Calibri" w:hAnsi="Arial" w:cs="Arial"/>
          <w:sz w:val="22"/>
        </w:rPr>
        <w:t>a</w:t>
      </w:r>
      <w:r w:rsidRPr="00384698">
        <w:rPr>
          <w:rFonts w:ascii="Arial" w:eastAsia="Calibri" w:hAnsi="Arial" w:cs="Arial"/>
          <w:sz w:val="22"/>
        </w:rPr>
        <w:t xml:space="preserve"> a una persona se entienda suya, ya que dentro del procedimiento contractual se reflejará que esa persona tiene la experiencia de otra, como </w:t>
      </w:r>
      <w:r w:rsidR="00384698" w:rsidRPr="00384698">
        <w:rPr>
          <w:rFonts w:ascii="Arial" w:eastAsia="Calibri" w:hAnsi="Arial" w:cs="Arial"/>
          <w:sz w:val="22"/>
        </w:rPr>
        <w:t>e</w:t>
      </w:r>
      <w:r w:rsidRPr="00384698">
        <w:rPr>
          <w:rFonts w:ascii="Arial" w:eastAsia="Calibri" w:hAnsi="Arial" w:cs="Arial"/>
          <w:sz w:val="22"/>
        </w:rPr>
        <w:t xml:space="preserve">s el caso de las figuras asociativas </w:t>
      </w:r>
      <w:r w:rsidR="004E7E29">
        <w:rPr>
          <w:rFonts w:ascii="Arial" w:eastAsia="Calibri" w:hAnsi="Arial" w:cs="Arial"/>
          <w:sz w:val="22"/>
        </w:rPr>
        <w:t>–</w:t>
      </w:r>
      <w:r w:rsidRPr="00384698">
        <w:rPr>
          <w:rFonts w:ascii="Arial" w:eastAsia="Calibri" w:hAnsi="Arial" w:cs="Arial"/>
          <w:sz w:val="22"/>
        </w:rPr>
        <w:t>consorcios y uniones temporales</w:t>
      </w:r>
      <w:r w:rsidR="004E7E29">
        <w:rPr>
          <w:rFonts w:ascii="Arial" w:eastAsia="Calibri" w:hAnsi="Arial" w:cs="Arial"/>
          <w:sz w:val="22"/>
        </w:rPr>
        <w:t>–,</w:t>
      </w:r>
      <w:r w:rsidRPr="00384698">
        <w:rPr>
          <w:rFonts w:ascii="Arial" w:eastAsia="Calibri" w:hAnsi="Arial" w:cs="Arial"/>
          <w:sz w:val="22"/>
        </w:rPr>
        <w:t xml:space="preserve"> que se verificará en el documento privado de constitución.</w:t>
      </w:r>
    </w:p>
    <w:p w14:paraId="78E95582" w14:textId="42B79CB7" w:rsidR="004E0F28" w:rsidRPr="00271E9E" w:rsidRDefault="004E0F28" w:rsidP="004E0F28">
      <w:pPr>
        <w:spacing w:before="120" w:after="120" w:line="276" w:lineRule="auto"/>
        <w:ind w:firstLine="708"/>
        <w:jc w:val="both"/>
        <w:rPr>
          <w:rFonts w:ascii="Arial" w:eastAsia="Calibri" w:hAnsi="Arial" w:cs="Arial"/>
          <w:sz w:val="22"/>
        </w:rPr>
      </w:pPr>
      <w:r w:rsidRPr="00384698">
        <w:rPr>
          <w:rFonts w:ascii="Arial" w:eastAsia="Calibri" w:hAnsi="Arial" w:cs="Arial"/>
          <w:sz w:val="22"/>
        </w:rPr>
        <w:t>iii) La experiencia se puede transferir, y es</w:t>
      </w:r>
      <w:r w:rsidR="005B5BB0" w:rsidRPr="00384698">
        <w:rPr>
          <w:rFonts w:ascii="Arial" w:eastAsia="Calibri" w:hAnsi="Arial" w:cs="Arial"/>
          <w:sz w:val="22"/>
        </w:rPr>
        <w:t>to es</w:t>
      </w:r>
      <w:r w:rsidRPr="00384698">
        <w:rPr>
          <w:rFonts w:ascii="Arial" w:eastAsia="Calibri" w:hAnsi="Arial" w:cs="Arial"/>
          <w:sz w:val="22"/>
        </w:rPr>
        <w:t xml:space="preserve"> diferen</w:t>
      </w:r>
      <w:r w:rsidRPr="00271E9E">
        <w:rPr>
          <w:rFonts w:ascii="Arial" w:eastAsia="Calibri" w:hAnsi="Arial" w:cs="Arial"/>
          <w:sz w:val="22"/>
        </w:rPr>
        <w:t xml:space="preserve">te a compartir, </w:t>
      </w:r>
      <w:r w:rsidR="002506CF">
        <w:rPr>
          <w:rFonts w:ascii="Arial" w:eastAsia="Calibri" w:hAnsi="Arial" w:cs="Arial"/>
          <w:sz w:val="22"/>
        </w:rPr>
        <w:t xml:space="preserve">lo </w:t>
      </w:r>
      <w:r w:rsidRPr="00271E9E">
        <w:rPr>
          <w:rFonts w:ascii="Arial" w:eastAsia="Calibri" w:hAnsi="Arial" w:cs="Arial"/>
          <w:sz w:val="22"/>
        </w:rPr>
        <w:t xml:space="preserve">que implica que la experiencia de una persona se traslada a otra, y esta última acredita </w:t>
      </w:r>
      <w:r w:rsidR="002506CF">
        <w:rPr>
          <w:rFonts w:ascii="Arial" w:eastAsia="Calibri" w:hAnsi="Arial" w:cs="Arial"/>
          <w:sz w:val="22"/>
        </w:rPr>
        <w:t>la</w:t>
      </w:r>
      <w:r w:rsidRPr="00271E9E">
        <w:rPr>
          <w:rFonts w:ascii="Arial" w:eastAsia="Calibri" w:hAnsi="Arial" w:cs="Arial"/>
          <w:sz w:val="22"/>
        </w:rPr>
        <w:t xml:space="preserve"> experiencia como propia, </w:t>
      </w:r>
      <w:r w:rsidR="002506CF">
        <w:rPr>
          <w:rFonts w:ascii="Arial" w:eastAsia="Calibri" w:hAnsi="Arial" w:cs="Arial"/>
          <w:sz w:val="22"/>
        </w:rPr>
        <w:t>como sucede con</w:t>
      </w:r>
      <w:r w:rsidRPr="00271E9E">
        <w:rPr>
          <w:rFonts w:ascii="Arial" w:eastAsia="Calibri" w:hAnsi="Arial" w:cs="Arial"/>
          <w:sz w:val="22"/>
        </w:rPr>
        <w:t xml:space="preserve"> algunas figuras y reformas estatutarias, </w:t>
      </w:r>
      <w:r w:rsidR="00EC7CB2">
        <w:rPr>
          <w:rFonts w:ascii="Arial" w:eastAsia="Calibri" w:hAnsi="Arial" w:cs="Arial"/>
          <w:sz w:val="22"/>
        </w:rPr>
        <w:t xml:space="preserve">excepto para la escisión </w:t>
      </w:r>
      <w:r w:rsidR="002506CF">
        <w:rPr>
          <w:rFonts w:ascii="Arial" w:eastAsia="Calibri" w:hAnsi="Arial" w:cs="Arial"/>
          <w:sz w:val="22"/>
        </w:rPr>
        <w:t>que se</w:t>
      </w:r>
      <w:r w:rsidRPr="00271E9E">
        <w:rPr>
          <w:rFonts w:ascii="Arial" w:eastAsia="Calibri" w:hAnsi="Arial" w:cs="Arial"/>
          <w:sz w:val="22"/>
        </w:rPr>
        <w:t xml:space="preserve"> explicará </w:t>
      </w:r>
      <w:r w:rsidR="002506CF">
        <w:rPr>
          <w:rFonts w:ascii="Arial" w:eastAsia="Calibri" w:hAnsi="Arial" w:cs="Arial"/>
          <w:sz w:val="22"/>
        </w:rPr>
        <w:t xml:space="preserve">con más </w:t>
      </w:r>
      <w:r w:rsidRPr="00271E9E">
        <w:rPr>
          <w:rFonts w:ascii="Arial" w:eastAsia="Calibri" w:hAnsi="Arial" w:cs="Arial"/>
          <w:sz w:val="22"/>
        </w:rPr>
        <w:t xml:space="preserve">detalle en el numeral 2.3 de este </w:t>
      </w:r>
      <w:r w:rsidR="002506CF">
        <w:rPr>
          <w:rFonts w:ascii="Arial" w:eastAsia="Calibri" w:hAnsi="Arial" w:cs="Arial"/>
          <w:sz w:val="22"/>
        </w:rPr>
        <w:t>concepto</w:t>
      </w:r>
      <w:r w:rsidRPr="00271E9E">
        <w:rPr>
          <w:rFonts w:ascii="Arial" w:eastAsia="Calibri" w:hAnsi="Arial" w:cs="Arial"/>
          <w:sz w:val="22"/>
        </w:rPr>
        <w:t>.</w:t>
      </w:r>
    </w:p>
    <w:p w14:paraId="2A82668C" w14:textId="48FE5746" w:rsidR="004E0F28" w:rsidRPr="00271E9E" w:rsidRDefault="004E0F28" w:rsidP="001D1F8F">
      <w:pPr>
        <w:spacing w:line="276" w:lineRule="auto"/>
        <w:ind w:firstLine="708"/>
        <w:jc w:val="both"/>
        <w:rPr>
          <w:rFonts w:ascii="Arial" w:eastAsia="Calibri" w:hAnsi="Arial" w:cs="Arial"/>
          <w:sz w:val="22"/>
        </w:rPr>
      </w:pPr>
      <w:r w:rsidRPr="00271E9E">
        <w:rPr>
          <w:rFonts w:ascii="Arial" w:eastAsia="Calibri" w:hAnsi="Arial" w:cs="Arial"/>
          <w:sz w:val="22"/>
        </w:rPr>
        <w:t xml:space="preserve">iv) </w:t>
      </w:r>
      <w:r>
        <w:rPr>
          <w:rFonts w:ascii="Arial" w:eastAsia="Calibri" w:hAnsi="Arial" w:cs="Arial"/>
          <w:sz w:val="22"/>
        </w:rPr>
        <w:t>C</w:t>
      </w:r>
      <w:r w:rsidRPr="00271E9E">
        <w:rPr>
          <w:rFonts w:ascii="Arial" w:eastAsia="Calibri" w:hAnsi="Arial" w:cs="Arial"/>
          <w:sz w:val="22"/>
        </w:rPr>
        <w:t xml:space="preserve">uando la persona que adquirió la experiencia </w:t>
      </w:r>
      <w:r>
        <w:rPr>
          <w:rFonts w:ascii="Arial" w:eastAsia="Calibri" w:hAnsi="Arial" w:cs="Arial"/>
          <w:sz w:val="22"/>
        </w:rPr>
        <w:t>desaparece</w:t>
      </w:r>
      <w:r w:rsidRPr="00271E9E">
        <w:rPr>
          <w:rFonts w:ascii="Arial" w:eastAsia="Calibri" w:hAnsi="Arial" w:cs="Arial"/>
          <w:sz w:val="22"/>
        </w:rPr>
        <w:t xml:space="preserve"> o se liquida no es posible que comparta o transfiera su experiencia, porque al ser personal sigue la suerte de quien la adquirió.</w:t>
      </w:r>
    </w:p>
    <w:p w14:paraId="67A4C852" w14:textId="77777777" w:rsidR="004E0F28" w:rsidRPr="00271E9E" w:rsidRDefault="004E0F28" w:rsidP="001D1F8F">
      <w:pPr>
        <w:spacing w:line="276" w:lineRule="auto"/>
        <w:jc w:val="both"/>
        <w:rPr>
          <w:rFonts w:ascii="Arial" w:eastAsia="Calibri" w:hAnsi="Arial" w:cs="Arial"/>
          <w:sz w:val="22"/>
        </w:rPr>
      </w:pPr>
    </w:p>
    <w:p w14:paraId="37A5EC39" w14:textId="4A4F19CD" w:rsidR="004E0F28" w:rsidRPr="00271E9E" w:rsidRDefault="004E0F28" w:rsidP="001D1F8F">
      <w:pPr>
        <w:spacing w:line="276" w:lineRule="auto"/>
        <w:jc w:val="both"/>
        <w:rPr>
          <w:rFonts w:ascii="Arial" w:eastAsia="Calibri" w:hAnsi="Arial" w:cs="Arial"/>
          <w:b/>
          <w:sz w:val="22"/>
        </w:rPr>
      </w:pPr>
      <w:r w:rsidRPr="00271E9E">
        <w:rPr>
          <w:rFonts w:ascii="Arial" w:eastAsia="Calibri" w:hAnsi="Arial" w:cs="Arial"/>
          <w:b/>
          <w:sz w:val="22"/>
        </w:rPr>
        <w:t xml:space="preserve">2.3 </w:t>
      </w:r>
      <w:r w:rsidR="00015203">
        <w:rPr>
          <w:rFonts w:ascii="Arial" w:eastAsia="Calibri" w:hAnsi="Arial" w:cs="Arial"/>
          <w:b/>
          <w:sz w:val="22"/>
        </w:rPr>
        <w:t>La escisión</w:t>
      </w:r>
      <w:r w:rsidRPr="00271E9E">
        <w:rPr>
          <w:rFonts w:ascii="Arial" w:eastAsia="Calibri" w:hAnsi="Arial" w:cs="Arial"/>
          <w:b/>
          <w:sz w:val="22"/>
        </w:rPr>
        <w:t xml:space="preserve"> y</w:t>
      </w:r>
      <w:r w:rsidR="00015203">
        <w:rPr>
          <w:rFonts w:ascii="Arial" w:eastAsia="Calibri" w:hAnsi="Arial" w:cs="Arial"/>
          <w:b/>
          <w:sz w:val="22"/>
        </w:rPr>
        <w:t xml:space="preserve"> sus</w:t>
      </w:r>
      <w:r w:rsidRPr="00271E9E">
        <w:rPr>
          <w:rFonts w:ascii="Arial" w:eastAsia="Calibri" w:hAnsi="Arial" w:cs="Arial"/>
          <w:b/>
          <w:sz w:val="22"/>
        </w:rPr>
        <w:t xml:space="preserve"> efectos sobre la experiencia de las sociedades comerciales</w:t>
      </w:r>
    </w:p>
    <w:p w14:paraId="736418E7" w14:textId="77777777" w:rsidR="004E0F28" w:rsidRPr="00271E9E" w:rsidRDefault="004E0F28" w:rsidP="001D1F8F">
      <w:pPr>
        <w:spacing w:line="276" w:lineRule="auto"/>
        <w:jc w:val="both"/>
        <w:rPr>
          <w:rFonts w:ascii="Arial" w:eastAsia="Calibri" w:hAnsi="Arial" w:cs="Arial"/>
          <w:b/>
          <w:sz w:val="22"/>
        </w:rPr>
      </w:pPr>
    </w:p>
    <w:p w14:paraId="602EC373" w14:textId="0068E205" w:rsidR="003B791C" w:rsidRDefault="004E0F28" w:rsidP="006B0D0D">
      <w:pPr>
        <w:spacing w:after="120" w:line="276" w:lineRule="auto"/>
        <w:jc w:val="both"/>
        <w:rPr>
          <w:rFonts w:ascii="Arial" w:eastAsia="Calibri" w:hAnsi="Arial" w:cs="Arial"/>
          <w:bCs/>
          <w:sz w:val="22"/>
        </w:rPr>
      </w:pPr>
      <w:r w:rsidRPr="00271E9E">
        <w:rPr>
          <w:rFonts w:ascii="Arial" w:eastAsia="Calibri" w:hAnsi="Arial" w:cs="Arial"/>
          <w:bCs/>
          <w:sz w:val="22"/>
        </w:rPr>
        <w:t xml:space="preserve">Antes de </w:t>
      </w:r>
      <w:r w:rsidR="003B791C">
        <w:rPr>
          <w:rFonts w:ascii="Arial" w:eastAsia="Calibri" w:hAnsi="Arial" w:cs="Arial"/>
          <w:bCs/>
          <w:sz w:val="22"/>
        </w:rPr>
        <w:t>analizar</w:t>
      </w:r>
      <w:r w:rsidRPr="00271E9E">
        <w:rPr>
          <w:rFonts w:ascii="Arial" w:eastAsia="Calibri" w:hAnsi="Arial" w:cs="Arial"/>
          <w:bCs/>
          <w:sz w:val="22"/>
        </w:rPr>
        <w:t xml:space="preserve"> </w:t>
      </w:r>
      <w:r w:rsidR="004D6FF6">
        <w:rPr>
          <w:rFonts w:ascii="Arial" w:eastAsia="Calibri" w:hAnsi="Arial" w:cs="Arial"/>
          <w:bCs/>
          <w:sz w:val="22"/>
        </w:rPr>
        <w:t>la escisión</w:t>
      </w:r>
      <w:r w:rsidRPr="00271E9E">
        <w:rPr>
          <w:rFonts w:ascii="Arial" w:eastAsia="Calibri" w:hAnsi="Arial" w:cs="Arial"/>
          <w:bCs/>
          <w:sz w:val="22"/>
        </w:rPr>
        <w:t xml:space="preserve">, es necesario aclarar dos conceptos respecto de las sociedades comerciales: </w:t>
      </w:r>
      <w:r w:rsidR="004E58D5">
        <w:rPr>
          <w:rFonts w:ascii="Arial" w:eastAsia="Calibri" w:hAnsi="Arial" w:cs="Arial"/>
          <w:bCs/>
          <w:sz w:val="22"/>
        </w:rPr>
        <w:t>«</w:t>
      </w:r>
      <w:r w:rsidRPr="00271E9E">
        <w:rPr>
          <w:rFonts w:ascii="Arial" w:eastAsia="Calibri" w:hAnsi="Arial" w:cs="Arial"/>
          <w:bCs/>
          <w:sz w:val="22"/>
        </w:rPr>
        <w:t>disolución</w:t>
      </w:r>
      <w:r w:rsidR="004E58D5">
        <w:rPr>
          <w:rFonts w:ascii="Arial" w:eastAsia="Calibri" w:hAnsi="Arial" w:cs="Arial"/>
          <w:bCs/>
          <w:sz w:val="22"/>
        </w:rPr>
        <w:t>»</w:t>
      </w:r>
      <w:r w:rsidRPr="00271E9E">
        <w:rPr>
          <w:rFonts w:ascii="Arial" w:eastAsia="Calibri" w:hAnsi="Arial" w:cs="Arial"/>
          <w:bCs/>
          <w:sz w:val="22"/>
        </w:rPr>
        <w:t xml:space="preserve"> y </w:t>
      </w:r>
      <w:r w:rsidR="004E58D5">
        <w:rPr>
          <w:rFonts w:ascii="Arial" w:eastAsia="Calibri" w:hAnsi="Arial" w:cs="Arial"/>
          <w:bCs/>
          <w:sz w:val="22"/>
        </w:rPr>
        <w:t>«</w:t>
      </w:r>
      <w:r w:rsidRPr="00271E9E">
        <w:rPr>
          <w:rFonts w:ascii="Arial" w:eastAsia="Calibri" w:hAnsi="Arial" w:cs="Arial"/>
          <w:bCs/>
          <w:sz w:val="22"/>
        </w:rPr>
        <w:t>liquidación</w:t>
      </w:r>
      <w:r w:rsidR="004E58D5">
        <w:rPr>
          <w:rFonts w:ascii="Arial" w:eastAsia="Calibri" w:hAnsi="Arial" w:cs="Arial"/>
          <w:bCs/>
          <w:sz w:val="22"/>
        </w:rPr>
        <w:t>»</w:t>
      </w:r>
      <w:r w:rsidRPr="00271E9E">
        <w:rPr>
          <w:rFonts w:ascii="Arial" w:eastAsia="Calibri" w:hAnsi="Arial" w:cs="Arial"/>
          <w:bCs/>
          <w:sz w:val="22"/>
        </w:rPr>
        <w:t xml:space="preserve">, ya que </w:t>
      </w:r>
      <w:r w:rsidR="0071411B">
        <w:rPr>
          <w:rFonts w:ascii="Arial" w:eastAsia="Calibri" w:hAnsi="Arial" w:cs="Arial"/>
          <w:bCs/>
          <w:sz w:val="22"/>
        </w:rPr>
        <w:t>se relacionan con esta</w:t>
      </w:r>
      <w:r w:rsidRPr="00271E9E">
        <w:rPr>
          <w:rFonts w:ascii="Arial" w:eastAsia="Calibri" w:hAnsi="Arial" w:cs="Arial"/>
          <w:bCs/>
          <w:sz w:val="22"/>
        </w:rPr>
        <w:t xml:space="preserve"> figura </w:t>
      </w:r>
      <w:r w:rsidR="0071411B">
        <w:rPr>
          <w:rFonts w:ascii="Arial" w:eastAsia="Calibri" w:hAnsi="Arial" w:cs="Arial"/>
          <w:bCs/>
          <w:sz w:val="22"/>
        </w:rPr>
        <w:t xml:space="preserve">e inciden </w:t>
      </w:r>
      <w:r w:rsidRPr="00271E9E">
        <w:rPr>
          <w:rFonts w:ascii="Arial" w:eastAsia="Calibri" w:hAnsi="Arial" w:cs="Arial"/>
          <w:bCs/>
          <w:sz w:val="22"/>
        </w:rPr>
        <w:t xml:space="preserve">en la posibilidad de transferir o no la experiencia de una sociedad. </w:t>
      </w:r>
    </w:p>
    <w:p w14:paraId="621C39B8" w14:textId="011F5F7D" w:rsidR="004E0F28" w:rsidRPr="00271E9E" w:rsidRDefault="004E0F28" w:rsidP="004D6FF6">
      <w:pPr>
        <w:spacing w:after="120" w:line="276" w:lineRule="auto"/>
        <w:ind w:firstLine="709"/>
        <w:jc w:val="both"/>
        <w:rPr>
          <w:rFonts w:ascii="Arial" w:eastAsia="Calibri" w:hAnsi="Arial" w:cs="Arial"/>
          <w:bCs/>
          <w:sz w:val="22"/>
        </w:rPr>
      </w:pPr>
      <w:r w:rsidRPr="00271E9E">
        <w:rPr>
          <w:rFonts w:ascii="Arial" w:eastAsia="Calibri" w:hAnsi="Arial" w:cs="Arial"/>
          <w:bCs/>
          <w:sz w:val="22"/>
        </w:rPr>
        <w:t>En primer lugar, el Código de Comercio señala</w:t>
      </w:r>
      <w:r w:rsidR="003B791C">
        <w:rPr>
          <w:rFonts w:ascii="Arial" w:eastAsia="Calibri" w:hAnsi="Arial" w:cs="Arial"/>
          <w:bCs/>
          <w:sz w:val="22"/>
        </w:rPr>
        <w:t>,</w:t>
      </w:r>
      <w:r w:rsidRPr="00271E9E">
        <w:rPr>
          <w:rFonts w:ascii="Arial" w:eastAsia="Calibri" w:hAnsi="Arial" w:cs="Arial"/>
          <w:bCs/>
          <w:sz w:val="22"/>
        </w:rPr>
        <w:t xml:space="preserve"> como efecto de la </w:t>
      </w:r>
      <w:r w:rsidR="004E58D5">
        <w:rPr>
          <w:rFonts w:ascii="Arial" w:eastAsia="Calibri" w:hAnsi="Arial" w:cs="Arial"/>
          <w:bCs/>
          <w:sz w:val="22"/>
        </w:rPr>
        <w:t>«</w:t>
      </w:r>
      <w:r w:rsidRPr="00271E9E">
        <w:rPr>
          <w:rFonts w:ascii="Arial" w:eastAsia="Calibri" w:hAnsi="Arial" w:cs="Arial"/>
          <w:bCs/>
          <w:sz w:val="22"/>
        </w:rPr>
        <w:t>disolución</w:t>
      </w:r>
      <w:r w:rsidR="004E58D5">
        <w:rPr>
          <w:rFonts w:ascii="Arial" w:eastAsia="Calibri" w:hAnsi="Arial" w:cs="Arial"/>
          <w:bCs/>
          <w:sz w:val="22"/>
        </w:rPr>
        <w:t>»</w:t>
      </w:r>
      <w:r w:rsidRPr="00271E9E">
        <w:rPr>
          <w:rFonts w:ascii="Arial" w:eastAsia="Calibri" w:hAnsi="Arial" w:cs="Arial"/>
          <w:bCs/>
          <w:sz w:val="22"/>
        </w:rPr>
        <w:t>, que la persona jurídica no desaparece</w:t>
      </w:r>
      <w:r w:rsidR="00DB2D54">
        <w:rPr>
          <w:rFonts w:ascii="Arial" w:eastAsia="Calibri" w:hAnsi="Arial" w:cs="Arial"/>
          <w:bCs/>
          <w:sz w:val="22"/>
        </w:rPr>
        <w:t>,</w:t>
      </w:r>
      <w:r w:rsidRPr="00271E9E">
        <w:rPr>
          <w:rFonts w:ascii="Arial" w:eastAsia="Calibri" w:hAnsi="Arial" w:cs="Arial"/>
          <w:bCs/>
          <w:sz w:val="22"/>
        </w:rPr>
        <w:t xml:space="preserve"> sino que conserva su capacidad jurídica, únicamente para </w:t>
      </w:r>
      <w:r w:rsidR="004E58D5">
        <w:rPr>
          <w:rFonts w:ascii="Arial" w:eastAsia="Calibri" w:hAnsi="Arial" w:cs="Arial"/>
          <w:bCs/>
          <w:sz w:val="22"/>
        </w:rPr>
        <w:t>«</w:t>
      </w:r>
      <w:r w:rsidRPr="00271E9E">
        <w:rPr>
          <w:rFonts w:ascii="Arial" w:eastAsia="Calibri" w:hAnsi="Arial" w:cs="Arial"/>
          <w:bCs/>
          <w:sz w:val="22"/>
        </w:rPr>
        <w:t>liquidarse</w:t>
      </w:r>
      <w:r w:rsidR="004E58D5">
        <w:rPr>
          <w:rFonts w:ascii="Arial" w:eastAsia="Calibri" w:hAnsi="Arial" w:cs="Arial"/>
          <w:bCs/>
          <w:sz w:val="22"/>
        </w:rPr>
        <w:t>»</w:t>
      </w:r>
      <w:r w:rsidRPr="00271E9E">
        <w:rPr>
          <w:rFonts w:ascii="Arial" w:eastAsia="Calibri" w:hAnsi="Arial" w:cs="Arial"/>
          <w:bCs/>
          <w:sz w:val="22"/>
        </w:rPr>
        <w:t xml:space="preserve"> y para</w:t>
      </w:r>
      <w:r w:rsidR="0071411B">
        <w:rPr>
          <w:rFonts w:ascii="Arial" w:eastAsia="Calibri" w:hAnsi="Arial" w:cs="Arial"/>
          <w:bCs/>
          <w:sz w:val="22"/>
        </w:rPr>
        <w:t xml:space="preserve"> realizar</w:t>
      </w:r>
      <w:r w:rsidRPr="00271E9E">
        <w:rPr>
          <w:rFonts w:ascii="Arial" w:eastAsia="Calibri" w:hAnsi="Arial" w:cs="Arial"/>
          <w:bCs/>
          <w:sz w:val="22"/>
        </w:rPr>
        <w:t xml:space="preserve"> las operaciones o actos autorizados por la ley</w:t>
      </w:r>
      <w:r w:rsidRPr="00271E9E">
        <w:rPr>
          <w:rStyle w:val="Refdenotaalpie"/>
          <w:rFonts w:ascii="Arial" w:eastAsia="Calibri" w:hAnsi="Arial" w:cs="Arial"/>
          <w:bCs/>
          <w:sz w:val="22"/>
        </w:rPr>
        <w:footnoteReference w:id="10"/>
      </w:r>
      <w:r w:rsidRPr="00271E9E">
        <w:rPr>
          <w:rFonts w:ascii="Arial" w:eastAsia="Calibri" w:hAnsi="Arial" w:cs="Arial"/>
          <w:bCs/>
          <w:sz w:val="22"/>
        </w:rPr>
        <w:t>, como la figura</w:t>
      </w:r>
      <w:r w:rsidR="00625D31">
        <w:rPr>
          <w:rFonts w:ascii="Arial" w:eastAsia="Calibri" w:hAnsi="Arial" w:cs="Arial"/>
          <w:bCs/>
          <w:sz w:val="22"/>
        </w:rPr>
        <w:t xml:space="preserve"> q</w:t>
      </w:r>
      <w:r w:rsidRPr="00271E9E">
        <w:rPr>
          <w:rFonts w:ascii="Arial" w:eastAsia="Calibri" w:hAnsi="Arial" w:cs="Arial"/>
          <w:bCs/>
          <w:sz w:val="22"/>
        </w:rPr>
        <w:t xml:space="preserve">ue se verá a continuación. Con esto se anticipa que si la persona jurídica no desaparece, su experiencia se conserva y puede transferirse o compartirse. Por el contrario, respecto de la </w:t>
      </w:r>
      <w:r w:rsidR="004E58D5">
        <w:rPr>
          <w:rFonts w:ascii="Arial" w:eastAsia="Calibri" w:hAnsi="Arial" w:cs="Arial"/>
          <w:bCs/>
          <w:sz w:val="22"/>
        </w:rPr>
        <w:t>«l</w:t>
      </w:r>
      <w:r w:rsidRPr="00271E9E">
        <w:rPr>
          <w:rFonts w:ascii="Arial" w:eastAsia="Calibri" w:hAnsi="Arial" w:cs="Arial"/>
          <w:bCs/>
          <w:sz w:val="22"/>
        </w:rPr>
        <w:t>iquidación</w:t>
      </w:r>
      <w:r w:rsidR="004E58D5">
        <w:rPr>
          <w:rFonts w:ascii="Arial" w:eastAsia="Calibri" w:hAnsi="Arial" w:cs="Arial"/>
          <w:bCs/>
          <w:sz w:val="22"/>
        </w:rPr>
        <w:t>»</w:t>
      </w:r>
      <w:r w:rsidRPr="00271E9E">
        <w:rPr>
          <w:rFonts w:ascii="Arial" w:eastAsia="Calibri" w:hAnsi="Arial" w:cs="Arial"/>
          <w:bCs/>
          <w:sz w:val="22"/>
        </w:rPr>
        <w:t xml:space="preserve"> de las sociedades comerciales, el Código de Comercio señala el procedimiento para realizar el inventario y distribución del patrimonio social, de lo cual se infiere que termina la persona jurídica</w:t>
      </w:r>
      <w:r w:rsidRPr="00271E9E">
        <w:rPr>
          <w:rStyle w:val="Refdenotaalpie"/>
          <w:rFonts w:ascii="Arial" w:eastAsia="Calibri" w:hAnsi="Arial" w:cs="Arial"/>
          <w:bCs/>
          <w:sz w:val="22"/>
        </w:rPr>
        <w:footnoteReference w:id="11"/>
      </w:r>
      <w:r w:rsidRPr="00271E9E">
        <w:rPr>
          <w:rFonts w:ascii="Arial" w:eastAsia="Calibri" w:hAnsi="Arial" w:cs="Arial"/>
          <w:bCs/>
          <w:sz w:val="22"/>
        </w:rPr>
        <w:t>, y la experiencia desaparece junto con la sociedad que la adquirió.</w:t>
      </w:r>
    </w:p>
    <w:p w14:paraId="791D25F1" w14:textId="32FE9CD9" w:rsidR="0071411B" w:rsidRDefault="00DB2D54" w:rsidP="004D6FF6">
      <w:pPr>
        <w:spacing w:after="120" w:line="276" w:lineRule="auto"/>
        <w:ind w:firstLine="709"/>
        <w:jc w:val="both"/>
        <w:rPr>
          <w:rFonts w:ascii="Arial" w:eastAsia="Calibri" w:hAnsi="Arial" w:cs="Arial"/>
          <w:sz w:val="22"/>
        </w:rPr>
      </w:pPr>
      <w:r>
        <w:rPr>
          <w:rFonts w:ascii="Arial" w:eastAsia="Calibri" w:hAnsi="Arial" w:cs="Arial"/>
          <w:sz w:val="22"/>
        </w:rPr>
        <w:lastRenderedPageBreak/>
        <w:t>Bajo las premisas anteriores</w:t>
      </w:r>
      <w:r w:rsidR="004D6FF6">
        <w:rPr>
          <w:rFonts w:ascii="Arial" w:eastAsia="Calibri" w:hAnsi="Arial" w:cs="Arial"/>
          <w:sz w:val="22"/>
        </w:rPr>
        <w:t>,</w:t>
      </w:r>
      <w:r w:rsidR="00625D31">
        <w:rPr>
          <w:rFonts w:ascii="Arial" w:eastAsia="Calibri" w:hAnsi="Arial" w:cs="Arial"/>
          <w:sz w:val="22"/>
        </w:rPr>
        <w:t xml:space="preserve"> ahora se analiza</w:t>
      </w:r>
      <w:r w:rsidR="004D6FF6">
        <w:rPr>
          <w:rFonts w:ascii="Arial" w:eastAsia="Calibri" w:hAnsi="Arial" w:cs="Arial"/>
          <w:sz w:val="22"/>
        </w:rPr>
        <w:t xml:space="preserve"> la escisión</w:t>
      </w:r>
      <w:r w:rsidR="00625D31">
        <w:rPr>
          <w:rFonts w:ascii="Arial" w:eastAsia="Calibri" w:hAnsi="Arial" w:cs="Arial"/>
          <w:sz w:val="22"/>
        </w:rPr>
        <w:t xml:space="preserve"> que</w:t>
      </w:r>
      <w:r w:rsidR="004D6FF6">
        <w:rPr>
          <w:rFonts w:ascii="Arial" w:eastAsia="Calibri" w:hAnsi="Arial" w:cs="Arial"/>
          <w:sz w:val="22"/>
        </w:rPr>
        <w:t xml:space="preserve"> e</w:t>
      </w:r>
      <w:r w:rsidR="004E0F28" w:rsidRPr="00271E9E">
        <w:rPr>
          <w:rFonts w:ascii="Arial" w:eastAsia="Calibri" w:hAnsi="Arial" w:cs="Arial"/>
          <w:sz w:val="22"/>
        </w:rPr>
        <w:t xml:space="preserve">s una figura con dos modalidades reguladas </w:t>
      </w:r>
      <w:r w:rsidR="0071411B">
        <w:rPr>
          <w:rFonts w:ascii="Arial" w:eastAsia="Calibri" w:hAnsi="Arial" w:cs="Arial"/>
          <w:sz w:val="22"/>
        </w:rPr>
        <w:t>en</w:t>
      </w:r>
      <w:r w:rsidR="0071411B" w:rsidRPr="00271E9E">
        <w:rPr>
          <w:rFonts w:ascii="Arial" w:eastAsia="Calibri" w:hAnsi="Arial" w:cs="Arial"/>
          <w:sz w:val="22"/>
        </w:rPr>
        <w:t xml:space="preserve"> </w:t>
      </w:r>
      <w:r w:rsidR="004E0F28" w:rsidRPr="00271E9E">
        <w:rPr>
          <w:rFonts w:ascii="Arial" w:eastAsia="Calibri" w:hAnsi="Arial" w:cs="Arial"/>
          <w:sz w:val="22"/>
        </w:rPr>
        <w:t xml:space="preserve">la Ley 222 de 1995. </w:t>
      </w:r>
      <w:r w:rsidR="004E0F28" w:rsidRPr="004919AE">
        <w:rPr>
          <w:rFonts w:ascii="Arial" w:eastAsia="Calibri" w:hAnsi="Arial" w:cs="Arial"/>
          <w:i/>
          <w:iCs/>
          <w:sz w:val="22"/>
        </w:rPr>
        <w:t>La primera</w:t>
      </w:r>
      <w:r w:rsidR="004E0F28" w:rsidRPr="00271E9E">
        <w:rPr>
          <w:rFonts w:ascii="Arial" w:eastAsia="Calibri" w:hAnsi="Arial" w:cs="Arial"/>
          <w:sz w:val="22"/>
        </w:rPr>
        <w:t xml:space="preserve"> se refiere a una sociedad que no se </w:t>
      </w:r>
      <w:r w:rsidR="004E58D5">
        <w:rPr>
          <w:rFonts w:ascii="Arial" w:eastAsia="Calibri" w:hAnsi="Arial" w:cs="Arial"/>
          <w:sz w:val="22"/>
        </w:rPr>
        <w:t>«</w:t>
      </w:r>
      <w:r w:rsidR="004E0F28" w:rsidRPr="00271E9E">
        <w:rPr>
          <w:rFonts w:ascii="Arial" w:eastAsia="Calibri" w:hAnsi="Arial" w:cs="Arial"/>
          <w:sz w:val="22"/>
        </w:rPr>
        <w:t>disuelve</w:t>
      </w:r>
      <w:r w:rsidR="004E58D5">
        <w:rPr>
          <w:rFonts w:ascii="Arial" w:eastAsia="Calibri" w:hAnsi="Arial" w:cs="Arial"/>
          <w:sz w:val="22"/>
        </w:rPr>
        <w:t>»</w:t>
      </w:r>
      <w:r w:rsidR="004E0F28" w:rsidRPr="00271E9E">
        <w:rPr>
          <w:rFonts w:ascii="Arial" w:eastAsia="Calibri" w:hAnsi="Arial" w:cs="Arial"/>
          <w:sz w:val="22"/>
        </w:rPr>
        <w:t xml:space="preserve"> ni se </w:t>
      </w:r>
      <w:r w:rsidR="004E58D5">
        <w:rPr>
          <w:rFonts w:ascii="Arial" w:eastAsia="Calibri" w:hAnsi="Arial" w:cs="Arial"/>
          <w:sz w:val="22"/>
        </w:rPr>
        <w:t>«</w:t>
      </w:r>
      <w:r w:rsidR="004E0F28" w:rsidRPr="00271E9E">
        <w:rPr>
          <w:rFonts w:ascii="Arial" w:eastAsia="Calibri" w:hAnsi="Arial" w:cs="Arial"/>
          <w:sz w:val="22"/>
        </w:rPr>
        <w:t>liquida</w:t>
      </w:r>
      <w:r w:rsidR="004E58D5">
        <w:rPr>
          <w:rFonts w:ascii="Arial" w:eastAsia="Calibri" w:hAnsi="Arial" w:cs="Arial"/>
          <w:sz w:val="22"/>
        </w:rPr>
        <w:t>»</w:t>
      </w:r>
      <w:r w:rsidR="004E0F28" w:rsidRPr="00271E9E">
        <w:rPr>
          <w:rFonts w:ascii="Arial" w:eastAsia="Calibri" w:hAnsi="Arial" w:cs="Arial"/>
          <w:sz w:val="22"/>
        </w:rPr>
        <w:t xml:space="preserve">, es decir, permanece sin modificaciones ni reformas, pero fracciona su </w:t>
      </w:r>
      <w:r w:rsidR="004E0F28" w:rsidRPr="0094559B">
        <w:rPr>
          <w:rFonts w:ascii="Arial" w:eastAsia="Calibri" w:hAnsi="Arial" w:cs="Arial"/>
          <w:sz w:val="22"/>
        </w:rPr>
        <w:t xml:space="preserve">patrimonio para transferir una o varias partes, a una o varias sociedades existentes o por crearse. </w:t>
      </w:r>
      <w:r w:rsidR="00173A59" w:rsidRPr="0094559B">
        <w:rPr>
          <w:rFonts w:ascii="Arial" w:eastAsia="Calibri" w:hAnsi="Arial" w:cs="Arial"/>
          <w:sz w:val="22"/>
        </w:rPr>
        <w:t>En este caso</w:t>
      </w:r>
      <w:r w:rsidR="00801CAD" w:rsidRPr="0094559B">
        <w:rPr>
          <w:rFonts w:ascii="Arial" w:eastAsia="Calibri" w:hAnsi="Arial" w:cs="Arial"/>
          <w:sz w:val="22"/>
        </w:rPr>
        <w:t>, la escisión se refiere al pa</w:t>
      </w:r>
      <w:r w:rsidR="00173A59" w:rsidRPr="0094559B">
        <w:rPr>
          <w:rFonts w:ascii="Arial" w:eastAsia="Calibri" w:hAnsi="Arial" w:cs="Arial"/>
          <w:sz w:val="22"/>
        </w:rPr>
        <w:t>trimonio</w:t>
      </w:r>
      <w:r w:rsidR="00801CAD" w:rsidRPr="0094559B">
        <w:rPr>
          <w:rFonts w:ascii="Arial" w:eastAsia="Calibri" w:hAnsi="Arial" w:cs="Arial"/>
          <w:sz w:val="22"/>
        </w:rPr>
        <w:t xml:space="preserve"> de la sociedad</w:t>
      </w:r>
      <w:r w:rsidR="0071411B">
        <w:rPr>
          <w:rFonts w:ascii="Arial" w:eastAsia="Calibri" w:hAnsi="Arial" w:cs="Arial"/>
          <w:sz w:val="22"/>
        </w:rPr>
        <w:t>,</w:t>
      </w:r>
      <w:r w:rsidR="00801CAD" w:rsidRPr="0094559B">
        <w:rPr>
          <w:rFonts w:ascii="Arial" w:eastAsia="Calibri" w:hAnsi="Arial" w:cs="Arial"/>
          <w:sz w:val="22"/>
        </w:rPr>
        <w:t xml:space="preserve"> sin incluir ningún otro aspecto</w:t>
      </w:r>
      <w:r w:rsidR="00173A59" w:rsidRPr="0094559B">
        <w:rPr>
          <w:rFonts w:ascii="Arial" w:eastAsia="Calibri" w:hAnsi="Arial" w:cs="Arial"/>
          <w:sz w:val="22"/>
        </w:rPr>
        <w:t>,</w:t>
      </w:r>
      <w:r w:rsidR="00801CAD" w:rsidRPr="0094559B">
        <w:rPr>
          <w:rFonts w:ascii="Arial" w:eastAsia="Calibri" w:hAnsi="Arial" w:cs="Arial"/>
          <w:sz w:val="22"/>
        </w:rPr>
        <w:t xml:space="preserve"> lo cual significa que la sociedad continúa con un patrimonio reducido debido al fraccionamiento, pero no </w:t>
      </w:r>
      <w:r w:rsidR="0094559B" w:rsidRPr="0094559B">
        <w:rPr>
          <w:rFonts w:ascii="Arial" w:eastAsia="Calibri" w:hAnsi="Arial" w:cs="Arial"/>
          <w:sz w:val="22"/>
        </w:rPr>
        <w:t xml:space="preserve">existe ninguna otra implicación para la persona jurídica como su desaparición por </w:t>
      </w:r>
      <w:r w:rsidR="0094559B">
        <w:rPr>
          <w:rFonts w:ascii="Arial" w:eastAsia="Calibri" w:hAnsi="Arial" w:cs="Arial"/>
          <w:sz w:val="22"/>
        </w:rPr>
        <w:t>«</w:t>
      </w:r>
      <w:r w:rsidR="0094559B" w:rsidRPr="0094559B">
        <w:rPr>
          <w:rFonts w:ascii="Arial" w:eastAsia="Calibri" w:hAnsi="Arial" w:cs="Arial"/>
          <w:sz w:val="22"/>
        </w:rPr>
        <w:t>disolverse</w:t>
      </w:r>
      <w:r w:rsidR="0094559B">
        <w:rPr>
          <w:rFonts w:ascii="Arial" w:eastAsia="Calibri" w:hAnsi="Arial" w:cs="Arial"/>
          <w:sz w:val="22"/>
        </w:rPr>
        <w:t>»</w:t>
      </w:r>
      <w:r w:rsidR="0094559B" w:rsidRPr="0094559B">
        <w:rPr>
          <w:rFonts w:ascii="Arial" w:eastAsia="Calibri" w:hAnsi="Arial" w:cs="Arial"/>
          <w:sz w:val="22"/>
        </w:rPr>
        <w:t xml:space="preserve"> o </w:t>
      </w:r>
      <w:r w:rsidR="0094559B">
        <w:rPr>
          <w:rFonts w:ascii="Arial" w:eastAsia="Calibri" w:hAnsi="Arial" w:cs="Arial"/>
          <w:sz w:val="22"/>
        </w:rPr>
        <w:t>«</w:t>
      </w:r>
      <w:r w:rsidR="0094559B" w:rsidRPr="0094559B">
        <w:rPr>
          <w:rFonts w:ascii="Arial" w:eastAsia="Calibri" w:hAnsi="Arial" w:cs="Arial"/>
          <w:sz w:val="22"/>
        </w:rPr>
        <w:t>liquidarse</w:t>
      </w:r>
      <w:r w:rsidR="0094559B">
        <w:rPr>
          <w:rFonts w:ascii="Arial" w:eastAsia="Calibri" w:hAnsi="Arial" w:cs="Arial"/>
          <w:sz w:val="22"/>
        </w:rPr>
        <w:t>»</w:t>
      </w:r>
      <w:r w:rsidR="0094559B" w:rsidRPr="0094559B">
        <w:rPr>
          <w:rFonts w:ascii="Arial" w:eastAsia="Calibri" w:hAnsi="Arial" w:cs="Arial"/>
          <w:sz w:val="22"/>
        </w:rPr>
        <w:t xml:space="preserve">. </w:t>
      </w:r>
    </w:p>
    <w:p w14:paraId="1B5DCA5C" w14:textId="1430FA8C" w:rsidR="003B791C" w:rsidRDefault="0071411B" w:rsidP="004D6FF6">
      <w:pPr>
        <w:spacing w:after="120" w:line="276" w:lineRule="auto"/>
        <w:ind w:firstLine="709"/>
        <w:jc w:val="both"/>
        <w:rPr>
          <w:rFonts w:ascii="Arial" w:eastAsia="Calibri" w:hAnsi="Arial" w:cs="Arial"/>
          <w:sz w:val="22"/>
        </w:rPr>
      </w:pPr>
      <w:r>
        <w:rPr>
          <w:rFonts w:ascii="Arial" w:eastAsia="Calibri" w:hAnsi="Arial" w:cs="Arial"/>
          <w:sz w:val="22"/>
        </w:rPr>
        <w:t>De conformidad con lo anterior</w:t>
      </w:r>
      <w:r w:rsidR="0094559B" w:rsidRPr="0094559B">
        <w:rPr>
          <w:rFonts w:ascii="Arial" w:eastAsia="Calibri" w:hAnsi="Arial" w:cs="Arial"/>
          <w:sz w:val="22"/>
        </w:rPr>
        <w:t xml:space="preserve">, </w:t>
      </w:r>
      <w:r>
        <w:rPr>
          <w:rFonts w:ascii="Arial" w:eastAsia="Calibri" w:hAnsi="Arial" w:cs="Arial"/>
          <w:sz w:val="22"/>
        </w:rPr>
        <w:t>esta Agencia</w:t>
      </w:r>
      <w:r w:rsidR="0094559B" w:rsidRPr="0094559B">
        <w:rPr>
          <w:rFonts w:ascii="Arial" w:eastAsia="Calibri" w:hAnsi="Arial" w:cs="Arial"/>
          <w:sz w:val="22"/>
        </w:rPr>
        <w:t xml:space="preserve"> considera que las sociedades que reciben una parte del patrimonio de una sociedad que continúa existiendo, no implica </w:t>
      </w:r>
      <w:r w:rsidR="0094559B">
        <w:rPr>
          <w:rFonts w:ascii="Arial" w:eastAsia="Calibri" w:hAnsi="Arial" w:cs="Arial"/>
          <w:sz w:val="22"/>
        </w:rPr>
        <w:t xml:space="preserve">que </w:t>
      </w:r>
      <w:r>
        <w:rPr>
          <w:rFonts w:ascii="Arial" w:eastAsia="Calibri" w:hAnsi="Arial" w:cs="Arial"/>
          <w:sz w:val="22"/>
        </w:rPr>
        <w:t xml:space="preserve">adquieran </w:t>
      </w:r>
      <w:r w:rsidR="0094559B">
        <w:rPr>
          <w:rFonts w:ascii="Arial" w:eastAsia="Calibri" w:hAnsi="Arial" w:cs="Arial"/>
          <w:sz w:val="22"/>
        </w:rPr>
        <w:t xml:space="preserve">su </w:t>
      </w:r>
      <w:r w:rsidR="0094559B" w:rsidRPr="0094559B">
        <w:rPr>
          <w:rFonts w:ascii="Arial" w:eastAsia="Calibri" w:hAnsi="Arial" w:cs="Arial"/>
          <w:sz w:val="22"/>
        </w:rPr>
        <w:t xml:space="preserve">experiencia, </w:t>
      </w:r>
      <w:r w:rsidR="00037A1C">
        <w:rPr>
          <w:rFonts w:ascii="Arial" w:eastAsia="Calibri" w:hAnsi="Arial" w:cs="Arial"/>
          <w:sz w:val="22"/>
        </w:rPr>
        <w:t>pues</w:t>
      </w:r>
      <w:r w:rsidR="0094559B" w:rsidRPr="0094559B">
        <w:rPr>
          <w:rFonts w:ascii="Arial" w:eastAsia="Calibri" w:hAnsi="Arial" w:cs="Arial"/>
          <w:sz w:val="22"/>
        </w:rPr>
        <w:t xml:space="preserve"> no es posible </w:t>
      </w:r>
      <w:r w:rsidR="0094559B">
        <w:rPr>
          <w:rFonts w:ascii="Arial" w:eastAsia="Calibri" w:hAnsi="Arial" w:cs="Arial"/>
          <w:sz w:val="22"/>
        </w:rPr>
        <w:t>que varias sociedades tengan la misma experiencia, duplicándola tantas veces se haya fraccionado el patrimonio</w:t>
      </w:r>
      <w:r w:rsidR="00DB2D54">
        <w:rPr>
          <w:rFonts w:ascii="Arial" w:eastAsia="Calibri" w:hAnsi="Arial" w:cs="Arial"/>
          <w:sz w:val="22"/>
        </w:rPr>
        <w:t>,</w:t>
      </w:r>
      <w:r w:rsidR="0094559B">
        <w:rPr>
          <w:rFonts w:ascii="Arial" w:eastAsia="Calibri" w:hAnsi="Arial" w:cs="Arial"/>
          <w:sz w:val="22"/>
        </w:rPr>
        <w:t xml:space="preserve"> porque la experiencia pertenece a quien la adquirió ejecutando </w:t>
      </w:r>
      <w:r w:rsidR="00D64CD5">
        <w:rPr>
          <w:rFonts w:ascii="Arial" w:eastAsia="Calibri" w:hAnsi="Arial" w:cs="Arial"/>
          <w:sz w:val="22"/>
        </w:rPr>
        <w:t xml:space="preserve">los </w:t>
      </w:r>
      <w:r w:rsidR="0094559B">
        <w:rPr>
          <w:rFonts w:ascii="Arial" w:eastAsia="Calibri" w:hAnsi="Arial" w:cs="Arial"/>
          <w:sz w:val="22"/>
        </w:rPr>
        <w:t>contratos a su cargo.</w:t>
      </w:r>
      <w:r w:rsidR="00173A59">
        <w:rPr>
          <w:rFonts w:ascii="Arial" w:eastAsia="Calibri" w:hAnsi="Arial" w:cs="Arial"/>
          <w:sz w:val="22"/>
        </w:rPr>
        <w:t xml:space="preserve"> </w:t>
      </w:r>
      <w:r>
        <w:rPr>
          <w:rFonts w:ascii="Arial" w:eastAsia="Calibri" w:hAnsi="Arial" w:cs="Arial"/>
          <w:sz w:val="22"/>
        </w:rPr>
        <w:t xml:space="preserve">En tal sentido, </w:t>
      </w:r>
      <w:r w:rsidR="00C45AF6">
        <w:rPr>
          <w:rFonts w:ascii="Arial" w:eastAsia="Calibri" w:hAnsi="Arial" w:cs="Arial"/>
          <w:sz w:val="22"/>
        </w:rPr>
        <w:t>esta</w:t>
      </w:r>
      <w:r>
        <w:rPr>
          <w:rFonts w:ascii="Arial" w:eastAsia="Calibri" w:hAnsi="Arial" w:cs="Arial"/>
          <w:sz w:val="22"/>
        </w:rPr>
        <w:t xml:space="preserve"> sigue perteneciendo a la persona jurídica que se escindió.</w:t>
      </w:r>
    </w:p>
    <w:p w14:paraId="07AF40AF" w14:textId="6C8476E8" w:rsidR="004E0F28" w:rsidRPr="00271E9E" w:rsidRDefault="004E0F28" w:rsidP="003B791C">
      <w:pPr>
        <w:spacing w:line="276" w:lineRule="auto"/>
        <w:ind w:firstLine="708"/>
        <w:jc w:val="both"/>
        <w:rPr>
          <w:rFonts w:ascii="Arial" w:eastAsia="Calibri" w:hAnsi="Arial" w:cs="Arial"/>
          <w:sz w:val="22"/>
        </w:rPr>
      </w:pPr>
      <w:r w:rsidRPr="004919AE">
        <w:rPr>
          <w:rFonts w:ascii="Arial" w:eastAsia="Calibri" w:hAnsi="Arial" w:cs="Arial"/>
          <w:i/>
          <w:iCs/>
          <w:sz w:val="22"/>
        </w:rPr>
        <w:t>La segunda</w:t>
      </w:r>
      <w:r w:rsidRPr="00271E9E">
        <w:rPr>
          <w:rFonts w:ascii="Arial" w:eastAsia="Calibri" w:hAnsi="Arial" w:cs="Arial"/>
          <w:sz w:val="22"/>
        </w:rPr>
        <w:t xml:space="preserve"> modalidad se trata de una sociedad que se </w:t>
      </w:r>
      <w:r w:rsidR="002B088C">
        <w:rPr>
          <w:rFonts w:ascii="Arial" w:eastAsia="Calibri" w:hAnsi="Arial" w:cs="Arial"/>
          <w:sz w:val="22"/>
        </w:rPr>
        <w:t>«</w:t>
      </w:r>
      <w:r w:rsidRPr="00271E9E">
        <w:rPr>
          <w:rFonts w:ascii="Arial" w:eastAsia="Calibri" w:hAnsi="Arial" w:cs="Arial"/>
          <w:sz w:val="22"/>
        </w:rPr>
        <w:t>disuelve</w:t>
      </w:r>
      <w:r w:rsidR="002B088C">
        <w:rPr>
          <w:rFonts w:ascii="Arial" w:eastAsia="Calibri" w:hAnsi="Arial" w:cs="Arial"/>
          <w:sz w:val="22"/>
        </w:rPr>
        <w:t>»</w:t>
      </w:r>
      <w:r w:rsidRPr="00271E9E">
        <w:rPr>
          <w:rFonts w:ascii="Arial" w:eastAsia="Calibri" w:hAnsi="Arial" w:cs="Arial"/>
          <w:sz w:val="22"/>
        </w:rPr>
        <w:t xml:space="preserve"> sin </w:t>
      </w:r>
      <w:r w:rsidR="002B088C">
        <w:rPr>
          <w:rFonts w:ascii="Arial" w:eastAsia="Calibri" w:hAnsi="Arial" w:cs="Arial"/>
          <w:sz w:val="22"/>
        </w:rPr>
        <w:t>«</w:t>
      </w:r>
      <w:r w:rsidRPr="00271E9E">
        <w:rPr>
          <w:rFonts w:ascii="Arial" w:eastAsia="Calibri" w:hAnsi="Arial" w:cs="Arial"/>
          <w:sz w:val="22"/>
        </w:rPr>
        <w:t>liquidarse</w:t>
      </w:r>
      <w:r w:rsidR="002B088C">
        <w:rPr>
          <w:rFonts w:ascii="Arial" w:eastAsia="Calibri" w:hAnsi="Arial" w:cs="Arial"/>
          <w:sz w:val="22"/>
        </w:rPr>
        <w:t>»</w:t>
      </w:r>
      <w:r w:rsidRPr="00271E9E">
        <w:rPr>
          <w:rFonts w:ascii="Arial" w:eastAsia="Calibri" w:hAnsi="Arial" w:cs="Arial"/>
          <w:sz w:val="22"/>
        </w:rPr>
        <w:t>, y también existe fraccionamiento del patrimonio con el mismo fin</w:t>
      </w:r>
      <w:r w:rsidR="000C35F6">
        <w:rPr>
          <w:rFonts w:ascii="Arial" w:eastAsia="Calibri" w:hAnsi="Arial" w:cs="Arial"/>
          <w:sz w:val="22"/>
        </w:rPr>
        <w:t>, esto es, para transferirlo a otras sociedades existentes o para destinarlo a la creación de sociedades nuevas</w:t>
      </w:r>
      <w:r w:rsidRPr="00271E9E">
        <w:rPr>
          <w:rStyle w:val="Refdenotaalpie"/>
          <w:rFonts w:ascii="Arial" w:eastAsia="Calibri" w:hAnsi="Arial" w:cs="Arial"/>
          <w:sz w:val="22"/>
        </w:rPr>
        <w:footnoteReference w:id="12"/>
      </w:r>
      <w:r w:rsidRPr="00271E9E">
        <w:rPr>
          <w:rFonts w:ascii="Arial" w:eastAsia="Calibri" w:hAnsi="Arial" w:cs="Arial"/>
          <w:sz w:val="22"/>
        </w:rPr>
        <w:t>. Como se observa</w:t>
      </w:r>
      <w:r>
        <w:rPr>
          <w:rFonts w:ascii="Arial" w:eastAsia="Calibri" w:hAnsi="Arial" w:cs="Arial"/>
          <w:sz w:val="22"/>
        </w:rPr>
        <w:t>,</w:t>
      </w:r>
      <w:r w:rsidRPr="00271E9E">
        <w:rPr>
          <w:rFonts w:ascii="Arial" w:eastAsia="Calibri" w:hAnsi="Arial" w:cs="Arial"/>
          <w:sz w:val="22"/>
        </w:rPr>
        <w:t xml:space="preserve"> participa una sociedad </w:t>
      </w:r>
      <w:r w:rsidR="000C35F6">
        <w:rPr>
          <w:rFonts w:ascii="Arial" w:eastAsia="Calibri" w:hAnsi="Arial" w:cs="Arial"/>
          <w:sz w:val="22"/>
        </w:rPr>
        <w:t xml:space="preserve">–la que se escinde– </w:t>
      </w:r>
      <w:r w:rsidRPr="00271E9E">
        <w:rPr>
          <w:rFonts w:ascii="Arial" w:eastAsia="Calibri" w:hAnsi="Arial" w:cs="Arial"/>
          <w:sz w:val="22"/>
        </w:rPr>
        <w:t>y otras que recib</w:t>
      </w:r>
      <w:r w:rsidR="003B4987">
        <w:rPr>
          <w:rFonts w:ascii="Arial" w:eastAsia="Calibri" w:hAnsi="Arial" w:cs="Arial"/>
          <w:sz w:val="22"/>
        </w:rPr>
        <w:t>e</w:t>
      </w:r>
      <w:r w:rsidRPr="00271E9E">
        <w:rPr>
          <w:rFonts w:ascii="Arial" w:eastAsia="Calibri" w:hAnsi="Arial" w:cs="Arial"/>
          <w:sz w:val="22"/>
        </w:rPr>
        <w:t>n la transferencia del patrimonio en bloque</w:t>
      </w:r>
      <w:r w:rsidR="00C45AF6">
        <w:rPr>
          <w:rFonts w:ascii="Arial" w:eastAsia="Calibri" w:hAnsi="Arial" w:cs="Arial"/>
          <w:sz w:val="22"/>
        </w:rPr>
        <w:t>, pero disolviéndose la sociedad que se escinde.</w:t>
      </w:r>
    </w:p>
    <w:p w14:paraId="273C4D2F" w14:textId="65A73576" w:rsidR="00D64CD5" w:rsidRDefault="000C35F6" w:rsidP="004E0F28">
      <w:pPr>
        <w:spacing w:before="120" w:after="120" w:line="276" w:lineRule="auto"/>
        <w:ind w:firstLine="708"/>
        <w:jc w:val="both"/>
        <w:rPr>
          <w:rFonts w:ascii="Arial" w:eastAsia="Calibri" w:hAnsi="Arial" w:cs="Arial"/>
          <w:sz w:val="22"/>
        </w:rPr>
      </w:pPr>
      <w:r>
        <w:rPr>
          <w:rFonts w:ascii="Arial" w:eastAsia="Calibri" w:hAnsi="Arial" w:cs="Arial"/>
          <w:sz w:val="22"/>
        </w:rPr>
        <w:t>En</w:t>
      </w:r>
      <w:r w:rsidRPr="00271E9E">
        <w:rPr>
          <w:rFonts w:ascii="Arial" w:eastAsia="Calibri" w:hAnsi="Arial" w:cs="Arial"/>
          <w:sz w:val="22"/>
        </w:rPr>
        <w:t xml:space="preserve"> </w:t>
      </w:r>
      <w:r w:rsidR="004E0F28" w:rsidRPr="00271E9E">
        <w:rPr>
          <w:rFonts w:ascii="Arial" w:eastAsia="Calibri" w:hAnsi="Arial" w:cs="Arial"/>
          <w:sz w:val="22"/>
        </w:rPr>
        <w:t xml:space="preserve">la primera modalidad de escisión, teniendo en cuenta que la sociedad continúa sin alteraciones, </w:t>
      </w:r>
      <w:r w:rsidR="003B4987">
        <w:rPr>
          <w:rFonts w:ascii="Arial" w:eastAsia="Calibri" w:hAnsi="Arial" w:cs="Arial"/>
          <w:sz w:val="22"/>
        </w:rPr>
        <w:t xml:space="preserve">conserva su experiencia, </w:t>
      </w:r>
      <w:r>
        <w:rPr>
          <w:rFonts w:ascii="Arial" w:eastAsia="Calibri" w:hAnsi="Arial" w:cs="Arial"/>
          <w:sz w:val="22"/>
        </w:rPr>
        <w:t xml:space="preserve">de manera que </w:t>
      </w:r>
      <w:r w:rsidR="004E0F28" w:rsidRPr="00271E9E">
        <w:rPr>
          <w:rFonts w:ascii="Arial" w:eastAsia="Calibri" w:hAnsi="Arial" w:cs="Arial"/>
          <w:sz w:val="22"/>
        </w:rPr>
        <w:t xml:space="preserve">no la transfiere porque para ello tendría que </w:t>
      </w:r>
      <w:r w:rsidR="002B088C">
        <w:rPr>
          <w:rFonts w:ascii="Arial" w:eastAsia="Calibri" w:hAnsi="Arial" w:cs="Arial"/>
          <w:sz w:val="22"/>
        </w:rPr>
        <w:t>«</w:t>
      </w:r>
      <w:r w:rsidR="004E0F28" w:rsidRPr="00271E9E">
        <w:rPr>
          <w:rFonts w:ascii="Arial" w:eastAsia="Calibri" w:hAnsi="Arial" w:cs="Arial"/>
          <w:sz w:val="22"/>
        </w:rPr>
        <w:t>disolverse</w:t>
      </w:r>
      <w:r w:rsidR="002B088C">
        <w:rPr>
          <w:rFonts w:ascii="Arial" w:eastAsia="Calibri" w:hAnsi="Arial" w:cs="Arial"/>
          <w:sz w:val="22"/>
        </w:rPr>
        <w:t>»</w:t>
      </w:r>
      <w:r w:rsidR="004E0F28" w:rsidRPr="00271E9E">
        <w:rPr>
          <w:rFonts w:ascii="Arial" w:eastAsia="Calibri" w:hAnsi="Arial" w:cs="Arial"/>
          <w:sz w:val="22"/>
        </w:rPr>
        <w:t xml:space="preserve"> </w:t>
      </w:r>
      <w:r>
        <w:rPr>
          <w:rFonts w:ascii="Arial" w:eastAsia="Calibri" w:hAnsi="Arial" w:cs="Arial"/>
          <w:sz w:val="22"/>
        </w:rPr>
        <w:t>–</w:t>
      </w:r>
      <w:r w:rsidR="004E0F28" w:rsidRPr="00271E9E">
        <w:rPr>
          <w:rFonts w:ascii="Arial" w:eastAsia="Calibri" w:hAnsi="Arial" w:cs="Arial"/>
          <w:sz w:val="22"/>
        </w:rPr>
        <w:t xml:space="preserve">pero no </w:t>
      </w:r>
      <w:r w:rsidR="002B088C">
        <w:rPr>
          <w:rFonts w:ascii="Arial" w:eastAsia="Calibri" w:hAnsi="Arial" w:cs="Arial"/>
          <w:sz w:val="22"/>
        </w:rPr>
        <w:t>«</w:t>
      </w:r>
      <w:r w:rsidR="004E0F28" w:rsidRPr="00271E9E">
        <w:rPr>
          <w:rFonts w:ascii="Arial" w:eastAsia="Calibri" w:hAnsi="Arial" w:cs="Arial"/>
          <w:sz w:val="22"/>
        </w:rPr>
        <w:t>liquidarse</w:t>
      </w:r>
      <w:r w:rsidR="002B088C">
        <w:rPr>
          <w:rFonts w:ascii="Arial" w:eastAsia="Calibri" w:hAnsi="Arial" w:cs="Arial"/>
          <w:sz w:val="22"/>
        </w:rPr>
        <w:t>»</w:t>
      </w:r>
      <w:r w:rsidR="004E0F28" w:rsidRPr="00271E9E">
        <w:rPr>
          <w:rFonts w:ascii="Arial" w:eastAsia="Calibri" w:hAnsi="Arial" w:cs="Arial"/>
          <w:sz w:val="22"/>
        </w:rPr>
        <w:t xml:space="preserve">, puesto que la </w:t>
      </w:r>
      <w:r w:rsidR="002B088C">
        <w:rPr>
          <w:rFonts w:ascii="Arial" w:eastAsia="Calibri" w:hAnsi="Arial" w:cs="Arial"/>
          <w:sz w:val="22"/>
        </w:rPr>
        <w:t>«</w:t>
      </w:r>
      <w:r w:rsidR="004E0F28" w:rsidRPr="00271E9E">
        <w:rPr>
          <w:rFonts w:ascii="Arial" w:eastAsia="Calibri" w:hAnsi="Arial" w:cs="Arial"/>
          <w:sz w:val="22"/>
        </w:rPr>
        <w:t>liquidación</w:t>
      </w:r>
      <w:r w:rsidR="002B088C">
        <w:rPr>
          <w:rFonts w:ascii="Arial" w:eastAsia="Calibri" w:hAnsi="Arial" w:cs="Arial"/>
          <w:sz w:val="22"/>
        </w:rPr>
        <w:t>»</w:t>
      </w:r>
      <w:r w:rsidR="004E0F28" w:rsidRPr="00271E9E">
        <w:rPr>
          <w:rFonts w:ascii="Arial" w:eastAsia="Calibri" w:hAnsi="Arial" w:cs="Arial"/>
          <w:sz w:val="22"/>
        </w:rPr>
        <w:t xml:space="preserve"> implicaría que desaparece la persona y así su experiencia</w:t>
      </w:r>
      <w:r>
        <w:rPr>
          <w:rFonts w:ascii="Arial" w:eastAsia="Calibri" w:hAnsi="Arial" w:cs="Arial"/>
          <w:sz w:val="22"/>
        </w:rPr>
        <w:t>–</w:t>
      </w:r>
      <w:r w:rsidR="004E0F28" w:rsidRPr="00271E9E">
        <w:rPr>
          <w:rFonts w:ascii="Arial" w:eastAsia="Calibri" w:hAnsi="Arial" w:cs="Arial"/>
          <w:sz w:val="22"/>
        </w:rPr>
        <w:t>. Para explicar</w:t>
      </w:r>
      <w:r w:rsidR="004E0F28">
        <w:rPr>
          <w:rFonts w:ascii="Arial" w:eastAsia="Calibri" w:hAnsi="Arial" w:cs="Arial"/>
          <w:sz w:val="22"/>
        </w:rPr>
        <w:t>l</w:t>
      </w:r>
      <w:r w:rsidR="004E0F28" w:rsidRPr="00271E9E">
        <w:rPr>
          <w:rFonts w:ascii="Arial" w:eastAsia="Calibri" w:hAnsi="Arial" w:cs="Arial"/>
          <w:sz w:val="22"/>
        </w:rPr>
        <w:t xml:space="preserve">o </w:t>
      </w:r>
      <w:r w:rsidR="004E0F28">
        <w:rPr>
          <w:rFonts w:ascii="Arial" w:eastAsia="Calibri" w:hAnsi="Arial" w:cs="Arial"/>
          <w:sz w:val="22"/>
        </w:rPr>
        <w:t>hay que</w:t>
      </w:r>
      <w:r w:rsidR="004E0F28" w:rsidRPr="00271E9E">
        <w:rPr>
          <w:rFonts w:ascii="Arial" w:eastAsia="Calibri" w:hAnsi="Arial" w:cs="Arial"/>
          <w:sz w:val="22"/>
        </w:rPr>
        <w:t xml:space="preserve"> volver a la definición de </w:t>
      </w:r>
      <w:r w:rsidR="002B088C">
        <w:rPr>
          <w:rFonts w:ascii="Arial" w:eastAsia="Calibri" w:hAnsi="Arial" w:cs="Arial"/>
          <w:sz w:val="22"/>
        </w:rPr>
        <w:t>«</w:t>
      </w:r>
      <w:r w:rsidR="004E0F28" w:rsidRPr="00271E9E">
        <w:rPr>
          <w:rFonts w:ascii="Arial" w:eastAsia="Calibri" w:hAnsi="Arial" w:cs="Arial"/>
          <w:sz w:val="22"/>
        </w:rPr>
        <w:t>disolución</w:t>
      </w:r>
      <w:r w:rsidR="002B088C">
        <w:rPr>
          <w:rFonts w:ascii="Arial" w:eastAsia="Calibri" w:hAnsi="Arial" w:cs="Arial"/>
          <w:sz w:val="22"/>
        </w:rPr>
        <w:t>»</w:t>
      </w:r>
      <w:r w:rsidR="004E0F28" w:rsidRPr="00271E9E">
        <w:rPr>
          <w:rFonts w:ascii="Arial" w:eastAsia="Calibri" w:hAnsi="Arial" w:cs="Arial"/>
          <w:sz w:val="22"/>
        </w:rPr>
        <w:t xml:space="preserve">, donde la persona jurídica no desaparece y solo puede hacer trámites para </w:t>
      </w:r>
      <w:r w:rsidR="002B088C">
        <w:rPr>
          <w:rFonts w:ascii="Arial" w:eastAsia="Calibri" w:hAnsi="Arial" w:cs="Arial"/>
          <w:sz w:val="22"/>
        </w:rPr>
        <w:t>«</w:t>
      </w:r>
      <w:r w:rsidR="004E0F28" w:rsidRPr="00271E9E">
        <w:rPr>
          <w:rFonts w:ascii="Arial" w:eastAsia="Calibri" w:hAnsi="Arial" w:cs="Arial"/>
          <w:sz w:val="22"/>
        </w:rPr>
        <w:t>liquidarse</w:t>
      </w:r>
      <w:r w:rsidR="002B088C">
        <w:rPr>
          <w:rFonts w:ascii="Arial" w:eastAsia="Calibri" w:hAnsi="Arial" w:cs="Arial"/>
          <w:sz w:val="22"/>
        </w:rPr>
        <w:t>»</w:t>
      </w:r>
      <w:r w:rsidR="00DB2D54">
        <w:rPr>
          <w:rFonts w:ascii="Arial" w:eastAsia="Calibri" w:hAnsi="Arial" w:cs="Arial"/>
          <w:sz w:val="22"/>
        </w:rPr>
        <w:t>;</w:t>
      </w:r>
      <w:r w:rsidR="004E0F28" w:rsidRPr="00271E9E">
        <w:rPr>
          <w:rFonts w:ascii="Arial" w:eastAsia="Calibri" w:hAnsi="Arial" w:cs="Arial"/>
          <w:sz w:val="22"/>
        </w:rPr>
        <w:t xml:space="preserve"> sin embargo</w:t>
      </w:r>
      <w:r w:rsidR="00C03A30">
        <w:rPr>
          <w:rFonts w:ascii="Arial" w:eastAsia="Calibri" w:hAnsi="Arial" w:cs="Arial"/>
          <w:sz w:val="22"/>
        </w:rPr>
        <w:t>,</w:t>
      </w:r>
      <w:r w:rsidR="004E0F28" w:rsidRPr="00271E9E">
        <w:rPr>
          <w:rFonts w:ascii="Arial" w:eastAsia="Calibri" w:hAnsi="Arial" w:cs="Arial"/>
          <w:sz w:val="22"/>
        </w:rPr>
        <w:t xml:space="preserve"> hay una excepción a esa regla y es, precisamente, la</w:t>
      </w:r>
      <w:r w:rsidR="00625D31">
        <w:rPr>
          <w:rFonts w:ascii="Arial" w:eastAsia="Calibri" w:hAnsi="Arial" w:cs="Arial"/>
          <w:sz w:val="22"/>
        </w:rPr>
        <w:t xml:space="preserve"> figura </w:t>
      </w:r>
      <w:r w:rsidR="004E0F28" w:rsidRPr="00271E9E">
        <w:rPr>
          <w:rFonts w:ascii="Arial" w:eastAsia="Calibri" w:hAnsi="Arial" w:cs="Arial"/>
          <w:sz w:val="22"/>
        </w:rPr>
        <w:t>que aquí se explica</w:t>
      </w:r>
      <w:r w:rsidR="00C45AF6">
        <w:rPr>
          <w:rFonts w:ascii="Arial" w:eastAsia="Calibri" w:hAnsi="Arial" w:cs="Arial"/>
          <w:sz w:val="22"/>
        </w:rPr>
        <w:t>, donde la sociedad realiza actuaciones para escindirse</w:t>
      </w:r>
      <w:r w:rsidR="00625D31">
        <w:rPr>
          <w:rFonts w:ascii="Arial" w:eastAsia="Calibri" w:hAnsi="Arial" w:cs="Arial"/>
          <w:sz w:val="22"/>
        </w:rPr>
        <w:t>. E</w:t>
      </w:r>
      <w:r w:rsidR="004E0F28" w:rsidRPr="00271E9E">
        <w:rPr>
          <w:rFonts w:ascii="Arial" w:eastAsia="Calibri" w:hAnsi="Arial" w:cs="Arial"/>
          <w:sz w:val="22"/>
        </w:rPr>
        <w:t>n la primera modalidad</w:t>
      </w:r>
      <w:r w:rsidR="00625D31">
        <w:rPr>
          <w:rFonts w:ascii="Arial" w:eastAsia="Calibri" w:hAnsi="Arial" w:cs="Arial"/>
          <w:sz w:val="22"/>
        </w:rPr>
        <w:t xml:space="preserve"> de escisión</w:t>
      </w:r>
      <w:r w:rsidR="004E0F28" w:rsidRPr="00271E9E">
        <w:rPr>
          <w:rFonts w:ascii="Arial" w:eastAsia="Calibri" w:hAnsi="Arial" w:cs="Arial"/>
          <w:sz w:val="22"/>
        </w:rPr>
        <w:t xml:space="preserve"> no existe </w:t>
      </w:r>
      <w:r w:rsidR="002B088C">
        <w:rPr>
          <w:rFonts w:ascii="Arial" w:eastAsia="Calibri" w:hAnsi="Arial" w:cs="Arial"/>
          <w:sz w:val="22"/>
        </w:rPr>
        <w:t>«</w:t>
      </w:r>
      <w:r w:rsidR="004E0F28" w:rsidRPr="00271E9E">
        <w:rPr>
          <w:rFonts w:ascii="Arial" w:eastAsia="Calibri" w:hAnsi="Arial" w:cs="Arial"/>
          <w:sz w:val="22"/>
        </w:rPr>
        <w:t>disolución</w:t>
      </w:r>
      <w:r w:rsidR="002B088C">
        <w:rPr>
          <w:rFonts w:ascii="Arial" w:eastAsia="Calibri" w:hAnsi="Arial" w:cs="Arial"/>
          <w:sz w:val="22"/>
        </w:rPr>
        <w:t>»</w:t>
      </w:r>
      <w:r w:rsidR="004E0F28" w:rsidRPr="00271E9E">
        <w:rPr>
          <w:rFonts w:ascii="Arial" w:eastAsia="Calibri" w:hAnsi="Arial" w:cs="Arial"/>
          <w:sz w:val="22"/>
        </w:rPr>
        <w:t>, lo que significa que la persona continúa por sí misma y puede adquirir experiencia</w:t>
      </w:r>
      <w:r w:rsidR="00C03A30">
        <w:rPr>
          <w:rFonts w:ascii="Arial" w:eastAsia="Calibri" w:hAnsi="Arial" w:cs="Arial"/>
          <w:sz w:val="22"/>
        </w:rPr>
        <w:t>,</w:t>
      </w:r>
      <w:r w:rsidR="00D64CD5">
        <w:rPr>
          <w:rFonts w:ascii="Arial" w:eastAsia="Calibri" w:hAnsi="Arial" w:cs="Arial"/>
          <w:sz w:val="22"/>
        </w:rPr>
        <w:t xml:space="preserve"> pero no puede transferirla porque le pertenece a</w:t>
      </w:r>
      <w:r>
        <w:rPr>
          <w:rFonts w:ascii="Arial" w:eastAsia="Calibri" w:hAnsi="Arial" w:cs="Arial"/>
          <w:sz w:val="22"/>
        </w:rPr>
        <w:t xml:space="preserve"> ella que fue quien </w:t>
      </w:r>
      <w:r w:rsidR="00D64CD5">
        <w:rPr>
          <w:rFonts w:ascii="Arial" w:eastAsia="Calibri" w:hAnsi="Arial" w:cs="Arial"/>
          <w:sz w:val="22"/>
        </w:rPr>
        <w:t>la adquirió</w:t>
      </w:r>
      <w:r w:rsidR="00C03A30">
        <w:rPr>
          <w:rFonts w:ascii="Arial" w:eastAsia="Calibri" w:hAnsi="Arial" w:cs="Arial"/>
          <w:sz w:val="22"/>
        </w:rPr>
        <w:t xml:space="preserve"> y la conserva.</w:t>
      </w:r>
    </w:p>
    <w:p w14:paraId="7478D751" w14:textId="77777777" w:rsidR="00F22A4D" w:rsidRDefault="00D64CD5" w:rsidP="004E0F28">
      <w:pPr>
        <w:spacing w:before="120" w:after="120" w:line="276" w:lineRule="auto"/>
        <w:ind w:firstLine="708"/>
        <w:jc w:val="both"/>
        <w:rPr>
          <w:rFonts w:ascii="Arial" w:eastAsia="Calibri" w:hAnsi="Arial" w:cs="Arial"/>
          <w:sz w:val="22"/>
        </w:rPr>
      </w:pPr>
      <w:r>
        <w:rPr>
          <w:rFonts w:ascii="Arial" w:eastAsia="Calibri" w:hAnsi="Arial" w:cs="Arial"/>
          <w:sz w:val="22"/>
        </w:rPr>
        <w:lastRenderedPageBreak/>
        <w:t>Por otro lado,</w:t>
      </w:r>
      <w:r w:rsidR="004E0F28" w:rsidRPr="00271E9E">
        <w:rPr>
          <w:rFonts w:ascii="Arial" w:eastAsia="Calibri" w:hAnsi="Arial" w:cs="Arial"/>
          <w:sz w:val="22"/>
        </w:rPr>
        <w:t xml:space="preserve"> a pesar de que en </w:t>
      </w:r>
      <w:r w:rsidR="004E0F28" w:rsidRPr="004919AE">
        <w:rPr>
          <w:rFonts w:ascii="Arial" w:eastAsia="Calibri" w:hAnsi="Arial" w:cs="Arial"/>
          <w:i/>
          <w:iCs/>
          <w:sz w:val="22"/>
        </w:rPr>
        <w:t>la segunda modalidad</w:t>
      </w:r>
      <w:r w:rsidR="004E0F28" w:rsidRPr="00271E9E">
        <w:rPr>
          <w:rFonts w:ascii="Arial" w:eastAsia="Calibri" w:hAnsi="Arial" w:cs="Arial"/>
          <w:sz w:val="22"/>
        </w:rPr>
        <w:t xml:space="preserve"> existe </w:t>
      </w:r>
      <w:r w:rsidR="002B088C">
        <w:rPr>
          <w:rFonts w:ascii="Arial" w:eastAsia="Calibri" w:hAnsi="Arial" w:cs="Arial"/>
          <w:sz w:val="22"/>
        </w:rPr>
        <w:t>«</w:t>
      </w:r>
      <w:r w:rsidR="004E0F28" w:rsidRPr="00271E9E">
        <w:rPr>
          <w:rFonts w:ascii="Arial" w:eastAsia="Calibri" w:hAnsi="Arial" w:cs="Arial"/>
          <w:sz w:val="22"/>
        </w:rPr>
        <w:t>disolución</w:t>
      </w:r>
      <w:r w:rsidR="002B088C">
        <w:rPr>
          <w:rFonts w:ascii="Arial" w:eastAsia="Calibri" w:hAnsi="Arial" w:cs="Arial"/>
          <w:sz w:val="22"/>
        </w:rPr>
        <w:t>»</w:t>
      </w:r>
      <w:r w:rsidR="004E0F28" w:rsidRPr="00271E9E">
        <w:rPr>
          <w:rFonts w:ascii="Arial" w:eastAsia="Calibri" w:hAnsi="Arial" w:cs="Arial"/>
          <w:sz w:val="22"/>
        </w:rPr>
        <w:t>, no hay transferencia de la experiencia porque la persona jurídica fraccionada deja de ser quién es y desaparece</w:t>
      </w:r>
      <w:r w:rsidR="000E1FB7">
        <w:rPr>
          <w:rFonts w:ascii="Arial" w:eastAsia="Calibri" w:hAnsi="Arial" w:cs="Arial"/>
          <w:sz w:val="22"/>
        </w:rPr>
        <w:t xml:space="preserve">, </w:t>
      </w:r>
      <w:r>
        <w:rPr>
          <w:rFonts w:ascii="Arial" w:eastAsia="Calibri" w:hAnsi="Arial" w:cs="Arial"/>
          <w:sz w:val="22"/>
        </w:rPr>
        <w:t>queda</w:t>
      </w:r>
      <w:r w:rsidR="000E1FB7">
        <w:rPr>
          <w:rFonts w:ascii="Arial" w:eastAsia="Calibri" w:hAnsi="Arial" w:cs="Arial"/>
          <w:sz w:val="22"/>
        </w:rPr>
        <w:t xml:space="preserve">ndo </w:t>
      </w:r>
      <w:r>
        <w:rPr>
          <w:rFonts w:ascii="Arial" w:eastAsia="Calibri" w:hAnsi="Arial" w:cs="Arial"/>
          <w:sz w:val="22"/>
        </w:rPr>
        <w:t>dividida en varias sociedades nuevas o existentes que reciben su patrimonio</w:t>
      </w:r>
      <w:r w:rsidR="00691278">
        <w:rPr>
          <w:rFonts w:ascii="Arial" w:eastAsia="Calibri" w:hAnsi="Arial" w:cs="Arial"/>
          <w:sz w:val="22"/>
        </w:rPr>
        <w:t>,</w:t>
      </w:r>
      <w:r>
        <w:rPr>
          <w:rFonts w:ascii="Arial" w:eastAsia="Calibri" w:hAnsi="Arial" w:cs="Arial"/>
          <w:sz w:val="22"/>
        </w:rPr>
        <w:t xml:space="preserve"> sin que sea posible determinar cuál de todas las sociedades que recibieron parte del patrimonio de la sociedad escindida tiene la experiencia</w:t>
      </w:r>
      <w:r w:rsidR="00AB617E">
        <w:rPr>
          <w:rFonts w:ascii="Arial" w:eastAsia="Calibri" w:hAnsi="Arial" w:cs="Arial"/>
          <w:sz w:val="22"/>
        </w:rPr>
        <w:t xml:space="preserve">. </w:t>
      </w:r>
    </w:p>
    <w:p w14:paraId="1F22339A" w14:textId="056CFD5C" w:rsidR="00F22A4D" w:rsidRDefault="00AB617E" w:rsidP="004E0F28">
      <w:pPr>
        <w:spacing w:before="120" w:after="120" w:line="276" w:lineRule="auto"/>
        <w:ind w:firstLine="708"/>
        <w:jc w:val="both"/>
        <w:rPr>
          <w:rFonts w:ascii="Arial" w:eastAsia="Calibri" w:hAnsi="Arial" w:cs="Arial"/>
          <w:sz w:val="22"/>
        </w:rPr>
      </w:pPr>
      <w:r>
        <w:rPr>
          <w:rFonts w:ascii="Arial" w:eastAsia="Calibri" w:hAnsi="Arial" w:cs="Arial"/>
          <w:sz w:val="22"/>
        </w:rPr>
        <w:t>T</w:t>
      </w:r>
      <w:r w:rsidR="00D64CD5">
        <w:rPr>
          <w:rFonts w:ascii="Arial" w:eastAsia="Calibri" w:hAnsi="Arial" w:cs="Arial"/>
          <w:sz w:val="22"/>
        </w:rPr>
        <w:t xml:space="preserve">ampoco es posible que todas las sociedades que recibieron el patrimonio acrediten la misma experiencia multiplicándola </w:t>
      </w:r>
      <w:r w:rsidR="000E1FB7">
        <w:rPr>
          <w:rFonts w:ascii="Arial" w:eastAsia="Calibri" w:hAnsi="Arial" w:cs="Arial"/>
          <w:sz w:val="22"/>
        </w:rPr>
        <w:t xml:space="preserve">tantas veces sea </w:t>
      </w:r>
      <w:r w:rsidR="003B4987">
        <w:rPr>
          <w:rFonts w:ascii="Arial" w:eastAsia="Calibri" w:hAnsi="Arial" w:cs="Arial"/>
          <w:sz w:val="22"/>
        </w:rPr>
        <w:t>posible</w:t>
      </w:r>
      <w:r w:rsidR="000E1FB7">
        <w:rPr>
          <w:rFonts w:ascii="Arial" w:eastAsia="Calibri" w:hAnsi="Arial" w:cs="Arial"/>
          <w:sz w:val="22"/>
        </w:rPr>
        <w:t>,</w:t>
      </w:r>
      <w:r w:rsidR="00691278">
        <w:rPr>
          <w:rFonts w:ascii="Arial" w:eastAsia="Calibri" w:hAnsi="Arial" w:cs="Arial"/>
          <w:sz w:val="22"/>
        </w:rPr>
        <w:t xml:space="preserve"> porque la experiencia es de quien la adquirió</w:t>
      </w:r>
      <w:r w:rsidR="003B4987">
        <w:rPr>
          <w:rFonts w:ascii="Arial" w:eastAsia="Calibri" w:hAnsi="Arial" w:cs="Arial"/>
          <w:sz w:val="22"/>
        </w:rPr>
        <w:t>,</w:t>
      </w:r>
      <w:r w:rsidR="00691278">
        <w:rPr>
          <w:rFonts w:ascii="Arial" w:eastAsia="Calibri" w:hAnsi="Arial" w:cs="Arial"/>
          <w:sz w:val="22"/>
        </w:rPr>
        <w:t xml:space="preserve"> y esa persona jurídica</w:t>
      </w:r>
      <w:r w:rsidR="004E0F28" w:rsidRPr="00271E9E">
        <w:rPr>
          <w:rFonts w:ascii="Arial" w:eastAsia="Calibri" w:hAnsi="Arial" w:cs="Arial"/>
          <w:sz w:val="22"/>
        </w:rPr>
        <w:t xml:space="preserve"> no puede continuar en otra persona</w:t>
      </w:r>
      <w:r w:rsidR="003B4987">
        <w:rPr>
          <w:rFonts w:ascii="Arial" w:eastAsia="Calibri" w:hAnsi="Arial" w:cs="Arial"/>
          <w:sz w:val="22"/>
        </w:rPr>
        <w:t>,</w:t>
      </w:r>
      <w:r w:rsidR="00691278">
        <w:rPr>
          <w:rFonts w:ascii="Arial" w:eastAsia="Calibri" w:hAnsi="Arial" w:cs="Arial"/>
          <w:sz w:val="22"/>
        </w:rPr>
        <w:t xml:space="preserve"> porque desapareció</w:t>
      </w:r>
      <w:r w:rsidR="00F22A4D">
        <w:rPr>
          <w:rFonts w:ascii="Arial" w:eastAsia="Calibri" w:hAnsi="Arial" w:cs="Arial"/>
          <w:sz w:val="22"/>
        </w:rPr>
        <w:t>,</w:t>
      </w:r>
      <w:r w:rsidR="00691278">
        <w:rPr>
          <w:rFonts w:ascii="Arial" w:eastAsia="Calibri" w:hAnsi="Arial" w:cs="Arial"/>
          <w:sz w:val="22"/>
        </w:rPr>
        <w:t xml:space="preserve"> quedando fraccionada en 2 o más partes</w:t>
      </w:r>
      <w:r w:rsidR="00DB2D54">
        <w:rPr>
          <w:rFonts w:ascii="Arial" w:eastAsia="Calibri" w:hAnsi="Arial" w:cs="Arial"/>
          <w:sz w:val="22"/>
        </w:rPr>
        <w:t>.</w:t>
      </w:r>
      <w:r w:rsidR="00691278">
        <w:rPr>
          <w:rFonts w:ascii="Arial" w:eastAsia="Calibri" w:hAnsi="Arial" w:cs="Arial"/>
          <w:sz w:val="22"/>
        </w:rPr>
        <w:t xml:space="preserve"> </w:t>
      </w:r>
      <w:r w:rsidR="00DB2D54">
        <w:rPr>
          <w:rFonts w:ascii="Arial" w:eastAsia="Calibri" w:hAnsi="Arial" w:cs="Arial"/>
          <w:sz w:val="22"/>
        </w:rPr>
        <w:t xml:space="preserve">En efecto, </w:t>
      </w:r>
      <w:r w:rsidR="003B4987">
        <w:rPr>
          <w:rFonts w:ascii="Arial" w:eastAsia="Calibri" w:hAnsi="Arial" w:cs="Arial"/>
          <w:sz w:val="22"/>
        </w:rPr>
        <w:t>admitir la posibilidad</w:t>
      </w:r>
      <w:r w:rsidR="00F22A4D">
        <w:rPr>
          <w:rFonts w:ascii="Arial" w:eastAsia="Calibri" w:hAnsi="Arial" w:cs="Arial"/>
          <w:sz w:val="22"/>
        </w:rPr>
        <w:t xml:space="preserve"> de que se transfiera y se multiplique la experiencia, </w:t>
      </w:r>
      <w:r w:rsidR="006505BB">
        <w:rPr>
          <w:rFonts w:ascii="Arial" w:eastAsia="Calibri" w:hAnsi="Arial" w:cs="Arial"/>
          <w:sz w:val="22"/>
        </w:rPr>
        <w:t>desconocería</w:t>
      </w:r>
      <w:r w:rsidR="00F22A4D">
        <w:rPr>
          <w:rFonts w:ascii="Arial" w:eastAsia="Calibri" w:hAnsi="Arial" w:cs="Arial"/>
          <w:sz w:val="22"/>
        </w:rPr>
        <w:t xml:space="preserve"> la noción y finalidad de la </w:t>
      </w:r>
      <w:r w:rsidR="004E0F28" w:rsidRPr="00271E9E">
        <w:rPr>
          <w:rFonts w:ascii="Arial" w:eastAsia="Calibri" w:hAnsi="Arial" w:cs="Arial"/>
          <w:sz w:val="22"/>
        </w:rPr>
        <w:t xml:space="preserve">experiencia </w:t>
      </w:r>
      <w:r w:rsidR="00F22A4D">
        <w:rPr>
          <w:rFonts w:ascii="Arial" w:eastAsia="Calibri" w:hAnsi="Arial" w:cs="Arial"/>
          <w:sz w:val="22"/>
        </w:rPr>
        <w:t xml:space="preserve">como </w:t>
      </w:r>
      <w:r w:rsidR="004E0F28" w:rsidRPr="00271E9E">
        <w:rPr>
          <w:rFonts w:ascii="Arial" w:eastAsia="Calibri" w:hAnsi="Arial" w:cs="Arial"/>
          <w:sz w:val="22"/>
        </w:rPr>
        <w:t>personal</w:t>
      </w:r>
      <w:r w:rsidR="00F22A4D">
        <w:rPr>
          <w:rFonts w:ascii="Arial" w:eastAsia="Calibri" w:hAnsi="Arial" w:cs="Arial"/>
          <w:sz w:val="22"/>
        </w:rPr>
        <w:t xml:space="preserve">, esto es, que se adquiere por la participación en actividades iguales o similares a las que se </w:t>
      </w:r>
      <w:r w:rsidR="006505BB">
        <w:rPr>
          <w:rFonts w:ascii="Arial" w:eastAsia="Calibri" w:hAnsi="Arial" w:cs="Arial"/>
          <w:sz w:val="22"/>
        </w:rPr>
        <w:t>van a contratar</w:t>
      </w:r>
      <w:r w:rsidR="00F22A4D">
        <w:rPr>
          <w:rFonts w:ascii="Arial" w:eastAsia="Calibri" w:hAnsi="Arial" w:cs="Arial"/>
          <w:sz w:val="22"/>
        </w:rPr>
        <w:t xml:space="preserve">. Además, tampoco responde a la </w:t>
      </w:r>
      <w:r w:rsidR="00F22A4D">
        <w:rPr>
          <w:rFonts w:ascii="Arial" w:eastAsia="Calibri" w:hAnsi="Arial" w:cs="Arial"/>
          <w:i/>
          <w:iCs/>
          <w:sz w:val="22"/>
        </w:rPr>
        <w:t xml:space="preserve">transferencia </w:t>
      </w:r>
      <w:r w:rsidR="00F22A4D">
        <w:rPr>
          <w:rFonts w:ascii="Arial" w:eastAsia="Calibri" w:hAnsi="Arial" w:cs="Arial"/>
          <w:sz w:val="22"/>
        </w:rPr>
        <w:t xml:space="preserve">de la experiencia, que se daría si la persona jurídica sigue siendo quien es, pero a través de otra, </w:t>
      </w:r>
      <w:r w:rsidR="006505BB">
        <w:rPr>
          <w:rFonts w:ascii="Arial" w:eastAsia="Calibri" w:hAnsi="Arial" w:cs="Arial"/>
          <w:sz w:val="22"/>
        </w:rPr>
        <w:t>como sucede en figuras como la fusión.</w:t>
      </w:r>
    </w:p>
    <w:p w14:paraId="6900CB7D" w14:textId="5683EA50" w:rsidR="004E0F28" w:rsidRPr="00271E9E" w:rsidRDefault="006505BB" w:rsidP="002B088C">
      <w:pPr>
        <w:spacing w:before="120" w:after="120" w:line="276" w:lineRule="auto"/>
        <w:ind w:firstLine="708"/>
        <w:jc w:val="both"/>
        <w:rPr>
          <w:rFonts w:ascii="Arial" w:eastAsia="Calibri" w:hAnsi="Arial" w:cs="Arial"/>
          <w:sz w:val="22"/>
        </w:rPr>
      </w:pPr>
      <w:r>
        <w:rPr>
          <w:rFonts w:ascii="Arial" w:eastAsia="Calibri" w:hAnsi="Arial" w:cs="Arial"/>
          <w:sz w:val="22"/>
        </w:rPr>
        <w:t>En efecto, un supuesto distinto es el de</w:t>
      </w:r>
      <w:r w:rsidR="00DB2D54">
        <w:rPr>
          <w:rFonts w:ascii="Arial" w:eastAsia="Calibri" w:hAnsi="Arial" w:cs="Arial"/>
          <w:sz w:val="22"/>
        </w:rPr>
        <w:t xml:space="preserve"> </w:t>
      </w:r>
      <w:r w:rsidR="004E0F28" w:rsidRPr="004919AE">
        <w:rPr>
          <w:rFonts w:ascii="Arial" w:eastAsia="Calibri" w:hAnsi="Arial" w:cs="Arial"/>
          <w:i/>
          <w:iCs/>
          <w:sz w:val="22"/>
        </w:rPr>
        <w:t>la fusión</w:t>
      </w:r>
      <w:r w:rsidR="004E0F28" w:rsidRPr="00271E9E">
        <w:rPr>
          <w:rFonts w:ascii="Arial" w:eastAsia="Calibri" w:hAnsi="Arial" w:cs="Arial"/>
          <w:sz w:val="22"/>
        </w:rPr>
        <w:t xml:space="preserve">, </w:t>
      </w:r>
      <w:r w:rsidR="00DB2D54">
        <w:rPr>
          <w:rFonts w:ascii="Arial" w:eastAsia="Calibri" w:hAnsi="Arial" w:cs="Arial"/>
          <w:sz w:val="22"/>
        </w:rPr>
        <w:t xml:space="preserve">donde </w:t>
      </w:r>
      <w:r w:rsidR="004E0F28" w:rsidRPr="00271E9E">
        <w:rPr>
          <w:rFonts w:ascii="Arial" w:eastAsia="Calibri" w:hAnsi="Arial" w:cs="Arial"/>
          <w:sz w:val="22"/>
        </w:rPr>
        <w:t xml:space="preserve">a pesar de que la sociedad esta </w:t>
      </w:r>
      <w:r w:rsidR="002B088C">
        <w:rPr>
          <w:rFonts w:ascii="Arial" w:eastAsia="Calibri" w:hAnsi="Arial" w:cs="Arial"/>
          <w:sz w:val="22"/>
        </w:rPr>
        <w:t>«</w:t>
      </w:r>
      <w:r w:rsidR="004E0F28" w:rsidRPr="00271E9E">
        <w:rPr>
          <w:rFonts w:ascii="Arial" w:eastAsia="Calibri" w:hAnsi="Arial" w:cs="Arial"/>
          <w:sz w:val="22"/>
        </w:rPr>
        <w:t>disuelta</w:t>
      </w:r>
      <w:r w:rsidR="002B088C">
        <w:rPr>
          <w:rFonts w:ascii="Arial" w:eastAsia="Calibri" w:hAnsi="Arial" w:cs="Arial"/>
          <w:sz w:val="22"/>
        </w:rPr>
        <w:t>»</w:t>
      </w:r>
      <w:r w:rsidR="004E0F28" w:rsidRPr="00271E9E">
        <w:rPr>
          <w:rFonts w:ascii="Arial" w:eastAsia="Calibri" w:hAnsi="Arial" w:cs="Arial"/>
          <w:sz w:val="22"/>
        </w:rPr>
        <w:t xml:space="preserve"> y debería </w:t>
      </w:r>
      <w:r w:rsidR="002B088C">
        <w:rPr>
          <w:rFonts w:ascii="Arial" w:eastAsia="Calibri" w:hAnsi="Arial" w:cs="Arial"/>
          <w:sz w:val="22"/>
        </w:rPr>
        <w:t>«</w:t>
      </w:r>
      <w:r w:rsidR="004E0F28" w:rsidRPr="00271E9E">
        <w:rPr>
          <w:rFonts w:ascii="Arial" w:eastAsia="Calibri" w:hAnsi="Arial" w:cs="Arial"/>
          <w:sz w:val="22"/>
        </w:rPr>
        <w:t>liquidarse</w:t>
      </w:r>
      <w:r w:rsidR="002B088C">
        <w:rPr>
          <w:rFonts w:ascii="Arial" w:eastAsia="Calibri" w:hAnsi="Arial" w:cs="Arial"/>
          <w:sz w:val="22"/>
        </w:rPr>
        <w:t>»</w:t>
      </w:r>
      <w:r w:rsidR="004E0F28">
        <w:rPr>
          <w:rFonts w:ascii="Arial" w:eastAsia="Calibri" w:hAnsi="Arial" w:cs="Arial"/>
          <w:sz w:val="22"/>
        </w:rPr>
        <w:t>,</w:t>
      </w:r>
      <w:r w:rsidR="004E0F28" w:rsidRPr="00271E9E">
        <w:rPr>
          <w:rFonts w:ascii="Arial" w:eastAsia="Calibri" w:hAnsi="Arial" w:cs="Arial"/>
          <w:sz w:val="22"/>
        </w:rPr>
        <w:t xml:space="preserve"> para desaparecer, la ley permite que no desaparezca y tenga continuidad convertida en otra sociedad, por lo que, por expresa disposición legal, la sociedad puede no </w:t>
      </w:r>
      <w:r w:rsidR="002B088C">
        <w:rPr>
          <w:rFonts w:ascii="Arial" w:eastAsia="Calibri" w:hAnsi="Arial" w:cs="Arial"/>
          <w:sz w:val="22"/>
        </w:rPr>
        <w:t>«</w:t>
      </w:r>
      <w:r w:rsidR="004E0F28" w:rsidRPr="00271E9E">
        <w:rPr>
          <w:rFonts w:ascii="Arial" w:eastAsia="Calibri" w:hAnsi="Arial" w:cs="Arial"/>
          <w:sz w:val="22"/>
        </w:rPr>
        <w:t>liquidarse</w:t>
      </w:r>
      <w:r w:rsidR="002B088C">
        <w:rPr>
          <w:rFonts w:ascii="Arial" w:eastAsia="Calibri" w:hAnsi="Arial" w:cs="Arial"/>
          <w:sz w:val="22"/>
        </w:rPr>
        <w:t>»</w:t>
      </w:r>
      <w:r w:rsidR="004E0F28" w:rsidRPr="00271E9E">
        <w:rPr>
          <w:rFonts w:ascii="Arial" w:eastAsia="Calibri" w:hAnsi="Arial" w:cs="Arial"/>
          <w:sz w:val="22"/>
        </w:rPr>
        <w:t xml:space="preserve"> sino continuar a través de otra sociedad, </w:t>
      </w:r>
      <w:r w:rsidR="004E0F28">
        <w:rPr>
          <w:rFonts w:ascii="Arial" w:eastAsia="Calibri" w:hAnsi="Arial" w:cs="Arial"/>
          <w:sz w:val="22"/>
        </w:rPr>
        <w:t>por</w:t>
      </w:r>
      <w:r w:rsidR="004E0F28" w:rsidRPr="00271E9E">
        <w:rPr>
          <w:rFonts w:ascii="Arial" w:eastAsia="Calibri" w:hAnsi="Arial" w:cs="Arial"/>
          <w:sz w:val="22"/>
        </w:rPr>
        <w:t xml:space="preserve">que así lo </w:t>
      </w:r>
      <w:r w:rsidR="00502A34">
        <w:rPr>
          <w:rFonts w:ascii="Arial" w:eastAsia="Calibri" w:hAnsi="Arial" w:cs="Arial"/>
          <w:sz w:val="22"/>
        </w:rPr>
        <w:t>dispuso</w:t>
      </w:r>
      <w:r w:rsidR="004E0F28" w:rsidRPr="00271E9E">
        <w:rPr>
          <w:rFonts w:ascii="Arial" w:eastAsia="Calibri" w:hAnsi="Arial" w:cs="Arial"/>
          <w:sz w:val="22"/>
        </w:rPr>
        <w:t xml:space="preserve"> el legislador, y esto implica que </w:t>
      </w:r>
      <w:r w:rsidR="00DB2D54">
        <w:rPr>
          <w:rFonts w:ascii="Arial" w:eastAsia="Calibri" w:hAnsi="Arial" w:cs="Arial"/>
          <w:sz w:val="22"/>
        </w:rPr>
        <w:t>es posible</w:t>
      </w:r>
      <w:r w:rsidR="00DB2D54" w:rsidRPr="00271E9E">
        <w:rPr>
          <w:rFonts w:ascii="Arial" w:eastAsia="Calibri" w:hAnsi="Arial" w:cs="Arial"/>
          <w:sz w:val="22"/>
        </w:rPr>
        <w:t xml:space="preserve"> </w:t>
      </w:r>
      <w:r>
        <w:rPr>
          <w:rFonts w:ascii="Arial" w:eastAsia="Calibri" w:hAnsi="Arial" w:cs="Arial"/>
          <w:sz w:val="22"/>
        </w:rPr>
        <w:t>transferir</w:t>
      </w:r>
      <w:r w:rsidRPr="00271E9E">
        <w:rPr>
          <w:rFonts w:ascii="Arial" w:eastAsia="Calibri" w:hAnsi="Arial" w:cs="Arial"/>
          <w:sz w:val="22"/>
        </w:rPr>
        <w:t xml:space="preserve"> </w:t>
      </w:r>
      <w:r w:rsidR="004E0F28" w:rsidRPr="00271E9E">
        <w:rPr>
          <w:rFonts w:ascii="Arial" w:eastAsia="Calibri" w:hAnsi="Arial" w:cs="Arial"/>
          <w:sz w:val="22"/>
        </w:rPr>
        <w:t>la experiencia</w:t>
      </w:r>
      <w:r w:rsidR="00DB2D54">
        <w:rPr>
          <w:rFonts w:ascii="Arial" w:eastAsia="Calibri" w:hAnsi="Arial" w:cs="Arial"/>
          <w:sz w:val="22"/>
        </w:rPr>
        <w:t xml:space="preserve">. </w:t>
      </w:r>
      <w:r>
        <w:rPr>
          <w:rFonts w:ascii="Arial" w:eastAsia="Calibri" w:hAnsi="Arial" w:cs="Arial"/>
          <w:sz w:val="22"/>
        </w:rPr>
        <w:t>En este supuesto la experiencia se transfiere de una sociedad que se disuelve y pasa ser a ser absorbida por otra, quien adquiere además dicha experiencia.</w:t>
      </w:r>
    </w:p>
    <w:p w14:paraId="5E8B6EFF" w14:textId="6F06E6D8" w:rsidR="004E0F28" w:rsidRPr="00271E9E" w:rsidRDefault="006505BB" w:rsidP="001D1F8F">
      <w:pPr>
        <w:spacing w:line="276" w:lineRule="auto"/>
        <w:ind w:firstLine="708"/>
        <w:jc w:val="both"/>
        <w:rPr>
          <w:rFonts w:ascii="Arial" w:eastAsia="Calibri" w:hAnsi="Arial" w:cs="Arial"/>
          <w:sz w:val="22"/>
        </w:rPr>
      </w:pPr>
      <w:r>
        <w:rPr>
          <w:rFonts w:ascii="Arial" w:eastAsia="Calibri" w:hAnsi="Arial" w:cs="Arial"/>
          <w:sz w:val="22"/>
        </w:rPr>
        <w:t>En este sentido,</w:t>
      </w:r>
      <w:r w:rsidR="004E0F28" w:rsidRPr="00271E9E">
        <w:rPr>
          <w:rFonts w:ascii="Arial" w:eastAsia="Calibri" w:hAnsi="Arial" w:cs="Arial"/>
          <w:sz w:val="22"/>
        </w:rPr>
        <w:t xml:space="preserve"> la </w:t>
      </w:r>
      <w:r w:rsidR="004E0F28" w:rsidRPr="004919AE">
        <w:rPr>
          <w:rFonts w:ascii="Arial" w:eastAsia="Calibri" w:hAnsi="Arial" w:cs="Arial"/>
          <w:i/>
          <w:iCs/>
          <w:sz w:val="22"/>
        </w:rPr>
        <w:t>transferencia</w:t>
      </w:r>
      <w:r w:rsidR="004E0F28" w:rsidRPr="00271E9E">
        <w:rPr>
          <w:rFonts w:ascii="Arial" w:eastAsia="Calibri" w:hAnsi="Arial" w:cs="Arial"/>
          <w:sz w:val="22"/>
        </w:rPr>
        <w:t xml:space="preserve"> de experiencia </w:t>
      </w:r>
      <w:r w:rsidR="00EE140A">
        <w:rPr>
          <w:rFonts w:ascii="Arial" w:eastAsia="Calibri" w:hAnsi="Arial" w:cs="Arial"/>
          <w:sz w:val="22"/>
        </w:rPr>
        <w:t>se presenta en los supuestos en que una persona</w:t>
      </w:r>
      <w:r w:rsidR="004E0F28" w:rsidRPr="00271E9E">
        <w:rPr>
          <w:rFonts w:ascii="Arial" w:eastAsia="Calibri" w:hAnsi="Arial" w:cs="Arial"/>
          <w:sz w:val="22"/>
        </w:rPr>
        <w:t xml:space="preserve">, por </w:t>
      </w:r>
      <w:r w:rsidR="00EE140A">
        <w:rPr>
          <w:rFonts w:ascii="Arial" w:eastAsia="Calibri" w:hAnsi="Arial" w:cs="Arial"/>
          <w:sz w:val="22"/>
        </w:rPr>
        <w:t>su</w:t>
      </w:r>
      <w:r w:rsidR="00EE140A" w:rsidRPr="00271E9E">
        <w:rPr>
          <w:rFonts w:ascii="Arial" w:eastAsia="Calibri" w:hAnsi="Arial" w:cs="Arial"/>
          <w:sz w:val="22"/>
        </w:rPr>
        <w:t xml:space="preserve"> </w:t>
      </w:r>
      <w:r w:rsidR="002B088C">
        <w:rPr>
          <w:rFonts w:ascii="Arial" w:eastAsia="Calibri" w:hAnsi="Arial" w:cs="Arial"/>
          <w:sz w:val="22"/>
        </w:rPr>
        <w:t>«</w:t>
      </w:r>
      <w:r w:rsidR="004E0F28" w:rsidRPr="00271E9E">
        <w:rPr>
          <w:rFonts w:ascii="Arial" w:eastAsia="Calibri" w:hAnsi="Arial" w:cs="Arial"/>
          <w:sz w:val="22"/>
        </w:rPr>
        <w:t>disolución</w:t>
      </w:r>
      <w:r w:rsidR="002B088C">
        <w:rPr>
          <w:rFonts w:ascii="Arial" w:eastAsia="Calibri" w:hAnsi="Arial" w:cs="Arial"/>
          <w:sz w:val="22"/>
        </w:rPr>
        <w:t>»</w:t>
      </w:r>
      <w:r w:rsidR="004E0F28" w:rsidRPr="00271E9E">
        <w:rPr>
          <w:rFonts w:ascii="Arial" w:eastAsia="Calibri" w:hAnsi="Arial" w:cs="Arial"/>
          <w:sz w:val="22"/>
        </w:rPr>
        <w:t xml:space="preserve"> y de acuerdo con lo dispuesto por el legislador, continúa a través de otra persona y no desparece, </w:t>
      </w:r>
      <w:r w:rsidR="00EE140A">
        <w:rPr>
          <w:rFonts w:ascii="Arial" w:eastAsia="Calibri" w:hAnsi="Arial" w:cs="Arial"/>
          <w:sz w:val="22"/>
        </w:rPr>
        <w:t>tal como sucede en la fusión. En estos supuestos la experiencia la adquiere la sociedad a quien se transfirió y no</w:t>
      </w:r>
      <w:r w:rsidR="004E0F28" w:rsidRPr="00271E9E">
        <w:rPr>
          <w:rFonts w:ascii="Arial" w:eastAsia="Calibri" w:hAnsi="Arial" w:cs="Arial"/>
          <w:sz w:val="22"/>
        </w:rPr>
        <w:t xml:space="preserve"> deja de ser personal</w:t>
      </w:r>
      <w:r w:rsidR="00EE140A">
        <w:rPr>
          <w:rFonts w:ascii="Arial" w:eastAsia="Calibri" w:hAnsi="Arial" w:cs="Arial"/>
          <w:sz w:val="22"/>
        </w:rPr>
        <w:t>,</w:t>
      </w:r>
      <w:r w:rsidR="004E0F28" w:rsidRPr="00271E9E">
        <w:rPr>
          <w:rFonts w:ascii="Arial" w:eastAsia="Calibri" w:hAnsi="Arial" w:cs="Arial"/>
          <w:sz w:val="22"/>
        </w:rPr>
        <w:t xml:space="preserve"> puesto que la sociedad se convirtió en otra sin </w:t>
      </w:r>
      <w:r w:rsidR="004C437A">
        <w:rPr>
          <w:rFonts w:ascii="Arial" w:eastAsia="Calibri" w:hAnsi="Arial" w:cs="Arial"/>
          <w:sz w:val="22"/>
        </w:rPr>
        <w:t>desaparecer</w:t>
      </w:r>
      <w:r w:rsidR="00EE140A">
        <w:rPr>
          <w:rFonts w:ascii="Arial" w:eastAsia="Calibri" w:hAnsi="Arial" w:cs="Arial"/>
          <w:sz w:val="22"/>
        </w:rPr>
        <w:t>, a la cual le transfiere, entre otras cosas, su experiencia.</w:t>
      </w:r>
    </w:p>
    <w:p w14:paraId="2C8AB553" w14:textId="77777777" w:rsidR="002B088C" w:rsidRDefault="002B088C" w:rsidP="001D1F8F">
      <w:pPr>
        <w:spacing w:line="276" w:lineRule="auto"/>
        <w:jc w:val="both"/>
        <w:rPr>
          <w:rFonts w:ascii="Arial" w:eastAsia="Calibri" w:hAnsi="Arial" w:cs="Arial"/>
          <w:b/>
          <w:bCs/>
          <w:sz w:val="22"/>
        </w:rPr>
      </w:pPr>
    </w:p>
    <w:p w14:paraId="6F5967EC" w14:textId="49A73E7D" w:rsidR="00347B31" w:rsidRPr="00592C46" w:rsidRDefault="00592C46" w:rsidP="004E0F28">
      <w:pPr>
        <w:jc w:val="both"/>
        <w:rPr>
          <w:rFonts w:ascii="Arial" w:hAnsi="Arial" w:cs="Arial"/>
          <w:b/>
          <w:color w:val="000000" w:themeColor="text1"/>
          <w:sz w:val="22"/>
        </w:rPr>
      </w:pPr>
      <w:r>
        <w:rPr>
          <w:rFonts w:ascii="Arial" w:hAnsi="Arial" w:cs="Arial"/>
          <w:b/>
          <w:color w:val="000000" w:themeColor="text1"/>
          <w:sz w:val="22"/>
        </w:rPr>
        <w:t xml:space="preserve">3. </w:t>
      </w:r>
      <w:r w:rsidR="00347B31" w:rsidRPr="00592C46">
        <w:rPr>
          <w:rFonts w:ascii="Arial" w:hAnsi="Arial" w:cs="Arial"/>
          <w:b/>
          <w:color w:val="000000" w:themeColor="text1"/>
          <w:sz w:val="22"/>
        </w:rPr>
        <w:t>Respuesta</w:t>
      </w:r>
      <w:r w:rsidR="00916C70">
        <w:rPr>
          <w:rFonts w:ascii="Arial" w:hAnsi="Arial" w:cs="Arial"/>
          <w:b/>
          <w:color w:val="000000" w:themeColor="text1"/>
          <w:sz w:val="22"/>
        </w:rPr>
        <w:t>s</w:t>
      </w:r>
    </w:p>
    <w:p w14:paraId="2E0E5394" w14:textId="77777777" w:rsidR="00886D12" w:rsidRPr="006A0F23" w:rsidRDefault="00886D12" w:rsidP="004E0F28">
      <w:pPr>
        <w:pStyle w:val="Prrafodelista"/>
        <w:tabs>
          <w:tab w:val="left" w:pos="426"/>
        </w:tabs>
        <w:ind w:left="360"/>
        <w:jc w:val="both"/>
        <w:rPr>
          <w:rFonts w:ascii="Arial" w:eastAsia="Calibri" w:hAnsi="Arial" w:cs="Arial"/>
          <w:color w:val="000000" w:themeColor="text1"/>
          <w:sz w:val="22"/>
        </w:rPr>
      </w:pPr>
    </w:p>
    <w:p w14:paraId="2821C923" w14:textId="77777777" w:rsidR="008A5A9C" w:rsidRPr="00A07654" w:rsidRDefault="008A5A9C" w:rsidP="008A5A9C">
      <w:pPr>
        <w:pStyle w:val="Prrafodelista"/>
        <w:tabs>
          <w:tab w:val="left" w:pos="426"/>
        </w:tabs>
        <w:ind w:left="709" w:right="709"/>
        <w:jc w:val="both"/>
        <w:rPr>
          <w:rFonts w:ascii="Arial" w:eastAsia="Calibri" w:hAnsi="Arial" w:cs="Arial"/>
          <w:color w:val="000000" w:themeColor="text1"/>
          <w:sz w:val="21"/>
          <w:szCs w:val="21"/>
        </w:rPr>
      </w:pPr>
      <w:r w:rsidRPr="00A07654">
        <w:rPr>
          <w:rFonts w:ascii="Arial" w:eastAsia="Calibri" w:hAnsi="Arial" w:cs="Arial"/>
          <w:color w:val="000000" w:themeColor="text1"/>
          <w:sz w:val="21"/>
          <w:szCs w:val="21"/>
        </w:rPr>
        <w:t>«[…] 1. Si el art. 2.2.1.1.1.5.3 del Decreto 1082 de 2015 establece que el interesado, a efectos de acreditar su experiencia en el Registro Único de Proponentes (RUP), puede incluir “(…) [l]os contratos celebrados por (…) sociedades en las cuales tenga o haya tenido participación (…)”, ¿no puede entenderse que esta regla administrativa resulta plenamente aplicable a las sociedades generadas por una escisión, en tanto uno de los atributos de su personalidad (el patrimonio) participaba del patrimonio la sociedad original, que celebró y ejecutó el contrato estatal correspondiente? Téngase en cuenta que sin el patrimonio no es posible concebir a un sujeto de derecho (atributo de la</w:t>
      </w:r>
    </w:p>
    <w:p w14:paraId="332DFFA9" w14:textId="260AEA89" w:rsidR="008A5A9C" w:rsidRDefault="008A5A9C" w:rsidP="008A5A9C">
      <w:pPr>
        <w:pStyle w:val="Prrafodelista"/>
        <w:tabs>
          <w:tab w:val="left" w:pos="426"/>
        </w:tabs>
        <w:ind w:left="709" w:right="709"/>
        <w:jc w:val="both"/>
        <w:rPr>
          <w:rFonts w:ascii="Arial" w:eastAsia="Calibri" w:hAnsi="Arial" w:cs="Arial"/>
          <w:color w:val="000000" w:themeColor="text1"/>
          <w:sz w:val="21"/>
          <w:szCs w:val="21"/>
        </w:rPr>
      </w:pPr>
      <w:r w:rsidRPr="00A07654">
        <w:rPr>
          <w:rFonts w:ascii="Arial" w:eastAsia="Calibri" w:hAnsi="Arial" w:cs="Arial"/>
          <w:color w:val="000000" w:themeColor="text1"/>
          <w:sz w:val="21"/>
          <w:szCs w:val="21"/>
        </w:rPr>
        <w:t>personalidad).</w:t>
      </w:r>
    </w:p>
    <w:p w14:paraId="0BD44677" w14:textId="398606E4" w:rsidR="00565112" w:rsidRDefault="00565112" w:rsidP="008A5A9C">
      <w:pPr>
        <w:pStyle w:val="Prrafodelista"/>
        <w:tabs>
          <w:tab w:val="left" w:pos="426"/>
        </w:tabs>
        <w:ind w:left="709" w:right="709"/>
        <w:jc w:val="both"/>
        <w:rPr>
          <w:rFonts w:ascii="Arial" w:eastAsia="Calibri" w:hAnsi="Arial" w:cs="Arial"/>
          <w:color w:val="000000" w:themeColor="text1"/>
          <w:sz w:val="21"/>
          <w:szCs w:val="21"/>
        </w:rPr>
      </w:pPr>
      <w:r w:rsidRPr="00A07654">
        <w:rPr>
          <w:rFonts w:ascii="Arial" w:eastAsia="Calibri" w:hAnsi="Arial" w:cs="Arial"/>
          <w:color w:val="000000" w:themeColor="text1"/>
          <w:sz w:val="21"/>
          <w:szCs w:val="21"/>
        </w:rPr>
        <w:t>[…]</w:t>
      </w:r>
    </w:p>
    <w:p w14:paraId="65C32EC5" w14:textId="77777777" w:rsidR="00565112" w:rsidRDefault="00565112" w:rsidP="008A5A9C">
      <w:pPr>
        <w:pStyle w:val="Prrafodelista"/>
        <w:tabs>
          <w:tab w:val="left" w:pos="426"/>
        </w:tabs>
        <w:ind w:left="709" w:right="709"/>
        <w:jc w:val="both"/>
        <w:rPr>
          <w:rFonts w:ascii="Arial" w:eastAsia="Calibri" w:hAnsi="Arial" w:cs="Arial"/>
          <w:color w:val="000000" w:themeColor="text1"/>
          <w:sz w:val="21"/>
          <w:szCs w:val="21"/>
        </w:rPr>
      </w:pPr>
    </w:p>
    <w:p w14:paraId="1F34C2CE" w14:textId="6E038665" w:rsidR="00565112" w:rsidRPr="00A07654" w:rsidRDefault="00565112" w:rsidP="00565112">
      <w:pPr>
        <w:pStyle w:val="Prrafodelista"/>
        <w:tabs>
          <w:tab w:val="left" w:pos="426"/>
        </w:tabs>
        <w:ind w:left="709" w:right="709"/>
        <w:jc w:val="both"/>
        <w:rPr>
          <w:rFonts w:ascii="Arial" w:eastAsia="Calibri" w:hAnsi="Arial" w:cs="Arial"/>
          <w:color w:val="000000" w:themeColor="text1"/>
          <w:sz w:val="21"/>
          <w:szCs w:val="21"/>
        </w:rPr>
      </w:pPr>
      <w:r w:rsidRPr="00A07654">
        <w:rPr>
          <w:rFonts w:ascii="Arial" w:eastAsia="Calibri" w:hAnsi="Arial" w:cs="Arial"/>
          <w:color w:val="000000" w:themeColor="text1"/>
          <w:sz w:val="21"/>
          <w:szCs w:val="21"/>
        </w:rPr>
        <w:t>»3. Igualmente, si la norma reglamentaria en comento también autoriza a los socios de la sociedad contratista del Estado para incorporar a los primeros la experiencia contractual de la segunda, ¿por qué no aplicar este mismo razonamiento a las sociedades producidas por la escisión de un contratista del Estado? […]»</w:t>
      </w:r>
    </w:p>
    <w:p w14:paraId="1D2B3FA1" w14:textId="77777777" w:rsidR="00565112" w:rsidRPr="00A07654" w:rsidRDefault="00565112" w:rsidP="008A5A9C">
      <w:pPr>
        <w:pStyle w:val="Prrafodelista"/>
        <w:tabs>
          <w:tab w:val="left" w:pos="426"/>
        </w:tabs>
        <w:ind w:left="709" w:right="709"/>
        <w:jc w:val="both"/>
        <w:rPr>
          <w:rFonts w:ascii="Arial" w:eastAsia="Calibri" w:hAnsi="Arial" w:cs="Arial"/>
          <w:color w:val="000000" w:themeColor="text1"/>
          <w:sz w:val="21"/>
          <w:szCs w:val="21"/>
        </w:rPr>
      </w:pPr>
    </w:p>
    <w:p w14:paraId="3AF87CB5" w14:textId="0494FAC6" w:rsidR="002B7945" w:rsidRDefault="003B4987" w:rsidP="00EA1073">
      <w:pPr>
        <w:spacing w:before="120" w:line="276" w:lineRule="auto"/>
        <w:jc w:val="both"/>
        <w:rPr>
          <w:rFonts w:ascii="Arial" w:eastAsia="Calibri" w:hAnsi="Arial" w:cs="Arial"/>
          <w:sz w:val="22"/>
        </w:rPr>
      </w:pPr>
      <w:r>
        <w:rPr>
          <w:rFonts w:ascii="Arial" w:eastAsia="Calibri" w:hAnsi="Arial" w:cs="Arial"/>
          <w:sz w:val="22"/>
        </w:rPr>
        <w:t>De acuerdo con las consideraciones</w:t>
      </w:r>
      <w:r w:rsidR="00CE1E2C" w:rsidRPr="00411530">
        <w:rPr>
          <w:rFonts w:ascii="Arial" w:eastAsia="Calibri" w:hAnsi="Arial" w:cs="Arial"/>
          <w:sz w:val="22"/>
        </w:rPr>
        <w:t xml:space="preserve"> </w:t>
      </w:r>
      <w:r w:rsidR="007D7F4A" w:rsidRPr="00411530">
        <w:rPr>
          <w:rFonts w:ascii="Arial" w:eastAsia="Calibri" w:hAnsi="Arial" w:cs="Arial"/>
          <w:bCs/>
          <w:sz w:val="22"/>
        </w:rPr>
        <w:t>la escisión</w:t>
      </w:r>
      <w:r w:rsidR="002B7945" w:rsidRPr="00411530">
        <w:rPr>
          <w:rFonts w:ascii="Arial" w:eastAsia="Calibri" w:hAnsi="Arial" w:cs="Arial"/>
          <w:bCs/>
          <w:sz w:val="22"/>
        </w:rPr>
        <w:t>,</w:t>
      </w:r>
      <w:r>
        <w:rPr>
          <w:rFonts w:ascii="Arial" w:eastAsia="Calibri" w:hAnsi="Arial" w:cs="Arial"/>
          <w:bCs/>
          <w:sz w:val="22"/>
        </w:rPr>
        <w:t xml:space="preserve"> como se regula en el Código de Comerci</w:t>
      </w:r>
      <w:r w:rsidR="007B321A">
        <w:rPr>
          <w:rFonts w:ascii="Arial" w:eastAsia="Calibri" w:hAnsi="Arial" w:cs="Arial"/>
          <w:bCs/>
          <w:sz w:val="22"/>
        </w:rPr>
        <w:t>o</w:t>
      </w:r>
      <w:r>
        <w:rPr>
          <w:rFonts w:ascii="Arial" w:eastAsia="Calibri" w:hAnsi="Arial" w:cs="Arial"/>
          <w:bCs/>
          <w:sz w:val="22"/>
        </w:rPr>
        <w:t xml:space="preserve"> tiene dos modalidades, que ya se explicaron. En</w:t>
      </w:r>
      <w:r w:rsidR="002B7945" w:rsidRPr="00411530">
        <w:rPr>
          <w:rFonts w:ascii="Arial" w:eastAsia="Calibri" w:hAnsi="Arial" w:cs="Arial"/>
          <w:bCs/>
          <w:sz w:val="22"/>
        </w:rPr>
        <w:t xml:space="preserve"> </w:t>
      </w:r>
      <w:r w:rsidR="002B7945" w:rsidRPr="00411530">
        <w:rPr>
          <w:rFonts w:ascii="Arial" w:eastAsia="Calibri" w:hAnsi="Arial" w:cs="Arial"/>
          <w:sz w:val="22"/>
        </w:rPr>
        <w:t>la primera modalidad la sociedad continúa sin alteraciones, por lo que no transfiere su experiencia</w:t>
      </w:r>
      <w:r w:rsidR="00694038">
        <w:rPr>
          <w:rFonts w:ascii="Arial" w:eastAsia="Calibri" w:hAnsi="Arial" w:cs="Arial"/>
          <w:sz w:val="22"/>
        </w:rPr>
        <w:t>,</w:t>
      </w:r>
      <w:r w:rsidR="002B7945" w:rsidRPr="00411530">
        <w:rPr>
          <w:rFonts w:ascii="Arial" w:eastAsia="Calibri" w:hAnsi="Arial" w:cs="Arial"/>
          <w:sz w:val="22"/>
        </w:rPr>
        <w:t xml:space="preserve"> </w:t>
      </w:r>
      <w:r w:rsidR="00BB11AA" w:rsidRPr="00411530">
        <w:rPr>
          <w:rFonts w:ascii="Arial" w:eastAsia="Calibri" w:hAnsi="Arial" w:cs="Arial"/>
          <w:sz w:val="22"/>
        </w:rPr>
        <w:t>ya que</w:t>
      </w:r>
      <w:r w:rsidR="002B7945" w:rsidRPr="00411530">
        <w:rPr>
          <w:rFonts w:ascii="Arial" w:eastAsia="Calibri" w:hAnsi="Arial" w:cs="Arial"/>
          <w:sz w:val="22"/>
        </w:rPr>
        <w:t xml:space="preserve"> para ello tendría que «disolverse» pero no «liquidarse», puesto que la «liquidación» implicaría que desaparece la persona y así su experiencia. En la segunda modalidad, a pesar de que existe «disolución», no hay transferencia de la experiencia</w:t>
      </w:r>
      <w:r w:rsidR="00FD2843" w:rsidRPr="00411530">
        <w:rPr>
          <w:rFonts w:ascii="Arial" w:eastAsia="Calibri" w:hAnsi="Arial" w:cs="Arial"/>
          <w:sz w:val="22"/>
        </w:rPr>
        <w:t>,</w:t>
      </w:r>
      <w:r w:rsidR="002B7945" w:rsidRPr="00411530">
        <w:rPr>
          <w:rFonts w:ascii="Arial" w:eastAsia="Calibri" w:hAnsi="Arial" w:cs="Arial"/>
          <w:sz w:val="22"/>
        </w:rPr>
        <w:t xml:space="preserve"> porque la persona jurídica fraccionada deja de ser quién es y tiende a desaparecer, es decir</w:t>
      </w:r>
      <w:r w:rsidR="00BB11AA" w:rsidRPr="00411530">
        <w:rPr>
          <w:rFonts w:ascii="Arial" w:eastAsia="Calibri" w:hAnsi="Arial" w:cs="Arial"/>
          <w:sz w:val="22"/>
        </w:rPr>
        <w:t>,</w:t>
      </w:r>
      <w:r w:rsidR="002B7945" w:rsidRPr="00411530">
        <w:rPr>
          <w:rFonts w:ascii="Arial" w:eastAsia="Calibri" w:hAnsi="Arial" w:cs="Arial"/>
          <w:sz w:val="22"/>
        </w:rPr>
        <w:t xml:space="preserve"> no puede continuar en otra persona, lo cual no corresponde con la definición de experiencia personal ni de transferencia de experiencia,</w:t>
      </w:r>
      <w:r w:rsidR="00D61AEA">
        <w:rPr>
          <w:rFonts w:ascii="Arial" w:eastAsia="Calibri" w:hAnsi="Arial" w:cs="Arial"/>
          <w:sz w:val="22"/>
        </w:rPr>
        <w:t xml:space="preserve"> como se explicó en las consideraciones</w:t>
      </w:r>
      <w:r w:rsidR="002B7945" w:rsidRPr="00411530">
        <w:rPr>
          <w:rFonts w:ascii="Arial" w:eastAsia="Calibri" w:hAnsi="Arial" w:cs="Arial"/>
          <w:sz w:val="22"/>
        </w:rPr>
        <w:t>.</w:t>
      </w:r>
      <w:r w:rsidR="002B7945" w:rsidRPr="00271E9E">
        <w:rPr>
          <w:rFonts w:ascii="Arial" w:eastAsia="Calibri" w:hAnsi="Arial" w:cs="Arial"/>
          <w:sz w:val="22"/>
        </w:rPr>
        <w:t xml:space="preserve"> </w:t>
      </w:r>
    </w:p>
    <w:p w14:paraId="0F0874B4" w14:textId="74B5F0C6" w:rsidR="00261BAB" w:rsidRDefault="00261BAB" w:rsidP="00EA1073">
      <w:pPr>
        <w:spacing w:before="120" w:line="276" w:lineRule="auto"/>
        <w:jc w:val="both"/>
        <w:rPr>
          <w:rFonts w:ascii="Arial" w:eastAsia="Calibri" w:hAnsi="Arial" w:cs="Arial"/>
          <w:sz w:val="22"/>
        </w:rPr>
      </w:pPr>
      <w:r>
        <w:rPr>
          <w:rFonts w:ascii="Arial" w:eastAsia="Calibri" w:hAnsi="Arial" w:cs="Arial"/>
          <w:sz w:val="22"/>
        </w:rPr>
        <w:tab/>
        <w:t xml:space="preserve">El artículo </w:t>
      </w:r>
      <w:r w:rsidRPr="00261BAB">
        <w:rPr>
          <w:rFonts w:ascii="Arial" w:eastAsia="Calibri" w:hAnsi="Arial" w:cs="Arial"/>
          <w:sz w:val="22"/>
        </w:rPr>
        <w:t>2.2.1.1.1.5.3</w:t>
      </w:r>
      <w:r w:rsidR="00BA7BC3">
        <w:rPr>
          <w:rFonts w:ascii="Arial" w:eastAsia="Calibri" w:hAnsi="Arial" w:cs="Arial"/>
          <w:sz w:val="22"/>
        </w:rPr>
        <w:t>.</w:t>
      </w:r>
      <w:r w:rsidRPr="00261BAB">
        <w:rPr>
          <w:rFonts w:ascii="Arial" w:eastAsia="Calibri" w:hAnsi="Arial" w:cs="Arial"/>
          <w:sz w:val="22"/>
        </w:rPr>
        <w:t xml:space="preserve"> </w:t>
      </w:r>
      <w:r>
        <w:rPr>
          <w:rFonts w:ascii="Arial" w:eastAsia="Calibri" w:hAnsi="Arial" w:cs="Arial"/>
          <w:sz w:val="22"/>
        </w:rPr>
        <w:t>del Decreto 1082 de 2015 señala como experiencia los contratos celebrados por sociedades donde el interesado haya tenido participación</w:t>
      </w:r>
      <w:r w:rsidR="00694038">
        <w:rPr>
          <w:rFonts w:ascii="Arial" w:eastAsia="Calibri" w:hAnsi="Arial" w:cs="Arial"/>
          <w:sz w:val="22"/>
        </w:rPr>
        <w:t>.</w:t>
      </w:r>
      <w:r>
        <w:rPr>
          <w:rFonts w:ascii="Arial" w:eastAsia="Calibri" w:hAnsi="Arial" w:cs="Arial"/>
          <w:sz w:val="22"/>
        </w:rPr>
        <w:t xml:space="preserve"> </w:t>
      </w:r>
      <w:r w:rsidR="00694038">
        <w:rPr>
          <w:rFonts w:ascii="Arial" w:eastAsia="Calibri" w:hAnsi="Arial" w:cs="Arial"/>
          <w:sz w:val="22"/>
        </w:rPr>
        <w:t>S</w:t>
      </w:r>
      <w:r>
        <w:rPr>
          <w:rFonts w:ascii="Arial" w:eastAsia="Calibri" w:hAnsi="Arial" w:cs="Arial"/>
          <w:sz w:val="22"/>
        </w:rPr>
        <w:t xml:space="preserve">in embargo, no es posible que </w:t>
      </w:r>
      <w:r w:rsidR="00411530">
        <w:rPr>
          <w:rFonts w:ascii="Arial" w:eastAsia="Calibri" w:hAnsi="Arial" w:cs="Arial"/>
          <w:sz w:val="22"/>
        </w:rPr>
        <w:t>cuando una</w:t>
      </w:r>
      <w:r>
        <w:rPr>
          <w:rFonts w:ascii="Arial" w:eastAsia="Calibri" w:hAnsi="Arial" w:cs="Arial"/>
          <w:sz w:val="22"/>
        </w:rPr>
        <w:t xml:space="preserve"> sociedad escinde </w:t>
      </w:r>
      <w:r w:rsidR="00870298">
        <w:rPr>
          <w:rFonts w:ascii="Arial" w:eastAsia="Calibri" w:hAnsi="Arial" w:cs="Arial"/>
          <w:sz w:val="22"/>
        </w:rPr>
        <w:t xml:space="preserve">parte de </w:t>
      </w:r>
      <w:r>
        <w:rPr>
          <w:rFonts w:ascii="Arial" w:eastAsia="Calibri" w:hAnsi="Arial" w:cs="Arial"/>
          <w:sz w:val="22"/>
        </w:rPr>
        <w:t xml:space="preserve">su patrimonio </w:t>
      </w:r>
      <w:r w:rsidR="002956D3">
        <w:rPr>
          <w:rFonts w:ascii="Arial" w:eastAsia="Calibri" w:hAnsi="Arial" w:cs="Arial"/>
          <w:sz w:val="22"/>
        </w:rPr>
        <w:t>–</w:t>
      </w:r>
      <w:r>
        <w:rPr>
          <w:rFonts w:ascii="Arial" w:eastAsia="Calibri" w:hAnsi="Arial" w:cs="Arial"/>
          <w:sz w:val="22"/>
        </w:rPr>
        <w:t>primera modalidad de escisión</w:t>
      </w:r>
      <w:r w:rsidR="002956D3">
        <w:rPr>
          <w:rFonts w:ascii="Arial" w:eastAsia="Calibri" w:hAnsi="Arial" w:cs="Arial"/>
          <w:sz w:val="22"/>
        </w:rPr>
        <w:t>–</w:t>
      </w:r>
      <w:r>
        <w:rPr>
          <w:rFonts w:ascii="Arial" w:eastAsia="Calibri" w:hAnsi="Arial" w:cs="Arial"/>
          <w:sz w:val="22"/>
        </w:rPr>
        <w:t xml:space="preserve"> o se escinde</w:t>
      </w:r>
      <w:r w:rsidR="00870298">
        <w:rPr>
          <w:rFonts w:ascii="Arial" w:eastAsia="Calibri" w:hAnsi="Arial" w:cs="Arial"/>
          <w:sz w:val="22"/>
        </w:rPr>
        <w:t xml:space="preserve"> con su patrimonio</w:t>
      </w:r>
      <w:r w:rsidR="00411530">
        <w:rPr>
          <w:rFonts w:ascii="Arial" w:eastAsia="Calibri" w:hAnsi="Arial" w:cs="Arial"/>
          <w:sz w:val="22"/>
        </w:rPr>
        <w:t xml:space="preserve"> </w:t>
      </w:r>
      <w:r w:rsidR="002956D3">
        <w:rPr>
          <w:rFonts w:ascii="Arial" w:eastAsia="Calibri" w:hAnsi="Arial" w:cs="Arial"/>
          <w:sz w:val="22"/>
        </w:rPr>
        <w:t>–</w:t>
      </w:r>
      <w:r w:rsidR="00411530">
        <w:rPr>
          <w:rFonts w:ascii="Arial" w:eastAsia="Calibri" w:hAnsi="Arial" w:cs="Arial"/>
          <w:sz w:val="22"/>
        </w:rPr>
        <w:t>segunda modalidad de escisión</w:t>
      </w:r>
      <w:r w:rsidR="002956D3">
        <w:rPr>
          <w:rFonts w:ascii="Arial" w:eastAsia="Calibri" w:hAnsi="Arial" w:cs="Arial"/>
          <w:sz w:val="22"/>
        </w:rPr>
        <w:t>–</w:t>
      </w:r>
      <w:r w:rsidR="00411530">
        <w:rPr>
          <w:rFonts w:ascii="Arial" w:eastAsia="Calibri" w:hAnsi="Arial" w:cs="Arial"/>
          <w:sz w:val="22"/>
        </w:rPr>
        <w:t>, en ambos casos con el propósito de</w:t>
      </w:r>
      <w:r>
        <w:rPr>
          <w:rFonts w:ascii="Arial" w:eastAsia="Calibri" w:hAnsi="Arial" w:cs="Arial"/>
          <w:sz w:val="22"/>
        </w:rPr>
        <w:t xml:space="preserve"> crear sociedades o aportar su patrimonio a sociedades existentes</w:t>
      </w:r>
      <w:r w:rsidR="00411530">
        <w:rPr>
          <w:rFonts w:ascii="Arial" w:eastAsia="Calibri" w:hAnsi="Arial" w:cs="Arial"/>
          <w:sz w:val="22"/>
        </w:rPr>
        <w:t>, las sociedades que reciben ese patrimonio se consideren participantes de la sociedad escindida</w:t>
      </w:r>
      <w:r w:rsidR="00694038">
        <w:rPr>
          <w:rFonts w:ascii="Arial" w:eastAsia="Calibri" w:hAnsi="Arial" w:cs="Arial"/>
          <w:sz w:val="22"/>
        </w:rPr>
        <w:t>.</w:t>
      </w:r>
      <w:r w:rsidR="00411530">
        <w:rPr>
          <w:rFonts w:ascii="Arial" w:eastAsia="Calibri" w:hAnsi="Arial" w:cs="Arial"/>
          <w:sz w:val="22"/>
        </w:rPr>
        <w:t xml:space="preserve"> </w:t>
      </w:r>
      <w:r w:rsidR="00694038">
        <w:rPr>
          <w:rFonts w:ascii="Arial" w:eastAsia="Calibri" w:hAnsi="Arial" w:cs="Arial"/>
          <w:sz w:val="22"/>
        </w:rPr>
        <w:t>En efecto, bajo ninguno de dichos supuestos las sociedades beneficiar</w:t>
      </w:r>
      <w:r w:rsidR="00C31D9A">
        <w:rPr>
          <w:rFonts w:ascii="Arial" w:eastAsia="Calibri" w:hAnsi="Arial" w:cs="Arial"/>
          <w:sz w:val="22"/>
        </w:rPr>
        <w:t>i</w:t>
      </w:r>
      <w:r w:rsidR="00694038">
        <w:rPr>
          <w:rFonts w:ascii="Arial" w:eastAsia="Calibri" w:hAnsi="Arial" w:cs="Arial"/>
          <w:sz w:val="22"/>
        </w:rPr>
        <w:t>as</w:t>
      </w:r>
      <w:r w:rsidR="00411530">
        <w:rPr>
          <w:rFonts w:ascii="Arial" w:eastAsia="Calibri" w:hAnsi="Arial" w:cs="Arial"/>
          <w:sz w:val="22"/>
        </w:rPr>
        <w:t xml:space="preserve"> </w:t>
      </w:r>
      <w:r w:rsidR="00EF3AC2">
        <w:rPr>
          <w:rFonts w:ascii="Arial" w:eastAsia="Calibri" w:hAnsi="Arial" w:cs="Arial"/>
          <w:sz w:val="22"/>
        </w:rPr>
        <w:t>adquieren la calidad de</w:t>
      </w:r>
      <w:r w:rsidR="00411530">
        <w:rPr>
          <w:rFonts w:ascii="Arial" w:eastAsia="Calibri" w:hAnsi="Arial" w:cs="Arial"/>
          <w:sz w:val="22"/>
        </w:rPr>
        <w:t xml:space="preserve"> socias de la sociedad escindida</w:t>
      </w:r>
      <w:r w:rsidR="00694038">
        <w:rPr>
          <w:rFonts w:ascii="Arial" w:eastAsia="Calibri" w:hAnsi="Arial" w:cs="Arial"/>
          <w:sz w:val="22"/>
        </w:rPr>
        <w:t>,</w:t>
      </w:r>
      <w:r w:rsidR="00411530">
        <w:rPr>
          <w:rFonts w:ascii="Arial" w:eastAsia="Calibri" w:hAnsi="Arial" w:cs="Arial"/>
          <w:sz w:val="22"/>
        </w:rPr>
        <w:t xml:space="preserve"> cuya experiencia le sigue perteneciendo a ella, </w:t>
      </w:r>
      <w:r w:rsidR="00020E2F">
        <w:rPr>
          <w:rFonts w:ascii="Arial" w:eastAsia="Calibri" w:hAnsi="Arial" w:cs="Arial"/>
          <w:sz w:val="22"/>
        </w:rPr>
        <w:t>en la primera modalidad</w:t>
      </w:r>
      <w:r w:rsidR="0065499C">
        <w:rPr>
          <w:rFonts w:ascii="Arial" w:eastAsia="Calibri" w:hAnsi="Arial" w:cs="Arial"/>
          <w:sz w:val="22"/>
        </w:rPr>
        <w:t xml:space="preserve">, </w:t>
      </w:r>
      <w:r w:rsidR="00411530">
        <w:rPr>
          <w:rFonts w:ascii="Arial" w:eastAsia="Calibri" w:hAnsi="Arial" w:cs="Arial"/>
          <w:sz w:val="22"/>
        </w:rPr>
        <w:t xml:space="preserve">y </w:t>
      </w:r>
      <w:r w:rsidR="0065499C">
        <w:rPr>
          <w:rFonts w:ascii="Arial" w:eastAsia="Calibri" w:hAnsi="Arial" w:cs="Arial"/>
          <w:sz w:val="22"/>
        </w:rPr>
        <w:t>en la segunda modalidad esa experiencia desaparece porque sigue la suerte de la sociedad escindida que al disolverse deja de ser quien es</w:t>
      </w:r>
      <w:r w:rsidR="00EF3AC2">
        <w:rPr>
          <w:rFonts w:ascii="Arial" w:eastAsia="Calibri" w:hAnsi="Arial" w:cs="Arial"/>
          <w:sz w:val="22"/>
        </w:rPr>
        <w:t>,</w:t>
      </w:r>
      <w:r w:rsidR="0065499C">
        <w:rPr>
          <w:rFonts w:ascii="Arial" w:eastAsia="Calibri" w:hAnsi="Arial" w:cs="Arial"/>
          <w:sz w:val="22"/>
        </w:rPr>
        <w:t xml:space="preserve"> y solo es posible transferir su patrimonio a las sociedades existentes o para crear sociedades</w:t>
      </w:r>
      <w:r w:rsidR="00D61AEA">
        <w:rPr>
          <w:rFonts w:ascii="Arial" w:eastAsia="Calibri" w:hAnsi="Arial" w:cs="Arial"/>
          <w:sz w:val="22"/>
        </w:rPr>
        <w:t xml:space="preserve"> nuevas</w:t>
      </w:r>
      <w:r w:rsidR="0065499C">
        <w:rPr>
          <w:rFonts w:ascii="Arial" w:eastAsia="Calibri" w:hAnsi="Arial" w:cs="Arial"/>
          <w:sz w:val="22"/>
        </w:rPr>
        <w:t>, sin que ello implique la transferencia de experiencia, de acuerdo con las consideraciones de este concepto.</w:t>
      </w:r>
    </w:p>
    <w:p w14:paraId="2C29B713" w14:textId="52BF6622" w:rsidR="00BE7490" w:rsidRDefault="00525D4C" w:rsidP="00EA1073">
      <w:pPr>
        <w:spacing w:before="120" w:line="276" w:lineRule="auto"/>
        <w:jc w:val="both"/>
        <w:rPr>
          <w:rFonts w:ascii="Arial" w:eastAsia="Calibri" w:hAnsi="Arial" w:cs="Arial"/>
          <w:sz w:val="22"/>
        </w:rPr>
      </w:pPr>
      <w:r>
        <w:rPr>
          <w:rFonts w:ascii="Arial" w:eastAsia="Calibri" w:hAnsi="Arial" w:cs="Arial"/>
          <w:sz w:val="22"/>
        </w:rPr>
        <w:tab/>
        <w:t xml:space="preserve">Además, las sociedades existentes que reciben ese patrimonio no </w:t>
      </w:r>
      <w:r w:rsidR="00EF3AC2">
        <w:rPr>
          <w:rFonts w:ascii="Arial" w:eastAsia="Calibri" w:hAnsi="Arial" w:cs="Arial"/>
          <w:sz w:val="22"/>
        </w:rPr>
        <w:t>son</w:t>
      </w:r>
      <w:r>
        <w:rPr>
          <w:rFonts w:ascii="Arial" w:eastAsia="Calibri" w:hAnsi="Arial" w:cs="Arial"/>
          <w:sz w:val="22"/>
        </w:rPr>
        <w:t xml:space="preserve"> socias de la sociedad escindida </w:t>
      </w:r>
      <w:r w:rsidR="00EF3AC2">
        <w:rPr>
          <w:rFonts w:ascii="Arial" w:eastAsia="Calibri" w:hAnsi="Arial" w:cs="Arial"/>
          <w:sz w:val="22"/>
        </w:rPr>
        <w:t xml:space="preserve">por recibir parte de su patrimonio, porque la calidad de socio no se adquiere por lo que una persona natural o jurídica reciba de </w:t>
      </w:r>
      <w:r w:rsidR="006E4317">
        <w:rPr>
          <w:rFonts w:ascii="Arial" w:eastAsia="Calibri" w:hAnsi="Arial" w:cs="Arial"/>
          <w:sz w:val="22"/>
        </w:rPr>
        <w:t>un</w:t>
      </w:r>
      <w:r w:rsidR="00EF3AC2">
        <w:rPr>
          <w:rFonts w:ascii="Arial" w:eastAsia="Calibri" w:hAnsi="Arial" w:cs="Arial"/>
          <w:sz w:val="22"/>
        </w:rPr>
        <w:t>a sociedad, sino por el aporte en capital o en especie que reali</w:t>
      </w:r>
      <w:r w:rsidR="00C76B6D">
        <w:rPr>
          <w:rFonts w:ascii="Arial" w:eastAsia="Calibri" w:hAnsi="Arial" w:cs="Arial"/>
          <w:sz w:val="22"/>
        </w:rPr>
        <w:t>ce</w:t>
      </w:r>
      <w:r w:rsidR="00EF3AC2">
        <w:rPr>
          <w:rFonts w:ascii="Arial" w:eastAsia="Calibri" w:hAnsi="Arial" w:cs="Arial"/>
          <w:sz w:val="22"/>
        </w:rPr>
        <w:t xml:space="preserve"> </w:t>
      </w:r>
      <w:r w:rsidR="007542DB">
        <w:rPr>
          <w:rFonts w:ascii="Arial" w:eastAsia="Calibri" w:hAnsi="Arial" w:cs="Arial"/>
          <w:sz w:val="22"/>
        </w:rPr>
        <w:t>en</w:t>
      </w:r>
      <w:r w:rsidR="00EF3AC2">
        <w:rPr>
          <w:rFonts w:ascii="Arial" w:eastAsia="Calibri" w:hAnsi="Arial" w:cs="Arial"/>
          <w:sz w:val="22"/>
        </w:rPr>
        <w:t xml:space="preserve"> </w:t>
      </w:r>
      <w:r w:rsidR="00C76B6D">
        <w:rPr>
          <w:rFonts w:ascii="Arial" w:eastAsia="Calibri" w:hAnsi="Arial" w:cs="Arial"/>
          <w:sz w:val="22"/>
        </w:rPr>
        <w:t>un</w:t>
      </w:r>
      <w:r w:rsidR="00EF3AC2">
        <w:rPr>
          <w:rFonts w:ascii="Arial" w:eastAsia="Calibri" w:hAnsi="Arial" w:cs="Arial"/>
          <w:sz w:val="22"/>
        </w:rPr>
        <w:t>a sociedad. Tampoco tienen la calidad de socio las sociedades nuevas</w:t>
      </w:r>
      <w:r w:rsidR="007542DB">
        <w:rPr>
          <w:rFonts w:ascii="Arial" w:eastAsia="Calibri" w:hAnsi="Arial" w:cs="Arial"/>
          <w:sz w:val="22"/>
        </w:rPr>
        <w:t xml:space="preserve"> que eventualmente surjan con la escisión</w:t>
      </w:r>
      <w:r w:rsidR="004A57F4">
        <w:rPr>
          <w:rFonts w:ascii="Arial" w:eastAsia="Calibri" w:hAnsi="Arial" w:cs="Arial"/>
          <w:sz w:val="22"/>
        </w:rPr>
        <w:t>,</w:t>
      </w:r>
      <w:r w:rsidR="00EF3AC2">
        <w:rPr>
          <w:rFonts w:ascii="Arial" w:eastAsia="Calibri" w:hAnsi="Arial" w:cs="Arial"/>
          <w:sz w:val="22"/>
        </w:rPr>
        <w:t xml:space="preserve"> </w:t>
      </w:r>
      <w:r w:rsidR="004A57F4">
        <w:rPr>
          <w:rFonts w:ascii="Arial" w:eastAsia="Calibri" w:hAnsi="Arial" w:cs="Arial"/>
          <w:sz w:val="22"/>
        </w:rPr>
        <w:t>porque su existencia se da a partir de la escisión de la sociedad, esto es, no existían y por ende tampoco podían ser socias o participar de la sociedad escindida.</w:t>
      </w:r>
    </w:p>
    <w:p w14:paraId="67D8DC5B" w14:textId="77777777" w:rsidR="004A57F4" w:rsidRDefault="004A57F4" w:rsidP="004919AE">
      <w:pPr>
        <w:spacing w:line="276" w:lineRule="auto"/>
        <w:jc w:val="both"/>
        <w:rPr>
          <w:rFonts w:ascii="Arial" w:eastAsia="Calibri" w:hAnsi="Arial" w:cs="Arial"/>
          <w:sz w:val="22"/>
        </w:rPr>
      </w:pPr>
    </w:p>
    <w:p w14:paraId="1CEAC9EF" w14:textId="18556939" w:rsidR="00BE7490" w:rsidRPr="0055073F" w:rsidRDefault="00625495" w:rsidP="00BE7490">
      <w:pPr>
        <w:pStyle w:val="Prrafodelista"/>
        <w:tabs>
          <w:tab w:val="left" w:pos="426"/>
        </w:tabs>
        <w:ind w:left="709" w:right="709"/>
        <w:contextualSpacing w:val="0"/>
        <w:jc w:val="both"/>
        <w:rPr>
          <w:rFonts w:ascii="Arial" w:eastAsia="Calibri" w:hAnsi="Arial" w:cs="Arial"/>
          <w:color w:val="000000" w:themeColor="text1"/>
          <w:sz w:val="21"/>
          <w:szCs w:val="21"/>
        </w:rPr>
      </w:pPr>
      <w:r>
        <w:rPr>
          <w:rFonts w:ascii="Arial" w:eastAsia="Calibri" w:hAnsi="Arial" w:cs="Arial"/>
          <w:color w:val="000000" w:themeColor="text1"/>
          <w:sz w:val="21"/>
          <w:szCs w:val="21"/>
        </w:rPr>
        <w:t>»</w:t>
      </w:r>
      <w:r w:rsidR="00BE7490" w:rsidRPr="0055073F">
        <w:rPr>
          <w:rFonts w:ascii="Arial" w:eastAsia="Calibri" w:hAnsi="Arial" w:cs="Arial"/>
          <w:color w:val="000000" w:themeColor="text1"/>
          <w:sz w:val="21"/>
          <w:szCs w:val="21"/>
        </w:rPr>
        <w:t xml:space="preserve">2. Si la misma norma administrativa faculta a los integrantes de un consorcio o una unión temporal a hacer valer la experiencia contractual de dichos entes asociativos, y siendo que el verdadero sujeto contractual es el consorcio y la unión temporal, nunca sus miembros, ¿por qué no aplicar este mismo </w:t>
      </w:r>
      <w:r w:rsidR="00BE7490" w:rsidRPr="0055073F">
        <w:rPr>
          <w:rFonts w:ascii="Arial" w:eastAsia="Calibri" w:hAnsi="Arial" w:cs="Arial"/>
          <w:color w:val="000000" w:themeColor="text1"/>
          <w:sz w:val="21"/>
          <w:szCs w:val="21"/>
        </w:rPr>
        <w:lastRenderedPageBreak/>
        <w:t>razonamiento a las sociedades producidas por la escisión de un contratista del Estado?</w:t>
      </w:r>
      <w:r>
        <w:rPr>
          <w:rFonts w:ascii="Arial" w:eastAsia="Calibri" w:hAnsi="Arial" w:cs="Arial"/>
          <w:color w:val="000000" w:themeColor="text1"/>
          <w:sz w:val="21"/>
          <w:szCs w:val="21"/>
        </w:rPr>
        <w:t>»</w:t>
      </w:r>
    </w:p>
    <w:p w14:paraId="6B6D7B8C" w14:textId="00C9A008" w:rsidR="001B5756" w:rsidRDefault="001B5756" w:rsidP="001B5756">
      <w:pPr>
        <w:tabs>
          <w:tab w:val="left" w:pos="426"/>
        </w:tabs>
        <w:ind w:right="709"/>
        <w:jc w:val="both"/>
        <w:rPr>
          <w:rFonts w:ascii="Arial" w:eastAsia="Calibri" w:hAnsi="Arial" w:cs="Arial"/>
          <w:color w:val="000000" w:themeColor="text1"/>
          <w:sz w:val="21"/>
          <w:szCs w:val="21"/>
          <w:highlight w:val="yellow"/>
        </w:rPr>
      </w:pPr>
    </w:p>
    <w:p w14:paraId="2360A9C7" w14:textId="47CD1FDB" w:rsidR="0000365F" w:rsidRDefault="00AD4E2D" w:rsidP="0000365F">
      <w:pPr>
        <w:pStyle w:val="paragraph"/>
        <w:spacing w:before="0" w:beforeAutospacing="0" w:after="120" w:afterAutospacing="0" w:line="276" w:lineRule="auto"/>
        <w:jc w:val="both"/>
        <w:textAlignment w:val="baseline"/>
        <w:rPr>
          <w:rFonts w:ascii="Arial" w:eastAsia="Calibri" w:hAnsi="Arial" w:cs="Arial"/>
          <w:sz w:val="22"/>
          <w:lang w:val="es-MX"/>
        </w:rPr>
      </w:pPr>
      <w:r>
        <w:rPr>
          <w:rFonts w:ascii="Arial" w:eastAsia="Calibri" w:hAnsi="Arial" w:cs="Arial"/>
          <w:sz w:val="22"/>
        </w:rPr>
        <w:t xml:space="preserve">El artículo </w:t>
      </w:r>
      <w:r w:rsidRPr="00261BAB">
        <w:rPr>
          <w:rFonts w:ascii="Arial" w:eastAsia="Calibri" w:hAnsi="Arial" w:cs="Arial"/>
          <w:sz w:val="22"/>
        </w:rPr>
        <w:t>2.2.1.1.1.5.3</w:t>
      </w:r>
      <w:r>
        <w:rPr>
          <w:rFonts w:ascii="Arial" w:eastAsia="Calibri" w:hAnsi="Arial" w:cs="Arial"/>
          <w:sz w:val="22"/>
        </w:rPr>
        <w:t>.</w:t>
      </w:r>
      <w:r w:rsidRPr="00261BAB">
        <w:rPr>
          <w:rFonts w:ascii="Arial" w:eastAsia="Calibri" w:hAnsi="Arial" w:cs="Arial"/>
          <w:sz w:val="22"/>
        </w:rPr>
        <w:t xml:space="preserve"> </w:t>
      </w:r>
      <w:r>
        <w:rPr>
          <w:rFonts w:ascii="Arial" w:eastAsia="Calibri" w:hAnsi="Arial" w:cs="Arial"/>
          <w:sz w:val="22"/>
        </w:rPr>
        <w:t xml:space="preserve">del Decreto 1082 de 2015 señala como experiencia los contratos celebrados por </w:t>
      </w:r>
      <w:r w:rsidR="0000365F">
        <w:rPr>
          <w:rFonts w:ascii="Arial" w:eastAsia="Calibri" w:hAnsi="Arial" w:cs="Arial"/>
          <w:sz w:val="22"/>
        </w:rPr>
        <w:t>consorcios y uniones temporales</w:t>
      </w:r>
      <w:r>
        <w:rPr>
          <w:rFonts w:ascii="Arial" w:eastAsia="Calibri" w:hAnsi="Arial" w:cs="Arial"/>
          <w:sz w:val="22"/>
        </w:rPr>
        <w:t xml:space="preserve"> donde el interesado haya tenido participación</w:t>
      </w:r>
      <w:r w:rsidR="0000365F">
        <w:rPr>
          <w:rFonts w:ascii="Arial" w:eastAsia="Calibri" w:hAnsi="Arial" w:cs="Arial"/>
          <w:sz w:val="22"/>
        </w:rPr>
        <w:t xml:space="preserve">. De acuerdo con </w:t>
      </w:r>
      <w:r w:rsidR="002956D3">
        <w:rPr>
          <w:rFonts w:ascii="Arial" w:eastAsia="Calibri" w:hAnsi="Arial" w:cs="Arial"/>
          <w:sz w:val="22"/>
        </w:rPr>
        <w:t xml:space="preserve">el artículo 6 de la </w:t>
      </w:r>
      <w:r w:rsidR="0000365F">
        <w:rPr>
          <w:rFonts w:ascii="Arial" w:eastAsia="Calibri" w:hAnsi="Arial" w:cs="Arial"/>
          <w:sz w:val="22"/>
        </w:rPr>
        <w:t xml:space="preserve">Ley 80 de 1993, pueden ser </w:t>
      </w:r>
      <w:r w:rsidR="007542DB">
        <w:rPr>
          <w:rFonts w:ascii="Arial" w:eastAsia="Calibri" w:hAnsi="Arial" w:cs="Arial"/>
          <w:sz w:val="22"/>
        </w:rPr>
        <w:t xml:space="preserve">contratistas </w:t>
      </w:r>
      <w:r w:rsidR="0000365F">
        <w:rPr>
          <w:rFonts w:ascii="Arial" w:eastAsia="Calibri" w:hAnsi="Arial" w:cs="Arial"/>
          <w:sz w:val="22"/>
        </w:rPr>
        <w:t>del Estado las personas consideradas legalmente capaces</w:t>
      </w:r>
      <w:r w:rsidR="002956D3">
        <w:rPr>
          <w:rFonts w:ascii="Arial" w:eastAsia="Calibri" w:hAnsi="Arial" w:cs="Arial"/>
          <w:sz w:val="22"/>
        </w:rPr>
        <w:t>, y también asigna capacidad contractual a los consorcios y uniones temporales.</w:t>
      </w:r>
      <w:r w:rsidR="0000365F">
        <w:rPr>
          <w:rFonts w:ascii="Arial" w:eastAsia="Calibri" w:hAnsi="Arial" w:cs="Arial"/>
          <w:sz w:val="22"/>
        </w:rPr>
        <w:t xml:space="preserve"> Además, el artículo 7 de la Ley 80 de 1993 define al consorcio y a la unión temporal como la unión de dos o más personas que presentan la misma propuesta para la adjudicación, celebración y ejecución de un contrato</w:t>
      </w:r>
      <w:r w:rsidR="007542DB">
        <w:rPr>
          <w:rFonts w:ascii="Arial" w:eastAsia="Calibri" w:hAnsi="Arial" w:cs="Arial"/>
          <w:sz w:val="22"/>
        </w:rPr>
        <w:t>;</w:t>
      </w:r>
      <w:r w:rsidR="0000365F">
        <w:rPr>
          <w:rFonts w:ascii="Arial" w:eastAsia="Calibri" w:hAnsi="Arial" w:cs="Arial"/>
          <w:sz w:val="22"/>
        </w:rPr>
        <w:t xml:space="preserve"> pero su responsabilidad por las sanciones es diferente</w:t>
      </w:r>
      <w:r w:rsidR="007542DB">
        <w:rPr>
          <w:rFonts w:ascii="Arial" w:eastAsia="Calibri" w:hAnsi="Arial" w:cs="Arial"/>
          <w:sz w:val="22"/>
        </w:rPr>
        <w:t xml:space="preserve">, frente a una y otra figura. </w:t>
      </w:r>
    </w:p>
    <w:p w14:paraId="4E5DFEC6" w14:textId="07093FA8" w:rsidR="0000365F" w:rsidRDefault="0000365F" w:rsidP="004919AE">
      <w:pPr>
        <w:spacing w:after="120" w:line="276" w:lineRule="auto"/>
        <w:ind w:firstLine="709"/>
        <w:jc w:val="both"/>
        <w:rPr>
          <w:rFonts w:ascii="Arial" w:eastAsia="Calibri" w:hAnsi="Arial" w:cs="Arial"/>
          <w:sz w:val="22"/>
        </w:rPr>
      </w:pPr>
      <w:r>
        <w:rPr>
          <w:rFonts w:ascii="Arial" w:eastAsia="Calibri" w:hAnsi="Arial" w:cs="Arial"/>
          <w:sz w:val="22"/>
        </w:rPr>
        <w:t xml:space="preserve">De esta manera, la Ley 80 de 1993 permite que dos o más personas naturales o jurídicas se agrupen para la presentación de una propuesta y la celebración de un contrato con una entidad estatal, conservando su individualidad jurídica, es decir que el proponente plural no es una persona jurídica, y los requisitos habilitantes deben ser evaluados respecto de cada miembro, sin que ello desconozca la finalidad de esta figura, que es unir esfuerzos. Así pues, la experiencia </w:t>
      </w:r>
      <w:r w:rsidR="00E72184">
        <w:rPr>
          <w:rFonts w:ascii="Arial" w:eastAsia="Calibri" w:hAnsi="Arial" w:cs="Arial"/>
          <w:sz w:val="22"/>
        </w:rPr>
        <w:t>que adquiere una persona natural o jurídica como miembro de un proponente plural, es del</w:t>
      </w:r>
      <w:r>
        <w:rPr>
          <w:rFonts w:ascii="Arial" w:eastAsia="Calibri" w:hAnsi="Arial" w:cs="Arial"/>
          <w:sz w:val="22"/>
        </w:rPr>
        <w:t xml:space="preserve"> miembro </w:t>
      </w:r>
      <w:r w:rsidR="00E72184">
        <w:rPr>
          <w:rFonts w:ascii="Arial" w:eastAsia="Calibri" w:hAnsi="Arial" w:cs="Arial"/>
          <w:sz w:val="22"/>
        </w:rPr>
        <w:t>y no del</w:t>
      </w:r>
      <w:r>
        <w:rPr>
          <w:rFonts w:ascii="Arial" w:eastAsia="Calibri" w:hAnsi="Arial" w:cs="Arial"/>
          <w:sz w:val="22"/>
        </w:rPr>
        <w:t xml:space="preserve"> proponente plural </w:t>
      </w:r>
      <w:r w:rsidR="00E72184">
        <w:rPr>
          <w:rFonts w:ascii="Arial" w:eastAsia="Calibri" w:hAnsi="Arial" w:cs="Arial"/>
          <w:sz w:val="22"/>
        </w:rPr>
        <w:t>porque este no tiene personería jurídica</w:t>
      </w:r>
      <w:r w:rsidR="002956D3">
        <w:rPr>
          <w:rFonts w:ascii="Arial" w:eastAsia="Calibri" w:hAnsi="Arial" w:cs="Arial"/>
          <w:sz w:val="22"/>
        </w:rPr>
        <w:t xml:space="preserve">, circunstancias que no se presentan en los supuestos analizados frente a la escisión. </w:t>
      </w:r>
    </w:p>
    <w:p w14:paraId="3806CA05" w14:textId="71B1865A" w:rsidR="002956D3" w:rsidRDefault="002956D3" w:rsidP="0000365F">
      <w:pPr>
        <w:spacing w:line="276" w:lineRule="auto"/>
        <w:ind w:firstLine="708"/>
        <w:jc w:val="both"/>
        <w:rPr>
          <w:rFonts w:ascii="Arial" w:eastAsia="Calibri" w:hAnsi="Arial" w:cs="Arial"/>
          <w:sz w:val="22"/>
        </w:rPr>
      </w:pPr>
      <w:r>
        <w:rPr>
          <w:rFonts w:ascii="Arial" w:eastAsia="Calibri" w:hAnsi="Arial" w:cs="Arial"/>
          <w:sz w:val="22"/>
        </w:rPr>
        <w:t>Sin perjuicio de lo anterior</w:t>
      </w:r>
      <w:r w:rsidR="0059467A">
        <w:rPr>
          <w:rFonts w:ascii="Arial" w:eastAsia="Calibri" w:hAnsi="Arial" w:cs="Arial"/>
          <w:sz w:val="22"/>
        </w:rPr>
        <w:t>, que explica la regulación contenida en el artículo 2</w:t>
      </w:r>
      <w:r w:rsidR="0059467A" w:rsidRPr="00261BAB">
        <w:rPr>
          <w:rFonts w:ascii="Arial" w:eastAsia="Calibri" w:hAnsi="Arial" w:cs="Arial"/>
          <w:sz w:val="22"/>
        </w:rPr>
        <w:t>.2.1.1.1.5.3</w:t>
      </w:r>
      <w:r w:rsidR="0059467A">
        <w:rPr>
          <w:rFonts w:ascii="Arial" w:eastAsia="Calibri" w:hAnsi="Arial" w:cs="Arial"/>
          <w:sz w:val="22"/>
        </w:rPr>
        <w:t>.</w:t>
      </w:r>
      <w:r w:rsidR="0059467A" w:rsidRPr="00261BAB">
        <w:rPr>
          <w:rFonts w:ascii="Arial" w:eastAsia="Calibri" w:hAnsi="Arial" w:cs="Arial"/>
          <w:sz w:val="22"/>
        </w:rPr>
        <w:t xml:space="preserve"> </w:t>
      </w:r>
      <w:r w:rsidR="0059467A">
        <w:rPr>
          <w:rFonts w:ascii="Arial" w:eastAsia="Calibri" w:hAnsi="Arial" w:cs="Arial"/>
          <w:sz w:val="22"/>
        </w:rPr>
        <w:t xml:space="preserve">del Decreto 1082 de 2015, en todo caso la posibilidad de acreditar la experiencia adquirida en contratos ejecutados bajo las figuras de consorcios y uniones temporales se desprende de dicha disposición, precisamente, cuyo contenido no se puede extender a otros supuestos que no hacen parte de su contenido </w:t>
      </w:r>
      <w:r w:rsidR="00CF0E3B">
        <w:rPr>
          <w:rFonts w:ascii="Arial" w:eastAsia="Calibri" w:hAnsi="Arial" w:cs="Arial"/>
          <w:sz w:val="22"/>
        </w:rPr>
        <w:t>normativ</w:t>
      </w:r>
      <w:r w:rsidR="0059467A">
        <w:rPr>
          <w:rFonts w:ascii="Arial" w:eastAsia="Calibri" w:hAnsi="Arial" w:cs="Arial"/>
          <w:sz w:val="22"/>
        </w:rPr>
        <w:t>o.</w:t>
      </w:r>
    </w:p>
    <w:p w14:paraId="48444AE0" w14:textId="77777777" w:rsidR="00AD4E2D" w:rsidRPr="006A0F23" w:rsidRDefault="00AD4E2D" w:rsidP="004E0F28">
      <w:pPr>
        <w:spacing w:before="120" w:line="276" w:lineRule="auto"/>
        <w:jc w:val="both"/>
        <w:rPr>
          <w:rFonts w:ascii="Arial" w:hAnsi="Arial" w:cs="Arial"/>
          <w:color w:val="000000" w:themeColor="text1"/>
          <w:sz w:val="22"/>
        </w:rPr>
      </w:pPr>
    </w:p>
    <w:p w14:paraId="6A1FBC6A" w14:textId="66C87D51" w:rsidR="00347B31" w:rsidRDefault="00347B31" w:rsidP="004E0F28">
      <w:pPr>
        <w:spacing w:before="120" w:line="276" w:lineRule="auto"/>
        <w:jc w:val="both"/>
        <w:rPr>
          <w:rFonts w:ascii="Arial" w:hAnsi="Arial" w:cs="Arial"/>
          <w:color w:val="000000" w:themeColor="text1"/>
          <w:sz w:val="22"/>
        </w:rPr>
      </w:pPr>
      <w:r w:rsidRPr="006A0F23">
        <w:rPr>
          <w:rFonts w:ascii="Arial" w:hAnsi="Arial" w:cs="Arial"/>
          <w:color w:val="000000" w:themeColor="text1"/>
          <w:sz w:val="22"/>
        </w:rPr>
        <w:t>Este concepto tiene el alcance previsto en el artículo 28 del Código de Procedimiento Administrativo y de lo Contencioso Administrativo.</w:t>
      </w:r>
    </w:p>
    <w:p w14:paraId="347C7BFF" w14:textId="77777777" w:rsidR="004E0F28" w:rsidRPr="006A0F23" w:rsidRDefault="004E0F28" w:rsidP="004E0F28">
      <w:pPr>
        <w:spacing w:before="120" w:line="276" w:lineRule="auto"/>
        <w:jc w:val="both"/>
        <w:rPr>
          <w:rFonts w:ascii="Arial" w:hAnsi="Arial" w:cs="Arial"/>
          <w:color w:val="000000" w:themeColor="text1"/>
          <w:sz w:val="22"/>
        </w:rPr>
      </w:pPr>
    </w:p>
    <w:bookmarkEnd w:id="2"/>
    <w:p w14:paraId="0F8C901F" w14:textId="77777777" w:rsidR="00A37FB6" w:rsidRPr="006A0F23" w:rsidRDefault="00A37FB6" w:rsidP="00D01760">
      <w:pPr>
        <w:jc w:val="both"/>
        <w:rPr>
          <w:rFonts w:ascii="Arial" w:eastAsia="Calibri" w:hAnsi="Arial" w:cs="Arial"/>
          <w:color w:val="000000" w:themeColor="text1"/>
          <w:sz w:val="22"/>
        </w:rPr>
      </w:pPr>
      <w:r w:rsidRPr="006A0F23">
        <w:rPr>
          <w:noProof/>
          <w:color w:val="000000" w:themeColor="text1"/>
          <w:lang w:val="es-CO" w:eastAsia="es-CO"/>
        </w:rPr>
        <mc:AlternateContent>
          <mc:Choice Requires="wps">
            <w:drawing>
              <wp:anchor distT="0" distB="0" distL="114300" distR="114300" simplePos="0" relativeHeight="251658240" behindDoc="0" locked="0" layoutInCell="1" allowOverlap="1" wp14:anchorId="2171F34F" wp14:editId="2B8FE3D5">
                <wp:simplePos x="0" y="0"/>
                <wp:positionH relativeFrom="page">
                  <wp:posOffset>1514475</wp:posOffset>
                </wp:positionH>
                <wp:positionV relativeFrom="paragraph">
                  <wp:posOffset>10160</wp:posOffset>
                </wp:positionV>
                <wp:extent cx="4686300" cy="0"/>
                <wp:effectExtent l="0" t="0" r="0" b="0"/>
                <wp:wrapNone/>
                <wp:docPr id="1" name="Conector recto 1"/>
                <wp:cNvGraphicFramePr/>
                <a:graphic xmlns:a="http://schemas.openxmlformats.org/drawingml/2006/main">
                  <a:graphicData uri="http://schemas.microsoft.com/office/word/2010/wordprocessingShape">
                    <wps:wsp>
                      <wps:cNvCnPr/>
                      <wps:spPr>
                        <a:xfrm>
                          <a:off x="0" y="0"/>
                          <a:ext cx="4686300" cy="0"/>
                        </a:xfrm>
                        <a:prstGeom prst="line">
                          <a:avLst/>
                        </a:prstGeom>
                        <a:noFill/>
                        <a:ln w="9525" cap="flat" cmpd="sng" algn="ctr">
                          <a:solidFill>
                            <a:srgbClr val="DBDBDB"/>
                          </a:solidFill>
                          <a:prstDash val="solid"/>
                        </a:ln>
                        <a:effectLst/>
                      </wps:spPr>
                      <wps:bodyPr/>
                    </wps:wsp>
                  </a:graphicData>
                </a:graphic>
                <wp14:sizeRelH relativeFrom="margin">
                  <wp14:pctWidth>0</wp14:pctWidth>
                </wp14:sizeRelH>
                <wp14:sizeRelV relativeFrom="page">
                  <wp14:pctHeight>0</wp14:pctHeight>
                </wp14:sizeRelV>
              </wp:anchor>
            </w:drawing>
          </mc:Choice>
          <mc:Fallback>
            <w:pict>
              <v:line w14:anchorId="702BEBA7" id="Conector recto 1" o:spid="_x0000_s1026"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page" from="119.25pt,.8pt" to="488.25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" strokecolor="#dbdbdb">
                <w10:wrap anchorx="page"/>
              </v:line>
            </w:pict>
          </mc:Fallback>
        </mc:AlternateContent>
      </w:r>
    </w:p>
    <w:p w14:paraId="3F590635" w14:textId="77777777" w:rsidR="00682CB9" w:rsidRDefault="00682CB9" w:rsidP="00682CB9">
      <w:pPr>
        <w:rPr>
          <w:rFonts w:ascii="Arial" w:eastAsia="Times New Roman" w:hAnsi="Arial" w:cs="Arial"/>
          <w:sz w:val="22"/>
          <w:lang w:val="es-CO" w:eastAsia="es-CO"/>
        </w:rPr>
      </w:pPr>
      <w:bookmarkStart w:id="4" w:name="_Hlk50986665"/>
      <w:r>
        <w:rPr>
          <w:rFonts w:ascii="Arial" w:hAnsi="Arial" w:cs="Arial"/>
          <w:sz w:val="22"/>
          <w:lang w:eastAsia="es-CO"/>
        </w:rPr>
        <w:t>Atentamente,</w:t>
      </w:r>
    </w:p>
    <w:p w14:paraId="554FEE87" w14:textId="77777777" w:rsidR="00682CB9" w:rsidRDefault="00682CB9" w:rsidP="00682CB9">
      <w:pPr>
        <w:rPr>
          <w:rFonts w:ascii="Arial" w:hAnsi="Arial" w:cs="Arial"/>
          <w:sz w:val="22"/>
          <w:lang w:eastAsia="es-CO"/>
        </w:rPr>
      </w:pPr>
    </w:p>
    <w:p w14:paraId="767E919F" w14:textId="77777777" w:rsidR="00682CB9" w:rsidRDefault="00682CB9" w:rsidP="00682CB9">
      <w:pPr>
        <w:jc w:val="center"/>
        <w:rPr>
          <w:rFonts w:ascii="Arial" w:hAnsi="Arial" w:cs="Arial"/>
          <w:sz w:val="18"/>
          <w:szCs w:val="20"/>
          <w:lang w:eastAsia="es-CO"/>
        </w:rPr>
      </w:pPr>
      <w:r>
        <w:rPr>
          <w:noProof/>
        </w:rPr>
        <w:drawing>
          <wp:inline distT="0" distB="0" distL="0" distR="0" wp14:anchorId="535513EA" wp14:editId="01E9DE70">
            <wp:extent cx="2165350" cy="1331595"/>
            <wp:effectExtent l="0" t="0" r="6350" b="1905"/>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165350" cy="1331595"/>
                    </a:xfrm>
                    <a:prstGeom prst="rect">
                      <a:avLst/>
                    </a:prstGeom>
                    <a:noFill/>
                    <a:ln>
                      <a:noFill/>
                    </a:ln>
                  </pic:spPr>
                </pic:pic>
              </a:graphicData>
            </a:graphic>
          </wp:inline>
        </w:drawing>
      </w:r>
    </w:p>
    <w:p w14:paraId="70A58622" w14:textId="77777777" w:rsidR="00682CB9" w:rsidRDefault="00682CB9" w:rsidP="00682CB9">
      <w:pPr>
        <w:jc w:val="center"/>
        <w:rPr>
          <w:rFonts w:ascii="Arial" w:hAnsi="Arial" w:cs="Arial"/>
          <w:sz w:val="18"/>
          <w:szCs w:val="20"/>
          <w:lang w:eastAsia="es-CO"/>
        </w:rPr>
      </w:pPr>
    </w:p>
    <w:p w14:paraId="1917AC7B" w14:textId="77777777" w:rsidR="00682CB9" w:rsidRDefault="00682CB9" w:rsidP="00682CB9">
      <w:pPr>
        <w:jc w:val="center"/>
        <w:rPr>
          <w:rFonts w:ascii="Arial" w:hAnsi="Arial" w:cs="Arial"/>
          <w:sz w:val="18"/>
          <w:szCs w:val="20"/>
          <w:lang w:eastAsia="es-CO"/>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2"/>
        <w:gridCol w:w="4413"/>
      </w:tblGrid>
      <w:tr w:rsidR="00682CB9" w14:paraId="1708166C" w14:textId="77777777" w:rsidTr="00150536">
        <w:trPr>
          <w:trHeight w:val="315"/>
        </w:trPr>
        <w:tc>
          <w:tcPr>
            <w:tcW w:w="488" w:type="dxa"/>
            <w:vAlign w:val="center"/>
            <w:hideMark/>
          </w:tcPr>
          <w:p w14:paraId="3C40B457" w14:textId="77777777" w:rsidR="00682CB9" w:rsidRDefault="00682CB9" w:rsidP="00150536">
            <w:pPr>
              <w:rPr>
                <w:rFonts w:ascii="Arial" w:hAnsi="Arial" w:cs="Arial"/>
                <w:sz w:val="16"/>
                <w:szCs w:val="16"/>
                <w:lang w:eastAsia="es-ES"/>
              </w:rPr>
            </w:pPr>
            <w:r>
              <w:rPr>
                <w:rFonts w:ascii="Arial" w:hAnsi="Arial" w:cs="Arial"/>
                <w:sz w:val="16"/>
                <w:szCs w:val="16"/>
                <w:lang w:eastAsia="es-ES"/>
              </w:rPr>
              <w:t>Elaboró:</w:t>
            </w:r>
          </w:p>
        </w:tc>
        <w:tc>
          <w:tcPr>
            <w:tcW w:w="4413" w:type="dxa"/>
            <w:tcBorders>
              <w:top w:val="nil"/>
              <w:left w:val="nil"/>
              <w:bottom w:val="dotted" w:sz="4" w:space="0" w:color="7F7F7F" w:themeColor="text1" w:themeTint="80"/>
              <w:right w:val="nil"/>
            </w:tcBorders>
            <w:vAlign w:val="center"/>
            <w:hideMark/>
          </w:tcPr>
          <w:p w14:paraId="1953364A" w14:textId="77777777" w:rsidR="00682CB9" w:rsidRDefault="00682CB9" w:rsidP="00150536">
            <w:pPr>
              <w:rPr>
                <w:rFonts w:ascii="Arial" w:hAnsi="Arial" w:cs="Arial"/>
                <w:sz w:val="16"/>
                <w:szCs w:val="16"/>
                <w:lang w:eastAsia="es-ES"/>
              </w:rPr>
            </w:pPr>
            <w:r>
              <w:rPr>
                <w:rFonts w:ascii="Arial" w:hAnsi="Arial" w:cs="Arial"/>
                <w:sz w:val="16"/>
                <w:szCs w:val="16"/>
                <w:lang w:eastAsia="es-ES"/>
              </w:rPr>
              <w:t>Ximena Ríos López</w:t>
            </w:r>
          </w:p>
          <w:p w14:paraId="28566FB4" w14:textId="77777777" w:rsidR="00682CB9" w:rsidRDefault="00682CB9" w:rsidP="00150536">
            <w:pPr>
              <w:rPr>
                <w:rFonts w:ascii="Arial" w:hAnsi="Arial" w:cs="Arial"/>
                <w:sz w:val="16"/>
                <w:szCs w:val="16"/>
                <w:lang w:eastAsia="es-ES"/>
              </w:rPr>
            </w:pPr>
            <w:r>
              <w:rPr>
                <w:rFonts w:ascii="Arial" w:hAnsi="Arial" w:cs="Arial"/>
                <w:sz w:val="16"/>
                <w:szCs w:val="16"/>
                <w:lang w:eastAsia="es-ES"/>
              </w:rPr>
              <w:t>Gestor T1-11</w:t>
            </w:r>
          </w:p>
        </w:tc>
      </w:tr>
      <w:tr w:rsidR="00682CB9" w14:paraId="2BABBF02" w14:textId="77777777" w:rsidTr="00150536">
        <w:trPr>
          <w:trHeight w:val="330"/>
        </w:trPr>
        <w:tc>
          <w:tcPr>
            <w:tcW w:w="488" w:type="dxa"/>
            <w:vAlign w:val="center"/>
            <w:hideMark/>
          </w:tcPr>
          <w:p w14:paraId="2C50F265" w14:textId="77777777" w:rsidR="00682CB9" w:rsidRDefault="00682CB9" w:rsidP="00150536">
            <w:pPr>
              <w:rPr>
                <w:rFonts w:ascii="Arial" w:hAnsi="Arial" w:cs="Arial"/>
                <w:sz w:val="16"/>
                <w:szCs w:val="16"/>
                <w:lang w:eastAsia="es-ES"/>
              </w:rPr>
            </w:pPr>
            <w:r>
              <w:rPr>
                <w:rFonts w:ascii="Arial" w:hAnsi="Arial" w:cs="Arial"/>
                <w:sz w:val="16"/>
                <w:szCs w:val="16"/>
                <w:lang w:eastAsia="es-ES"/>
              </w:rPr>
              <w:t>Revisó:</w:t>
            </w:r>
          </w:p>
        </w:tc>
        <w:tc>
          <w:tcPr>
            <w:tcW w:w="4413" w:type="dxa"/>
            <w:tcBorders>
              <w:top w:val="dotted" w:sz="4" w:space="0" w:color="7F7F7F" w:themeColor="text1" w:themeTint="80"/>
              <w:left w:val="nil"/>
              <w:bottom w:val="dotted" w:sz="4" w:space="0" w:color="7F7F7F" w:themeColor="text1" w:themeTint="80"/>
              <w:right w:val="nil"/>
            </w:tcBorders>
            <w:vAlign w:val="center"/>
            <w:hideMark/>
          </w:tcPr>
          <w:p w14:paraId="386FD945" w14:textId="2E65B4C6" w:rsidR="00682CB9" w:rsidRDefault="00682CB9" w:rsidP="00150536">
            <w:pPr>
              <w:rPr>
                <w:rFonts w:ascii="Arial" w:hAnsi="Arial" w:cs="Arial"/>
                <w:sz w:val="16"/>
                <w:szCs w:val="16"/>
                <w:lang w:eastAsia="es-ES"/>
              </w:rPr>
            </w:pPr>
            <w:r>
              <w:rPr>
                <w:rFonts w:ascii="Arial" w:hAnsi="Arial" w:cs="Arial"/>
                <w:sz w:val="16"/>
                <w:szCs w:val="16"/>
                <w:lang w:eastAsia="es-ES"/>
              </w:rPr>
              <w:t>Sebastián Ramírez Grisales</w:t>
            </w:r>
          </w:p>
          <w:p w14:paraId="35EEF7F8" w14:textId="1BF4E3F2" w:rsidR="00682CB9" w:rsidRDefault="00682CB9" w:rsidP="00150536">
            <w:pPr>
              <w:rPr>
                <w:rFonts w:ascii="Arial" w:hAnsi="Arial" w:cs="Arial"/>
                <w:sz w:val="16"/>
                <w:szCs w:val="16"/>
                <w:lang w:eastAsia="es-ES"/>
              </w:rPr>
            </w:pPr>
            <w:r>
              <w:rPr>
                <w:rFonts w:ascii="Arial" w:hAnsi="Arial" w:cs="Arial"/>
                <w:sz w:val="16"/>
                <w:szCs w:val="16"/>
                <w:lang w:eastAsia="es-ES"/>
              </w:rPr>
              <w:t>Gestor T1-15</w:t>
            </w:r>
          </w:p>
        </w:tc>
      </w:tr>
      <w:tr w:rsidR="00682CB9" w14:paraId="2563F002" w14:textId="77777777" w:rsidTr="00150536">
        <w:trPr>
          <w:trHeight w:val="300"/>
        </w:trPr>
        <w:tc>
          <w:tcPr>
            <w:tcW w:w="488" w:type="dxa"/>
            <w:vAlign w:val="center"/>
            <w:hideMark/>
          </w:tcPr>
          <w:p w14:paraId="76CB885D" w14:textId="77777777" w:rsidR="00682CB9" w:rsidRDefault="00682CB9" w:rsidP="00150536">
            <w:pPr>
              <w:rPr>
                <w:rFonts w:ascii="Arial" w:hAnsi="Arial" w:cs="Arial"/>
                <w:sz w:val="16"/>
                <w:szCs w:val="16"/>
                <w:lang w:eastAsia="es-ES"/>
              </w:rPr>
            </w:pPr>
            <w:r>
              <w:rPr>
                <w:rFonts w:ascii="Arial" w:hAnsi="Arial" w:cs="Arial"/>
                <w:sz w:val="16"/>
                <w:szCs w:val="16"/>
                <w:lang w:eastAsia="es-ES"/>
              </w:rPr>
              <w:t>Aprobó:</w:t>
            </w:r>
          </w:p>
        </w:tc>
        <w:tc>
          <w:tcPr>
            <w:tcW w:w="4413" w:type="dxa"/>
            <w:tcBorders>
              <w:top w:val="dotted" w:sz="4" w:space="0" w:color="7F7F7F" w:themeColor="text1" w:themeTint="80"/>
              <w:left w:val="nil"/>
              <w:bottom w:val="dotted" w:sz="4" w:space="0" w:color="7F7F7F" w:themeColor="text1" w:themeTint="80"/>
              <w:right w:val="nil"/>
            </w:tcBorders>
            <w:vAlign w:val="center"/>
            <w:hideMark/>
          </w:tcPr>
          <w:p w14:paraId="793B536A" w14:textId="77777777" w:rsidR="00682CB9" w:rsidRDefault="00682CB9" w:rsidP="00150536">
            <w:pPr>
              <w:rPr>
                <w:rFonts w:ascii="Arial" w:hAnsi="Arial" w:cs="Arial"/>
                <w:sz w:val="16"/>
                <w:szCs w:val="16"/>
                <w:lang w:eastAsia="es-ES"/>
              </w:rPr>
            </w:pPr>
            <w:r>
              <w:rPr>
                <w:rFonts w:ascii="Arial" w:hAnsi="Arial" w:cs="Arial"/>
                <w:sz w:val="16"/>
                <w:szCs w:val="16"/>
                <w:lang w:eastAsia="es-ES"/>
              </w:rPr>
              <w:t>Jorge Augusto Tirado Navarro</w:t>
            </w:r>
          </w:p>
          <w:p w14:paraId="73FBFE9E" w14:textId="77777777" w:rsidR="00682CB9" w:rsidRDefault="00682CB9" w:rsidP="00150536">
            <w:pPr>
              <w:rPr>
                <w:rFonts w:ascii="Arial" w:hAnsi="Arial" w:cs="Arial"/>
                <w:sz w:val="16"/>
                <w:szCs w:val="16"/>
                <w:lang w:eastAsia="es-ES"/>
              </w:rPr>
            </w:pPr>
            <w:r>
              <w:rPr>
                <w:rFonts w:ascii="Arial" w:hAnsi="Arial" w:cs="Arial"/>
                <w:sz w:val="16"/>
                <w:szCs w:val="16"/>
                <w:lang w:eastAsia="es-ES"/>
              </w:rPr>
              <w:t>Subdirector de Gestión Contractual</w:t>
            </w:r>
          </w:p>
        </w:tc>
      </w:tr>
      <w:tr w:rsidR="00682CB9" w14:paraId="7756ADC3" w14:textId="77777777" w:rsidTr="00150536">
        <w:trPr>
          <w:trHeight w:val="300"/>
        </w:trPr>
        <w:tc>
          <w:tcPr>
            <w:tcW w:w="488" w:type="dxa"/>
            <w:vAlign w:val="center"/>
            <w:hideMark/>
          </w:tcPr>
          <w:p w14:paraId="05FB32E7" w14:textId="77777777" w:rsidR="00682CB9" w:rsidRDefault="00682CB9" w:rsidP="00150536">
            <w:pPr>
              <w:rPr>
                <w:rFonts w:ascii="Arial" w:hAnsi="Arial" w:cs="Arial"/>
                <w:sz w:val="16"/>
                <w:szCs w:val="16"/>
                <w:lang w:eastAsia="es-ES"/>
              </w:rPr>
            </w:pPr>
            <w:r>
              <w:rPr>
                <w:rFonts w:ascii="Arial" w:hAnsi="Arial" w:cs="Arial"/>
                <w:sz w:val="16"/>
                <w:szCs w:val="16"/>
                <w:lang w:eastAsia="es-ES"/>
              </w:rPr>
              <w:t>Anexo:</w:t>
            </w:r>
          </w:p>
        </w:tc>
        <w:tc>
          <w:tcPr>
            <w:tcW w:w="4413" w:type="dxa"/>
            <w:tcBorders>
              <w:top w:val="dotted" w:sz="4" w:space="0" w:color="7F7F7F" w:themeColor="text1" w:themeTint="80"/>
              <w:left w:val="nil"/>
              <w:bottom w:val="dotted" w:sz="4" w:space="0" w:color="7F7F7F" w:themeColor="text1" w:themeTint="80"/>
              <w:right w:val="nil"/>
            </w:tcBorders>
            <w:vAlign w:val="center"/>
            <w:hideMark/>
          </w:tcPr>
          <w:p w14:paraId="10DC87E9" w14:textId="77777777" w:rsidR="00682CB9" w:rsidRDefault="00682CB9" w:rsidP="00150536">
            <w:pPr>
              <w:rPr>
                <w:rFonts w:ascii="Arial" w:hAnsi="Arial" w:cs="Arial"/>
                <w:sz w:val="16"/>
                <w:szCs w:val="16"/>
                <w:lang w:eastAsia="es-ES"/>
              </w:rPr>
            </w:pPr>
            <w:r>
              <w:rPr>
                <w:rFonts w:ascii="Arial" w:hAnsi="Arial" w:cs="Arial"/>
                <w:sz w:val="16"/>
                <w:szCs w:val="16"/>
                <w:lang w:eastAsia="es-ES"/>
              </w:rPr>
              <w:t>0</w:t>
            </w:r>
          </w:p>
        </w:tc>
        <w:bookmarkEnd w:id="4"/>
      </w:tr>
    </w:tbl>
    <w:p w14:paraId="35B56F46" w14:textId="77777777" w:rsidR="00746E08" w:rsidRPr="006A0F23" w:rsidRDefault="00746E08" w:rsidP="00746E08">
      <w:pPr>
        <w:rPr>
          <w:rFonts w:ascii="Arial" w:eastAsia="Times New Roman" w:hAnsi="Arial" w:cs="Arial"/>
          <w:color w:val="000000" w:themeColor="text1"/>
          <w:sz w:val="16"/>
          <w:szCs w:val="16"/>
          <w:lang w:eastAsia="es-ES"/>
        </w:rPr>
      </w:pPr>
    </w:p>
    <w:sectPr w:rsidR="00746E08" w:rsidRPr="006A0F23" w:rsidSect="005D791B">
      <w:headerReference w:type="default" r:id="rId12"/>
      <w:footerReference w:type="default" r:id="rId13"/>
      <w:pgSz w:w="12240" w:h="15840"/>
      <w:pgMar w:top="2041" w:right="1701" w:bottom="1418" w:left="1701" w:header="340"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86F7BFD" w14:textId="77777777" w:rsidR="00A12713" w:rsidRDefault="00A12713">
      <w:r>
        <w:separator/>
      </w:r>
    </w:p>
  </w:endnote>
  <w:endnote w:type="continuationSeparator" w:id="0">
    <w:p w14:paraId="538D7357" w14:textId="77777777" w:rsidR="00A12713" w:rsidRDefault="00A127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2F02A34" w14:textId="77777777" w:rsidR="000825D8" w:rsidRDefault="000825D8" w:rsidP="00322937">
    <w:pPr>
      <w:pStyle w:val="Sinespaciado"/>
      <w:jc w:val="right"/>
      <w:rPr>
        <w:rFonts w:ascii="Arial" w:hAnsi="Arial" w:cs="Arial"/>
        <w:sz w:val="18"/>
        <w:szCs w:val="18"/>
      </w:rPr>
    </w:pPr>
  </w:p>
  <w:p w14:paraId="7A3785F3" w14:textId="2EF28465" w:rsidR="000825D8" w:rsidRPr="008217B7" w:rsidRDefault="000825D8" w:rsidP="00FE42ED">
    <w:pPr>
      <w:pStyle w:val="Piedepgina"/>
      <w:jc w:val="right"/>
      <w:rPr>
        <w:rFonts w:ascii="Arial" w:hAnsi="Arial" w:cs="Arial"/>
        <w:color w:val="7F7F7F" w:themeColor="text1" w:themeTint="80"/>
        <w:sz w:val="16"/>
        <w:szCs w:val="16"/>
      </w:rPr>
    </w:pPr>
    <w:r w:rsidRPr="008217B7">
      <w:rPr>
        <w:rFonts w:ascii="Arial" w:hAnsi="Arial" w:cs="Arial"/>
        <w:bCs/>
        <w:color w:val="7F7F7F" w:themeColor="text1" w:themeTint="80"/>
        <w:sz w:val="16"/>
        <w:szCs w:val="16"/>
      </w:rPr>
      <w:t xml:space="preserve">Página </w:t>
    </w:r>
    <w:r w:rsidRPr="00084B97">
      <w:rPr>
        <w:rFonts w:ascii="Arial" w:hAnsi="Arial" w:cs="Arial"/>
        <w:b/>
        <w:bCs/>
        <w:color w:val="7F7F7F" w:themeColor="text1" w:themeTint="80"/>
        <w:sz w:val="16"/>
        <w:szCs w:val="16"/>
      </w:rPr>
      <w:fldChar w:fldCharType="begin"/>
    </w:r>
    <w:r w:rsidRPr="00084B97">
      <w:rPr>
        <w:rFonts w:ascii="Arial" w:hAnsi="Arial" w:cs="Arial"/>
        <w:b/>
        <w:bCs/>
        <w:color w:val="7F7F7F" w:themeColor="text1" w:themeTint="80"/>
        <w:sz w:val="16"/>
        <w:szCs w:val="16"/>
      </w:rPr>
      <w:instrText>PAGE  \* Arabic  \* MERGEFORMAT</w:instrText>
    </w:r>
    <w:r w:rsidRPr="00084B97">
      <w:rPr>
        <w:rFonts w:ascii="Arial" w:hAnsi="Arial" w:cs="Arial"/>
        <w:b/>
        <w:bCs/>
        <w:color w:val="7F7F7F" w:themeColor="text1" w:themeTint="80"/>
        <w:sz w:val="16"/>
        <w:szCs w:val="16"/>
      </w:rPr>
      <w:fldChar w:fldCharType="separate"/>
    </w:r>
    <w:r>
      <w:rPr>
        <w:rFonts w:ascii="Arial" w:hAnsi="Arial" w:cs="Arial"/>
        <w:b/>
        <w:bCs/>
        <w:noProof/>
        <w:color w:val="7F7F7F" w:themeColor="text1" w:themeTint="80"/>
        <w:sz w:val="16"/>
        <w:szCs w:val="16"/>
      </w:rPr>
      <w:t>1</w:t>
    </w:r>
    <w:r w:rsidRPr="00084B97">
      <w:rPr>
        <w:rFonts w:ascii="Arial" w:hAnsi="Arial" w:cs="Arial"/>
        <w:b/>
        <w:bCs/>
        <w:color w:val="7F7F7F" w:themeColor="text1" w:themeTint="80"/>
        <w:sz w:val="16"/>
        <w:szCs w:val="16"/>
      </w:rPr>
      <w:fldChar w:fldCharType="end"/>
    </w:r>
    <w:r w:rsidRPr="008217B7">
      <w:rPr>
        <w:rFonts w:ascii="Arial" w:hAnsi="Arial" w:cs="Arial"/>
        <w:color w:val="7F7F7F" w:themeColor="text1" w:themeTint="80"/>
        <w:sz w:val="16"/>
        <w:szCs w:val="16"/>
      </w:rPr>
      <w:t xml:space="preserve"> de </w:t>
    </w:r>
    <w:r w:rsidRPr="00084B97">
      <w:rPr>
        <w:rFonts w:ascii="Arial" w:hAnsi="Arial" w:cs="Arial"/>
        <w:b/>
        <w:bCs/>
        <w:color w:val="7F7F7F" w:themeColor="text1" w:themeTint="80"/>
        <w:sz w:val="16"/>
        <w:szCs w:val="16"/>
      </w:rPr>
      <w:fldChar w:fldCharType="begin"/>
    </w:r>
    <w:r w:rsidRPr="00084B97">
      <w:rPr>
        <w:rFonts w:ascii="Arial" w:hAnsi="Arial" w:cs="Arial"/>
        <w:b/>
        <w:bCs/>
        <w:color w:val="7F7F7F" w:themeColor="text1" w:themeTint="80"/>
        <w:sz w:val="16"/>
        <w:szCs w:val="16"/>
      </w:rPr>
      <w:instrText>NUMPAGES  \* Arabic  \* MERGEFORMAT</w:instrText>
    </w:r>
    <w:r w:rsidRPr="00084B97">
      <w:rPr>
        <w:rFonts w:ascii="Arial" w:hAnsi="Arial" w:cs="Arial"/>
        <w:b/>
        <w:bCs/>
        <w:color w:val="7F7F7F" w:themeColor="text1" w:themeTint="80"/>
        <w:sz w:val="16"/>
        <w:szCs w:val="16"/>
      </w:rPr>
      <w:fldChar w:fldCharType="separate"/>
    </w:r>
    <w:r>
      <w:rPr>
        <w:rFonts w:ascii="Arial" w:hAnsi="Arial" w:cs="Arial"/>
        <w:b/>
        <w:bCs/>
        <w:noProof/>
        <w:color w:val="7F7F7F" w:themeColor="text1" w:themeTint="80"/>
        <w:sz w:val="16"/>
        <w:szCs w:val="16"/>
      </w:rPr>
      <w:t>11</w:t>
    </w:r>
    <w:r w:rsidRPr="00084B97">
      <w:rPr>
        <w:rFonts w:ascii="Arial" w:hAnsi="Arial" w:cs="Arial"/>
        <w:b/>
        <w:bCs/>
        <w:color w:val="7F7F7F" w:themeColor="text1" w:themeTint="80"/>
        <w:sz w:val="16"/>
        <w:szCs w:val="16"/>
      </w:rPr>
      <w:fldChar w:fldCharType="end"/>
    </w:r>
  </w:p>
  <w:p w14:paraId="48FC6A04" w14:textId="5FD1A7C9" w:rsidR="000825D8" w:rsidRDefault="000825D8" w:rsidP="00322937">
    <w:pPr>
      <w:pStyle w:val="Piedepgina"/>
      <w:jc w:val="center"/>
      <w:rPr>
        <w:lang w:val="es-ES"/>
      </w:rPr>
    </w:pPr>
    <w:r>
      <w:rPr>
        <w:noProof/>
        <w:lang w:val="es-CO" w:eastAsia="es-CO"/>
      </w:rPr>
      <w:drawing>
        <wp:inline distT="0" distB="0" distL="0" distR="0" wp14:anchorId="608B196D" wp14:editId="0DC5B948">
          <wp:extent cx="3700130" cy="519139"/>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e_pagina_pie_pagina_excel.png"/>
                  <pic:cNvPicPr/>
                </pic:nvPicPr>
                <pic:blipFill>
                  <a:blip r:embed="rId1">
                    <a:extLst>
                      <a:ext uri="{28A0092B-C50C-407E-A947-70E740481C1C}">
                        <a14:useLocalDpi xmlns:a14="http://schemas.microsoft.com/office/drawing/2010/main" val="0"/>
                      </a:ext>
                    </a:extLst>
                  </a:blip>
                  <a:stretch>
                    <a:fillRect/>
                  </a:stretch>
                </pic:blipFill>
                <pic:spPr>
                  <a:xfrm>
                    <a:off x="0" y="0"/>
                    <a:ext cx="3779589" cy="530287"/>
                  </a:xfrm>
                  <a:prstGeom prst="rect">
                    <a:avLst/>
                  </a:prstGeom>
                </pic:spPr>
              </pic:pic>
            </a:graphicData>
          </a:graphic>
        </wp:inline>
      </w:drawing>
    </w:r>
  </w:p>
  <w:p w14:paraId="5D0E988C" w14:textId="77777777" w:rsidR="000825D8" w:rsidRDefault="000825D8" w:rsidP="007B0854">
    <w:pPr>
      <w:pStyle w:val="Piedepgina"/>
      <w:jc w:val="center"/>
      <w:rPr>
        <w:lang w:val="es-ES"/>
      </w:rPr>
    </w:pPr>
  </w:p>
  <w:p w14:paraId="6C0EFC49" w14:textId="77777777" w:rsidR="000825D8" w:rsidRPr="007B0854" w:rsidRDefault="000825D8" w:rsidP="007B0854">
    <w:pPr>
      <w:pStyle w:val="Piedepgina"/>
      <w:jc w:val="center"/>
      <w:rPr>
        <w:lang w:val="es-E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78047CA" w14:textId="77777777" w:rsidR="00A12713" w:rsidRDefault="00A12713">
      <w:r>
        <w:separator/>
      </w:r>
    </w:p>
  </w:footnote>
  <w:footnote w:type="continuationSeparator" w:id="0">
    <w:p w14:paraId="31C71B05" w14:textId="77777777" w:rsidR="00A12713" w:rsidRDefault="00A12713">
      <w:r>
        <w:continuationSeparator/>
      </w:r>
    </w:p>
  </w:footnote>
  <w:footnote w:id="1">
    <w:p w14:paraId="21BB85AC" w14:textId="4AAAAA3D" w:rsidR="000825D8" w:rsidRPr="009C5188" w:rsidRDefault="000825D8" w:rsidP="009C5188">
      <w:pPr>
        <w:pStyle w:val="Textonotapie"/>
        <w:ind w:firstLine="708"/>
        <w:jc w:val="both"/>
        <w:rPr>
          <w:rFonts w:ascii="Arial" w:hAnsi="Arial" w:cs="Arial"/>
          <w:sz w:val="19"/>
          <w:szCs w:val="19"/>
        </w:rPr>
      </w:pPr>
      <w:r w:rsidRPr="009C5188">
        <w:rPr>
          <w:rStyle w:val="Refdenotaalpie"/>
          <w:rFonts w:ascii="Arial" w:hAnsi="Arial" w:cs="Arial"/>
          <w:sz w:val="19"/>
          <w:szCs w:val="19"/>
        </w:rPr>
        <w:footnoteRef/>
      </w:r>
      <w:r w:rsidRPr="009C5188">
        <w:rPr>
          <w:rFonts w:ascii="Arial" w:hAnsi="Arial" w:cs="Arial"/>
          <w:sz w:val="19"/>
          <w:szCs w:val="19"/>
        </w:rPr>
        <w:t xml:space="preserve"> Ley 80 de 1993: «Artículo 6. De la capacidad para contratar. Pueden celebrar contratos con las entidades estatales las personas consideradas legalmente capaces en las disposiciones vigentes. También podrán celebrar contratos con las entidades estatales, los consorcios y uniones temporales.</w:t>
      </w:r>
    </w:p>
    <w:p w14:paraId="583A5DC5" w14:textId="194DA202" w:rsidR="000825D8" w:rsidRPr="009C5188" w:rsidRDefault="000825D8" w:rsidP="009C5188">
      <w:pPr>
        <w:pStyle w:val="Textonotapie"/>
        <w:ind w:firstLine="708"/>
        <w:jc w:val="both"/>
        <w:rPr>
          <w:rFonts w:ascii="Arial" w:hAnsi="Arial" w:cs="Arial"/>
          <w:sz w:val="19"/>
          <w:szCs w:val="19"/>
        </w:rPr>
      </w:pPr>
      <w:r w:rsidRPr="009C5188">
        <w:rPr>
          <w:rFonts w:ascii="Arial" w:hAnsi="Arial" w:cs="Arial"/>
          <w:sz w:val="19"/>
          <w:szCs w:val="19"/>
        </w:rPr>
        <w:t>»Las personas jurídicas nacionales y extranjeras deberán acreditar que su duración no será inferior a la del plazo del contrato y un año más».</w:t>
      </w:r>
    </w:p>
    <w:p w14:paraId="522C27BB" w14:textId="77777777" w:rsidR="000825D8" w:rsidRPr="009C5188" w:rsidRDefault="000825D8" w:rsidP="009C5188">
      <w:pPr>
        <w:pStyle w:val="Textonotapie"/>
        <w:jc w:val="both"/>
        <w:rPr>
          <w:rFonts w:ascii="Arial" w:hAnsi="Arial" w:cs="Arial"/>
          <w:sz w:val="19"/>
          <w:szCs w:val="19"/>
          <w:lang w:val="es-CO"/>
        </w:rPr>
      </w:pPr>
      <w:r w:rsidRPr="009C5188">
        <w:rPr>
          <w:rFonts w:ascii="Arial" w:hAnsi="Arial" w:cs="Arial"/>
          <w:sz w:val="19"/>
          <w:szCs w:val="19"/>
        </w:rPr>
        <w:t xml:space="preserve"> </w:t>
      </w:r>
    </w:p>
  </w:footnote>
  <w:footnote w:id="2">
    <w:p w14:paraId="02FD109F" w14:textId="3C1D4596" w:rsidR="000825D8" w:rsidRPr="009C5188" w:rsidRDefault="000825D8" w:rsidP="009C5188">
      <w:pPr>
        <w:pStyle w:val="Textonotapie"/>
        <w:ind w:firstLine="708"/>
        <w:jc w:val="both"/>
        <w:rPr>
          <w:rFonts w:ascii="Arial" w:hAnsi="Arial" w:cs="Arial"/>
          <w:sz w:val="19"/>
          <w:szCs w:val="19"/>
        </w:rPr>
      </w:pPr>
      <w:r w:rsidRPr="009C5188">
        <w:rPr>
          <w:rStyle w:val="Refdenotaalpie"/>
          <w:rFonts w:ascii="Arial" w:hAnsi="Arial" w:cs="Arial"/>
          <w:sz w:val="19"/>
          <w:szCs w:val="19"/>
        </w:rPr>
        <w:footnoteRef/>
      </w:r>
      <w:r w:rsidRPr="009C5188">
        <w:rPr>
          <w:rFonts w:ascii="Arial" w:hAnsi="Arial" w:cs="Arial"/>
          <w:sz w:val="19"/>
          <w:szCs w:val="19"/>
        </w:rPr>
        <w:t xml:space="preserve"> Código Civil: «Artículo 633. Definición de persona jurídica. Se llama persona jurídica, una persona ficticia, capaz de ejercer derechos y contraer obligaciones civiles, y de ser representada judicial y extrajudicialmente.</w:t>
      </w:r>
    </w:p>
    <w:p w14:paraId="00A473D0" w14:textId="23873299" w:rsidR="000825D8" w:rsidRPr="009C5188" w:rsidRDefault="000825D8" w:rsidP="009C5188">
      <w:pPr>
        <w:pStyle w:val="Textonotapie"/>
        <w:ind w:firstLine="708"/>
        <w:jc w:val="both"/>
        <w:rPr>
          <w:rFonts w:ascii="Arial" w:hAnsi="Arial" w:cs="Arial"/>
          <w:sz w:val="19"/>
          <w:szCs w:val="19"/>
        </w:rPr>
      </w:pPr>
      <w:r w:rsidRPr="009C5188">
        <w:rPr>
          <w:rFonts w:ascii="Arial" w:hAnsi="Arial" w:cs="Arial"/>
          <w:sz w:val="19"/>
          <w:szCs w:val="19"/>
        </w:rPr>
        <w:t>»Las personas jurídicas son de dos especies: corporaciones y fundaciones de beneficencia pública.</w:t>
      </w:r>
    </w:p>
    <w:p w14:paraId="3473DB6D" w14:textId="4139273E" w:rsidR="000825D8" w:rsidRPr="009C5188" w:rsidRDefault="000825D8" w:rsidP="009C5188">
      <w:pPr>
        <w:pStyle w:val="Textonotapie"/>
        <w:ind w:firstLine="708"/>
        <w:jc w:val="both"/>
        <w:rPr>
          <w:rFonts w:ascii="Arial" w:hAnsi="Arial" w:cs="Arial"/>
          <w:sz w:val="19"/>
          <w:szCs w:val="19"/>
          <w:lang w:val="es-CO"/>
        </w:rPr>
      </w:pPr>
      <w:r w:rsidRPr="009C5188">
        <w:rPr>
          <w:rFonts w:ascii="Arial" w:hAnsi="Arial" w:cs="Arial"/>
          <w:sz w:val="19"/>
          <w:szCs w:val="19"/>
        </w:rPr>
        <w:t>»Hay personas jurídicas que participan de uno y otro carácter».</w:t>
      </w:r>
    </w:p>
  </w:footnote>
  <w:footnote w:id="3">
    <w:p w14:paraId="5BB5C0E8" w14:textId="77777777" w:rsidR="000825D8" w:rsidRPr="009C5188" w:rsidRDefault="000825D8" w:rsidP="009C5188">
      <w:pPr>
        <w:pStyle w:val="Textonotapie"/>
        <w:ind w:firstLine="708"/>
        <w:jc w:val="both"/>
        <w:rPr>
          <w:rFonts w:ascii="Arial" w:hAnsi="Arial" w:cs="Arial"/>
          <w:sz w:val="19"/>
          <w:szCs w:val="19"/>
        </w:rPr>
      </w:pPr>
    </w:p>
    <w:p w14:paraId="66B67C17" w14:textId="53047CE4" w:rsidR="000825D8" w:rsidRPr="009C5188" w:rsidRDefault="000825D8" w:rsidP="009C5188">
      <w:pPr>
        <w:pStyle w:val="Textonotapie"/>
        <w:ind w:firstLine="708"/>
        <w:jc w:val="both"/>
        <w:rPr>
          <w:rFonts w:ascii="Arial" w:hAnsi="Arial" w:cs="Arial"/>
          <w:sz w:val="19"/>
          <w:szCs w:val="19"/>
        </w:rPr>
      </w:pPr>
      <w:r w:rsidRPr="009C5188">
        <w:rPr>
          <w:rStyle w:val="Refdenotaalpie"/>
          <w:rFonts w:ascii="Arial" w:hAnsi="Arial" w:cs="Arial"/>
          <w:sz w:val="19"/>
          <w:szCs w:val="19"/>
        </w:rPr>
        <w:footnoteRef/>
      </w:r>
      <w:r w:rsidRPr="009C5188">
        <w:rPr>
          <w:rFonts w:ascii="Arial" w:hAnsi="Arial" w:cs="Arial"/>
          <w:sz w:val="19"/>
          <w:szCs w:val="19"/>
        </w:rPr>
        <w:t xml:space="preserve"> Código de Comercio: «Artículo 1. Aplicabilidad de la ley comercial. Los comerciantes y los asuntos mercantiles se regirán por las disposiciones de la ley comercial, y los casos no regulados expresamente en ella serán decididos por analogía de sus normas.</w:t>
      </w:r>
    </w:p>
    <w:p w14:paraId="40A7CA7B" w14:textId="7A14C892" w:rsidR="000825D8" w:rsidRPr="009C5188" w:rsidRDefault="000825D8" w:rsidP="009C5188">
      <w:pPr>
        <w:pStyle w:val="Textonotapie"/>
        <w:ind w:firstLine="708"/>
        <w:jc w:val="both"/>
        <w:rPr>
          <w:rFonts w:ascii="Arial" w:hAnsi="Arial" w:cs="Arial"/>
          <w:sz w:val="19"/>
          <w:szCs w:val="19"/>
        </w:rPr>
      </w:pPr>
      <w:r w:rsidRPr="009C5188">
        <w:rPr>
          <w:rFonts w:ascii="Arial" w:hAnsi="Arial" w:cs="Arial"/>
          <w:sz w:val="19"/>
          <w:szCs w:val="19"/>
        </w:rPr>
        <w:t>»Artículo 2. Aplicación de la legislación civil. En las cuestiones comerciales que no pudieren regularse conforme a la regla anterior, se aplicarán las disposiciones de la legislación civil».</w:t>
      </w:r>
    </w:p>
    <w:p w14:paraId="000F9B52" w14:textId="77777777" w:rsidR="000825D8" w:rsidRPr="009C5188" w:rsidRDefault="000825D8" w:rsidP="009C5188">
      <w:pPr>
        <w:pStyle w:val="Textonotapie"/>
        <w:jc w:val="both"/>
        <w:rPr>
          <w:rFonts w:ascii="Arial" w:hAnsi="Arial" w:cs="Arial"/>
          <w:sz w:val="19"/>
          <w:szCs w:val="19"/>
          <w:lang w:val="es-CO"/>
        </w:rPr>
      </w:pPr>
    </w:p>
  </w:footnote>
  <w:footnote w:id="4">
    <w:p w14:paraId="71C6399B" w14:textId="0E601E6E" w:rsidR="000825D8" w:rsidRPr="009C5188" w:rsidRDefault="000825D8" w:rsidP="009C5188">
      <w:pPr>
        <w:pStyle w:val="Textonotapie"/>
        <w:ind w:firstLine="708"/>
        <w:jc w:val="both"/>
        <w:rPr>
          <w:rFonts w:ascii="Arial" w:hAnsi="Arial" w:cs="Arial"/>
          <w:sz w:val="19"/>
          <w:szCs w:val="19"/>
        </w:rPr>
      </w:pPr>
      <w:r w:rsidRPr="009C5188">
        <w:rPr>
          <w:rStyle w:val="Refdenotaalpie"/>
          <w:rFonts w:ascii="Arial" w:hAnsi="Arial" w:cs="Arial"/>
          <w:sz w:val="19"/>
          <w:szCs w:val="19"/>
        </w:rPr>
        <w:footnoteRef/>
      </w:r>
      <w:r w:rsidRPr="009C5188">
        <w:rPr>
          <w:rFonts w:ascii="Arial" w:hAnsi="Arial" w:cs="Arial"/>
          <w:sz w:val="19"/>
          <w:szCs w:val="19"/>
        </w:rPr>
        <w:t xml:space="preserve"> Ley 1150 de 2007: «Artículo 5. De la selección objetiva. Es objetiva la selección en la cual la escogencia se haga al ofrecimiento más favorable a la entidad y a los fines que ella busca, sin tener en consideración factores de afecto o de interés y, en general, cualquier clase de motivación subjetiva. En consecuencia, los factores de escogencia y calificación que establezcan las entidades en los pliegos de condiciones o sus equivalentes, tendrán en cuenta los siguientes criterios:</w:t>
      </w:r>
    </w:p>
    <w:p w14:paraId="0913B134" w14:textId="2A8E2DF5" w:rsidR="000825D8" w:rsidRPr="009C5188" w:rsidRDefault="000825D8" w:rsidP="009C5188">
      <w:pPr>
        <w:pStyle w:val="Textonotapie"/>
        <w:ind w:firstLine="708"/>
        <w:jc w:val="both"/>
        <w:rPr>
          <w:rFonts w:ascii="Arial" w:hAnsi="Arial" w:cs="Arial"/>
          <w:sz w:val="19"/>
          <w:szCs w:val="19"/>
        </w:rPr>
      </w:pPr>
      <w:r w:rsidRPr="009C5188">
        <w:rPr>
          <w:rFonts w:ascii="Arial" w:hAnsi="Arial" w:cs="Arial"/>
          <w:sz w:val="19"/>
          <w:szCs w:val="19"/>
        </w:rPr>
        <w:t>»1. La capacidad jurídica y las condiciones de experiencia, capacidad financiera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condiciones antes señaladas será efectuada por las Cámaras de Comercio de conformidad con lo establecido en el artículo 6o de la presente ley, de acuerdo con lo cual se expedirá la respectiva certificación».</w:t>
      </w:r>
    </w:p>
    <w:p w14:paraId="5381DEC6" w14:textId="77777777" w:rsidR="000825D8" w:rsidRPr="009C5188" w:rsidRDefault="000825D8" w:rsidP="009C5188">
      <w:pPr>
        <w:pStyle w:val="Textonotapie"/>
        <w:jc w:val="both"/>
        <w:rPr>
          <w:rFonts w:ascii="Arial" w:hAnsi="Arial" w:cs="Arial"/>
          <w:sz w:val="19"/>
          <w:szCs w:val="19"/>
          <w:lang w:val="es-ES"/>
        </w:rPr>
      </w:pPr>
    </w:p>
  </w:footnote>
  <w:footnote w:id="5">
    <w:p w14:paraId="384C2553" w14:textId="613F394C" w:rsidR="000825D8" w:rsidRPr="009C5188" w:rsidRDefault="000825D8" w:rsidP="009C5188">
      <w:pPr>
        <w:pStyle w:val="Textonotapie"/>
        <w:ind w:firstLine="708"/>
        <w:jc w:val="both"/>
        <w:rPr>
          <w:rFonts w:ascii="Arial" w:hAnsi="Arial" w:cs="Arial"/>
          <w:sz w:val="19"/>
          <w:szCs w:val="19"/>
        </w:rPr>
      </w:pPr>
      <w:r w:rsidRPr="009C5188">
        <w:rPr>
          <w:rStyle w:val="Refdenotaalpie"/>
          <w:rFonts w:ascii="Arial" w:hAnsi="Arial" w:cs="Arial"/>
          <w:sz w:val="19"/>
          <w:szCs w:val="19"/>
        </w:rPr>
        <w:footnoteRef/>
      </w:r>
      <w:r w:rsidRPr="009C5188">
        <w:rPr>
          <w:rFonts w:ascii="Arial" w:hAnsi="Arial" w:cs="Arial"/>
          <w:sz w:val="19"/>
          <w:szCs w:val="19"/>
        </w:rPr>
        <w:t xml:space="preserve"> Decreto 1082 de 2015: «Artículo 2.2.1.1.1.6.2. Determinación de los Requisitos Habilitantes. La Entidad Estatal debe establecer los requisitos habilitantes en los pliegos de condiciones o en la invitación, teniendo en cuenta: (a) el Riesgo del Proceso de Contratación; (b) el valor del contrato objeto del Proceso de Contratación; (c) el análisis del sector económico respectivo; y (d) el conocimiento de fondo de los posibles oferentes desde la perspectiva comercial. La Entidad Estatal no debe limitarse a la aplicación mecánica de fórmulas financieras para verificar los requisitos habilitantes».</w:t>
      </w:r>
    </w:p>
    <w:p w14:paraId="5C40C15C" w14:textId="77777777" w:rsidR="000825D8" w:rsidRPr="009C5188" w:rsidRDefault="000825D8" w:rsidP="009C5188">
      <w:pPr>
        <w:pStyle w:val="Textonotapie"/>
        <w:ind w:firstLine="708"/>
        <w:jc w:val="both"/>
        <w:rPr>
          <w:rFonts w:ascii="Arial" w:hAnsi="Arial" w:cs="Arial"/>
          <w:sz w:val="19"/>
          <w:szCs w:val="19"/>
          <w:lang w:val="es-ES"/>
        </w:rPr>
      </w:pPr>
    </w:p>
  </w:footnote>
  <w:footnote w:id="6">
    <w:p w14:paraId="3B46C8F4" w14:textId="52B8C8D5" w:rsidR="000825D8" w:rsidRPr="009C5188" w:rsidRDefault="000825D8" w:rsidP="009C5188">
      <w:pPr>
        <w:pStyle w:val="Textonotapie"/>
        <w:ind w:firstLine="708"/>
        <w:jc w:val="both"/>
        <w:rPr>
          <w:rFonts w:ascii="Arial" w:hAnsi="Arial" w:cs="Arial"/>
          <w:sz w:val="19"/>
          <w:szCs w:val="19"/>
        </w:rPr>
      </w:pPr>
      <w:r w:rsidRPr="009C5188">
        <w:rPr>
          <w:rStyle w:val="Refdenotaalpie"/>
          <w:rFonts w:ascii="Arial" w:hAnsi="Arial" w:cs="Arial"/>
          <w:sz w:val="19"/>
          <w:szCs w:val="19"/>
        </w:rPr>
        <w:footnoteRef/>
      </w:r>
      <w:r w:rsidRPr="009C5188">
        <w:rPr>
          <w:rFonts w:ascii="Arial" w:hAnsi="Arial" w:cs="Arial"/>
          <w:sz w:val="19"/>
          <w:szCs w:val="19"/>
        </w:rPr>
        <w:t xml:space="preserve"> Decreto 1082 de 2015: «Artículo 2.2.1.1.1.5.3. Requisitos habilitantes contenidos en el RUP. Las cámaras de comercio, con base en la información a la que hace referencia el artículo anterior, deben verificar y certificar los siguientes requisitos habilitantes:</w:t>
      </w:r>
    </w:p>
    <w:p w14:paraId="5537F3CC" w14:textId="1FB214BC" w:rsidR="000825D8" w:rsidRPr="009C5188" w:rsidRDefault="000825D8" w:rsidP="009C5188">
      <w:pPr>
        <w:pStyle w:val="Textonotapie"/>
        <w:ind w:firstLine="708"/>
        <w:jc w:val="both"/>
        <w:rPr>
          <w:rFonts w:ascii="Arial" w:hAnsi="Arial" w:cs="Arial"/>
          <w:sz w:val="19"/>
          <w:szCs w:val="19"/>
        </w:rPr>
      </w:pPr>
      <w:r w:rsidRPr="009C5188">
        <w:rPr>
          <w:rFonts w:ascii="Arial" w:hAnsi="Arial" w:cs="Arial"/>
          <w:sz w:val="19"/>
          <w:szCs w:val="19"/>
        </w:rPr>
        <w:t>»1. Experiencia – Los contratos celebrados por el interesado para cada uno de los bienes, obras y servicios que ofrecerá a las Entidades Estatales, identificados con el Clasificador de Bienes y Servicios en el tercer nivel y su valor expresado en SMMLV.</w:t>
      </w:r>
    </w:p>
    <w:p w14:paraId="5E90AC6E" w14:textId="7C373962" w:rsidR="000825D8" w:rsidRPr="009C5188" w:rsidRDefault="000825D8" w:rsidP="009C5188">
      <w:pPr>
        <w:pStyle w:val="Textonotapie"/>
        <w:ind w:firstLine="708"/>
        <w:jc w:val="both"/>
        <w:rPr>
          <w:rFonts w:ascii="Arial" w:hAnsi="Arial" w:cs="Arial"/>
          <w:sz w:val="19"/>
          <w:szCs w:val="19"/>
        </w:rPr>
      </w:pPr>
      <w:r w:rsidRPr="009C5188">
        <w:rPr>
          <w:rFonts w:ascii="Arial" w:hAnsi="Arial" w:cs="Arial"/>
          <w:sz w:val="19"/>
          <w:szCs w:val="19"/>
        </w:rPr>
        <w:t>[...]».</w:t>
      </w:r>
    </w:p>
    <w:p w14:paraId="6F33D133" w14:textId="77777777" w:rsidR="000825D8" w:rsidRPr="009C5188" w:rsidRDefault="000825D8" w:rsidP="009C5188">
      <w:pPr>
        <w:pStyle w:val="Textonotapie"/>
        <w:ind w:firstLine="708"/>
        <w:jc w:val="both"/>
        <w:rPr>
          <w:rFonts w:ascii="Arial" w:hAnsi="Arial" w:cs="Arial"/>
          <w:sz w:val="19"/>
          <w:szCs w:val="19"/>
          <w:lang w:val="es-ES"/>
        </w:rPr>
      </w:pPr>
    </w:p>
  </w:footnote>
  <w:footnote w:id="7">
    <w:p w14:paraId="31ED782E" w14:textId="3EAAA6D7" w:rsidR="000825D8" w:rsidRPr="009C5188" w:rsidRDefault="000825D8" w:rsidP="009C5188">
      <w:pPr>
        <w:pStyle w:val="Textonotapie"/>
        <w:ind w:firstLine="708"/>
        <w:jc w:val="both"/>
        <w:rPr>
          <w:rFonts w:ascii="Arial" w:hAnsi="Arial" w:cs="Arial"/>
          <w:sz w:val="19"/>
          <w:szCs w:val="19"/>
        </w:rPr>
      </w:pPr>
      <w:r w:rsidRPr="009C5188">
        <w:rPr>
          <w:rStyle w:val="Refdenotaalpie"/>
          <w:rFonts w:ascii="Arial" w:hAnsi="Arial" w:cs="Arial"/>
          <w:sz w:val="19"/>
          <w:szCs w:val="19"/>
        </w:rPr>
        <w:footnoteRef/>
      </w:r>
      <w:r w:rsidRPr="009C5188">
        <w:rPr>
          <w:rFonts w:ascii="Arial" w:hAnsi="Arial" w:cs="Arial"/>
          <w:sz w:val="19"/>
          <w:szCs w:val="19"/>
        </w:rPr>
        <w:t xml:space="preserve"> Ley 1150 de 2007: «Artículo 6. De la verificación de las condiciones de los proponentes.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7E2850DA" w14:textId="66822339" w:rsidR="000825D8" w:rsidRPr="009C5188" w:rsidRDefault="000825D8" w:rsidP="009C5188">
      <w:pPr>
        <w:pStyle w:val="Textonotapie"/>
        <w:ind w:firstLine="708"/>
        <w:jc w:val="both"/>
        <w:rPr>
          <w:rFonts w:ascii="Arial" w:hAnsi="Arial" w:cs="Arial"/>
          <w:sz w:val="19"/>
          <w:szCs w:val="19"/>
        </w:rPr>
      </w:pPr>
      <w:r w:rsidRPr="009C5188">
        <w:rPr>
          <w:rFonts w:ascii="Arial" w:hAnsi="Arial" w:cs="Arial"/>
          <w:sz w:val="19"/>
          <w:szCs w:val="19"/>
        </w:rPr>
        <w:t>[...]</w:t>
      </w:r>
    </w:p>
    <w:p w14:paraId="42B22B0A" w14:textId="4EC31900" w:rsidR="000825D8" w:rsidRPr="009C5188" w:rsidRDefault="000825D8" w:rsidP="009C5188">
      <w:pPr>
        <w:pStyle w:val="Textonotapie"/>
        <w:ind w:firstLine="708"/>
        <w:jc w:val="both"/>
        <w:rPr>
          <w:rFonts w:ascii="Arial" w:hAnsi="Arial" w:cs="Arial"/>
          <w:sz w:val="19"/>
          <w:szCs w:val="19"/>
        </w:rPr>
      </w:pPr>
      <w:r w:rsidRPr="009C5188">
        <w:rPr>
          <w:rFonts w:ascii="Arial" w:hAnsi="Arial" w:cs="Arial"/>
          <w:sz w:val="19"/>
          <w:szCs w:val="19"/>
        </w:rPr>
        <w:t>»El certificado de Registro Único de Proponentes será plena prueba de las circunstancias que en ella se hagan constar y que hayan sido verificadas por las Cámaras de Comercio. En tal sentido, la verificación de las condiciones establecidas en el numeral 1 del artículo 5 de la presente ley, se demostrará exclusivamente con el respectivo certificado del RUP en donde deberán constar dichas condiciones. En consecuencia, las entidades estatales en los procesos de contratación no podrán exigir, ni los proponentes aportar documentación que deba utilizarse para efectuar la inscripción en el registro.</w:t>
      </w:r>
    </w:p>
    <w:p w14:paraId="0F05766C" w14:textId="1874DE4F" w:rsidR="000825D8" w:rsidRPr="009C5188" w:rsidRDefault="000825D8" w:rsidP="009C5188">
      <w:pPr>
        <w:pStyle w:val="Textonotapie"/>
        <w:ind w:firstLine="708"/>
        <w:jc w:val="both"/>
        <w:rPr>
          <w:rFonts w:ascii="Arial" w:hAnsi="Arial" w:cs="Arial"/>
          <w:sz w:val="19"/>
          <w:szCs w:val="19"/>
        </w:rPr>
      </w:pPr>
      <w:r w:rsidRPr="009C5188">
        <w:rPr>
          <w:rFonts w:ascii="Arial" w:hAnsi="Arial" w:cs="Arial"/>
          <w:sz w:val="19"/>
          <w:szCs w:val="19"/>
        </w:rPr>
        <w:t>»No obstante lo anterior, sólo en aquellos casos en que por las características del objeto a contratar se requiera la verificación de requisitos del proponente adicionales a los contenidos en el Registro, la entidad podrá hacer tal verificación en forma directa».</w:t>
      </w:r>
    </w:p>
    <w:p w14:paraId="5F9CCEF2" w14:textId="77777777" w:rsidR="000825D8" w:rsidRPr="009C5188" w:rsidRDefault="000825D8" w:rsidP="009C5188">
      <w:pPr>
        <w:pStyle w:val="Textonotapie"/>
        <w:jc w:val="both"/>
        <w:rPr>
          <w:rFonts w:ascii="Arial" w:hAnsi="Arial" w:cs="Arial"/>
          <w:sz w:val="19"/>
          <w:szCs w:val="19"/>
          <w:lang w:val="es-ES"/>
        </w:rPr>
      </w:pPr>
    </w:p>
  </w:footnote>
  <w:footnote w:id="8">
    <w:p w14:paraId="1DBBFF38" w14:textId="34B4C4EF" w:rsidR="000825D8" w:rsidRPr="009C5188" w:rsidRDefault="000825D8" w:rsidP="009C5188">
      <w:pPr>
        <w:pStyle w:val="Textonotapie"/>
        <w:ind w:firstLine="708"/>
        <w:jc w:val="both"/>
        <w:rPr>
          <w:rFonts w:ascii="Arial" w:hAnsi="Arial" w:cs="Arial"/>
          <w:sz w:val="19"/>
          <w:szCs w:val="19"/>
        </w:rPr>
      </w:pPr>
      <w:r w:rsidRPr="009C5188">
        <w:rPr>
          <w:rStyle w:val="Refdenotaalpie"/>
          <w:rFonts w:ascii="Arial" w:hAnsi="Arial" w:cs="Arial"/>
          <w:sz w:val="19"/>
          <w:szCs w:val="19"/>
        </w:rPr>
        <w:footnoteRef/>
      </w:r>
      <w:r w:rsidRPr="009C5188">
        <w:rPr>
          <w:rFonts w:ascii="Arial" w:hAnsi="Arial" w:cs="Arial"/>
          <w:sz w:val="19"/>
          <w:szCs w:val="19"/>
        </w:rPr>
        <w:t xml:space="preserve"> Decreto 1082 de 2015: «Artículo 2.2.1.1.1.5.2. Información para inscripción, renovación o actualización. El interesado debe presentar a cualquier cámara de comercio del país una solicitud de registro, acompañada de la siguiente información. La cámara de comercio del domicilio del solicitante es la responsable de la inscripción, renovación o actualización correspondiente:</w:t>
      </w:r>
    </w:p>
    <w:p w14:paraId="7B70B5AD" w14:textId="48196CC6" w:rsidR="000825D8" w:rsidRPr="009C5188" w:rsidRDefault="000825D8" w:rsidP="009C5188">
      <w:pPr>
        <w:pStyle w:val="Textonotapie"/>
        <w:ind w:firstLine="708"/>
        <w:jc w:val="both"/>
        <w:rPr>
          <w:rFonts w:ascii="Arial" w:hAnsi="Arial" w:cs="Arial"/>
          <w:sz w:val="19"/>
          <w:szCs w:val="19"/>
        </w:rPr>
      </w:pPr>
      <w:r w:rsidRPr="009C5188">
        <w:rPr>
          <w:rFonts w:ascii="Arial" w:hAnsi="Arial" w:cs="Arial"/>
          <w:sz w:val="19"/>
          <w:szCs w:val="19"/>
        </w:rPr>
        <w:t>»1.    Si es una persona natural:</w:t>
      </w:r>
    </w:p>
    <w:p w14:paraId="6C99ADCB" w14:textId="3EBEAC38" w:rsidR="000825D8" w:rsidRPr="009C5188" w:rsidRDefault="000825D8" w:rsidP="009C5188">
      <w:pPr>
        <w:pStyle w:val="Textonotapie"/>
        <w:ind w:firstLine="708"/>
        <w:jc w:val="both"/>
        <w:rPr>
          <w:rFonts w:ascii="Arial" w:hAnsi="Arial" w:cs="Arial"/>
          <w:sz w:val="19"/>
          <w:szCs w:val="19"/>
        </w:rPr>
      </w:pPr>
      <w:r w:rsidRPr="009C5188">
        <w:rPr>
          <w:rFonts w:ascii="Arial" w:hAnsi="Arial" w:cs="Arial"/>
          <w:sz w:val="19"/>
          <w:szCs w:val="19"/>
        </w:rPr>
        <w:t>»1.1. Bienes, obras y servicios que ofrecerá a las Entidades Estatales, identificados con el Clasificador de Bienes y Servicios en el tercer nivel.</w:t>
      </w:r>
    </w:p>
    <w:p w14:paraId="362CE79E" w14:textId="16670890" w:rsidR="000825D8" w:rsidRPr="009C5188" w:rsidRDefault="000825D8" w:rsidP="009C5188">
      <w:pPr>
        <w:pStyle w:val="Textonotapie"/>
        <w:ind w:firstLine="708"/>
        <w:jc w:val="both"/>
        <w:rPr>
          <w:rFonts w:ascii="Arial" w:hAnsi="Arial" w:cs="Arial"/>
          <w:sz w:val="19"/>
          <w:szCs w:val="19"/>
        </w:rPr>
      </w:pPr>
      <w:r w:rsidRPr="009C5188">
        <w:rPr>
          <w:rFonts w:ascii="Arial" w:hAnsi="Arial" w:cs="Arial"/>
          <w:sz w:val="19"/>
          <w:szCs w:val="19"/>
        </w:rPr>
        <w:t>»1.2. Certificados de la experiencia en la provisión de los bienes, obras y servicios que ofrecerá a las Entidades Estatales, los cuales deben ser expedidos por terceros que hayan recibido tales bienes, obras o servicios y deben corresponder a contratos ejecutados o copias de los contratos cuando el interesado no puede obtener tal certificado. El interesado debe indicar en cada certificado o en cada copia de los contratos, los bienes, obras y servicios a los cuales corresponde la experiencia que pretende acreditar, identificándolos con el Cla­sificador de Bienes y Servicios en el tercer nivel».</w:t>
      </w:r>
    </w:p>
    <w:p w14:paraId="73BE64AC" w14:textId="77777777" w:rsidR="000825D8" w:rsidRPr="009C5188" w:rsidRDefault="000825D8" w:rsidP="009C5188">
      <w:pPr>
        <w:pStyle w:val="Textonotapie"/>
        <w:ind w:firstLine="708"/>
        <w:jc w:val="both"/>
        <w:rPr>
          <w:rFonts w:ascii="Arial" w:hAnsi="Arial" w:cs="Arial"/>
          <w:sz w:val="19"/>
          <w:szCs w:val="19"/>
          <w:lang w:val="es-ES"/>
        </w:rPr>
      </w:pPr>
    </w:p>
  </w:footnote>
  <w:footnote w:id="9">
    <w:p w14:paraId="6A29173D" w14:textId="2E9F96EA" w:rsidR="000825D8" w:rsidRPr="009C5188" w:rsidRDefault="000825D8" w:rsidP="009C5188">
      <w:pPr>
        <w:pStyle w:val="Textonotapie"/>
        <w:ind w:firstLine="708"/>
        <w:jc w:val="both"/>
        <w:rPr>
          <w:rFonts w:ascii="Arial" w:hAnsi="Arial" w:cs="Arial"/>
          <w:sz w:val="19"/>
          <w:szCs w:val="19"/>
        </w:rPr>
      </w:pPr>
      <w:r w:rsidRPr="009C5188">
        <w:rPr>
          <w:rStyle w:val="Refdenotaalpie"/>
          <w:rFonts w:ascii="Arial" w:hAnsi="Arial" w:cs="Arial"/>
          <w:sz w:val="19"/>
          <w:szCs w:val="19"/>
        </w:rPr>
        <w:footnoteRef/>
      </w:r>
      <w:r w:rsidRPr="009C5188">
        <w:rPr>
          <w:rFonts w:ascii="Arial" w:hAnsi="Arial" w:cs="Arial"/>
          <w:sz w:val="19"/>
          <w:szCs w:val="19"/>
        </w:rPr>
        <w:t xml:space="preserve"> Colombia Compra Eficiente, Manual para determinar y verificar requisitos habilitantes en los procesos de contratación: «La experiencia es el conocimiento del proponente derivado de su participación previa en actividades iguales o similares a las previstas en el objeto del contrato.</w:t>
      </w:r>
    </w:p>
    <w:p w14:paraId="117A49F7" w14:textId="27CB393E" w:rsidR="000825D8" w:rsidRPr="009C5188" w:rsidRDefault="000825D8" w:rsidP="009C5188">
      <w:pPr>
        <w:pStyle w:val="Textonotapie"/>
        <w:ind w:firstLine="708"/>
        <w:jc w:val="both"/>
        <w:rPr>
          <w:rFonts w:ascii="Arial" w:hAnsi="Arial" w:cs="Arial"/>
          <w:sz w:val="19"/>
          <w:szCs w:val="19"/>
        </w:rPr>
      </w:pPr>
      <w:r w:rsidRPr="009C5188">
        <w:rPr>
          <w:rFonts w:ascii="Arial" w:hAnsi="Arial" w:cs="Arial"/>
          <w:sz w:val="19"/>
          <w:szCs w:val="19"/>
        </w:rPr>
        <w:t>»Los proponentes deben registrar en el RUP los contratos que hayan celebrado para prestar los bienes y servicios que pretenden ofrecer a las Entidades Estatales, identificando los bienes, obras y servicios con el Clasificador de Bienes y Servicios en el tercer nivel y expresar el valor del contrato respectivo en SMMLV. El registro debe contener la experiencia adquirida de forma directa o a través de la participación en proponentes plurales. Esta experiencia se obtiene con contratantes públicos, privados, nacionales o extranjeros. No hay límite frente al número de contratos o a la fecha en la cual estos fueron celebrados.</w:t>
      </w:r>
    </w:p>
    <w:p w14:paraId="03949F1B" w14:textId="4D534B36" w:rsidR="000825D8" w:rsidRPr="009C5188" w:rsidRDefault="000825D8" w:rsidP="009C5188">
      <w:pPr>
        <w:pStyle w:val="Textonotapie"/>
        <w:ind w:firstLine="708"/>
        <w:jc w:val="both"/>
        <w:rPr>
          <w:rFonts w:ascii="Arial" w:hAnsi="Arial" w:cs="Arial"/>
          <w:sz w:val="19"/>
          <w:szCs w:val="19"/>
        </w:rPr>
      </w:pPr>
      <w:r w:rsidRPr="009C5188">
        <w:rPr>
          <w:rFonts w:ascii="Arial" w:hAnsi="Arial" w:cs="Arial"/>
          <w:sz w:val="19"/>
          <w:szCs w:val="19"/>
        </w:rPr>
        <w:t>[...]</w:t>
      </w:r>
    </w:p>
    <w:p w14:paraId="2CE3BB9E" w14:textId="4D2AF20C" w:rsidR="000825D8" w:rsidRPr="009C5188" w:rsidRDefault="000825D8" w:rsidP="009C5188">
      <w:pPr>
        <w:pStyle w:val="Textonotapie"/>
        <w:ind w:firstLine="708"/>
        <w:jc w:val="both"/>
        <w:rPr>
          <w:rFonts w:ascii="Arial" w:hAnsi="Arial" w:cs="Arial"/>
          <w:sz w:val="19"/>
          <w:szCs w:val="19"/>
        </w:rPr>
      </w:pPr>
      <w:r w:rsidRPr="009C5188">
        <w:rPr>
          <w:rFonts w:ascii="Arial" w:hAnsi="Arial" w:cs="Arial"/>
          <w:sz w:val="19"/>
          <w:szCs w:val="19"/>
        </w:rPr>
        <w:t xml:space="preserve">»La experiencia requerida en un Proceso de Contratación debe ser adecuada y proporcional a la naturaleza del contrato y su valor. La experiencia es adecuada cuando es afín al tipo de actividades previstas en el objeto del contrato a celebrar. Por ejemplo, si el Proceso de Contratación es para un servicio de aseo general, el proponente debe tener experiencia en el servicio de aseo, sin que sea relevante el lugar en el cual ha prestado el servicio o quién ha sido el contratante. </w:t>
      </w:r>
    </w:p>
    <w:p w14:paraId="44CF5B89" w14:textId="33C56C9D" w:rsidR="000825D8" w:rsidRPr="009C5188" w:rsidRDefault="000825D8" w:rsidP="009C5188">
      <w:pPr>
        <w:pStyle w:val="Textonotapie"/>
        <w:ind w:firstLine="708"/>
        <w:jc w:val="both"/>
        <w:rPr>
          <w:rFonts w:ascii="Arial" w:hAnsi="Arial" w:cs="Arial"/>
          <w:sz w:val="19"/>
          <w:szCs w:val="19"/>
        </w:rPr>
      </w:pPr>
      <w:r w:rsidRPr="009C5188">
        <w:rPr>
          <w:rFonts w:ascii="Arial" w:hAnsi="Arial" w:cs="Arial"/>
          <w:sz w:val="19"/>
          <w:szCs w:val="19"/>
        </w:rPr>
        <w:t>»La experiencia es proporcional cuando tiene relación con el alcance, la cuantía y complejidad del contrato a celebrar. Por ejemplo, en un Proceso de Contratación de obra pública con un presupuesto oficial de 100 SMMLV, la experiencia exigida es proporcional si la Entidad Estatal exige que los proponentes hayan participado en Procesos de Contratación de 50 SMMLV del mismo tipo de obra.</w:t>
      </w:r>
    </w:p>
    <w:p w14:paraId="6C77048A" w14:textId="7B9D8ECA" w:rsidR="000825D8" w:rsidRPr="00694D8E" w:rsidRDefault="000825D8" w:rsidP="00694D8E">
      <w:pPr>
        <w:pStyle w:val="Textonotapie"/>
        <w:ind w:firstLine="708"/>
        <w:jc w:val="both"/>
        <w:rPr>
          <w:rFonts w:ascii="Arial" w:hAnsi="Arial" w:cs="Arial"/>
          <w:sz w:val="19"/>
          <w:szCs w:val="19"/>
        </w:rPr>
      </w:pPr>
      <w:r w:rsidRPr="009C5188">
        <w:rPr>
          <w:rFonts w:ascii="Arial" w:hAnsi="Arial" w:cs="Arial"/>
          <w:sz w:val="19"/>
          <w:szCs w:val="19"/>
        </w:rPr>
        <w:t>[...]».</w:t>
      </w:r>
    </w:p>
  </w:footnote>
  <w:footnote w:id="10">
    <w:p w14:paraId="2CF61B38" w14:textId="75F0243D" w:rsidR="000825D8" w:rsidRPr="009C5188" w:rsidRDefault="000825D8" w:rsidP="003513C4">
      <w:pPr>
        <w:pStyle w:val="Textonotapie"/>
        <w:ind w:firstLine="708"/>
        <w:jc w:val="both"/>
        <w:rPr>
          <w:rFonts w:ascii="Arial" w:hAnsi="Arial" w:cs="Arial"/>
          <w:sz w:val="19"/>
          <w:szCs w:val="19"/>
        </w:rPr>
      </w:pPr>
      <w:r w:rsidRPr="009C5188">
        <w:rPr>
          <w:rStyle w:val="Refdenotaalpie"/>
          <w:rFonts w:ascii="Arial" w:hAnsi="Arial" w:cs="Arial"/>
          <w:sz w:val="19"/>
          <w:szCs w:val="19"/>
        </w:rPr>
        <w:footnoteRef/>
      </w:r>
      <w:r w:rsidRPr="009C5188">
        <w:rPr>
          <w:rFonts w:ascii="Arial" w:hAnsi="Arial" w:cs="Arial"/>
          <w:sz w:val="19"/>
          <w:szCs w:val="19"/>
        </w:rPr>
        <w:t xml:space="preserve"> Código de Comercio: «Artículo 222. Efectos posteriores a la liquidación de la sociedad. Disuelta la sociedad se procederá de inmediato a su liquidación. En consecuencia, no podrá iniciar nuevas operaciones en desarrollo de su objeto y conservará su capacidad jurídica únicamente para los actos necesarios a la inmediata liquidación. Cualquier operación o acto ajeno a este fin, salvo los autorizados expresamente por la Ley, hará responsables frente a la sociedad, a los asociados y a terceros, en forma ilimitada y solidaria, al liquidador, y al revisor fiscal que no se hubiere opuesto.</w:t>
      </w:r>
    </w:p>
    <w:p w14:paraId="3A77B4C9" w14:textId="369D18D0" w:rsidR="000825D8" w:rsidRPr="009C5188" w:rsidRDefault="000825D8" w:rsidP="009C5188">
      <w:pPr>
        <w:pStyle w:val="Textonotapie"/>
        <w:ind w:firstLine="708"/>
        <w:jc w:val="both"/>
        <w:rPr>
          <w:rFonts w:ascii="Arial" w:hAnsi="Arial" w:cs="Arial"/>
          <w:sz w:val="19"/>
          <w:szCs w:val="19"/>
        </w:rPr>
      </w:pPr>
      <w:r w:rsidRPr="009C5188">
        <w:rPr>
          <w:rFonts w:ascii="Arial" w:hAnsi="Arial" w:cs="Arial"/>
          <w:sz w:val="19"/>
          <w:szCs w:val="19"/>
        </w:rPr>
        <w:t>»El nombre de la sociedad disuelta deberá adicionarse siempre con la expresión ‘en liquidación’. Los encargados de realizarla responderán de los daños y perjuicios que se deriven por dicha omisión».</w:t>
      </w:r>
    </w:p>
    <w:p w14:paraId="1D5F542B" w14:textId="77777777" w:rsidR="000825D8" w:rsidRPr="009C5188" w:rsidRDefault="000825D8" w:rsidP="009C5188">
      <w:pPr>
        <w:pStyle w:val="Textonotapie"/>
        <w:jc w:val="both"/>
        <w:rPr>
          <w:rFonts w:ascii="Arial" w:hAnsi="Arial" w:cs="Arial"/>
          <w:sz w:val="19"/>
          <w:szCs w:val="19"/>
          <w:lang w:val="es-CO"/>
        </w:rPr>
      </w:pPr>
    </w:p>
  </w:footnote>
  <w:footnote w:id="11">
    <w:p w14:paraId="6D2CC498" w14:textId="77777777" w:rsidR="000825D8" w:rsidRPr="009C5188" w:rsidRDefault="000825D8" w:rsidP="009C5188">
      <w:pPr>
        <w:pStyle w:val="Textonotapie"/>
        <w:ind w:firstLine="708"/>
        <w:jc w:val="both"/>
        <w:rPr>
          <w:rFonts w:ascii="Arial" w:hAnsi="Arial" w:cs="Arial"/>
          <w:sz w:val="19"/>
          <w:szCs w:val="19"/>
        </w:rPr>
      </w:pPr>
      <w:r w:rsidRPr="009C5188">
        <w:rPr>
          <w:rStyle w:val="Refdenotaalpie"/>
          <w:rFonts w:ascii="Arial" w:hAnsi="Arial" w:cs="Arial"/>
          <w:sz w:val="19"/>
          <w:szCs w:val="19"/>
        </w:rPr>
        <w:footnoteRef/>
      </w:r>
      <w:r w:rsidRPr="009C5188">
        <w:rPr>
          <w:rFonts w:ascii="Arial" w:hAnsi="Arial" w:cs="Arial"/>
          <w:sz w:val="19"/>
          <w:szCs w:val="19"/>
        </w:rPr>
        <w:t xml:space="preserve"> Ver artículos 225 y ss. del Código de Comercio.</w:t>
      </w:r>
    </w:p>
    <w:p w14:paraId="697EE64A" w14:textId="77777777" w:rsidR="000825D8" w:rsidRPr="009C5188" w:rsidRDefault="000825D8" w:rsidP="009C5188">
      <w:pPr>
        <w:pStyle w:val="Textonotapie"/>
        <w:ind w:firstLine="708"/>
        <w:jc w:val="both"/>
        <w:rPr>
          <w:rFonts w:ascii="Arial" w:hAnsi="Arial" w:cs="Arial"/>
          <w:sz w:val="19"/>
          <w:szCs w:val="19"/>
          <w:lang w:val="es-CO"/>
        </w:rPr>
      </w:pPr>
      <w:r w:rsidRPr="009C5188">
        <w:rPr>
          <w:rFonts w:ascii="Arial" w:hAnsi="Arial" w:cs="Arial"/>
          <w:sz w:val="19"/>
          <w:szCs w:val="19"/>
        </w:rPr>
        <w:t xml:space="preserve"> </w:t>
      </w:r>
    </w:p>
  </w:footnote>
  <w:footnote w:id="12">
    <w:p w14:paraId="5DF12BBD" w14:textId="1104D5A7" w:rsidR="000825D8" w:rsidRPr="009C5188" w:rsidRDefault="000825D8" w:rsidP="009C5188">
      <w:pPr>
        <w:pStyle w:val="Textonotapie"/>
        <w:ind w:firstLine="708"/>
        <w:jc w:val="both"/>
        <w:rPr>
          <w:rFonts w:ascii="Arial" w:hAnsi="Arial" w:cs="Arial"/>
          <w:sz w:val="19"/>
          <w:szCs w:val="19"/>
        </w:rPr>
      </w:pPr>
      <w:r w:rsidRPr="009C5188">
        <w:rPr>
          <w:rStyle w:val="Refdenotaalpie"/>
          <w:rFonts w:ascii="Arial" w:hAnsi="Arial" w:cs="Arial"/>
          <w:sz w:val="19"/>
          <w:szCs w:val="19"/>
        </w:rPr>
        <w:footnoteRef/>
      </w:r>
      <w:r w:rsidRPr="009C5188">
        <w:rPr>
          <w:rFonts w:ascii="Arial" w:hAnsi="Arial" w:cs="Arial"/>
          <w:sz w:val="19"/>
          <w:szCs w:val="19"/>
        </w:rPr>
        <w:t xml:space="preserve"> Ley 222 de 1995: «Artículo 3. Modalidades. Habrá escisión cuando:</w:t>
      </w:r>
    </w:p>
    <w:p w14:paraId="0827ED25" w14:textId="7D0AA921" w:rsidR="000825D8" w:rsidRPr="009C5188" w:rsidRDefault="000825D8" w:rsidP="009C5188">
      <w:pPr>
        <w:pStyle w:val="Textonotapie"/>
        <w:ind w:firstLine="708"/>
        <w:jc w:val="both"/>
        <w:rPr>
          <w:rFonts w:ascii="Arial" w:hAnsi="Arial" w:cs="Arial"/>
          <w:sz w:val="19"/>
          <w:szCs w:val="19"/>
        </w:rPr>
      </w:pPr>
      <w:r w:rsidRPr="009C5188">
        <w:rPr>
          <w:rFonts w:ascii="Arial" w:hAnsi="Arial" w:cs="Arial"/>
          <w:sz w:val="19"/>
          <w:szCs w:val="19"/>
        </w:rPr>
        <w:t>»1. Una sociedad sin disolverse, transfiere en bloque una o varias partes de su patrimonio a una o más sociedades existentes o las destina a la creación de una o varias sociedades.</w:t>
      </w:r>
    </w:p>
    <w:p w14:paraId="5C508D48" w14:textId="3AF123D8" w:rsidR="000825D8" w:rsidRPr="009C5188" w:rsidRDefault="000825D8" w:rsidP="009C5188">
      <w:pPr>
        <w:pStyle w:val="Textonotapie"/>
        <w:ind w:firstLine="708"/>
        <w:jc w:val="both"/>
        <w:rPr>
          <w:rFonts w:ascii="Arial" w:hAnsi="Arial" w:cs="Arial"/>
          <w:sz w:val="19"/>
          <w:szCs w:val="19"/>
        </w:rPr>
      </w:pPr>
      <w:r w:rsidRPr="009C5188">
        <w:rPr>
          <w:rFonts w:ascii="Arial" w:hAnsi="Arial" w:cs="Arial"/>
          <w:sz w:val="19"/>
          <w:szCs w:val="19"/>
        </w:rPr>
        <w:t>»2. Una sociedad se disuelve sin liquidarse, dividiendo su patrimonio en dos o más partes, que se transfieren a varias sociedades existentes o se destinan a la creación de nuevas sociedades.</w:t>
      </w:r>
    </w:p>
    <w:p w14:paraId="1BD16E9F" w14:textId="6B734160" w:rsidR="000825D8" w:rsidRPr="009C5188" w:rsidRDefault="000825D8" w:rsidP="009C5188">
      <w:pPr>
        <w:pStyle w:val="Textonotapie"/>
        <w:ind w:firstLine="708"/>
        <w:jc w:val="both"/>
        <w:rPr>
          <w:rFonts w:ascii="Arial" w:hAnsi="Arial" w:cs="Arial"/>
          <w:sz w:val="19"/>
          <w:szCs w:val="19"/>
        </w:rPr>
      </w:pPr>
      <w:r w:rsidRPr="009C5188">
        <w:rPr>
          <w:rFonts w:ascii="Arial" w:hAnsi="Arial" w:cs="Arial"/>
          <w:sz w:val="19"/>
          <w:szCs w:val="19"/>
        </w:rPr>
        <w:t>»La sociedad o sociedades destinatarias de las transferencias resultantes de la escisión, se denominarán sociedades beneficiarias.</w:t>
      </w:r>
    </w:p>
    <w:p w14:paraId="17911942" w14:textId="1C87639A" w:rsidR="000825D8" w:rsidRPr="009C5188" w:rsidRDefault="000825D8" w:rsidP="009C5188">
      <w:pPr>
        <w:pStyle w:val="Textonotapie"/>
        <w:ind w:firstLine="708"/>
        <w:jc w:val="both"/>
        <w:rPr>
          <w:rFonts w:ascii="Arial" w:hAnsi="Arial" w:cs="Arial"/>
          <w:sz w:val="19"/>
          <w:szCs w:val="19"/>
          <w:lang w:val="es-CO"/>
        </w:rPr>
      </w:pPr>
      <w:r w:rsidRPr="009C5188">
        <w:rPr>
          <w:rFonts w:ascii="Arial" w:hAnsi="Arial" w:cs="Arial"/>
          <w:sz w:val="19"/>
          <w:szCs w:val="19"/>
        </w:rPr>
        <w:t>»Los socios de la sociedad escindida participarán en el capital de las Sociedades beneficiarias en la misma proporción que tengan en aquélla, salvo que por unanimidad de las acciones, cuotas sociales o partes de interés representadas en la asamblea o junta de socios de la escindente, se apruebe una participación diferente».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520770B" w14:textId="1A2BB94C" w:rsidR="000825D8" w:rsidRDefault="000825D8">
    <w:pPr>
      <w:pStyle w:val="Encabezado"/>
    </w:pPr>
    <w:r>
      <w:rPr>
        <w:noProof/>
        <w:lang w:val="es-CO" w:eastAsia="es-CO"/>
      </w:rPr>
      <w:drawing>
        <wp:anchor distT="0" distB="0" distL="114300" distR="114300" simplePos="0" relativeHeight="251661312" behindDoc="1" locked="0" layoutInCell="1" allowOverlap="1" wp14:anchorId="1A706351" wp14:editId="1A8F82B0">
          <wp:simplePos x="0" y="0"/>
          <wp:positionH relativeFrom="column">
            <wp:posOffset>4382135</wp:posOffset>
          </wp:positionH>
          <wp:positionV relativeFrom="paragraph">
            <wp:posOffset>483226</wp:posOffset>
          </wp:positionV>
          <wp:extent cx="1257300" cy="516255"/>
          <wp:effectExtent l="0" t="0" r="0" b="0"/>
          <wp:wrapTight wrapText="bothSides">
            <wp:wrapPolygon edited="0">
              <wp:start x="327" y="0"/>
              <wp:lineTo x="327" y="18332"/>
              <wp:lineTo x="1964" y="19129"/>
              <wp:lineTo x="11127" y="20723"/>
              <wp:lineTo x="12764" y="20723"/>
              <wp:lineTo x="19636" y="19129"/>
              <wp:lineTo x="21273" y="18332"/>
              <wp:lineTo x="20945" y="0"/>
              <wp:lineTo x="327" y="0"/>
            </wp:wrapPolygon>
          </wp:wrapTight>
          <wp:docPr id="2"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E Logo.jpg"/>
                  <pic:cNvPicPr/>
                </pic:nvPicPr>
                <pic:blipFill>
                  <a:blip r:embed="rId1">
                    <a:extLst>
                      <a:ext uri="{28A0092B-C50C-407E-A947-70E740481C1C}">
                        <a14:useLocalDpi xmlns:a14="http://schemas.microsoft.com/office/drawing/2010/main" val="0"/>
                      </a:ext>
                    </a:extLst>
                  </a:blip>
                  <a:stretch>
                    <a:fillRect/>
                  </a:stretch>
                </pic:blipFill>
                <pic:spPr bwMode="auto">
                  <a:xfrm>
                    <a:off x="0" y="0"/>
                    <a:ext cx="1257300" cy="5162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C06310"/>
    <w:multiLevelType w:val="multilevel"/>
    <w:tmpl w:val="3AC4F752"/>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310D7E6C"/>
    <w:multiLevelType w:val="multilevel"/>
    <w:tmpl w:val="836404E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31B41044"/>
    <w:multiLevelType w:val="hybridMultilevel"/>
    <w:tmpl w:val="836404E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3F683917"/>
    <w:multiLevelType w:val="multilevel"/>
    <w:tmpl w:val="DB862606"/>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482459AB"/>
    <w:multiLevelType w:val="hybridMultilevel"/>
    <w:tmpl w:val="F7E4801A"/>
    <w:lvl w:ilvl="0" w:tplc="07686820">
      <w:start w:val="1"/>
      <w:numFmt w:val="bullet"/>
      <w:lvlText w:val=""/>
      <w:lvlJc w:val="left"/>
      <w:pPr>
        <w:ind w:left="720" w:hanging="360"/>
      </w:pPr>
      <w:rPr>
        <w:rFonts w:ascii="Wingdings" w:hAnsi="Wingdings" w:hint="default"/>
        <w:color w:val="0E63A8"/>
        <w:sz w:val="28"/>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59112A3E"/>
    <w:multiLevelType w:val="hybridMultilevel"/>
    <w:tmpl w:val="C2A4B150"/>
    <w:lvl w:ilvl="0" w:tplc="8C620734">
      <w:start w:val="1"/>
      <w:numFmt w:val="decimal"/>
      <w:lvlText w:val="%1."/>
      <w:lvlJc w:val="left"/>
      <w:pPr>
        <w:ind w:left="677" w:hanging="360"/>
      </w:pPr>
      <w:rPr>
        <w:rFonts w:hint="default"/>
      </w:rPr>
    </w:lvl>
    <w:lvl w:ilvl="1" w:tplc="240A0019" w:tentative="1">
      <w:start w:val="1"/>
      <w:numFmt w:val="lowerLetter"/>
      <w:lvlText w:val="%2."/>
      <w:lvlJc w:val="left"/>
      <w:pPr>
        <w:ind w:left="1397" w:hanging="360"/>
      </w:pPr>
    </w:lvl>
    <w:lvl w:ilvl="2" w:tplc="240A001B" w:tentative="1">
      <w:start w:val="1"/>
      <w:numFmt w:val="lowerRoman"/>
      <w:lvlText w:val="%3."/>
      <w:lvlJc w:val="right"/>
      <w:pPr>
        <w:ind w:left="2117" w:hanging="180"/>
      </w:pPr>
    </w:lvl>
    <w:lvl w:ilvl="3" w:tplc="240A000F" w:tentative="1">
      <w:start w:val="1"/>
      <w:numFmt w:val="decimal"/>
      <w:lvlText w:val="%4."/>
      <w:lvlJc w:val="left"/>
      <w:pPr>
        <w:ind w:left="2837" w:hanging="360"/>
      </w:pPr>
    </w:lvl>
    <w:lvl w:ilvl="4" w:tplc="240A0019" w:tentative="1">
      <w:start w:val="1"/>
      <w:numFmt w:val="lowerLetter"/>
      <w:lvlText w:val="%5."/>
      <w:lvlJc w:val="left"/>
      <w:pPr>
        <w:ind w:left="3557" w:hanging="360"/>
      </w:pPr>
    </w:lvl>
    <w:lvl w:ilvl="5" w:tplc="240A001B" w:tentative="1">
      <w:start w:val="1"/>
      <w:numFmt w:val="lowerRoman"/>
      <w:lvlText w:val="%6."/>
      <w:lvlJc w:val="right"/>
      <w:pPr>
        <w:ind w:left="4277" w:hanging="180"/>
      </w:pPr>
    </w:lvl>
    <w:lvl w:ilvl="6" w:tplc="240A000F" w:tentative="1">
      <w:start w:val="1"/>
      <w:numFmt w:val="decimal"/>
      <w:lvlText w:val="%7."/>
      <w:lvlJc w:val="left"/>
      <w:pPr>
        <w:ind w:left="4997" w:hanging="360"/>
      </w:pPr>
    </w:lvl>
    <w:lvl w:ilvl="7" w:tplc="240A0019" w:tentative="1">
      <w:start w:val="1"/>
      <w:numFmt w:val="lowerLetter"/>
      <w:lvlText w:val="%8."/>
      <w:lvlJc w:val="left"/>
      <w:pPr>
        <w:ind w:left="5717" w:hanging="360"/>
      </w:pPr>
    </w:lvl>
    <w:lvl w:ilvl="8" w:tplc="240A001B" w:tentative="1">
      <w:start w:val="1"/>
      <w:numFmt w:val="lowerRoman"/>
      <w:lvlText w:val="%9."/>
      <w:lvlJc w:val="right"/>
      <w:pPr>
        <w:ind w:left="6437" w:hanging="180"/>
      </w:pPr>
    </w:lvl>
  </w:abstractNum>
  <w:abstractNum w:abstractNumId="6" w15:restartNumberingAfterBreak="0">
    <w:nsid w:val="5A9A2200"/>
    <w:multiLevelType w:val="multilevel"/>
    <w:tmpl w:val="614E70D0"/>
    <w:lvl w:ilvl="0">
      <w:start w:val="1"/>
      <w:numFmt w:val="decimal"/>
      <w:lvlText w:val="%1."/>
      <w:lvlJc w:val="left"/>
      <w:pPr>
        <w:ind w:left="360" w:hanging="360"/>
      </w:pPr>
      <w:rPr>
        <w:rFonts w:hint="default"/>
        <w:b/>
        <w:sz w:val="22"/>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7" w15:restartNumberingAfterBreak="0">
    <w:nsid w:val="6BFF7097"/>
    <w:multiLevelType w:val="hybridMultilevel"/>
    <w:tmpl w:val="C2A4B150"/>
    <w:lvl w:ilvl="0" w:tplc="8C620734">
      <w:start w:val="1"/>
      <w:numFmt w:val="decimal"/>
      <w:lvlText w:val="%1."/>
      <w:lvlJc w:val="left"/>
      <w:pPr>
        <w:ind w:left="677" w:hanging="360"/>
      </w:pPr>
      <w:rPr>
        <w:rFonts w:hint="default"/>
      </w:rPr>
    </w:lvl>
    <w:lvl w:ilvl="1" w:tplc="240A0019" w:tentative="1">
      <w:start w:val="1"/>
      <w:numFmt w:val="lowerLetter"/>
      <w:lvlText w:val="%2."/>
      <w:lvlJc w:val="left"/>
      <w:pPr>
        <w:ind w:left="1397" w:hanging="360"/>
      </w:pPr>
    </w:lvl>
    <w:lvl w:ilvl="2" w:tplc="240A001B" w:tentative="1">
      <w:start w:val="1"/>
      <w:numFmt w:val="lowerRoman"/>
      <w:lvlText w:val="%3."/>
      <w:lvlJc w:val="right"/>
      <w:pPr>
        <w:ind w:left="2117" w:hanging="180"/>
      </w:pPr>
    </w:lvl>
    <w:lvl w:ilvl="3" w:tplc="240A000F" w:tentative="1">
      <w:start w:val="1"/>
      <w:numFmt w:val="decimal"/>
      <w:lvlText w:val="%4."/>
      <w:lvlJc w:val="left"/>
      <w:pPr>
        <w:ind w:left="2837" w:hanging="360"/>
      </w:pPr>
    </w:lvl>
    <w:lvl w:ilvl="4" w:tplc="240A0019" w:tentative="1">
      <w:start w:val="1"/>
      <w:numFmt w:val="lowerLetter"/>
      <w:lvlText w:val="%5."/>
      <w:lvlJc w:val="left"/>
      <w:pPr>
        <w:ind w:left="3557" w:hanging="360"/>
      </w:pPr>
    </w:lvl>
    <w:lvl w:ilvl="5" w:tplc="240A001B" w:tentative="1">
      <w:start w:val="1"/>
      <w:numFmt w:val="lowerRoman"/>
      <w:lvlText w:val="%6."/>
      <w:lvlJc w:val="right"/>
      <w:pPr>
        <w:ind w:left="4277" w:hanging="180"/>
      </w:pPr>
    </w:lvl>
    <w:lvl w:ilvl="6" w:tplc="240A000F" w:tentative="1">
      <w:start w:val="1"/>
      <w:numFmt w:val="decimal"/>
      <w:lvlText w:val="%7."/>
      <w:lvlJc w:val="left"/>
      <w:pPr>
        <w:ind w:left="4997" w:hanging="360"/>
      </w:pPr>
    </w:lvl>
    <w:lvl w:ilvl="7" w:tplc="240A0019" w:tentative="1">
      <w:start w:val="1"/>
      <w:numFmt w:val="lowerLetter"/>
      <w:lvlText w:val="%8."/>
      <w:lvlJc w:val="left"/>
      <w:pPr>
        <w:ind w:left="5717" w:hanging="360"/>
      </w:pPr>
    </w:lvl>
    <w:lvl w:ilvl="8" w:tplc="240A001B" w:tentative="1">
      <w:start w:val="1"/>
      <w:numFmt w:val="lowerRoman"/>
      <w:lvlText w:val="%9."/>
      <w:lvlJc w:val="right"/>
      <w:pPr>
        <w:ind w:left="6437" w:hanging="180"/>
      </w:pPr>
    </w:lvl>
  </w:abstractNum>
  <w:abstractNum w:abstractNumId="8" w15:restartNumberingAfterBreak="0">
    <w:nsid w:val="7F7A468A"/>
    <w:multiLevelType w:val="multilevel"/>
    <w:tmpl w:val="FEA47526"/>
    <w:lvl w:ilvl="0">
      <w:start w:val="1"/>
      <w:numFmt w:val="decimal"/>
      <w:lvlText w:val="%1."/>
      <w:lvlJc w:val="left"/>
      <w:pPr>
        <w:ind w:left="360" w:hanging="360"/>
      </w:pPr>
      <w:rPr>
        <w:rFonts w:hint="default"/>
      </w:rPr>
    </w:lvl>
    <w:lvl w:ilvl="1">
      <w:start w:val="1"/>
      <w:numFmt w:val="decimal"/>
      <w:isLgl/>
      <w:lvlText w:val="%1.%2"/>
      <w:lvlJc w:val="left"/>
      <w:pPr>
        <w:ind w:left="947" w:hanging="380"/>
      </w:pPr>
      <w:rPr>
        <w:rFonts w:hint="default"/>
        <w:b/>
        <w:i w:val="0"/>
      </w:rPr>
    </w:lvl>
    <w:lvl w:ilvl="2">
      <w:start w:val="1"/>
      <w:numFmt w:val="decimal"/>
      <w:isLgl/>
      <w:lvlText w:val="%1.%2.%3"/>
      <w:lvlJc w:val="left"/>
      <w:pPr>
        <w:ind w:left="1854" w:hanging="720"/>
      </w:pPr>
      <w:rPr>
        <w:rFonts w:hint="default"/>
      </w:rPr>
    </w:lvl>
    <w:lvl w:ilvl="3">
      <w:start w:val="1"/>
      <w:numFmt w:val="decimal"/>
      <w:isLgl/>
      <w:lvlText w:val="%1.%2.%3.%4"/>
      <w:lvlJc w:val="left"/>
      <w:pPr>
        <w:ind w:left="2421" w:hanging="720"/>
      </w:pPr>
      <w:rPr>
        <w:rFonts w:hint="default"/>
      </w:rPr>
    </w:lvl>
    <w:lvl w:ilvl="4">
      <w:start w:val="1"/>
      <w:numFmt w:val="decimal"/>
      <w:isLgl/>
      <w:lvlText w:val="%1.%2.%3.%4.%5"/>
      <w:lvlJc w:val="left"/>
      <w:pPr>
        <w:ind w:left="3348" w:hanging="1080"/>
      </w:pPr>
      <w:rPr>
        <w:rFonts w:hint="default"/>
      </w:rPr>
    </w:lvl>
    <w:lvl w:ilvl="5">
      <w:start w:val="1"/>
      <w:numFmt w:val="decimal"/>
      <w:isLgl/>
      <w:lvlText w:val="%1.%2.%3.%4.%5.%6"/>
      <w:lvlJc w:val="left"/>
      <w:pPr>
        <w:ind w:left="3915" w:hanging="1080"/>
      </w:pPr>
      <w:rPr>
        <w:rFonts w:hint="default"/>
      </w:rPr>
    </w:lvl>
    <w:lvl w:ilvl="6">
      <w:start w:val="1"/>
      <w:numFmt w:val="decimal"/>
      <w:isLgl/>
      <w:lvlText w:val="%1.%2.%3.%4.%5.%6.%7"/>
      <w:lvlJc w:val="left"/>
      <w:pPr>
        <w:ind w:left="4842" w:hanging="1440"/>
      </w:pPr>
      <w:rPr>
        <w:rFonts w:hint="default"/>
      </w:rPr>
    </w:lvl>
    <w:lvl w:ilvl="7">
      <w:start w:val="1"/>
      <w:numFmt w:val="decimal"/>
      <w:isLgl/>
      <w:lvlText w:val="%1.%2.%3.%4.%5.%6.%7.%8"/>
      <w:lvlJc w:val="left"/>
      <w:pPr>
        <w:ind w:left="5409" w:hanging="1440"/>
      </w:pPr>
      <w:rPr>
        <w:rFonts w:hint="default"/>
      </w:rPr>
    </w:lvl>
    <w:lvl w:ilvl="8">
      <w:start w:val="1"/>
      <w:numFmt w:val="decimal"/>
      <w:isLgl/>
      <w:lvlText w:val="%1.%2.%3.%4.%5.%6.%7.%8.%9"/>
      <w:lvlJc w:val="left"/>
      <w:pPr>
        <w:ind w:left="6336" w:hanging="1800"/>
      </w:pPr>
      <w:rPr>
        <w:rFonts w:hint="default"/>
      </w:rPr>
    </w:lvl>
  </w:abstractNum>
  <w:num w:numId="1">
    <w:abstractNumId w:val="2"/>
  </w:num>
  <w:num w:numId="2">
    <w:abstractNumId w:val="1"/>
  </w:num>
  <w:num w:numId="3">
    <w:abstractNumId w:val="4"/>
  </w:num>
  <w:num w:numId="4">
    <w:abstractNumId w:val="5"/>
  </w:num>
  <w:num w:numId="5">
    <w:abstractNumId w:val="7"/>
  </w:num>
  <w:num w:numId="6">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6"/>
  </w:num>
  <w:num w:numId="8">
    <w:abstractNumId w:val="8"/>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attachedTemplate r:id="rId1"/>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385A"/>
    <w:rsid w:val="00000966"/>
    <w:rsid w:val="0000365F"/>
    <w:rsid w:val="00015203"/>
    <w:rsid w:val="00020E2F"/>
    <w:rsid w:val="00037A1C"/>
    <w:rsid w:val="00041114"/>
    <w:rsid w:val="00060086"/>
    <w:rsid w:val="0006498C"/>
    <w:rsid w:val="00070A64"/>
    <w:rsid w:val="000825D8"/>
    <w:rsid w:val="00082E8C"/>
    <w:rsid w:val="00084B97"/>
    <w:rsid w:val="000929CA"/>
    <w:rsid w:val="000942EB"/>
    <w:rsid w:val="000A354F"/>
    <w:rsid w:val="000B103F"/>
    <w:rsid w:val="000C35F6"/>
    <w:rsid w:val="000D50F8"/>
    <w:rsid w:val="000E1FB7"/>
    <w:rsid w:val="000E41F0"/>
    <w:rsid w:val="000E6188"/>
    <w:rsid w:val="000F14E8"/>
    <w:rsid w:val="00103915"/>
    <w:rsid w:val="0011541D"/>
    <w:rsid w:val="0011653E"/>
    <w:rsid w:val="00122B23"/>
    <w:rsid w:val="00122E4E"/>
    <w:rsid w:val="00137FFA"/>
    <w:rsid w:val="00155AA2"/>
    <w:rsid w:val="00161197"/>
    <w:rsid w:val="00164573"/>
    <w:rsid w:val="00172749"/>
    <w:rsid w:val="00173A59"/>
    <w:rsid w:val="001A4ABE"/>
    <w:rsid w:val="001B0444"/>
    <w:rsid w:val="001B5756"/>
    <w:rsid w:val="001C55B7"/>
    <w:rsid w:val="001D1F8F"/>
    <w:rsid w:val="001D4567"/>
    <w:rsid w:val="0020632A"/>
    <w:rsid w:val="002110EB"/>
    <w:rsid w:val="00211338"/>
    <w:rsid w:val="00220AE0"/>
    <w:rsid w:val="0022453C"/>
    <w:rsid w:val="00234066"/>
    <w:rsid w:val="00234B84"/>
    <w:rsid w:val="0023583A"/>
    <w:rsid w:val="00236E03"/>
    <w:rsid w:val="00240920"/>
    <w:rsid w:val="00250405"/>
    <w:rsid w:val="002506CF"/>
    <w:rsid w:val="00261B33"/>
    <w:rsid w:val="00261BAB"/>
    <w:rsid w:val="002720D2"/>
    <w:rsid w:val="002956D3"/>
    <w:rsid w:val="002A3B8D"/>
    <w:rsid w:val="002B088C"/>
    <w:rsid w:val="002B1466"/>
    <w:rsid w:val="002B3991"/>
    <w:rsid w:val="002B7945"/>
    <w:rsid w:val="002C4C0C"/>
    <w:rsid w:val="002D2815"/>
    <w:rsid w:val="002D60F6"/>
    <w:rsid w:val="002E1195"/>
    <w:rsid w:val="002F1750"/>
    <w:rsid w:val="003033BA"/>
    <w:rsid w:val="003116C2"/>
    <w:rsid w:val="0031696B"/>
    <w:rsid w:val="0032086B"/>
    <w:rsid w:val="00322937"/>
    <w:rsid w:val="00324524"/>
    <w:rsid w:val="0032691C"/>
    <w:rsid w:val="00327857"/>
    <w:rsid w:val="0034177C"/>
    <w:rsid w:val="0034680A"/>
    <w:rsid w:val="00347B31"/>
    <w:rsid w:val="003513C4"/>
    <w:rsid w:val="00353DD5"/>
    <w:rsid w:val="00372B70"/>
    <w:rsid w:val="00384698"/>
    <w:rsid w:val="0038524B"/>
    <w:rsid w:val="00386114"/>
    <w:rsid w:val="00386456"/>
    <w:rsid w:val="003949B8"/>
    <w:rsid w:val="00397E20"/>
    <w:rsid w:val="003A0878"/>
    <w:rsid w:val="003A5606"/>
    <w:rsid w:val="003A581E"/>
    <w:rsid w:val="003B2FD9"/>
    <w:rsid w:val="003B4987"/>
    <w:rsid w:val="003B6EE8"/>
    <w:rsid w:val="003B791C"/>
    <w:rsid w:val="003D3CC0"/>
    <w:rsid w:val="0040170E"/>
    <w:rsid w:val="004023D4"/>
    <w:rsid w:val="00411530"/>
    <w:rsid w:val="00423F9F"/>
    <w:rsid w:val="004422D6"/>
    <w:rsid w:val="00474D4C"/>
    <w:rsid w:val="00475A77"/>
    <w:rsid w:val="00483977"/>
    <w:rsid w:val="004919AE"/>
    <w:rsid w:val="0049241A"/>
    <w:rsid w:val="004A34D2"/>
    <w:rsid w:val="004A57F4"/>
    <w:rsid w:val="004B19D5"/>
    <w:rsid w:val="004C0517"/>
    <w:rsid w:val="004C437A"/>
    <w:rsid w:val="004D2DD0"/>
    <w:rsid w:val="004D6FF6"/>
    <w:rsid w:val="004E0F28"/>
    <w:rsid w:val="004E58D5"/>
    <w:rsid w:val="004E7E29"/>
    <w:rsid w:val="004F14E8"/>
    <w:rsid w:val="004F4CD4"/>
    <w:rsid w:val="00502A34"/>
    <w:rsid w:val="0051074C"/>
    <w:rsid w:val="0051293F"/>
    <w:rsid w:val="00512D26"/>
    <w:rsid w:val="00513AF2"/>
    <w:rsid w:val="00525D4C"/>
    <w:rsid w:val="005370B4"/>
    <w:rsid w:val="0054166D"/>
    <w:rsid w:val="005428FA"/>
    <w:rsid w:val="0054413A"/>
    <w:rsid w:val="00544D0B"/>
    <w:rsid w:val="0055073F"/>
    <w:rsid w:val="005534A5"/>
    <w:rsid w:val="0055556D"/>
    <w:rsid w:val="005564CA"/>
    <w:rsid w:val="0056182B"/>
    <w:rsid w:val="00565112"/>
    <w:rsid w:val="005756AA"/>
    <w:rsid w:val="005825BE"/>
    <w:rsid w:val="00582F2C"/>
    <w:rsid w:val="00591594"/>
    <w:rsid w:val="00592C46"/>
    <w:rsid w:val="0059467A"/>
    <w:rsid w:val="005A3280"/>
    <w:rsid w:val="005A57E1"/>
    <w:rsid w:val="005A5C0A"/>
    <w:rsid w:val="005B3726"/>
    <w:rsid w:val="005B56F2"/>
    <w:rsid w:val="005B5BB0"/>
    <w:rsid w:val="005C17BC"/>
    <w:rsid w:val="005D4C89"/>
    <w:rsid w:val="005D51FA"/>
    <w:rsid w:val="005D791B"/>
    <w:rsid w:val="005E002D"/>
    <w:rsid w:val="005E4406"/>
    <w:rsid w:val="0060502C"/>
    <w:rsid w:val="00614817"/>
    <w:rsid w:val="00625495"/>
    <w:rsid w:val="00625D31"/>
    <w:rsid w:val="0062704C"/>
    <w:rsid w:val="00633DBF"/>
    <w:rsid w:val="00640730"/>
    <w:rsid w:val="006505BB"/>
    <w:rsid w:val="0065499C"/>
    <w:rsid w:val="00655371"/>
    <w:rsid w:val="00662326"/>
    <w:rsid w:val="00682CB9"/>
    <w:rsid w:val="006854AD"/>
    <w:rsid w:val="00691278"/>
    <w:rsid w:val="00694038"/>
    <w:rsid w:val="00694D8E"/>
    <w:rsid w:val="00697665"/>
    <w:rsid w:val="006A0F23"/>
    <w:rsid w:val="006A7CB5"/>
    <w:rsid w:val="006A7FD0"/>
    <w:rsid w:val="006B0D0D"/>
    <w:rsid w:val="006B1F80"/>
    <w:rsid w:val="006D7687"/>
    <w:rsid w:val="006E0572"/>
    <w:rsid w:val="006E4317"/>
    <w:rsid w:val="00705631"/>
    <w:rsid w:val="0071411B"/>
    <w:rsid w:val="00715EAA"/>
    <w:rsid w:val="0072019B"/>
    <w:rsid w:val="00742DD2"/>
    <w:rsid w:val="00746E08"/>
    <w:rsid w:val="00747C96"/>
    <w:rsid w:val="0075094E"/>
    <w:rsid w:val="007522E8"/>
    <w:rsid w:val="007542DB"/>
    <w:rsid w:val="0075647A"/>
    <w:rsid w:val="007634AD"/>
    <w:rsid w:val="00775AA7"/>
    <w:rsid w:val="0078122E"/>
    <w:rsid w:val="0078635B"/>
    <w:rsid w:val="00795647"/>
    <w:rsid w:val="007B0854"/>
    <w:rsid w:val="007B321A"/>
    <w:rsid w:val="007B6436"/>
    <w:rsid w:val="007C04DA"/>
    <w:rsid w:val="007C64EB"/>
    <w:rsid w:val="007D4DFD"/>
    <w:rsid w:val="007D7F4A"/>
    <w:rsid w:val="007F0BA4"/>
    <w:rsid w:val="007F1D1B"/>
    <w:rsid w:val="007F4B6B"/>
    <w:rsid w:val="007F6B46"/>
    <w:rsid w:val="007F72CB"/>
    <w:rsid w:val="00801CAD"/>
    <w:rsid w:val="008217B7"/>
    <w:rsid w:val="008221C5"/>
    <w:rsid w:val="00822F66"/>
    <w:rsid w:val="00824095"/>
    <w:rsid w:val="0083017E"/>
    <w:rsid w:val="0083119B"/>
    <w:rsid w:val="00836EAB"/>
    <w:rsid w:val="008467C1"/>
    <w:rsid w:val="0085092D"/>
    <w:rsid w:val="00850F79"/>
    <w:rsid w:val="00851174"/>
    <w:rsid w:val="00852AAA"/>
    <w:rsid w:val="008575D3"/>
    <w:rsid w:val="00870298"/>
    <w:rsid w:val="00885322"/>
    <w:rsid w:val="00886D12"/>
    <w:rsid w:val="0089774F"/>
    <w:rsid w:val="008A4E4F"/>
    <w:rsid w:val="008A5A9C"/>
    <w:rsid w:val="008A7E9C"/>
    <w:rsid w:val="008B409F"/>
    <w:rsid w:val="008C44A0"/>
    <w:rsid w:val="008D18B9"/>
    <w:rsid w:val="008D5437"/>
    <w:rsid w:val="008D69B9"/>
    <w:rsid w:val="008E1C15"/>
    <w:rsid w:val="008F0346"/>
    <w:rsid w:val="008F538E"/>
    <w:rsid w:val="009047C5"/>
    <w:rsid w:val="00912110"/>
    <w:rsid w:val="00916C70"/>
    <w:rsid w:val="0094559B"/>
    <w:rsid w:val="00951FD6"/>
    <w:rsid w:val="0095385A"/>
    <w:rsid w:val="00954138"/>
    <w:rsid w:val="00981B8D"/>
    <w:rsid w:val="009909D2"/>
    <w:rsid w:val="009C5188"/>
    <w:rsid w:val="009D4651"/>
    <w:rsid w:val="009F0C0E"/>
    <w:rsid w:val="009F4936"/>
    <w:rsid w:val="009F59C2"/>
    <w:rsid w:val="00A07654"/>
    <w:rsid w:val="00A12713"/>
    <w:rsid w:val="00A24560"/>
    <w:rsid w:val="00A34538"/>
    <w:rsid w:val="00A37D22"/>
    <w:rsid w:val="00A37FB6"/>
    <w:rsid w:val="00A50DA6"/>
    <w:rsid w:val="00A510E3"/>
    <w:rsid w:val="00A61E3D"/>
    <w:rsid w:val="00A6322D"/>
    <w:rsid w:val="00A8361D"/>
    <w:rsid w:val="00A92AFF"/>
    <w:rsid w:val="00AA08E7"/>
    <w:rsid w:val="00AA442B"/>
    <w:rsid w:val="00AA669D"/>
    <w:rsid w:val="00AA6CDB"/>
    <w:rsid w:val="00AA6D5C"/>
    <w:rsid w:val="00AB617E"/>
    <w:rsid w:val="00AB745E"/>
    <w:rsid w:val="00AD0EF9"/>
    <w:rsid w:val="00AD2C6C"/>
    <w:rsid w:val="00AD4E2D"/>
    <w:rsid w:val="00AF5090"/>
    <w:rsid w:val="00AF5A6D"/>
    <w:rsid w:val="00B0765B"/>
    <w:rsid w:val="00B13EC0"/>
    <w:rsid w:val="00B14F57"/>
    <w:rsid w:val="00B22E22"/>
    <w:rsid w:val="00B31CE3"/>
    <w:rsid w:val="00B525CB"/>
    <w:rsid w:val="00B54807"/>
    <w:rsid w:val="00B63872"/>
    <w:rsid w:val="00B63CB2"/>
    <w:rsid w:val="00B64EDB"/>
    <w:rsid w:val="00B7315F"/>
    <w:rsid w:val="00B91B8E"/>
    <w:rsid w:val="00B93160"/>
    <w:rsid w:val="00BA7BC3"/>
    <w:rsid w:val="00BB11AA"/>
    <w:rsid w:val="00BB225A"/>
    <w:rsid w:val="00BB5221"/>
    <w:rsid w:val="00BC5840"/>
    <w:rsid w:val="00BD27BA"/>
    <w:rsid w:val="00BD78FE"/>
    <w:rsid w:val="00BE7490"/>
    <w:rsid w:val="00BF1E9C"/>
    <w:rsid w:val="00C03A30"/>
    <w:rsid w:val="00C05A27"/>
    <w:rsid w:val="00C31D9A"/>
    <w:rsid w:val="00C3390B"/>
    <w:rsid w:val="00C368B6"/>
    <w:rsid w:val="00C45AF6"/>
    <w:rsid w:val="00C5063E"/>
    <w:rsid w:val="00C56E30"/>
    <w:rsid w:val="00C76B6D"/>
    <w:rsid w:val="00CA38FE"/>
    <w:rsid w:val="00CC00CD"/>
    <w:rsid w:val="00CC1605"/>
    <w:rsid w:val="00CD426E"/>
    <w:rsid w:val="00CD75E7"/>
    <w:rsid w:val="00CE1E2C"/>
    <w:rsid w:val="00CF0E3B"/>
    <w:rsid w:val="00CF4597"/>
    <w:rsid w:val="00D01760"/>
    <w:rsid w:val="00D106B8"/>
    <w:rsid w:val="00D16E39"/>
    <w:rsid w:val="00D223B6"/>
    <w:rsid w:val="00D263B8"/>
    <w:rsid w:val="00D335E2"/>
    <w:rsid w:val="00D439F3"/>
    <w:rsid w:val="00D5370A"/>
    <w:rsid w:val="00D60327"/>
    <w:rsid w:val="00D61AEA"/>
    <w:rsid w:val="00D64CD5"/>
    <w:rsid w:val="00D72E9D"/>
    <w:rsid w:val="00D82CE5"/>
    <w:rsid w:val="00D8339C"/>
    <w:rsid w:val="00DA5AB1"/>
    <w:rsid w:val="00DB2D54"/>
    <w:rsid w:val="00DC44CB"/>
    <w:rsid w:val="00DC62E5"/>
    <w:rsid w:val="00DD06AA"/>
    <w:rsid w:val="00DD735D"/>
    <w:rsid w:val="00DE3119"/>
    <w:rsid w:val="00DF236B"/>
    <w:rsid w:val="00E03AC6"/>
    <w:rsid w:val="00E13AB8"/>
    <w:rsid w:val="00E25CB3"/>
    <w:rsid w:val="00E33B62"/>
    <w:rsid w:val="00E4143A"/>
    <w:rsid w:val="00E46655"/>
    <w:rsid w:val="00E577E2"/>
    <w:rsid w:val="00E72184"/>
    <w:rsid w:val="00E72E2A"/>
    <w:rsid w:val="00E936BC"/>
    <w:rsid w:val="00EA1073"/>
    <w:rsid w:val="00EC3B98"/>
    <w:rsid w:val="00EC7CB2"/>
    <w:rsid w:val="00ED1DDD"/>
    <w:rsid w:val="00ED3D2E"/>
    <w:rsid w:val="00ED5115"/>
    <w:rsid w:val="00EE140A"/>
    <w:rsid w:val="00EE59B5"/>
    <w:rsid w:val="00EF3AC2"/>
    <w:rsid w:val="00F03213"/>
    <w:rsid w:val="00F1581F"/>
    <w:rsid w:val="00F22A4D"/>
    <w:rsid w:val="00F7120D"/>
    <w:rsid w:val="00F741E3"/>
    <w:rsid w:val="00F7794A"/>
    <w:rsid w:val="00F84899"/>
    <w:rsid w:val="00F859F0"/>
    <w:rsid w:val="00FB291F"/>
    <w:rsid w:val="00FD2843"/>
    <w:rsid w:val="00FD782C"/>
    <w:rsid w:val="00FE141E"/>
    <w:rsid w:val="00FE2612"/>
    <w:rsid w:val="00FE2E64"/>
    <w:rsid w:val="00FE42ED"/>
    <w:rsid w:val="00FF3C49"/>
    <w:rsid w:val="00FF4F46"/>
  </w:rsids>
  <m:mathPr>
    <m:mathFont m:val="Cambria Math"/>
    <m:brkBin m:val="before"/>
    <m:brkBinSub m:val="--"/>
    <m:smallFrac m:val="0"/>
    <m:dispDef/>
    <m:lMargin m:val="0"/>
    <m:rMargin m:val="0"/>
    <m:defJc m:val="centerGroup"/>
    <m:wrapIndent m:val="1440"/>
    <m:intLim m:val="subSup"/>
    <m:naryLim m:val="undOvr"/>
  </m:mathPr>
  <w:themeFontLang w:val="es-CO"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6145"/>
    <o:shapelayout v:ext="edit">
      <o:idmap v:ext="edit" data="1"/>
    </o:shapelayout>
  </w:shapeDefaults>
  <w:decimalSymbol w:val=","/>
  <w:listSeparator w:val=";"/>
  <w14:docId w14:val="48FC69B5"/>
  <w15:docId w15:val="{BAC9DA39-EAE9-485B-A43F-871BF06EB4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34538"/>
    <w:pPr>
      <w:spacing w:after="0" w:line="240" w:lineRule="auto"/>
    </w:pPr>
    <w:rPr>
      <w:sz w:val="24"/>
      <w:lang w:val="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A34538"/>
    <w:pPr>
      <w:tabs>
        <w:tab w:val="center" w:pos="4419"/>
        <w:tab w:val="right" w:pos="8838"/>
      </w:tabs>
    </w:pPr>
  </w:style>
  <w:style w:type="character" w:customStyle="1" w:styleId="PiedepginaCar">
    <w:name w:val="Pie de página Car"/>
    <w:basedOn w:val="Fuentedeprrafopredeter"/>
    <w:link w:val="Piedepgina"/>
    <w:uiPriority w:val="99"/>
    <w:rsid w:val="00A34538"/>
    <w:rPr>
      <w:sz w:val="24"/>
      <w:lang w:val="es-MX"/>
    </w:rPr>
  </w:style>
  <w:style w:type="paragraph" w:styleId="Textodeglobo">
    <w:name w:val="Balloon Text"/>
    <w:basedOn w:val="Normal"/>
    <w:link w:val="TextodegloboCar"/>
    <w:uiPriority w:val="99"/>
    <w:semiHidden/>
    <w:unhideWhenUsed/>
    <w:rsid w:val="00A34538"/>
    <w:rPr>
      <w:rFonts w:ascii="Tahoma" w:hAnsi="Tahoma" w:cs="Tahoma"/>
      <w:sz w:val="16"/>
      <w:szCs w:val="16"/>
    </w:rPr>
  </w:style>
  <w:style w:type="character" w:customStyle="1" w:styleId="TextodegloboCar">
    <w:name w:val="Texto de globo Car"/>
    <w:basedOn w:val="Fuentedeprrafopredeter"/>
    <w:link w:val="Textodeglobo"/>
    <w:uiPriority w:val="99"/>
    <w:semiHidden/>
    <w:rsid w:val="00A34538"/>
    <w:rPr>
      <w:rFonts w:ascii="Tahoma" w:hAnsi="Tahoma" w:cs="Tahoma"/>
      <w:sz w:val="16"/>
      <w:szCs w:val="16"/>
      <w:lang w:val="es-MX"/>
    </w:rPr>
  </w:style>
  <w:style w:type="paragraph" w:styleId="Encabezado">
    <w:name w:val="header"/>
    <w:basedOn w:val="Normal"/>
    <w:link w:val="EncabezadoCar"/>
    <w:uiPriority w:val="99"/>
    <w:unhideWhenUsed/>
    <w:rsid w:val="009047C5"/>
    <w:pPr>
      <w:tabs>
        <w:tab w:val="center" w:pos="4252"/>
        <w:tab w:val="right" w:pos="8504"/>
      </w:tabs>
    </w:pPr>
  </w:style>
  <w:style w:type="character" w:customStyle="1" w:styleId="EncabezadoCar">
    <w:name w:val="Encabezado Car"/>
    <w:basedOn w:val="Fuentedeprrafopredeter"/>
    <w:link w:val="Encabezado"/>
    <w:uiPriority w:val="99"/>
    <w:rsid w:val="009047C5"/>
    <w:rPr>
      <w:sz w:val="24"/>
      <w:lang w:val="es-MX"/>
    </w:rPr>
  </w:style>
  <w:style w:type="table" w:styleId="Tablaconcuadrcula">
    <w:name w:val="Table Grid"/>
    <w:basedOn w:val="Tablanormal"/>
    <w:uiPriority w:val="39"/>
    <w:rsid w:val="009047C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1"/>
    <w:qFormat/>
    <w:rsid w:val="009047C5"/>
    <w:pPr>
      <w:ind w:left="720"/>
      <w:contextualSpacing/>
    </w:pPr>
  </w:style>
  <w:style w:type="character" w:styleId="Refdecomentario">
    <w:name w:val="annotation reference"/>
    <w:basedOn w:val="Fuentedeprrafopredeter"/>
    <w:uiPriority w:val="99"/>
    <w:semiHidden/>
    <w:unhideWhenUsed/>
    <w:rsid w:val="00DA5AB1"/>
    <w:rPr>
      <w:sz w:val="16"/>
      <w:szCs w:val="16"/>
    </w:rPr>
  </w:style>
  <w:style w:type="paragraph" w:styleId="Textocomentario">
    <w:name w:val="annotation text"/>
    <w:basedOn w:val="Normal"/>
    <w:link w:val="TextocomentarioCar"/>
    <w:uiPriority w:val="99"/>
    <w:semiHidden/>
    <w:unhideWhenUsed/>
    <w:rsid w:val="00DA5AB1"/>
    <w:rPr>
      <w:sz w:val="20"/>
      <w:szCs w:val="20"/>
    </w:rPr>
  </w:style>
  <w:style w:type="character" w:customStyle="1" w:styleId="TextocomentarioCar">
    <w:name w:val="Texto comentario Car"/>
    <w:basedOn w:val="Fuentedeprrafopredeter"/>
    <w:link w:val="Textocomentario"/>
    <w:uiPriority w:val="99"/>
    <w:semiHidden/>
    <w:rsid w:val="00DA5AB1"/>
    <w:rPr>
      <w:sz w:val="20"/>
      <w:szCs w:val="20"/>
      <w:lang w:val="es-MX"/>
    </w:rPr>
  </w:style>
  <w:style w:type="paragraph" w:styleId="Asuntodelcomentario">
    <w:name w:val="annotation subject"/>
    <w:basedOn w:val="Textocomentario"/>
    <w:next w:val="Textocomentario"/>
    <w:link w:val="AsuntodelcomentarioCar"/>
    <w:uiPriority w:val="99"/>
    <w:semiHidden/>
    <w:unhideWhenUsed/>
    <w:rsid w:val="00DA5AB1"/>
    <w:rPr>
      <w:b/>
      <w:bCs/>
    </w:rPr>
  </w:style>
  <w:style w:type="character" w:customStyle="1" w:styleId="AsuntodelcomentarioCar">
    <w:name w:val="Asunto del comentario Car"/>
    <w:basedOn w:val="TextocomentarioCar"/>
    <w:link w:val="Asuntodelcomentario"/>
    <w:uiPriority w:val="99"/>
    <w:semiHidden/>
    <w:rsid w:val="00DA5AB1"/>
    <w:rPr>
      <w:b/>
      <w:bCs/>
      <w:sz w:val="20"/>
      <w:szCs w:val="20"/>
      <w:lang w:val="es-MX"/>
    </w:rPr>
  </w:style>
  <w:style w:type="character" w:styleId="Hipervnculo">
    <w:name w:val="Hyperlink"/>
    <w:basedOn w:val="Fuentedeprrafopredeter"/>
    <w:uiPriority w:val="99"/>
    <w:semiHidden/>
    <w:unhideWhenUsed/>
    <w:rsid w:val="0085092D"/>
    <w:rPr>
      <w:color w:val="F2F2F2" w:themeColor="hyperlink"/>
      <w:u w:val="single"/>
    </w:rPr>
  </w:style>
  <w:style w:type="paragraph" w:styleId="NormalWeb">
    <w:name w:val="Normal (Web)"/>
    <w:basedOn w:val="Normal"/>
    <w:uiPriority w:val="99"/>
    <w:semiHidden/>
    <w:unhideWhenUsed/>
    <w:rsid w:val="00122B23"/>
    <w:pPr>
      <w:spacing w:before="100" w:beforeAutospacing="1" w:after="100" w:afterAutospacing="1"/>
    </w:pPr>
    <w:rPr>
      <w:rFonts w:ascii="Times New Roman" w:eastAsia="Times New Roman" w:hAnsi="Times New Roman" w:cs="Times New Roman"/>
      <w:szCs w:val="24"/>
      <w:lang w:val="es-CO" w:eastAsia="es-CO"/>
    </w:rPr>
  </w:style>
  <w:style w:type="paragraph" w:styleId="Sinespaciado">
    <w:name w:val="No Spacing"/>
    <w:aliases w:val="No Indent"/>
    <w:uiPriority w:val="3"/>
    <w:qFormat/>
    <w:rsid w:val="007B0854"/>
    <w:pPr>
      <w:spacing w:after="0" w:line="240" w:lineRule="auto"/>
    </w:pPr>
    <w:rPr>
      <w:sz w:val="24"/>
      <w:lang w:val="es-MX"/>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locked/>
    <w:rsid w:val="007B0854"/>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
    <w:basedOn w:val="Normal"/>
    <w:link w:val="TextonotapieCar"/>
    <w:uiPriority w:val="99"/>
    <w:unhideWhenUsed/>
    <w:qFormat/>
    <w:rsid w:val="007B0854"/>
    <w:rPr>
      <w:sz w:val="20"/>
      <w:szCs w:val="20"/>
    </w:rPr>
  </w:style>
  <w:style w:type="character" w:customStyle="1" w:styleId="TextonotapieCar1">
    <w:name w:val="Texto nota pie Car1"/>
    <w:basedOn w:val="Fuentedeprrafopredeter"/>
    <w:uiPriority w:val="99"/>
    <w:semiHidden/>
    <w:rsid w:val="007B0854"/>
    <w:rPr>
      <w:sz w:val="20"/>
      <w:szCs w:val="20"/>
      <w:lang w:val="es-MX"/>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B0854"/>
    <w:rPr>
      <w:sz w:val="24"/>
      <w:lang w:val="es-MX"/>
    </w:rPr>
  </w:style>
  <w:style w:type="paragraph" w:customStyle="1" w:styleId="Capitulo1">
    <w:name w:val="Capitulo 1"/>
    <w:basedOn w:val="Normal"/>
    <w:qFormat/>
    <w:rsid w:val="007B0854"/>
    <w:pPr>
      <w:keepNext/>
      <w:spacing w:before="120" w:after="200" w:line="276" w:lineRule="auto"/>
      <w:ind w:left="720" w:hanging="360"/>
      <w:outlineLvl w:val="1"/>
    </w:pPr>
    <w:rPr>
      <w:rFonts w:ascii="Arial" w:eastAsia="Times New Roman" w:hAnsi="Arial" w:cs="Arial"/>
      <w:b/>
      <w:color w:val="000000"/>
      <w:sz w:val="20"/>
      <w:szCs w:val="20"/>
      <w:lang w:val="es-CO" w:eastAsia="es-CO"/>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
    <w:basedOn w:val="Fuentedeprrafopredeter"/>
    <w:unhideWhenUsed/>
    <w:qFormat/>
    <w:rsid w:val="007B0854"/>
    <w:rPr>
      <w:vertAlign w:val="superscript"/>
    </w:rPr>
  </w:style>
  <w:style w:type="table" w:customStyle="1" w:styleId="Tablaconcuadrcula1">
    <w:name w:val="Tabla con cuadrícula1"/>
    <w:basedOn w:val="Tablanormal"/>
    <w:next w:val="Tablaconcuadrcula"/>
    <w:uiPriority w:val="59"/>
    <w:rsid w:val="00795647"/>
    <w:pPr>
      <w:spacing w:after="0" w:line="24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347B31"/>
    <w:pPr>
      <w:autoSpaceDE w:val="0"/>
      <w:autoSpaceDN w:val="0"/>
      <w:adjustRightInd w:val="0"/>
      <w:spacing w:after="0" w:line="240" w:lineRule="auto"/>
    </w:pPr>
    <w:rPr>
      <w:rFonts w:ascii="Arial" w:hAnsi="Arial" w:cs="Arial"/>
      <w:color w:val="000000"/>
      <w:sz w:val="24"/>
      <w:szCs w:val="24"/>
      <w:lang w:val="es-ES"/>
    </w:rPr>
  </w:style>
  <w:style w:type="paragraph" w:customStyle="1" w:styleId="Cuadrculamedia1-nfasis21">
    <w:name w:val="Cuadrícula media 1 - Énfasis 21"/>
    <w:basedOn w:val="Normal"/>
    <w:uiPriority w:val="34"/>
    <w:qFormat/>
    <w:rsid w:val="00347B31"/>
    <w:pPr>
      <w:spacing w:after="160" w:line="259" w:lineRule="auto"/>
      <w:ind w:left="720"/>
      <w:contextualSpacing/>
    </w:pPr>
    <w:rPr>
      <w:rFonts w:ascii="Calibri" w:eastAsia="Calibri" w:hAnsi="Calibri" w:cs="Times New Roman"/>
      <w:sz w:val="22"/>
      <w:lang w:val="es-CO"/>
    </w:rPr>
  </w:style>
  <w:style w:type="paragraph" w:customStyle="1" w:styleId="bodytext23">
    <w:name w:val="bodytext23"/>
    <w:basedOn w:val="Normal"/>
    <w:rsid w:val="00347B31"/>
    <w:pPr>
      <w:spacing w:before="100" w:beforeAutospacing="1" w:after="100" w:afterAutospacing="1"/>
    </w:pPr>
    <w:rPr>
      <w:rFonts w:ascii="Times New Roman" w:eastAsia="Times New Roman" w:hAnsi="Times New Roman" w:cs="Times New Roman"/>
      <w:szCs w:val="24"/>
      <w:lang w:val="es-ES" w:eastAsia="es-ES"/>
    </w:rPr>
  </w:style>
  <w:style w:type="character" w:styleId="Textodelmarcadordeposicin">
    <w:name w:val="Placeholder Text"/>
    <w:basedOn w:val="Fuentedeprrafopredeter"/>
    <w:uiPriority w:val="99"/>
    <w:semiHidden/>
    <w:rsid w:val="004E58D5"/>
    <w:rPr>
      <w:color w:val="808080"/>
    </w:rPr>
  </w:style>
  <w:style w:type="paragraph" w:customStyle="1" w:styleId="paragraph">
    <w:name w:val="paragraph"/>
    <w:basedOn w:val="Normal"/>
    <w:rsid w:val="001B5756"/>
    <w:pPr>
      <w:spacing w:before="100" w:beforeAutospacing="1" w:after="100" w:afterAutospacing="1"/>
    </w:pPr>
    <w:rPr>
      <w:rFonts w:ascii="Times New Roman" w:eastAsia="Times New Roman" w:hAnsi="Times New Roman" w:cs="Times New Roman"/>
      <w:szCs w:val="24"/>
      <w:lang w:val="es-CO" w:eastAsia="es-CO"/>
    </w:rPr>
  </w:style>
  <w:style w:type="character" w:customStyle="1" w:styleId="normaltextrun">
    <w:name w:val="normaltextrun"/>
    <w:basedOn w:val="Fuentedeprrafopredeter"/>
    <w:rsid w:val="001B5756"/>
  </w:style>
  <w:style w:type="character" w:customStyle="1" w:styleId="eop">
    <w:name w:val="eop"/>
    <w:basedOn w:val="Fuentedeprrafopredeter"/>
    <w:rsid w:val="001B575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0833272">
      <w:bodyDiv w:val="1"/>
      <w:marLeft w:val="0"/>
      <w:marRight w:val="0"/>
      <w:marTop w:val="0"/>
      <w:marBottom w:val="0"/>
      <w:divBdr>
        <w:top w:val="none" w:sz="0" w:space="0" w:color="auto"/>
        <w:left w:val="none" w:sz="0" w:space="0" w:color="auto"/>
        <w:bottom w:val="none" w:sz="0" w:space="0" w:color="auto"/>
        <w:right w:val="none" w:sz="0" w:space="0" w:color="auto"/>
      </w:divBdr>
    </w:div>
    <w:div w:id="166599726">
      <w:bodyDiv w:val="1"/>
      <w:marLeft w:val="0"/>
      <w:marRight w:val="0"/>
      <w:marTop w:val="0"/>
      <w:marBottom w:val="0"/>
      <w:divBdr>
        <w:top w:val="none" w:sz="0" w:space="0" w:color="auto"/>
        <w:left w:val="none" w:sz="0" w:space="0" w:color="auto"/>
        <w:bottom w:val="none" w:sz="0" w:space="0" w:color="auto"/>
        <w:right w:val="none" w:sz="0" w:space="0" w:color="auto"/>
      </w:divBdr>
    </w:div>
    <w:div w:id="281771592">
      <w:bodyDiv w:val="1"/>
      <w:marLeft w:val="0"/>
      <w:marRight w:val="0"/>
      <w:marTop w:val="0"/>
      <w:marBottom w:val="0"/>
      <w:divBdr>
        <w:top w:val="none" w:sz="0" w:space="0" w:color="auto"/>
        <w:left w:val="none" w:sz="0" w:space="0" w:color="auto"/>
        <w:bottom w:val="none" w:sz="0" w:space="0" w:color="auto"/>
        <w:right w:val="none" w:sz="0" w:space="0" w:color="auto"/>
      </w:divBdr>
    </w:div>
    <w:div w:id="290482433">
      <w:bodyDiv w:val="1"/>
      <w:marLeft w:val="0"/>
      <w:marRight w:val="0"/>
      <w:marTop w:val="0"/>
      <w:marBottom w:val="0"/>
      <w:divBdr>
        <w:top w:val="none" w:sz="0" w:space="0" w:color="auto"/>
        <w:left w:val="none" w:sz="0" w:space="0" w:color="auto"/>
        <w:bottom w:val="none" w:sz="0" w:space="0" w:color="auto"/>
        <w:right w:val="none" w:sz="0" w:space="0" w:color="auto"/>
      </w:divBdr>
    </w:div>
    <w:div w:id="1290744797">
      <w:bodyDiv w:val="1"/>
      <w:marLeft w:val="0"/>
      <w:marRight w:val="0"/>
      <w:marTop w:val="0"/>
      <w:marBottom w:val="0"/>
      <w:divBdr>
        <w:top w:val="none" w:sz="0" w:space="0" w:color="auto"/>
        <w:left w:val="none" w:sz="0" w:space="0" w:color="auto"/>
        <w:bottom w:val="none" w:sz="0" w:space="0" w:color="auto"/>
        <w:right w:val="none" w:sz="0" w:space="0" w:color="auto"/>
      </w:divBdr>
    </w:div>
    <w:div w:id="1844009217">
      <w:bodyDiv w:val="1"/>
      <w:marLeft w:val="0"/>
      <w:marRight w:val="0"/>
      <w:marTop w:val="0"/>
      <w:marBottom w:val="0"/>
      <w:divBdr>
        <w:top w:val="none" w:sz="0" w:space="0" w:color="auto"/>
        <w:left w:val="none" w:sz="0" w:space="0" w:color="auto"/>
        <w:bottom w:val="none" w:sz="0" w:space="0" w:color="auto"/>
        <w:right w:val="none" w:sz="0" w:space="0" w:color="auto"/>
      </w:divBdr>
      <w:divsChild>
        <w:div w:id="257375527">
          <w:marLeft w:val="0"/>
          <w:marRight w:val="0"/>
          <w:marTop w:val="0"/>
          <w:marBottom w:val="0"/>
          <w:divBdr>
            <w:top w:val="none" w:sz="0" w:space="0" w:color="auto"/>
            <w:left w:val="none" w:sz="0" w:space="0" w:color="auto"/>
            <w:bottom w:val="none" w:sz="0" w:space="0" w:color="auto"/>
            <w:right w:val="none" w:sz="0" w:space="0" w:color="auto"/>
          </w:divBdr>
        </w:div>
        <w:div w:id="336202462">
          <w:marLeft w:val="0"/>
          <w:marRight w:val="0"/>
          <w:marTop w:val="0"/>
          <w:marBottom w:val="0"/>
          <w:divBdr>
            <w:top w:val="none" w:sz="0" w:space="0" w:color="auto"/>
            <w:left w:val="none" w:sz="0" w:space="0" w:color="auto"/>
            <w:bottom w:val="none" w:sz="0" w:space="0" w:color="auto"/>
            <w:right w:val="none" w:sz="0" w:space="0" w:color="auto"/>
          </w:divBdr>
        </w:div>
      </w:divsChild>
    </w:div>
    <w:div w:id="21347074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ximena.cabezas\AppData\Local\Microsoft\Windows\INetCache\Content.Outlook\N37DCYCK\Respuesta%20a%20consultas.dotm" TargetMode="External"/></Relationships>
</file>

<file path=word/theme/theme1.xml><?xml version="1.0" encoding="utf-8"?>
<a:theme xmlns:a="http://schemas.openxmlformats.org/drawingml/2006/main" name="Tema de Office">
  <a:themeElements>
    <a:clrScheme name="Personalizado 2">
      <a:dk1>
        <a:sysClr val="windowText" lastClr="000000"/>
      </a:dk1>
      <a:lt1>
        <a:srgbClr val="DBDBDB"/>
      </a:lt1>
      <a:dk2>
        <a:srgbClr val="0E63A8"/>
      </a:dk2>
      <a:lt2>
        <a:srgbClr val="F2F2F2"/>
      </a:lt2>
      <a:accent1>
        <a:srgbClr val="4F81BD"/>
      </a:accent1>
      <a:accent2>
        <a:srgbClr val="FFFFFF"/>
      </a:accent2>
      <a:accent3>
        <a:srgbClr val="DBDBDB"/>
      </a:accent3>
      <a:accent4>
        <a:srgbClr val="F2F2F2"/>
      </a:accent4>
      <a:accent5>
        <a:srgbClr val="F2F2F2"/>
      </a:accent5>
      <a:accent6>
        <a:srgbClr val="F2F2F2"/>
      </a:accent6>
      <a:hlink>
        <a:srgbClr val="F2F2F2"/>
      </a:hlink>
      <a:folHlink>
        <a:srgbClr val="F2F2F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2" ma:contentTypeDescription="Crear nuevo documento." ma:contentTypeScope="" ma:versionID="3a7f0bd5457e0e829189a21dfdfced29">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c21d9daf134e2e620daf5b93ee7cdd50"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4FEF290-17E0-464B-95FE-65704296FB23}">
  <ds:schemaRefs>
    <ds:schemaRef ds:uri="http://schemas.microsoft.com/office/2006/metadata/properties"/>
    <ds:schemaRef ds:uri="http://schemas.microsoft.com/office/infopath/2007/PartnerControls"/>
    <ds:schemaRef ds:uri="9d85dbaf-23eb-4e57-a637-93dcacc8b1a1"/>
  </ds:schemaRefs>
</ds:datastoreItem>
</file>

<file path=customXml/itemProps2.xml><?xml version="1.0" encoding="utf-8"?>
<ds:datastoreItem xmlns:ds="http://schemas.openxmlformats.org/officeDocument/2006/customXml" ds:itemID="{5A471F8B-B709-4632-A3B7-01549058829F}">
  <ds:schemaRefs>
    <ds:schemaRef ds:uri="http://schemas.openxmlformats.org/officeDocument/2006/bibliography"/>
  </ds:schemaRefs>
</ds:datastoreItem>
</file>

<file path=customXml/itemProps3.xml><?xml version="1.0" encoding="utf-8"?>
<ds:datastoreItem xmlns:ds="http://schemas.openxmlformats.org/officeDocument/2006/customXml" ds:itemID="{108AACCB-338D-4E1C-91B3-8763C3BB18FA}">
  <ds:schemaRefs>
    <ds:schemaRef ds:uri="http://schemas.microsoft.com/sharepoint/v3/contenttype/forms"/>
  </ds:schemaRefs>
</ds:datastoreItem>
</file>

<file path=customXml/itemProps4.xml><?xml version="1.0" encoding="utf-8"?>
<ds:datastoreItem xmlns:ds="http://schemas.openxmlformats.org/officeDocument/2006/customXml" ds:itemID="{27DAA273-B051-47DD-BF60-6B7C4AD87CD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Respuesta a consultas</Template>
  <TotalTime>12</TotalTime>
  <Pages>13</Pages>
  <Words>4088</Words>
  <Characters>22487</Characters>
  <Application>Microsoft Office Word</Application>
  <DocSecurity>0</DocSecurity>
  <Lines>187</Lines>
  <Paragraphs>53</Paragraphs>
  <ScaleCrop>false</ScaleCrop>
  <HeadingPairs>
    <vt:vector size="2" baseType="variant">
      <vt:variant>
        <vt:lpstr>Título</vt:lpstr>
      </vt:variant>
      <vt:variant>
        <vt:i4>1</vt:i4>
      </vt:variant>
    </vt:vector>
  </HeadingPairs>
  <TitlesOfParts>
    <vt:vector size="1" baseType="lpstr">
      <vt:lpstr>RESPUESTA DIRECCIÓN CONTRACTUAL</vt:lpstr>
    </vt:vector>
  </TitlesOfParts>
  <Company/>
  <LinksUpToDate>false</LinksUpToDate>
  <CharactersWithSpaces>26522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RESPUESTA DIRECCIÓN CONTRACTUAL</dc:title>
  <dc:creator>Ximena Alejandra Cabezas Valencia</dc:creator>
  <cp:lastModifiedBy>Ximena Ríos López</cp:lastModifiedBy>
  <cp:revision>5</cp:revision>
  <cp:lastPrinted>2020-01-30T15:05:00Z</cp:lastPrinted>
  <dcterms:created xsi:type="dcterms:W3CDTF">2020-12-09T16:36:00Z</dcterms:created>
  <dcterms:modified xsi:type="dcterms:W3CDTF">2020-12-09T17:02:00Z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