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6C15D5" w:rsidR="00927341" w:rsidP="00927341" w:rsidRDefault="00927341" w14:paraId="68738578" w14:textId="77777777">
      <w:pPr>
        <w:jc w:val="right"/>
        <w:rPr>
          <w:rFonts w:ascii="Arial" w:hAnsi="Arial" w:cs="Arial"/>
          <w:bCs/>
          <w:color w:val="000000" w:themeColor="text1"/>
          <w:sz w:val="16"/>
          <w:szCs w:val="16"/>
          <w:lang w:eastAsia="es-ES"/>
        </w:rPr>
      </w:pPr>
      <w:bookmarkStart w:name="_Hlk28946138" w:id="0"/>
      <w:bookmarkStart w:name="_Hlk29548183" w:id="1"/>
      <w:r w:rsidRPr="006C15D5">
        <w:rPr>
          <w:rFonts w:ascii="Arial" w:hAnsi="Arial" w:cs="Arial"/>
          <w:b/>
          <w:color w:val="000000" w:themeColor="text1"/>
          <w:sz w:val="16"/>
          <w:szCs w:val="16"/>
          <w:lang w:eastAsia="es-ES"/>
        </w:rPr>
        <w:tab/>
      </w:r>
      <w:r w:rsidRPr="006C15D5">
        <w:rPr>
          <w:rFonts w:ascii="Arial" w:hAnsi="Arial" w:cs="Arial"/>
          <w:bCs/>
          <w:color w:val="000000" w:themeColor="text1"/>
          <w:sz w:val="16"/>
          <w:szCs w:val="16"/>
          <w:lang w:eastAsia="es-ES"/>
        </w:rPr>
        <w:t>CCE-DES-FM-17</w:t>
      </w:r>
    </w:p>
    <w:p w:rsidRPr="006C15D5" w:rsidR="00927341" w:rsidP="00927341" w:rsidRDefault="00927341" w14:paraId="32D434D2" w14:textId="77777777">
      <w:pPr>
        <w:jc w:val="both"/>
        <w:rPr>
          <w:rFonts w:ascii="Arial" w:hAnsi="Arial" w:eastAsia="Calibri" w:cs="Arial"/>
          <w:b/>
          <w:color w:val="000000" w:themeColor="text1"/>
          <w:sz w:val="20"/>
          <w:szCs w:val="20"/>
        </w:rPr>
      </w:pPr>
    </w:p>
    <w:p w:rsidRPr="004E20DA" w:rsidR="00927341" w:rsidP="00980A26" w:rsidRDefault="00927341" w14:paraId="11FB292B" w14:textId="77777777">
      <w:pPr>
        <w:jc w:val="both"/>
        <w:rPr>
          <w:rFonts w:ascii="Arial" w:hAnsi="Arial" w:eastAsia="Calibri" w:cs="Arial"/>
          <w:b/>
          <w:color w:val="000000" w:themeColor="text1"/>
          <w:sz w:val="22"/>
        </w:rPr>
      </w:pPr>
      <w:r>
        <w:rPr>
          <w:rFonts w:ascii="Arial" w:hAnsi="Arial" w:eastAsia="Calibri" w:cs="Arial"/>
          <w:b/>
          <w:color w:val="000000" w:themeColor="text1"/>
          <w:sz w:val="22"/>
        </w:rPr>
        <w:t xml:space="preserve">SOCIEDADES NUEVAS ‒ Experiencia ‒ Constitución ‒ Acto de creación ‒ Inferior a tres años </w:t>
      </w:r>
      <w:r w:rsidRPr="006C15D5">
        <w:rPr>
          <w:rFonts w:ascii="Arial" w:hAnsi="Arial" w:eastAsia="Calibri" w:cs="Arial"/>
          <w:b/>
          <w:color w:val="000000" w:themeColor="text1"/>
          <w:sz w:val="22"/>
        </w:rPr>
        <w:t>–</w:t>
      </w:r>
      <w:r w:rsidRPr="004E20DA">
        <w:rPr>
          <w:rFonts w:ascii="Arial" w:hAnsi="Arial" w:eastAsia="Calibri" w:cs="Arial"/>
          <w:b/>
          <w:color w:val="000000" w:themeColor="text1"/>
          <w:sz w:val="22"/>
        </w:rPr>
        <w:t xml:space="preserve"> Procesos exceptuados del RUP</w:t>
      </w:r>
    </w:p>
    <w:p w:rsidR="00927341" w:rsidP="00980A26" w:rsidRDefault="00927341" w14:paraId="6B671808" w14:textId="77777777">
      <w:pPr>
        <w:jc w:val="both"/>
        <w:rPr>
          <w:rFonts w:ascii="Arial" w:hAnsi="Arial" w:eastAsia="Calibri" w:cs="Arial"/>
          <w:color w:val="000000" w:themeColor="text1"/>
          <w:sz w:val="20"/>
          <w:szCs w:val="20"/>
        </w:rPr>
      </w:pPr>
    </w:p>
    <w:p w:rsidRPr="00980A26" w:rsidR="00980A26" w:rsidP="00980A26" w:rsidRDefault="00927341" w14:paraId="0535D936" w14:textId="36BBD326">
      <w:pPr>
        <w:spacing w:after="120"/>
        <w:jc w:val="both"/>
        <w:rPr>
          <w:rFonts w:ascii="Arial" w:hAnsi="Arial" w:cs="Arial"/>
          <w:color w:val="000000" w:themeColor="text1"/>
          <w:sz w:val="20"/>
          <w:szCs w:val="20"/>
        </w:rPr>
      </w:pPr>
      <w:r w:rsidRPr="00980A26">
        <w:rPr>
          <w:rFonts w:ascii="Arial" w:hAnsi="Arial" w:eastAsia="Calibri" w:cs="Arial"/>
          <w:color w:val="000000" w:themeColor="text1"/>
          <w:sz w:val="20"/>
          <w:szCs w:val="20"/>
        </w:rPr>
        <w:t xml:space="preserve">[…] </w:t>
      </w:r>
      <w:r w:rsidRPr="00980A26" w:rsidR="00980A26">
        <w:rPr>
          <w:rFonts w:ascii="Arial" w:hAnsi="Arial" w:cs="Arial"/>
          <w:color w:val="000000" w:themeColor="text1"/>
          <w:sz w:val="20"/>
          <w:szCs w:val="20"/>
        </w:rPr>
        <w:t xml:space="preserve">frente a la acreditación de la experiencia de los socios, accionistas o constituyentes de una persona jurídica con menos de 3 años de constitución, para participar en los eventos exceptuados al deber de inscripción en el RUP, como en los procesos de selección de mínima cuantía, la entidad contratante, en virtud de su autonomía, cuenta con la discreción de adoptar dos alternativas: i) aplicar el numeral 2.5 del artículo 2.2.1.1.1.5.2 del Decreto 1082 de 2015 de manera restrictiva, es decir, solo para los eventos de personas jurídicas con menos de 3 años de constitución que se inscriban en el RUP o </w:t>
      </w:r>
      <w:proofErr w:type="spellStart"/>
      <w:r w:rsidRPr="00980A26" w:rsidR="00980A26">
        <w:rPr>
          <w:rFonts w:ascii="Arial" w:hAnsi="Arial" w:cs="Arial"/>
          <w:color w:val="000000" w:themeColor="text1"/>
          <w:sz w:val="20"/>
          <w:szCs w:val="20"/>
        </w:rPr>
        <w:t>ii</w:t>
      </w:r>
      <w:proofErr w:type="spellEnd"/>
      <w:r w:rsidRPr="00980A26" w:rsidR="00980A26">
        <w:rPr>
          <w:rFonts w:ascii="Arial" w:hAnsi="Arial" w:cs="Arial"/>
          <w:color w:val="000000" w:themeColor="text1"/>
          <w:sz w:val="20"/>
          <w:szCs w:val="20"/>
        </w:rPr>
        <w:t xml:space="preserve">) hacer una aplicación extensiva o analógica de esta norma, y determinar en los pliegos de condiciones que estas personas jurídicas, que por virtud de los eventos exceptuados por el segundo inciso del artículo 6 de la Ley 1150 de 2007, no están obligadas a inscribirse en el RUP y no lo han hecho, pueden acreditar la experiencia de sus socios, accionistas y constituyentes si tiene menos de 3 años de constitución. </w:t>
      </w:r>
    </w:p>
    <w:p w:rsidRPr="00980A26" w:rsidR="00980A26" w:rsidP="00980A26" w:rsidRDefault="00980A26" w14:paraId="3E3538AC" w14:textId="77777777">
      <w:pPr>
        <w:jc w:val="both"/>
        <w:rPr>
          <w:rFonts w:ascii="Arial" w:hAnsi="Arial" w:cs="Arial"/>
          <w:color w:val="000000" w:themeColor="text1"/>
          <w:sz w:val="20"/>
          <w:szCs w:val="20"/>
        </w:rPr>
      </w:pPr>
      <w:r w:rsidRPr="00980A26">
        <w:rPr>
          <w:rFonts w:ascii="Arial" w:hAnsi="Arial" w:cs="Arial"/>
          <w:color w:val="000000" w:themeColor="text1"/>
          <w:sz w:val="20"/>
          <w:szCs w:val="20"/>
        </w:rPr>
        <w:t>La Subdirección de Gestión Contractual considera que la segunda alternativa es la más adecuada, toda vez que realiza el principio de igualdad de trato que rige la contratación de las entidades estatales y materializa el fin de protección de la norma, que es promover el desarrollo de la pequeña empresa y la pluralidad de oferentes.</w:t>
      </w:r>
    </w:p>
    <w:p w:rsidRPr="0003383F" w:rsidR="00927341" w:rsidP="00980A26" w:rsidRDefault="00927341" w14:paraId="53213BE1" w14:textId="77777777">
      <w:pPr>
        <w:jc w:val="both"/>
        <w:rPr>
          <w:rFonts w:ascii="Arial" w:hAnsi="Arial" w:cs="Arial"/>
          <w:color w:val="000000" w:themeColor="text1"/>
          <w:sz w:val="20"/>
          <w:szCs w:val="20"/>
        </w:rPr>
      </w:pPr>
    </w:p>
    <w:p w:rsidRPr="004E20DA" w:rsidR="00927341" w:rsidP="00980A26" w:rsidRDefault="00927341" w14:paraId="3D02F69D" w14:textId="4685C2D4">
      <w:pPr>
        <w:jc w:val="both"/>
        <w:rPr>
          <w:rFonts w:ascii="Arial" w:hAnsi="Arial" w:eastAsia="Calibri" w:cs="Arial"/>
          <w:b/>
          <w:bCs/>
          <w:color w:val="000000" w:themeColor="text1"/>
          <w:sz w:val="22"/>
        </w:rPr>
      </w:pPr>
      <w:r w:rsidRPr="2CD3976C">
        <w:rPr>
          <w:rFonts w:ascii="Arial" w:hAnsi="Arial" w:cs="Arial"/>
          <w:b/>
          <w:bCs/>
          <w:color w:val="000000" w:themeColor="text1"/>
          <w:sz w:val="22"/>
        </w:rPr>
        <w:t xml:space="preserve">EXPERIENCIA REQUERIDA </w:t>
      </w:r>
      <w:r w:rsidRPr="2CD3976C">
        <w:rPr>
          <w:rFonts w:ascii="Arial" w:hAnsi="Arial" w:eastAsia="Calibri" w:cs="Arial"/>
          <w:b/>
          <w:bCs/>
          <w:color w:val="000000" w:themeColor="text1"/>
          <w:sz w:val="22"/>
        </w:rPr>
        <w:t>–</w:t>
      </w:r>
      <w:r w:rsidRPr="2CD3976C">
        <w:rPr>
          <w:rFonts w:ascii="Arial" w:hAnsi="Arial" w:eastAsia="Calibri" w:cs="Arial"/>
          <w:color w:val="000000" w:themeColor="text1"/>
          <w:sz w:val="22"/>
        </w:rPr>
        <w:t xml:space="preserve"> </w:t>
      </w:r>
      <w:r w:rsidRPr="2CD3976C">
        <w:rPr>
          <w:rFonts w:ascii="Arial" w:hAnsi="Arial" w:eastAsia="Calibri" w:cs="Arial"/>
          <w:b/>
          <w:bCs/>
          <w:color w:val="000000" w:themeColor="text1"/>
          <w:sz w:val="22"/>
        </w:rPr>
        <w:t>Competencia</w:t>
      </w:r>
      <w:r w:rsidR="00202516">
        <w:rPr>
          <w:rFonts w:ascii="Arial" w:hAnsi="Arial" w:eastAsia="Calibri" w:cs="Arial"/>
          <w:b/>
          <w:bCs/>
          <w:color w:val="000000" w:themeColor="text1"/>
          <w:sz w:val="22"/>
        </w:rPr>
        <w:t xml:space="preserve"> </w:t>
      </w:r>
      <w:r w:rsidRPr="2CD3976C" w:rsidR="00202516">
        <w:rPr>
          <w:rFonts w:ascii="Arial" w:hAnsi="Arial" w:eastAsia="Calibri" w:cs="Arial"/>
          <w:b/>
          <w:bCs/>
          <w:color w:val="000000" w:themeColor="text1"/>
          <w:sz w:val="22"/>
        </w:rPr>
        <w:t>–</w:t>
      </w:r>
      <w:r w:rsidRPr="2CD3976C">
        <w:rPr>
          <w:rFonts w:ascii="Arial" w:hAnsi="Arial" w:eastAsia="Calibri" w:cs="Arial"/>
          <w:b/>
          <w:bCs/>
          <w:color w:val="000000" w:themeColor="text1"/>
          <w:sz w:val="22"/>
        </w:rPr>
        <w:t xml:space="preserve"> </w:t>
      </w:r>
      <w:r w:rsidR="00202516">
        <w:rPr>
          <w:rFonts w:ascii="Arial" w:hAnsi="Arial" w:eastAsia="Calibri" w:cs="Arial"/>
          <w:b/>
          <w:bCs/>
          <w:color w:val="000000" w:themeColor="text1"/>
          <w:sz w:val="22"/>
        </w:rPr>
        <w:t>F</w:t>
      </w:r>
      <w:r w:rsidRPr="2CD3976C">
        <w:rPr>
          <w:rFonts w:ascii="Arial" w:hAnsi="Arial" w:eastAsia="Calibri" w:cs="Arial"/>
          <w:b/>
          <w:bCs/>
          <w:color w:val="000000" w:themeColor="text1"/>
          <w:sz w:val="22"/>
        </w:rPr>
        <w:t>ijación</w:t>
      </w:r>
    </w:p>
    <w:p w:rsidRPr="0003383F" w:rsidR="00927341" w:rsidP="00980A26" w:rsidRDefault="00927341" w14:paraId="35BBB0A4" w14:textId="77777777">
      <w:pPr>
        <w:jc w:val="both"/>
        <w:rPr>
          <w:rFonts w:ascii="Arial" w:hAnsi="Arial" w:cs="Arial"/>
          <w:b/>
          <w:bCs/>
          <w:color w:val="000000" w:themeColor="text1"/>
          <w:sz w:val="20"/>
          <w:szCs w:val="20"/>
        </w:rPr>
      </w:pPr>
    </w:p>
    <w:p w:rsidRPr="0003383F" w:rsidR="00927341" w:rsidP="00927341" w:rsidRDefault="00927341" w14:paraId="7C74419E" w14:textId="579F6C4F">
      <w:pPr>
        <w:jc w:val="both"/>
        <w:rPr>
          <w:rFonts w:ascii="Arial" w:hAnsi="Arial" w:eastAsia="Calibri" w:cs="Arial"/>
          <w:color w:val="000000" w:themeColor="text1"/>
          <w:sz w:val="20"/>
          <w:szCs w:val="20"/>
        </w:rPr>
      </w:pPr>
      <w:r>
        <w:rPr>
          <w:rFonts w:ascii="Arial" w:hAnsi="Arial" w:eastAsia="Calibri" w:cs="Arial"/>
          <w:color w:val="000000" w:themeColor="text1"/>
          <w:sz w:val="20"/>
          <w:szCs w:val="20"/>
        </w:rPr>
        <w:t>[…] l</w:t>
      </w:r>
      <w:r w:rsidRPr="0003383F">
        <w:rPr>
          <w:rFonts w:ascii="Arial" w:hAnsi="Arial" w:eastAsia="Calibri" w:cs="Arial"/>
          <w:color w:val="000000" w:themeColor="text1"/>
          <w:sz w:val="20"/>
          <w:szCs w:val="20"/>
        </w:rPr>
        <w:t xml:space="preserve">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 </w:t>
      </w:r>
    </w:p>
    <w:p w:rsidRPr="0003383F" w:rsidR="00927341" w:rsidP="00927341" w:rsidRDefault="00927341" w14:paraId="13063387" w14:textId="77777777">
      <w:pPr>
        <w:jc w:val="both"/>
        <w:rPr>
          <w:rFonts w:ascii="Arial" w:hAnsi="Arial" w:eastAsia="Calibri" w:cs="Arial"/>
          <w:b/>
          <w:bCs/>
          <w:color w:val="000000" w:themeColor="text1"/>
          <w:sz w:val="20"/>
          <w:szCs w:val="20"/>
        </w:rPr>
      </w:pPr>
    </w:p>
    <w:p w:rsidRPr="004E20DA" w:rsidR="00927341" w:rsidP="00927341" w:rsidRDefault="00927341" w14:paraId="6FF36F86" w14:textId="77777777">
      <w:pPr>
        <w:jc w:val="both"/>
        <w:rPr>
          <w:rFonts w:ascii="Arial" w:hAnsi="Arial" w:eastAsia="Calibri" w:cs="Arial"/>
          <w:b/>
          <w:bCs/>
          <w:color w:val="000000" w:themeColor="text1"/>
          <w:sz w:val="22"/>
        </w:rPr>
      </w:pPr>
      <w:r w:rsidRPr="2CD3976C">
        <w:rPr>
          <w:rFonts w:ascii="Arial" w:hAnsi="Arial" w:eastAsia="Calibri" w:cs="Arial"/>
          <w:b/>
          <w:bCs/>
          <w:color w:val="000000" w:themeColor="text1"/>
          <w:sz w:val="22"/>
        </w:rPr>
        <w:t xml:space="preserve">REGISTRO ÚNICO DE PROPONENTES – Plena prueba ‒ Requisitos habilitantes  </w:t>
      </w:r>
    </w:p>
    <w:p w:rsidRPr="0003383F" w:rsidR="00927341" w:rsidP="00927341" w:rsidRDefault="00927341" w14:paraId="690A4B55" w14:textId="77777777">
      <w:pPr>
        <w:jc w:val="both"/>
        <w:rPr>
          <w:rFonts w:ascii="Arial" w:hAnsi="Arial" w:eastAsia="Calibri" w:cs="Arial"/>
          <w:b/>
          <w:bCs/>
          <w:color w:val="000000" w:themeColor="text1"/>
          <w:sz w:val="20"/>
          <w:szCs w:val="20"/>
        </w:rPr>
      </w:pPr>
    </w:p>
    <w:p w:rsidRPr="00CD748B" w:rsidR="00927341" w:rsidP="00CD748B" w:rsidRDefault="00CD748B" w14:paraId="4A8A1EB8" w14:textId="057D2546">
      <w:pPr>
        <w:jc w:val="both"/>
        <w:rPr>
          <w:rFonts w:ascii="Arial" w:hAnsi="Arial" w:eastAsia="Calibri" w:cs="Arial"/>
          <w:color w:val="000000" w:themeColor="text1"/>
          <w:sz w:val="20"/>
          <w:szCs w:val="20"/>
        </w:rPr>
      </w:pPr>
      <w:r w:rsidRPr="00CD748B">
        <w:rPr>
          <w:rFonts w:ascii="Arial" w:hAnsi="Arial" w:eastAsia="Calibri" w:cs="Arial"/>
          <w:color w:val="000000" w:themeColor="text1"/>
          <w:sz w:val="20"/>
          <w:szCs w:val="20"/>
        </w:rPr>
        <w:t>La experiencia que se deriva de los contratos que el proponente ha celebrado y ejecutado con diferentes contratantes, sin importar la naturaleza de estos, se verifica con el Registro Único de Proponentes –RUP–, cuando este certificado sea exigible de acuerdo con la ley, en el cual constan los requisitos habilitantes que se evalúan exclusivamente con este documento, que es su plena prueba, sin que le sea posible a la entidad o al proponente solicitar o aportar otra documentación.</w:t>
      </w:r>
    </w:p>
    <w:p w:rsidRPr="0003383F" w:rsidR="00CD748B" w:rsidP="00927341" w:rsidRDefault="00CD748B" w14:paraId="35663665" w14:textId="77777777">
      <w:pPr>
        <w:jc w:val="both"/>
        <w:rPr>
          <w:rFonts w:ascii="Arial" w:hAnsi="Arial" w:cs="Arial"/>
          <w:b/>
          <w:bCs/>
          <w:color w:val="000000" w:themeColor="text1"/>
          <w:sz w:val="20"/>
          <w:szCs w:val="20"/>
        </w:rPr>
      </w:pPr>
    </w:p>
    <w:p w:rsidRPr="004E20DA" w:rsidR="00927341" w:rsidP="00927341" w:rsidRDefault="00927341" w14:paraId="2FC9498B" w14:textId="77777777">
      <w:pPr>
        <w:jc w:val="both"/>
        <w:rPr>
          <w:rFonts w:ascii="Arial" w:hAnsi="Arial" w:cs="Arial"/>
          <w:b/>
          <w:bCs/>
          <w:color w:val="000000" w:themeColor="text1"/>
          <w:sz w:val="22"/>
        </w:rPr>
      </w:pPr>
      <w:r w:rsidRPr="2CD3976C">
        <w:rPr>
          <w:rFonts w:ascii="Arial" w:hAnsi="Arial" w:eastAsia="Calibri" w:cs="Arial"/>
          <w:b/>
          <w:bCs/>
          <w:color w:val="000000" w:themeColor="text1"/>
          <w:sz w:val="22"/>
        </w:rPr>
        <w:t>REGISTRO ÚNICO DE PROPONENTES</w:t>
      </w:r>
      <w:r w:rsidRPr="2CD3976C">
        <w:rPr>
          <w:rFonts w:ascii="Arial" w:hAnsi="Arial" w:cs="Arial"/>
          <w:b/>
          <w:bCs/>
          <w:color w:val="000000" w:themeColor="text1"/>
          <w:sz w:val="22"/>
        </w:rPr>
        <w:t xml:space="preserve"> ‒ Deber de inscripción </w:t>
      </w:r>
      <w:r w:rsidRPr="2CD3976C">
        <w:rPr>
          <w:rFonts w:ascii="Arial" w:hAnsi="Arial" w:eastAsia="Calibri" w:cs="Arial"/>
          <w:b/>
          <w:bCs/>
          <w:color w:val="000000" w:themeColor="text1"/>
          <w:sz w:val="22"/>
        </w:rPr>
        <w:t>–</w:t>
      </w:r>
      <w:r w:rsidRPr="2CD3976C">
        <w:rPr>
          <w:rFonts w:ascii="Arial" w:hAnsi="Arial" w:eastAsia="Calibri" w:cs="Arial"/>
          <w:color w:val="000000" w:themeColor="text1"/>
          <w:sz w:val="22"/>
        </w:rPr>
        <w:t xml:space="preserve"> </w:t>
      </w:r>
      <w:r w:rsidRPr="2CD3976C">
        <w:rPr>
          <w:rFonts w:ascii="Arial" w:hAnsi="Arial" w:eastAsia="Calibri" w:cs="Arial"/>
          <w:b/>
          <w:bCs/>
          <w:color w:val="000000" w:themeColor="text1"/>
          <w:sz w:val="22"/>
        </w:rPr>
        <w:t>Excepciones</w:t>
      </w:r>
    </w:p>
    <w:p w:rsidRPr="0003383F" w:rsidR="00927341" w:rsidP="00927341" w:rsidRDefault="00927341" w14:paraId="58172506" w14:textId="77777777">
      <w:pPr>
        <w:jc w:val="both"/>
        <w:rPr>
          <w:rFonts w:ascii="Arial" w:hAnsi="Arial" w:cs="Arial"/>
          <w:color w:val="000000" w:themeColor="text1"/>
          <w:sz w:val="20"/>
          <w:szCs w:val="20"/>
        </w:rPr>
      </w:pPr>
    </w:p>
    <w:p w:rsidRPr="00CD748B" w:rsidR="00CD748B" w:rsidP="00CD748B" w:rsidRDefault="00927341" w14:paraId="0E550128" w14:textId="77777777">
      <w:pPr>
        <w:jc w:val="both"/>
        <w:rPr>
          <w:rFonts w:ascii="Arial" w:hAnsi="Arial" w:cs="Arial"/>
          <w:color w:val="000000" w:themeColor="text1"/>
          <w:sz w:val="20"/>
          <w:szCs w:val="20"/>
        </w:rPr>
      </w:pPr>
      <w:r w:rsidRPr="00CD748B">
        <w:rPr>
          <w:rFonts w:ascii="Arial" w:hAnsi="Arial" w:cs="Arial"/>
          <w:color w:val="000000" w:themeColor="text1"/>
          <w:sz w:val="20"/>
          <w:szCs w:val="20"/>
        </w:rPr>
        <w:t xml:space="preserve">[…] </w:t>
      </w:r>
      <w:r w:rsidRPr="00CD748B" w:rsidR="00CD748B">
        <w:rPr>
          <w:rFonts w:ascii="Arial" w:hAnsi="Arial" w:cs="Arial"/>
          <w:color w:val="000000" w:themeColor="text1"/>
          <w:sz w:val="20"/>
          <w:szCs w:val="20"/>
        </w:rPr>
        <w:t xml:space="preserve">la norma impuso la obligación a todos los proponentes de inscribirse en el registro Único de Proponentes, salvo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w:t>
      </w:r>
    </w:p>
    <w:p w:rsidRPr="0003383F" w:rsidR="00927341" w:rsidP="00CD748B" w:rsidRDefault="00927341" w14:paraId="55935848" w14:textId="77777777">
      <w:pPr>
        <w:jc w:val="both"/>
        <w:rPr>
          <w:rFonts w:ascii="Arial" w:hAnsi="Arial" w:cs="Arial"/>
          <w:b/>
          <w:color w:val="000000" w:themeColor="text1"/>
          <w:sz w:val="20"/>
          <w:szCs w:val="20"/>
        </w:rPr>
      </w:pPr>
    </w:p>
    <w:p w:rsidRPr="004E20DA" w:rsidR="00927341" w:rsidP="00CD748B" w:rsidRDefault="00927341" w14:paraId="10AE958E" w14:textId="77777777">
      <w:pPr>
        <w:jc w:val="both"/>
        <w:rPr>
          <w:rFonts w:ascii="Arial" w:hAnsi="Arial" w:cs="Arial"/>
          <w:color w:val="000000" w:themeColor="text1"/>
          <w:sz w:val="22"/>
        </w:rPr>
      </w:pPr>
      <w:r w:rsidRPr="004E20DA">
        <w:rPr>
          <w:rFonts w:ascii="Arial" w:hAnsi="Arial" w:cs="Arial"/>
          <w:b/>
          <w:color w:val="000000" w:themeColor="text1"/>
          <w:sz w:val="22"/>
        </w:rPr>
        <w:t xml:space="preserve">EXPERIENCIA </w:t>
      </w:r>
      <w:r w:rsidRPr="006C15D5">
        <w:rPr>
          <w:rFonts w:ascii="Arial" w:hAnsi="Arial" w:eastAsia="Calibri" w:cs="Arial"/>
          <w:b/>
          <w:color w:val="000000" w:themeColor="text1"/>
          <w:sz w:val="22"/>
        </w:rPr>
        <w:t>–</w:t>
      </w:r>
      <w:r>
        <w:rPr>
          <w:rFonts w:ascii="Arial" w:hAnsi="Arial" w:eastAsia="Calibri" w:cs="Arial"/>
          <w:b/>
          <w:color w:val="000000" w:themeColor="text1"/>
          <w:sz w:val="22"/>
        </w:rPr>
        <w:t xml:space="preserve"> </w:t>
      </w:r>
      <w:r w:rsidRPr="004E20DA">
        <w:rPr>
          <w:rFonts w:ascii="Arial" w:hAnsi="Arial" w:cs="Arial"/>
          <w:b/>
          <w:color w:val="000000" w:themeColor="text1"/>
          <w:sz w:val="22"/>
        </w:rPr>
        <w:t xml:space="preserve">Noción </w:t>
      </w:r>
    </w:p>
    <w:p w:rsidRPr="0003383F" w:rsidR="00927341" w:rsidP="00927341" w:rsidRDefault="00927341" w14:paraId="14AC226F" w14:textId="77777777">
      <w:pPr>
        <w:jc w:val="both"/>
        <w:rPr>
          <w:rFonts w:ascii="Arial" w:hAnsi="Arial" w:cs="Arial"/>
          <w:color w:val="000000" w:themeColor="text1"/>
          <w:sz w:val="20"/>
          <w:szCs w:val="20"/>
        </w:rPr>
      </w:pPr>
    </w:p>
    <w:p w:rsidR="00927341" w:rsidP="00927341" w:rsidRDefault="00927341" w14:paraId="2AB1B87E" w14:textId="77777777">
      <w:pPr>
        <w:spacing w:after="120"/>
        <w:jc w:val="both"/>
        <w:rPr>
          <w:rFonts w:ascii="Arial" w:hAnsi="Arial" w:eastAsia="Calibri" w:cs="Arial"/>
          <w:color w:val="000000" w:themeColor="text1"/>
          <w:sz w:val="20"/>
          <w:szCs w:val="20"/>
        </w:rPr>
      </w:pPr>
      <w:r w:rsidRPr="0003383F">
        <w:rPr>
          <w:rFonts w:ascii="Arial" w:hAnsi="Arial" w:eastAsia="Calibri" w:cs="Arial"/>
          <w:color w:val="000000" w:themeColor="text1"/>
          <w:sz w:val="20"/>
          <w:szCs w:val="20"/>
        </w:rPr>
        <w:lastRenderedPageBreak/>
        <w:t>i) La experiencia es personal, esto es, se adquiere participando, directa o indirectamente, sin que sea posible no participar y tener una experiencia que no es propia.</w:t>
      </w:r>
    </w:p>
    <w:p w:rsidR="00927341" w:rsidP="00927341" w:rsidRDefault="00927341" w14:paraId="7EFF8E24" w14:textId="1AF97ABE">
      <w:pPr>
        <w:spacing w:after="120"/>
        <w:jc w:val="both"/>
        <w:rPr>
          <w:rFonts w:ascii="Arial" w:hAnsi="Arial" w:eastAsia="Calibri" w:cs="Arial"/>
          <w:color w:val="000000" w:themeColor="text1"/>
          <w:sz w:val="20"/>
          <w:szCs w:val="20"/>
        </w:rPr>
      </w:pPr>
      <w:proofErr w:type="spellStart"/>
      <w:r>
        <w:rPr>
          <w:rFonts w:ascii="Arial" w:hAnsi="Arial" w:eastAsia="Calibri" w:cs="Arial"/>
          <w:color w:val="000000" w:themeColor="text1"/>
          <w:sz w:val="20"/>
          <w:szCs w:val="20"/>
        </w:rPr>
        <w:t>i</w:t>
      </w:r>
      <w:r w:rsidRPr="0003383F">
        <w:rPr>
          <w:rFonts w:ascii="Arial" w:hAnsi="Arial" w:eastAsia="Calibri" w:cs="Arial"/>
          <w:color w:val="000000" w:themeColor="text1"/>
          <w:sz w:val="20"/>
          <w:szCs w:val="20"/>
        </w:rPr>
        <w:t>i</w:t>
      </w:r>
      <w:proofErr w:type="spellEnd"/>
      <w:r w:rsidRPr="0003383F">
        <w:rPr>
          <w:rFonts w:ascii="Arial" w:hAnsi="Arial" w:eastAsia="Calibri" w:cs="Arial"/>
          <w:color w:val="000000" w:themeColor="text1"/>
          <w:sz w:val="20"/>
          <w:szCs w:val="20"/>
        </w:rPr>
        <w:t xml:space="preserve">) La experiencia se puede compartir, sin que implique que la que le hayan compartido a una persona se entienda suya, ya que dentro del procedimiento contractual se reflejará que esa persona </w:t>
      </w:r>
      <w:r w:rsidR="00972963">
        <w:rPr>
          <w:rFonts w:ascii="Arial" w:hAnsi="Arial" w:eastAsia="Calibri" w:cs="Arial"/>
          <w:color w:val="000000" w:themeColor="text1"/>
          <w:sz w:val="20"/>
          <w:szCs w:val="20"/>
        </w:rPr>
        <w:t xml:space="preserve">que </w:t>
      </w:r>
      <w:r w:rsidRPr="0003383F">
        <w:rPr>
          <w:rFonts w:ascii="Arial" w:hAnsi="Arial" w:eastAsia="Calibri" w:cs="Arial"/>
          <w:color w:val="000000" w:themeColor="text1"/>
          <w:sz w:val="20"/>
          <w:szCs w:val="20"/>
        </w:rPr>
        <w:t xml:space="preserve">tiene la experiencia de otra, como es el caso de la que le aportan los socios a las sociedades con menos de 3 años de constitución, lo cual constará en el RUP; o de las figuras asociativas  ̶ consorcios y uniones temporales ̶  que se verificará en el documento privado de constitución. </w:t>
      </w:r>
    </w:p>
    <w:p w:rsidR="00927341" w:rsidP="00927341" w:rsidRDefault="00927341" w14:paraId="2CFCE926" w14:textId="77777777">
      <w:pPr>
        <w:spacing w:after="120"/>
        <w:jc w:val="both"/>
        <w:rPr>
          <w:rFonts w:ascii="Arial" w:hAnsi="Arial" w:eastAsia="Calibri" w:cs="Arial"/>
          <w:color w:val="000000" w:themeColor="text1"/>
          <w:sz w:val="20"/>
          <w:szCs w:val="20"/>
        </w:rPr>
      </w:pPr>
      <w:proofErr w:type="spellStart"/>
      <w:r w:rsidRPr="0003383F">
        <w:rPr>
          <w:rFonts w:ascii="Arial" w:hAnsi="Arial" w:eastAsia="Calibri" w:cs="Arial"/>
          <w:color w:val="000000" w:themeColor="text1"/>
          <w:sz w:val="20"/>
          <w:szCs w:val="20"/>
        </w:rPr>
        <w:t>iii</w:t>
      </w:r>
      <w:proofErr w:type="spellEnd"/>
      <w:r w:rsidRPr="0003383F">
        <w:rPr>
          <w:rFonts w:ascii="Arial" w:hAnsi="Arial" w:eastAsia="Calibri" w:cs="Arial"/>
          <w:color w:val="000000" w:themeColor="text1"/>
          <w:sz w:val="20"/>
          <w:szCs w:val="20"/>
        </w:rPr>
        <w:t>) La experiencia se puede transferir, y es diferente a compartir, puesto que implica que la experiencia de una persona se traslada a otra, y esta última acredita esa experiencia como propia, lo cual es el caso de algunas figuras y reformas estatutarias, como se verá y explicará en detalle en el numeral 2.3 de este documento.</w:t>
      </w:r>
    </w:p>
    <w:p w:rsidRPr="0003383F" w:rsidR="00927341" w:rsidP="00927341" w:rsidRDefault="00927341" w14:paraId="7D892A32" w14:textId="77777777">
      <w:pPr>
        <w:jc w:val="both"/>
        <w:rPr>
          <w:rFonts w:ascii="Arial" w:hAnsi="Arial" w:eastAsia="Calibri" w:cs="Arial"/>
          <w:color w:val="000000" w:themeColor="text1"/>
          <w:sz w:val="20"/>
          <w:szCs w:val="20"/>
        </w:rPr>
      </w:pPr>
      <w:proofErr w:type="spellStart"/>
      <w:r w:rsidRPr="0003383F">
        <w:rPr>
          <w:rFonts w:ascii="Arial" w:hAnsi="Arial" w:eastAsia="Calibri" w:cs="Arial"/>
          <w:color w:val="000000" w:themeColor="text1"/>
          <w:sz w:val="20"/>
          <w:szCs w:val="20"/>
        </w:rPr>
        <w:t>iv</w:t>
      </w:r>
      <w:proofErr w:type="spellEnd"/>
      <w:r w:rsidRPr="0003383F">
        <w:rPr>
          <w:rFonts w:ascii="Arial" w:hAnsi="Arial" w:eastAsia="Calibri" w:cs="Arial"/>
          <w:color w:val="000000" w:themeColor="text1"/>
          <w:sz w:val="20"/>
          <w:szCs w:val="20"/>
        </w:rPr>
        <w:t>) Cuando la persona que adquirió la experiencia desaparece o se liquida, no es posible que comparta o transfiera su experiencia, porque al ser personal sigue la suerte de quien la adquirió.</w:t>
      </w:r>
    </w:p>
    <w:p w:rsidRPr="004E20DA" w:rsidR="00927341" w:rsidP="00927341" w:rsidRDefault="00927341" w14:paraId="1224C6BD" w14:textId="77777777">
      <w:pPr>
        <w:tabs>
          <w:tab w:val="left" w:pos="5295"/>
        </w:tabs>
        <w:jc w:val="both"/>
        <w:rPr>
          <w:rFonts w:ascii="Arial" w:hAnsi="Arial" w:cs="Arial"/>
          <w:color w:val="000000" w:themeColor="text1"/>
          <w:sz w:val="22"/>
        </w:rPr>
      </w:pPr>
    </w:p>
    <w:p w:rsidRPr="004E20DA" w:rsidR="00927341" w:rsidP="00927341" w:rsidRDefault="00927341" w14:paraId="27E8FCD4" w14:textId="6E241C68">
      <w:pPr>
        <w:tabs>
          <w:tab w:val="left" w:pos="5295"/>
        </w:tabs>
        <w:jc w:val="both"/>
        <w:rPr>
          <w:rFonts w:ascii="Arial" w:hAnsi="Arial" w:cs="Arial"/>
          <w:b/>
          <w:bCs/>
          <w:color w:val="000000" w:themeColor="text1"/>
          <w:sz w:val="22"/>
        </w:rPr>
      </w:pPr>
      <w:r w:rsidRPr="004E20DA">
        <w:rPr>
          <w:rFonts w:ascii="Arial" w:hAnsi="Arial" w:cs="Arial"/>
          <w:b/>
          <w:bCs/>
          <w:color w:val="000000" w:themeColor="text1"/>
          <w:sz w:val="22"/>
        </w:rPr>
        <w:t>SOCIEDADES</w:t>
      </w:r>
      <w:r>
        <w:rPr>
          <w:rFonts w:ascii="Arial" w:hAnsi="Arial" w:cs="Arial"/>
          <w:b/>
          <w:bCs/>
          <w:color w:val="000000" w:themeColor="text1"/>
          <w:sz w:val="22"/>
        </w:rPr>
        <w:t xml:space="preserve"> NUEVAS ‒ Constitución ‒ Acto de creación ‒ inferior a tres años </w:t>
      </w:r>
      <w:r w:rsidRPr="006C15D5">
        <w:rPr>
          <w:rFonts w:ascii="Arial" w:hAnsi="Arial" w:eastAsia="Calibri" w:cs="Arial"/>
          <w:b/>
          <w:color w:val="000000" w:themeColor="text1"/>
          <w:sz w:val="22"/>
        </w:rPr>
        <w:t>–</w:t>
      </w:r>
      <w:r w:rsidRPr="004E20DA">
        <w:rPr>
          <w:rFonts w:ascii="Arial" w:hAnsi="Arial" w:eastAsia="Calibri" w:cs="Arial"/>
          <w:color w:val="000000" w:themeColor="text1"/>
          <w:sz w:val="22"/>
        </w:rPr>
        <w:t xml:space="preserve"> </w:t>
      </w:r>
      <w:r w:rsidR="00BF0F8E">
        <w:rPr>
          <w:rFonts w:ascii="Arial" w:hAnsi="Arial" w:eastAsia="Calibri" w:cs="Arial"/>
          <w:b/>
          <w:bCs/>
          <w:color w:val="000000" w:themeColor="text1"/>
          <w:sz w:val="22"/>
        </w:rPr>
        <w:t>P</w:t>
      </w:r>
      <w:r w:rsidRPr="004E20DA">
        <w:rPr>
          <w:rFonts w:ascii="Arial" w:hAnsi="Arial" w:eastAsia="Calibri" w:cs="Arial"/>
          <w:b/>
          <w:bCs/>
          <w:color w:val="000000" w:themeColor="text1"/>
          <w:sz w:val="22"/>
        </w:rPr>
        <w:t xml:space="preserve">rocesos exceptuados de RUP </w:t>
      </w:r>
      <w:r w:rsidRPr="006C15D5">
        <w:rPr>
          <w:rFonts w:ascii="Arial" w:hAnsi="Arial" w:eastAsia="Calibri" w:cs="Arial"/>
          <w:b/>
          <w:color w:val="000000" w:themeColor="text1"/>
          <w:sz w:val="22"/>
        </w:rPr>
        <w:t>–</w:t>
      </w:r>
      <w:r w:rsidRPr="004E20DA">
        <w:rPr>
          <w:rFonts w:ascii="Arial" w:hAnsi="Arial" w:eastAsia="Calibri" w:cs="Arial"/>
          <w:b/>
          <w:bCs/>
          <w:color w:val="000000" w:themeColor="text1"/>
          <w:sz w:val="22"/>
        </w:rPr>
        <w:t xml:space="preserve"> Acreditación</w:t>
      </w:r>
    </w:p>
    <w:p w:rsidRPr="004E20DA" w:rsidR="00927341" w:rsidP="00927341" w:rsidRDefault="00927341" w14:paraId="30382563" w14:textId="77777777">
      <w:pPr>
        <w:tabs>
          <w:tab w:val="left" w:pos="5295"/>
        </w:tabs>
        <w:jc w:val="both"/>
        <w:rPr>
          <w:rFonts w:ascii="Arial" w:hAnsi="Arial" w:cs="Arial"/>
          <w:color w:val="000000" w:themeColor="text1"/>
          <w:sz w:val="22"/>
        </w:rPr>
      </w:pPr>
    </w:p>
    <w:p w:rsidRPr="0003383F" w:rsidR="00927341" w:rsidP="00927341" w:rsidRDefault="00927341" w14:paraId="74FF0EAB" w14:textId="3B15156B">
      <w:pPr>
        <w:tabs>
          <w:tab w:val="left" w:pos="5295"/>
        </w:tabs>
        <w:jc w:val="both"/>
        <w:rPr>
          <w:rFonts w:ascii="Arial" w:hAnsi="Arial" w:cs="Arial"/>
          <w:color w:val="000000" w:themeColor="text1"/>
          <w:sz w:val="20"/>
          <w:szCs w:val="20"/>
        </w:rPr>
      </w:pPr>
      <w:r>
        <w:rPr>
          <w:rFonts w:ascii="Arial" w:hAnsi="Arial" w:cs="Arial"/>
          <w:color w:val="000000" w:themeColor="text1"/>
          <w:sz w:val="20"/>
          <w:szCs w:val="20"/>
        </w:rPr>
        <w:t>[…] l</w:t>
      </w:r>
      <w:r w:rsidRPr="0003383F">
        <w:rPr>
          <w:rFonts w:ascii="Arial" w:hAnsi="Arial" w:cs="Arial"/>
          <w:color w:val="000000" w:themeColor="text1"/>
          <w:sz w:val="20"/>
          <w:szCs w:val="20"/>
        </w:rPr>
        <w:t xml:space="preserve">as entidades contratantes tienen el deber de verificar las condiciones de capacidad jurídica, técnica, financiera y organizacional de los oferentes, que podrá acreditarse con las certificaciones que aporten los proponentes al proceso de contratación y la entidad estatal podrá solicitar información adicional ―por ejemplo, longitudes de obra, especificaciones técnicas, </w:t>
      </w:r>
      <w:proofErr w:type="spellStart"/>
      <w:r w:rsidRPr="0003383F">
        <w:rPr>
          <w:rFonts w:ascii="Arial" w:hAnsi="Arial" w:cs="Arial"/>
          <w:color w:val="000000" w:themeColor="text1"/>
          <w:sz w:val="20"/>
          <w:szCs w:val="20"/>
        </w:rPr>
        <w:t>etc</w:t>
      </w:r>
      <w:proofErr w:type="spellEnd"/>
      <w:r w:rsidRPr="0003383F">
        <w:rPr>
          <w:rFonts w:ascii="Arial" w:hAnsi="Arial" w:cs="Arial"/>
          <w:color w:val="000000" w:themeColor="text1"/>
          <w:sz w:val="20"/>
          <w:szCs w:val="20"/>
        </w:rPr>
        <w:t>― con el fin de verificar condiciones de experiencia del proponente.</w:t>
      </w:r>
    </w:p>
    <w:p w:rsidRPr="00BE053E" w:rsidR="00927341" w:rsidP="00927341" w:rsidRDefault="00927341" w14:paraId="77E2AFCD" w14:textId="77777777">
      <w:pPr>
        <w:jc w:val="both"/>
        <w:rPr>
          <w:rFonts w:ascii="Arial" w:hAnsi="Arial" w:eastAsia="Calibri" w:cs="Arial"/>
          <w:color w:val="000000" w:themeColor="text1"/>
          <w:sz w:val="22"/>
        </w:rPr>
      </w:pPr>
    </w:p>
    <w:p w:rsidRPr="00BE053E" w:rsidR="00927341" w:rsidP="00927341" w:rsidRDefault="00927341" w14:paraId="4E7F4B13" w14:textId="77777777">
      <w:pPr>
        <w:jc w:val="both"/>
        <w:rPr>
          <w:rFonts w:ascii="Arial" w:hAnsi="Arial" w:eastAsia="Calibri" w:cs="Arial"/>
          <w:bCs/>
          <w:color w:val="000000" w:themeColor="text1"/>
          <w:sz w:val="22"/>
        </w:rPr>
      </w:pPr>
    </w:p>
    <w:p w:rsidRPr="0084710B" w:rsidR="0093452E" w:rsidP="0093452E" w:rsidRDefault="0093452E" w14:paraId="2A1EAE0B" w14:textId="77777777">
      <w:pPr>
        <w:textAlignment w:val="baseline"/>
        <w:rPr>
          <w:rFonts w:ascii="Arial" w:hAnsi="Arial" w:cs="Arial"/>
          <w:b/>
          <w:bCs/>
          <w:sz w:val="22"/>
        </w:rPr>
      </w:pPr>
      <w:r w:rsidRPr="0093452E">
        <w:rPr>
          <w:rFonts w:ascii="Arial" w:hAnsi="Arial" w:cs="Arial"/>
          <w:sz w:val="22"/>
        </w:rPr>
        <w:t xml:space="preserve">Bogotá D.C., </w:t>
      </w:r>
      <w:r w:rsidRPr="0084710B">
        <w:rPr>
          <w:rFonts w:ascii="Arial" w:hAnsi="Arial" w:cs="Arial"/>
          <w:b/>
          <w:bCs/>
          <w:sz w:val="22"/>
        </w:rPr>
        <w:t xml:space="preserve">09/11/2020 Hora 19:59:4s </w:t>
      </w:r>
    </w:p>
    <w:p w:rsidRPr="0084710B" w:rsidR="001A7A65" w:rsidP="0093452E" w:rsidRDefault="0093452E" w14:paraId="745470FF" w14:textId="10ABCE86">
      <w:pPr>
        <w:jc w:val="right"/>
        <w:textAlignment w:val="baseline"/>
        <w:rPr>
          <w:rFonts w:ascii="Arial" w:hAnsi="Arial" w:eastAsia="Times New Roman" w:cs="Arial"/>
          <w:b/>
          <w:bCs/>
          <w:sz w:val="22"/>
          <w:lang w:eastAsia="es-CO"/>
        </w:rPr>
      </w:pPr>
      <w:proofErr w:type="spellStart"/>
      <w:r w:rsidRPr="0084710B">
        <w:rPr>
          <w:rFonts w:ascii="Arial" w:hAnsi="Arial" w:cs="Arial"/>
          <w:b/>
          <w:bCs/>
          <w:sz w:val="22"/>
        </w:rPr>
        <w:t>N°</w:t>
      </w:r>
      <w:proofErr w:type="spellEnd"/>
      <w:r w:rsidRPr="0084710B">
        <w:rPr>
          <w:rFonts w:ascii="Arial" w:hAnsi="Arial" w:cs="Arial"/>
          <w:b/>
          <w:bCs/>
          <w:sz w:val="22"/>
        </w:rPr>
        <w:t xml:space="preserve"> Radicado: 2202013000011130</w:t>
      </w:r>
    </w:p>
    <w:p w:rsidRPr="0084710B" w:rsidR="001A7A65" w:rsidP="00BE053E" w:rsidRDefault="001A7A65" w14:paraId="507D5DD2" w14:textId="77777777">
      <w:pPr>
        <w:jc w:val="right"/>
        <w:textAlignment w:val="baseline"/>
        <w:rPr>
          <w:rFonts w:ascii="Arial" w:hAnsi="Arial" w:eastAsia="Times New Roman" w:cs="Arial"/>
          <w:b/>
          <w:bCs/>
          <w:sz w:val="22"/>
          <w:lang w:eastAsia="es-CO"/>
        </w:rPr>
      </w:pPr>
    </w:p>
    <w:p w:rsidR="0084710B" w:rsidP="00927341" w:rsidRDefault="0084710B" w14:paraId="4D3F697D" w14:textId="77777777">
      <w:pPr>
        <w:rPr>
          <w:rFonts w:ascii="Arial" w:hAnsi="Arial" w:eastAsia="Calibri" w:cs="Arial"/>
          <w:color w:val="000000" w:themeColor="text1"/>
          <w:sz w:val="22"/>
        </w:rPr>
      </w:pPr>
    </w:p>
    <w:p w:rsidRPr="006C15D5" w:rsidR="00927341" w:rsidP="00927341" w:rsidRDefault="00927341" w14:paraId="40D31E5E" w14:textId="104F4CBB">
      <w:pPr>
        <w:rPr>
          <w:rFonts w:ascii="Arial" w:hAnsi="Arial" w:eastAsia="Calibri" w:cs="Arial"/>
          <w:color w:val="000000" w:themeColor="text1"/>
          <w:sz w:val="22"/>
        </w:rPr>
      </w:pPr>
      <w:r w:rsidRPr="006C15D5">
        <w:rPr>
          <w:rFonts w:ascii="Arial" w:hAnsi="Arial" w:eastAsia="Calibri" w:cs="Arial"/>
          <w:color w:val="000000" w:themeColor="text1"/>
          <w:sz w:val="22"/>
        </w:rPr>
        <w:t>Señor</w:t>
      </w:r>
    </w:p>
    <w:p w:rsidRPr="00D1531D" w:rsidR="00927341" w:rsidP="00927341" w:rsidRDefault="001A7A65" w14:paraId="7E40D2C3" w14:textId="03B8C4D5">
      <w:pPr>
        <w:rPr>
          <w:rFonts w:eastAsia="Calibri" w:asciiTheme="minorBidi" w:hAnsiTheme="minorBidi"/>
          <w:b/>
          <w:bCs/>
          <w:color w:val="000000" w:themeColor="text1"/>
          <w:sz w:val="22"/>
        </w:rPr>
      </w:pPr>
      <w:r w:rsidRPr="00D1531D">
        <w:rPr>
          <w:rFonts w:asciiTheme="minorBidi" w:hAnsiTheme="minorBidi"/>
          <w:b/>
          <w:bCs/>
          <w:sz w:val="22"/>
        </w:rPr>
        <w:t>Ana Isabel Pulido</w:t>
      </w:r>
    </w:p>
    <w:p w:rsidRPr="006C15D5" w:rsidR="00927341" w:rsidP="00927341" w:rsidRDefault="00927341" w14:paraId="17E28225" w14:textId="77777777">
      <w:pPr>
        <w:rPr>
          <w:rFonts w:ascii="Arial" w:hAnsi="Arial" w:eastAsia="Calibri" w:cs="Arial"/>
          <w:color w:val="000000" w:themeColor="text1"/>
          <w:sz w:val="22"/>
        </w:rPr>
      </w:pPr>
      <w:r>
        <w:rPr>
          <w:rFonts w:ascii="Arial" w:hAnsi="Arial" w:eastAsia="Calibri" w:cs="Arial"/>
          <w:color w:val="000000" w:themeColor="text1"/>
          <w:sz w:val="22"/>
        </w:rPr>
        <w:t>Bogotá D.C.</w:t>
      </w:r>
    </w:p>
    <w:p w:rsidR="00927341" w:rsidP="00927341" w:rsidRDefault="00927341" w14:paraId="67A7904B" w14:textId="6263C969">
      <w:pPr>
        <w:rPr>
          <w:rFonts w:ascii="Arial" w:hAnsi="Arial" w:eastAsia="Calibri" w:cs="Arial"/>
          <w:color w:val="000000" w:themeColor="text1"/>
          <w:sz w:val="22"/>
        </w:rPr>
      </w:pPr>
    </w:p>
    <w:p w:rsidRPr="006C15D5" w:rsidR="001A7A65" w:rsidP="00927341" w:rsidRDefault="001A7A65" w14:paraId="2932BD87" w14:textId="77777777">
      <w:pPr>
        <w:rPr>
          <w:rFonts w:ascii="Arial" w:hAnsi="Arial" w:eastAsia="Calibri" w:cs="Arial"/>
          <w:color w:val="000000" w:themeColor="text1"/>
          <w:sz w:val="22"/>
        </w:rPr>
      </w:pPr>
    </w:p>
    <w:p w:rsidRPr="006C15D5" w:rsidR="00927341" w:rsidP="00927341" w:rsidRDefault="00927341" w14:paraId="225778B2" w14:textId="04AF010E">
      <w:pPr>
        <w:ind w:firstLine="2694"/>
        <w:rPr>
          <w:rFonts w:ascii="Arial" w:hAnsi="Arial" w:eastAsia="Calibri" w:cs="Arial"/>
          <w:b/>
          <w:color w:val="000000" w:themeColor="text1"/>
          <w:sz w:val="22"/>
        </w:rPr>
      </w:pPr>
      <w:r w:rsidRPr="006C15D5">
        <w:rPr>
          <w:rFonts w:ascii="Arial" w:hAnsi="Arial" w:eastAsia="Calibri" w:cs="Arial"/>
          <w:b/>
          <w:color w:val="000000" w:themeColor="text1"/>
          <w:sz w:val="22"/>
        </w:rPr>
        <w:t xml:space="preserve">Concepto C </w:t>
      </w:r>
      <w:r>
        <w:rPr>
          <w:rFonts w:ascii="Arial" w:hAnsi="Arial" w:eastAsia="Calibri" w:cs="Arial"/>
          <w:b/>
          <w:color w:val="000000" w:themeColor="text1"/>
          <w:sz w:val="22"/>
        </w:rPr>
        <w:t>–</w:t>
      </w:r>
      <w:r w:rsidR="00580971">
        <w:rPr>
          <w:rFonts w:ascii="Arial" w:hAnsi="Arial" w:eastAsia="Calibri" w:cs="Arial"/>
          <w:b/>
          <w:color w:val="000000" w:themeColor="text1"/>
          <w:sz w:val="22"/>
        </w:rPr>
        <w:t xml:space="preserve"> 6</w:t>
      </w:r>
      <w:r w:rsidR="00B505E4">
        <w:rPr>
          <w:rFonts w:ascii="Arial" w:hAnsi="Arial" w:eastAsia="Calibri" w:cs="Arial"/>
          <w:b/>
          <w:color w:val="000000" w:themeColor="text1"/>
          <w:sz w:val="22"/>
        </w:rPr>
        <w:t xml:space="preserve">62 </w:t>
      </w:r>
      <w:r w:rsidRPr="006C15D5">
        <w:rPr>
          <w:rFonts w:ascii="Arial" w:hAnsi="Arial" w:eastAsia="Calibri" w:cs="Arial"/>
          <w:b/>
          <w:color w:val="000000" w:themeColor="text1"/>
          <w:sz w:val="22"/>
        </w:rPr>
        <w:t>de 2020</w:t>
      </w:r>
    </w:p>
    <w:p w:rsidRPr="006C15D5" w:rsidR="00927341" w:rsidP="00927341" w:rsidRDefault="00927341" w14:paraId="10BE0A47" w14:textId="77777777">
      <w:pPr>
        <w:rPr>
          <w:rFonts w:ascii="Arial" w:hAnsi="Arial" w:eastAsia="Calibri" w:cs="Arial"/>
          <w:color w:val="000000" w:themeColor="text1"/>
          <w:sz w:val="22"/>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3F6D32" w:rsidR="00927341" w:rsidTr="00B52481" w14:paraId="74CDF762" w14:textId="77777777">
        <w:tc>
          <w:tcPr>
            <w:tcW w:w="2689" w:type="dxa"/>
            <w:hideMark/>
          </w:tcPr>
          <w:p w:rsidRPr="006C15D5" w:rsidR="00927341" w:rsidP="00B52481" w:rsidRDefault="00927341" w14:paraId="659CEF73" w14:textId="77777777">
            <w:pPr>
              <w:rPr>
                <w:rFonts w:ascii="Arial" w:hAnsi="Arial" w:eastAsia="Calibri" w:cs="Arial"/>
                <w:color w:val="000000" w:themeColor="text1"/>
                <w:sz w:val="22"/>
              </w:rPr>
            </w:pPr>
            <w:r w:rsidRPr="006C15D5">
              <w:rPr>
                <w:rFonts w:ascii="Arial" w:hAnsi="Arial" w:eastAsia="Calibri" w:cs="Arial"/>
                <w:b/>
                <w:color w:val="000000" w:themeColor="text1"/>
                <w:sz w:val="22"/>
              </w:rPr>
              <w:t>Temas:</w:t>
            </w:r>
            <w:r w:rsidRPr="006C15D5">
              <w:rPr>
                <w:rFonts w:ascii="Arial" w:hAnsi="Arial" w:eastAsia="Calibri" w:cs="Arial"/>
                <w:color w:val="000000" w:themeColor="text1"/>
                <w:sz w:val="22"/>
              </w:rPr>
              <w:t xml:space="preserve">           </w:t>
            </w:r>
          </w:p>
          <w:p w:rsidRPr="006C15D5" w:rsidR="00927341" w:rsidP="00B52481" w:rsidRDefault="00927341" w14:paraId="509B0EAE" w14:textId="77777777">
            <w:pPr>
              <w:rPr>
                <w:rFonts w:ascii="Arial" w:hAnsi="Arial" w:eastAsia="Calibri" w:cs="Arial"/>
                <w:color w:val="000000" w:themeColor="text1"/>
                <w:sz w:val="22"/>
              </w:rPr>
            </w:pPr>
            <w:r w:rsidRPr="006C15D5">
              <w:rPr>
                <w:rFonts w:ascii="Arial" w:hAnsi="Arial" w:eastAsia="Calibri" w:cs="Arial"/>
                <w:color w:val="000000" w:themeColor="text1"/>
                <w:sz w:val="22"/>
              </w:rPr>
              <w:t xml:space="preserve">                           </w:t>
            </w:r>
          </w:p>
        </w:tc>
        <w:tc>
          <w:tcPr>
            <w:tcW w:w="6237" w:type="dxa"/>
            <w:hideMark/>
          </w:tcPr>
          <w:p w:rsidRPr="000E6F21" w:rsidR="00927341" w:rsidP="00B52481" w:rsidRDefault="00927341" w14:paraId="678F055F" w14:textId="77777777">
            <w:pPr>
              <w:tabs>
                <w:tab w:val="left" w:pos="5295"/>
              </w:tabs>
              <w:jc w:val="both"/>
              <w:rPr>
                <w:rFonts w:ascii="Arial" w:hAnsi="Arial" w:eastAsia="Calibri" w:cs="Arial"/>
                <w:bCs/>
                <w:color w:val="000000" w:themeColor="text1"/>
                <w:sz w:val="22"/>
              </w:rPr>
            </w:pPr>
            <w:r w:rsidRPr="000E6F21">
              <w:rPr>
                <w:rFonts w:ascii="Arial" w:hAnsi="Arial" w:eastAsia="Calibri" w:cs="Arial"/>
                <w:bCs/>
                <w:color w:val="000000" w:themeColor="text1"/>
                <w:sz w:val="22"/>
              </w:rPr>
              <w:t xml:space="preserve">SOCIEDADES NUEVAS ‒ Experiencia ‒ Constitución ‒ Acto de creación ‒ Inferior a tres años – Procesos exceptuados del RUP / </w:t>
            </w:r>
            <w:r w:rsidRPr="000E6F21">
              <w:rPr>
                <w:rFonts w:ascii="Arial" w:hAnsi="Arial" w:cs="Arial"/>
                <w:bCs/>
                <w:color w:val="000000" w:themeColor="text1"/>
                <w:sz w:val="22"/>
              </w:rPr>
              <w:t xml:space="preserve">EXPERIENCIA REQUERIDA </w:t>
            </w:r>
            <w:r w:rsidRPr="000E6F21">
              <w:rPr>
                <w:rFonts w:ascii="Arial" w:hAnsi="Arial" w:eastAsia="Calibri" w:cs="Arial"/>
                <w:bCs/>
                <w:color w:val="000000" w:themeColor="text1"/>
                <w:sz w:val="22"/>
              </w:rPr>
              <w:t xml:space="preserve">– Competencia para fijarla / RUP – Plena prueba ‒ Requisitos habilitantes / </w:t>
            </w:r>
            <w:r w:rsidRPr="000E6F21">
              <w:rPr>
                <w:rFonts w:ascii="Arial" w:hAnsi="Arial" w:cs="Arial"/>
                <w:bCs/>
                <w:color w:val="000000" w:themeColor="text1"/>
                <w:sz w:val="22"/>
              </w:rPr>
              <w:t xml:space="preserve">RUP ‒ Deber de inscripción </w:t>
            </w:r>
            <w:r w:rsidRPr="000E6F21">
              <w:rPr>
                <w:rFonts w:ascii="Arial" w:hAnsi="Arial" w:eastAsia="Calibri" w:cs="Arial"/>
                <w:bCs/>
                <w:color w:val="000000" w:themeColor="text1"/>
                <w:sz w:val="22"/>
              </w:rPr>
              <w:t xml:space="preserve">– Excepciones / </w:t>
            </w:r>
            <w:r w:rsidRPr="000E6F21">
              <w:rPr>
                <w:rFonts w:ascii="Arial" w:hAnsi="Arial" w:cs="Arial"/>
                <w:bCs/>
                <w:color w:val="000000" w:themeColor="text1"/>
                <w:sz w:val="22"/>
              </w:rPr>
              <w:t xml:space="preserve">EXPERIENCIA </w:t>
            </w:r>
            <w:r w:rsidRPr="000E6F21">
              <w:rPr>
                <w:rFonts w:ascii="Arial" w:hAnsi="Arial" w:eastAsia="Calibri" w:cs="Arial"/>
                <w:bCs/>
                <w:color w:val="000000" w:themeColor="text1"/>
                <w:sz w:val="22"/>
              </w:rPr>
              <w:t xml:space="preserve">– </w:t>
            </w:r>
            <w:r w:rsidRPr="000E6F21">
              <w:rPr>
                <w:rFonts w:ascii="Arial" w:hAnsi="Arial" w:cs="Arial"/>
                <w:bCs/>
                <w:color w:val="000000" w:themeColor="text1"/>
                <w:sz w:val="22"/>
              </w:rPr>
              <w:t xml:space="preserve">Noción / SOCIEDADES NUEVAS ‒ Constitución ‒ Acto de creación ‒ inferior a tres años </w:t>
            </w:r>
            <w:r w:rsidRPr="000E6F21">
              <w:rPr>
                <w:rFonts w:ascii="Arial" w:hAnsi="Arial" w:eastAsia="Calibri" w:cs="Arial"/>
                <w:bCs/>
                <w:color w:val="000000" w:themeColor="text1"/>
                <w:sz w:val="22"/>
              </w:rPr>
              <w:t>– procesos exceptuados de RUP – Acreditación</w:t>
            </w:r>
          </w:p>
        </w:tc>
      </w:tr>
      <w:tr w:rsidRPr="003F6D32" w:rsidR="00927341" w:rsidTr="00B52481" w14:paraId="23EA1BC1" w14:textId="77777777">
        <w:tc>
          <w:tcPr>
            <w:tcW w:w="2689" w:type="dxa"/>
          </w:tcPr>
          <w:p w:rsidRPr="006C15D5" w:rsidR="00927341" w:rsidP="00B52481" w:rsidRDefault="00927341" w14:paraId="1C985DB2" w14:textId="77777777">
            <w:pPr>
              <w:spacing w:before="120"/>
              <w:rPr>
                <w:rFonts w:ascii="Arial" w:hAnsi="Arial" w:eastAsia="Calibri" w:cs="Arial"/>
                <w:b/>
                <w:color w:val="000000" w:themeColor="text1"/>
                <w:sz w:val="22"/>
              </w:rPr>
            </w:pPr>
            <w:r w:rsidRPr="006C15D5">
              <w:rPr>
                <w:rFonts w:ascii="Arial" w:hAnsi="Arial" w:eastAsia="Calibri" w:cs="Arial"/>
                <w:b/>
                <w:color w:val="000000" w:themeColor="text1"/>
                <w:sz w:val="22"/>
              </w:rPr>
              <w:t>Radicación:</w:t>
            </w:r>
            <w:r w:rsidRPr="006C15D5">
              <w:rPr>
                <w:rFonts w:ascii="Arial" w:hAnsi="Arial" w:eastAsia="Calibri" w:cs="Arial"/>
                <w:color w:val="000000" w:themeColor="text1"/>
                <w:sz w:val="22"/>
              </w:rPr>
              <w:t xml:space="preserve">                              </w:t>
            </w:r>
          </w:p>
        </w:tc>
        <w:tc>
          <w:tcPr>
            <w:tcW w:w="6237" w:type="dxa"/>
          </w:tcPr>
          <w:p w:rsidRPr="00D1531D" w:rsidR="00927341" w:rsidP="00B52481" w:rsidRDefault="00927341" w14:paraId="1C4F2924" w14:textId="7247E3CF">
            <w:pPr>
              <w:spacing w:before="120"/>
              <w:jc w:val="both"/>
              <w:rPr>
                <w:rFonts w:ascii="Arial" w:hAnsi="Arial" w:eastAsia="Calibri" w:cs="Arial"/>
                <w:color w:val="000000" w:themeColor="text1"/>
                <w:sz w:val="22"/>
              </w:rPr>
            </w:pPr>
            <w:r w:rsidRPr="00D1531D">
              <w:rPr>
                <w:rFonts w:ascii="Arial" w:hAnsi="Arial" w:eastAsia="Calibri" w:cs="Arial"/>
                <w:color w:val="000000" w:themeColor="text1"/>
                <w:sz w:val="22"/>
              </w:rPr>
              <w:t xml:space="preserve">Respuesta a consulta </w:t>
            </w:r>
            <w:r w:rsidRPr="00D1531D" w:rsidR="00D1531D">
              <w:rPr>
                <w:rFonts w:ascii="Arial" w:hAnsi="Arial" w:cs="Arial"/>
                <w:sz w:val="22"/>
              </w:rPr>
              <w:t>4202013000008821</w:t>
            </w:r>
          </w:p>
        </w:tc>
      </w:tr>
      <w:tr w:rsidRPr="003F6D32" w:rsidR="00927341" w:rsidTr="00B52481" w14:paraId="2D026117" w14:textId="77777777">
        <w:tc>
          <w:tcPr>
            <w:tcW w:w="2689" w:type="dxa"/>
          </w:tcPr>
          <w:p w:rsidRPr="006C15D5" w:rsidR="00927341" w:rsidP="00B52481" w:rsidRDefault="00927341" w14:paraId="67376E23" w14:textId="77777777">
            <w:pPr>
              <w:spacing w:before="120"/>
              <w:rPr>
                <w:rFonts w:ascii="Arial" w:hAnsi="Arial" w:eastAsia="Calibri" w:cs="Arial"/>
                <w:b/>
                <w:color w:val="000000" w:themeColor="text1"/>
                <w:sz w:val="22"/>
              </w:rPr>
            </w:pPr>
          </w:p>
        </w:tc>
        <w:tc>
          <w:tcPr>
            <w:tcW w:w="6237" w:type="dxa"/>
          </w:tcPr>
          <w:p w:rsidRPr="006C15D5" w:rsidR="00927341" w:rsidP="00B52481" w:rsidRDefault="00927341" w14:paraId="5489294D" w14:textId="77777777">
            <w:pPr>
              <w:spacing w:before="120"/>
              <w:jc w:val="both"/>
              <w:rPr>
                <w:rFonts w:ascii="Arial" w:hAnsi="Arial" w:eastAsia="Calibri" w:cs="Arial"/>
                <w:color w:val="000000" w:themeColor="text1"/>
                <w:sz w:val="22"/>
              </w:rPr>
            </w:pPr>
          </w:p>
        </w:tc>
      </w:tr>
    </w:tbl>
    <w:p w:rsidR="001A7A65" w:rsidP="00927341" w:rsidRDefault="001A7A65" w14:paraId="5E250DA0" w14:textId="77777777">
      <w:pPr>
        <w:rPr>
          <w:rFonts w:ascii="Arial" w:hAnsi="Arial" w:eastAsia="Calibri" w:cs="Arial"/>
          <w:color w:val="000000" w:themeColor="text1"/>
          <w:sz w:val="22"/>
        </w:rPr>
      </w:pPr>
    </w:p>
    <w:p w:rsidR="001A7A65" w:rsidP="00927341" w:rsidRDefault="001A7A65" w14:paraId="6C7CD8E2" w14:textId="77777777">
      <w:pPr>
        <w:rPr>
          <w:rFonts w:ascii="Arial" w:hAnsi="Arial" w:eastAsia="Calibri" w:cs="Arial"/>
          <w:color w:val="000000" w:themeColor="text1"/>
          <w:sz w:val="22"/>
        </w:rPr>
      </w:pPr>
    </w:p>
    <w:p w:rsidR="00927341" w:rsidP="00927341" w:rsidRDefault="00927341" w14:paraId="50AF4CC3" w14:textId="4E88ADB5">
      <w:pPr>
        <w:rPr>
          <w:rFonts w:ascii="Arial" w:hAnsi="Arial" w:eastAsia="Calibri" w:cs="Arial"/>
          <w:color w:val="000000" w:themeColor="text1"/>
          <w:sz w:val="22"/>
        </w:rPr>
      </w:pPr>
      <w:r w:rsidRPr="006C15D5">
        <w:rPr>
          <w:rFonts w:ascii="Arial" w:hAnsi="Arial" w:eastAsia="Calibri" w:cs="Arial"/>
          <w:color w:val="000000" w:themeColor="text1"/>
          <w:sz w:val="22"/>
        </w:rPr>
        <w:t>Estimad</w:t>
      </w:r>
      <w:r w:rsidR="00D1531D">
        <w:rPr>
          <w:rFonts w:ascii="Arial" w:hAnsi="Arial" w:eastAsia="Calibri" w:cs="Arial"/>
          <w:color w:val="000000" w:themeColor="text1"/>
          <w:sz w:val="22"/>
        </w:rPr>
        <w:t>a</w:t>
      </w:r>
      <w:r>
        <w:rPr>
          <w:rFonts w:ascii="Arial" w:hAnsi="Arial" w:eastAsia="Calibri" w:cs="Arial"/>
          <w:color w:val="000000" w:themeColor="text1"/>
          <w:sz w:val="22"/>
        </w:rPr>
        <w:t xml:space="preserve"> señor</w:t>
      </w:r>
      <w:r w:rsidR="00D1531D">
        <w:rPr>
          <w:rFonts w:ascii="Arial" w:hAnsi="Arial" w:eastAsia="Calibri" w:cs="Arial"/>
          <w:color w:val="000000" w:themeColor="text1"/>
          <w:sz w:val="22"/>
        </w:rPr>
        <w:t>a Pulido</w:t>
      </w:r>
      <w:r>
        <w:rPr>
          <w:rFonts w:ascii="Arial" w:hAnsi="Arial" w:eastAsia="Calibri" w:cs="Arial"/>
          <w:color w:val="000000" w:themeColor="text1"/>
          <w:sz w:val="22"/>
        </w:rPr>
        <w:t>:</w:t>
      </w:r>
    </w:p>
    <w:p w:rsidRPr="006C15D5" w:rsidR="001A7A65" w:rsidP="00927341" w:rsidRDefault="001A7A65" w14:paraId="5E74FC2B" w14:textId="77777777">
      <w:pPr>
        <w:rPr>
          <w:rFonts w:ascii="Arial" w:hAnsi="Arial" w:eastAsia="Calibri" w:cs="Arial"/>
          <w:color w:val="000000" w:themeColor="text1"/>
          <w:sz w:val="22"/>
        </w:rPr>
      </w:pPr>
    </w:p>
    <w:p w:rsidRPr="006C15D5" w:rsidR="00927341" w:rsidP="00927341" w:rsidRDefault="00927341" w14:paraId="300E0411" w14:textId="103AD8E9">
      <w:pPr>
        <w:spacing w:line="276" w:lineRule="auto"/>
        <w:jc w:val="both"/>
        <w:rPr>
          <w:rFonts w:ascii="Arial" w:hAnsi="Arial" w:eastAsia="Calibri" w:cs="Arial"/>
          <w:color w:val="000000" w:themeColor="text1"/>
          <w:sz w:val="22"/>
        </w:rPr>
      </w:pPr>
      <w:r w:rsidRPr="006C15D5">
        <w:rPr>
          <w:rFonts w:ascii="Arial" w:hAnsi="Arial" w:eastAsia="Calibri" w:cs="Arial"/>
          <w:color w:val="000000" w:themeColor="text1"/>
          <w:sz w:val="22"/>
        </w:rPr>
        <w:t xml:space="preserve">En ejercicio de la competencia otorgada por los artículos 11, numeral 8º, y 3º, numeral 5º, del Decreto Ley 4170 de 2011, la Agencia Nacional de Contratación Pública − Colombia Compra Eficiente responde su consulta del </w:t>
      </w:r>
      <w:r w:rsidR="00D1531D">
        <w:rPr>
          <w:rFonts w:ascii="Arial" w:hAnsi="Arial" w:eastAsia="Calibri" w:cs="Arial"/>
          <w:color w:val="000000" w:themeColor="text1"/>
          <w:sz w:val="22"/>
        </w:rPr>
        <w:t>5</w:t>
      </w:r>
      <w:r w:rsidRPr="006C15D5">
        <w:rPr>
          <w:rFonts w:ascii="Arial" w:hAnsi="Arial" w:eastAsia="Calibri" w:cs="Arial"/>
          <w:color w:val="000000" w:themeColor="text1"/>
          <w:sz w:val="22"/>
        </w:rPr>
        <w:t xml:space="preserve"> de </w:t>
      </w:r>
      <w:r w:rsidR="00D1531D">
        <w:rPr>
          <w:rFonts w:ascii="Arial" w:hAnsi="Arial" w:eastAsia="Calibri" w:cs="Arial"/>
          <w:color w:val="000000" w:themeColor="text1"/>
          <w:sz w:val="22"/>
        </w:rPr>
        <w:t>octubre</w:t>
      </w:r>
      <w:r w:rsidRPr="006C15D5">
        <w:rPr>
          <w:rFonts w:ascii="Arial" w:hAnsi="Arial" w:eastAsia="Calibri" w:cs="Arial"/>
          <w:color w:val="000000" w:themeColor="text1"/>
          <w:sz w:val="22"/>
        </w:rPr>
        <w:t xml:space="preserve"> de 2020. </w:t>
      </w:r>
    </w:p>
    <w:p w:rsidRPr="006C15D5" w:rsidR="00927341" w:rsidP="00927341" w:rsidRDefault="00927341" w14:paraId="24BECB55" w14:textId="77777777">
      <w:pPr>
        <w:spacing w:line="276" w:lineRule="auto"/>
        <w:jc w:val="both"/>
        <w:rPr>
          <w:rFonts w:ascii="Arial" w:hAnsi="Arial" w:eastAsia="Calibri" w:cs="Arial"/>
          <w:color w:val="000000" w:themeColor="text1"/>
          <w:sz w:val="22"/>
        </w:rPr>
      </w:pPr>
    </w:p>
    <w:p w:rsidRPr="006C15D5" w:rsidR="00927341" w:rsidP="00927341" w:rsidRDefault="00927341" w14:paraId="468B3679" w14:textId="77777777">
      <w:pPr>
        <w:pStyle w:val="Prrafodelista"/>
        <w:numPr>
          <w:ilvl w:val="0"/>
          <w:numId w:val="1"/>
        </w:numPr>
        <w:tabs>
          <w:tab w:val="left" w:pos="284"/>
        </w:tabs>
        <w:spacing w:line="276" w:lineRule="auto"/>
        <w:ind w:left="0" w:firstLine="0"/>
        <w:jc w:val="both"/>
        <w:rPr>
          <w:rFonts w:ascii="Arial" w:hAnsi="Arial" w:eastAsia="Calibri" w:cs="Arial"/>
          <w:b/>
          <w:color w:val="000000" w:themeColor="text1"/>
          <w:sz w:val="22"/>
        </w:rPr>
      </w:pPr>
      <w:r w:rsidRPr="006C15D5">
        <w:rPr>
          <w:rFonts w:ascii="Arial" w:hAnsi="Arial" w:eastAsia="Calibri" w:cs="Arial"/>
          <w:b/>
          <w:color w:val="000000" w:themeColor="text1"/>
          <w:sz w:val="22"/>
        </w:rPr>
        <w:t xml:space="preserve">Problemas planteados </w:t>
      </w:r>
    </w:p>
    <w:p w:rsidRPr="006C15D5" w:rsidR="00927341" w:rsidP="00927341" w:rsidRDefault="00927341" w14:paraId="65B59B71" w14:textId="77777777">
      <w:pPr>
        <w:tabs>
          <w:tab w:val="left" w:pos="426"/>
        </w:tabs>
        <w:spacing w:line="276" w:lineRule="auto"/>
        <w:jc w:val="both"/>
        <w:rPr>
          <w:rFonts w:ascii="Arial" w:hAnsi="Arial" w:eastAsia="Calibri" w:cs="Arial"/>
          <w:b/>
          <w:color w:val="000000" w:themeColor="text1"/>
          <w:sz w:val="22"/>
        </w:rPr>
      </w:pPr>
    </w:p>
    <w:p w:rsidRPr="00D1531D" w:rsidR="00D1531D" w:rsidP="00D1531D" w:rsidRDefault="00927341" w14:paraId="2BC41E8B" w14:textId="77777777">
      <w:pPr>
        <w:spacing w:line="276" w:lineRule="auto"/>
        <w:jc w:val="both"/>
        <w:rPr>
          <w:rFonts w:ascii="Arial" w:hAnsi="Arial" w:cs="Arial"/>
          <w:sz w:val="22"/>
        </w:rPr>
      </w:pPr>
      <w:r w:rsidRPr="00D1531D">
        <w:rPr>
          <w:rFonts w:ascii="Arial" w:hAnsi="Arial" w:eastAsia="Calibri" w:cs="Arial"/>
          <w:color w:val="000000" w:themeColor="text1"/>
          <w:sz w:val="22"/>
        </w:rPr>
        <w:t xml:space="preserve">Usted realiza la siguiente consulta: </w:t>
      </w:r>
      <w:r w:rsidRPr="00D1531D" w:rsidR="00D1531D">
        <w:rPr>
          <w:rFonts w:ascii="Arial" w:hAnsi="Arial" w:cs="Arial"/>
          <w:sz w:val="22"/>
        </w:rPr>
        <w:t xml:space="preserve">«Quisiera saber si es posible acreditar experiencia para una empresa recién constituida por medio de la experiencia adquirida por los socios para un proceso que se adelanta por medio del </w:t>
      </w:r>
      <w:proofErr w:type="spellStart"/>
      <w:r w:rsidRPr="00D1531D" w:rsidR="00D1531D">
        <w:rPr>
          <w:rFonts w:ascii="Arial" w:hAnsi="Arial" w:cs="Arial"/>
          <w:sz w:val="22"/>
        </w:rPr>
        <w:t>Secop</w:t>
      </w:r>
      <w:proofErr w:type="spellEnd"/>
      <w:r w:rsidRPr="00D1531D" w:rsidR="00D1531D">
        <w:rPr>
          <w:rFonts w:ascii="Arial" w:hAnsi="Arial" w:cs="Arial"/>
          <w:sz w:val="22"/>
        </w:rPr>
        <w:t xml:space="preserve"> I cabe aclarar que en dicho proceso no exigen RUP, solo solicita los certificados expedidos por las empresas contratantes. Nuestra consulta va </w:t>
      </w:r>
      <w:proofErr w:type="spellStart"/>
      <w:r w:rsidRPr="00D1531D" w:rsidR="00D1531D">
        <w:rPr>
          <w:rFonts w:ascii="Arial" w:hAnsi="Arial" w:cs="Arial"/>
          <w:sz w:val="22"/>
        </w:rPr>
        <w:t>ha</w:t>
      </w:r>
      <w:proofErr w:type="spellEnd"/>
      <w:r w:rsidRPr="00D1531D" w:rsidR="00D1531D">
        <w:rPr>
          <w:rFonts w:ascii="Arial" w:hAnsi="Arial" w:cs="Arial"/>
          <w:sz w:val="22"/>
        </w:rPr>
        <w:t xml:space="preserve"> que se ha dado respuesta que para acreditar la experiencia ante el RUP de una empresa con menos de 3 años de constituida se puede acreditar la experiencia de los socios, pero no se aclara si este proceso solo aplica para procesos en los cuales se exigen el RUP».</w:t>
      </w:r>
    </w:p>
    <w:p w:rsidRPr="006C15D5" w:rsidR="00927341" w:rsidP="00927341" w:rsidRDefault="00927341" w14:paraId="793703A3" w14:textId="77777777">
      <w:pPr>
        <w:tabs>
          <w:tab w:val="left" w:pos="709"/>
        </w:tabs>
        <w:spacing w:line="276" w:lineRule="auto"/>
        <w:jc w:val="both"/>
        <w:rPr>
          <w:rFonts w:ascii="Arial" w:hAnsi="Arial" w:eastAsia="Calibri" w:cs="Arial"/>
          <w:color w:val="000000" w:themeColor="text1"/>
          <w:sz w:val="22"/>
        </w:rPr>
      </w:pPr>
    </w:p>
    <w:p w:rsidRPr="006C15D5" w:rsidR="00927341" w:rsidP="00927341" w:rsidRDefault="00927341" w14:paraId="4E93810C" w14:textId="77777777">
      <w:pPr>
        <w:pStyle w:val="Prrafodelista"/>
        <w:numPr>
          <w:ilvl w:val="0"/>
          <w:numId w:val="1"/>
        </w:numPr>
        <w:tabs>
          <w:tab w:val="left" w:pos="426"/>
        </w:tabs>
        <w:spacing w:line="276" w:lineRule="auto"/>
        <w:ind w:left="284" w:hanging="284"/>
        <w:jc w:val="both"/>
        <w:rPr>
          <w:rFonts w:ascii="Arial" w:hAnsi="Arial" w:eastAsia="Calibri" w:cs="Arial"/>
          <w:b/>
          <w:color w:val="000000" w:themeColor="text1"/>
          <w:sz w:val="22"/>
        </w:rPr>
      </w:pPr>
      <w:r w:rsidRPr="006C15D5">
        <w:rPr>
          <w:rFonts w:ascii="Arial" w:hAnsi="Arial" w:eastAsia="Calibri" w:cs="Arial"/>
          <w:b/>
          <w:color w:val="000000" w:themeColor="text1"/>
          <w:sz w:val="22"/>
        </w:rPr>
        <w:t>Consideraciones</w:t>
      </w:r>
    </w:p>
    <w:p w:rsidRPr="006C15D5" w:rsidR="00927341" w:rsidP="00927341" w:rsidRDefault="00927341" w14:paraId="0BCA8B72" w14:textId="77777777">
      <w:pPr>
        <w:spacing w:line="276" w:lineRule="auto"/>
        <w:jc w:val="both"/>
        <w:rPr>
          <w:rFonts w:ascii="Arial" w:hAnsi="Arial" w:eastAsia="Calibri" w:cs="Arial"/>
          <w:color w:val="000000" w:themeColor="text1"/>
          <w:sz w:val="22"/>
        </w:rPr>
      </w:pPr>
    </w:p>
    <w:p w:rsidRPr="006C15D5" w:rsidR="00927341" w:rsidP="00BE053E" w:rsidRDefault="00927341" w14:paraId="74543EF8" w14:textId="5BA53096">
      <w:pPr>
        <w:spacing w:line="276" w:lineRule="auto"/>
        <w:jc w:val="both"/>
        <w:rPr>
          <w:rFonts w:ascii="Arial" w:hAnsi="Arial" w:eastAsia="Calibri" w:cs="Arial"/>
          <w:color w:val="000000" w:themeColor="text1"/>
          <w:sz w:val="22"/>
        </w:rPr>
      </w:pPr>
      <w:r w:rsidRPr="006C15D5">
        <w:rPr>
          <w:rFonts w:ascii="Arial" w:hAnsi="Arial" w:eastAsia="Calibri" w:cs="Arial"/>
          <w:color w:val="000000" w:themeColor="text1"/>
          <w:sz w:val="22"/>
        </w:rPr>
        <w:t xml:space="preserve">La Agencia Nacional de Contratación Pública </w:t>
      </w:r>
      <w:r>
        <w:rPr>
          <w:rFonts w:ascii="Arial" w:hAnsi="Arial" w:eastAsia="Calibri" w:cs="Arial"/>
          <w:color w:val="000000" w:themeColor="text1"/>
          <w:sz w:val="22"/>
        </w:rPr>
        <w:t>‒</w:t>
      </w:r>
      <w:r w:rsidRPr="006C15D5">
        <w:rPr>
          <w:rFonts w:ascii="Arial" w:hAnsi="Arial" w:eastAsia="Calibri" w:cs="Arial"/>
          <w:color w:val="000000" w:themeColor="text1"/>
          <w:sz w:val="22"/>
        </w:rPr>
        <w:t xml:space="preserve"> Colombia Compra Eficiente se ha pronunciado</w:t>
      </w:r>
      <w:r>
        <w:rPr>
          <w:rFonts w:ascii="Arial" w:hAnsi="Arial" w:eastAsia="Calibri" w:cs="Arial"/>
          <w:color w:val="000000" w:themeColor="text1"/>
          <w:sz w:val="22"/>
        </w:rPr>
        <w:t xml:space="preserve"> </w:t>
      </w:r>
      <w:r w:rsidRPr="006C15D5">
        <w:rPr>
          <w:rFonts w:ascii="Arial" w:hAnsi="Arial" w:eastAsia="Calibri" w:cs="Arial"/>
          <w:color w:val="000000" w:themeColor="text1"/>
          <w:sz w:val="22"/>
        </w:rPr>
        <w:t>en diferentes conceptos sobre</w:t>
      </w:r>
      <w:r>
        <w:rPr>
          <w:rFonts w:ascii="Arial" w:hAnsi="Arial" w:eastAsia="Calibri" w:cs="Arial"/>
          <w:color w:val="000000" w:themeColor="text1"/>
          <w:sz w:val="22"/>
        </w:rPr>
        <w:t xml:space="preserve"> </w:t>
      </w:r>
      <w:r w:rsidRPr="004E20DA">
        <w:rPr>
          <w:rFonts w:ascii="Arial" w:hAnsi="Arial" w:cs="Arial"/>
          <w:color w:val="000000" w:themeColor="text1"/>
          <w:sz w:val="22"/>
        </w:rPr>
        <w:t>el alcance del numeral 2.5 del artículo 2.2.1.1.1.5.2 del Decreto 1082 de 2015</w:t>
      </w:r>
      <w:r w:rsidRPr="006C15D5">
        <w:rPr>
          <w:rFonts w:ascii="Arial" w:hAnsi="Arial" w:eastAsia="Calibri" w:cs="Arial"/>
          <w:color w:val="000000" w:themeColor="text1"/>
          <w:sz w:val="22"/>
        </w:rPr>
        <w:t xml:space="preserve"> en los conceptos del</w:t>
      </w:r>
      <w:r>
        <w:rPr>
          <w:rFonts w:ascii="Arial" w:hAnsi="Arial" w:eastAsia="Calibri" w:cs="Arial"/>
          <w:color w:val="000000" w:themeColor="text1"/>
          <w:sz w:val="22"/>
        </w:rPr>
        <w:t xml:space="preserve"> 20 y 28 de agosto, del 3, 17 y 18 de octubre, del 3 y del 19 de noviembre de 2019 ‒radicados Nos. </w:t>
      </w:r>
      <w:r w:rsidRPr="008D5D0F">
        <w:rPr>
          <w:rFonts w:ascii="Arial" w:hAnsi="Arial" w:eastAsia="Calibri" w:cs="Arial"/>
          <w:color w:val="000000" w:themeColor="text1"/>
          <w:sz w:val="22"/>
        </w:rPr>
        <w:t>4201912000003636</w:t>
      </w:r>
      <w:r>
        <w:rPr>
          <w:rFonts w:ascii="Arial" w:hAnsi="Arial" w:eastAsia="Calibri" w:cs="Arial"/>
          <w:color w:val="000000" w:themeColor="text1"/>
          <w:sz w:val="22"/>
        </w:rPr>
        <w:t xml:space="preserve">, </w:t>
      </w:r>
      <w:r w:rsidRPr="004E20DA">
        <w:rPr>
          <w:rFonts w:ascii="Arial" w:hAnsi="Arial" w:cs="Arial"/>
          <w:color w:val="000000" w:themeColor="text1"/>
          <w:sz w:val="22"/>
        </w:rPr>
        <w:t>4201912000004743</w:t>
      </w:r>
      <w:r>
        <w:rPr>
          <w:rFonts w:ascii="Arial" w:hAnsi="Arial" w:cs="Arial"/>
          <w:color w:val="000000" w:themeColor="text1"/>
          <w:sz w:val="22"/>
        </w:rPr>
        <w:t xml:space="preserve">, </w:t>
      </w:r>
      <w:r w:rsidRPr="004E20DA">
        <w:rPr>
          <w:rFonts w:ascii="Arial" w:hAnsi="Arial" w:cs="Arial"/>
          <w:color w:val="000000" w:themeColor="text1"/>
          <w:sz w:val="22"/>
        </w:rPr>
        <w:t>4201913000006173, 4201913000007132</w:t>
      </w:r>
      <w:r>
        <w:rPr>
          <w:rFonts w:ascii="Arial" w:hAnsi="Arial" w:cs="Arial"/>
          <w:color w:val="000000" w:themeColor="text1"/>
          <w:sz w:val="22"/>
        </w:rPr>
        <w:t xml:space="preserve">, </w:t>
      </w:r>
      <w:r w:rsidRPr="004E20DA">
        <w:rPr>
          <w:rFonts w:ascii="Arial" w:hAnsi="Arial" w:cs="Arial"/>
          <w:color w:val="000000" w:themeColor="text1"/>
          <w:sz w:val="22"/>
        </w:rPr>
        <w:t>4201912000007182</w:t>
      </w:r>
      <w:r>
        <w:rPr>
          <w:rFonts w:ascii="Arial" w:hAnsi="Arial" w:cs="Arial"/>
          <w:color w:val="000000" w:themeColor="text1"/>
          <w:sz w:val="22"/>
        </w:rPr>
        <w:t>,</w:t>
      </w:r>
      <w:r>
        <w:rPr>
          <w:rFonts w:ascii="Arial" w:hAnsi="Arial" w:eastAsia="Calibri" w:cs="Arial"/>
          <w:color w:val="000000" w:themeColor="text1"/>
          <w:sz w:val="22"/>
        </w:rPr>
        <w:t xml:space="preserve"> </w:t>
      </w:r>
      <w:r w:rsidRPr="000A5D77">
        <w:rPr>
          <w:rFonts w:ascii="Arial" w:hAnsi="Arial" w:eastAsia="Calibri" w:cs="Arial"/>
          <w:color w:val="000000" w:themeColor="text1"/>
          <w:sz w:val="22"/>
        </w:rPr>
        <w:t>4201913000006797</w:t>
      </w:r>
      <w:r>
        <w:rPr>
          <w:rFonts w:ascii="Arial" w:hAnsi="Arial" w:eastAsia="Calibri" w:cs="Arial"/>
          <w:color w:val="000000" w:themeColor="text1"/>
          <w:sz w:val="22"/>
        </w:rPr>
        <w:t xml:space="preserve">, </w:t>
      </w:r>
      <w:r w:rsidRPr="004E20DA">
        <w:rPr>
          <w:rFonts w:ascii="Arial" w:hAnsi="Arial" w:cs="Arial"/>
          <w:color w:val="000000" w:themeColor="text1"/>
          <w:sz w:val="22"/>
        </w:rPr>
        <w:t>4201912000007152</w:t>
      </w:r>
      <w:r>
        <w:rPr>
          <w:rFonts w:ascii="Arial" w:hAnsi="Arial" w:cs="Arial"/>
          <w:color w:val="000000" w:themeColor="text1"/>
          <w:sz w:val="22"/>
        </w:rPr>
        <w:t xml:space="preserve"> y </w:t>
      </w:r>
      <w:r w:rsidRPr="004E20DA">
        <w:rPr>
          <w:rFonts w:ascii="Arial" w:hAnsi="Arial" w:cs="Arial"/>
          <w:color w:val="000000" w:themeColor="text1"/>
          <w:sz w:val="22"/>
        </w:rPr>
        <w:t>4201913000006797</w:t>
      </w:r>
      <w:r>
        <w:rPr>
          <w:rFonts w:ascii="Arial" w:hAnsi="Arial" w:cs="Arial"/>
          <w:color w:val="000000" w:themeColor="text1"/>
          <w:sz w:val="22"/>
        </w:rPr>
        <w:t>‒, así como en los conceptos C</w:t>
      </w:r>
      <w:r w:rsidR="00D1531D">
        <w:rPr>
          <w:rFonts w:ascii="Arial" w:hAnsi="Arial" w:cs="Arial"/>
          <w:color w:val="000000" w:themeColor="text1"/>
          <w:sz w:val="22"/>
        </w:rPr>
        <w:t>−</w:t>
      </w:r>
      <w:r>
        <w:rPr>
          <w:rFonts w:ascii="Arial" w:hAnsi="Arial" w:cs="Arial"/>
          <w:color w:val="000000" w:themeColor="text1"/>
          <w:sz w:val="22"/>
        </w:rPr>
        <w:t>051 de</w:t>
      </w:r>
      <w:r w:rsidR="00D1531D">
        <w:rPr>
          <w:rFonts w:ascii="Arial" w:hAnsi="Arial" w:cs="Arial"/>
          <w:color w:val="000000" w:themeColor="text1"/>
          <w:sz w:val="22"/>
        </w:rPr>
        <w:t xml:space="preserve">l </w:t>
      </w:r>
      <w:r w:rsidRPr="00AC2EB0" w:rsidR="00D1531D">
        <w:rPr>
          <w:rFonts w:ascii="Arial" w:hAnsi="Arial" w:eastAsia="Calibri" w:cs="Arial"/>
          <w:sz w:val="22"/>
        </w:rPr>
        <w:t>2 de marzo de 2020, C</w:t>
      </w:r>
      <w:r w:rsidR="00D1531D">
        <w:rPr>
          <w:rFonts w:ascii="Arial" w:hAnsi="Arial" w:eastAsia="Calibri" w:cs="Arial"/>
          <w:sz w:val="22"/>
        </w:rPr>
        <w:t>−</w:t>
      </w:r>
      <w:r w:rsidRPr="00AC2EB0" w:rsidR="00D1531D">
        <w:rPr>
          <w:rFonts w:ascii="Arial" w:hAnsi="Arial" w:eastAsia="Calibri" w:cs="Arial"/>
          <w:sz w:val="22"/>
        </w:rPr>
        <w:t xml:space="preserve">165 del 1 de abril de </w:t>
      </w:r>
      <w:r>
        <w:rPr>
          <w:rFonts w:ascii="Arial" w:hAnsi="Arial" w:cs="Arial"/>
          <w:color w:val="000000" w:themeColor="text1"/>
          <w:sz w:val="22"/>
        </w:rPr>
        <w:t>2020</w:t>
      </w:r>
      <w:r w:rsidR="00D1531D">
        <w:rPr>
          <w:rFonts w:ascii="Arial" w:hAnsi="Arial" w:cs="Arial"/>
          <w:color w:val="000000" w:themeColor="text1"/>
          <w:sz w:val="22"/>
        </w:rPr>
        <w:t xml:space="preserve"> y C−350 del 1 de junio de 2020</w:t>
      </w:r>
      <w:r w:rsidR="001C73D2">
        <w:rPr>
          <w:rFonts w:ascii="Arial" w:hAnsi="Arial" w:cs="Arial"/>
          <w:color w:val="000000" w:themeColor="text1"/>
          <w:sz w:val="22"/>
        </w:rPr>
        <w:t>,</w:t>
      </w:r>
      <w:r>
        <w:rPr>
          <w:rFonts w:ascii="Arial" w:hAnsi="Arial" w:cs="Arial"/>
          <w:color w:val="000000" w:themeColor="text1"/>
          <w:sz w:val="22"/>
        </w:rPr>
        <w:t xml:space="preserve"> donde se explicó </w:t>
      </w:r>
      <w:r w:rsidRPr="004E20DA">
        <w:rPr>
          <w:rFonts w:ascii="Arial" w:hAnsi="Arial" w:cs="Arial"/>
          <w:color w:val="000000" w:themeColor="text1"/>
          <w:sz w:val="22"/>
        </w:rPr>
        <w:t>que se pued</w:t>
      </w:r>
      <w:r>
        <w:rPr>
          <w:rFonts w:ascii="Arial" w:hAnsi="Arial" w:cs="Arial"/>
          <w:color w:val="000000" w:themeColor="text1"/>
          <w:sz w:val="22"/>
        </w:rPr>
        <w:t>e</w:t>
      </w:r>
      <w:r w:rsidRPr="004E20DA">
        <w:rPr>
          <w:rFonts w:ascii="Arial" w:hAnsi="Arial" w:cs="Arial"/>
          <w:color w:val="000000" w:themeColor="text1"/>
          <w:sz w:val="22"/>
        </w:rPr>
        <w:t xml:space="preserve"> hacer una aplicación extensiva o analógica</w:t>
      </w:r>
      <w:r>
        <w:rPr>
          <w:rFonts w:ascii="Arial" w:hAnsi="Arial" w:cs="Arial"/>
          <w:color w:val="000000" w:themeColor="text1"/>
          <w:sz w:val="22"/>
        </w:rPr>
        <w:t xml:space="preserve"> de la disposición mencionada,</w:t>
      </w:r>
      <w:r w:rsidRPr="004E20DA">
        <w:rPr>
          <w:rFonts w:ascii="Arial" w:hAnsi="Arial" w:cs="Arial"/>
          <w:color w:val="000000" w:themeColor="text1"/>
          <w:sz w:val="22"/>
        </w:rPr>
        <w:t xml:space="preserve"> para los eventos en los que no sea necesaria la inscripción en el RUP</w:t>
      </w:r>
      <w:r w:rsidRPr="006C15D5">
        <w:rPr>
          <w:rFonts w:ascii="Arial" w:hAnsi="Arial" w:eastAsia="Calibri" w:cs="Arial"/>
          <w:color w:val="000000" w:themeColor="text1"/>
          <w:sz w:val="22"/>
        </w:rPr>
        <w:t>. La tesis propuesta</w:t>
      </w:r>
      <w:r w:rsidR="009F77D4">
        <w:rPr>
          <w:rFonts w:ascii="Arial" w:hAnsi="Arial" w:eastAsia="Calibri" w:cs="Arial"/>
          <w:color w:val="000000" w:themeColor="text1"/>
          <w:sz w:val="22"/>
        </w:rPr>
        <w:t xml:space="preserve"> en estos conceptos</w:t>
      </w:r>
      <w:r w:rsidRPr="006C15D5">
        <w:rPr>
          <w:rFonts w:ascii="Arial" w:hAnsi="Arial" w:eastAsia="Calibri" w:cs="Arial"/>
          <w:color w:val="000000" w:themeColor="text1"/>
          <w:sz w:val="22"/>
        </w:rPr>
        <w:t xml:space="preserve"> se expone</w:t>
      </w:r>
      <w:r>
        <w:rPr>
          <w:rFonts w:ascii="Arial" w:hAnsi="Arial" w:eastAsia="Calibri" w:cs="Arial"/>
          <w:color w:val="000000" w:themeColor="text1"/>
          <w:sz w:val="22"/>
        </w:rPr>
        <w:t xml:space="preserve"> y reitera a continuación</w:t>
      </w:r>
      <w:r w:rsidR="009F77D4">
        <w:rPr>
          <w:rFonts w:ascii="Arial" w:hAnsi="Arial" w:eastAsia="Calibri" w:cs="Arial"/>
          <w:color w:val="000000" w:themeColor="text1"/>
          <w:sz w:val="22"/>
        </w:rPr>
        <w:t>:</w:t>
      </w:r>
    </w:p>
    <w:p w:rsidRPr="004E20DA" w:rsidR="00927341" w:rsidP="00BE053E" w:rsidRDefault="009F77D4" w14:paraId="10E9296C" w14:textId="0B19FDB0">
      <w:pPr>
        <w:spacing w:before="120" w:line="276" w:lineRule="auto"/>
        <w:jc w:val="both"/>
        <w:rPr>
          <w:rFonts w:ascii="Arial" w:hAnsi="Arial" w:eastAsia="Calibri" w:cs="Arial"/>
          <w:color w:val="000000" w:themeColor="text1"/>
          <w:sz w:val="22"/>
        </w:rPr>
      </w:pPr>
      <w:r>
        <w:rPr>
          <w:rFonts w:ascii="Arial" w:hAnsi="Arial" w:eastAsia="Calibri" w:cs="Arial"/>
          <w:color w:val="000000" w:themeColor="text1"/>
          <w:sz w:val="22"/>
        </w:rPr>
        <w:tab/>
      </w:r>
      <w:r w:rsidRPr="004E20DA" w:rsidR="00927341">
        <w:rPr>
          <w:rFonts w:ascii="Arial" w:hAnsi="Arial" w:eastAsia="Calibri" w:cs="Arial"/>
          <w:color w:val="000000" w:themeColor="text1"/>
          <w:sz w:val="22"/>
        </w:rPr>
        <w:t>La contratación pública involucra, entre otras relaciones, la interacción entre la Administración Pública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del Sistema de Compra Pública, con el fin de procurar un equilibrio y el cumplimiento de los principios de la contratación pública, entre otros objetivos.</w:t>
      </w:r>
    </w:p>
    <w:p w:rsidRPr="004E20DA" w:rsidR="00927341" w:rsidP="00927341" w:rsidRDefault="00927341" w14:paraId="5BE6D280" w14:textId="77777777">
      <w:pPr>
        <w:spacing w:before="120" w:after="120" w:line="276" w:lineRule="auto"/>
        <w:ind w:firstLine="709"/>
        <w:jc w:val="both"/>
        <w:rPr>
          <w:rFonts w:ascii="Arial" w:hAnsi="Arial" w:eastAsia="Calibri" w:cs="Arial"/>
          <w:color w:val="000000" w:themeColor="text1"/>
          <w:sz w:val="22"/>
        </w:rPr>
      </w:pPr>
      <w:r w:rsidRPr="004E20DA">
        <w:rPr>
          <w:rFonts w:ascii="Arial" w:hAnsi="Arial" w:eastAsia="Calibri" w:cs="Arial"/>
          <w:color w:val="000000" w:themeColor="text1"/>
          <w:sz w:val="22"/>
        </w:rPr>
        <w:t xml:space="preserve">Por consiguiente, la normativa contractual contiene disposiciones que le indican a la entidad las actividades y documentos que debe desarrollar en sus procedimientos contractuales, y con base en ello los proveedores pueden conocer los aspectos del objeto </w:t>
      </w:r>
      <w:r w:rsidRPr="004E20DA">
        <w:rPr>
          <w:rFonts w:ascii="Arial" w:hAnsi="Arial" w:eastAsia="Calibri" w:cs="Arial"/>
          <w:color w:val="000000" w:themeColor="text1"/>
          <w:sz w:val="22"/>
        </w:rPr>
        <w:lastRenderedPageBreak/>
        <w:t>de la contratación para presentar sus ofertas, teniendo en cuenta los parámetros que define la entidad en la etapa de planeación del proceso, de acuerdo con las normas relacionadas con la adquisición de que se trate, y que quedan definidos en el pliego de condiciones como documento del proceso</w:t>
      </w:r>
      <w:r w:rsidRPr="004E20DA">
        <w:rPr>
          <w:rFonts w:ascii="Arial" w:hAnsi="Arial" w:eastAsia="Calibri" w:cs="Arial"/>
          <w:color w:val="000000" w:themeColor="text1"/>
          <w:sz w:val="22"/>
          <w:vertAlign w:val="superscript"/>
        </w:rPr>
        <w:footnoteReference w:id="1"/>
      </w:r>
      <w:r w:rsidRPr="004E20DA">
        <w:rPr>
          <w:rFonts w:ascii="Arial" w:hAnsi="Arial" w:eastAsia="Calibri" w:cs="Arial"/>
          <w:color w:val="000000" w:themeColor="text1"/>
          <w:sz w:val="22"/>
        </w:rPr>
        <w:t xml:space="preserve">. </w:t>
      </w:r>
    </w:p>
    <w:p w:rsidRPr="004E20DA" w:rsidR="00927341" w:rsidP="00927341" w:rsidRDefault="00927341" w14:paraId="4126502B" w14:textId="77777777">
      <w:pPr>
        <w:spacing w:before="120" w:after="120" w:line="276" w:lineRule="auto"/>
        <w:ind w:firstLine="709"/>
        <w:jc w:val="both"/>
        <w:rPr>
          <w:rFonts w:ascii="Arial" w:hAnsi="Arial" w:eastAsia="Calibri" w:cs="Arial"/>
          <w:color w:val="000000" w:themeColor="text1"/>
          <w:sz w:val="22"/>
        </w:rPr>
      </w:pPr>
      <w:r w:rsidRPr="004E20DA">
        <w:rPr>
          <w:rFonts w:ascii="Arial" w:hAnsi="Arial" w:eastAsia="Calibri" w:cs="Arial"/>
          <w:color w:val="000000" w:themeColor="text1"/>
          <w:sz w:val="22"/>
        </w:rPr>
        <w:t>En ese sentido, se debe tener en cuenta que, de acuerdo con la Ley 80 de 1993, quienes pueden ser proveedores del Estado son las personas consideradas legalmente capaces, como las personas jurídicas</w:t>
      </w:r>
      <w:r w:rsidRPr="004E20DA">
        <w:rPr>
          <w:rFonts w:ascii="Arial" w:hAnsi="Arial" w:eastAsia="Calibri" w:cs="Arial"/>
          <w:color w:val="000000" w:themeColor="text1"/>
          <w:sz w:val="22"/>
          <w:vertAlign w:val="superscript"/>
        </w:rPr>
        <w:footnoteReference w:id="2"/>
      </w:r>
      <w:r w:rsidRPr="004E20DA">
        <w:rPr>
          <w:rFonts w:ascii="Arial" w:hAnsi="Arial" w:eastAsia="Calibri" w:cs="Arial"/>
          <w:color w:val="000000" w:themeColor="text1"/>
          <w:sz w:val="22"/>
        </w:rPr>
        <w:t xml:space="preserve">, que de acuerdo con el Código Civil tienen capacidad para ejercer derechos y contraer obligaciones, por </w:t>
      </w:r>
      <w:proofErr w:type="gramStart"/>
      <w:r w:rsidRPr="004E20DA">
        <w:rPr>
          <w:rFonts w:ascii="Arial" w:hAnsi="Arial" w:eastAsia="Calibri" w:cs="Arial"/>
          <w:color w:val="000000" w:themeColor="text1"/>
          <w:sz w:val="22"/>
        </w:rPr>
        <w:t>ende</w:t>
      </w:r>
      <w:proofErr w:type="gramEnd"/>
      <w:r w:rsidRPr="004E20DA">
        <w:rPr>
          <w:rFonts w:ascii="Arial" w:hAnsi="Arial" w:eastAsia="Calibri" w:cs="Arial"/>
          <w:color w:val="000000" w:themeColor="text1"/>
          <w:sz w:val="22"/>
        </w:rPr>
        <w:t xml:space="preserve"> tienen capacidad jurídica. Un tipo de persona jurídica son las sociedades comerciales</w:t>
      </w:r>
      <w:r w:rsidRPr="004E20DA">
        <w:rPr>
          <w:rFonts w:ascii="Arial" w:hAnsi="Arial" w:eastAsia="Calibri" w:cs="Arial"/>
          <w:color w:val="000000" w:themeColor="text1"/>
          <w:sz w:val="22"/>
          <w:vertAlign w:val="superscript"/>
        </w:rPr>
        <w:footnoteReference w:id="3"/>
      </w:r>
      <w:r w:rsidRPr="004E20DA">
        <w:rPr>
          <w:rFonts w:ascii="Arial" w:hAnsi="Arial" w:eastAsia="Calibri" w:cs="Arial"/>
          <w:color w:val="000000" w:themeColor="text1"/>
          <w:sz w:val="22"/>
        </w:rPr>
        <w:t xml:space="preserve"> reguladas, principalmente, en el Código de Comercio</w:t>
      </w:r>
      <w:r w:rsidRPr="004E20DA">
        <w:rPr>
          <w:rFonts w:ascii="Arial" w:hAnsi="Arial" w:eastAsia="Calibri" w:cs="Arial"/>
          <w:color w:val="000000" w:themeColor="text1"/>
          <w:sz w:val="22"/>
          <w:vertAlign w:val="superscript"/>
        </w:rPr>
        <w:footnoteReference w:id="4"/>
      </w:r>
      <w:r w:rsidRPr="004E20DA">
        <w:rPr>
          <w:rFonts w:ascii="Arial" w:hAnsi="Arial" w:eastAsia="Calibri" w:cs="Arial"/>
          <w:color w:val="000000" w:themeColor="text1"/>
          <w:sz w:val="22"/>
        </w:rPr>
        <w:t>, donde se establecen las figuras y reformas estatutarias aplicables a estas como: la transformación, la escisión y la fusión.</w:t>
      </w:r>
    </w:p>
    <w:p w:rsidRPr="004E20DA" w:rsidR="00927341" w:rsidP="00927341" w:rsidRDefault="00927341" w14:paraId="75DE4906" w14:textId="471A51CA">
      <w:pPr>
        <w:spacing w:before="120" w:line="276" w:lineRule="auto"/>
        <w:ind w:firstLine="709"/>
        <w:jc w:val="both"/>
        <w:rPr>
          <w:rFonts w:ascii="Arial" w:hAnsi="Arial" w:eastAsia="Calibri" w:cs="Arial"/>
          <w:color w:val="000000" w:themeColor="text1"/>
          <w:sz w:val="22"/>
        </w:rPr>
      </w:pPr>
      <w:r w:rsidRPr="004E20DA">
        <w:rPr>
          <w:rFonts w:ascii="Arial" w:hAnsi="Arial" w:eastAsia="Calibri" w:cs="Arial"/>
          <w:color w:val="000000" w:themeColor="text1"/>
          <w:sz w:val="22"/>
        </w:rPr>
        <w:t xml:space="preserve">Por tanto, para resolver su consulta relacionada con la transferencia de experiencia a las personas jurídicas: i) en primer lugar se citará la regulación sobre experiencia; </w:t>
      </w:r>
      <w:proofErr w:type="spellStart"/>
      <w:r w:rsidRPr="004E20DA">
        <w:rPr>
          <w:rFonts w:ascii="Arial" w:hAnsi="Arial" w:eastAsia="Calibri" w:cs="Arial"/>
          <w:color w:val="000000" w:themeColor="text1"/>
          <w:sz w:val="22"/>
        </w:rPr>
        <w:t>ii</w:t>
      </w:r>
      <w:proofErr w:type="spellEnd"/>
      <w:r w:rsidRPr="004E20DA">
        <w:rPr>
          <w:rFonts w:ascii="Arial" w:hAnsi="Arial" w:eastAsia="Calibri" w:cs="Arial"/>
          <w:color w:val="000000" w:themeColor="text1"/>
          <w:sz w:val="22"/>
        </w:rPr>
        <w:t xml:space="preserve">) después se explicará la forma en que se acredita la experiencia en sociedades nuevas y </w:t>
      </w:r>
      <w:proofErr w:type="spellStart"/>
      <w:r w:rsidRPr="004E20DA">
        <w:rPr>
          <w:rFonts w:ascii="Arial" w:hAnsi="Arial" w:eastAsia="Calibri" w:cs="Arial"/>
          <w:color w:val="000000" w:themeColor="text1"/>
          <w:sz w:val="22"/>
        </w:rPr>
        <w:t>iii</w:t>
      </w:r>
      <w:proofErr w:type="spellEnd"/>
      <w:r w:rsidRPr="004E20DA">
        <w:rPr>
          <w:rFonts w:ascii="Arial" w:hAnsi="Arial" w:eastAsia="Calibri" w:cs="Arial"/>
          <w:color w:val="000000" w:themeColor="text1"/>
          <w:sz w:val="22"/>
        </w:rPr>
        <w:t>) se indicará c</w:t>
      </w:r>
      <w:r>
        <w:rPr>
          <w:rFonts w:ascii="Arial" w:hAnsi="Arial" w:eastAsia="Calibri" w:cs="Arial"/>
          <w:color w:val="000000" w:themeColor="text1"/>
          <w:sz w:val="22"/>
        </w:rPr>
        <w:t>ó</w:t>
      </w:r>
      <w:r w:rsidRPr="004E20DA">
        <w:rPr>
          <w:rFonts w:ascii="Arial" w:hAnsi="Arial" w:eastAsia="Calibri" w:cs="Arial"/>
          <w:color w:val="000000" w:themeColor="text1"/>
          <w:sz w:val="22"/>
        </w:rPr>
        <w:t>mo se acredita la experiencia en procesos exceptuados del deber de inscripción en el RUP</w:t>
      </w:r>
      <w:r w:rsidR="0071034D">
        <w:rPr>
          <w:rFonts w:ascii="Arial" w:hAnsi="Arial" w:eastAsia="Calibri" w:cs="Arial"/>
          <w:color w:val="000000" w:themeColor="text1"/>
          <w:sz w:val="22"/>
        </w:rPr>
        <w:t>.</w:t>
      </w:r>
    </w:p>
    <w:p w:rsidRPr="004E20DA" w:rsidR="00927341" w:rsidP="00927341" w:rsidRDefault="00927341" w14:paraId="6BA46F5A" w14:textId="77777777">
      <w:pPr>
        <w:spacing w:line="276" w:lineRule="auto"/>
        <w:ind w:firstLine="708"/>
        <w:jc w:val="both"/>
        <w:rPr>
          <w:rFonts w:ascii="Arial" w:hAnsi="Arial" w:eastAsia="Calibri" w:cs="Arial"/>
          <w:color w:val="000000" w:themeColor="text1"/>
          <w:sz w:val="22"/>
        </w:rPr>
      </w:pPr>
    </w:p>
    <w:p w:rsidRPr="004E20DA" w:rsidR="00927341" w:rsidP="00927341" w:rsidRDefault="00927341" w14:paraId="1E50B96C" w14:textId="57C08361">
      <w:pPr>
        <w:spacing w:line="276" w:lineRule="auto"/>
        <w:jc w:val="both"/>
        <w:rPr>
          <w:rFonts w:ascii="Arial" w:hAnsi="Arial" w:eastAsia="Calibri" w:cs="Arial"/>
          <w:b/>
          <w:color w:val="000000" w:themeColor="text1"/>
          <w:sz w:val="22"/>
        </w:rPr>
      </w:pPr>
      <w:r w:rsidRPr="004E20DA">
        <w:rPr>
          <w:rFonts w:ascii="Arial" w:hAnsi="Arial" w:eastAsia="Calibri" w:cs="Arial"/>
          <w:b/>
          <w:color w:val="000000" w:themeColor="text1"/>
          <w:sz w:val="22"/>
        </w:rPr>
        <w:lastRenderedPageBreak/>
        <w:t>2.</w:t>
      </w:r>
      <w:r w:rsidR="009F77D4">
        <w:rPr>
          <w:rFonts w:ascii="Arial" w:hAnsi="Arial" w:eastAsia="Calibri" w:cs="Arial"/>
          <w:b/>
          <w:color w:val="000000" w:themeColor="text1"/>
          <w:sz w:val="22"/>
        </w:rPr>
        <w:t xml:space="preserve">1. </w:t>
      </w:r>
      <w:r w:rsidRPr="004E20DA">
        <w:rPr>
          <w:rFonts w:ascii="Arial" w:hAnsi="Arial" w:eastAsia="Calibri" w:cs="Arial"/>
          <w:b/>
          <w:color w:val="000000" w:themeColor="text1"/>
          <w:sz w:val="22"/>
        </w:rPr>
        <w:t>Experiencia en la contratación pública: aproximación general al concepto y consideraciones del ente rector de la contratación pública</w:t>
      </w:r>
    </w:p>
    <w:p w:rsidRPr="004E20DA" w:rsidR="00927341" w:rsidP="00927341" w:rsidRDefault="00927341" w14:paraId="19E6231A" w14:textId="77777777">
      <w:pPr>
        <w:spacing w:line="276" w:lineRule="auto"/>
        <w:jc w:val="both"/>
        <w:rPr>
          <w:rFonts w:ascii="Arial" w:hAnsi="Arial" w:eastAsia="Calibri" w:cs="Arial"/>
          <w:b/>
          <w:color w:val="000000" w:themeColor="text1"/>
          <w:sz w:val="22"/>
        </w:rPr>
      </w:pPr>
    </w:p>
    <w:p w:rsidRPr="004E20DA" w:rsidR="00927341" w:rsidP="00927341" w:rsidRDefault="00927341" w14:paraId="2CDD5F22" w14:textId="77777777">
      <w:pPr>
        <w:spacing w:line="276" w:lineRule="auto"/>
        <w:jc w:val="both"/>
        <w:rPr>
          <w:rFonts w:ascii="Arial" w:hAnsi="Arial" w:eastAsia="Calibri" w:cs="Arial"/>
          <w:b/>
          <w:color w:val="000000" w:themeColor="text1"/>
          <w:sz w:val="22"/>
        </w:rPr>
      </w:pPr>
      <w:r w:rsidRPr="004E20DA">
        <w:rPr>
          <w:rFonts w:ascii="Arial" w:hAnsi="Arial" w:eastAsia="Calibri" w:cs="Arial"/>
          <w:b/>
          <w:color w:val="000000" w:themeColor="text1"/>
          <w:sz w:val="22"/>
        </w:rPr>
        <w:t>a) Norma general</w:t>
      </w:r>
    </w:p>
    <w:p w:rsidRPr="004E20DA" w:rsidR="00927341" w:rsidP="00927341" w:rsidRDefault="00927341" w14:paraId="43976827" w14:textId="77777777">
      <w:pPr>
        <w:spacing w:line="276" w:lineRule="auto"/>
        <w:jc w:val="both"/>
        <w:rPr>
          <w:rFonts w:ascii="Arial" w:hAnsi="Arial" w:eastAsia="Calibri" w:cs="Arial"/>
          <w:b/>
          <w:color w:val="000000" w:themeColor="text1"/>
          <w:sz w:val="22"/>
        </w:rPr>
      </w:pPr>
    </w:p>
    <w:p w:rsidRPr="004E20DA" w:rsidR="00927341" w:rsidP="00927341" w:rsidRDefault="00927341" w14:paraId="228380FA" w14:textId="77777777">
      <w:pPr>
        <w:spacing w:after="120" w:line="276" w:lineRule="auto"/>
        <w:jc w:val="both"/>
        <w:rPr>
          <w:rFonts w:ascii="Arial" w:hAnsi="Arial" w:eastAsia="Calibri" w:cs="Arial"/>
          <w:color w:val="000000" w:themeColor="text1"/>
          <w:sz w:val="22"/>
          <w:highlight w:val="yellow"/>
        </w:rPr>
      </w:pPr>
      <w:r w:rsidRPr="004E20DA">
        <w:rPr>
          <w:rFonts w:ascii="Arial" w:hAnsi="Arial" w:eastAsia="Calibri" w:cs="Arial"/>
          <w:color w:val="000000" w:themeColor="text1"/>
          <w:sz w:val="22"/>
        </w:rPr>
        <w:t>La Ley 1150 de 2007, en el artículo 5</w:t>
      </w:r>
      <w:r w:rsidRPr="004E20DA">
        <w:rPr>
          <w:rStyle w:val="Refdenotaalpie"/>
          <w:rFonts w:ascii="Arial" w:hAnsi="Arial" w:eastAsia="Calibri" w:cs="Arial"/>
          <w:color w:val="000000" w:themeColor="text1"/>
          <w:sz w:val="22"/>
        </w:rPr>
        <w:footnoteReference w:id="5"/>
      </w:r>
      <w:r w:rsidRPr="004E20DA">
        <w:rPr>
          <w:rFonts w:ascii="Arial" w:hAnsi="Arial" w:eastAsia="Calibri" w:cs="Arial"/>
          <w:color w:val="000000" w:themeColor="text1"/>
          <w:sz w:val="22"/>
        </w:rPr>
        <w:t>,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w:t>
      </w:r>
      <w:r w:rsidRPr="004E20DA">
        <w:rPr>
          <w:rFonts w:ascii="Arial" w:hAnsi="Arial" w:eastAsia="Calibri" w:cs="Arial"/>
          <w:color w:val="000000" w:themeColor="text1"/>
          <w:sz w:val="22"/>
          <w:vertAlign w:val="superscript"/>
        </w:rPr>
        <w:footnoteReference w:id="6"/>
      </w:r>
      <w:r w:rsidRPr="004E20DA">
        <w:rPr>
          <w:rFonts w:ascii="Arial" w:hAnsi="Arial" w:eastAsia="Calibri" w:cs="Arial"/>
          <w:color w:val="000000" w:themeColor="text1"/>
          <w:sz w:val="22"/>
        </w:rPr>
        <w:t>. En ese sentido,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w:t>
      </w:r>
      <w:r w:rsidRPr="004E20DA">
        <w:rPr>
          <w:rFonts w:ascii="Arial" w:hAnsi="Arial" w:eastAsia="Calibri" w:cs="Arial"/>
          <w:color w:val="000000" w:themeColor="text1"/>
          <w:sz w:val="22"/>
          <w:vertAlign w:val="superscript"/>
        </w:rPr>
        <w:footnoteReference w:id="7"/>
      </w:r>
      <w:r w:rsidRPr="004E20DA">
        <w:rPr>
          <w:rFonts w:ascii="Arial" w:hAnsi="Arial" w:eastAsia="Calibri" w:cs="Arial"/>
          <w:color w:val="000000" w:themeColor="text1"/>
          <w:sz w:val="22"/>
        </w:rPr>
        <w:t>.</w:t>
      </w:r>
    </w:p>
    <w:p w:rsidRPr="004E20DA" w:rsidR="00927341" w:rsidP="00927341" w:rsidRDefault="00927341" w14:paraId="29F7C45F" w14:textId="4A9AEB87">
      <w:pPr>
        <w:spacing w:before="120" w:after="120" w:line="276" w:lineRule="auto"/>
        <w:ind w:firstLine="708"/>
        <w:jc w:val="both"/>
        <w:rPr>
          <w:rFonts w:ascii="Arial" w:hAnsi="Arial" w:eastAsia="Calibri" w:cs="Arial"/>
          <w:color w:val="000000" w:themeColor="text1"/>
          <w:sz w:val="22"/>
        </w:rPr>
      </w:pPr>
      <w:r w:rsidRPr="004E20DA">
        <w:rPr>
          <w:rFonts w:ascii="Arial" w:hAnsi="Arial" w:eastAsia="Calibri" w:cs="Arial"/>
          <w:color w:val="000000" w:themeColor="text1"/>
          <w:sz w:val="22"/>
        </w:rPr>
        <w:lastRenderedPageBreak/>
        <w:t xml:space="preserve">La experiencia que se deriva de los contratos que el proponente ha celebrado y ejecutado con diferentes contratantes, sin importar la naturaleza de estos, se verifica con el Registro Único de Proponentes </w:t>
      </w:r>
      <w:r w:rsidR="0071034D">
        <w:rPr>
          <w:rFonts w:ascii="Arial" w:hAnsi="Arial" w:eastAsia="Calibri" w:cs="Arial"/>
          <w:color w:val="000000" w:themeColor="text1"/>
          <w:sz w:val="22"/>
        </w:rPr>
        <w:t>–</w:t>
      </w:r>
      <w:r w:rsidRPr="004E20DA">
        <w:rPr>
          <w:rFonts w:ascii="Arial" w:hAnsi="Arial" w:eastAsia="Calibri" w:cs="Arial"/>
          <w:color w:val="000000" w:themeColor="text1"/>
          <w:sz w:val="22"/>
        </w:rPr>
        <w:t>RUP</w:t>
      </w:r>
      <w:r w:rsidR="0071034D">
        <w:rPr>
          <w:rFonts w:ascii="Arial" w:hAnsi="Arial" w:eastAsia="Calibri" w:cs="Arial"/>
          <w:color w:val="000000" w:themeColor="text1"/>
          <w:sz w:val="22"/>
        </w:rPr>
        <w:t>–</w:t>
      </w:r>
      <w:r w:rsidRPr="004E20DA">
        <w:rPr>
          <w:rFonts w:ascii="Arial" w:hAnsi="Arial" w:eastAsia="Calibri" w:cs="Arial"/>
          <w:color w:val="000000" w:themeColor="text1"/>
          <w:sz w:val="22"/>
          <w:vertAlign w:val="superscript"/>
        </w:rPr>
        <w:footnoteReference w:id="8"/>
      </w:r>
      <w:r w:rsidRPr="004E20DA">
        <w:rPr>
          <w:rFonts w:ascii="Arial" w:hAnsi="Arial" w:eastAsia="Calibri" w:cs="Arial"/>
          <w:color w:val="000000" w:themeColor="text1"/>
          <w:sz w:val="22"/>
        </w:rPr>
        <w:t>, cuando este certificado sea exigible de acuerdo con la ley, en el cual constan los requisitos habilitantes que se evalúan exclusivamente con este documento, que es su plena prueba, sin que le sea posible a la entidad o al proponente solicitar o aportar otra documentación</w:t>
      </w:r>
      <w:r w:rsidRPr="004E20DA">
        <w:rPr>
          <w:rFonts w:ascii="Arial" w:hAnsi="Arial" w:eastAsia="Calibri" w:cs="Arial"/>
          <w:color w:val="000000" w:themeColor="text1"/>
          <w:sz w:val="22"/>
          <w:vertAlign w:val="superscript"/>
        </w:rPr>
        <w:footnoteReference w:id="9"/>
      </w:r>
      <w:r w:rsidRPr="004E20DA">
        <w:rPr>
          <w:rFonts w:ascii="Arial" w:hAnsi="Arial" w:eastAsia="Calibri" w:cs="Arial"/>
          <w:color w:val="000000" w:themeColor="text1"/>
          <w:sz w:val="22"/>
        </w:rPr>
        <w:t>.</w:t>
      </w:r>
    </w:p>
    <w:p w:rsidRPr="004E20DA" w:rsidR="00927341" w:rsidP="00927341" w:rsidRDefault="00927341" w14:paraId="21354A47" w14:textId="344A88CA">
      <w:pPr>
        <w:spacing w:line="276" w:lineRule="auto"/>
        <w:ind w:firstLine="708"/>
        <w:jc w:val="both"/>
        <w:rPr>
          <w:rFonts w:ascii="Arial" w:hAnsi="Arial" w:eastAsia="Calibri" w:cs="Arial"/>
          <w:color w:val="000000" w:themeColor="text1"/>
          <w:sz w:val="22"/>
        </w:rPr>
      </w:pPr>
      <w:r w:rsidRPr="004E20DA">
        <w:rPr>
          <w:rFonts w:ascii="Arial" w:hAnsi="Arial" w:eastAsia="Calibri" w:cs="Arial"/>
          <w:color w:val="000000" w:themeColor="text1"/>
          <w:sz w:val="22"/>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001D194F">
        <w:rPr>
          <w:rFonts w:ascii="Arial" w:hAnsi="Arial" w:eastAsia="Calibri" w:cs="Arial"/>
          <w:color w:val="000000" w:themeColor="text1"/>
          <w:sz w:val="22"/>
        </w:rPr>
        <w:t>,</w:t>
      </w:r>
      <w:r w:rsidRPr="004E20DA">
        <w:rPr>
          <w:rFonts w:ascii="Arial" w:hAnsi="Arial" w:eastAsia="Calibri" w:cs="Arial"/>
          <w:color w:val="000000" w:themeColor="text1"/>
          <w:sz w:val="22"/>
        </w:rPr>
        <w:t xml:space="preserve"> y esos documentos deben codificarse con el clasificador de bienes y servicios en el tercer nivel</w:t>
      </w:r>
      <w:r w:rsidRPr="004E20DA">
        <w:rPr>
          <w:rFonts w:ascii="Arial" w:hAnsi="Arial" w:eastAsia="Calibri" w:cs="Arial"/>
          <w:color w:val="000000" w:themeColor="text1"/>
          <w:sz w:val="22"/>
          <w:vertAlign w:val="superscript"/>
        </w:rPr>
        <w:footnoteReference w:id="10"/>
      </w:r>
      <w:r w:rsidRPr="004E20DA">
        <w:rPr>
          <w:rFonts w:ascii="Arial" w:hAnsi="Arial" w:eastAsia="Calibri" w:cs="Arial"/>
          <w:color w:val="000000" w:themeColor="text1"/>
          <w:sz w:val="22"/>
        </w:rPr>
        <w:t xml:space="preserve">. De esta manera, lo que se verifica con el RUP es que el proponente tenga </w:t>
      </w:r>
      <w:r w:rsidRPr="004E20DA">
        <w:rPr>
          <w:rFonts w:ascii="Arial" w:hAnsi="Arial" w:eastAsia="Calibri" w:cs="Arial"/>
          <w:color w:val="000000" w:themeColor="text1"/>
          <w:sz w:val="22"/>
        </w:rPr>
        <w:lastRenderedPageBreak/>
        <w:t xml:space="preserve">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rsidRPr="004E20DA" w:rsidR="00927341" w:rsidP="00927341" w:rsidRDefault="00927341" w14:paraId="146F5080" w14:textId="77777777">
      <w:pPr>
        <w:spacing w:line="276" w:lineRule="auto"/>
        <w:ind w:firstLine="709"/>
        <w:jc w:val="both"/>
        <w:rPr>
          <w:rFonts w:ascii="Arial" w:hAnsi="Arial" w:eastAsia="Calibri" w:cs="Arial"/>
          <w:color w:val="000000" w:themeColor="text1"/>
          <w:sz w:val="22"/>
        </w:rPr>
      </w:pPr>
    </w:p>
    <w:p w:rsidRPr="004E20DA" w:rsidR="00927341" w:rsidP="00927341" w:rsidRDefault="00927341" w14:paraId="0D6FF5A7" w14:textId="77777777">
      <w:pPr>
        <w:spacing w:line="276" w:lineRule="auto"/>
        <w:jc w:val="both"/>
        <w:rPr>
          <w:rFonts w:ascii="Arial" w:hAnsi="Arial" w:eastAsia="Calibri" w:cs="Arial"/>
          <w:b/>
          <w:bCs/>
          <w:color w:val="000000" w:themeColor="text1"/>
          <w:sz w:val="22"/>
        </w:rPr>
      </w:pPr>
      <w:r w:rsidRPr="004E20DA">
        <w:rPr>
          <w:rFonts w:ascii="Arial" w:hAnsi="Arial" w:eastAsia="Calibri" w:cs="Arial"/>
          <w:b/>
          <w:bCs/>
          <w:color w:val="000000" w:themeColor="text1"/>
          <w:sz w:val="22"/>
        </w:rPr>
        <w:t>b)</w:t>
      </w:r>
      <w:r w:rsidRPr="004E20DA">
        <w:rPr>
          <w:rFonts w:ascii="Arial" w:hAnsi="Arial" w:cs="Arial"/>
          <w:b/>
          <w:color w:val="000000" w:themeColor="text1"/>
          <w:sz w:val="22"/>
        </w:rPr>
        <w:t xml:space="preserve"> </w:t>
      </w:r>
      <w:r w:rsidRPr="004E20DA">
        <w:rPr>
          <w:rFonts w:ascii="Arial" w:hAnsi="Arial" w:eastAsia="Calibri" w:cs="Arial"/>
          <w:b/>
          <w:bCs/>
          <w:color w:val="000000" w:themeColor="text1"/>
          <w:sz w:val="22"/>
        </w:rPr>
        <w:t>Consideraciones de Colombia Compra Eficiente respecto de la experiencia</w:t>
      </w:r>
    </w:p>
    <w:p w:rsidRPr="004E20DA" w:rsidR="00927341" w:rsidP="00927341" w:rsidRDefault="00927341" w14:paraId="1B2FAF28" w14:textId="77777777">
      <w:pPr>
        <w:spacing w:line="276" w:lineRule="auto"/>
        <w:jc w:val="both"/>
        <w:rPr>
          <w:rFonts w:ascii="Arial" w:hAnsi="Arial" w:cs="Arial"/>
          <w:b/>
          <w:color w:val="000000" w:themeColor="text1"/>
          <w:sz w:val="22"/>
        </w:rPr>
      </w:pPr>
    </w:p>
    <w:p w:rsidRPr="004E20DA" w:rsidR="00927341" w:rsidP="00927341" w:rsidRDefault="00927341" w14:paraId="0F5F60CF" w14:textId="6966E018">
      <w:pPr>
        <w:spacing w:line="276" w:lineRule="auto"/>
        <w:jc w:val="both"/>
        <w:rPr>
          <w:rFonts w:ascii="Arial" w:hAnsi="Arial" w:eastAsia="Calibri" w:cs="Arial"/>
          <w:color w:val="000000" w:themeColor="text1"/>
          <w:sz w:val="22"/>
        </w:rPr>
      </w:pPr>
      <w:r w:rsidRPr="004E20DA">
        <w:rPr>
          <w:rFonts w:ascii="Arial" w:hAnsi="Arial" w:eastAsia="Calibri" w:cs="Arial"/>
          <w:color w:val="000000" w:themeColor="text1"/>
          <w:sz w:val="22"/>
        </w:rPr>
        <w:t xml:space="preserve">La Agencia Nacional de Contratación Pública ― Colombia Compra Eficiente puso a disposición de los interesados del Sistema de Compra Pública el «Manual para determinar y verificar requisitos habilitantes en los procesos de contratación», donde se establecen las definiciones de cada requisito habilitante y se </w:t>
      </w:r>
      <w:r w:rsidRPr="001F1F70">
        <w:rPr>
          <w:rFonts w:ascii="Arial" w:hAnsi="Arial" w:eastAsia="Calibri" w:cs="Arial"/>
          <w:color w:val="000000" w:themeColor="text1"/>
          <w:sz w:val="22"/>
        </w:rPr>
        <w:t>dan lineamientos orientadores sobre lo que las entidades pueden hacer para establecerlos, en este caso, frente a la experiencia.</w:t>
      </w:r>
      <w:r w:rsidRPr="001F1F70" w:rsidR="001F1F70">
        <w:rPr>
          <w:rFonts w:ascii="Arial" w:hAnsi="Arial" w:cs="Arial"/>
          <w:sz w:val="22"/>
        </w:rPr>
        <w:t xml:space="preserve"> </w:t>
      </w:r>
      <w:r w:rsidRPr="001F1F70" w:rsidR="001F1F70">
        <w:rPr>
          <w:rFonts w:ascii="Arial" w:hAnsi="Arial" w:cs="Arial"/>
          <w:sz w:val="22"/>
        </w:rPr>
        <w:t>En relación con la experiencia como requisito habilitante, el Manual se centra en su carácter personal, lo cual significa que se obtiene en razón a su participación, con anterioridad, en actividades que le permitieron conocer cómo ejecutar el objeto contractual que la entidad pretende satisfacer ahora</w:t>
      </w:r>
      <w:r w:rsidRPr="001F1F70" w:rsidR="001F1F70">
        <w:rPr>
          <w:rFonts w:ascii="Arial" w:hAnsi="Arial" w:cs="Arial"/>
          <w:sz w:val="22"/>
        </w:rPr>
        <w:t>.</w:t>
      </w:r>
      <w:r w:rsidRPr="001F1F70">
        <w:rPr>
          <w:rFonts w:ascii="Arial" w:hAnsi="Arial" w:eastAsia="Calibri" w:cs="Arial"/>
          <w:color w:val="000000" w:themeColor="text1"/>
          <w:sz w:val="22"/>
          <w:vertAlign w:val="superscript"/>
        </w:rPr>
        <w:footnoteReference w:id="11"/>
      </w:r>
    </w:p>
    <w:p w:rsidRPr="004E20DA" w:rsidR="00927341" w:rsidP="00927341" w:rsidRDefault="00927341" w14:paraId="59119F6B" w14:textId="44F9D8A6">
      <w:pPr>
        <w:spacing w:before="120" w:after="120" w:line="276" w:lineRule="auto"/>
        <w:ind w:firstLine="709"/>
        <w:jc w:val="both"/>
        <w:rPr>
          <w:rFonts w:ascii="Arial" w:hAnsi="Arial" w:eastAsia="Calibri" w:cs="Arial"/>
          <w:color w:val="000000" w:themeColor="text1"/>
          <w:sz w:val="22"/>
        </w:rPr>
      </w:pPr>
      <w:r w:rsidRPr="004E20DA">
        <w:rPr>
          <w:rFonts w:ascii="Arial" w:hAnsi="Arial" w:eastAsia="Calibri" w:cs="Arial"/>
          <w:color w:val="000000" w:themeColor="text1"/>
          <w:sz w:val="22"/>
        </w:rPr>
        <w:t>Lo anterior es destacable porque no es posible tener experiencia si en la práctica no se ha ejercido o ejecutado lo que se ofrece a otros contratantes</w:t>
      </w:r>
      <w:r w:rsidR="001D194F">
        <w:rPr>
          <w:rFonts w:ascii="Arial" w:hAnsi="Arial" w:eastAsia="Calibri" w:cs="Arial"/>
          <w:color w:val="000000" w:themeColor="text1"/>
          <w:sz w:val="22"/>
        </w:rPr>
        <w:t>,</w:t>
      </w:r>
      <w:r w:rsidRPr="004E20DA">
        <w:rPr>
          <w:rFonts w:ascii="Arial" w:hAnsi="Arial" w:eastAsia="Calibri" w:cs="Arial"/>
          <w:color w:val="000000" w:themeColor="text1"/>
          <w:sz w:val="22"/>
        </w:rPr>
        <w:t xml:space="preserve"> y precisamente de la experiencia es que se deriva el conocimiento que tiene el proponente, </w:t>
      </w:r>
      <w:r w:rsidR="001D194F">
        <w:rPr>
          <w:rFonts w:ascii="Arial" w:hAnsi="Arial" w:eastAsia="Calibri" w:cs="Arial"/>
          <w:color w:val="000000" w:themeColor="text1"/>
          <w:sz w:val="22"/>
        </w:rPr>
        <w:t>el cual</w:t>
      </w:r>
      <w:r w:rsidRPr="004E20DA">
        <w:rPr>
          <w:rFonts w:ascii="Arial" w:hAnsi="Arial" w:eastAsia="Calibri" w:cs="Arial"/>
          <w:color w:val="000000" w:themeColor="text1"/>
          <w:sz w:val="22"/>
        </w:rPr>
        <w:t xml:space="preserve"> garantiza que no existirá improvisación o mayores costos por errores o dificultades originadas en realizar una actividad por primera vez. Adicionalmente, el Manual menciona que la experiencia puede ser obtenida directamente o por participar asociado con otra persona, como es el caso de los proponentes plurales, en </w:t>
      </w:r>
      <w:r w:rsidR="00441F49">
        <w:rPr>
          <w:rFonts w:ascii="Arial" w:hAnsi="Arial" w:eastAsia="Calibri" w:cs="Arial"/>
          <w:color w:val="000000" w:themeColor="text1"/>
          <w:sz w:val="22"/>
        </w:rPr>
        <w:t>cuyo</w:t>
      </w:r>
      <w:r w:rsidRPr="004E20DA">
        <w:rPr>
          <w:rFonts w:ascii="Arial" w:hAnsi="Arial" w:eastAsia="Calibri" w:cs="Arial"/>
          <w:color w:val="000000" w:themeColor="text1"/>
          <w:sz w:val="22"/>
        </w:rPr>
        <w:t xml:space="preserve"> caso la experiencia no deja de ser </w:t>
      </w:r>
      <w:proofErr w:type="gramStart"/>
      <w:r w:rsidRPr="004E20DA">
        <w:rPr>
          <w:rFonts w:ascii="Arial" w:hAnsi="Arial" w:eastAsia="Calibri" w:cs="Arial"/>
          <w:color w:val="000000" w:themeColor="text1"/>
          <w:sz w:val="22"/>
        </w:rPr>
        <w:t>personal</w:t>
      </w:r>
      <w:proofErr w:type="gramEnd"/>
      <w:r w:rsidRPr="004E20DA">
        <w:rPr>
          <w:rFonts w:ascii="Arial" w:hAnsi="Arial" w:eastAsia="Calibri" w:cs="Arial"/>
          <w:color w:val="000000" w:themeColor="text1"/>
          <w:sz w:val="22"/>
        </w:rPr>
        <w:t xml:space="preserve"> sino </w:t>
      </w:r>
      <w:r w:rsidRPr="004E20DA">
        <w:rPr>
          <w:rFonts w:ascii="Arial" w:hAnsi="Arial" w:eastAsia="Calibri" w:cs="Arial"/>
          <w:color w:val="000000" w:themeColor="text1"/>
          <w:sz w:val="22"/>
        </w:rPr>
        <w:lastRenderedPageBreak/>
        <w:t xml:space="preserve">que es proporcional a la participación como miembro de un consorcio o unión temporal, donde por ser esquemas asociativos la experiencia es compartida. Por otra parte, la Agencia recomienda que la experiencia que se solicite sea proporcional y no igual al objeto que se va a contratar, ya que esto puede limitar la participación de los proveedores por no haber ejecutado un objeto igual pero sí similar, que puede funcionar para las exigencias de la entidad ayudando a que exista pluralidad de oferentes. Finalmente, se pueden extraer conclusiones relevantes en relación con los rasgos característicos de la experiencia: </w:t>
      </w:r>
    </w:p>
    <w:p w:rsidRPr="004E20DA" w:rsidR="00927341" w:rsidP="00927341" w:rsidRDefault="00927341" w14:paraId="141DAAE2" w14:textId="77777777">
      <w:pPr>
        <w:spacing w:before="120" w:after="120" w:line="276" w:lineRule="auto"/>
        <w:ind w:firstLine="709"/>
        <w:jc w:val="both"/>
        <w:rPr>
          <w:rFonts w:ascii="Arial" w:hAnsi="Arial" w:eastAsia="Calibri" w:cs="Arial"/>
          <w:color w:val="000000" w:themeColor="text1"/>
          <w:sz w:val="22"/>
        </w:rPr>
      </w:pPr>
      <w:r w:rsidRPr="004E20DA">
        <w:rPr>
          <w:rFonts w:ascii="Arial" w:hAnsi="Arial" w:eastAsia="Calibri" w:cs="Arial"/>
          <w:color w:val="000000" w:themeColor="text1"/>
          <w:sz w:val="22"/>
        </w:rPr>
        <w:t>i) La experiencia es personal, esto es, se adquiere participando, directa o indirectamente, sin que sea posible no participar y tener una experiencia que no es propia.</w:t>
      </w:r>
    </w:p>
    <w:p w:rsidRPr="004E20DA" w:rsidR="00927341" w:rsidP="00927341" w:rsidRDefault="00927341" w14:paraId="51315FDD" w14:textId="77777777">
      <w:pPr>
        <w:spacing w:before="120" w:after="120" w:line="276" w:lineRule="auto"/>
        <w:ind w:firstLine="709"/>
        <w:jc w:val="both"/>
        <w:rPr>
          <w:rFonts w:ascii="Arial" w:hAnsi="Arial" w:eastAsia="Calibri" w:cs="Arial"/>
          <w:color w:val="000000" w:themeColor="text1"/>
          <w:sz w:val="22"/>
        </w:rPr>
      </w:pPr>
      <w:proofErr w:type="spellStart"/>
      <w:r w:rsidRPr="004E20DA">
        <w:rPr>
          <w:rFonts w:ascii="Arial" w:hAnsi="Arial" w:eastAsia="Calibri" w:cs="Arial"/>
          <w:color w:val="000000" w:themeColor="text1"/>
          <w:sz w:val="22"/>
        </w:rPr>
        <w:t>ii</w:t>
      </w:r>
      <w:proofErr w:type="spellEnd"/>
      <w:r w:rsidRPr="004E20DA">
        <w:rPr>
          <w:rFonts w:ascii="Arial" w:hAnsi="Arial" w:eastAsia="Calibri" w:cs="Arial"/>
          <w:color w:val="000000" w:themeColor="text1"/>
          <w:sz w:val="22"/>
        </w:rPr>
        <w:t xml:space="preserve">) La experiencia se puede compartir, sin que la compartida se entienda suya, ya que dentro del procedimiento contractual se reflejará que esa persona tiene la experiencia de otra, como es el caso de la que aportan los socios a las sociedades con menos de 3 años de constitución, lo cual constará en el RUP; o de las figuras </w:t>
      </w:r>
      <w:proofErr w:type="gramStart"/>
      <w:r w:rsidRPr="004E20DA">
        <w:rPr>
          <w:rFonts w:ascii="Arial" w:hAnsi="Arial" w:eastAsia="Calibri" w:cs="Arial"/>
          <w:color w:val="000000" w:themeColor="text1"/>
          <w:sz w:val="22"/>
        </w:rPr>
        <w:t>asociativas  ̶</w:t>
      </w:r>
      <w:proofErr w:type="gramEnd"/>
      <w:r w:rsidRPr="004E20DA">
        <w:rPr>
          <w:rFonts w:ascii="Arial" w:hAnsi="Arial" w:eastAsia="Calibri" w:cs="Arial"/>
          <w:color w:val="000000" w:themeColor="text1"/>
          <w:sz w:val="22"/>
        </w:rPr>
        <w:t xml:space="preserve"> consorcios y uniones temporales ̶  que se verificará en el documento privado de constitución.</w:t>
      </w:r>
    </w:p>
    <w:p w:rsidRPr="004E20DA" w:rsidR="00927341" w:rsidP="00927341" w:rsidRDefault="00927341" w14:paraId="6E37913A" w14:textId="77777777">
      <w:pPr>
        <w:spacing w:before="120" w:after="120" w:line="276" w:lineRule="auto"/>
        <w:ind w:firstLine="709"/>
        <w:jc w:val="both"/>
        <w:rPr>
          <w:rFonts w:ascii="Arial" w:hAnsi="Arial" w:eastAsia="Calibri" w:cs="Arial"/>
          <w:color w:val="000000" w:themeColor="text1"/>
          <w:sz w:val="22"/>
        </w:rPr>
      </w:pPr>
      <w:proofErr w:type="spellStart"/>
      <w:r w:rsidRPr="004E20DA">
        <w:rPr>
          <w:rFonts w:ascii="Arial" w:hAnsi="Arial" w:eastAsia="Calibri" w:cs="Arial"/>
          <w:color w:val="000000" w:themeColor="text1"/>
          <w:sz w:val="22"/>
        </w:rPr>
        <w:t>iii</w:t>
      </w:r>
      <w:proofErr w:type="spellEnd"/>
      <w:r w:rsidRPr="004E20DA">
        <w:rPr>
          <w:rFonts w:ascii="Arial" w:hAnsi="Arial" w:eastAsia="Calibri" w:cs="Arial"/>
          <w:color w:val="000000" w:themeColor="text1"/>
          <w:sz w:val="22"/>
        </w:rPr>
        <w:t xml:space="preserve">) La experiencia se puede transferir, y es diferente a compartir, puesto que implica que la experiencia de una persona se traslada a otra, y esta última acredita esa experiencia como propia, lo cual es el caso de algunas figuras y reformas estatutarias. </w:t>
      </w:r>
    </w:p>
    <w:p w:rsidRPr="004E20DA" w:rsidR="00927341" w:rsidP="00927341" w:rsidRDefault="00927341" w14:paraId="64CB4625" w14:textId="77777777">
      <w:pPr>
        <w:spacing w:before="120" w:after="120" w:line="276" w:lineRule="auto"/>
        <w:ind w:firstLine="709"/>
        <w:jc w:val="both"/>
        <w:rPr>
          <w:rFonts w:ascii="Arial" w:hAnsi="Arial" w:eastAsia="Calibri" w:cs="Arial"/>
          <w:color w:val="000000" w:themeColor="text1"/>
          <w:sz w:val="22"/>
        </w:rPr>
      </w:pPr>
      <w:proofErr w:type="spellStart"/>
      <w:r w:rsidRPr="004E20DA">
        <w:rPr>
          <w:rFonts w:ascii="Arial" w:hAnsi="Arial" w:eastAsia="Calibri" w:cs="Arial"/>
          <w:color w:val="000000" w:themeColor="text1"/>
          <w:sz w:val="22"/>
        </w:rPr>
        <w:t>iv</w:t>
      </w:r>
      <w:proofErr w:type="spellEnd"/>
      <w:r w:rsidRPr="004E20DA">
        <w:rPr>
          <w:rFonts w:ascii="Arial" w:hAnsi="Arial" w:eastAsia="Calibri" w:cs="Arial"/>
          <w:color w:val="000000" w:themeColor="text1"/>
          <w:sz w:val="22"/>
        </w:rPr>
        <w:t>) Cuando la persona que adquirió la experiencia desaparece o se liquida, no es posible que comparta o transfiera su experiencia, porque al ser personal sigue la suerte de quien la adquirió.</w:t>
      </w:r>
    </w:p>
    <w:p w:rsidRPr="004E20DA" w:rsidR="00927341" w:rsidP="00927341" w:rsidRDefault="00927341" w14:paraId="654EDED1" w14:textId="3FF93A3C">
      <w:pPr>
        <w:spacing w:before="120" w:after="120" w:line="276" w:lineRule="auto"/>
        <w:ind w:firstLine="709"/>
        <w:jc w:val="both"/>
        <w:rPr>
          <w:rFonts w:ascii="Arial" w:hAnsi="Arial" w:cs="Arial"/>
          <w:color w:val="000000" w:themeColor="text1"/>
          <w:sz w:val="22"/>
        </w:rPr>
      </w:pPr>
      <w:r w:rsidRPr="004E20DA">
        <w:rPr>
          <w:rFonts w:ascii="Arial" w:hAnsi="Arial" w:cs="Arial"/>
          <w:color w:val="000000" w:themeColor="text1"/>
          <w:sz w:val="22"/>
        </w:rPr>
        <w:t xml:space="preserve">Ahora, el Registro Único de Proponentes </w:t>
      </w:r>
      <w:r w:rsidR="0071034D">
        <w:rPr>
          <w:rFonts w:ascii="Arial" w:hAnsi="Arial" w:eastAsia="Calibri" w:cs="Arial"/>
          <w:color w:val="000000" w:themeColor="text1"/>
          <w:sz w:val="22"/>
        </w:rPr>
        <w:t>–</w:t>
      </w:r>
      <w:r w:rsidRPr="004E20DA">
        <w:rPr>
          <w:rFonts w:ascii="Arial" w:hAnsi="Arial" w:eastAsia="Calibri" w:cs="Arial"/>
          <w:color w:val="000000" w:themeColor="text1"/>
          <w:sz w:val="22"/>
        </w:rPr>
        <w:t xml:space="preserve"> </w:t>
      </w:r>
      <w:r w:rsidRPr="004E20DA">
        <w:rPr>
          <w:rFonts w:ascii="Arial" w:hAnsi="Arial" w:cs="Arial"/>
          <w:color w:val="000000" w:themeColor="text1"/>
          <w:sz w:val="22"/>
        </w:rPr>
        <w:t>RUP fue creado por el artículo 6 de la Ley 1150 de 2007, y se constituye como el medio idóneo para verificar las condiciones de los proponentes en procesos de contratación pública. Este registro, conforme a lo señalado por la Corte Constitucional</w:t>
      </w:r>
      <w:r w:rsidRPr="004E20DA">
        <w:rPr>
          <w:rFonts w:ascii="Arial" w:hAnsi="Arial" w:cs="Arial"/>
          <w:color w:val="000000" w:themeColor="text1"/>
          <w:sz w:val="22"/>
          <w:vertAlign w:val="superscript"/>
        </w:rPr>
        <w:footnoteReference w:id="12"/>
      </w:r>
      <w:r w:rsidRPr="004E20DA">
        <w:rPr>
          <w:rFonts w:ascii="Arial" w:hAnsi="Arial" w:cs="Arial"/>
          <w:color w:val="000000" w:themeColor="text1"/>
          <w:sz w:val="22"/>
        </w:rPr>
        <w:t>, por atribución legal es administrado por las Cámaras de Comercio y la actividad relacionada en el mismo está «</w:t>
      </w:r>
      <w:proofErr w:type="spellStart"/>
      <w:r w:rsidRPr="004E20DA">
        <w:rPr>
          <w:rFonts w:ascii="Arial" w:hAnsi="Arial" w:cs="Arial"/>
          <w:color w:val="000000" w:themeColor="text1"/>
          <w:sz w:val="22"/>
        </w:rPr>
        <w:t>sometid</w:t>
      </w:r>
      <w:proofErr w:type="spellEnd"/>
      <w:r w:rsidRPr="004E20DA">
        <w:rPr>
          <w:rFonts w:ascii="Arial" w:hAnsi="Arial" w:cs="Arial"/>
          <w:color w:val="000000" w:themeColor="text1"/>
          <w:sz w:val="22"/>
        </w:rPr>
        <w:t xml:space="preserve">[a] a los principios de la función administrativa y de contratación estatal». </w:t>
      </w:r>
    </w:p>
    <w:p w:rsidRPr="004E20DA" w:rsidR="00927341" w:rsidP="00927341" w:rsidRDefault="00927341" w14:paraId="1DC6EEEA" w14:textId="77777777">
      <w:pPr>
        <w:spacing w:before="120" w:after="120" w:line="276" w:lineRule="auto"/>
        <w:ind w:firstLine="705"/>
        <w:jc w:val="both"/>
        <w:rPr>
          <w:rFonts w:ascii="Arial" w:hAnsi="Arial" w:cs="Arial"/>
          <w:color w:val="000000" w:themeColor="text1"/>
          <w:sz w:val="22"/>
        </w:rPr>
      </w:pPr>
      <w:r w:rsidRPr="004E20DA">
        <w:rPr>
          <w:rFonts w:ascii="Arial" w:hAnsi="Arial" w:cs="Arial"/>
          <w:color w:val="000000" w:themeColor="text1"/>
          <w:sz w:val="22"/>
        </w:rPr>
        <w:t xml:space="preserve">El artículo 6 de la Ley 1150 de 2007 señala que el RUP «es plena prueba de las circunstancias que en ella se hagan constar y que hayan sido verificadas por las Cámaras de Comercio», es decir, estableció una regla probatoria en lo que se refiere a las condiciones de las proponentes contenidas en el registro, y asignó la competencia a las cámaras para verificarlas. </w:t>
      </w:r>
    </w:p>
    <w:p w:rsidRPr="004E20DA" w:rsidR="00927341" w:rsidP="00BE053E" w:rsidRDefault="00927341" w14:paraId="73C84B90" w14:textId="471BBE5E">
      <w:pPr>
        <w:spacing w:before="120" w:after="120" w:line="276" w:lineRule="auto"/>
        <w:ind w:firstLine="709"/>
        <w:jc w:val="both"/>
        <w:rPr>
          <w:rFonts w:ascii="Arial" w:hAnsi="Arial" w:cs="Arial"/>
          <w:color w:val="000000" w:themeColor="text1"/>
          <w:sz w:val="22"/>
        </w:rPr>
      </w:pPr>
      <w:r w:rsidRPr="004E20DA">
        <w:rPr>
          <w:rFonts w:ascii="Arial" w:hAnsi="Arial" w:cs="Arial"/>
          <w:color w:val="000000" w:themeColor="text1"/>
          <w:sz w:val="22"/>
        </w:rPr>
        <w:t>Como se dijo, la norma impuso la obligación a todos los proponentes de inscribirse en el registro Único de Proponente</w:t>
      </w:r>
      <w:r w:rsidR="00E66B3D">
        <w:rPr>
          <w:rFonts w:ascii="Arial" w:hAnsi="Arial" w:cs="Arial"/>
          <w:color w:val="000000" w:themeColor="text1"/>
          <w:sz w:val="22"/>
        </w:rPr>
        <w:t>s</w:t>
      </w:r>
      <w:r w:rsidRPr="004E20DA">
        <w:rPr>
          <w:rFonts w:ascii="Arial" w:hAnsi="Arial" w:cs="Arial"/>
          <w:color w:val="000000" w:themeColor="text1"/>
          <w:sz w:val="22"/>
        </w:rPr>
        <w:t xml:space="preserve">, salvo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w:t>
      </w:r>
      <w:r w:rsidRPr="004E20DA">
        <w:rPr>
          <w:rFonts w:ascii="Arial" w:hAnsi="Arial" w:cs="Arial"/>
          <w:color w:val="000000" w:themeColor="text1"/>
          <w:sz w:val="22"/>
        </w:rPr>
        <w:lastRenderedPageBreak/>
        <w:t xml:space="preserve">los actos y contratos que tengan por objeto directo las actividades comerciales e industriales propias de las empresas industriales y comerciales del Estado y las sociedades de economía mixta y los contratos de concesión de cualquier índole. </w:t>
      </w:r>
    </w:p>
    <w:p w:rsidRPr="004E20DA" w:rsidR="00927341" w:rsidP="00927341" w:rsidRDefault="00927341" w14:paraId="6607DB3B" w14:textId="32D1E91E">
      <w:pPr>
        <w:spacing w:before="120" w:after="120" w:line="276" w:lineRule="auto"/>
        <w:jc w:val="both"/>
        <w:rPr>
          <w:rFonts w:ascii="Arial" w:hAnsi="Arial" w:cs="Arial"/>
          <w:color w:val="000000" w:themeColor="text1"/>
          <w:sz w:val="22"/>
        </w:rPr>
      </w:pPr>
      <w:r w:rsidRPr="004E20DA">
        <w:rPr>
          <w:rFonts w:ascii="Arial" w:hAnsi="Arial" w:cs="Arial"/>
          <w:color w:val="000000" w:themeColor="text1"/>
          <w:sz w:val="22"/>
        </w:rPr>
        <w:tab/>
      </w:r>
      <w:r w:rsidRPr="004E20DA" w:rsidR="009563D2">
        <w:rPr>
          <w:rFonts w:ascii="Arial" w:hAnsi="Arial" w:cs="Arial"/>
          <w:color w:val="000000" w:themeColor="text1"/>
          <w:sz w:val="22"/>
        </w:rPr>
        <w:t>Además</w:t>
      </w:r>
      <w:r w:rsidRPr="004E20DA">
        <w:rPr>
          <w:rFonts w:ascii="Arial" w:hAnsi="Arial" w:cs="Arial"/>
          <w:color w:val="000000" w:themeColor="text1"/>
          <w:sz w:val="22"/>
        </w:rPr>
        <w:t>, correlativo a este deber de los proponentes, la norma impuso a las cámaras de comercio la obligación de verificar los requisitos habilitantes de quienes se registren en dicha base de datos. El inciso 2 del numeral 6.1. le otorga carácter de plena prueba a la información contenida en el registro que haya sido verificada por las cámaras de comercio</w:t>
      </w:r>
      <w:r w:rsidR="004A4DA9">
        <w:rPr>
          <w:rFonts w:ascii="Arial" w:hAnsi="Arial" w:cs="Arial"/>
          <w:color w:val="000000" w:themeColor="text1"/>
          <w:sz w:val="22"/>
        </w:rPr>
        <w:t>. De igual forma</w:t>
      </w:r>
      <w:r w:rsidRPr="004E20DA">
        <w:rPr>
          <w:rFonts w:ascii="Arial" w:hAnsi="Arial" w:cs="Arial"/>
          <w:color w:val="000000" w:themeColor="text1"/>
          <w:sz w:val="22"/>
        </w:rPr>
        <w:t xml:space="preserve">, consagró una especie de tarifa legal respecto de la acreditación de los requisitos habilitantes, pues señala que la verificación de las condiciones de que trata el numeral 1 </w:t>
      </w:r>
      <w:r w:rsidR="00925F43">
        <w:rPr>
          <w:rFonts w:ascii="Arial" w:hAnsi="Arial" w:cs="Arial"/>
          <w:color w:val="000000" w:themeColor="text1"/>
          <w:sz w:val="22"/>
        </w:rPr>
        <w:t>d</w:t>
      </w:r>
      <w:r w:rsidRPr="004E20DA">
        <w:rPr>
          <w:rFonts w:ascii="Arial" w:hAnsi="Arial" w:cs="Arial"/>
          <w:color w:val="000000" w:themeColor="text1"/>
          <w:sz w:val="22"/>
        </w:rPr>
        <w:t xml:space="preserve">el artículo 5 de la Ley 1150 de 2007 se demostrará «exclusivamente con el respectivo certificado del RUP en donde deberán constar dichas condiciones». </w:t>
      </w:r>
    </w:p>
    <w:p w:rsidRPr="004E20DA" w:rsidR="00927341" w:rsidP="00927341" w:rsidRDefault="000F0579" w14:paraId="56725374" w14:textId="38EDFDC2">
      <w:pPr>
        <w:spacing w:before="120" w:after="120" w:line="276" w:lineRule="auto"/>
        <w:ind w:firstLine="708"/>
        <w:jc w:val="both"/>
        <w:rPr>
          <w:rFonts w:ascii="Arial" w:hAnsi="Arial" w:cs="Arial"/>
          <w:color w:val="000000" w:themeColor="text1"/>
          <w:sz w:val="22"/>
        </w:rPr>
      </w:pPr>
      <w:r>
        <w:rPr>
          <w:rFonts w:ascii="Arial" w:hAnsi="Arial" w:cs="Arial"/>
          <w:color w:val="000000" w:themeColor="text1"/>
          <w:sz w:val="22"/>
        </w:rPr>
        <w:t>En</w:t>
      </w:r>
      <w:r w:rsidRPr="004E20DA" w:rsidR="00927341">
        <w:rPr>
          <w:rFonts w:ascii="Arial" w:hAnsi="Arial" w:cs="Arial"/>
          <w:color w:val="000000" w:themeColor="text1"/>
          <w:sz w:val="22"/>
        </w:rPr>
        <w:t xml:space="preserve"> consecuencia, la norma dispone que a las entidades les está prohibido exigir otros documentos para efectuar la inscripción en el registro, salvo lo dispuesto en el inciso 3 del numeral 6.1.del artículo 6 de la Ley 1150 de 2007, en el que se prevé que la entidad podrá verificar requisitos adicionales a los contenidos en el registro cuando se requiera en virtud de la naturaleza del objeto a contratar. La misma norma señala que solo en este último evento la entidad podrá hacer la verificación en forma directa, es decir, cuando por el objeto del contrato se requieran verificar requisitos adicionales a los contenidos en el registro.  </w:t>
      </w:r>
    </w:p>
    <w:p w:rsidRPr="004E20DA" w:rsidR="00927341" w:rsidP="00927341" w:rsidRDefault="00927341" w14:paraId="7AF86DFE" w14:textId="77777777">
      <w:pPr>
        <w:spacing w:line="276" w:lineRule="auto"/>
        <w:ind w:firstLine="709"/>
        <w:jc w:val="both"/>
        <w:rPr>
          <w:rFonts w:ascii="Arial" w:hAnsi="Arial" w:cs="Arial"/>
          <w:color w:val="000000" w:themeColor="text1"/>
          <w:sz w:val="22"/>
        </w:rPr>
      </w:pPr>
      <w:r w:rsidRPr="004E20DA">
        <w:rPr>
          <w:rFonts w:ascii="Arial" w:hAnsi="Arial" w:cs="Arial"/>
          <w:color w:val="000000" w:themeColor="text1"/>
          <w:sz w:val="22"/>
        </w:rPr>
        <w:t xml:space="preserve">De lo anterior se concluye que la regla general es que la experiencia se acredite a través del RUP y, en consecuencia, la evaluación de la experiencia, como requisito habilitante, no puede ser evaluada nuevamente por la entidad pública a partir de otros criterios distintos a los señalados en el Registro Único de Proponentes. </w:t>
      </w:r>
    </w:p>
    <w:p w:rsidRPr="004E20DA" w:rsidR="00927341" w:rsidP="00927341" w:rsidRDefault="00927341" w14:paraId="27A095D9" w14:textId="77777777">
      <w:pPr>
        <w:spacing w:line="276" w:lineRule="auto"/>
        <w:jc w:val="both"/>
        <w:rPr>
          <w:rFonts w:ascii="Arial" w:hAnsi="Arial" w:cs="Arial"/>
          <w:color w:val="000000" w:themeColor="text1"/>
          <w:sz w:val="22"/>
        </w:rPr>
      </w:pPr>
    </w:p>
    <w:p w:rsidRPr="004E20DA" w:rsidR="00927341" w:rsidP="00927341" w:rsidRDefault="00927341" w14:paraId="56A160F3" w14:textId="1D2CC728">
      <w:pPr>
        <w:spacing w:line="276" w:lineRule="auto"/>
        <w:jc w:val="both"/>
        <w:rPr>
          <w:rFonts w:ascii="Arial" w:hAnsi="Arial" w:cs="Arial"/>
          <w:b/>
          <w:color w:val="000000" w:themeColor="text1"/>
          <w:sz w:val="22"/>
        </w:rPr>
      </w:pPr>
      <w:r w:rsidRPr="004E20DA">
        <w:rPr>
          <w:rFonts w:ascii="Arial" w:hAnsi="Arial" w:cs="Arial"/>
          <w:b/>
          <w:color w:val="000000" w:themeColor="text1"/>
          <w:sz w:val="22"/>
        </w:rPr>
        <w:t>2.</w:t>
      </w:r>
      <w:r w:rsidR="009F77D4">
        <w:rPr>
          <w:rFonts w:ascii="Arial" w:hAnsi="Arial" w:cs="Arial"/>
          <w:b/>
          <w:color w:val="000000" w:themeColor="text1"/>
          <w:sz w:val="22"/>
        </w:rPr>
        <w:t xml:space="preserve">2. </w:t>
      </w:r>
      <w:r w:rsidRPr="004E20DA">
        <w:rPr>
          <w:rFonts w:ascii="Arial" w:hAnsi="Arial" w:cs="Arial"/>
          <w:b/>
          <w:color w:val="000000" w:themeColor="text1"/>
          <w:sz w:val="22"/>
        </w:rPr>
        <w:t xml:space="preserve">Acreditación de experiencia de sociedades nuevas </w:t>
      </w:r>
    </w:p>
    <w:p w:rsidR="00927341" w:rsidP="00927341" w:rsidRDefault="00927341" w14:paraId="0811302F" w14:textId="77777777">
      <w:pPr>
        <w:spacing w:line="276" w:lineRule="auto"/>
        <w:jc w:val="both"/>
        <w:rPr>
          <w:rFonts w:ascii="Arial" w:hAnsi="Arial" w:cs="Arial"/>
          <w:color w:val="000000" w:themeColor="text1"/>
          <w:sz w:val="22"/>
        </w:rPr>
      </w:pPr>
    </w:p>
    <w:p w:rsidRPr="00AC2EB0" w:rsidR="00927341" w:rsidP="00BE053E" w:rsidRDefault="00927341" w14:paraId="09AA2714" w14:textId="59E10E8A">
      <w:pPr>
        <w:spacing w:after="120" w:line="276" w:lineRule="auto"/>
        <w:jc w:val="both"/>
        <w:rPr>
          <w:rFonts w:ascii="Arial" w:hAnsi="Arial" w:cs="Arial"/>
          <w:sz w:val="22"/>
        </w:rPr>
      </w:pPr>
      <w:r w:rsidRPr="00AC2EB0">
        <w:rPr>
          <w:rFonts w:ascii="Arial" w:hAnsi="Arial" w:cs="Arial"/>
          <w:sz w:val="22"/>
        </w:rPr>
        <w:t>La Ley 1150 de 2007, en el artículo 5, establece que la capacidad jurídica y las condiciones de experiencia, capacidad financiera y de organización de los proponentes serán objeto de verificación por parte de las entidades como requisitos habilitantes para participar en los procesos de selección y no otorgarán puntaje</w:t>
      </w:r>
      <w:r w:rsidR="00914FE1">
        <w:rPr>
          <w:rFonts w:ascii="Arial" w:hAnsi="Arial" w:cs="Arial"/>
          <w:sz w:val="22"/>
        </w:rPr>
        <w:t>,</w:t>
      </w:r>
      <w:r w:rsidRPr="00AC2EB0">
        <w:rPr>
          <w:rFonts w:ascii="Arial" w:hAnsi="Arial" w:cs="Arial"/>
          <w:sz w:val="22"/>
        </w:rPr>
        <w:t xml:space="preserve"> con excepción de la selección de consultores mediante un concurso de méritos, donde es posible otorgar puntaje al criterio de experiencia. </w:t>
      </w:r>
    </w:p>
    <w:p w:rsidRPr="00AC2EB0" w:rsidR="00927341" w:rsidP="00927341" w:rsidRDefault="00927341" w14:paraId="5FA9D93E" w14:textId="77777777">
      <w:pPr>
        <w:spacing w:before="120" w:after="120" w:line="276" w:lineRule="auto"/>
        <w:ind w:firstLine="708"/>
        <w:jc w:val="both"/>
        <w:rPr>
          <w:rFonts w:ascii="Arial" w:hAnsi="Arial" w:cs="Arial"/>
          <w:sz w:val="22"/>
        </w:rPr>
      </w:pPr>
      <w:r w:rsidRPr="00AC2EB0">
        <w:rPr>
          <w:rFonts w:ascii="Arial" w:hAnsi="Arial" w:cs="Arial"/>
          <w:sz w:val="22"/>
        </w:rPr>
        <w:t xml:space="preserve">Por su parte, el artículo 6 de la Ley 1150 de 2007 señala que todas las personas naturales o jurídicas, nacionales o extranjeras, domiciliadas o con sucursal en Colombia, que aspiren celebrar contratos con las entidades deberán estar inscritas en el Registro Único de Proponentes. En dicho registro constará la información relacionada con la experiencia, capacidad jurídica, financiera y de organización del proponente y su clasificación. Frente al requisito habilitante de experiencia, en el «Manual para determinar </w:t>
      </w:r>
      <w:r w:rsidRPr="00AC2EB0">
        <w:rPr>
          <w:rFonts w:ascii="Arial" w:hAnsi="Arial" w:cs="Arial"/>
          <w:sz w:val="22"/>
        </w:rPr>
        <w:lastRenderedPageBreak/>
        <w:t>y verificar requisitos habilitantes en los procesos de contratación» se define la experiencia como «el conocimiento del proponente derivado de su participación previa en actividades iguales o similares a las previstas en el objeto del contrato».</w:t>
      </w:r>
    </w:p>
    <w:p w:rsidRPr="00AC2EB0" w:rsidR="00927341" w:rsidP="00927341" w:rsidRDefault="00927341" w14:paraId="12001B75" w14:textId="77777777">
      <w:pPr>
        <w:spacing w:before="120" w:after="120" w:line="276" w:lineRule="auto"/>
        <w:ind w:firstLine="708"/>
        <w:jc w:val="both"/>
        <w:rPr>
          <w:rFonts w:ascii="Arial" w:hAnsi="Arial" w:cs="Arial"/>
          <w:sz w:val="22"/>
        </w:rPr>
      </w:pPr>
      <w:r w:rsidRPr="00AC2EB0">
        <w:rPr>
          <w:rFonts w:ascii="Arial" w:hAnsi="Arial" w:cs="Arial"/>
          <w:sz w:val="22"/>
        </w:rPr>
        <w:t>El Decreto 1082 de 2015, en el artículo 2.2.1.1.1.5.2, numeral 2.1,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copias de los contratos cuando el interesado no puede obtener tal certificado</w:t>
      </w:r>
      <w:r w:rsidRPr="00AC2EB0">
        <w:rPr>
          <w:rStyle w:val="Refdenotaalpie"/>
          <w:rFonts w:ascii="Arial" w:hAnsi="Arial" w:cs="Arial"/>
          <w:sz w:val="22"/>
        </w:rPr>
        <w:footnoteReference w:id="13"/>
      </w:r>
      <w:r w:rsidRPr="00AC2EB0">
        <w:rPr>
          <w:rFonts w:ascii="Arial" w:hAnsi="Arial" w:cs="Arial"/>
          <w:sz w:val="22"/>
        </w:rPr>
        <w:t xml:space="preserve">.  </w:t>
      </w:r>
    </w:p>
    <w:p w:rsidRPr="00AC2EB0" w:rsidR="00927341" w:rsidP="00927341" w:rsidRDefault="00927341" w14:paraId="292A1B9E" w14:textId="77777777">
      <w:pPr>
        <w:spacing w:before="120" w:after="120" w:line="276" w:lineRule="auto"/>
        <w:ind w:firstLine="708"/>
        <w:jc w:val="both"/>
        <w:rPr>
          <w:rFonts w:ascii="Arial" w:hAnsi="Arial" w:cs="Arial"/>
          <w:sz w:val="22"/>
        </w:rPr>
      </w:pPr>
      <w:r w:rsidRPr="00AC2EB0">
        <w:rPr>
          <w:rFonts w:ascii="Arial" w:hAnsi="Arial" w:cs="Arial"/>
          <w:sz w:val="22"/>
        </w:rPr>
        <w:t>El numeral 2.5</w:t>
      </w:r>
      <w:r w:rsidRPr="00AC2EB0">
        <w:rPr>
          <w:rStyle w:val="Refdenotaalpie"/>
          <w:rFonts w:ascii="Arial" w:hAnsi="Arial" w:cs="Arial"/>
          <w:sz w:val="22"/>
        </w:rPr>
        <w:footnoteReference w:id="14"/>
      </w:r>
      <w:r w:rsidRPr="00AC2EB0">
        <w:rPr>
          <w:rFonts w:ascii="Arial" w:hAnsi="Arial" w:cs="Arial"/>
          <w:sz w:val="22"/>
        </w:rPr>
        <w:t xml:space="preserve"> del mismo artículo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w:t>
      </w:r>
    </w:p>
    <w:p w:rsidRPr="00AC2EB0" w:rsidR="00927341" w:rsidP="00927341" w:rsidRDefault="00927341" w14:paraId="4F723425" w14:textId="77777777">
      <w:pPr>
        <w:spacing w:before="120" w:after="120" w:line="276" w:lineRule="auto"/>
        <w:ind w:firstLine="708"/>
        <w:jc w:val="both"/>
        <w:rPr>
          <w:rFonts w:ascii="Arial" w:hAnsi="Arial" w:cs="Arial"/>
          <w:sz w:val="22"/>
        </w:rPr>
      </w:pPr>
      <w:r w:rsidRPr="00AC2EB0">
        <w:rPr>
          <w:rFonts w:ascii="Arial" w:hAnsi="Arial" w:cs="Arial"/>
          <w:sz w:val="22"/>
        </w:rPr>
        <w:t>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p>
    <w:p w:rsidRPr="00AC2EB0" w:rsidR="00927341" w:rsidP="00927341" w:rsidRDefault="00927341" w14:paraId="6B474EAC" w14:textId="77777777">
      <w:pPr>
        <w:spacing w:before="120" w:after="120" w:line="276" w:lineRule="auto"/>
        <w:ind w:firstLine="708"/>
        <w:jc w:val="both"/>
        <w:rPr>
          <w:rFonts w:ascii="Arial" w:hAnsi="Arial" w:cs="Arial"/>
          <w:sz w:val="22"/>
        </w:rPr>
      </w:pPr>
      <w:r w:rsidRPr="00AC2EB0">
        <w:rPr>
          <w:rFonts w:ascii="Arial" w:hAnsi="Arial" w:cs="Arial"/>
          <w:sz w:val="22"/>
        </w:rPr>
        <w:t xml:space="preserve">La parte final del numeral 2.5 del artículo citado incluye una medida diferenciada para las personas jurídicas cuya constitución sea menor a 3 años al momento del registro. Esta prerrogativa, que puede ser entendida como de fomento a la participación de pequeños oferentes en la contratación estatal, permite que las sociedades relativamente </w:t>
      </w:r>
      <w:r w:rsidRPr="00AC2EB0">
        <w:rPr>
          <w:rFonts w:ascii="Arial" w:hAnsi="Arial" w:cs="Arial"/>
          <w:sz w:val="22"/>
        </w:rPr>
        <w:lastRenderedPageBreak/>
        <w:t xml:space="preserve">nuevas </w:t>
      </w:r>
      <w:r w:rsidRPr="00AC2EB0">
        <w:rPr>
          <w:rFonts w:ascii="Arial" w:hAnsi="Arial" w:eastAsia="Calibri" w:cs="Arial"/>
          <w:sz w:val="22"/>
        </w:rPr>
        <w:t>─</w:t>
      </w:r>
      <w:r w:rsidRPr="00AC2EB0">
        <w:rPr>
          <w:rFonts w:ascii="Arial" w:hAnsi="Arial" w:cs="Arial"/>
          <w:sz w:val="22"/>
        </w:rPr>
        <w:t>con menos de 3 años de constitución</w:t>
      </w:r>
      <w:r w:rsidRPr="00AC2EB0">
        <w:rPr>
          <w:rFonts w:ascii="Arial" w:hAnsi="Arial" w:eastAsia="Calibri" w:cs="Arial"/>
          <w:sz w:val="22"/>
        </w:rPr>
        <w:t>─</w:t>
      </w:r>
      <w:r w:rsidRPr="00AC2EB0">
        <w:rPr>
          <w:rFonts w:ascii="Arial" w:hAnsi="Arial" w:cs="Arial"/>
          <w:sz w:val="22"/>
        </w:rPr>
        <w:t xml:space="preserve"> puedan acreditar como experiencia en el RUP la de sus accionistas, socios o constituyentes. </w:t>
      </w:r>
    </w:p>
    <w:p w:rsidRPr="00AC2EB0" w:rsidR="00927341" w:rsidP="00927341" w:rsidRDefault="00927341" w14:paraId="29A21785" w14:textId="77777777">
      <w:pPr>
        <w:spacing w:before="120" w:after="120" w:line="276" w:lineRule="auto"/>
        <w:ind w:firstLine="708"/>
        <w:jc w:val="both"/>
        <w:rPr>
          <w:rFonts w:ascii="Arial" w:hAnsi="Arial" w:cs="Arial"/>
          <w:sz w:val="22"/>
        </w:rPr>
      </w:pPr>
      <w:r w:rsidRPr="00AC2EB0">
        <w:rPr>
          <w:rFonts w:ascii="Arial" w:hAnsi="Arial" w:cs="Arial"/>
          <w:sz w:val="22"/>
        </w:rPr>
        <w:t xml:space="preserve">A pesar de que la experiencia es inherente a la persona que la ha obtenido, razón por la cual es intransferible en virtud de su carácter personalísimo, por disposición legal o reglamentaria, en casos excepcionales, como el descrito por el artículo mencionado, se aplica de otra forma. </w:t>
      </w:r>
    </w:p>
    <w:p w:rsidRPr="00AC2EB0" w:rsidR="00927341" w:rsidP="00927341" w:rsidRDefault="00927341" w14:paraId="4A6D06AF" w14:textId="77777777">
      <w:pPr>
        <w:spacing w:before="120" w:after="120" w:line="276" w:lineRule="auto"/>
        <w:ind w:firstLine="708"/>
        <w:jc w:val="both"/>
        <w:rPr>
          <w:rFonts w:ascii="Arial" w:hAnsi="Arial" w:cs="Arial"/>
          <w:sz w:val="22"/>
        </w:rPr>
      </w:pPr>
      <w:r w:rsidRPr="00AC2EB0">
        <w:rPr>
          <w:rFonts w:ascii="Arial" w:hAnsi="Arial" w:cs="Arial"/>
          <w:sz w:val="22"/>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rsidRPr="00AC2EB0" w:rsidR="00927341" w:rsidP="00927341" w:rsidRDefault="00927341" w14:paraId="53A63859" w14:textId="77777777">
      <w:pPr>
        <w:spacing w:before="120" w:after="120" w:line="276" w:lineRule="auto"/>
        <w:ind w:firstLine="708"/>
        <w:jc w:val="both"/>
        <w:rPr>
          <w:rFonts w:ascii="Arial" w:hAnsi="Arial" w:cs="Arial"/>
          <w:sz w:val="22"/>
        </w:rPr>
      </w:pPr>
      <w:r w:rsidRPr="00AC2EB0">
        <w:rPr>
          <w:rFonts w:ascii="Arial" w:hAnsi="Arial" w:cs="Arial"/>
          <w:sz w:val="22"/>
        </w:rPr>
        <w:t xml:space="preserve">Este aspecto ofrece meridiana claridad en cuanto a su aplicación, pero el interrogante que ha generado la norma es ¿qué pasa después de que la sociedad a la que le ha sido permitido certificar la experiencia de sus socios, accionistas o constituyentes cumple 3 años de su constitución? ¿puede seguir siendo beneficiaria de la prerrogativa del numeral 2.5 del artículo 2.2.1.1.1.5.2 del Decreto 1082 de 2015? </w:t>
      </w:r>
    </w:p>
    <w:p w:rsidRPr="00AC2EB0" w:rsidR="00927341" w:rsidP="00927341" w:rsidRDefault="00927341" w14:paraId="2ACC80D4" w14:textId="77777777">
      <w:pPr>
        <w:spacing w:before="120" w:after="120" w:line="276" w:lineRule="auto"/>
        <w:ind w:firstLine="708"/>
        <w:jc w:val="both"/>
        <w:rPr>
          <w:rFonts w:ascii="Arial" w:hAnsi="Arial" w:cs="Arial"/>
          <w:sz w:val="22"/>
        </w:rPr>
      </w:pPr>
      <w:r w:rsidRPr="00AC2EB0">
        <w:rPr>
          <w:rFonts w:ascii="Arial" w:hAnsi="Arial" w:cs="Arial"/>
          <w:sz w:val="22"/>
        </w:rPr>
        <w:t xml:space="preserve">Estos interrogantes han sido planteados a la Subdirección de Gestión Contractual, y se ha dado respuestas en uno y otro sentido. Así, en el concepto del 7 de febrero de 2018 se sostuvo que las personas jurídicas que hubieran sido beneficiarias de la norma podían seguir acreditando la experiencia de sus socios o accionistas, inclusive después de transcurridos 3 años desde la constitución de la sociedad, siempre que se renovara el RUP.  </w:t>
      </w:r>
    </w:p>
    <w:p w:rsidRPr="00AC2EB0" w:rsidR="00927341" w:rsidP="00927341" w:rsidRDefault="00927341" w14:paraId="02771E56" w14:textId="1D2077DD">
      <w:pPr>
        <w:spacing w:before="120" w:after="120" w:line="276" w:lineRule="auto"/>
        <w:ind w:firstLine="708"/>
        <w:jc w:val="both"/>
        <w:rPr>
          <w:rFonts w:ascii="Arial" w:hAnsi="Arial" w:cs="Arial"/>
          <w:sz w:val="22"/>
        </w:rPr>
      </w:pPr>
      <w:r w:rsidRPr="00AC2EB0">
        <w:rPr>
          <w:rFonts w:ascii="Arial" w:hAnsi="Arial" w:cs="Arial"/>
          <w:sz w:val="22"/>
        </w:rPr>
        <w:t xml:space="preserve">Teniendo en cuenta lo anterior, aunque la persona jurídica tenga más de tres años de constituida y haya registrado inicialmente la experiencia de sus socios en el RUP </w:t>
      </w:r>
      <w:r w:rsidR="00C4740F">
        <w:rPr>
          <w:rFonts w:ascii="Arial" w:hAnsi="Arial" w:eastAsia="Calibri" w:cs="Arial"/>
          <w:sz w:val="22"/>
        </w:rPr>
        <w:t>–</w:t>
      </w:r>
      <w:r w:rsidRPr="00AC2EB0">
        <w:rPr>
          <w:rFonts w:ascii="Arial" w:hAnsi="Arial" w:cs="Arial"/>
          <w:sz w:val="22"/>
        </w:rPr>
        <w:t>pues su constitución era inferior a tres años</w:t>
      </w:r>
      <w:r w:rsidR="00C4740F">
        <w:rPr>
          <w:rFonts w:ascii="Arial" w:hAnsi="Arial" w:eastAsia="Calibri" w:cs="Arial"/>
          <w:sz w:val="22"/>
        </w:rPr>
        <w:t>–</w:t>
      </w:r>
      <w:r w:rsidRPr="00AC2EB0">
        <w:rPr>
          <w:rFonts w:ascii="Arial" w:hAnsi="Arial" w:cs="Arial"/>
          <w:sz w:val="22"/>
        </w:rPr>
        <w:t xml:space="preserve"> y este es renovado, puede continuar utilizando la experiencia inscrita mientras no cesen los efectos del RUP. Por el contrario, si el RUP no es renovado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rsidRPr="00AC2EB0" w:rsidR="00927341" w:rsidP="00927341" w:rsidRDefault="00927341" w14:paraId="2ED36A23" w14:textId="01A30C17">
      <w:pPr>
        <w:spacing w:before="120" w:after="120" w:line="276" w:lineRule="auto"/>
        <w:ind w:firstLine="708"/>
        <w:jc w:val="both"/>
        <w:rPr>
          <w:rFonts w:ascii="Arial" w:hAnsi="Arial" w:cs="Arial"/>
          <w:sz w:val="22"/>
        </w:rPr>
      </w:pPr>
      <w:r w:rsidRPr="00AC2EB0">
        <w:rPr>
          <w:rFonts w:ascii="Arial" w:hAnsi="Arial" w:cs="Arial"/>
          <w:sz w:val="22"/>
        </w:rPr>
        <w:t xml:space="preserve">Posición contraria se adoptó en un concepto con radicado No. 4201814000001418 del 3 de abril de 2018, donde frente a la misma pregunta esta Subdirección respondió que después de cumplidos los 3 años contados desde la constitución de la sociedad, las entidades estatales no deberían tener como válida la experiencia acreditada por los socios, accionistas o constituyentes. Como fundamento de esta posición, la Subdirección consideró </w:t>
      </w:r>
      <w:r w:rsidR="004C161F">
        <w:rPr>
          <w:rFonts w:ascii="Arial" w:hAnsi="Arial" w:cs="Arial"/>
          <w:sz w:val="22"/>
        </w:rPr>
        <w:t>en esa oportunidad</w:t>
      </w:r>
      <w:r w:rsidR="001570A9">
        <w:rPr>
          <w:rFonts w:ascii="Arial" w:hAnsi="Arial" w:cs="Arial"/>
          <w:sz w:val="22"/>
        </w:rPr>
        <w:t xml:space="preserve"> </w:t>
      </w:r>
      <w:r w:rsidRPr="00AC2EB0">
        <w:rPr>
          <w:rFonts w:ascii="Arial" w:hAnsi="Arial" w:cs="Arial"/>
          <w:sz w:val="22"/>
        </w:rPr>
        <w:t xml:space="preserve">lo siguiente: </w:t>
      </w:r>
    </w:p>
    <w:p w:rsidRPr="00AC2EB0" w:rsidR="00927341" w:rsidP="00927341" w:rsidRDefault="00927341" w14:paraId="7F9B9096" w14:textId="77777777">
      <w:pPr>
        <w:spacing w:before="120" w:after="120" w:line="276" w:lineRule="auto"/>
        <w:ind w:firstLine="708"/>
        <w:jc w:val="both"/>
        <w:rPr>
          <w:rFonts w:ascii="Arial" w:hAnsi="Arial" w:cs="Arial"/>
          <w:sz w:val="22"/>
        </w:rPr>
      </w:pPr>
      <w:r w:rsidRPr="00AC2EB0">
        <w:rPr>
          <w:rFonts w:ascii="Arial" w:hAnsi="Arial" w:cs="Arial"/>
          <w:sz w:val="22"/>
        </w:rPr>
        <w:lastRenderedPageBreak/>
        <w:t xml:space="preserve">i) La posición de Colombia Compra Eficiente respecto a la validez de la experiencia de los accionistas, socios o constituyentes, acreditada en el RUP por una sociedad nueva, cuando está ya superó los 3 años de constituida, ha variado. </w:t>
      </w:r>
    </w:p>
    <w:p w:rsidRPr="00AC2EB0" w:rsidR="00927341" w:rsidP="00927341" w:rsidRDefault="00927341" w14:paraId="0E06D377" w14:textId="77777777">
      <w:pPr>
        <w:spacing w:before="120" w:after="120" w:line="276" w:lineRule="auto"/>
        <w:ind w:firstLine="708"/>
        <w:jc w:val="both"/>
        <w:rPr>
          <w:rFonts w:ascii="Arial" w:hAnsi="Arial" w:cs="Arial"/>
          <w:sz w:val="22"/>
        </w:rPr>
      </w:pPr>
      <w:proofErr w:type="spellStart"/>
      <w:r w:rsidRPr="00AC2EB0">
        <w:rPr>
          <w:rFonts w:ascii="Arial" w:hAnsi="Arial" w:cs="Arial"/>
          <w:sz w:val="22"/>
        </w:rPr>
        <w:t>ii</w:t>
      </w:r>
      <w:proofErr w:type="spellEnd"/>
      <w:r w:rsidRPr="00AC2EB0">
        <w:rPr>
          <w:rFonts w:ascii="Arial" w:hAnsi="Arial" w:cs="Arial"/>
          <w:sz w:val="22"/>
        </w:rPr>
        <w:t xml:space="preserve">) El Decreto 1082 de 2015 establece </w:t>
      </w:r>
      <w:proofErr w:type="gramStart"/>
      <w:r w:rsidRPr="00AC2EB0">
        <w:rPr>
          <w:rFonts w:ascii="Arial" w:hAnsi="Arial" w:cs="Arial"/>
          <w:sz w:val="22"/>
        </w:rPr>
        <w:t>que</w:t>
      </w:r>
      <w:proofErr w:type="gramEnd"/>
      <w:r w:rsidRPr="00AC2EB0">
        <w:rPr>
          <w:rFonts w:ascii="Arial" w:hAnsi="Arial" w:cs="Arial"/>
          <w:sz w:val="22"/>
        </w:rPr>
        <w:t xml:space="preserve"> para la inscripción en el RUP de una persona jurídica, si su constitución es menor a 3 años, puede acreditar la experiencia de sus accionistas, socios o constituyentes. </w:t>
      </w:r>
    </w:p>
    <w:p w:rsidRPr="00AC2EB0" w:rsidR="00927341" w:rsidP="00927341" w:rsidRDefault="00927341" w14:paraId="36EB3135" w14:textId="77777777">
      <w:pPr>
        <w:spacing w:before="120" w:after="120" w:line="276" w:lineRule="auto"/>
        <w:ind w:firstLine="708"/>
        <w:jc w:val="both"/>
        <w:rPr>
          <w:rFonts w:ascii="Arial" w:hAnsi="Arial" w:cs="Arial"/>
          <w:sz w:val="22"/>
        </w:rPr>
      </w:pPr>
      <w:proofErr w:type="spellStart"/>
      <w:r w:rsidRPr="00AC2EB0">
        <w:rPr>
          <w:rFonts w:ascii="Arial" w:hAnsi="Arial" w:cs="Arial"/>
          <w:sz w:val="22"/>
        </w:rPr>
        <w:t>iii</w:t>
      </w:r>
      <w:proofErr w:type="spellEnd"/>
      <w:r w:rsidRPr="00AC2EB0">
        <w:rPr>
          <w:rFonts w:ascii="Arial" w:hAnsi="Arial" w:cs="Arial"/>
          <w:sz w:val="22"/>
        </w:rPr>
        <w:t xml:space="preserve">) La finalidad de esta norma es permitir que las sociedades que no cuentan con la experiencia suficiente para contratar con el Estado puedan apoyarse en la experiencia de sus accionistas, socios o constituyentes con el fin de incentivar la libre competencia en la contratación estatal. </w:t>
      </w:r>
    </w:p>
    <w:p w:rsidRPr="00AC2EB0" w:rsidR="00927341" w:rsidP="00927341" w:rsidRDefault="00927341" w14:paraId="77CB81D6" w14:textId="77777777">
      <w:pPr>
        <w:spacing w:before="120" w:after="120" w:line="276" w:lineRule="auto"/>
        <w:ind w:firstLine="708"/>
        <w:jc w:val="both"/>
        <w:rPr>
          <w:rFonts w:ascii="Arial" w:hAnsi="Arial" w:cs="Arial"/>
          <w:sz w:val="22"/>
        </w:rPr>
      </w:pPr>
      <w:proofErr w:type="spellStart"/>
      <w:r w:rsidRPr="00AC2EB0">
        <w:rPr>
          <w:rFonts w:ascii="Arial" w:hAnsi="Arial" w:cs="Arial"/>
          <w:sz w:val="22"/>
        </w:rPr>
        <w:t>iv</w:t>
      </w:r>
      <w:proofErr w:type="spellEnd"/>
      <w:r w:rsidRPr="00AC2EB0">
        <w:rPr>
          <w:rFonts w:ascii="Arial" w:hAnsi="Arial" w:cs="Arial"/>
          <w:sz w:val="22"/>
        </w:rPr>
        <w:t xml:space="preserve">) En consecuencia, la persona jurídica cuya constitución es menor a 3 años puede registrar la experiencia de sus socios en el RUP, la cual no podrá ser tenida en cuenta por la entidad estatal como experiencia de la sociedad una vez cumplidos los 3 años de constituida la persona jurídica a los que hace referencia la norma, pues no se cumple con el presupuesto normativo para acceder al beneficio que contempla el Decreto 1082. </w:t>
      </w:r>
    </w:p>
    <w:p w:rsidRPr="00AC2EB0" w:rsidR="00927341" w:rsidP="00927341" w:rsidRDefault="00927341" w14:paraId="5540E8CD" w14:textId="77777777">
      <w:pPr>
        <w:spacing w:before="120" w:after="120" w:line="276" w:lineRule="auto"/>
        <w:ind w:firstLine="708"/>
        <w:jc w:val="both"/>
        <w:rPr>
          <w:rFonts w:ascii="Arial" w:hAnsi="Arial" w:cs="Arial"/>
          <w:sz w:val="22"/>
        </w:rPr>
      </w:pPr>
      <w:r w:rsidRPr="00AC2EB0">
        <w:rPr>
          <w:rFonts w:ascii="Arial" w:hAnsi="Arial" w:cs="Arial"/>
          <w:sz w:val="22"/>
        </w:rPr>
        <w:t xml:space="preserve">v) Las Cámaras de Comercio hacen la verificación documental de la información presentada por los interesados al momento de inscribir, renovar o actualizar su información en el RUP. De esa forma, a diferencia de la renovación, la actualización del RUP puede llevarse a cabo en cualquier momento </w:t>
      </w:r>
      <w:r w:rsidRPr="00AC2EB0">
        <w:rPr>
          <w:rFonts w:ascii="Arial" w:hAnsi="Arial" w:eastAsia="Calibri" w:cs="Arial"/>
          <w:sz w:val="22"/>
        </w:rPr>
        <w:t>―</w:t>
      </w:r>
      <w:r w:rsidRPr="00AC2EB0">
        <w:rPr>
          <w:rFonts w:ascii="Arial" w:hAnsi="Arial" w:cs="Arial"/>
          <w:sz w:val="22"/>
        </w:rPr>
        <w:t>únicamente para la capacidad jurídica y experiencia</w:t>
      </w:r>
      <w:r w:rsidRPr="00AC2EB0">
        <w:rPr>
          <w:rFonts w:ascii="Arial" w:hAnsi="Arial" w:eastAsia="Calibri" w:cs="Arial"/>
          <w:sz w:val="22"/>
        </w:rPr>
        <w:t>―</w:t>
      </w:r>
      <w:r w:rsidRPr="00AC2EB0">
        <w:rPr>
          <w:rFonts w:ascii="Arial" w:hAnsi="Arial" w:cs="Arial"/>
          <w:sz w:val="22"/>
        </w:rPr>
        <w:t xml:space="preserve"> y debe ser verificada junto con sus soportes por la Cámara de Comercio correspondiente. </w:t>
      </w:r>
    </w:p>
    <w:p w:rsidRPr="00AC2EB0" w:rsidR="00927341" w:rsidP="00927341" w:rsidRDefault="00927341" w14:paraId="362FD644" w14:textId="77777777">
      <w:pPr>
        <w:spacing w:before="120" w:after="120" w:line="276" w:lineRule="auto"/>
        <w:ind w:firstLine="708"/>
        <w:jc w:val="both"/>
        <w:rPr>
          <w:rFonts w:ascii="Arial" w:hAnsi="Arial" w:cs="Arial"/>
          <w:sz w:val="22"/>
        </w:rPr>
      </w:pPr>
      <w:r w:rsidRPr="00AC2EB0">
        <w:rPr>
          <w:rFonts w:ascii="Arial" w:hAnsi="Arial" w:cs="Arial"/>
          <w:sz w:val="22"/>
        </w:rPr>
        <w:t xml:space="preserve">Ante esta disparidad de criterios, la Subdirección de Gestión Contractual estimó necesario recoger estos pronunciamientos y unificar la posición en el concepto con radicado No. 4201913000006797 del 19 de noviembre de 2019, en torno a la posibilidad de que las sociedades nuevas puedan seguir acreditando la experiencia de sus socios, accionistas o constituyentes, incluso después de cumplidos 3 años de constitución de la persona jurídica. </w:t>
      </w:r>
    </w:p>
    <w:p w:rsidRPr="00AC2EB0" w:rsidR="00927341" w:rsidP="00927341" w:rsidRDefault="00927341" w14:paraId="643BC7B7" w14:textId="77777777">
      <w:pPr>
        <w:spacing w:before="120" w:after="120" w:line="276" w:lineRule="auto"/>
        <w:ind w:firstLine="708"/>
        <w:jc w:val="both"/>
        <w:rPr>
          <w:rFonts w:ascii="Arial" w:hAnsi="Arial" w:cs="Arial"/>
          <w:sz w:val="22"/>
        </w:rPr>
      </w:pPr>
      <w:r w:rsidRPr="00AC2EB0">
        <w:rPr>
          <w:rFonts w:ascii="Arial" w:hAnsi="Arial" w:cs="Arial"/>
          <w:sz w:val="22"/>
        </w:rPr>
        <w:t>El criterio que se adoptó fue que la experiencia de los socios, accionistas o constituyentes, para las sociedades que al momento de inscribirse en el RUP tenían menos de 3 años de constituidas, puede seguir siendo acreditada por la persona jurídica después de transcurridos los 3 años del acto de constitución. Esta posición había sido reiterada por esta Subdirección en pronunciamientos posteriores a la acogida en el concepto del 3 de abril de 2018 antes citado y previos a la postura definida en el concepto del 19 de noviembre de 2019</w:t>
      </w:r>
      <w:r w:rsidRPr="00AC2EB0">
        <w:rPr>
          <w:rStyle w:val="Refdenotaalpie"/>
          <w:rFonts w:ascii="Arial" w:hAnsi="Arial" w:cs="Arial"/>
          <w:sz w:val="22"/>
        </w:rPr>
        <w:footnoteReference w:id="15"/>
      </w:r>
      <w:r w:rsidRPr="00AC2EB0">
        <w:rPr>
          <w:rFonts w:ascii="Arial" w:hAnsi="Arial" w:cs="Arial"/>
          <w:sz w:val="22"/>
        </w:rPr>
        <w:t xml:space="preserve">. </w:t>
      </w:r>
    </w:p>
    <w:p w:rsidRPr="00AC2EB0" w:rsidR="00927341" w:rsidP="00927341" w:rsidRDefault="00927341" w14:paraId="6469AF97" w14:textId="1521C33D">
      <w:pPr>
        <w:spacing w:before="120" w:after="120" w:line="276" w:lineRule="auto"/>
        <w:ind w:firstLine="708"/>
        <w:jc w:val="both"/>
        <w:rPr>
          <w:rFonts w:ascii="Arial" w:hAnsi="Arial" w:cs="Arial"/>
          <w:sz w:val="22"/>
        </w:rPr>
      </w:pPr>
      <w:r w:rsidRPr="00AC2EB0">
        <w:rPr>
          <w:rFonts w:ascii="Arial" w:hAnsi="Arial" w:cs="Arial"/>
          <w:sz w:val="22"/>
        </w:rPr>
        <w:lastRenderedPageBreak/>
        <w:t>Se reitera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 para renovar su registro a más tardar el quinto día hábil del mes de abril de cada año, de lo contrario cesan sus efectos</w:t>
      </w:r>
      <w:r w:rsidRPr="00AC2EB0">
        <w:rPr>
          <w:rStyle w:val="Refdenotaalpie"/>
          <w:rFonts w:ascii="Arial" w:hAnsi="Arial" w:cs="Arial"/>
          <w:sz w:val="22"/>
        </w:rPr>
        <w:footnoteReference w:id="16"/>
      </w:r>
      <w:r w:rsidRPr="00AC2EB0">
        <w:rPr>
          <w:rFonts w:ascii="Arial" w:hAnsi="Arial" w:cs="Arial"/>
          <w:sz w:val="22"/>
        </w:rPr>
        <w:t xml:space="preserve">. En la actualidad, las cámaras de comercio solo pueden eliminar la experiencia registrada en el RUP a solicitud del proponente, por tanto, les corresponde a las personas jurídicas mantener su RUP actualizado y a las entidades estatales verificar el RUP para efectos de evaluar la experiencia. </w:t>
      </w:r>
    </w:p>
    <w:p w:rsidRPr="00AC2EB0" w:rsidR="00927341" w:rsidP="00927341" w:rsidRDefault="00927341" w14:paraId="45821437" w14:textId="77777777">
      <w:pPr>
        <w:spacing w:before="120" w:after="120" w:line="276" w:lineRule="auto"/>
        <w:ind w:firstLine="708"/>
        <w:jc w:val="both"/>
        <w:rPr>
          <w:rFonts w:ascii="Arial" w:hAnsi="Arial" w:cs="Arial"/>
          <w:sz w:val="22"/>
        </w:rPr>
      </w:pPr>
      <w:r w:rsidRPr="00AC2EB0">
        <w:rPr>
          <w:rFonts w:ascii="Arial" w:hAnsi="Arial" w:cs="Arial"/>
          <w:sz w:val="22"/>
        </w:rPr>
        <w:t xml:space="preserve">En otras palabras, 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rsidRPr="00AC2EB0" w:rsidR="00927341" w:rsidP="00927341" w:rsidRDefault="00927341" w14:paraId="2A4E4C16" w14:textId="188468CB">
      <w:pPr>
        <w:spacing w:line="276" w:lineRule="auto"/>
        <w:ind w:firstLine="708"/>
        <w:jc w:val="both"/>
        <w:rPr>
          <w:rFonts w:ascii="Arial" w:hAnsi="Arial" w:cs="Arial"/>
          <w:sz w:val="22"/>
        </w:rPr>
      </w:pPr>
      <w:r w:rsidRPr="00AC2EB0">
        <w:rPr>
          <w:rFonts w:ascii="Arial" w:hAnsi="Arial" w:cs="Arial"/>
          <w:sz w:val="22"/>
        </w:rPr>
        <w:t xml:space="preserve">Lo anterior, tiene fundamento </w:t>
      </w:r>
      <w:r w:rsidRPr="00AC2EB0" w:rsidR="00C4740F">
        <w:rPr>
          <w:rFonts w:ascii="Arial" w:hAnsi="Arial" w:cs="Arial"/>
          <w:sz w:val="22"/>
        </w:rPr>
        <w:t>en el numeral 4.2</w:t>
      </w:r>
      <w:r w:rsidR="00C4740F">
        <w:rPr>
          <w:rFonts w:ascii="Arial" w:hAnsi="Arial" w:cs="Arial"/>
          <w:sz w:val="22"/>
        </w:rPr>
        <w:t xml:space="preserve"> de</w:t>
      </w:r>
      <w:r w:rsidRPr="00AC2EB0">
        <w:rPr>
          <w:rFonts w:ascii="Arial" w:hAnsi="Arial" w:cs="Arial"/>
          <w:sz w:val="22"/>
        </w:rPr>
        <w:t xml:space="preserve"> la Circular Única de la Superintendencia de Industria y Comercio</w:t>
      </w:r>
      <w:r w:rsidR="00C4740F">
        <w:rPr>
          <w:rFonts w:ascii="Arial" w:hAnsi="Arial" w:cs="Arial"/>
          <w:sz w:val="22"/>
        </w:rPr>
        <w:t xml:space="preserve"> que</w:t>
      </w:r>
      <w:r w:rsidRPr="00AC2EB0">
        <w:rPr>
          <w:rFonts w:ascii="Arial" w:hAnsi="Arial" w:cs="Arial"/>
          <w:sz w:val="22"/>
        </w:rPr>
        <w:t xml:space="preserve">, sobre el procedimiento para llevar el registro único de proponentes, </w:t>
      </w:r>
      <w:r w:rsidR="00C4740F">
        <w:rPr>
          <w:rFonts w:ascii="Arial" w:hAnsi="Arial" w:cs="Arial"/>
          <w:sz w:val="22"/>
        </w:rPr>
        <w:t>dispone</w:t>
      </w:r>
      <w:r w:rsidRPr="00AC2EB0">
        <w:rPr>
          <w:rFonts w:ascii="Arial" w:hAnsi="Arial" w:cs="Arial"/>
          <w:sz w:val="22"/>
        </w:rPr>
        <w:t xml:space="preserve">:  </w:t>
      </w:r>
    </w:p>
    <w:p w:rsidRPr="00AC2EB0" w:rsidR="00927341" w:rsidP="00927341" w:rsidRDefault="00927341" w14:paraId="18C9B41F" w14:textId="77777777">
      <w:pPr>
        <w:spacing w:line="276" w:lineRule="auto"/>
        <w:ind w:firstLine="708"/>
        <w:jc w:val="both"/>
        <w:rPr>
          <w:rFonts w:ascii="Arial" w:hAnsi="Arial" w:cs="Arial"/>
          <w:sz w:val="22"/>
        </w:rPr>
      </w:pPr>
    </w:p>
    <w:p w:rsidRPr="00AC2EB0" w:rsidR="00927341" w:rsidP="00927341" w:rsidRDefault="00927341" w14:paraId="0D0FD1B9" w14:textId="77777777">
      <w:pPr>
        <w:ind w:left="709" w:right="709"/>
        <w:jc w:val="both"/>
        <w:rPr>
          <w:rFonts w:ascii="Arial" w:hAnsi="Arial" w:cs="Arial"/>
          <w:sz w:val="21"/>
          <w:szCs w:val="21"/>
        </w:rPr>
      </w:pPr>
      <w:r w:rsidRPr="00AC2EB0">
        <w:rPr>
          <w:rFonts w:ascii="Arial" w:hAnsi="Arial" w:cs="Arial"/>
          <w:sz w:val="21"/>
          <w:szCs w:val="21"/>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rsidRPr="00BE053E" w:rsidR="00927341" w:rsidP="00BE053E" w:rsidRDefault="00927341" w14:paraId="32ED4C1F" w14:textId="77777777">
      <w:pPr>
        <w:spacing w:line="276" w:lineRule="auto"/>
        <w:ind w:left="709" w:right="709"/>
        <w:jc w:val="both"/>
        <w:rPr>
          <w:rFonts w:ascii="Arial" w:hAnsi="Arial" w:cs="Arial"/>
          <w:sz w:val="22"/>
        </w:rPr>
      </w:pPr>
    </w:p>
    <w:p w:rsidRPr="00AC2EB0" w:rsidR="00927341" w:rsidP="00927341" w:rsidRDefault="00927341" w14:paraId="548E17A7" w14:textId="77777777">
      <w:pPr>
        <w:spacing w:line="276" w:lineRule="auto"/>
        <w:ind w:firstLine="708"/>
        <w:jc w:val="both"/>
        <w:rPr>
          <w:rFonts w:ascii="Arial" w:hAnsi="Arial" w:cs="Arial"/>
          <w:sz w:val="22"/>
        </w:rPr>
      </w:pPr>
      <w:r w:rsidRPr="00AC2EB0">
        <w:rPr>
          <w:rFonts w:ascii="Arial" w:hAnsi="Arial" w:cs="Arial"/>
          <w:sz w:val="22"/>
        </w:rPr>
        <w:t xml:space="preserve">Así las cosas, con el fin de incentivar la participación continúa y constante de los proponentes, las entidades estatales, en sus procesos de contratación, aceptarán como válida la experiencia de los socios, accionistas o constituyentes incluso después de cumplidos los tres años de constitución de la sociedad, pues esta interpretación permite incentivar la creación de empresa y generar una mayor participación de las empresas recién constituidas.   </w:t>
      </w:r>
    </w:p>
    <w:p w:rsidRPr="00AC2EB0" w:rsidR="00927341" w:rsidP="00927341" w:rsidRDefault="00927341" w14:paraId="6A2E4C10" w14:textId="2AB4E8A6">
      <w:pPr>
        <w:spacing w:before="120" w:after="120" w:line="276" w:lineRule="auto"/>
        <w:ind w:firstLine="708"/>
        <w:jc w:val="both"/>
        <w:rPr>
          <w:rFonts w:ascii="Arial" w:hAnsi="Arial" w:cs="Arial"/>
          <w:sz w:val="22"/>
        </w:rPr>
      </w:pPr>
      <w:r w:rsidRPr="00AC2EB0">
        <w:rPr>
          <w:rFonts w:ascii="Arial" w:hAnsi="Arial" w:cs="Arial"/>
          <w:sz w:val="22"/>
        </w:rPr>
        <w:lastRenderedPageBreak/>
        <w:t>En este sentido, si bien la norma no dispone qué sucede con la experiencia aportada por los socios, accionistas o constituyentes, después de los 3 años de constituida la persona jurídica, para esta Subdirección sigue siendo válida, por lo que la entidad la debe tener en cuenta</w:t>
      </w:r>
      <w:r w:rsidR="002A67A7">
        <w:rPr>
          <w:rFonts w:ascii="Arial" w:hAnsi="Arial" w:cs="Arial"/>
          <w:sz w:val="22"/>
        </w:rPr>
        <w:t xml:space="preserve">, pues </w:t>
      </w:r>
      <w:r w:rsidR="002B1DD3">
        <w:rPr>
          <w:rFonts w:ascii="Arial" w:hAnsi="Arial" w:cs="Arial"/>
          <w:sz w:val="22"/>
        </w:rPr>
        <w:t xml:space="preserve">así </w:t>
      </w:r>
      <w:r w:rsidRPr="00AC2EB0">
        <w:rPr>
          <w:rFonts w:ascii="Arial" w:hAnsi="Arial" w:cs="Arial"/>
          <w:sz w:val="22"/>
        </w:rPr>
        <w:t xml:space="preserve">se garantiza la pluralidad de oferentes en los procesos de contratación. </w:t>
      </w:r>
    </w:p>
    <w:p w:rsidRPr="00AC2EB0" w:rsidR="00927341" w:rsidP="00927341" w:rsidRDefault="00927341" w14:paraId="0D28FF52" w14:textId="77777777">
      <w:pPr>
        <w:spacing w:before="120" w:after="120" w:line="276" w:lineRule="auto"/>
        <w:ind w:firstLine="708"/>
        <w:jc w:val="both"/>
        <w:rPr>
          <w:rFonts w:ascii="Arial" w:hAnsi="Arial" w:cs="Arial"/>
          <w:sz w:val="22"/>
        </w:rPr>
      </w:pPr>
      <w:r w:rsidRPr="00AC2EB0">
        <w:rPr>
          <w:rFonts w:ascii="Arial" w:hAnsi="Arial" w:cs="Arial"/>
          <w:sz w:val="22"/>
        </w:rPr>
        <w:t xml:space="preserve">En línea con lo anterior, el numeral 2.5. del artículo 2.2.1.1.1.5.2 del Decreto 1082 de 2015 consagra, como se dijo, una prerrogativa para las sociedades nuevas, que busca fomentar la competencia de </w:t>
      </w:r>
      <w:proofErr w:type="gramStart"/>
      <w:r w:rsidRPr="00AC2EB0">
        <w:rPr>
          <w:rFonts w:ascii="Arial" w:hAnsi="Arial" w:cs="Arial"/>
          <w:sz w:val="22"/>
        </w:rPr>
        <w:t>las mismas</w:t>
      </w:r>
      <w:proofErr w:type="gramEnd"/>
      <w:r w:rsidRPr="00AC2EB0">
        <w:rPr>
          <w:rFonts w:ascii="Arial" w:hAnsi="Arial" w:cs="Arial"/>
          <w:sz w:val="22"/>
        </w:rPr>
        <w:t xml:space="preserve"> en el campo de la contratación estatal, sin establecer limitantes en relación con las entidades o procesos de contratación en los que las personas jurídicas con menos de 3 años de constitución pueden acreditar la experiencia transferida por sus socios en virtud de la referida prerrogativa. </w:t>
      </w:r>
    </w:p>
    <w:p w:rsidRPr="00AC2EB0" w:rsidR="00927341" w:rsidP="00927341" w:rsidRDefault="00927341" w14:paraId="78D7A9C7" w14:textId="77777777">
      <w:pPr>
        <w:spacing w:before="120" w:line="276" w:lineRule="auto"/>
        <w:ind w:firstLine="709"/>
        <w:jc w:val="both"/>
        <w:rPr>
          <w:rFonts w:ascii="Arial" w:hAnsi="Arial" w:cs="Arial"/>
          <w:sz w:val="22"/>
        </w:rPr>
      </w:pPr>
      <w:r w:rsidRPr="00AC2EB0">
        <w:rPr>
          <w:rFonts w:ascii="Arial" w:hAnsi="Arial" w:cs="Arial"/>
          <w:sz w:val="22"/>
        </w:rPr>
        <w:t>Por tanto, en atención al principio general de interpretación según el cual donde el legislador no distingue no le es dado hacerlo al interprete, el hecho de que una sociedad con menos de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3 años de constitución, siempre que no hayan cesado los efectos del RUP por el incumplimiento del deber de renovación.</w:t>
      </w:r>
    </w:p>
    <w:p w:rsidRPr="004E20DA" w:rsidR="00927341" w:rsidP="00927341" w:rsidRDefault="00927341" w14:paraId="481A9A62" w14:textId="77777777">
      <w:pPr>
        <w:spacing w:line="276" w:lineRule="auto"/>
        <w:jc w:val="both"/>
        <w:rPr>
          <w:rFonts w:ascii="Arial" w:hAnsi="Arial" w:cs="Arial"/>
          <w:color w:val="000000" w:themeColor="text1"/>
          <w:sz w:val="22"/>
        </w:rPr>
      </w:pPr>
    </w:p>
    <w:p w:rsidRPr="004E20DA" w:rsidR="00927341" w:rsidP="00927341" w:rsidRDefault="00927341" w14:paraId="3FA173E0" w14:textId="794DE4EB">
      <w:pPr>
        <w:spacing w:line="276" w:lineRule="auto"/>
        <w:jc w:val="both"/>
        <w:rPr>
          <w:rFonts w:ascii="Arial" w:hAnsi="Arial" w:cs="Arial"/>
          <w:b/>
          <w:color w:val="000000" w:themeColor="text1"/>
          <w:sz w:val="22"/>
        </w:rPr>
      </w:pPr>
      <w:r w:rsidRPr="004E20DA">
        <w:rPr>
          <w:rFonts w:ascii="Arial" w:hAnsi="Arial" w:cs="Arial"/>
          <w:b/>
          <w:color w:val="000000" w:themeColor="text1"/>
          <w:sz w:val="22"/>
        </w:rPr>
        <w:t>2.</w:t>
      </w:r>
      <w:r w:rsidR="009F77D4">
        <w:rPr>
          <w:rFonts w:ascii="Arial" w:hAnsi="Arial" w:cs="Arial"/>
          <w:b/>
          <w:color w:val="000000" w:themeColor="text1"/>
          <w:sz w:val="22"/>
        </w:rPr>
        <w:t>3</w:t>
      </w:r>
      <w:r w:rsidRPr="004E20DA">
        <w:rPr>
          <w:rFonts w:ascii="Arial" w:hAnsi="Arial" w:cs="Arial"/>
          <w:b/>
          <w:color w:val="000000" w:themeColor="text1"/>
          <w:sz w:val="22"/>
        </w:rPr>
        <w:t xml:space="preserve">. Acreditación de experiencia en las excepciones al RUP </w:t>
      </w:r>
    </w:p>
    <w:p w:rsidRPr="004E20DA" w:rsidR="00927341" w:rsidP="00927341" w:rsidRDefault="00927341" w14:paraId="2FE71CC9" w14:textId="77777777">
      <w:pPr>
        <w:spacing w:line="276" w:lineRule="auto"/>
        <w:jc w:val="both"/>
        <w:rPr>
          <w:rFonts w:ascii="Arial" w:hAnsi="Arial" w:cs="Arial"/>
          <w:color w:val="000000" w:themeColor="text1"/>
          <w:sz w:val="22"/>
        </w:rPr>
      </w:pPr>
    </w:p>
    <w:p w:rsidRPr="004E20DA" w:rsidR="00927341" w:rsidP="00927341" w:rsidRDefault="00927341" w14:paraId="50481EA4" w14:textId="77777777">
      <w:pPr>
        <w:spacing w:after="120" w:line="276" w:lineRule="auto"/>
        <w:jc w:val="both"/>
        <w:rPr>
          <w:rFonts w:ascii="Arial" w:hAnsi="Arial" w:cs="Arial"/>
          <w:color w:val="000000" w:themeColor="text1"/>
          <w:sz w:val="22"/>
        </w:rPr>
      </w:pPr>
      <w:r w:rsidRPr="004E20DA">
        <w:rPr>
          <w:rFonts w:ascii="Arial" w:hAnsi="Arial" w:cs="Arial"/>
          <w:color w:val="000000" w:themeColor="text1"/>
          <w:sz w:val="22"/>
        </w:rPr>
        <w:t>El Registro Único de Proponentes no es exigible en todos los procesos de selección. El inciso segundo del artículo 6 de la Ley 1150 de 2007 señala los casos en los que no se requerirá el Registro Único de Proponentes: «[…] casos de contratación directa; contratos para la prestación de servicios de salud</w:t>
      </w:r>
      <w:r w:rsidRPr="00F93835">
        <w:rPr>
          <w:rFonts w:ascii="Arial" w:hAnsi="Arial" w:cs="Arial"/>
          <w:color w:val="000000" w:themeColor="text1"/>
          <w:sz w:val="22"/>
        </w:rPr>
        <w:t>; contratos de mínima cuantía;</w:t>
      </w:r>
      <w:r w:rsidRPr="004E20DA">
        <w:rPr>
          <w:rFonts w:ascii="Arial" w:hAnsi="Arial" w:cs="Arial"/>
          <w:color w:val="000000" w:themeColor="text1"/>
          <w:sz w:val="22"/>
        </w:rPr>
        <w:t xml:space="preserve">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w:t>
      </w:r>
    </w:p>
    <w:p w:rsidRPr="004E20DA" w:rsidR="00927341" w:rsidP="00927341" w:rsidRDefault="00927341" w14:paraId="79CC4853" w14:textId="209CFF3F">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t xml:space="preserve">La norma señala que, en estos eventos, las entidades contratantes tienen el deber de verificar las condiciones de capacidad jurídica, técnica, financiera y organizacional de los oferentes. Adicionalmente, en los casos que sea necesaria la verificación de requisitos o información que no repose en el RUP, la entidad estatal podrá solicitar información adicional </w:t>
      </w:r>
      <w:r w:rsidR="00CA4CE2">
        <w:rPr>
          <w:rFonts w:ascii="Arial" w:hAnsi="Arial" w:eastAsia="Calibri" w:cs="Arial"/>
          <w:color w:val="000000" w:themeColor="text1"/>
          <w:sz w:val="22"/>
        </w:rPr>
        <w:t>–</w:t>
      </w:r>
      <w:r w:rsidRPr="004E20DA">
        <w:rPr>
          <w:rFonts w:ascii="Arial" w:hAnsi="Arial" w:cs="Arial"/>
          <w:color w:val="000000" w:themeColor="text1"/>
          <w:sz w:val="22"/>
        </w:rPr>
        <w:t xml:space="preserve">por ejemplo, longitudes de obra, especificaciones técnicas, </w:t>
      </w:r>
      <w:proofErr w:type="spellStart"/>
      <w:r w:rsidRPr="004E20DA">
        <w:rPr>
          <w:rFonts w:ascii="Arial" w:hAnsi="Arial" w:cs="Arial"/>
          <w:color w:val="000000" w:themeColor="text1"/>
          <w:sz w:val="22"/>
        </w:rPr>
        <w:t>etc</w:t>
      </w:r>
      <w:proofErr w:type="spellEnd"/>
      <w:r w:rsidR="00CA4CE2">
        <w:rPr>
          <w:rFonts w:ascii="Arial" w:hAnsi="Arial" w:eastAsia="Calibri" w:cs="Arial"/>
          <w:color w:val="000000" w:themeColor="text1"/>
          <w:sz w:val="22"/>
        </w:rPr>
        <w:t>–</w:t>
      </w:r>
      <w:r w:rsidRPr="004E20DA">
        <w:rPr>
          <w:rFonts w:ascii="Arial" w:hAnsi="Arial" w:eastAsia="Calibri" w:cs="Arial"/>
          <w:color w:val="000000" w:themeColor="text1"/>
          <w:sz w:val="22"/>
        </w:rPr>
        <w:t xml:space="preserve"> </w:t>
      </w:r>
      <w:r w:rsidRPr="004E20DA">
        <w:rPr>
          <w:rFonts w:ascii="Arial" w:hAnsi="Arial" w:cs="Arial"/>
          <w:color w:val="000000" w:themeColor="text1"/>
          <w:sz w:val="22"/>
        </w:rPr>
        <w:t xml:space="preserve">sólo para complementar la información contenida allí, y con el fin de verificar condiciones adicionales de experiencia del proponente. </w:t>
      </w:r>
    </w:p>
    <w:p w:rsidRPr="004E20DA" w:rsidR="00927341" w:rsidP="00927341" w:rsidRDefault="00927341" w14:paraId="2CFF94AF" w14:textId="77777777">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t xml:space="preserve">De esta forma, solo en aquellos casos en los que por las características del objeto a contratar se requiera la verificación de requisitos del proponente adicionales a los </w:t>
      </w:r>
      <w:r w:rsidRPr="004E20DA">
        <w:rPr>
          <w:rFonts w:ascii="Arial" w:hAnsi="Arial" w:cs="Arial"/>
          <w:color w:val="000000" w:themeColor="text1"/>
          <w:sz w:val="22"/>
        </w:rPr>
        <w:lastRenderedPageBreak/>
        <w:t xml:space="preserve">contenidos en el Registro, la entidad podrá hacer tal verificación en forma directa y solicitar documentos diferentes al mismo. </w:t>
      </w:r>
    </w:p>
    <w:p w:rsidRPr="004E20DA" w:rsidR="00927341" w:rsidP="00927341" w:rsidRDefault="00927341" w14:paraId="63F7D337" w14:textId="5A586567">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t>Ahora bien</w:t>
      </w:r>
      <w:r w:rsidR="003932FF">
        <w:rPr>
          <w:rFonts w:ascii="Arial" w:hAnsi="Arial" w:cs="Arial"/>
          <w:color w:val="000000" w:themeColor="text1"/>
          <w:sz w:val="22"/>
        </w:rPr>
        <w:t>,</w:t>
      </w:r>
      <w:r w:rsidRPr="004E20DA">
        <w:rPr>
          <w:rFonts w:ascii="Arial" w:hAnsi="Arial" w:cs="Arial"/>
          <w:color w:val="000000" w:themeColor="text1"/>
          <w:sz w:val="22"/>
        </w:rPr>
        <w:t xml:space="preserve"> ¿qué ocurre con la medida contenida en el inciso final del numeral 2.5 del artículo 2.2.1.1.1.5.2 del Decreto 1082 de 2015 en aquellos casos en que la persona jurídica con menos de 3 años de constitución no está inscrita en el RUP? ¿</w:t>
      </w:r>
      <w:r w:rsidR="00DC3C3E">
        <w:rPr>
          <w:rFonts w:ascii="Arial" w:hAnsi="Arial" w:cs="Arial"/>
          <w:color w:val="000000" w:themeColor="text1"/>
          <w:sz w:val="22"/>
        </w:rPr>
        <w:t>P</w:t>
      </w:r>
      <w:r w:rsidRPr="004E20DA">
        <w:rPr>
          <w:rFonts w:ascii="Arial" w:hAnsi="Arial" w:cs="Arial"/>
          <w:color w:val="000000" w:themeColor="text1"/>
          <w:sz w:val="22"/>
        </w:rPr>
        <w:t xml:space="preserve">ueden las sociedades recién creadas </w:t>
      </w:r>
      <w:r w:rsidR="00CA4CE2">
        <w:rPr>
          <w:rFonts w:ascii="Arial" w:hAnsi="Arial" w:cs="Arial"/>
          <w:color w:val="000000" w:themeColor="text1"/>
          <w:sz w:val="22"/>
        </w:rPr>
        <w:t>–</w:t>
      </w:r>
      <w:r w:rsidRPr="004E20DA">
        <w:rPr>
          <w:rFonts w:ascii="Arial" w:hAnsi="Arial" w:cs="Arial"/>
          <w:color w:val="000000" w:themeColor="text1"/>
          <w:sz w:val="22"/>
        </w:rPr>
        <w:t>con menos de 3 años</w:t>
      </w:r>
      <w:r w:rsidR="00CA4CE2">
        <w:rPr>
          <w:rFonts w:ascii="Arial" w:hAnsi="Arial" w:cs="Arial"/>
          <w:color w:val="000000" w:themeColor="text1"/>
          <w:sz w:val="22"/>
        </w:rPr>
        <w:t>–</w:t>
      </w:r>
      <w:r w:rsidRPr="004E20DA">
        <w:rPr>
          <w:rFonts w:ascii="Arial" w:hAnsi="Arial" w:cs="Arial"/>
          <w:color w:val="000000" w:themeColor="text1"/>
          <w:sz w:val="22"/>
        </w:rPr>
        <w:t xml:space="preserve"> acreditar la experiencia de sus socios, accionistas o constituyentes en los procesos del segundo inciso del artículo 6 de la Ley 1150 de 2007, esto es, cuando no se exige que el proponente no se inscriba en el RUP?</w:t>
      </w:r>
    </w:p>
    <w:p w:rsidRPr="004E20DA" w:rsidR="00927341" w:rsidP="00927341" w:rsidRDefault="00927341" w14:paraId="356ED66C" w14:textId="0C36F5D8">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t xml:space="preserve">Teniendo en cuenta que la posibilidad de acreditar la experiencia de los socios para las personas jurídicas con menos de 3 años de constitución se encuentra contenida en una norma que regula el RUP, en principio, solo aplicaría para los casos en los que la persona jurídica está inscrita en </w:t>
      </w:r>
      <w:r w:rsidR="0093081C">
        <w:rPr>
          <w:rFonts w:ascii="Arial" w:hAnsi="Arial" w:cs="Arial"/>
          <w:color w:val="000000" w:themeColor="text1"/>
          <w:sz w:val="22"/>
        </w:rPr>
        <w:t>este</w:t>
      </w:r>
      <w:r w:rsidRPr="004E20DA" w:rsidR="0093081C">
        <w:rPr>
          <w:rFonts w:ascii="Arial" w:hAnsi="Arial" w:cs="Arial"/>
          <w:color w:val="000000" w:themeColor="text1"/>
          <w:sz w:val="22"/>
        </w:rPr>
        <w:t xml:space="preserve"> </w:t>
      </w:r>
      <w:r w:rsidRPr="004E20DA">
        <w:rPr>
          <w:rFonts w:ascii="Arial" w:hAnsi="Arial" w:cs="Arial"/>
          <w:color w:val="000000" w:themeColor="text1"/>
          <w:sz w:val="22"/>
        </w:rPr>
        <w:t xml:space="preserve">registro. Para los demás eventos, como ya se anotó, la entidad contratante tiene la carga de verificar, entre otros, el requisito de experiencia de los oferentes y ello lo hará de conformidad con la regla que al efecto haya establecido en los pliegos de condiciones. </w:t>
      </w:r>
    </w:p>
    <w:p w:rsidRPr="004E20DA" w:rsidR="00927341" w:rsidP="00927341" w:rsidRDefault="00927341" w14:paraId="7824C738" w14:textId="77777777">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t xml:space="preserve">La entidad, en virtud de su autonomía, puede determinar en los pliegos de condiciones que en la evaluación del requisito de experiencia tendrá en cuenta la experiencia de los socios, accionistas o constituyentes de aquellas personas jurídicas con menos de 3 años de constitución. </w:t>
      </w:r>
    </w:p>
    <w:p w:rsidRPr="004E20DA" w:rsidR="00927341" w:rsidP="00927341" w:rsidRDefault="00927341" w14:paraId="35FBB551" w14:textId="77777777">
      <w:pPr>
        <w:spacing w:before="120" w:after="120" w:line="276" w:lineRule="auto"/>
        <w:ind w:firstLine="708"/>
        <w:jc w:val="both"/>
        <w:rPr>
          <w:rFonts w:ascii="Arial" w:hAnsi="Arial" w:cs="Arial"/>
          <w:color w:val="000000" w:themeColor="text1"/>
          <w:sz w:val="22"/>
        </w:rPr>
      </w:pPr>
      <w:r w:rsidRPr="00F54518">
        <w:rPr>
          <w:rFonts w:ascii="Arial" w:hAnsi="Arial" w:cs="Arial"/>
          <w:color w:val="000000" w:themeColor="text1"/>
          <w:sz w:val="22"/>
        </w:rPr>
        <w:t>No obstante, la Subdirección de Gestión Contractual considera, a pesar de la discrecionalidad y autonomía que les asiste a las entidades contratantes, que la regla expresada en el numeral 2.5 del artículo 2.2.1.1.1.5.2 del Decreto 1082 de 2015 se debe hacer extensiva, inclusive, a las personas jurídicas que no estén inscritas en el RUP y participen en los procesos de selección exceptuados por el segundo inciso del artículo 6 de la Ley 1150 de 2007.</w:t>
      </w:r>
      <w:r w:rsidRPr="004E20DA">
        <w:rPr>
          <w:rFonts w:ascii="Arial" w:hAnsi="Arial" w:cs="Arial"/>
          <w:color w:val="000000" w:themeColor="text1"/>
          <w:sz w:val="22"/>
        </w:rPr>
        <w:t xml:space="preserve"> </w:t>
      </w:r>
    </w:p>
    <w:p w:rsidRPr="004E20DA" w:rsidR="00927341" w:rsidP="00927341" w:rsidRDefault="00927341" w14:paraId="1467B593" w14:textId="77777777">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t xml:space="preserve">La anterior consideración tiene su principal sustento en el principio de igualdad de trato que orienta e irradia la actividad contractual del Estado. El principio de igualdad, consagrado en el artículo 13 de la Constitución Política, es un valor fundamental, no solo de la contratación estatal sino del ordenamiento jurídico. La igualdad, según la Corte Constitucional, tiene la connotación de principio, valor y derecho, por lo que representa un criterio de obligatoria observancia tanto para la producción como para la aplicación e interpretación del derecho. </w:t>
      </w:r>
    </w:p>
    <w:p w:rsidRPr="004E20DA" w:rsidR="00927341" w:rsidP="00927341" w:rsidRDefault="00927341" w14:paraId="69AD9760" w14:textId="77777777">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t xml:space="preserve">A la luz del artículo 209 de la Constitución Política, la igualdad es uno de los principios orientadores de la función administrativa, y en virtud del principio de igualdad, las autoridades darán el mismo trato y protección a las personas e instituciones que intervengan en las actuaciones bajo su conocimiento, como lo ordena el numeral 2º del artículo 3º de la Ley 1437 de 2011. </w:t>
      </w:r>
    </w:p>
    <w:p w:rsidRPr="004E20DA" w:rsidR="00927341" w:rsidP="00927341" w:rsidRDefault="00927341" w14:paraId="439528F3" w14:textId="77777777">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lastRenderedPageBreak/>
        <w:t xml:space="preserve">En el ámbito de la contratación pública, la igualdad se materializa </w:t>
      </w:r>
      <w:r>
        <w:rPr>
          <w:rFonts w:ascii="Arial" w:hAnsi="Arial" w:cs="Arial"/>
          <w:color w:val="000000" w:themeColor="text1"/>
          <w:sz w:val="22"/>
        </w:rPr>
        <w:t>en la similar consideración</w:t>
      </w:r>
      <w:r w:rsidRPr="004E20DA">
        <w:rPr>
          <w:rFonts w:ascii="Arial" w:hAnsi="Arial" w:cs="Arial"/>
          <w:color w:val="000000" w:themeColor="text1"/>
          <w:sz w:val="22"/>
        </w:rPr>
        <w:t xml:space="preserve"> de todos los oferentes frente al proceso de selección, desde la exigencia de los requisitos estipulados en los pliegos de condiciones, en la calificación de sus ofertas y en su selección. La igualdad en los procesos de contratación supone que las condiciones a las que se enfrentan los proponentes sean las mismas para todos y que la oferta adjudicada sea la más favorable a la entidad. </w:t>
      </w:r>
      <w:r>
        <w:rPr>
          <w:rFonts w:ascii="Arial" w:hAnsi="Arial" w:cs="Arial"/>
          <w:color w:val="000000" w:themeColor="text1"/>
          <w:sz w:val="22"/>
        </w:rPr>
        <w:t>Ello sin perjuicio de la aplicación de algunos criterios legales que establecen ciertos incentivos especiales.</w:t>
      </w:r>
    </w:p>
    <w:p w:rsidRPr="004E20DA" w:rsidR="00927341" w:rsidP="00927341" w:rsidRDefault="00927341" w14:paraId="4C50BB68" w14:textId="1E37D572">
      <w:pPr>
        <w:spacing w:line="276" w:lineRule="auto"/>
        <w:ind w:firstLine="708"/>
        <w:jc w:val="both"/>
        <w:rPr>
          <w:rFonts w:ascii="Arial" w:hAnsi="Arial" w:cs="Arial"/>
          <w:color w:val="000000" w:themeColor="text1"/>
          <w:sz w:val="22"/>
        </w:rPr>
      </w:pPr>
      <w:r w:rsidRPr="004E20DA">
        <w:rPr>
          <w:rFonts w:ascii="Arial" w:hAnsi="Arial" w:cs="Arial"/>
          <w:color w:val="000000" w:themeColor="text1"/>
          <w:sz w:val="22"/>
        </w:rPr>
        <w:t xml:space="preserve">Es por ello </w:t>
      </w:r>
      <w:proofErr w:type="gramStart"/>
      <w:r w:rsidRPr="004E20DA">
        <w:rPr>
          <w:rFonts w:ascii="Arial" w:hAnsi="Arial" w:cs="Arial"/>
          <w:color w:val="000000" w:themeColor="text1"/>
          <w:sz w:val="22"/>
        </w:rPr>
        <w:t>que</w:t>
      </w:r>
      <w:proofErr w:type="gramEnd"/>
      <w:r w:rsidRPr="004E20DA">
        <w:rPr>
          <w:rFonts w:ascii="Arial" w:hAnsi="Arial" w:cs="Arial"/>
          <w:color w:val="000000" w:themeColor="text1"/>
          <w:sz w:val="22"/>
        </w:rPr>
        <w:t xml:space="preserve"> el Consejo de Estado </w:t>
      </w:r>
      <w:r w:rsidR="007E0F92">
        <w:rPr>
          <w:rFonts w:ascii="Arial" w:hAnsi="Arial" w:cs="Arial"/>
          <w:color w:val="000000" w:themeColor="text1"/>
          <w:sz w:val="22"/>
        </w:rPr>
        <w:t xml:space="preserve">explica que </w:t>
      </w:r>
      <w:r w:rsidRPr="004E20DA">
        <w:rPr>
          <w:rFonts w:ascii="Arial" w:hAnsi="Arial" w:cs="Arial"/>
          <w:color w:val="000000" w:themeColor="text1"/>
          <w:sz w:val="22"/>
        </w:rPr>
        <w:t>el principio de igualdad en la contratación pública materializa otros principios de similar importancia, como la selección objetiva y la transparencia</w:t>
      </w:r>
      <w:r>
        <w:rPr>
          <w:rFonts w:ascii="Arial" w:hAnsi="Arial" w:cs="Arial"/>
          <w:color w:val="000000" w:themeColor="text1"/>
          <w:sz w:val="22"/>
        </w:rPr>
        <w:t xml:space="preserve">. Al respecto, </w:t>
      </w:r>
      <w:r w:rsidR="007E0F92">
        <w:rPr>
          <w:rFonts w:ascii="Arial" w:hAnsi="Arial" w:cs="Arial"/>
          <w:color w:val="000000" w:themeColor="text1"/>
          <w:sz w:val="22"/>
        </w:rPr>
        <w:t>considera que</w:t>
      </w:r>
      <w:r w:rsidRPr="004E20DA">
        <w:rPr>
          <w:rFonts w:ascii="Arial" w:hAnsi="Arial" w:cs="Arial"/>
          <w:color w:val="000000" w:themeColor="text1"/>
          <w:sz w:val="22"/>
        </w:rPr>
        <w:t xml:space="preserve">: </w:t>
      </w:r>
    </w:p>
    <w:p w:rsidRPr="004E20DA" w:rsidR="00927341" w:rsidP="00927341" w:rsidRDefault="00927341" w14:paraId="50326969" w14:textId="77777777">
      <w:pPr>
        <w:spacing w:line="276" w:lineRule="auto"/>
        <w:ind w:firstLine="708"/>
        <w:jc w:val="both"/>
        <w:rPr>
          <w:rFonts w:ascii="Arial" w:hAnsi="Arial" w:cs="Arial"/>
          <w:color w:val="000000" w:themeColor="text1"/>
          <w:sz w:val="22"/>
        </w:rPr>
      </w:pPr>
    </w:p>
    <w:p w:rsidRPr="00BE053E" w:rsidR="00927341" w:rsidP="00927341" w:rsidRDefault="00927341" w14:paraId="3902B8D0" w14:textId="77777777">
      <w:pPr>
        <w:ind w:left="709" w:right="709"/>
        <w:jc w:val="both"/>
        <w:rPr>
          <w:rFonts w:ascii="Arial" w:hAnsi="Arial" w:cs="Arial"/>
          <w:color w:val="000000" w:themeColor="text1"/>
          <w:sz w:val="21"/>
          <w:szCs w:val="21"/>
        </w:rPr>
      </w:pPr>
      <w:r w:rsidRPr="00BE053E">
        <w:rPr>
          <w:rFonts w:ascii="Arial" w:hAnsi="Arial" w:cs="Arial"/>
          <w:color w:val="000000" w:themeColor="text1"/>
          <w:sz w:val="21"/>
          <w:szCs w:val="21"/>
        </w:rPr>
        <w:t>La igualdad de los licitadores, presupuesto fundamental que garantiza la selección objetiva y desarrolla el principio de transparencia que orienta la contratación estatal, se traduce en la identidad de oportunidades dispuesta para los sujetos interesados en contratar con la Administración. Y la sujeción estricta al pliego de condiciones es un principio fundamental del proceso licitatorio, que desarrolla la objetividad connatural a este procedimiento, en consideración a que el pliego es fuente principal de los derechos y obligaciones de la administración y de los proponentes</w:t>
      </w:r>
      <w:r w:rsidRPr="00BE053E">
        <w:rPr>
          <w:rStyle w:val="Refdenotaalpie"/>
          <w:rFonts w:ascii="Arial" w:hAnsi="Arial" w:cs="Arial"/>
          <w:color w:val="000000" w:themeColor="text1"/>
          <w:sz w:val="21"/>
          <w:szCs w:val="21"/>
        </w:rPr>
        <w:footnoteReference w:id="17"/>
      </w:r>
      <w:r w:rsidRPr="00BE053E">
        <w:rPr>
          <w:rFonts w:ascii="Arial" w:hAnsi="Arial" w:cs="Arial"/>
          <w:color w:val="000000" w:themeColor="text1"/>
          <w:sz w:val="21"/>
          <w:szCs w:val="21"/>
        </w:rPr>
        <w:t>.</w:t>
      </w:r>
    </w:p>
    <w:p w:rsidRPr="004E20DA" w:rsidR="00927341" w:rsidP="00BE053E" w:rsidRDefault="00927341" w14:paraId="3878CAF8" w14:textId="77777777">
      <w:pPr>
        <w:spacing w:line="276" w:lineRule="auto"/>
        <w:ind w:left="709" w:right="709"/>
        <w:jc w:val="both"/>
        <w:rPr>
          <w:rFonts w:ascii="Arial" w:hAnsi="Arial" w:cs="Arial"/>
          <w:color w:val="000000" w:themeColor="text1"/>
          <w:sz w:val="22"/>
        </w:rPr>
      </w:pPr>
    </w:p>
    <w:p w:rsidRPr="004E20DA" w:rsidR="00927341" w:rsidP="00927341" w:rsidRDefault="00927341" w14:paraId="0D0F69E8" w14:textId="3E99B80F">
      <w:pPr>
        <w:spacing w:line="276" w:lineRule="auto"/>
        <w:ind w:firstLine="709"/>
        <w:jc w:val="both"/>
        <w:rPr>
          <w:rFonts w:ascii="Arial" w:hAnsi="Arial" w:cs="Arial"/>
          <w:color w:val="000000" w:themeColor="text1"/>
          <w:sz w:val="22"/>
        </w:rPr>
      </w:pPr>
      <w:r>
        <w:rPr>
          <w:rFonts w:ascii="Arial" w:hAnsi="Arial" w:cs="Arial"/>
          <w:color w:val="000000" w:themeColor="text1"/>
          <w:sz w:val="22"/>
        </w:rPr>
        <w:t>Por lo tanto</w:t>
      </w:r>
      <w:r w:rsidRPr="004E20DA">
        <w:rPr>
          <w:rFonts w:ascii="Arial" w:hAnsi="Arial" w:cs="Arial"/>
          <w:color w:val="000000" w:themeColor="text1"/>
          <w:sz w:val="22"/>
        </w:rPr>
        <w:t>, a pesar de que la norma que concede la posibilidad de acreditar la experiencia de los socios, accionistas o constituyentes para las personas jurídicas con menos de 3 años de creación se refiere al RUP, ello no impide que se pueda hacer una aplicación extensiva o analógica para los eventos en los que no sea necesaria la inscripción en el</w:t>
      </w:r>
      <w:r w:rsidR="000139C2">
        <w:rPr>
          <w:rFonts w:ascii="Arial" w:hAnsi="Arial" w:cs="Arial"/>
          <w:color w:val="000000" w:themeColor="text1"/>
          <w:sz w:val="22"/>
        </w:rPr>
        <w:t xml:space="preserve"> mismo registro</w:t>
      </w:r>
      <w:r w:rsidRPr="004E20DA">
        <w:rPr>
          <w:rFonts w:ascii="Arial" w:hAnsi="Arial" w:cs="Arial"/>
          <w:color w:val="000000" w:themeColor="text1"/>
          <w:sz w:val="22"/>
        </w:rPr>
        <w:t xml:space="preserve">. Es más, se insiste en que esta aplicación analógica se fundamenta en el principio de igualdad de trato en la contratación pública, pues no se observa ningún criterio de distinción que justifique que en un caso se les tenga en cuenta la experiencia de los socios y en otros casos no. </w:t>
      </w:r>
      <w:r w:rsidR="004131F7">
        <w:rPr>
          <w:rFonts w:ascii="Arial" w:hAnsi="Arial" w:cs="Arial"/>
          <w:color w:val="000000" w:themeColor="text1"/>
          <w:sz w:val="22"/>
        </w:rPr>
        <w:t>En esta medida, p</w:t>
      </w:r>
      <w:r w:rsidRPr="004E20DA">
        <w:rPr>
          <w:rFonts w:ascii="Arial" w:hAnsi="Arial" w:cs="Arial"/>
          <w:color w:val="000000" w:themeColor="text1"/>
          <w:sz w:val="22"/>
        </w:rPr>
        <w:t xml:space="preserve">ersonas jurídicas con menos de 3 años de constitución inscritas en el RUP son esencialmente iguales a las que no tienen dicho registro. </w:t>
      </w:r>
    </w:p>
    <w:p w:rsidRPr="004E20DA" w:rsidR="00927341" w:rsidP="00927341" w:rsidRDefault="00927341" w14:paraId="235EACA5" w14:textId="77777777">
      <w:pPr>
        <w:spacing w:before="120" w:after="120" w:line="276" w:lineRule="auto"/>
        <w:ind w:firstLine="708"/>
        <w:jc w:val="both"/>
        <w:rPr>
          <w:rFonts w:ascii="Arial" w:hAnsi="Arial" w:cs="Arial"/>
          <w:color w:val="000000" w:themeColor="text1"/>
          <w:sz w:val="22"/>
        </w:rPr>
      </w:pPr>
      <w:r>
        <w:rPr>
          <w:rFonts w:ascii="Arial" w:hAnsi="Arial" w:cs="Arial"/>
          <w:color w:val="000000" w:themeColor="text1"/>
          <w:sz w:val="22"/>
        </w:rPr>
        <w:t>L</w:t>
      </w:r>
      <w:r w:rsidRPr="004E20DA">
        <w:rPr>
          <w:rFonts w:ascii="Arial" w:hAnsi="Arial" w:cs="Arial"/>
          <w:color w:val="000000" w:themeColor="text1"/>
          <w:sz w:val="22"/>
        </w:rPr>
        <w:t xml:space="preserve">a exposición de motivos del Proyecto de Ley que modificó la Ley 80 de </w:t>
      </w:r>
      <w:proofErr w:type="gramStart"/>
      <w:r w:rsidRPr="004E20DA">
        <w:rPr>
          <w:rFonts w:ascii="Arial" w:hAnsi="Arial" w:cs="Arial"/>
          <w:color w:val="000000" w:themeColor="text1"/>
          <w:sz w:val="22"/>
        </w:rPr>
        <w:t>1993  expresa</w:t>
      </w:r>
      <w:proofErr w:type="gramEnd"/>
      <w:r w:rsidRPr="004E20DA">
        <w:rPr>
          <w:rFonts w:ascii="Arial" w:hAnsi="Arial" w:cs="Arial"/>
          <w:color w:val="000000" w:themeColor="text1"/>
          <w:sz w:val="22"/>
        </w:rPr>
        <w:t xml:space="preserve"> la necesidad de establecer excepciones a la regla general de la exigencia del Registro Único de Proponentes </w:t>
      </w:r>
      <w:r>
        <w:rPr>
          <w:rFonts w:ascii="Arial" w:hAnsi="Arial" w:cs="Arial"/>
          <w:color w:val="000000" w:themeColor="text1"/>
          <w:sz w:val="22"/>
        </w:rPr>
        <w:t>para</w:t>
      </w:r>
      <w:r w:rsidRPr="004E20DA">
        <w:rPr>
          <w:rFonts w:ascii="Arial" w:hAnsi="Arial" w:cs="Arial"/>
          <w:color w:val="000000" w:themeColor="text1"/>
          <w:sz w:val="22"/>
        </w:rPr>
        <w:t xml:space="preserve"> las personas naturales o jurídicas que deseen participar en los procedimientos de contratación de las entidades estatales. Establece que la Cámara de Comercio fungirá como verificadora de la información habilitante, sin perjuicio de que las entidades estatales verifiquen la información contenida en el RUP en relación con los requisitos solicitados en el pliego de condiciones</w:t>
      </w:r>
      <w:r w:rsidRPr="004E20DA">
        <w:rPr>
          <w:rStyle w:val="Refdenotaalpie"/>
          <w:rFonts w:ascii="Arial" w:hAnsi="Arial" w:cs="Arial"/>
          <w:color w:val="000000" w:themeColor="text1"/>
          <w:sz w:val="22"/>
        </w:rPr>
        <w:footnoteReference w:id="18"/>
      </w:r>
      <w:r w:rsidRPr="004E20DA">
        <w:rPr>
          <w:rFonts w:ascii="Arial" w:hAnsi="Arial" w:cs="Arial"/>
          <w:color w:val="000000" w:themeColor="text1"/>
          <w:sz w:val="22"/>
        </w:rPr>
        <w:t>.</w:t>
      </w:r>
    </w:p>
    <w:p w:rsidRPr="004E20DA" w:rsidR="00927341" w:rsidP="00927341" w:rsidRDefault="00927341" w14:paraId="0211F4BC" w14:textId="77777777">
      <w:pPr>
        <w:spacing w:before="120" w:after="120" w:line="276" w:lineRule="auto"/>
        <w:ind w:firstLine="708"/>
        <w:jc w:val="both"/>
        <w:rPr>
          <w:rFonts w:ascii="Arial" w:hAnsi="Arial" w:cs="Arial"/>
          <w:color w:val="000000" w:themeColor="text1"/>
          <w:sz w:val="22"/>
        </w:rPr>
      </w:pPr>
      <w:r w:rsidRPr="004E20DA">
        <w:rPr>
          <w:rFonts w:ascii="Arial" w:hAnsi="Arial" w:cs="Arial"/>
          <w:color w:val="000000" w:themeColor="text1"/>
          <w:sz w:val="22"/>
        </w:rPr>
        <w:lastRenderedPageBreak/>
        <w:t>En los casos mencionados, como las entidades no pueden solicitar el RUP, y por ende no podrían verificar las condiciones de experiencia, capacidad financiera y de organización de los proponentes, deben recurrir a otros medios de prueba que garanticen la selección objetiva, siempre que sean adecuados y proporcionales, para promover la libre participación de los oferentes. Lo anterior fue reafirmado por el Consejo de Estado</w:t>
      </w:r>
      <w:r w:rsidRPr="004E20DA">
        <w:rPr>
          <w:rStyle w:val="Refdenotaalpie"/>
          <w:rFonts w:ascii="Arial" w:hAnsi="Arial" w:cs="Arial"/>
          <w:color w:val="000000" w:themeColor="text1"/>
          <w:sz w:val="22"/>
        </w:rPr>
        <w:footnoteReference w:id="19"/>
      </w:r>
      <w:r w:rsidRPr="004E20DA">
        <w:rPr>
          <w:rFonts w:ascii="Arial" w:hAnsi="Arial" w:cs="Arial"/>
          <w:color w:val="000000" w:themeColor="text1"/>
          <w:sz w:val="22"/>
        </w:rPr>
        <w:t xml:space="preserve">, quien enlistó las excepciones en las cuales las entidades tienen la obligación de verificar los requisitos habilitantes de los proponentes, y que se enuncian a continuación: i) no se requerirá el RUP, ni la calificación y clasificación correspondiente, respecto de los proponentes que pretendan celebrar los contratos enunciados en el inciso segundo del artículo 6 de la ley 1150, así como en los eventos de contratación directa, </w:t>
      </w:r>
      <w:proofErr w:type="spellStart"/>
      <w:r w:rsidRPr="004E20DA">
        <w:rPr>
          <w:rFonts w:ascii="Arial" w:hAnsi="Arial" w:cs="Arial"/>
          <w:color w:val="000000" w:themeColor="text1"/>
          <w:sz w:val="22"/>
        </w:rPr>
        <w:t>ii</w:t>
      </w:r>
      <w:proofErr w:type="spellEnd"/>
      <w:r w:rsidRPr="004E20DA">
        <w:rPr>
          <w:rFonts w:ascii="Arial" w:hAnsi="Arial" w:cs="Arial"/>
          <w:color w:val="000000" w:themeColor="text1"/>
          <w:sz w:val="22"/>
        </w:rPr>
        <w:t xml:space="preserve">) a las personas naturales extranjeras sin domicilio en el país o de personas jurídicas extranjeras que no tengan establecida sucursal en Colombia, o en aquellos casos en que el proceso de selección haya utilizado sistemas de precalificación y </w:t>
      </w:r>
      <w:proofErr w:type="spellStart"/>
      <w:r w:rsidRPr="004E20DA">
        <w:rPr>
          <w:rFonts w:ascii="Arial" w:hAnsi="Arial" w:cs="Arial"/>
          <w:color w:val="000000" w:themeColor="text1"/>
          <w:sz w:val="22"/>
        </w:rPr>
        <w:t>iii</w:t>
      </w:r>
      <w:proofErr w:type="spellEnd"/>
      <w:r w:rsidRPr="004E20DA">
        <w:rPr>
          <w:rFonts w:ascii="Arial" w:hAnsi="Arial" w:cs="Arial"/>
          <w:color w:val="000000" w:themeColor="text1"/>
          <w:sz w:val="22"/>
        </w:rPr>
        <w:t xml:space="preserve">) cuando por las características del objeto a contratar se requiera la verificación de requisitos del proponente adicionales a los contenidos en el RUP. </w:t>
      </w:r>
    </w:p>
    <w:p w:rsidRPr="004E20DA" w:rsidR="00927341" w:rsidP="00927341" w:rsidRDefault="00927341" w14:paraId="05E68C05" w14:textId="77777777">
      <w:pPr>
        <w:spacing w:before="120" w:after="120" w:line="276" w:lineRule="auto"/>
        <w:ind w:firstLine="709"/>
        <w:jc w:val="both"/>
        <w:rPr>
          <w:rFonts w:ascii="Arial" w:hAnsi="Arial" w:cs="Arial"/>
          <w:color w:val="000000" w:themeColor="text1"/>
          <w:sz w:val="22"/>
        </w:rPr>
      </w:pPr>
      <w:r w:rsidRPr="004E20DA">
        <w:rPr>
          <w:rFonts w:ascii="Arial" w:hAnsi="Arial" w:cs="Arial"/>
          <w:color w:val="000000" w:themeColor="text1"/>
          <w:sz w:val="22"/>
        </w:rPr>
        <w:t xml:space="preserve">En efecto, si se realiza una comparación entre los dos grupos de sujetos a los que se hace referencia, se tendría que concluir que son esencialmente iguales: i) ambos son personas jurídicas recién creadas, esto es, con menos de 3 años de constitución; </w:t>
      </w:r>
      <w:proofErr w:type="spellStart"/>
      <w:r w:rsidRPr="004E20DA">
        <w:rPr>
          <w:rFonts w:ascii="Arial" w:hAnsi="Arial" w:cs="Arial"/>
          <w:color w:val="000000" w:themeColor="text1"/>
          <w:sz w:val="22"/>
        </w:rPr>
        <w:t>ii</w:t>
      </w:r>
      <w:proofErr w:type="spellEnd"/>
      <w:r w:rsidRPr="004E20DA">
        <w:rPr>
          <w:rFonts w:ascii="Arial" w:hAnsi="Arial" w:cs="Arial"/>
          <w:color w:val="000000" w:themeColor="text1"/>
          <w:sz w:val="22"/>
        </w:rPr>
        <w:t xml:space="preserve">) ambos se encuentran dentro del ámbito de protección o finalidad de la norma, es decir, con la aplicación extensiva de la norma también se promueve el desarrollo de la empresa y la pluralidad de oferentes en la contratación pública y </w:t>
      </w:r>
      <w:proofErr w:type="spellStart"/>
      <w:r w:rsidRPr="004E20DA">
        <w:rPr>
          <w:rFonts w:ascii="Arial" w:hAnsi="Arial" w:cs="Arial"/>
          <w:color w:val="000000" w:themeColor="text1"/>
          <w:sz w:val="22"/>
        </w:rPr>
        <w:t>iii</w:t>
      </w:r>
      <w:proofErr w:type="spellEnd"/>
      <w:r w:rsidRPr="004E20DA">
        <w:rPr>
          <w:rFonts w:ascii="Arial" w:hAnsi="Arial" w:cs="Arial"/>
          <w:color w:val="000000" w:themeColor="text1"/>
          <w:sz w:val="22"/>
        </w:rPr>
        <w:t xml:space="preserve">) no existe ningún criterio material o sustantivo que justifique el trato diferenciado. </w:t>
      </w:r>
    </w:p>
    <w:p w:rsidRPr="004E20DA" w:rsidR="00927341" w:rsidP="00927341" w:rsidRDefault="00927341" w14:paraId="78964660" w14:textId="651B4140">
      <w:pPr>
        <w:spacing w:before="120" w:after="120" w:line="276" w:lineRule="auto"/>
        <w:ind w:firstLine="709"/>
        <w:jc w:val="both"/>
        <w:rPr>
          <w:rFonts w:ascii="Arial" w:hAnsi="Arial" w:cs="Arial"/>
          <w:color w:val="000000" w:themeColor="text1"/>
          <w:sz w:val="22"/>
        </w:rPr>
      </w:pPr>
      <w:r w:rsidRPr="004E20DA">
        <w:rPr>
          <w:rFonts w:ascii="Arial" w:hAnsi="Arial" w:cs="Arial"/>
          <w:color w:val="000000" w:themeColor="text1"/>
          <w:sz w:val="22"/>
        </w:rPr>
        <w:t xml:space="preserve">La única diferencia entre los dos grupos de sujetos es la inscripción en el RUP, el cual </w:t>
      </w:r>
      <w:r w:rsidR="009852B9">
        <w:rPr>
          <w:rFonts w:ascii="Arial" w:hAnsi="Arial" w:cs="Arial"/>
          <w:color w:val="000000" w:themeColor="text1"/>
          <w:sz w:val="22"/>
        </w:rPr>
        <w:t xml:space="preserve">por regla general </w:t>
      </w:r>
      <w:r w:rsidRPr="004E20DA">
        <w:rPr>
          <w:rFonts w:ascii="Arial" w:hAnsi="Arial" w:cs="Arial"/>
          <w:color w:val="000000" w:themeColor="text1"/>
          <w:sz w:val="22"/>
        </w:rPr>
        <w:t xml:space="preserve">es obligatorio, pero </w:t>
      </w:r>
      <w:r w:rsidR="005921F4">
        <w:rPr>
          <w:rFonts w:ascii="Arial" w:hAnsi="Arial" w:cs="Arial"/>
          <w:color w:val="000000" w:themeColor="text1"/>
          <w:sz w:val="22"/>
        </w:rPr>
        <w:t>dicha</w:t>
      </w:r>
      <w:r w:rsidRPr="004E20DA">
        <w:rPr>
          <w:rFonts w:ascii="Arial" w:hAnsi="Arial" w:cs="Arial"/>
          <w:color w:val="000000" w:themeColor="text1"/>
          <w:sz w:val="22"/>
        </w:rPr>
        <w:t xml:space="preserve"> obligatoriedad tiene excepciones. En estas </w:t>
      </w:r>
      <w:r w:rsidRPr="004E20DA">
        <w:rPr>
          <w:rFonts w:ascii="Arial" w:hAnsi="Arial" w:cs="Arial"/>
          <w:color w:val="000000" w:themeColor="text1"/>
          <w:sz w:val="22"/>
        </w:rPr>
        <w:lastRenderedPageBreak/>
        <w:t xml:space="preserve">excepciones la persona jurídica no está obligada a registrarse para participar en los procesos de selección que la norma excluye del deber de inscribirse en el registro. La inscripción en el RUP no se considera un criterio de diferenciación que pueda justificar un trato diferenciado entre dos grupos de personas que son esencialmente iguales, máxime cuando la falta de inscripción en el RUP, en los casos exceptuados, es una situación permitida por la propia ley </w:t>
      </w:r>
      <w:r w:rsidR="003346F5">
        <w:rPr>
          <w:rFonts w:ascii="Arial" w:hAnsi="Arial" w:eastAsia="Calibri" w:cs="Arial"/>
          <w:color w:val="000000" w:themeColor="text1"/>
          <w:sz w:val="22"/>
        </w:rPr>
        <w:t>–</w:t>
      </w:r>
      <w:r w:rsidRPr="004E20DA">
        <w:rPr>
          <w:rFonts w:ascii="Arial" w:hAnsi="Arial" w:cs="Arial"/>
          <w:color w:val="000000" w:themeColor="text1"/>
          <w:sz w:val="22"/>
        </w:rPr>
        <w:t>inciso segundo del artículo 6 de la Ley 1150 de 2007</w:t>
      </w:r>
      <w:r w:rsidR="003346F5">
        <w:rPr>
          <w:rFonts w:ascii="Arial" w:hAnsi="Arial" w:eastAsia="Calibri" w:cs="Arial"/>
          <w:color w:val="000000" w:themeColor="text1"/>
          <w:sz w:val="22"/>
        </w:rPr>
        <w:t>–</w:t>
      </w:r>
      <w:r w:rsidRPr="004E20DA">
        <w:rPr>
          <w:rFonts w:ascii="Arial" w:hAnsi="Arial" w:cs="Arial"/>
          <w:color w:val="000000" w:themeColor="text1"/>
          <w:sz w:val="22"/>
        </w:rPr>
        <w:t xml:space="preserve">. </w:t>
      </w:r>
    </w:p>
    <w:p w:rsidRPr="004E20DA" w:rsidR="00927341" w:rsidP="00927341" w:rsidRDefault="00927341" w14:paraId="3816C84D" w14:textId="5B48A309">
      <w:pPr>
        <w:spacing w:before="120" w:after="120" w:line="276" w:lineRule="auto"/>
        <w:ind w:firstLine="709"/>
        <w:jc w:val="both"/>
        <w:rPr>
          <w:rFonts w:ascii="Arial" w:hAnsi="Arial" w:cs="Arial"/>
          <w:color w:val="000000" w:themeColor="text1"/>
          <w:sz w:val="22"/>
        </w:rPr>
      </w:pPr>
      <w:r w:rsidRPr="004E20DA">
        <w:rPr>
          <w:rFonts w:ascii="Arial" w:hAnsi="Arial" w:cs="Arial"/>
          <w:color w:val="000000" w:themeColor="text1"/>
          <w:sz w:val="22"/>
        </w:rPr>
        <w:t xml:space="preserve">Así las cosas, frente a la acreditación de la experiencia de los socios, accionistas o constituyentes de una persona jurídica con menos de 3 años de constitución, para participar en los eventos exceptuados al deber de inscripción en el RUP, como en los procesos de selección de mínima cuantía, la entidad contratante, en virtud de su autonomía, cuenta con la discreción de adoptar dos alternativas: i) aplicar el numeral 2.5 del artículo 2.2.1.1.1.5.2 del Decreto 1082 de 2015 de manera restrictiva, es decir, solo para los eventos de personas jurídicas con menos de 3 años de constitución que se inscriban en el RUP o </w:t>
      </w:r>
      <w:proofErr w:type="spellStart"/>
      <w:r w:rsidRPr="004E20DA">
        <w:rPr>
          <w:rFonts w:ascii="Arial" w:hAnsi="Arial" w:cs="Arial"/>
          <w:color w:val="000000" w:themeColor="text1"/>
          <w:sz w:val="22"/>
        </w:rPr>
        <w:t>ii</w:t>
      </w:r>
      <w:proofErr w:type="spellEnd"/>
      <w:r w:rsidRPr="004E20DA">
        <w:rPr>
          <w:rFonts w:ascii="Arial" w:hAnsi="Arial" w:cs="Arial"/>
          <w:color w:val="000000" w:themeColor="text1"/>
          <w:sz w:val="22"/>
        </w:rPr>
        <w:t>) hacer una aplicación extensiva o analógica de esta norma, y determinar en los pliegos de condiciones que estas personas jurídica</w:t>
      </w:r>
      <w:r w:rsidR="003A5E50">
        <w:rPr>
          <w:rFonts w:ascii="Arial" w:hAnsi="Arial" w:cs="Arial"/>
          <w:color w:val="000000" w:themeColor="text1"/>
          <w:sz w:val="22"/>
        </w:rPr>
        <w:t>s</w:t>
      </w:r>
      <w:r w:rsidRPr="004E20DA">
        <w:rPr>
          <w:rFonts w:ascii="Arial" w:hAnsi="Arial" w:cs="Arial"/>
          <w:color w:val="000000" w:themeColor="text1"/>
          <w:sz w:val="22"/>
        </w:rPr>
        <w:t xml:space="preserve">, que por virtud de los eventos exceptuados por el segundo inciso del artículo 6 de la Ley 1150 de 2007, no están obligadas a inscribirse en el RUP y no lo han hecho, pueden acreditar la experiencia de sus socios, accionistas y constituyentes si tiene menos de 3 años de constitución. </w:t>
      </w:r>
    </w:p>
    <w:p w:rsidRPr="004E20DA" w:rsidR="00927341" w:rsidP="00927341" w:rsidRDefault="00927341" w14:paraId="5D0F1134" w14:textId="77777777">
      <w:pPr>
        <w:spacing w:before="120" w:line="276" w:lineRule="auto"/>
        <w:ind w:firstLine="709"/>
        <w:jc w:val="both"/>
        <w:rPr>
          <w:rFonts w:ascii="Arial" w:hAnsi="Arial" w:cs="Arial"/>
          <w:color w:val="000000" w:themeColor="text1"/>
          <w:sz w:val="22"/>
        </w:rPr>
      </w:pPr>
      <w:r w:rsidRPr="004E20DA">
        <w:rPr>
          <w:rFonts w:ascii="Arial" w:hAnsi="Arial" w:cs="Arial"/>
          <w:color w:val="000000" w:themeColor="text1"/>
          <w:sz w:val="22"/>
        </w:rPr>
        <w:t>La Subdirección de Gestión Contractual considera que la segunda alternativa es la más adecuada, toda vez que realiza el principio de igualdad de trato que rige la contratación de las entidades estatales y materializa el fin de protección de la norma, que es promover el desarrollo de la pequeña empresa y la pluralidad de oferentes.</w:t>
      </w:r>
    </w:p>
    <w:p w:rsidRPr="006C15D5" w:rsidR="00927341" w:rsidP="00927341" w:rsidRDefault="00927341" w14:paraId="2613F2ED" w14:textId="77777777">
      <w:pPr>
        <w:spacing w:line="276" w:lineRule="auto"/>
        <w:ind w:right="709"/>
        <w:jc w:val="both"/>
        <w:rPr>
          <w:rFonts w:ascii="Arial" w:hAnsi="Arial" w:cs="Arial"/>
          <w:color w:val="000000" w:themeColor="text1"/>
          <w:sz w:val="21"/>
          <w:szCs w:val="21"/>
          <w:lang w:val="es-CO"/>
        </w:rPr>
      </w:pPr>
    </w:p>
    <w:p w:rsidRPr="006C15D5" w:rsidR="00927341" w:rsidP="00927341" w:rsidRDefault="00927341" w14:paraId="665B2B50" w14:textId="77777777">
      <w:pPr>
        <w:pStyle w:val="Prrafodelista"/>
        <w:numPr>
          <w:ilvl w:val="0"/>
          <w:numId w:val="1"/>
        </w:numPr>
        <w:tabs>
          <w:tab w:val="left" w:pos="284"/>
        </w:tabs>
        <w:spacing w:line="276" w:lineRule="auto"/>
        <w:ind w:left="0" w:firstLine="0"/>
        <w:rPr>
          <w:rFonts w:ascii="Arial" w:hAnsi="Arial" w:cs="Arial"/>
          <w:b/>
          <w:bCs/>
          <w:color w:val="000000" w:themeColor="text1"/>
          <w:sz w:val="22"/>
          <w:lang w:val="es-CO"/>
        </w:rPr>
      </w:pPr>
      <w:r w:rsidRPr="006C15D5">
        <w:rPr>
          <w:rFonts w:ascii="Arial" w:hAnsi="Arial" w:cs="Arial"/>
          <w:b/>
          <w:bCs/>
          <w:color w:val="000000" w:themeColor="text1"/>
          <w:sz w:val="22"/>
          <w:lang w:val="es-CO"/>
        </w:rPr>
        <w:t xml:space="preserve">Respuesta </w:t>
      </w:r>
    </w:p>
    <w:p w:rsidRPr="006C15D5" w:rsidR="00927341" w:rsidP="00927341" w:rsidRDefault="00927341" w14:paraId="52998543" w14:textId="77777777">
      <w:pPr>
        <w:spacing w:line="276" w:lineRule="auto"/>
        <w:ind w:right="709"/>
        <w:jc w:val="both"/>
        <w:rPr>
          <w:rFonts w:ascii="Arial" w:hAnsi="Arial" w:cs="Arial"/>
          <w:color w:val="000000" w:themeColor="text1"/>
          <w:sz w:val="21"/>
          <w:szCs w:val="21"/>
          <w:lang w:val="es-CO"/>
        </w:rPr>
      </w:pPr>
    </w:p>
    <w:p w:rsidRPr="00BE053E" w:rsidR="00D1531D" w:rsidP="00D1531D" w:rsidRDefault="00D1531D" w14:paraId="0A882106" w14:textId="77777777">
      <w:pPr>
        <w:spacing w:line="276" w:lineRule="auto"/>
        <w:ind w:left="709" w:right="709"/>
        <w:jc w:val="both"/>
        <w:rPr>
          <w:rFonts w:ascii="Arial" w:hAnsi="Arial" w:cs="Arial"/>
          <w:sz w:val="21"/>
          <w:szCs w:val="21"/>
        </w:rPr>
      </w:pPr>
      <w:r w:rsidRPr="00BE053E">
        <w:rPr>
          <w:rFonts w:ascii="Arial" w:hAnsi="Arial" w:cs="Arial"/>
          <w:sz w:val="21"/>
          <w:szCs w:val="21"/>
        </w:rPr>
        <w:t xml:space="preserve">«Quisiera saber si es posible acreditar experiencia para una empresa recién constituida por medio de la experiencia adquirida por los socios para un proceso que se adelanta por medio del </w:t>
      </w:r>
      <w:proofErr w:type="spellStart"/>
      <w:r w:rsidRPr="00BE053E">
        <w:rPr>
          <w:rFonts w:ascii="Arial" w:hAnsi="Arial" w:cs="Arial"/>
          <w:sz w:val="21"/>
          <w:szCs w:val="21"/>
        </w:rPr>
        <w:t>Secop</w:t>
      </w:r>
      <w:proofErr w:type="spellEnd"/>
      <w:r w:rsidRPr="00BE053E">
        <w:rPr>
          <w:rFonts w:ascii="Arial" w:hAnsi="Arial" w:cs="Arial"/>
          <w:sz w:val="21"/>
          <w:szCs w:val="21"/>
        </w:rPr>
        <w:t xml:space="preserve"> I cabe aclarar que en dicho proceso no exigen RUP, solo solicita los certificados expedidos por las empresas contratantes. Nuestra consulta va </w:t>
      </w:r>
      <w:proofErr w:type="spellStart"/>
      <w:r w:rsidRPr="00BE053E">
        <w:rPr>
          <w:rFonts w:ascii="Arial" w:hAnsi="Arial" w:cs="Arial"/>
          <w:sz w:val="21"/>
          <w:szCs w:val="21"/>
        </w:rPr>
        <w:t>ha</w:t>
      </w:r>
      <w:proofErr w:type="spellEnd"/>
      <w:r w:rsidRPr="00BE053E">
        <w:rPr>
          <w:rFonts w:ascii="Arial" w:hAnsi="Arial" w:cs="Arial"/>
          <w:sz w:val="21"/>
          <w:szCs w:val="21"/>
        </w:rPr>
        <w:t xml:space="preserve"> que se ha dado respuesta que para acreditar la experiencia ante el RUP de una empresa con menos de 3 años de constituida se puede acreditar la experiencia de los socios, pero no se aclara si este proceso solo aplica para procesos en los cuales se exigen el RUP».</w:t>
      </w:r>
    </w:p>
    <w:p w:rsidR="00927341" w:rsidP="00927341" w:rsidRDefault="00927341" w14:paraId="451975D5" w14:textId="77777777">
      <w:pPr>
        <w:spacing w:line="276" w:lineRule="auto"/>
        <w:jc w:val="both"/>
        <w:rPr>
          <w:rFonts w:ascii="Arial" w:hAnsi="Arial" w:cs="Arial"/>
          <w:color w:val="000000" w:themeColor="text1"/>
          <w:sz w:val="22"/>
        </w:rPr>
      </w:pPr>
    </w:p>
    <w:p w:rsidRPr="004E20DA" w:rsidR="00927341" w:rsidP="00BE053E" w:rsidRDefault="00927341" w14:paraId="7CCA3AAD" w14:textId="0B74D589">
      <w:pPr>
        <w:spacing w:line="276" w:lineRule="auto"/>
        <w:jc w:val="both"/>
        <w:rPr>
          <w:rFonts w:ascii="Arial" w:hAnsi="Arial" w:cs="Arial"/>
          <w:color w:val="000000" w:themeColor="text1"/>
          <w:sz w:val="22"/>
        </w:rPr>
      </w:pPr>
      <w:r>
        <w:rPr>
          <w:rFonts w:ascii="Arial" w:hAnsi="Arial" w:cs="Arial"/>
          <w:color w:val="000000" w:themeColor="text1"/>
          <w:sz w:val="22"/>
        </w:rPr>
        <w:t>L</w:t>
      </w:r>
      <w:r w:rsidRPr="004E20DA">
        <w:rPr>
          <w:rFonts w:ascii="Arial" w:hAnsi="Arial" w:cs="Arial"/>
          <w:color w:val="000000" w:themeColor="text1"/>
          <w:sz w:val="22"/>
        </w:rPr>
        <w:t>a Subdirección de Gestión Contractual considera</w:t>
      </w:r>
      <w:r w:rsidRPr="003346F5" w:rsidR="003346F5">
        <w:rPr>
          <w:rFonts w:ascii="Arial" w:hAnsi="Arial" w:cs="Arial"/>
          <w:color w:val="000000" w:themeColor="text1"/>
          <w:sz w:val="22"/>
        </w:rPr>
        <w:t xml:space="preserve"> </w:t>
      </w:r>
      <w:r w:rsidRPr="004E20DA" w:rsidR="003346F5">
        <w:rPr>
          <w:rFonts w:ascii="Arial" w:hAnsi="Arial" w:cs="Arial"/>
          <w:color w:val="000000" w:themeColor="text1"/>
          <w:sz w:val="22"/>
        </w:rPr>
        <w:t>que</w:t>
      </w:r>
      <w:r w:rsidRPr="004E20DA">
        <w:rPr>
          <w:rFonts w:ascii="Arial" w:hAnsi="Arial" w:cs="Arial"/>
          <w:color w:val="000000" w:themeColor="text1"/>
          <w:sz w:val="22"/>
        </w:rPr>
        <w:t xml:space="preserve">, a pesar de la discrecionalidad y autonomía </w:t>
      </w:r>
      <w:r w:rsidR="003346F5">
        <w:rPr>
          <w:rFonts w:ascii="Arial" w:hAnsi="Arial" w:cs="Arial"/>
          <w:color w:val="000000" w:themeColor="text1"/>
          <w:sz w:val="22"/>
        </w:rPr>
        <w:t>de</w:t>
      </w:r>
      <w:r w:rsidRPr="004E20DA">
        <w:rPr>
          <w:rFonts w:ascii="Arial" w:hAnsi="Arial" w:cs="Arial"/>
          <w:color w:val="000000" w:themeColor="text1"/>
          <w:sz w:val="22"/>
        </w:rPr>
        <w:t xml:space="preserve"> las entidades contratantes</w:t>
      </w:r>
      <w:r>
        <w:rPr>
          <w:rFonts w:ascii="Arial" w:hAnsi="Arial" w:cs="Arial"/>
          <w:color w:val="000000" w:themeColor="text1"/>
          <w:sz w:val="22"/>
        </w:rPr>
        <w:t xml:space="preserve"> para estructurar y adelantar sus procesos de contratación</w:t>
      </w:r>
      <w:r w:rsidRPr="004E20DA">
        <w:rPr>
          <w:rFonts w:ascii="Arial" w:hAnsi="Arial" w:cs="Arial"/>
          <w:color w:val="000000" w:themeColor="text1"/>
          <w:sz w:val="22"/>
        </w:rPr>
        <w:t xml:space="preserve">, la regla </w:t>
      </w:r>
      <w:r w:rsidR="004131F7">
        <w:rPr>
          <w:rFonts w:ascii="Arial" w:hAnsi="Arial" w:cs="Arial"/>
          <w:color w:val="000000" w:themeColor="text1"/>
          <w:sz w:val="22"/>
        </w:rPr>
        <w:t>d</w:t>
      </w:r>
      <w:r w:rsidRPr="004E20DA">
        <w:rPr>
          <w:rFonts w:ascii="Arial" w:hAnsi="Arial" w:cs="Arial"/>
          <w:color w:val="000000" w:themeColor="text1"/>
          <w:sz w:val="22"/>
        </w:rPr>
        <w:t xml:space="preserve">el numeral 2.5 del artículo 2.2.1.1.1.5.2 del Decreto 1082 de </w:t>
      </w:r>
      <w:proofErr w:type="gramStart"/>
      <w:r w:rsidRPr="004E20DA">
        <w:rPr>
          <w:rFonts w:ascii="Arial" w:hAnsi="Arial" w:cs="Arial"/>
          <w:color w:val="000000" w:themeColor="text1"/>
          <w:sz w:val="22"/>
        </w:rPr>
        <w:t>2015  debe</w:t>
      </w:r>
      <w:proofErr w:type="gramEnd"/>
      <w:r w:rsidRPr="004E20DA">
        <w:rPr>
          <w:rFonts w:ascii="Arial" w:hAnsi="Arial" w:cs="Arial"/>
          <w:color w:val="000000" w:themeColor="text1"/>
          <w:sz w:val="22"/>
        </w:rPr>
        <w:t xml:space="preserve"> hacer</w:t>
      </w:r>
      <w:r w:rsidR="004131F7">
        <w:rPr>
          <w:rFonts w:ascii="Arial" w:hAnsi="Arial" w:cs="Arial"/>
          <w:color w:val="000000" w:themeColor="text1"/>
          <w:sz w:val="22"/>
        </w:rPr>
        <w:t>se</w:t>
      </w:r>
      <w:r w:rsidRPr="004E20DA">
        <w:rPr>
          <w:rFonts w:ascii="Arial" w:hAnsi="Arial" w:cs="Arial"/>
          <w:color w:val="000000" w:themeColor="text1"/>
          <w:sz w:val="22"/>
        </w:rPr>
        <w:t xml:space="preserve"> extensiva, inclusive, a las personas jurídicas que no estén inscritas en el RUP y participen en los procesos de selección exceptuados</w:t>
      </w:r>
      <w:r w:rsidR="005C4DDA">
        <w:rPr>
          <w:rFonts w:ascii="Arial" w:hAnsi="Arial" w:cs="Arial"/>
          <w:color w:val="000000" w:themeColor="text1"/>
          <w:sz w:val="22"/>
        </w:rPr>
        <w:t xml:space="preserve"> del registro</w:t>
      </w:r>
      <w:r w:rsidRPr="004E20DA">
        <w:rPr>
          <w:rFonts w:ascii="Arial" w:hAnsi="Arial" w:cs="Arial"/>
          <w:color w:val="000000" w:themeColor="text1"/>
          <w:sz w:val="22"/>
        </w:rPr>
        <w:t xml:space="preserve"> por el segundo inciso del artículo 6 de la Ley 1150 de 2007. </w:t>
      </w:r>
      <w:r w:rsidR="004131F7">
        <w:rPr>
          <w:rFonts w:ascii="Arial" w:hAnsi="Arial" w:cs="Arial"/>
          <w:color w:val="000000" w:themeColor="text1"/>
          <w:sz w:val="22"/>
        </w:rPr>
        <w:t>Se reitera</w:t>
      </w:r>
      <w:r w:rsidRPr="004E20DA">
        <w:rPr>
          <w:rFonts w:ascii="Arial" w:hAnsi="Arial" w:cs="Arial"/>
          <w:color w:val="000000" w:themeColor="text1"/>
          <w:sz w:val="22"/>
        </w:rPr>
        <w:t xml:space="preserve"> que esta aplicación analógica se </w:t>
      </w:r>
      <w:r w:rsidRPr="004E20DA">
        <w:rPr>
          <w:rFonts w:ascii="Arial" w:hAnsi="Arial" w:cs="Arial"/>
          <w:color w:val="000000" w:themeColor="text1"/>
          <w:sz w:val="22"/>
        </w:rPr>
        <w:lastRenderedPageBreak/>
        <w:t xml:space="preserve">fundamenta en el principio de igualdad de trato en la contratación pública, pues no se observa ningún criterio de distinción que justifique que en un caso se les tenga en cuenta la experiencia de los socios y en otros casos no. </w:t>
      </w:r>
      <w:r w:rsidR="004131F7">
        <w:rPr>
          <w:rFonts w:ascii="Arial" w:hAnsi="Arial" w:cs="Arial"/>
          <w:color w:val="000000" w:themeColor="text1"/>
          <w:sz w:val="22"/>
        </w:rPr>
        <w:t>En esta medida, p</w:t>
      </w:r>
      <w:r w:rsidRPr="004E20DA">
        <w:rPr>
          <w:rFonts w:ascii="Arial" w:hAnsi="Arial" w:cs="Arial"/>
          <w:color w:val="000000" w:themeColor="text1"/>
          <w:sz w:val="22"/>
        </w:rPr>
        <w:t>ersonas jurídicas con menos de 3 años de constitución inscritas en el RUP son esencialmente iguales a las que no tienen dicho registro.</w:t>
      </w:r>
    </w:p>
    <w:p w:rsidRPr="006C15D5" w:rsidR="00927341" w:rsidP="00BE053E" w:rsidRDefault="00927341" w14:paraId="4BE953AE" w14:textId="77777777">
      <w:pPr>
        <w:spacing w:after="120" w:line="276" w:lineRule="auto"/>
        <w:jc w:val="both"/>
        <w:rPr>
          <w:rFonts w:ascii="Arial" w:hAnsi="Arial" w:cs="Arial"/>
          <w:color w:val="000000" w:themeColor="text1"/>
          <w:sz w:val="22"/>
          <w:lang w:val="es-CO"/>
        </w:rPr>
      </w:pPr>
    </w:p>
    <w:p w:rsidRPr="006C15D5" w:rsidR="00927341" w:rsidP="00927341" w:rsidRDefault="00927341" w14:paraId="513C1B8B" w14:textId="77777777">
      <w:pPr>
        <w:spacing w:line="276" w:lineRule="auto"/>
        <w:jc w:val="both"/>
        <w:rPr>
          <w:rFonts w:ascii="Arial" w:hAnsi="Arial" w:eastAsia="Calibri" w:cs="Arial"/>
          <w:color w:val="000000" w:themeColor="text1"/>
          <w:sz w:val="22"/>
        </w:rPr>
      </w:pPr>
      <w:r w:rsidRPr="006C15D5">
        <w:rPr>
          <w:rFonts w:ascii="Arial" w:hAnsi="Arial" w:eastAsia="Calibri" w:cs="Arial"/>
          <w:color w:val="000000" w:themeColor="text1"/>
          <w:sz w:val="22"/>
        </w:rPr>
        <w:t>Este concepto tiene el alcance previsto en el artículo 28 del Código de Procedimiento Administrativo y de lo Contencioso Administrativo.</w:t>
      </w:r>
    </w:p>
    <w:p w:rsidRPr="006C15D5" w:rsidR="00927341" w:rsidP="00927341" w:rsidRDefault="00927341" w14:paraId="09F97B77" w14:textId="77777777">
      <w:pPr>
        <w:ind w:firstLine="709"/>
        <w:jc w:val="both"/>
        <w:rPr>
          <w:rFonts w:ascii="Arial" w:hAnsi="Arial" w:eastAsia="Calibri" w:cs="Arial"/>
          <w:color w:val="000000" w:themeColor="text1"/>
          <w:sz w:val="22"/>
        </w:rPr>
      </w:pPr>
    </w:p>
    <w:p w:rsidRPr="006C15D5" w:rsidR="00927341" w:rsidP="00927341" w:rsidRDefault="00927341" w14:paraId="43024126" w14:textId="77777777">
      <w:pPr>
        <w:jc w:val="both"/>
        <w:rPr>
          <w:rFonts w:ascii="Arial" w:hAnsi="Arial" w:eastAsia="Times New Roman" w:cs="Arial"/>
          <w:color w:val="000000" w:themeColor="text1"/>
          <w:sz w:val="22"/>
          <w:lang w:eastAsia="es-CO"/>
        </w:rPr>
      </w:pPr>
      <w:r w:rsidRPr="006C15D5">
        <w:rPr>
          <w:rFonts w:ascii="Arial" w:hAnsi="Arial" w:eastAsia="Times New Roman" w:cs="Arial"/>
          <w:color w:val="000000" w:themeColor="text1"/>
          <w:sz w:val="22"/>
          <w:lang w:eastAsia="es-CO"/>
        </w:rPr>
        <w:t>Atentamente,</w:t>
      </w:r>
    </w:p>
    <w:bookmarkEnd w:id="0"/>
    <w:bookmarkEnd w:id="1"/>
    <w:p w:rsidR="00927341" w:rsidP="00927341" w:rsidRDefault="00927341" w14:paraId="488A1C21" w14:textId="77777777">
      <w:pPr>
        <w:jc w:val="center"/>
        <w:rPr>
          <w:rFonts w:ascii="Arial" w:hAnsi="Arial" w:eastAsia="Times New Roman" w:cs="Arial"/>
          <w:color w:val="000000" w:themeColor="text1"/>
          <w:sz w:val="18"/>
          <w:szCs w:val="20"/>
          <w:lang w:eastAsia="es-CO"/>
        </w:rPr>
      </w:pPr>
    </w:p>
    <w:p w:rsidR="00927341" w:rsidP="40EAC7E2" w:rsidRDefault="00E255D7" w14:paraId="75660935" w14:textId="6C2624A1">
      <w:pPr>
        <w:pStyle w:val="Normal"/>
        <w:jc w:val="center"/>
      </w:pPr>
      <w:r w:rsidR="327BDA0E">
        <w:drawing>
          <wp:inline wp14:editId="40EAC7E2" wp14:anchorId="55CFC83E">
            <wp:extent cx="2371725" cy="1000125"/>
            <wp:effectExtent l="0" t="0" r="0" b="0"/>
            <wp:docPr id="1782698021" name="" title=""/>
            <wp:cNvGraphicFramePr>
              <a:graphicFrameLocks noChangeAspect="1"/>
            </wp:cNvGraphicFramePr>
            <a:graphic>
              <a:graphicData uri="http://schemas.openxmlformats.org/drawingml/2006/picture">
                <pic:pic>
                  <pic:nvPicPr>
                    <pic:cNvPr id="0" name=""/>
                    <pic:cNvPicPr/>
                  </pic:nvPicPr>
                  <pic:blipFill>
                    <a:blip r:embed="Rc363fc7191cb4f73">
                      <a:extLst>
                        <a:ext xmlns:a="http://schemas.openxmlformats.org/drawingml/2006/main" uri="{28A0092B-C50C-407E-A947-70E740481C1C}">
                          <a14:useLocalDpi val="0"/>
                        </a:ext>
                      </a:extLst>
                    </a:blip>
                    <a:stretch>
                      <a:fillRect/>
                    </a:stretch>
                  </pic:blipFill>
                  <pic:spPr>
                    <a:xfrm>
                      <a:off x="0" y="0"/>
                      <a:ext cx="2371725" cy="1000125"/>
                    </a:xfrm>
                    <a:prstGeom prst="rect">
                      <a:avLst/>
                    </a:prstGeom>
                  </pic:spPr>
                </pic:pic>
              </a:graphicData>
            </a:graphic>
          </wp:inline>
        </w:drawing>
      </w:r>
    </w:p>
    <w:p w:rsidRPr="006C15D5" w:rsidR="00E255D7" w:rsidP="00927341" w:rsidRDefault="00E255D7" w14:paraId="08D1AD2B" w14:textId="77777777">
      <w:pPr>
        <w:jc w:val="center"/>
        <w:rPr>
          <w:rFonts w:ascii="Arial" w:hAnsi="Arial" w:eastAsia="Times New Roman" w:cs="Arial"/>
          <w:color w:val="000000" w:themeColor="text1"/>
          <w:sz w:val="18"/>
          <w:szCs w:val="20"/>
          <w:lang w:eastAsia="es-CO"/>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2"/>
        <w:gridCol w:w="4413"/>
      </w:tblGrid>
      <w:tr w:rsidRPr="003F6D32" w:rsidR="00927341" w:rsidTr="00B52481" w14:paraId="2219F02B" w14:textId="77777777">
        <w:trPr>
          <w:trHeight w:val="315"/>
        </w:trPr>
        <w:tc>
          <w:tcPr>
            <w:tcW w:w="812" w:type="dxa"/>
            <w:vAlign w:val="center"/>
            <w:hideMark/>
          </w:tcPr>
          <w:p w:rsidRPr="006C15D5" w:rsidR="00927341" w:rsidP="00B52481" w:rsidRDefault="00927341" w14:paraId="667C33AF" w14:textId="77777777">
            <w:pPr>
              <w:rPr>
                <w:rFonts w:ascii="Arial" w:hAnsi="Arial" w:eastAsia="Times New Roman" w:cs="Arial"/>
                <w:color w:val="000000" w:themeColor="text1"/>
                <w:sz w:val="16"/>
                <w:szCs w:val="16"/>
                <w:lang w:eastAsia="es-ES"/>
              </w:rPr>
            </w:pPr>
            <w:r w:rsidRPr="006C15D5">
              <w:rPr>
                <w:rFonts w:ascii="Arial" w:hAnsi="Arial" w:eastAsia="Times New Roman" w:cs="Arial"/>
                <w:color w:val="000000" w:themeColor="text1"/>
                <w:sz w:val="16"/>
                <w:szCs w:val="16"/>
                <w:lang w:eastAsia="es-ES"/>
              </w:rPr>
              <w:t>Elaboró:</w:t>
            </w:r>
          </w:p>
        </w:tc>
        <w:tc>
          <w:tcPr>
            <w:tcW w:w="4413" w:type="dxa"/>
            <w:tcBorders>
              <w:top w:val="nil"/>
              <w:left w:val="nil"/>
              <w:bottom w:val="dotted" w:color="7F7F7F" w:themeColor="text1" w:themeTint="80" w:sz="4" w:space="0"/>
              <w:right w:val="nil"/>
            </w:tcBorders>
            <w:vAlign w:val="center"/>
            <w:hideMark/>
          </w:tcPr>
          <w:p w:rsidRPr="006C15D5" w:rsidR="00927341" w:rsidP="00B52481" w:rsidRDefault="00927341" w14:paraId="45D79D1C" w14:textId="77777777">
            <w:pPr>
              <w:rPr>
                <w:rFonts w:ascii="Arial" w:hAnsi="Arial" w:eastAsia="Times New Roman" w:cs="Arial"/>
                <w:color w:val="000000" w:themeColor="text1"/>
                <w:sz w:val="16"/>
                <w:szCs w:val="16"/>
                <w:lang w:eastAsia="es-ES"/>
              </w:rPr>
            </w:pPr>
            <w:r>
              <w:rPr>
                <w:rFonts w:ascii="Arial" w:hAnsi="Arial" w:eastAsia="Times New Roman" w:cs="Arial"/>
                <w:color w:val="000000" w:themeColor="text1"/>
                <w:sz w:val="16"/>
                <w:szCs w:val="16"/>
                <w:lang w:eastAsia="es-ES"/>
              </w:rPr>
              <w:t>Carlos Mario Castrillon Endo</w:t>
            </w:r>
          </w:p>
          <w:p w:rsidRPr="006C15D5" w:rsidR="00927341" w:rsidP="00B52481" w:rsidRDefault="00927341" w14:paraId="7BB32185" w14:textId="77777777">
            <w:pPr>
              <w:rPr>
                <w:rFonts w:ascii="Arial" w:hAnsi="Arial" w:eastAsia="Times New Roman" w:cs="Arial"/>
                <w:color w:val="000000" w:themeColor="text1"/>
                <w:sz w:val="16"/>
                <w:szCs w:val="16"/>
                <w:lang w:eastAsia="es-ES"/>
              </w:rPr>
            </w:pPr>
            <w:r w:rsidRPr="006C15D5">
              <w:rPr>
                <w:rFonts w:ascii="Arial" w:hAnsi="Arial" w:eastAsia="Times New Roman" w:cs="Arial"/>
                <w:color w:val="000000" w:themeColor="text1"/>
                <w:sz w:val="16"/>
                <w:szCs w:val="16"/>
                <w:lang w:eastAsia="es-ES"/>
              </w:rPr>
              <w:t>Contratista de la Subdirección de Gestión Contractual</w:t>
            </w:r>
          </w:p>
        </w:tc>
      </w:tr>
      <w:tr w:rsidRPr="003F6D32" w:rsidR="00927341" w:rsidTr="00B52481" w14:paraId="560F93A9" w14:textId="77777777">
        <w:trPr>
          <w:trHeight w:val="330"/>
        </w:trPr>
        <w:tc>
          <w:tcPr>
            <w:tcW w:w="812" w:type="dxa"/>
            <w:vAlign w:val="center"/>
            <w:hideMark/>
          </w:tcPr>
          <w:p w:rsidRPr="006C15D5" w:rsidR="00927341" w:rsidP="00B52481" w:rsidRDefault="00927341" w14:paraId="581F570B" w14:textId="77777777">
            <w:pPr>
              <w:rPr>
                <w:rFonts w:ascii="Arial" w:hAnsi="Arial" w:eastAsia="Times New Roman" w:cs="Arial"/>
                <w:color w:val="000000" w:themeColor="text1"/>
                <w:sz w:val="16"/>
                <w:szCs w:val="16"/>
                <w:lang w:eastAsia="es-ES"/>
              </w:rPr>
            </w:pPr>
            <w:r w:rsidRPr="006C15D5">
              <w:rPr>
                <w:rFonts w:ascii="Arial" w:hAnsi="Arial" w:eastAsia="Times New Roman" w:cs="Arial"/>
                <w:color w:val="000000" w:themeColor="text1"/>
                <w:sz w:val="16"/>
                <w:szCs w:val="16"/>
                <w:lang w:eastAsia="es-ES"/>
              </w:rPr>
              <w:t>Revisó: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00927341" w:rsidP="00B52481" w:rsidRDefault="004131F7" w14:paraId="0F2495A5" w14:textId="77777777">
            <w:pPr>
              <w:rPr>
                <w:rFonts w:ascii="Arial" w:hAnsi="Arial" w:eastAsia="Times New Roman" w:cs="Arial"/>
                <w:color w:val="000000" w:themeColor="text1"/>
                <w:sz w:val="16"/>
                <w:szCs w:val="16"/>
                <w:lang w:eastAsia="es-ES"/>
              </w:rPr>
            </w:pPr>
            <w:r>
              <w:rPr>
                <w:rFonts w:ascii="Arial" w:hAnsi="Arial" w:eastAsia="Times New Roman" w:cs="Arial"/>
                <w:color w:val="000000" w:themeColor="text1"/>
                <w:sz w:val="16"/>
                <w:szCs w:val="16"/>
                <w:lang w:eastAsia="es-ES"/>
              </w:rPr>
              <w:t xml:space="preserve">Juan David Montoya Penagos </w:t>
            </w:r>
          </w:p>
          <w:p w:rsidRPr="006C15D5" w:rsidR="004131F7" w:rsidP="00B52481" w:rsidRDefault="004131F7" w14:paraId="455B2E64" w14:textId="496F83FF">
            <w:pPr>
              <w:rPr>
                <w:rFonts w:ascii="Arial" w:hAnsi="Arial" w:eastAsia="Times New Roman" w:cs="Arial"/>
                <w:color w:val="000000" w:themeColor="text1"/>
                <w:sz w:val="16"/>
                <w:szCs w:val="16"/>
                <w:lang w:eastAsia="es-ES"/>
              </w:rPr>
            </w:pPr>
            <w:r>
              <w:rPr>
                <w:rFonts w:ascii="Arial" w:hAnsi="Arial" w:eastAsia="Times New Roman" w:cs="Arial"/>
                <w:color w:val="000000" w:themeColor="text1"/>
                <w:sz w:val="16"/>
                <w:szCs w:val="16"/>
                <w:lang w:eastAsia="es-ES"/>
              </w:rPr>
              <w:t xml:space="preserve">Gestor T1-15 de la </w:t>
            </w:r>
            <w:r w:rsidRPr="006C15D5">
              <w:rPr>
                <w:rFonts w:ascii="Arial" w:hAnsi="Arial" w:eastAsia="Times New Roman" w:cs="Arial"/>
                <w:color w:val="000000" w:themeColor="text1"/>
                <w:sz w:val="16"/>
                <w:szCs w:val="16"/>
                <w:lang w:eastAsia="es-ES"/>
              </w:rPr>
              <w:t>Subdirección de Gestión Contractual</w:t>
            </w:r>
          </w:p>
        </w:tc>
      </w:tr>
      <w:tr w:rsidRPr="003F6D32" w:rsidR="00927341" w:rsidTr="00B52481" w14:paraId="5E1F2BB4" w14:textId="77777777">
        <w:trPr>
          <w:trHeight w:val="300"/>
        </w:trPr>
        <w:tc>
          <w:tcPr>
            <w:tcW w:w="812" w:type="dxa"/>
            <w:vAlign w:val="center"/>
            <w:hideMark/>
          </w:tcPr>
          <w:p w:rsidRPr="006C15D5" w:rsidR="00927341" w:rsidP="00B52481" w:rsidRDefault="00927341" w14:paraId="2EA0925D" w14:textId="77777777">
            <w:pPr>
              <w:rPr>
                <w:rFonts w:ascii="Arial" w:hAnsi="Arial" w:eastAsia="Times New Roman" w:cs="Arial"/>
                <w:color w:val="000000" w:themeColor="text1"/>
                <w:sz w:val="16"/>
                <w:szCs w:val="16"/>
                <w:lang w:eastAsia="es-ES"/>
              </w:rPr>
            </w:pPr>
            <w:r w:rsidRPr="006C15D5">
              <w:rPr>
                <w:rFonts w:ascii="Arial" w:hAnsi="Arial" w:eastAsia="Times New Roman" w:cs="Arial"/>
                <w:color w:val="000000" w:themeColor="text1"/>
                <w:sz w:val="16"/>
                <w:szCs w:val="16"/>
                <w:lang w:eastAsia="es-ES"/>
              </w:rPr>
              <w:t>Aprobó: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6C15D5" w:rsidR="00927341" w:rsidP="00B52481" w:rsidRDefault="00927341" w14:paraId="611BB6B3" w14:textId="77777777">
            <w:pPr>
              <w:rPr>
                <w:rFonts w:ascii="Arial" w:hAnsi="Arial" w:eastAsia="Times New Roman" w:cs="Arial"/>
                <w:color w:val="000000" w:themeColor="text1"/>
                <w:sz w:val="16"/>
                <w:szCs w:val="16"/>
                <w:lang w:eastAsia="es-ES"/>
              </w:rPr>
            </w:pPr>
            <w:r>
              <w:rPr>
                <w:rFonts w:ascii="Arial" w:hAnsi="Arial" w:eastAsia="Times New Roman" w:cs="Arial"/>
                <w:color w:val="000000" w:themeColor="text1"/>
                <w:sz w:val="16"/>
                <w:szCs w:val="16"/>
                <w:lang w:eastAsia="es-ES"/>
              </w:rPr>
              <w:t>Jorge Augusto Tirado Navarro</w:t>
            </w:r>
          </w:p>
          <w:p w:rsidRPr="006C15D5" w:rsidR="00927341" w:rsidP="00B52481" w:rsidRDefault="00927341" w14:paraId="7F3CE4B7" w14:textId="77777777">
            <w:pPr>
              <w:rPr>
                <w:rFonts w:ascii="Arial" w:hAnsi="Arial" w:eastAsia="Times New Roman" w:cs="Arial"/>
                <w:color w:val="000000" w:themeColor="text1"/>
                <w:sz w:val="16"/>
                <w:szCs w:val="16"/>
                <w:lang w:eastAsia="es-ES"/>
              </w:rPr>
            </w:pPr>
            <w:r w:rsidRPr="006C15D5">
              <w:rPr>
                <w:rFonts w:ascii="Arial" w:hAnsi="Arial" w:eastAsia="Times New Roman" w:cs="Arial"/>
                <w:color w:val="000000" w:themeColor="text1"/>
                <w:sz w:val="16"/>
                <w:szCs w:val="16"/>
                <w:lang w:eastAsia="es-ES"/>
              </w:rPr>
              <w:t>Subdirector de Gestión Contractual</w:t>
            </w:r>
          </w:p>
        </w:tc>
      </w:tr>
    </w:tbl>
    <w:p w:rsidRPr="006C15D5" w:rsidR="00927341" w:rsidP="00927341" w:rsidRDefault="00927341" w14:paraId="6CDC6F88" w14:textId="77777777">
      <w:pPr>
        <w:rPr>
          <w:rFonts w:ascii="Arial" w:hAnsi="Arial" w:cs="Arial"/>
          <w:color w:val="000000" w:themeColor="text1"/>
        </w:rPr>
      </w:pPr>
    </w:p>
    <w:p w:rsidRPr="006C15D5" w:rsidR="00927341" w:rsidP="00927341" w:rsidRDefault="00927341" w14:paraId="5FAF97C2" w14:textId="77777777">
      <w:pPr>
        <w:rPr>
          <w:color w:val="000000" w:themeColor="text1"/>
        </w:rPr>
      </w:pPr>
    </w:p>
    <w:p w:rsidR="00BD0429" w:rsidRDefault="00BD0429" w14:paraId="67A1669D" w14:textId="77777777"/>
    <w:sectPr w:rsidR="00BD0429" w:rsidSect="005D791B">
      <w:headerReference w:type="default" r:id="rId8"/>
      <w:footerReference w:type="default" r:id="rId9"/>
      <w:pgSz w:w="12240" w:h="15840" w:orient="portrait"/>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91125" w:rsidP="00927341" w:rsidRDefault="00E91125" w14:paraId="23FE53DD" w14:textId="77777777">
      <w:r>
        <w:separator/>
      </w:r>
    </w:p>
  </w:endnote>
  <w:endnote w:type="continuationSeparator" w:id="0">
    <w:p w:rsidR="00E91125" w:rsidP="00927341" w:rsidRDefault="00E91125" w14:paraId="3AD981D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F501D2" w:rsidP="00322937" w:rsidRDefault="00E91125" w14:paraId="460026E8" w14:textId="77777777">
    <w:pPr>
      <w:pStyle w:val="Sinespaciado"/>
      <w:jc w:val="right"/>
      <w:rPr>
        <w:rFonts w:ascii="Arial" w:hAnsi="Arial" w:cs="Arial"/>
        <w:sz w:val="18"/>
        <w:szCs w:val="18"/>
      </w:rPr>
    </w:pPr>
  </w:p>
  <w:p w:rsidRPr="008217B7" w:rsidR="00FE42ED" w:rsidP="00FE42ED" w:rsidRDefault="00F901D2" w14:paraId="0EE17D82" w14:textId="77777777">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rsidR="009047C5" w:rsidP="00322937" w:rsidRDefault="00F901D2" w14:paraId="7B9894ED" w14:textId="77777777">
    <w:pPr>
      <w:pStyle w:val="Piedepgina"/>
      <w:jc w:val="center"/>
      <w:rPr>
        <w:lang w:val="es-ES"/>
      </w:rPr>
    </w:pPr>
    <w:r w:rsidR="40EAC7E2">
      <w:drawing>
        <wp:inline wp14:editId="702B27A7" wp14:anchorId="36240A59">
          <wp:extent cx="3700130" cy="519139"/>
          <wp:effectExtent l="0" t="0" r="0" b="0"/>
          <wp:docPr id="1744507003" name="Imagen 3" title=""/>
          <wp:cNvGraphicFramePr>
            <a:graphicFrameLocks noChangeAspect="1"/>
          </wp:cNvGraphicFramePr>
          <a:graphic>
            <a:graphicData uri="http://schemas.openxmlformats.org/drawingml/2006/picture">
              <pic:pic>
                <pic:nvPicPr>
                  <pic:cNvPr id="0" name="Imagen 3"/>
                  <pic:cNvPicPr/>
                </pic:nvPicPr>
                <pic:blipFill>
                  <a:blip r:embed="R47ec4ac4a16c43fa">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700130" cy="519139"/>
                  </a:xfrm>
                  <a:prstGeom prst="rect">
                    <a:avLst/>
                  </a:prstGeom>
                </pic:spPr>
              </pic:pic>
            </a:graphicData>
          </a:graphic>
        </wp:inline>
      </w:drawing>
    </w:r>
  </w:p>
  <w:p w:rsidRPr="00E756AC" w:rsidR="00322937" w:rsidP="007B0854" w:rsidRDefault="00E91125" w14:paraId="27964AD9" w14:textId="77777777">
    <w:pPr>
      <w:pStyle w:val="Piedepgina"/>
      <w:jc w:val="center"/>
      <w:rPr>
        <w:sz w:val="18"/>
        <w:szCs w:val="18"/>
        <w:lang w:val="es-ES"/>
      </w:rPr>
    </w:pPr>
  </w:p>
  <w:p w:rsidRPr="00E756AC" w:rsidR="004A34D2" w:rsidP="007B0854" w:rsidRDefault="00E91125" w14:paraId="4BC23F52" w14:textId="77777777">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91125" w:rsidP="00927341" w:rsidRDefault="00E91125" w14:paraId="78B44F1B" w14:textId="77777777">
      <w:r>
        <w:separator/>
      </w:r>
    </w:p>
  </w:footnote>
  <w:footnote w:type="continuationSeparator" w:id="0">
    <w:p w:rsidR="00E91125" w:rsidP="00927341" w:rsidRDefault="00E91125" w14:paraId="4CFFC701" w14:textId="77777777">
      <w:r>
        <w:continuationSeparator/>
      </w:r>
    </w:p>
  </w:footnote>
  <w:footnote w:id="1">
    <w:p w:rsidRPr="0003383F" w:rsidR="00927341" w:rsidP="00927341" w:rsidRDefault="00927341" w14:paraId="0D11D884"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rsidRPr="0003383F" w:rsidR="00927341" w:rsidP="00927341" w:rsidRDefault="00927341" w14:paraId="00AC0125" w14:textId="77777777">
      <w:pPr>
        <w:pStyle w:val="Textonotapie"/>
        <w:ind w:firstLine="708"/>
        <w:jc w:val="both"/>
        <w:rPr>
          <w:rFonts w:ascii="Arial" w:hAnsi="Arial" w:cs="Arial"/>
          <w:color w:val="000000" w:themeColor="text1"/>
          <w:sz w:val="19"/>
          <w:szCs w:val="19"/>
        </w:rPr>
      </w:pPr>
      <w:proofErr w:type="gramStart"/>
      <w:r w:rsidRPr="0003383F">
        <w:rPr>
          <w:rFonts w:ascii="Arial" w:hAnsi="Arial" w:cs="Arial"/>
          <w:color w:val="000000" w:themeColor="text1"/>
          <w:sz w:val="19"/>
          <w:szCs w:val="19"/>
        </w:rPr>
        <w:t>»[...]</w:t>
      </w:r>
      <w:proofErr w:type="gramEnd"/>
      <w:r w:rsidRPr="0003383F">
        <w:rPr>
          <w:rFonts w:ascii="Arial" w:hAnsi="Arial" w:cs="Arial"/>
          <w:color w:val="000000" w:themeColor="text1"/>
          <w:sz w:val="19"/>
          <w:szCs w:val="19"/>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rsidRPr="0003383F" w:rsidR="00927341" w:rsidP="00927341" w:rsidRDefault="00927341" w14:paraId="61B49CF7" w14:textId="77777777">
      <w:pPr>
        <w:pStyle w:val="Textonotapie"/>
        <w:ind w:firstLine="708"/>
        <w:jc w:val="both"/>
        <w:rPr>
          <w:rFonts w:ascii="Arial" w:hAnsi="Arial" w:cs="Arial"/>
          <w:color w:val="000000" w:themeColor="text1"/>
          <w:sz w:val="19"/>
          <w:szCs w:val="19"/>
        </w:rPr>
      </w:pPr>
    </w:p>
  </w:footnote>
  <w:footnote w:id="2">
    <w:p w:rsidRPr="0003383F" w:rsidR="00927341" w:rsidP="00927341" w:rsidRDefault="00927341" w14:paraId="68F6963B"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rsidRPr="0003383F" w:rsidR="00927341" w:rsidP="00927341" w:rsidRDefault="00927341" w14:paraId="56EE4D51" w14:textId="77777777">
      <w:pPr>
        <w:pStyle w:val="Textonotapie"/>
        <w:ind w:firstLine="708"/>
        <w:jc w:val="both"/>
        <w:rPr>
          <w:rFonts w:ascii="Arial" w:hAnsi="Arial" w:cs="Arial"/>
          <w:color w:val="000000" w:themeColor="text1"/>
          <w:sz w:val="19"/>
          <w:szCs w:val="19"/>
        </w:rPr>
      </w:pPr>
      <w:proofErr w:type="gramStart"/>
      <w:r w:rsidRPr="0003383F">
        <w:rPr>
          <w:rFonts w:ascii="Arial" w:hAnsi="Arial" w:cs="Arial"/>
          <w:color w:val="000000" w:themeColor="text1"/>
          <w:sz w:val="19"/>
          <w:szCs w:val="19"/>
        </w:rPr>
        <w:t>»Las</w:t>
      </w:r>
      <w:proofErr w:type="gramEnd"/>
      <w:r w:rsidRPr="0003383F">
        <w:rPr>
          <w:rFonts w:ascii="Arial" w:hAnsi="Arial" w:cs="Arial"/>
          <w:color w:val="000000" w:themeColor="text1"/>
          <w:sz w:val="19"/>
          <w:szCs w:val="19"/>
        </w:rPr>
        <w:t xml:space="preserve"> personas jurídicas nacionales y extranjeras deberán acreditar que su duración no será inferior a la del plazo del contrato y un año más».</w:t>
      </w:r>
    </w:p>
    <w:p w:rsidRPr="0003383F" w:rsidR="00927341" w:rsidP="00927341" w:rsidRDefault="00927341" w14:paraId="0F190E3F" w14:textId="77777777">
      <w:pPr>
        <w:pStyle w:val="Textonotapie"/>
        <w:jc w:val="both"/>
        <w:rPr>
          <w:rFonts w:ascii="Arial" w:hAnsi="Arial" w:cs="Arial"/>
          <w:color w:val="000000" w:themeColor="text1"/>
          <w:sz w:val="19"/>
          <w:szCs w:val="19"/>
          <w:lang w:val="es-CO"/>
        </w:rPr>
      </w:pPr>
      <w:r w:rsidRPr="0003383F">
        <w:rPr>
          <w:rFonts w:ascii="Arial" w:hAnsi="Arial" w:cs="Arial"/>
          <w:color w:val="000000" w:themeColor="text1"/>
          <w:sz w:val="19"/>
          <w:szCs w:val="19"/>
        </w:rPr>
        <w:t xml:space="preserve"> </w:t>
      </w:r>
    </w:p>
  </w:footnote>
  <w:footnote w:id="3">
    <w:p w:rsidRPr="0003383F" w:rsidR="00927341" w:rsidP="00927341" w:rsidRDefault="00927341" w14:paraId="4F4436FD"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Código Civil: «Artículo 633. Definición de persona jurídica. Se llama persona jurídica, una persona ficticia, capaz de ejercer derechos y contraer obligaciones civiles, y de ser representada judicial y extrajudicialmente.</w:t>
      </w:r>
    </w:p>
    <w:p w:rsidRPr="0003383F" w:rsidR="00927341" w:rsidP="00927341" w:rsidRDefault="00927341" w14:paraId="06FE7948" w14:textId="77777777">
      <w:pPr>
        <w:pStyle w:val="Textonotapie"/>
        <w:ind w:firstLine="708"/>
        <w:jc w:val="both"/>
        <w:rPr>
          <w:rFonts w:ascii="Arial" w:hAnsi="Arial" w:cs="Arial"/>
          <w:color w:val="000000" w:themeColor="text1"/>
          <w:sz w:val="19"/>
          <w:szCs w:val="19"/>
        </w:rPr>
      </w:pPr>
      <w:proofErr w:type="gramStart"/>
      <w:r w:rsidRPr="0003383F">
        <w:rPr>
          <w:rFonts w:ascii="Arial" w:hAnsi="Arial" w:cs="Arial"/>
          <w:color w:val="000000" w:themeColor="text1"/>
          <w:sz w:val="19"/>
          <w:szCs w:val="19"/>
        </w:rPr>
        <w:t>»Las</w:t>
      </w:r>
      <w:proofErr w:type="gramEnd"/>
      <w:r w:rsidRPr="0003383F">
        <w:rPr>
          <w:rFonts w:ascii="Arial" w:hAnsi="Arial" w:cs="Arial"/>
          <w:color w:val="000000" w:themeColor="text1"/>
          <w:sz w:val="19"/>
          <w:szCs w:val="19"/>
        </w:rPr>
        <w:t xml:space="preserve"> personas jurídicas son de dos especies: corporaciones y fundaciones de beneficencia pública.</w:t>
      </w:r>
    </w:p>
    <w:p w:rsidRPr="0003383F" w:rsidR="00927341" w:rsidP="00927341" w:rsidRDefault="00927341" w14:paraId="6B7F6BD0" w14:textId="77777777">
      <w:pPr>
        <w:pStyle w:val="Textonotapie"/>
        <w:ind w:firstLine="708"/>
        <w:jc w:val="both"/>
        <w:rPr>
          <w:rFonts w:ascii="Arial" w:hAnsi="Arial" w:cs="Arial"/>
          <w:color w:val="000000" w:themeColor="text1"/>
          <w:sz w:val="19"/>
          <w:szCs w:val="19"/>
          <w:lang w:val="es-CO"/>
        </w:rPr>
      </w:pPr>
      <w:proofErr w:type="gramStart"/>
      <w:r w:rsidRPr="0003383F">
        <w:rPr>
          <w:rFonts w:ascii="Arial" w:hAnsi="Arial" w:cs="Arial"/>
          <w:color w:val="000000" w:themeColor="text1"/>
          <w:sz w:val="19"/>
          <w:szCs w:val="19"/>
        </w:rPr>
        <w:t>»Hay</w:t>
      </w:r>
      <w:proofErr w:type="gramEnd"/>
      <w:r w:rsidRPr="0003383F">
        <w:rPr>
          <w:rFonts w:ascii="Arial" w:hAnsi="Arial" w:cs="Arial"/>
          <w:color w:val="000000" w:themeColor="text1"/>
          <w:sz w:val="19"/>
          <w:szCs w:val="19"/>
        </w:rPr>
        <w:t xml:space="preserve"> personas jurídicas que participan de uno y otro carácter».</w:t>
      </w:r>
    </w:p>
  </w:footnote>
  <w:footnote w:id="4">
    <w:p w:rsidRPr="0003383F" w:rsidR="00927341" w:rsidP="00927341" w:rsidRDefault="00927341" w14:paraId="1257EE4C" w14:textId="77777777">
      <w:pPr>
        <w:pStyle w:val="Textonotapie"/>
        <w:ind w:firstLine="708"/>
        <w:jc w:val="both"/>
        <w:rPr>
          <w:rFonts w:ascii="Arial" w:hAnsi="Arial" w:cs="Arial"/>
          <w:color w:val="000000" w:themeColor="text1"/>
          <w:sz w:val="19"/>
          <w:szCs w:val="19"/>
        </w:rPr>
      </w:pPr>
    </w:p>
    <w:p w:rsidRPr="0003383F" w:rsidR="00927341" w:rsidP="00927341" w:rsidRDefault="00927341" w14:paraId="525D8418"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Código de Comercio: «Artículo 1. Aplicabilidad de la ley comercial. Los comerciantes y los asuntos mercantiles se regirán por las disposiciones de la ley comercial, y los casos no regulados expresamente en ella serán decididos por analogía de sus normas</w:t>
      </w:r>
    </w:p>
    <w:p w:rsidRPr="0003383F" w:rsidR="00927341" w:rsidP="00BE053E" w:rsidRDefault="00927341" w14:paraId="12D9EE45" w14:textId="78156243">
      <w:pPr>
        <w:pStyle w:val="Textonotapie"/>
        <w:ind w:firstLine="708"/>
        <w:jc w:val="both"/>
        <w:rPr>
          <w:rFonts w:ascii="Arial" w:hAnsi="Arial" w:cs="Arial"/>
          <w:color w:val="000000" w:themeColor="text1"/>
          <w:sz w:val="19"/>
          <w:szCs w:val="19"/>
          <w:lang w:val="es-CO"/>
        </w:rPr>
      </w:pPr>
      <w:proofErr w:type="gramStart"/>
      <w:r w:rsidRPr="0003383F">
        <w:rPr>
          <w:rFonts w:ascii="Arial" w:hAnsi="Arial" w:cs="Arial"/>
          <w:color w:val="000000" w:themeColor="text1"/>
          <w:sz w:val="19"/>
          <w:szCs w:val="19"/>
        </w:rPr>
        <w:t>»Artículo</w:t>
      </w:r>
      <w:proofErr w:type="gramEnd"/>
      <w:r w:rsidRPr="0003383F">
        <w:rPr>
          <w:rFonts w:ascii="Arial" w:hAnsi="Arial" w:cs="Arial"/>
          <w:color w:val="000000" w:themeColor="text1"/>
          <w:sz w:val="19"/>
          <w:szCs w:val="19"/>
        </w:rPr>
        <w:t xml:space="preserve"> 2. Aplicación de la legislación civil. En las cuestiones comerciales que no pudieren regularse conforme a la regla anterior, se aplicarán las disposiciones de la legislación civil».</w:t>
      </w:r>
    </w:p>
  </w:footnote>
  <w:footnote w:id="5">
    <w:p w:rsidRPr="0003383F" w:rsidR="00927341" w:rsidP="00927341" w:rsidRDefault="00927341" w14:paraId="4D9694B3" w14:textId="77777777">
      <w:pPr>
        <w:pStyle w:val="Textonotapie"/>
        <w:ind w:firstLine="709"/>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03383F">
        <w:rPr>
          <w:rFonts w:ascii="Arial" w:hAnsi="Arial" w:cs="Arial"/>
          <w:color w:val="000000" w:themeColor="text1"/>
          <w:sz w:val="19"/>
          <w:szCs w:val="19"/>
        </w:rPr>
        <w:t>equivalentes,</w:t>
      </w:r>
      <w:proofErr w:type="gramEnd"/>
      <w:r w:rsidRPr="0003383F">
        <w:rPr>
          <w:rFonts w:ascii="Arial" w:hAnsi="Arial" w:cs="Arial"/>
          <w:color w:val="000000" w:themeColor="text1"/>
          <w:sz w:val="19"/>
          <w:szCs w:val="19"/>
        </w:rPr>
        <w:t xml:space="preserve"> tendrán en cuenta los siguientes criterios:</w:t>
      </w:r>
    </w:p>
    <w:p w:rsidRPr="0003383F" w:rsidR="00927341" w:rsidP="00927341" w:rsidRDefault="00927341" w14:paraId="24D36362" w14:textId="77777777">
      <w:pPr>
        <w:pStyle w:val="Textonotapie"/>
        <w:ind w:firstLine="709"/>
        <w:jc w:val="both"/>
        <w:rPr>
          <w:rFonts w:ascii="Arial" w:hAnsi="Arial" w:cs="Arial"/>
          <w:color w:val="000000" w:themeColor="text1"/>
          <w:sz w:val="19"/>
          <w:szCs w:val="19"/>
        </w:rPr>
      </w:pPr>
      <w:r w:rsidRPr="0003383F">
        <w:rPr>
          <w:rFonts w:ascii="Arial" w:hAnsi="Arial" w:cs="Arial"/>
          <w:color w:val="000000" w:themeColor="text1"/>
          <w:sz w:val="19"/>
          <w:szCs w:val="19"/>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6">
    <w:p w:rsidRPr="0003383F" w:rsidR="00927341" w:rsidP="00927341" w:rsidRDefault="00927341" w14:paraId="5C985D99"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03383F">
        <w:rPr>
          <w:rFonts w:ascii="Arial" w:hAnsi="Arial" w:cs="Arial"/>
          <w:color w:val="000000" w:themeColor="text1"/>
          <w:sz w:val="19"/>
          <w:szCs w:val="19"/>
        </w:rPr>
        <w:t>equivalentes,</w:t>
      </w:r>
      <w:proofErr w:type="gramEnd"/>
      <w:r w:rsidRPr="0003383F">
        <w:rPr>
          <w:rFonts w:ascii="Arial" w:hAnsi="Arial" w:cs="Arial"/>
          <w:color w:val="000000" w:themeColor="text1"/>
          <w:sz w:val="19"/>
          <w:szCs w:val="19"/>
        </w:rPr>
        <w:t xml:space="preserve"> tendrán en cuenta los siguientes criterios:</w:t>
      </w:r>
    </w:p>
    <w:p w:rsidRPr="0003383F" w:rsidR="00927341" w:rsidP="00927341" w:rsidRDefault="00927341" w14:paraId="5C4B9CDC" w14:textId="77777777">
      <w:pPr>
        <w:pStyle w:val="Textonotapie"/>
        <w:ind w:firstLine="708"/>
        <w:jc w:val="both"/>
        <w:rPr>
          <w:rFonts w:ascii="Arial" w:hAnsi="Arial" w:cs="Arial"/>
          <w:color w:val="000000" w:themeColor="text1"/>
          <w:sz w:val="19"/>
          <w:szCs w:val="19"/>
        </w:rPr>
      </w:pPr>
      <w:r w:rsidRPr="0003383F">
        <w:rPr>
          <w:rFonts w:ascii="Arial" w:hAnsi="Arial" w:cs="Arial"/>
          <w:color w:val="000000" w:themeColor="text1"/>
          <w:sz w:val="19"/>
          <w:szCs w:val="19"/>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rsidRPr="0003383F" w:rsidR="00927341" w:rsidP="00927341" w:rsidRDefault="00927341" w14:paraId="5BCD7B70" w14:textId="77777777">
      <w:pPr>
        <w:pStyle w:val="Textonotapie"/>
        <w:jc w:val="both"/>
        <w:rPr>
          <w:rFonts w:ascii="Arial" w:hAnsi="Arial" w:cs="Arial"/>
          <w:color w:val="000000" w:themeColor="text1"/>
          <w:sz w:val="19"/>
          <w:szCs w:val="19"/>
          <w:lang w:val="es-ES"/>
        </w:rPr>
      </w:pPr>
    </w:p>
  </w:footnote>
  <w:footnote w:id="7">
    <w:p w:rsidRPr="0003383F" w:rsidR="00927341" w:rsidP="00927341" w:rsidRDefault="00927341" w14:paraId="75055785"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rsidRPr="0003383F" w:rsidR="00927341" w:rsidP="00927341" w:rsidRDefault="00927341" w14:paraId="68FB6F5E" w14:textId="77777777">
      <w:pPr>
        <w:pStyle w:val="Textonotapie"/>
        <w:ind w:firstLine="708"/>
        <w:jc w:val="both"/>
        <w:rPr>
          <w:rFonts w:ascii="Arial" w:hAnsi="Arial" w:cs="Arial"/>
          <w:color w:val="000000" w:themeColor="text1"/>
          <w:sz w:val="19"/>
          <w:szCs w:val="19"/>
          <w:lang w:val="es-ES"/>
        </w:rPr>
      </w:pPr>
    </w:p>
  </w:footnote>
  <w:footnote w:id="8">
    <w:p w:rsidRPr="0003383F" w:rsidR="00927341" w:rsidP="00927341" w:rsidRDefault="00927341" w14:paraId="10EC5247"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rsidRPr="0003383F" w:rsidR="00927341" w:rsidP="00927341" w:rsidRDefault="00927341" w14:paraId="551D1B33" w14:textId="77777777">
      <w:pPr>
        <w:pStyle w:val="Textonotapie"/>
        <w:ind w:firstLine="708"/>
        <w:jc w:val="both"/>
        <w:rPr>
          <w:rFonts w:ascii="Arial" w:hAnsi="Arial" w:cs="Arial"/>
          <w:color w:val="000000" w:themeColor="text1"/>
          <w:sz w:val="19"/>
          <w:szCs w:val="19"/>
        </w:rPr>
      </w:pPr>
      <w:r w:rsidRPr="0003383F">
        <w:rPr>
          <w:rFonts w:ascii="Arial" w:hAnsi="Arial" w:cs="Arial"/>
          <w:color w:val="000000" w:themeColor="text1"/>
          <w:sz w:val="19"/>
          <w:szCs w:val="19"/>
        </w:rPr>
        <w:t>»1. Experiencia – Los contratos celebrados por el interesado para cada uno de los bienes, obras y servicios que ofrecerá a las Entidades Estatales, identificados con el Clasificador de Bienes y Servicios en el tercer nivel y su valor expresado en SMMLV […]».</w:t>
      </w:r>
    </w:p>
    <w:p w:rsidRPr="0003383F" w:rsidR="00927341" w:rsidP="00927341" w:rsidRDefault="00927341" w14:paraId="58A95036" w14:textId="77777777">
      <w:pPr>
        <w:pStyle w:val="Textonotapie"/>
        <w:ind w:firstLine="708"/>
        <w:jc w:val="both"/>
        <w:rPr>
          <w:rFonts w:ascii="Arial" w:hAnsi="Arial" w:cs="Arial"/>
          <w:color w:val="000000" w:themeColor="text1"/>
          <w:sz w:val="19"/>
          <w:szCs w:val="19"/>
          <w:lang w:val="es-ES"/>
        </w:rPr>
      </w:pPr>
    </w:p>
  </w:footnote>
  <w:footnote w:id="9">
    <w:p w:rsidRPr="0003383F" w:rsidR="00927341" w:rsidP="00927341" w:rsidRDefault="00927341" w14:paraId="72771BE7"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rsidRPr="0003383F" w:rsidR="00927341" w:rsidP="00927341" w:rsidRDefault="00927341" w14:paraId="5E766986" w14:textId="77777777">
      <w:pPr>
        <w:pStyle w:val="Textonotapie"/>
        <w:ind w:firstLine="708"/>
        <w:jc w:val="both"/>
        <w:rPr>
          <w:rFonts w:ascii="Arial" w:hAnsi="Arial" w:cs="Arial"/>
          <w:color w:val="000000" w:themeColor="text1"/>
          <w:sz w:val="19"/>
          <w:szCs w:val="19"/>
        </w:rPr>
      </w:pPr>
      <w:proofErr w:type="gramStart"/>
      <w:r w:rsidRPr="0003383F">
        <w:rPr>
          <w:rFonts w:ascii="Arial" w:hAnsi="Arial" w:cs="Arial"/>
          <w:color w:val="000000" w:themeColor="text1"/>
          <w:sz w:val="19"/>
          <w:szCs w:val="19"/>
        </w:rPr>
        <w:t>»[</w:t>
      </w:r>
      <w:proofErr w:type="gramEnd"/>
      <w:r w:rsidRPr="0003383F">
        <w:rPr>
          <w:rFonts w:ascii="Arial" w:hAnsi="Arial" w:cs="Arial"/>
          <w:color w:val="000000" w:themeColor="text1"/>
          <w:sz w:val="19"/>
          <w:szCs w:val="19"/>
        </w:rPr>
        <w:t xml:space="preserve">…]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 </w:t>
      </w:r>
    </w:p>
    <w:p w:rsidRPr="0003383F" w:rsidR="00927341" w:rsidP="00927341" w:rsidRDefault="00927341" w14:paraId="7FBB1636" w14:textId="77777777">
      <w:pPr>
        <w:pStyle w:val="Textonotapie"/>
        <w:ind w:firstLine="708"/>
        <w:jc w:val="both"/>
        <w:rPr>
          <w:rFonts w:ascii="Arial" w:hAnsi="Arial" w:cs="Arial"/>
          <w:color w:val="000000" w:themeColor="text1"/>
          <w:sz w:val="19"/>
          <w:szCs w:val="19"/>
        </w:rPr>
      </w:pPr>
      <w:proofErr w:type="gramStart"/>
      <w:r w:rsidRPr="0003383F">
        <w:rPr>
          <w:rFonts w:ascii="Arial" w:hAnsi="Arial" w:cs="Arial"/>
          <w:color w:val="000000" w:themeColor="text1"/>
          <w:sz w:val="19"/>
          <w:szCs w:val="19"/>
        </w:rPr>
        <w:t>»No</w:t>
      </w:r>
      <w:proofErr w:type="gramEnd"/>
      <w:r w:rsidRPr="0003383F">
        <w:rPr>
          <w:rFonts w:ascii="Arial" w:hAnsi="Arial" w:cs="Arial"/>
          <w:color w:val="000000" w:themeColor="text1"/>
          <w:sz w:val="19"/>
          <w:szCs w:val="19"/>
        </w:rPr>
        <w:t xml:space="preserve"> obstante lo anterior, sólo en aquellos casos en que por las características del objeto a contratar se requiera la verificación de requisitos del proponente adicionales a los contenidos en el Registro, la entidad podrá hacer tal verificación en forma directa […]».</w:t>
      </w:r>
    </w:p>
    <w:p w:rsidRPr="0003383F" w:rsidR="00927341" w:rsidP="00927341" w:rsidRDefault="00927341" w14:paraId="47502255" w14:textId="77777777">
      <w:pPr>
        <w:pStyle w:val="Textonotapie"/>
        <w:jc w:val="both"/>
        <w:rPr>
          <w:rFonts w:ascii="Arial" w:hAnsi="Arial" w:cs="Arial"/>
          <w:color w:val="000000" w:themeColor="text1"/>
          <w:sz w:val="19"/>
          <w:szCs w:val="19"/>
          <w:lang w:val="es-ES"/>
        </w:rPr>
      </w:pPr>
    </w:p>
  </w:footnote>
  <w:footnote w:id="10">
    <w:p w:rsidRPr="0003383F" w:rsidR="00927341" w:rsidP="00927341" w:rsidRDefault="00927341" w14:paraId="6841F583"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rsidRPr="0003383F" w:rsidR="00927341" w:rsidP="00927341" w:rsidRDefault="00927341" w14:paraId="45748C3D" w14:textId="77777777">
      <w:pPr>
        <w:pStyle w:val="Textonotapie"/>
        <w:ind w:firstLine="708"/>
        <w:jc w:val="both"/>
        <w:rPr>
          <w:rFonts w:ascii="Arial" w:hAnsi="Arial" w:cs="Arial"/>
          <w:color w:val="000000" w:themeColor="text1"/>
          <w:sz w:val="19"/>
          <w:szCs w:val="19"/>
        </w:rPr>
      </w:pPr>
      <w:r w:rsidRPr="0003383F">
        <w:rPr>
          <w:rFonts w:ascii="Arial" w:hAnsi="Arial" w:cs="Arial"/>
          <w:color w:val="000000" w:themeColor="text1"/>
          <w:sz w:val="19"/>
          <w:szCs w:val="19"/>
        </w:rPr>
        <w:t>»1.    Si es una persona natural:</w:t>
      </w:r>
    </w:p>
    <w:p w:rsidRPr="0003383F" w:rsidR="00927341" w:rsidP="00927341" w:rsidRDefault="00927341" w14:paraId="2334DE59" w14:textId="77777777">
      <w:pPr>
        <w:pStyle w:val="Textonotapie"/>
        <w:ind w:firstLine="708"/>
        <w:jc w:val="both"/>
        <w:rPr>
          <w:rFonts w:ascii="Arial" w:hAnsi="Arial" w:cs="Arial"/>
          <w:color w:val="000000" w:themeColor="text1"/>
          <w:sz w:val="19"/>
          <w:szCs w:val="19"/>
        </w:rPr>
      </w:pPr>
      <w:r w:rsidRPr="0003383F">
        <w:rPr>
          <w:rFonts w:ascii="Arial" w:hAnsi="Arial" w:cs="Arial"/>
          <w:color w:val="000000" w:themeColor="text1"/>
          <w:sz w:val="19"/>
          <w:szCs w:val="19"/>
        </w:rPr>
        <w:t>»1.1. Bienes, obras y servicios que ofrecerá a las Entidades Estatales, identificados con el Clasificador de Bienes y Servicios en el tercer nivel.</w:t>
      </w:r>
    </w:p>
    <w:p w:rsidRPr="0003383F" w:rsidR="00927341" w:rsidP="00927341" w:rsidRDefault="00927341" w14:paraId="3E42BC2C" w14:textId="77777777">
      <w:pPr>
        <w:pStyle w:val="Textonotapie"/>
        <w:ind w:firstLine="708"/>
        <w:jc w:val="both"/>
        <w:rPr>
          <w:rFonts w:ascii="Arial" w:hAnsi="Arial" w:cs="Arial"/>
          <w:color w:val="000000" w:themeColor="text1"/>
          <w:sz w:val="19"/>
          <w:szCs w:val="19"/>
        </w:rPr>
      </w:pPr>
      <w:r w:rsidRPr="0003383F">
        <w:rPr>
          <w:rFonts w:ascii="Arial" w:hAnsi="Arial" w:cs="Arial"/>
          <w:color w:val="000000" w:themeColor="text1"/>
          <w:sz w:val="19"/>
          <w:szCs w:val="19"/>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rsidRPr="0003383F" w:rsidR="00927341" w:rsidP="00927341" w:rsidRDefault="00927341" w14:paraId="2139B489" w14:textId="77777777">
      <w:pPr>
        <w:pStyle w:val="Textonotapie"/>
        <w:ind w:firstLine="708"/>
        <w:jc w:val="both"/>
        <w:rPr>
          <w:rFonts w:ascii="Arial" w:hAnsi="Arial" w:cs="Arial"/>
          <w:color w:val="000000" w:themeColor="text1"/>
          <w:sz w:val="19"/>
          <w:szCs w:val="19"/>
          <w:lang w:val="es-ES"/>
        </w:rPr>
      </w:pPr>
    </w:p>
  </w:footnote>
  <w:footnote w:id="11">
    <w:p w:rsidRPr="0003383F" w:rsidR="00927341" w:rsidP="00927341" w:rsidRDefault="00927341" w14:paraId="3DCFA95C" w14:textId="77777777">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rsidRPr="0003383F" w:rsidR="00927341" w:rsidP="00927341" w:rsidRDefault="00927341" w14:paraId="62A11419" w14:textId="77777777">
      <w:pPr>
        <w:pStyle w:val="Textonotapie"/>
        <w:ind w:firstLine="708"/>
        <w:jc w:val="both"/>
        <w:rPr>
          <w:rFonts w:ascii="Arial" w:hAnsi="Arial" w:cs="Arial"/>
          <w:color w:val="000000" w:themeColor="text1"/>
          <w:sz w:val="19"/>
          <w:szCs w:val="19"/>
        </w:rPr>
      </w:pPr>
      <w:proofErr w:type="gramStart"/>
      <w:r w:rsidRPr="0003383F">
        <w:rPr>
          <w:rFonts w:ascii="Arial" w:hAnsi="Arial" w:cs="Arial"/>
          <w:color w:val="000000" w:themeColor="text1"/>
          <w:sz w:val="19"/>
          <w:szCs w:val="19"/>
        </w:rPr>
        <w:t>»Los</w:t>
      </w:r>
      <w:proofErr w:type="gramEnd"/>
      <w:r w:rsidRPr="0003383F">
        <w:rPr>
          <w:rFonts w:ascii="Arial" w:hAnsi="Arial" w:cs="Arial"/>
          <w:color w:val="000000" w:themeColor="text1"/>
          <w:sz w:val="19"/>
          <w:szCs w:val="19"/>
        </w:rPr>
        <w:t xml:space="preserve">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w:t>
      </w:r>
    </w:p>
    <w:p w:rsidRPr="0003383F" w:rsidR="00927341" w:rsidP="00927341" w:rsidRDefault="00927341" w14:paraId="588CEF94" w14:textId="77777777">
      <w:pPr>
        <w:pStyle w:val="Textonotapie"/>
        <w:jc w:val="both"/>
        <w:rPr>
          <w:rFonts w:ascii="Arial" w:hAnsi="Arial" w:cs="Arial"/>
          <w:color w:val="000000" w:themeColor="text1"/>
          <w:sz w:val="19"/>
          <w:szCs w:val="19"/>
        </w:rPr>
      </w:pPr>
      <w:r w:rsidRPr="0003383F">
        <w:rPr>
          <w:rFonts w:ascii="Arial" w:hAnsi="Arial" w:cs="Arial"/>
          <w:color w:val="000000" w:themeColor="text1"/>
          <w:sz w:val="19"/>
          <w:szCs w:val="19"/>
        </w:rPr>
        <w:t>la participación en proponentes plurales. Esta experiencia se obtiene con contratantes públicos, privados, nacionales o extranjeros. No hay límite frente al número de contratos o a la fecha en la cual estos fueron celebrados.</w:t>
      </w:r>
    </w:p>
    <w:p w:rsidRPr="0003383F" w:rsidR="00927341" w:rsidP="00927341" w:rsidRDefault="00927341" w14:paraId="31CFDB35" w14:textId="77777777">
      <w:pPr>
        <w:pStyle w:val="Textonotapie"/>
        <w:ind w:firstLine="708"/>
        <w:jc w:val="both"/>
        <w:rPr>
          <w:rFonts w:ascii="Arial" w:hAnsi="Arial" w:cs="Arial"/>
          <w:color w:val="000000" w:themeColor="text1"/>
          <w:sz w:val="19"/>
          <w:szCs w:val="19"/>
        </w:rPr>
      </w:pPr>
      <w:r w:rsidRPr="0003383F">
        <w:rPr>
          <w:rFonts w:ascii="Arial" w:hAnsi="Arial" w:cs="Arial"/>
          <w:color w:val="000000" w:themeColor="text1"/>
          <w:sz w:val="19"/>
          <w:szCs w:val="19"/>
        </w:rPr>
        <w:t>[…]</w:t>
      </w:r>
    </w:p>
    <w:p w:rsidRPr="0003383F" w:rsidR="00927341" w:rsidP="00927341" w:rsidRDefault="00927341" w14:paraId="0E193CF3" w14:textId="77777777">
      <w:pPr>
        <w:pStyle w:val="Textonotapie"/>
        <w:ind w:firstLine="708"/>
        <w:jc w:val="both"/>
        <w:rPr>
          <w:rFonts w:ascii="Arial" w:hAnsi="Arial" w:cs="Arial"/>
          <w:color w:val="000000" w:themeColor="text1"/>
          <w:sz w:val="19"/>
          <w:szCs w:val="19"/>
        </w:rPr>
      </w:pPr>
      <w:proofErr w:type="gramStart"/>
      <w:r w:rsidRPr="0003383F">
        <w:rPr>
          <w:rFonts w:ascii="Arial" w:hAnsi="Arial" w:cs="Arial"/>
          <w:color w:val="000000" w:themeColor="text1"/>
          <w:sz w:val="19"/>
          <w:szCs w:val="19"/>
        </w:rPr>
        <w:t>»La</w:t>
      </w:r>
      <w:proofErr w:type="gramEnd"/>
      <w:r w:rsidRPr="0003383F">
        <w:rPr>
          <w:rFonts w:ascii="Arial" w:hAnsi="Arial" w:cs="Arial"/>
          <w:color w:val="000000" w:themeColor="text1"/>
          <w:sz w:val="19"/>
          <w:szCs w:val="19"/>
        </w:rPr>
        <w:t xml:space="preserve">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rsidRPr="0003383F" w:rsidR="00927341" w:rsidP="00BE053E" w:rsidRDefault="00927341" w14:paraId="3E291A40" w14:textId="6767AD28">
      <w:pPr>
        <w:pStyle w:val="Textonotapie"/>
        <w:ind w:firstLine="708"/>
        <w:jc w:val="both"/>
        <w:rPr>
          <w:rFonts w:ascii="Arial" w:hAnsi="Arial" w:cs="Arial"/>
          <w:color w:val="000000" w:themeColor="text1"/>
          <w:sz w:val="19"/>
          <w:szCs w:val="19"/>
          <w:lang w:val="es-ES"/>
        </w:rPr>
      </w:pPr>
      <w:proofErr w:type="gramStart"/>
      <w:r w:rsidRPr="0003383F">
        <w:rPr>
          <w:rFonts w:ascii="Arial" w:hAnsi="Arial" w:cs="Arial"/>
          <w:color w:val="000000" w:themeColor="text1"/>
          <w:sz w:val="19"/>
          <w:szCs w:val="19"/>
        </w:rPr>
        <w:t>»La</w:t>
      </w:r>
      <w:proofErr w:type="gramEnd"/>
      <w:r w:rsidRPr="0003383F">
        <w:rPr>
          <w:rFonts w:ascii="Arial" w:hAnsi="Arial" w:cs="Arial"/>
          <w:color w:val="000000" w:themeColor="text1"/>
          <w:sz w:val="19"/>
          <w:szCs w:val="19"/>
        </w:rPr>
        <w:t xml:space="preserve">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footnote>
  <w:footnote w:id="12">
    <w:p w:rsidRPr="0003383F" w:rsidR="00927341" w:rsidP="00927341" w:rsidRDefault="00927341" w14:paraId="49E0DF31" w14:textId="77777777">
      <w:pPr>
        <w:pStyle w:val="Textonotapie"/>
        <w:ind w:firstLine="708"/>
        <w:jc w:val="both"/>
        <w:rPr>
          <w:rFonts w:ascii="Arial" w:hAnsi="Arial" w:cs="Arial"/>
          <w:color w:val="000000" w:themeColor="text1"/>
          <w:sz w:val="19"/>
          <w:szCs w:val="19"/>
          <w:lang w:val="es-CO"/>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Corte Constitucional. </w:t>
      </w:r>
      <w:r w:rsidRPr="0003383F">
        <w:rPr>
          <w:rFonts w:ascii="Arial" w:hAnsi="Arial" w:cs="Arial"/>
          <w:color w:val="000000" w:themeColor="text1"/>
          <w:sz w:val="19"/>
          <w:szCs w:val="19"/>
          <w:lang w:val="es-CO"/>
        </w:rPr>
        <w:t xml:space="preserve">Sentencia C </w:t>
      </w:r>
      <w:r w:rsidRPr="0003383F">
        <w:rPr>
          <w:rFonts w:ascii="Arial" w:hAnsi="Arial" w:eastAsia="Calibri" w:cs="Arial"/>
          <w:color w:val="000000" w:themeColor="text1"/>
          <w:sz w:val="19"/>
          <w:szCs w:val="19"/>
        </w:rPr>
        <w:t xml:space="preserve">― </w:t>
      </w:r>
      <w:r w:rsidRPr="0003383F">
        <w:rPr>
          <w:rFonts w:ascii="Arial" w:hAnsi="Arial" w:cs="Arial"/>
          <w:color w:val="000000" w:themeColor="text1"/>
          <w:sz w:val="19"/>
          <w:szCs w:val="19"/>
          <w:lang w:val="es-CO"/>
        </w:rPr>
        <w:t xml:space="preserve">259 del 11 de marzo 2008. M.P. Jaime Córdoba Triviño. </w:t>
      </w:r>
    </w:p>
  </w:footnote>
  <w:footnote w:id="13">
    <w:p w:rsidRPr="004F3C32" w:rsidR="00927341" w:rsidP="00927341" w:rsidRDefault="00927341" w14:paraId="049931F4" w14:textId="77777777">
      <w:pPr>
        <w:pStyle w:val="Textonotapie"/>
        <w:ind w:firstLine="708"/>
        <w:jc w:val="both"/>
        <w:rPr>
          <w:rFonts w:ascii="Arial" w:hAnsi="Arial" w:cs="Arial"/>
          <w:sz w:val="19"/>
          <w:szCs w:val="19"/>
        </w:rPr>
      </w:pPr>
      <w:r w:rsidRPr="004F3C32">
        <w:rPr>
          <w:rStyle w:val="Refdenotaalpie"/>
          <w:rFonts w:ascii="Arial" w:hAnsi="Arial" w:cs="Arial"/>
          <w:sz w:val="19"/>
          <w:szCs w:val="19"/>
        </w:rPr>
        <w:footnoteRef/>
      </w:r>
      <w:r w:rsidRPr="004F3C32">
        <w:rPr>
          <w:rFonts w:ascii="Arial" w:hAnsi="Arial" w:cs="Arial"/>
          <w:sz w:val="19"/>
          <w:szCs w:val="19"/>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rsidRPr="004F3C32" w:rsidR="00927341" w:rsidP="00927341" w:rsidRDefault="00927341" w14:paraId="041E1E75" w14:textId="77777777">
      <w:pPr>
        <w:pStyle w:val="Textonotapie"/>
        <w:ind w:firstLine="708"/>
        <w:jc w:val="both"/>
        <w:rPr>
          <w:rFonts w:ascii="Arial" w:hAnsi="Arial" w:cs="Arial"/>
          <w:sz w:val="19"/>
          <w:szCs w:val="19"/>
        </w:rPr>
      </w:pPr>
      <w:r w:rsidRPr="004F3C32">
        <w:rPr>
          <w:rFonts w:ascii="Arial" w:hAnsi="Arial" w:cs="Arial"/>
          <w:sz w:val="19"/>
          <w:szCs w:val="19"/>
        </w:rPr>
        <w:t>[…]</w:t>
      </w:r>
    </w:p>
    <w:p w:rsidRPr="001E7492" w:rsidR="00927341" w:rsidP="00927341" w:rsidRDefault="00927341" w14:paraId="1283268E" w14:textId="77777777">
      <w:pPr>
        <w:pStyle w:val="Textonotapie"/>
        <w:ind w:firstLine="708"/>
        <w:jc w:val="both"/>
        <w:rPr>
          <w:rFonts w:ascii="Arial" w:hAnsi="Arial" w:cs="Arial"/>
          <w:sz w:val="19"/>
          <w:szCs w:val="19"/>
        </w:rPr>
      </w:pPr>
      <w:r w:rsidRPr="00A222AD">
        <w:rPr>
          <w:rFonts w:ascii="Arial" w:hAnsi="Arial" w:cs="Arial"/>
          <w:sz w:val="19"/>
          <w:szCs w:val="19"/>
          <w:shd w:val="clear" w:color="auto" w:fill="FFFFFF"/>
        </w:rPr>
        <w:t>»2.1.   Bienes, obras y servicios que ofrecerá a las Entidades Estatales, identificados con el Clasificador de Bienes y Servicios en el tercer nivel</w:t>
      </w:r>
      <w:r w:rsidRPr="001E7492">
        <w:rPr>
          <w:rFonts w:ascii="Arial" w:hAnsi="Arial" w:cs="Arial"/>
          <w:sz w:val="19"/>
          <w:szCs w:val="19"/>
        </w:rPr>
        <w:t>»</w:t>
      </w:r>
      <w:r w:rsidRPr="00A222AD">
        <w:rPr>
          <w:rFonts w:ascii="Arial" w:hAnsi="Arial" w:cs="Arial"/>
          <w:sz w:val="19"/>
          <w:szCs w:val="19"/>
          <w:shd w:val="clear" w:color="auto" w:fill="FFFFFF"/>
        </w:rPr>
        <w:t>.</w:t>
      </w:r>
    </w:p>
    <w:p w:rsidRPr="004F3C32" w:rsidR="00927341" w:rsidP="00927341" w:rsidRDefault="00927341" w14:paraId="4C6AC3F7" w14:textId="77777777">
      <w:pPr>
        <w:pStyle w:val="Textonotapie"/>
        <w:ind w:firstLine="708"/>
        <w:jc w:val="both"/>
        <w:rPr>
          <w:rFonts w:ascii="Arial" w:hAnsi="Arial" w:cs="Arial"/>
          <w:sz w:val="19"/>
          <w:szCs w:val="19"/>
          <w:lang w:val="es-CO"/>
        </w:rPr>
      </w:pPr>
    </w:p>
  </w:footnote>
  <w:footnote w:id="14">
    <w:p w:rsidRPr="004F3C32" w:rsidR="00927341" w:rsidP="00927341" w:rsidRDefault="00927341" w14:paraId="36ECC548" w14:textId="77777777">
      <w:pPr>
        <w:pStyle w:val="Textonotapie"/>
        <w:ind w:firstLine="708"/>
        <w:jc w:val="both"/>
        <w:rPr>
          <w:rFonts w:ascii="Arial" w:hAnsi="Arial" w:cs="Arial"/>
          <w:sz w:val="19"/>
          <w:szCs w:val="19"/>
        </w:rPr>
      </w:pPr>
      <w:r w:rsidRPr="004F3C32">
        <w:rPr>
          <w:rStyle w:val="Refdenotaalpie"/>
          <w:rFonts w:ascii="Arial" w:hAnsi="Arial" w:cs="Arial"/>
          <w:sz w:val="19"/>
          <w:szCs w:val="19"/>
        </w:rPr>
        <w:footnoteRef/>
      </w:r>
      <w:r w:rsidRPr="004F3C32">
        <w:rPr>
          <w:rFonts w:ascii="Arial" w:hAnsi="Arial" w:cs="Arial"/>
          <w:sz w:val="19"/>
          <w:szCs w:val="19"/>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rsidRPr="004F3C32" w:rsidR="00927341" w:rsidP="00927341" w:rsidRDefault="00927341" w14:paraId="345919DF" w14:textId="77777777">
      <w:pPr>
        <w:pStyle w:val="Textonotapie"/>
        <w:ind w:firstLine="708"/>
        <w:jc w:val="both"/>
        <w:rPr>
          <w:rFonts w:ascii="Arial" w:hAnsi="Arial" w:cs="Arial"/>
          <w:sz w:val="19"/>
          <w:szCs w:val="19"/>
        </w:rPr>
      </w:pPr>
      <w:r w:rsidRPr="004F3C32">
        <w:rPr>
          <w:rFonts w:ascii="Arial" w:hAnsi="Arial" w:cs="Arial"/>
          <w:sz w:val="19"/>
          <w:szCs w:val="19"/>
        </w:rPr>
        <w:t>[…]</w:t>
      </w:r>
    </w:p>
    <w:p w:rsidRPr="004F3C32" w:rsidR="00927341" w:rsidP="00927341" w:rsidRDefault="00927341" w14:paraId="59425B20" w14:textId="77777777">
      <w:pPr>
        <w:pStyle w:val="Textonotapie"/>
        <w:ind w:firstLine="708"/>
        <w:jc w:val="both"/>
        <w:rPr>
          <w:rFonts w:ascii="Arial" w:hAnsi="Arial" w:cs="Arial"/>
          <w:sz w:val="19"/>
          <w:szCs w:val="19"/>
          <w:lang w:val="es-CO"/>
        </w:rPr>
      </w:pPr>
      <w:r w:rsidRPr="00A222AD">
        <w:rPr>
          <w:rFonts w:ascii="Arial" w:hAnsi="Arial" w:cs="Arial"/>
          <w:sz w:val="19"/>
          <w:szCs w:val="19"/>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A222AD">
        <w:rPr>
          <w:rFonts w:ascii="Arial" w:hAnsi="Arial" w:cs="Arial"/>
          <w:sz w:val="19"/>
          <w:szCs w:val="19"/>
          <w:shd w:val="clear" w:color="auto" w:fill="FFFFFF"/>
        </w:rPr>
        <w:softHyphen/>
        <w:t>ficador de Bienes y Servicios en el tercer nivel. Si la constitución del interesado es menor a 3 años, puede acreditar la experiencia de sus accionistas, socios o constituyentes</w:t>
      </w:r>
      <w:r w:rsidRPr="001E7492">
        <w:rPr>
          <w:rFonts w:ascii="Arial" w:hAnsi="Arial" w:cs="Arial"/>
          <w:sz w:val="19"/>
          <w:szCs w:val="19"/>
        </w:rPr>
        <w:t>».</w:t>
      </w:r>
    </w:p>
  </w:footnote>
  <w:footnote w:id="15">
    <w:p w:rsidR="00927341" w:rsidP="00927341" w:rsidRDefault="00927341" w14:paraId="61AEAFAB" w14:textId="41A23625">
      <w:pPr>
        <w:pStyle w:val="Textonotapie"/>
        <w:ind w:firstLine="708"/>
        <w:jc w:val="both"/>
        <w:rPr>
          <w:rFonts w:ascii="Arial" w:hAnsi="Arial" w:cs="Arial"/>
          <w:sz w:val="19"/>
          <w:szCs w:val="19"/>
        </w:rPr>
      </w:pPr>
      <w:r w:rsidRPr="004F3C32">
        <w:rPr>
          <w:rStyle w:val="Refdenotaalpie"/>
          <w:rFonts w:ascii="Arial" w:hAnsi="Arial" w:cs="Arial"/>
          <w:sz w:val="19"/>
          <w:szCs w:val="19"/>
        </w:rPr>
        <w:footnoteRef/>
      </w:r>
      <w:r>
        <w:rPr>
          <w:rFonts w:ascii="Arial" w:hAnsi="Arial" w:cs="Arial"/>
          <w:sz w:val="19"/>
          <w:szCs w:val="19"/>
        </w:rPr>
        <w:t xml:space="preserve"> </w:t>
      </w:r>
      <w:r w:rsidRPr="004F3C32">
        <w:rPr>
          <w:rFonts w:ascii="Arial" w:hAnsi="Arial" w:cs="Arial"/>
          <w:sz w:val="19"/>
          <w:szCs w:val="19"/>
        </w:rPr>
        <w:t>Al respecto, consultar, entre otros: los conceptos identificados con radicado No. 42019120000</w:t>
      </w:r>
      <w:r>
        <w:rPr>
          <w:rFonts w:ascii="Arial" w:hAnsi="Arial" w:cs="Arial"/>
          <w:sz w:val="19"/>
          <w:szCs w:val="19"/>
        </w:rPr>
        <w:t>07512 del 3 de noviembre de 2019</w:t>
      </w:r>
      <w:r w:rsidRPr="004F3C32">
        <w:rPr>
          <w:rFonts w:ascii="Arial" w:hAnsi="Arial" w:cs="Arial"/>
          <w:sz w:val="19"/>
          <w:szCs w:val="19"/>
        </w:rPr>
        <w:t>, 4201913000007182 del 18 de octubre de 2019</w:t>
      </w:r>
      <w:r>
        <w:rPr>
          <w:rFonts w:ascii="Arial" w:hAnsi="Arial" w:cs="Arial"/>
          <w:sz w:val="19"/>
          <w:szCs w:val="19"/>
        </w:rPr>
        <w:t xml:space="preserve"> y</w:t>
      </w:r>
      <w:r w:rsidRPr="004F3C32">
        <w:rPr>
          <w:rFonts w:ascii="Arial" w:hAnsi="Arial" w:cs="Arial"/>
          <w:sz w:val="19"/>
          <w:szCs w:val="19"/>
        </w:rPr>
        <w:t xml:space="preserve"> 4201913000006797 del 3 de octubre de 2019. </w:t>
      </w:r>
    </w:p>
    <w:p w:rsidRPr="004F3C32" w:rsidR="00C4740F" w:rsidP="00927341" w:rsidRDefault="00C4740F" w14:paraId="07040D06" w14:textId="77777777">
      <w:pPr>
        <w:pStyle w:val="Textonotapie"/>
        <w:ind w:firstLine="708"/>
        <w:jc w:val="both"/>
        <w:rPr>
          <w:rFonts w:ascii="Arial" w:hAnsi="Arial" w:cs="Arial"/>
          <w:sz w:val="19"/>
          <w:szCs w:val="19"/>
          <w:lang w:val="es-CO"/>
        </w:rPr>
      </w:pPr>
    </w:p>
  </w:footnote>
  <w:footnote w:id="16">
    <w:p w:rsidRPr="00A222AD" w:rsidR="00927341" w:rsidP="00927341" w:rsidRDefault="00927341" w14:paraId="0596132F" w14:textId="77777777">
      <w:pPr>
        <w:pStyle w:val="Textocomentario"/>
        <w:ind w:firstLine="708"/>
        <w:jc w:val="both"/>
        <w:rPr>
          <w:rFonts w:ascii="Arial" w:hAnsi="Arial" w:cs="Arial"/>
          <w:sz w:val="19"/>
          <w:szCs w:val="19"/>
          <w:lang w:val="es-CO"/>
        </w:rPr>
      </w:pPr>
      <w:r w:rsidRPr="00A222AD">
        <w:rPr>
          <w:rStyle w:val="Refdenotaalpie"/>
          <w:rFonts w:ascii="Arial" w:hAnsi="Arial" w:cs="Arial"/>
          <w:sz w:val="19"/>
          <w:szCs w:val="19"/>
        </w:rPr>
        <w:footnoteRef/>
      </w:r>
      <w:r w:rsidRPr="00A222AD">
        <w:rPr>
          <w:rFonts w:ascii="Arial" w:hAnsi="Arial" w:cs="Arial"/>
          <w:sz w:val="19"/>
          <w:szCs w:val="19"/>
        </w:rPr>
        <w:t xml:space="preserve"> En el marco del Estado de emergencia económica, social y ecológica declarado por el Gobierno Nacional a través del Decreto 417 de 2020, a causa de la pandemia mundial desatada por el virus del </w:t>
      </w:r>
      <w:proofErr w:type="spellStart"/>
      <w:r w:rsidRPr="00A222AD">
        <w:rPr>
          <w:rFonts w:ascii="Arial" w:hAnsi="Arial" w:cs="Arial"/>
          <w:sz w:val="19"/>
          <w:szCs w:val="19"/>
        </w:rPr>
        <w:t>Covid</w:t>
      </w:r>
      <w:proofErr w:type="spellEnd"/>
      <w:r w:rsidRPr="00A222AD">
        <w:rPr>
          <w:rFonts w:ascii="Arial" w:hAnsi="Arial" w:cs="Arial"/>
          <w:sz w:val="19"/>
          <w:szCs w:val="19"/>
        </w:rPr>
        <w:t xml:space="preserve">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footnote>
  <w:footnote w:id="17">
    <w:p w:rsidRPr="0003383F" w:rsidR="00927341" w:rsidRDefault="00927341" w14:paraId="02A725EC" w14:textId="0F6ACB73">
      <w:pPr>
        <w:pStyle w:val="Textonotapie"/>
        <w:ind w:firstLine="708"/>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eastAsia="Times New Roman" w:cs="Arial"/>
          <w:color w:val="000000" w:themeColor="text1"/>
          <w:sz w:val="19"/>
          <w:szCs w:val="19"/>
          <w:lang w:val="es-CO" w:eastAsia="es-ES_tradnl"/>
        </w:rPr>
        <w:t xml:space="preserve"> Consejo de Estado. Sección Tercera.</w:t>
      </w:r>
      <w:r w:rsidRPr="0003383F">
        <w:rPr>
          <w:rFonts w:ascii="Arial" w:hAnsi="Arial" w:cs="Arial"/>
          <w:color w:val="000000" w:themeColor="text1"/>
          <w:sz w:val="19"/>
          <w:szCs w:val="19"/>
        </w:rPr>
        <w:t xml:space="preserve"> Sentencia del 19 de julio de 2001.</w:t>
      </w:r>
      <w:r w:rsidRPr="0003383F">
        <w:rPr>
          <w:rFonts w:ascii="Arial" w:hAnsi="Arial" w:eastAsia="Times New Roman" w:cs="Arial"/>
          <w:color w:val="000000" w:themeColor="text1"/>
          <w:sz w:val="19"/>
          <w:szCs w:val="19"/>
          <w:lang w:val="es-CO" w:eastAsia="es-ES_tradnl"/>
        </w:rPr>
        <w:t xml:space="preserve"> </w:t>
      </w:r>
      <w:proofErr w:type="spellStart"/>
      <w:r w:rsidRPr="0003383F">
        <w:rPr>
          <w:rFonts w:ascii="Arial" w:hAnsi="Arial" w:eastAsia="Times New Roman" w:cs="Arial"/>
          <w:color w:val="000000" w:themeColor="text1"/>
          <w:sz w:val="19"/>
          <w:szCs w:val="19"/>
          <w:lang w:val="es-CO" w:eastAsia="es-ES_tradnl"/>
        </w:rPr>
        <w:t>Exp</w:t>
      </w:r>
      <w:proofErr w:type="spellEnd"/>
      <w:r w:rsidRPr="0003383F">
        <w:rPr>
          <w:rFonts w:ascii="Arial" w:hAnsi="Arial" w:eastAsia="Times New Roman" w:cs="Arial"/>
          <w:color w:val="000000" w:themeColor="text1"/>
          <w:sz w:val="19"/>
          <w:szCs w:val="19"/>
          <w:lang w:val="es-CO" w:eastAsia="es-ES_tradnl"/>
        </w:rPr>
        <w:t>. 12.037. C.P. Alier Eduardo Hernández Enríquez.</w:t>
      </w:r>
    </w:p>
  </w:footnote>
  <w:footnote w:id="18">
    <w:p w:rsidRPr="0003383F" w:rsidR="00927341" w:rsidP="00927341" w:rsidRDefault="00927341" w14:paraId="61668581" w14:textId="77777777">
      <w:pPr>
        <w:pStyle w:val="Textonotapie"/>
        <w:ind w:firstLine="709"/>
        <w:jc w:val="both"/>
        <w:rPr>
          <w:rFonts w:ascii="Arial" w:hAnsi="Arial" w:cs="Arial"/>
          <w:color w:val="000000" w:themeColor="text1"/>
          <w:sz w:val="19"/>
          <w:szCs w:val="19"/>
          <w:lang w:eastAsia="es-CO"/>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w:t>
      </w:r>
      <w:r w:rsidRPr="0003383F">
        <w:rPr>
          <w:rFonts w:ascii="Arial" w:hAnsi="Arial" w:cs="Arial"/>
          <w:color w:val="000000" w:themeColor="text1"/>
          <w:sz w:val="19"/>
          <w:szCs w:val="19"/>
          <w:lang w:eastAsia="es-CO"/>
        </w:rPr>
        <w:t xml:space="preserve">Esta separación de las condiciones del proponente de las de la oferta busca evitar el direccionamiento de los procesos desde los propios pliegos de condiciones, dentro de la cual surge un elemento de vital importancia para la materialización de la estrategia, cual es la reforma al Registro Único de Proponentes, de manera que sea ese el único sitio en el que las condiciones mínimas de participación se acrediten, dándole valor agregado al esfuerzo ya realizado por el administrador del registro, que no se aprovecha en toda su extensión por una evidente miopía de la regulación vigente. De lograrse los cometidos de la reforma, las entidades públicas se verán por fin liberadas de tener que examinar el detalle de las interminables resmas de papel que acompañan hoy las ofertas, conteniendo las certificaciones de experiencia del proponente y de su equipo de trabajo, los estados financieros de los últimos años, toda clase de indicadores, etc. Sobra decir que </w:t>
      </w:r>
      <w:proofErr w:type="spellStart"/>
      <w:r w:rsidRPr="0003383F">
        <w:rPr>
          <w:rFonts w:ascii="Arial" w:hAnsi="Arial" w:cs="Arial"/>
          <w:color w:val="000000" w:themeColor="text1"/>
          <w:sz w:val="19"/>
          <w:szCs w:val="19"/>
          <w:lang w:eastAsia="es-CO"/>
        </w:rPr>
        <w:t>esta</w:t>
      </w:r>
      <w:proofErr w:type="spellEnd"/>
      <w:r w:rsidRPr="0003383F">
        <w:rPr>
          <w:rFonts w:ascii="Arial" w:hAnsi="Arial" w:cs="Arial"/>
          <w:color w:val="000000" w:themeColor="text1"/>
          <w:sz w:val="19"/>
          <w:szCs w:val="19"/>
          <w:lang w:eastAsia="es-CO"/>
        </w:rPr>
        <w:t xml:space="preserve"> sola medida reducirá considerablemente los precios finales de los bienes o servicios que se adquieran, en la medida en la cual el proponente no tendrá que cargar más con este costo asociado a la participación en cada proceso de selección, sino que deberá mantener actualizada la información pertinente en el respectivo registro.</w:t>
      </w:r>
    </w:p>
    <w:p w:rsidRPr="0003383F" w:rsidR="00927341" w:rsidP="00927341" w:rsidRDefault="00927341" w14:paraId="351C9D9A" w14:textId="77777777">
      <w:pPr>
        <w:pStyle w:val="Textonotapie"/>
        <w:ind w:firstLine="709"/>
        <w:jc w:val="both"/>
        <w:rPr>
          <w:rFonts w:ascii="Arial" w:hAnsi="Arial" w:cs="Arial"/>
          <w:color w:val="000000" w:themeColor="text1"/>
          <w:sz w:val="19"/>
          <w:szCs w:val="19"/>
          <w:lang w:eastAsia="es-CO"/>
        </w:rPr>
      </w:pPr>
      <w:r w:rsidRPr="0003383F">
        <w:rPr>
          <w:rFonts w:ascii="Arial" w:hAnsi="Arial" w:cs="Arial"/>
          <w:color w:val="000000" w:themeColor="text1"/>
          <w:sz w:val="19"/>
          <w:szCs w:val="19"/>
        </w:rPr>
        <w:t>»</w:t>
      </w:r>
      <w:r w:rsidRPr="0003383F">
        <w:rPr>
          <w:rFonts w:ascii="Arial" w:hAnsi="Arial" w:cs="Arial"/>
          <w:color w:val="000000" w:themeColor="text1"/>
          <w:sz w:val="19"/>
          <w:szCs w:val="19"/>
          <w:lang w:eastAsia="es-CO"/>
        </w:rPr>
        <w:t>[…] La redacción propuesta entrega a las Cámaras de Comercio la carga de la verificación de la información contenida en el registro, a efecto de que esta sea la fuente de las entidades para la verificación de la capacidad jurídica del proponente y de las condiciones referidas a su capacidad administrativa, operacional y financiera, con el objeto de que la valoración de las propuestas de las entidades se centre en los aspectos técnicos y económicos, que se refuerza con el contenido normativo propuesto para la selección objetiva (artículo 5º)»</w:t>
      </w:r>
      <w:r>
        <w:rPr>
          <w:rFonts w:ascii="Arial" w:hAnsi="Arial" w:cs="Arial"/>
          <w:color w:val="000000" w:themeColor="text1"/>
          <w:sz w:val="19"/>
          <w:szCs w:val="19"/>
          <w:lang w:eastAsia="es-CO"/>
        </w:rPr>
        <w:t xml:space="preserve">. </w:t>
      </w:r>
      <w:r w:rsidRPr="00B72D39">
        <w:rPr>
          <w:rFonts w:ascii="Arial" w:hAnsi="Arial" w:cs="Arial"/>
          <w:color w:val="000000" w:themeColor="text1"/>
          <w:sz w:val="19"/>
          <w:szCs w:val="19"/>
          <w:lang w:eastAsia="es-CO"/>
        </w:rPr>
        <w:t xml:space="preserve">Gaceta del Congreso No. 458 del 1 de agosto de </w:t>
      </w:r>
      <w:proofErr w:type="gramStart"/>
      <w:r w:rsidRPr="00EB6042">
        <w:rPr>
          <w:rFonts w:ascii="Arial" w:hAnsi="Arial" w:cs="Arial"/>
          <w:color w:val="000000" w:themeColor="text1"/>
          <w:sz w:val="19"/>
          <w:szCs w:val="19"/>
          <w:lang w:eastAsia="es-CO"/>
        </w:rPr>
        <w:t>2005..</w:t>
      </w:r>
      <w:proofErr w:type="gramEnd"/>
    </w:p>
  </w:footnote>
  <w:footnote w:id="19">
    <w:p w:rsidRPr="0003383F" w:rsidR="00927341" w:rsidP="00927341" w:rsidRDefault="00927341" w14:paraId="25D6F177" w14:textId="77777777">
      <w:pPr>
        <w:pStyle w:val="Textonotapie"/>
        <w:ind w:firstLine="709"/>
        <w:jc w:val="both"/>
        <w:rPr>
          <w:rFonts w:ascii="Arial" w:hAnsi="Arial" w:cs="Arial"/>
          <w:color w:val="000000" w:themeColor="text1"/>
          <w:sz w:val="19"/>
          <w:szCs w:val="19"/>
        </w:rPr>
      </w:pPr>
    </w:p>
    <w:p w:rsidRPr="0003383F" w:rsidR="00927341" w:rsidRDefault="00927341" w14:paraId="373E5774" w14:textId="0F0BAE2E">
      <w:pPr>
        <w:pStyle w:val="Textonotapie"/>
        <w:ind w:firstLine="709"/>
        <w:jc w:val="both"/>
        <w:rPr>
          <w:rFonts w:ascii="Arial" w:hAnsi="Arial" w:cs="Arial"/>
          <w:color w:val="000000" w:themeColor="text1"/>
          <w:sz w:val="19"/>
          <w:szCs w:val="19"/>
        </w:rPr>
      </w:pPr>
      <w:r w:rsidRPr="0003383F">
        <w:rPr>
          <w:rStyle w:val="Refdenotaalpie"/>
          <w:rFonts w:ascii="Arial" w:hAnsi="Arial" w:cs="Arial"/>
          <w:color w:val="000000" w:themeColor="text1"/>
          <w:sz w:val="19"/>
          <w:szCs w:val="19"/>
        </w:rPr>
        <w:footnoteRef/>
      </w:r>
      <w:r w:rsidRPr="0003383F">
        <w:rPr>
          <w:rFonts w:ascii="Arial" w:hAnsi="Arial" w:cs="Arial"/>
          <w:color w:val="000000" w:themeColor="text1"/>
          <w:sz w:val="19"/>
          <w:szCs w:val="19"/>
        </w:rPr>
        <w:t xml:space="preserve"> </w:t>
      </w:r>
      <w:r w:rsidRPr="0003383F">
        <w:rPr>
          <w:rFonts w:ascii="Arial" w:hAnsi="Arial" w:cs="Arial"/>
          <w:color w:val="000000" w:themeColor="text1"/>
          <w:sz w:val="19"/>
          <w:szCs w:val="19"/>
          <w:lang w:eastAsia="es-CO"/>
        </w:rPr>
        <w:t xml:space="preserve">Consejo de Estado. Sala de Consulta y Servicio Civil. Consulta del 20 de mayo de 2010. </w:t>
      </w:r>
      <w:proofErr w:type="spellStart"/>
      <w:r w:rsidRPr="0003383F">
        <w:rPr>
          <w:rFonts w:ascii="Arial" w:hAnsi="Arial" w:cs="Arial"/>
          <w:color w:val="000000" w:themeColor="text1"/>
          <w:sz w:val="19"/>
          <w:szCs w:val="19"/>
          <w:lang w:eastAsia="es-CO"/>
        </w:rPr>
        <w:t>Exp</w:t>
      </w:r>
      <w:proofErr w:type="spellEnd"/>
      <w:r w:rsidRPr="0003383F">
        <w:rPr>
          <w:rFonts w:ascii="Arial" w:hAnsi="Arial" w:cs="Arial"/>
          <w:color w:val="000000" w:themeColor="text1"/>
          <w:sz w:val="19"/>
          <w:szCs w:val="19"/>
          <w:lang w:eastAsia="es-CO"/>
        </w:rPr>
        <w:t>. 11001-03-06-000-2010-00034-00(1992</w:t>
      </w:r>
      <w:proofErr w:type="gramStart"/>
      <w:r w:rsidRPr="0003383F">
        <w:rPr>
          <w:rFonts w:ascii="Arial" w:hAnsi="Arial" w:cs="Arial"/>
          <w:color w:val="000000" w:themeColor="text1"/>
          <w:sz w:val="19"/>
          <w:szCs w:val="19"/>
          <w:lang w:eastAsia="es-CO"/>
        </w:rPr>
        <w:t>) .</w:t>
      </w:r>
      <w:proofErr w:type="gramEnd"/>
      <w:r w:rsidRPr="0003383F">
        <w:rPr>
          <w:rFonts w:ascii="Arial" w:hAnsi="Arial" w:cs="Arial"/>
          <w:color w:val="000000" w:themeColor="text1"/>
          <w:sz w:val="19"/>
          <w:szCs w:val="19"/>
          <w:lang w:eastAsia="es-CO"/>
        </w:rPr>
        <w:t xml:space="preserve"> C.P.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7B0854" w:rsidRDefault="00F901D2" w14:paraId="6DADD721" w14:textId="77777777">
    <w:pPr>
      <w:pStyle w:val="Encabezado"/>
    </w:pPr>
    <w:r>
      <w:rPr>
        <w:noProof/>
        <w:lang w:val="es-CO" w:eastAsia="es-CO"/>
      </w:rPr>
      <w:drawing>
        <wp:anchor distT="0" distB="0" distL="114300" distR="114300" simplePos="0" relativeHeight="251659264" behindDoc="1" locked="0" layoutInCell="1" allowOverlap="1" wp14:anchorId="1678DDE4" wp14:editId="35E53B63">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40EAC7E2">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BCF48D4A"/>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proofState w:spelling="clean" w:grammar="dirty"/>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341"/>
    <w:rsid w:val="000139C2"/>
    <w:rsid w:val="00085D0E"/>
    <w:rsid w:val="00085F5C"/>
    <w:rsid w:val="000A50FD"/>
    <w:rsid w:val="000F0579"/>
    <w:rsid w:val="000F1425"/>
    <w:rsid w:val="001570A9"/>
    <w:rsid w:val="00192C4A"/>
    <w:rsid w:val="001A7A65"/>
    <w:rsid w:val="001C73D2"/>
    <w:rsid w:val="001D194F"/>
    <w:rsid w:val="001F1F70"/>
    <w:rsid w:val="00202516"/>
    <w:rsid w:val="002211AD"/>
    <w:rsid w:val="002A67A7"/>
    <w:rsid w:val="002B1DD3"/>
    <w:rsid w:val="002E755A"/>
    <w:rsid w:val="003346F5"/>
    <w:rsid w:val="00363948"/>
    <w:rsid w:val="003932FF"/>
    <w:rsid w:val="003A5E50"/>
    <w:rsid w:val="004131F7"/>
    <w:rsid w:val="00441F49"/>
    <w:rsid w:val="004A4DA9"/>
    <w:rsid w:val="004C161F"/>
    <w:rsid w:val="00546446"/>
    <w:rsid w:val="005711B6"/>
    <w:rsid w:val="00580971"/>
    <w:rsid w:val="005921F4"/>
    <w:rsid w:val="005C4DDA"/>
    <w:rsid w:val="0071034D"/>
    <w:rsid w:val="007A6FFB"/>
    <w:rsid w:val="007B7BE1"/>
    <w:rsid w:val="007E0F92"/>
    <w:rsid w:val="008111F1"/>
    <w:rsid w:val="00841924"/>
    <w:rsid w:val="0084710B"/>
    <w:rsid w:val="00874E1F"/>
    <w:rsid w:val="00880D75"/>
    <w:rsid w:val="00914FE1"/>
    <w:rsid w:val="00925F43"/>
    <w:rsid w:val="00927341"/>
    <w:rsid w:val="0093081C"/>
    <w:rsid w:val="0093452E"/>
    <w:rsid w:val="009563D2"/>
    <w:rsid w:val="00972963"/>
    <w:rsid w:val="00980A26"/>
    <w:rsid w:val="009852B9"/>
    <w:rsid w:val="009F77D4"/>
    <w:rsid w:val="00A63132"/>
    <w:rsid w:val="00AD2CA6"/>
    <w:rsid w:val="00AD7D8B"/>
    <w:rsid w:val="00B505E4"/>
    <w:rsid w:val="00BD0429"/>
    <w:rsid w:val="00BE053E"/>
    <w:rsid w:val="00BF0F8E"/>
    <w:rsid w:val="00C4740F"/>
    <w:rsid w:val="00CA4CE2"/>
    <w:rsid w:val="00CD748B"/>
    <w:rsid w:val="00D05A1C"/>
    <w:rsid w:val="00D1531D"/>
    <w:rsid w:val="00D512D1"/>
    <w:rsid w:val="00DC0C5D"/>
    <w:rsid w:val="00DC3C3E"/>
    <w:rsid w:val="00E255D7"/>
    <w:rsid w:val="00E66B3D"/>
    <w:rsid w:val="00E91125"/>
    <w:rsid w:val="00EC7843"/>
    <w:rsid w:val="00F901D2"/>
    <w:rsid w:val="00FC0259"/>
    <w:rsid w:val="327BDA0E"/>
    <w:rsid w:val="40EAC7E2"/>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4AC0C"/>
  <w15:chartTrackingRefBased/>
  <w15:docId w15:val="{124941AC-CA4D-468B-AC70-3B74D73B0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27341"/>
    <w:pPr>
      <w:spacing w:after="0" w:line="240" w:lineRule="auto"/>
    </w:pPr>
    <w:rPr>
      <w:sz w:val="24"/>
      <w:lang w:val="es-MX"/>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927341"/>
    <w:pPr>
      <w:tabs>
        <w:tab w:val="center" w:pos="4419"/>
        <w:tab w:val="right" w:pos="8838"/>
      </w:tabs>
    </w:pPr>
  </w:style>
  <w:style w:type="character" w:styleId="PiedepginaCar" w:customStyle="1">
    <w:name w:val="Pie de página Car"/>
    <w:basedOn w:val="Fuentedeprrafopredeter"/>
    <w:link w:val="Piedepgina"/>
    <w:uiPriority w:val="99"/>
    <w:rsid w:val="00927341"/>
    <w:rPr>
      <w:sz w:val="24"/>
      <w:lang w:val="es-MX"/>
    </w:rPr>
  </w:style>
  <w:style w:type="paragraph" w:styleId="Encabezado">
    <w:name w:val="header"/>
    <w:basedOn w:val="Normal"/>
    <w:link w:val="EncabezadoCar"/>
    <w:uiPriority w:val="99"/>
    <w:unhideWhenUsed/>
    <w:rsid w:val="00927341"/>
    <w:pPr>
      <w:tabs>
        <w:tab w:val="center" w:pos="4252"/>
        <w:tab w:val="right" w:pos="8504"/>
      </w:tabs>
    </w:pPr>
  </w:style>
  <w:style w:type="character" w:styleId="EncabezadoCar" w:customStyle="1">
    <w:name w:val="Encabezado Car"/>
    <w:basedOn w:val="Fuentedeprrafopredeter"/>
    <w:link w:val="Encabezado"/>
    <w:uiPriority w:val="99"/>
    <w:rsid w:val="00927341"/>
    <w:rPr>
      <w:sz w:val="24"/>
      <w:lang w:val="es-MX"/>
    </w:rPr>
  </w:style>
  <w:style w:type="table" w:styleId="Tablaconcuadrcula">
    <w:name w:val="Table Grid"/>
    <w:basedOn w:val="Tablanormal"/>
    <w:uiPriority w:val="39"/>
    <w:rsid w:val="0092734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27341"/>
    <w:pPr>
      <w:ind w:left="720"/>
      <w:contextualSpacing/>
    </w:pPr>
  </w:style>
  <w:style w:type="paragraph" w:styleId="Sinespaciado">
    <w:name w:val="No Spacing"/>
    <w:uiPriority w:val="1"/>
    <w:qFormat/>
    <w:rsid w:val="00927341"/>
    <w:pPr>
      <w:spacing w:after="0" w:line="240" w:lineRule="auto"/>
    </w:pPr>
    <w:rPr>
      <w:sz w:val="24"/>
      <w:lang w:val="es-MX"/>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locked/>
    <w:rsid w:val="0092734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
    <w:basedOn w:val="Normal"/>
    <w:link w:val="TextonotapieCar"/>
    <w:uiPriority w:val="99"/>
    <w:unhideWhenUsed/>
    <w:qFormat/>
    <w:rsid w:val="00927341"/>
    <w:rPr>
      <w:sz w:val="20"/>
      <w:szCs w:val="20"/>
    </w:rPr>
  </w:style>
  <w:style w:type="character" w:styleId="TextonotapieCar1" w:customStyle="1">
    <w:name w:val="Texto nota pie Car1"/>
    <w:basedOn w:val="Fuentedeprrafopredeter"/>
    <w:uiPriority w:val="99"/>
    <w:semiHidden/>
    <w:rsid w:val="00927341"/>
    <w:rPr>
      <w:sz w:val="20"/>
      <w:szCs w:val="20"/>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27341"/>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
    <w:basedOn w:val="Fuentedeprrafopredeter"/>
    <w:uiPriority w:val="99"/>
    <w:unhideWhenUsed/>
    <w:qFormat/>
    <w:rsid w:val="00927341"/>
    <w:rPr>
      <w:vertAlign w:val="superscript"/>
    </w:rPr>
  </w:style>
  <w:style w:type="paragraph" w:styleId="Default" w:customStyle="1">
    <w:name w:val="Default"/>
    <w:rsid w:val="00927341"/>
    <w:pPr>
      <w:autoSpaceDE w:val="0"/>
      <w:autoSpaceDN w:val="0"/>
      <w:adjustRightInd w:val="0"/>
      <w:spacing w:after="0" w:line="240" w:lineRule="auto"/>
    </w:pPr>
    <w:rPr>
      <w:rFonts w:ascii="Arial" w:hAnsi="Arial" w:cs="Arial"/>
      <w:color w:val="000000"/>
      <w:sz w:val="24"/>
      <w:szCs w:val="24"/>
      <w:lang w:val="es-MX"/>
    </w:rPr>
  </w:style>
  <w:style w:type="paragraph" w:styleId="Textodeglobo">
    <w:name w:val="Balloon Text"/>
    <w:basedOn w:val="Normal"/>
    <w:link w:val="TextodegloboCar"/>
    <w:uiPriority w:val="99"/>
    <w:semiHidden/>
    <w:unhideWhenUsed/>
    <w:rsid w:val="00927341"/>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927341"/>
    <w:rPr>
      <w:rFonts w:ascii="Segoe UI" w:hAnsi="Segoe UI" w:cs="Segoe UI"/>
      <w:sz w:val="18"/>
      <w:szCs w:val="18"/>
      <w:lang w:val="es-MX"/>
    </w:rPr>
  </w:style>
  <w:style w:type="paragraph" w:styleId="Textocomentario">
    <w:name w:val="annotation text"/>
    <w:basedOn w:val="Normal"/>
    <w:link w:val="TextocomentarioCar"/>
    <w:uiPriority w:val="99"/>
    <w:unhideWhenUsed/>
    <w:rsid w:val="00927341"/>
    <w:rPr>
      <w:sz w:val="20"/>
      <w:szCs w:val="20"/>
    </w:rPr>
  </w:style>
  <w:style w:type="character" w:styleId="TextocomentarioCar" w:customStyle="1">
    <w:name w:val="Texto comentario Car"/>
    <w:basedOn w:val="Fuentedeprrafopredeter"/>
    <w:link w:val="Textocomentario"/>
    <w:uiPriority w:val="99"/>
    <w:rsid w:val="00927341"/>
    <w:rPr>
      <w:sz w:val="20"/>
      <w:szCs w:val="20"/>
      <w:lang w:val="es-MX"/>
    </w:rPr>
  </w:style>
  <w:style w:type="character" w:styleId="Refdecomentario">
    <w:name w:val="annotation reference"/>
    <w:basedOn w:val="Fuentedeprrafopredeter"/>
    <w:uiPriority w:val="99"/>
    <w:semiHidden/>
    <w:unhideWhenUsed/>
    <w:rsid w:val="00D1531D"/>
    <w:rPr>
      <w:sz w:val="16"/>
      <w:szCs w:val="16"/>
    </w:rPr>
  </w:style>
  <w:style w:type="paragraph" w:styleId="Asuntodelcomentario">
    <w:name w:val="annotation subject"/>
    <w:basedOn w:val="Textocomentario"/>
    <w:next w:val="Textocomentario"/>
    <w:link w:val="AsuntodelcomentarioCar"/>
    <w:uiPriority w:val="99"/>
    <w:semiHidden/>
    <w:unhideWhenUsed/>
    <w:rsid w:val="00D1531D"/>
    <w:rPr>
      <w:b/>
      <w:bCs/>
    </w:rPr>
  </w:style>
  <w:style w:type="character" w:styleId="AsuntodelcomentarioCar" w:customStyle="1">
    <w:name w:val="Asunto del comentario Car"/>
    <w:basedOn w:val="TextocomentarioCar"/>
    <w:link w:val="Asuntodelcomentario"/>
    <w:uiPriority w:val="99"/>
    <w:semiHidden/>
    <w:rsid w:val="00D1531D"/>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customXml" Target="../customXml/item2.xml" Id="rId13" /><Relationship Type="http://schemas.openxmlformats.org/officeDocument/2006/relationships/settings" Target="settings.xml" Id="rId3" /><Relationship Type="http://schemas.openxmlformats.org/officeDocument/2006/relationships/customXml" Target="../customXml/item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customXml" Target="../customXml/item3.xml" Id="rId14" /><Relationship Type="http://schemas.openxmlformats.org/officeDocument/2006/relationships/image" Target="/media/image4.png" Id="Rc363fc7191cb4f73" /></Relationships>
</file>

<file path=word/_rels/footer1.xml.rels>&#65279;<?xml version="1.0" encoding="utf-8"?><Relationships xmlns="http://schemas.openxmlformats.org/package/2006/relationships"><Relationship Type="http://schemas.openxmlformats.org/officeDocument/2006/relationships/image" Target="/media/image5.png" Id="R47ec4ac4a16c43fa"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2A7B409A-9EAC-4C7E-B44C-7ABCEA542E89}"/>
</file>

<file path=customXml/itemProps2.xml><?xml version="1.0" encoding="utf-8"?>
<ds:datastoreItem xmlns:ds="http://schemas.openxmlformats.org/officeDocument/2006/customXml" ds:itemID="{BD5B40D6-8DB1-4D11-9F98-B449C2AA6B98}"/>
</file>

<file path=customXml/itemProps3.xml><?xml version="1.0" encoding="utf-8"?>
<ds:datastoreItem xmlns:ds="http://schemas.openxmlformats.org/officeDocument/2006/customXml" ds:itemID="{94A8F83E-F784-4364-8F0A-90DC8B063F2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Carlos Mario Castrillón Endo</dc:creator>
  <keywords/>
  <dc:description/>
  <lastModifiedBy>Manuela Mantilla Pacheco</lastModifiedBy>
  <revision>18</revision>
  <dcterms:created xsi:type="dcterms:W3CDTF">2020-11-10T00:52:00.0000000Z</dcterms:created>
  <dcterms:modified xsi:type="dcterms:W3CDTF">2020-12-04T16:18:59.0411480Z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