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3CAC71" w14:textId="5282EFA7" w:rsidR="002415B8" w:rsidRPr="00C440B6" w:rsidRDefault="00B55C69" w:rsidP="008536BB">
      <w:pPr>
        <w:jc w:val="right"/>
        <w:rPr>
          <w:rFonts w:ascii="Arial" w:eastAsia="Calibri" w:hAnsi="Arial" w:cs="Arial"/>
          <w:b/>
          <w:color w:val="000000" w:themeColor="text1"/>
          <w:sz w:val="20"/>
          <w:szCs w:val="20"/>
          <w:lang w:val="es-ES_tradnl"/>
        </w:rPr>
      </w:pPr>
      <w:bookmarkStart w:id="0" w:name="_Hlk28946138"/>
      <w:bookmarkStart w:id="1" w:name="_Hlk29548183"/>
      <w:r w:rsidRPr="00C440B6">
        <w:rPr>
          <w:rFonts w:ascii="Arial" w:hAnsi="Arial" w:cs="Arial"/>
          <w:bCs/>
          <w:color w:val="000000" w:themeColor="text1"/>
          <w:sz w:val="16"/>
          <w:szCs w:val="16"/>
          <w:lang w:val="es-ES_tradnl" w:eastAsia="es-ES"/>
        </w:rPr>
        <w:t>CCE-DES-FM-17</w:t>
      </w:r>
      <w:bookmarkEnd w:id="0"/>
      <w:bookmarkEnd w:id="1"/>
    </w:p>
    <w:p w14:paraId="55FBD910" w14:textId="77777777" w:rsidR="008536BB" w:rsidRPr="00C440B6" w:rsidRDefault="008536BB" w:rsidP="00B95C30">
      <w:pPr>
        <w:spacing w:line="276" w:lineRule="auto"/>
        <w:jc w:val="both"/>
        <w:rPr>
          <w:rFonts w:ascii="Arial" w:hAnsi="Arial" w:cs="Arial"/>
          <w:noProof/>
          <w:color w:val="000000" w:themeColor="text1"/>
          <w:sz w:val="22"/>
          <w:lang w:val="es-ES_tradnl"/>
        </w:rPr>
      </w:pPr>
    </w:p>
    <w:p w14:paraId="6A654097" w14:textId="523CAACE" w:rsidR="00C978D4" w:rsidRPr="00C440B6" w:rsidRDefault="00272945" w:rsidP="00C978D4">
      <w:pPr>
        <w:jc w:val="both"/>
        <w:rPr>
          <w:rFonts w:ascii="Arial" w:eastAsia="Calibri" w:hAnsi="Arial" w:cs="Arial"/>
          <w:b/>
          <w:sz w:val="22"/>
          <w:lang w:val="es-ES_tradnl"/>
        </w:rPr>
      </w:pPr>
      <w:r w:rsidRPr="00C440B6">
        <w:rPr>
          <w:rFonts w:ascii="Arial" w:eastAsia="Calibri" w:hAnsi="Arial" w:cs="Arial"/>
          <w:b/>
          <w:sz w:val="22"/>
          <w:lang w:val="es-ES_tradnl"/>
        </w:rPr>
        <w:t>SELECCIÓN OBJETIVA</w:t>
      </w:r>
      <w:r w:rsidR="00C978D4" w:rsidRPr="00C440B6">
        <w:rPr>
          <w:rFonts w:ascii="Arial" w:eastAsia="Calibri" w:hAnsi="Arial" w:cs="Arial"/>
          <w:b/>
          <w:sz w:val="22"/>
          <w:lang w:val="es-ES_tradnl"/>
        </w:rPr>
        <w:t xml:space="preserve"> </w:t>
      </w:r>
      <w:r w:rsidR="00C978D4" w:rsidRPr="00C440B6">
        <w:rPr>
          <w:rFonts w:ascii="Arial" w:eastAsia="Calibri" w:hAnsi="Arial" w:cs="Arial"/>
          <w:b/>
          <w:color w:val="000000" w:themeColor="text1"/>
          <w:sz w:val="22"/>
          <w:lang w:val="es-ES_tradnl"/>
        </w:rPr>
        <w:t>–</w:t>
      </w:r>
      <w:r w:rsidR="00C978D4" w:rsidRPr="00C440B6">
        <w:rPr>
          <w:rFonts w:ascii="Arial" w:eastAsia="Calibri" w:hAnsi="Arial" w:cs="Arial"/>
          <w:b/>
          <w:sz w:val="22"/>
          <w:lang w:val="es-ES_tradnl"/>
        </w:rPr>
        <w:t xml:space="preserve"> </w:t>
      </w:r>
      <w:r w:rsidR="00003D39" w:rsidRPr="00C440B6">
        <w:rPr>
          <w:rFonts w:ascii="Arial" w:eastAsia="Calibri" w:hAnsi="Arial" w:cs="Arial"/>
          <w:b/>
          <w:sz w:val="22"/>
          <w:lang w:val="es-ES_tradnl"/>
        </w:rPr>
        <w:t>Contratación estatal</w:t>
      </w:r>
      <w:r w:rsidR="00616D7F" w:rsidRPr="00C440B6">
        <w:rPr>
          <w:rFonts w:ascii="Arial" w:eastAsia="Calibri" w:hAnsi="Arial" w:cs="Arial"/>
          <w:b/>
          <w:sz w:val="22"/>
          <w:lang w:val="es-ES_tradnl"/>
        </w:rPr>
        <w:t xml:space="preserve"> </w:t>
      </w:r>
      <w:r w:rsidR="00C978D4" w:rsidRPr="00C440B6">
        <w:rPr>
          <w:rFonts w:ascii="Arial" w:eastAsia="Calibri" w:hAnsi="Arial" w:cs="Arial"/>
          <w:b/>
          <w:color w:val="000000" w:themeColor="text1"/>
          <w:sz w:val="22"/>
          <w:lang w:val="es-ES_tradnl"/>
        </w:rPr>
        <w:t xml:space="preserve">– </w:t>
      </w:r>
      <w:r w:rsidRPr="00C440B6">
        <w:rPr>
          <w:rFonts w:ascii="Arial" w:eastAsia="Calibri" w:hAnsi="Arial" w:cs="Arial"/>
          <w:b/>
          <w:color w:val="000000" w:themeColor="text1"/>
          <w:sz w:val="22"/>
          <w:lang w:val="es-ES_tradnl"/>
        </w:rPr>
        <w:t>Concepto</w:t>
      </w:r>
    </w:p>
    <w:p w14:paraId="4AAB8DDD" w14:textId="537B898C" w:rsidR="00C978D4" w:rsidRPr="00C440B6" w:rsidRDefault="00C978D4" w:rsidP="0099531F">
      <w:pPr>
        <w:jc w:val="both"/>
        <w:rPr>
          <w:rFonts w:ascii="Arial" w:eastAsia="Calibri" w:hAnsi="Arial" w:cs="Arial"/>
          <w:b/>
          <w:sz w:val="22"/>
          <w:lang w:val="es-ES_tradnl"/>
        </w:rPr>
      </w:pPr>
    </w:p>
    <w:p w14:paraId="51D76961" w14:textId="77777777" w:rsidR="0098709E" w:rsidRPr="005419DA" w:rsidRDefault="0098709E" w:rsidP="0098709E">
      <w:pPr>
        <w:jc w:val="both"/>
        <w:rPr>
          <w:rFonts w:ascii="Arial" w:eastAsia="Calibri" w:hAnsi="Arial" w:cs="Arial"/>
          <w:sz w:val="20"/>
          <w:szCs w:val="20"/>
          <w:lang w:val="es-ES_tradnl"/>
        </w:rPr>
      </w:pPr>
      <w:r w:rsidRPr="005419DA">
        <w:rPr>
          <w:rFonts w:ascii="Arial" w:eastAsia="Calibri" w:hAnsi="Arial" w:cs="Arial"/>
          <w:sz w:val="20"/>
          <w:szCs w:val="20"/>
          <w:lang w:val="es-ES_tradnl"/>
        </w:rPr>
        <w:t>Dado que la selección objetiva es uno de los principios medulares de la contratación estatal, la selección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p>
    <w:p w14:paraId="33E10CCB" w14:textId="73477A66" w:rsidR="00636F88" w:rsidRPr="00C440B6" w:rsidRDefault="00636F88" w:rsidP="0099531F">
      <w:pPr>
        <w:jc w:val="both"/>
        <w:rPr>
          <w:rFonts w:ascii="Arial" w:eastAsia="Calibri" w:hAnsi="Arial" w:cs="Arial"/>
          <w:b/>
          <w:sz w:val="22"/>
          <w:lang w:val="es-ES_tradnl"/>
        </w:rPr>
      </w:pPr>
    </w:p>
    <w:p w14:paraId="73365DCF" w14:textId="63E2A713" w:rsidR="00272945" w:rsidRPr="00C440B6" w:rsidRDefault="00B54215" w:rsidP="00272945">
      <w:pPr>
        <w:jc w:val="both"/>
        <w:rPr>
          <w:rFonts w:ascii="Arial" w:eastAsia="Calibri" w:hAnsi="Arial" w:cs="Arial"/>
          <w:b/>
          <w:sz w:val="22"/>
          <w:lang w:val="es-ES_tradnl"/>
        </w:rPr>
      </w:pPr>
      <w:r w:rsidRPr="00C440B6">
        <w:rPr>
          <w:rFonts w:ascii="Arial" w:eastAsia="Calibri" w:hAnsi="Arial" w:cs="Arial"/>
          <w:b/>
          <w:sz w:val="22"/>
          <w:lang w:val="es-ES_tradnl"/>
        </w:rPr>
        <w:t>EMPATE</w:t>
      </w:r>
      <w:r w:rsidR="00272945" w:rsidRPr="00C440B6">
        <w:rPr>
          <w:rFonts w:ascii="Arial" w:eastAsia="Calibri" w:hAnsi="Arial" w:cs="Arial"/>
          <w:b/>
          <w:sz w:val="22"/>
          <w:lang w:val="es-ES_tradnl"/>
        </w:rPr>
        <w:t xml:space="preserve"> </w:t>
      </w:r>
      <w:r w:rsidR="00272945" w:rsidRPr="00C440B6">
        <w:rPr>
          <w:rFonts w:ascii="Arial" w:eastAsia="Calibri" w:hAnsi="Arial" w:cs="Arial"/>
          <w:b/>
          <w:color w:val="000000" w:themeColor="text1"/>
          <w:sz w:val="22"/>
          <w:lang w:val="es-ES_tradnl"/>
        </w:rPr>
        <w:t>–</w:t>
      </w:r>
      <w:r w:rsidR="00272945" w:rsidRPr="00C440B6">
        <w:rPr>
          <w:rFonts w:ascii="Arial" w:eastAsia="Calibri" w:hAnsi="Arial" w:cs="Arial"/>
          <w:b/>
          <w:sz w:val="22"/>
          <w:lang w:val="es-ES_tradnl"/>
        </w:rPr>
        <w:t xml:space="preserve"> </w:t>
      </w:r>
      <w:r w:rsidRPr="00C440B6">
        <w:rPr>
          <w:rFonts w:ascii="Arial" w:eastAsia="Calibri" w:hAnsi="Arial" w:cs="Arial"/>
          <w:b/>
          <w:sz w:val="22"/>
          <w:lang w:val="es-ES_tradnl"/>
        </w:rPr>
        <w:t>Procedimiento de selección</w:t>
      </w:r>
      <w:r w:rsidR="00272945" w:rsidRPr="00C440B6">
        <w:rPr>
          <w:rFonts w:ascii="Arial" w:eastAsia="Calibri" w:hAnsi="Arial" w:cs="Arial"/>
          <w:b/>
          <w:sz w:val="22"/>
          <w:lang w:val="es-ES_tradnl"/>
        </w:rPr>
        <w:t xml:space="preserve"> </w:t>
      </w:r>
      <w:r w:rsidR="00272945" w:rsidRPr="00C440B6">
        <w:rPr>
          <w:rFonts w:ascii="Arial" w:eastAsia="Calibri" w:hAnsi="Arial" w:cs="Arial"/>
          <w:b/>
          <w:color w:val="000000" w:themeColor="text1"/>
          <w:sz w:val="22"/>
          <w:lang w:val="es-ES_tradnl"/>
        </w:rPr>
        <w:t>– Concepto</w:t>
      </w:r>
    </w:p>
    <w:p w14:paraId="182F8CB9" w14:textId="246E5B50" w:rsidR="00272945" w:rsidRPr="00C440B6" w:rsidRDefault="00272945" w:rsidP="0099531F">
      <w:pPr>
        <w:jc w:val="both"/>
        <w:rPr>
          <w:rFonts w:ascii="Arial" w:eastAsia="Calibri" w:hAnsi="Arial" w:cs="Arial"/>
          <w:b/>
          <w:sz w:val="22"/>
          <w:lang w:val="es-ES_tradnl"/>
        </w:rPr>
      </w:pPr>
    </w:p>
    <w:p w14:paraId="3AD8423B" w14:textId="77777777" w:rsidR="007342BB" w:rsidRPr="005419DA" w:rsidRDefault="007342BB" w:rsidP="007342BB">
      <w:pPr>
        <w:jc w:val="both"/>
        <w:rPr>
          <w:rFonts w:ascii="Arial" w:hAnsi="Arial" w:cs="Arial"/>
          <w:noProof/>
          <w:color w:val="000000" w:themeColor="text1"/>
          <w:sz w:val="22"/>
          <w:lang w:val="es-ES_tradnl"/>
        </w:rPr>
      </w:pPr>
      <w:r w:rsidRPr="005419DA">
        <w:rPr>
          <w:rFonts w:ascii="Arial" w:eastAsia="Calibri" w:hAnsi="Arial" w:cs="Arial"/>
          <w:sz w:val="20"/>
          <w:szCs w:val="20"/>
          <w:lang w:val="es-ES_tradnl"/>
        </w:rPr>
        <w:t>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estos criterios.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de selección.</w:t>
      </w:r>
    </w:p>
    <w:p w14:paraId="29DD8E0A" w14:textId="5F79A1BF" w:rsidR="006F71F5" w:rsidRPr="00C440B6" w:rsidRDefault="006F71F5" w:rsidP="00B95C30">
      <w:pPr>
        <w:spacing w:line="276" w:lineRule="auto"/>
        <w:jc w:val="both"/>
        <w:rPr>
          <w:rFonts w:ascii="Arial" w:hAnsi="Arial" w:cs="Arial"/>
          <w:noProof/>
          <w:color w:val="000000" w:themeColor="text1"/>
          <w:sz w:val="22"/>
          <w:lang w:val="es-ES_tradnl"/>
        </w:rPr>
      </w:pPr>
    </w:p>
    <w:p w14:paraId="04086EC5" w14:textId="04F7FF6D" w:rsidR="00DF71EA" w:rsidRPr="00C440B6" w:rsidRDefault="00D73881" w:rsidP="00DF71EA">
      <w:pPr>
        <w:jc w:val="both"/>
        <w:rPr>
          <w:rFonts w:ascii="Arial" w:eastAsia="Calibri" w:hAnsi="Arial" w:cs="Arial"/>
          <w:b/>
          <w:sz w:val="22"/>
          <w:lang w:val="es-ES_tradnl"/>
        </w:rPr>
      </w:pPr>
      <w:r w:rsidRPr="00C440B6">
        <w:rPr>
          <w:rFonts w:ascii="Arial" w:eastAsia="Calibri" w:hAnsi="Arial" w:cs="Arial"/>
          <w:b/>
          <w:sz w:val="22"/>
          <w:lang w:val="es-ES_tradnl"/>
        </w:rPr>
        <w:t>FACTORES DE DESEMPATE</w:t>
      </w:r>
      <w:r w:rsidR="00DF71EA" w:rsidRPr="00C440B6">
        <w:rPr>
          <w:rFonts w:ascii="Arial" w:eastAsia="Calibri" w:hAnsi="Arial" w:cs="Arial"/>
          <w:b/>
          <w:sz w:val="22"/>
          <w:lang w:val="es-ES_tradnl"/>
        </w:rPr>
        <w:t xml:space="preserve"> </w:t>
      </w:r>
      <w:r w:rsidR="00DF71EA" w:rsidRPr="00C440B6">
        <w:rPr>
          <w:rFonts w:ascii="Arial" w:eastAsia="Calibri" w:hAnsi="Arial" w:cs="Arial"/>
          <w:b/>
          <w:color w:val="000000" w:themeColor="text1"/>
          <w:sz w:val="22"/>
          <w:lang w:val="es-ES_tradnl"/>
        </w:rPr>
        <w:t>–</w:t>
      </w:r>
      <w:r w:rsidR="00DF71EA" w:rsidRPr="00C440B6">
        <w:rPr>
          <w:rFonts w:ascii="Arial" w:eastAsia="Calibri" w:hAnsi="Arial" w:cs="Arial"/>
          <w:b/>
          <w:sz w:val="22"/>
          <w:lang w:val="es-ES_tradnl"/>
        </w:rPr>
        <w:t xml:space="preserve"> </w:t>
      </w:r>
      <w:r w:rsidRPr="00C440B6">
        <w:rPr>
          <w:rFonts w:ascii="Arial" w:eastAsia="Calibri" w:hAnsi="Arial" w:cs="Arial"/>
          <w:b/>
          <w:sz w:val="22"/>
          <w:lang w:val="es-ES_tradnl"/>
        </w:rPr>
        <w:t>Características</w:t>
      </w:r>
      <w:r w:rsidR="00DF71EA" w:rsidRPr="00C440B6">
        <w:rPr>
          <w:rFonts w:ascii="Arial" w:eastAsia="Calibri" w:hAnsi="Arial" w:cs="Arial"/>
          <w:b/>
          <w:sz w:val="22"/>
          <w:lang w:val="es-ES_tradnl"/>
        </w:rPr>
        <w:t xml:space="preserve"> </w:t>
      </w:r>
      <w:r w:rsidR="00DF71EA" w:rsidRPr="00C440B6">
        <w:rPr>
          <w:rFonts w:ascii="Arial" w:eastAsia="Calibri" w:hAnsi="Arial" w:cs="Arial"/>
          <w:b/>
          <w:color w:val="000000" w:themeColor="text1"/>
          <w:sz w:val="22"/>
          <w:lang w:val="es-ES_tradnl"/>
        </w:rPr>
        <w:t xml:space="preserve">– </w:t>
      </w:r>
      <w:r w:rsidRPr="00C440B6">
        <w:rPr>
          <w:rFonts w:ascii="Arial" w:eastAsia="Calibri" w:hAnsi="Arial" w:cs="Arial"/>
          <w:b/>
          <w:color w:val="000000" w:themeColor="text1"/>
          <w:sz w:val="22"/>
          <w:lang w:val="es-ES_tradnl"/>
        </w:rPr>
        <w:t>Límites</w:t>
      </w:r>
    </w:p>
    <w:p w14:paraId="583F00A4" w14:textId="390EB1EB" w:rsidR="00DF71EA" w:rsidRPr="00C440B6" w:rsidRDefault="00DF71EA" w:rsidP="00B95C30">
      <w:pPr>
        <w:spacing w:line="276" w:lineRule="auto"/>
        <w:jc w:val="both"/>
        <w:rPr>
          <w:rFonts w:ascii="Arial" w:hAnsi="Arial" w:cs="Arial"/>
          <w:noProof/>
          <w:color w:val="000000" w:themeColor="text1"/>
          <w:sz w:val="22"/>
          <w:lang w:val="es-ES_tradnl"/>
        </w:rPr>
      </w:pPr>
    </w:p>
    <w:p w14:paraId="3C240600" w14:textId="77777777" w:rsidR="0026051E" w:rsidRPr="005419DA" w:rsidRDefault="0026051E" w:rsidP="0026051E">
      <w:pPr>
        <w:jc w:val="both"/>
        <w:rPr>
          <w:rFonts w:ascii="Arial" w:eastAsia="Calibri" w:hAnsi="Arial" w:cs="Arial"/>
          <w:sz w:val="20"/>
          <w:szCs w:val="20"/>
          <w:lang w:val="es-ES_tradnl"/>
        </w:rPr>
      </w:pPr>
      <w:r w:rsidRPr="005419DA">
        <w:rPr>
          <w:rFonts w:ascii="Arial" w:eastAsia="Calibri" w:hAnsi="Arial" w:cs="Arial"/>
          <w:sz w:val="20"/>
          <w:szCs w:val="20"/>
          <w:lang w:val="es-ES_tradnl"/>
        </w:rPr>
        <w:t xml:space="preserve">Pero, 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Precisamente, dentro de dichas disposiciones se halla el artículo 35 de la Ley </w:t>
      </w:r>
      <w:r>
        <w:rPr>
          <w:rFonts w:ascii="Arial" w:eastAsia="Calibri" w:hAnsi="Arial" w:cs="Arial"/>
          <w:sz w:val="20"/>
          <w:szCs w:val="20"/>
          <w:lang w:val="es-ES_tradnl"/>
        </w:rPr>
        <w:t>2069</w:t>
      </w:r>
      <w:r w:rsidRPr="005419DA">
        <w:rPr>
          <w:rFonts w:ascii="Arial" w:eastAsia="Calibri" w:hAnsi="Arial" w:cs="Arial"/>
          <w:sz w:val="20"/>
          <w:szCs w:val="20"/>
          <w:lang w:val="es-ES_tradnl"/>
        </w:rPr>
        <w:t xml:space="preserve"> de 2020. La </w:t>
      </w:r>
      <w:r>
        <w:rPr>
          <w:rFonts w:ascii="Arial" w:eastAsia="Calibri" w:hAnsi="Arial" w:cs="Arial"/>
          <w:sz w:val="20"/>
          <w:szCs w:val="20"/>
          <w:lang w:val="es-ES_tradnl"/>
        </w:rPr>
        <w:t>jurisprudencia</w:t>
      </w:r>
      <w:r w:rsidRPr="005419DA">
        <w:rPr>
          <w:rFonts w:ascii="Arial" w:eastAsia="Calibri" w:hAnsi="Arial" w:cs="Arial"/>
          <w:sz w:val="20"/>
          <w:szCs w:val="20"/>
          <w:lang w:val="es-ES_tradnl"/>
        </w:rPr>
        <w:t xml:space="preserve"> comparte la idea de que los criterios de desempate deben estar establecidos de antemano y constituyen un límite a la discrecionalidad administrativa en los procedimientos de selección.</w:t>
      </w:r>
    </w:p>
    <w:p w14:paraId="4D06F5C8" w14:textId="77777777" w:rsidR="0026051E" w:rsidRPr="005419DA" w:rsidRDefault="0026051E" w:rsidP="0026051E">
      <w:pPr>
        <w:jc w:val="both"/>
        <w:rPr>
          <w:rFonts w:ascii="Arial" w:eastAsia="Calibri" w:hAnsi="Arial" w:cs="Arial"/>
          <w:sz w:val="20"/>
          <w:szCs w:val="20"/>
          <w:lang w:val="es-ES_tradnl"/>
        </w:rPr>
      </w:pPr>
    </w:p>
    <w:p w14:paraId="1F0FD3F2" w14:textId="77777777" w:rsidR="0026051E" w:rsidRPr="005419DA" w:rsidRDefault="0026051E" w:rsidP="0026051E">
      <w:pPr>
        <w:jc w:val="both"/>
        <w:rPr>
          <w:rFonts w:ascii="Arial" w:eastAsia="Calibri" w:hAnsi="Arial" w:cs="Arial"/>
          <w:sz w:val="20"/>
          <w:szCs w:val="20"/>
          <w:lang w:val="es-ES_tradnl"/>
        </w:rPr>
      </w:pPr>
      <w:r w:rsidRPr="005419DA">
        <w:rPr>
          <w:rFonts w:ascii="Arial" w:eastAsia="Calibri" w:hAnsi="Arial" w:cs="Arial"/>
          <w:sz w:val="20"/>
          <w:szCs w:val="20"/>
          <w:lang w:val="es-ES_tradnl"/>
        </w:rPr>
        <w:t xml:space="preserve">En tal sentido, la Corte Constitucional explica que cuando la ley establece factores de desempate obligatorios, las entidades estatales no pueden inaplicarlos, porque ello podría vulnerar el principio de igualdad, especialmente, cuando algunos de estos criterios surgen como acciones afirmativas para ciertos sectores de la población. Es más, según el Consejo de Estado, ir en contra de los factores de desempate establecidos expresamente genera la nulidad del contrato, conforme al artículo 44, inciso 1º de la Ley 80 de 1993. </w:t>
      </w:r>
    </w:p>
    <w:p w14:paraId="03CC5C7E" w14:textId="460BCC05" w:rsidR="00D73881" w:rsidRPr="00C440B6" w:rsidRDefault="00D73881" w:rsidP="00B95C30">
      <w:pPr>
        <w:spacing w:line="276" w:lineRule="auto"/>
        <w:jc w:val="both"/>
        <w:rPr>
          <w:rFonts w:ascii="Arial" w:hAnsi="Arial" w:cs="Arial"/>
          <w:noProof/>
          <w:color w:val="000000" w:themeColor="text1"/>
          <w:sz w:val="22"/>
          <w:lang w:val="es-ES_tradnl"/>
        </w:rPr>
      </w:pPr>
    </w:p>
    <w:p w14:paraId="197D1E99" w14:textId="77777777" w:rsidR="0026051E" w:rsidRDefault="0026051E" w:rsidP="00D73881">
      <w:pPr>
        <w:jc w:val="both"/>
        <w:rPr>
          <w:rFonts w:ascii="Arial" w:eastAsia="Calibri" w:hAnsi="Arial" w:cs="Arial"/>
          <w:b/>
          <w:sz w:val="22"/>
          <w:lang w:val="es-ES_tradnl"/>
        </w:rPr>
      </w:pPr>
    </w:p>
    <w:p w14:paraId="07AD6094" w14:textId="77777777" w:rsidR="0026051E" w:rsidRDefault="0026051E" w:rsidP="00D73881">
      <w:pPr>
        <w:jc w:val="both"/>
        <w:rPr>
          <w:rFonts w:ascii="Arial" w:eastAsia="Calibri" w:hAnsi="Arial" w:cs="Arial"/>
          <w:b/>
          <w:sz w:val="22"/>
          <w:lang w:val="es-ES_tradnl"/>
        </w:rPr>
      </w:pPr>
    </w:p>
    <w:p w14:paraId="7144E95B" w14:textId="76DD9ABA" w:rsidR="00D73881" w:rsidRPr="00C440B6" w:rsidRDefault="00D73881" w:rsidP="00D73881">
      <w:pPr>
        <w:jc w:val="both"/>
        <w:rPr>
          <w:rFonts w:ascii="Arial" w:eastAsia="Calibri" w:hAnsi="Arial" w:cs="Arial"/>
          <w:b/>
          <w:sz w:val="22"/>
          <w:lang w:val="es-ES_tradnl"/>
        </w:rPr>
      </w:pPr>
      <w:r w:rsidRPr="00C440B6">
        <w:rPr>
          <w:rFonts w:ascii="Arial" w:eastAsia="Calibri" w:hAnsi="Arial" w:cs="Arial"/>
          <w:b/>
          <w:sz w:val="22"/>
          <w:lang w:val="es-ES_tradnl"/>
        </w:rPr>
        <w:lastRenderedPageBreak/>
        <w:t xml:space="preserve">LEY DE EMPRENDIMIENTO </w:t>
      </w:r>
      <w:r w:rsidRPr="00C440B6">
        <w:rPr>
          <w:rFonts w:ascii="Arial" w:eastAsia="Calibri" w:hAnsi="Arial" w:cs="Arial"/>
          <w:b/>
          <w:color w:val="000000" w:themeColor="text1"/>
          <w:sz w:val="22"/>
          <w:lang w:val="es-ES_tradnl"/>
        </w:rPr>
        <w:t>–</w:t>
      </w:r>
      <w:r w:rsidRPr="00C440B6">
        <w:rPr>
          <w:rFonts w:ascii="Arial" w:eastAsia="Calibri" w:hAnsi="Arial" w:cs="Arial"/>
          <w:b/>
          <w:sz w:val="22"/>
          <w:lang w:val="es-ES_tradnl"/>
        </w:rPr>
        <w:t xml:space="preserve"> Ley </w:t>
      </w:r>
      <w:r w:rsidR="006F0F34">
        <w:rPr>
          <w:rFonts w:ascii="Arial" w:eastAsia="Calibri" w:hAnsi="Arial" w:cs="Arial"/>
          <w:b/>
          <w:sz w:val="22"/>
          <w:lang w:val="es-ES_tradnl"/>
        </w:rPr>
        <w:t>2069</w:t>
      </w:r>
      <w:r w:rsidRPr="00C440B6">
        <w:rPr>
          <w:rFonts w:ascii="Arial" w:eastAsia="Calibri" w:hAnsi="Arial" w:cs="Arial"/>
          <w:b/>
          <w:sz w:val="22"/>
          <w:lang w:val="es-ES_tradnl"/>
        </w:rPr>
        <w:t xml:space="preserve"> de 2020 </w:t>
      </w:r>
      <w:r w:rsidRPr="00C440B6">
        <w:rPr>
          <w:rFonts w:ascii="Arial" w:eastAsia="Calibri" w:hAnsi="Arial" w:cs="Arial"/>
          <w:b/>
          <w:color w:val="000000" w:themeColor="text1"/>
          <w:sz w:val="22"/>
          <w:lang w:val="es-ES_tradnl"/>
        </w:rPr>
        <w:t xml:space="preserve">– Vigencia </w:t>
      </w:r>
    </w:p>
    <w:p w14:paraId="0D3B8DEB" w14:textId="33C83BCF" w:rsidR="00D73881" w:rsidRPr="00C440B6" w:rsidRDefault="00D73881" w:rsidP="00D73881">
      <w:pPr>
        <w:jc w:val="both"/>
        <w:rPr>
          <w:rFonts w:ascii="Arial" w:eastAsia="Calibri" w:hAnsi="Arial" w:cs="Arial"/>
          <w:b/>
          <w:sz w:val="22"/>
          <w:lang w:val="es-ES_tradnl"/>
        </w:rPr>
      </w:pPr>
    </w:p>
    <w:p w14:paraId="097E383C" w14:textId="77777777" w:rsidR="006A2829" w:rsidRPr="005419DA" w:rsidRDefault="006A2829" w:rsidP="006A2829">
      <w:pPr>
        <w:jc w:val="both"/>
        <w:rPr>
          <w:rFonts w:ascii="Arial" w:eastAsia="Calibri" w:hAnsi="Arial" w:cs="Arial"/>
          <w:sz w:val="20"/>
          <w:szCs w:val="20"/>
          <w:lang w:val="es-ES_tradnl"/>
        </w:rPr>
      </w:pPr>
      <w:r w:rsidRPr="005419DA">
        <w:rPr>
          <w:rFonts w:ascii="Arial" w:eastAsia="Calibri" w:hAnsi="Arial" w:cs="Arial"/>
          <w:sz w:val="20"/>
          <w:szCs w:val="20"/>
          <w:lang w:val="es-ES_tradnl"/>
        </w:rPr>
        <w:t xml:space="preserve">El 31 de diciembre de 2020 se promulgó la Ley </w:t>
      </w:r>
      <w:r>
        <w:rPr>
          <w:rFonts w:ascii="Arial" w:eastAsia="Calibri" w:hAnsi="Arial" w:cs="Arial"/>
          <w:sz w:val="20"/>
          <w:szCs w:val="20"/>
          <w:lang w:val="es-ES_tradnl"/>
        </w:rPr>
        <w:t>2069</w:t>
      </w:r>
      <w:r w:rsidRPr="005419DA">
        <w:rPr>
          <w:rFonts w:ascii="Arial" w:eastAsia="Calibri" w:hAnsi="Arial" w:cs="Arial"/>
          <w:sz w:val="20"/>
          <w:szCs w:val="20"/>
          <w:lang w:val="es-ES_tradnl"/>
        </w:rPr>
        <w:t>,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dicha Ley.</w:t>
      </w:r>
    </w:p>
    <w:p w14:paraId="4A4015B6" w14:textId="77777777" w:rsidR="006A2829" w:rsidRPr="005419DA" w:rsidRDefault="006A2829" w:rsidP="006A2829">
      <w:pPr>
        <w:jc w:val="both"/>
        <w:rPr>
          <w:rFonts w:ascii="Arial" w:eastAsia="Calibri" w:hAnsi="Arial" w:cs="Arial"/>
          <w:sz w:val="20"/>
          <w:szCs w:val="20"/>
          <w:lang w:val="es-ES_tradnl"/>
        </w:rPr>
      </w:pPr>
    </w:p>
    <w:p w14:paraId="178DBEA3" w14:textId="77777777" w:rsidR="006A2829" w:rsidRPr="005419DA" w:rsidRDefault="006A2829" w:rsidP="006A2829">
      <w:pPr>
        <w:jc w:val="both"/>
        <w:rPr>
          <w:rFonts w:ascii="Arial" w:eastAsia="Calibri" w:hAnsi="Arial" w:cs="Arial"/>
          <w:sz w:val="20"/>
          <w:szCs w:val="20"/>
          <w:lang w:val="es-ES_tradnl"/>
        </w:rPr>
      </w:pPr>
      <w:r w:rsidRPr="005419DA">
        <w:rPr>
          <w:rFonts w:ascii="Arial" w:eastAsia="Calibri" w:hAnsi="Arial" w:cs="Arial"/>
          <w:sz w:val="20"/>
          <w:szCs w:val="20"/>
          <w:lang w:val="es-ES_tradnl"/>
        </w:rPr>
        <w:t>En cuando al contenido de la Ley en comento, es importante señalar que, como lo expresa su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w:t>
      </w:r>
      <w:proofErr w:type="spellStart"/>
      <w:r w:rsidRPr="005419DA">
        <w:rPr>
          <w:rFonts w:ascii="Arial" w:eastAsia="Calibri" w:hAnsi="Arial" w:cs="Arial"/>
          <w:sz w:val="20"/>
          <w:szCs w:val="20"/>
          <w:lang w:val="es-ES_tradnl"/>
        </w:rPr>
        <w:t>mipymes</w:t>
      </w:r>
      <w:proofErr w:type="spellEnd"/>
      <w:r w:rsidRPr="005419DA">
        <w:rPr>
          <w:rFonts w:ascii="Arial" w:eastAsia="Calibri" w:hAnsi="Arial" w:cs="Arial"/>
          <w:sz w:val="20"/>
          <w:szCs w:val="20"/>
          <w:lang w:val="es-ES_tradnl"/>
        </w:rPr>
        <w:t>»–, mediante la racionalización y simplificación de los trámites y tarifas, así como la consagración de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p>
    <w:p w14:paraId="7B24A529" w14:textId="77777777" w:rsidR="008410B1" w:rsidRPr="00C440B6" w:rsidRDefault="008410B1" w:rsidP="008410B1">
      <w:pPr>
        <w:jc w:val="both"/>
        <w:rPr>
          <w:rFonts w:ascii="Arial" w:eastAsia="Calibri" w:hAnsi="Arial" w:cs="Arial"/>
          <w:b/>
          <w:sz w:val="22"/>
          <w:lang w:val="es-ES_tradnl"/>
        </w:rPr>
      </w:pPr>
    </w:p>
    <w:p w14:paraId="5C894141" w14:textId="0EC5FEBA" w:rsidR="00D73881" w:rsidRPr="009F0312" w:rsidRDefault="00D06CA3" w:rsidP="00D73881">
      <w:pPr>
        <w:jc w:val="both"/>
        <w:rPr>
          <w:rFonts w:ascii="Arial" w:eastAsia="Calibri" w:hAnsi="Arial" w:cs="Arial"/>
          <w:b/>
          <w:sz w:val="22"/>
          <w:lang w:val="es-ES_tradnl"/>
        </w:rPr>
      </w:pPr>
      <w:r w:rsidRPr="009F0312">
        <w:rPr>
          <w:rFonts w:ascii="Arial" w:eastAsia="Calibri" w:hAnsi="Arial" w:cs="Arial"/>
          <w:b/>
          <w:sz w:val="22"/>
          <w:lang w:val="es-ES_tradnl"/>
        </w:rPr>
        <w:t>DECRETO 1082 DE 2015</w:t>
      </w:r>
      <w:r w:rsidR="00D73881" w:rsidRPr="009F0312">
        <w:rPr>
          <w:rFonts w:ascii="Arial" w:eastAsia="Calibri" w:hAnsi="Arial" w:cs="Arial"/>
          <w:b/>
          <w:sz w:val="22"/>
          <w:lang w:val="es-ES_tradnl"/>
        </w:rPr>
        <w:t xml:space="preserve"> </w:t>
      </w:r>
      <w:r w:rsidR="00D73881" w:rsidRPr="009F0312">
        <w:rPr>
          <w:rFonts w:ascii="Arial" w:eastAsia="Calibri" w:hAnsi="Arial" w:cs="Arial"/>
          <w:b/>
          <w:color w:val="000000" w:themeColor="text1"/>
          <w:sz w:val="22"/>
          <w:lang w:val="es-ES_tradnl"/>
        </w:rPr>
        <w:t>–</w:t>
      </w:r>
      <w:r w:rsidR="00D73881" w:rsidRPr="009F0312">
        <w:rPr>
          <w:rFonts w:ascii="Arial" w:eastAsia="Calibri" w:hAnsi="Arial" w:cs="Arial"/>
          <w:b/>
          <w:sz w:val="22"/>
          <w:lang w:val="es-ES_tradnl"/>
        </w:rPr>
        <w:t xml:space="preserve"> </w:t>
      </w:r>
      <w:r w:rsidRPr="009F0312">
        <w:rPr>
          <w:rFonts w:ascii="Arial" w:eastAsia="Calibri" w:hAnsi="Arial" w:cs="Arial"/>
          <w:b/>
          <w:sz w:val="22"/>
          <w:lang w:val="es-ES_tradnl"/>
        </w:rPr>
        <w:t>Artículo 2.2.1.1.2.2.9.</w:t>
      </w:r>
      <w:r w:rsidR="00D73881" w:rsidRPr="009F0312">
        <w:rPr>
          <w:rFonts w:ascii="Arial" w:eastAsia="Calibri" w:hAnsi="Arial" w:cs="Arial"/>
          <w:b/>
          <w:sz w:val="22"/>
          <w:lang w:val="es-ES_tradnl"/>
        </w:rPr>
        <w:t xml:space="preserve"> </w:t>
      </w:r>
      <w:r w:rsidR="00D73881" w:rsidRPr="009F0312">
        <w:rPr>
          <w:rFonts w:ascii="Arial" w:eastAsia="Calibri" w:hAnsi="Arial" w:cs="Arial"/>
          <w:b/>
          <w:color w:val="000000" w:themeColor="text1"/>
          <w:sz w:val="22"/>
          <w:lang w:val="es-ES_tradnl"/>
        </w:rPr>
        <w:t xml:space="preserve">– </w:t>
      </w:r>
      <w:r w:rsidRPr="009F0312">
        <w:rPr>
          <w:rFonts w:ascii="Arial" w:eastAsia="Calibri" w:hAnsi="Arial" w:cs="Arial"/>
          <w:b/>
          <w:color w:val="000000" w:themeColor="text1"/>
          <w:sz w:val="22"/>
          <w:lang w:val="es-ES_tradnl"/>
        </w:rPr>
        <w:t>Derogatoria</w:t>
      </w:r>
      <w:r w:rsidR="00D73881" w:rsidRPr="009F0312">
        <w:rPr>
          <w:rFonts w:ascii="Arial" w:eastAsia="Calibri" w:hAnsi="Arial" w:cs="Arial"/>
          <w:b/>
          <w:color w:val="000000" w:themeColor="text1"/>
          <w:sz w:val="22"/>
          <w:lang w:val="es-ES_tradnl"/>
        </w:rPr>
        <w:t xml:space="preserve"> – </w:t>
      </w:r>
      <w:r w:rsidRPr="009F0312">
        <w:rPr>
          <w:rFonts w:ascii="Arial" w:eastAsia="Calibri" w:hAnsi="Arial" w:cs="Arial"/>
          <w:b/>
          <w:color w:val="000000" w:themeColor="text1"/>
          <w:sz w:val="22"/>
          <w:lang w:val="es-ES_tradnl"/>
        </w:rPr>
        <w:t>Decaimiento</w:t>
      </w:r>
    </w:p>
    <w:p w14:paraId="4D9EB4C1" w14:textId="20D03020" w:rsidR="00D73881" w:rsidRPr="009F0312" w:rsidRDefault="00D73881" w:rsidP="00B95C30">
      <w:pPr>
        <w:spacing w:line="276" w:lineRule="auto"/>
        <w:jc w:val="both"/>
        <w:rPr>
          <w:rFonts w:ascii="Arial" w:hAnsi="Arial" w:cs="Arial"/>
          <w:noProof/>
          <w:color w:val="000000" w:themeColor="text1"/>
          <w:sz w:val="22"/>
          <w:lang w:val="es-ES_tradnl"/>
        </w:rPr>
      </w:pPr>
    </w:p>
    <w:p w14:paraId="2CA58020" w14:textId="26F01600" w:rsidR="00D06CA3" w:rsidRPr="009F0312" w:rsidRDefault="00D06CA3" w:rsidP="00D06CA3">
      <w:pPr>
        <w:jc w:val="both"/>
        <w:rPr>
          <w:rFonts w:ascii="Arial" w:hAnsi="Arial" w:cs="Arial"/>
          <w:color w:val="000000" w:themeColor="text1"/>
          <w:sz w:val="20"/>
          <w:szCs w:val="20"/>
          <w:lang w:val="es-ES_tradnl"/>
        </w:rPr>
      </w:pPr>
      <w:r w:rsidRPr="009F0312">
        <w:rPr>
          <w:rFonts w:ascii="Arial" w:hAnsi="Arial" w:cs="Arial"/>
          <w:color w:val="000000" w:themeColor="text1"/>
          <w:sz w:val="20"/>
          <w:szCs w:val="20"/>
          <w:lang w:val="es-ES_tradnl"/>
        </w:rPr>
        <w:t xml:space="preserve">Ahora bien, hasta la promulgación de la Ley </w:t>
      </w:r>
      <w:r w:rsidR="006F0F34">
        <w:rPr>
          <w:rFonts w:ascii="Arial" w:hAnsi="Arial" w:cs="Arial"/>
          <w:color w:val="000000" w:themeColor="text1"/>
          <w:sz w:val="20"/>
          <w:szCs w:val="20"/>
          <w:lang w:val="es-ES_tradnl"/>
        </w:rPr>
        <w:t>2069</w:t>
      </w:r>
      <w:r w:rsidRPr="009F0312">
        <w:rPr>
          <w:rFonts w:ascii="Arial" w:hAnsi="Arial" w:cs="Arial"/>
          <w:color w:val="000000" w:themeColor="text1"/>
          <w:sz w:val="20"/>
          <w:szCs w:val="20"/>
          <w:lang w:val="es-ES_tradnl"/>
        </w:rPr>
        <w:t xml:space="preserve"> de 2020, el artículo 2.2.1.1.2.2.9. del Decreto 1082 de 2015 regulaba los factores de desempate que debían aplicarse en los procesos de selección. En criterio de esta </w:t>
      </w:r>
      <w:r w:rsidR="00D7536A">
        <w:rPr>
          <w:rFonts w:ascii="Arial" w:hAnsi="Arial" w:cs="Arial"/>
          <w:color w:val="000000" w:themeColor="text1"/>
          <w:sz w:val="20"/>
          <w:szCs w:val="20"/>
          <w:lang w:val="es-ES_tradnl"/>
        </w:rPr>
        <w:t>Agencia</w:t>
      </w:r>
      <w:r w:rsidRPr="009F0312">
        <w:rPr>
          <w:rFonts w:ascii="Arial" w:hAnsi="Arial" w:cs="Arial"/>
          <w:color w:val="000000" w:themeColor="text1"/>
          <w:sz w:val="20"/>
          <w:szCs w:val="20"/>
          <w:lang w:val="es-ES_tradnl"/>
        </w:rPr>
        <w:t xml:space="preserve">, dicha norma debe entenderse derogada por el artículo 35 de la Ley </w:t>
      </w:r>
      <w:r w:rsidR="006F0F34">
        <w:rPr>
          <w:rFonts w:ascii="Arial" w:hAnsi="Arial" w:cs="Arial"/>
          <w:color w:val="000000" w:themeColor="text1"/>
          <w:sz w:val="20"/>
          <w:szCs w:val="20"/>
          <w:lang w:val="es-ES_tradnl"/>
        </w:rPr>
        <w:t>2069</w:t>
      </w:r>
      <w:r w:rsidRPr="009F0312">
        <w:rPr>
          <w:rFonts w:ascii="Arial" w:hAnsi="Arial" w:cs="Arial"/>
          <w:color w:val="000000" w:themeColor="text1"/>
          <w:sz w:val="20"/>
          <w:szCs w:val="20"/>
          <w:lang w:val="es-ES_tradnl"/>
        </w:rPr>
        <w:t xml:space="preserve"> de 2020. Ello no solo porque el artículo 84 de esta Ley dice que «rige a partir del momento de su promulgación», es decir, desde el 31 de diciembre de 2020, sino además porque la misma disposición señala que la Ley </w:t>
      </w:r>
      <w:r w:rsidR="006F0F34">
        <w:rPr>
          <w:rFonts w:ascii="Arial" w:hAnsi="Arial" w:cs="Arial"/>
          <w:color w:val="000000" w:themeColor="text1"/>
          <w:sz w:val="20"/>
          <w:szCs w:val="20"/>
          <w:lang w:val="es-ES_tradnl"/>
        </w:rPr>
        <w:t>2069</w:t>
      </w:r>
      <w:r w:rsidRPr="009F0312">
        <w:rPr>
          <w:rFonts w:ascii="Arial" w:hAnsi="Arial" w:cs="Arial"/>
          <w:color w:val="000000" w:themeColor="text1"/>
          <w:sz w:val="20"/>
          <w:szCs w:val="20"/>
          <w:lang w:val="es-ES_tradnl"/>
        </w:rPr>
        <w:t xml:space="preserve"> de 2020 deroga «[…] todas las disposiciones que le sean contrarias». Se presenta una antinomia o contradicción normativa cuando dos o más disposiciones normativas regulan en sentido diferente un tema. Bajo esta consideración, como el artículo 35 de la Ley </w:t>
      </w:r>
      <w:r w:rsidR="006F0F34">
        <w:rPr>
          <w:rFonts w:ascii="Arial" w:hAnsi="Arial" w:cs="Arial"/>
          <w:color w:val="000000" w:themeColor="text1"/>
          <w:sz w:val="20"/>
          <w:szCs w:val="20"/>
          <w:lang w:val="es-ES_tradnl"/>
        </w:rPr>
        <w:t>2069</w:t>
      </w:r>
      <w:r w:rsidRPr="009F0312">
        <w:rPr>
          <w:rFonts w:ascii="Arial" w:hAnsi="Arial" w:cs="Arial"/>
          <w:color w:val="000000" w:themeColor="text1"/>
          <w:sz w:val="20"/>
          <w:szCs w:val="20"/>
          <w:lang w:val="es-ES_tradnl"/>
        </w:rPr>
        <w:t xml:space="preserve"> de 2020 regula en forma distinta a como lo hacía el artículo 2.2.1.1.2.2.9. del Decreto 1082 de 2015 la aplicación de los factores de desempate, aquel debe entenderse derogado. </w:t>
      </w:r>
    </w:p>
    <w:p w14:paraId="44FA67DF" w14:textId="77777777" w:rsidR="00D06CA3" w:rsidRPr="009F0312" w:rsidRDefault="00D06CA3" w:rsidP="00D06CA3">
      <w:pPr>
        <w:jc w:val="both"/>
        <w:rPr>
          <w:rFonts w:ascii="Arial" w:hAnsi="Arial" w:cs="Arial"/>
          <w:color w:val="000000" w:themeColor="text1"/>
          <w:sz w:val="20"/>
          <w:szCs w:val="20"/>
          <w:lang w:val="es-ES_tradnl"/>
        </w:rPr>
      </w:pPr>
    </w:p>
    <w:p w14:paraId="643109D0" w14:textId="08DA97B3" w:rsidR="00D06CA3" w:rsidRPr="00D06CA3" w:rsidRDefault="00D06CA3" w:rsidP="00D06CA3">
      <w:pPr>
        <w:jc w:val="both"/>
        <w:rPr>
          <w:rFonts w:ascii="Arial" w:hAnsi="Arial" w:cs="Arial"/>
          <w:color w:val="000000" w:themeColor="text1"/>
          <w:sz w:val="20"/>
          <w:szCs w:val="20"/>
          <w:lang w:val="es-ES_tradnl"/>
        </w:rPr>
      </w:pPr>
      <w:r w:rsidRPr="009F0312">
        <w:rPr>
          <w:rFonts w:ascii="Arial" w:hAnsi="Arial" w:cs="Arial"/>
          <w:color w:val="000000" w:themeColor="text1"/>
          <w:sz w:val="20"/>
          <w:szCs w:val="20"/>
          <w:lang w:val="es-ES_tradnl"/>
        </w:rPr>
        <w:t xml:space="preserve">Un argumento adicional para sostener esta tesis tiene que ver con el fenómeno de la pérdida de fuerza ejecutoria –o decaimiento– de los actos administrativos, regulado en el numeral 2 del artículo 91 de la Ley 1437 de 2011. Esta norma señala que los actos administrativos pierden fuerza ejecutoria «Cuando desaparezcan sus fundamentos de hecho o de derecho». Dado que el Decreto 1082 de 2015 es un reglamento </w:t>
      </w:r>
      <w:proofErr w:type="spellStart"/>
      <w:r w:rsidRPr="009F0312">
        <w:rPr>
          <w:rFonts w:ascii="Arial" w:hAnsi="Arial" w:cs="Arial"/>
          <w:i/>
          <w:iCs/>
          <w:color w:val="000000" w:themeColor="text1"/>
          <w:sz w:val="20"/>
          <w:szCs w:val="20"/>
          <w:lang w:val="es-ES_tradnl"/>
        </w:rPr>
        <w:t>secundum</w:t>
      </w:r>
      <w:proofErr w:type="spellEnd"/>
      <w:r w:rsidRPr="009F0312">
        <w:rPr>
          <w:rFonts w:ascii="Arial" w:hAnsi="Arial" w:cs="Arial"/>
          <w:i/>
          <w:iCs/>
          <w:color w:val="000000" w:themeColor="text1"/>
          <w:sz w:val="20"/>
          <w:szCs w:val="20"/>
          <w:lang w:val="es-ES_tradnl"/>
        </w:rPr>
        <w:t xml:space="preserve"> </w:t>
      </w:r>
      <w:proofErr w:type="spellStart"/>
      <w:r w:rsidRPr="009F0312">
        <w:rPr>
          <w:rFonts w:ascii="Arial" w:hAnsi="Arial" w:cs="Arial"/>
          <w:i/>
          <w:iCs/>
          <w:color w:val="000000" w:themeColor="text1"/>
          <w:sz w:val="20"/>
          <w:szCs w:val="20"/>
          <w:lang w:val="es-ES_tradnl"/>
        </w:rPr>
        <w:t>legem</w:t>
      </w:r>
      <w:proofErr w:type="spellEnd"/>
      <w:r w:rsidRPr="009F0312">
        <w:rPr>
          <w:rFonts w:ascii="Arial" w:hAnsi="Arial" w:cs="Arial"/>
          <w:color w:val="000000" w:themeColor="text1"/>
          <w:sz w:val="20"/>
          <w:szCs w:val="20"/>
          <w:lang w:val="es-ES_tradnl"/>
        </w:rPr>
        <w:t xml:space="preserve"> –es decir, que desarrolla la ley–, la expedición de una ley en sentido formal –es decir, de un precepto que se ubica en un nivel superior de la jerarquía normativa–, que modifica la materia reglamentada, hace que la disposición reglamentaria decaiga.</w:t>
      </w:r>
      <w:r w:rsidRPr="00D06CA3">
        <w:rPr>
          <w:rFonts w:ascii="Arial" w:hAnsi="Arial" w:cs="Arial"/>
          <w:color w:val="000000" w:themeColor="text1"/>
          <w:sz w:val="20"/>
          <w:szCs w:val="20"/>
          <w:lang w:val="es-ES_tradnl"/>
        </w:rPr>
        <w:t xml:space="preserve">      </w:t>
      </w:r>
    </w:p>
    <w:p w14:paraId="53B8D6C5" w14:textId="77777777" w:rsidR="003C5E8A" w:rsidRPr="00C440B6" w:rsidRDefault="003C5E8A" w:rsidP="003C5E8A">
      <w:pPr>
        <w:jc w:val="both"/>
        <w:rPr>
          <w:rFonts w:ascii="Arial" w:eastAsia="Calibri" w:hAnsi="Arial" w:cs="Arial"/>
          <w:sz w:val="20"/>
          <w:szCs w:val="20"/>
          <w:lang w:val="es-ES_tradnl"/>
        </w:rPr>
      </w:pPr>
    </w:p>
    <w:p w14:paraId="5B078637" w14:textId="77777777" w:rsidR="00B167C8" w:rsidRPr="00C440B6" w:rsidRDefault="00B167C8" w:rsidP="00B95C30">
      <w:pPr>
        <w:spacing w:line="276" w:lineRule="auto"/>
        <w:jc w:val="both"/>
        <w:rPr>
          <w:rFonts w:ascii="Arial" w:hAnsi="Arial" w:cs="Arial"/>
          <w:noProof/>
          <w:color w:val="000000" w:themeColor="text1"/>
          <w:sz w:val="22"/>
          <w:lang w:val="es-ES_tradnl"/>
        </w:rPr>
      </w:pPr>
    </w:p>
    <w:p w14:paraId="13C27EB7" w14:textId="77777777" w:rsidR="00B167C8" w:rsidRPr="00C440B6" w:rsidRDefault="00B167C8" w:rsidP="00B95C30">
      <w:pPr>
        <w:spacing w:line="276" w:lineRule="auto"/>
        <w:jc w:val="both"/>
        <w:rPr>
          <w:rFonts w:ascii="Arial" w:hAnsi="Arial" w:cs="Arial"/>
          <w:noProof/>
          <w:color w:val="000000" w:themeColor="text1"/>
          <w:sz w:val="22"/>
          <w:lang w:val="es-ES_tradnl"/>
        </w:rPr>
      </w:pPr>
    </w:p>
    <w:p w14:paraId="0AB212D3" w14:textId="77777777" w:rsidR="00B167C8" w:rsidRPr="00C440B6" w:rsidRDefault="00B167C8" w:rsidP="00B95C30">
      <w:pPr>
        <w:spacing w:line="276" w:lineRule="auto"/>
        <w:jc w:val="both"/>
        <w:rPr>
          <w:rFonts w:ascii="Arial" w:hAnsi="Arial" w:cs="Arial"/>
          <w:noProof/>
          <w:color w:val="000000" w:themeColor="text1"/>
          <w:sz w:val="22"/>
          <w:lang w:val="es-ES_tradnl"/>
        </w:rPr>
      </w:pPr>
    </w:p>
    <w:p w14:paraId="3C94E802" w14:textId="6D649291" w:rsidR="0031674D" w:rsidRDefault="0031674D" w:rsidP="00B95C30">
      <w:pPr>
        <w:spacing w:line="276" w:lineRule="auto"/>
        <w:jc w:val="both"/>
        <w:rPr>
          <w:rFonts w:ascii="Arial" w:hAnsi="Arial" w:cs="Arial"/>
          <w:noProof/>
          <w:color w:val="000000" w:themeColor="text1"/>
          <w:sz w:val="22"/>
          <w:lang w:val="es-ES_tradnl"/>
        </w:rPr>
      </w:pPr>
    </w:p>
    <w:p w14:paraId="4657B512" w14:textId="77777777" w:rsidR="009F0312" w:rsidRDefault="009F0312" w:rsidP="00B95C30">
      <w:pPr>
        <w:spacing w:line="276" w:lineRule="auto"/>
        <w:jc w:val="both"/>
        <w:rPr>
          <w:rFonts w:ascii="Arial" w:hAnsi="Arial" w:cs="Arial"/>
          <w:noProof/>
          <w:color w:val="000000" w:themeColor="text1"/>
          <w:sz w:val="22"/>
          <w:lang w:val="es-ES_tradnl"/>
        </w:rPr>
      </w:pPr>
    </w:p>
    <w:p w14:paraId="7A7D6552" w14:textId="77777777" w:rsidR="0031674D" w:rsidRDefault="0031674D" w:rsidP="00B95C30">
      <w:pPr>
        <w:spacing w:line="276" w:lineRule="auto"/>
        <w:jc w:val="both"/>
        <w:rPr>
          <w:rFonts w:ascii="Arial" w:hAnsi="Arial" w:cs="Arial"/>
          <w:noProof/>
          <w:color w:val="000000" w:themeColor="text1"/>
          <w:sz w:val="22"/>
          <w:lang w:val="es-ES_tradnl"/>
        </w:rPr>
      </w:pPr>
    </w:p>
    <w:p w14:paraId="7DD48F49" w14:textId="090B462D" w:rsidR="00B95C30" w:rsidRDefault="00B95C30" w:rsidP="00B95C30">
      <w:pPr>
        <w:spacing w:line="276" w:lineRule="auto"/>
        <w:jc w:val="both"/>
        <w:rPr>
          <w:rFonts w:ascii="Arial" w:hAnsi="Arial" w:cs="Arial"/>
          <w:b/>
          <w:bCs/>
          <w:noProof/>
          <w:color w:val="000000" w:themeColor="text1"/>
          <w:sz w:val="22"/>
          <w:lang w:val="es-ES_tradnl"/>
        </w:rPr>
      </w:pPr>
      <w:r w:rsidRPr="00C440B6">
        <w:rPr>
          <w:rFonts w:ascii="Arial" w:hAnsi="Arial" w:cs="Arial"/>
          <w:noProof/>
          <w:color w:val="000000" w:themeColor="text1"/>
          <w:sz w:val="22"/>
          <w:lang w:val="es-ES_tradnl"/>
        </w:rPr>
        <w:lastRenderedPageBreak/>
        <w:t xml:space="preserve">Bogotá D.C., </w:t>
      </w:r>
      <w:r w:rsidR="001B0EB0">
        <w:rPr>
          <w:rFonts w:ascii="Arial" w:hAnsi="Arial" w:cs="Arial"/>
          <w:b/>
          <w:bCs/>
          <w:noProof/>
          <w:color w:val="000000" w:themeColor="text1"/>
          <w:sz w:val="22"/>
          <w:lang w:val="es-ES_tradnl"/>
        </w:rPr>
        <w:t>04/02/2021 16:40:28</w:t>
      </w:r>
    </w:p>
    <w:p w14:paraId="4C2177EB" w14:textId="77777777" w:rsidR="0031674D" w:rsidRPr="006E3937" w:rsidRDefault="0031674D" w:rsidP="00B95C30">
      <w:pPr>
        <w:spacing w:line="276" w:lineRule="auto"/>
        <w:jc w:val="both"/>
        <w:rPr>
          <w:rFonts w:ascii="Arial" w:eastAsia="Calibri" w:hAnsi="Arial" w:cs="Arial"/>
          <w:noProof/>
          <w:color w:val="000000" w:themeColor="text1"/>
          <w:sz w:val="22"/>
          <w:szCs w:val="22"/>
          <w:lang w:val="es-ES_tradnl"/>
        </w:rPr>
      </w:pPr>
    </w:p>
    <w:p w14:paraId="40C1E74A" w14:textId="6744D557" w:rsidR="000C7322" w:rsidRPr="000C7322" w:rsidRDefault="000C7322" w:rsidP="000C7322">
      <w:pPr>
        <w:jc w:val="right"/>
      </w:pPr>
      <w:r w:rsidRPr="000C7322">
        <w:fldChar w:fldCharType="begin"/>
      </w:r>
      <w:r w:rsidRPr="000C7322">
        <w:instrText xml:space="preserve"> INCLUDEPICTURE "/var/folders/5l/v1rdjm0x1x9416lmbj7_vjt40000gn/T/com.microsoft.Word/WebArchiveCopyPasteTempFiles/page1image1800704" \* MERGEFORMATINET </w:instrText>
      </w:r>
      <w:r w:rsidRPr="000C7322">
        <w:fldChar w:fldCharType="separate"/>
      </w:r>
      <w:r w:rsidRPr="000C7322">
        <w:rPr>
          <w:noProof/>
        </w:rPr>
        <w:drawing>
          <wp:inline distT="0" distB="0" distL="0" distR="0" wp14:anchorId="782BBB6B" wp14:editId="3470D269">
            <wp:extent cx="2397760" cy="609600"/>
            <wp:effectExtent l="0" t="0" r="2540" b="0"/>
            <wp:docPr id="4" name="Imagen 4" descr="page1image1800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180070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97760" cy="609600"/>
                    </a:xfrm>
                    <a:prstGeom prst="rect">
                      <a:avLst/>
                    </a:prstGeom>
                    <a:noFill/>
                    <a:ln>
                      <a:noFill/>
                    </a:ln>
                  </pic:spPr>
                </pic:pic>
              </a:graphicData>
            </a:graphic>
          </wp:inline>
        </w:drawing>
      </w:r>
      <w:r w:rsidRPr="000C7322">
        <w:fldChar w:fldCharType="end"/>
      </w:r>
    </w:p>
    <w:p w14:paraId="6A8A869B" w14:textId="52C72B05" w:rsidR="00B95C30" w:rsidRDefault="00B95C30" w:rsidP="00B95C30">
      <w:pPr>
        <w:jc w:val="both"/>
        <w:rPr>
          <w:rFonts w:ascii="Arial" w:hAnsi="Arial" w:cs="Arial"/>
          <w:b/>
          <w:color w:val="000000" w:themeColor="text1"/>
          <w:sz w:val="22"/>
          <w:lang w:val="es-ES_tradnl"/>
        </w:rPr>
      </w:pPr>
    </w:p>
    <w:p w14:paraId="3DCA4D09" w14:textId="77777777" w:rsidR="0031674D" w:rsidRPr="00C440B6" w:rsidRDefault="0031674D" w:rsidP="00B95C30">
      <w:pPr>
        <w:jc w:val="both"/>
        <w:rPr>
          <w:rFonts w:ascii="Arial" w:hAnsi="Arial" w:cs="Arial"/>
          <w:b/>
          <w:color w:val="000000" w:themeColor="text1"/>
          <w:sz w:val="22"/>
          <w:lang w:val="es-ES_tradnl"/>
        </w:rPr>
      </w:pPr>
    </w:p>
    <w:p w14:paraId="5F5AE9EF" w14:textId="5BA24542" w:rsidR="00B95C30" w:rsidRPr="00C440B6" w:rsidRDefault="00BE4FBF" w:rsidP="00B95C30">
      <w:pPr>
        <w:jc w:val="both"/>
        <w:rPr>
          <w:rFonts w:ascii="Arial" w:eastAsia="Calibri" w:hAnsi="Arial" w:cs="Arial"/>
          <w:color w:val="000000" w:themeColor="text1"/>
          <w:sz w:val="22"/>
          <w:lang w:val="es-ES_tradnl"/>
        </w:rPr>
      </w:pPr>
      <w:r w:rsidRPr="00C440B6">
        <w:rPr>
          <w:rFonts w:ascii="Arial" w:eastAsia="Calibri" w:hAnsi="Arial" w:cs="Arial"/>
          <w:color w:val="000000" w:themeColor="text1"/>
          <w:sz w:val="22"/>
          <w:lang w:val="es-ES_tradnl"/>
        </w:rPr>
        <w:t>Señor</w:t>
      </w:r>
    </w:p>
    <w:p w14:paraId="136B4744" w14:textId="0BEF0491" w:rsidR="00043399" w:rsidRPr="00C440B6" w:rsidRDefault="002C61D4" w:rsidP="00B95C30">
      <w:pPr>
        <w:jc w:val="both"/>
        <w:rPr>
          <w:rFonts w:ascii="Arial" w:eastAsia="Calibri" w:hAnsi="Arial" w:cs="Arial"/>
          <w:b/>
          <w:color w:val="000000" w:themeColor="text1"/>
          <w:sz w:val="22"/>
          <w:lang w:val="es-ES_tradnl"/>
        </w:rPr>
      </w:pPr>
      <w:r w:rsidRPr="00C440B6">
        <w:rPr>
          <w:rFonts w:ascii="Arial" w:eastAsia="Calibri" w:hAnsi="Arial" w:cs="Arial"/>
          <w:b/>
          <w:color w:val="000000" w:themeColor="text1"/>
          <w:sz w:val="22"/>
          <w:lang w:val="es-ES_tradnl"/>
        </w:rPr>
        <w:t>Nilton Javier Caicedo Vidal</w:t>
      </w:r>
    </w:p>
    <w:p w14:paraId="09D4AEA8" w14:textId="27B6ABE4" w:rsidR="00B95C30" w:rsidRPr="00C440B6" w:rsidRDefault="00096D30" w:rsidP="00B95C30">
      <w:pPr>
        <w:jc w:val="both"/>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Santiago de Cali, Valle del Cauca</w:t>
      </w:r>
    </w:p>
    <w:p w14:paraId="3F3D1203" w14:textId="087EB4C8" w:rsidR="00B95C30" w:rsidRDefault="00B95C30" w:rsidP="00B95C30">
      <w:pPr>
        <w:jc w:val="both"/>
        <w:rPr>
          <w:rFonts w:ascii="Arial" w:eastAsia="Calibri" w:hAnsi="Arial" w:cs="Arial"/>
          <w:color w:val="000000" w:themeColor="text1"/>
          <w:sz w:val="22"/>
          <w:lang w:val="es-ES_tradnl"/>
        </w:rPr>
      </w:pPr>
    </w:p>
    <w:p w14:paraId="7FEA18D2" w14:textId="77777777" w:rsidR="0031674D" w:rsidRPr="00C440B6" w:rsidRDefault="0031674D" w:rsidP="00B95C30">
      <w:pPr>
        <w:jc w:val="both"/>
        <w:rPr>
          <w:rFonts w:ascii="Arial" w:eastAsia="Calibri" w:hAnsi="Arial" w:cs="Arial"/>
          <w:color w:val="000000" w:themeColor="text1"/>
          <w:sz w:val="22"/>
          <w:lang w:val="es-ES_tradnl"/>
        </w:rPr>
      </w:pPr>
    </w:p>
    <w:p w14:paraId="12E66182" w14:textId="09303723" w:rsidR="00B95C30" w:rsidRPr="00C440B6" w:rsidRDefault="0031674D" w:rsidP="006E3937">
      <w:pPr>
        <w:rPr>
          <w:rFonts w:ascii="Arial" w:eastAsia="Calibri" w:hAnsi="Arial" w:cs="Arial"/>
          <w:b/>
          <w:bCs/>
          <w:color w:val="000000" w:themeColor="text1"/>
          <w:sz w:val="22"/>
          <w:lang w:val="es-ES_tradnl"/>
        </w:rPr>
      </w:pPr>
      <w:r>
        <w:rPr>
          <w:rFonts w:ascii="Arial" w:eastAsia="Calibri" w:hAnsi="Arial" w:cs="Arial"/>
          <w:b/>
          <w:bCs/>
          <w:color w:val="000000" w:themeColor="text1"/>
          <w:sz w:val="22"/>
          <w:lang w:val="es-ES_tradnl"/>
        </w:rPr>
        <w:t xml:space="preserve">                                            </w:t>
      </w:r>
      <w:r w:rsidR="00B95C30" w:rsidRPr="00C440B6">
        <w:rPr>
          <w:rFonts w:ascii="Arial" w:eastAsia="Calibri" w:hAnsi="Arial" w:cs="Arial"/>
          <w:b/>
          <w:bCs/>
          <w:color w:val="000000" w:themeColor="text1"/>
          <w:sz w:val="22"/>
          <w:lang w:val="es-ES_tradnl"/>
        </w:rPr>
        <w:t xml:space="preserve">Concepto C ‒ </w:t>
      </w:r>
      <w:r w:rsidR="00195F02" w:rsidRPr="00C440B6">
        <w:rPr>
          <w:rFonts w:ascii="Arial" w:eastAsia="Calibri" w:hAnsi="Arial" w:cs="Arial"/>
          <w:b/>
          <w:bCs/>
          <w:color w:val="000000" w:themeColor="text1"/>
          <w:sz w:val="22"/>
          <w:lang w:val="es-ES_tradnl"/>
        </w:rPr>
        <w:t>0</w:t>
      </w:r>
      <w:r w:rsidR="002C61D4" w:rsidRPr="00C440B6">
        <w:rPr>
          <w:rFonts w:ascii="Arial" w:eastAsia="Calibri" w:hAnsi="Arial" w:cs="Arial"/>
          <w:b/>
          <w:bCs/>
          <w:color w:val="000000" w:themeColor="text1"/>
          <w:sz w:val="22"/>
          <w:lang w:val="es-ES_tradnl"/>
        </w:rPr>
        <w:t>13</w:t>
      </w:r>
      <w:r w:rsidR="00B95C30" w:rsidRPr="00C440B6">
        <w:rPr>
          <w:rFonts w:ascii="Arial" w:eastAsia="Calibri" w:hAnsi="Arial" w:cs="Arial"/>
          <w:b/>
          <w:bCs/>
          <w:color w:val="000000" w:themeColor="text1"/>
          <w:sz w:val="22"/>
          <w:lang w:val="es-ES_tradnl"/>
        </w:rPr>
        <w:t xml:space="preserve"> de 202</w:t>
      </w:r>
      <w:r w:rsidR="005E781C" w:rsidRPr="00C440B6">
        <w:rPr>
          <w:rFonts w:ascii="Arial" w:eastAsia="Calibri" w:hAnsi="Arial" w:cs="Arial"/>
          <w:b/>
          <w:bCs/>
          <w:color w:val="000000" w:themeColor="text1"/>
          <w:sz w:val="22"/>
          <w:lang w:val="es-ES_tradnl"/>
        </w:rPr>
        <w:t>1</w:t>
      </w:r>
    </w:p>
    <w:p w14:paraId="1BD594F9" w14:textId="77777777" w:rsidR="00B95C30" w:rsidRPr="00C440B6" w:rsidRDefault="00B95C30" w:rsidP="00B95C30">
      <w:pPr>
        <w:jc w:val="both"/>
        <w:rPr>
          <w:rFonts w:ascii="Arial" w:eastAsia="Calibri" w:hAnsi="Arial" w:cs="Arial"/>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C440B6" w14:paraId="19DFC051" w14:textId="77777777" w:rsidTr="008F4163">
        <w:tc>
          <w:tcPr>
            <w:tcW w:w="2689" w:type="dxa"/>
          </w:tcPr>
          <w:p w14:paraId="6BC0D1AC" w14:textId="77777777" w:rsidR="00B95C30" w:rsidRPr="00C440B6" w:rsidRDefault="00B95C30" w:rsidP="008F4163">
            <w:pPr>
              <w:jc w:val="both"/>
              <w:rPr>
                <w:rFonts w:ascii="Arial" w:eastAsia="Calibri" w:hAnsi="Arial" w:cs="Arial"/>
                <w:color w:val="000000" w:themeColor="text1"/>
                <w:sz w:val="22"/>
                <w:lang w:val="es-ES_tradnl"/>
              </w:rPr>
            </w:pPr>
            <w:r w:rsidRPr="00C440B6">
              <w:rPr>
                <w:rFonts w:ascii="Arial" w:eastAsia="Calibri" w:hAnsi="Arial" w:cs="Arial"/>
                <w:b/>
                <w:color w:val="000000" w:themeColor="text1"/>
                <w:sz w:val="22"/>
                <w:lang w:val="es-ES_tradnl"/>
              </w:rPr>
              <w:t>Temas:</w:t>
            </w:r>
            <w:r w:rsidRPr="00C440B6">
              <w:rPr>
                <w:rFonts w:ascii="Arial" w:eastAsia="Calibri" w:hAnsi="Arial" w:cs="Arial"/>
                <w:color w:val="000000" w:themeColor="text1"/>
                <w:sz w:val="22"/>
                <w:lang w:val="es-ES_tradnl"/>
              </w:rPr>
              <w:t xml:space="preserve">                                      </w:t>
            </w:r>
          </w:p>
        </w:tc>
        <w:tc>
          <w:tcPr>
            <w:tcW w:w="6237" w:type="dxa"/>
          </w:tcPr>
          <w:p w14:paraId="5F389CAF" w14:textId="088609AD" w:rsidR="00B95C30" w:rsidRPr="00C440B6" w:rsidRDefault="008B63FE" w:rsidP="008F4163">
            <w:pPr>
              <w:jc w:val="both"/>
              <w:rPr>
                <w:rFonts w:ascii="Arial" w:eastAsia="Calibri" w:hAnsi="Arial" w:cs="Arial"/>
                <w:color w:val="000000" w:themeColor="text1"/>
                <w:sz w:val="22"/>
                <w:lang w:val="es-ES_tradnl"/>
              </w:rPr>
            </w:pPr>
            <w:r w:rsidRPr="00C440B6">
              <w:rPr>
                <w:rFonts w:ascii="Arial" w:eastAsia="Calibri" w:hAnsi="Arial" w:cs="Arial"/>
                <w:bCs/>
                <w:sz w:val="22"/>
                <w:lang w:val="es-ES_tradnl"/>
              </w:rPr>
              <w:t xml:space="preserve">SELECCIÓN OBJETIVA – Contratación estatal – Concepto </w:t>
            </w:r>
            <w:r w:rsidR="00B95C30" w:rsidRPr="00C440B6">
              <w:rPr>
                <w:rFonts w:ascii="Arial" w:eastAsia="Calibri" w:hAnsi="Arial" w:cs="Arial"/>
                <w:bCs/>
                <w:sz w:val="22"/>
                <w:lang w:val="es-ES_tradnl"/>
              </w:rPr>
              <w:t>/</w:t>
            </w:r>
            <w:r w:rsidRPr="00C440B6">
              <w:rPr>
                <w:rFonts w:ascii="Arial" w:eastAsia="Calibri" w:hAnsi="Arial" w:cs="Arial"/>
                <w:bCs/>
                <w:sz w:val="22"/>
                <w:lang w:val="es-ES_tradnl"/>
              </w:rPr>
              <w:t xml:space="preserve"> EMPATE – Procedimiento de selección – Concepto / FACTORES DE DESEMPATE – Características – Límites / LEY DE EMPRENDIMIENTO – Ley </w:t>
            </w:r>
            <w:r w:rsidR="006F0F34">
              <w:rPr>
                <w:rFonts w:ascii="Arial" w:eastAsia="Calibri" w:hAnsi="Arial" w:cs="Arial"/>
                <w:bCs/>
                <w:sz w:val="22"/>
                <w:lang w:val="es-ES_tradnl"/>
              </w:rPr>
              <w:t>2069</w:t>
            </w:r>
            <w:r w:rsidRPr="00C440B6">
              <w:rPr>
                <w:rFonts w:ascii="Arial" w:eastAsia="Calibri" w:hAnsi="Arial" w:cs="Arial"/>
                <w:bCs/>
                <w:sz w:val="22"/>
                <w:lang w:val="es-ES_tradnl"/>
              </w:rPr>
              <w:t xml:space="preserve"> de 2020 – Vigencia / </w:t>
            </w:r>
            <w:r w:rsidR="00157B5F" w:rsidRPr="00157B5F">
              <w:rPr>
                <w:rFonts w:ascii="Arial" w:eastAsia="Calibri" w:hAnsi="Arial" w:cs="Arial"/>
                <w:bCs/>
                <w:sz w:val="22"/>
                <w:lang w:val="es-ES_tradnl"/>
              </w:rPr>
              <w:t>DECRETO 1082 DE 2015 – Artículo 2.2.1.1.2.2.9. – Derogatoria – Decaimiento</w:t>
            </w:r>
            <w:r w:rsidR="00B95C30" w:rsidRPr="00C440B6">
              <w:rPr>
                <w:rFonts w:ascii="Arial" w:eastAsia="Arial" w:hAnsi="Arial" w:cs="Arial"/>
                <w:sz w:val="22"/>
                <w:lang w:val="es-ES_tradnl"/>
              </w:rPr>
              <w:t>.</w:t>
            </w:r>
          </w:p>
        </w:tc>
      </w:tr>
      <w:tr w:rsidR="00B95C30" w:rsidRPr="00C440B6" w14:paraId="27CD52AB" w14:textId="77777777" w:rsidTr="008F4163">
        <w:tc>
          <w:tcPr>
            <w:tcW w:w="2689" w:type="dxa"/>
          </w:tcPr>
          <w:p w14:paraId="37E195A1" w14:textId="1BA218D5" w:rsidR="00B95C30" w:rsidRPr="00C440B6" w:rsidRDefault="00B95C30" w:rsidP="008F4163">
            <w:pPr>
              <w:spacing w:before="120"/>
              <w:jc w:val="both"/>
              <w:rPr>
                <w:rFonts w:ascii="Arial" w:eastAsia="Calibri" w:hAnsi="Arial" w:cs="Arial"/>
                <w:b/>
                <w:color w:val="000000" w:themeColor="text1"/>
                <w:sz w:val="22"/>
                <w:lang w:val="es-ES_tradnl"/>
              </w:rPr>
            </w:pPr>
            <w:r w:rsidRPr="00C440B6">
              <w:rPr>
                <w:rFonts w:ascii="Arial" w:eastAsia="Calibri" w:hAnsi="Arial" w:cs="Arial"/>
                <w:b/>
                <w:color w:val="000000" w:themeColor="text1"/>
                <w:sz w:val="22"/>
                <w:lang w:val="es-ES_tradnl"/>
              </w:rPr>
              <w:t>Radicación:</w:t>
            </w:r>
            <w:r w:rsidRPr="00C440B6">
              <w:rPr>
                <w:rFonts w:ascii="Arial" w:eastAsia="Calibri" w:hAnsi="Arial" w:cs="Arial"/>
                <w:color w:val="000000" w:themeColor="text1"/>
                <w:sz w:val="22"/>
                <w:lang w:val="es-ES_tradnl"/>
              </w:rPr>
              <w:t xml:space="preserve">                              </w:t>
            </w:r>
          </w:p>
        </w:tc>
        <w:tc>
          <w:tcPr>
            <w:tcW w:w="6237" w:type="dxa"/>
          </w:tcPr>
          <w:p w14:paraId="09088B1B" w14:textId="39840CB1" w:rsidR="00B95C30" w:rsidRPr="00C440B6" w:rsidRDefault="00B95C30" w:rsidP="008F4163">
            <w:pPr>
              <w:spacing w:before="120"/>
              <w:jc w:val="both"/>
              <w:rPr>
                <w:rFonts w:ascii="Arial" w:eastAsia="Calibri" w:hAnsi="Arial" w:cs="Arial"/>
                <w:color w:val="000000" w:themeColor="text1"/>
                <w:sz w:val="22"/>
                <w:lang w:val="es-ES_tradnl"/>
              </w:rPr>
            </w:pPr>
            <w:r w:rsidRPr="00C440B6">
              <w:rPr>
                <w:rFonts w:ascii="Arial" w:eastAsia="Calibri" w:hAnsi="Arial" w:cs="Arial"/>
                <w:color w:val="000000" w:themeColor="text1"/>
                <w:sz w:val="22"/>
                <w:lang w:val="es-ES_tradnl"/>
              </w:rPr>
              <w:t xml:space="preserve">Respuesta a consulta # </w:t>
            </w:r>
            <w:r w:rsidR="00872828" w:rsidRPr="00C440B6">
              <w:rPr>
                <w:rFonts w:ascii="Arial" w:eastAsia="Calibri" w:hAnsi="Arial" w:cs="Arial"/>
                <w:color w:val="000000" w:themeColor="text1"/>
                <w:sz w:val="22"/>
                <w:lang w:val="es-ES_tradnl"/>
              </w:rPr>
              <w:t>P20210116000318</w:t>
            </w:r>
          </w:p>
        </w:tc>
      </w:tr>
    </w:tbl>
    <w:p w14:paraId="69729BEF" w14:textId="77777777" w:rsidR="00096D30" w:rsidRDefault="00096D30" w:rsidP="003C3339">
      <w:pPr>
        <w:jc w:val="both"/>
        <w:rPr>
          <w:rFonts w:ascii="Arial" w:eastAsia="Calibri" w:hAnsi="Arial" w:cs="Arial"/>
          <w:color w:val="000000" w:themeColor="text1"/>
          <w:sz w:val="22"/>
          <w:lang w:val="es-ES_tradnl"/>
        </w:rPr>
      </w:pPr>
    </w:p>
    <w:p w14:paraId="43664A51" w14:textId="77777777" w:rsidR="00096D30" w:rsidRDefault="00096D30" w:rsidP="003C3339">
      <w:pPr>
        <w:jc w:val="both"/>
        <w:rPr>
          <w:rFonts w:ascii="Arial" w:eastAsia="Calibri" w:hAnsi="Arial" w:cs="Arial"/>
          <w:color w:val="000000" w:themeColor="text1"/>
          <w:sz w:val="22"/>
          <w:lang w:val="es-ES_tradnl"/>
        </w:rPr>
      </w:pPr>
    </w:p>
    <w:p w14:paraId="1CF4AEA0" w14:textId="6CD50679" w:rsidR="003C3339" w:rsidRPr="00C440B6" w:rsidRDefault="003C3339" w:rsidP="003C3339">
      <w:pPr>
        <w:jc w:val="both"/>
        <w:rPr>
          <w:rFonts w:ascii="Arial" w:eastAsia="Calibri" w:hAnsi="Arial" w:cs="Arial"/>
          <w:color w:val="000000" w:themeColor="text1"/>
          <w:sz w:val="22"/>
          <w:lang w:val="es-ES_tradnl"/>
        </w:rPr>
      </w:pPr>
      <w:r w:rsidRPr="00C440B6">
        <w:rPr>
          <w:rFonts w:ascii="Arial" w:eastAsia="Calibri" w:hAnsi="Arial" w:cs="Arial"/>
          <w:color w:val="000000" w:themeColor="text1"/>
          <w:sz w:val="22"/>
          <w:lang w:val="es-ES_tradnl"/>
        </w:rPr>
        <w:t>Estimad</w:t>
      </w:r>
      <w:r w:rsidR="00C018F7" w:rsidRPr="00C440B6">
        <w:rPr>
          <w:rFonts w:ascii="Arial" w:eastAsia="Calibri" w:hAnsi="Arial" w:cs="Arial"/>
          <w:color w:val="000000" w:themeColor="text1"/>
          <w:sz w:val="22"/>
          <w:lang w:val="es-ES_tradnl"/>
        </w:rPr>
        <w:t>o</w:t>
      </w:r>
      <w:r w:rsidRPr="00C440B6">
        <w:rPr>
          <w:rFonts w:ascii="Arial" w:eastAsia="Calibri" w:hAnsi="Arial" w:cs="Arial"/>
          <w:color w:val="000000" w:themeColor="text1"/>
          <w:sz w:val="22"/>
          <w:lang w:val="es-ES_tradnl"/>
        </w:rPr>
        <w:t xml:space="preserve"> </w:t>
      </w:r>
      <w:r w:rsidR="0063732C" w:rsidRPr="00C440B6">
        <w:rPr>
          <w:rFonts w:ascii="Arial" w:eastAsia="Calibri" w:hAnsi="Arial" w:cs="Arial"/>
          <w:color w:val="000000" w:themeColor="text1"/>
          <w:sz w:val="22"/>
          <w:lang w:val="es-ES_tradnl"/>
        </w:rPr>
        <w:t>señor</w:t>
      </w:r>
      <w:r w:rsidR="00BE4FBF" w:rsidRPr="00C440B6">
        <w:rPr>
          <w:rFonts w:ascii="Arial" w:eastAsia="Calibri" w:hAnsi="Arial" w:cs="Arial"/>
          <w:color w:val="000000" w:themeColor="text1"/>
          <w:sz w:val="22"/>
          <w:lang w:val="es-ES_tradnl"/>
        </w:rPr>
        <w:t xml:space="preserve"> </w:t>
      </w:r>
      <w:r w:rsidR="00C018F7" w:rsidRPr="00C440B6">
        <w:rPr>
          <w:rFonts w:ascii="Arial" w:eastAsia="Calibri" w:hAnsi="Arial" w:cs="Arial"/>
          <w:color w:val="000000" w:themeColor="text1"/>
          <w:sz w:val="22"/>
          <w:lang w:val="es-ES_tradnl"/>
        </w:rPr>
        <w:t>Caicedo</w:t>
      </w:r>
      <w:r w:rsidRPr="00C440B6">
        <w:rPr>
          <w:rFonts w:ascii="Arial" w:eastAsia="Calibri" w:hAnsi="Arial" w:cs="Arial"/>
          <w:color w:val="000000" w:themeColor="text1"/>
          <w:sz w:val="22"/>
          <w:lang w:val="es-ES_tradnl"/>
        </w:rPr>
        <w:t>:</w:t>
      </w:r>
    </w:p>
    <w:p w14:paraId="1EAE5543" w14:textId="77777777" w:rsidR="00DD5B04" w:rsidRPr="00C440B6" w:rsidRDefault="00DD5B04" w:rsidP="00DF76A2">
      <w:pPr>
        <w:jc w:val="both"/>
        <w:rPr>
          <w:rFonts w:ascii="Arial" w:eastAsia="Calibri" w:hAnsi="Arial" w:cs="Arial"/>
          <w:color w:val="000000" w:themeColor="text1"/>
          <w:sz w:val="22"/>
          <w:lang w:val="es-ES_tradnl"/>
        </w:rPr>
      </w:pPr>
    </w:p>
    <w:p w14:paraId="2109B2D3" w14:textId="19E7B998" w:rsidR="00DD5B04" w:rsidRPr="00C440B6" w:rsidRDefault="00DD5B04" w:rsidP="00DF76A2">
      <w:pPr>
        <w:spacing w:line="276" w:lineRule="auto"/>
        <w:jc w:val="both"/>
        <w:rPr>
          <w:rFonts w:ascii="Arial" w:eastAsia="Calibri" w:hAnsi="Arial" w:cs="Arial"/>
          <w:color w:val="000000" w:themeColor="text1"/>
          <w:sz w:val="22"/>
          <w:lang w:val="es-ES_tradnl"/>
        </w:rPr>
      </w:pPr>
      <w:r w:rsidRPr="00C440B6">
        <w:rPr>
          <w:rFonts w:ascii="Arial" w:eastAsia="Calibri" w:hAnsi="Arial" w:cs="Arial"/>
          <w:color w:val="000000" w:themeColor="text1"/>
          <w:sz w:val="22"/>
          <w:lang w:val="es-ES_tradnl"/>
        </w:rPr>
        <w:t xml:space="preserve">En ejercicio de la competencia otorgada por el numeral 8 del artículo 11 y el numeral 5 del artículo 3 del Decreto Ley 4170 de 2011, la Agencia Nacional de Contratación Pública </w:t>
      </w:r>
      <w:r w:rsidR="0031674D">
        <w:rPr>
          <w:rFonts w:ascii="Arial" w:eastAsia="Calibri" w:hAnsi="Arial" w:cs="Arial"/>
          <w:color w:val="000000" w:themeColor="text1"/>
          <w:sz w:val="22"/>
          <w:lang w:val="es-ES_tradnl"/>
        </w:rPr>
        <w:t>–</w:t>
      </w:r>
      <w:r w:rsidRPr="00C440B6">
        <w:rPr>
          <w:rFonts w:ascii="Arial" w:eastAsia="Calibri" w:hAnsi="Arial" w:cs="Arial"/>
          <w:color w:val="000000" w:themeColor="text1"/>
          <w:sz w:val="22"/>
          <w:lang w:val="es-ES_tradnl"/>
        </w:rPr>
        <w:t xml:space="preserve"> Colombia Compra Eficiente</w:t>
      </w:r>
      <w:r w:rsidR="008C3C57" w:rsidRPr="00C440B6">
        <w:rPr>
          <w:rFonts w:ascii="Arial" w:eastAsia="Calibri" w:hAnsi="Arial" w:cs="Arial"/>
          <w:color w:val="000000" w:themeColor="text1"/>
          <w:sz w:val="22"/>
          <w:lang w:val="es-ES_tradnl"/>
        </w:rPr>
        <w:t xml:space="preserve"> </w:t>
      </w:r>
      <w:r w:rsidRPr="00C440B6">
        <w:rPr>
          <w:rFonts w:ascii="Arial" w:eastAsia="Calibri" w:hAnsi="Arial" w:cs="Arial"/>
          <w:color w:val="000000" w:themeColor="text1"/>
          <w:sz w:val="22"/>
          <w:lang w:val="es-ES_tradnl"/>
        </w:rPr>
        <w:t xml:space="preserve">responde su consulta del </w:t>
      </w:r>
      <w:r w:rsidR="005363C6" w:rsidRPr="00C440B6">
        <w:rPr>
          <w:rFonts w:ascii="Arial" w:eastAsia="Calibri" w:hAnsi="Arial" w:cs="Arial"/>
          <w:color w:val="000000" w:themeColor="text1"/>
          <w:sz w:val="22"/>
          <w:lang w:val="es-ES_tradnl"/>
        </w:rPr>
        <w:t>1</w:t>
      </w:r>
      <w:r w:rsidR="00F953C2" w:rsidRPr="00C440B6">
        <w:rPr>
          <w:rFonts w:ascii="Arial" w:eastAsia="Calibri" w:hAnsi="Arial" w:cs="Arial"/>
          <w:color w:val="000000" w:themeColor="text1"/>
          <w:sz w:val="22"/>
          <w:lang w:val="es-ES_tradnl"/>
        </w:rPr>
        <w:t>6</w:t>
      </w:r>
      <w:r w:rsidR="00FD4AF3" w:rsidRPr="00C440B6">
        <w:rPr>
          <w:rFonts w:ascii="Arial" w:eastAsia="Calibri" w:hAnsi="Arial" w:cs="Arial"/>
          <w:color w:val="000000" w:themeColor="text1"/>
          <w:sz w:val="22"/>
          <w:lang w:val="es-ES_tradnl"/>
        </w:rPr>
        <w:t xml:space="preserve"> de </w:t>
      </w:r>
      <w:r w:rsidR="00FB0880" w:rsidRPr="00C440B6">
        <w:rPr>
          <w:rFonts w:ascii="Arial" w:eastAsia="Calibri" w:hAnsi="Arial" w:cs="Arial"/>
          <w:color w:val="000000" w:themeColor="text1"/>
          <w:sz w:val="22"/>
          <w:lang w:val="es-ES_tradnl"/>
        </w:rPr>
        <w:t>enero</w:t>
      </w:r>
      <w:r w:rsidRPr="00C440B6">
        <w:rPr>
          <w:rFonts w:ascii="Arial" w:eastAsia="Calibri" w:hAnsi="Arial" w:cs="Arial"/>
          <w:color w:val="000000" w:themeColor="text1"/>
          <w:sz w:val="22"/>
          <w:lang w:val="es-ES_tradnl"/>
        </w:rPr>
        <w:t xml:space="preserve"> del</w:t>
      </w:r>
      <w:r w:rsidR="007E74BF" w:rsidRPr="00C440B6">
        <w:rPr>
          <w:rFonts w:ascii="Arial" w:eastAsia="Calibri" w:hAnsi="Arial" w:cs="Arial"/>
          <w:color w:val="000000" w:themeColor="text1"/>
          <w:sz w:val="22"/>
          <w:lang w:val="es-ES_tradnl"/>
        </w:rPr>
        <w:t xml:space="preserve"> </w:t>
      </w:r>
      <w:r w:rsidRPr="00C440B6">
        <w:rPr>
          <w:rFonts w:ascii="Arial" w:eastAsia="Calibri" w:hAnsi="Arial" w:cs="Arial"/>
          <w:color w:val="000000" w:themeColor="text1"/>
          <w:sz w:val="22"/>
          <w:lang w:val="es-ES_tradnl"/>
        </w:rPr>
        <w:t>202</w:t>
      </w:r>
      <w:r w:rsidR="00FB0880" w:rsidRPr="00C440B6">
        <w:rPr>
          <w:rFonts w:ascii="Arial" w:eastAsia="Calibri" w:hAnsi="Arial" w:cs="Arial"/>
          <w:color w:val="000000" w:themeColor="text1"/>
          <w:sz w:val="22"/>
          <w:lang w:val="es-ES_tradnl"/>
        </w:rPr>
        <w:t>1</w:t>
      </w:r>
      <w:r w:rsidR="008C3C57" w:rsidRPr="00C440B6">
        <w:rPr>
          <w:rFonts w:ascii="Arial" w:eastAsia="Calibri" w:hAnsi="Arial" w:cs="Arial"/>
          <w:color w:val="000000" w:themeColor="text1"/>
          <w:sz w:val="22"/>
          <w:lang w:val="es-ES_tradnl"/>
        </w:rPr>
        <w:t>.</w:t>
      </w:r>
    </w:p>
    <w:p w14:paraId="0C1E0712" w14:textId="77777777" w:rsidR="00DD5B04" w:rsidRPr="00C440B6" w:rsidRDefault="00DD5B04" w:rsidP="00DF76A2">
      <w:pPr>
        <w:spacing w:line="276" w:lineRule="auto"/>
        <w:jc w:val="both"/>
        <w:rPr>
          <w:rFonts w:ascii="Arial" w:eastAsia="Calibri" w:hAnsi="Arial" w:cs="Arial"/>
          <w:b/>
          <w:color w:val="000000" w:themeColor="text1"/>
          <w:sz w:val="22"/>
          <w:lang w:val="es-ES_tradnl"/>
        </w:rPr>
      </w:pPr>
    </w:p>
    <w:p w14:paraId="7701FCC7" w14:textId="77777777" w:rsidR="00DD5B04" w:rsidRPr="00C440B6"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C440B6">
        <w:rPr>
          <w:rFonts w:ascii="Arial" w:eastAsia="Calibri" w:hAnsi="Arial" w:cs="Arial"/>
          <w:b/>
          <w:color w:val="000000" w:themeColor="text1"/>
          <w:sz w:val="22"/>
          <w:lang w:val="es-ES_tradnl"/>
        </w:rPr>
        <w:t xml:space="preserve">Problema planteado </w:t>
      </w:r>
    </w:p>
    <w:p w14:paraId="224B43D3" w14:textId="77777777" w:rsidR="00DD5B04" w:rsidRPr="00C440B6" w:rsidRDefault="00DD5B04" w:rsidP="00DF76A2">
      <w:pPr>
        <w:tabs>
          <w:tab w:val="left" w:pos="426"/>
        </w:tabs>
        <w:spacing w:line="276" w:lineRule="auto"/>
        <w:jc w:val="both"/>
        <w:rPr>
          <w:rFonts w:ascii="Arial" w:eastAsia="Calibri" w:hAnsi="Arial" w:cs="Arial"/>
          <w:b/>
          <w:color w:val="000000" w:themeColor="text1"/>
          <w:sz w:val="22"/>
          <w:lang w:val="es-ES_tradnl"/>
        </w:rPr>
      </w:pPr>
    </w:p>
    <w:p w14:paraId="3C575DE9" w14:textId="11618BB7" w:rsidR="00443B55" w:rsidRPr="00C440B6" w:rsidRDefault="00DD5B04" w:rsidP="0099583D">
      <w:pPr>
        <w:spacing w:line="276" w:lineRule="auto"/>
        <w:jc w:val="both"/>
        <w:rPr>
          <w:rFonts w:ascii="Arial" w:hAnsi="Arial" w:cs="Arial"/>
          <w:color w:val="000000" w:themeColor="text1"/>
          <w:sz w:val="22"/>
          <w:lang w:val="es-ES_tradnl"/>
        </w:rPr>
      </w:pPr>
      <w:r w:rsidRPr="00C440B6">
        <w:rPr>
          <w:rFonts w:ascii="Arial" w:hAnsi="Arial" w:cs="Arial"/>
          <w:color w:val="000000" w:themeColor="text1"/>
          <w:sz w:val="22"/>
          <w:lang w:val="es-ES_tradnl"/>
        </w:rPr>
        <w:t xml:space="preserve">Usted </w:t>
      </w:r>
      <w:r w:rsidR="00B422C0" w:rsidRPr="00C440B6">
        <w:rPr>
          <w:rFonts w:ascii="Arial" w:hAnsi="Arial" w:cs="Arial"/>
          <w:color w:val="000000" w:themeColor="text1"/>
          <w:sz w:val="22"/>
          <w:lang w:val="es-ES_tradnl"/>
        </w:rPr>
        <w:t>formula</w:t>
      </w:r>
      <w:r w:rsidR="006D46A3" w:rsidRPr="00C440B6">
        <w:rPr>
          <w:rFonts w:ascii="Arial" w:hAnsi="Arial" w:cs="Arial"/>
          <w:color w:val="000000" w:themeColor="text1"/>
          <w:sz w:val="22"/>
          <w:lang w:val="es-ES_tradnl"/>
        </w:rPr>
        <w:t xml:space="preserve"> la</w:t>
      </w:r>
      <w:r w:rsidR="00602931" w:rsidRPr="00C440B6">
        <w:rPr>
          <w:rFonts w:ascii="Arial" w:hAnsi="Arial" w:cs="Arial"/>
          <w:color w:val="000000" w:themeColor="text1"/>
          <w:sz w:val="22"/>
          <w:lang w:val="es-ES_tradnl"/>
        </w:rPr>
        <w:t>s</w:t>
      </w:r>
      <w:r w:rsidR="006D46A3" w:rsidRPr="00C440B6">
        <w:rPr>
          <w:rFonts w:ascii="Arial" w:hAnsi="Arial" w:cs="Arial"/>
          <w:color w:val="000000" w:themeColor="text1"/>
          <w:sz w:val="22"/>
          <w:lang w:val="es-ES_tradnl"/>
        </w:rPr>
        <w:t xml:space="preserve"> siguiente</w:t>
      </w:r>
      <w:r w:rsidR="00602931" w:rsidRPr="00C440B6">
        <w:rPr>
          <w:rFonts w:ascii="Arial" w:hAnsi="Arial" w:cs="Arial"/>
          <w:color w:val="000000" w:themeColor="text1"/>
          <w:sz w:val="22"/>
          <w:lang w:val="es-ES_tradnl"/>
        </w:rPr>
        <w:t>s</w:t>
      </w:r>
      <w:r w:rsidR="00C028F5" w:rsidRPr="00C440B6">
        <w:rPr>
          <w:rFonts w:ascii="Arial" w:hAnsi="Arial" w:cs="Arial"/>
          <w:color w:val="000000" w:themeColor="text1"/>
          <w:sz w:val="22"/>
          <w:lang w:val="es-ES_tradnl"/>
        </w:rPr>
        <w:t xml:space="preserve"> </w:t>
      </w:r>
      <w:r w:rsidR="00602931" w:rsidRPr="00C440B6">
        <w:rPr>
          <w:rFonts w:ascii="Arial" w:hAnsi="Arial" w:cs="Arial"/>
          <w:color w:val="000000" w:themeColor="text1"/>
          <w:sz w:val="22"/>
          <w:lang w:val="es-ES_tradnl"/>
        </w:rPr>
        <w:t>preguntas</w:t>
      </w:r>
      <w:r w:rsidR="00FB0880" w:rsidRPr="00C440B6">
        <w:rPr>
          <w:rFonts w:ascii="Arial" w:hAnsi="Arial" w:cs="Arial"/>
          <w:color w:val="000000" w:themeColor="text1"/>
          <w:sz w:val="22"/>
          <w:lang w:val="es-ES_tradnl"/>
        </w:rPr>
        <w:t>, relacionada</w:t>
      </w:r>
      <w:r w:rsidR="00602931" w:rsidRPr="00C440B6">
        <w:rPr>
          <w:rFonts w:ascii="Arial" w:hAnsi="Arial" w:cs="Arial"/>
          <w:color w:val="000000" w:themeColor="text1"/>
          <w:sz w:val="22"/>
          <w:lang w:val="es-ES_tradnl"/>
        </w:rPr>
        <w:t>s</w:t>
      </w:r>
      <w:r w:rsidR="00FB0880" w:rsidRPr="00C440B6">
        <w:rPr>
          <w:rFonts w:ascii="Arial" w:hAnsi="Arial" w:cs="Arial"/>
          <w:color w:val="000000" w:themeColor="text1"/>
          <w:sz w:val="22"/>
          <w:lang w:val="es-ES_tradnl"/>
        </w:rPr>
        <w:t xml:space="preserve"> con el contenido del artículo 35 de la Ley </w:t>
      </w:r>
      <w:r w:rsidR="006F0F34">
        <w:rPr>
          <w:rFonts w:ascii="Arial" w:hAnsi="Arial" w:cs="Arial"/>
          <w:color w:val="000000" w:themeColor="text1"/>
          <w:sz w:val="22"/>
          <w:lang w:val="es-ES_tradnl"/>
        </w:rPr>
        <w:t>2069</w:t>
      </w:r>
      <w:r w:rsidR="00FB0880" w:rsidRPr="00C440B6">
        <w:rPr>
          <w:rFonts w:ascii="Arial" w:hAnsi="Arial" w:cs="Arial"/>
          <w:color w:val="000000" w:themeColor="text1"/>
          <w:sz w:val="22"/>
          <w:lang w:val="es-ES_tradnl"/>
        </w:rPr>
        <w:t xml:space="preserve"> de 2020</w:t>
      </w:r>
      <w:r w:rsidR="00716630" w:rsidRPr="00C440B6">
        <w:rPr>
          <w:rFonts w:ascii="Arial" w:hAnsi="Arial" w:cs="Arial"/>
          <w:color w:val="000000" w:themeColor="text1"/>
          <w:sz w:val="22"/>
          <w:lang w:val="es-ES_tradnl"/>
        </w:rPr>
        <w:t>, «Por medio de la cual se impulsa el emprendimiento en Colombia»</w:t>
      </w:r>
      <w:r w:rsidR="00B422C0" w:rsidRPr="00C440B6">
        <w:rPr>
          <w:rFonts w:ascii="Arial" w:hAnsi="Arial" w:cs="Arial"/>
          <w:color w:val="000000" w:themeColor="text1"/>
          <w:sz w:val="22"/>
          <w:lang w:val="es-ES_tradnl"/>
        </w:rPr>
        <w:t>:</w:t>
      </w:r>
      <w:r w:rsidR="007E18DF" w:rsidRPr="00C440B6">
        <w:rPr>
          <w:rFonts w:ascii="Arial" w:hAnsi="Arial" w:cs="Arial"/>
          <w:color w:val="000000" w:themeColor="text1"/>
          <w:sz w:val="22"/>
          <w:lang w:val="es-ES_tradnl"/>
        </w:rPr>
        <w:t xml:space="preserve"> </w:t>
      </w:r>
    </w:p>
    <w:p w14:paraId="559EE20C" w14:textId="77777777" w:rsidR="00443B55" w:rsidRPr="00C440B6" w:rsidRDefault="00443B55" w:rsidP="0099583D">
      <w:pPr>
        <w:spacing w:line="276" w:lineRule="auto"/>
        <w:jc w:val="both"/>
        <w:rPr>
          <w:rFonts w:ascii="Arial" w:hAnsi="Arial" w:cs="Arial"/>
          <w:color w:val="000000" w:themeColor="text1"/>
          <w:sz w:val="22"/>
          <w:lang w:val="es-ES_tradnl"/>
        </w:rPr>
      </w:pPr>
    </w:p>
    <w:p w14:paraId="1D82E503" w14:textId="0E24CF70" w:rsidR="006A3E98" w:rsidRPr="00C440B6" w:rsidRDefault="00F31293" w:rsidP="006A3E98">
      <w:pPr>
        <w:ind w:left="709" w:right="709"/>
        <w:jc w:val="both"/>
        <w:rPr>
          <w:rFonts w:ascii="Arial" w:hAnsi="Arial" w:cs="Arial"/>
          <w:color w:val="000000" w:themeColor="text1"/>
          <w:sz w:val="21"/>
          <w:szCs w:val="21"/>
          <w:lang w:val="es-ES_tradnl"/>
        </w:rPr>
      </w:pPr>
      <w:r w:rsidRPr="00C440B6">
        <w:rPr>
          <w:rFonts w:ascii="Arial" w:hAnsi="Arial" w:cs="Arial"/>
          <w:color w:val="000000" w:themeColor="text1"/>
          <w:sz w:val="21"/>
          <w:szCs w:val="21"/>
          <w:lang w:val="es-ES_tradnl"/>
        </w:rPr>
        <w:t>«</w:t>
      </w:r>
      <w:r w:rsidR="006A3E98" w:rsidRPr="00C440B6">
        <w:rPr>
          <w:rFonts w:ascii="Arial" w:hAnsi="Arial" w:cs="Arial"/>
          <w:color w:val="000000" w:themeColor="text1"/>
          <w:sz w:val="21"/>
          <w:szCs w:val="21"/>
          <w:lang w:val="es-ES_tradnl"/>
        </w:rPr>
        <w:t>1.</w:t>
      </w:r>
      <w:r w:rsidRPr="00C440B6">
        <w:rPr>
          <w:rFonts w:ascii="Arial" w:hAnsi="Arial" w:cs="Arial"/>
          <w:color w:val="000000" w:themeColor="text1"/>
          <w:sz w:val="21"/>
          <w:szCs w:val="21"/>
          <w:lang w:val="es-ES_tradnl"/>
        </w:rPr>
        <w:t xml:space="preserve"> </w:t>
      </w:r>
      <w:r w:rsidR="006A3E98" w:rsidRPr="00C440B6">
        <w:rPr>
          <w:rFonts w:ascii="Arial" w:hAnsi="Arial" w:cs="Arial"/>
          <w:color w:val="000000" w:themeColor="text1"/>
          <w:sz w:val="21"/>
          <w:szCs w:val="21"/>
          <w:lang w:val="es-ES_tradnl"/>
        </w:rPr>
        <w:t>¿</w:t>
      </w:r>
      <w:r w:rsidRPr="00C440B6">
        <w:rPr>
          <w:rFonts w:ascii="Arial" w:hAnsi="Arial" w:cs="Arial"/>
          <w:color w:val="000000" w:themeColor="text1"/>
          <w:sz w:val="21"/>
          <w:szCs w:val="21"/>
          <w:lang w:val="es-ES_tradnl"/>
        </w:rPr>
        <w:t>Cuál</w:t>
      </w:r>
      <w:r w:rsidR="006A3E98" w:rsidRPr="00C440B6">
        <w:rPr>
          <w:rFonts w:ascii="Arial" w:hAnsi="Arial" w:cs="Arial"/>
          <w:color w:val="000000" w:themeColor="text1"/>
          <w:sz w:val="21"/>
          <w:szCs w:val="21"/>
          <w:lang w:val="es-ES_tradnl"/>
        </w:rPr>
        <w:t xml:space="preserve"> de los factores de desempate son aplicables a los contenidos en la Ley 2069 de 2020 o el Decreto 1082 de 2015?</w:t>
      </w:r>
      <w:r w:rsidR="00193AF8" w:rsidRPr="00C440B6">
        <w:rPr>
          <w:rFonts w:ascii="Arial" w:hAnsi="Arial" w:cs="Arial"/>
          <w:color w:val="000000" w:themeColor="text1"/>
          <w:sz w:val="21"/>
          <w:szCs w:val="21"/>
          <w:lang w:val="es-ES_tradnl"/>
        </w:rPr>
        <w:t xml:space="preserve"> (sic)</w:t>
      </w:r>
    </w:p>
    <w:p w14:paraId="3536AF77" w14:textId="77777777" w:rsidR="00193AF8" w:rsidRPr="00C440B6" w:rsidRDefault="00193AF8" w:rsidP="006A3E98">
      <w:pPr>
        <w:ind w:left="709" w:right="709"/>
        <w:jc w:val="both"/>
        <w:rPr>
          <w:rFonts w:ascii="Arial" w:hAnsi="Arial" w:cs="Arial"/>
          <w:color w:val="000000" w:themeColor="text1"/>
          <w:sz w:val="21"/>
          <w:szCs w:val="21"/>
          <w:lang w:val="es-ES_tradnl"/>
        </w:rPr>
      </w:pPr>
    </w:p>
    <w:p w14:paraId="4D47B314" w14:textId="5735B892" w:rsidR="006842AA" w:rsidRDefault="00193AF8" w:rsidP="006842AA">
      <w:pPr>
        <w:ind w:left="709" w:right="709"/>
        <w:jc w:val="both"/>
        <w:rPr>
          <w:rFonts w:ascii="Arial" w:hAnsi="Arial" w:cs="Arial"/>
          <w:color w:val="000000" w:themeColor="text1"/>
          <w:sz w:val="21"/>
          <w:szCs w:val="21"/>
          <w:lang w:val="es-ES_tradnl"/>
        </w:rPr>
      </w:pPr>
      <w:r w:rsidRPr="00C440B6">
        <w:rPr>
          <w:rFonts w:ascii="Arial" w:hAnsi="Arial" w:cs="Arial"/>
          <w:color w:val="000000" w:themeColor="text1"/>
          <w:sz w:val="21"/>
          <w:szCs w:val="21"/>
          <w:lang w:val="es-ES_tradnl"/>
        </w:rPr>
        <w:t>»</w:t>
      </w:r>
      <w:r w:rsidR="006A3E98" w:rsidRPr="00C440B6">
        <w:rPr>
          <w:rFonts w:ascii="Arial" w:hAnsi="Arial" w:cs="Arial"/>
          <w:color w:val="000000" w:themeColor="text1"/>
          <w:sz w:val="21"/>
          <w:szCs w:val="21"/>
          <w:lang w:val="es-ES_tradnl"/>
        </w:rPr>
        <w:t xml:space="preserve">2. ¿Los factores de desempate de la Ley 2069 de 2020 son aplicables a las entidades estatales sin considerar su </w:t>
      </w:r>
      <w:r w:rsidRPr="00C440B6">
        <w:rPr>
          <w:rFonts w:ascii="Arial" w:hAnsi="Arial" w:cs="Arial"/>
          <w:color w:val="000000" w:themeColor="text1"/>
          <w:sz w:val="21"/>
          <w:szCs w:val="21"/>
          <w:lang w:val="es-ES_tradnl"/>
        </w:rPr>
        <w:t>régimen</w:t>
      </w:r>
      <w:r w:rsidR="006A3E98" w:rsidRPr="00C440B6">
        <w:rPr>
          <w:rFonts w:ascii="Arial" w:hAnsi="Arial" w:cs="Arial"/>
          <w:color w:val="000000" w:themeColor="text1"/>
          <w:sz w:val="21"/>
          <w:szCs w:val="21"/>
          <w:lang w:val="es-ES_tradnl"/>
        </w:rPr>
        <w:t xml:space="preserve"> de </w:t>
      </w:r>
      <w:r w:rsidRPr="00C440B6">
        <w:rPr>
          <w:rFonts w:ascii="Arial" w:hAnsi="Arial" w:cs="Arial"/>
          <w:color w:val="000000" w:themeColor="text1"/>
          <w:sz w:val="21"/>
          <w:szCs w:val="21"/>
          <w:lang w:val="es-ES_tradnl"/>
        </w:rPr>
        <w:t>contratación</w:t>
      </w:r>
      <w:r w:rsidR="006A3E98" w:rsidRPr="00C440B6">
        <w:rPr>
          <w:rFonts w:ascii="Arial" w:hAnsi="Arial" w:cs="Arial"/>
          <w:color w:val="000000" w:themeColor="text1"/>
          <w:sz w:val="21"/>
          <w:szCs w:val="21"/>
          <w:lang w:val="es-ES_tradnl"/>
        </w:rPr>
        <w:t>?</w:t>
      </w:r>
      <w:r w:rsidRPr="00C440B6">
        <w:rPr>
          <w:rFonts w:ascii="Arial" w:hAnsi="Arial" w:cs="Arial"/>
          <w:color w:val="000000" w:themeColor="text1"/>
          <w:sz w:val="21"/>
          <w:szCs w:val="21"/>
          <w:lang w:val="es-ES_tradnl"/>
        </w:rPr>
        <w:t>»</w:t>
      </w:r>
    </w:p>
    <w:p w14:paraId="5E7EF83A" w14:textId="77777777" w:rsidR="00F80411" w:rsidRPr="005419DA" w:rsidRDefault="00F80411" w:rsidP="00F80411">
      <w:pPr>
        <w:ind w:left="709" w:right="709"/>
        <w:jc w:val="both"/>
        <w:rPr>
          <w:rFonts w:ascii="Arial" w:hAnsi="Arial" w:cs="Arial"/>
          <w:color w:val="000000" w:themeColor="text1"/>
          <w:sz w:val="21"/>
          <w:szCs w:val="21"/>
          <w:lang w:val="es-ES_tradnl"/>
        </w:rPr>
      </w:pPr>
    </w:p>
    <w:p w14:paraId="4805B484" w14:textId="77777777" w:rsidR="00F80411" w:rsidRPr="005419DA" w:rsidRDefault="00F80411" w:rsidP="00F80411">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5419DA">
        <w:rPr>
          <w:rFonts w:ascii="Arial" w:eastAsia="Calibri" w:hAnsi="Arial" w:cs="Arial"/>
          <w:b/>
          <w:color w:val="000000" w:themeColor="text1"/>
          <w:sz w:val="22"/>
          <w:lang w:val="es-ES_tradnl"/>
        </w:rPr>
        <w:t>Consideraciones</w:t>
      </w:r>
    </w:p>
    <w:p w14:paraId="1DEB17ED" w14:textId="77777777" w:rsidR="00F80411" w:rsidRPr="005419DA" w:rsidRDefault="00F80411" w:rsidP="00F80411">
      <w:pPr>
        <w:spacing w:line="276" w:lineRule="auto"/>
        <w:jc w:val="both"/>
        <w:rPr>
          <w:rFonts w:ascii="Arial" w:eastAsia="Calibri" w:hAnsi="Arial" w:cs="Arial"/>
          <w:color w:val="000000" w:themeColor="text1"/>
          <w:sz w:val="22"/>
          <w:szCs w:val="22"/>
          <w:lang w:val="es-ES_tradnl"/>
        </w:rPr>
      </w:pPr>
    </w:p>
    <w:p w14:paraId="5F01AF1F" w14:textId="77777777" w:rsidR="00F80411" w:rsidRPr="005419DA" w:rsidRDefault="00F80411" w:rsidP="00F80411">
      <w:pPr>
        <w:spacing w:line="276" w:lineRule="auto"/>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lastRenderedPageBreak/>
        <w:t xml:space="preserve">La Subdirección de Gestión Contractual responderá la consulta, luego de analizar los siguientes temas: i) definición de los criterios de desempate en la contratación estatal, ii) vigencia y ámbito de aplicación de la Ley </w:t>
      </w:r>
      <w:r>
        <w:rPr>
          <w:rFonts w:ascii="Arial" w:eastAsia="Calibri" w:hAnsi="Arial" w:cs="Arial"/>
          <w:color w:val="000000" w:themeColor="text1"/>
          <w:sz w:val="22"/>
          <w:szCs w:val="22"/>
          <w:lang w:val="es-ES_tradnl"/>
        </w:rPr>
        <w:t>2069</w:t>
      </w:r>
      <w:r w:rsidRPr="005419DA">
        <w:rPr>
          <w:rFonts w:ascii="Arial" w:eastAsia="Calibri" w:hAnsi="Arial" w:cs="Arial"/>
          <w:color w:val="000000" w:themeColor="text1"/>
          <w:sz w:val="22"/>
          <w:szCs w:val="22"/>
          <w:lang w:val="es-ES_tradnl"/>
        </w:rPr>
        <w:t xml:space="preserve"> de 2020 y iii) forma de acreditación de los factores de desempate consagrados en el artículo 35 de la mencionada Ley.</w:t>
      </w:r>
    </w:p>
    <w:p w14:paraId="5EA811CD" w14:textId="77777777" w:rsidR="00F80411" w:rsidRPr="005419DA" w:rsidRDefault="00F80411" w:rsidP="00F80411">
      <w:pPr>
        <w:spacing w:before="120" w:line="276" w:lineRule="auto"/>
        <w:ind w:firstLine="709"/>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Es importante destacar que la Agencia Nacional de Contratación Pública – Colombia Compra Eficiente se pronunció, en términos generales, sobre los factores de desempate en los procedimientos de contratación estatal, en los conceptos C-285 del 4 de mayo de 2020, C-481 del 27 de julio de 2020, C-514 y C-535 del 26 de agosto de 2020 y C-556 del 31 de agosto de 2020. Algunas de las consideraciones de estos conceptos se reiteran a continuación.</w:t>
      </w:r>
    </w:p>
    <w:p w14:paraId="70BFC1A2" w14:textId="77777777" w:rsidR="00F80411" w:rsidRPr="005419DA" w:rsidRDefault="00F80411" w:rsidP="00F80411">
      <w:pPr>
        <w:spacing w:line="276" w:lineRule="auto"/>
        <w:jc w:val="both"/>
        <w:rPr>
          <w:rFonts w:ascii="Arial" w:eastAsia="Calibri" w:hAnsi="Arial" w:cs="Arial"/>
          <w:color w:val="000000" w:themeColor="text1"/>
          <w:sz w:val="22"/>
          <w:szCs w:val="22"/>
          <w:lang w:val="es-ES_tradnl"/>
        </w:rPr>
      </w:pPr>
    </w:p>
    <w:p w14:paraId="07744DBB" w14:textId="77777777" w:rsidR="00F80411" w:rsidRPr="005419DA" w:rsidRDefault="00F80411" w:rsidP="00F80411">
      <w:pPr>
        <w:spacing w:line="276" w:lineRule="auto"/>
        <w:jc w:val="both"/>
        <w:rPr>
          <w:rFonts w:ascii="Arial" w:eastAsia="Calibri" w:hAnsi="Arial" w:cs="Arial"/>
          <w:b/>
          <w:bCs/>
          <w:color w:val="000000" w:themeColor="text1"/>
          <w:sz w:val="22"/>
          <w:szCs w:val="22"/>
          <w:lang w:val="es-ES_tradnl"/>
        </w:rPr>
      </w:pPr>
      <w:r w:rsidRPr="005419DA">
        <w:rPr>
          <w:rFonts w:ascii="Arial" w:eastAsia="Calibri" w:hAnsi="Arial" w:cs="Arial"/>
          <w:b/>
          <w:bCs/>
          <w:color w:val="000000" w:themeColor="text1"/>
          <w:sz w:val="22"/>
          <w:szCs w:val="22"/>
          <w:lang w:val="es-ES_tradnl"/>
        </w:rPr>
        <w:t>2.1. Factores de desempate en la contratación estatal: concepto y características</w:t>
      </w:r>
    </w:p>
    <w:p w14:paraId="13D6A560" w14:textId="77777777" w:rsidR="00F80411" w:rsidRPr="005419DA" w:rsidRDefault="00F80411" w:rsidP="00F80411">
      <w:pPr>
        <w:spacing w:line="276" w:lineRule="auto"/>
        <w:jc w:val="both"/>
        <w:rPr>
          <w:rFonts w:ascii="Arial" w:eastAsia="Calibri" w:hAnsi="Arial" w:cs="Arial"/>
          <w:color w:val="000000" w:themeColor="text1"/>
          <w:sz w:val="22"/>
          <w:szCs w:val="22"/>
          <w:lang w:val="es-ES_tradnl"/>
        </w:rPr>
      </w:pPr>
    </w:p>
    <w:p w14:paraId="2C930E52" w14:textId="77777777" w:rsidR="00F80411" w:rsidRPr="005419DA" w:rsidRDefault="00F80411" w:rsidP="00F80411">
      <w:pPr>
        <w:spacing w:line="276" w:lineRule="auto"/>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Dado que la selección objetiva es uno de los principios medulares de la contratación estatal, la selección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Además, la norma citada agrega que los factores de escogencia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p>
    <w:p w14:paraId="20992D58" w14:textId="77777777" w:rsidR="00F80411" w:rsidRPr="005419DA" w:rsidRDefault="00F80411" w:rsidP="00F80411">
      <w:pPr>
        <w:spacing w:before="120" w:line="276" w:lineRule="auto"/>
        <w:ind w:firstLine="709"/>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 xml:space="preserve">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estos criterios.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de selección. </w:t>
      </w:r>
    </w:p>
    <w:p w14:paraId="2F6D3C5F" w14:textId="77777777" w:rsidR="00F80411" w:rsidRPr="005419DA" w:rsidRDefault="00F80411" w:rsidP="00F80411">
      <w:pPr>
        <w:spacing w:before="120" w:line="276" w:lineRule="auto"/>
        <w:ind w:firstLine="709"/>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 xml:space="preserve">Pero, ni siquiera los casos de empate limitan el alcance de la selección objetiva en la contratación estatal. Por el contrario, en estos supuestos también debe mantenerse indemne tal postulado. En consecuencia, el desempate no puede propiciarse acudiendo </w:t>
      </w:r>
      <w:r w:rsidRPr="005419DA">
        <w:rPr>
          <w:rFonts w:ascii="Arial" w:eastAsia="Calibri" w:hAnsi="Arial" w:cs="Arial"/>
          <w:color w:val="000000" w:themeColor="text1"/>
          <w:sz w:val="22"/>
          <w:szCs w:val="22"/>
          <w:lang w:val="es-ES_tradnl"/>
        </w:rPr>
        <w:lastRenderedPageBreak/>
        <w:t xml:space="preserve">arbitrariamente a consideraciones subjetivas que no estén amparadas en el ordenamiento jurídico, sino que deben aplicarse los factores permitidos por las disposiciones normativas que regulan esta materia. Precisamente, dentro de dichas disposiciones se encuentra el artículo 35 de la Ley </w:t>
      </w:r>
      <w:r>
        <w:rPr>
          <w:rFonts w:ascii="Arial" w:eastAsia="Calibri" w:hAnsi="Arial" w:cs="Arial"/>
          <w:color w:val="000000" w:themeColor="text1"/>
          <w:sz w:val="22"/>
          <w:szCs w:val="22"/>
          <w:lang w:val="es-ES_tradnl"/>
        </w:rPr>
        <w:t>2069</w:t>
      </w:r>
      <w:r w:rsidRPr="005419DA">
        <w:rPr>
          <w:rFonts w:ascii="Arial" w:eastAsia="Calibri" w:hAnsi="Arial" w:cs="Arial"/>
          <w:color w:val="000000" w:themeColor="text1"/>
          <w:sz w:val="22"/>
          <w:szCs w:val="22"/>
          <w:lang w:val="es-ES_tradnl"/>
        </w:rPr>
        <w:t xml:space="preserve"> de 2020. La </w:t>
      </w:r>
      <w:r>
        <w:rPr>
          <w:rFonts w:ascii="Arial" w:eastAsia="Calibri" w:hAnsi="Arial" w:cs="Arial"/>
          <w:color w:val="000000" w:themeColor="text1"/>
          <w:sz w:val="22"/>
          <w:szCs w:val="22"/>
          <w:lang w:val="es-ES_tradnl"/>
        </w:rPr>
        <w:t>jurisprudencia</w:t>
      </w:r>
      <w:r w:rsidRPr="005419DA">
        <w:rPr>
          <w:rFonts w:ascii="Arial" w:eastAsia="Calibri" w:hAnsi="Arial" w:cs="Arial"/>
          <w:color w:val="000000" w:themeColor="text1"/>
          <w:sz w:val="22"/>
          <w:szCs w:val="22"/>
          <w:lang w:val="es-ES_tradnl"/>
        </w:rPr>
        <w:t xml:space="preserve"> comparte la idea de que los criterios de desempate deben estar establecidos de antemano y constituyen un límite a la discrecionalidad administrativa en los procedimientos de selección</w:t>
      </w:r>
      <w:r w:rsidRPr="005419DA">
        <w:rPr>
          <w:rStyle w:val="Refdenotaalpie"/>
          <w:rFonts w:ascii="Arial" w:hAnsi="Arial" w:cs="Arial"/>
          <w:sz w:val="21"/>
          <w:szCs w:val="21"/>
          <w:lang w:val="es-ES_tradnl"/>
        </w:rPr>
        <w:footnoteReference w:id="2"/>
      </w:r>
      <w:r w:rsidRPr="005419DA">
        <w:rPr>
          <w:rFonts w:ascii="Arial" w:eastAsia="Calibri" w:hAnsi="Arial" w:cs="Arial"/>
          <w:color w:val="000000" w:themeColor="text1"/>
          <w:sz w:val="22"/>
          <w:szCs w:val="22"/>
          <w:lang w:val="es-ES_tradnl"/>
        </w:rPr>
        <w:t xml:space="preserve">. </w:t>
      </w:r>
    </w:p>
    <w:p w14:paraId="0CB1D338" w14:textId="77777777" w:rsidR="00F80411" w:rsidRPr="005419DA" w:rsidRDefault="00F80411" w:rsidP="00F80411">
      <w:pPr>
        <w:spacing w:before="120" w:line="276" w:lineRule="auto"/>
        <w:ind w:firstLine="709"/>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En tal sentido, la Corte Constitucional explica que cuando la ley establece factores de desempate obligatorios, las entidades estatales no pueden inaplicarlos, porque ello podría vulnerar el principio de igualdad, especialmente, cuando algunos de estos criterios surgen como acciones afirmativas para ciertos sectores de la población</w:t>
      </w:r>
      <w:r w:rsidRPr="005419DA">
        <w:rPr>
          <w:rStyle w:val="Refdenotaalpie"/>
          <w:rFonts w:ascii="Arial" w:eastAsia="Calibri" w:hAnsi="Arial" w:cs="Arial"/>
          <w:color w:val="000000" w:themeColor="text1"/>
          <w:sz w:val="22"/>
          <w:szCs w:val="22"/>
          <w:lang w:val="es-ES_tradnl"/>
        </w:rPr>
        <w:footnoteReference w:id="3"/>
      </w:r>
      <w:r w:rsidRPr="005419DA">
        <w:rPr>
          <w:rFonts w:ascii="Arial" w:eastAsia="Calibri" w:hAnsi="Arial" w:cs="Arial"/>
          <w:color w:val="000000" w:themeColor="text1"/>
          <w:sz w:val="22"/>
          <w:szCs w:val="22"/>
          <w:lang w:val="es-ES_tradnl"/>
        </w:rPr>
        <w:t>. Es más, según el Consejo de Estado, ir en contra de los factores de desempate establecidos expresamente genera la nulidad del contrato, conforme al artículo 44, inciso 1º de la Ley 80 de 1993</w:t>
      </w:r>
      <w:r w:rsidRPr="005419DA">
        <w:rPr>
          <w:rStyle w:val="Refdenotaalpie"/>
          <w:rFonts w:ascii="Arial" w:eastAsia="Calibri" w:hAnsi="Arial" w:cs="Arial"/>
          <w:color w:val="000000" w:themeColor="text1"/>
          <w:sz w:val="22"/>
          <w:szCs w:val="22"/>
          <w:lang w:val="es-ES_tradnl"/>
        </w:rPr>
        <w:footnoteReference w:id="4"/>
      </w:r>
      <w:r w:rsidRPr="005419DA">
        <w:rPr>
          <w:rFonts w:ascii="Arial" w:eastAsia="Calibri" w:hAnsi="Arial" w:cs="Arial"/>
          <w:color w:val="000000" w:themeColor="text1"/>
          <w:sz w:val="22"/>
          <w:szCs w:val="22"/>
          <w:lang w:val="es-ES_tradnl"/>
        </w:rPr>
        <w:t>.</w:t>
      </w:r>
    </w:p>
    <w:p w14:paraId="1D00C27E" w14:textId="77777777" w:rsidR="00F80411" w:rsidRPr="005419DA" w:rsidRDefault="00F80411" w:rsidP="00F80411">
      <w:pPr>
        <w:spacing w:before="120" w:line="276" w:lineRule="auto"/>
        <w:ind w:firstLine="709"/>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 xml:space="preserve">Ahora bien, en cumplimiento de los principios de reciprocidad y de </w:t>
      </w:r>
      <w:r w:rsidRPr="005419DA">
        <w:rPr>
          <w:rFonts w:ascii="Arial" w:eastAsia="Calibri" w:hAnsi="Arial" w:cs="Arial"/>
          <w:i/>
          <w:iCs/>
          <w:color w:val="000000" w:themeColor="text1"/>
          <w:sz w:val="22"/>
          <w:szCs w:val="22"/>
          <w:lang w:val="es-ES_tradnl"/>
        </w:rPr>
        <w:t xml:space="preserve">pacta </w:t>
      </w:r>
      <w:proofErr w:type="spellStart"/>
      <w:r w:rsidRPr="005419DA">
        <w:rPr>
          <w:rFonts w:ascii="Arial" w:eastAsia="Calibri" w:hAnsi="Arial" w:cs="Arial"/>
          <w:i/>
          <w:iCs/>
          <w:color w:val="000000" w:themeColor="text1"/>
          <w:sz w:val="22"/>
          <w:szCs w:val="22"/>
          <w:lang w:val="es-ES_tradnl"/>
        </w:rPr>
        <w:t>sunt</w:t>
      </w:r>
      <w:proofErr w:type="spellEnd"/>
      <w:r w:rsidRPr="005419DA">
        <w:rPr>
          <w:rFonts w:ascii="Arial" w:eastAsia="Calibri" w:hAnsi="Arial" w:cs="Arial"/>
          <w:i/>
          <w:iCs/>
          <w:color w:val="000000" w:themeColor="text1"/>
          <w:sz w:val="22"/>
          <w:szCs w:val="22"/>
          <w:lang w:val="es-ES_tradnl"/>
        </w:rPr>
        <w:t xml:space="preserve"> </w:t>
      </w:r>
      <w:proofErr w:type="spellStart"/>
      <w:r w:rsidRPr="005419DA">
        <w:rPr>
          <w:rFonts w:ascii="Arial" w:eastAsia="Calibri" w:hAnsi="Arial" w:cs="Arial"/>
          <w:i/>
          <w:iCs/>
          <w:color w:val="000000" w:themeColor="text1"/>
          <w:sz w:val="22"/>
          <w:szCs w:val="22"/>
          <w:lang w:val="es-ES_tradnl"/>
        </w:rPr>
        <w:t>servanda</w:t>
      </w:r>
      <w:proofErr w:type="spellEnd"/>
      <w:r w:rsidRPr="005419DA">
        <w:rPr>
          <w:rFonts w:ascii="Arial" w:eastAsia="Calibri" w:hAnsi="Arial" w:cs="Arial"/>
          <w:color w:val="000000" w:themeColor="text1"/>
          <w:sz w:val="22"/>
          <w:szCs w:val="22"/>
          <w:lang w:val="es-ES_tradnl"/>
        </w:rPr>
        <w:t xml:space="preserve">, los factores de desempate que rigen la contratación estatal deben guardar armonía con los tratados comerciales internacionales suscritos por el Estado colombiano. Por tanto, las normas internas deben acoplarse a lo establecido en los acuerdos, pues estos prevalecen. Así lo precisó la Agencia Nacional de Contratación Pública – Colombia Compra Eficiente en el numeral IV, literal C, del «Manual para el manejo de los incentivos en los procesos de contratación». </w:t>
      </w:r>
    </w:p>
    <w:p w14:paraId="413229A0" w14:textId="77777777" w:rsidR="00F80411" w:rsidRPr="005419DA" w:rsidRDefault="00F80411" w:rsidP="00F80411">
      <w:pPr>
        <w:spacing w:line="276" w:lineRule="auto"/>
        <w:rPr>
          <w:rFonts w:ascii="Arial" w:eastAsia="Calibri" w:hAnsi="Arial" w:cs="Arial"/>
          <w:color w:val="000000" w:themeColor="text1"/>
          <w:sz w:val="22"/>
          <w:szCs w:val="22"/>
          <w:lang w:val="es-ES_tradnl"/>
        </w:rPr>
      </w:pPr>
    </w:p>
    <w:p w14:paraId="3C73AE66" w14:textId="77777777" w:rsidR="00F80411" w:rsidRPr="005419DA" w:rsidRDefault="00F80411" w:rsidP="00F80411">
      <w:pPr>
        <w:spacing w:line="276" w:lineRule="auto"/>
        <w:jc w:val="both"/>
        <w:rPr>
          <w:rFonts w:ascii="Arial" w:eastAsia="Calibri" w:hAnsi="Arial" w:cs="Arial"/>
          <w:b/>
          <w:bCs/>
          <w:color w:val="000000" w:themeColor="text1"/>
          <w:sz w:val="22"/>
          <w:szCs w:val="22"/>
          <w:lang w:val="es-ES_tradnl"/>
        </w:rPr>
      </w:pPr>
      <w:r w:rsidRPr="005419DA">
        <w:rPr>
          <w:rFonts w:ascii="Arial" w:eastAsia="Calibri" w:hAnsi="Arial" w:cs="Arial"/>
          <w:b/>
          <w:bCs/>
          <w:color w:val="000000" w:themeColor="text1"/>
          <w:sz w:val="22"/>
          <w:szCs w:val="22"/>
          <w:lang w:val="es-ES_tradnl"/>
        </w:rPr>
        <w:t xml:space="preserve">2.2. Vigencia y ámbito de aplicación de la Ley </w:t>
      </w:r>
      <w:r>
        <w:rPr>
          <w:rFonts w:ascii="Arial" w:eastAsia="Calibri" w:hAnsi="Arial" w:cs="Arial"/>
          <w:b/>
          <w:bCs/>
          <w:color w:val="000000" w:themeColor="text1"/>
          <w:sz w:val="22"/>
          <w:szCs w:val="22"/>
          <w:lang w:val="es-ES_tradnl"/>
        </w:rPr>
        <w:t>2069</w:t>
      </w:r>
      <w:r w:rsidRPr="005419DA">
        <w:rPr>
          <w:rFonts w:ascii="Arial" w:eastAsia="Calibri" w:hAnsi="Arial" w:cs="Arial"/>
          <w:b/>
          <w:bCs/>
          <w:color w:val="000000" w:themeColor="text1"/>
          <w:sz w:val="22"/>
          <w:szCs w:val="22"/>
          <w:lang w:val="es-ES_tradnl"/>
        </w:rPr>
        <w:t xml:space="preserve"> de 2020</w:t>
      </w:r>
    </w:p>
    <w:p w14:paraId="3CF65FA3" w14:textId="77777777" w:rsidR="00F80411" w:rsidRPr="005419DA" w:rsidRDefault="00F80411" w:rsidP="00F80411">
      <w:pPr>
        <w:spacing w:line="276" w:lineRule="auto"/>
        <w:jc w:val="both"/>
        <w:rPr>
          <w:rFonts w:ascii="Arial" w:eastAsia="Calibri" w:hAnsi="Arial" w:cs="Arial"/>
          <w:color w:val="000000" w:themeColor="text1"/>
          <w:sz w:val="22"/>
          <w:szCs w:val="22"/>
          <w:lang w:val="es-ES_tradnl"/>
        </w:rPr>
      </w:pPr>
    </w:p>
    <w:p w14:paraId="52BFCF39" w14:textId="77777777" w:rsidR="00F80411" w:rsidRPr="005419DA" w:rsidRDefault="00F80411" w:rsidP="00F80411">
      <w:pPr>
        <w:spacing w:line="276" w:lineRule="auto"/>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 xml:space="preserve">El 31 de diciembre de 2020 se promulgó la Ley </w:t>
      </w:r>
      <w:r>
        <w:rPr>
          <w:rFonts w:ascii="Arial" w:eastAsia="Calibri" w:hAnsi="Arial" w:cs="Arial"/>
          <w:color w:val="000000" w:themeColor="text1"/>
          <w:sz w:val="22"/>
          <w:szCs w:val="22"/>
          <w:lang w:val="es-ES_tradnl"/>
        </w:rPr>
        <w:t>2069</w:t>
      </w:r>
      <w:r w:rsidRPr="005419DA">
        <w:rPr>
          <w:rFonts w:ascii="Arial" w:eastAsia="Calibri" w:hAnsi="Arial" w:cs="Arial"/>
          <w:color w:val="000000" w:themeColor="text1"/>
          <w:sz w:val="22"/>
          <w:szCs w:val="22"/>
          <w:lang w:val="es-ES_tradnl"/>
        </w:rPr>
        <w:t xml:space="preserve">,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w:t>
      </w:r>
      <w:r w:rsidRPr="005419DA">
        <w:rPr>
          <w:rFonts w:ascii="Arial" w:eastAsia="Calibri" w:hAnsi="Arial" w:cs="Arial"/>
          <w:color w:val="000000" w:themeColor="text1"/>
          <w:sz w:val="22"/>
          <w:szCs w:val="22"/>
          <w:lang w:val="es-ES_tradnl"/>
        </w:rPr>
        <w:lastRenderedPageBreak/>
        <w:t>confiere el artículo 189, numeral 11, de la Constitución Política, expida el decreto correspondiente que permita la cumplida ejecución de esta Ley.</w:t>
      </w:r>
    </w:p>
    <w:p w14:paraId="237DA3D6" w14:textId="77777777" w:rsidR="00F80411" w:rsidRPr="005419DA" w:rsidRDefault="00F80411" w:rsidP="00F80411">
      <w:pPr>
        <w:spacing w:before="120" w:line="276" w:lineRule="auto"/>
        <w:ind w:firstLine="709"/>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w:t>
      </w:r>
      <w:proofErr w:type="spellStart"/>
      <w:r w:rsidRPr="005419DA">
        <w:rPr>
          <w:rFonts w:ascii="Arial" w:eastAsia="Calibri" w:hAnsi="Arial" w:cs="Arial"/>
          <w:color w:val="000000" w:themeColor="text1"/>
          <w:sz w:val="22"/>
          <w:szCs w:val="22"/>
          <w:lang w:val="es-ES_tradnl"/>
        </w:rPr>
        <w:t>mipymes</w:t>
      </w:r>
      <w:proofErr w:type="spellEnd"/>
      <w:r w:rsidRPr="005419DA">
        <w:rPr>
          <w:rFonts w:ascii="Arial" w:eastAsia="Calibri" w:hAnsi="Arial" w:cs="Arial"/>
          <w:color w:val="000000" w:themeColor="text1"/>
          <w:sz w:val="22"/>
          <w:szCs w:val="22"/>
          <w:lang w:val="es-ES_tradnl"/>
        </w:rPr>
        <w:t>–, mediante la racionalización y simplificación de los trámites y tarifas</w:t>
      </w:r>
      <w:r w:rsidRPr="005419DA">
        <w:rPr>
          <w:rStyle w:val="Refdenotaalpie"/>
          <w:rFonts w:ascii="Arial" w:eastAsia="Calibri" w:hAnsi="Arial" w:cs="Arial"/>
          <w:color w:val="000000" w:themeColor="text1"/>
          <w:sz w:val="22"/>
          <w:szCs w:val="22"/>
          <w:lang w:val="es-ES_tradnl"/>
        </w:rPr>
        <w:footnoteReference w:id="5"/>
      </w:r>
      <w:r w:rsidRPr="005419DA">
        <w:rPr>
          <w:rFonts w:ascii="Arial" w:eastAsia="Calibri" w:hAnsi="Arial" w:cs="Arial"/>
          <w:color w:val="000000" w:themeColor="text1"/>
          <w:sz w:val="22"/>
          <w:szCs w:val="22"/>
          <w:lang w:val="es-ES_tradnl"/>
        </w:rPr>
        <w:t>, así como incentivos a favor de aquellas dentro del sistema de compras y contratación pública</w:t>
      </w:r>
      <w:r w:rsidRPr="005419DA">
        <w:rPr>
          <w:rStyle w:val="Refdenotaalpie"/>
          <w:rFonts w:ascii="Arial" w:eastAsia="Calibri" w:hAnsi="Arial" w:cs="Arial"/>
          <w:color w:val="000000" w:themeColor="text1"/>
          <w:sz w:val="22"/>
          <w:szCs w:val="22"/>
          <w:lang w:val="es-ES_tradnl"/>
        </w:rPr>
        <w:footnoteReference w:id="6"/>
      </w:r>
      <w:r w:rsidRPr="005419DA">
        <w:rPr>
          <w:rFonts w:ascii="Arial" w:eastAsia="Calibri" w:hAnsi="Arial" w:cs="Arial"/>
          <w:color w:val="000000" w:themeColor="text1"/>
          <w:sz w:val="22"/>
          <w:szCs w:val="22"/>
          <w:lang w:val="es-ES_tradnl"/>
        </w:rPr>
        <w:t>. También se consagran mecanismos de acceso al financiamiento</w:t>
      </w:r>
      <w:r w:rsidRPr="005419DA">
        <w:rPr>
          <w:rStyle w:val="Refdenotaalpie"/>
          <w:rFonts w:ascii="Arial" w:eastAsia="Calibri" w:hAnsi="Arial" w:cs="Arial"/>
          <w:color w:val="000000" w:themeColor="text1"/>
          <w:sz w:val="22"/>
          <w:szCs w:val="22"/>
          <w:lang w:val="es-ES_tradnl"/>
        </w:rPr>
        <w:footnoteReference w:id="7"/>
      </w:r>
      <w:r w:rsidRPr="005419DA">
        <w:rPr>
          <w:rFonts w:ascii="Arial" w:eastAsia="Calibri" w:hAnsi="Arial" w:cs="Arial"/>
          <w:color w:val="000000" w:themeColor="text1"/>
          <w:sz w:val="22"/>
          <w:szCs w:val="22"/>
          <w:lang w:val="es-ES_tradnl"/>
        </w:rPr>
        <w:t>, se unifican las fuentes de emprendimiento y de desarrollo empresarial, para fortalecer y promover los distintos sectores de la economía</w:t>
      </w:r>
      <w:r w:rsidRPr="005419DA">
        <w:rPr>
          <w:rStyle w:val="Refdenotaalpie"/>
          <w:rFonts w:ascii="Arial" w:eastAsia="Calibri" w:hAnsi="Arial" w:cs="Arial"/>
          <w:color w:val="000000" w:themeColor="text1"/>
          <w:sz w:val="22"/>
          <w:szCs w:val="22"/>
          <w:lang w:val="es-ES_tradnl"/>
        </w:rPr>
        <w:footnoteReference w:id="8"/>
      </w:r>
      <w:r w:rsidRPr="005419DA">
        <w:rPr>
          <w:rFonts w:ascii="Arial" w:eastAsia="Calibri" w:hAnsi="Arial" w:cs="Arial"/>
          <w:color w:val="000000" w:themeColor="text1"/>
          <w:sz w:val="22"/>
          <w:szCs w:val="22"/>
          <w:lang w:val="es-ES_tradnl"/>
        </w:rPr>
        <w:t xml:space="preserve"> y se prevén medidas de educación para el emprendimiento y la innovación</w:t>
      </w:r>
      <w:r w:rsidRPr="005419DA">
        <w:rPr>
          <w:rStyle w:val="Refdenotaalpie"/>
          <w:rFonts w:ascii="Arial" w:eastAsia="Calibri" w:hAnsi="Arial" w:cs="Arial"/>
          <w:color w:val="000000" w:themeColor="text1"/>
          <w:sz w:val="22"/>
          <w:szCs w:val="22"/>
          <w:lang w:val="es-ES_tradnl"/>
        </w:rPr>
        <w:footnoteReference w:id="9"/>
      </w:r>
      <w:r w:rsidRPr="005419DA">
        <w:rPr>
          <w:rFonts w:ascii="Arial" w:eastAsia="Calibri" w:hAnsi="Arial" w:cs="Arial"/>
          <w:color w:val="000000" w:themeColor="text1"/>
          <w:sz w:val="22"/>
          <w:szCs w:val="22"/>
          <w:lang w:val="es-ES_tradnl"/>
        </w:rPr>
        <w:t>.</w:t>
      </w:r>
    </w:p>
    <w:p w14:paraId="3F42E22F" w14:textId="3B893FF7" w:rsidR="001B0F40" w:rsidRPr="009B0101" w:rsidRDefault="00F80411" w:rsidP="009B0101">
      <w:pPr>
        <w:spacing w:before="120" w:line="276" w:lineRule="auto"/>
        <w:ind w:firstLine="709"/>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 xml:space="preserve">Como se indicó, parte de la Ley </w:t>
      </w:r>
      <w:r>
        <w:rPr>
          <w:rFonts w:ascii="Arial" w:eastAsia="Calibri" w:hAnsi="Arial" w:cs="Arial"/>
          <w:color w:val="000000" w:themeColor="text1"/>
          <w:sz w:val="22"/>
          <w:szCs w:val="22"/>
          <w:lang w:val="es-ES_tradnl"/>
        </w:rPr>
        <w:t>2069</w:t>
      </w:r>
      <w:r w:rsidRPr="005419DA">
        <w:rPr>
          <w:rFonts w:ascii="Arial" w:eastAsia="Calibri" w:hAnsi="Arial" w:cs="Arial"/>
          <w:color w:val="000000" w:themeColor="text1"/>
          <w:sz w:val="22"/>
          <w:szCs w:val="22"/>
          <w:lang w:val="es-ES_tradnl"/>
        </w:rPr>
        <w:t xml:space="preserve"> contiene normas que modifican algunos aspectos de la contratación estatal para promover el emprendimiento. Concretamente, aquellas se encuentran en el Capítulo III –artículos 30 al 36–. En su orden, tales artículos consagran: i) reglas sobre la participación de las </w:t>
      </w:r>
      <w:proofErr w:type="spellStart"/>
      <w:r w:rsidRPr="005419DA">
        <w:rPr>
          <w:rFonts w:ascii="Arial" w:eastAsia="Calibri" w:hAnsi="Arial" w:cs="Arial"/>
          <w:color w:val="000000" w:themeColor="text1"/>
          <w:sz w:val="22"/>
          <w:szCs w:val="22"/>
          <w:lang w:val="es-ES_tradnl"/>
        </w:rPr>
        <w:t>mipymes</w:t>
      </w:r>
      <w:proofErr w:type="spellEnd"/>
      <w:r w:rsidRPr="005419DA">
        <w:rPr>
          <w:rFonts w:ascii="Arial" w:eastAsia="Calibri" w:hAnsi="Arial" w:cs="Arial"/>
          <w:color w:val="000000" w:themeColor="text1"/>
          <w:sz w:val="22"/>
          <w:szCs w:val="22"/>
          <w:lang w:val="es-ES_tradnl"/>
        </w:rPr>
        <w:t xml:space="preserve"> en el procedimiento de mínima cuantía, ii) criterios diferenciales para </w:t>
      </w:r>
      <w:proofErr w:type="spellStart"/>
      <w:r w:rsidRPr="005419DA">
        <w:rPr>
          <w:rFonts w:ascii="Arial" w:eastAsia="Calibri" w:hAnsi="Arial" w:cs="Arial"/>
          <w:color w:val="000000" w:themeColor="text1"/>
          <w:sz w:val="22"/>
          <w:szCs w:val="22"/>
          <w:lang w:val="es-ES_tradnl"/>
        </w:rPr>
        <w:t>mipymes</w:t>
      </w:r>
      <w:proofErr w:type="spellEnd"/>
      <w:r w:rsidRPr="005419DA">
        <w:rPr>
          <w:rFonts w:ascii="Arial" w:eastAsia="Calibri" w:hAnsi="Arial" w:cs="Arial"/>
          <w:color w:val="000000" w:themeColor="text1"/>
          <w:sz w:val="22"/>
          <w:szCs w:val="22"/>
          <w:lang w:val="es-ES_tradnl"/>
        </w:rPr>
        <w:t xml:space="preserve"> en el sistema de compras públicas, iii) criterios diferenciales para emprendimientos y empresas de mujeres en el sistema de compras públicas, iv) promoción del acceso de las </w:t>
      </w:r>
      <w:proofErr w:type="spellStart"/>
      <w:r w:rsidRPr="005419DA">
        <w:rPr>
          <w:rFonts w:ascii="Arial" w:eastAsia="Calibri" w:hAnsi="Arial" w:cs="Arial"/>
          <w:color w:val="000000" w:themeColor="text1"/>
          <w:sz w:val="22"/>
          <w:szCs w:val="22"/>
          <w:lang w:val="es-ES_tradnl"/>
        </w:rPr>
        <w:t>mipymes</w:t>
      </w:r>
      <w:proofErr w:type="spellEnd"/>
      <w:r w:rsidRPr="005419DA">
        <w:rPr>
          <w:rFonts w:ascii="Arial" w:eastAsia="Calibri" w:hAnsi="Arial" w:cs="Arial"/>
          <w:color w:val="000000" w:themeColor="text1"/>
          <w:sz w:val="22"/>
          <w:szCs w:val="22"/>
          <w:lang w:val="es-ES_tradnl"/>
        </w:rPr>
        <w:t xml:space="preserve">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del artículo 35 de la referida Ley, a continuación se estudiará el contenido y alcance de dicha norma.  </w:t>
      </w:r>
    </w:p>
    <w:p w14:paraId="0F9968F1" w14:textId="77777777" w:rsidR="001B0F40" w:rsidRDefault="001B0F40" w:rsidP="00833ADA">
      <w:pPr>
        <w:spacing w:line="276" w:lineRule="auto"/>
        <w:jc w:val="both"/>
        <w:rPr>
          <w:rFonts w:ascii="Arial" w:eastAsia="Calibri" w:hAnsi="Arial" w:cs="Arial"/>
          <w:b/>
          <w:bCs/>
          <w:color w:val="000000" w:themeColor="text1"/>
          <w:sz w:val="22"/>
          <w:szCs w:val="22"/>
          <w:lang w:val="es-ES_tradnl"/>
        </w:rPr>
      </w:pPr>
    </w:p>
    <w:p w14:paraId="2C2833A6" w14:textId="4C09C95F" w:rsidR="00833ADA" w:rsidRPr="00C440B6" w:rsidRDefault="00523F41" w:rsidP="00833ADA">
      <w:pPr>
        <w:spacing w:line="276" w:lineRule="auto"/>
        <w:jc w:val="both"/>
        <w:rPr>
          <w:rFonts w:ascii="Arial" w:eastAsia="Calibri" w:hAnsi="Arial" w:cs="Arial"/>
          <w:b/>
          <w:bCs/>
          <w:color w:val="000000" w:themeColor="text1"/>
          <w:sz w:val="22"/>
          <w:szCs w:val="22"/>
          <w:lang w:val="es-ES_tradnl"/>
        </w:rPr>
      </w:pPr>
      <w:r w:rsidRPr="00C440B6">
        <w:rPr>
          <w:rFonts w:ascii="Arial" w:eastAsia="Calibri" w:hAnsi="Arial" w:cs="Arial"/>
          <w:b/>
          <w:bCs/>
          <w:color w:val="000000" w:themeColor="text1"/>
          <w:sz w:val="22"/>
          <w:szCs w:val="22"/>
          <w:lang w:val="es-ES_tradnl"/>
        </w:rPr>
        <w:t>2.3.</w:t>
      </w:r>
      <w:r w:rsidR="00833ADA" w:rsidRPr="00C440B6">
        <w:rPr>
          <w:rFonts w:ascii="Arial" w:eastAsia="Calibri" w:hAnsi="Arial" w:cs="Arial"/>
          <w:b/>
          <w:bCs/>
          <w:color w:val="000000" w:themeColor="text1"/>
          <w:sz w:val="22"/>
          <w:szCs w:val="22"/>
          <w:lang w:val="es-ES_tradnl"/>
        </w:rPr>
        <w:t xml:space="preserve"> </w:t>
      </w:r>
      <w:r w:rsidR="000A43B0">
        <w:rPr>
          <w:rFonts w:ascii="Arial" w:eastAsia="Calibri" w:hAnsi="Arial" w:cs="Arial"/>
          <w:b/>
          <w:bCs/>
          <w:color w:val="000000" w:themeColor="text1"/>
          <w:sz w:val="22"/>
          <w:szCs w:val="22"/>
          <w:lang w:val="es-ES_tradnl"/>
        </w:rPr>
        <w:t>D</w:t>
      </w:r>
      <w:r w:rsidR="000A43B0" w:rsidRPr="000A43B0">
        <w:rPr>
          <w:rFonts w:ascii="Arial" w:eastAsia="Calibri" w:hAnsi="Arial" w:cs="Arial"/>
          <w:b/>
          <w:bCs/>
          <w:color w:val="000000" w:themeColor="text1"/>
          <w:sz w:val="22"/>
          <w:szCs w:val="22"/>
          <w:lang w:val="es-ES_tradnl"/>
        </w:rPr>
        <w:t>erogatoria producida por el artículo 35 de la Ley</w:t>
      </w:r>
      <w:r w:rsidR="000A43B0">
        <w:rPr>
          <w:rFonts w:ascii="Arial" w:eastAsia="Calibri" w:hAnsi="Arial" w:cs="Arial"/>
          <w:b/>
          <w:bCs/>
          <w:color w:val="000000" w:themeColor="text1"/>
          <w:sz w:val="22"/>
          <w:szCs w:val="22"/>
          <w:lang w:val="es-ES_tradnl"/>
        </w:rPr>
        <w:t xml:space="preserve"> </w:t>
      </w:r>
      <w:r w:rsidR="006F0F34">
        <w:rPr>
          <w:rFonts w:ascii="Arial" w:eastAsia="Calibri" w:hAnsi="Arial" w:cs="Arial"/>
          <w:b/>
          <w:bCs/>
          <w:color w:val="000000" w:themeColor="text1"/>
          <w:sz w:val="22"/>
          <w:szCs w:val="22"/>
          <w:lang w:val="es-ES_tradnl"/>
        </w:rPr>
        <w:t>2069</w:t>
      </w:r>
      <w:r w:rsidR="000A43B0">
        <w:rPr>
          <w:rFonts w:ascii="Arial" w:eastAsia="Calibri" w:hAnsi="Arial" w:cs="Arial"/>
          <w:b/>
          <w:bCs/>
          <w:color w:val="000000" w:themeColor="text1"/>
          <w:sz w:val="22"/>
          <w:szCs w:val="22"/>
          <w:lang w:val="es-ES_tradnl"/>
        </w:rPr>
        <w:t xml:space="preserve"> de 2020</w:t>
      </w:r>
      <w:r w:rsidR="000A43B0" w:rsidRPr="000A43B0">
        <w:rPr>
          <w:rFonts w:ascii="Arial" w:eastAsia="Calibri" w:hAnsi="Arial" w:cs="Arial"/>
          <w:b/>
          <w:bCs/>
          <w:color w:val="000000" w:themeColor="text1"/>
          <w:sz w:val="22"/>
          <w:szCs w:val="22"/>
          <w:lang w:val="es-ES_tradnl"/>
        </w:rPr>
        <w:t xml:space="preserve"> al artículo 2.2.1.1.2.2.9. del Decreto 1</w:t>
      </w:r>
      <w:r w:rsidR="000A43B0">
        <w:rPr>
          <w:rFonts w:ascii="Arial" w:eastAsia="Calibri" w:hAnsi="Arial" w:cs="Arial"/>
          <w:b/>
          <w:bCs/>
          <w:color w:val="000000" w:themeColor="text1"/>
          <w:sz w:val="22"/>
          <w:szCs w:val="22"/>
          <w:lang w:val="es-ES_tradnl"/>
        </w:rPr>
        <w:t>.</w:t>
      </w:r>
      <w:r w:rsidR="000A43B0" w:rsidRPr="000A43B0">
        <w:rPr>
          <w:rFonts w:ascii="Arial" w:eastAsia="Calibri" w:hAnsi="Arial" w:cs="Arial"/>
          <w:b/>
          <w:bCs/>
          <w:color w:val="000000" w:themeColor="text1"/>
          <w:sz w:val="22"/>
          <w:szCs w:val="22"/>
          <w:lang w:val="es-ES_tradnl"/>
        </w:rPr>
        <w:t>082 de 2015.</w:t>
      </w:r>
    </w:p>
    <w:p w14:paraId="39B77F09" w14:textId="77777777" w:rsidR="00FC6DB9" w:rsidRPr="00C440B6" w:rsidRDefault="00FC6DB9" w:rsidP="00271230">
      <w:pPr>
        <w:spacing w:line="276" w:lineRule="auto"/>
        <w:jc w:val="both"/>
        <w:rPr>
          <w:rFonts w:ascii="Arial" w:eastAsia="Calibri" w:hAnsi="Arial" w:cs="Arial"/>
          <w:color w:val="000000" w:themeColor="text1"/>
          <w:sz w:val="22"/>
          <w:szCs w:val="22"/>
          <w:lang w:val="es-ES_tradnl"/>
        </w:rPr>
      </w:pPr>
    </w:p>
    <w:p w14:paraId="5A4EC232" w14:textId="18471C7C" w:rsidR="008C6A49" w:rsidRPr="005419DA" w:rsidRDefault="008C6A49" w:rsidP="008C6A49">
      <w:pPr>
        <w:spacing w:line="276" w:lineRule="auto"/>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lastRenderedPageBreak/>
        <w:t xml:space="preserve">El artículo 35 de la Ley </w:t>
      </w:r>
      <w:r>
        <w:rPr>
          <w:rFonts w:ascii="Arial" w:eastAsia="Calibri" w:hAnsi="Arial" w:cs="Arial"/>
          <w:color w:val="000000" w:themeColor="text1"/>
          <w:sz w:val="22"/>
          <w:szCs w:val="22"/>
          <w:lang w:val="es-ES_tradnl"/>
        </w:rPr>
        <w:t>2069</w:t>
      </w:r>
      <w:r w:rsidRPr="005419DA">
        <w:rPr>
          <w:rFonts w:ascii="Arial" w:eastAsia="Calibri" w:hAnsi="Arial" w:cs="Arial"/>
          <w:color w:val="000000" w:themeColor="text1"/>
          <w:sz w:val="22"/>
          <w:szCs w:val="22"/>
          <w:lang w:val="es-ES_tradnl"/>
        </w:rPr>
        <w:t xml:space="preserve"> de 2020 modifica la regulación de los factores de desempate en la contratación estatal. En consideración a que en la consulta se solicita que la Agencia Nacional de Contratación Pública – Colombia Compra Eficiente efectúe ciertas precisiones hermenéuticas sobre algunos numerales de dicho artículo, la </w:t>
      </w:r>
      <w:r w:rsidR="00D7536A">
        <w:rPr>
          <w:rFonts w:ascii="Arial" w:eastAsia="Calibri" w:hAnsi="Arial" w:cs="Arial"/>
          <w:color w:val="000000" w:themeColor="text1"/>
          <w:sz w:val="22"/>
          <w:szCs w:val="22"/>
          <w:lang w:val="es-ES_tradnl"/>
        </w:rPr>
        <w:t>Agencia</w:t>
      </w:r>
      <w:r w:rsidRPr="005419DA">
        <w:rPr>
          <w:rFonts w:ascii="Arial" w:eastAsia="Calibri" w:hAnsi="Arial" w:cs="Arial"/>
          <w:color w:val="000000" w:themeColor="text1"/>
          <w:sz w:val="22"/>
          <w:szCs w:val="22"/>
          <w:lang w:val="es-ES_tradnl"/>
        </w:rPr>
        <w:t xml:space="preserve"> se pronunciará sobre el alcance que otorga a tales disposiciones, sin pasar por alto la novedad de la Ley </w:t>
      </w:r>
      <w:r>
        <w:rPr>
          <w:rFonts w:ascii="Arial" w:eastAsia="Calibri" w:hAnsi="Arial" w:cs="Arial"/>
          <w:color w:val="000000" w:themeColor="text1"/>
          <w:sz w:val="22"/>
          <w:szCs w:val="22"/>
          <w:lang w:val="es-ES_tradnl"/>
        </w:rPr>
        <w:t>2069</w:t>
      </w:r>
      <w:r w:rsidRPr="005419DA">
        <w:rPr>
          <w:rFonts w:ascii="Arial" w:eastAsia="Calibri" w:hAnsi="Arial" w:cs="Arial"/>
          <w:color w:val="000000" w:themeColor="text1"/>
          <w:sz w:val="22"/>
          <w:szCs w:val="22"/>
          <w:lang w:val="es-ES_tradnl"/>
        </w:rPr>
        <w:t xml:space="preserve"> de 2020 –dada su reciente entrada en vigencia– y la ausencia de pronunciamientos jurisprudenciales o estudios doctrinarios sobre el tema, que seguramente contribuirán a decantar la interpretación de las normas en comento.</w:t>
      </w:r>
    </w:p>
    <w:p w14:paraId="7041E5AE" w14:textId="0D5CCB0F" w:rsidR="00337296" w:rsidRDefault="00337296" w:rsidP="00337296">
      <w:pPr>
        <w:spacing w:before="120" w:line="276" w:lineRule="auto"/>
        <w:ind w:firstLine="709"/>
        <w:jc w:val="both"/>
        <w:rPr>
          <w:rFonts w:ascii="Arial" w:eastAsia="Calibri" w:hAnsi="Arial" w:cs="Arial"/>
          <w:color w:val="000000" w:themeColor="text1"/>
          <w:sz w:val="22"/>
          <w:szCs w:val="22"/>
          <w:lang w:val="es-ES_tradnl"/>
        </w:rPr>
      </w:pPr>
      <w:r w:rsidRPr="00337296">
        <w:rPr>
          <w:rFonts w:ascii="Arial" w:eastAsia="Calibri" w:hAnsi="Arial" w:cs="Arial"/>
          <w:color w:val="000000" w:themeColor="text1"/>
          <w:sz w:val="22"/>
          <w:szCs w:val="22"/>
          <w:lang w:val="es-ES_tradnl"/>
        </w:rPr>
        <w:t xml:space="preserve">Al respecto, </w:t>
      </w:r>
      <w:r w:rsidRPr="00337296">
        <w:rPr>
          <w:rFonts w:ascii="Arial" w:eastAsia="Calibri" w:hAnsi="Arial" w:cs="Arial"/>
          <w:sz w:val="22"/>
          <w:szCs w:val="22"/>
          <w:lang w:val="es-ES_tradnl"/>
        </w:rPr>
        <w:t>pese a que el parágrafo 3 dispone que el Gobierno Nacional podrá regular los supuestos en que concurran dos o más factores de desempate,</w:t>
      </w:r>
      <w:r w:rsidRPr="00337296">
        <w:rPr>
          <w:rFonts w:ascii="Arial" w:eastAsia="Calibri" w:hAnsi="Arial" w:cs="Arial"/>
          <w:color w:val="000000" w:themeColor="text1"/>
          <w:sz w:val="22"/>
          <w:szCs w:val="22"/>
          <w:lang w:val="es-ES_tradnl"/>
        </w:rPr>
        <w:t xml:space="preserve"> se considera que el artículo 35 de la Ley 2069 de 2020 goza de aplicación directa desde la fecha de su promulgación, es decir, no requiere de una reglamentación previa como presupuesto para su eficacia. Esta precisión reviste importancia, porque algunos enunciados normativos de la Ley bajo análisis establecen un mandato de reglamentación, dirigido al gobierno nacional, como condición para aplicar lo dispuesto en dicha Ley.</w:t>
      </w:r>
      <w:r w:rsidRPr="005E4B72">
        <w:rPr>
          <w:rFonts w:ascii="Arial" w:eastAsia="Calibri" w:hAnsi="Arial" w:cs="Arial"/>
          <w:color w:val="000000" w:themeColor="text1"/>
          <w:sz w:val="22"/>
          <w:szCs w:val="22"/>
          <w:lang w:val="es-ES_tradnl"/>
        </w:rPr>
        <w:t xml:space="preserve"> </w:t>
      </w:r>
    </w:p>
    <w:p w14:paraId="42911686" w14:textId="77777777" w:rsidR="008C6A49" w:rsidRPr="005419DA" w:rsidRDefault="008C6A49" w:rsidP="008C6A49">
      <w:pPr>
        <w:spacing w:before="120" w:line="276" w:lineRule="auto"/>
        <w:ind w:firstLine="709"/>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 xml:space="preserve">Por ejemplo, en lo que a las compras públicas se refiere, el parágrafo primero del artículo 30, que alude a la participación de </w:t>
      </w:r>
      <w:proofErr w:type="spellStart"/>
      <w:r w:rsidRPr="005419DA">
        <w:rPr>
          <w:rFonts w:ascii="Arial" w:eastAsia="Calibri" w:hAnsi="Arial" w:cs="Arial"/>
          <w:color w:val="000000" w:themeColor="text1"/>
          <w:sz w:val="22"/>
          <w:szCs w:val="22"/>
          <w:lang w:val="es-ES_tradnl"/>
        </w:rPr>
        <w:t>mipymes</w:t>
      </w:r>
      <w:proofErr w:type="spellEnd"/>
      <w:r w:rsidRPr="005419DA">
        <w:rPr>
          <w:rFonts w:ascii="Arial" w:eastAsia="Calibri" w:hAnsi="Arial" w:cs="Arial"/>
          <w:color w:val="000000" w:themeColor="text1"/>
          <w:sz w:val="22"/>
          <w:szCs w:val="22"/>
          <w:lang w:val="es-ES_tradnl"/>
        </w:rPr>
        <w:t xml:space="preserve"> en procedimientos de mínima cuantía, establece que «Las particularidades del procedimiento aquí previsto, así como la posibilidad que tengan las entidades de realizar estas adquisiciones a </w:t>
      </w:r>
      <w:proofErr w:type="spellStart"/>
      <w:r w:rsidRPr="005419DA">
        <w:rPr>
          <w:rFonts w:ascii="Arial" w:eastAsia="Calibri" w:hAnsi="Arial" w:cs="Arial"/>
          <w:color w:val="000000" w:themeColor="text1"/>
          <w:sz w:val="22"/>
          <w:szCs w:val="22"/>
          <w:lang w:val="es-ES_tradnl"/>
        </w:rPr>
        <w:t>Mipymes</w:t>
      </w:r>
      <w:proofErr w:type="spellEnd"/>
      <w:r w:rsidRPr="005419DA">
        <w:rPr>
          <w:rFonts w:ascii="Arial" w:eastAsia="Calibri" w:hAnsi="Arial" w:cs="Arial"/>
          <w:color w:val="000000" w:themeColor="text1"/>
          <w:sz w:val="22"/>
          <w:szCs w:val="22"/>
          <w:lang w:val="es-ES_tradnl"/>
        </w:rPr>
        <w:t xml:space="preserve"> o establecimientos que correspondan a la definición de "gran almacén" señalada por la Superintendencia de Industria y Comercio, se determinarán en el reglamento que para el efecto expida el Gobierno Nacional». En un sentido similar, el parágrafo segundo del mismo artículo expresa que «La contratación a que se refiere el presente artículo se realizará exclusivamente con las reglas en él contempladas y en su reglamentación. […]». </w:t>
      </w:r>
    </w:p>
    <w:p w14:paraId="5319FCED" w14:textId="77777777" w:rsidR="008C6A49" w:rsidRPr="005419DA" w:rsidRDefault="008C6A49" w:rsidP="008C6A49">
      <w:pPr>
        <w:spacing w:before="120" w:line="276" w:lineRule="auto"/>
        <w:ind w:firstLine="709"/>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 xml:space="preserve">Así mismo, el artículo 31, en el segundo inciso, determina que «El Gobierno Nacional reglamentará la definición de los criterios diferenciales, sobre reglas objetivas que podrán implementar las Entidades Estatales». Del mismo modo, el parágrafo primero del artículo 32 establece que «La definición de emprendimientos y empresas de mujeres se reglamentará por el gobierno nacional», en tanto que el inciso cuarto del artículo 12 de la Ley 1150 de 2007, modificado por el artículo 34 de la Ley </w:t>
      </w:r>
      <w:r>
        <w:rPr>
          <w:rFonts w:ascii="Arial" w:eastAsia="Calibri" w:hAnsi="Arial" w:cs="Arial"/>
          <w:color w:val="000000" w:themeColor="text1"/>
          <w:sz w:val="22"/>
          <w:szCs w:val="22"/>
          <w:lang w:val="es-ES_tradnl"/>
        </w:rPr>
        <w:t>2069</w:t>
      </w:r>
      <w:r w:rsidRPr="005419DA">
        <w:rPr>
          <w:rFonts w:ascii="Arial" w:eastAsia="Calibri" w:hAnsi="Arial" w:cs="Arial"/>
          <w:color w:val="000000" w:themeColor="text1"/>
          <w:sz w:val="22"/>
          <w:szCs w:val="22"/>
          <w:lang w:val="es-ES_tradnl"/>
        </w:rPr>
        <w:t xml:space="preserve"> de 2020, indica que en los pliegos de condiciones las entidades estatales deben prever mecanismos que garanticen la provisión de bienes y servicios por parte de sujetos de especial protección constitucional «[…] en las condiciones que señale el reglamento».</w:t>
      </w:r>
    </w:p>
    <w:p w14:paraId="021F0A3C" w14:textId="77777777" w:rsidR="0047771F" w:rsidRPr="00F00AF1" w:rsidRDefault="0047771F" w:rsidP="0047771F">
      <w:pPr>
        <w:spacing w:before="120" w:line="276" w:lineRule="auto"/>
        <w:ind w:firstLine="708"/>
        <w:jc w:val="both"/>
        <w:rPr>
          <w:rFonts w:ascii="Arial" w:eastAsia="Calibri" w:hAnsi="Arial" w:cs="Arial"/>
          <w:sz w:val="22"/>
          <w:szCs w:val="22"/>
          <w:lang w:val="es-ES_tradnl"/>
        </w:rPr>
      </w:pPr>
      <w:r w:rsidRPr="0047771F">
        <w:rPr>
          <w:rFonts w:ascii="Arial" w:eastAsia="Calibri" w:hAnsi="Arial" w:cs="Arial"/>
          <w:color w:val="000000" w:themeColor="text1"/>
          <w:sz w:val="22"/>
          <w:szCs w:val="22"/>
          <w:lang w:val="es-ES_tradnl"/>
        </w:rPr>
        <w:t xml:space="preserve">Lo mismo no sucede con el artículo 35. </w:t>
      </w:r>
      <w:r w:rsidRPr="0047771F">
        <w:rPr>
          <w:rFonts w:ascii="Arial" w:eastAsia="Calibri" w:hAnsi="Arial" w:cs="Arial"/>
          <w:sz w:val="22"/>
          <w:szCs w:val="22"/>
          <w:lang w:val="es-ES_tradnl"/>
        </w:rPr>
        <w:t xml:space="preserve">En efecto, </w:t>
      </w:r>
      <w:r w:rsidRPr="0047771F">
        <w:rPr>
          <w:rFonts w:ascii="Arial" w:hAnsi="Arial" w:cs="Arial"/>
          <w:color w:val="000000" w:themeColor="text1"/>
          <w:sz w:val="22"/>
          <w:szCs w:val="22"/>
          <w:lang w:val="es-ES_tradnl"/>
        </w:rPr>
        <w:t>si bien los factores de desempate regulados en el artículo 35 deben aplicarse «</w:t>
      </w:r>
      <w:r w:rsidRPr="0047771F">
        <w:rPr>
          <w:rFonts w:ascii="Arial" w:hAnsi="Arial" w:cs="Arial"/>
          <w:lang w:val="es-ES_tradnl"/>
        </w:rPr>
        <w:t xml:space="preserve">[…] </w:t>
      </w:r>
      <w:r w:rsidRPr="0047771F">
        <w:rPr>
          <w:rFonts w:ascii="Arial" w:hAnsi="Arial" w:cs="Arial"/>
          <w:color w:val="000000" w:themeColor="text1"/>
          <w:sz w:val="22"/>
          <w:szCs w:val="22"/>
          <w:lang w:val="es-ES_tradnl"/>
        </w:rPr>
        <w:t xml:space="preserve">de forma sucesiva y excluyente para seleccionar al oferente favorecido, respetando en todo caso los compromisos internacionales vigentes» –según lo dispone el inciso primero–, el parágrafo tercero del mencionado artículo establece que «El Gobierno Nacional podrá reglamentar la aplicación </w:t>
      </w:r>
      <w:r w:rsidRPr="0047771F">
        <w:rPr>
          <w:rFonts w:ascii="Arial" w:hAnsi="Arial" w:cs="Arial"/>
          <w:color w:val="000000" w:themeColor="text1"/>
          <w:sz w:val="22"/>
          <w:szCs w:val="22"/>
          <w:lang w:val="es-ES_tradnl"/>
        </w:rPr>
        <w:lastRenderedPageBreak/>
        <w:t>de factores de desempate en casos en que concurran dos o más de los factores aquí previstos». En otras palabras, dicho parágrafo le asigna potestad reglamentaria al gobierno nacional para definir factores que permitan desempatar las ofertas en aquellos casos en que varios oferentes reúnan al tiempo dos o más de los factores previstos en el artículo 35.</w:t>
      </w:r>
      <w:r w:rsidRPr="00E87B1F">
        <w:rPr>
          <w:rFonts w:ascii="Arial" w:hAnsi="Arial" w:cs="Arial"/>
          <w:color w:val="000000" w:themeColor="text1"/>
          <w:sz w:val="22"/>
          <w:szCs w:val="22"/>
          <w:lang w:val="es-ES_tradnl"/>
        </w:rPr>
        <w:t xml:space="preserve"> </w:t>
      </w:r>
      <w:r>
        <w:rPr>
          <w:rFonts w:ascii="Arial" w:eastAsia="Calibri" w:hAnsi="Arial" w:cs="Arial"/>
          <w:color w:val="000000" w:themeColor="text1"/>
          <w:sz w:val="22"/>
          <w:szCs w:val="22"/>
          <w:lang w:val="es-ES_tradnl"/>
        </w:rPr>
        <w:t xml:space="preserve"> </w:t>
      </w:r>
    </w:p>
    <w:p w14:paraId="1F45085B" w14:textId="77777777" w:rsidR="008C6A49" w:rsidRPr="005419DA" w:rsidRDefault="008C6A49" w:rsidP="008C6A49">
      <w:pPr>
        <w:spacing w:before="120" w:line="276" w:lineRule="auto"/>
        <w:ind w:firstLine="709"/>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 xml:space="preserve">A continuación, el artículo en mención establece los factores de desempate que se deben seguir de manera sucesiva, sin indicar tampoco en cada numeral que su eficacia dependa de lo que determine el reglamento. La única alusión que se hace al reglamento se encuentra en el parágrafo tercero del artículo que se viene comentando, no para condicionar la aplicación de todo lo dispuesto en aquel, sino para indicar que «El Gobierno Nacional </w:t>
      </w:r>
      <w:r w:rsidRPr="005419DA">
        <w:rPr>
          <w:rFonts w:ascii="Arial" w:eastAsia="Calibri" w:hAnsi="Arial" w:cs="Arial"/>
          <w:i/>
          <w:iCs/>
          <w:color w:val="000000" w:themeColor="text1"/>
          <w:sz w:val="22"/>
          <w:szCs w:val="22"/>
          <w:lang w:val="es-ES_tradnl"/>
        </w:rPr>
        <w:t>podrá reglamentar</w:t>
      </w:r>
      <w:r w:rsidRPr="005419DA">
        <w:rPr>
          <w:rFonts w:ascii="Arial" w:eastAsia="Calibri" w:hAnsi="Arial" w:cs="Arial"/>
          <w:color w:val="000000" w:themeColor="text1"/>
          <w:sz w:val="22"/>
          <w:szCs w:val="22"/>
          <w:lang w:val="es-ES_tradnl"/>
        </w:rPr>
        <w:t xml:space="preserve"> la aplicación de factores de desempate en casos en que concurran dos o más de los factores aquí previstos» (Énfasis fuera de texto).</w:t>
      </w:r>
    </w:p>
    <w:p w14:paraId="365E5E9B" w14:textId="0AFFD78A" w:rsidR="008C6A49" w:rsidRPr="005419DA" w:rsidRDefault="008C6A49" w:rsidP="008C6A49">
      <w:pPr>
        <w:spacing w:before="120" w:line="276" w:lineRule="auto"/>
        <w:ind w:firstLine="709"/>
        <w:jc w:val="both"/>
        <w:rPr>
          <w:rFonts w:ascii="Arial" w:eastAsia="Calibri" w:hAnsi="Arial" w:cs="Arial"/>
          <w:color w:val="000000" w:themeColor="text1"/>
          <w:sz w:val="22"/>
          <w:szCs w:val="22"/>
          <w:lang w:val="es-ES_tradnl"/>
        </w:rPr>
      </w:pPr>
      <w:r w:rsidRPr="005419DA">
        <w:rPr>
          <w:rFonts w:ascii="Arial" w:eastAsia="Calibri" w:hAnsi="Arial" w:cs="Arial"/>
          <w:color w:val="000000" w:themeColor="text1"/>
          <w:sz w:val="22"/>
          <w:szCs w:val="22"/>
          <w:lang w:val="es-ES_tradnl"/>
        </w:rPr>
        <w:t xml:space="preserve">Como se observa se trata de una competencia que, en concordancia con el artículo 189.11 superior, el gobierno nacional puede ejercer discrecionalmente para la ejecución de las leyes. Por tanto, </w:t>
      </w:r>
      <w:r w:rsidR="00E65A79" w:rsidRPr="00E65A79">
        <w:rPr>
          <w:rFonts w:ascii="Arial" w:eastAsia="Calibri" w:hAnsi="Arial" w:cs="Arial"/>
          <w:color w:val="000000" w:themeColor="text1"/>
          <w:sz w:val="22"/>
          <w:szCs w:val="22"/>
          <w:lang w:val="es-ES_tradnl"/>
        </w:rPr>
        <w:t xml:space="preserve">sin perjuicio de que el Gobierno Nacional ejerza la potestad reglamentaria para regular los casos en que concurren dos o más de los factores de desempate, </w:t>
      </w:r>
      <w:r w:rsidRPr="005419DA">
        <w:rPr>
          <w:rFonts w:ascii="Arial" w:eastAsia="Calibri" w:hAnsi="Arial" w:cs="Arial"/>
          <w:color w:val="000000" w:themeColor="text1"/>
          <w:sz w:val="22"/>
          <w:szCs w:val="22"/>
          <w:lang w:val="es-ES_tradnl"/>
        </w:rPr>
        <w:t xml:space="preserve">no es necesaria la existencia del reglamento como presupuesto necesario para aplicar el artículo 35 de la Ley </w:t>
      </w:r>
      <w:r>
        <w:rPr>
          <w:rFonts w:ascii="Arial" w:eastAsia="Calibri" w:hAnsi="Arial" w:cs="Arial"/>
          <w:color w:val="000000" w:themeColor="text1"/>
          <w:sz w:val="22"/>
          <w:szCs w:val="22"/>
          <w:lang w:val="es-ES_tradnl"/>
        </w:rPr>
        <w:t>2069</w:t>
      </w:r>
      <w:r w:rsidRPr="005419DA">
        <w:rPr>
          <w:rFonts w:ascii="Arial" w:eastAsia="Calibri" w:hAnsi="Arial" w:cs="Arial"/>
          <w:color w:val="000000" w:themeColor="text1"/>
          <w:sz w:val="22"/>
          <w:szCs w:val="22"/>
          <w:lang w:val="es-ES_tradnl"/>
        </w:rPr>
        <w:t xml:space="preserve"> de 2020. De este modo, se concluye que los factores de desempate del artículo citado son exigibles desde la fecha de su promulgación, es decir, deben tenerse en cuenta en los procesos de selección que se inicien después del 31 de diciembre de 2020.</w:t>
      </w:r>
    </w:p>
    <w:p w14:paraId="2739984E" w14:textId="60A496B2" w:rsidR="006A4F85" w:rsidRPr="00C440B6" w:rsidRDefault="0018007F" w:rsidP="00AC4AD2">
      <w:pPr>
        <w:spacing w:before="120" w:line="276" w:lineRule="auto"/>
        <w:ind w:firstLine="709"/>
        <w:jc w:val="both"/>
        <w:rPr>
          <w:rFonts w:ascii="Arial" w:hAnsi="Arial" w:cs="Arial"/>
          <w:color w:val="000000" w:themeColor="text1"/>
          <w:sz w:val="22"/>
          <w:szCs w:val="22"/>
          <w:lang w:val="es-ES_tradnl"/>
        </w:rPr>
      </w:pPr>
      <w:r>
        <w:rPr>
          <w:rFonts w:ascii="Arial" w:hAnsi="Arial" w:cs="Arial"/>
          <w:color w:val="000000" w:themeColor="text1"/>
          <w:sz w:val="22"/>
          <w:szCs w:val="22"/>
          <w:lang w:val="es-ES_tradnl"/>
        </w:rPr>
        <w:t>Además, s</w:t>
      </w:r>
      <w:r w:rsidR="00FD5443" w:rsidRPr="00C440B6">
        <w:rPr>
          <w:rFonts w:ascii="Arial" w:hAnsi="Arial" w:cs="Arial"/>
          <w:color w:val="000000" w:themeColor="text1"/>
          <w:sz w:val="22"/>
          <w:szCs w:val="22"/>
          <w:lang w:val="es-ES_tradnl"/>
        </w:rPr>
        <w:t xml:space="preserve">i existe un tratado o acuerdo comercial que establezca disposiciones especiales en materia de compras y contratación pública, prevalece la regulación contenida en aquel. Esta conclusión también se fundamenta en el artículo 2.2.1.2.4.1.1 del Decreto 1082 de 2015, según el cual «Las Entidades Estatales deben adelantar los Procesos de Contratación de acuerdo con lo previsto en los Acuerdos Comerciales, cuando estos les sean aplicables».​ La Ley </w:t>
      </w:r>
      <w:r w:rsidR="006F0F34">
        <w:rPr>
          <w:rFonts w:ascii="Arial" w:hAnsi="Arial" w:cs="Arial"/>
          <w:color w:val="000000" w:themeColor="text1"/>
          <w:sz w:val="22"/>
          <w:szCs w:val="22"/>
          <w:lang w:val="es-ES_tradnl"/>
        </w:rPr>
        <w:t>2069</w:t>
      </w:r>
      <w:r w:rsidR="00FD5443" w:rsidRPr="00C440B6">
        <w:rPr>
          <w:rFonts w:ascii="Arial" w:hAnsi="Arial" w:cs="Arial"/>
          <w:color w:val="000000" w:themeColor="text1"/>
          <w:sz w:val="22"/>
          <w:szCs w:val="22"/>
          <w:lang w:val="es-ES_tradnl"/>
        </w:rPr>
        <w:t xml:space="preserve"> de 2020 no establece que ante la existencia de tratados o acuerdos comerciales que rijan el procedimiento de selección el órgano contratante se debe abstener de aplicar algunos numerales del artículo 35, sino que lo que indica es que la entidad estatal debe consultar en cada caso cuáles son las disposiciones del acuerdo comercial y si son o no compatibles con los factores de desempate. En caso negativo, prevalece el tratado.</w:t>
      </w:r>
    </w:p>
    <w:p w14:paraId="041BB6BB" w14:textId="79A3C805" w:rsidR="008E26D9" w:rsidRPr="00462E1D" w:rsidRDefault="006A4F85" w:rsidP="00AC4AD2">
      <w:pPr>
        <w:spacing w:before="120" w:line="276" w:lineRule="auto"/>
        <w:ind w:firstLine="709"/>
        <w:jc w:val="both"/>
        <w:rPr>
          <w:rFonts w:ascii="Arial" w:hAnsi="Arial" w:cs="Arial"/>
          <w:color w:val="000000" w:themeColor="text1"/>
          <w:sz w:val="22"/>
          <w:szCs w:val="22"/>
          <w:lang w:val="es-ES_tradnl"/>
        </w:rPr>
      </w:pPr>
      <w:r w:rsidRPr="00462E1D">
        <w:rPr>
          <w:rFonts w:ascii="Arial" w:hAnsi="Arial" w:cs="Arial"/>
          <w:color w:val="000000" w:themeColor="text1"/>
          <w:sz w:val="22"/>
          <w:szCs w:val="22"/>
          <w:lang w:val="es-ES_tradnl"/>
        </w:rPr>
        <w:t xml:space="preserve">Ahora bien, </w:t>
      </w:r>
      <w:r w:rsidR="00A46B4B" w:rsidRPr="00462E1D">
        <w:rPr>
          <w:rFonts w:ascii="Arial" w:hAnsi="Arial" w:cs="Arial"/>
          <w:color w:val="000000" w:themeColor="text1"/>
          <w:sz w:val="22"/>
          <w:szCs w:val="22"/>
          <w:lang w:val="es-ES_tradnl"/>
        </w:rPr>
        <w:t xml:space="preserve">hasta la promulgación de la Ley </w:t>
      </w:r>
      <w:r w:rsidR="006F0F34">
        <w:rPr>
          <w:rFonts w:ascii="Arial" w:hAnsi="Arial" w:cs="Arial"/>
          <w:color w:val="000000" w:themeColor="text1"/>
          <w:sz w:val="22"/>
          <w:szCs w:val="22"/>
          <w:lang w:val="es-ES_tradnl"/>
        </w:rPr>
        <w:t>2069</w:t>
      </w:r>
      <w:r w:rsidR="00530059" w:rsidRPr="00462E1D">
        <w:rPr>
          <w:rFonts w:ascii="Arial" w:hAnsi="Arial" w:cs="Arial"/>
          <w:color w:val="000000" w:themeColor="text1"/>
          <w:sz w:val="22"/>
          <w:szCs w:val="22"/>
          <w:lang w:val="es-ES_tradnl"/>
        </w:rPr>
        <w:t xml:space="preserve"> de 2020</w:t>
      </w:r>
      <w:r w:rsidR="00D65861" w:rsidRPr="00462E1D">
        <w:rPr>
          <w:rFonts w:ascii="Arial" w:hAnsi="Arial" w:cs="Arial"/>
          <w:color w:val="000000" w:themeColor="text1"/>
          <w:sz w:val="22"/>
          <w:szCs w:val="22"/>
          <w:lang w:val="es-ES_tradnl"/>
        </w:rPr>
        <w:t>,</w:t>
      </w:r>
      <w:r w:rsidR="00530059" w:rsidRPr="00462E1D">
        <w:rPr>
          <w:rFonts w:ascii="Arial" w:hAnsi="Arial" w:cs="Arial"/>
          <w:color w:val="000000" w:themeColor="text1"/>
          <w:sz w:val="22"/>
          <w:szCs w:val="22"/>
          <w:lang w:val="es-ES_tradnl"/>
        </w:rPr>
        <w:t xml:space="preserve"> </w:t>
      </w:r>
      <w:r w:rsidRPr="00462E1D">
        <w:rPr>
          <w:rFonts w:ascii="Arial" w:hAnsi="Arial" w:cs="Arial"/>
          <w:color w:val="000000" w:themeColor="text1"/>
          <w:sz w:val="22"/>
          <w:szCs w:val="22"/>
          <w:lang w:val="es-ES_tradnl"/>
        </w:rPr>
        <w:t xml:space="preserve">el artículo </w:t>
      </w:r>
      <w:r w:rsidR="00A46B4B" w:rsidRPr="00462E1D">
        <w:rPr>
          <w:rFonts w:ascii="Arial" w:hAnsi="Arial" w:cs="Arial"/>
          <w:color w:val="000000" w:themeColor="text1"/>
          <w:sz w:val="22"/>
          <w:szCs w:val="22"/>
          <w:lang w:val="es-ES_tradnl"/>
        </w:rPr>
        <w:t xml:space="preserve">2.2.1.1.2.2.9. del Decreto 1082 de 2015 </w:t>
      </w:r>
      <w:r w:rsidR="001F10BD" w:rsidRPr="00462E1D">
        <w:rPr>
          <w:rFonts w:ascii="Arial" w:hAnsi="Arial" w:cs="Arial"/>
          <w:color w:val="000000" w:themeColor="text1"/>
          <w:sz w:val="22"/>
          <w:szCs w:val="22"/>
          <w:lang w:val="es-ES_tradnl"/>
        </w:rPr>
        <w:t>regulaba</w:t>
      </w:r>
      <w:r w:rsidR="00530059" w:rsidRPr="00462E1D">
        <w:rPr>
          <w:rFonts w:ascii="Arial" w:hAnsi="Arial" w:cs="Arial"/>
          <w:color w:val="000000" w:themeColor="text1"/>
          <w:sz w:val="22"/>
          <w:szCs w:val="22"/>
          <w:lang w:val="es-ES_tradnl"/>
        </w:rPr>
        <w:t xml:space="preserve"> los factores de desempate que debían aplicarse en los procesos de selección</w:t>
      </w:r>
      <w:r w:rsidR="00530059" w:rsidRPr="00462E1D">
        <w:rPr>
          <w:rStyle w:val="Refdenotaalpie"/>
          <w:rFonts w:ascii="Arial" w:hAnsi="Arial" w:cs="Arial"/>
          <w:color w:val="000000" w:themeColor="text1"/>
          <w:sz w:val="22"/>
          <w:szCs w:val="22"/>
          <w:lang w:val="es-ES_tradnl"/>
        </w:rPr>
        <w:footnoteReference w:id="10"/>
      </w:r>
      <w:r w:rsidR="00530059" w:rsidRPr="00462E1D">
        <w:rPr>
          <w:rFonts w:ascii="Arial" w:hAnsi="Arial" w:cs="Arial"/>
          <w:color w:val="000000" w:themeColor="text1"/>
          <w:sz w:val="22"/>
          <w:szCs w:val="22"/>
          <w:lang w:val="es-ES_tradnl"/>
        </w:rPr>
        <w:t>.</w:t>
      </w:r>
      <w:r w:rsidR="00D65861" w:rsidRPr="00462E1D">
        <w:rPr>
          <w:rFonts w:ascii="Arial" w:hAnsi="Arial" w:cs="Arial"/>
          <w:color w:val="000000" w:themeColor="text1"/>
          <w:sz w:val="22"/>
          <w:szCs w:val="22"/>
          <w:lang w:val="es-ES_tradnl"/>
        </w:rPr>
        <w:t xml:space="preserve"> En </w:t>
      </w:r>
      <w:r w:rsidR="00817661" w:rsidRPr="00462E1D">
        <w:rPr>
          <w:rFonts w:ascii="Arial" w:hAnsi="Arial" w:cs="Arial"/>
          <w:color w:val="000000" w:themeColor="text1"/>
          <w:sz w:val="22"/>
          <w:szCs w:val="22"/>
          <w:lang w:val="es-ES_tradnl"/>
        </w:rPr>
        <w:t xml:space="preserve">criterio de esta </w:t>
      </w:r>
      <w:r w:rsidR="009962B0">
        <w:rPr>
          <w:rFonts w:ascii="Arial" w:hAnsi="Arial" w:cs="Arial"/>
          <w:color w:val="000000" w:themeColor="text1"/>
          <w:sz w:val="22"/>
          <w:szCs w:val="22"/>
          <w:lang w:val="es-ES_tradnl"/>
        </w:rPr>
        <w:t>Agencia</w:t>
      </w:r>
      <w:r w:rsidR="00817661" w:rsidRPr="00462E1D">
        <w:rPr>
          <w:rFonts w:ascii="Arial" w:hAnsi="Arial" w:cs="Arial"/>
          <w:color w:val="000000" w:themeColor="text1"/>
          <w:sz w:val="22"/>
          <w:szCs w:val="22"/>
          <w:lang w:val="es-ES_tradnl"/>
        </w:rPr>
        <w:t xml:space="preserve">, dicha norma debe entenderse </w:t>
      </w:r>
      <w:r w:rsidR="00817661" w:rsidRPr="00462E1D">
        <w:rPr>
          <w:rFonts w:ascii="Arial" w:hAnsi="Arial" w:cs="Arial"/>
          <w:color w:val="000000" w:themeColor="text1"/>
          <w:sz w:val="22"/>
          <w:szCs w:val="22"/>
          <w:lang w:val="es-ES_tradnl"/>
        </w:rPr>
        <w:lastRenderedPageBreak/>
        <w:t xml:space="preserve">derogada por el artículo 35 de la Ley </w:t>
      </w:r>
      <w:r w:rsidR="006F0F34">
        <w:rPr>
          <w:rFonts w:ascii="Arial" w:hAnsi="Arial" w:cs="Arial"/>
          <w:color w:val="000000" w:themeColor="text1"/>
          <w:sz w:val="22"/>
          <w:szCs w:val="22"/>
          <w:lang w:val="es-ES_tradnl"/>
        </w:rPr>
        <w:t>2069</w:t>
      </w:r>
      <w:r w:rsidR="00817661" w:rsidRPr="00462E1D">
        <w:rPr>
          <w:rFonts w:ascii="Arial" w:hAnsi="Arial" w:cs="Arial"/>
          <w:color w:val="000000" w:themeColor="text1"/>
          <w:sz w:val="22"/>
          <w:szCs w:val="22"/>
          <w:lang w:val="es-ES_tradnl"/>
        </w:rPr>
        <w:t xml:space="preserve"> de 2020.</w:t>
      </w:r>
      <w:r w:rsidR="008D021B" w:rsidRPr="00462E1D">
        <w:rPr>
          <w:rFonts w:ascii="Arial" w:hAnsi="Arial" w:cs="Arial"/>
          <w:color w:val="000000" w:themeColor="text1"/>
          <w:sz w:val="22"/>
          <w:szCs w:val="22"/>
          <w:lang w:val="es-ES_tradnl"/>
        </w:rPr>
        <w:t xml:space="preserve"> Ello no solo porque el artículo </w:t>
      </w:r>
      <w:r w:rsidR="000B1057" w:rsidRPr="00462E1D">
        <w:rPr>
          <w:rFonts w:ascii="Arial" w:hAnsi="Arial" w:cs="Arial"/>
          <w:color w:val="000000" w:themeColor="text1"/>
          <w:sz w:val="22"/>
          <w:szCs w:val="22"/>
          <w:lang w:val="es-ES_tradnl"/>
        </w:rPr>
        <w:t xml:space="preserve">84 de esta Ley dice que «rige a partir del momento de su promulgación», es decir, desde el 31 de diciembre de 2020, sino además porque </w:t>
      </w:r>
      <w:r w:rsidR="00AE5899" w:rsidRPr="00462E1D">
        <w:rPr>
          <w:rFonts w:ascii="Arial" w:hAnsi="Arial" w:cs="Arial"/>
          <w:color w:val="000000" w:themeColor="text1"/>
          <w:sz w:val="22"/>
          <w:szCs w:val="22"/>
          <w:lang w:val="es-ES_tradnl"/>
        </w:rPr>
        <w:t xml:space="preserve">la misma disposición señala que </w:t>
      </w:r>
      <w:r w:rsidR="00EF07FB" w:rsidRPr="00462E1D">
        <w:rPr>
          <w:rFonts w:ascii="Arial" w:hAnsi="Arial" w:cs="Arial"/>
          <w:color w:val="000000" w:themeColor="text1"/>
          <w:sz w:val="22"/>
          <w:szCs w:val="22"/>
          <w:lang w:val="es-ES_tradnl"/>
        </w:rPr>
        <w:t xml:space="preserve">la Ley </w:t>
      </w:r>
      <w:r w:rsidR="006F0F34">
        <w:rPr>
          <w:rFonts w:ascii="Arial" w:hAnsi="Arial" w:cs="Arial"/>
          <w:color w:val="000000" w:themeColor="text1"/>
          <w:sz w:val="22"/>
          <w:szCs w:val="22"/>
          <w:lang w:val="es-ES_tradnl"/>
        </w:rPr>
        <w:t>2069</w:t>
      </w:r>
      <w:r w:rsidR="00EF07FB" w:rsidRPr="00462E1D">
        <w:rPr>
          <w:rFonts w:ascii="Arial" w:hAnsi="Arial" w:cs="Arial"/>
          <w:color w:val="000000" w:themeColor="text1"/>
          <w:sz w:val="22"/>
          <w:szCs w:val="22"/>
          <w:lang w:val="es-ES_tradnl"/>
        </w:rPr>
        <w:t xml:space="preserve"> de 2020 deroga «[…] todas las disposiciones que le sean contrarias». Se presenta una antinomia o contradicción normativa cuando dos o más disposiciones normativas regulan en sentido diferente un tema.</w:t>
      </w:r>
      <w:r w:rsidR="00583E07" w:rsidRPr="00462E1D">
        <w:rPr>
          <w:rFonts w:ascii="Arial" w:hAnsi="Arial" w:cs="Arial"/>
          <w:color w:val="000000" w:themeColor="text1"/>
          <w:sz w:val="22"/>
          <w:szCs w:val="22"/>
          <w:lang w:val="es-ES_tradnl"/>
        </w:rPr>
        <w:t xml:space="preserve"> Bajo esta consideración, como el artículo 35 de la Ley </w:t>
      </w:r>
      <w:r w:rsidR="006F0F34">
        <w:rPr>
          <w:rFonts w:ascii="Arial" w:hAnsi="Arial" w:cs="Arial"/>
          <w:color w:val="000000" w:themeColor="text1"/>
          <w:sz w:val="22"/>
          <w:szCs w:val="22"/>
          <w:lang w:val="es-ES_tradnl"/>
        </w:rPr>
        <w:t>2069</w:t>
      </w:r>
      <w:r w:rsidR="00583E07" w:rsidRPr="00462E1D">
        <w:rPr>
          <w:rFonts w:ascii="Arial" w:hAnsi="Arial" w:cs="Arial"/>
          <w:color w:val="000000" w:themeColor="text1"/>
          <w:sz w:val="22"/>
          <w:szCs w:val="22"/>
          <w:lang w:val="es-ES_tradnl"/>
        </w:rPr>
        <w:t xml:space="preserve"> de 2020 regula en forma distinta</w:t>
      </w:r>
      <w:r w:rsidR="00AB24F8" w:rsidRPr="00462E1D">
        <w:rPr>
          <w:rFonts w:ascii="Arial" w:hAnsi="Arial" w:cs="Arial"/>
          <w:color w:val="000000" w:themeColor="text1"/>
          <w:sz w:val="22"/>
          <w:szCs w:val="22"/>
          <w:lang w:val="es-ES_tradnl"/>
        </w:rPr>
        <w:t xml:space="preserve"> a como lo hacía el artículo 2.2.1.1.2.2.9. del Decreto 1082 de 2015 </w:t>
      </w:r>
      <w:r w:rsidR="00397C34" w:rsidRPr="00462E1D">
        <w:rPr>
          <w:rFonts w:ascii="Arial" w:hAnsi="Arial" w:cs="Arial"/>
          <w:color w:val="000000" w:themeColor="text1"/>
          <w:sz w:val="22"/>
          <w:szCs w:val="22"/>
          <w:lang w:val="es-ES_tradnl"/>
        </w:rPr>
        <w:t>la aplicación de los factores de desempate,</w:t>
      </w:r>
      <w:r w:rsidR="00AB24F8" w:rsidRPr="00462E1D">
        <w:rPr>
          <w:rFonts w:ascii="Arial" w:hAnsi="Arial" w:cs="Arial"/>
          <w:color w:val="000000" w:themeColor="text1"/>
          <w:sz w:val="22"/>
          <w:szCs w:val="22"/>
          <w:lang w:val="es-ES_tradnl"/>
        </w:rPr>
        <w:t xml:space="preserve"> </w:t>
      </w:r>
      <w:r w:rsidR="0018007F" w:rsidRPr="00462E1D">
        <w:rPr>
          <w:rFonts w:ascii="Arial" w:hAnsi="Arial" w:cs="Arial"/>
          <w:color w:val="000000" w:themeColor="text1"/>
          <w:sz w:val="22"/>
          <w:szCs w:val="22"/>
          <w:lang w:val="es-ES_tradnl"/>
        </w:rPr>
        <w:t xml:space="preserve">este último </w:t>
      </w:r>
      <w:r w:rsidR="00AB24F8" w:rsidRPr="00462E1D">
        <w:rPr>
          <w:rFonts w:ascii="Arial" w:hAnsi="Arial" w:cs="Arial"/>
          <w:color w:val="000000" w:themeColor="text1"/>
          <w:sz w:val="22"/>
          <w:szCs w:val="22"/>
          <w:lang w:val="es-ES_tradnl"/>
        </w:rPr>
        <w:t xml:space="preserve">debe entenderse derogado. </w:t>
      </w:r>
    </w:p>
    <w:p w14:paraId="1523A9FF" w14:textId="22836172" w:rsidR="0016204B" w:rsidRPr="00C440B6" w:rsidRDefault="00AB24F8" w:rsidP="00AC4AD2">
      <w:pPr>
        <w:spacing w:before="120" w:line="276" w:lineRule="auto"/>
        <w:ind w:firstLine="709"/>
        <w:jc w:val="both"/>
        <w:rPr>
          <w:rFonts w:ascii="Arial" w:hAnsi="Arial" w:cs="Arial"/>
          <w:color w:val="000000" w:themeColor="text1"/>
          <w:sz w:val="22"/>
          <w:szCs w:val="22"/>
          <w:lang w:val="es-ES_tradnl"/>
        </w:rPr>
      </w:pPr>
      <w:r w:rsidRPr="00462E1D">
        <w:rPr>
          <w:rFonts w:ascii="Arial" w:hAnsi="Arial" w:cs="Arial"/>
          <w:color w:val="000000" w:themeColor="text1"/>
          <w:sz w:val="22"/>
          <w:szCs w:val="22"/>
          <w:lang w:val="es-ES_tradnl"/>
        </w:rPr>
        <w:t xml:space="preserve">Un argumento adicional para sostener esta tesis tiene que ver con el fenómeno de la pérdida de fuerza ejecutoria –o decaimiento– de los actos administrativos, regulado en el numeral </w:t>
      </w:r>
      <w:r w:rsidR="00A639A9" w:rsidRPr="00462E1D">
        <w:rPr>
          <w:rFonts w:ascii="Arial" w:hAnsi="Arial" w:cs="Arial"/>
          <w:color w:val="000000" w:themeColor="text1"/>
          <w:sz w:val="22"/>
          <w:szCs w:val="22"/>
          <w:lang w:val="es-ES_tradnl"/>
        </w:rPr>
        <w:t>2 del artículo 91 de la Ley 1437 de 2011.</w:t>
      </w:r>
      <w:r w:rsidR="005907D4" w:rsidRPr="00462E1D">
        <w:rPr>
          <w:rFonts w:ascii="Arial" w:hAnsi="Arial" w:cs="Arial"/>
          <w:color w:val="000000" w:themeColor="text1"/>
          <w:sz w:val="22"/>
          <w:szCs w:val="22"/>
          <w:lang w:val="es-ES_tradnl"/>
        </w:rPr>
        <w:t xml:space="preserve"> </w:t>
      </w:r>
      <w:r w:rsidR="00A639A9" w:rsidRPr="00462E1D">
        <w:rPr>
          <w:rFonts w:ascii="Arial" w:hAnsi="Arial" w:cs="Arial"/>
          <w:color w:val="000000" w:themeColor="text1"/>
          <w:sz w:val="22"/>
          <w:szCs w:val="22"/>
          <w:lang w:val="es-ES_tradnl"/>
        </w:rPr>
        <w:t xml:space="preserve">Esta norma señala que los actos administrativos pierden fuerza ejecutoria </w:t>
      </w:r>
      <w:r w:rsidR="0064194F" w:rsidRPr="00462E1D">
        <w:rPr>
          <w:rFonts w:ascii="Arial" w:hAnsi="Arial" w:cs="Arial"/>
          <w:color w:val="000000" w:themeColor="text1"/>
          <w:sz w:val="22"/>
          <w:szCs w:val="22"/>
          <w:lang w:val="es-ES_tradnl"/>
        </w:rPr>
        <w:t xml:space="preserve">«Cuando desaparezcan sus fundamentos de hecho o de derecho». </w:t>
      </w:r>
      <w:bookmarkStart w:id="2" w:name="_Hlk62546732"/>
      <w:r w:rsidR="0064194F" w:rsidRPr="00462E1D">
        <w:rPr>
          <w:rFonts w:ascii="Arial" w:hAnsi="Arial" w:cs="Arial"/>
          <w:color w:val="000000" w:themeColor="text1"/>
          <w:sz w:val="22"/>
          <w:szCs w:val="22"/>
          <w:lang w:val="es-ES_tradnl"/>
        </w:rPr>
        <w:t xml:space="preserve">Dado que el Decreto 1082 de 2015 es un reglamento </w:t>
      </w:r>
      <w:proofErr w:type="spellStart"/>
      <w:r w:rsidR="0064194F" w:rsidRPr="00462E1D">
        <w:rPr>
          <w:rFonts w:ascii="Arial" w:hAnsi="Arial" w:cs="Arial"/>
          <w:i/>
          <w:iCs/>
          <w:color w:val="000000" w:themeColor="text1"/>
          <w:sz w:val="22"/>
          <w:szCs w:val="22"/>
          <w:lang w:val="es-ES_tradnl"/>
        </w:rPr>
        <w:t>secundum</w:t>
      </w:r>
      <w:proofErr w:type="spellEnd"/>
      <w:r w:rsidR="0064194F" w:rsidRPr="00462E1D">
        <w:rPr>
          <w:rFonts w:ascii="Arial" w:hAnsi="Arial" w:cs="Arial"/>
          <w:i/>
          <w:iCs/>
          <w:color w:val="000000" w:themeColor="text1"/>
          <w:sz w:val="22"/>
          <w:szCs w:val="22"/>
          <w:lang w:val="es-ES_tradnl"/>
        </w:rPr>
        <w:t xml:space="preserve"> </w:t>
      </w:r>
      <w:proofErr w:type="spellStart"/>
      <w:r w:rsidR="0064194F" w:rsidRPr="00462E1D">
        <w:rPr>
          <w:rFonts w:ascii="Arial" w:hAnsi="Arial" w:cs="Arial"/>
          <w:i/>
          <w:iCs/>
          <w:color w:val="000000" w:themeColor="text1"/>
          <w:sz w:val="22"/>
          <w:szCs w:val="22"/>
          <w:lang w:val="es-ES_tradnl"/>
        </w:rPr>
        <w:t>legem</w:t>
      </w:r>
      <w:proofErr w:type="spellEnd"/>
      <w:r w:rsidR="0064194F" w:rsidRPr="00462E1D">
        <w:rPr>
          <w:rFonts w:ascii="Arial" w:hAnsi="Arial" w:cs="Arial"/>
          <w:color w:val="000000" w:themeColor="text1"/>
          <w:sz w:val="22"/>
          <w:szCs w:val="22"/>
          <w:lang w:val="es-ES_tradnl"/>
        </w:rPr>
        <w:t xml:space="preserve"> </w:t>
      </w:r>
      <w:r w:rsidR="00E305A8" w:rsidRPr="00462E1D">
        <w:rPr>
          <w:rFonts w:ascii="Arial" w:hAnsi="Arial" w:cs="Arial"/>
          <w:color w:val="000000" w:themeColor="text1"/>
          <w:sz w:val="22"/>
          <w:szCs w:val="22"/>
          <w:lang w:val="es-ES_tradnl"/>
        </w:rPr>
        <w:t xml:space="preserve">–es decir, que desarrolla </w:t>
      </w:r>
      <w:r w:rsidR="00F44120" w:rsidRPr="00462E1D">
        <w:rPr>
          <w:rFonts w:ascii="Arial" w:hAnsi="Arial" w:cs="Arial"/>
          <w:color w:val="000000" w:themeColor="text1"/>
          <w:sz w:val="22"/>
          <w:szCs w:val="22"/>
          <w:lang w:val="es-ES_tradnl"/>
        </w:rPr>
        <w:t>una norma de mayor jerarquía</w:t>
      </w:r>
      <w:r w:rsidR="00E305A8" w:rsidRPr="00462E1D">
        <w:rPr>
          <w:rFonts w:ascii="Arial" w:hAnsi="Arial" w:cs="Arial"/>
          <w:color w:val="000000" w:themeColor="text1"/>
          <w:sz w:val="22"/>
          <w:szCs w:val="22"/>
          <w:lang w:val="es-ES_tradnl"/>
        </w:rPr>
        <w:t>–</w:t>
      </w:r>
      <w:r w:rsidR="004B6EF5" w:rsidRPr="00462E1D">
        <w:rPr>
          <w:rFonts w:ascii="Arial" w:hAnsi="Arial" w:cs="Arial"/>
          <w:color w:val="000000" w:themeColor="text1"/>
          <w:sz w:val="22"/>
          <w:szCs w:val="22"/>
          <w:lang w:val="es-ES_tradnl"/>
        </w:rPr>
        <w:t>, la expedición de una ley</w:t>
      </w:r>
      <w:r w:rsidR="008E26D9" w:rsidRPr="00462E1D">
        <w:rPr>
          <w:rFonts w:ascii="Arial" w:hAnsi="Arial" w:cs="Arial"/>
          <w:color w:val="000000" w:themeColor="text1"/>
          <w:sz w:val="22"/>
          <w:szCs w:val="22"/>
          <w:lang w:val="es-ES_tradnl"/>
        </w:rPr>
        <w:t xml:space="preserve"> en sentido formal</w:t>
      </w:r>
      <w:r w:rsidR="00C03664" w:rsidRPr="00462E1D">
        <w:rPr>
          <w:rFonts w:ascii="Arial" w:hAnsi="Arial" w:cs="Arial"/>
          <w:color w:val="000000" w:themeColor="text1"/>
          <w:sz w:val="22"/>
          <w:szCs w:val="22"/>
          <w:lang w:val="es-ES_tradnl"/>
        </w:rPr>
        <w:t xml:space="preserve"> –</w:t>
      </w:r>
      <w:r w:rsidR="008E26D9" w:rsidRPr="00462E1D">
        <w:rPr>
          <w:rFonts w:ascii="Arial" w:hAnsi="Arial" w:cs="Arial"/>
          <w:color w:val="000000" w:themeColor="text1"/>
          <w:sz w:val="22"/>
          <w:szCs w:val="22"/>
          <w:lang w:val="es-ES_tradnl"/>
        </w:rPr>
        <w:t xml:space="preserve">es decir, </w:t>
      </w:r>
      <w:r w:rsidR="00F44120" w:rsidRPr="00462E1D">
        <w:rPr>
          <w:rFonts w:ascii="Arial" w:hAnsi="Arial" w:cs="Arial"/>
          <w:color w:val="000000" w:themeColor="text1"/>
          <w:sz w:val="22"/>
          <w:szCs w:val="22"/>
          <w:lang w:val="es-ES_tradnl"/>
        </w:rPr>
        <w:t>una fuente que condiciona el contenido de este último</w:t>
      </w:r>
      <w:r w:rsidR="00C03664" w:rsidRPr="00462E1D">
        <w:rPr>
          <w:rFonts w:ascii="Arial" w:hAnsi="Arial" w:cs="Arial"/>
          <w:color w:val="000000" w:themeColor="text1"/>
          <w:sz w:val="22"/>
          <w:szCs w:val="22"/>
          <w:lang w:val="es-ES_tradnl"/>
        </w:rPr>
        <w:t>–</w:t>
      </w:r>
      <w:r w:rsidR="008E26D9" w:rsidRPr="00462E1D">
        <w:rPr>
          <w:rFonts w:ascii="Arial" w:hAnsi="Arial" w:cs="Arial"/>
          <w:color w:val="000000" w:themeColor="text1"/>
          <w:sz w:val="22"/>
          <w:szCs w:val="22"/>
          <w:lang w:val="es-ES_tradnl"/>
        </w:rPr>
        <w:t>, hace que la disposición reglamentaria decaiga</w:t>
      </w:r>
      <w:bookmarkEnd w:id="2"/>
      <w:r w:rsidR="008E26D9" w:rsidRPr="00462E1D">
        <w:rPr>
          <w:rFonts w:ascii="Arial" w:hAnsi="Arial" w:cs="Arial"/>
          <w:color w:val="000000" w:themeColor="text1"/>
          <w:sz w:val="22"/>
          <w:szCs w:val="22"/>
          <w:lang w:val="es-ES_tradnl"/>
        </w:rPr>
        <w:t>.</w:t>
      </w:r>
      <w:r w:rsidR="008E26D9" w:rsidRPr="00C440B6">
        <w:rPr>
          <w:rFonts w:ascii="Arial" w:hAnsi="Arial" w:cs="Arial"/>
          <w:color w:val="000000" w:themeColor="text1"/>
          <w:sz w:val="22"/>
          <w:szCs w:val="22"/>
          <w:lang w:val="es-ES_tradnl"/>
        </w:rPr>
        <w:t xml:space="preserve"> </w:t>
      </w:r>
      <w:r w:rsidR="00397C34" w:rsidRPr="00C440B6">
        <w:rPr>
          <w:rFonts w:ascii="Arial" w:hAnsi="Arial" w:cs="Arial"/>
          <w:color w:val="000000" w:themeColor="text1"/>
          <w:sz w:val="22"/>
          <w:szCs w:val="22"/>
          <w:lang w:val="es-ES_tradnl"/>
        </w:rPr>
        <w:t xml:space="preserve"> </w:t>
      </w:r>
      <w:r w:rsidR="00817661" w:rsidRPr="00C440B6">
        <w:rPr>
          <w:rFonts w:ascii="Arial" w:hAnsi="Arial" w:cs="Arial"/>
          <w:color w:val="000000" w:themeColor="text1"/>
          <w:sz w:val="22"/>
          <w:szCs w:val="22"/>
          <w:lang w:val="es-ES_tradnl"/>
        </w:rPr>
        <w:t xml:space="preserve"> </w:t>
      </w:r>
      <w:r w:rsidR="00530059" w:rsidRPr="00C440B6">
        <w:rPr>
          <w:rFonts w:ascii="Arial" w:hAnsi="Arial" w:cs="Arial"/>
          <w:color w:val="000000" w:themeColor="text1"/>
          <w:sz w:val="22"/>
          <w:szCs w:val="22"/>
          <w:lang w:val="es-ES_tradnl"/>
        </w:rPr>
        <w:t xml:space="preserve"> </w:t>
      </w:r>
      <w:r w:rsidR="006A4F85" w:rsidRPr="00C440B6">
        <w:rPr>
          <w:rFonts w:ascii="Arial" w:hAnsi="Arial" w:cs="Arial"/>
          <w:color w:val="000000" w:themeColor="text1"/>
          <w:sz w:val="22"/>
          <w:szCs w:val="22"/>
          <w:lang w:val="es-ES_tradnl"/>
        </w:rPr>
        <w:t xml:space="preserve"> </w:t>
      </w:r>
      <w:r w:rsidR="002A7D84" w:rsidRPr="00C440B6">
        <w:rPr>
          <w:rFonts w:ascii="Arial" w:hAnsi="Arial" w:cs="Arial"/>
          <w:color w:val="000000" w:themeColor="text1"/>
          <w:sz w:val="22"/>
          <w:szCs w:val="22"/>
          <w:lang w:val="es-ES_tradnl"/>
        </w:rPr>
        <w:t xml:space="preserve"> </w:t>
      </w:r>
    </w:p>
    <w:p w14:paraId="29CE965B" w14:textId="77777777" w:rsidR="00AC4AD2" w:rsidRPr="00C440B6" w:rsidRDefault="00AC4AD2" w:rsidP="00510DE9">
      <w:pPr>
        <w:tabs>
          <w:tab w:val="left" w:pos="0"/>
        </w:tabs>
        <w:jc w:val="both"/>
        <w:rPr>
          <w:rFonts w:ascii="Arial" w:eastAsia="Calibri" w:hAnsi="Arial" w:cs="Arial"/>
          <w:b/>
          <w:color w:val="000000" w:themeColor="text1"/>
          <w:sz w:val="22"/>
          <w:lang w:val="es-ES_tradnl"/>
        </w:rPr>
      </w:pPr>
    </w:p>
    <w:p w14:paraId="37CA9805" w14:textId="74A99BE5" w:rsidR="00DD5B04" w:rsidRPr="00C440B6" w:rsidRDefault="004177A6" w:rsidP="00510DE9">
      <w:pPr>
        <w:tabs>
          <w:tab w:val="left" w:pos="0"/>
        </w:tabs>
        <w:jc w:val="both"/>
        <w:rPr>
          <w:rFonts w:ascii="Arial" w:eastAsia="Calibri" w:hAnsi="Arial" w:cs="Arial"/>
          <w:b/>
          <w:color w:val="000000" w:themeColor="text1"/>
          <w:sz w:val="22"/>
          <w:lang w:val="es-ES_tradnl"/>
        </w:rPr>
      </w:pPr>
      <w:r w:rsidRPr="00C440B6">
        <w:rPr>
          <w:rFonts w:ascii="Arial" w:eastAsia="Calibri" w:hAnsi="Arial" w:cs="Arial"/>
          <w:b/>
          <w:color w:val="000000" w:themeColor="text1"/>
          <w:sz w:val="22"/>
          <w:lang w:val="es-ES_tradnl"/>
        </w:rPr>
        <w:t>3</w:t>
      </w:r>
      <w:r w:rsidR="00B011A9" w:rsidRPr="00C440B6">
        <w:rPr>
          <w:rFonts w:ascii="Arial" w:eastAsia="Calibri" w:hAnsi="Arial" w:cs="Arial"/>
          <w:b/>
          <w:color w:val="000000" w:themeColor="text1"/>
          <w:sz w:val="22"/>
          <w:lang w:val="es-ES_tradnl"/>
        </w:rPr>
        <w:t xml:space="preserve">. </w:t>
      </w:r>
      <w:r w:rsidR="00DD5B04" w:rsidRPr="00C440B6">
        <w:rPr>
          <w:rFonts w:ascii="Arial" w:eastAsia="Calibri" w:hAnsi="Arial" w:cs="Arial"/>
          <w:b/>
          <w:color w:val="000000" w:themeColor="text1"/>
          <w:sz w:val="22"/>
          <w:lang w:val="es-ES_tradnl"/>
        </w:rPr>
        <w:t>Respuesta</w:t>
      </w:r>
      <w:r w:rsidR="002A7D84" w:rsidRPr="00C440B6">
        <w:rPr>
          <w:rFonts w:ascii="Arial" w:eastAsia="Calibri" w:hAnsi="Arial" w:cs="Arial"/>
          <w:b/>
          <w:color w:val="000000" w:themeColor="text1"/>
          <w:sz w:val="22"/>
          <w:lang w:val="es-ES_tradnl"/>
        </w:rPr>
        <w:t>s</w:t>
      </w:r>
    </w:p>
    <w:p w14:paraId="0B74D5B8" w14:textId="7F0A7F13" w:rsidR="00C4581D" w:rsidRPr="00C440B6" w:rsidRDefault="00C4581D" w:rsidP="00510DE9">
      <w:pPr>
        <w:tabs>
          <w:tab w:val="left" w:pos="0"/>
        </w:tabs>
        <w:jc w:val="both"/>
        <w:rPr>
          <w:rFonts w:ascii="Arial" w:eastAsia="Calibri" w:hAnsi="Arial" w:cs="Arial"/>
          <w:color w:val="000000" w:themeColor="text1"/>
          <w:sz w:val="22"/>
          <w:lang w:val="es-ES_tradnl"/>
        </w:rPr>
      </w:pPr>
    </w:p>
    <w:p w14:paraId="3B32ECA7" w14:textId="77777777" w:rsidR="00905336" w:rsidRPr="00C440B6" w:rsidRDefault="00905336" w:rsidP="00905336">
      <w:pPr>
        <w:ind w:left="709" w:right="709"/>
        <w:jc w:val="both"/>
        <w:rPr>
          <w:rFonts w:ascii="Arial" w:hAnsi="Arial" w:cs="Arial"/>
          <w:color w:val="000000" w:themeColor="text1"/>
          <w:sz w:val="21"/>
          <w:szCs w:val="21"/>
          <w:lang w:val="es-ES_tradnl"/>
        </w:rPr>
      </w:pPr>
      <w:r w:rsidRPr="00C440B6">
        <w:rPr>
          <w:rFonts w:ascii="Arial" w:hAnsi="Arial" w:cs="Arial"/>
          <w:color w:val="000000" w:themeColor="text1"/>
          <w:sz w:val="21"/>
          <w:szCs w:val="21"/>
          <w:lang w:val="es-ES_tradnl"/>
        </w:rPr>
        <w:t>«1. ¿Cuál de los factores de desempate son aplicables a los contenidos en la Ley 2069 de 2020 o el Decreto 1082 de 2015? (sic)</w:t>
      </w:r>
    </w:p>
    <w:p w14:paraId="2BAD9EE8" w14:textId="77777777" w:rsidR="00905336" w:rsidRPr="00C440B6" w:rsidRDefault="00905336" w:rsidP="00905336">
      <w:pPr>
        <w:ind w:left="709" w:right="709"/>
        <w:jc w:val="both"/>
        <w:rPr>
          <w:rFonts w:ascii="Arial" w:hAnsi="Arial" w:cs="Arial"/>
          <w:color w:val="000000" w:themeColor="text1"/>
          <w:sz w:val="21"/>
          <w:szCs w:val="21"/>
          <w:lang w:val="es-ES_tradnl"/>
        </w:rPr>
      </w:pPr>
    </w:p>
    <w:p w14:paraId="3EB5F4C3" w14:textId="77777777" w:rsidR="00905336" w:rsidRPr="00C440B6" w:rsidRDefault="00905336" w:rsidP="00905336">
      <w:pPr>
        <w:ind w:left="709" w:right="709"/>
        <w:jc w:val="both"/>
        <w:rPr>
          <w:rFonts w:ascii="Arial" w:hAnsi="Arial" w:cs="Arial"/>
          <w:color w:val="000000" w:themeColor="text1"/>
          <w:sz w:val="21"/>
          <w:szCs w:val="21"/>
          <w:lang w:val="es-ES_tradnl"/>
        </w:rPr>
      </w:pPr>
      <w:r w:rsidRPr="00C440B6">
        <w:rPr>
          <w:rFonts w:ascii="Arial" w:hAnsi="Arial" w:cs="Arial"/>
          <w:color w:val="000000" w:themeColor="text1"/>
          <w:sz w:val="21"/>
          <w:szCs w:val="21"/>
          <w:lang w:val="es-ES_tradnl"/>
        </w:rPr>
        <w:t>»2. ¿Los factores de desempate de la Ley 2069 de 2020 son aplicables a las entidades estatales sin considerar su régimen de contratación?»</w:t>
      </w:r>
    </w:p>
    <w:p w14:paraId="35D2EB08" w14:textId="77777777" w:rsidR="00F740A0" w:rsidRPr="00C440B6" w:rsidRDefault="00F740A0" w:rsidP="00DF76A2">
      <w:pPr>
        <w:spacing w:line="276" w:lineRule="auto"/>
        <w:jc w:val="both"/>
        <w:rPr>
          <w:rFonts w:ascii="Arial" w:eastAsia="Calibri" w:hAnsi="Arial" w:cs="Arial"/>
          <w:color w:val="000000" w:themeColor="text1"/>
          <w:sz w:val="22"/>
          <w:szCs w:val="22"/>
          <w:lang w:val="es-ES_tradnl"/>
        </w:rPr>
      </w:pPr>
    </w:p>
    <w:p w14:paraId="43708F48" w14:textId="052A1613" w:rsidR="00CA5E65" w:rsidRPr="00C440B6" w:rsidRDefault="00F740A0" w:rsidP="00DF76A2">
      <w:pPr>
        <w:spacing w:line="276" w:lineRule="auto"/>
        <w:jc w:val="both"/>
        <w:rPr>
          <w:rFonts w:ascii="Arial" w:eastAsia="Calibri" w:hAnsi="Arial" w:cs="Arial"/>
          <w:color w:val="000000" w:themeColor="text1"/>
          <w:sz w:val="22"/>
          <w:szCs w:val="22"/>
          <w:lang w:val="es-ES_tradnl"/>
        </w:rPr>
      </w:pPr>
      <w:r w:rsidRPr="00C440B6">
        <w:rPr>
          <w:rFonts w:ascii="Arial" w:eastAsia="Calibri" w:hAnsi="Arial" w:cs="Arial"/>
          <w:color w:val="000000" w:themeColor="text1"/>
          <w:sz w:val="22"/>
          <w:szCs w:val="22"/>
          <w:lang w:val="es-ES_tradnl"/>
        </w:rPr>
        <w:t xml:space="preserve">El artículo 35 de la Ley </w:t>
      </w:r>
      <w:r w:rsidR="006F0F34">
        <w:rPr>
          <w:rFonts w:ascii="Arial" w:eastAsia="Calibri" w:hAnsi="Arial" w:cs="Arial"/>
          <w:color w:val="000000" w:themeColor="text1"/>
          <w:sz w:val="22"/>
          <w:szCs w:val="22"/>
          <w:lang w:val="es-ES_tradnl"/>
        </w:rPr>
        <w:t>2069</w:t>
      </w:r>
      <w:r w:rsidRPr="00C440B6">
        <w:rPr>
          <w:rFonts w:ascii="Arial" w:eastAsia="Calibri" w:hAnsi="Arial" w:cs="Arial"/>
          <w:color w:val="000000" w:themeColor="text1"/>
          <w:sz w:val="22"/>
          <w:szCs w:val="22"/>
          <w:lang w:val="es-ES_tradnl"/>
        </w:rPr>
        <w:t xml:space="preserve"> de 2020, que modifica el régimen de los factores de desempate en la contratación estatal, se encuentra vigente y goza de aplicación directa desde la fecha de su promulgación, </w:t>
      </w:r>
      <w:r w:rsidR="0018007F">
        <w:rPr>
          <w:rFonts w:ascii="Arial" w:eastAsia="Calibri" w:hAnsi="Arial" w:cs="Arial"/>
          <w:color w:val="000000" w:themeColor="text1"/>
          <w:sz w:val="22"/>
          <w:szCs w:val="22"/>
          <w:lang w:val="es-ES_tradnl"/>
        </w:rPr>
        <w:t>es decir,</w:t>
      </w:r>
      <w:r w:rsidRPr="00C440B6">
        <w:rPr>
          <w:rFonts w:ascii="Arial" w:eastAsia="Calibri" w:hAnsi="Arial" w:cs="Arial"/>
          <w:color w:val="000000" w:themeColor="text1"/>
          <w:sz w:val="22"/>
          <w:szCs w:val="22"/>
          <w:lang w:val="es-ES_tradnl"/>
        </w:rPr>
        <w:t xml:space="preserve"> no requiere de una reglamentación previa como presupuesto para su eficacia.</w:t>
      </w:r>
      <w:r w:rsidR="00470552" w:rsidRPr="00C440B6">
        <w:rPr>
          <w:rFonts w:ascii="Arial" w:eastAsia="Calibri" w:hAnsi="Arial" w:cs="Arial"/>
          <w:color w:val="000000" w:themeColor="text1"/>
          <w:sz w:val="22"/>
          <w:szCs w:val="22"/>
          <w:lang w:val="es-ES_tradnl"/>
        </w:rPr>
        <w:t xml:space="preserve"> </w:t>
      </w:r>
      <w:r w:rsidR="0018007F">
        <w:rPr>
          <w:rFonts w:ascii="Arial" w:eastAsia="Calibri" w:hAnsi="Arial" w:cs="Arial"/>
          <w:color w:val="000000" w:themeColor="text1"/>
          <w:sz w:val="22"/>
          <w:szCs w:val="22"/>
          <w:lang w:val="es-ES_tradnl"/>
        </w:rPr>
        <w:t>Estos</w:t>
      </w:r>
      <w:r w:rsidR="009E41E5" w:rsidRPr="00C440B6">
        <w:rPr>
          <w:rFonts w:ascii="Arial" w:eastAsia="Calibri" w:hAnsi="Arial" w:cs="Arial"/>
          <w:color w:val="000000" w:themeColor="text1"/>
          <w:sz w:val="22"/>
          <w:szCs w:val="22"/>
          <w:lang w:val="es-ES_tradnl"/>
        </w:rPr>
        <w:t xml:space="preserve"> criterios de desempate </w:t>
      </w:r>
      <w:r w:rsidR="0018007F" w:rsidRPr="00C440B6">
        <w:rPr>
          <w:rFonts w:ascii="Arial" w:eastAsia="Calibri" w:hAnsi="Arial" w:cs="Arial"/>
          <w:color w:val="000000" w:themeColor="text1"/>
          <w:sz w:val="22"/>
          <w:szCs w:val="22"/>
          <w:lang w:val="es-ES_tradnl"/>
        </w:rPr>
        <w:t>actualmente</w:t>
      </w:r>
      <w:r w:rsidR="0018007F" w:rsidRPr="00C440B6" w:rsidDel="0018007F">
        <w:rPr>
          <w:rFonts w:ascii="Arial" w:eastAsia="Calibri" w:hAnsi="Arial" w:cs="Arial"/>
          <w:color w:val="000000" w:themeColor="text1"/>
          <w:sz w:val="22"/>
          <w:szCs w:val="22"/>
          <w:lang w:val="es-ES_tradnl"/>
        </w:rPr>
        <w:t xml:space="preserve"> </w:t>
      </w:r>
      <w:r w:rsidR="009E41E5" w:rsidRPr="00C440B6">
        <w:rPr>
          <w:rFonts w:ascii="Arial" w:eastAsia="Calibri" w:hAnsi="Arial" w:cs="Arial"/>
          <w:color w:val="000000" w:themeColor="text1"/>
          <w:sz w:val="22"/>
          <w:szCs w:val="22"/>
          <w:lang w:val="es-ES_tradnl"/>
        </w:rPr>
        <w:t>son</w:t>
      </w:r>
      <w:r w:rsidR="00DB31EE" w:rsidRPr="00C440B6">
        <w:rPr>
          <w:rFonts w:ascii="Arial" w:eastAsia="Calibri" w:hAnsi="Arial" w:cs="Arial"/>
          <w:color w:val="000000" w:themeColor="text1"/>
          <w:sz w:val="22"/>
          <w:szCs w:val="22"/>
          <w:lang w:val="es-ES_tradnl"/>
        </w:rPr>
        <w:t xml:space="preserve"> </w:t>
      </w:r>
      <w:r w:rsidR="009E41E5" w:rsidRPr="00C440B6">
        <w:rPr>
          <w:rFonts w:ascii="Arial" w:eastAsia="Calibri" w:hAnsi="Arial" w:cs="Arial"/>
          <w:color w:val="000000" w:themeColor="text1"/>
          <w:sz w:val="22"/>
          <w:szCs w:val="22"/>
          <w:lang w:val="es-ES_tradnl"/>
        </w:rPr>
        <w:t>aplicables</w:t>
      </w:r>
      <w:r w:rsidR="00DB31EE" w:rsidRPr="00C440B6">
        <w:rPr>
          <w:rFonts w:ascii="Arial" w:eastAsia="Calibri" w:hAnsi="Arial" w:cs="Arial"/>
          <w:color w:val="000000" w:themeColor="text1"/>
          <w:sz w:val="22"/>
          <w:szCs w:val="22"/>
          <w:lang w:val="es-ES_tradnl"/>
        </w:rPr>
        <w:t xml:space="preserve"> </w:t>
      </w:r>
      <w:r w:rsidR="009E41E5" w:rsidRPr="00C440B6">
        <w:rPr>
          <w:rFonts w:ascii="Arial" w:eastAsia="Calibri" w:hAnsi="Arial" w:cs="Arial"/>
          <w:color w:val="000000" w:themeColor="text1"/>
          <w:sz w:val="22"/>
          <w:szCs w:val="22"/>
          <w:lang w:val="es-ES_tradnl"/>
        </w:rPr>
        <w:t>a todas las entidades estatales</w:t>
      </w:r>
      <w:r w:rsidR="00DB31EE" w:rsidRPr="00C440B6">
        <w:rPr>
          <w:rFonts w:ascii="Arial" w:eastAsia="Calibri" w:hAnsi="Arial" w:cs="Arial"/>
          <w:color w:val="000000" w:themeColor="text1"/>
          <w:sz w:val="22"/>
          <w:szCs w:val="22"/>
          <w:lang w:val="es-ES_tradnl"/>
        </w:rPr>
        <w:t>, independientemente de su régimen de contratación.</w:t>
      </w:r>
    </w:p>
    <w:p w14:paraId="18FD7E98" w14:textId="4827E9F1" w:rsidR="00791744" w:rsidRPr="00C440B6" w:rsidRDefault="00C440B6" w:rsidP="00791744">
      <w:pPr>
        <w:spacing w:before="120" w:line="276" w:lineRule="auto"/>
        <w:ind w:firstLine="709"/>
        <w:jc w:val="both"/>
        <w:rPr>
          <w:rFonts w:ascii="Arial" w:hAnsi="Arial" w:cs="Arial"/>
          <w:color w:val="000000" w:themeColor="text1"/>
          <w:sz w:val="22"/>
          <w:szCs w:val="22"/>
          <w:lang w:val="es-ES_tradnl"/>
        </w:rPr>
      </w:pPr>
      <w:r w:rsidRPr="00C440B6">
        <w:rPr>
          <w:rFonts w:ascii="Arial" w:hAnsi="Arial" w:cs="Arial"/>
          <w:color w:val="000000" w:themeColor="text1"/>
          <w:sz w:val="22"/>
          <w:szCs w:val="22"/>
          <w:lang w:val="es-ES_tradnl"/>
        </w:rPr>
        <w:t>Además, s</w:t>
      </w:r>
      <w:r w:rsidR="00791744" w:rsidRPr="00C440B6">
        <w:rPr>
          <w:rFonts w:ascii="Arial" w:hAnsi="Arial" w:cs="Arial"/>
          <w:color w:val="000000" w:themeColor="text1"/>
          <w:sz w:val="22"/>
          <w:szCs w:val="22"/>
          <w:lang w:val="es-ES_tradnl"/>
        </w:rPr>
        <w:t>i bien los factores de desempate regulados en el artículo 35 deben aplicarse «</w:t>
      </w:r>
      <w:r w:rsidR="00791744" w:rsidRPr="00C440B6">
        <w:rPr>
          <w:rFonts w:ascii="Arial" w:hAnsi="Arial" w:cs="Arial"/>
          <w:sz w:val="22"/>
          <w:szCs w:val="22"/>
          <w:lang w:val="es-ES_tradnl"/>
        </w:rPr>
        <w:t xml:space="preserve">[…] </w:t>
      </w:r>
      <w:r w:rsidR="00791744" w:rsidRPr="00C440B6">
        <w:rPr>
          <w:rFonts w:ascii="Arial" w:hAnsi="Arial" w:cs="Arial"/>
          <w:color w:val="000000" w:themeColor="text1"/>
          <w:sz w:val="22"/>
          <w:szCs w:val="22"/>
          <w:lang w:val="es-ES_tradnl"/>
        </w:rPr>
        <w:t>de forma sucesiva y excluyente para seleccionar al oferente favorecido, respetando en todo caso los compromisos internacionales vigentes» –según lo dispone el inciso primero–, el parágrafo tercero del mencionado artículo establece que «El Gobierno Nacional podrá reglamentar la aplicación de factores de desempate en casos en que concurran dos o más de los factores aquí previstos». En otras palabras, dicho parágrafo le asigna potestad reglamentaria al gobierno nacional para definir factores que permitan desempatar las ofertas en aquellos casos en que varios oferentes reúnan al tiempo dos o más de los factores previstos en el artículo 35.</w:t>
      </w:r>
    </w:p>
    <w:p w14:paraId="355AC078" w14:textId="3297D5E3" w:rsidR="00C440B6" w:rsidRPr="00462E1D" w:rsidRDefault="00C440B6" w:rsidP="00C440B6">
      <w:pPr>
        <w:spacing w:before="120" w:line="276" w:lineRule="auto"/>
        <w:ind w:firstLine="709"/>
        <w:jc w:val="both"/>
        <w:rPr>
          <w:rFonts w:ascii="Arial" w:hAnsi="Arial" w:cs="Arial"/>
          <w:color w:val="000000" w:themeColor="text1"/>
          <w:sz w:val="22"/>
          <w:szCs w:val="22"/>
          <w:lang w:val="es-ES_tradnl"/>
        </w:rPr>
      </w:pPr>
      <w:r w:rsidRPr="00462E1D">
        <w:rPr>
          <w:rFonts w:ascii="Arial" w:hAnsi="Arial" w:cs="Arial"/>
          <w:color w:val="000000" w:themeColor="text1"/>
          <w:sz w:val="22"/>
          <w:szCs w:val="22"/>
          <w:lang w:val="es-ES_tradnl"/>
        </w:rPr>
        <w:t xml:space="preserve">Ahora bien, hasta la promulgación de la Ley </w:t>
      </w:r>
      <w:r w:rsidR="006F0F34">
        <w:rPr>
          <w:rFonts w:ascii="Arial" w:hAnsi="Arial" w:cs="Arial"/>
          <w:color w:val="000000" w:themeColor="text1"/>
          <w:sz w:val="22"/>
          <w:szCs w:val="22"/>
          <w:lang w:val="es-ES_tradnl"/>
        </w:rPr>
        <w:t>2069</w:t>
      </w:r>
      <w:r w:rsidRPr="00462E1D">
        <w:rPr>
          <w:rFonts w:ascii="Arial" w:hAnsi="Arial" w:cs="Arial"/>
          <w:color w:val="000000" w:themeColor="text1"/>
          <w:sz w:val="22"/>
          <w:szCs w:val="22"/>
          <w:lang w:val="es-ES_tradnl"/>
        </w:rPr>
        <w:t xml:space="preserve"> de 2020, el artículo 2.2.1.1.2.2.9. del Decreto 1082 de 2015 </w:t>
      </w:r>
      <w:r w:rsidR="001F10BD" w:rsidRPr="00462E1D">
        <w:rPr>
          <w:rFonts w:ascii="Arial" w:hAnsi="Arial" w:cs="Arial"/>
          <w:color w:val="000000" w:themeColor="text1"/>
          <w:sz w:val="22"/>
          <w:szCs w:val="22"/>
          <w:lang w:val="es-ES_tradnl"/>
        </w:rPr>
        <w:t>regulaba</w:t>
      </w:r>
      <w:r w:rsidRPr="00462E1D">
        <w:rPr>
          <w:rFonts w:ascii="Arial" w:hAnsi="Arial" w:cs="Arial"/>
          <w:color w:val="000000" w:themeColor="text1"/>
          <w:sz w:val="22"/>
          <w:szCs w:val="22"/>
          <w:lang w:val="es-ES_tradnl"/>
        </w:rPr>
        <w:t xml:space="preserve"> los factores de desempate que debían aplicarse en los procesos de selección. En criterio de esta </w:t>
      </w:r>
      <w:r w:rsidR="009962B0">
        <w:rPr>
          <w:rFonts w:ascii="Arial" w:hAnsi="Arial" w:cs="Arial"/>
          <w:color w:val="000000" w:themeColor="text1"/>
          <w:sz w:val="22"/>
          <w:szCs w:val="22"/>
          <w:lang w:val="es-ES_tradnl"/>
        </w:rPr>
        <w:t>Agencia</w:t>
      </w:r>
      <w:r w:rsidRPr="00462E1D">
        <w:rPr>
          <w:rFonts w:ascii="Arial" w:hAnsi="Arial" w:cs="Arial"/>
          <w:color w:val="000000" w:themeColor="text1"/>
          <w:sz w:val="22"/>
          <w:szCs w:val="22"/>
          <w:lang w:val="es-ES_tradnl"/>
        </w:rPr>
        <w:t xml:space="preserve">, dicha norma debe entenderse derogada por el artículo 35 de la Ley </w:t>
      </w:r>
      <w:r w:rsidR="006F0F34">
        <w:rPr>
          <w:rFonts w:ascii="Arial" w:hAnsi="Arial" w:cs="Arial"/>
          <w:color w:val="000000" w:themeColor="text1"/>
          <w:sz w:val="22"/>
          <w:szCs w:val="22"/>
          <w:lang w:val="es-ES_tradnl"/>
        </w:rPr>
        <w:t>2069</w:t>
      </w:r>
      <w:r w:rsidRPr="00462E1D">
        <w:rPr>
          <w:rFonts w:ascii="Arial" w:hAnsi="Arial" w:cs="Arial"/>
          <w:color w:val="000000" w:themeColor="text1"/>
          <w:sz w:val="22"/>
          <w:szCs w:val="22"/>
          <w:lang w:val="es-ES_tradnl"/>
        </w:rPr>
        <w:t xml:space="preserve"> de 2020. Ello no solo porque el artículo 84 de esta Ley dice que «rige a partir del momento de su promulgación», es decir, desde el 31 de diciembre de 2020, sino además porque la misma disposición señala que la Ley </w:t>
      </w:r>
      <w:r w:rsidR="006F0F34">
        <w:rPr>
          <w:rFonts w:ascii="Arial" w:hAnsi="Arial" w:cs="Arial"/>
          <w:color w:val="000000" w:themeColor="text1"/>
          <w:sz w:val="22"/>
          <w:szCs w:val="22"/>
          <w:lang w:val="es-ES_tradnl"/>
        </w:rPr>
        <w:t>2069</w:t>
      </w:r>
      <w:r w:rsidRPr="00462E1D">
        <w:rPr>
          <w:rFonts w:ascii="Arial" w:hAnsi="Arial" w:cs="Arial"/>
          <w:color w:val="000000" w:themeColor="text1"/>
          <w:sz w:val="22"/>
          <w:szCs w:val="22"/>
          <w:lang w:val="es-ES_tradnl"/>
        </w:rPr>
        <w:t xml:space="preserve"> de 2020 deroga «[…] todas las disposiciones que le sean contrarias». </w:t>
      </w:r>
    </w:p>
    <w:p w14:paraId="75967CDA" w14:textId="19F9C6C4" w:rsidR="00C440B6" w:rsidRPr="00C440B6" w:rsidRDefault="00C440B6" w:rsidP="00C440B6">
      <w:pPr>
        <w:spacing w:before="120" w:line="276" w:lineRule="auto"/>
        <w:ind w:firstLine="709"/>
        <w:jc w:val="both"/>
        <w:rPr>
          <w:rFonts w:ascii="Arial" w:hAnsi="Arial" w:cs="Arial"/>
          <w:color w:val="000000" w:themeColor="text1"/>
          <w:sz w:val="22"/>
          <w:szCs w:val="22"/>
          <w:lang w:val="es-ES_tradnl"/>
        </w:rPr>
      </w:pPr>
      <w:r w:rsidRPr="00462E1D">
        <w:rPr>
          <w:rFonts w:ascii="Arial" w:hAnsi="Arial" w:cs="Arial"/>
          <w:color w:val="000000" w:themeColor="text1"/>
          <w:sz w:val="22"/>
          <w:szCs w:val="22"/>
          <w:lang w:val="es-ES_tradnl"/>
        </w:rPr>
        <w:t xml:space="preserve">Un argumento adicional para sostener esta tesis tiene que ver con el fenómeno de la pérdida de fuerza ejecutoria –o decaimiento– de los actos administrativos, regulado en el numeral 2 del artículo 91 de la Ley 1437 de 2011. </w:t>
      </w:r>
      <w:r w:rsidR="005F5694" w:rsidRPr="00462E1D">
        <w:rPr>
          <w:rFonts w:ascii="Arial" w:hAnsi="Arial" w:cs="Arial"/>
          <w:color w:val="000000" w:themeColor="text1"/>
          <w:sz w:val="22"/>
          <w:szCs w:val="22"/>
          <w:lang w:val="es-ES_tradnl"/>
        </w:rPr>
        <w:t xml:space="preserve">Dado que el Decreto 1082 de 2015 es un reglamento </w:t>
      </w:r>
      <w:proofErr w:type="spellStart"/>
      <w:r w:rsidR="005F5694" w:rsidRPr="00462E1D">
        <w:rPr>
          <w:rFonts w:ascii="Arial" w:hAnsi="Arial" w:cs="Arial"/>
          <w:i/>
          <w:iCs/>
          <w:color w:val="000000" w:themeColor="text1"/>
          <w:sz w:val="22"/>
          <w:szCs w:val="22"/>
          <w:lang w:val="es-ES_tradnl"/>
        </w:rPr>
        <w:t>secundum</w:t>
      </w:r>
      <w:proofErr w:type="spellEnd"/>
      <w:r w:rsidR="005F5694" w:rsidRPr="00462E1D">
        <w:rPr>
          <w:rFonts w:ascii="Arial" w:hAnsi="Arial" w:cs="Arial"/>
          <w:i/>
          <w:iCs/>
          <w:color w:val="000000" w:themeColor="text1"/>
          <w:sz w:val="22"/>
          <w:szCs w:val="22"/>
          <w:lang w:val="es-ES_tradnl"/>
        </w:rPr>
        <w:t xml:space="preserve"> </w:t>
      </w:r>
      <w:proofErr w:type="spellStart"/>
      <w:r w:rsidR="005F5694" w:rsidRPr="00462E1D">
        <w:rPr>
          <w:rFonts w:ascii="Arial" w:hAnsi="Arial" w:cs="Arial"/>
          <w:i/>
          <w:iCs/>
          <w:color w:val="000000" w:themeColor="text1"/>
          <w:sz w:val="22"/>
          <w:szCs w:val="22"/>
          <w:lang w:val="es-ES_tradnl"/>
        </w:rPr>
        <w:t>legem</w:t>
      </w:r>
      <w:proofErr w:type="spellEnd"/>
      <w:r w:rsidR="005F5694" w:rsidRPr="00462E1D">
        <w:rPr>
          <w:rFonts w:ascii="Arial" w:hAnsi="Arial" w:cs="Arial"/>
          <w:color w:val="000000" w:themeColor="text1"/>
          <w:sz w:val="22"/>
          <w:szCs w:val="22"/>
          <w:lang w:val="es-ES_tradnl"/>
        </w:rPr>
        <w:t xml:space="preserve"> –es decir, que desarrolla una norma de mayor jerarquía–, la expedición de una ley en sentido formal –es decir, una fuente que condiciona el contenido de este último–, hace que la disposición reglamentaria decaiga</w:t>
      </w:r>
      <w:r w:rsidRPr="00462E1D">
        <w:rPr>
          <w:rFonts w:ascii="Arial" w:hAnsi="Arial" w:cs="Arial"/>
          <w:color w:val="000000" w:themeColor="text1"/>
          <w:sz w:val="22"/>
          <w:szCs w:val="22"/>
          <w:lang w:val="es-ES_tradnl"/>
        </w:rPr>
        <w:t>.</w:t>
      </w:r>
      <w:r w:rsidRPr="00C440B6">
        <w:rPr>
          <w:rFonts w:ascii="Arial" w:hAnsi="Arial" w:cs="Arial"/>
          <w:color w:val="000000" w:themeColor="text1"/>
          <w:sz w:val="22"/>
          <w:szCs w:val="22"/>
          <w:lang w:val="es-ES_tradnl"/>
        </w:rPr>
        <w:t xml:space="preserve">      </w:t>
      </w:r>
    </w:p>
    <w:p w14:paraId="37091687" w14:textId="77777777" w:rsidR="00F740A0" w:rsidRPr="00C440B6" w:rsidRDefault="00F740A0" w:rsidP="006E3937">
      <w:pPr>
        <w:spacing w:after="120" w:line="276" w:lineRule="auto"/>
        <w:jc w:val="both"/>
        <w:rPr>
          <w:rFonts w:ascii="Arial" w:hAnsi="Arial" w:cs="Arial"/>
          <w:color w:val="000000" w:themeColor="text1"/>
          <w:sz w:val="22"/>
          <w:szCs w:val="22"/>
          <w:lang w:val="es-ES_tradnl"/>
        </w:rPr>
      </w:pPr>
    </w:p>
    <w:p w14:paraId="7B2C921D" w14:textId="6360A462" w:rsidR="00DD5B04" w:rsidRPr="00C440B6" w:rsidRDefault="00DD5B04" w:rsidP="00DF76A2">
      <w:pPr>
        <w:spacing w:line="276" w:lineRule="auto"/>
        <w:jc w:val="both"/>
        <w:rPr>
          <w:rFonts w:ascii="Arial" w:hAnsi="Arial" w:cs="Arial"/>
          <w:color w:val="000000" w:themeColor="text1"/>
          <w:sz w:val="22"/>
          <w:lang w:val="es-ES_tradnl"/>
        </w:rPr>
      </w:pPr>
      <w:r w:rsidRPr="00C440B6">
        <w:rPr>
          <w:rFonts w:ascii="Arial" w:hAnsi="Arial" w:cs="Arial"/>
          <w:color w:val="000000" w:themeColor="text1"/>
          <w:sz w:val="22"/>
          <w:lang w:val="es-ES_tradnl"/>
        </w:rPr>
        <w:t>Este concepto tiene el alcance previsto en el artículo 28 del Código de Procedimiento Administrativo y de lo Contencioso Administrativo.</w:t>
      </w:r>
    </w:p>
    <w:p w14:paraId="77EE5912" w14:textId="77777777" w:rsidR="00DD5B04" w:rsidRPr="00C440B6" w:rsidRDefault="00DD5B0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0DDBEF2B" w14:textId="7B8CF213" w:rsidR="00DD5B04" w:rsidRPr="00C440B6" w:rsidRDefault="00DD5B0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C440B6">
        <w:rPr>
          <w:rFonts w:ascii="Arial" w:hAnsi="Arial" w:cs="Arial"/>
          <w:color w:val="000000" w:themeColor="text1"/>
          <w:sz w:val="22"/>
          <w:szCs w:val="22"/>
          <w:lang w:val="es-ES_tradnl"/>
        </w:rPr>
        <w:t>Atentamente,</w:t>
      </w:r>
    </w:p>
    <w:p w14:paraId="692FC307" w14:textId="210AA6B5" w:rsidR="00921304" w:rsidRPr="00C440B6" w:rsidRDefault="0092130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30AA3DC7" w14:textId="1287D13E" w:rsidR="00921304" w:rsidRPr="00C440B6" w:rsidRDefault="00F90C4D" w:rsidP="00F90C4D">
      <w:pPr>
        <w:pStyle w:val="NormalWeb"/>
        <w:spacing w:before="0" w:beforeAutospacing="0" w:after="0" w:afterAutospacing="0" w:line="276" w:lineRule="auto"/>
        <w:jc w:val="center"/>
        <w:rPr>
          <w:rFonts w:ascii="Arial" w:hAnsi="Arial" w:cs="Arial"/>
          <w:color w:val="000000" w:themeColor="text1"/>
          <w:sz w:val="22"/>
          <w:szCs w:val="22"/>
          <w:lang w:val="es-ES_tradnl"/>
        </w:rPr>
      </w:pPr>
      <w:r w:rsidRPr="00C440B6">
        <w:rPr>
          <w:rFonts w:ascii="Arial" w:hAnsi="Arial" w:cs="Arial"/>
          <w:noProof/>
          <w:color w:val="000000" w:themeColor="text1"/>
          <w:sz w:val="22"/>
          <w:szCs w:val="22"/>
          <w:lang w:val="es-ES_tradnl"/>
        </w:rPr>
        <w:lastRenderedPageBreak/>
        <w:drawing>
          <wp:inline distT="0" distB="0" distL="0" distR="0" wp14:anchorId="7F730465" wp14:editId="4FCD7E13">
            <wp:extent cx="3565491" cy="1400375"/>
            <wp:effectExtent l="0" t="0" r="381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699962" cy="1453189"/>
                    </a:xfrm>
                    <a:prstGeom prst="rect">
                      <a:avLst/>
                    </a:prstGeom>
                  </pic:spPr>
                </pic:pic>
              </a:graphicData>
            </a:graphic>
          </wp:inline>
        </w:drawing>
      </w:r>
    </w:p>
    <w:p w14:paraId="5CBAE239" w14:textId="77777777" w:rsidR="00425C43" w:rsidRPr="00C440B6" w:rsidRDefault="00425C43" w:rsidP="00B37657">
      <w:pPr>
        <w:jc w:val="center"/>
        <w:rPr>
          <w:rFonts w:ascii="Arial" w:hAnsi="Arial" w:cs="Arial"/>
          <w:color w:val="000000" w:themeColor="text1"/>
          <w:sz w:val="18"/>
          <w:szCs w:val="20"/>
          <w:lang w:val="es-ES_tradnl" w:eastAsia="es-CO"/>
        </w:rPr>
      </w:pPr>
    </w:p>
    <w:p w14:paraId="49730030" w14:textId="217D35F3" w:rsidR="00DD5B04" w:rsidRPr="00C440B6" w:rsidRDefault="00DD5B04" w:rsidP="00B37657">
      <w:pPr>
        <w:jc w:val="center"/>
        <w:rPr>
          <w:rFonts w:ascii="Arial" w:hAnsi="Arial" w:cs="Arial"/>
          <w:color w:val="000000" w:themeColor="text1"/>
          <w:sz w:val="18"/>
          <w:szCs w:val="20"/>
          <w:lang w:val="es-ES_tradnl"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C440B6" w14:paraId="0C7DC5F7" w14:textId="77777777" w:rsidTr="008F4163">
        <w:trPr>
          <w:trHeight w:val="315"/>
        </w:trPr>
        <w:tc>
          <w:tcPr>
            <w:tcW w:w="812" w:type="dxa"/>
            <w:vAlign w:val="center"/>
            <w:hideMark/>
          </w:tcPr>
          <w:p w14:paraId="5BDB1AC9" w14:textId="77777777" w:rsidR="00DD5B04" w:rsidRPr="00C440B6" w:rsidRDefault="00DD5B04" w:rsidP="00DF76A2">
            <w:pPr>
              <w:jc w:val="both"/>
              <w:rPr>
                <w:rFonts w:ascii="Arial" w:hAnsi="Arial" w:cs="Arial"/>
                <w:color w:val="000000" w:themeColor="text1"/>
                <w:sz w:val="16"/>
                <w:szCs w:val="16"/>
                <w:lang w:val="es-ES_tradnl" w:eastAsia="es-ES"/>
              </w:rPr>
            </w:pPr>
            <w:r w:rsidRPr="00C440B6">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77777777" w:rsidR="00DD5B04" w:rsidRPr="00C440B6" w:rsidRDefault="00DD5B04" w:rsidP="00DF76A2">
            <w:pPr>
              <w:jc w:val="both"/>
              <w:rPr>
                <w:rFonts w:ascii="Arial" w:hAnsi="Arial" w:cs="Arial"/>
                <w:color w:val="000000" w:themeColor="text1"/>
                <w:sz w:val="16"/>
                <w:szCs w:val="16"/>
                <w:lang w:val="es-ES_tradnl" w:eastAsia="es-ES"/>
              </w:rPr>
            </w:pPr>
            <w:r w:rsidRPr="00C440B6">
              <w:rPr>
                <w:rFonts w:ascii="Arial" w:hAnsi="Arial" w:cs="Arial"/>
                <w:color w:val="000000" w:themeColor="text1"/>
                <w:sz w:val="16"/>
                <w:szCs w:val="16"/>
                <w:lang w:val="es-ES_tradnl" w:eastAsia="es-ES"/>
              </w:rPr>
              <w:t>Cristian Andrés Díaz Díez</w:t>
            </w:r>
          </w:p>
          <w:p w14:paraId="240C71FD" w14:textId="31312C95" w:rsidR="00DD5B04" w:rsidRPr="00C440B6" w:rsidRDefault="00DD5B04" w:rsidP="00DF76A2">
            <w:pPr>
              <w:jc w:val="both"/>
              <w:rPr>
                <w:rFonts w:ascii="Arial" w:hAnsi="Arial" w:cs="Arial"/>
                <w:color w:val="000000" w:themeColor="text1"/>
                <w:sz w:val="16"/>
                <w:szCs w:val="16"/>
                <w:lang w:val="es-ES_tradnl" w:eastAsia="es-ES"/>
              </w:rPr>
            </w:pPr>
            <w:r w:rsidRPr="00C440B6">
              <w:rPr>
                <w:rFonts w:ascii="Arial" w:hAnsi="Arial" w:cs="Arial"/>
                <w:color w:val="000000" w:themeColor="text1"/>
                <w:sz w:val="16"/>
                <w:szCs w:val="16"/>
                <w:lang w:val="es-ES_tradnl" w:eastAsia="es-ES"/>
              </w:rPr>
              <w:t>Contratista</w:t>
            </w:r>
            <w:r w:rsidR="00FF0050" w:rsidRPr="00C440B6">
              <w:rPr>
                <w:rFonts w:ascii="Arial" w:hAnsi="Arial" w:cs="Arial"/>
                <w:color w:val="000000" w:themeColor="text1"/>
                <w:sz w:val="16"/>
                <w:szCs w:val="16"/>
                <w:lang w:val="es-ES_tradnl" w:eastAsia="es-ES"/>
              </w:rPr>
              <w:t xml:space="preserve"> de la </w:t>
            </w:r>
            <w:r w:rsidRPr="00C440B6">
              <w:rPr>
                <w:rFonts w:ascii="Arial" w:hAnsi="Arial" w:cs="Arial"/>
                <w:color w:val="000000" w:themeColor="text1"/>
                <w:sz w:val="16"/>
                <w:szCs w:val="16"/>
                <w:lang w:val="es-ES_tradnl" w:eastAsia="es-ES"/>
              </w:rPr>
              <w:t>Subdirección de Gestión Contractual</w:t>
            </w:r>
          </w:p>
        </w:tc>
      </w:tr>
      <w:tr w:rsidR="00DD5B04" w:rsidRPr="00C440B6" w14:paraId="2F8FD650" w14:textId="77777777" w:rsidTr="008F4163">
        <w:trPr>
          <w:trHeight w:val="330"/>
        </w:trPr>
        <w:tc>
          <w:tcPr>
            <w:tcW w:w="812" w:type="dxa"/>
            <w:vAlign w:val="center"/>
            <w:hideMark/>
          </w:tcPr>
          <w:p w14:paraId="50203A0B" w14:textId="77777777" w:rsidR="00DD5B04" w:rsidRPr="00C440B6" w:rsidRDefault="00DD5B04" w:rsidP="00DF76A2">
            <w:pPr>
              <w:jc w:val="both"/>
              <w:rPr>
                <w:rFonts w:ascii="Arial" w:hAnsi="Arial" w:cs="Arial"/>
                <w:color w:val="000000" w:themeColor="text1"/>
                <w:sz w:val="16"/>
                <w:szCs w:val="16"/>
                <w:lang w:val="es-ES_tradnl" w:eastAsia="es-ES"/>
              </w:rPr>
            </w:pPr>
            <w:r w:rsidRPr="00C440B6">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1F77323" w14:textId="1ABB4017" w:rsidR="00C05A61" w:rsidRPr="00C440B6" w:rsidRDefault="007D231B" w:rsidP="00C05A61">
            <w:pPr>
              <w:jc w:val="both"/>
              <w:rPr>
                <w:rFonts w:ascii="Arial" w:hAnsi="Arial" w:cs="Arial"/>
                <w:color w:val="000000" w:themeColor="text1"/>
                <w:sz w:val="16"/>
                <w:szCs w:val="16"/>
                <w:lang w:val="es-ES_tradnl" w:eastAsia="es-ES"/>
              </w:rPr>
            </w:pPr>
            <w:r w:rsidRPr="00C440B6">
              <w:rPr>
                <w:rFonts w:ascii="Arial" w:hAnsi="Arial" w:cs="Arial"/>
                <w:color w:val="000000" w:themeColor="text1"/>
                <w:sz w:val="16"/>
                <w:szCs w:val="16"/>
                <w:lang w:val="es-ES_tradnl" w:eastAsia="es-ES"/>
              </w:rPr>
              <w:t>Juan David Montoya Penagos</w:t>
            </w:r>
          </w:p>
          <w:p w14:paraId="130B3228" w14:textId="403D4FAC" w:rsidR="00DD5B04" w:rsidRPr="00C440B6" w:rsidRDefault="00EF5CA8" w:rsidP="00C05A61">
            <w:pPr>
              <w:jc w:val="both"/>
              <w:rPr>
                <w:rFonts w:ascii="Arial" w:hAnsi="Arial" w:cs="Arial"/>
                <w:color w:val="000000" w:themeColor="text1"/>
                <w:sz w:val="16"/>
                <w:szCs w:val="16"/>
                <w:lang w:val="es-ES_tradnl" w:eastAsia="es-ES"/>
              </w:rPr>
            </w:pPr>
            <w:r w:rsidRPr="00C440B6">
              <w:rPr>
                <w:rFonts w:ascii="Arial" w:hAnsi="Arial" w:cs="Arial"/>
                <w:color w:val="000000" w:themeColor="text1"/>
                <w:sz w:val="16"/>
                <w:szCs w:val="16"/>
                <w:lang w:val="es-ES_tradnl" w:eastAsia="es-ES"/>
              </w:rPr>
              <w:t>Gestor T1</w:t>
            </w:r>
            <w:r w:rsidR="005F5694">
              <w:rPr>
                <w:rFonts w:ascii="Arial" w:hAnsi="Arial" w:cs="Arial"/>
                <w:color w:val="000000" w:themeColor="text1"/>
                <w:sz w:val="16"/>
                <w:szCs w:val="16"/>
                <w:lang w:val="es-ES_tradnl" w:eastAsia="es-ES"/>
              </w:rPr>
              <w:t>-</w:t>
            </w:r>
            <w:r w:rsidRPr="00C440B6">
              <w:rPr>
                <w:rFonts w:ascii="Arial" w:hAnsi="Arial" w:cs="Arial"/>
                <w:color w:val="000000" w:themeColor="text1"/>
                <w:sz w:val="16"/>
                <w:szCs w:val="16"/>
                <w:lang w:val="es-ES_tradnl" w:eastAsia="es-ES"/>
              </w:rPr>
              <w:t>15</w:t>
            </w:r>
            <w:r w:rsidR="005F5694">
              <w:rPr>
                <w:rFonts w:ascii="Arial" w:hAnsi="Arial" w:cs="Arial"/>
                <w:color w:val="000000" w:themeColor="text1"/>
                <w:sz w:val="16"/>
                <w:szCs w:val="16"/>
                <w:lang w:val="es-ES_tradnl" w:eastAsia="es-ES"/>
              </w:rPr>
              <w:t xml:space="preserve"> de la </w:t>
            </w:r>
            <w:r w:rsidR="005F5694" w:rsidRPr="005F5694">
              <w:rPr>
                <w:rFonts w:ascii="Arial" w:hAnsi="Arial" w:cs="Arial"/>
                <w:color w:val="000000" w:themeColor="text1"/>
                <w:sz w:val="16"/>
                <w:szCs w:val="16"/>
                <w:lang w:val="es-ES_tradnl" w:eastAsia="es-ES"/>
              </w:rPr>
              <w:t>Subdirección de Gestión Contractual</w:t>
            </w:r>
          </w:p>
        </w:tc>
      </w:tr>
      <w:tr w:rsidR="00DD5B04" w:rsidRPr="00C440B6" w14:paraId="0FCBCA4A" w14:textId="77777777" w:rsidTr="008F4163">
        <w:trPr>
          <w:trHeight w:val="300"/>
        </w:trPr>
        <w:tc>
          <w:tcPr>
            <w:tcW w:w="812" w:type="dxa"/>
            <w:vAlign w:val="center"/>
            <w:hideMark/>
          </w:tcPr>
          <w:p w14:paraId="3C1D943A" w14:textId="77777777" w:rsidR="00DD5B04" w:rsidRPr="00C440B6" w:rsidRDefault="00DD5B04" w:rsidP="00DF76A2">
            <w:pPr>
              <w:jc w:val="both"/>
              <w:rPr>
                <w:rFonts w:ascii="Arial" w:hAnsi="Arial" w:cs="Arial"/>
                <w:color w:val="000000" w:themeColor="text1"/>
                <w:sz w:val="16"/>
                <w:szCs w:val="16"/>
                <w:lang w:val="es-ES_tradnl" w:eastAsia="es-ES"/>
              </w:rPr>
            </w:pPr>
            <w:r w:rsidRPr="00C440B6">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180A172" w14:textId="7E7E6045" w:rsidR="006A55EE" w:rsidRPr="00C440B6" w:rsidRDefault="00C05A61" w:rsidP="00DF76A2">
            <w:pPr>
              <w:jc w:val="both"/>
              <w:rPr>
                <w:rFonts w:ascii="Arial" w:hAnsi="Arial" w:cs="Arial"/>
                <w:color w:val="000000" w:themeColor="text1"/>
                <w:sz w:val="16"/>
                <w:szCs w:val="16"/>
                <w:lang w:val="es-ES_tradnl" w:eastAsia="es-ES"/>
              </w:rPr>
            </w:pPr>
            <w:r w:rsidRPr="00C440B6">
              <w:rPr>
                <w:rFonts w:ascii="Arial" w:hAnsi="Arial" w:cs="Arial"/>
                <w:color w:val="000000" w:themeColor="text1"/>
                <w:sz w:val="16"/>
                <w:szCs w:val="16"/>
                <w:lang w:val="es-ES_tradnl" w:eastAsia="es-ES"/>
              </w:rPr>
              <w:t xml:space="preserve">Jorge </w:t>
            </w:r>
            <w:r w:rsidR="00647A36" w:rsidRPr="00C440B6">
              <w:rPr>
                <w:rFonts w:ascii="Arial" w:hAnsi="Arial" w:cs="Arial"/>
                <w:color w:val="000000" w:themeColor="text1"/>
                <w:sz w:val="16"/>
                <w:szCs w:val="16"/>
                <w:lang w:val="es-ES_tradnl" w:eastAsia="es-ES"/>
              </w:rPr>
              <w:t xml:space="preserve">Augusto </w:t>
            </w:r>
            <w:r w:rsidRPr="00C440B6">
              <w:rPr>
                <w:rFonts w:ascii="Arial" w:hAnsi="Arial" w:cs="Arial"/>
                <w:color w:val="000000" w:themeColor="text1"/>
                <w:sz w:val="16"/>
                <w:szCs w:val="16"/>
                <w:lang w:val="es-ES_tradnl" w:eastAsia="es-ES"/>
              </w:rPr>
              <w:t>Tirado Navarro</w:t>
            </w:r>
          </w:p>
          <w:p w14:paraId="1ADC483B" w14:textId="0B6A3583" w:rsidR="00DD5B04" w:rsidRPr="00C440B6" w:rsidRDefault="00DD5B04" w:rsidP="00DF76A2">
            <w:pPr>
              <w:jc w:val="both"/>
              <w:rPr>
                <w:rFonts w:ascii="Arial" w:hAnsi="Arial" w:cs="Arial"/>
                <w:color w:val="000000" w:themeColor="text1"/>
                <w:sz w:val="16"/>
                <w:szCs w:val="16"/>
                <w:lang w:val="es-ES_tradnl" w:eastAsia="es-ES"/>
              </w:rPr>
            </w:pPr>
            <w:r w:rsidRPr="00C440B6">
              <w:rPr>
                <w:rFonts w:ascii="Arial" w:hAnsi="Arial" w:cs="Arial"/>
                <w:color w:val="000000" w:themeColor="text1"/>
                <w:sz w:val="16"/>
                <w:szCs w:val="16"/>
                <w:lang w:val="es-ES_tradnl" w:eastAsia="es-ES"/>
              </w:rPr>
              <w:t>Subdirector de Gestión Contractual</w:t>
            </w:r>
            <w:r w:rsidR="005F5694">
              <w:rPr>
                <w:rFonts w:ascii="Arial" w:hAnsi="Arial" w:cs="Arial"/>
                <w:color w:val="000000" w:themeColor="text1"/>
                <w:sz w:val="16"/>
                <w:szCs w:val="16"/>
                <w:lang w:val="es-ES_tradnl" w:eastAsia="es-ES"/>
              </w:rPr>
              <w:t xml:space="preserve"> ANCP – CCE</w:t>
            </w:r>
          </w:p>
        </w:tc>
      </w:tr>
    </w:tbl>
    <w:p w14:paraId="35B56F46" w14:textId="77777777" w:rsidR="00746E08" w:rsidRPr="00C440B6" w:rsidRDefault="00746E08" w:rsidP="00215B8E">
      <w:pPr>
        <w:jc w:val="both"/>
        <w:rPr>
          <w:rFonts w:ascii="Arial" w:hAnsi="Arial" w:cs="Arial"/>
          <w:lang w:val="es-ES_tradnl"/>
        </w:rPr>
      </w:pPr>
    </w:p>
    <w:sectPr w:rsidR="00746E08" w:rsidRPr="00C440B6"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D57B64" w14:textId="77777777" w:rsidR="00410EA0" w:rsidRDefault="00410EA0">
      <w:r>
        <w:separator/>
      </w:r>
    </w:p>
  </w:endnote>
  <w:endnote w:type="continuationSeparator" w:id="0">
    <w:p w14:paraId="2615D7A8" w14:textId="77777777" w:rsidR="00410EA0" w:rsidRDefault="00410EA0">
      <w:r>
        <w:continuationSeparator/>
      </w:r>
    </w:p>
  </w:endnote>
  <w:endnote w:type="continuationNotice" w:id="1">
    <w:p w14:paraId="0B81482C" w14:textId="77777777" w:rsidR="00410EA0" w:rsidRDefault="00410E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02A34" w14:textId="77777777" w:rsidR="008F4163" w:rsidRDefault="008F4163" w:rsidP="00322937">
    <w:pPr>
      <w:pStyle w:val="Sinespaciado"/>
      <w:jc w:val="right"/>
      <w:rPr>
        <w:rFonts w:ascii="Arial" w:hAnsi="Arial" w:cs="Arial"/>
        <w:sz w:val="18"/>
        <w:szCs w:val="18"/>
      </w:rPr>
    </w:pPr>
  </w:p>
  <w:p w14:paraId="7A3785F3" w14:textId="2EF28465" w:rsidR="008F4163" w:rsidRPr="008217B7" w:rsidRDefault="008F4163"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14:paraId="48FC6A04" w14:textId="5FD1A7C9" w:rsidR="008F4163" w:rsidRDefault="008F4163" w:rsidP="00322937">
    <w:pPr>
      <w:pStyle w:val="Piedepgina"/>
      <w:jc w:val="center"/>
      <w:rPr>
        <w:lang w:val="es-ES"/>
      </w:rPr>
    </w:pPr>
    <w:r>
      <w:rPr>
        <w:noProof/>
        <w:lang w:val="es-ES_tradnl" w:eastAsia="es-ES_tradnl"/>
      </w:rPr>
      <w:drawing>
        <wp:inline distT="0" distB="0" distL="0" distR="0" wp14:anchorId="608B196D" wp14:editId="0DC5B948">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8F4163" w:rsidRDefault="008F4163" w:rsidP="007B0854">
    <w:pPr>
      <w:pStyle w:val="Piedepgina"/>
      <w:jc w:val="center"/>
      <w:rPr>
        <w:lang w:val="es-ES"/>
      </w:rPr>
    </w:pPr>
  </w:p>
  <w:p w14:paraId="6C0EFC49" w14:textId="77777777" w:rsidR="008F4163" w:rsidRPr="007B0854" w:rsidRDefault="008F4163"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0350F8" w14:textId="77777777" w:rsidR="00410EA0" w:rsidRDefault="00410EA0">
      <w:r>
        <w:separator/>
      </w:r>
    </w:p>
  </w:footnote>
  <w:footnote w:type="continuationSeparator" w:id="0">
    <w:p w14:paraId="4E4094EF" w14:textId="77777777" w:rsidR="00410EA0" w:rsidRDefault="00410EA0">
      <w:r>
        <w:continuationSeparator/>
      </w:r>
    </w:p>
  </w:footnote>
  <w:footnote w:type="continuationNotice" w:id="1">
    <w:p w14:paraId="3E812782" w14:textId="77777777" w:rsidR="00410EA0" w:rsidRDefault="00410EA0"/>
  </w:footnote>
  <w:footnote w:id="2">
    <w:p w14:paraId="5EE2BBDD" w14:textId="77777777" w:rsidR="00F80411" w:rsidRPr="00EA10E4" w:rsidRDefault="00F80411" w:rsidP="00F80411">
      <w:pPr>
        <w:pStyle w:val="Textonotapie"/>
        <w:ind w:firstLine="709"/>
        <w:jc w:val="both"/>
        <w:rPr>
          <w:rFonts w:ascii="Arial" w:hAnsi="Arial" w:cs="Arial"/>
          <w:sz w:val="19"/>
          <w:szCs w:val="19"/>
          <w:lang w:val="es-ES"/>
        </w:rPr>
      </w:pPr>
      <w:r w:rsidRPr="00EA10E4">
        <w:rPr>
          <w:rStyle w:val="Refdenotaalpie"/>
          <w:rFonts w:ascii="Arial" w:hAnsi="Arial" w:cs="Arial"/>
          <w:sz w:val="19"/>
          <w:szCs w:val="19"/>
        </w:rPr>
        <w:footnoteRef/>
      </w:r>
      <w:r w:rsidRPr="00EA10E4">
        <w:rPr>
          <w:rFonts w:ascii="Arial" w:hAnsi="Arial" w:cs="Arial"/>
          <w:sz w:val="19"/>
          <w:szCs w:val="19"/>
        </w:rPr>
        <w:t xml:space="preserve"> </w:t>
      </w:r>
      <w:r w:rsidRPr="00EA10E4">
        <w:rPr>
          <w:rFonts w:ascii="Arial" w:hAnsi="Arial" w:cs="Arial"/>
          <w:sz w:val="19"/>
          <w:szCs w:val="19"/>
          <w:lang w:val="es-ES"/>
        </w:rPr>
        <w:t>Consejo de Estado. Sección Tercera. Sentencia del 29 de octubre de 2.015. Consejera Ponente: Stella Conto Díaz Del Castillo. Expediente: 31.918.</w:t>
      </w:r>
    </w:p>
    <w:p w14:paraId="3B4DF297" w14:textId="77777777" w:rsidR="00F80411" w:rsidRPr="00EA10E4" w:rsidRDefault="00F80411" w:rsidP="00F80411">
      <w:pPr>
        <w:pStyle w:val="Textonotapie"/>
        <w:ind w:firstLine="709"/>
        <w:jc w:val="both"/>
        <w:rPr>
          <w:rFonts w:ascii="Arial" w:hAnsi="Arial" w:cs="Arial"/>
          <w:sz w:val="19"/>
          <w:szCs w:val="19"/>
          <w:lang w:val="es-ES"/>
        </w:rPr>
      </w:pPr>
    </w:p>
  </w:footnote>
  <w:footnote w:id="3">
    <w:p w14:paraId="38605483"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Corte Constitucional. Sentencia T-684A del 14 de septiembre de 2011</w:t>
      </w:r>
      <w:r>
        <w:rPr>
          <w:rFonts w:ascii="Arial" w:hAnsi="Arial" w:cs="Arial"/>
          <w:sz w:val="19"/>
          <w:szCs w:val="19"/>
          <w:lang w:val="es-ES"/>
        </w:rPr>
        <w:t>. Magistrado Ponente:</w:t>
      </w:r>
      <w:r w:rsidRPr="008640C4">
        <w:rPr>
          <w:rFonts w:ascii="Arial" w:hAnsi="Arial" w:cs="Arial"/>
          <w:sz w:val="19"/>
          <w:szCs w:val="19"/>
          <w:lang w:val="es-ES"/>
        </w:rPr>
        <w:t xml:space="preserve"> Mauricio González Cuervo.</w:t>
      </w:r>
    </w:p>
    <w:p w14:paraId="6296EE45" w14:textId="77777777" w:rsidR="00F80411" w:rsidRPr="008640C4" w:rsidRDefault="00F80411" w:rsidP="00F80411">
      <w:pPr>
        <w:pStyle w:val="Textonotapie"/>
        <w:ind w:firstLine="709"/>
        <w:jc w:val="both"/>
        <w:rPr>
          <w:rFonts w:ascii="Arial" w:hAnsi="Arial" w:cs="Arial"/>
          <w:sz w:val="19"/>
          <w:szCs w:val="19"/>
          <w:lang w:val="es-ES"/>
        </w:rPr>
      </w:pPr>
    </w:p>
  </w:footnote>
  <w:footnote w:id="4">
    <w:p w14:paraId="533FAE3F"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Consejo de Estado. Sección Tercera. Sentencia del 6 de diciembre de 2.013. Consejera Ponente: Stella Conto Díaz Del Castillo. Expediente: 27.506. En efecto, el artículo 44, inciso 1º</w:t>
      </w:r>
      <w:r>
        <w:rPr>
          <w:rFonts w:ascii="Arial" w:hAnsi="Arial" w:cs="Arial"/>
          <w:sz w:val="19"/>
          <w:szCs w:val="19"/>
          <w:lang w:val="es-ES"/>
        </w:rPr>
        <w:t>,</w:t>
      </w:r>
      <w:r w:rsidRPr="008640C4">
        <w:rPr>
          <w:rFonts w:ascii="Arial" w:hAnsi="Arial" w:cs="Arial"/>
          <w:sz w:val="19"/>
          <w:szCs w:val="19"/>
          <w:lang w:val="es-ES"/>
        </w:rPr>
        <w:t xml:space="preserve"> de la Ley 80 de 1993 establece que «Los contratos del Estado son absolutamente nulos en los casos previstos en el derecho común […]», y uno de los supuestos consagrados en el derecho común es el llamado «objeto ilícito», que se presenta cuando se contrarían las normas de orden público, de conformidad con el artículo 1.519 del Código Civil. </w:t>
      </w:r>
    </w:p>
    <w:p w14:paraId="4D0C9747" w14:textId="77777777" w:rsidR="00F80411" w:rsidRPr="008640C4" w:rsidRDefault="00F80411" w:rsidP="00F80411">
      <w:pPr>
        <w:pStyle w:val="Textonotapie"/>
        <w:ind w:firstLine="709"/>
        <w:jc w:val="both"/>
        <w:rPr>
          <w:rFonts w:ascii="Arial" w:hAnsi="Arial" w:cs="Arial"/>
          <w:sz w:val="19"/>
          <w:szCs w:val="19"/>
          <w:lang w:val="es-CO"/>
        </w:rPr>
      </w:pPr>
    </w:p>
  </w:footnote>
  <w:footnote w:id="5">
    <w:p w14:paraId="77146A50"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2 al 29.</w:t>
      </w:r>
    </w:p>
    <w:p w14:paraId="653F7200" w14:textId="77777777" w:rsidR="00F80411" w:rsidRPr="008640C4" w:rsidRDefault="00F80411" w:rsidP="00F80411">
      <w:pPr>
        <w:pStyle w:val="Textonotapie"/>
        <w:ind w:firstLine="709"/>
        <w:jc w:val="both"/>
        <w:rPr>
          <w:rFonts w:ascii="Arial" w:hAnsi="Arial" w:cs="Arial"/>
          <w:sz w:val="19"/>
          <w:szCs w:val="19"/>
          <w:lang w:val="es-ES"/>
        </w:rPr>
      </w:pPr>
    </w:p>
  </w:footnote>
  <w:footnote w:id="6">
    <w:p w14:paraId="4E055C6A"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30 al 36.</w:t>
      </w:r>
    </w:p>
    <w:p w14:paraId="3EB7365C" w14:textId="77777777" w:rsidR="00F80411" w:rsidRPr="008640C4" w:rsidRDefault="00F80411" w:rsidP="00F80411">
      <w:pPr>
        <w:pStyle w:val="Textonotapie"/>
        <w:ind w:firstLine="709"/>
        <w:jc w:val="both"/>
        <w:rPr>
          <w:rFonts w:ascii="Arial" w:hAnsi="Arial" w:cs="Arial"/>
          <w:sz w:val="19"/>
          <w:szCs w:val="19"/>
          <w:lang w:val="es-ES"/>
        </w:rPr>
      </w:pPr>
    </w:p>
  </w:footnote>
  <w:footnote w:id="7">
    <w:p w14:paraId="15AD37D3"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37 al 45.</w:t>
      </w:r>
    </w:p>
    <w:p w14:paraId="3143494F" w14:textId="77777777" w:rsidR="00F80411" w:rsidRPr="008640C4" w:rsidRDefault="00F80411" w:rsidP="00F80411">
      <w:pPr>
        <w:pStyle w:val="Textonotapie"/>
        <w:ind w:firstLine="709"/>
        <w:jc w:val="both"/>
        <w:rPr>
          <w:rFonts w:ascii="Arial" w:hAnsi="Arial" w:cs="Arial"/>
          <w:sz w:val="19"/>
          <w:szCs w:val="19"/>
          <w:lang w:val="es-ES"/>
        </w:rPr>
      </w:pPr>
    </w:p>
  </w:footnote>
  <w:footnote w:id="8">
    <w:p w14:paraId="7D602341"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46 al 73.</w:t>
      </w:r>
    </w:p>
    <w:p w14:paraId="6C35605C" w14:textId="77777777" w:rsidR="00F80411" w:rsidRPr="008640C4" w:rsidRDefault="00F80411" w:rsidP="00F80411">
      <w:pPr>
        <w:pStyle w:val="Textonotapie"/>
        <w:ind w:firstLine="709"/>
        <w:jc w:val="both"/>
        <w:rPr>
          <w:rFonts w:ascii="Arial" w:hAnsi="Arial" w:cs="Arial"/>
          <w:sz w:val="19"/>
          <w:szCs w:val="19"/>
          <w:lang w:val="es-ES"/>
        </w:rPr>
      </w:pPr>
    </w:p>
  </w:footnote>
  <w:footnote w:id="9">
    <w:p w14:paraId="56BE8B0D" w14:textId="77777777" w:rsidR="00F80411" w:rsidRPr="008640C4" w:rsidRDefault="00F80411" w:rsidP="00F80411">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74 al 83.</w:t>
      </w:r>
    </w:p>
    <w:p w14:paraId="66E965A2" w14:textId="77777777" w:rsidR="00F80411" w:rsidRPr="008640C4" w:rsidRDefault="00F80411" w:rsidP="00F80411">
      <w:pPr>
        <w:pStyle w:val="Textonotapie"/>
        <w:ind w:firstLine="709"/>
        <w:jc w:val="both"/>
        <w:rPr>
          <w:rFonts w:ascii="Arial" w:hAnsi="Arial" w:cs="Arial"/>
          <w:sz w:val="19"/>
          <w:szCs w:val="19"/>
          <w:lang w:val="es-ES"/>
        </w:rPr>
      </w:pPr>
    </w:p>
  </w:footnote>
  <w:footnote w:id="10">
    <w:p w14:paraId="7BEBE4BC" w14:textId="0B820A13" w:rsidR="00530059" w:rsidRPr="0064696D" w:rsidRDefault="00530059" w:rsidP="009949CE">
      <w:pPr>
        <w:pStyle w:val="Textonotapie"/>
        <w:ind w:firstLine="709"/>
        <w:jc w:val="both"/>
        <w:rPr>
          <w:rFonts w:ascii="Arial" w:hAnsi="Arial" w:cs="Arial"/>
          <w:sz w:val="19"/>
          <w:szCs w:val="19"/>
          <w:lang w:val="es-ES"/>
        </w:rPr>
      </w:pPr>
      <w:r w:rsidRPr="0064696D">
        <w:rPr>
          <w:rStyle w:val="Refdenotaalpie"/>
          <w:rFonts w:ascii="Arial" w:hAnsi="Arial" w:cs="Arial"/>
          <w:sz w:val="19"/>
          <w:szCs w:val="19"/>
        </w:rPr>
        <w:footnoteRef/>
      </w:r>
      <w:r w:rsidRPr="0064696D">
        <w:rPr>
          <w:rFonts w:ascii="Arial" w:hAnsi="Arial" w:cs="Arial"/>
          <w:sz w:val="19"/>
          <w:szCs w:val="19"/>
        </w:rPr>
        <w:t xml:space="preserve"> </w:t>
      </w:r>
      <w:r w:rsidRPr="0064696D">
        <w:rPr>
          <w:rFonts w:ascii="Arial" w:hAnsi="Arial" w:cs="Arial"/>
          <w:sz w:val="19"/>
          <w:szCs w:val="19"/>
          <w:lang w:val="es-ES"/>
        </w:rPr>
        <w:t>En efecto, esta disposición reglamentaria indicaba: «En caso de empate en el puntaje total de dos o más ofertas, la Entidad Estatal escogerá el oferente que tenga el mayor puntaje en el primero de los factores de escogencia y calificación establecidos en los pliegos de condiciones del Proceso de Contratación. Si persiste el empate, escogerá al oferente que tenga el mayor puntaje en el segundo de los factores de escogencia y calificación establecidos en los pliegos de condiciones del Proceso de Contratación y así sucesivamente hasta agotar la totalidad de los factores de escogencia y calificación establecidos en los pliegos de condiciones.</w:t>
      </w:r>
    </w:p>
    <w:p w14:paraId="2186A106" w14:textId="03EE071D" w:rsidR="00530059" w:rsidRPr="0064696D" w:rsidRDefault="009949CE" w:rsidP="009949CE">
      <w:pPr>
        <w:pStyle w:val="Textonotapie"/>
        <w:ind w:firstLine="709"/>
        <w:jc w:val="both"/>
        <w:rPr>
          <w:rFonts w:ascii="Arial" w:hAnsi="Arial" w:cs="Arial"/>
          <w:sz w:val="19"/>
          <w:szCs w:val="19"/>
          <w:lang w:val="es-ES"/>
        </w:rPr>
      </w:pPr>
      <w:r>
        <w:rPr>
          <w:rFonts w:ascii="Arial" w:hAnsi="Arial" w:cs="Arial"/>
          <w:sz w:val="19"/>
          <w:szCs w:val="19"/>
          <w:lang w:val="es-ES"/>
        </w:rPr>
        <w:t>»</w:t>
      </w:r>
      <w:r w:rsidR="00530059" w:rsidRPr="0064696D">
        <w:rPr>
          <w:rFonts w:ascii="Arial" w:hAnsi="Arial" w:cs="Arial"/>
          <w:sz w:val="19"/>
          <w:szCs w:val="19"/>
          <w:lang w:val="es-ES"/>
        </w:rPr>
        <w:t>Si persiste el empate, la Entidad Estatal debe utilizar las siguientes reglas de forma sucesiva y excluyente para seleccionar el oferente favorecido, respetando los compromisos adquiridos por Acuerdos Comerciales:</w:t>
      </w:r>
    </w:p>
    <w:p w14:paraId="4DFE72EE" w14:textId="07C46650" w:rsidR="00530059" w:rsidRPr="0064696D" w:rsidRDefault="009949CE" w:rsidP="009949CE">
      <w:pPr>
        <w:pStyle w:val="Textonotapie"/>
        <w:ind w:firstLine="709"/>
        <w:jc w:val="both"/>
        <w:rPr>
          <w:rFonts w:ascii="Arial" w:hAnsi="Arial" w:cs="Arial"/>
          <w:sz w:val="19"/>
          <w:szCs w:val="19"/>
          <w:lang w:val="es-ES"/>
        </w:rPr>
      </w:pPr>
      <w:r>
        <w:rPr>
          <w:rFonts w:ascii="Arial" w:hAnsi="Arial" w:cs="Arial"/>
          <w:sz w:val="19"/>
          <w:szCs w:val="19"/>
          <w:lang w:val="es-ES"/>
        </w:rPr>
        <w:t>»</w:t>
      </w:r>
      <w:r w:rsidR="00530059" w:rsidRPr="0064696D">
        <w:rPr>
          <w:rFonts w:ascii="Arial" w:hAnsi="Arial" w:cs="Arial"/>
          <w:sz w:val="19"/>
          <w:szCs w:val="19"/>
          <w:lang w:val="es-ES"/>
        </w:rPr>
        <w:t>1.</w:t>
      </w:r>
      <w:r>
        <w:rPr>
          <w:rFonts w:ascii="Arial" w:hAnsi="Arial" w:cs="Arial"/>
          <w:sz w:val="19"/>
          <w:szCs w:val="19"/>
          <w:lang w:val="es-ES"/>
        </w:rPr>
        <w:t xml:space="preserve"> </w:t>
      </w:r>
      <w:r w:rsidR="00530059" w:rsidRPr="0064696D">
        <w:rPr>
          <w:rFonts w:ascii="Arial" w:hAnsi="Arial" w:cs="Arial"/>
          <w:sz w:val="19"/>
          <w:szCs w:val="19"/>
          <w:lang w:val="es-ES"/>
        </w:rPr>
        <w:t>Preferir la oferta de bienes o servicios nacionales frente a la oferta de bienes o servicios extranjeros.</w:t>
      </w:r>
    </w:p>
    <w:p w14:paraId="55EE1E60" w14:textId="019C69CF" w:rsidR="00530059" w:rsidRPr="0064696D" w:rsidRDefault="009949CE" w:rsidP="009949CE">
      <w:pPr>
        <w:pStyle w:val="Textonotapie"/>
        <w:ind w:firstLine="709"/>
        <w:jc w:val="both"/>
        <w:rPr>
          <w:rFonts w:ascii="Arial" w:hAnsi="Arial" w:cs="Arial"/>
          <w:sz w:val="19"/>
          <w:szCs w:val="19"/>
          <w:lang w:val="es-ES"/>
        </w:rPr>
      </w:pPr>
      <w:r>
        <w:rPr>
          <w:rFonts w:ascii="Arial" w:hAnsi="Arial" w:cs="Arial"/>
          <w:sz w:val="19"/>
          <w:szCs w:val="19"/>
          <w:lang w:val="es-ES"/>
        </w:rPr>
        <w:t>»</w:t>
      </w:r>
      <w:r w:rsidR="00530059" w:rsidRPr="0064696D">
        <w:rPr>
          <w:rFonts w:ascii="Arial" w:hAnsi="Arial" w:cs="Arial"/>
          <w:sz w:val="19"/>
          <w:szCs w:val="19"/>
          <w:lang w:val="es-ES"/>
        </w:rPr>
        <w:t>2.</w:t>
      </w:r>
      <w:r>
        <w:rPr>
          <w:rFonts w:ascii="Arial" w:hAnsi="Arial" w:cs="Arial"/>
          <w:sz w:val="19"/>
          <w:szCs w:val="19"/>
          <w:lang w:val="es-ES"/>
        </w:rPr>
        <w:t xml:space="preserve"> </w:t>
      </w:r>
      <w:r w:rsidR="00530059" w:rsidRPr="0064696D">
        <w:rPr>
          <w:rFonts w:ascii="Arial" w:hAnsi="Arial" w:cs="Arial"/>
          <w:sz w:val="19"/>
          <w:szCs w:val="19"/>
          <w:lang w:val="es-ES"/>
        </w:rPr>
        <w:t>Preferir las ofertas presentada por una Mipyme nacional.</w:t>
      </w:r>
    </w:p>
    <w:p w14:paraId="24F6B951" w14:textId="78F6340D" w:rsidR="00530059" w:rsidRPr="0064696D" w:rsidRDefault="009949CE" w:rsidP="009949CE">
      <w:pPr>
        <w:pStyle w:val="Textonotapie"/>
        <w:ind w:firstLine="709"/>
        <w:jc w:val="both"/>
        <w:rPr>
          <w:rFonts w:ascii="Arial" w:hAnsi="Arial" w:cs="Arial"/>
          <w:sz w:val="19"/>
          <w:szCs w:val="19"/>
          <w:lang w:val="es-ES"/>
        </w:rPr>
      </w:pPr>
      <w:r>
        <w:rPr>
          <w:rFonts w:ascii="Arial" w:hAnsi="Arial" w:cs="Arial"/>
          <w:sz w:val="19"/>
          <w:szCs w:val="19"/>
          <w:lang w:val="es-ES"/>
        </w:rPr>
        <w:t>»</w:t>
      </w:r>
      <w:r w:rsidR="00530059" w:rsidRPr="0064696D">
        <w:rPr>
          <w:rFonts w:ascii="Arial" w:hAnsi="Arial" w:cs="Arial"/>
          <w:sz w:val="19"/>
          <w:szCs w:val="19"/>
          <w:lang w:val="es-ES"/>
        </w:rPr>
        <w:t>3.</w:t>
      </w:r>
      <w:r>
        <w:rPr>
          <w:rFonts w:ascii="Arial" w:hAnsi="Arial" w:cs="Arial"/>
          <w:sz w:val="19"/>
          <w:szCs w:val="19"/>
          <w:lang w:val="es-ES"/>
        </w:rPr>
        <w:t xml:space="preserve"> </w:t>
      </w:r>
      <w:r w:rsidR="00530059" w:rsidRPr="0064696D">
        <w:rPr>
          <w:rFonts w:ascii="Arial" w:hAnsi="Arial" w:cs="Arial"/>
          <w:sz w:val="19"/>
          <w:szCs w:val="19"/>
          <w:lang w:val="es-ES"/>
        </w:rPr>
        <w:t>Preferir la oferta presentada por un consorcio, unión temporal o promesa de sociedad futura siempre que: (a) esté conformado por al menos una Mipyme nacional que tenga una participación de por lo menos el veinticinco por ciento (25%); (b) la Mipyme aporte mínimo el veinticinco por ciento (25%) de la experiencia acreditada en la oferta; y (c) ni la Mipyme, ni sus accionistas, socios o representantes legales sean empleados, socios o accionistas de los miembros del consorcio, unión temporal o promesa de sociedad futura.</w:t>
      </w:r>
    </w:p>
    <w:p w14:paraId="5BC30F59" w14:textId="518BE03D" w:rsidR="00530059" w:rsidRPr="0064696D" w:rsidRDefault="009949CE" w:rsidP="009949CE">
      <w:pPr>
        <w:pStyle w:val="Textonotapie"/>
        <w:ind w:firstLine="709"/>
        <w:jc w:val="both"/>
        <w:rPr>
          <w:rFonts w:ascii="Arial" w:hAnsi="Arial" w:cs="Arial"/>
          <w:sz w:val="19"/>
          <w:szCs w:val="19"/>
          <w:lang w:val="es-ES"/>
        </w:rPr>
      </w:pPr>
      <w:r>
        <w:rPr>
          <w:rFonts w:ascii="Arial" w:hAnsi="Arial" w:cs="Arial"/>
          <w:sz w:val="19"/>
          <w:szCs w:val="19"/>
          <w:lang w:val="es-ES"/>
        </w:rPr>
        <w:t>»</w:t>
      </w:r>
      <w:r w:rsidR="00530059" w:rsidRPr="0064696D">
        <w:rPr>
          <w:rFonts w:ascii="Arial" w:hAnsi="Arial" w:cs="Arial"/>
          <w:sz w:val="19"/>
          <w:szCs w:val="19"/>
          <w:lang w:val="es-ES"/>
        </w:rPr>
        <w:t>4.</w:t>
      </w:r>
      <w:r>
        <w:rPr>
          <w:rFonts w:ascii="Arial" w:hAnsi="Arial" w:cs="Arial"/>
          <w:sz w:val="19"/>
          <w:szCs w:val="19"/>
          <w:lang w:val="es-ES"/>
        </w:rPr>
        <w:t xml:space="preserve"> </w:t>
      </w:r>
      <w:r w:rsidR="00530059" w:rsidRPr="0064696D">
        <w:rPr>
          <w:rFonts w:ascii="Arial" w:hAnsi="Arial" w:cs="Arial"/>
          <w:sz w:val="19"/>
          <w:szCs w:val="19"/>
          <w:lang w:val="es-ES"/>
        </w:rPr>
        <w:t>Preferir la propuesta presentada por el oferente que acredite en las condiciones establecidas en la ley que por lo menos el diez por ciento (10%) de su nómina está en condición de discapacidad a la que se refiere la Ley 361 de 1997. Si la oferta es presentada por un consorcio, unión temporal o promesa de sociedad futura, el integrante del oferente que acredite que el diez por ciento (10%) de su nómina está en condición de discapacidad en los términos del presente numeral, debe tener una participación de por lo menos el veinticinco por ciento (25%) en el consorcio, unión temporal o promesa de sociedad futura y aportar mínimo el veinticinco por ciento (25%) de la experiencia acreditada en la oferta.</w:t>
      </w:r>
    </w:p>
    <w:p w14:paraId="762F4336" w14:textId="04C31981" w:rsidR="00530059" w:rsidRPr="0064696D" w:rsidRDefault="009949CE" w:rsidP="0064696D">
      <w:pPr>
        <w:pStyle w:val="Textonotapie"/>
        <w:ind w:firstLine="709"/>
        <w:jc w:val="both"/>
        <w:rPr>
          <w:rFonts w:ascii="Arial" w:hAnsi="Arial" w:cs="Arial"/>
          <w:sz w:val="19"/>
          <w:szCs w:val="19"/>
          <w:lang w:val="es-CO"/>
        </w:rPr>
      </w:pPr>
      <w:r>
        <w:rPr>
          <w:rFonts w:ascii="Arial" w:hAnsi="Arial" w:cs="Arial"/>
          <w:sz w:val="19"/>
          <w:szCs w:val="19"/>
          <w:lang w:val="es-ES"/>
        </w:rPr>
        <w:t>»</w:t>
      </w:r>
      <w:r w:rsidR="00530059" w:rsidRPr="0064696D">
        <w:rPr>
          <w:rFonts w:ascii="Arial" w:hAnsi="Arial" w:cs="Arial"/>
          <w:sz w:val="19"/>
          <w:szCs w:val="19"/>
          <w:lang w:val="es-ES"/>
        </w:rPr>
        <w:t>5.</w:t>
      </w:r>
      <w:r>
        <w:rPr>
          <w:rFonts w:ascii="Arial" w:hAnsi="Arial" w:cs="Arial"/>
          <w:sz w:val="19"/>
          <w:szCs w:val="19"/>
          <w:lang w:val="es-ES"/>
        </w:rPr>
        <w:t xml:space="preserve"> </w:t>
      </w:r>
      <w:r w:rsidR="00530059" w:rsidRPr="0064696D">
        <w:rPr>
          <w:rFonts w:ascii="Arial" w:hAnsi="Arial" w:cs="Arial"/>
          <w:sz w:val="19"/>
          <w:szCs w:val="19"/>
          <w:lang w:val="es-ES"/>
        </w:rPr>
        <w:t>Utilizar un método aleatorio para seleccionar el oferente, método que deberá haber sido previsto en los pliegos de condiciones del Proceso de Contratación</w:t>
      </w:r>
      <w:r>
        <w:rPr>
          <w:rFonts w:ascii="Arial" w:hAnsi="Arial" w:cs="Arial"/>
          <w:sz w:val="19"/>
          <w:szCs w:val="19"/>
          <w:lang w:val="es-ES"/>
        </w:rPr>
        <w:t>»</w:t>
      </w:r>
      <w:r w:rsidR="00530059" w:rsidRPr="0064696D">
        <w:rPr>
          <w:rFonts w:ascii="Arial" w:hAnsi="Arial" w:cs="Arial"/>
          <w:sz w:val="19"/>
          <w:szCs w:val="19"/>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8F4163" w:rsidRDefault="008F4163">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6"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abstractNumId w:val="9"/>
  </w:num>
  <w:num w:numId="2">
    <w:abstractNumId w:val="7"/>
  </w:num>
  <w:num w:numId="3">
    <w:abstractNumId w:val="12"/>
  </w:num>
  <w:num w:numId="4">
    <w:abstractNumId w:val="15"/>
  </w:num>
  <w:num w:numId="5">
    <w:abstractNumId w:val="19"/>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0"/>
  </w:num>
  <w:num w:numId="9">
    <w:abstractNumId w:val="3"/>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1"/>
  </w:num>
  <w:num w:numId="14">
    <w:abstractNumId w:val="6"/>
  </w:num>
  <w:num w:numId="15">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13"/>
  </w:num>
  <w:num w:numId="19">
    <w:abstractNumId w:val="2"/>
  </w:num>
  <w:num w:numId="20">
    <w:abstractNumId w:val="22"/>
  </w:num>
  <w:num w:numId="21">
    <w:abstractNumId w:val="14"/>
  </w:num>
  <w:num w:numId="22">
    <w:abstractNumId w:val="5"/>
  </w:num>
  <w:num w:numId="23">
    <w:abstractNumId w:val="4"/>
  </w:num>
  <w:num w:numId="24">
    <w:abstractNumId w:val="20"/>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proofState w:spelling="clean"/>
  <w:attachedTemplate r:id="rId1"/>
  <w:defaultTabStop w:val="708"/>
  <w:hyphenationZone w:val="425"/>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FD"/>
    <w:rsid w:val="00002027"/>
    <w:rsid w:val="000020FE"/>
    <w:rsid w:val="00002173"/>
    <w:rsid w:val="000031A8"/>
    <w:rsid w:val="00003C5C"/>
    <w:rsid w:val="00003D39"/>
    <w:rsid w:val="000040D7"/>
    <w:rsid w:val="00004556"/>
    <w:rsid w:val="000051AF"/>
    <w:rsid w:val="000059D3"/>
    <w:rsid w:val="00005B6D"/>
    <w:rsid w:val="0000600A"/>
    <w:rsid w:val="00006081"/>
    <w:rsid w:val="00007750"/>
    <w:rsid w:val="000077FD"/>
    <w:rsid w:val="00007E37"/>
    <w:rsid w:val="00010C40"/>
    <w:rsid w:val="000112B4"/>
    <w:rsid w:val="00011DCC"/>
    <w:rsid w:val="00012532"/>
    <w:rsid w:val="00012B9E"/>
    <w:rsid w:val="00012F37"/>
    <w:rsid w:val="00012FBA"/>
    <w:rsid w:val="00013C6B"/>
    <w:rsid w:val="0001406B"/>
    <w:rsid w:val="000143F8"/>
    <w:rsid w:val="00014624"/>
    <w:rsid w:val="00015B44"/>
    <w:rsid w:val="00016081"/>
    <w:rsid w:val="000165AC"/>
    <w:rsid w:val="00016651"/>
    <w:rsid w:val="000171A2"/>
    <w:rsid w:val="00017B65"/>
    <w:rsid w:val="00020158"/>
    <w:rsid w:val="000207E0"/>
    <w:rsid w:val="000209E2"/>
    <w:rsid w:val="00020F8F"/>
    <w:rsid w:val="00021A95"/>
    <w:rsid w:val="0002256F"/>
    <w:rsid w:val="00023DAE"/>
    <w:rsid w:val="00024896"/>
    <w:rsid w:val="000255FA"/>
    <w:rsid w:val="00025D0A"/>
    <w:rsid w:val="000263F0"/>
    <w:rsid w:val="00026407"/>
    <w:rsid w:val="00026608"/>
    <w:rsid w:val="00027787"/>
    <w:rsid w:val="000278D2"/>
    <w:rsid w:val="00030DFB"/>
    <w:rsid w:val="00031364"/>
    <w:rsid w:val="000315E1"/>
    <w:rsid w:val="0003236E"/>
    <w:rsid w:val="0003339A"/>
    <w:rsid w:val="000341F2"/>
    <w:rsid w:val="00035046"/>
    <w:rsid w:val="000351F2"/>
    <w:rsid w:val="00036E03"/>
    <w:rsid w:val="000406DB"/>
    <w:rsid w:val="0004094D"/>
    <w:rsid w:val="00041029"/>
    <w:rsid w:val="00041357"/>
    <w:rsid w:val="0004149B"/>
    <w:rsid w:val="00041FC6"/>
    <w:rsid w:val="00042961"/>
    <w:rsid w:val="00042C25"/>
    <w:rsid w:val="00042D03"/>
    <w:rsid w:val="00043086"/>
    <w:rsid w:val="000430A0"/>
    <w:rsid w:val="00043399"/>
    <w:rsid w:val="00043D3B"/>
    <w:rsid w:val="0004418C"/>
    <w:rsid w:val="00044204"/>
    <w:rsid w:val="0004477A"/>
    <w:rsid w:val="000449D4"/>
    <w:rsid w:val="0004600D"/>
    <w:rsid w:val="000463B5"/>
    <w:rsid w:val="00046717"/>
    <w:rsid w:val="00046A63"/>
    <w:rsid w:val="00046C09"/>
    <w:rsid w:val="0004716A"/>
    <w:rsid w:val="00047385"/>
    <w:rsid w:val="000473E8"/>
    <w:rsid w:val="00047432"/>
    <w:rsid w:val="000504DE"/>
    <w:rsid w:val="00051074"/>
    <w:rsid w:val="000526F0"/>
    <w:rsid w:val="0005273D"/>
    <w:rsid w:val="00052B79"/>
    <w:rsid w:val="00052E4B"/>
    <w:rsid w:val="00052EA0"/>
    <w:rsid w:val="000536A7"/>
    <w:rsid w:val="000536E3"/>
    <w:rsid w:val="00053896"/>
    <w:rsid w:val="00053A00"/>
    <w:rsid w:val="0005474D"/>
    <w:rsid w:val="00055CB9"/>
    <w:rsid w:val="00056F66"/>
    <w:rsid w:val="0005702F"/>
    <w:rsid w:val="00061010"/>
    <w:rsid w:val="00061D06"/>
    <w:rsid w:val="00062CDD"/>
    <w:rsid w:val="00062DB3"/>
    <w:rsid w:val="00063472"/>
    <w:rsid w:val="000640AF"/>
    <w:rsid w:val="00064940"/>
    <w:rsid w:val="00064CAE"/>
    <w:rsid w:val="00064DB7"/>
    <w:rsid w:val="00064FA7"/>
    <w:rsid w:val="00065195"/>
    <w:rsid w:val="0006536C"/>
    <w:rsid w:val="0006626E"/>
    <w:rsid w:val="00070AF1"/>
    <w:rsid w:val="000714DE"/>
    <w:rsid w:val="0007254F"/>
    <w:rsid w:val="0007357C"/>
    <w:rsid w:val="00073C30"/>
    <w:rsid w:val="00074305"/>
    <w:rsid w:val="000744D0"/>
    <w:rsid w:val="00074B2A"/>
    <w:rsid w:val="00074EEE"/>
    <w:rsid w:val="000753D5"/>
    <w:rsid w:val="00075B3E"/>
    <w:rsid w:val="00076456"/>
    <w:rsid w:val="0007779B"/>
    <w:rsid w:val="000777E7"/>
    <w:rsid w:val="0007790A"/>
    <w:rsid w:val="0008017B"/>
    <w:rsid w:val="00080ACD"/>
    <w:rsid w:val="000811ED"/>
    <w:rsid w:val="00081D62"/>
    <w:rsid w:val="00082B74"/>
    <w:rsid w:val="00083099"/>
    <w:rsid w:val="00083EDC"/>
    <w:rsid w:val="00084B97"/>
    <w:rsid w:val="0008510E"/>
    <w:rsid w:val="000856DE"/>
    <w:rsid w:val="00085F17"/>
    <w:rsid w:val="00085FB0"/>
    <w:rsid w:val="00085FB3"/>
    <w:rsid w:val="0008686B"/>
    <w:rsid w:val="00086B2A"/>
    <w:rsid w:val="00086ED2"/>
    <w:rsid w:val="00087A64"/>
    <w:rsid w:val="0009082C"/>
    <w:rsid w:val="00090C39"/>
    <w:rsid w:val="000914D6"/>
    <w:rsid w:val="00091569"/>
    <w:rsid w:val="0009200C"/>
    <w:rsid w:val="00092CDB"/>
    <w:rsid w:val="00092DCA"/>
    <w:rsid w:val="000942EB"/>
    <w:rsid w:val="00095557"/>
    <w:rsid w:val="00095B70"/>
    <w:rsid w:val="0009617E"/>
    <w:rsid w:val="0009628D"/>
    <w:rsid w:val="0009670F"/>
    <w:rsid w:val="00096D30"/>
    <w:rsid w:val="000970E4"/>
    <w:rsid w:val="000979CF"/>
    <w:rsid w:val="000A03C8"/>
    <w:rsid w:val="000A05F2"/>
    <w:rsid w:val="000A06C4"/>
    <w:rsid w:val="000A0861"/>
    <w:rsid w:val="000A0EC4"/>
    <w:rsid w:val="000A0ED1"/>
    <w:rsid w:val="000A12DB"/>
    <w:rsid w:val="000A17C8"/>
    <w:rsid w:val="000A1B74"/>
    <w:rsid w:val="000A20D7"/>
    <w:rsid w:val="000A2128"/>
    <w:rsid w:val="000A362F"/>
    <w:rsid w:val="000A3B49"/>
    <w:rsid w:val="000A43B0"/>
    <w:rsid w:val="000A46FE"/>
    <w:rsid w:val="000A47E6"/>
    <w:rsid w:val="000A52C0"/>
    <w:rsid w:val="000A5AAF"/>
    <w:rsid w:val="000A5F97"/>
    <w:rsid w:val="000A648E"/>
    <w:rsid w:val="000A7268"/>
    <w:rsid w:val="000A73BB"/>
    <w:rsid w:val="000A73E8"/>
    <w:rsid w:val="000A7EF4"/>
    <w:rsid w:val="000B0A15"/>
    <w:rsid w:val="000B103F"/>
    <w:rsid w:val="000B1057"/>
    <w:rsid w:val="000B1437"/>
    <w:rsid w:val="000B1470"/>
    <w:rsid w:val="000B244D"/>
    <w:rsid w:val="000B2A1A"/>
    <w:rsid w:val="000B2B86"/>
    <w:rsid w:val="000B3051"/>
    <w:rsid w:val="000B419B"/>
    <w:rsid w:val="000B5781"/>
    <w:rsid w:val="000B5CB1"/>
    <w:rsid w:val="000B75F4"/>
    <w:rsid w:val="000C0185"/>
    <w:rsid w:val="000C0F81"/>
    <w:rsid w:val="000C128D"/>
    <w:rsid w:val="000C17A3"/>
    <w:rsid w:val="000C1D4B"/>
    <w:rsid w:val="000C2DC4"/>
    <w:rsid w:val="000C3260"/>
    <w:rsid w:val="000C3B77"/>
    <w:rsid w:val="000C3F6D"/>
    <w:rsid w:val="000C4F49"/>
    <w:rsid w:val="000C5861"/>
    <w:rsid w:val="000C5BDE"/>
    <w:rsid w:val="000C639D"/>
    <w:rsid w:val="000C6C31"/>
    <w:rsid w:val="000C6DBC"/>
    <w:rsid w:val="000C6F79"/>
    <w:rsid w:val="000C7322"/>
    <w:rsid w:val="000C7476"/>
    <w:rsid w:val="000C7480"/>
    <w:rsid w:val="000C7711"/>
    <w:rsid w:val="000C7AA2"/>
    <w:rsid w:val="000D0462"/>
    <w:rsid w:val="000D053D"/>
    <w:rsid w:val="000D0ED2"/>
    <w:rsid w:val="000D107D"/>
    <w:rsid w:val="000D13FD"/>
    <w:rsid w:val="000D1CEB"/>
    <w:rsid w:val="000D2563"/>
    <w:rsid w:val="000D25BF"/>
    <w:rsid w:val="000D2FE4"/>
    <w:rsid w:val="000D3FDC"/>
    <w:rsid w:val="000D490B"/>
    <w:rsid w:val="000D4E38"/>
    <w:rsid w:val="000D50DB"/>
    <w:rsid w:val="000D6288"/>
    <w:rsid w:val="000D728B"/>
    <w:rsid w:val="000D7541"/>
    <w:rsid w:val="000D75E1"/>
    <w:rsid w:val="000E22CF"/>
    <w:rsid w:val="000E2977"/>
    <w:rsid w:val="000E2CC0"/>
    <w:rsid w:val="000E30AC"/>
    <w:rsid w:val="000E3B46"/>
    <w:rsid w:val="000E3E11"/>
    <w:rsid w:val="000E4596"/>
    <w:rsid w:val="000E4B94"/>
    <w:rsid w:val="000E4D50"/>
    <w:rsid w:val="000E5768"/>
    <w:rsid w:val="000E5843"/>
    <w:rsid w:val="000E6139"/>
    <w:rsid w:val="000E63B7"/>
    <w:rsid w:val="000E653C"/>
    <w:rsid w:val="000E6BE1"/>
    <w:rsid w:val="000E7069"/>
    <w:rsid w:val="000E7E0B"/>
    <w:rsid w:val="000F0136"/>
    <w:rsid w:val="000F078A"/>
    <w:rsid w:val="000F122D"/>
    <w:rsid w:val="000F1450"/>
    <w:rsid w:val="000F14E8"/>
    <w:rsid w:val="000F1BBD"/>
    <w:rsid w:val="000F290F"/>
    <w:rsid w:val="000F4403"/>
    <w:rsid w:val="000F480B"/>
    <w:rsid w:val="000F4E17"/>
    <w:rsid w:val="000F5615"/>
    <w:rsid w:val="000F6578"/>
    <w:rsid w:val="000F6F92"/>
    <w:rsid w:val="000F7E8F"/>
    <w:rsid w:val="000F7FBB"/>
    <w:rsid w:val="001000FB"/>
    <w:rsid w:val="00100A9E"/>
    <w:rsid w:val="00100F6A"/>
    <w:rsid w:val="00102605"/>
    <w:rsid w:val="00102686"/>
    <w:rsid w:val="00102745"/>
    <w:rsid w:val="00103795"/>
    <w:rsid w:val="00103915"/>
    <w:rsid w:val="001039AA"/>
    <w:rsid w:val="00103EA0"/>
    <w:rsid w:val="00104149"/>
    <w:rsid w:val="00104F1C"/>
    <w:rsid w:val="001051E5"/>
    <w:rsid w:val="00105A74"/>
    <w:rsid w:val="00105ACB"/>
    <w:rsid w:val="00105AEF"/>
    <w:rsid w:val="00106259"/>
    <w:rsid w:val="001068EB"/>
    <w:rsid w:val="001078CE"/>
    <w:rsid w:val="00110F61"/>
    <w:rsid w:val="001111BD"/>
    <w:rsid w:val="0011165A"/>
    <w:rsid w:val="00111B2B"/>
    <w:rsid w:val="00112774"/>
    <w:rsid w:val="00112B2E"/>
    <w:rsid w:val="00113003"/>
    <w:rsid w:val="00113062"/>
    <w:rsid w:val="0011359A"/>
    <w:rsid w:val="00113705"/>
    <w:rsid w:val="00113975"/>
    <w:rsid w:val="00113CFC"/>
    <w:rsid w:val="00113FEA"/>
    <w:rsid w:val="00114A22"/>
    <w:rsid w:val="00114E9D"/>
    <w:rsid w:val="0011507B"/>
    <w:rsid w:val="00115C37"/>
    <w:rsid w:val="00116328"/>
    <w:rsid w:val="001163CF"/>
    <w:rsid w:val="001174C9"/>
    <w:rsid w:val="001177FE"/>
    <w:rsid w:val="00117E69"/>
    <w:rsid w:val="00121103"/>
    <w:rsid w:val="00121B78"/>
    <w:rsid w:val="00121BAB"/>
    <w:rsid w:val="00121E3C"/>
    <w:rsid w:val="00122B23"/>
    <w:rsid w:val="00122B7E"/>
    <w:rsid w:val="00123E27"/>
    <w:rsid w:val="00123FB5"/>
    <w:rsid w:val="0012400F"/>
    <w:rsid w:val="001249DC"/>
    <w:rsid w:val="0012572D"/>
    <w:rsid w:val="00125BED"/>
    <w:rsid w:val="00125C59"/>
    <w:rsid w:val="00125D4F"/>
    <w:rsid w:val="00127004"/>
    <w:rsid w:val="0012770B"/>
    <w:rsid w:val="00127AF2"/>
    <w:rsid w:val="00127EDC"/>
    <w:rsid w:val="00127F42"/>
    <w:rsid w:val="00127F6D"/>
    <w:rsid w:val="00130355"/>
    <w:rsid w:val="00130365"/>
    <w:rsid w:val="001304E5"/>
    <w:rsid w:val="00131B5A"/>
    <w:rsid w:val="00132C30"/>
    <w:rsid w:val="00132EFD"/>
    <w:rsid w:val="00133AED"/>
    <w:rsid w:val="00134BCD"/>
    <w:rsid w:val="00134E09"/>
    <w:rsid w:val="001350AB"/>
    <w:rsid w:val="00135DB9"/>
    <w:rsid w:val="00135E5D"/>
    <w:rsid w:val="0013695C"/>
    <w:rsid w:val="00136BF7"/>
    <w:rsid w:val="00136C78"/>
    <w:rsid w:val="001378B9"/>
    <w:rsid w:val="00137FFA"/>
    <w:rsid w:val="00140109"/>
    <w:rsid w:val="0014029B"/>
    <w:rsid w:val="00140464"/>
    <w:rsid w:val="00140A4F"/>
    <w:rsid w:val="001413AB"/>
    <w:rsid w:val="00141DBF"/>
    <w:rsid w:val="00142EFD"/>
    <w:rsid w:val="00144335"/>
    <w:rsid w:val="0014502F"/>
    <w:rsid w:val="00145282"/>
    <w:rsid w:val="001453B0"/>
    <w:rsid w:val="001454D9"/>
    <w:rsid w:val="00145D8E"/>
    <w:rsid w:val="00146083"/>
    <w:rsid w:val="001462F7"/>
    <w:rsid w:val="001471AB"/>
    <w:rsid w:val="00147F35"/>
    <w:rsid w:val="00150005"/>
    <w:rsid w:val="00151AEB"/>
    <w:rsid w:val="00151B99"/>
    <w:rsid w:val="00151E79"/>
    <w:rsid w:val="001521B2"/>
    <w:rsid w:val="00152EDD"/>
    <w:rsid w:val="00153491"/>
    <w:rsid w:val="0015361C"/>
    <w:rsid w:val="0015372F"/>
    <w:rsid w:val="00153BFB"/>
    <w:rsid w:val="0015407E"/>
    <w:rsid w:val="0015448E"/>
    <w:rsid w:val="00154A6F"/>
    <w:rsid w:val="00155BED"/>
    <w:rsid w:val="00155D08"/>
    <w:rsid w:val="0015623B"/>
    <w:rsid w:val="00156BE5"/>
    <w:rsid w:val="00157232"/>
    <w:rsid w:val="00157B5F"/>
    <w:rsid w:val="00160401"/>
    <w:rsid w:val="00160D4E"/>
    <w:rsid w:val="00161DDA"/>
    <w:rsid w:val="00161E62"/>
    <w:rsid w:val="00161F1C"/>
    <w:rsid w:val="0016200B"/>
    <w:rsid w:val="0016204B"/>
    <w:rsid w:val="00163D7A"/>
    <w:rsid w:val="00164281"/>
    <w:rsid w:val="00165703"/>
    <w:rsid w:val="00165E5C"/>
    <w:rsid w:val="00166204"/>
    <w:rsid w:val="00166797"/>
    <w:rsid w:val="0016685F"/>
    <w:rsid w:val="0016712F"/>
    <w:rsid w:val="00167503"/>
    <w:rsid w:val="001676A9"/>
    <w:rsid w:val="00167A15"/>
    <w:rsid w:val="00167A50"/>
    <w:rsid w:val="00167D1A"/>
    <w:rsid w:val="00167DF5"/>
    <w:rsid w:val="00170001"/>
    <w:rsid w:val="00172198"/>
    <w:rsid w:val="00172612"/>
    <w:rsid w:val="00172817"/>
    <w:rsid w:val="001734E3"/>
    <w:rsid w:val="001742BF"/>
    <w:rsid w:val="001742E1"/>
    <w:rsid w:val="00175BE2"/>
    <w:rsid w:val="00175E49"/>
    <w:rsid w:val="0017649F"/>
    <w:rsid w:val="0017655B"/>
    <w:rsid w:val="0018007F"/>
    <w:rsid w:val="001805C1"/>
    <w:rsid w:val="00180A2E"/>
    <w:rsid w:val="001813AF"/>
    <w:rsid w:val="00182368"/>
    <w:rsid w:val="001826C9"/>
    <w:rsid w:val="001829CD"/>
    <w:rsid w:val="00182F01"/>
    <w:rsid w:val="00184219"/>
    <w:rsid w:val="00184F27"/>
    <w:rsid w:val="0018519B"/>
    <w:rsid w:val="00185966"/>
    <w:rsid w:val="00185A2D"/>
    <w:rsid w:val="00185AFE"/>
    <w:rsid w:val="00185E78"/>
    <w:rsid w:val="00187177"/>
    <w:rsid w:val="00187ABD"/>
    <w:rsid w:val="001904E3"/>
    <w:rsid w:val="0019087A"/>
    <w:rsid w:val="00191C5A"/>
    <w:rsid w:val="00191CEB"/>
    <w:rsid w:val="00191E63"/>
    <w:rsid w:val="00192D68"/>
    <w:rsid w:val="0019388B"/>
    <w:rsid w:val="00193ADE"/>
    <w:rsid w:val="00193AF8"/>
    <w:rsid w:val="00193B9A"/>
    <w:rsid w:val="001940ED"/>
    <w:rsid w:val="001946AE"/>
    <w:rsid w:val="001946D5"/>
    <w:rsid w:val="00194E8C"/>
    <w:rsid w:val="00195F02"/>
    <w:rsid w:val="001962EC"/>
    <w:rsid w:val="001963DD"/>
    <w:rsid w:val="001965DB"/>
    <w:rsid w:val="00196D01"/>
    <w:rsid w:val="00196DC9"/>
    <w:rsid w:val="00196E95"/>
    <w:rsid w:val="00197758"/>
    <w:rsid w:val="001A0236"/>
    <w:rsid w:val="001A0915"/>
    <w:rsid w:val="001A0AF8"/>
    <w:rsid w:val="001A0E1B"/>
    <w:rsid w:val="001A1490"/>
    <w:rsid w:val="001A18D5"/>
    <w:rsid w:val="001A1A38"/>
    <w:rsid w:val="001A1BE0"/>
    <w:rsid w:val="001A1D4A"/>
    <w:rsid w:val="001A3011"/>
    <w:rsid w:val="001A3078"/>
    <w:rsid w:val="001A4A9B"/>
    <w:rsid w:val="001A4B32"/>
    <w:rsid w:val="001A4DAF"/>
    <w:rsid w:val="001A4F44"/>
    <w:rsid w:val="001A54CD"/>
    <w:rsid w:val="001A66DF"/>
    <w:rsid w:val="001A67D0"/>
    <w:rsid w:val="001A6863"/>
    <w:rsid w:val="001A7591"/>
    <w:rsid w:val="001A75B1"/>
    <w:rsid w:val="001A7B06"/>
    <w:rsid w:val="001B0366"/>
    <w:rsid w:val="001B0444"/>
    <w:rsid w:val="001B096B"/>
    <w:rsid w:val="001B0EB0"/>
    <w:rsid w:val="001B0F40"/>
    <w:rsid w:val="001B0F9F"/>
    <w:rsid w:val="001B123C"/>
    <w:rsid w:val="001B1A0D"/>
    <w:rsid w:val="001B1BF1"/>
    <w:rsid w:val="001B21AC"/>
    <w:rsid w:val="001B2456"/>
    <w:rsid w:val="001B449C"/>
    <w:rsid w:val="001B4AA2"/>
    <w:rsid w:val="001B4ADE"/>
    <w:rsid w:val="001B5530"/>
    <w:rsid w:val="001B5EF8"/>
    <w:rsid w:val="001B71E8"/>
    <w:rsid w:val="001C033E"/>
    <w:rsid w:val="001C07C6"/>
    <w:rsid w:val="001C120D"/>
    <w:rsid w:val="001C16DA"/>
    <w:rsid w:val="001C19CD"/>
    <w:rsid w:val="001C22D5"/>
    <w:rsid w:val="001C2515"/>
    <w:rsid w:val="001C26FB"/>
    <w:rsid w:val="001C33C1"/>
    <w:rsid w:val="001C3E30"/>
    <w:rsid w:val="001C3E5C"/>
    <w:rsid w:val="001C5072"/>
    <w:rsid w:val="001C5B2A"/>
    <w:rsid w:val="001C600B"/>
    <w:rsid w:val="001C6898"/>
    <w:rsid w:val="001C6DD8"/>
    <w:rsid w:val="001C76FA"/>
    <w:rsid w:val="001C79A4"/>
    <w:rsid w:val="001C7C7B"/>
    <w:rsid w:val="001D068D"/>
    <w:rsid w:val="001D12D1"/>
    <w:rsid w:val="001D15DF"/>
    <w:rsid w:val="001D2EEE"/>
    <w:rsid w:val="001D30F3"/>
    <w:rsid w:val="001D31A0"/>
    <w:rsid w:val="001D338E"/>
    <w:rsid w:val="001D4562"/>
    <w:rsid w:val="001D4CAD"/>
    <w:rsid w:val="001D56E9"/>
    <w:rsid w:val="001D6944"/>
    <w:rsid w:val="001D796A"/>
    <w:rsid w:val="001D7A84"/>
    <w:rsid w:val="001D7C79"/>
    <w:rsid w:val="001E003B"/>
    <w:rsid w:val="001E1CC4"/>
    <w:rsid w:val="001E1D38"/>
    <w:rsid w:val="001E28A0"/>
    <w:rsid w:val="001E3FFE"/>
    <w:rsid w:val="001E4258"/>
    <w:rsid w:val="001E5140"/>
    <w:rsid w:val="001E5D6A"/>
    <w:rsid w:val="001E6A94"/>
    <w:rsid w:val="001E70FB"/>
    <w:rsid w:val="001E780A"/>
    <w:rsid w:val="001F0806"/>
    <w:rsid w:val="001F0D15"/>
    <w:rsid w:val="001F0FA0"/>
    <w:rsid w:val="001F10BD"/>
    <w:rsid w:val="001F1349"/>
    <w:rsid w:val="001F1863"/>
    <w:rsid w:val="001F1A52"/>
    <w:rsid w:val="001F2356"/>
    <w:rsid w:val="001F2A68"/>
    <w:rsid w:val="001F2C47"/>
    <w:rsid w:val="001F4773"/>
    <w:rsid w:val="001F5008"/>
    <w:rsid w:val="001F56AA"/>
    <w:rsid w:val="001F58AA"/>
    <w:rsid w:val="001F5A4E"/>
    <w:rsid w:val="001F5EF6"/>
    <w:rsid w:val="001F657F"/>
    <w:rsid w:val="001F6FB6"/>
    <w:rsid w:val="001F72BB"/>
    <w:rsid w:val="001F7978"/>
    <w:rsid w:val="001F7A0E"/>
    <w:rsid w:val="001F7A4B"/>
    <w:rsid w:val="0020022E"/>
    <w:rsid w:val="0020054E"/>
    <w:rsid w:val="00201508"/>
    <w:rsid w:val="00201AC4"/>
    <w:rsid w:val="00201F1E"/>
    <w:rsid w:val="00202761"/>
    <w:rsid w:val="0020299B"/>
    <w:rsid w:val="00202B2A"/>
    <w:rsid w:val="00202E44"/>
    <w:rsid w:val="002037AA"/>
    <w:rsid w:val="00203FE3"/>
    <w:rsid w:val="002042D8"/>
    <w:rsid w:val="00204515"/>
    <w:rsid w:val="00204BF5"/>
    <w:rsid w:val="00204E6B"/>
    <w:rsid w:val="002053EF"/>
    <w:rsid w:val="002058D4"/>
    <w:rsid w:val="0020632A"/>
    <w:rsid w:val="0020697F"/>
    <w:rsid w:val="0020726E"/>
    <w:rsid w:val="00207389"/>
    <w:rsid w:val="002110EB"/>
    <w:rsid w:val="00211338"/>
    <w:rsid w:val="00211388"/>
    <w:rsid w:val="0021148C"/>
    <w:rsid w:val="00211694"/>
    <w:rsid w:val="0021201A"/>
    <w:rsid w:val="00212545"/>
    <w:rsid w:val="002138FE"/>
    <w:rsid w:val="00213A1F"/>
    <w:rsid w:val="00213C63"/>
    <w:rsid w:val="00214502"/>
    <w:rsid w:val="00214741"/>
    <w:rsid w:val="00214938"/>
    <w:rsid w:val="0021539A"/>
    <w:rsid w:val="00215852"/>
    <w:rsid w:val="00215B01"/>
    <w:rsid w:val="00215B8E"/>
    <w:rsid w:val="00216264"/>
    <w:rsid w:val="002169A0"/>
    <w:rsid w:val="002176B6"/>
    <w:rsid w:val="0021792D"/>
    <w:rsid w:val="00217DB8"/>
    <w:rsid w:val="002202CE"/>
    <w:rsid w:val="0022032A"/>
    <w:rsid w:val="002210AD"/>
    <w:rsid w:val="0022194E"/>
    <w:rsid w:val="002220B1"/>
    <w:rsid w:val="002221CE"/>
    <w:rsid w:val="00222BE8"/>
    <w:rsid w:val="00222DF6"/>
    <w:rsid w:val="00223102"/>
    <w:rsid w:val="002232CB"/>
    <w:rsid w:val="00224022"/>
    <w:rsid w:val="00226055"/>
    <w:rsid w:val="0022609C"/>
    <w:rsid w:val="0022613F"/>
    <w:rsid w:val="0022614F"/>
    <w:rsid w:val="00226236"/>
    <w:rsid w:val="002266AF"/>
    <w:rsid w:val="002270C9"/>
    <w:rsid w:val="00227A8B"/>
    <w:rsid w:val="0023146B"/>
    <w:rsid w:val="002315A0"/>
    <w:rsid w:val="00231748"/>
    <w:rsid w:val="00231DCC"/>
    <w:rsid w:val="00231EC7"/>
    <w:rsid w:val="00232E15"/>
    <w:rsid w:val="00233079"/>
    <w:rsid w:val="0023382C"/>
    <w:rsid w:val="00233977"/>
    <w:rsid w:val="00233C58"/>
    <w:rsid w:val="00233C71"/>
    <w:rsid w:val="002345B6"/>
    <w:rsid w:val="002347A6"/>
    <w:rsid w:val="00234B84"/>
    <w:rsid w:val="00236016"/>
    <w:rsid w:val="00237065"/>
    <w:rsid w:val="00237589"/>
    <w:rsid w:val="0023758D"/>
    <w:rsid w:val="002375A7"/>
    <w:rsid w:val="0024019A"/>
    <w:rsid w:val="00240EC1"/>
    <w:rsid w:val="0024120F"/>
    <w:rsid w:val="0024131D"/>
    <w:rsid w:val="002415B8"/>
    <w:rsid w:val="00241B82"/>
    <w:rsid w:val="00242D5F"/>
    <w:rsid w:val="00242D62"/>
    <w:rsid w:val="002430D0"/>
    <w:rsid w:val="002431D7"/>
    <w:rsid w:val="00244058"/>
    <w:rsid w:val="00245718"/>
    <w:rsid w:val="00245E07"/>
    <w:rsid w:val="00247712"/>
    <w:rsid w:val="00250A9E"/>
    <w:rsid w:val="00250EC6"/>
    <w:rsid w:val="002515C7"/>
    <w:rsid w:val="00251866"/>
    <w:rsid w:val="00251A9F"/>
    <w:rsid w:val="00252492"/>
    <w:rsid w:val="00252B35"/>
    <w:rsid w:val="00253070"/>
    <w:rsid w:val="0025316D"/>
    <w:rsid w:val="00253A02"/>
    <w:rsid w:val="00253B81"/>
    <w:rsid w:val="00254AE9"/>
    <w:rsid w:val="002554DE"/>
    <w:rsid w:val="00255575"/>
    <w:rsid w:val="00255E11"/>
    <w:rsid w:val="002564B7"/>
    <w:rsid w:val="00256835"/>
    <w:rsid w:val="002569F0"/>
    <w:rsid w:val="00256C01"/>
    <w:rsid w:val="00256E1A"/>
    <w:rsid w:val="00256ECF"/>
    <w:rsid w:val="00257730"/>
    <w:rsid w:val="00257999"/>
    <w:rsid w:val="002604AA"/>
    <w:rsid w:val="0026051E"/>
    <w:rsid w:val="0026129B"/>
    <w:rsid w:val="00261560"/>
    <w:rsid w:val="00261715"/>
    <w:rsid w:val="00261CF9"/>
    <w:rsid w:val="00261EC0"/>
    <w:rsid w:val="0026231B"/>
    <w:rsid w:val="00263101"/>
    <w:rsid w:val="002631D1"/>
    <w:rsid w:val="00263201"/>
    <w:rsid w:val="00263A37"/>
    <w:rsid w:val="00264266"/>
    <w:rsid w:val="0026471F"/>
    <w:rsid w:val="0026480D"/>
    <w:rsid w:val="002653A6"/>
    <w:rsid w:val="002661F1"/>
    <w:rsid w:val="00266316"/>
    <w:rsid w:val="00266DB6"/>
    <w:rsid w:val="002711A4"/>
    <w:rsid w:val="00271230"/>
    <w:rsid w:val="00271F13"/>
    <w:rsid w:val="00272945"/>
    <w:rsid w:val="00272E89"/>
    <w:rsid w:val="0027482E"/>
    <w:rsid w:val="002748F1"/>
    <w:rsid w:val="00274DB5"/>
    <w:rsid w:val="00275BB1"/>
    <w:rsid w:val="0027770B"/>
    <w:rsid w:val="00277933"/>
    <w:rsid w:val="00277F8D"/>
    <w:rsid w:val="00277FA7"/>
    <w:rsid w:val="00280046"/>
    <w:rsid w:val="00280B4F"/>
    <w:rsid w:val="00280F3D"/>
    <w:rsid w:val="0028106A"/>
    <w:rsid w:val="00281EB4"/>
    <w:rsid w:val="00282E03"/>
    <w:rsid w:val="0028308E"/>
    <w:rsid w:val="002834E9"/>
    <w:rsid w:val="00283A52"/>
    <w:rsid w:val="00283C5E"/>
    <w:rsid w:val="00283E26"/>
    <w:rsid w:val="0028428F"/>
    <w:rsid w:val="00284CFC"/>
    <w:rsid w:val="00285832"/>
    <w:rsid w:val="00285969"/>
    <w:rsid w:val="0028599C"/>
    <w:rsid w:val="0028663B"/>
    <w:rsid w:val="00286CEC"/>
    <w:rsid w:val="002870F9"/>
    <w:rsid w:val="002871A9"/>
    <w:rsid w:val="00287505"/>
    <w:rsid w:val="00287727"/>
    <w:rsid w:val="00287BDB"/>
    <w:rsid w:val="00290781"/>
    <w:rsid w:val="00291784"/>
    <w:rsid w:val="002920DF"/>
    <w:rsid w:val="002928A3"/>
    <w:rsid w:val="002929BB"/>
    <w:rsid w:val="00294368"/>
    <w:rsid w:val="00294B78"/>
    <w:rsid w:val="00295416"/>
    <w:rsid w:val="00295949"/>
    <w:rsid w:val="00295D7C"/>
    <w:rsid w:val="0029624A"/>
    <w:rsid w:val="00296922"/>
    <w:rsid w:val="00297098"/>
    <w:rsid w:val="002A05D4"/>
    <w:rsid w:val="002A06DB"/>
    <w:rsid w:val="002A09FF"/>
    <w:rsid w:val="002A0E60"/>
    <w:rsid w:val="002A1A58"/>
    <w:rsid w:val="002A1B02"/>
    <w:rsid w:val="002A1C53"/>
    <w:rsid w:val="002A1F84"/>
    <w:rsid w:val="002A244B"/>
    <w:rsid w:val="002A28FC"/>
    <w:rsid w:val="002A2B44"/>
    <w:rsid w:val="002A2EA5"/>
    <w:rsid w:val="002A301E"/>
    <w:rsid w:val="002A3D94"/>
    <w:rsid w:val="002A4736"/>
    <w:rsid w:val="002A4B1C"/>
    <w:rsid w:val="002A55FE"/>
    <w:rsid w:val="002A625C"/>
    <w:rsid w:val="002A6AFB"/>
    <w:rsid w:val="002A733D"/>
    <w:rsid w:val="002A774A"/>
    <w:rsid w:val="002A78F3"/>
    <w:rsid w:val="002A7D84"/>
    <w:rsid w:val="002A7E5C"/>
    <w:rsid w:val="002A7F6D"/>
    <w:rsid w:val="002B0D83"/>
    <w:rsid w:val="002B1342"/>
    <w:rsid w:val="002B1F83"/>
    <w:rsid w:val="002B27C8"/>
    <w:rsid w:val="002B2A7F"/>
    <w:rsid w:val="002B330B"/>
    <w:rsid w:val="002B39BE"/>
    <w:rsid w:val="002B438C"/>
    <w:rsid w:val="002B48DB"/>
    <w:rsid w:val="002B4B34"/>
    <w:rsid w:val="002B541A"/>
    <w:rsid w:val="002B5EAB"/>
    <w:rsid w:val="002B5F2E"/>
    <w:rsid w:val="002B6407"/>
    <w:rsid w:val="002B6416"/>
    <w:rsid w:val="002B6459"/>
    <w:rsid w:val="002B6F22"/>
    <w:rsid w:val="002B7014"/>
    <w:rsid w:val="002B73B0"/>
    <w:rsid w:val="002C24B4"/>
    <w:rsid w:val="002C2B3A"/>
    <w:rsid w:val="002C2B87"/>
    <w:rsid w:val="002C3CF4"/>
    <w:rsid w:val="002C441A"/>
    <w:rsid w:val="002C4A73"/>
    <w:rsid w:val="002C4B84"/>
    <w:rsid w:val="002C4C0C"/>
    <w:rsid w:val="002C5016"/>
    <w:rsid w:val="002C5C2F"/>
    <w:rsid w:val="002C5D0F"/>
    <w:rsid w:val="002C60B9"/>
    <w:rsid w:val="002C61D4"/>
    <w:rsid w:val="002C6F77"/>
    <w:rsid w:val="002C704D"/>
    <w:rsid w:val="002D0845"/>
    <w:rsid w:val="002D0933"/>
    <w:rsid w:val="002D1555"/>
    <w:rsid w:val="002D15B6"/>
    <w:rsid w:val="002D19BB"/>
    <w:rsid w:val="002D1A9B"/>
    <w:rsid w:val="002D1F51"/>
    <w:rsid w:val="002D20F8"/>
    <w:rsid w:val="002D22BD"/>
    <w:rsid w:val="002D22C5"/>
    <w:rsid w:val="002D302A"/>
    <w:rsid w:val="002D36C6"/>
    <w:rsid w:val="002D37C1"/>
    <w:rsid w:val="002D444B"/>
    <w:rsid w:val="002D46A6"/>
    <w:rsid w:val="002D46B4"/>
    <w:rsid w:val="002D46CE"/>
    <w:rsid w:val="002D49C2"/>
    <w:rsid w:val="002D4A45"/>
    <w:rsid w:val="002D4B42"/>
    <w:rsid w:val="002D4B43"/>
    <w:rsid w:val="002D5A1B"/>
    <w:rsid w:val="002D6558"/>
    <w:rsid w:val="002D65BC"/>
    <w:rsid w:val="002E055C"/>
    <w:rsid w:val="002E1050"/>
    <w:rsid w:val="002E107E"/>
    <w:rsid w:val="002E18E5"/>
    <w:rsid w:val="002E1953"/>
    <w:rsid w:val="002E2C3F"/>
    <w:rsid w:val="002E2CB5"/>
    <w:rsid w:val="002E2D7D"/>
    <w:rsid w:val="002E32D0"/>
    <w:rsid w:val="002E3D76"/>
    <w:rsid w:val="002E40A1"/>
    <w:rsid w:val="002E48EC"/>
    <w:rsid w:val="002E4B44"/>
    <w:rsid w:val="002E4ECB"/>
    <w:rsid w:val="002E4F23"/>
    <w:rsid w:val="002E635A"/>
    <w:rsid w:val="002E6D68"/>
    <w:rsid w:val="002E7847"/>
    <w:rsid w:val="002F0073"/>
    <w:rsid w:val="002F1B27"/>
    <w:rsid w:val="002F1C67"/>
    <w:rsid w:val="002F240B"/>
    <w:rsid w:val="002F2F50"/>
    <w:rsid w:val="002F33EC"/>
    <w:rsid w:val="002F34E3"/>
    <w:rsid w:val="002F3601"/>
    <w:rsid w:val="002F40E2"/>
    <w:rsid w:val="002F45F6"/>
    <w:rsid w:val="002F5A6F"/>
    <w:rsid w:val="002F692F"/>
    <w:rsid w:val="002F7031"/>
    <w:rsid w:val="002F7961"/>
    <w:rsid w:val="002F7B66"/>
    <w:rsid w:val="00300CB4"/>
    <w:rsid w:val="00300E24"/>
    <w:rsid w:val="0030257B"/>
    <w:rsid w:val="003033BA"/>
    <w:rsid w:val="0030341E"/>
    <w:rsid w:val="00303C19"/>
    <w:rsid w:val="003043A3"/>
    <w:rsid w:val="0030462D"/>
    <w:rsid w:val="00304BD4"/>
    <w:rsid w:val="00304F54"/>
    <w:rsid w:val="0030500A"/>
    <w:rsid w:val="003052EB"/>
    <w:rsid w:val="00305FCB"/>
    <w:rsid w:val="003063C3"/>
    <w:rsid w:val="003069DC"/>
    <w:rsid w:val="00306A13"/>
    <w:rsid w:val="00306B44"/>
    <w:rsid w:val="00307C44"/>
    <w:rsid w:val="0031040A"/>
    <w:rsid w:val="0031088E"/>
    <w:rsid w:val="00310D01"/>
    <w:rsid w:val="00311376"/>
    <w:rsid w:val="00311A1F"/>
    <w:rsid w:val="00311B47"/>
    <w:rsid w:val="00311D52"/>
    <w:rsid w:val="00312190"/>
    <w:rsid w:val="003125E0"/>
    <w:rsid w:val="0031271D"/>
    <w:rsid w:val="003132BB"/>
    <w:rsid w:val="00313337"/>
    <w:rsid w:val="00313447"/>
    <w:rsid w:val="00313748"/>
    <w:rsid w:val="00313EA3"/>
    <w:rsid w:val="003151FE"/>
    <w:rsid w:val="00315365"/>
    <w:rsid w:val="00315457"/>
    <w:rsid w:val="003161A4"/>
    <w:rsid w:val="0031674D"/>
    <w:rsid w:val="00316955"/>
    <w:rsid w:val="0031713F"/>
    <w:rsid w:val="0031720A"/>
    <w:rsid w:val="0031749B"/>
    <w:rsid w:val="003174E5"/>
    <w:rsid w:val="00317C9D"/>
    <w:rsid w:val="00317CD2"/>
    <w:rsid w:val="00317D99"/>
    <w:rsid w:val="0032078D"/>
    <w:rsid w:val="00320ADF"/>
    <w:rsid w:val="0032137B"/>
    <w:rsid w:val="00321A70"/>
    <w:rsid w:val="00321BD6"/>
    <w:rsid w:val="00321FA3"/>
    <w:rsid w:val="003227D3"/>
    <w:rsid w:val="00322937"/>
    <w:rsid w:val="00323881"/>
    <w:rsid w:val="00324885"/>
    <w:rsid w:val="003251A8"/>
    <w:rsid w:val="003254B1"/>
    <w:rsid w:val="00325AD9"/>
    <w:rsid w:val="00325D98"/>
    <w:rsid w:val="0032682A"/>
    <w:rsid w:val="00327A5C"/>
    <w:rsid w:val="0033092C"/>
    <w:rsid w:val="0033122A"/>
    <w:rsid w:val="003315AC"/>
    <w:rsid w:val="00331932"/>
    <w:rsid w:val="00331F74"/>
    <w:rsid w:val="00332382"/>
    <w:rsid w:val="00332453"/>
    <w:rsid w:val="0033251B"/>
    <w:rsid w:val="003331CC"/>
    <w:rsid w:val="00333A88"/>
    <w:rsid w:val="00335B15"/>
    <w:rsid w:val="00335B21"/>
    <w:rsid w:val="00335D3F"/>
    <w:rsid w:val="00336104"/>
    <w:rsid w:val="00336729"/>
    <w:rsid w:val="00336CD9"/>
    <w:rsid w:val="0033726D"/>
    <w:rsid w:val="00337296"/>
    <w:rsid w:val="00337CA8"/>
    <w:rsid w:val="00340D3F"/>
    <w:rsid w:val="0034174B"/>
    <w:rsid w:val="0034177C"/>
    <w:rsid w:val="003420E9"/>
    <w:rsid w:val="00342345"/>
    <w:rsid w:val="00342837"/>
    <w:rsid w:val="00342C27"/>
    <w:rsid w:val="003430C8"/>
    <w:rsid w:val="003432C8"/>
    <w:rsid w:val="003434B3"/>
    <w:rsid w:val="00343536"/>
    <w:rsid w:val="00343EFB"/>
    <w:rsid w:val="00344760"/>
    <w:rsid w:val="003454E8"/>
    <w:rsid w:val="00345574"/>
    <w:rsid w:val="0034680A"/>
    <w:rsid w:val="00346C62"/>
    <w:rsid w:val="00347202"/>
    <w:rsid w:val="0034778E"/>
    <w:rsid w:val="00347A5A"/>
    <w:rsid w:val="003501E2"/>
    <w:rsid w:val="00351E10"/>
    <w:rsid w:val="003533F4"/>
    <w:rsid w:val="003536F6"/>
    <w:rsid w:val="00353DD5"/>
    <w:rsid w:val="00353F36"/>
    <w:rsid w:val="00355131"/>
    <w:rsid w:val="00355F74"/>
    <w:rsid w:val="003560DB"/>
    <w:rsid w:val="003564DB"/>
    <w:rsid w:val="00356F87"/>
    <w:rsid w:val="00357E83"/>
    <w:rsid w:val="00360B68"/>
    <w:rsid w:val="00360CF3"/>
    <w:rsid w:val="00361A59"/>
    <w:rsid w:val="00363348"/>
    <w:rsid w:val="00363857"/>
    <w:rsid w:val="00363D59"/>
    <w:rsid w:val="00363F08"/>
    <w:rsid w:val="003640F7"/>
    <w:rsid w:val="0036594A"/>
    <w:rsid w:val="00365D3A"/>
    <w:rsid w:val="003664FF"/>
    <w:rsid w:val="00366BD2"/>
    <w:rsid w:val="003670B8"/>
    <w:rsid w:val="003704A3"/>
    <w:rsid w:val="003706F2"/>
    <w:rsid w:val="003709E8"/>
    <w:rsid w:val="0037124F"/>
    <w:rsid w:val="00373827"/>
    <w:rsid w:val="0037401C"/>
    <w:rsid w:val="0037507B"/>
    <w:rsid w:val="00375C7C"/>
    <w:rsid w:val="00377027"/>
    <w:rsid w:val="00377135"/>
    <w:rsid w:val="00380272"/>
    <w:rsid w:val="003805DB"/>
    <w:rsid w:val="0038152A"/>
    <w:rsid w:val="0038245D"/>
    <w:rsid w:val="00382BAD"/>
    <w:rsid w:val="003835FD"/>
    <w:rsid w:val="00383EDF"/>
    <w:rsid w:val="00384C5E"/>
    <w:rsid w:val="00384DF1"/>
    <w:rsid w:val="00384FF3"/>
    <w:rsid w:val="00386456"/>
    <w:rsid w:val="003865A9"/>
    <w:rsid w:val="0039092B"/>
    <w:rsid w:val="00390BD9"/>
    <w:rsid w:val="00390F32"/>
    <w:rsid w:val="0039135E"/>
    <w:rsid w:val="0039285D"/>
    <w:rsid w:val="0039319C"/>
    <w:rsid w:val="00393577"/>
    <w:rsid w:val="00393CAE"/>
    <w:rsid w:val="003945F4"/>
    <w:rsid w:val="00394EB5"/>
    <w:rsid w:val="003953B4"/>
    <w:rsid w:val="0039615F"/>
    <w:rsid w:val="003966A0"/>
    <w:rsid w:val="00396A29"/>
    <w:rsid w:val="00397C34"/>
    <w:rsid w:val="00397FF0"/>
    <w:rsid w:val="003A0878"/>
    <w:rsid w:val="003A1561"/>
    <w:rsid w:val="003A1D25"/>
    <w:rsid w:val="003A22A2"/>
    <w:rsid w:val="003A2447"/>
    <w:rsid w:val="003A2AA1"/>
    <w:rsid w:val="003A31A5"/>
    <w:rsid w:val="003A329A"/>
    <w:rsid w:val="003A3603"/>
    <w:rsid w:val="003A3851"/>
    <w:rsid w:val="003A39DD"/>
    <w:rsid w:val="003A40DB"/>
    <w:rsid w:val="003A4199"/>
    <w:rsid w:val="003A41C5"/>
    <w:rsid w:val="003A4A8E"/>
    <w:rsid w:val="003A563C"/>
    <w:rsid w:val="003A581E"/>
    <w:rsid w:val="003A5E7E"/>
    <w:rsid w:val="003A6160"/>
    <w:rsid w:val="003A65A5"/>
    <w:rsid w:val="003A72F5"/>
    <w:rsid w:val="003A78E5"/>
    <w:rsid w:val="003B0341"/>
    <w:rsid w:val="003B1961"/>
    <w:rsid w:val="003B1E57"/>
    <w:rsid w:val="003B2EF3"/>
    <w:rsid w:val="003B534F"/>
    <w:rsid w:val="003B5391"/>
    <w:rsid w:val="003B58CE"/>
    <w:rsid w:val="003B65D7"/>
    <w:rsid w:val="003B65E0"/>
    <w:rsid w:val="003B6BD4"/>
    <w:rsid w:val="003B6F4D"/>
    <w:rsid w:val="003B6FE7"/>
    <w:rsid w:val="003C0491"/>
    <w:rsid w:val="003C0C0F"/>
    <w:rsid w:val="003C0D1F"/>
    <w:rsid w:val="003C116A"/>
    <w:rsid w:val="003C1AF4"/>
    <w:rsid w:val="003C1CB8"/>
    <w:rsid w:val="003C22DA"/>
    <w:rsid w:val="003C2550"/>
    <w:rsid w:val="003C287F"/>
    <w:rsid w:val="003C3339"/>
    <w:rsid w:val="003C375A"/>
    <w:rsid w:val="003C4317"/>
    <w:rsid w:val="003C4D9F"/>
    <w:rsid w:val="003C5247"/>
    <w:rsid w:val="003C5B02"/>
    <w:rsid w:val="003C5E8A"/>
    <w:rsid w:val="003C622C"/>
    <w:rsid w:val="003C6505"/>
    <w:rsid w:val="003C73C7"/>
    <w:rsid w:val="003C7CFB"/>
    <w:rsid w:val="003D050B"/>
    <w:rsid w:val="003D0B98"/>
    <w:rsid w:val="003D0C3C"/>
    <w:rsid w:val="003D0DE5"/>
    <w:rsid w:val="003D1351"/>
    <w:rsid w:val="003D21C1"/>
    <w:rsid w:val="003D3B15"/>
    <w:rsid w:val="003D3B2E"/>
    <w:rsid w:val="003D4101"/>
    <w:rsid w:val="003D484D"/>
    <w:rsid w:val="003D49CB"/>
    <w:rsid w:val="003D5F10"/>
    <w:rsid w:val="003D6B8F"/>
    <w:rsid w:val="003D7566"/>
    <w:rsid w:val="003E0224"/>
    <w:rsid w:val="003E09BB"/>
    <w:rsid w:val="003E159D"/>
    <w:rsid w:val="003E20EA"/>
    <w:rsid w:val="003E210C"/>
    <w:rsid w:val="003E2F55"/>
    <w:rsid w:val="003E324A"/>
    <w:rsid w:val="003E34DB"/>
    <w:rsid w:val="003E3833"/>
    <w:rsid w:val="003E3AF9"/>
    <w:rsid w:val="003E4A70"/>
    <w:rsid w:val="003E4C48"/>
    <w:rsid w:val="003E4CD9"/>
    <w:rsid w:val="003E52C2"/>
    <w:rsid w:val="003E54B3"/>
    <w:rsid w:val="003E5780"/>
    <w:rsid w:val="003E5B9F"/>
    <w:rsid w:val="003E6072"/>
    <w:rsid w:val="003E60D6"/>
    <w:rsid w:val="003E6AB6"/>
    <w:rsid w:val="003E6E0B"/>
    <w:rsid w:val="003E71CD"/>
    <w:rsid w:val="003E78DA"/>
    <w:rsid w:val="003E7A8B"/>
    <w:rsid w:val="003F060E"/>
    <w:rsid w:val="003F0F7F"/>
    <w:rsid w:val="003F115C"/>
    <w:rsid w:val="003F153A"/>
    <w:rsid w:val="003F300D"/>
    <w:rsid w:val="003F391F"/>
    <w:rsid w:val="003F4599"/>
    <w:rsid w:val="003F45E1"/>
    <w:rsid w:val="003F4F6C"/>
    <w:rsid w:val="003F559E"/>
    <w:rsid w:val="003F6181"/>
    <w:rsid w:val="003F6BFC"/>
    <w:rsid w:val="003F7343"/>
    <w:rsid w:val="00400002"/>
    <w:rsid w:val="00400054"/>
    <w:rsid w:val="004016A3"/>
    <w:rsid w:val="00401B31"/>
    <w:rsid w:val="0040202B"/>
    <w:rsid w:val="0040219D"/>
    <w:rsid w:val="0040284E"/>
    <w:rsid w:val="00402DE1"/>
    <w:rsid w:val="00402EEB"/>
    <w:rsid w:val="004037C2"/>
    <w:rsid w:val="00404041"/>
    <w:rsid w:val="004040D4"/>
    <w:rsid w:val="00404B43"/>
    <w:rsid w:val="00404C61"/>
    <w:rsid w:val="00405487"/>
    <w:rsid w:val="00405B8A"/>
    <w:rsid w:val="0040602B"/>
    <w:rsid w:val="0040606C"/>
    <w:rsid w:val="004060DC"/>
    <w:rsid w:val="00406DF5"/>
    <w:rsid w:val="00406F35"/>
    <w:rsid w:val="004077D0"/>
    <w:rsid w:val="00407A7A"/>
    <w:rsid w:val="00407ABC"/>
    <w:rsid w:val="00407F1E"/>
    <w:rsid w:val="00410A88"/>
    <w:rsid w:val="00410CC8"/>
    <w:rsid w:val="00410EA0"/>
    <w:rsid w:val="00411317"/>
    <w:rsid w:val="00411692"/>
    <w:rsid w:val="00411A9E"/>
    <w:rsid w:val="0041259F"/>
    <w:rsid w:val="00412B1B"/>
    <w:rsid w:val="00412B4D"/>
    <w:rsid w:val="00412C51"/>
    <w:rsid w:val="00413262"/>
    <w:rsid w:val="0041329C"/>
    <w:rsid w:val="004139F4"/>
    <w:rsid w:val="00413FFA"/>
    <w:rsid w:val="00414246"/>
    <w:rsid w:val="0041463D"/>
    <w:rsid w:val="00414D9A"/>
    <w:rsid w:val="00415194"/>
    <w:rsid w:val="00415816"/>
    <w:rsid w:val="00415B88"/>
    <w:rsid w:val="00415D32"/>
    <w:rsid w:val="004160A2"/>
    <w:rsid w:val="0041674B"/>
    <w:rsid w:val="004170D7"/>
    <w:rsid w:val="004177A6"/>
    <w:rsid w:val="00417C23"/>
    <w:rsid w:val="00417EFD"/>
    <w:rsid w:val="004200EE"/>
    <w:rsid w:val="00420786"/>
    <w:rsid w:val="004209D2"/>
    <w:rsid w:val="00420BBA"/>
    <w:rsid w:val="00420D6E"/>
    <w:rsid w:val="0042158C"/>
    <w:rsid w:val="00421617"/>
    <w:rsid w:val="004217A7"/>
    <w:rsid w:val="00421BD2"/>
    <w:rsid w:val="00421E00"/>
    <w:rsid w:val="00421FCB"/>
    <w:rsid w:val="00422DCA"/>
    <w:rsid w:val="00423C7F"/>
    <w:rsid w:val="00423D04"/>
    <w:rsid w:val="00423F9F"/>
    <w:rsid w:val="00425C43"/>
    <w:rsid w:val="004273FA"/>
    <w:rsid w:val="004275A7"/>
    <w:rsid w:val="00430186"/>
    <w:rsid w:val="00430F17"/>
    <w:rsid w:val="00431CC7"/>
    <w:rsid w:val="0043260C"/>
    <w:rsid w:val="0043269A"/>
    <w:rsid w:val="00432E92"/>
    <w:rsid w:val="004333C2"/>
    <w:rsid w:val="00434787"/>
    <w:rsid w:val="00434C13"/>
    <w:rsid w:val="00434D8B"/>
    <w:rsid w:val="00435294"/>
    <w:rsid w:val="00435703"/>
    <w:rsid w:val="00435BD5"/>
    <w:rsid w:val="00436323"/>
    <w:rsid w:val="0043683F"/>
    <w:rsid w:val="00436F40"/>
    <w:rsid w:val="004370FA"/>
    <w:rsid w:val="00440096"/>
    <w:rsid w:val="004403DD"/>
    <w:rsid w:val="00440CF3"/>
    <w:rsid w:val="00440DB0"/>
    <w:rsid w:val="00440DDC"/>
    <w:rsid w:val="00440FAD"/>
    <w:rsid w:val="00441291"/>
    <w:rsid w:val="00441E04"/>
    <w:rsid w:val="004420AB"/>
    <w:rsid w:val="004422D6"/>
    <w:rsid w:val="004427AC"/>
    <w:rsid w:val="00442C7D"/>
    <w:rsid w:val="00442D13"/>
    <w:rsid w:val="00442D21"/>
    <w:rsid w:val="00442D4D"/>
    <w:rsid w:val="0044374D"/>
    <w:rsid w:val="00443B55"/>
    <w:rsid w:val="00443D27"/>
    <w:rsid w:val="0044500B"/>
    <w:rsid w:val="004451C5"/>
    <w:rsid w:val="00446037"/>
    <w:rsid w:val="00446270"/>
    <w:rsid w:val="0044642F"/>
    <w:rsid w:val="0044772C"/>
    <w:rsid w:val="00450846"/>
    <w:rsid w:val="00451A52"/>
    <w:rsid w:val="00452663"/>
    <w:rsid w:val="0045271D"/>
    <w:rsid w:val="00452755"/>
    <w:rsid w:val="00452803"/>
    <w:rsid w:val="004529C6"/>
    <w:rsid w:val="00452EAD"/>
    <w:rsid w:val="004533D1"/>
    <w:rsid w:val="004534D1"/>
    <w:rsid w:val="00454548"/>
    <w:rsid w:val="00454717"/>
    <w:rsid w:val="00454DF8"/>
    <w:rsid w:val="00455004"/>
    <w:rsid w:val="00455047"/>
    <w:rsid w:val="00455354"/>
    <w:rsid w:val="0045558D"/>
    <w:rsid w:val="00455BD3"/>
    <w:rsid w:val="004567DA"/>
    <w:rsid w:val="00456970"/>
    <w:rsid w:val="00456BB1"/>
    <w:rsid w:val="00456CD4"/>
    <w:rsid w:val="00456DDB"/>
    <w:rsid w:val="00456E61"/>
    <w:rsid w:val="00457031"/>
    <w:rsid w:val="00460915"/>
    <w:rsid w:val="00460946"/>
    <w:rsid w:val="004614A9"/>
    <w:rsid w:val="00461E97"/>
    <w:rsid w:val="0046268F"/>
    <w:rsid w:val="0046284F"/>
    <w:rsid w:val="00462B10"/>
    <w:rsid w:val="00462C04"/>
    <w:rsid w:val="00462E1D"/>
    <w:rsid w:val="0046320A"/>
    <w:rsid w:val="00463347"/>
    <w:rsid w:val="004636CC"/>
    <w:rsid w:val="004638E2"/>
    <w:rsid w:val="00464030"/>
    <w:rsid w:val="004647F8"/>
    <w:rsid w:val="004647FB"/>
    <w:rsid w:val="00465347"/>
    <w:rsid w:val="00465677"/>
    <w:rsid w:val="00466392"/>
    <w:rsid w:val="00466616"/>
    <w:rsid w:val="00466A0C"/>
    <w:rsid w:val="00466A53"/>
    <w:rsid w:val="00470552"/>
    <w:rsid w:val="00470A6A"/>
    <w:rsid w:val="00470D73"/>
    <w:rsid w:val="00470D92"/>
    <w:rsid w:val="00471DF7"/>
    <w:rsid w:val="004734CF"/>
    <w:rsid w:val="00473F33"/>
    <w:rsid w:val="0047586C"/>
    <w:rsid w:val="00475C5A"/>
    <w:rsid w:val="00475C9C"/>
    <w:rsid w:val="0047676B"/>
    <w:rsid w:val="0047771F"/>
    <w:rsid w:val="0047773C"/>
    <w:rsid w:val="00477C5F"/>
    <w:rsid w:val="00480050"/>
    <w:rsid w:val="0048011C"/>
    <w:rsid w:val="004808DE"/>
    <w:rsid w:val="00480F9A"/>
    <w:rsid w:val="00481AC4"/>
    <w:rsid w:val="00481DC1"/>
    <w:rsid w:val="00482507"/>
    <w:rsid w:val="0048268A"/>
    <w:rsid w:val="00482A64"/>
    <w:rsid w:val="004835CA"/>
    <w:rsid w:val="004836F8"/>
    <w:rsid w:val="004836FE"/>
    <w:rsid w:val="00484A39"/>
    <w:rsid w:val="00484F0F"/>
    <w:rsid w:val="00484F40"/>
    <w:rsid w:val="0048540C"/>
    <w:rsid w:val="0048608A"/>
    <w:rsid w:val="004861B4"/>
    <w:rsid w:val="00486226"/>
    <w:rsid w:val="00486BD0"/>
    <w:rsid w:val="00486D00"/>
    <w:rsid w:val="00486FF7"/>
    <w:rsid w:val="00487263"/>
    <w:rsid w:val="0048734F"/>
    <w:rsid w:val="0049029D"/>
    <w:rsid w:val="0049030C"/>
    <w:rsid w:val="004903C0"/>
    <w:rsid w:val="0049114B"/>
    <w:rsid w:val="004912A8"/>
    <w:rsid w:val="00491577"/>
    <w:rsid w:val="004918E1"/>
    <w:rsid w:val="0049196A"/>
    <w:rsid w:val="0049196E"/>
    <w:rsid w:val="0049241A"/>
    <w:rsid w:val="00492844"/>
    <w:rsid w:val="00492C1F"/>
    <w:rsid w:val="00492E4C"/>
    <w:rsid w:val="00493664"/>
    <w:rsid w:val="004938FD"/>
    <w:rsid w:val="00493E04"/>
    <w:rsid w:val="004940E3"/>
    <w:rsid w:val="0049530F"/>
    <w:rsid w:val="00496664"/>
    <w:rsid w:val="00496786"/>
    <w:rsid w:val="0049695B"/>
    <w:rsid w:val="00496D8F"/>
    <w:rsid w:val="00497463"/>
    <w:rsid w:val="004A054C"/>
    <w:rsid w:val="004A08D1"/>
    <w:rsid w:val="004A16C1"/>
    <w:rsid w:val="004A1CE2"/>
    <w:rsid w:val="004A34D2"/>
    <w:rsid w:val="004A4301"/>
    <w:rsid w:val="004A4D93"/>
    <w:rsid w:val="004A546E"/>
    <w:rsid w:val="004A58EE"/>
    <w:rsid w:val="004A59B7"/>
    <w:rsid w:val="004A6051"/>
    <w:rsid w:val="004A623B"/>
    <w:rsid w:val="004A6A04"/>
    <w:rsid w:val="004A6A52"/>
    <w:rsid w:val="004B0A44"/>
    <w:rsid w:val="004B0F0B"/>
    <w:rsid w:val="004B2197"/>
    <w:rsid w:val="004B298A"/>
    <w:rsid w:val="004B2BB8"/>
    <w:rsid w:val="004B50CB"/>
    <w:rsid w:val="004B578D"/>
    <w:rsid w:val="004B5BE7"/>
    <w:rsid w:val="004B5E2D"/>
    <w:rsid w:val="004B6C07"/>
    <w:rsid w:val="004B6EF5"/>
    <w:rsid w:val="004B74D3"/>
    <w:rsid w:val="004B755E"/>
    <w:rsid w:val="004B788E"/>
    <w:rsid w:val="004B7E5D"/>
    <w:rsid w:val="004C1198"/>
    <w:rsid w:val="004C22F7"/>
    <w:rsid w:val="004C2B27"/>
    <w:rsid w:val="004C3929"/>
    <w:rsid w:val="004C4160"/>
    <w:rsid w:val="004C5212"/>
    <w:rsid w:val="004C5EF0"/>
    <w:rsid w:val="004C64C9"/>
    <w:rsid w:val="004C7226"/>
    <w:rsid w:val="004C74C9"/>
    <w:rsid w:val="004C7915"/>
    <w:rsid w:val="004C7D70"/>
    <w:rsid w:val="004D02F9"/>
    <w:rsid w:val="004D03FE"/>
    <w:rsid w:val="004D0446"/>
    <w:rsid w:val="004D06A3"/>
    <w:rsid w:val="004D0F95"/>
    <w:rsid w:val="004D106A"/>
    <w:rsid w:val="004D1C7E"/>
    <w:rsid w:val="004D245A"/>
    <w:rsid w:val="004D31EE"/>
    <w:rsid w:val="004D36AF"/>
    <w:rsid w:val="004D3BD1"/>
    <w:rsid w:val="004D4BA1"/>
    <w:rsid w:val="004D584D"/>
    <w:rsid w:val="004D5A7E"/>
    <w:rsid w:val="004D6120"/>
    <w:rsid w:val="004D6826"/>
    <w:rsid w:val="004D7497"/>
    <w:rsid w:val="004E023F"/>
    <w:rsid w:val="004E0546"/>
    <w:rsid w:val="004E0556"/>
    <w:rsid w:val="004E0742"/>
    <w:rsid w:val="004E0C64"/>
    <w:rsid w:val="004E0F6B"/>
    <w:rsid w:val="004E1545"/>
    <w:rsid w:val="004E1F1C"/>
    <w:rsid w:val="004E2A35"/>
    <w:rsid w:val="004E2CCF"/>
    <w:rsid w:val="004E3B71"/>
    <w:rsid w:val="004E4055"/>
    <w:rsid w:val="004E40CE"/>
    <w:rsid w:val="004E5736"/>
    <w:rsid w:val="004E5A3C"/>
    <w:rsid w:val="004E5B36"/>
    <w:rsid w:val="004E5D5D"/>
    <w:rsid w:val="004E6045"/>
    <w:rsid w:val="004E6F43"/>
    <w:rsid w:val="004E7200"/>
    <w:rsid w:val="004E787E"/>
    <w:rsid w:val="004E7AA1"/>
    <w:rsid w:val="004F0805"/>
    <w:rsid w:val="004F0960"/>
    <w:rsid w:val="004F0A5C"/>
    <w:rsid w:val="004F1596"/>
    <w:rsid w:val="004F163F"/>
    <w:rsid w:val="004F18A0"/>
    <w:rsid w:val="004F1A08"/>
    <w:rsid w:val="004F2B64"/>
    <w:rsid w:val="004F31B8"/>
    <w:rsid w:val="004F375E"/>
    <w:rsid w:val="004F3764"/>
    <w:rsid w:val="004F3EEF"/>
    <w:rsid w:val="004F5180"/>
    <w:rsid w:val="004F57C9"/>
    <w:rsid w:val="004F5930"/>
    <w:rsid w:val="004F5970"/>
    <w:rsid w:val="004F5F0C"/>
    <w:rsid w:val="004F6121"/>
    <w:rsid w:val="004F6161"/>
    <w:rsid w:val="004F66BC"/>
    <w:rsid w:val="004F6C26"/>
    <w:rsid w:val="004F7AC9"/>
    <w:rsid w:val="0050062F"/>
    <w:rsid w:val="00500E74"/>
    <w:rsid w:val="0050160F"/>
    <w:rsid w:val="0050284E"/>
    <w:rsid w:val="0050306F"/>
    <w:rsid w:val="00503A17"/>
    <w:rsid w:val="00505892"/>
    <w:rsid w:val="00505DCB"/>
    <w:rsid w:val="00507066"/>
    <w:rsid w:val="005075CA"/>
    <w:rsid w:val="00507B06"/>
    <w:rsid w:val="00507BF1"/>
    <w:rsid w:val="0051074C"/>
    <w:rsid w:val="00510DE9"/>
    <w:rsid w:val="005111E2"/>
    <w:rsid w:val="00511231"/>
    <w:rsid w:val="00511741"/>
    <w:rsid w:val="00512C4F"/>
    <w:rsid w:val="00513042"/>
    <w:rsid w:val="0051334F"/>
    <w:rsid w:val="00513399"/>
    <w:rsid w:val="005135BE"/>
    <w:rsid w:val="00513AF2"/>
    <w:rsid w:val="00514575"/>
    <w:rsid w:val="00514C03"/>
    <w:rsid w:val="00514D67"/>
    <w:rsid w:val="0051522A"/>
    <w:rsid w:val="00515515"/>
    <w:rsid w:val="0051635C"/>
    <w:rsid w:val="00516C5B"/>
    <w:rsid w:val="00517612"/>
    <w:rsid w:val="00517CFB"/>
    <w:rsid w:val="00517F85"/>
    <w:rsid w:val="0052002F"/>
    <w:rsid w:val="00520235"/>
    <w:rsid w:val="00520899"/>
    <w:rsid w:val="00520922"/>
    <w:rsid w:val="005209FC"/>
    <w:rsid w:val="00520C09"/>
    <w:rsid w:val="00521A30"/>
    <w:rsid w:val="00521D7C"/>
    <w:rsid w:val="00521EA7"/>
    <w:rsid w:val="005224E5"/>
    <w:rsid w:val="0052311A"/>
    <w:rsid w:val="00523903"/>
    <w:rsid w:val="005239B6"/>
    <w:rsid w:val="00523C45"/>
    <w:rsid w:val="00523F41"/>
    <w:rsid w:val="00524165"/>
    <w:rsid w:val="005246E7"/>
    <w:rsid w:val="00524B08"/>
    <w:rsid w:val="00524C38"/>
    <w:rsid w:val="00524FD2"/>
    <w:rsid w:val="00525621"/>
    <w:rsid w:val="00526431"/>
    <w:rsid w:val="00527532"/>
    <w:rsid w:val="00527DEB"/>
    <w:rsid w:val="00527E57"/>
    <w:rsid w:val="00527F2C"/>
    <w:rsid w:val="00530059"/>
    <w:rsid w:val="00530405"/>
    <w:rsid w:val="00530458"/>
    <w:rsid w:val="00530522"/>
    <w:rsid w:val="005305E5"/>
    <w:rsid w:val="0053086F"/>
    <w:rsid w:val="00530CBA"/>
    <w:rsid w:val="00530F38"/>
    <w:rsid w:val="00531F26"/>
    <w:rsid w:val="00531FEF"/>
    <w:rsid w:val="00532501"/>
    <w:rsid w:val="0053277C"/>
    <w:rsid w:val="005327C0"/>
    <w:rsid w:val="00533101"/>
    <w:rsid w:val="00533CA9"/>
    <w:rsid w:val="005346AD"/>
    <w:rsid w:val="00534EFB"/>
    <w:rsid w:val="00534F60"/>
    <w:rsid w:val="005357F1"/>
    <w:rsid w:val="00535C73"/>
    <w:rsid w:val="00535D15"/>
    <w:rsid w:val="00536053"/>
    <w:rsid w:val="005363C6"/>
    <w:rsid w:val="005369E6"/>
    <w:rsid w:val="005371AC"/>
    <w:rsid w:val="00537672"/>
    <w:rsid w:val="005376B5"/>
    <w:rsid w:val="0053772F"/>
    <w:rsid w:val="00537A70"/>
    <w:rsid w:val="00537B64"/>
    <w:rsid w:val="00537B77"/>
    <w:rsid w:val="00540C4C"/>
    <w:rsid w:val="00541469"/>
    <w:rsid w:val="00541571"/>
    <w:rsid w:val="00541B1F"/>
    <w:rsid w:val="0054275A"/>
    <w:rsid w:val="005428B8"/>
    <w:rsid w:val="005428BE"/>
    <w:rsid w:val="00542BD7"/>
    <w:rsid w:val="00543084"/>
    <w:rsid w:val="00543584"/>
    <w:rsid w:val="00543A9E"/>
    <w:rsid w:val="0054413A"/>
    <w:rsid w:val="00544288"/>
    <w:rsid w:val="005446BB"/>
    <w:rsid w:val="00544DA5"/>
    <w:rsid w:val="00544F43"/>
    <w:rsid w:val="00545E30"/>
    <w:rsid w:val="00545EA3"/>
    <w:rsid w:val="00546C9B"/>
    <w:rsid w:val="00547BF6"/>
    <w:rsid w:val="00547FB3"/>
    <w:rsid w:val="00551098"/>
    <w:rsid w:val="00551598"/>
    <w:rsid w:val="0055162B"/>
    <w:rsid w:val="00551A56"/>
    <w:rsid w:val="00551BFF"/>
    <w:rsid w:val="00551D68"/>
    <w:rsid w:val="00551DFF"/>
    <w:rsid w:val="005525C9"/>
    <w:rsid w:val="00552B3E"/>
    <w:rsid w:val="00554578"/>
    <w:rsid w:val="00554D57"/>
    <w:rsid w:val="005551AA"/>
    <w:rsid w:val="00555BCE"/>
    <w:rsid w:val="005564CA"/>
    <w:rsid w:val="005568BD"/>
    <w:rsid w:val="005568EA"/>
    <w:rsid w:val="00557140"/>
    <w:rsid w:val="0055715A"/>
    <w:rsid w:val="0055729E"/>
    <w:rsid w:val="00557984"/>
    <w:rsid w:val="00557A3F"/>
    <w:rsid w:val="00560BC1"/>
    <w:rsid w:val="00560C87"/>
    <w:rsid w:val="00560F51"/>
    <w:rsid w:val="00561249"/>
    <w:rsid w:val="0056182B"/>
    <w:rsid w:val="00561A88"/>
    <w:rsid w:val="00561AF3"/>
    <w:rsid w:val="00561E0B"/>
    <w:rsid w:val="00562141"/>
    <w:rsid w:val="00562D86"/>
    <w:rsid w:val="005640CA"/>
    <w:rsid w:val="00564704"/>
    <w:rsid w:val="00564712"/>
    <w:rsid w:val="005657A8"/>
    <w:rsid w:val="00565952"/>
    <w:rsid w:val="00566866"/>
    <w:rsid w:val="005670A5"/>
    <w:rsid w:val="00567285"/>
    <w:rsid w:val="00567723"/>
    <w:rsid w:val="0056772D"/>
    <w:rsid w:val="005678F5"/>
    <w:rsid w:val="00567AB8"/>
    <w:rsid w:val="00570A26"/>
    <w:rsid w:val="00570CFD"/>
    <w:rsid w:val="00571872"/>
    <w:rsid w:val="0057221F"/>
    <w:rsid w:val="00572421"/>
    <w:rsid w:val="00572539"/>
    <w:rsid w:val="00573355"/>
    <w:rsid w:val="0057337D"/>
    <w:rsid w:val="00573504"/>
    <w:rsid w:val="0057355F"/>
    <w:rsid w:val="00573BA3"/>
    <w:rsid w:val="00574708"/>
    <w:rsid w:val="00574D81"/>
    <w:rsid w:val="005756AA"/>
    <w:rsid w:val="0057696F"/>
    <w:rsid w:val="005774FE"/>
    <w:rsid w:val="0058040C"/>
    <w:rsid w:val="00580963"/>
    <w:rsid w:val="00580D6D"/>
    <w:rsid w:val="00580FD8"/>
    <w:rsid w:val="005813DE"/>
    <w:rsid w:val="00581796"/>
    <w:rsid w:val="00581B45"/>
    <w:rsid w:val="00582480"/>
    <w:rsid w:val="00582805"/>
    <w:rsid w:val="0058290E"/>
    <w:rsid w:val="00582CAB"/>
    <w:rsid w:val="00582FA6"/>
    <w:rsid w:val="005836D5"/>
    <w:rsid w:val="0058375E"/>
    <w:rsid w:val="00583E07"/>
    <w:rsid w:val="00584233"/>
    <w:rsid w:val="005842D0"/>
    <w:rsid w:val="005845FB"/>
    <w:rsid w:val="005855AE"/>
    <w:rsid w:val="00585829"/>
    <w:rsid w:val="00585CA8"/>
    <w:rsid w:val="00586412"/>
    <w:rsid w:val="005864B9"/>
    <w:rsid w:val="00586564"/>
    <w:rsid w:val="005866C4"/>
    <w:rsid w:val="005907D4"/>
    <w:rsid w:val="00590F1A"/>
    <w:rsid w:val="00591C03"/>
    <w:rsid w:val="00591E2A"/>
    <w:rsid w:val="005923C4"/>
    <w:rsid w:val="005936E0"/>
    <w:rsid w:val="0059397D"/>
    <w:rsid w:val="00593EA2"/>
    <w:rsid w:val="00593F75"/>
    <w:rsid w:val="005940A0"/>
    <w:rsid w:val="0059429A"/>
    <w:rsid w:val="00594CBE"/>
    <w:rsid w:val="00596AF7"/>
    <w:rsid w:val="00596CCE"/>
    <w:rsid w:val="005A1976"/>
    <w:rsid w:val="005A2120"/>
    <w:rsid w:val="005A2501"/>
    <w:rsid w:val="005A2C80"/>
    <w:rsid w:val="005A3066"/>
    <w:rsid w:val="005A3B35"/>
    <w:rsid w:val="005A3C4B"/>
    <w:rsid w:val="005A3E5A"/>
    <w:rsid w:val="005A43F3"/>
    <w:rsid w:val="005A496F"/>
    <w:rsid w:val="005A4A56"/>
    <w:rsid w:val="005A5608"/>
    <w:rsid w:val="005A5A3D"/>
    <w:rsid w:val="005A6035"/>
    <w:rsid w:val="005A6B75"/>
    <w:rsid w:val="005A6E00"/>
    <w:rsid w:val="005A70B2"/>
    <w:rsid w:val="005A718A"/>
    <w:rsid w:val="005A72DD"/>
    <w:rsid w:val="005A7885"/>
    <w:rsid w:val="005B12B2"/>
    <w:rsid w:val="005B143B"/>
    <w:rsid w:val="005B19BD"/>
    <w:rsid w:val="005B1D7A"/>
    <w:rsid w:val="005B1E45"/>
    <w:rsid w:val="005B21C4"/>
    <w:rsid w:val="005B2A28"/>
    <w:rsid w:val="005B35AB"/>
    <w:rsid w:val="005B3621"/>
    <w:rsid w:val="005B3EBE"/>
    <w:rsid w:val="005B4948"/>
    <w:rsid w:val="005B501D"/>
    <w:rsid w:val="005B54CC"/>
    <w:rsid w:val="005B71BB"/>
    <w:rsid w:val="005B74AD"/>
    <w:rsid w:val="005B7E96"/>
    <w:rsid w:val="005C0429"/>
    <w:rsid w:val="005C084F"/>
    <w:rsid w:val="005C0A99"/>
    <w:rsid w:val="005C0EE9"/>
    <w:rsid w:val="005C169F"/>
    <w:rsid w:val="005C16A8"/>
    <w:rsid w:val="005C1716"/>
    <w:rsid w:val="005C1954"/>
    <w:rsid w:val="005C1C0B"/>
    <w:rsid w:val="005C2011"/>
    <w:rsid w:val="005C21CD"/>
    <w:rsid w:val="005C3EA3"/>
    <w:rsid w:val="005C44DE"/>
    <w:rsid w:val="005C5011"/>
    <w:rsid w:val="005C5241"/>
    <w:rsid w:val="005C529E"/>
    <w:rsid w:val="005C57BA"/>
    <w:rsid w:val="005C5C52"/>
    <w:rsid w:val="005C5D3D"/>
    <w:rsid w:val="005C5F05"/>
    <w:rsid w:val="005C6186"/>
    <w:rsid w:val="005C6CF7"/>
    <w:rsid w:val="005C7E45"/>
    <w:rsid w:val="005C7F3E"/>
    <w:rsid w:val="005D06D3"/>
    <w:rsid w:val="005D0C3B"/>
    <w:rsid w:val="005D103E"/>
    <w:rsid w:val="005D1051"/>
    <w:rsid w:val="005D1606"/>
    <w:rsid w:val="005D2044"/>
    <w:rsid w:val="005D209E"/>
    <w:rsid w:val="005D2917"/>
    <w:rsid w:val="005D2EB2"/>
    <w:rsid w:val="005D2F48"/>
    <w:rsid w:val="005D3B32"/>
    <w:rsid w:val="005D464B"/>
    <w:rsid w:val="005D466F"/>
    <w:rsid w:val="005D49F0"/>
    <w:rsid w:val="005D51F7"/>
    <w:rsid w:val="005D51FA"/>
    <w:rsid w:val="005D53E8"/>
    <w:rsid w:val="005D5A9D"/>
    <w:rsid w:val="005D5D15"/>
    <w:rsid w:val="005D6651"/>
    <w:rsid w:val="005D691D"/>
    <w:rsid w:val="005D6A72"/>
    <w:rsid w:val="005D6F38"/>
    <w:rsid w:val="005D791B"/>
    <w:rsid w:val="005D7CF2"/>
    <w:rsid w:val="005D7F92"/>
    <w:rsid w:val="005E062C"/>
    <w:rsid w:val="005E0D7B"/>
    <w:rsid w:val="005E1595"/>
    <w:rsid w:val="005E1F1D"/>
    <w:rsid w:val="005E273D"/>
    <w:rsid w:val="005E3278"/>
    <w:rsid w:val="005E363B"/>
    <w:rsid w:val="005E3736"/>
    <w:rsid w:val="005E4B72"/>
    <w:rsid w:val="005E52C9"/>
    <w:rsid w:val="005E781C"/>
    <w:rsid w:val="005F2D8B"/>
    <w:rsid w:val="005F305B"/>
    <w:rsid w:val="005F3361"/>
    <w:rsid w:val="005F361A"/>
    <w:rsid w:val="005F3B47"/>
    <w:rsid w:val="005F4481"/>
    <w:rsid w:val="005F47AC"/>
    <w:rsid w:val="005F49AF"/>
    <w:rsid w:val="005F4A58"/>
    <w:rsid w:val="005F54DF"/>
    <w:rsid w:val="005F5694"/>
    <w:rsid w:val="005F5888"/>
    <w:rsid w:val="005F5984"/>
    <w:rsid w:val="005F5EAB"/>
    <w:rsid w:val="005F6CE2"/>
    <w:rsid w:val="005F6EC8"/>
    <w:rsid w:val="005F6F24"/>
    <w:rsid w:val="005F72E9"/>
    <w:rsid w:val="005F780B"/>
    <w:rsid w:val="00600473"/>
    <w:rsid w:val="0060139A"/>
    <w:rsid w:val="006013C9"/>
    <w:rsid w:val="006018ED"/>
    <w:rsid w:val="00602931"/>
    <w:rsid w:val="00602B45"/>
    <w:rsid w:val="00603499"/>
    <w:rsid w:val="006035F5"/>
    <w:rsid w:val="00603CC2"/>
    <w:rsid w:val="006047D1"/>
    <w:rsid w:val="006048A4"/>
    <w:rsid w:val="00604A55"/>
    <w:rsid w:val="00604D4E"/>
    <w:rsid w:val="00604E3E"/>
    <w:rsid w:val="00605AC3"/>
    <w:rsid w:val="00606908"/>
    <w:rsid w:val="00607996"/>
    <w:rsid w:val="00607A37"/>
    <w:rsid w:val="00607E9F"/>
    <w:rsid w:val="00610001"/>
    <w:rsid w:val="0061085E"/>
    <w:rsid w:val="006112A7"/>
    <w:rsid w:val="00611398"/>
    <w:rsid w:val="006113B4"/>
    <w:rsid w:val="0061186D"/>
    <w:rsid w:val="00612322"/>
    <w:rsid w:val="006123C0"/>
    <w:rsid w:val="006129AB"/>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20719"/>
    <w:rsid w:val="006212C9"/>
    <w:rsid w:val="00621D0C"/>
    <w:rsid w:val="00622229"/>
    <w:rsid w:val="00622470"/>
    <w:rsid w:val="00622725"/>
    <w:rsid w:val="00622785"/>
    <w:rsid w:val="00622ACD"/>
    <w:rsid w:val="00622B63"/>
    <w:rsid w:val="006231AA"/>
    <w:rsid w:val="00623482"/>
    <w:rsid w:val="00623AC2"/>
    <w:rsid w:val="00623EBC"/>
    <w:rsid w:val="0062475D"/>
    <w:rsid w:val="00625642"/>
    <w:rsid w:val="00625DF2"/>
    <w:rsid w:val="006266D7"/>
    <w:rsid w:val="00626D42"/>
    <w:rsid w:val="00626EE3"/>
    <w:rsid w:val="006274AD"/>
    <w:rsid w:val="00627519"/>
    <w:rsid w:val="00627532"/>
    <w:rsid w:val="006302AA"/>
    <w:rsid w:val="006310C3"/>
    <w:rsid w:val="0063161E"/>
    <w:rsid w:val="00631BB5"/>
    <w:rsid w:val="00631DD0"/>
    <w:rsid w:val="00633B29"/>
    <w:rsid w:val="00633DBF"/>
    <w:rsid w:val="00634122"/>
    <w:rsid w:val="0063444B"/>
    <w:rsid w:val="00634BEF"/>
    <w:rsid w:val="00635E32"/>
    <w:rsid w:val="006360FC"/>
    <w:rsid w:val="006361C9"/>
    <w:rsid w:val="00636405"/>
    <w:rsid w:val="006365DE"/>
    <w:rsid w:val="00636BE4"/>
    <w:rsid w:val="00636F88"/>
    <w:rsid w:val="0063732C"/>
    <w:rsid w:val="00637802"/>
    <w:rsid w:val="00637836"/>
    <w:rsid w:val="00637C26"/>
    <w:rsid w:val="00637F44"/>
    <w:rsid w:val="00641078"/>
    <w:rsid w:val="00641242"/>
    <w:rsid w:val="00641761"/>
    <w:rsid w:val="0064194F"/>
    <w:rsid w:val="00642126"/>
    <w:rsid w:val="00642A32"/>
    <w:rsid w:val="00642F7C"/>
    <w:rsid w:val="006433D5"/>
    <w:rsid w:val="00643412"/>
    <w:rsid w:val="00645844"/>
    <w:rsid w:val="00645CEB"/>
    <w:rsid w:val="00645E63"/>
    <w:rsid w:val="0064696D"/>
    <w:rsid w:val="00646B20"/>
    <w:rsid w:val="00646D0F"/>
    <w:rsid w:val="00647A36"/>
    <w:rsid w:val="00647DCC"/>
    <w:rsid w:val="00647E8E"/>
    <w:rsid w:val="00647EFA"/>
    <w:rsid w:val="00647F14"/>
    <w:rsid w:val="00650027"/>
    <w:rsid w:val="00650E89"/>
    <w:rsid w:val="00651B9C"/>
    <w:rsid w:val="00651C47"/>
    <w:rsid w:val="00652E70"/>
    <w:rsid w:val="0065339A"/>
    <w:rsid w:val="00653469"/>
    <w:rsid w:val="0065443A"/>
    <w:rsid w:val="00654A38"/>
    <w:rsid w:val="00655301"/>
    <w:rsid w:val="00655371"/>
    <w:rsid w:val="00655507"/>
    <w:rsid w:val="006564A5"/>
    <w:rsid w:val="00656C4B"/>
    <w:rsid w:val="006572A7"/>
    <w:rsid w:val="006573EA"/>
    <w:rsid w:val="006577C9"/>
    <w:rsid w:val="006606A4"/>
    <w:rsid w:val="00661029"/>
    <w:rsid w:val="006610C3"/>
    <w:rsid w:val="0066135A"/>
    <w:rsid w:val="00661A38"/>
    <w:rsid w:val="0066272D"/>
    <w:rsid w:val="00662E58"/>
    <w:rsid w:val="00662F39"/>
    <w:rsid w:val="006635A0"/>
    <w:rsid w:val="00663D26"/>
    <w:rsid w:val="00664351"/>
    <w:rsid w:val="00665968"/>
    <w:rsid w:val="00665BF7"/>
    <w:rsid w:val="00665E65"/>
    <w:rsid w:val="006660F0"/>
    <w:rsid w:val="00666178"/>
    <w:rsid w:val="0066639E"/>
    <w:rsid w:val="00666473"/>
    <w:rsid w:val="00666B49"/>
    <w:rsid w:val="00666C72"/>
    <w:rsid w:val="00666E6C"/>
    <w:rsid w:val="0066707F"/>
    <w:rsid w:val="00667ED8"/>
    <w:rsid w:val="0067064C"/>
    <w:rsid w:val="00670B20"/>
    <w:rsid w:val="00670E12"/>
    <w:rsid w:val="00670F27"/>
    <w:rsid w:val="0067266A"/>
    <w:rsid w:val="00672E80"/>
    <w:rsid w:val="0067333F"/>
    <w:rsid w:val="006739E4"/>
    <w:rsid w:val="00673ECF"/>
    <w:rsid w:val="0067426B"/>
    <w:rsid w:val="00674A1B"/>
    <w:rsid w:val="00674D08"/>
    <w:rsid w:val="00674F1C"/>
    <w:rsid w:val="006754F8"/>
    <w:rsid w:val="00676127"/>
    <w:rsid w:val="00676AED"/>
    <w:rsid w:val="00677212"/>
    <w:rsid w:val="00677F26"/>
    <w:rsid w:val="006800EE"/>
    <w:rsid w:val="006802A7"/>
    <w:rsid w:val="00680A86"/>
    <w:rsid w:val="006811C9"/>
    <w:rsid w:val="006812CE"/>
    <w:rsid w:val="006826C1"/>
    <w:rsid w:val="00682C89"/>
    <w:rsid w:val="006832B8"/>
    <w:rsid w:val="006837B2"/>
    <w:rsid w:val="00683800"/>
    <w:rsid w:val="006842AA"/>
    <w:rsid w:val="00684462"/>
    <w:rsid w:val="00684765"/>
    <w:rsid w:val="00684C0D"/>
    <w:rsid w:val="00684C8A"/>
    <w:rsid w:val="00684CF5"/>
    <w:rsid w:val="0068553E"/>
    <w:rsid w:val="00685D37"/>
    <w:rsid w:val="00685E7B"/>
    <w:rsid w:val="00686551"/>
    <w:rsid w:val="00686CAB"/>
    <w:rsid w:val="0068717F"/>
    <w:rsid w:val="0068730C"/>
    <w:rsid w:val="00687504"/>
    <w:rsid w:val="00687A14"/>
    <w:rsid w:val="00687A8C"/>
    <w:rsid w:val="00690839"/>
    <w:rsid w:val="006908DB"/>
    <w:rsid w:val="00690DE9"/>
    <w:rsid w:val="00691563"/>
    <w:rsid w:val="00691DE9"/>
    <w:rsid w:val="00691EAA"/>
    <w:rsid w:val="00692245"/>
    <w:rsid w:val="00692745"/>
    <w:rsid w:val="00692FFA"/>
    <w:rsid w:val="00693772"/>
    <w:rsid w:val="00693984"/>
    <w:rsid w:val="00693B77"/>
    <w:rsid w:val="00694160"/>
    <w:rsid w:val="00694E8B"/>
    <w:rsid w:val="006959A5"/>
    <w:rsid w:val="00695C0C"/>
    <w:rsid w:val="00696736"/>
    <w:rsid w:val="00696A05"/>
    <w:rsid w:val="00697665"/>
    <w:rsid w:val="00697C9A"/>
    <w:rsid w:val="00697E68"/>
    <w:rsid w:val="00697F3D"/>
    <w:rsid w:val="00697FC1"/>
    <w:rsid w:val="006A0274"/>
    <w:rsid w:val="006A27BC"/>
    <w:rsid w:val="006A2829"/>
    <w:rsid w:val="006A2A43"/>
    <w:rsid w:val="006A2BF1"/>
    <w:rsid w:val="006A2F9A"/>
    <w:rsid w:val="006A34E4"/>
    <w:rsid w:val="006A3A5A"/>
    <w:rsid w:val="006A3E98"/>
    <w:rsid w:val="006A44CF"/>
    <w:rsid w:val="006A457D"/>
    <w:rsid w:val="006A4B5A"/>
    <w:rsid w:val="006A4C06"/>
    <w:rsid w:val="006A4F85"/>
    <w:rsid w:val="006A55EE"/>
    <w:rsid w:val="006A575B"/>
    <w:rsid w:val="006A59DE"/>
    <w:rsid w:val="006A64C6"/>
    <w:rsid w:val="006A6655"/>
    <w:rsid w:val="006A6BF9"/>
    <w:rsid w:val="006A7AB8"/>
    <w:rsid w:val="006A7CB5"/>
    <w:rsid w:val="006A7FD0"/>
    <w:rsid w:val="006B025C"/>
    <w:rsid w:val="006B08ED"/>
    <w:rsid w:val="006B2170"/>
    <w:rsid w:val="006B2534"/>
    <w:rsid w:val="006B2CB2"/>
    <w:rsid w:val="006B347D"/>
    <w:rsid w:val="006B3E19"/>
    <w:rsid w:val="006B4488"/>
    <w:rsid w:val="006B4D5D"/>
    <w:rsid w:val="006B50C4"/>
    <w:rsid w:val="006B53AE"/>
    <w:rsid w:val="006B58B4"/>
    <w:rsid w:val="006B67AC"/>
    <w:rsid w:val="006B786A"/>
    <w:rsid w:val="006B7E4E"/>
    <w:rsid w:val="006C003A"/>
    <w:rsid w:val="006C107C"/>
    <w:rsid w:val="006C189C"/>
    <w:rsid w:val="006C2454"/>
    <w:rsid w:val="006C2551"/>
    <w:rsid w:val="006C27B9"/>
    <w:rsid w:val="006C37CA"/>
    <w:rsid w:val="006C39AE"/>
    <w:rsid w:val="006C40D2"/>
    <w:rsid w:val="006C4B85"/>
    <w:rsid w:val="006C4BBD"/>
    <w:rsid w:val="006C551E"/>
    <w:rsid w:val="006C563F"/>
    <w:rsid w:val="006C5B15"/>
    <w:rsid w:val="006C5D32"/>
    <w:rsid w:val="006C5DCB"/>
    <w:rsid w:val="006C6475"/>
    <w:rsid w:val="006C70C4"/>
    <w:rsid w:val="006C741F"/>
    <w:rsid w:val="006D04DA"/>
    <w:rsid w:val="006D0B1A"/>
    <w:rsid w:val="006D10F6"/>
    <w:rsid w:val="006D1544"/>
    <w:rsid w:val="006D1688"/>
    <w:rsid w:val="006D1BE1"/>
    <w:rsid w:val="006D1DD3"/>
    <w:rsid w:val="006D1FF3"/>
    <w:rsid w:val="006D219C"/>
    <w:rsid w:val="006D2C65"/>
    <w:rsid w:val="006D32C6"/>
    <w:rsid w:val="006D360E"/>
    <w:rsid w:val="006D3697"/>
    <w:rsid w:val="006D39D2"/>
    <w:rsid w:val="006D3A94"/>
    <w:rsid w:val="006D3F2A"/>
    <w:rsid w:val="006D4370"/>
    <w:rsid w:val="006D46A3"/>
    <w:rsid w:val="006D5DCB"/>
    <w:rsid w:val="006D62E0"/>
    <w:rsid w:val="006D658F"/>
    <w:rsid w:val="006D66B2"/>
    <w:rsid w:val="006D6A12"/>
    <w:rsid w:val="006D712D"/>
    <w:rsid w:val="006D7687"/>
    <w:rsid w:val="006D7D1F"/>
    <w:rsid w:val="006D7D8A"/>
    <w:rsid w:val="006E046C"/>
    <w:rsid w:val="006E0572"/>
    <w:rsid w:val="006E05D8"/>
    <w:rsid w:val="006E08EE"/>
    <w:rsid w:val="006E0F32"/>
    <w:rsid w:val="006E155A"/>
    <w:rsid w:val="006E2C34"/>
    <w:rsid w:val="006E359B"/>
    <w:rsid w:val="006E3937"/>
    <w:rsid w:val="006E39D1"/>
    <w:rsid w:val="006E3B05"/>
    <w:rsid w:val="006E437F"/>
    <w:rsid w:val="006E4D5B"/>
    <w:rsid w:val="006E602F"/>
    <w:rsid w:val="006E6720"/>
    <w:rsid w:val="006E7275"/>
    <w:rsid w:val="006E77B8"/>
    <w:rsid w:val="006E7AAF"/>
    <w:rsid w:val="006F0F34"/>
    <w:rsid w:val="006F0F74"/>
    <w:rsid w:val="006F1041"/>
    <w:rsid w:val="006F13BA"/>
    <w:rsid w:val="006F15CC"/>
    <w:rsid w:val="006F15F6"/>
    <w:rsid w:val="006F36EA"/>
    <w:rsid w:val="006F4147"/>
    <w:rsid w:val="006F4315"/>
    <w:rsid w:val="006F4CB0"/>
    <w:rsid w:val="006F4F78"/>
    <w:rsid w:val="006F547E"/>
    <w:rsid w:val="006F5CCF"/>
    <w:rsid w:val="006F6F04"/>
    <w:rsid w:val="006F71F5"/>
    <w:rsid w:val="006F72A8"/>
    <w:rsid w:val="006F79BB"/>
    <w:rsid w:val="007000A6"/>
    <w:rsid w:val="00700610"/>
    <w:rsid w:val="0070138A"/>
    <w:rsid w:val="0070157E"/>
    <w:rsid w:val="007030D4"/>
    <w:rsid w:val="00703279"/>
    <w:rsid w:val="00703B61"/>
    <w:rsid w:val="00703E11"/>
    <w:rsid w:val="00704102"/>
    <w:rsid w:val="0070437C"/>
    <w:rsid w:val="0070461C"/>
    <w:rsid w:val="00704F37"/>
    <w:rsid w:val="00705631"/>
    <w:rsid w:val="00705818"/>
    <w:rsid w:val="00705F62"/>
    <w:rsid w:val="0070773F"/>
    <w:rsid w:val="00707A2E"/>
    <w:rsid w:val="00707ED3"/>
    <w:rsid w:val="007101B7"/>
    <w:rsid w:val="00710668"/>
    <w:rsid w:val="00711019"/>
    <w:rsid w:val="007110F4"/>
    <w:rsid w:val="007112B1"/>
    <w:rsid w:val="0071130F"/>
    <w:rsid w:val="00712714"/>
    <w:rsid w:val="007129AB"/>
    <w:rsid w:val="00712B63"/>
    <w:rsid w:val="00712E5F"/>
    <w:rsid w:val="00713526"/>
    <w:rsid w:val="00713FC5"/>
    <w:rsid w:val="00714DCA"/>
    <w:rsid w:val="007150F3"/>
    <w:rsid w:val="00715BBF"/>
    <w:rsid w:val="00715C29"/>
    <w:rsid w:val="00715CBD"/>
    <w:rsid w:val="00715EAA"/>
    <w:rsid w:val="00716119"/>
    <w:rsid w:val="00716630"/>
    <w:rsid w:val="00716CAD"/>
    <w:rsid w:val="00716CD3"/>
    <w:rsid w:val="00716F18"/>
    <w:rsid w:val="00717363"/>
    <w:rsid w:val="00717786"/>
    <w:rsid w:val="00717ACB"/>
    <w:rsid w:val="0072138B"/>
    <w:rsid w:val="00721BFF"/>
    <w:rsid w:val="00723475"/>
    <w:rsid w:val="007236C4"/>
    <w:rsid w:val="00724635"/>
    <w:rsid w:val="00724F21"/>
    <w:rsid w:val="00725134"/>
    <w:rsid w:val="0072554B"/>
    <w:rsid w:val="0072571F"/>
    <w:rsid w:val="00725AFD"/>
    <w:rsid w:val="00726603"/>
    <w:rsid w:val="007266AC"/>
    <w:rsid w:val="00727B1D"/>
    <w:rsid w:val="00727DDC"/>
    <w:rsid w:val="0073017B"/>
    <w:rsid w:val="00730CD6"/>
    <w:rsid w:val="00730F74"/>
    <w:rsid w:val="0073114B"/>
    <w:rsid w:val="00732151"/>
    <w:rsid w:val="00732EBC"/>
    <w:rsid w:val="007342BB"/>
    <w:rsid w:val="00734952"/>
    <w:rsid w:val="00734990"/>
    <w:rsid w:val="00734FF5"/>
    <w:rsid w:val="00735B78"/>
    <w:rsid w:val="00735DA7"/>
    <w:rsid w:val="00736700"/>
    <w:rsid w:val="007368B4"/>
    <w:rsid w:val="007378E0"/>
    <w:rsid w:val="0074040E"/>
    <w:rsid w:val="00740529"/>
    <w:rsid w:val="00740876"/>
    <w:rsid w:val="00741358"/>
    <w:rsid w:val="00741626"/>
    <w:rsid w:val="00742332"/>
    <w:rsid w:val="00742886"/>
    <w:rsid w:val="00742A3A"/>
    <w:rsid w:val="00742DD2"/>
    <w:rsid w:val="007437C6"/>
    <w:rsid w:val="007441A2"/>
    <w:rsid w:val="00744E80"/>
    <w:rsid w:val="00745035"/>
    <w:rsid w:val="0074531C"/>
    <w:rsid w:val="00745547"/>
    <w:rsid w:val="007459D0"/>
    <w:rsid w:val="0074623A"/>
    <w:rsid w:val="00746420"/>
    <w:rsid w:val="00746A60"/>
    <w:rsid w:val="00746E04"/>
    <w:rsid w:val="00746E08"/>
    <w:rsid w:val="00746E3D"/>
    <w:rsid w:val="007473B9"/>
    <w:rsid w:val="00747C96"/>
    <w:rsid w:val="00750075"/>
    <w:rsid w:val="007502EC"/>
    <w:rsid w:val="00750382"/>
    <w:rsid w:val="0075094E"/>
    <w:rsid w:val="00750FA8"/>
    <w:rsid w:val="00750FB5"/>
    <w:rsid w:val="007520F0"/>
    <w:rsid w:val="007522E8"/>
    <w:rsid w:val="007529DB"/>
    <w:rsid w:val="007534AD"/>
    <w:rsid w:val="00753BAC"/>
    <w:rsid w:val="00754A0B"/>
    <w:rsid w:val="00755229"/>
    <w:rsid w:val="007552DB"/>
    <w:rsid w:val="0075549F"/>
    <w:rsid w:val="00755B08"/>
    <w:rsid w:val="00755DD0"/>
    <w:rsid w:val="0075647A"/>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75B"/>
    <w:rsid w:val="007628CA"/>
    <w:rsid w:val="007629B7"/>
    <w:rsid w:val="00762E60"/>
    <w:rsid w:val="00762F54"/>
    <w:rsid w:val="007634AD"/>
    <w:rsid w:val="0076445F"/>
    <w:rsid w:val="00764EC5"/>
    <w:rsid w:val="007651EF"/>
    <w:rsid w:val="00766D49"/>
    <w:rsid w:val="00766ECC"/>
    <w:rsid w:val="007672F3"/>
    <w:rsid w:val="007677B5"/>
    <w:rsid w:val="007678B1"/>
    <w:rsid w:val="007708A8"/>
    <w:rsid w:val="00772100"/>
    <w:rsid w:val="00772275"/>
    <w:rsid w:val="007734E4"/>
    <w:rsid w:val="0077380D"/>
    <w:rsid w:val="00773BC8"/>
    <w:rsid w:val="00774549"/>
    <w:rsid w:val="0077466F"/>
    <w:rsid w:val="007749E0"/>
    <w:rsid w:val="007752B7"/>
    <w:rsid w:val="007759A8"/>
    <w:rsid w:val="00775C27"/>
    <w:rsid w:val="00775D98"/>
    <w:rsid w:val="00776B93"/>
    <w:rsid w:val="00776FE5"/>
    <w:rsid w:val="00777101"/>
    <w:rsid w:val="007774E7"/>
    <w:rsid w:val="0077768C"/>
    <w:rsid w:val="00777696"/>
    <w:rsid w:val="00777EDF"/>
    <w:rsid w:val="00777FF4"/>
    <w:rsid w:val="00780251"/>
    <w:rsid w:val="007804FE"/>
    <w:rsid w:val="00780F32"/>
    <w:rsid w:val="0078122E"/>
    <w:rsid w:val="00781939"/>
    <w:rsid w:val="00781D29"/>
    <w:rsid w:val="007825EF"/>
    <w:rsid w:val="0078286B"/>
    <w:rsid w:val="00782D2C"/>
    <w:rsid w:val="00782FC2"/>
    <w:rsid w:val="0078347A"/>
    <w:rsid w:val="0078410A"/>
    <w:rsid w:val="00784938"/>
    <w:rsid w:val="00784FC4"/>
    <w:rsid w:val="00785BBB"/>
    <w:rsid w:val="00786937"/>
    <w:rsid w:val="00786FAD"/>
    <w:rsid w:val="00787B1B"/>
    <w:rsid w:val="00787CCC"/>
    <w:rsid w:val="00787D90"/>
    <w:rsid w:val="00787F5E"/>
    <w:rsid w:val="00790164"/>
    <w:rsid w:val="007905C6"/>
    <w:rsid w:val="00790A24"/>
    <w:rsid w:val="00790A37"/>
    <w:rsid w:val="00790A60"/>
    <w:rsid w:val="0079146D"/>
    <w:rsid w:val="00791744"/>
    <w:rsid w:val="00791C32"/>
    <w:rsid w:val="00791FF0"/>
    <w:rsid w:val="007923D0"/>
    <w:rsid w:val="007930D3"/>
    <w:rsid w:val="0079381F"/>
    <w:rsid w:val="00793A57"/>
    <w:rsid w:val="00793B2E"/>
    <w:rsid w:val="007948F5"/>
    <w:rsid w:val="00795647"/>
    <w:rsid w:val="007963F6"/>
    <w:rsid w:val="00796DC8"/>
    <w:rsid w:val="00796E80"/>
    <w:rsid w:val="0079744F"/>
    <w:rsid w:val="0079776F"/>
    <w:rsid w:val="007979AD"/>
    <w:rsid w:val="00797A9C"/>
    <w:rsid w:val="007A0502"/>
    <w:rsid w:val="007A0EAB"/>
    <w:rsid w:val="007A2341"/>
    <w:rsid w:val="007A2754"/>
    <w:rsid w:val="007A38A1"/>
    <w:rsid w:val="007A3BBE"/>
    <w:rsid w:val="007A4766"/>
    <w:rsid w:val="007A5947"/>
    <w:rsid w:val="007A717B"/>
    <w:rsid w:val="007A7714"/>
    <w:rsid w:val="007B0302"/>
    <w:rsid w:val="007B0313"/>
    <w:rsid w:val="007B0854"/>
    <w:rsid w:val="007B0E48"/>
    <w:rsid w:val="007B1D1B"/>
    <w:rsid w:val="007B21AA"/>
    <w:rsid w:val="007B2504"/>
    <w:rsid w:val="007B2549"/>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9B7"/>
    <w:rsid w:val="007B6C64"/>
    <w:rsid w:val="007B6EC8"/>
    <w:rsid w:val="007B6F81"/>
    <w:rsid w:val="007B7EA2"/>
    <w:rsid w:val="007C097D"/>
    <w:rsid w:val="007C0AF2"/>
    <w:rsid w:val="007C1672"/>
    <w:rsid w:val="007C17AE"/>
    <w:rsid w:val="007C24EE"/>
    <w:rsid w:val="007C312A"/>
    <w:rsid w:val="007C3538"/>
    <w:rsid w:val="007C3570"/>
    <w:rsid w:val="007C3F3B"/>
    <w:rsid w:val="007C4097"/>
    <w:rsid w:val="007C4241"/>
    <w:rsid w:val="007C425E"/>
    <w:rsid w:val="007C55FF"/>
    <w:rsid w:val="007C6339"/>
    <w:rsid w:val="007C753F"/>
    <w:rsid w:val="007C7C43"/>
    <w:rsid w:val="007C7E15"/>
    <w:rsid w:val="007C7F0D"/>
    <w:rsid w:val="007D06E3"/>
    <w:rsid w:val="007D09E4"/>
    <w:rsid w:val="007D1134"/>
    <w:rsid w:val="007D231B"/>
    <w:rsid w:val="007D23F7"/>
    <w:rsid w:val="007D2566"/>
    <w:rsid w:val="007D2C18"/>
    <w:rsid w:val="007D2D74"/>
    <w:rsid w:val="007D3693"/>
    <w:rsid w:val="007D3C6D"/>
    <w:rsid w:val="007D481A"/>
    <w:rsid w:val="007D4B96"/>
    <w:rsid w:val="007D4ED0"/>
    <w:rsid w:val="007D5648"/>
    <w:rsid w:val="007D58C5"/>
    <w:rsid w:val="007D5DE8"/>
    <w:rsid w:val="007D7CFC"/>
    <w:rsid w:val="007E0812"/>
    <w:rsid w:val="007E0825"/>
    <w:rsid w:val="007E18DF"/>
    <w:rsid w:val="007E214A"/>
    <w:rsid w:val="007E238D"/>
    <w:rsid w:val="007E2C36"/>
    <w:rsid w:val="007E350D"/>
    <w:rsid w:val="007E3ACA"/>
    <w:rsid w:val="007E3F4A"/>
    <w:rsid w:val="007E564D"/>
    <w:rsid w:val="007E5C4A"/>
    <w:rsid w:val="007E64D4"/>
    <w:rsid w:val="007E6570"/>
    <w:rsid w:val="007E66E9"/>
    <w:rsid w:val="007E69F2"/>
    <w:rsid w:val="007E7432"/>
    <w:rsid w:val="007E74BF"/>
    <w:rsid w:val="007E7657"/>
    <w:rsid w:val="007E7D2E"/>
    <w:rsid w:val="007F14D3"/>
    <w:rsid w:val="007F1814"/>
    <w:rsid w:val="007F1D9D"/>
    <w:rsid w:val="007F1E28"/>
    <w:rsid w:val="007F1F63"/>
    <w:rsid w:val="007F22A0"/>
    <w:rsid w:val="007F2902"/>
    <w:rsid w:val="007F2903"/>
    <w:rsid w:val="007F2F90"/>
    <w:rsid w:val="007F3320"/>
    <w:rsid w:val="007F3AC1"/>
    <w:rsid w:val="007F46E6"/>
    <w:rsid w:val="007F4976"/>
    <w:rsid w:val="007F4B40"/>
    <w:rsid w:val="007F5A56"/>
    <w:rsid w:val="007F5D42"/>
    <w:rsid w:val="007F616E"/>
    <w:rsid w:val="007F6B46"/>
    <w:rsid w:val="007F72CB"/>
    <w:rsid w:val="007F736A"/>
    <w:rsid w:val="007F7635"/>
    <w:rsid w:val="007F785F"/>
    <w:rsid w:val="007F7961"/>
    <w:rsid w:val="007F7AF6"/>
    <w:rsid w:val="007F7E36"/>
    <w:rsid w:val="00800E6D"/>
    <w:rsid w:val="008014D9"/>
    <w:rsid w:val="0080150F"/>
    <w:rsid w:val="0080153A"/>
    <w:rsid w:val="00801A2A"/>
    <w:rsid w:val="00802041"/>
    <w:rsid w:val="008022C9"/>
    <w:rsid w:val="00802605"/>
    <w:rsid w:val="00802F9E"/>
    <w:rsid w:val="00803700"/>
    <w:rsid w:val="00803D9D"/>
    <w:rsid w:val="008059C6"/>
    <w:rsid w:val="00805AD7"/>
    <w:rsid w:val="00805BD6"/>
    <w:rsid w:val="00805DE3"/>
    <w:rsid w:val="00807C35"/>
    <w:rsid w:val="00807F35"/>
    <w:rsid w:val="00807F69"/>
    <w:rsid w:val="008100F7"/>
    <w:rsid w:val="00810206"/>
    <w:rsid w:val="0081022B"/>
    <w:rsid w:val="00810A15"/>
    <w:rsid w:val="00811898"/>
    <w:rsid w:val="00811CDC"/>
    <w:rsid w:val="008124D8"/>
    <w:rsid w:val="00813A7B"/>
    <w:rsid w:val="00813F04"/>
    <w:rsid w:val="0081513E"/>
    <w:rsid w:val="00815DA5"/>
    <w:rsid w:val="00816221"/>
    <w:rsid w:val="008174F3"/>
    <w:rsid w:val="00817661"/>
    <w:rsid w:val="0081766B"/>
    <w:rsid w:val="008205AC"/>
    <w:rsid w:val="00820705"/>
    <w:rsid w:val="00820CBF"/>
    <w:rsid w:val="00820FA8"/>
    <w:rsid w:val="008212FD"/>
    <w:rsid w:val="00821489"/>
    <w:rsid w:val="0082168D"/>
    <w:rsid w:val="008217B7"/>
    <w:rsid w:val="0082239B"/>
    <w:rsid w:val="0082292E"/>
    <w:rsid w:val="00822D06"/>
    <w:rsid w:val="00822EC4"/>
    <w:rsid w:val="0082348D"/>
    <w:rsid w:val="008236BE"/>
    <w:rsid w:val="008241CE"/>
    <w:rsid w:val="00825240"/>
    <w:rsid w:val="00825B43"/>
    <w:rsid w:val="00826F71"/>
    <w:rsid w:val="00827CC0"/>
    <w:rsid w:val="008306AB"/>
    <w:rsid w:val="00831026"/>
    <w:rsid w:val="0083119B"/>
    <w:rsid w:val="00831BAE"/>
    <w:rsid w:val="00832216"/>
    <w:rsid w:val="00832513"/>
    <w:rsid w:val="00832CD0"/>
    <w:rsid w:val="00833430"/>
    <w:rsid w:val="00833ADA"/>
    <w:rsid w:val="00834128"/>
    <w:rsid w:val="0083417F"/>
    <w:rsid w:val="00835143"/>
    <w:rsid w:val="0083569B"/>
    <w:rsid w:val="00835741"/>
    <w:rsid w:val="00836E74"/>
    <w:rsid w:val="00836EAB"/>
    <w:rsid w:val="00837673"/>
    <w:rsid w:val="00837937"/>
    <w:rsid w:val="00837D82"/>
    <w:rsid w:val="00840893"/>
    <w:rsid w:val="00840E88"/>
    <w:rsid w:val="008410B1"/>
    <w:rsid w:val="008423EC"/>
    <w:rsid w:val="008429A6"/>
    <w:rsid w:val="00843615"/>
    <w:rsid w:val="00843698"/>
    <w:rsid w:val="00843A4B"/>
    <w:rsid w:val="00843B57"/>
    <w:rsid w:val="00843B60"/>
    <w:rsid w:val="00843D33"/>
    <w:rsid w:val="008444F0"/>
    <w:rsid w:val="00844D4F"/>
    <w:rsid w:val="00844F38"/>
    <w:rsid w:val="00845AE3"/>
    <w:rsid w:val="008466A0"/>
    <w:rsid w:val="00847535"/>
    <w:rsid w:val="00847B6D"/>
    <w:rsid w:val="0085092D"/>
    <w:rsid w:val="008509A5"/>
    <w:rsid w:val="00850C79"/>
    <w:rsid w:val="00850D82"/>
    <w:rsid w:val="00850F79"/>
    <w:rsid w:val="0085100B"/>
    <w:rsid w:val="008510A1"/>
    <w:rsid w:val="0085304C"/>
    <w:rsid w:val="008536BB"/>
    <w:rsid w:val="00853A3C"/>
    <w:rsid w:val="008548CA"/>
    <w:rsid w:val="008563B0"/>
    <w:rsid w:val="00856C06"/>
    <w:rsid w:val="0085790B"/>
    <w:rsid w:val="008579B9"/>
    <w:rsid w:val="00857C95"/>
    <w:rsid w:val="00857E78"/>
    <w:rsid w:val="00860AEF"/>
    <w:rsid w:val="00860B18"/>
    <w:rsid w:val="00860D5E"/>
    <w:rsid w:val="0086122C"/>
    <w:rsid w:val="00861310"/>
    <w:rsid w:val="00861C4D"/>
    <w:rsid w:val="00861F53"/>
    <w:rsid w:val="0086289E"/>
    <w:rsid w:val="008629CB"/>
    <w:rsid w:val="0086394E"/>
    <w:rsid w:val="00863F8A"/>
    <w:rsid w:val="00863FE3"/>
    <w:rsid w:val="008640C4"/>
    <w:rsid w:val="00864241"/>
    <w:rsid w:val="0086468A"/>
    <w:rsid w:val="008650BE"/>
    <w:rsid w:val="00865EAF"/>
    <w:rsid w:val="0086633B"/>
    <w:rsid w:val="00866495"/>
    <w:rsid w:val="00866881"/>
    <w:rsid w:val="00866931"/>
    <w:rsid w:val="00867512"/>
    <w:rsid w:val="008678A3"/>
    <w:rsid w:val="00867C13"/>
    <w:rsid w:val="00867C1D"/>
    <w:rsid w:val="0087033C"/>
    <w:rsid w:val="008715ED"/>
    <w:rsid w:val="008717D8"/>
    <w:rsid w:val="00871E3C"/>
    <w:rsid w:val="00872828"/>
    <w:rsid w:val="00872F97"/>
    <w:rsid w:val="00874607"/>
    <w:rsid w:val="008747E9"/>
    <w:rsid w:val="00874915"/>
    <w:rsid w:val="00874B89"/>
    <w:rsid w:val="00875403"/>
    <w:rsid w:val="00875434"/>
    <w:rsid w:val="00875C1F"/>
    <w:rsid w:val="00876215"/>
    <w:rsid w:val="0087646C"/>
    <w:rsid w:val="00876815"/>
    <w:rsid w:val="00877932"/>
    <w:rsid w:val="008808C7"/>
    <w:rsid w:val="0088106B"/>
    <w:rsid w:val="0088107D"/>
    <w:rsid w:val="0088187A"/>
    <w:rsid w:val="00881E64"/>
    <w:rsid w:val="00882E39"/>
    <w:rsid w:val="00883559"/>
    <w:rsid w:val="008850EB"/>
    <w:rsid w:val="00885228"/>
    <w:rsid w:val="008857E3"/>
    <w:rsid w:val="00886DF2"/>
    <w:rsid w:val="00886FB9"/>
    <w:rsid w:val="00887057"/>
    <w:rsid w:val="00887080"/>
    <w:rsid w:val="00887C79"/>
    <w:rsid w:val="0089107B"/>
    <w:rsid w:val="008913CC"/>
    <w:rsid w:val="008914AE"/>
    <w:rsid w:val="008919CF"/>
    <w:rsid w:val="00891F84"/>
    <w:rsid w:val="00891FC3"/>
    <w:rsid w:val="008928EC"/>
    <w:rsid w:val="00892A15"/>
    <w:rsid w:val="00892E5D"/>
    <w:rsid w:val="008935CF"/>
    <w:rsid w:val="0089436B"/>
    <w:rsid w:val="00894436"/>
    <w:rsid w:val="00894BB1"/>
    <w:rsid w:val="008951D0"/>
    <w:rsid w:val="00895442"/>
    <w:rsid w:val="0089582D"/>
    <w:rsid w:val="008959C6"/>
    <w:rsid w:val="0089606D"/>
    <w:rsid w:val="00896129"/>
    <w:rsid w:val="00896316"/>
    <w:rsid w:val="0089774F"/>
    <w:rsid w:val="00897875"/>
    <w:rsid w:val="00897B8F"/>
    <w:rsid w:val="008A00D9"/>
    <w:rsid w:val="008A07D5"/>
    <w:rsid w:val="008A1C96"/>
    <w:rsid w:val="008A1FB7"/>
    <w:rsid w:val="008A229A"/>
    <w:rsid w:val="008A2A23"/>
    <w:rsid w:val="008A2AF5"/>
    <w:rsid w:val="008A2B5A"/>
    <w:rsid w:val="008A3F9D"/>
    <w:rsid w:val="008A41F8"/>
    <w:rsid w:val="008A5474"/>
    <w:rsid w:val="008A5C9A"/>
    <w:rsid w:val="008A6005"/>
    <w:rsid w:val="008A614F"/>
    <w:rsid w:val="008A6A55"/>
    <w:rsid w:val="008A6DF0"/>
    <w:rsid w:val="008A6F6E"/>
    <w:rsid w:val="008A7888"/>
    <w:rsid w:val="008A796E"/>
    <w:rsid w:val="008B0862"/>
    <w:rsid w:val="008B088C"/>
    <w:rsid w:val="008B1BF5"/>
    <w:rsid w:val="008B263F"/>
    <w:rsid w:val="008B3045"/>
    <w:rsid w:val="008B47A6"/>
    <w:rsid w:val="008B5C7C"/>
    <w:rsid w:val="008B63FE"/>
    <w:rsid w:val="008B672C"/>
    <w:rsid w:val="008B7108"/>
    <w:rsid w:val="008C065F"/>
    <w:rsid w:val="008C0743"/>
    <w:rsid w:val="008C0B4C"/>
    <w:rsid w:val="008C11F0"/>
    <w:rsid w:val="008C1DBA"/>
    <w:rsid w:val="008C24E7"/>
    <w:rsid w:val="008C2500"/>
    <w:rsid w:val="008C2CAC"/>
    <w:rsid w:val="008C3C57"/>
    <w:rsid w:val="008C3E2A"/>
    <w:rsid w:val="008C45BD"/>
    <w:rsid w:val="008C4B19"/>
    <w:rsid w:val="008C62D4"/>
    <w:rsid w:val="008C6A49"/>
    <w:rsid w:val="008C6B89"/>
    <w:rsid w:val="008C6B97"/>
    <w:rsid w:val="008C7EF7"/>
    <w:rsid w:val="008D021B"/>
    <w:rsid w:val="008D094D"/>
    <w:rsid w:val="008D18AA"/>
    <w:rsid w:val="008D1A2A"/>
    <w:rsid w:val="008D1ADE"/>
    <w:rsid w:val="008D3199"/>
    <w:rsid w:val="008D35D9"/>
    <w:rsid w:val="008D3B36"/>
    <w:rsid w:val="008D3B85"/>
    <w:rsid w:val="008D462D"/>
    <w:rsid w:val="008D6084"/>
    <w:rsid w:val="008D64AC"/>
    <w:rsid w:val="008D656F"/>
    <w:rsid w:val="008D66CA"/>
    <w:rsid w:val="008D69B1"/>
    <w:rsid w:val="008D7338"/>
    <w:rsid w:val="008D785E"/>
    <w:rsid w:val="008D7D66"/>
    <w:rsid w:val="008E0012"/>
    <w:rsid w:val="008E0DF7"/>
    <w:rsid w:val="008E0FAD"/>
    <w:rsid w:val="008E11E4"/>
    <w:rsid w:val="008E1252"/>
    <w:rsid w:val="008E1347"/>
    <w:rsid w:val="008E16E0"/>
    <w:rsid w:val="008E1C15"/>
    <w:rsid w:val="008E1C9A"/>
    <w:rsid w:val="008E26D9"/>
    <w:rsid w:val="008E28BD"/>
    <w:rsid w:val="008E2BE6"/>
    <w:rsid w:val="008E30C4"/>
    <w:rsid w:val="008E38B4"/>
    <w:rsid w:val="008E3BA4"/>
    <w:rsid w:val="008E3F17"/>
    <w:rsid w:val="008E44AB"/>
    <w:rsid w:val="008E4786"/>
    <w:rsid w:val="008E4CAE"/>
    <w:rsid w:val="008E5179"/>
    <w:rsid w:val="008E57FE"/>
    <w:rsid w:val="008E6598"/>
    <w:rsid w:val="008E710F"/>
    <w:rsid w:val="008E7214"/>
    <w:rsid w:val="008E7497"/>
    <w:rsid w:val="008E7884"/>
    <w:rsid w:val="008E7D6E"/>
    <w:rsid w:val="008F1056"/>
    <w:rsid w:val="008F2E8D"/>
    <w:rsid w:val="008F361D"/>
    <w:rsid w:val="008F387B"/>
    <w:rsid w:val="008F3DD9"/>
    <w:rsid w:val="008F4163"/>
    <w:rsid w:val="008F4814"/>
    <w:rsid w:val="008F4B18"/>
    <w:rsid w:val="008F4DA6"/>
    <w:rsid w:val="008F538E"/>
    <w:rsid w:val="008F5A20"/>
    <w:rsid w:val="008F5ABA"/>
    <w:rsid w:val="008F6157"/>
    <w:rsid w:val="008F71AB"/>
    <w:rsid w:val="008F7905"/>
    <w:rsid w:val="008F7989"/>
    <w:rsid w:val="00900912"/>
    <w:rsid w:val="00901F1D"/>
    <w:rsid w:val="009028E8"/>
    <w:rsid w:val="00902E5C"/>
    <w:rsid w:val="0090363E"/>
    <w:rsid w:val="00903788"/>
    <w:rsid w:val="009046E5"/>
    <w:rsid w:val="009047C5"/>
    <w:rsid w:val="00905336"/>
    <w:rsid w:val="0090690B"/>
    <w:rsid w:val="00910683"/>
    <w:rsid w:val="00910E00"/>
    <w:rsid w:val="00910E04"/>
    <w:rsid w:val="009116CE"/>
    <w:rsid w:val="00911714"/>
    <w:rsid w:val="00911D04"/>
    <w:rsid w:val="00911EFF"/>
    <w:rsid w:val="0091310F"/>
    <w:rsid w:val="009136D4"/>
    <w:rsid w:val="00914B9A"/>
    <w:rsid w:val="00914C3F"/>
    <w:rsid w:val="00914F33"/>
    <w:rsid w:val="00915EFE"/>
    <w:rsid w:val="00915FCE"/>
    <w:rsid w:val="00916AFE"/>
    <w:rsid w:val="00916FC8"/>
    <w:rsid w:val="009170D3"/>
    <w:rsid w:val="009174E2"/>
    <w:rsid w:val="0091759C"/>
    <w:rsid w:val="00920026"/>
    <w:rsid w:val="009203E2"/>
    <w:rsid w:val="00920BF5"/>
    <w:rsid w:val="00920F61"/>
    <w:rsid w:val="00921304"/>
    <w:rsid w:val="00921395"/>
    <w:rsid w:val="00921805"/>
    <w:rsid w:val="00921E63"/>
    <w:rsid w:val="00923396"/>
    <w:rsid w:val="00923F56"/>
    <w:rsid w:val="00924770"/>
    <w:rsid w:val="00925346"/>
    <w:rsid w:val="00925743"/>
    <w:rsid w:val="0092579F"/>
    <w:rsid w:val="00927E8D"/>
    <w:rsid w:val="00927F23"/>
    <w:rsid w:val="009307CD"/>
    <w:rsid w:val="00931364"/>
    <w:rsid w:val="00931365"/>
    <w:rsid w:val="00931451"/>
    <w:rsid w:val="009314FA"/>
    <w:rsid w:val="0093194F"/>
    <w:rsid w:val="00931BF3"/>
    <w:rsid w:val="00931C55"/>
    <w:rsid w:val="0093228F"/>
    <w:rsid w:val="00933333"/>
    <w:rsid w:val="0093349A"/>
    <w:rsid w:val="0093360C"/>
    <w:rsid w:val="009338BA"/>
    <w:rsid w:val="00933FCB"/>
    <w:rsid w:val="009346C8"/>
    <w:rsid w:val="00934CEC"/>
    <w:rsid w:val="00934E69"/>
    <w:rsid w:val="00935E70"/>
    <w:rsid w:val="0093609A"/>
    <w:rsid w:val="00936815"/>
    <w:rsid w:val="00937401"/>
    <w:rsid w:val="009376FB"/>
    <w:rsid w:val="00937D6B"/>
    <w:rsid w:val="00940477"/>
    <w:rsid w:val="00940876"/>
    <w:rsid w:val="00940A53"/>
    <w:rsid w:val="00940F3C"/>
    <w:rsid w:val="009410E0"/>
    <w:rsid w:val="00941FA9"/>
    <w:rsid w:val="009439B6"/>
    <w:rsid w:val="009444B4"/>
    <w:rsid w:val="00944644"/>
    <w:rsid w:val="00946A24"/>
    <w:rsid w:val="009470D4"/>
    <w:rsid w:val="00947337"/>
    <w:rsid w:val="00947E6E"/>
    <w:rsid w:val="009512FA"/>
    <w:rsid w:val="009516A9"/>
    <w:rsid w:val="00951E57"/>
    <w:rsid w:val="00952350"/>
    <w:rsid w:val="00952505"/>
    <w:rsid w:val="00953018"/>
    <w:rsid w:val="009533E2"/>
    <w:rsid w:val="00953554"/>
    <w:rsid w:val="0095385A"/>
    <w:rsid w:val="00954372"/>
    <w:rsid w:val="00954F3A"/>
    <w:rsid w:val="00955DFD"/>
    <w:rsid w:val="0095674F"/>
    <w:rsid w:val="0095780A"/>
    <w:rsid w:val="009578C3"/>
    <w:rsid w:val="009579E4"/>
    <w:rsid w:val="00957AA4"/>
    <w:rsid w:val="00957ACB"/>
    <w:rsid w:val="00957F27"/>
    <w:rsid w:val="00960BDB"/>
    <w:rsid w:val="0096105C"/>
    <w:rsid w:val="0096147D"/>
    <w:rsid w:val="00961C14"/>
    <w:rsid w:val="00961D53"/>
    <w:rsid w:val="00961E5F"/>
    <w:rsid w:val="009625C6"/>
    <w:rsid w:val="009629B5"/>
    <w:rsid w:val="00962A50"/>
    <w:rsid w:val="00963550"/>
    <w:rsid w:val="00964138"/>
    <w:rsid w:val="009648D6"/>
    <w:rsid w:val="00964B3F"/>
    <w:rsid w:val="00964C98"/>
    <w:rsid w:val="00971441"/>
    <w:rsid w:val="00971555"/>
    <w:rsid w:val="009715D4"/>
    <w:rsid w:val="0097179A"/>
    <w:rsid w:val="00971B0A"/>
    <w:rsid w:val="009731F4"/>
    <w:rsid w:val="009732A4"/>
    <w:rsid w:val="00973AB3"/>
    <w:rsid w:val="00973C05"/>
    <w:rsid w:val="0097494E"/>
    <w:rsid w:val="00974999"/>
    <w:rsid w:val="00974B58"/>
    <w:rsid w:val="00974CBD"/>
    <w:rsid w:val="00975445"/>
    <w:rsid w:val="009761ED"/>
    <w:rsid w:val="0098022F"/>
    <w:rsid w:val="009810DE"/>
    <w:rsid w:val="00981B91"/>
    <w:rsid w:val="009822D7"/>
    <w:rsid w:val="009827E6"/>
    <w:rsid w:val="00982F84"/>
    <w:rsid w:val="009831C3"/>
    <w:rsid w:val="0098427D"/>
    <w:rsid w:val="00984567"/>
    <w:rsid w:val="00985102"/>
    <w:rsid w:val="009854BC"/>
    <w:rsid w:val="00985A66"/>
    <w:rsid w:val="0098606C"/>
    <w:rsid w:val="009865D5"/>
    <w:rsid w:val="0098709E"/>
    <w:rsid w:val="009876F2"/>
    <w:rsid w:val="00987C77"/>
    <w:rsid w:val="00987FED"/>
    <w:rsid w:val="00990345"/>
    <w:rsid w:val="00990701"/>
    <w:rsid w:val="0099119C"/>
    <w:rsid w:val="0099137A"/>
    <w:rsid w:val="0099211C"/>
    <w:rsid w:val="00993013"/>
    <w:rsid w:val="009930AB"/>
    <w:rsid w:val="00993B78"/>
    <w:rsid w:val="009949CE"/>
    <w:rsid w:val="00994F3F"/>
    <w:rsid w:val="00995119"/>
    <w:rsid w:val="0099531F"/>
    <w:rsid w:val="009953AD"/>
    <w:rsid w:val="009957D7"/>
    <w:rsid w:val="0099583D"/>
    <w:rsid w:val="00996020"/>
    <w:rsid w:val="0099629E"/>
    <w:rsid w:val="009962B0"/>
    <w:rsid w:val="00996992"/>
    <w:rsid w:val="00996E1E"/>
    <w:rsid w:val="00997148"/>
    <w:rsid w:val="00997392"/>
    <w:rsid w:val="0099747C"/>
    <w:rsid w:val="0099771C"/>
    <w:rsid w:val="009A01E4"/>
    <w:rsid w:val="009A0917"/>
    <w:rsid w:val="009A0A33"/>
    <w:rsid w:val="009A1351"/>
    <w:rsid w:val="009A2041"/>
    <w:rsid w:val="009A2435"/>
    <w:rsid w:val="009A35DC"/>
    <w:rsid w:val="009A38AB"/>
    <w:rsid w:val="009A39EE"/>
    <w:rsid w:val="009A3A33"/>
    <w:rsid w:val="009A3D47"/>
    <w:rsid w:val="009A4D63"/>
    <w:rsid w:val="009A5356"/>
    <w:rsid w:val="009A5468"/>
    <w:rsid w:val="009A5D99"/>
    <w:rsid w:val="009A608C"/>
    <w:rsid w:val="009A6FDF"/>
    <w:rsid w:val="009A715F"/>
    <w:rsid w:val="009A76D6"/>
    <w:rsid w:val="009B0101"/>
    <w:rsid w:val="009B03F1"/>
    <w:rsid w:val="009B2374"/>
    <w:rsid w:val="009B28D6"/>
    <w:rsid w:val="009B2E29"/>
    <w:rsid w:val="009B3163"/>
    <w:rsid w:val="009B422F"/>
    <w:rsid w:val="009B46BC"/>
    <w:rsid w:val="009B4D1A"/>
    <w:rsid w:val="009B519D"/>
    <w:rsid w:val="009B558B"/>
    <w:rsid w:val="009B6D21"/>
    <w:rsid w:val="009B78ED"/>
    <w:rsid w:val="009C181C"/>
    <w:rsid w:val="009C1A44"/>
    <w:rsid w:val="009C1C7F"/>
    <w:rsid w:val="009C1EC7"/>
    <w:rsid w:val="009C2210"/>
    <w:rsid w:val="009C28A2"/>
    <w:rsid w:val="009C3239"/>
    <w:rsid w:val="009C3828"/>
    <w:rsid w:val="009C3AD3"/>
    <w:rsid w:val="009C3AF4"/>
    <w:rsid w:val="009C3D2C"/>
    <w:rsid w:val="009C4987"/>
    <w:rsid w:val="009C4FDE"/>
    <w:rsid w:val="009C523F"/>
    <w:rsid w:val="009C59BF"/>
    <w:rsid w:val="009C5E4F"/>
    <w:rsid w:val="009C5F64"/>
    <w:rsid w:val="009C5F82"/>
    <w:rsid w:val="009C60EA"/>
    <w:rsid w:val="009C6BFC"/>
    <w:rsid w:val="009C70F8"/>
    <w:rsid w:val="009C78A3"/>
    <w:rsid w:val="009C7E68"/>
    <w:rsid w:val="009D00D7"/>
    <w:rsid w:val="009D0156"/>
    <w:rsid w:val="009D03B4"/>
    <w:rsid w:val="009D05DA"/>
    <w:rsid w:val="009D11F6"/>
    <w:rsid w:val="009D1A14"/>
    <w:rsid w:val="009D1E2A"/>
    <w:rsid w:val="009D1FA0"/>
    <w:rsid w:val="009D2BDF"/>
    <w:rsid w:val="009D3736"/>
    <w:rsid w:val="009D4529"/>
    <w:rsid w:val="009D460F"/>
    <w:rsid w:val="009D4D17"/>
    <w:rsid w:val="009D604F"/>
    <w:rsid w:val="009D61BB"/>
    <w:rsid w:val="009D6410"/>
    <w:rsid w:val="009D68BB"/>
    <w:rsid w:val="009D6909"/>
    <w:rsid w:val="009D700F"/>
    <w:rsid w:val="009D70C2"/>
    <w:rsid w:val="009D7244"/>
    <w:rsid w:val="009D7ADB"/>
    <w:rsid w:val="009D7B33"/>
    <w:rsid w:val="009E06C3"/>
    <w:rsid w:val="009E0703"/>
    <w:rsid w:val="009E1035"/>
    <w:rsid w:val="009E16DA"/>
    <w:rsid w:val="009E1CD4"/>
    <w:rsid w:val="009E2391"/>
    <w:rsid w:val="009E41E5"/>
    <w:rsid w:val="009E476A"/>
    <w:rsid w:val="009E4A16"/>
    <w:rsid w:val="009E4E05"/>
    <w:rsid w:val="009E56FF"/>
    <w:rsid w:val="009E5CB1"/>
    <w:rsid w:val="009E5E56"/>
    <w:rsid w:val="009E61EA"/>
    <w:rsid w:val="009E6990"/>
    <w:rsid w:val="009E6FEE"/>
    <w:rsid w:val="009F00B9"/>
    <w:rsid w:val="009F0312"/>
    <w:rsid w:val="009F060F"/>
    <w:rsid w:val="009F0781"/>
    <w:rsid w:val="009F0850"/>
    <w:rsid w:val="009F1950"/>
    <w:rsid w:val="009F1BDF"/>
    <w:rsid w:val="009F1EAE"/>
    <w:rsid w:val="009F2732"/>
    <w:rsid w:val="009F2848"/>
    <w:rsid w:val="009F369D"/>
    <w:rsid w:val="009F36FE"/>
    <w:rsid w:val="009F4990"/>
    <w:rsid w:val="009F4F25"/>
    <w:rsid w:val="009F59C2"/>
    <w:rsid w:val="009F7263"/>
    <w:rsid w:val="009F76EA"/>
    <w:rsid w:val="009F78EB"/>
    <w:rsid w:val="009F7DB2"/>
    <w:rsid w:val="009F7F32"/>
    <w:rsid w:val="009F7FEB"/>
    <w:rsid w:val="00A003D5"/>
    <w:rsid w:val="00A0056C"/>
    <w:rsid w:val="00A00F5E"/>
    <w:rsid w:val="00A0120D"/>
    <w:rsid w:val="00A01852"/>
    <w:rsid w:val="00A0188B"/>
    <w:rsid w:val="00A01C35"/>
    <w:rsid w:val="00A01E73"/>
    <w:rsid w:val="00A023E7"/>
    <w:rsid w:val="00A02B88"/>
    <w:rsid w:val="00A03160"/>
    <w:rsid w:val="00A036AC"/>
    <w:rsid w:val="00A03C54"/>
    <w:rsid w:val="00A03DE5"/>
    <w:rsid w:val="00A041BC"/>
    <w:rsid w:val="00A0447F"/>
    <w:rsid w:val="00A046D2"/>
    <w:rsid w:val="00A04A54"/>
    <w:rsid w:val="00A058B8"/>
    <w:rsid w:val="00A05B4B"/>
    <w:rsid w:val="00A066C3"/>
    <w:rsid w:val="00A06754"/>
    <w:rsid w:val="00A069E0"/>
    <w:rsid w:val="00A06E4A"/>
    <w:rsid w:val="00A070E9"/>
    <w:rsid w:val="00A078FB"/>
    <w:rsid w:val="00A10209"/>
    <w:rsid w:val="00A1036D"/>
    <w:rsid w:val="00A1069F"/>
    <w:rsid w:val="00A10ACA"/>
    <w:rsid w:val="00A10D08"/>
    <w:rsid w:val="00A11E78"/>
    <w:rsid w:val="00A12355"/>
    <w:rsid w:val="00A12574"/>
    <w:rsid w:val="00A127D2"/>
    <w:rsid w:val="00A1284E"/>
    <w:rsid w:val="00A13CF5"/>
    <w:rsid w:val="00A143EC"/>
    <w:rsid w:val="00A149E8"/>
    <w:rsid w:val="00A1500F"/>
    <w:rsid w:val="00A15621"/>
    <w:rsid w:val="00A15670"/>
    <w:rsid w:val="00A157A0"/>
    <w:rsid w:val="00A1585B"/>
    <w:rsid w:val="00A15C19"/>
    <w:rsid w:val="00A15FE9"/>
    <w:rsid w:val="00A16809"/>
    <w:rsid w:val="00A17584"/>
    <w:rsid w:val="00A17769"/>
    <w:rsid w:val="00A17EA2"/>
    <w:rsid w:val="00A20264"/>
    <w:rsid w:val="00A20997"/>
    <w:rsid w:val="00A210D4"/>
    <w:rsid w:val="00A213DD"/>
    <w:rsid w:val="00A21454"/>
    <w:rsid w:val="00A216CE"/>
    <w:rsid w:val="00A22025"/>
    <w:rsid w:val="00A22498"/>
    <w:rsid w:val="00A22571"/>
    <w:rsid w:val="00A225F8"/>
    <w:rsid w:val="00A2298D"/>
    <w:rsid w:val="00A24560"/>
    <w:rsid w:val="00A25B0F"/>
    <w:rsid w:val="00A25BBB"/>
    <w:rsid w:val="00A27FB6"/>
    <w:rsid w:val="00A30121"/>
    <w:rsid w:val="00A30368"/>
    <w:rsid w:val="00A3043A"/>
    <w:rsid w:val="00A30E02"/>
    <w:rsid w:val="00A30F6A"/>
    <w:rsid w:val="00A31060"/>
    <w:rsid w:val="00A31C3E"/>
    <w:rsid w:val="00A31DE3"/>
    <w:rsid w:val="00A34538"/>
    <w:rsid w:val="00A34677"/>
    <w:rsid w:val="00A3540F"/>
    <w:rsid w:val="00A35630"/>
    <w:rsid w:val="00A35914"/>
    <w:rsid w:val="00A36189"/>
    <w:rsid w:val="00A37E73"/>
    <w:rsid w:val="00A37FB6"/>
    <w:rsid w:val="00A409E2"/>
    <w:rsid w:val="00A4104A"/>
    <w:rsid w:val="00A41081"/>
    <w:rsid w:val="00A411CA"/>
    <w:rsid w:val="00A42080"/>
    <w:rsid w:val="00A42096"/>
    <w:rsid w:val="00A426F3"/>
    <w:rsid w:val="00A42FDF"/>
    <w:rsid w:val="00A430A9"/>
    <w:rsid w:val="00A431FE"/>
    <w:rsid w:val="00A4384F"/>
    <w:rsid w:val="00A439E5"/>
    <w:rsid w:val="00A4414E"/>
    <w:rsid w:val="00A4497A"/>
    <w:rsid w:val="00A44AB5"/>
    <w:rsid w:val="00A44BE8"/>
    <w:rsid w:val="00A44C96"/>
    <w:rsid w:val="00A44CDD"/>
    <w:rsid w:val="00A44F54"/>
    <w:rsid w:val="00A45F9B"/>
    <w:rsid w:val="00A46574"/>
    <w:rsid w:val="00A46B4B"/>
    <w:rsid w:val="00A47849"/>
    <w:rsid w:val="00A500B1"/>
    <w:rsid w:val="00A52A53"/>
    <w:rsid w:val="00A52EE5"/>
    <w:rsid w:val="00A53037"/>
    <w:rsid w:val="00A532B9"/>
    <w:rsid w:val="00A5351D"/>
    <w:rsid w:val="00A53E79"/>
    <w:rsid w:val="00A54031"/>
    <w:rsid w:val="00A5426D"/>
    <w:rsid w:val="00A54FC2"/>
    <w:rsid w:val="00A55122"/>
    <w:rsid w:val="00A55CEA"/>
    <w:rsid w:val="00A56DE7"/>
    <w:rsid w:val="00A57EB2"/>
    <w:rsid w:val="00A6009E"/>
    <w:rsid w:val="00A60265"/>
    <w:rsid w:val="00A60540"/>
    <w:rsid w:val="00A60885"/>
    <w:rsid w:val="00A60B1F"/>
    <w:rsid w:val="00A60E17"/>
    <w:rsid w:val="00A61C60"/>
    <w:rsid w:val="00A62589"/>
    <w:rsid w:val="00A62AD0"/>
    <w:rsid w:val="00A62C3A"/>
    <w:rsid w:val="00A6319C"/>
    <w:rsid w:val="00A63812"/>
    <w:rsid w:val="00A639A9"/>
    <w:rsid w:val="00A63DF7"/>
    <w:rsid w:val="00A6454D"/>
    <w:rsid w:val="00A64767"/>
    <w:rsid w:val="00A64F2F"/>
    <w:rsid w:val="00A6611E"/>
    <w:rsid w:val="00A668BA"/>
    <w:rsid w:val="00A66FA7"/>
    <w:rsid w:val="00A67E16"/>
    <w:rsid w:val="00A67EB1"/>
    <w:rsid w:val="00A703CC"/>
    <w:rsid w:val="00A70C5C"/>
    <w:rsid w:val="00A710A2"/>
    <w:rsid w:val="00A71EA7"/>
    <w:rsid w:val="00A730AD"/>
    <w:rsid w:val="00A73855"/>
    <w:rsid w:val="00A73D64"/>
    <w:rsid w:val="00A74216"/>
    <w:rsid w:val="00A74360"/>
    <w:rsid w:val="00A744B4"/>
    <w:rsid w:val="00A751E3"/>
    <w:rsid w:val="00A7536B"/>
    <w:rsid w:val="00A753B9"/>
    <w:rsid w:val="00A7549A"/>
    <w:rsid w:val="00A75504"/>
    <w:rsid w:val="00A75FD7"/>
    <w:rsid w:val="00A77168"/>
    <w:rsid w:val="00A7723B"/>
    <w:rsid w:val="00A773C3"/>
    <w:rsid w:val="00A7793C"/>
    <w:rsid w:val="00A77D21"/>
    <w:rsid w:val="00A80085"/>
    <w:rsid w:val="00A8043B"/>
    <w:rsid w:val="00A80DA0"/>
    <w:rsid w:val="00A81323"/>
    <w:rsid w:val="00A820CB"/>
    <w:rsid w:val="00A82342"/>
    <w:rsid w:val="00A8236F"/>
    <w:rsid w:val="00A82D06"/>
    <w:rsid w:val="00A83BEF"/>
    <w:rsid w:val="00A84443"/>
    <w:rsid w:val="00A8487F"/>
    <w:rsid w:val="00A849A3"/>
    <w:rsid w:val="00A84A0E"/>
    <w:rsid w:val="00A8575D"/>
    <w:rsid w:val="00A861F4"/>
    <w:rsid w:val="00A86E0B"/>
    <w:rsid w:val="00A90F12"/>
    <w:rsid w:val="00A91DAA"/>
    <w:rsid w:val="00A93101"/>
    <w:rsid w:val="00A93239"/>
    <w:rsid w:val="00A9413E"/>
    <w:rsid w:val="00A94293"/>
    <w:rsid w:val="00A9496E"/>
    <w:rsid w:val="00A949F0"/>
    <w:rsid w:val="00A94BDE"/>
    <w:rsid w:val="00A94FCA"/>
    <w:rsid w:val="00A95E4C"/>
    <w:rsid w:val="00A96C60"/>
    <w:rsid w:val="00A9740B"/>
    <w:rsid w:val="00A9766C"/>
    <w:rsid w:val="00A977F8"/>
    <w:rsid w:val="00A979DB"/>
    <w:rsid w:val="00A97C93"/>
    <w:rsid w:val="00AA06C6"/>
    <w:rsid w:val="00AA08E7"/>
    <w:rsid w:val="00AA0A06"/>
    <w:rsid w:val="00AA1351"/>
    <w:rsid w:val="00AA184C"/>
    <w:rsid w:val="00AA1AF4"/>
    <w:rsid w:val="00AA1C84"/>
    <w:rsid w:val="00AA3D7B"/>
    <w:rsid w:val="00AA42A0"/>
    <w:rsid w:val="00AA442B"/>
    <w:rsid w:val="00AA46A4"/>
    <w:rsid w:val="00AA5779"/>
    <w:rsid w:val="00AA58A1"/>
    <w:rsid w:val="00AA61C7"/>
    <w:rsid w:val="00AA669D"/>
    <w:rsid w:val="00AA66ED"/>
    <w:rsid w:val="00AA6B59"/>
    <w:rsid w:val="00AA6BE1"/>
    <w:rsid w:val="00AA7416"/>
    <w:rsid w:val="00AA7A60"/>
    <w:rsid w:val="00AA7B42"/>
    <w:rsid w:val="00AB041C"/>
    <w:rsid w:val="00AB14E8"/>
    <w:rsid w:val="00AB1B1D"/>
    <w:rsid w:val="00AB1CD8"/>
    <w:rsid w:val="00AB2216"/>
    <w:rsid w:val="00AB24F8"/>
    <w:rsid w:val="00AB358D"/>
    <w:rsid w:val="00AB37A1"/>
    <w:rsid w:val="00AB3BAD"/>
    <w:rsid w:val="00AB3CFD"/>
    <w:rsid w:val="00AB49BC"/>
    <w:rsid w:val="00AB4DEE"/>
    <w:rsid w:val="00AB4E32"/>
    <w:rsid w:val="00AB5C19"/>
    <w:rsid w:val="00AB724B"/>
    <w:rsid w:val="00AB726C"/>
    <w:rsid w:val="00AB72B4"/>
    <w:rsid w:val="00AB7549"/>
    <w:rsid w:val="00AB7A7A"/>
    <w:rsid w:val="00AC02AA"/>
    <w:rsid w:val="00AC0537"/>
    <w:rsid w:val="00AC0A84"/>
    <w:rsid w:val="00AC1508"/>
    <w:rsid w:val="00AC2A0B"/>
    <w:rsid w:val="00AC2BEE"/>
    <w:rsid w:val="00AC2E53"/>
    <w:rsid w:val="00AC484F"/>
    <w:rsid w:val="00AC4AD2"/>
    <w:rsid w:val="00AC4B20"/>
    <w:rsid w:val="00AC5395"/>
    <w:rsid w:val="00AC55C7"/>
    <w:rsid w:val="00AC56F2"/>
    <w:rsid w:val="00AC5D9D"/>
    <w:rsid w:val="00AC71C3"/>
    <w:rsid w:val="00AD09F7"/>
    <w:rsid w:val="00AD1EFA"/>
    <w:rsid w:val="00AD2072"/>
    <w:rsid w:val="00AD2DBD"/>
    <w:rsid w:val="00AD2FBF"/>
    <w:rsid w:val="00AD33A1"/>
    <w:rsid w:val="00AD340E"/>
    <w:rsid w:val="00AD455D"/>
    <w:rsid w:val="00AD463C"/>
    <w:rsid w:val="00AD4F60"/>
    <w:rsid w:val="00AD5044"/>
    <w:rsid w:val="00AD5114"/>
    <w:rsid w:val="00AD6236"/>
    <w:rsid w:val="00AD69D5"/>
    <w:rsid w:val="00AD7619"/>
    <w:rsid w:val="00AD7770"/>
    <w:rsid w:val="00AE1772"/>
    <w:rsid w:val="00AE1990"/>
    <w:rsid w:val="00AE25E8"/>
    <w:rsid w:val="00AE2AD4"/>
    <w:rsid w:val="00AE2CA7"/>
    <w:rsid w:val="00AE2F1D"/>
    <w:rsid w:val="00AE4C81"/>
    <w:rsid w:val="00AE586F"/>
    <w:rsid w:val="00AE5899"/>
    <w:rsid w:val="00AE62FE"/>
    <w:rsid w:val="00AE6582"/>
    <w:rsid w:val="00AE6DC5"/>
    <w:rsid w:val="00AE7686"/>
    <w:rsid w:val="00AE799A"/>
    <w:rsid w:val="00AF0E81"/>
    <w:rsid w:val="00AF117A"/>
    <w:rsid w:val="00AF16CA"/>
    <w:rsid w:val="00AF186E"/>
    <w:rsid w:val="00AF19DF"/>
    <w:rsid w:val="00AF1D41"/>
    <w:rsid w:val="00AF26CF"/>
    <w:rsid w:val="00AF3124"/>
    <w:rsid w:val="00AF344D"/>
    <w:rsid w:val="00AF39B3"/>
    <w:rsid w:val="00AF3C1F"/>
    <w:rsid w:val="00AF3FED"/>
    <w:rsid w:val="00AF4402"/>
    <w:rsid w:val="00AF4639"/>
    <w:rsid w:val="00AF4E92"/>
    <w:rsid w:val="00AF554B"/>
    <w:rsid w:val="00AF5C9B"/>
    <w:rsid w:val="00AF5D53"/>
    <w:rsid w:val="00AF5E2D"/>
    <w:rsid w:val="00AF644B"/>
    <w:rsid w:val="00AF69EB"/>
    <w:rsid w:val="00AF6CA6"/>
    <w:rsid w:val="00AF6EB6"/>
    <w:rsid w:val="00AF7796"/>
    <w:rsid w:val="00B011A9"/>
    <w:rsid w:val="00B01BAF"/>
    <w:rsid w:val="00B024ED"/>
    <w:rsid w:val="00B026B8"/>
    <w:rsid w:val="00B02EB3"/>
    <w:rsid w:val="00B02FCB"/>
    <w:rsid w:val="00B033F8"/>
    <w:rsid w:val="00B03C1E"/>
    <w:rsid w:val="00B04400"/>
    <w:rsid w:val="00B04835"/>
    <w:rsid w:val="00B05A55"/>
    <w:rsid w:val="00B05DE1"/>
    <w:rsid w:val="00B06595"/>
    <w:rsid w:val="00B06862"/>
    <w:rsid w:val="00B079A5"/>
    <w:rsid w:val="00B10109"/>
    <w:rsid w:val="00B1085E"/>
    <w:rsid w:val="00B10FD1"/>
    <w:rsid w:val="00B112D5"/>
    <w:rsid w:val="00B11378"/>
    <w:rsid w:val="00B1219D"/>
    <w:rsid w:val="00B12735"/>
    <w:rsid w:val="00B12F44"/>
    <w:rsid w:val="00B13C48"/>
    <w:rsid w:val="00B13E35"/>
    <w:rsid w:val="00B13EC0"/>
    <w:rsid w:val="00B14102"/>
    <w:rsid w:val="00B14D32"/>
    <w:rsid w:val="00B1507C"/>
    <w:rsid w:val="00B1557C"/>
    <w:rsid w:val="00B155DC"/>
    <w:rsid w:val="00B15766"/>
    <w:rsid w:val="00B15E4A"/>
    <w:rsid w:val="00B1666A"/>
    <w:rsid w:val="00B167C8"/>
    <w:rsid w:val="00B1686D"/>
    <w:rsid w:val="00B16BF7"/>
    <w:rsid w:val="00B17129"/>
    <w:rsid w:val="00B1741D"/>
    <w:rsid w:val="00B17447"/>
    <w:rsid w:val="00B1771D"/>
    <w:rsid w:val="00B17B91"/>
    <w:rsid w:val="00B20209"/>
    <w:rsid w:val="00B203C9"/>
    <w:rsid w:val="00B2088D"/>
    <w:rsid w:val="00B208FF"/>
    <w:rsid w:val="00B21271"/>
    <w:rsid w:val="00B22E22"/>
    <w:rsid w:val="00B22F5F"/>
    <w:rsid w:val="00B23353"/>
    <w:rsid w:val="00B23813"/>
    <w:rsid w:val="00B23FD9"/>
    <w:rsid w:val="00B24591"/>
    <w:rsid w:val="00B245D5"/>
    <w:rsid w:val="00B245EF"/>
    <w:rsid w:val="00B24C36"/>
    <w:rsid w:val="00B24D9F"/>
    <w:rsid w:val="00B24F94"/>
    <w:rsid w:val="00B25126"/>
    <w:rsid w:val="00B25703"/>
    <w:rsid w:val="00B25A52"/>
    <w:rsid w:val="00B25EAF"/>
    <w:rsid w:val="00B25FC3"/>
    <w:rsid w:val="00B2692F"/>
    <w:rsid w:val="00B27875"/>
    <w:rsid w:val="00B3008D"/>
    <w:rsid w:val="00B30884"/>
    <w:rsid w:val="00B30E11"/>
    <w:rsid w:val="00B30EAE"/>
    <w:rsid w:val="00B30EEB"/>
    <w:rsid w:val="00B31423"/>
    <w:rsid w:val="00B317AE"/>
    <w:rsid w:val="00B323E0"/>
    <w:rsid w:val="00B32DC0"/>
    <w:rsid w:val="00B32E31"/>
    <w:rsid w:val="00B3346C"/>
    <w:rsid w:val="00B335E4"/>
    <w:rsid w:val="00B33C23"/>
    <w:rsid w:val="00B345B4"/>
    <w:rsid w:val="00B348B1"/>
    <w:rsid w:val="00B34A28"/>
    <w:rsid w:val="00B35046"/>
    <w:rsid w:val="00B357F4"/>
    <w:rsid w:val="00B35B6A"/>
    <w:rsid w:val="00B36D2B"/>
    <w:rsid w:val="00B37657"/>
    <w:rsid w:val="00B37AFD"/>
    <w:rsid w:val="00B37B07"/>
    <w:rsid w:val="00B4046F"/>
    <w:rsid w:val="00B406B3"/>
    <w:rsid w:val="00B40A36"/>
    <w:rsid w:val="00B41BCA"/>
    <w:rsid w:val="00B41D39"/>
    <w:rsid w:val="00B422C0"/>
    <w:rsid w:val="00B426CA"/>
    <w:rsid w:val="00B426E1"/>
    <w:rsid w:val="00B4387A"/>
    <w:rsid w:val="00B44746"/>
    <w:rsid w:val="00B44854"/>
    <w:rsid w:val="00B44BA5"/>
    <w:rsid w:val="00B458D0"/>
    <w:rsid w:val="00B4792C"/>
    <w:rsid w:val="00B50CAE"/>
    <w:rsid w:val="00B512AD"/>
    <w:rsid w:val="00B5196C"/>
    <w:rsid w:val="00B525CB"/>
    <w:rsid w:val="00B52697"/>
    <w:rsid w:val="00B54215"/>
    <w:rsid w:val="00B54D8F"/>
    <w:rsid w:val="00B55857"/>
    <w:rsid w:val="00B55C69"/>
    <w:rsid w:val="00B56851"/>
    <w:rsid w:val="00B56D6E"/>
    <w:rsid w:val="00B572F7"/>
    <w:rsid w:val="00B57B9D"/>
    <w:rsid w:val="00B57DAF"/>
    <w:rsid w:val="00B60094"/>
    <w:rsid w:val="00B6022C"/>
    <w:rsid w:val="00B6040C"/>
    <w:rsid w:val="00B614F8"/>
    <w:rsid w:val="00B61994"/>
    <w:rsid w:val="00B61B18"/>
    <w:rsid w:val="00B61FD4"/>
    <w:rsid w:val="00B6235B"/>
    <w:rsid w:val="00B62880"/>
    <w:rsid w:val="00B63872"/>
    <w:rsid w:val="00B63CB2"/>
    <w:rsid w:val="00B64246"/>
    <w:rsid w:val="00B64EDB"/>
    <w:rsid w:val="00B65938"/>
    <w:rsid w:val="00B65C8A"/>
    <w:rsid w:val="00B65CE2"/>
    <w:rsid w:val="00B660AD"/>
    <w:rsid w:val="00B66109"/>
    <w:rsid w:val="00B66349"/>
    <w:rsid w:val="00B669B3"/>
    <w:rsid w:val="00B67FBF"/>
    <w:rsid w:val="00B70832"/>
    <w:rsid w:val="00B71376"/>
    <w:rsid w:val="00B716D7"/>
    <w:rsid w:val="00B72110"/>
    <w:rsid w:val="00B72B91"/>
    <w:rsid w:val="00B73019"/>
    <w:rsid w:val="00B7315F"/>
    <w:rsid w:val="00B7323A"/>
    <w:rsid w:val="00B7353B"/>
    <w:rsid w:val="00B737FB"/>
    <w:rsid w:val="00B73E5D"/>
    <w:rsid w:val="00B73EF3"/>
    <w:rsid w:val="00B7423D"/>
    <w:rsid w:val="00B74D05"/>
    <w:rsid w:val="00B74EF8"/>
    <w:rsid w:val="00B75893"/>
    <w:rsid w:val="00B7708F"/>
    <w:rsid w:val="00B771F4"/>
    <w:rsid w:val="00B7762A"/>
    <w:rsid w:val="00B777FA"/>
    <w:rsid w:val="00B77850"/>
    <w:rsid w:val="00B7796B"/>
    <w:rsid w:val="00B80C72"/>
    <w:rsid w:val="00B8101E"/>
    <w:rsid w:val="00B81964"/>
    <w:rsid w:val="00B81E6F"/>
    <w:rsid w:val="00B82123"/>
    <w:rsid w:val="00B8225B"/>
    <w:rsid w:val="00B82BB5"/>
    <w:rsid w:val="00B83182"/>
    <w:rsid w:val="00B83893"/>
    <w:rsid w:val="00B839F0"/>
    <w:rsid w:val="00B851E4"/>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2531"/>
    <w:rsid w:val="00B92618"/>
    <w:rsid w:val="00B92751"/>
    <w:rsid w:val="00B92B69"/>
    <w:rsid w:val="00B92CC6"/>
    <w:rsid w:val="00B935C9"/>
    <w:rsid w:val="00B93E3D"/>
    <w:rsid w:val="00B95464"/>
    <w:rsid w:val="00B95C30"/>
    <w:rsid w:val="00B95E3D"/>
    <w:rsid w:val="00B9691F"/>
    <w:rsid w:val="00B96EEC"/>
    <w:rsid w:val="00B97392"/>
    <w:rsid w:val="00B976C7"/>
    <w:rsid w:val="00B97A73"/>
    <w:rsid w:val="00BA0C54"/>
    <w:rsid w:val="00BA1382"/>
    <w:rsid w:val="00BA15E3"/>
    <w:rsid w:val="00BA1A8C"/>
    <w:rsid w:val="00BA20B6"/>
    <w:rsid w:val="00BA20D8"/>
    <w:rsid w:val="00BA22FC"/>
    <w:rsid w:val="00BA2C2A"/>
    <w:rsid w:val="00BA2F30"/>
    <w:rsid w:val="00BA3982"/>
    <w:rsid w:val="00BA405F"/>
    <w:rsid w:val="00BA4771"/>
    <w:rsid w:val="00BA482B"/>
    <w:rsid w:val="00BA5027"/>
    <w:rsid w:val="00BA665B"/>
    <w:rsid w:val="00BA6FE8"/>
    <w:rsid w:val="00BA732D"/>
    <w:rsid w:val="00BA7370"/>
    <w:rsid w:val="00BA778B"/>
    <w:rsid w:val="00BB0888"/>
    <w:rsid w:val="00BB0DF1"/>
    <w:rsid w:val="00BB0E49"/>
    <w:rsid w:val="00BB0E9B"/>
    <w:rsid w:val="00BB2841"/>
    <w:rsid w:val="00BB300F"/>
    <w:rsid w:val="00BB32C9"/>
    <w:rsid w:val="00BB35C5"/>
    <w:rsid w:val="00BB4048"/>
    <w:rsid w:val="00BB4C8E"/>
    <w:rsid w:val="00BB57ED"/>
    <w:rsid w:val="00BB5A2D"/>
    <w:rsid w:val="00BB606C"/>
    <w:rsid w:val="00BB65C3"/>
    <w:rsid w:val="00BB662E"/>
    <w:rsid w:val="00BB67A9"/>
    <w:rsid w:val="00BB6C01"/>
    <w:rsid w:val="00BB7942"/>
    <w:rsid w:val="00BB7CD1"/>
    <w:rsid w:val="00BC0F33"/>
    <w:rsid w:val="00BC14A7"/>
    <w:rsid w:val="00BC17CC"/>
    <w:rsid w:val="00BC209F"/>
    <w:rsid w:val="00BC24AD"/>
    <w:rsid w:val="00BC2898"/>
    <w:rsid w:val="00BC2928"/>
    <w:rsid w:val="00BC29BD"/>
    <w:rsid w:val="00BC2BB1"/>
    <w:rsid w:val="00BC34A3"/>
    <w:rsid w:val="00BC3FF9"/>
    <w:rsid w:val="00BC4834"/>
    <w:rsid w:val="00BC4A97"/>
    <w:rsid w:val="00BC5A25"/>
    <w:rsid w:val="00BC5FDD"/>
    <w:rsid w:val="00BC68B4"/>
    <w:rsid w:val="00BC7277"/>
    <w:rsid w:val="00BD0140"/>
    <w:rsid w:val="00BD02CC"/>
    <w:rsid w:val="00BD088E"/>
    <w:rsid w:val="00BD0F18"/>
    <w:rsid w:val="00BD182E"/>
    <w:rsid w:val="00BD2063"/>
    <w:rsid w:val="00BD2950"/>
    <w:rsid w:val="00BD337A"/>
    <w:rsid w:val="00BD33D9"/>
    <w:rsid w:val="00BD38C5"/>
    <w:rsid w:val="00BD3A6D"/>
    <w:rsid w:val="00BD3AF1"/>
    <w:rsid w:val="00BD3DEA"/>
    <w:rsid w:val="00BD3E97"/>
    <w:rsid w:val="00BD40E4"/>
    <w:rsid w:val="00BD52FE"/>
    <w:rsid w:val="00BD62CF"/>
    <w:rsid w:val="00BD67B2"/>
    <w:rsid w:val="00BD68E2"/>
    <w:rsid w:val="00BD6D41"/>
    <w:rsid w:val="00BD76E5"/>
    <w:rsid w:val="00BD78FE"/>
    <w:rsid w:val="00BE0149"/>
    <w:rsid w:val="00BE0767"/>
    <w:rsid w:val="00BE07A6"/>
    <w:rsid w:val="00BE0CDF"/>
    <w:rsid w:val="00BE0F24"/>
    <w:rsid w:val="00BE12D7"/>
    <w:rsid w:val="00BE1372"/>
    <w:rsid w:val="00BE1775"/>
    <w:rsid w:val="00BE18DA"/>
    <w:rsid w:val="00BE26C0"/>
    <w:rsid w:val="00BE3442"/>
    <w:rsid w:val="00BE37CD"/>
    <w:rsid w:val="00BE47B2"/>
    <w:rsid w:val="00BE48C7"/>
    <w:rsid w:val="00BE4F66"/>
    <w:rsid w:val="00BE4FBF"/>
    <w:rsid w:val="00BE5238"/>
    <w:rsid w:val="00BE5742"/>
    <w:rsid w:val="00BE6074"/>
    <w:rsid w:val="00BE6D73"/>
    <w:rsid w:val="00BE7257"/>
    <w:rsid w:val="00BF020D"/>
    <w:rsid w:val="00BF0532"/>
    <w:rsid w:val="00BF0609"/>
    <w:rsid w:val="00BF0EE8"/>
    <w:rsid w:val="00BF10ED"/>
    <w:rsid w:val="00BF1DD2"/>
    <w:rsid w:val="00BF23A3"/>
    <w:rsid w:val="00BF2A7E"/>
    <w:rsid w:val="00BF3331"/>
    <w:rsid w:val="00BF3A45"/>
    <w:rsid w:val="00BF436F"/>
    <w:rsid w:val="00BF45AE"/>
    <w:rsid w:val="00BF5C05"/>
    <w:rsid w:val="00BF6A12"/>
    <w:rsid w:val="00BF6FC6"/>
    <w:rsid w:val="00BF7C52"/>
    <w:rsid w:val="00BF7F99"/>
    <w:rsid w:val="00C00713"/>
    <w:rsid w:val="00C009A0"/>
    <w:rsid w:val="00C018F7"/>
    <w:rsid w:val="00C01F74"/>
    <w:rsid w:val="00C020C1"/>
    <w:rsid w:val="00C02558"/>
    <w:rsid w:val="00C025FE"/>
    <w:rsid w:val="00C0285F"/>
    <w:rsid w:val="00C028F5"/>
    <w:rsid w:val="00C02F35"/>
    <w:rsid w:val="00C03305"/>
    <w:rsid w:val="00C03515"/>
    <w:rsid w:val="00C03664"/>
    <w:rsid w:val="00C03738"/>
    <w:rsid w:val="00C037A6"/>
    <w:rsid w:val="00C04221"/>
    <w:rsid w:val="00C043F5"/>
    <w:rsid w:val="00C044E3"/>
    <w:rsid w:val="00C04607"/>
    <w:rsid w:val="00C04BDB"/>
    <w:rsid w:val="00C052C6"/>
    <w:rsid w:val="00C05A61"/>
    <w:rsid w:val="00C05FBA"/>
    <w:rsid w:val="00C05FEE"/>
    <w:rsid w:val="00C06CCF"/>
    <w:rsid w:val="00C0794D"/>
    <w:rsid w:val="00C10E78"/>
    <w:rsid w:val="00C1159D"/>
    <w:rsid w:val="00C1233E"/>
    <w:rsid w:val="00C1276C"/>
    <w:rsid w:val="00C12FB3"/>
    <w:rsid w:val="00C138BC"/>
    <w:rsid w:val="00C13D85"/>
    <w:rsid w:val="00C14575"/>
    <w:rsid w:val="00C14639"/>
    <w:rsid w:val="00C14E82"/>
    <w:rsid w:val="00C14FF6"/>
    <w:rsid w:val="00C15A85"/>
    <w:rsid w:val="00C1637C"/>
    <w:rsid w:val="00C1641B"/>
    <w:rsid w:val="00C165FC"/>
    <w:rsid w:val="00C16DCE"/>
    <w:rsid w:val="00C176D5"/>
    <w:rsid w:val="00C17D24"/>
    <w:rsid w:val="00C2082C"/>
    <w:rsid w:val="00C20EB0"/>
    <w:rsid w:val="00C21004"/>
    <w:rsid w:val="00C21005"/>
    <w:rsid w:val="00C218DF"/>
    <w:rsid w:val="00C220B6"/>
    <w:rsid w:val="00C22D7C"/>
    <w:rsid w:val="00C22DDE"/>
    <w:rsid w:val="00C2338B"/>
    <w:rsid w:val="00C233CE"/>
    <w:rsid w:val="00C237DD"/>
    <w:rsid w:val="00C238F4"/>
    <w:rsid w:val="00C2393A"/>
    <w:rsid w:val="00C23A99"/>
    <w:rsid w:val="00C23AB5"/>
    <w:rsid w:val="00C245EE"/>
    <w:rsid w:val="00C24AE1"/>
    <w:rsid w:val="00C24B8D"/>
    <w:rsid w:val="00C24BD7"/>
    <w:rsid w:val="00C25813"/>
    <w:rsid w:val="00C26C71"/>
    <w:rsid w:val="00C27143"/>
    <w:rsid w:val="00C27490"/>
    <w:rsid w:val="00C27D37"/>
    <w:rsid w:val="00C309E8"/>
    <w:rsid w:val="00C32017"/>
    <w:rsid w:val="00C32571"/>
    <w:rsid w:val="00C325CD"/>
    <w:rsid w:val="00C3322E"/>
    <w:rsid w:val="00C337F5"/>
    <w:rsid w:val="00C3383E"/>
    <w:rsid w:val="00C33B90"/>
    <w:rsid w:val="00C34161"/>
    <w:rsid w:val="00C34B5F"/>
    <w:rsid w:val="00C358D4"/>
    <w:rsid w:val="00C365C6"/>
    <w:rsid w:val="00C366F4"/>
    <w:rsid w:val="00C36785"/>
    <w:rsid w:val="00C3711C"/>
    <w:rsid w:val="00C37256"/>
    <w:rsid w:val="00C37A7B"/>
    <w:rsid w:val="00C37DC1"/>
    <w:rsid w:val="00C37FFE"/>
    <w:rsid w:val="00C40B50"/>
    <w:rsid w:val="00C419E3"/>
    <w:rsid w:val="00C419F4"/>
    <w:rsid w:val="00C41E6A"/>
    <w:rsid w:val="00C42247"/>
    <w:rsid w:val="00C428E7"/>
    <w:rsid w:val="00C438A2"/>
    <w:rsid w:val="00C439BE"/>
    <w:rsid w:val="00C440B6"/>
    <w:rsid w:val="00C451B2"/>
    <w:rsid w:val="00C4539B"/>
    <w:rsid w:val="00C45466"/>
    <w:rsid w:val="00C455C1"/>
    <w:rsid w:val="00C4581D"/>
    <w:rsid w:val="00C47472"/>
    <w:rsid w:val="00C500F0"/>
    <w:rsid w:val="00C504A7"/>
    <w:rsid w:val="00C506C9"/>
    <w:rsid w:val="00C50A16"/>
    <w:rsid w:val="00C51C9A"/>
    <w:rsid w:val="00C520E6"/>
    <w:rsid w:val="00C52C68"/>
    <w:rsid w:val="00C52D98"/>
    <w:rsid w:val="00C52DA1"/>
    <w:rsid w:val="00C53423"/>
    <w:rsid w:val="00C53D24"/>
    <w:rsid w:val="00C54640"/>
    <w:rsid w:val="00C547A6"/>
    <w:rsid w:val="00C54A3A"/>
    <w:rsid w:val="00C55C32"/>
    <w:rsid w:val="00C56A67"/>
    <w:rsid w:val="00C56CC2"/>
    <w:rsid w:val="00C56D8D"/>
    <w:rsid w:val="00C57498"/>
    <w:rsid w:val="00C5763C"/>
    <w:rsid w:val="00C5780C"/>
    <w:rsid w:val="00C5796B"/>
    <w:rsid w:val="00C57C64"/>
    <w:rsid w:val="00C612C4"/>
    <w:rsid w:val="00C619A1"/>
    <w:rsid w:val="00C62370"/>
    <w:rsid w:val="00C62BBB"/>
    <w:rsid w:val="00C6305F"/>
    <w:rsid w:val="00C6325B"/>
    <w:rsid w:val="00C63DDD"/>
    <w:rsid w:val="00C63E99"/>
    <w:rsid w:val="00C649B8"/>
    <w:rsid w:val="00C64A64"/>
    <w:rsid w:val="00C65151"/>
    <w:rsid w:val="00C657F4"/>
    <w:rsid w:val="00C6598D"/>
    <w:rsid w:val="00C660FE"/>
    <w:rsid w:val="00C66119"/>
    <w:rsid w:val="00C66292"/>
    <w:rsid w:val="00C672A3"/>
    <w:rsid w:val="00C672F1"/>
    <w:rsid w:val="00C673D0"/>
    <w:rsid w:val="00C6742E"/>
    <w:rsid w:val="00C67B0B"/>
    <w:rsid w:val="00C67C0E"/>
    <w:rsid w:val="00C70012"/>
    <w:rsid w:val="00C71E2A"/>
    <w:rsid w:val="00C733BA"/>
    <w:rsid w:val="00C742F6"/>
    <w:rsid w:val="00C760DC"/>
    <w:rsid w:val="00C77777"/>
    <w:rsid w:val="00C8082B"/>
    <w:rsid w:val="00C80C6B"/>
    <w:rsid w:val="00C81A88"/>
    <w:rsid w:val="00C81D46"/>
    <w:rsid w:val="00C82298"/>
    <w:rsid w:val="00C82DC7"/>
    <w:rsid w:val="00C8331F"/>
    <w:rsid w:val="00C833B4"/>
    <w:rsid w:val="00C84284"/>
    <w:rsid w:val="00C84E33"/>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6CC"/>
    <w:rsid w:val="00C959BD"/>
    <w:rsid w:val="00C95DFE"/>
    <w:rsid w:val="00C95F44"/>
    <w:rsid w:val="00C96331"/>
    <w:rsid w:val="00C96D1B"/>
    <w:rsid w:val="00C97106"/>
    <w:rsid w:val="00C978D4"/>
    <w:rsid w:val="00CA0031"/>
    <w:rsid w:val="00CA0413"/>
    <w:rsid w:val="00CA043A"/>
    <w:rsid w:val="00CA0E51"/>
    <w:rsid w:val="00CA1691"/>
    <w:rsid w:val="00CA41E7"/>
    <w:rsid w:val="00CA4A99"/>
    <w:rsid w:val="00CA4CCC"/>
    <w:rsid w:val="00CA5520"/>
    <w:rsid w:val="00CA5812"/>
    <w:rsid w:val="00CA5984"/>
    <w:rsid w:val="00CA5BD4"/>
    <w:rsid w:val="00CA5C14"/>
    <w:rsid w:val="00CA5E65"/>
    <w:rsid w:val="00CA7019"/>
    <w:rsid w:val="00CA76FC"/>
    <w:rsid w:val="00CA7E7B"/>
    <w:rsid w:val="00CB0236"/>
    <w:rsid w:val="00CB0CB1"/>
    <w:rsid w:val="00CB137C"/>
    <w:rsid w:val="00CB1881"/>
    <w:rsid w:val="00CB1969"/>
    <w:rsid w:val="00CB19E3"/>
    <w:rsid w:val="00CB2C3A"/>
    <w:rsid w:val="00CB2D38"/>
    <w:rsid w:val="00CB2F5E"/>
    <w:rsid w:val="00CB4137"/>
    <w:rsid w:val="00CB50D0"/>
    <w:rsid w:val="00CB52D0"/>
    <w:rsid w:val="00CB5578"/>
    <w:rsid w:val="00CB5671"/>
    <w:rsid w:val="00CB591C"/>
    <w:rsid w:val="00CB5943"/>
    <w:rsid w:val="00CB61B3"/>
    <w:rsid w:val="00CB6801"/>
    <w:rsid w:val="00CB6F83"/>
    <w:rsid w:val="00CB72AE"/>
    <w:rsid w:val="00CC00CD"/>
    <w:rsid w:val="00CC0579"/>
    <w:rsid w:val="00CC0AF3"/>
    <w:rsid w:val="00CC0BC6"/>
    <w:rsid w:val="00CC0E68"/>
    <w:rsid w:val="00CC1780"/>
    <w:rsid w:val="00CC194E"/>
    <w:rsid w:val="00CC21AC"/>
    <w:rsid w:val="00CC232E"/>
    <w:rsid w:val="00CC2514"/>
    <w:rsid w:val="00CC2D34"/>
    <w:rsid w:val="00CC2F69"/>
    <w:rsid w:val="00CC315F"/>
    <w:rsid w:val="00CC3D38"/>
    <w:rsid w:val="00CC3F2F"/>
    <w:rsid w:val="00CC40C3"/>
    <w:rsid w:val="00CC4CB4"/>
    <w:rsid w:val="00CC4E5D"/>
    <w:rsid w:val="00CC50AE"/>
    <w:rsid w:val="00CC5FFE"/>
    <w:rsid w:val="00CC61B7"/>
    <w:rsid w:val="00CC61CA"/>
    <w:rsid w:val="00CC69EC"/>
    <w:rsid w:val="00CC71D3"/>
    <w:rsid w:val="00CC743D"/>
    <w:rsid w:val="00CD02ED"/>
    <w:rsid w:val="00CD050A"/>
    <w:rsid w:val="00CD1017"/>
    <w:rsid w:val="00CD205D"/>
    <w:rsid w:val="00CD2A22"/>
    <w:rsid w:val="00CD2B50"/>
    <w:rsid w:val="00CD3172"/>
    <w:rsid w:val="00CD4506"/>
    <w:rsid w:val="00CD520B"/>
    <w:rsid w:val="00CD592E"/>
    <w:rsid w:val="00CD5982"/>
    <w:rsid w:val="00CD5A1A"/>
    <w:rsid w:val="00CD7EFA"/>
    <w:rsid w:val="00CE020E"/>
    <w:rsid w:val="00CE0566"/>
    <w:rsid w:val="00CE1CD4"/>
    <w:rsid w:val="00CE2761"/>
    <w:rsid w:val="00CE28FC"/>
    <w:rsid w:val="00CE314E"/>
    <w:rsid w:val="00CE3A85"/>
    <w:rsid w:val="00CE3D5C"/>
    <w:rsid w:val="00CE3E09"/>
    <w:rsid w:val="00CE3E14"/>
    <w:rsid w:val="00CE44C7"/>
    <w:rsid w:val="00CE53CC"/>
    <w:rsid w:val="00CE5F60"/>
    <w:rsid w:val="00CE65A7"/>
    <w:rsid w:val="00CE68FE"/>
    <w:rsid w:val="00CE69CC"/>
    <w:rsid w:val="00CE6EC4"/>
    <w:rsid w:val="00CE7F26"/>
    <w:rsid w:val="00CF1226"/>
    <w:rsid w:val="00CF1ABB"/>
    <w:rsid w:val="00CF1E1D"/>
    <w:rsid w:val="00CF24FE"/>
    <w:rsid w:val="00CF287F"/>
    <w:rsid w:val="00CF35D0"/>
    <w:rsid w:val="00CF3B57"/>
    <w:rsid w:val="00CF3DD5"/>
    <w:rsid w:val="00CF43E7"/>
    <w:rsid w:val="00CF4AF7"/>
    <w:rsid w:val="00CF4D20"/>
    <w:rsid w:val="00CF73F8"/>
    <w:rsid w:val="00CF7928"/>
    <w:rsid w:val="00CF7CA2"/>
    <w:rsid w:val="00D00911"/>
    <w:rsid w:val="00D00A8E"/>
    <w:rsid w:val="00D00DE0"/>
    <w:rsid w:val="00D00F79"/>
    <w:rsid w:val="00D012BF"/>
    <w:rsid w:val="00D01760"/>
    <w:rsid w:val="00D01838"/>
    <w:rsid w:val="00D0368E"/>
    <w:rsid w:val="00D03AC3"/>
    <w:rsid w:val="00D03D2D"/>
    <w:rsid w:val="00D03E7B"/>
    <w:rsid w:val="00D0401A"/>
    <w:rsid w:val="00D047E0"/>
    <w:rsid w:val="00D04B9F"/>
    <w:rsid w:val="00D04D43"/>
    <w:rsid w:val="00D04FFB"/>
    <w:rsid w:val="00D055FE"/>
    <w:rsid w:val="00D058E9"/>
    <w:rsid w:val="00D0612A"/>
    <w:rsid w:val="00D06CA3"/>
    <w:rsid w:val="00D1060D"/>
    <w:rsid w:val="00D10D14"/>
    <w:rsid w:val="00D10E7C"/>
    <w:rsid w:val="00D11182"/>
    <w:rsid w:val="00D1137B"/>
    <w:rsid w:val="00D11508"/>
    <w:rsid w:val="00D11807"/>
    <w:rsid w:val="00D11DB3"/>
    <w:rsid w:val="00D12D82"/>
    <w:rsid w:val="00D12F77"/>
    <w:rsid w:val="00D1306E"/>
    <w:rsid w:val="00D130B7"/>
    <w:rsid w:val="00D134CD"/>
    <w:rsid w:val="00D1401E"/>
    <w:rsid w:val="00D14B5F"/>
    <w:rsid w:val="00D14E13"/>
    <w:rsid w:val="00D14F23"/>
    <w:rsid w:val="00D160F6"/>
    <w:rsid w:val="00D16740"/>
    <w:rsid w:val="00D16A8B"/>
    <w:rsid w:val="00D16E39"/>
    <w:rsid w:val="00D171DE"/>
    <w:rsid w:val="00D172A4"/>
    <w:rsid w:val="00D17951"/>
    <w:rsid w:val="00D17AD8"/>
    <w:rsid w:val="00D2074E"/>
    <w:rsid w:val="00D2104A"/>
    <w:rsid w:val="00D21A58"/>
    <w:rsid w:val="00D21BB5"/>
    <w:rsid w:val="00D21FFC"/>
    <w:rsid w:val="00D223B6"/>
    <w:rsid w:val="00D223E8"/>
    <w:rsid w:val="00D224E1"/>
    <w:rsid w:val="00D22DC8"/>
    <w:rsid w:val="00D2477B"/>
    <w:rsid w:val="00D2522A"/>
    <w:rsid w:val="00D2531C"/>
    <w:rsid w:val="00D25428"/>
    <w:rsid w:val="00D2553E"/>
    <w:rsid w:val="00D2587F"/>
    <w:rsid w:val="00D2742F"/>
    <w:rsid w:val="00D2754F"/>
    <w:rsid w:val="00D277C5"/>
    <w:rsid w:val="00D279D9"/>
    <w:rsid w:val="00D312DC"/>
    <w:rsid w:val="00D31B84"/>
    <w:rsid w:val="00D31C6A"/>
    <w:rsid w:val="00D31EDF"/>
    <w:rsid w:val="00D31FF9"/>
    <w:rsid w:val="00D32149"/>
    <w:rsid w:val="00D32256"/>
    <w:rsid w:val="00D32A27"/>
    <w:rsid w:val="00D32ABC"/>
    <w:rsid w:val="00D330CE"/>
    <w:rsid w:val="00D33FA4"/>
    <w:rsid w:val="00D34B25"/>
    <w:rsid w:val="00D34C7F"/>
    <w:rsid w:val="00D34F4E"/>
    <w:rsid w:val="00D357F3"/>
    <w:rsid w:val="00D35C0E"/>
    <w:rsid w:val="00D36FBF"/>
    <w:rsid w:val="00D373A8"/>
    <w:rsid w:val="00D379A5"/>
    <w:rsid w:val="00D37BB3"/>
    <w:rsid w:val="00D401BE"/>
    <w:rsid w:val="00D4043A"/>
    <w:rsid w:val="00D40DB0"/>
    <w:rsid w:val="00D41093"/>
    <w:rsid w:val="00D41858"/>
    <w:rsid w:val="00D422DB"/>
    <w:rsid w:val="00D42AC2"/>
    <w:rsid w:val="00D4498E"/>
    <w:rsid w:val="00D4515F"/>
    <w:rsid w:val="00D451E8"/>
    <w:rsid w:val="00D466C9"/>
    <w:rsid w:val="00D47275"/>
    <w:rsid w:val="00D517F6"/>
    <w:rsid w:val="00D51AB7"/>
    <w:rsid w:val="00D51E15"/>
    <w:rsid w:val="00D52B7E"/>
    <w:rsid w:val="00D52E2F"/>
    <w:rsid w:val="00D52F59"/>
    <w:rsid w:val="00D53445"/>
    <w:rsid w:val="00D53E3E"/>
    <w:rsid w:val="00D54620"/>
    <w:rsid w:val="00D55904"/>
    <w:rsid w:val="00D5614E"/>
    <w:rsid w:val="00D5616F"/>
    <w:rsid w:val="00D57940"/>
    <w:rsid w:val="00D60327"/>
    <w:rsid w:val="00D61384"/>
    <w:rsid w:val="00D61526"/>
    <w:rsid w:val="00D61C39"/>
    <w:rsid w:val="00D61F81"/>
    <w:rsid w:val="00D620A6"/>
    <w:rsid w:val="00D623C0"/>
    <w:rsid w:val="00D62BE6"/>
    <w:rsid w:val="00D63359"/>
    <w:rsid w:val="00D63766"/>
    <w:rsid w:val="00D63912"/>
    <w:rsid w:val="00D63923"/>
    <w:rsid w:val="00D6451B"/>
    <w:rsid w:val="00D64B57"/>
    <w:rsid w:val="00D651A1"/>
    <w:rsid w:val="00D65861"/>
    <w:rsid w:val="00D65DEA"/>
    <w:rsid w:val="00D6650F"/>
    <w:rsid w:val="00D66579"/>
    <w:rsid w:val="00D676D3"/>
    <w:rsid w:val="00D67B06"/>
    <w:rsid w:val="00D67BC7"/>
    <w:rsid w:val="00D67C3B"/>
    <w:rsid w:val="00D701F1"/>
    <w:rsid w:val="00D705D3"/>
    <w:rsid w:val="00D70E00"/>
    <w:rsid w:val="00D70F7C"/>
    <w:rsid w:val="00D715AC"/>
    <w:rsid w:val="00D71851"/>
    <w:rsid w:val="00D718CF"/>
    <w:rsid w:val="00D728F5"/>
    <w:rsid w:val="00D72E9D"/>
    <w:rsid w:val="00D73249"/>
    <w:rsid w:val="00D73419"/>
    <w:rsid w:val="00D73881"/>
    <w:rsid w:val="00D73CA9"/>
    <w:rsid w:val="00D751B7"/>
    <w:rsid w:val="00D7524B"/>
    <w:rsid w:val="00D7536A"/>
    <w:rsid w:val="00D75396"/>
    <w:rsid w:val="00D759C0"/>
    <w:rsid w:val="00D75E99"/>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B57"/>
    <w:rsid w:val="00D82CE5"/>
    <w:rsid w:val="00D831E3"/>
    <w:rsid w:val="00D8342C"/>
    <w:rsid w:val="00D84983"/>
    <w:rsid w:val="00D84C00"/>
    <w:rsid w:val="00D85494"/>
    <w:rsid w:val="00D8582C"/>
    <w:rsid w:val="00D85D61"/>
    <w:rsid w:val="00D8616D"/>
    <w:rsid w:val="00D8711B"/>
    <w:rsid w:val="00D87384"/>
    <w:rsid w:val="00D9015D"/>
    <w:rsid w:val="00D90683"/>
    <w:rsid w:val="00D90B2A"/>
    <w:rsid w:val="00D91483"/>
    <w:rsid w:val="00D915C8"/>
    <w:rsid w:val="00D9310B"/>
    <w:rsid w:val="00D931F3"/>
    <w:rsid w:val="00D93726"/>
    <w:rsid w:val="00D93F3E"/>
    <w:rsid w:val="00D9405B"/>
    <w:rsid w:val="00D94942"/>
    <w:rsid w:val="00D95145"/>
    <w:rsid w:val="00D95F31"/>
    <w:rsid w:val="00D96594"/>
    <w:rsid w:val="00D967CB"/>
    <w:rsid w:val="00D968D4"/>
    <w:rsid w:val="00D96EE0"/>
    <w:rsid w:val="00D97BD1"/>
    <w:rsid w:val="00D97EF0"/>
    <w:rsid w:val="00DA00C3"/>
    <w:rsid w:val="00DA01E9"/>
    <w:rsid w:val="00DA06B8"/>
    <w:rsid w:val="00DA14A9"/>
    <w:rsid w:val="00DA286D"/>
    <w:rsid w:val="00DA2969"/>
    <w:rsid w:val="00DA29B7"/>
    <w:rsid w:val="00DA2E5F"/>
    <w:rsid w:val="00DA337C"/>
    <w:rsid w:val="00DA422F"/>
    <w:rsid w:val="00DA4842"/>
    <w:rsid w:val="00DA4C97"/>
    <w:rsid w:val="00DA5989"/>
    <w:rsid w:val="00DA5AB1"/>
    <w:rsid w:val="00DA5F9D"/>
    <w:rsid w:val="00DA6719"/>
    <w:rsid w:val="00DA69B2"/>
    <w:rsid w:val="00DA7462"/>
    <w:rsid w:val="00DA7AD0"/>
    <w:rsid w:val="00DB02D7"/>
    <w:rsid w:val="00DB03CC"/>
    <w:rsid w:val="00DB12D4"/>
    <w:rsid w:val="00DB14F0"/>
    <w:rsid w:val="00DB1745"/>
    <w:rsid w:val="00DB19BB"/>
    <w:rsid w:val="00DB1AFF"/>
    <w:rsid w:val="00DB219A"/>
    <w:rsid w:val="00DB3165"/>
    <w:rsid w:val="00DB31EE"/>
    <w:rsid w:val="00DB4292"/>
    <w:rsid w:val="00DB5023"/>
    <w:rsid w:val="00DB6E46"/>
    <w:rsid w:val="00DB7117"/>
    <w:rsid w:val="00DB7760"/>
    <w:rsid w:val="00DB7DD4"/>
    <w:rsid w:val="00DC00B4"/>
    <w:rsid w:val="00DC0954"/>
    <w:rsid w:val="00DC0DF8"/>
    <w:rsid w:val="00DC15BA"/>
    <w:rsid w:val="00DC18CD"/>
    <w:rsid w:val="00DC1A68"/>
    <w:rsid w:val="00DC30B8"/>
    <w:rsid w:val="00DC478F"/>
    <w:rsid w:val="00DC558F"/>
    <w:rsid w:val="00DC61AC"/>
    <w:rsid w:val="00DC62E5"/>
    <w:rsid w:val="00DC6D70"/>
    <w:rsid w:val="00DC6DAA"/>
    <w:rsid w:val="00DC6F33"/>
    <w:rsid w:val="00DC7349"/>
    <w:rsid w:val="00DC7389"/>
    <w:rsid w:val="00DD0EA9"/>
    <w:rsid w:val="00DD14D8"/>
    <w:rsid w:val="00DD1599"/>
    <w:rsid w:val="00DD16F1"/>
    <w:rsid w:val="00DD1B03"/>
    <w:rsid w:val="00DD1E43"/>
    <w:rsid w:val="00DD1EDF"/>
    <w:rsid w:val="00DD2A62"/>
    <w:rsid w:val="00DD2F2F"/>
    <w:rsid w:val="00DD2F7A"/>
    <w:rsid w:val="00DD36D2"/>
    <w:rsid w:val="00DD37C4"/>
    <w:rsid w:val="00DD3885"/>
    <w:rsid w:val="00DD5808"/>
    <w:rsid w:val="00DD5946"/>
    <w:rsid w:val="00DD5B04"/>
    <w:rsid w:val="00DD5DAE"/>
    <w:rsid w:val="00DD5EC6"/>
    <w:rsid w:val="00DD605F"/>
    <w:rsid w:val="00DD6A79"/>
    <w:rsid w:val="00DD72A0"/>
    <w:rsid w:val="00DD735D"/>
    <w:rsid w:val="00DD7F7D"/>
    <w:rsid w:val="00DE0159"/>
    <w:rsid w:val="00DE064A"/>
    <w:rsid w:val="00DE082D"/>
    <w:rsid w:val="00DE1410"/>
    <w:rsid w:val="00DE20C6"/>
    <w:rsid w:val="00DE3119"/>
    <w:rsid w:val="00DE3C24"/>
    <w:rsid w:val="00DE3FF0"/>
    <w:rsid w:val="00DE4105"/>
    <w:rsid w:val="00DE4BEA"/>
    <w:rsid w:val="00DE5189"/>
    <w:rsid w:val="00DE5DA0"/>
    <w:rsid w:val="00DE7108"/>
    <w:rsid w:val="00DE78D1"/>
    <w:rsid w:val="00DE78FF"/>
    <w:rsid w:val="00DF0263"/>
    <w:rsid w:val="00DF0EB4"/>
    <w:rsid w:val="00DF158B"/>
    <w:rsid w:val="00DF170E"/>
    <w:rsid w:val="00DF193C"/>
    <w:rsid w:val="00DF1E36"/>
    <w:rsid w:val="00DF236B"/>
    <w:rsid w:val="00DF258A"/>
    <w:rsid w:val="00DF2A91"/>
    <w:rsid w:val="00DF3889"/>
    <w:rsid w:val="00DF3CC9"/>
    <w:rsid w:val="00DF4451"/>
    <w:rsid w:val="00DF49FF"/>
    <w:rsid w:val="00DF4FFB"/>
    <w:rsid w:val="00DF5236"/>
    <w:rsid w:val="00DF651F"/>
    <w:rsid w:val="00DF6F43"/>
    <w:rsid w:val="00DF71EA"/>
    <w:rsid w:val="00DF752F"/>
    <w:rsid w:val="00DF76A2"/>
    <w:rsid w:val="00E00B25"/>
    <w:rsid w:val="00E00B7A"/>
    <w:rsid w:val="00E02186"/>
    <w:rsid w:val="00E025C2"/>
    <w:rsid w:val="00E026BB"/>
    <w:rsid w:val="00E027C5"/>
    <w:rsid w:val="00E03124"/>
    <w:rsid w:val="00E031C3"/>
    <w:rsid w:val="00E03951"/>
    <w:rsid w:val="00E03DB8"/>
    <w:rsid w:val="00E03F17"/>
    <w:rsid w:val="00E0420C"/>
    <w:rsid w:val="00E04EDD"/>
    <w:rsid w:val="00E05E70"/>
    <w:rsid w:val="00E064BC"/>
    <w:rsid w:val="00E07225"/>
    <w:rsid w:val="00E076B4"/>
    <w:rsid w:val="00E07B55"/>
    <w:rsid w:val="00E10579"/>
    <w:rsid w:val="00E10603"/>
    <w:rsid w:val="00E109DD"/>
    <w:rsid w:val="00E11229"/>
    <w:rsid w:val="00E114CA"/>
    <w:rsid w:val="00E127D1"/>
    <w:rsid w:val="00E13867"/>
    <w:rsid w:val="00E1397F"/>
    <w:rsid w:val="00E13AB8"/>
    <w:rsid w:val="00E1482E"/>
    <w:rsid w:val="00E16382"/>
    <w:rsid w:val="00E1699C"/>
    <w:rsid w:val="00E16E75"/>
    <w:rsid w:val="00E1746D"/>
    <w:rsid w:val="00E2012A"/>
    <w:rsid w:val="00E205A2"/>
    <w:rsid w:val="00E20BA4"/>
    <w:rsid w:val="00E210D0"/>
    <w:rsid w:val="00E21887"/>
    <w:rsid w:val="00E21CC0"/>
    <w:rsid w:val="00E23137"/>
    <w:rsid w:val="00E23980"/>
    <w:rsid w:val="00E23AB0"/>
    <w:rsid w:val="00E241E9"/>
    <w:rsid w:val="00E257C3"/>
    <w:rsid w:val="00E25CB3"/>
    <w:rsid w:val="00E25DA4"/>
    <w:rsid w:val="00E26237"/>
    <w:rsid w:val="00E26CB8"/>
    <w:rsid w:val="00E26D16"/>
    <w:rsid w:val="00E26FCF"/>
    <w:rsid w:val="00E27165"/>
    <w:rsid w:val="00E275D9"/>
    <w:rsid w:val="00E3044A"/>
    <w:rsid w:val="00E305A8"/>
    <w:rsid w:val="00E30E49"/>
    <w:rsid w:val="00E31A4A"/>
    <w:rsid w:val="00E3344A"/>
    <w:rsid w:val="00E33B29"/>
    <w:rsid w:val="00E33B62"/>
    <w:rsid w:val="00E3403D"/>
    <w:rsid w:val="00E344BD"/>
    <w:rsid w:val="00E34E6C"/>
    <w:rsid w:val="00E353E2"/>
    <w:rsid w:val="00E36345"/>
    <w:rsid w:val="00E36C86"/>
    <w:rsid w:val="00E36CEB"/>
    <w:rsid w:val="00E37A28"/>
    <w:rsid w:val="00E400C7"/>
    <w:rsid w:val="00E40430"/>
    <w:rsid w:val="00E40690"/>
    <w:rsid w:val="00E40AEB"/>
    <w:rsid w:val="00E40E82"/>
    <w:rsid w:val="00E41141"/>
    <w:rsid w:val="00E4143A"/>
    <w:rsid w:val="00E41F68"/>
    <w:rsid w:val="00E424C8"/>
    <w:rsid w:val="00E4251D"/>
    <w:rsid w:val="00E427EF"/>
    <w:rsid w:val="00E43D00"/>
    <w:rsid w:val="00E443B4"/>
    <w:rsid w:val="00E445E4"/>
    <w:rsid w:val="00E457CB"/>
    <w:rsid w:val="00E45D47"/>
    <w:rsid w:val="00E45DE4"/>
    <w:rsid w:val="00E45E63"/>
    <w:rsid w:val="00E4759C"/>
    <w:rsid w:val="00E50A7B"/>
    <w:rsid w:val="00E50B0B"/>
    <w:rsid w:val="00E50C57"/>
    <w:rsid w:val="00E510FE"/>
    <w:rsid w:val="00E514BA"/>
    <w:rsid w:val="00E51E25"/>
    <w:rsid w:val="00E5205B"/>
    <w:rsid w:val="00E521AE"/>
    <w:rsid w:val="00E529A3"/>
    <w:rsid w:val="00E533EE"/>
    <w:rsid w:val="00E53A21"/>
    <w:rsid w:val="00E53BCA"/>
    <w:rsid w:val="00E53DE2"/>
    <w:rsid w:val="00E53F02"/>
    <w:rsid w:val="00E5428D"/>
    <w:rsid w:val="00E54534"/>
    <w:rsid w:val="00E548C3"/>
    <w:rsid w:val="00E54F27"/>
    <w:rsid w:val="00E55FF1"/>
    <w:rsid w:val="00E56090"/>
    <w:rsid w:val="00E56408"/>
    <w:rsid w:val="00E565B9"/>
    <w:rsid w:val="00E56E7B"/>
    <w:rsid w:val="00E5733B"/>
    <w:rsid w:val="00E5756C"/>
    <w:rsid w:val="00E57811"/>
    <w:rsid w:val="00E57FB0"/>
    <w:rsid w:val="00E601BE"/>
    <w:rsid w:val="00E60A0D"/>
    <w:rsid w:val="00E60A44"/>
    <w:rsid w:val="00E60B5F"/>
    <w:rsid w:val="00E613AE"/>
    <w:rsid w:val="00E61429"/>
    <w:rsid w:val="00E6143A"/>
    <w:rsid w:val="00E61ABB"/>
    <w:rsid w:val="00E61FD7"/>
    <w:rsid w:val="00E623E6"/>
    <w:rsid w:val="00E62BBF"/>
    <w:rsid w:val="00E62C76"/>
    <w:rsid w:val="00E630A2"/>
    <w:rsid w:val="00E630C0"/>
    <w:rsid w:val="00E63107"/>
    <w:rsid w:val="00E6312C"/>
    <w:rsid w:val="00E634E6"/>
    <w:rsid w:val="00E63DCE"/>
    <w:rsid w:val="00E642EF"/>
    <w:rsid w:val="00E64700"/>
    <w:rsid w:val="00E65074"/>
    <w:rsid w:val="00E65857"/>
    <w:rsid w:val="00E65A79"/>
    <w:rsid w:val="00E65E70"/>
    <w:rsid w:val="00E66087"/>
    <w:rsid w:val="00E66D79"/>
    <w:rsid w:val="00E66FF9"/>
    <w:rsid w:val="00E6706F"/>
    <w:rsid w:val="00E673A2"/>
    <w:rsid w:val="00E67856"/>
    <w:rsid w:val="00E679C8"/>
    <w:rsid w:val="00E70314"/>
    <w:rsid w:val="00E724E7"/>
    <w:rsid w:val="00E72B41"/>
    <w:rsid w:val="00E7347B"/>
    <w:rsid w:val="00E73792"/>
    <w:rsid w:val="00E73D03"/>
    <w:rsid w:val="00E7471C"/>
    <w:rsid w:val="00E7498A"/>
    <w:rsid w:val="00E7514E"/>
    <w:rsid w:val="00E75DC5"/>
    <w:rsid w:val="00E76537"/>
    <w:rsid w:val="00E77784"/>
    <w:rsid w:val="00E77AF5"/>
    <w:rsid w:val="00E8035B"/>
    <w:rsid w:val="00E820F4"/>
    <w:rsid w:val="00E82263"/>
    <w:rsid w:val="00E823F9"/>
    <w:rsid w:val="00E82C1F"/>
    <w:rsid w:val="00E83671"/>
    <w:rsid w:val="00E83D1E"/>
    <w:rsid w:val="00E840EE"/>
    <w:rsid w:val="00E84314"/>
    <w:rsid w:val="00E849CA"/>
    <w:rsid w:val="00E84A71"/>
    <w:rsid w:val="00E8556F"/>
    <w:rsid w:val="00E86556"/>
    <w:rsid w:val="00E86D35"/>
    <w:rsid w:val="00E86DC2"/>
    <w:rsid w:val="00E86E32"/>
    <w:rsid w:val="00E86F2E"/>
    <w:rsid w:val="00E8732E"/>
    <w:rsid w:val="00E9011F"/>
    <w:rsid w:val="00E906EB"/>
    <w:rsid w:val="00E9170E"/>
    <w:rsid w:val="00E919FB"/>
    <w:rsid w:val="00E9241E"/>
    <w:rsid w:val="00E92460"/>
    <w:rsid w:val="00E92E62"/>
    <w:rsid w:val="00E93804"/>
    <w:rsid w:val="00E9429D"/>
    <w:rsid w:val="00E95434"/>
    <w:rsid w:val="00E96467"/>
    <w:rsid w:val="00E966DA"/>
    <w:rsid w:val="00E96948"/>
    <w:rsid w:val="00E9737B"/>
    <w:rsid w:val="00E97A3F"/>
    <w:rsid w:val="00E97F0A"/>
    <w:rsid w:val="00EA0100"/>
    <w:rsid w:val="00EA0BCE"/>
    <w:rsid w:val="00EA10E4"/>
    <w:rsid w:val="00EA17BC"/>
    <w:rsid w:val="00EA2744"/>
    <w:rsid w:val="00EA37B9"/>
    <w:rsid w:val="00EA39F7"/>
    <w:rsid w:val="00EA3DC2"/>
    <w:rsid w:val="00EA434E"/>
    <w:rsid w:val="00EA4757"/>
    <w:rsid w:val="00EA560B"/>
    <w:rsid w:val="00EA5669"/>
    <w:rsid w:val="00EA5CC6"/>
    <w:rsid w:val="00EA63EF"/>
    <w:rsid w:val="00EA7CBF"/>
    <w:rsid w:val="00EB0A89"/>
    <w:rsid w:val="00EB0BD8"/>
    <w:rsid w:val="00EB1573"/>
    <w:rsid w:val="00EB1910"/>
    <w:rsid w:val="00EB2564"/>
    <w:rsid w:val="00EB2D83"/>
    <w:rsid w:val="00EB2E97"/>
    <w:rsid w:val="00EB3416"/>
    <w:rsid w:val="00EB4AE1"/>
    <w:rsid w:val="00EB52F4"/>
    <w:rsid w:val="00EB5694"/>
    <w:rsid w:val="00EB5779"/>
    <w:rsid w:val="00EB5D2F"/>
    <w:rsid w:val="00EB67F1"/>
    <w:rsid w:val="00EB6ADA"/>
    <w:rsid w:val="00EB7132"/>
    <w:rsid w:val="00EB72CD"/>
    <w:rsid w:val="00EB749A"/>
    <w:rsid w:val="00EB76B6"/>
    <w:rsid w:val="00EB7D8A"/>
    <w:rsid w:val="00EC04F7"/>
    <w:rsid w:val="00EC05E2"/>
    <w:rsid w:val="00EC0E84"/>
    <w:rsid w:val="00EC16E2"/>
    <w:rsid w:val="00EC1CE7"/>
    <w:rsid w:val="00EC1DAE"/>
    <w:rsid w:val="00EC26F1"/>
    <w:rsid w:val="00EC3BA2"/>
    <w:rsid w:val="00EC3C94"/>
    <w:rsid w:val="00EC44DF"/>
    <w:rsid w:val="00EC4FB9"/>
    <w:rsid w:val="00EC5393"/>
    <w:rsid w:val="00EC5741"/>
    <w:rsid w:val="00EC5DA3"/>
    <w:rsid w:val="00EC6014"/>
    <w:rsid w:val="00EC6565"/>
    <w:rsid w:val="00EC6B3E"/>
    <w:rsid w:val="00EC73DE"/>
    <w:rsid w:val="00EC7637"/>
    <w:rsid w:val="00EC7C07"/>
    <w:rsid w:val="00EC7CF2"/>
    <w:rsid w:val="00ED046C"/>
    <w:rsid w:val="00ED053A"/>
    <w:rsid w:val="00ED1F03"/>
    <w:rsid w:val="00ED249D"/>
    <w:rsid w:val="00ED2D27"/>
    <w:rsid w:val="00ED3347"/>
    <w:rsid w:val="00ED3441"/>
    <w:rsid w:val="00ED3860"/>
    <w:rsid w:val="00ED3954"/>
    <w:rsid w:val="00ED4174"/>
    <w:rsid w:val="00ED43A2"/>
    <w:rsid w:val="00ED4967"/>
    <w:rsid w:val="00ED5140"/>
    <w:rsid w:val="00ED538C"/>
    <w:rsid w:val="00ED5771"/>
    <w:rsid w:val="00ED587F"/>
    <w:rsid w:val="00ED5964"/>
    <w:rsid w:val="00ED623F"/>
    <w:rsid w:val="00ED63A5"/>
    <w:rsid w:val="00ED69BA"/>
    <w:rsid w:val="00ED6D1A"/>
    <w:rsid w:val="00ED72E9"/>
    <w:rsid w:val="00ED732E"/>
    <w:rsid w:val="00ED74B3"/>
    <w:rsid w:val="00ED77F0"/>
    <w:rsid w:val="00ED7FBC"/>
    <w:rsid w:val="00EE0253"/>
    <w:rsid w:val="00EE0297"/>
    <w:rsid w:val="00EE1258"/>
    <w:rsid w:val="00EE13DA"/>
    <w:rsid w:val="00EE1668"/>
    <w:rsid w:val="00EE1EDB"/>
    <w:rsid w:val="00EE24E2"/>
    <w:rsid w:val="00EE2A20"/>
    <w:rsid w:val="00EE366D"/>
    <w:rsid w:val="00EE40A4"/>
    <w:rsid w:val="00EE5454"/>
    <w:rsid w:val="00EE59B5"/>
    <w:rsid w:val="00EE5FB7"/>
    <w:rsid w:val="00EE6783"/>
    <w:rsid w:val="00EE678B"/>
    <w:rsid w:val="00EE7B54"/>
    <w:rsid w:val="00EE7C47"/>
    <w:rsid w:val="00EE7C88"/>
    <w:rsid w:val="00EE7C8B"/>
    <w:rsid w:val="00EF0209"/>
    <w:rsid w:val="00EF07FB"/>
    <w:rsid w:val="00EF0EA4"/>
    <w:rsid w:val="00EF1E97"/>
    <w:rsid w:val="00EF2436"/>
    <w:rsid w:val="00EF2547"/>
    <w:rsid w:val="00EF2B2B"/>
    <w:rsid w:val="00EF2E1C"/>
    <w:rsid w:val="00EF2FD6"/>
    <w:rsid w:val="00EF326A"/>
    <w:rsid w:val="00EF397D"/>
    <w:rsid w:val="00EF427A"/>
    <w:rsid w:val="00EF45DF"/>
    <w:rsid w:val="00EF4944"/>
    <w:rsid w:val="00EF4952"/>
    <w:rsid w:val="00EF498F"/>
    <w:rsid w:val="00EF4A42"/>
    <w:rsid w:val="00EF510C"/>
    <w:rsid w:val="00EF55C4"/>
    <w:rsid w:val="00EF57BC"/>
    <w:rsid w:val="00EF5CA8"/>
    <w:rsid w:val="00EF6784"/>
    <w:rsid w:val="00EF688A"/>
    <w:rsid w:val="00EF6A03"/>
    <w:rsid w:val="00EF6DC2"/>
    <w:rsid w:val="00EF7506"/>
    <w:rsid w:val="00EF760B"/>
    <w:rsid w:val="00EF7BF4"/>
    <w:rsid w:val="00F0030F"/>
    <w:rsid w:val="00F00674"/>
    <w:rsid w:val="00F01657"/>
    <w:rsid w:val="00F01E67"/>
    <w:rsid w:val="00F02744"/>
    <w:rsid w:val="00F02BFD"/>
    <w:rsid w:val="00F02D25"/>
    <w:rsid w:val="00F03C3D"/>
    <w:rsid w:val="00F0435D"/>
    <w:rsid w:val="00F04580"/>
    <w:rsid w:val="00F04ECA"/>
    <w:rsid w:val="00F04F8B"/>
    <w:rsid w:val="00F06E19"/>
    <w:rsid w:val="00F06F84"/>
    <w:rsid w:val="00F076E7"/>
    <w:rsid w:val="00F07A86"/>
    <w:rsid w:val="00F07AA1"/>
    <w:rsid w:val="00F105AE"/>
    <w:rsid w:val="00F10618"/>
    <w:rsid w:val="00F10E7D"/>
    <w:rsid w:val="00F1108B"/>
    <w:rsid w:val="00F114FA"/>
    <w:rsid w:val="00F11768"/>
    <w:rsid w:val="00F11951"/>
    <w:rsid w:val="00F12262"/>
    <w:rsid w:val="00F12564"/>
    <w:rsid w:val="00F12AF8"/>
    <w:rsid w:val="00F12C52"/>
    <w:rsid w:val="00F13381"/>
    <w:rsid w:val="00F13828"/>
    <w:rsid w:val="00F13E62"/>
    <w:rsid w:val="00F13F51"/>
    <w:rsid w:val="00F148B7"/>
    <w:rsid w:val="00F14EA9"/>
    <w:rsid w:val="00F15505"/>
    <w:rsid w:val="00F1559B"/>
    <w:rsid w:val="00F15BFF"/>
    <w:rsid w:val="00F16E4F"/>
    <w:rsid w:val="00F171B2"/>
    <w:rsid w:val="00F17244"/>
    <w:rsid w:val="00F20931"/>
    <w:rsid w:val="00F20ECE"/>
    <w:rsid w:val="00F213A0"/>
    <w:rsid w:val="00F21D54"/>
    <w:rsid w:val="00F21EF4"/>
    <w:rsid w:val="00F221A2"/>
    <w:rsid w:val="00F23113"/>
    <w:rsid w:val="00F23255"/>
    <w:rsid w:val="00F23393"/>
    <w:rsid w:val="00F23759"/>
    <w:rsid w:val="00F24644"/>
    <w:rsid w:val="00F25947"/>
    <w:rsid w:val="00F262D6"/>
    <w:rsid w:val="00F26F33"/>
    <w:rsid w:val="00F273D5"/>
    <w:rsid w:val="00F2748A"/>
    <w:rsid w:val="00F2786C"/>
    <w:rsid w:val="00F300A8"/>
    <w:rsid w:val="00F302C6"/>
    <w:rsid w:val="00F30400"/>
    <w:rsid w:val="00F3079E"/>
    <w:rsid w:val="00F31289"/>
    <w:rsid w:val="00F31293"/>
    <w:rsid w:val="00F3232D"/>
    <w:rsid w:val="00F3399B"/>
    <w:rsid w:val="00F33F4B"/>
    <w:rsid w:val="00F346ED"/>
    <w:rsid w:val="00F34945"/>
    <w:rsid w:val="00F34E1E"/>
    <w:rsid w:val="00F3570C"/>
    <w:rsid w:val="00F363A4"/>
    <w:rsid w:val="00F36765"/>
    <w:rsid w:val="00F368FF"/>
    <w:rsid w:val="00F37068"/>
    <w:rsid w:val="00F37E5F"/>
    <w:rsid w:val="00F37F3F"/>
    <w:rsid w:val="00F40992"/>
    <w:rsid w:val="00F40F72"/>
    <w:rsid w:val="00F41596"/>
    <w:rsid w:val="00F41D8B"/>
    <w:rsid w:val="00F42121"/>
    <w:rsid w:val="00F424B3"/>
    <w:rsid w:val="00F428B1"/>
    <w:rsid w:val="00F428B4"/>
    <w:rsid w:val="00F4345D"/>
    <w:rsid w:val="00F4387B"/>
    <w:rsid w:val="00F4387F"/>
    <w:rsid w:val="00F44120"/>
    <w:rsid w:val="00F45921"/>
    <w:rsid w:val="00F45B91"/>
    <w:rsid w:val="00F46639"/>
    <w:rsid w:val="00F476FD"/>
    <w:rsid w:val="00F50183"/>
    <w:rsid w:val="00F50D92"/>
    <w:rsid w:val="00F51765"/>
    <w:rsid w:val="00F51A51"/>
    <w:rsid w:val="00F51BC6"/>
    <w:rsid w:val="00F51CB4"/>
    <w:rsid w:val="00F52200"/>
    <w:rsid w:val="00F52324"/>
    <w:rsid w:val="00F52950"/>
    <w:rsid w:val="00F52C9D"/>
    <w:rsid w:val="00F533F1"/>
    <w:rsid w:val="00F55185"/>
    <w:rsid w:val="00F55679"/>
    <w:rsid w:val="00F561E3"/>
    <w:rsid w:val="00F565E6"/>
    <w:rsid w:val="00F5673A"/>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282"/>
    <w:rsid w:val="00F6639E"/>
    <w:rsid w:val="00F670E9"/>
    <w:rsid w:val="00F67AF1"/>
    <w:rsid w:val="00F67D8B"/>
    <w:rsid w:val="00F700CD"/>
    <w:rsid w:val="00F701C5"/>
    <w:rsid w:val="00F70961"/>
    <w:rsid w:val="00F70A8F"/>
    <w:rsid w:val="00F71397"/>
    <w:rsid w:val="00F72389"/>
    <w:rsid w:val="00F72516"/>
    <w:rsid w:val="00F72FB4"/>
    <w:rsid w:val="00F732CF"/>
    <w:rsid w:val="00F735E5"/>
    <w:rsid w:val="00F73B82"/>
    <w:rsid w:val="00F73E80"/>
    <w:rsid w:val="00F740A0"/>
    <w:rsid w:val="00F7422B"/>
    <w:rsid w:val="00F7469C"/>
    <w:rsid w:val="00F7492E"/>
    <w:rsid w:val="00F74945"/>
    <w:rsid w:val="00F749A3"/>
    <w:rsid w:val="00F74AE8"/>
    <w:rsid w:val="00F76C11"/>
    <w:rsid w:val="00F77021"/>
    <w:rsid w:val="00F770AB"/>
    <w:rsid w:val="00F77E61"/>
    <w:rsid w:val="00F80221"/>
    <w:rsid w:val="00F80411"/>
    <w:rsid w:val="00F80A0A"/>
    <w:rsid w:val="00F80C81"/>
    <w:rsid w:val="00F815AC"/>
    <w:rsid w:val="00F83B33"/>
    <w:rsid w:val="00F83CAE"/>
    <w:rsid w:val="00F840BF"/>
    <w:rsid w:val="00F8427A"/>
    <w:rsid w:val="00F843DF"/>
    <w:rsid w:val="00F84646"/>
    <w:rsid w:val="00F84899"/>
    <w:rsid w:val="00F85585"/>
    <w:rsid w:val="00F859F0"/>
    <w:rsid w:val="00F85CC1"/>
    <w:rsid w:val="00F86B5D"/>
    <w:rsid w:val="00F87634"/>
    <w:rsid w:val="00F87C13"/>
    <w:rsid w:val="00F87C5A"/>
    <w:rsid w:val="00F87E29"/>
    <w:rsid w:val="00F87F18"/>
    <w:rsid w:val="00F87F68"/>
    <w:rsid w:val="00F90C4D"/>
    <w:rsid w:val="00F911E1"/>
    <w:rsid w:val="00F9167D"/>
    <w:rsid w:val="00F91CB2"/>
    <w:rsid w:val="00F927E8"/>
    <w:rsid w:val="00F9289C"/>
    <w:rsid w:val="00F92FC1"/>
    <w:rsid w:val="00F932D1"/>
    <w:rsid w:val="00F93DBC"/>
    <w:rsid w:val="00F93E41"/>
    <w:rsid w:val="00F94644"/>
    <w:rsid w:val="00F952E4"/>
    <w:rsid w:val="00F9537B"/>
    <w:rsid w:val="00F953C2"/>
    <w:rsid w:val="00F96079"/>
    <w:rsid w:val="00F963FC"/>
    <w:rsid w:val="00F97CF1"/>
    <w:rsid w:val="00FA015F"/>
    <w:rsid w:val="00FA082B"/>
    <w:rsid w:val="00FA0FAC"/>
    <w:rsid w:val="00FA10F7"/>
    <w:rsid w:val="00FA1DA2"/>
    <w:rsid w:val="00FA313F"/>
    <w:rsid w:val="00FA3414"/>
    <w:rsid w:val="00FA347A"/>
    <w:rsid w:val="00FA3CDE"/>
    <w:rsid w:val="00FA49B7"/>
    <w:rsid w:val="00FA5043"/>
    <w:rsid w:val="00FA60C1"/>
    <w:rsid w:val="00FA65A3"/>
    <w:rsid w:val="00FA6F8B"/>
    <w:rsid w:val="00FA727C"/>
    <w:rsid w:val="00FA7A30"/>
    <w:rsid w:val="00FB033F"/>
    <w:rsid w:val="00FB0880"/>
    <w:rsid w:val="00FB12E3"/>
    <w:rsid w:val="00FB1570"/>
    <w:rsid w:val="00FB193B"/>
    <w:rsid w:val="00FB1FBC"/>
    <w:rsid w:val="00FB27B7"/>
    <w:rsid w:val="00FB35E3"/>
    <w:rsid w:val="00FB4C98"/>
    <w:rsid w:val="00FB4CE3"/>
    <w:rsid w:val="00FB583C"/>
    <w:rsid w:val="00FB630E"/>
    <w:rsid w:val="00FB6738"/>
    <w:rsid w:val="00FB691B"/>
    <w:rsid w:val="00FB6BE6"/>
    <w:rsid w:val="00FB731C"/>
    <w:rsid w:val="00FB7628"/>
    <w:rsid w:val="00FC05A0"/>
    <w:rsid w:val="00FC0811"/>
    <w:rsid w:val="00FC09B3"/>
    <w:rsid w:val="00FC1196"/>
    <w:rsid w:val="00FC15EB"/>
    <w:rsid w:val="00FC162C"/>
    <w:rsid w:val="00FC18DC"/>
    <w:rsid w:val="00FC2477"/>
    <w:rsid w:val="00FC2AC4"/>
    <w:rsid w:val="00FC2F73"/>
    <w:rsid w:val="00FC3A9B"/>
    <w:rsid w:val="00FC3AE1"/>
    <w:rsid w:val="00FC3DFC"/>
    <w:rsid w:val="00FC3EF4"/>
    <w:rsid w:val="00FC431B"/>
    <w:rsid w:val="00FC434C"/>
    <w:rsid w:val="00FC472C"/>
    <w:rsid w:val="00FC4FDF"/>
    <w:rsid w:val="00FC5CF4"/>
    <w:rsid w:val="00FC5D64"/>
    <w:rsid w:val="00FC6A39"/>
    <w:rsid w:val="00FC6DB9"/>
    <w:rsid w:val="00FC76A9"/>
    <w:rsid w:val="00FC79AB"/>
    <w:rsid w:val="00FC7BE7"/>
    <w:rsid w:val="00FC7DAC"/>
    <w:rsid w:val="00FD005D"/>
    <w:rsid w:val="00FD0216"/>
    <w:rsid w:val="00FD04AE"/>
    <w:rsid w:val="00FD0DFA"/>
    <w:rsid w:val="00FD1890"/>
    <w:rsid w:val="00FD1994"/>
    <w:rsid w:val="00FD3508"/>
    <w:rsid w:val="00FD393C"/>
    <w:rsid w:val="00FD3AFF"/>
    <w:rsid w:val="00FD43BB"/>
    <w:rsid w:val="00FD4AF3"/>
    <w:rsid w:val="00FD5443"/>
    <w:rsid w:val="00FD6675"/>
    <w:rsid w:val="00FD6DC5"/>
    <w:rsid w:val="00FD72B1"/>
    <w:rsid w:val="00FD798D"/>
    <w:rsid w:val="00FE141E"/>
    <w:rsid w:val="00FE144E"/>
    <w:rsid w:val="00FE1768"/>
    <w:rsid w:val="00FE1DD5"/>
    <w:rsid w:val="00FE24F4"/>
    <w:rsid w:val="00FE2560"/>
    <w:rsid w:val="00FE35D0"/>
    <w:rsid w:val="00FE42ED"/>
    <w:rsid w:val="00FE4E06"/>
    <w:rsid w:val="00FE55A7"/>
    <w:rsid w:val="00FE5C5A"/>
    <w:rsid w:val="00FE601E"/>
    <w:rsid w:val="00FE6432"/>
    <w:rsid w:val="00FE72A0"/>
    <w:rsid w:val="00FF0050"/>
    <w:rsid w:val="00FF045F"/>
    <w:rsid w:val="00FF13D4"/>
    <w:rsid w:val="00FF2053"/>
    <w:rsid w:val="00FF3B37"/>
    <w:rsid w:val="00FF3CC7"/>
    <w:rsid w:val="00FF3D6F"/>
    <w:rsid w:val="00FF441A"/>
    <w:rsid w:val="00FF4BD8"/>
    <w:rsid w:val="00FF4D11"/>
    <w:rsid w:val="00FF5214"/>
    <w:rsid w:val="00FF596E"/>
    <w:rsid w:val="00FF5B59"/>
    <w:rsid w:val="00FF5BFD"/>
    <w:rsid w:val="00FF6095"/>
    <w:rsid w:val="00FF62FE"/>
    <w:rsid w:val="00FF6553"/>
    <w:rsid w:val="00FF70BD"/>
    <w:rsid w:val="00FF7124"/>
    <w:rsid w:val="00FF7A39"/>
    <w:rsid w:val="00FF7DD1"/>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4FC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 w:type="character" w:customStyle="1" w:styleId="Ttulo2Car">
    <w:name w:val="Título 2 Car"/>
    <w:basedOn w:val="Fuentedeprrafopredeter"/>
    <w:link w:val="Ttulo2"/>
    <w:uiPriority w:val="9"/>
    <w:semiHidden/>
    <w:rsid w:val="00E84314"/>
    <w:rPr>
      <w:rFonts w:asciiTheme="majorHAnsi" w:eastAsiaTheme="majorEastAsia" w:hAnsiTheme="majorHAnsi" w:cstheme="majorBidi"/>
      <w:color w:val="365F91" w:themeColor="accent1" w:themeShade="BF"/>
      <w:sz w:val="26"/>
      <w:szCs w:val="26"/>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144344">
      <w:bodyDiv w:val="1"/>
      <w:marLeft w:val="0"/>
      <w:marRight w:val="0"/>
      <w:marTop w:val="0"/>
      <w:marBottom w:val="0"/>
      <w:divBdr>
        <w:top w:val="none" w:sz="0" w:space="0" w:color="auto"/>
        <w:left w:val="none" w:sz="0" w:space="0" w:color="auto"/>
        <w:bottom w:val="none" w:sz="0" w:space="0" w:color="auto"/>
        <w:right w:val="none" w:sz="0" w:space="0" w:color="auto"/>
      </w:divBdr>
      <w:divsChild>
        <w:div w:id="1610551597">
          <w:marLeft w:val="0"/>
          <w:marRight w:val="0"/>
          <w:marTop w:val="0"/>
          <w:marBottom w:val="0"/>
          <w:divBdr>
            <w:top w:val="none" w:sz="0" w:space="0" w:color="auto"/>
            <w:left w:val="none" w:sz="0" w:space="0" w:color="auto"/>
            <w:bottom w:val="none" w:sz="0" w:space="0" w:color="auto"/>
            <w:right w:val="none" w:sz="0" w:space="0" w:color="auto"/>
          </w:divBdr>
          <w:divsChild>
            <w:div w:id="2038459412">
              <w:marLeft w:val="0"/>
              <w:marRight w:val="0"/>
              <w:marTop w:val="0"/>
              <w:marBottom w:val="0"/>
              <w:divBdr>
                <w:top w:val="none" w:sz="0" w:space="0" w:color="auto"/>
                <w:left w:val="none" w:sz="0" w:space="0" w:color="auto"/>
                <w:bottom w:val="none" w:sz="0" w:space="0" w:color="auto"/>
                <w:right w:val="none" w:sz="0" w:space="0" w:color="auto"/>
              </w:divBdr>
              <w:divsChild>
                <w:div w:id="2060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5637734">
      <w:bodyDiv w:val="1"/>
      <w:marLeft w:val="0"/>
      <w:marRight w:val="0"/>
      <w:marTop w:val="0"/>
      <w:marBottom w:val="0"/>
      <w:divBdr>
        <w:top w:val="none" w:sz="0" w:space="0" w:color="auto"/>
        <w:left w:val="none" w:sz="0" w:space="0" w:color="auto"/>
        <w:bottom w:val="none" w:sz="0" w:space="0" w:color="auto"/>
        <w:right w:val="none" w:sz="0" w:space="0" w:color="auto"/>
      </w:divBdr>
      <w:divsChild>
        <w:div w:id="2103181439">
          <w:marLeft w:val="0"/>
          <w:marRight w:val="0"/>
          <w:marTop w:val="0"/>
          <w:marBottom w:val="0"/>
          <w:divBdr>
            <w:top w:val="none" w:sz="0" w:space="0" w:color="auto"/>
            <w:left w:val="none" w:sz="0" w:space="0" w:color="auto"/>
            <w:bottom w:val="none" w:sz="0" w:space="0" w:color="auto"/>
            <w:right w:val="none" w:sz="0" w:space="0" w:color="auto"/>
          </w:divBdr>
          <w:divsChild>
            <w:div w:id="2070616539">
              <w:marLeft w:val="0"/>
              <w:marRight w:val="0"/>
              <w:marTop w:val="0"/>
              <w:marBottom w:val="0"/>
              <w:divBdr>
                <w:top w:val="none" w:sz="0" w:space="0" w:color="auto"/>
                <w:left w:val="none" w:sz="0" w:space="0" w:color="auto"/>
                <w:bottom w:val="none" w:sz="0" w:space="0" w:color="auto"/>
                <w:right w:val="none" w:sz="0" w:space="0" w:color="auto"/>
              </w:divBdr>
              <w:divsChild>
                <w:div w:id="758605140">
                  <w:marLeft w:val="0"/>
                  <w:marRight w:val="0"/>
                  <w:marTop w:val="0"/>
                  <w:marBottom w:val="0"/>
                  <w:divBdr>
                    <w:top w:val="none" w:sz="0" w:space="0" w:color="auto"/>
                    <w:left w:val="none" w:sz="0" w:space="0" w:color="auto"/>
                    <w:bottom w:val="none" w:sz="0" w:space="0" w:color="auto"/>
                    <w:right w:val="none" w:sz="0" w:space="0" w:color="auto"/>
                  </w:divBdr>
                  <w:divsChild>
                    <w:div w:id="18453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44900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90619">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68775389">
      <w:bodyDiv w:val="1"/>
      <w:marLeft w:val="0"/>
      <w:marRight w:val="0"/>
      <w:marTop w:val="0"/>
      <w:marBottom w:val="0"/>
      <w:divBdr>
        <w:top w:val="none" w:sz="0" w:space="0" w:color="auto"/>
        <w:left w:val="none" w:sz="0" w:space="0" w:color="auto"/>
        <w:bottom w:val="none" w:sz="0" w:space="0" w:color="auto"/>
        <w:right w:val="none" w:sz="0" w:space="0" w:color="auto"/>
      </w:divBdr>
      <w:divsChild>
        <w:div w:id="1940679825">
          <w:marLeft w:val="0"/>
          <w:marRight w:val="0"/>
          <w:marTop w:val="0"/>
          <w:marBottom w:val="0"/>
          <w:divBdr>
            <w:top w:val="none" w:sz="0" w:space="0" w:color="auto"/>
            <w:left w:val="none" w:sz="0" w:space="0" w:color="auto"/>
            <w:bottom w:val="none" w:sz="0" w:space="0" w:color="auto"/>
            <w:right w:val="none" w:sz="0" w:space="0" w:color="auto"/>
          </w:divBdr>
          <w:divsChild>
            <w:div w:id="1033657070">
              <w:marLeft w:val="0"/>
              <w:marRight w:val="0"/>
              <w:marTop w:val="0"/>
              <w:marBottom w:val="0"/>
              <w:divBdr>
                <w:top w:val="none" w:sz="0" w:space="0" w:color="auto"/>
                <w:left w:val="none" w:sz="0" w:space="0" w:color="auto"/>
                <w:bottom w:val="none" w:sz="0" w:space="0" w:color="auto"/>
                <w:right w:val="none" w:sz="0" w:space="0" w:color="auto"/>
              </w:divBdr>
              <w:divsChild>
                <w:div w:id="188567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61339907">
      <w:bodyDiv w:val="1"/>
      <w:marLeft w:val="0"/>
      <w:marRight w:val="0"/>
      <w:marTop w:val="0"/>
      <w:marBottom w:val="0"/>
      <w:divBdr>
        <w:top w:val="none" w:sz="0" w:space="0" w:color="auto"/>
        <w:left w:val="none" w:sz="0" w:space="0" w:color="auto"/>
        <w:bottom w:val="none" w:sz="0" w:space="0" w:color="auto"/>
        <w:right w:val="none" w:sz="0" w:space="0" w:color="auto"/>
      </w:divBdr>
      <w:divsChild>
        <w:div w:id="1982536059">
          <w:marLeft w:val="0"/>
          <w:marRight w:val="0"/>
          <w:marTop w:val="0"/>
          <w:marBottom w:val="0"/>
          <w:divBdr>
            <w:top w:val="none" w:sz="0" w:space="0" w:color="auto"/>
            <w:left w:val="none" w:sz="0" w:space="0" w:color="auto"/>
            <w:bottom w:val="none" w:sz="0" w:space="0" w:color="auto"/>
            <w:right w:val="none" w:sz="0" w:space="0" w:color="auto"/>
          </w:divBdr>
          <w:divsChild>
            <w:div w:id="2022706307">
              <w:marLeft w:val="0"/>
              <w:marRight w:val="0"/>
              <w:marTop w:val="0"/>
              <w:marBottom w:val="0"/>
              <w:divBdr>
                <w:top w:val="none" w:sz="0" w:space="0" w:color="auto"/>
                <w:left w:val="none" w:sz="0" w:space="0" w:color="auto"/>
                <w:bottom w:val="none" w:sz="0" w:space="0" w:color="auto"/>
                <w:right w:val="none" w:sz="0" w:space="0" w:color="auto"/>
              </w:divBdr>
              <w:divsChild>
                <w:div w:id="894196165">
                  <w:marLeft w:val="0"/>
                  <w:marRight w:val="0"/>
                  <w:marTop w:val="0"/>
                  <w:marBottom w:val="0"/>
                  <w:divBdr>
                    <w:top w:val="none" w:sz="0" w:space="0" w:color="auto"/>
                    <w:left w:val="none" w:sz="0" w:space="0" w:color="auto"/>
                    <w:bottom w:val="none" w:sz="0" w:space="0" w:color="auto"/>
                    <w:right w:val="none" w:sz="0" w:space="0" w:color="auto"/>
                  </w:divBdr>
                  <w:divsChild>
                    <w:div w:id="380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641010">
      <w:bodyDiv w:val="1"/>
      <w:marLeft w:val="0"/>
      <w:marRight w:val="0"/>
      <w:marTop w:val="0"/>
      <w:marBottom w:val="0"/>
      <w:divBdr>
        <w:top w:val="none" w:sz="0" w:space="0" w:color="auto"/>
        <w:left w:val="none" w:sz="0" w:space="0" w:color="auto"/>
        <w:bottom w:val="none" w:sz="0" w:space="0" w:color="auto"/>
        <w:right w:val="none" w:sz="0" w:space="0" w:color="auto"/>
      </w:divBdr>
      <w:divsChild>
        <w:div w:id="2075425971">
          <w:marLeft w:val="0"/>
          <w:marRight w:val="0"/>
          <w:marTop w:val="0"/>
          <w:marBottom w:val="0"/>
          <w:divBdr>
            <w:top w:val="none" w:sz="0" w:space="0" w:color="auto"/>
            <w:left w:val="none" w:sz="0" w:space="0" w:color="auto"/>
            <w:bottom w:val="none" w:sz="0" w:space="0" w:color="auto"/>
            <w:right w:val="none" w:sz="0" w:space="0" w:color="auto"/>
          </w:divBdr>
          <w:divsChild>
            <w:div w:id="205337403">
              <w:marLeft w:val="0"/>
              <w:marRight w:val="0"/>
              <w:marTop w:val="0"/>
              <w:marBottom w:val="0"/>
              <w:divBdr>
                <w:top w:val="none" w:sz="0" w:space="0" w:color="auto"/>
                <w:left w:val="none" w:sz="0" w:space="0" w:color="auto"/>
                <w:bottom w:val="none" w:sz="0" w:space="0" w:color="auto"/>
                <w:right w:val="none" w:sz="0" w:space="0" w:color="auto"/>
              </w:divBdr>
              <w:divsChild>
                <w:div w:id="1457597653">
                  <w:marLeft w:val="0"/>
                  <w:marRight w:val="0"/>
                  <w:marTop w:val="0"/>
                  <w:marBottom w:val="0"/>
                  <w:divBdr>
                    <w:top w:val="none" w:sz="0" w:space="0" w:color="auto"/>
                    <w:left w:val="none" w:sz="0" w:space="0" w:color="auto"/>
                    <w:bottom w:val="none" w:sz="0" w:space="0" w:color="auto"/>
                    <w:right w:val="none" w:sz="0" w:space="0" w:color="auto"/>
                  </w:divBdr>
                  <w:divsChild>
                    <w:div w:id="14521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19860012">
      <w:bodyDiv w:val="1"/>
      <w:marLeft w:val="0"/>
      <w:marRight w:val="0"/>
      <w:marTop w:val="0"/>
      <w:marBottom w:val="0"/>
      <w:divBdr>
        <w:top w:val="none" w:sz="0" w:space="0" w:color="auto"/>
        <w:left w:val="none" w:sz="0" w:space="0" w:color="auto"/>
        <w:bottom w:val="none" w:sz="0" w:space="0" w:color="auto"/>
        <w:right w:val="none" w:sz="0" w:space="0" w:color="auto"/>
      </w:divBdr>
      <w:divsChild>
        <w:div w:id="935869752">
          <w:marLeft w:val="0"/>
          <w:marRight w:val="0"/>
          <w:marTop w:val="0"/>
          <w:marBottom w:val="0"/>
          <w:divBdr>
            <w:top w:val="none" w:sz="0" w:space="0" w:color="auto"/>
            <w:left w:val="none" w:sz="0" w:space="0" w:color="auto"/>
            <w:bottom w:val="none" w:sz="0" w:space="0" w:color="auto"/>
            <w:right w:val="none" w:sz="0" w:space="0" w:color="auto"/>
          </w:divBdr>
          <w:divsChild>
            <w:div w:id="1469087117">
              <w:marLeft w:val="0"/>
              <w:marRight w:val="0"/>
              <w:marTop w:val="0"/>
              <w:marBottom w:val="0"/>
              <w:divBdr>
                <w:top w:val="none" w:sz="0" w:space="0" w:color="auto"/>
                <w:left w:val="none" w:sz="0" w:space="0" w:color="auto"/>
                <w:bottom w:val="none" w:sz="0" w:space="0" w:color="auto"/>
                <w:right w:val="none" w:sz="0" w:space="0" w:color="auto"/>
              </w:divBdr>
              <w:divsChild>
                <w:div w:id="1080370908">
                  <w:marLeft w:val="0"/>
                  <w:marRight w:val="0"/>
                  <w:marTop w:val="0"/>
                  <w:marBottom w:val="0"/>
                  <w:divBdr>
                    <w:top w:val="none" w:sz="0" w:space="0" w:color="auto"/>
                    <w:left w:val="none" w:sz="0" w:space="0" w:color="auto"/>
                    <w:bottom w:val="none" w:sz="0" w:space="0" w:color="auto"/>
                    <w:right w:val="none" w:sz="0" w:space="0" w:color="auto"/>
                  </w:divBdr>
                  <w:divsChild>
                    <w:div w:id="16900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9076510">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08127359">
      <w:bodyDiv w:val="1"/>
      <w:marLeft w:val="0"/>
      <w:marRight w:val="0"/>
      <w:marTop w:val="0"/>
      <w:marBottom w:val="0"/>
      <w:divBdr>
        <w:top w:val="none" w:sz="0" w:space="0" w:color="auto"/>
        <w:left w:val="none" w:sz="0" w:space="0" w:color="auto"/>
        <w:bottom w:val="none" w:sz="0" w:space="0" w:color="auto"/>
        <w:right w:val="none" w:sz="0" w:space="0" w:color="auto"/>
      </w:divBdr>
      <w:divsChild>
        <w:div w:id="1523393933">
          <w:marLeft w:val="0"/>
          <w:marRight w:val="0"/>
          <w:marTop w:val="0"/>
          <w:marBottom w:val="0"/>
          <w:divBdr>
            <w:top w:val="none" w:sz="0" w:space="0" w:color="auto"/>
            <w:left w:val="none" w:sz="0" w:space="0" w:color="auto"/>
            <w:bottom w:val="none" w:sz="0" w:space="0" w:color="auto"/>
            <w:right w:val="none" w:sz="0" w:space="0" w:color="auto"/>
          </w:divBdr>
          <w:divsChild>
            <w:div w:id="668682271">
              <w:marLeft w:val="0"/>
              <w:marRight w:val="0"/>
              <w:marTop w:val="0"/>
              <w:marBottom w:val="0"/>
              <w:divBdr>
                <w:top w:val="none" w:sz="0" w:space="0" w:color="auto"/>
                <w:left w:val="none" w:sz="0" w:space="0" w:color="auto"/>
                <w:bottom w:val="none" w:sz="0" w:space="0" w:color="auto"/>
                <w:right w:val="none" w:sz="0" w:space="0" w:color="auto"/>
              </w:divBdr>
              <w:divsChild>
                <w:div w:id="89994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65783682">
      <w:bodyDiv w:val="1"/>
      <w:marLeft w:val="0"/>
      <w:marRight w:val="0"/>
      <w:marTop w:val="0"/>
      <w:marBottom w:val="0"/>
      <w:divBdr>
        <w:top w:val="none" w:sz="0" w:space="0" w:color="auto"/>
        <w:left w:val="none" w:sz="0" w:space="0" w:color="auto"/>
        <w:bottom w:val="none" w:sz="0" w:space="0" w:color="auto"/>
        <w:right w:val="none" w:sz="0" w:space="0" w:color="auto"/>
      </w:divBdr>
      <w:divsChild>
        <w:div w:id="1875657694">
          <w:marLeft w:val="0"/>
          <w:marRight w:val="0"/>
          <w:marTop w:val="0"/>
          <w:marBottom w:val="0"/>
          <w:divBdr>
            <w:top w:val="none" w:sz="0" w:space="0" w:color="auto"/>
            <w:left w:val="none" w:sz="0" w:space="0" w:color="auto"/>
            <w:bottom w:val="none" w:sz="0" w:space="0" w:color="auto"/>
            <w:right w:val="none" w:sz="0" w:space="0" w:color="auto"/>
          </w:divBdr>
          <w:divsChild>
            <w:div w:id="1323243288">
              <w:marLeft w:val="0"/>
              <w:marRight w:val="0"/>
              <w:marTop w:val="0"/>
              <w:marBottom w:val="0"/>
              <w:divBdr>
                <w:top w:val="none" w:sz="0" w:space="0" w:color="auto"/>
                <w:left w:val="none" w:sz="0" w:space="0" w:color="auto"/>
                <w:bottom w:val="none" w:sz="0" w:space="0" w:color="auto"/>
                <w:right w:val="none" w:sz="0" w:space="0" w:color="auto"/>
              </w:divBdr>
              <w:divsChild>
                <w:div w:id="81876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27996429">
      <w:bodyDiv w:val="1"/>
      <w:marLeft w:val="0"/>
      <w:marRight w:val="0"/>
      <w:marTop w:val="0"/>
      <w:marBottom w:val="0"/>
      <w:divBdr>
        <w:top w:val="none" w:sz="0" w:space="0" w:color="auto"/>
        <w:left w:val="none" w:sz="0" w:space="0" w:color="auto"/>
        <w:bottom w:val="none" w:sz="0" w:space="0" w:color="auto"/>
        <w:right w:val="none" w:sz="0" w:space="0" w:color="auto"/>
      </w:divBdr>
      <w:divsChild>
        <w:div w:id="1994790054">
          <w:marLeft w:val="0"/>
          <w:marRight w:val="0"/>
          <w:marTop w:val="0"/>
          <w:marBottom w:val="0"/>
          <w:divBdr>
            <w:top w:val="none" w:sz="0" w:space="0" w:color="auto"/>
            <w:left w:val="none" w:sz="0" w:space="0" w:color="auto"/>
            <w:bottom w:val="none" w:sz="0" w:space="0" w:color="auto"/>
            <w:right w:val="none" w:sz="0" w:space="0" w:color="auto"/>
          </w:divBdr>
          <w:divsChild>
            <w:div w:id="1492988414">
              <w:marLeft w:val="0"/>
              <w:marRight w:val="0"/>
              <w:marTop w:val="0"/>
              <w:marBottom w:val="0"/>
              <w:divBdr>
                <w:top w:val="none" w:sz="0" w:space="0" w:color="auto"/>
                <w:left w:val="none" w:sz="0" w:space="0" w:color="auto"/>
                <w:bottom w:val="none" w:sz="0" w:space="0" w:color="auto"/>
                <w:right w:val="none" w:sz="0" w:space="0" w:color="auto"/>
              </w:divBdr>
              <w:divsChild>
                <w:div w:id="6345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2238690">
      <w:bodyDiv w:val="1"/>
      <w:marLeft w:val="0"/>
      <w:marRight w:val="0"/>
      <w:marTop w:val="0"/>
      <w:marBottom w:val="0"/>
      <w:divBdr>
        <w:top w:val="none" w:sz="0" w:space="0" w:color="auto"/>
        <w:left w:val="none" w:sz="0" w:space="0" w:color="auto"/>
        <w:bottom w:val="none" w:sz="0" w:space="0" w:color="auto"/>
        <w:right w:val="none" w:sz="0" w:space="0" w:color="auto"/>
      </w:divBdr>
      <w:divsChild>
        <w:div w:id="1005858410">
          <w:marLeft w:val="0"/>
          <w:marRight w:val="0"/>
          <w:marTop w:val="0"/>
          <w:marBottom w:val="0"/>
          <w:divBdr>
            <w:top w:val="none" w:sz="0" w:space="0" w:color="auto"/>
            <w:left w:val="none" w:sz="0" w:space="0" w:color="auto"/>
            <w:bottom w:val="none" w:sz="0" w:space="0" w:color="auto"/>
            <w:right w:val="none" w:sz="0" w:space="0" w:color="auto"/>
          </w:divBdr>
          <w:divsChild>
            <w:div w:id="874081206">
              <w:marLeft w:val="0"/>
              <w:marRight w:val="0"/>
              <w:marTop w:val="0"/>
              <w:marBottom w:val="0"/>
              <w:divBdr>
                <w:top w:val="none" w:sz="0" w:space="0" w:color="auto"/>
                <w:left w:val="none" w:sz="0" w:space="0" w:color="auto"/>
                <w:bottom w:val="none" w:sz="0" w:space="0" w:color="auto"/>
                <w:right w:val="none" w:sz="0" w:space="0" w:color="auto"/>
              </w:divBdr>
              <w:divsChild>
                <w:div w:id="129980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520588">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6798332">
      <w:bodyDiv w:val="1"/>
      <w:marLeft w:val="0"/>
      <w:marRight w:val="0"/>
      <w:marTop w:val="0"/>
      <w:marBottom w:val="0"/>
      <w:divBdr>
        <w:top w:val="none" w:sz="0" w:space="0" w:color="auto"/>
        <w:left w:val="none" w:sz="0" w:space="0" w:color="auto"/>
        <w:bottom w:val="none" w:sz="0" w:space="0" w:color="auto"/>
        <w:right w:val="none" w:sz="0" w:space="0" w:color="auto"/>
      </w:divBdr>
      <w:divsChild>
        <w:div w:id="642001577">
          <w:marLeft w:val="0"/>
          <w:marRight w:val="0"/>
          <w:marTop w:val="0"/>
          <w:marBottom w:val="0"/>
          <w:divBdr>
            <w:top w:val="none" w:sz="0" w:space="0" w:color="auto"/>
            <w:left w:val="none" w:sz="0" w:space="0" w:color="auto"/>
            <w:bottom w:val="none" w:sz="0" w:space="0" w:color="auto"/>
            <w:right w:val="none" w:sz="0" w:space="0" w:color="auto"/>
          </w:divBdr>
          <w:divsChild>
            <w:div w:id="1454715168">
              <w:marLeft w:val="0"/>
              <w:marRight w:val="0"/>
              <w:marTop w:val="0"/>
              <w:marBottom w:val="0"/>
              <w:divBdr>
                <w:top w:val="none" w:sz="0" w:space="0" w:color="auto"/>
                <w:left w:val="none" w:sz="0" w:space="0" w:color="auto"/>
                <w:bottom w:val="none" w:sz="0" w:space="0" w:color="auto"/>
                <w:right w:val="none" w:sz="0" w:space="0" w:color="auto"/>
              </w:divBdr>
              <w:divsChild>
                <w:div w:id="9739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3150604">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894463004">
      <w:bodyDiv w:val="1"/>
      <w:marLeft w:val="0"/>
      <w:marRight w:val="0"/>
      <w:marTop w:val="0"/>
      <w:marBottom w:val="0"/>
      <w:divBdr>
        <w:top w:val="none" w:sz="0" w:space="0" w:color="auto"/>
        <w:left w:val="none" w:sz="0" w:space="0" w:color="auto"/>
        <w:bottom w:val="none" w:sz="0" w:space="0" w:color="auto"/>
        <w:right w:val="none" w:sz="0" w:space="0" w:color="auto"/>
      </w:divBdr>
      <w:divsChild>
        <w:div w:id="68617061">
          <w:marLeft w:val="0"/>
          <w:marRight w:val="0"/>
          <w:marTop w:val="0"/>
          <w:marBottom w:val="0"/>
          <w:divBdr>
            <w:top w:val="none" w:sz="0" w:space="0" w:color="auto"/>
            <w:left w:val="none" w:sz="0" w:space="0" w:color="auto"/>
            <w:bottom w:val="none" w:sz="0" w:space="0" w:color="auto"/>
            <w:right w:val="none" w:sz="0" w:space="0" w:color="auto"/>
          </w:divBdr>
          <w:divsChild>
            <w:div w:id="1053651746">
              <w:marLeft w:val="0"/>
              <w:marRight w:val="0"/>
              <w:marTop w:val="0"/>
              <w:marBottom w:val="0"/>
              <w:divBdr>
                <w:top w:val="none" w:sz="0" w:space="0" w:color="auto"/>
                <w:left w:val="none" w:sz="0" w:space="0" w:color="auto"/>
                <w:bottom w:val="none" w:sz="0" w:space="0" w:color="auto"/>
                <w:right w:val="none" w:sz="0" w:space="0" w:color="auto"/>
              </w:divBdr>
              <w:divsChild>
                <w:div w:id="443117741">
                  <w:marLeft w:val="0"/>
                  <w:marRight w:val="0"/>
                  <w:marTop w:val="0"/>
                  <w:marBottom w:val="0"/>
                  <w:divBdr>
                    <w:top w:val="none" w:sz="0" w:space="0" w:color="auto"/>
                    <w:left w:val="none" w:sz="0" w:space="0" w:color="auto"/>
                    <w:bottom w:val="none" w:sz="0" w:space="0" w:color="auto"/>
                    <w:right w:val="none" w:sz="0" w:space="0" w:color="auto"/>
                  </w:divBdr>
                  <w:divsChild>
                    <w:div w:id="30292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13730">
      <w:bodyDiv w:val="1"/>
      <w:marLeft w:val="0"/>
      <w:marRight w:val="0"/>
      <w:marTop w:val="0"/>
      <w:marBottom w:val="0"/>
      <w:divBdr>
        <w:top w:val="none" w:sz="0" w:space="0" w:color="auto"/>
        <w:left w:val="none" w:sz="0" w:space="0" w:color="auto"/>
        <w:bottom w:val="none" w:sz="0" w:space="0" w:color="auto"/>
        <w:right w:val="none" w:sz="0" w:space="0" w:color="auto"/>
      </w:divBdr>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3296817">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08046331">
      <w:bodyDiv w:val="1"/>
      <w:marLeft w:val="0"/>
      <w:marRight w:val="0"/>
      <w:marTop w:val="0"/>
      <w:marBottom w:val="0"/>
      <w:divBdr>
        <w:top w:val="none" w:sz="0" w:space="0" w:color="auto"/>
        <w:left w:val="none" w:sz="0" w:space="0" w:color="auto"/>
        <w:bottom w:val="none" w:sz="0" w:space="0" w:color="auto"/>
        <w:right w:val="none" w:sz="0" w:space="0" w:color="auto"/>
      </w:divBdr>
      <w:divsChild>
        <w:div w:id="1363172650">
          <w:marLeft w:val="0"/>
          <w:marRight w:val="0"/>
          <w:marTop w:val="0"/>
          <w:marBottom w:val="0"/>
          <w:divBdr>
            <w:top w:val="none" w:sz="0" w:space="0" w:color="auto"/>
            <w:left w:val="none" w:sz="0" w:space="0" w:color="auto"/>
            <w:bottom w:val="none" w:sz="0" w:space="0" w:color="auto"/>
            <w:right w:val="none" w:sz="0" w:space="0" w:color="auto"/>
          </w:divBdr>
          <w:divsChild>
            <w:div w:id="1155224784">
              <w:marLeft w:val="0"/>
              <w:marRight w:val="0"/>
              <w:marTop w:val="0"/>
              <w:marBottom w:val="0"/>
              <w:divBdr>
                <w:top w:val="none" w:sz="0" w:space="0" w:color="auto"/>
                <w:left w:val="none" w:sz="0" w:space="0" w:color="auto"/>
                <w:bottom w:val="none" w:sz="0" w:space="0" w:color="auto"/>
                <w:right w:val="none" w:sz="0" w:space="0" w:color="auto"/>
              </w:divBdr>
              <w:divsChild>
                <w:div w:id="16058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43158371">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4856602">
      <w:bodyDiv w:val="1"/>
      <w:marLeft w:val="0"/>
      <w:marRight w:val="0"/>
      <w:marTop w:val="0"/>
      <w:marBottom w:val="0"/>
      <w:divBdr>
        <w:top w:val="none" w:sz="0" w:space="0" w:color="auto"/>
        <w:left w:val="none" w:sz="0" w:space="0" w:color="auto"/>
        <w:bottom w:val="none" w:sz="0" w:space="0" w:color="auto"/>
        <w:right w:val="none" w:sz="0" w:space="0" w:color="auto"/>
      </w:divBdr>
      <w:divsChild>
        <w:div w:id="1354383366">
          <w:marLeft w:val="0"/>
          <w:marRight w:val="0"/>
          <w:marTop w:val="0"/>
          <w:marBottom w:val="0"/>
          <w:divBdr>
            <w:top w:val="none" w:sz="0" w:space="0" w:color="auto"/>
            <w:left w:val="none" w:sz="0" w:space="0" w:color="auto"/>
            <w:bottom w:val="none" w:sz="0" w:space="0" w:color="auto"/>
            <w:right w:val="none" w:sz="0" w:space="0" w:color="auto"/>
          </w:divBdr>
          <w:divsChild>
            <w:div w:id="932206033">
              <w:marLeft w:val="0"/>
              <w:marRight w:val="0"/>
              <w:marTop w:val="0"/>
              <w:marBottom w:val="0"/>
              <w:divBdr>
                <w:top w:val="none" w:sz="0" w:space="0" w:color="auto"/>
                <w:left w:val="none" w:sz="0" w:space="0" w:color="auto"/>
                <w:bottom w:val="none" w:sz="0" w:space="0" w:color="auto"/>
                <w:right w:val="none" w:sz="0" w:space="0" w:color="auto"/>
              </w:divBdr>
              <w:divsChild>
                <w:div w:id="132369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428830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5496400">
      <w:bodyDiv w:val="1"/>
      <w:marLeft w:val="0"/>
      <w:marRight w:val="0"/>
      <w:marTop w:val="0"/>
      <w:marBottom w:val="0"/>
      <w:divBdr>
        <w:top w:val="none" w:sz="0" w:space="0" w:color="auto"/>
        <w:left w:val="none" w:sz="0" w:space="0" w:color="auto"/>
        <w:bottom w:val="none" w:sz="0" w:space="0" w:color="auto"/>
        <w:right w:val="none" w:sz="0" w:space="0" w:color="auto"/>
      </w:divBdr>
      <w:divsChild>
        <w:div w:id="1563323021">
          <w:marLeft w:val="0"/>
          <w:marRight w:val="0"/>
          <w:marTop w:val="0"/>
          <w:marBottom w:val="0"/>
          <w:divBdr>
            <w:top w:val="none" w:sz="0" w:space="0" w:color="auto"/>
            <w:left w:val="none" w:sz="0" w:space="0" w:color="auto"/>
            <w:bottom w:val="none" w:sz="0" w:space="0" w:color="auto"/>
            <w:right w:val="none" w:sz="0" w:space="0" w:color="auto"/>
          </w:divBdr>
        </w:div>
      </w:divsChild>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13872">
      <w:bodyDiv w:val="1"/>
      <w:marLeft w:val="0"/>
      <w:marRight w:val="0"/>
      <w:marTop w:val="0"/>
      <w:marBottom w:val="0"/>
      <w:divBdr>
        <w:top w:val="none" w:sz="0" w:space="0" w:color="auto"/>
        <w:left w:val="none" w:sz="0" w:space="0" w:color="auto"/>
        <w:bottom w:val="none" w:sz="0" w:space="0" w:color="auto"/>
        <w:right w:val="none" w:sz="0" w:space="0" w:color="auto"/>
      </w:divBdr>
      <w:divsChild>
        <w:div w:id="694817135">
          <w:marLeft w:val="0"/>
          <w:marRight w:val="0"/>
          <w:marTop w:val="0"/>
          <w:marBottom w:val="0"/>
          <w:divBdr>
            <w:top w:val="none" w:sz="0" w:space="0" w:color="auto"/>
            <w:left w:val="none" w:sz="0" w:space="0" w:color="auto"/>
            <w:bottom w:val="none" w:sz="0" w:space="0" w:color="auto"/>
            <w:right w:val="none" w:sz="0" w:space="0" w:color="auto"/>
          </w:divBdr>
          <w:divsChild>
            <w:div w:id="1524246835">
              <w:marLeft w:val="0"/>
              <w:marRight w:val="0"/>
              <w:marTop w:val="0"/>
              <w:marBottom w:val="0"/>
              <w:divBdr>
                <w:top w:val="none" w:sz="0" w:space="0" w:color="auto"/>
                <w:left w:val="none" w:sz="0" w:space="0" w:color="auto"/>
                <w:bottom w:val="none" w:sz="0" w:space="0" w:color="auto"/>
                <w:right w:val="none" w:sz="0" w:space="0" w:color="auto"/>
              </w:divBdr>
              <w:divsChild>
                <w:div w:id="667445988">
                  <w:marLeft w:val="0"/>
                  <w:marRight w:val="0"/>
                  <w:marTop w:val="0"/>
                  <w:marBottom w:val="0"/>
                  <w:divBdr>
                    <w:top w:val="none" w:sz="0" w:space="0" w:color="auto"/>
                    <w:left w:val="none" w:sz="0" w:space="0" w:color="auto"/>
                    <w:bottom w:val="none" w:sz="0" w:space="0" w:color="auto"/>
                    <w:right w:val="none" w:sz="0" w:space="0" w:color="auto"/>
                  </w:divBdr>
                  <w:divsChild>
                    <w:div w:id="178758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0132949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0284887">
      <w:bodyDiv w:val="1"/>
      <w:marLeft w:val="0"/>
      <w:marRight w:val="0"/>
      <w:marTop w:val="0"/>
      <w:marBottom w:val="0"/>
      <w:divBdr>
        <w:top w:val="none" w:sz="0" w:space="0" w:color="auto"/>
        <w:left w:val="none" w:sz="0" w:space="0" w:color="auto"/>
        <w:bottom w:val="none" w:sz="0" w:space="0" w:color="auto"/>
        <w:right w:val="none" w:sz="0" w:space="0" w:color="auto"/>
      </w:divBdr>
      <w:divsChild>
        <w:div w:id="927079769">
          <w:marLeft w:val="0"/>
          <w:marRight w:val="0"/>
          <w:marTop w:val="0"/>
          <w:marBottom w:val="0"/>
          <w:divBdr>
            <w:top w:val="none" w:sz="0" w:space="0" w:color="auto"/>
            <w:left w:val="none" w:sz="0" w:space="0" w:color="auto"/>
            <w:bottom w:val="none" w:sz="0" w:space="0" w:color="auto"/>
            <w:right w:val="none" w:sz="0" w:space="0" w:color="auto"/>
          </w:divBdr>
          <w:divsChild>
            <w:div w:id="1644701967">
              <w:marLeft w:val="0"/>
              <w:marRight w:val="0"/>
              <w:marTop w:val="0"/>
              <w:marBottom w:val="0"/>
              <w:divBdr>
                <w:top w:val="none" w:sz="0" w:space="0" w:color="auto"/>
                <w:left w:val="none" w:sz="0" w:space="0" w:color="auto"/>
                <w:bottom w:val="none" w:sz="0" w:space="0" w:color="auto"/>
                <w:right w:val="none" w:sz="0" w:space="0" w:color="auto"/>
              </w:divBdr>
              <w:divsChild>
                <w:div w:id="371923142">
                  <w:marLeft w:val="0"/>
                  <w:marRight w:val="0"/>
                  <w:marTop w:val="0"/>
                  <w:marBottom w:val="0"/>
                  <w:divBdr>
                    <w:top w:val="none" w:sz="0" w:space="0" w:color="auto"/>
                    <w:left w:val="none" w:sz="0" w:space="0" w:color="auto"/>
                    <w:bottom w:val="none" w:sz="0" w:space="0" w:color="auto"/>
                    <w:right w:val="none" w:sz="0" w:space="0" w:color="auto"/>
                  </w:divBdr>
                  <w:divsChild>
                    <w:div w:id="195251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3193784">
      <w:bodyDiv w:val="1"/>
      <w:marLeft w:val="0"/>
      <w:marRight w:val="0"/>
      <w:marTop w:val="0"/>
      <w:marBottom w:val="0"/>
      <w:divBdr>
        <w:top w:val="none" w:sz="0" w:space="0" w:color="auto"/>
        <w:left w:val="none" w:sz="0" w:space="0" w:color="auto"/>
        <w:bottom w:val="none" w:sz="0" w:space="0" w:color="auto"/>
        <w:right w:val="none" w:sz="0" w:space="0" w:color="auto"/>
      </w:divBdr>
      <w:divsChild>
        <w:div w:id="1417903108">
          <w:marLeft w:val="0"/>
          <w:marRight w:val="0"/>
          <w:marTop w:val="0"/>
          <w:marBottom w:val="0"/>
          <w:divBdr>
            <w:top w:val="none" w:sz="0" w:space="0" w:color="auto"/>
            <w:left w:val="none" w:sz="0" w:space="0" w:color="auto"/>
            <w:bottom w:val="none" w:sz="0" w:space="0" w:color="auto"/>
            <w:right w:val="none" w:sz="0" w:space="0" w:color="auto"/>
          </w:divBdr>
          <w:divsChild>
            <w:div w:id="1264530621">
              <w:marLeft w:val="0"/>
              <w:marRight w:val="0"/>
              <w:marTop w:val="0"/>
              <w:marBottom w:val="0"/>
              <w:divBdr>
                <w:top w:val="none" w:sz="0" w:space="0" w:color="auto"/>
                <w:left w:val="none" w:sz="0" w:space="0" w:color="auto"/>
                <w:bottom w:val="none" w:sz="0" w:space="0" w:color="auto"/>
                <w:right w:val="none" w:sz="0" w:space="0" w:color="auto"/>
              </w:divBdr>
              <w:divsChild>
                <w:div w:id="196064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624136">
      <w:bodyDiv w:val="1"/>
      <w:marLeft w:val="0"/>
      <w:marRight w:val="0"/>
      <w:marTop w:val="0"/>
      <w:marBottom w:val="0"/>
      <w:divBdr>
        <w:top w:val="none" w:sz="0" w:space="0" w:color="auto"/>
        <w:left w:val="none" w:sz="0" w:space="0" w:color="auto"/>
        <w:bottom w:val="none" w:sz="0" w:space="0" w:color="auto"/>
        <w:right w:val="none" w:sz="0" w:space="0" w:color="auto"/>
      </w:divBdr>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8769308">
      <w:bodyDiv w:val="1"/>
      <w:marLeft w:val="0"/>
      <w:marRight w:val="0"/>
      <w:marTop w:val="0"/>
      <w:marBottom w:val="0"/>
      <w:divBdr>
        <w:top w:val="none" w:sz="0" w:space="0" w:color="auto"/>
        <w:left w:val="none" w:sz="0" w:space="0" w:color="auto"/>
        <w:bottom w:val="none" w:sz="0" w:space="0" w:color="auto"/>
        <w:right w:val="none" w:sz="0" w:space="0" w:color="auto"/>
      </w:divBdr>
      <w:divsChild>
        <w:div w:id="849875501">
          <w:marLeft w:val="0"/>
          <w:marRight w:val="0"/>
          <w:marTop w:val="0"/>
          <w:marBottom w:val="0"/>
          <w:divBdr>
            <w:top w:val="none" w:sz="0" w:space="0" w:color="auto"/>
            <w:left w:val="none" w:sz="0" w:space="0" w:color="auto"/>
            <w:bottom w:val="none" w:sz="0" w:space="0" w:color="auto"/>
            <w:right w:val="none" w:sz="0" w:space="0" w:color="auto"/>
          </w:divBdr>
          <w:divsChild>
            <w:div w:id="627515589">
              <w:marLeft w:val="0"/>
              <w:marRight w:val="0"/>
              <w:marTop w:val="0"/>
              <w:marBottom w:val="0"/>
              <w:divBdr>
                <w:top w:val="none" w:sz="0" w:space="0" w:color="auto"/>
                <w:left w:val="none" w:sz="0" w:space="0" w:color="auto"/>
                <w:bottom w:val="none" w:sz="0" w:space="0" w:color="auto"/>
                <w:right w:val="none" w:sz="0" w:space="0" w:color="auto"/>
              </w:divBdr>
              <w:divsChild>
                <w:div w:id="210410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085538">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97814723">
      <w:bodyDiv w:val="1"/>
      <w:marLeft w:val="0"/>
      <w:marRight w:val="0"/>
      <w:marTop w:val="0"/>
      <w:marBottom w:val="0"/>
      <w:divBdr>
        <w:top w:val="none" w:sz="0" w:space="0" w:color="auto"/>
        <w:left w:val="none" w:sz="0" w:space="0" w:color="auto"/>
        <w:bottom w:val="none" w:sz="0" w:space="0" w:color="auto"/>
        <w:right w:val="none" w:sz="0" w:space="0" w:color="auto"/>
      </w:divBdr>
      <w:divsChild>
        <w:div w:id="230234604">
          <w:marLeft w:val="0"/>
          <w:marRight w:val="0"/>
          <w:marTop w:val="0"/>
          <w:marBottom w:val="0"/>
          <w:divBdr>
            <w:top w:val="none" w:sz="0" w:space="0" w:color="auto"/>
            <w:left w:val="none" w:sz="0" w:space="0" w:color="auto"/>
            <w:bottom w:val="none" w:sz="0" w:space="0" w:color="auto"/>
            <w:right w:val="none" w:sz="0" w:space="0" w:color="auto"/>
          </w:divBdr>
          <w:divsChild>
            <w:div w:id="2049253132">
              <w:marLeft w:val="0"/>
              <w:marRight w:val="0"/>
              <w:marTop w:val="0"/>
              <w:marBottom w:val="0"/>
              <w:divBdr>
                <w:top w:val="none" w:sz="0" w:space="0" w:color="auto"/>
                <w:left w:val="none" w:sz="0" w:space="0" w:color="auto"/>
                <w:bottom w:val="none" w:sz="0" w:space="0" w:color="auto"/>
                <w:right w:val="none" w:sz="0" w:space="0" w:color="auto"/>
              </w:divBdr>
              <w:divsChild>
                <w:div w:id="16798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33555">
      <w:bodyDiv w:val="1"/>
      <w:marLeft w:val="0"/>
      <w:marRight w:val="0"/>
      <w:marTop w:val="0"/>
      <w:marBottom w:val="0"/>
      <w:divBdr>
        <w:top w:val="none" w:sz="0" w:space="0" w:color="auto"/>
        <w:left w:val="none" w:sz="0" w:space="0" w:color="auto"/>
        <w:bottom w:val="none" w:sz="0" w:space="0" w:color="auto"/>
        <w:right w:val="none" w:sz="0" w:space="0" w:color="auto"/>
      </w:divBdr>
      <w:divsChild>
        <w:div w:id="1618832351">
          <w:marLeft w:val="0"/>
          <w:marRight w:val="0"/>
          <w:marTop w:val="0"/>
          <w:marBottom w:val="0"/>
          <w:divBdr>
            <w:top w:val="none" w:sz="0" w:space="0" w:color="auto"/>
            <w:left w:val="none" w:sz="0" w:space="0" w:color="auto"/>
            <w:bottom w:val="none" w:sz="0" w:space="0" w:color="auto"/>
            <w:right w:val="none" w:sz="0" w:space="0" w:color="auto"/>
          </w:divBdr>
          <w:divsChild>
            <w:div w:id="438573280">
              <w:marLeft w:val="0"/>
              <w:marRight w:val="0"/>
              <w:marTop w:val="0"/>
              <w:marBottom w:val="0"/>
              <w:divBdr>
                <w:top w:val="none" w:sz="0" w:space="0" w:color="auto"/>
                <w:left w:val="none" w:sz="0" w:space="0" w:color="auto"/>
                <w:bottom w:val="none" w:sz="0" w:space="0" w:color="auto"/>
                <w:right w:val="none" w:sz="0" w:space="0" w:color="auto"/>
              </w:divBdr>
              <w:divsChild>
                <w:div w:id="371198100">
                  <w:marLeft w:val="0"/>
                  <w:marRight w:val="0"/>
                  <w:marTop w:val="0"/>
                  <w:marBottom w:val="0"/>
                  <w:divBdr>
                    <w:top w:val="none" w:sz="0" w:space="0" w:color="auto"/>
                    <w:left w:val="none" w:sz="0" w:space="0" w:color="auto"/>
                    <w:bottom w:val="none" w:sz="0" w:space="0" w:color="auto"/>
                    <w:right w:val="none" w:sz="0" w:space="0" w:color="auto"/>
                  </w:divBdr>
                  <w:divsChild>
                    <w:div w:id="9152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7396015">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45056635">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6803058">
      <w:bodyDiv w:val="1"/>
      <w:marLeft w:val="0"/>
      <w:marRight w:val="0"/>
      <w:marTop w:val="0"/>
      <w:marBottom w:val="0"/>
      <w:divBdr>
        <w:top w:val="none" w:sz="0" w:space="0" w:color="auto"/>
        <w:left w:val="none" w:sz="0" w:space="0" w:color="auto"/>
        <w:bottom w:val="none" w:sz="0" w:space="0" w:color="auto"/>
        <w:right w:val="none" w:sz="0" w:space="0" w:color="auto"/>
      </w:divBdr>
      <w:divsChild>
        <w:div w:id="177240049">
          <w:marLeft w:val="0"/>
          <w:marRight w:val="0"/>
          <w:marTop w:val="0"/>
          <w:marBottom w:val="0"/>
          <w:divBdr>
            <w:top w:val="none" w:sz="0" w:space="0" w:color="auto"/>
            <w:left w:val="none" w:sz="0" w:space="0" w:color="auto"/>
            <w:bottom w:val="none" w:sz="0" w:space="0" w:color="auto"/>
            <w:right w:val="none" w:sz="0" w:space="0" w:color="auto"/>
          </w:divBdr>
          <w:divsChild>
            <w:div w:id="1581257025">
              <w:marLeft w:val="0"/>
              <w:marRight w:val="0"/>
              <w:marTop w:val="0"/>
              <w:marBottom w:val="0"/>
              <w:divBdr>
                <w:top w:val="none" w:sz="0" w:space="0" w:color="auto"/>
                <w:left w:val="none" w:sz="0" w:space="0" w:color="auto"/>
                <w:bottom w:val="none" w:sz="0" w:space="0" w:color="auto"/>
                <w:right w:val="none" w:sz="0" w:space="0" w:color="auto"/>
              </w:divBdr>
              <w:divsChild>
                <w:div w:id="81048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tif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customXml/itemProps3.xml><?xml version="1.0" encoding="utf-8"?>
<ds:datastoreItem xmlns:ds="http://schemas.openxmlformats.org/officeDocument/2006/customXml" ds:itemID="{8F4A4FA1-0EE5-42C4-8F7E-C4FC32C637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8AACCB-338D-4E1C-91B3-8763C3BB18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13</TotalTime>
  <Pages>11</Pages>
  <Words>4009</Words>
  <Characters>22050</Characters>
  <Application>Microsoft Office Word</Application>
  <DocSecurity>0</DocSecurity>
  <Lines>183</Lines>
  <Paragraphs>52</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26007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CRISTIAN ANDRES DIAZ DIEZ</cp:lastModifiedBy>
  <cp:revision>29</cp:revision>
  <cp:lastPrinted>2020-01-30T15:05:00Z</cp:lastPrinted>
  <dcterms:created xsi:type="dcterms:W3CDTF">2021-02-03T20:05:00Z</dcterms:created>
  <dcterms:modified xsi:type="dcterms:W3CDTF">2021-02-22T13:56:00Z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