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Pr="00D9015D" w:rsidR="002415B8" w:rsidP="008536BB" w:rsidRDefault="00B55C69" w14:paraId="363CAC71" w14:textId="5282EFA7">
      <w:pPr>
        <w:jc w:val="right"/>
        <w:rPr>
          <w:rFonts w:ascii="Arial" w:hAnsi="Arial" w:eastAsia="Calibri" w:cs="Arial"/>
          <w:b/>
          <w:color w:val="000000" w:themeColor="text1"/>
          <w:sz w:val="20"/>
          <w:szCs w:val="20"/>
          <w:lang w:val="es-ES_tradnl"/>
        </w:rPr>
      </w:pPr>
      <w:bookmarkStart w:name="_Hlk28946138" w:id="0"/>
      <w:bookmarkStart w:name="_Hlk29548183" w:id="1"/>
      <w:r w:rsidRPr="00D9015D">
        <w:rPr>
          <w:rFonts w:ascii="Arial" w:hAnsi="Arial" w:cs="Arial"/>
          <w:bCs/>
          <w:color w:val="000000" w:themeColor="text1"/>
          <w:sz w:val="16"/>
          <w:szCs w:val="16"/>
          <w:lang w:val="es-ES_tradnl" w:eastAsia="es-ES"/>
        </w:rPr>
        <w:t>CCE-DES-FM-17</w:t>
      </w:r>
      <w:bookmarkEnd w:id="0"/>
      <w:bookmarkEnd w:id="1"/>
    </w:p>
    <w:p w:rsidRPr="00D9015D" w:rsidR="008536BB" w:rsidP="00B95C30" w:rsidRDefault="008536BB" w14:paraId="55FBD910" w14:textId="77777777">
      <w:pPr>
        <w:spacing w:line="276" w:lineRule="auto"/>
        <w:jc w:val="both"/>
        <w:rPr>
          <w:rFonts w:ascii="Arial" w:hAnsi="Arial" w:cs="Arial"/>
          <w:noProof/>
          <w:color w:val="000000" w:themeColor="text1"/>
          <w:sz w:val="22"/>
          <w:lang w:val="es-ES_tradnl"/>
        </w:rPr>
      </w:pPr>
    </w:p>
    <w:p w:rsidRPr="00D9015D" w:rsidR="00C978D4" w:rsidP="00C978D4" w:rsidRDefault="00272945" w14:paraId="6A654097" w14:textId="523CAACE">
      <w:pPr>
        <w:jc w:val="both"/>
        <w:rPr>
          <w:rFonts w:ascii="Arial" w:hAnsi="Arial" w:eastAsia="Calibri" w:cs="Arial"/>
          <w:b/>
          <w:sz w:val="22"/>
          <w:lang w:val="es-ES_tradnl"/>
        </w:rPr>
      </w:pPr>
      <w:r w:rsidRPr="00D9015D">
        <w:rPr>
          <w:rFonts w:ascii="Arial" w:hAnsi="Arial" w:eastAsia="Calibri" w:cs="Arial"/>
          <w:b/>
          <w:sz w:val="22"/>
          <w:lang w:val="es-ES_tradnl"/>
        </w:rPr>
        <w:t>SELECCIÓN OBJETIVA</w:t>
      </w:r>
      <w:r w:rsidRPr="00D9015D" w:rsidR="00C978D4">
        <w:rPr>
          <w:rFonts w:ascii="Arial" w:hAnsi="Arial" w:eastAsia="Calibri" w:cs="Arial"/>
          <w:b/>
          <w:sz w:val="22"/>
          <w:lang w:val="es-ES_tradnl"/>
        </w:rPr>
        <w:t xml:space="preserve"> </w:t>
      </w:r>
      <w:r w:rsidRPr="00D9015D" w:rsidR="00C978D4">
        <w:rPr>
          <w:rFonts w:ascii="Arial" w:hAnsi="Arial" w:eastAsia="Calibri" w:cs="Arial"/>
          <w:b/>
          <w:color w:val="000000" w:themeColor="text1"/>
          <w:sz w:val="22"/>
          <w:lang w:val="es-ES_tradnl"/>
        </w:rPr>
        <w:t>–</w:t>
      </w:r>
      <w:r w:rsidRPr="00D9015D" w:rsidR="00C978D4">
        <w:rPr>
          <w:rFonts w:ascii="Arial" w:hAnsi="Arial" w:eastAsia="Calibri" w:cs="Arial"/>
          <w:b/>
          <w:sz w:val="22"/>
          <w:lang w:val="es-ES_tradnl"/>
        </w:rPr>
        <w:t xml:space="preserve"> </w:t>
      </w:r>
      <w:r w:rsidRPr="00D9015D" w:rsidR="00003D39">
        <w:rPr>
          <w:rFonts w:ascii="Arial" w:hAnsi="Arial" w:eastAsia="Calibri" w:cs="Arial"/>
          <w:b/>
          <w:sz w:val="22"/>
          <w:lang w:val="es-ES_tradnl"/>
        </w:rPr>
        <w:t>Contratación estatal</w:t>
      </w:r>
      <w:r w:rsidRPr="00D9015D" w:rsidR="00616D7F">
        <w:rPr>
          <w:rFonts w:ascii="Arial" w:hAnsi="Arial" w:eastAsia="Calibri" w:cs="Arial"/>
          <w:b/>
          <w:sz w:val="22"/>
          <w:lang w:val="es-ES_tradnl"/>
        </w:rPr>
        <w:t xml:space="preserve"> </w:t>
      </w:r>
      <w:r w:rsidRPr="00D9015D" w:rsidR="00C978D4">
        <w:rPr>
          <w:rFonts w:ascii="Arial" w:hAnsi="Arial" w:eastAsia="Calibri" w:cs="Arial"/>
          <w:b/>
          <w:color w:val="000000" w:themeColor="text1"/>
          <w:sz w:val="22"/>
          <w:lang w:val="es-ES_tradnl"/>
        </w:rPr>
        <w:t xml:space="preserve">– </w:t>
      </w:r>
      <w:r w:rsidRPr="00D9015D">
        <w:rPr>
          <w:rFonts w:ascii="Arial" w:hAnsi="Arial" w:eastAsia="Calibri" w:cs="Arial"/>
          <w:b/>
          <w:color w:val="000000" w:themeColor="text1"/>
          <w:sz w:val="22"/>
          <w:lang w:val="es-ES_tradnl"/>
        </w:rPr>
        <w:t>Concepto</w:t>
      </w:r>
    </w:p>
    <w:p w:rsidRPr="00D9015D" w:rsidR="00C978D4" w:rsidP="0099531F" w:rsidRDefault="00C978D4" w14:paraId="4AAB8DDD" w14:textId="537B898C">
      <w:pPr>
        <w:jc w:val="both"/>
        <w:rPr>
          <w:rFonts w:ascii="Arial" w:hAnsi="Arial" w:eastAsia="Calibri" w:cs="Arial"/>
          <w:b/>
          <w:sz w:val="22"/>
          <w:lang w:val="es-ES_tradnl"/>
        </w:rPr>
      </w:pPr>
    </w:p>
    <w:p w:rsidRPr="005419DA" w:rsidR="003337A1" w:rsidP="003337A1" w:rsidRDefault="003337A1" w14:paraId="5278CA50" w14:textId="77777777">
      <w:pPr>
        <w:jc w:val="both"/>
        <w:rPr>
          <w:rFonts w:ascii="Arial" w:hAnsi="Arial" w:eastAsia="Calibri" w:cs="Arial"/>
          <w:sz w:val="20"/>
          <w:szCs w:val="20"/>
          <w:lang w:val="es-ES_tradnl"/>
        </w:rPr>
      </w:pPr>
      <w:r w:rsidRPr="005419DA">
        <w:rPr>
          <w:rFonts w:ascii="Arial" w:hAnsi="Arial" w:eastAsia="Calibri" w:cs="Arial"/>
          <w:sz w:val="20"/>
          <w:szCs w:val="20"/>
          <w:lang w:val="es-ES_tradnl"/>
        </w:rPr>
        <w:t>Dado que la selección objetiva es uno de los principios medulares de la contratación estatal, la selección del futuro contratista no puede motivarse en razones subjetivas que afecten la imparcialidad de la entidad pública. Así lo determina el primer inciso del artículo 5 de la Ley 1.150 de 2007, indicando que «Es objetiva la selección en la cual la escogencia se haga al ofrecimiento más favorable a la entidad y a los fines que ella busca, sin tener en consideración factores de afecto o de interés y, en general, cualquier clase de motivación subjetiva». Además, la norma citada agrega que los factores de escogencia y calificación que establezcan las entidades en los pliegos de condiciones o sus equivalentes, tendrán en cuenta criterios como la experiencia y la capacidad jurídica, financiera y de organización, entre otros elementos que garanticen la escogencia de la mejor opción de negocio para la entidad estatal.</w:t>
      </w:r>
    </w:p>
    <w:p w:rsidRPr="00D9015D" w:rsidR="00636F88" w:rsidP="0099531F" w:rsidRDefault="00636F88" w14:paraId="33E10CCB" w14:textId="73477A66">
      <w:pPr>
        <w:jc w:val="both"/>
        <w:rPr>
          <w:rFonts w:ascii="Arial" w:hAnsi="Arial" w:eastAsia="Calibri" w:cs="Arial"/>
          <w:b/>
          <w:sz w:val="22"/>
          <w:lang w:val="es-ES_tradnl"/>
        </w:rPr>
      </w:pPr>
    </w:p>
    <w:p w:rsidRPr="00D9015D" w:rsidR="00272945" w:rsidP="00272945" w:rsidRDefault="00B54215" w14:paraId="73365DCF" w14:textId="63E2A713">
      <w:pPr>
        <w:jc w:val="both"/>
        <w:rPr>
          <w:rFonts w:ascii="Arial" w:hAnsi="Arial" w:eastAsia="Calibri" w:cs="Arial"/>
          <w:b/>
          <w:sz w:val="22"/>
          <w:lang w:val="es-ES_tradnl"/>
        </w:rPr>
      </w:pPr>
      <w:r w:rsidRPr="00D9015D">
        <w:rPr>
          <w:rFonts w:ascii="Arial" w:hAnsi="Arial" w:eastAsia="Calibri" w:cs="Arial"/>
          <w:b/>
          <w:sz w:val="22"/>
          <w:lang w:val="es-ES_tradnl"/>
        </w:rPr>
        <w:t>EMPATE</w:t>
      </w:r>
      <w:r w:rsidRPr="00D9015D" w:rsidR="00272945">
        <w:rPr>
          <w:rFonts w:ascii="Arial" w:hAnsi="Arial" w:eastAsia="Calibri" w:cs="Arial"/>
          <w:b/>
          <w:sz w:val="22"/>
          <w:lang w:val="es-ES_tradnl"/>
        </w:rPr>
        <w:t xml:space="preserve"> </w:t>
      </w:r>
      <w:r w:rsidRPr="00D9015D" w:rsidR="00272945">
        <w:rPr>
          <w:rFonts w:ascii="Arial" w:hAnsi="Arial" w:eastAsia="Calibri" w:cs="Arial"/>
          <w:b/>
          <w:color w:val="000000" w:themeColor="text1"/>
          <w:sz w:val="22"/>
          <w:lang w:val="es-ES_tradnl"/>
        </w:rPr>
        <w:t>–</w:t>
      </w:r>
      <w:r w:rsidRPr="00D9015D" w:rsidR="00272945">
        <w:rPr>
          <w:rFonts w:ascii="Arial" w:hAnsi="Arial" w:eastAsia="Calibri" w:cs="Arial"/>
          <w:b/>
          <w:sz w:val="22"/>
          <w:lang w:val="es-ES_tradnl"/>
        </w:rPr>
        <w:t xml:space="preserve"> </w:t>
      </w:r>
      <w:r w:rsidRPr="00D9015D">
        <w:rPr>
          <w:rFonts w:ascii="Arial" w:hAnsi="Arial" w:eastAsia="Calibri" w:cs="Arial"/>
          <w:b/>
          <w:sz w:val="22"/>
          <w:lang w:val="es-ES_tradnl"/>
        </w:rPr>
        <w:t>Procedimiento de selección</w:t>
      </w:r>
      <w:r w:rsidRPr="00D9015D" w:rsidR="00272945">
        <w:rPr>
          <w:rFonts w:ascii="Arial" w:hAnsi="Arial" w:eastAsia="Calibri" w:cs="Arial"/>
          <w:b/>
          <w:sz w:val="22"/>
          <w:lang w:val="es-ES_tradnl"/>
        </w:rPr>
        <w:t xml:space="preserve"> </w:t>
      </w:r>
      <w:r w:rsidRPr="00D9015D" w:rsidR="00272945">
        <w:rPr>
          <w:rFonts w:ascii="Arial" w:hAnsi="Arial" w:eastAsia="Calibri" w:cs="Arial"/>
          <w:b/>
          <w:color w:val="000000" w:themeColor="text1"/>
          <w:sz w:val="22"/>
          <w:lang w:val="es-ES_tradnl"/>
        </w:rPr>
        <w:t>– Concepto</w:t>
      </w:r>
    </w:p>
    <w:p w:rsidRPr="00D9015D" w:rsidR="00272945" w:rsidP="0099531F" w:rsidRDefault="00272945" w14:paraId="182F8CB9" w14:textId="246E5B50">
      <w:pPr>
        <w:jc w:val="both"/>
        <w:rPr>
          <w:rFonts w:ascii="Arial" w:hAnsi="Arial" w:eastAsia="Calibri" w:cs="Arial"/>
          <w:b/>
          <w:sz w:val="22"/>
          <w:lang w:val="es-ES_tradnl"/>
        </w:rPr>
      </w:pPr>
    </w:p>
    <w:p w:rsidRPr="005419DA" w:rsidR="000C2E6F" w:rsidP="000C2E6F" w:rsidRDefault="000C2E6F" w14:paraId="1C8F0791" w14:textId="77777777">
      <w:pPr>
        <w:jc w:val="both"/>
        <w:rPr>
          <w:rFonts w:ascii="Arial" w:hAnsi="Arial" w:cs="Arial"/>
          <w:noProof/>
          <w:color w:val="000000" w:themeColor="text1"/>
          <w:sz w:val="22"/>
          <w:lang w:val="es-ES_tradnl"/>
        </w:rPr>
      </w:pPr>
      <w:r w:rsidRPr="005419DA">
        <w:rPr>
          <w:rFonts w:ascii="Arial" w:hAnsi="Arial" w:eastAsia="Calibri" w:cs="Arial"/>
          <w:sz w:val="20"/>
          <w:szCs w:val="20"/>
          <w:lang w:val="es-ES_tradnl"/>
        </w:rPr>
        <w:t>En esta perspectiva, los requisitos habilitantes o de participación, así como los criterios de evaluación o de calificación con puntos, son instrumentos por medio de los cuales se pretende la materialización del principio de selección objetiva en la contratación pública. Sin embargo, en algunas ocasiones, así se establezcan requisitos habilitantes y factores de calificación óptimos, se presentan circunstancias de empate una vez aplicados estos criterios. Como lo ha indicado la Agencia Nacional de Contratación Pública – Colombia Compra Eficiente en el «Manual para el manejo de los incentivos en los procesos de contratación», «Dos ofertas resultan empatadas cuando obtienen la misma cantidad de puntos luego de aplicar las reglas establecidas en los pliegos de condiciones; u, ofrecen el mismo precio en los casos de mínima cuantía». Es decir, el empate es un evento en el cual dos o más oferentes alcanzan una puntuación similar, al ponderarse los criterios de calificación que, en principio, aplican al procedimiento de selección.</w:t>
      </w:r>
    </w:p>
    <w:p w:rsidRPr="00D9015D" w:rsidR="006F71F5" w:rsidP="00B95C30" w:rsidRDefault="006F71F5" w14:paraId="29DD8E0A" w14:textId="5F79A1BF">
      <w:pPr>
        <w:spacing w:line="276" w:lineRule="auto"/>
        <w:jc w:val="both"/>
        <w:rPr>
          <w:rFonts w:ascii="Arial" w:hAnsi="Arial" w:cs="Arial"/>
          <w:noProof/>
          <w:color w:val="000000" w:themeColor="text1"/>
          <w:sz w:val="22"/>
          <w:lang w:val="es-ES_tradnl"/>
        </w:rPr>
      </w:pPr>
    </w:p>
    <w:p w:rsidRPr="00D9015D" w:rsidR="00DF71EA" w:rsidP="00DF71EA" w:rsidRDefault="00D73881" w14:paraId="04086EC5" w14:textId="04F7FF6D">
      <w:pPr>
        <w:jc w:val="both"/>
        <w:rPr>
          <w:rFonts w:ascii="Arial" w:hAnsi="Arial" w:eastAsia="Calibri" w:cs="Arial"/>
          <w:b/>
          <w:sz w:val="22"/>
          <w:lang w:val="es-ES_tradnl"/>
        </w:rPr>
      </w:pPr>
      <w:r w:rsidRPr="00D9015D">
        <w:rPr>
          <w:rFonts w:ascii="Arial" w:hAnsi="Arial" w:eastAsia="Calibri" w:cs="Arial"/>
          <w:b/>
          <w:sz w:val="22"/>
          <w:lang w:val="es-ES_tradnl"/>
        </w:rPr>
        <w:t>FACTORES DE DESEMPATE</w:t>
      </w:r>
      <w:r w:rsidRPr="00D9015D" w:rsidR="00DF71EA">
        <w:rPr>
          <w:rFonts w:ascii="Arial" w:hAnsi="Arial" w:eastAsia="Calibri" w:cs="Arial"/>
          <w:b/>
          <w:sz w:val="22"/>
          <w:lang w:val="es-ES_tradnl"/>
        </w:rPr>
        <w:t xml:space="preserve"> </w:t>
      </w:r>
      <w:r w:rsidRPr="00D9015D" w:rsidR="00DF71EA">
        <w:rPr>
          <w:rFonts w:ascii="Arial" w:hAnsi="Arial" w:eastAsia="Calibri" w:cs="Arial"/>
          <w:b/>
          <w:color w:val="000000" w:themeColor="text1"/>
          <w:sz w:val="22"/>
          <w:lang w:val="es-ES_tradnl"/>
        </w:rPr>
        <w:t>–</w:t>
      </w:r>
      <w:r w:rsidRPr="00D9015D" w:rsidR="00DF71EA">
        <w:rPr>
          <w:rFonts w:ascii="Arial" w:hAnsi="Arial" w:eastAsia="Calibri" w:cs="Arial"/>
          <w:b/>
          <w:sz w:val="22"/>
          <w:lang w:val="es-ES_tradnl"/>
        </w:rPr>
        <w:t xml:space="preserve"> </w:t>
      </w:r>
      <w:r w:rsidRPr="00D9015D">
        <w:rPr>
          <w:rFonts w:ascii="Arial" w:hAnsi="Arial" w:eastAsia="Calibri" w:cs="Arial"/>
          <w:b/>
          <w:sz w:val="22"/>
          <w:lang w:val="es-ES_tradnl"/>
        </w:rPr>
        <w:t>Características</w:t>
      </w:r>
      <w:r w:rsidRPr="00D9015D" w:rsidR="00DF71EA">
        <w:rPr>
          <w:rFonts w:ascii="Arial" w:hAnsi="Arial" w:eastAsia="Calibri" w:cs="Arial"/>
          <w:b/>
          <w:sz w:val="22"/>
          <w:lang w:val="es-ES_tradnl"/>
        </w:rPr>
        <w:t xml:space="preserve"> </w:t>
      </w:r>
      <w:r w:rsidRPr="00D9015D" w:rsidR="00DF71EA">
        <w:rPr>
          <w:rFonts w:ascii="Arial" w:hAnsi="Arial" w:eastAsia="Calibri" w:cs="Arial"/>
          <w:b/>
          <w:color w:val="000000" w:themeColor="text1"/>
          <w:sz w:val="22"/>
          <w:lang w:val="es-ES_tradnl"/>
        </w:rPr>
        <w:t xml:space="preserve">– </w:t>
      </w:r>
      <w:r w:rsidRPr="00D9015D">
        <w:rPr>
          <w:rFonts w:ascii="Arial" w:hAnsi="Arial" w:eastAsia="Calibri" w:cs="Arial"/>
          <w:b/>
          <w:color w:val="000000" w:themeColor="text1"/>
          <w:sz w:val="22"/>
          <w:lang w:val="es-ES_tradnl"/>
        </w:rPr>
        <w:t>Límites</w:t>
      </w:r>
    </w:p>
    <w:p w:rsidRPr="00D9015D" w:rsidR="00DF71EA" w:rsidP="00B95C30" w:rsidRDefault="00DF71EA" w14:paraId="583F00A4" w14:textId="390EB1EB">
      <w:pPr>
        <w:spacing w:line="276" w:lineRule="auto"/>
        <w:jc w:val="both"/>
        <w:rPr>
          <w:rFonts w:ascii="Arial" w:hAnsi="Arial" w:cs="Arial"/>
          <w:noProof/>
          <w:color w:val="000000" w:themeColor="text1"/>
          <w:sz w:val="22"/>
          <w:lang w:val="es-ES_tradnl"/>
        </w:rPr>
      </w:pPr>
    </w:p>
    <w:p w:rsidRPr="005419DA" w:rsidR="002F2E4D" w:rsidP="002F2E4D" w:rsidRDefault="002F2E4D" w14:paraId="3AD1BD5F" w14:textId="77777777">
      <w:pPr>
        <w:jc w:val="both"/>
        <w:rPr>
          <w:rFonts w:ascii="Arial" w:hAnsi="Arial" w:eastAsia="Calibri" w:cs="Arial"/>
          <w:sz w:val="20"/>
          <w:szCs w:val="20"/>
          <w:lang w:val="es-ES_tradnl"/>
        </w:rPr>
      </w:pPr>
      <w:r w:rsidRPr="005419DA">
        <w:rPr>
          <w:rFonts w:ascii="Arial" w:hAnsi="Arial" w:eastAsia="Calibri" w:cs="Arial"/>
          <w:sz w:val="20"/>
          <w:szCs w:val="20"/>
          <w:lang w:val="es-ES_tradnl"/>
        </w:rPr>
        <w:t xml:space="preserve">Pero, ni siquiera los casos de empate limitan el alcance de la selección objetiva en la contratación estatal. Por el contrario, en estos supuestos también debe mantenerse indemne tal postulado. En consecuencia, el desempate no puede propiciarse acudiendo arbitrariamente a consideraciones subjetivas que no estén amparadas en el ordenamiento jurídico, sino que deben aplicarse los factores permitidos por las disposiciones normativas que regulan esta materia. Precisamente, dentro de dichas disposiciones se halla el artículo 35 de la Ley </w:t>
      </w:r>
      <w:r>
        <w:rPr>
          <w:rFonts w:ascii="Arial" w:hAnsi="Arial" w:eastAsia="Calibri" w:cs="Arial"/>
          <w:sz w:val="20"/>
          <w:szCs w:val="20"/>
          <w:lang w:val="es-ES_tradnl"/>
        </w:rPr>
        <w:t>2069</w:t>
      </w:r>
      <w:r w:rsidRPr="005419DA">
        <w:rPr>
          <w:rFonts w:ascii="Arial" w:hAnsi="Arial" w:eastAsia="Calibri" w:cs="Arial"/>
          <w:sz w:val="20"/>
          <w:szCs w:val="20"/>
          <w:lang w:val="es-ES_tradnl"/>
        </w:rPr>
        <w:t xml:space="preserve"> de 2020. La </w:t>
      </w:r>
      <w:r>
        <w:rPr>
          <w:rFonts w:ascii="Arial" w:hAnsi="Arial" w:eastAsia="Calibri" w:cs="Arial"/>
          <w:sz w:val="20"/>
          <w:szCs w:val="20"/>
          <w:lang w:val="es-ES_tradnl"/>
        </w:rPr>
        <w:t>jurisprudencia</w:t>
      </w:r>
      <w:r w:rsidRPr="005419DA">
        <w:rPr>
          <w:rFonts w:ascii="Arial" w:hAnsi="Arial" w:eastAsia="Calibri" w:cs="Arial"/>
          <w:sz w:val="20"/>
          <w:szCs w:val="20"/>
          <w:lang w:val="es-ES_tradnl"/>
        </w:rPr>
        <w:t xml:space="preserve"> comparte la idea de que los criterios de desempate deben estar establecidos de antemano y constituyen un límite a la discrecionalidad administrativa en los procedimientos de selección.</w:t>
      </w:r>
    </w:p>
    <w:p w:rsidRPr="005419DA" w:rsidR="002F2E4D" w:rsidP="002F2E4D" w:rsidRDefault="002F2E4D" w14:paraId="1B5AC7AC" w14:textId="77777777">
      <w:pPr>
        <w:jc w:val="both"/>
        <w:rPr>
          <w:rFonts w:ascii="Arial" w:hAnsi="Arial" w:eastAsia="Calibri" w:cs="Arial"/>
          <w:sz w:val="20"/>
          <w:szCs w:val="20"/>
          <w:lang w:val="es-ES_tradnl"/>
        </w:rPr>
      </w:pPr>
    </w:p>
    <w:p w:rsidRPr="00D9015D" w:rsidR="00D73881" w:rsidP="002F2E4D" w:rsidRDefault="002F2E4D" w14:paraId="03CC5C7E" w14:textId="04AAC304">
      <w:pPr>
        <w:spacing w:line="276" w:lineRule="auto"/>
        <w:jc w:val="both"/>
        <w:rPr>
          <w:rFonts w:ascii="Arial" w:hAnsi="Arial" w:cs="Arial"/>
          <w:noProof/>
          <w:color w:val="000000" w:themeColor="text1"/>
          <w:sz w:val="22"/>
          <w:lang w:val="es-ES_tradnl"/>
        </w:rPr>
      </w:pPr>
      <w:r w:rsidRPr="005419DA">
        <w:rPr>
          <w:rFonts w:ascii="Arial" w:hAnsi="Arial" w:eastAsia="Calibri" w:cs="Arial"/>
          <w:sz w:val="20"/>
          <w:szCs w:val="20"/>
          <w:lang w:val="es-ES_tradnl"/>
        </w:rPr>
        <w:t>En tal sentido, la Corte Constitucional explica que cuando la ley establece factores de desempate obligatorios, las entidades estatales no pueden inaplicarlos, porque ello podría vulnerar el principio de igualdad, especialmente, cuando algunos de estos criterios surgen como acciones afirmativas para ciertos sectores de la población. Es más, según el Consejo de Estado, ir en contra de los factores de desempate establecidos expresamente genera la nulidad del contrato, conforme al artículo 44, inciso 1º de la Ley 80 de 1993.</w:t>
      </w:r>
    </w:p>
    <w:p w:rsidR="002F2E4D" w:rsidP="00D73881" w:rsidRDefault="002F2E4D" w14:paraId="226835F1" w14:textId="77777777">
      <w:pPr>
        <w:jc w:val="both"/>
        <w:rPr>
          <w:rFonts w:ascii="Arial" w:hAnsi="Arial" w:eastAsia="Calibri" w:cs="Arial"/>
          <w:b/>
          <w:sz w:val="22"/>
          <w:lang w:val="es-ES_tradnl"/>
        </w:rPr>
      </w:pPr>
    </w:p>
    <w:p w:rsidR="002F2E4D" w:rsidP="00D73881" w:rsidRDefault="002F2E4D" w14:paraId="3C3AA041" w14:textId="77777777">
      <w:pPr>
        <w:jc w:val="both"/>
        <w:rPr>
          <w:rFonts w:ascii="Arial" w:hAnsi="Arial" w:eastAsia="Calibri" w:cs="Arial"/>
          <w:b/>
          <w:sz w:val="22"/>
          <w:lang w:val="es-ES_tradnl"/>
        </w:rPr>
      </w:pPr>
    </w:p>
    <w:p w:rsidRPr="00D9015D" w:rsidR="00D73881" w:rsidP="00D73881" w:rsidRDefault="00D73881" w14:paraId="7144E95B" w14:textId="5B0FD53F">
      <w:pPr>
        <w:jc w:val="both"/>
        <w:rPr>
          <w:rFonts w:ascii="Arial" w:hAnsi="Arial" w:eastAsia="Calibri" w:cs="Arial"/>
          <w:b/>
          <w:sz w:val="22"/>
          <w:lang w:val="es-ES_tradnl"/>
        </w:rPr>
      </w:pPr>
      <w:r w:rsidRPr="00D9015D">
        <w:rPr>
          <w:rFonts w:ascii="Arial" w:hAnsi="Arial" w:eastAsia="Calibri" w:cs="Arial"/>
          <w:b/>
          <w:sz w:val="22"/>
          <w:lang w:val="es-ES_tradnl"/>
        </w:rPr>
        <w:lastRenderedPageBreak/>
        <w:t xml:space="preserve">LEY DE EMPRENDIMIENTO </w:t>
      </w:r>
      <w:r w:rsidRPr="00D9015D">
        <w:rPr>
          <w:rFonts w:ascii="Arial" w:hAnsi="Arial" w:eastAsia="Calibri" w:cs="Arial"/>
          <w:b/>
          <w:color w:val="000000" w:themeColor="text1"/>
          <w:sz w:val="22"/>
          <w:lang w:val="es-ES_tradnl"/>
        </w:rPr>
        <w:t>–</w:t>
      </w:r>
      <w:r w:rsidRPr="00D9015D">
        <w:rPr>
          <w:rFonts w:ascii="Arial" w:hAnsi="Arial" w:eastAsia="Calibri" w:cs="Arial"/>
          <w:b/>
          <w:sz w:val="22"/>
          <w:lang w:val="es-ES_tradnl"/>
        </w:rPr>
        <w:t xml:space="preserve"> Ley </w:t>
      </w:r>
      <w:r w:rsidR="006A538C">
        <w:rPr>
          <w:rFonts w:ascii="Arial" w:hAnsi="Arial" w:eastAsia="Calibri" w:cs="Arial"/>
          <w:b/>
          <w:sz w:val="22"/>
          <w:lang w:val="es-ES_tradnl"/>
        </w:rPr>
        <w:t>2069</w:t>
      </w:r>
      <w:r w:rsidRPr="00D9015D">
        <w:rPr>
          <w:rFonts w:ascii="Arial" w:hAnsi="Arial" w:eastAsia="Calibri" w:cs="Arial"/>
          <w:b/>
          <w:sz w:val="22"/>
          <w:lang w:val="es-ES_tradnl"/>
        </w:rPr>
        <w:t xml:space="preserve"> de 2020 </w:t>
      </w:r>
      <w:r w:rsidRPr="00D9015D">
        <w:rPr>
          <w:rFonts w:ascii="Arial" w:hAnsi="Arial" w:eastAsia="Calibri" w:cs="Arial"/>
          <w:b/>
          <w:color w:val="000000" w:themeColor="text1"/>
          <w:sz w:val="22"/>
          <w:lang w:val="es-ES_tradnl"/>
        </w:rPr>
        <w:t xml:space="preserve">– Vigencia </w:t>
      </w:r>
    </w:p>
    <w:p w:rsidRPr="00D9015D" w:rsidR="00D73881" w:rsidP="00D73881" w:rsidRDefault="00D73881" w14:paraId="0D3B8DEB" w14:textId="33C83BCF">
      <w:pPr>
        <w:jc w:val="both"/>
        <w:rPr>
          <w:rFonts w:ascii="Arial" w:hAnsi="Arial" w:eastAsia="Calibri" w:cs="Arial"/>
          <w:b/>
          <w:sz w:val="22"/>
          <w:lang w:val="es-ES_tradnl"/>
        </w:rPr>
      </w:pPr>
    </w:p>
    <w:p w:rsidRPr="005419DA" w:rsidR="0031307C" w:rsidP="0031307C" w:rsidRDefault="0031307C" w14:paraId="0F11F220" w14:textId="77777777">
      <w:pPr>
        <w:jc w:val="both"/>
        <w:rPr>
          <w:rFonts w:ascii="Arial" w:hAnsi="Arial" w:eastAsia="Calibri" w:cs="Arial"/>
          <w:sz w:val="20"/>
          <w:szCs w:val="20"/>
          <w:lang w:val="es-ES_tradnl"/>
        </w:rPr>
      </w:pPr>
      <w:r w:rsidRPr="005419DA">
        <w:rPr>
          <w:rFonts w:ascii="Arial" w:hAnsi="Arial" w:eastAsia="Calibri" w:cs="Arial"/>
          <w:sz w:val="20"/>
          <w:szCs w:val="20"/>
          <w:lang w:val="es-ES_tradnl"/>
        </w:rPr>
        <w:t xml:space="preserve">El 31 de diciembre de 2020 se promulgó la Ley </w:t>
      </w:r>
      <w:r>
        <w:rPr>
          <w:rFonts w:ascii="Arial" w:hAnsi="Arial" w:eastAsia="Calibri" w:cs="Arial"/>
          <w:sz w:val="20"/>
          <w:szCs w:val="20"/>
          <w:lang w:val="es-ES_tradnl"/>
        </w:rPr>
        <w:t>2069</w:t>
      </w:r>
      <w:r w:rsidRPr="005419DA">
        <w:rPr>
          <w:rFonts w:ascii="Arial" w:hAnsi="Arial" w:eastAsia="Calibri" w:cs="Arial"/>
          <w:sz w:val="20"/>
          <w:szCs w:val="20"/>
          <w:lang w:val="es-ES_tradnl"/>
        </w:rPr>
        <w:t>, «Por medio de la cual se impulsa el emprendimiento en Colombia». De acuerdo con el artículo 84 de dicho cuerpo normativo,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dicha Ley.</w:t>
      </w:r>
    </w:p>
    <w:p w:rsidRPr="005419DA" w:rsidR="0031307C" w:rsidP="0031307C" w:rsidRDefault="0031307C" w14:paraId="3E825D6A" w14:textId="77777777">
      <w:pPr>
        <w:jc w:val="both"/>
        <w:rPr>
          <w:rFonts w:ascii="Arial" w:hAnsi="Arial" w:eastAsia="Calibri" w:cs="Arial"/>
          <w:sz w:val="20"/>
          <w:szCs w:val="20"/>
          <w:lang w:val="es-ES_tradnl"/>
        </w:rPr>
      </w:pPr>
    </w:p>
    <w:p w:rsidRPr="005419DA" w:rsidR="0031307C" w:rsidP="0031307C" w:rsidRDefault="0031307C" w14:paraId="2A46704B" w14:textId="77777777">
      <w:pPr>
        <w:jc w:val="both"/>
        <w:rPr>
          <w:rFonts w:ascii="Arial" w:hAnsi="Arial" w:eastAsia="Calibri" w:cs="Arial"/>
          <w:sz w:val="20"/>
          <w:szCs w:val="20"/>
          <w:lang w:val="es-ES_tradnl"/>
        </w:rPr>
      </w:pPr>
      <w:r w:rsidRPr="005419DA">
        <w:rPr>
          <w:rFonts w:ascii="Arial" w:hAnsi="Arial" w:eastAsia="Calibri" w:cs="Arial"/>
          <w:sz w:val="20"/>
          <w:szCs w:val="20"/>
          <w:lang w:val="es-ES_tradnl"/>
        </w:rPr>
        <w:t>En cuando al contenido de la Ley en comento, es importante señalar que, como lo expresa su artículo 1, aquella «tiene por objeto establecer un marco regulatorio que propicie el emprendimiento y el crecimiento, consolidación y sostenibilidad de las empresas, con el fin de aumentar el bienestar social y generar equidad». Esto, a partir de «[…] un enfoque regionalizado de acuerdo a las realidades socioeconómicas de cada región». En desarrollo de esta finalidad, se establecen medidas de apoyo para las micro, pequeñas y medianas empresas –«</w:t>
      </w:r>
      <w:proofErr w:type="spellStart"/>
      <w:r w:rsidRPr="005419DA">
        <w:rPr>
          <w:rFonts w:ascii="Arial" w:hAnsi="Arial" w:eastAsia="Calibri" w:cs="Arial"/>
          <w:sz w:val="20"/>
          <w:szCs w:val="20"/>
          <w:lang w:val="es-ES_tradnl"/>
        </w:rPr>
        <w:t>mipymes</w:t>
      </w:r>
      <w:proofErr w:type="spellEnd"/>
      <w:r w:rsidRPr="005419DA">
        <w:rPr>
          <w:rFonts w:ascii="Arial" w:hAnsi="Arial" w:eastAsia="Calibri" w:cs="Arial"/>
          <w:sz w:val="20"/>
          <w:szCs w:val="20"/>
          <w:lang w:val="es-ES_tradnl"/>
        </w:rPr>
        <w:t>»–, mediante la racionalización y simplificación de los trámites y tarifas, así como la consagración de incentivos a favor de aquellas dentro del sistema de compras y contratación pública. También se consagran mecanismos de acceso al financiamiento, se unifican las fuentes de emprendimiento y de desarrollo empresarial, para fortalecer y promover los distintos sectores de la economía, y se prevén medidas de educación para el emprendimiento y la innovación.</w:t>
      </w:r>
    </w:p>
    <w:p w:rsidRPr="00D9015D" w:rsidR="008410B1" w:rsidP="008410B1" w:rsidRDefault="008410B1" w14:paraId="7B24A529" w14:textId="77777777">
      <w:pPr>
        <w:jc w:val="both"/>
        <w:rPr>
          <w:rFonts w:ascii="Arial" w:hAnsi="Arial" w:eastAsia="Calibri" w:cs="Arial"/>
          <w:b/>
          <w:sz w:val="22"/>
          <w:lang w:val="es-ES_tradnl"/>
        </w:rPr>
      </w:pPr>
    </w:p>
    <w:p w:rsidRPr="00D9015D" w:rsidR="00D73881" w:rsidP="00D73881" w:rsidRDefault="00D73881" w14:paraId="5C894141" w14:textId="5BD5D146">
      <w:pPr>
        <w:jc w:val="both"/>
        <w:rPr>
          <w:rFonts w:ascii="Arial" w:hAnsi="Arial" w:eastAsia="Calibri" w:cs="Arial"/>
          <w:b/>
          <w:sz w:val="22"/>
          <w:lang w:val="es-ES_tradnl"/>
        </w:rPr>
      </w:pPr>
      <w:r w:rsidRPr="00D9015D">
        <w:rPr>
          <w:rFonts w:ascii="Arial" w:hAnsi="Arial" w:eastAsia="Calibri" w:cs="Arial"/>
          <w:b/>
          <w:sz w:val="22"/>
          <w:lang w:val="es-ES_tradnl"/>
        </w:rPr>
        <w:t xml:space="preserve">FACTORES DE DESEMPATE </w:t>
      </w:r>
      <w:r w:rsidRPr="00D9015D">
        <w:rPr>
          <w:rFonts w:ascii="Arial" w:hAnsi="Arial" w:eastAsia="Calibri" w:cs="Arial"/>
          <w:b/>
          <w:color w:val="000000" w:themeColor="text1"/>
          <w:sz w:val="22"/>
          <w:lang w:val="es-ES_tradnl"/>
        </w:rPr>
        <w:t>–</w:t>
      </w:r>
      <w:r w:rsidRPr="00D9015D">
        <w:rPr>
          <w:rFonts w:ascii="Arial" w:hAnsi="Arial" w:eastAsia="Calibri" w:cs="Arial"/>
          <w:b/>
          <w:sz w:val="22"/>
          <w:lang w:val="es-ES_tradnl"/>
        </w:rPr>
        <w:t xml:space="preserve"> Ley </w:t>
      </w:r>
      <w:r w:rsidR="006A538C">
        <w:rPr>
          <w:rFonts w:ascii="Arial" w:hAnsi="Arial" w:eastAsia="Calibri" w:cs="Arial"/>
          <w:b/>
          <w:sz w:val="22"/>
          <w:lang w:val="es-ES_tradnl"/>
        </w:rPr>
        <w:t>2069</w:t>
      </w:r>
      <w:r w:rsidRPr="00D9015D">
        <w:rPr>
          <w:rFonts w:ascii="Arial" w:hAnsi="Arial" w:eastAsia="Calibri" w:cs="Arial"/>
          <w:b/>
          <w:sz w:val="22"/>
          <w:lang w:val="es-ES_tradnl"/>
        </w:rPr>
        <w:t xml:space="preserve"> </w:t>
      </w:r>
      <w:r w:rsidRPr="00D9015D">
        <w:rPr>
          <w:rFonts w:ascii="Arial" w:hAnsi="Arial" w:eastAsia="Calibri" w:cs="Arial"/>
          <w:b/>
          <w:color w:val="000000" w:themeColor="text1"/>
          <w:sz w:val="22"/>
          <w:lang w:val="es-ES_tradnl"/>
        </w:rPr>
        <w:t>– Artículo 35 – Acreditación</w:t>
      </w:r>
    </w:p>
    <w:p w:rsidRPr="00D9015D" w:rsidR="00D73881" w:rsidP="00B95C30" w:rsidRDefault="00D73881" w14:paraId="4D9EB4C1" w14:textId="20D03020">
      <w:pPr>
        <w:spacing w:line="276" w:lineRule="auto"/>
        <w:jc w:val="both"/>
        <w:rPr>
          <w:rFonts w:ascii="Arial" w:hAnsi="Arial" w:cs="Arial"/>
          <w:noProof/>
          <w:color w:val="000000" w:themeColor="text1"/>
          <w:sz w:val="22"/>
          <w:lang w:val="es-ES_tradnl"/>
        </w:rPr>
      </w:pPr>
    </w:p>
    <w:p w:rsidRPr="005419DA" w:rsidR="00D13284" w:rsidP="00D13284" w:rsidRDefault="00D13284" w14:paraId="6F3F9BFB" w14:textId="77777777">
      <w:pPr>
        <w:jc w:val="both"/>
        <w:rPr>
          <w:rFonts w:ascii="Arial" w:hAnsi="Arial" w:eastAsia="Calibri" w:cs="Arial"/>
          <w:sz w:val="20"/>
          <w:szCs w:val="20"/>
          <w:lang w:val="es-ES_tradnl"/>
        </w:rPr>
      </w:pPr>
      <w:r w:rsidRPr="005419DA">
        <w:rPr>
          <w:rFonts w:ascii="Arial" w:hAnsi="Arial" w:eastAsia="Calibri" w:cs="Arial"/>
          <w:sz w:val="20"/>
          <w:szCs w:val="20"/>
          <w:lang w:val="es-ES_tradnl"/>
        </w:rPr>
        <w:t xml:space="preserve">[…], estos numerales no establecen un medio específico para acreditar las circunstancias a las que se refieren. Por lo tanto, corresponde a la entidad contratante analizar si el ordenamiento jurídico, en otras disposiciones legales o reglamentarias, exige un documento especial o si, por el contrario, hay libertad probatoria. Este análisis debe realizarse de manera independiente frente a cada numeral. En caso de que no exista «tarifa legal», es decir, en el evento en que la ley o el reglamento no definan un medio probatorio para acreditar la circunstancia correspondiente, la entidad estatal contratante tiene discrecionalidad para establecer en el pliego de condiciones o en el documento equivalente de qué manera el proponente podrá probar que se encuentra bajo la condición que permite aplicar la regla de desempate. Por supuesto, el decreto reglamentario que expida el gobierno nacional para garantizar la cumplida ejecución de la Ley </w:t>
      </w:r>
      <w:r>
        <w:rPr>
          <w:rFonts w:ascii="Arial" w:hAnsi="Arial" w:eastAsia="Calibri" w:cs="Arial"/>
          <w:sz w:val="20"/>
          <w:szCs w:val="20"/>
          <w:lang w:val="es-ES_tradnl"/>
        </w:rPr>
        <w:t>2069</w:t>
      </w:r>
      <w:r w:rsidRPr="005419DA">
        <w:rPr>
          <w:rFonts w:ascii="Arial" w:hAnsi="Arial" w:eastAsia="Calibri" w:cs="Arial"/>
          <w:sz w:val="20"/>
          <w:szCs w:val="20"/>
          <w:lang w:val="es-ES_tradnl"/>
        </w:rPr>
        <w:t xml:space="preserve"> de 2020 podría establecer los medios de prueba, así como las autoridades encargadas de certificar las circunstancias del artículo 35. Sin embargo, mientras ello no suceda, deberá aplicarse el criterio indicado con anterioridad.</w:t>
      </w:r>
    </w:p>
    <w:p w:rsidRPr="00D9015D" w:rsidR="003C5E8A" w:rsidP="003C5E8A" w:rsidRDefault="003C5E8A" w14:paraId="53B8D6C5" w14:textId="77777777">
      <w:pPr>
        <w:jc w:val="both"/>
        <w:rPr>
          <w:rFonts w:ascii="Arial" w:hAnsi="Arial" w:eastAsia="Calibri" w:cs="Arial"/>
          <w:sz w:val="20"/>
          <w:szCs w:val="20"/>
          <w:lang w:val="es-ES_tradnl"/>
        </w:rPr>
      </w:pPr>
    </w:p>
    <w:p w:rsidRPr="00D9015D" w:rsidR="00B167C8" w:rsidP="00B95C30" w:rsidRDefault="00B167C8" w14:paraId="5B078637" w14:textId="77777777">
      <w:pPr>
        <w:spacing w:line="276" w:lineRule="auto"/>
        <w:jc w:val="both"/>
        <w:rPr>
          <w:rFonts w:ascii="Arial" w:hAnsi="Arial" w:cs="Arial"/>
          <w:noProof/>
          <w:color w:val="000000" w:themeColor="text1"/>
          <w:sz w:val="22"/>
          <w:lang w:val="es-ES_tradnl"/>
        </w:rPr>
      </w:pPr>
    </w:p>
    <w:p w:rsidRPr="00D9015D" w:rsidR="00B167C8" w:rsidP="00B95C30" w:rsidRDefault="00B167C8" w14:paraId="13C27EB7" w14:textId="77777777">
      <w:pPr>
        <w:spacing w:line="276" w:lineRule="auto"/>
        <w:jc w:val="both"/>
        <w:rPr>
          <w:rFonts w:ascii="Arial" w:hAnsi="Arial" w:cs="Arial"/>
          <w:noProof/>
          <w:color w:val="000000" w:themeColor="text1"/>
          <w:sz w:val="22"/>
          <w:lang w:val="es-ES_tradnl"/>
        </w:rPr>
      </w:pPr>
    </w:p>
    <w:p w:rsidR="00B167C8" w:rsidP="00B95C30" w:rsidRDefault="00B167C8" w14:paraId="0AB212D3" w14:textId="4E076632">
      <w:pPr>
        <w:spacing w:line="276" w:lineRule="auto"/>
        <w:jc w:val="both"/>
        <w:rPr>
          <w:rFonts w:ascii="Arial" w:hAnsi="Arial" w:cs="Arial"/>
          <w:noProof/>
          <w:color w:val="000000" w:themeColor="text1"/>
          <w:sz w:val="22"/>
          <w:lang w:val="es-ES_tradnl"/>
        </w:rPr>
      </w:pPr>
    </w:p>
    <w:p w:rsidR="00A55742" w:rsidP="00B95C30" w:rsidRDefault="00A55742" w14:paraId="0CE8596B" w14:textId="48BB1BC3">
      <w:pPr>
        <w:spacing w:line="276" w:lineRule="auto"/>
        <w:jc w:val="both"/>
        <w:rPr>
          <w:rFonts w:ascii="Arial" w:hAnsi="Arial" w:cs="Arial"/>
          <w:noProof/>
          <w:color w:val="000000" w:themeColor="text1"/>
          <w:sz w:val="22"/>
          <w:lang w:val="es-ES_tradnl"/>
        </w:rPr>
      </w:pPr>
    </w:p>
    <w:p w:rsidR="00A55742" w:rsidP="00B95C30" w:rsidRDefault="00A55742" w14:paraId="4D24E307" w14:textId="1B265F8F">
      <w:pPr>
        <w:spacing w:line="276" w:lineRule="auto"/>
        <w:jc w:val="both"/>
        <w:rPr>
          <w:rFonts w:ascii="Arial" w:hAnsi="Arial" w:cs="Arial"/>
          <w:noProof/>
          <w:color w:val="000000" w:themeColor="text1"/>
          <w:sz w:val="22"/>
          <w:lang w:val="es-ES_tradnl"/>
        </w:rPr>
      </w:pPr>
    </w:p>
    <w:p w:rsidR="00A55742" w:rsidP="00B95C30" w:rsidRDefault="00A55742" w14:paraId="2A2CA686" w14:textId="0DFD37A7">
      <w:pPr>
        <w:spacing w:line="276" w:lineRule="auto"/>
        <w:jc w:val="both"/>
        <w:rPr>
          <w:rFonts w:ascii="Arial" w:hAnsi="Arial" w:cs="Arial"/>
          <w:noProof/>
          <w:color w:val="000000" w:themeColor="text1"/>
          <w:sz w:val="22"/>
          <w:lang w:val="es-ES_tradnl"/>
        </w:rPr>
      </w:pPr>
    </w:p>
    <w:p w:rsidRPr="00D9015D" w:rsidR="00A55742" w:rsidP="00B95C30" w:rsidRDefault="00A55742" w14:paraId="464CB465" w14:textId="77777777">
      <w:pPr>
        <w:spacing w:line="276" w:lineRule="auto"/>
        <w:jc w:val="both"/>
        <w:rPr>
          <w:rFonts w:ascii="Arial" w:hAnsi="Arial" w:cs="Arial"/>
          <w:noProof/>
          <w:color w:val="000000" w:themeColor="text1"/>
          <w:sz w:val="22"/>
          <w:lang w:val="es-ES_tradnl"/>
        </w:rPr>
      </w:pPr>
    </w:p>
    <w:p w:rsidRPr="00D9015D" w:rsidR="00B167C8" w:rsidP="00B95C30" w:rsidRDefault="00B167C8" w14:paraId="5B23BC21" w14:textId="77777777">
      <w:pPr>
        <w:spacing w:line="276" w:lineRule="auto"/>
        <w:jc w:val="both"/>
        <w:rPr>
          <w:rFonts w:ascii="Arial" w:hAnsi="Arial" w:cs="Arial"/>
          <w:noProof/>
          <w:color w:val="000000" w:themeColor="text1"/>
          <w:sz w:val="22"/>
          <w:lang w:val="es-ES_tradnl"/>
        </w:rPr>
      </w:pPr>
    </w:p>
    <w:p w:rsidR="000A3E06" w:rsidP="00B95C30" w:rsidRDefault="000A3E06" w14:paraId="3728BB75" w14:textId="77777777">
      <w:pPr>
        <w:spacing w:line="276" w:lineRule="auto"/>
        <w:jc w:val="both"/>
        <w:rPr>
          <w:rFonts w:ascii="Arial" w:hAnsi="Arial" w:cs="Arial"/>
          <w:noProof/>
          <w:color w:val="000000" w:themeColor="text1"/>
          <w:sz w:val="22"/>
          <w:lang w:val="es-ES_tradnl"/>
        </w:rPr>
      </w:pPr>
    </w:p>
    <w:p w:rsidR="000A3E06" w:rsidP="00B95C30" w:rsidRDefault="000A3E06" w14:paraId="5EA52409" w14:textId="77777777">
      <w:pPr>
        <w:spacing w:line="276" w:lineRule="auto"/>
        <w:jc w:val="both"/>
        <w:rPr>
          <w:rFonts w:ascii="Arial" w:hAnsi="Arial" w:cs="Arial"/>
          <w:noProof/>
          <w:color w:val="000000" w:themeColor="text1"/>
          <w:sz w:val="22"/>
          <w:lang w:val="es-ES_tradnl"/>
        </w:rPr>
      </w:pPr>
    </w:p>
    <w:p w:rsidRPr="00D9015D" w:rsidR="00B95C30" w:rsidP="00B95C30" w:rsidRDefault="00B95C30" w14:paraId="7DD48F49" w14:textId="645F61DD">
      <w:pPr>
        <w:spacing w:line="276" w:lineRule="auto"/>
        <w:jc w:val="both"/>
        <w:rPr>
          <w:rFonts w:ascii="Arial" w:hAnsi="Arial" w:eastAsia="Calibri" w:cs="Arial"/>
          <w:noProof/>
          <w:color w:val="000000" w:themeColor="text1"/>
          <w:sz w:val="20"/>
          <w:lang w:val="es-ES_tradnl"/>
        </w:rPr>
      </w:pPr>
      <w:r w:rsidRPr="00D9015D">
        <w:rPr>
          <w:rFonts w:ascii="Arial" w:hAnsi="Arial" w:cs="Arial"/>
          <w:noProof/>
          <w:color w:val="000000" w:themeColor="text1"/>
          <w:sz w:val="22"/>
          <w:lang w:val="es-ES_tradnl"/>
        </w:rPr>
        <w:lastRenderedPageBreak/>
        <w:t xml:space="preserve">Bogotá D.C., </w:t>
      </w:r>
      <w:r w:rsidR="00E254A2">
        <w:rPr>
          <w:rFonts w:ascii="Arial" w:hAnsi="Arial" w:cs="Arial"/>
          <w:b/>
          <w:bCs/>
          <w:noProof/>
          <w:color w:val="000000" w:themeColor="text1"/>
          <w:sz w:val="22"/>
          <w:lang w:val="es-ES_tradnl"/>
        </w:rPr>
        <w:t xml:space="preserve">04/02/2021 </w:t>
      </w:r>
      <w:r w:rsidR="00836718">
        <w:rPr>
          <w:rFonts w:ascii="Arial" w:hAnsi="Arial" w:cs="Arial"/>
          <w:b/>
          <w:bCs/>
          <w:noProof/>
          <w:color w:val="000000" w:themeColor="text1"/>
          <w:sz w:val="22"/>
          <w:lang w:val="es-ES_tradnl"/>
        </w:rPr>
        <w:t>16:24:42</w:t>
      </w:r>
    </w:p>
    <w:p w:rsidRPr="00463ADA" w:rsidR="00463ADA" w:rsidP="00463ADA" w:rsidRDefault="00463ADA" w14:paraId="230216AC" w14:textId="52BAB47B">
      <w:pPr>
        <w:jc w:val="right"/>
      </w:pPr>
      <w:r>
        <w:fldChar w:fldCharType="begin"/>
      </w:r>
      <w:r>
        <w:instrText xml:space="preserve"> INCLUDEPICTURE "/var/folders/5l/v1rdjm0x1x9416lmbj7_vjt40000gn/T/com.microsoft.Word/WebArchiveCopyPasteTempFiles/page1image1770464" \* MERGEFORMATINET </w:instrText>
      </w:r>
      <w:r>
        <w:fldChar w:fldCharType="separate"/>
      </w:r>
      <w:r w:rsidR="00463ADA">
        <w:drawing>
          <wp:inline wp14:editId="21C2AC7A" wp14:anchorId="162BA267">
            <wp:extent cx="2397760" cy="609600"/>
            <wp:effectExtent l="0" t="0" r="2540" b="0"/>
            <wp:docPr id="4" name="Imagen 4" descr="page1image1770464" title=""/>
            <wp:cNvGraphicFramePr>
              <a:graphicFrameLocks noChangeAspect="1"/>
            </wp:cNvGraphicFramePr>
            <a:graphic>
              <a:graphicData uri="http://schemas.openxmlformats.org/drawingml/2006/picture">
                <pic:pic>
                  <pic:nvPicPr>
                    <pic:cNvPr id="0" name="Imagen 4"/>
                    <pic:cNvPicPr/>
                  </pic:nvPicPr>
                  <pic:blipFill>
                    <a:blip r:embed="Ra508dd9dee0f4ad4">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2397760" cy="609600"/>
                    </a:xfrm>
                    <a:prstGeom prst="rect">
                      <a:avLst/>
                    </a:prstGeom>
                  </pic:spPr>
                </pic:pic>
              </a:graphicData>
            </a:graphic>
          </wp:inline>
        </w:drawing>
      </w:r>
      <w:r>
        <w:fldChar w:fldCharType="end"/>
      </w:r>
    </w:p>
    <w:p w:rsidRPr="00D9015D" w:rsidR="00B95C30" w:rsidP="00B95C30" w:rsidRDefault="00B95C30" w14:paraId="6A8A869B" w14:textId="77777777">
      <w:pPr>
        <w:jc w:val="both"/>
        <w:rPr>
          <w:rFonts w:ascii="Arial" w:hAnsi="Arial" w:cs="Arial"/>
          <w:b/>
          <w:color w:val="000000" w:themeColor="text1"/>
          <w:sz w:val="22"/>
          <w:lang w:val="es-ES_tradnl"/>
        </w:rPr>
      </w:pPr>
    </w:p>
    <w:p w:rsidRPr="00D9015D" w:rsidR="00B95C30" w:rsidP="00B95C30" w:rsidRDefault="00BE4FBF" w14:paraId="5F5AE9EF" w14:textId="1599C549">
      <w:pPr>
        <w:jc w:val="both"/>
        <w:rPr>
          <w:rFonts w:ascii="Arial" w:hAnsi="Arial" w:eastAsia="Calibri" w:cs="Arial"/>
          <w:color w:val="000000" w:themeColor="text1"/>
          <w:sz w:val="22"/>
          <w:lang w:val="es-ES_tradnl"/>
        </w:rPr>
      </w:pPr>
      <w:r w:rsidRPr="00D9015D">
        <w:rPr>
          <w:rFonts w:ascii="Arial" w:hAnsi="Arial" w:eastAsia="Calibri" w:cs="Arial"/>
          <w:color w:val="000000" w:themeColor="text1"/>
          <w:sz w:val="22"/>
          <w:lang w:val="es-ES_tradnl"/>
        </w:rPr>
        <w:t>Señor</w:t>
      </w:r>
      <w:r w:rsidR="00043399">
        <w:rPr>
          <w:rFonts w:ascii="Arial" w:hAnsi="Arial" w:eastAsia="Calibri" w:cs="Arial"/>
          <w:color w:val="000000" w:themeColor="text1"/>
          <w:sz w:val="22"/>
          <w:lang w:val="es-ES_tradnl"/>
        </w:rPr>
        <w:t>a</w:t>
      </w:r>
    </w:p>
    <w:p w:rsidR="00043399" w:rsidP="00B95C30" w:rsidRDefault="00043399" w14:paraId="136B4744" w14:textId="0860032F">
      <w:pPr>
        <w:jc w:val="both"/>
        <w:rPr>
          <w:rFonts w:ascii="Arial" w:hAnsi="Arial" w:eastAsia="Calibri" w:cs="Arial"/>
          <w:b/>
          <w:color w:val="000000" w:themeColor="text1"/>
          <w:sz w:val="22"/>
          <w:lang w:val="es-ES_tradnl"/>
        </w:rPr>
      </w:pPr>
      <w:r w:rsidRPr="00043399">
        <w:rPr>
          <w:rFonts w:ascii="Arial" w:hAnsi="Arial" w:eastAsia="Calibri" w:cs="Arial"/>
          <w:b/>
          <w:color w:val="000000" w:themeColor="text1"/>
          <w:sz w:val="22"/>
          <w:lang w:val="es-ES_tradnl"/>
        </w:rPr>
        <w:t>Claudia Cecilia Cárdenas Sánchez</w:t>
      </w:r>
    </w:p>
    <w:p w:rsidR="00B95C30" w:rsidP="00B95C30" w:rsidRDefault="000A3E06" w14:paraId="09D4AEA8" w14:textId="07B15F69">
      <w:pPr>
        <w:jc w:val="both"/>
        <w:rPr>
          <w:rFonts w:ascii="Arial" w:hAnsi="Arial" w:eastAsia="Calibri" w:cs="Arial"/>
          <w:color w:val="000000" w:themeColor="text1"/>
          <w:sz w:val="22"/>
          <w:lang w:val="es-ES_tradnl"/>
        </w:rPr>
      </w:pPr>
      <w:r>
        <w:rPr>
          <w:rFonts w:ascii="Arial" w:hAnsi="Arial" w:eastAsia="Calibri" w:cs="Arial"/>
          <w:color w:val="000000" w:themeColor="text1"/>
          <w:sz w:val="22"/>
          <w:lang w:val="es-ES_tradnl"/>
        </w:rPr>
        <w:t>Bogotá D.C.</w:t>
      </w:r>
    </w:p>
    <w:p w:rsidR="000A3E06" w:rsidP="00B95C30" w:rsidRDefault="000A3E06" w14:paraId="5CC5706B" w14:textId="1D769902">
      <w:pPr>
        <w:jc w:val="both"/>
        <w:rPr>
          <w:rFonts w:ascii="Arial" w:hAnsi="Arial" w:eastAsia="Calibri" w:cs="Arial"/>
          <w:color w:val="000000" w:themeColor="text1"/>
          <w:sz w:val="22"/>
          <w:lang w:val="es-ES_tradnl"/>
        </w:rPr>
      </w:pPr>
    </w:p>
    <w:p w:rsidRPr="00D9015D" w:rsidR="000A3E06" w:rsidP="00B95C30" w:rsidRDefault="000A3E06" w14:paraId="69D896EC" w14:textId="77777777">
      <w:pPr>
        <w:jc w:val="both"/>
        <w:rPr>
          <w:rFonts w:ascii="Arial" w:hAnsi="Arial" w:eastAsia="Calibri" w:cs="Arial"/>
          <w:color w:val="000000" w:themeColor="text1"/>
          <w:sz w:val="22"/>
          <w:lang w:val="es-ES_tradnl"/>
        </w:rPr>
      </w:pPr>
    </w:p>
    <w:p w:rsidRPr="00D9015D" w:rsidR="00B95C30" w:rsidP="00A55742" w:rsidRDefault="000A3E06" w14:paraId="12E66182" w14:textId="5B04B349">
      <w:pPr>
        <w:rPr>
          <w:rFonts w:ascii="Arial" w:hAnsi="Arial" w:eastAsia="Calibri" w:cs="Arial"/>
          <w:b/>
          <w:bCs/>
          <w:color w:val="000000" w:themeColor="text1"/>
          <w:sz w:val="22"/>
          <w:lang w:val="es-ES_tradnl"/>
        </w:rPr>
      </w:pPr>
      <w:r>
        <w:rPr>
          <w:rFonts w:ascii="Arial" w:hAnsi="Arial" w:eastAsia="Calibri" w:cs="Arial"/>
          <w:b/>
          <w:bCs/>
          <w:color w:val="000000" w:themeColor="text1"/>
          <w:sz w:val="22"/>
          <w:lang w:val="es-ES_tradnl"/>
        </w:rPr>
        <w:t xml:space="preserve">                                            </w:t>
      </w:r>
      <w:r w:rsidRPr="00D9015D" w:rsidR="00B95C30">
        <w:rPr>
          <w:rFonts w:ascii="Arial" w:hAnsi="Arial" w:eastAsia="Calibri" w:cs="Arial"/>
          <w:b/>
          <w:bCs/>
          <w:color w:val="000000" w:themeColor="text1"/>
          <w:sz w:val="22"/>
          <w:lang w:val="es-ES_tradnl"/>
        </w:rPr>
        <w:t xml:space="preserve">Concepto C ‒ </w:t>
      </w:r>
      <w:r w:rsidR="00195F02">
        <w:rPr>
          <w:rFonts w:ascii="Arial" w:hAnsi="Arial" w:eastAsia="Calibri" w:cs="Arial"/>
          <w:b/>
          <w:bCs/>
          <w:color w:val="000000" w:themeColor="text1"/>
          <w:sz w:val="22"/>
          <w:lang w:val="es-ES_tradnl"/>
        </w:rPr>
        <w:t>026</w:t>
      </w:r>
      <w:r w:rsidRPr="00D9015D" w:rsidR="00B95C30">
        <w:rPr>
          <w:rFonts w:ascii="Arial" w:hAnsi="Arial" w:eastAsia="Calibri" w:cs="Arial"/>
          <w:b/>
          <w:bCs/>
          <w:color w:val="000000" w:themeColor="text1"/>
          <w:sz w:val="22"/>
          <w:lang w:val="es-ES_tradnl"/>
        </w:rPr>
        <w:t xml:space="preserve"> de 202</w:t>
      </w:r>
      <w:r w:rsidRPr="00D9015D" w:rsidR="005E781C">
        <w:rPr>
          <w:rFonts w:ascii="Arial" w:hAnsi="Arial" w:eastAsia="Calibri" w:cs="Arial"/>
          <w:b/>
          <w:bCs/>
          <w:color w:val="000000" w:themeColor="text1"/>
          <w:sz w:val="22"/>
          <w:lang w:val="es-ES_tradnl"/>
        </w:rPr>
        <w:t>1</w:t>
      </w:r>
    </w:p>
    <w:p w:rsidRPr="00D9015D" w:rsidR="00B95C30" w:rsidP="00B95C30" w:rsidRDefault="00B95C30" w14:paraId="1BD594F9" w14:textId="77777777">
      <w:pPr>
        <w:jc w:val="both"/>
        <w:rPr>
          <w:rFonts w:ascii="Arial" w:hAnsi="Arial" w:eastAsia="Calibri" w:cs="Arial"/>
          <w:color w:val="000000" w:themeColor="text1"/>
          <w:sz w:val="22"/>
          <w:lang w:val="es-ES_tradnl"/>
        </w:rPr>
      </w:pPr>
    </w:p>
    <w:tbl>
      <w:tblPr>
        <w:tblStyle w:val="Tablaconcuadrcula"/>
        <w:tblW w:w="892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237"/>
      </w:tblGrid>
      <w:tr w:rsidRPr="00D9015D" w:rsidR="00B95C30" w:rsidTr="008F4163" w14:paraId="19DFC051" w14:textId="77777777">
        <w:tc>
          <w:tcPr>
            <w:tcW w:w="2689" w:type="dxa"/>
          </w:tcPr>
          <w:p w:rsidRPr="00D9015D" w:rsidR="00B95C30" w:rsidP="008F4163" w:rsidRDefault="00B95C30" w14:paraId="6BC0D1AC" w14:textId="77777777">
            <w:pPr>
              <w:jc w:val="both"/>
              <w:rPr>
                <w:rFonts w:ascii="Arial" w:hAnsi="Arial" w:eastAsia="Calibri" w:cs="Arial"/>
                <w:color w:val="000000" w:themeColor="text1"/>
                <w:sz w:val="22"/>
                <w:lang w:val="es-ES_tradnl"/>
              </w:rPr>
            </w:pPr>
            <w:r w:rsidRPr="00D9015D">
              <w:rPr>
                <w:rFonts w:ascii="Arial" w:hAnsi="Arial" w:eastAsia="Calibri" w:cs="Arial"/>
                <w:b/>
                <w:color w:val="000000" w:themeColor="text1"/>
                <w:sz w:val="22"/>
                <w:lang w:val="es-ES_tradnl"/>
              </w:rPr>
              <w:t>Temas:</w:t>
            </w:r>
            <w:r w:rsidRPr="00D9015D">
              <w:rPr>
                <w:rFonts w:ascii="Arial" w:hAnsi="Arial" w:eastAsia="Calibri" w:cs="Arial"/>
                <w:color w:val="000000" w:themeColor="text1"/>
                <w:sz w:val="22"/>
                <w:lang w:val="es-ES_tradnl"/>
              </w:rPr>
              <w:t xml:space="preserve">                                      </w:t>
            </w:r>
          </w:p>
        </w:tc>
        <w:tc>
          <w:tcPr>
            <w:tcW w:w="6237" w:type="dxa"/>
          </w:tcPr>
          <w:p w:rsidRPr="00D9015D" w:rsidR="00B95C30" w:rsidP="008F4163" w:rsidRDefault="008B63FE" w14:paraId="5F389CAF" w14:textId="7BB570F2">
            <w:pPr>
              <w:jc w:val="both"/>
              <w:rPr>
                <w:rFonts w:ascii="Arial" w:hAnsi="Arial" w:eastAsia="Calibri" w:cs="Arial"/>
                <w:color w:val="000000" w:themeColor="text1"/>
                <w:sz w:val="22"/>
                <w:lang w:val="es-ES_tradnl"/>
              </w:rPr>
            </w:pPr>
            <w:r w:rsidRPr="00D9015D">
              <w:rPr>
                <w:rFonts w:ascii="Arial" w:hAnsi="Arial" w:eastAsia="Calibri" w:cs="Arial"/>
                <w:bCs/>
                <w:sz w:val="22"/>
                <w:lang w:val="es-ES_tradnl"/>
              </w:rPr>
              <w:t xml:space="preserve">SELECCIÓN OBJETIVA – Contratación estatal – Concepto </w:t>
            </w:r>
            <w:r w:rsidRPr="00D9015D" w:rsidR="00B95C30">
              <w:rPr>
                <w:rFonts w:ascii="Arial" w:hAnsi="Arial" w:eastAsia="Calibri" w:cs="Arial"/>
                <w:bCs/>
                <w:sz w:val="22"/>
                <w:lang w:val="es-ES_tradnl"/>
              </w:rPr>
              <w:t>/</w:t>
            </w:r>
            <w:r w:rsidRPr="00D9015D">
              <w:rPr>
                <w:rFonts w:ascii="Arial" w:hAnsi="Arial" w:eastAsia="Calibri" w:cs="Arial"/>
                <w:bCs/>
                <w:sz w:val="22"/>
                <w:lang w:val="es-ES_tradnl"/>
              </w:rPr>
              <w:t xml:space="preserve"> EMPATE – Procedimiento de selección – Concepto / FACTORES DE DESEMPATE – Características – Límites / LEY DE EMPRENDIMIENTO – Ley </w:t>
            </w:r>
            <w:r w:rsidR="006A538C">
              <w:rPr>
                <w:rFonts w:ascii="Arial" w:hAnsi="Arial" w:eastAsia="Calibri" w:cs="Arial"/>
                <w:bCs/>
                <w:sz w:val="22"/>
                <w:lang w:val="es-ES_tradnl"/>
              </w:rPr>
              <w:t>2069</w:t>
            </w:r>
            <w:r w:rsidRPr="00D9015D">
              <w:rPr>
                <w:rFonts w:ascii="Arial" w:hAnsi="Arial" w:eastAsia="Calibri" w:cs="Arial"/>
                <w:bCs/>
                <w:sz w:val="22"/>
                <w:lang w:val="es-ES_tradnl"/>
              </w:rPr>
              <w:t xml:space="preserve"> de 2020 – Vigencia / FACTORES DE DESEMPATE – Ley </w:t>
            </w:r>
            <w:r w:rsidR="006A538C">
              <w:rPr>
                <w:rFonts w:ascii="Arial" w:hAnsi="Arial" w:eastAsia="Calibri" w:cs="Arial"/>
                <w:bCs/>
                <w:sz w:val="22"/>
                <w:lang w:val="es-ES_tradnl"/>
              </w:rPr>
              <w:t>2069</w:t>
            </w:r>
            <w:r w:rsidRPr="00D9015D">
              <w:rPr>
                <w:rFonts w:ascii="Arial" w:hAnsi="Arial" w:eastAsia="Calibri" w:cs="Arial"/>
                <w:bCs/>
                <w:sz w:val="22"/>
                <w:lang w:val="es-ES_tradnl"/>
              </w:rPr>
              <w:t xml:space="preserve"> – Artículo 35 – Acreditación</w:t>
            </w:r>
            <w:r w:rsidRPr="00D9015D" w:rsidR="00B95C30">
              <w:rPr>
                <w:rFonts w:ascii="Arial" w:hAnsi="Arial" w:eastAsia="Arial" w:cs="Arial"/>
                <w:sz w:val="22"/>
                <w:lang w:val="es-ES_tradnl"/>
              </w:rPr>
              <w:t>.</w:t>
            </w:r>
          </w:p>
        </w:tc>
      </w:tr>
      <w:tr w:rsidRPr="00D9015D" w:rsidR="00B95C30" w:rsidTr="008F4163" w14:paraId="27CD52AB" w14:textId="77777777">
        <w:tc>
          <w:tcPr>
            <w:tcW w:w="2689" w:type="dxa"/>
          </w:tcPr>
          <w:p w:rsidRPr="00D9015D" w:rsidR="00B95C30" w:rsidP="008F4163" w:rsidRDefault="00B95C30" w14:paraId="37E195A1" w14:textId="1BA218D5">
            <w:pPr>
              <w:spacing w:before="120"/>
              <w:jc w:val="both"/>
              <w:rPr>
                <w:rFonts w:ascii="Arial" w:hAnsi="Arial" w:eastAsia="Calibri" w:cs="Arial"/>
                <w:b/>
                <w:color w:val="000000" w:themeColor="text1"/>
                <w:sz w:val="22"/>
                <w:lang w:val="es-ES_tradnl"/>
              </w:rPr>
            </w:pPr>
            <w:r w:rsidRPr="00D9015D">
              <w:rPr>
                <w:rFonts w:ascii="Arial" w:hAnsi="Arial" w:eastAsia="Calibri" w:cs="Arial"/>
                <w:b/>
                <w:color w:val="000000" w:themeColor="text1"/>
                <w:sz w:val="22"/>
                <w:lang w:val="es-ES_tradnl"/>
              </w:rPr>
              <w:t>Radicación:</w:t>
            </w:r>
            <w:r w:rsidRPr="00D9015D">
              <w:rPr>
                <w:rFonts w:ascii="Arial" w:hAnsi="Arial" w:eastAsia="Calibri" w:cs="Arial"/>
                <w:color w:val="000000" w:themeColor="text1"/>
                <w:sz w:val="22"/>
                <w:lang w:val="es-ES_tradnl"/>
              </w:rPr>
              <w:t xml:space="preserve">                              </w:t>
            </w:r>
          </w:p>
        </w:tc>
        <w:tc>
          <w:tcPr>
            <w:tcW w:w="6237" w:type="dxa"/>
          </w:tcPr>
          <w:p w:rsidRPr="00D9015D" w:rsidR="00B95C30" w:rsidP="008F4163" w:rsidRDefault="00B95C30" w14:paraId="09088B1B" w14:textId="6E5B1000">
            <w:pPr>
              <w:spacing w:before="120"/>
              <w:jc w:val="both"/>
              <w:rPr>
                <w:rFonts w:ascii="Arial" w:hAnsi="Arial" w:eastAsia="Calibri" w:cs="Arial"/>
                <w:color w:val="000000" w:themeColor="text1"/>
                <w:sz w:val="22"/>
                <w:lang w:val="es-ES_tradnl"/>
              </w:rPr>
            </w:pPr>
            <w:r w:rsidRPr="00D9015D">
              <w:rPr>
                <w:rFonts w:ascii="Arial" w:hAnsi="Arial" w:eastAsia="Calibri" w:cs="Arial"/>
                <w:color w:val="000000" w:themeColor="text1"/>
                <w:sz w:val="22"/>
                <w:lang w:val="es-ES_tradnl"/>
              </w:rPr>
              <w:t xml:space="preserve">Respuesta a consulta # </w:t>
            </w:r>
            <w:r w:rsidRPr="0030341E" w:rsidR="0030341E">
              <w:rPr>
                <w:rFonts w:ascii="Arial" w:hAnsi="Arial" w:eastAsia="Calibri" w:cs="Arial"/>
                <w:color w:val="000000" w:themeColor="text1"/>
                <w:sz w:val="22"/>
                <w:lang w:val="es-ES_tradnl"/>
              </w:rPr>
              <w:t>P20210114000256</w:t>
            </w:r>
          </w:p>
        </w:tc>
      </w:tr>
    </w:tbl>
    <w:p w:rsidR="000A3E06" w:rsidP="003C3339" w:rsidRDefault="000A3E06" w14:paraId="15289A31" w14:textId="77777777">
      <w:pPr>
        <w:jc w:val="both"/>
        <w:rPr>
          <w:rFonts w:ascii="Arial" w:hAnsi="Arial" w:eastAsia="Calibri" w:cs="Arial"/>
          <w:color w:val="000000" w:themeColor="text1"/>
          <w:sz w:val="22"/>
          <w:lang w:val="es-ES_tradnl"/>
        </w:rPr>
      </w:pPr>
    </w:p>
    <w:p w:rsidR="000A3E06" w:rsidP="003C3339" w:rsidRDefault="000A3E06" w14:paraId="672163A3" w14:textId="77777777">
      <w:pPr>
        <w:jc w:val="both"/>
        <w:rPr>
          <w:rFonts w:ascii="Arial" w:hAnsi="Arial" w:eastAsia="Calibri" w:cs="Arial"/>
          <w:color w:val="000000" w:themeColor="text1"/>
          <w:sz w:val="22"/>
          <w:lang w:val="es-ES_tradnl"/>
        </w:rPr>
      </w:pPr>
    </w:p>
    <w:p w:rsidRPr="00D9015D" w:rsidR="003C3339" w:rsidP="003C3339" w:rsidRDefault="003C3339" w14:paraId="1CF4AEA0" w14:textId="51AFFA47">
      <w:pPr>
        <w:jc w:val="both"/>
        <w:rPr>
          <w:rFonts w:ascii="Arial" w:hAnsi="Arial" w:eastAsia="Calibri" w:cs="Arial"/>
          <w:color w:val="000000" w:themeColor="text1"/>
          <w:sz w:val="22"/>
          <w:lang w:val="es-ES_tradnl"/>
        </w:rPr>
      </w:pPr>
      <w:r w:rsidRPr="00D9015D">
        <w:rPr>
          <w:rFonts w:ascii="Arial" w:hAnsi="Arial" w:eastAsia="Calibri" w:cs="Arial"/>
          <w:color w:val="000000" w:themeColor="text1"/>
          <w:sz w:val="22"/>
          <w:lang w:val="es-ES_tradnl"/>
        </w:rPr>
        <w:t>Estimad</w:t>
      </w:r>
      <w:r w:rsidR="00342837">
        <w:rPr>
          <w:rFonts w:ascii="Arial" w:hAnsi="Arial" w:eastAsia="Calibri" w:cs="Arial"/>
          <w:color w:val="000000" w:themeColor="text1"/>
          <w:sz w:val="22"/>
          <w:lang w:val="es-ES_tradnl"/>
        </w:rPr>
        <w:t>a</w:t>
      </w:r>
      <w:r w:rsidRPr="00D9015D">
        <w:rPr>
          <w:rFonts w:ascii="Arial" w:hAnsi="Arial" w:eastAsia="Calibri" w:cs="Arial"/>
          <w:color w:val="000000" w:themeColor="text1"/>
          <w:sz w:val="22"/>
          <w:lang w:val="es-ES_tradnl"/>
        </w:rPr>
        <w:t xml:space="preserve"> </w:t>
      </w:r>
      <w:r w:rsidRPr="00D9015D" w:rsidR="0063732C">
        <w:rPr>
          <w:rFonts w:ascii="Arial" w:hAnsi="Arial" w:eastAsia="Calibri" w:cs="Arial"/>
          <w:color w:val="000000" w:themeColor="text1"/>
          <w:sz w:val="22"/>
          <w:lang w:val="es-ES_tradnl"/>
        </w:rPr>
        <w:t>señor</w:t>
      </w:r>
      <w:r w:rsidR="00342837">
        <w:rPr>
          <w:rFonts w:ascii="Arial" w:hAnsi="Arial" w:eastAsia="Calibri" w:cs="Arial"/>
          <w:color w:val="000000" w:themeColor="text1"/>
          <w:sz w:val="22"/>
          <w:lang w:val="es-ES_tradnl"/>
        </w:rPr>
        <w:t>a</w:t>
      </w:r>
      <w:r w:rsidRPr="00D9015D" w:rsidR="00BE4FBF">
        <w:rPr>
          <w:rFonts w:ascii="Arial" w:hAnsi="Arial" w:eastAsia="Calibri" w:cs="Arial"/>
          <w:color w:val="000000" w:themeColor="text1"/>
          <w:sz w:val="22"/>
          <w:lang w:val="es-ES_tradnl"/>
        </w:rPr>
        <w:t xml:space="preserve"> </w:t>
      </w:r>
      <w:r w:rsidR="00342837">
        <w:rPr>
          <w:rFonts w:ascii="Arial" w:hAnsi="Arial" w:eastAsia="Calibri" w:cs="Arial"/>
          <w:color w:val="000000" w:themeColor="text1"/>
          <w:sz w:val="22"/>
          <w:lang w:val="es-ES_tradnl"/>
        </w:rPr>
        <w:t>Cárdenas</w:t>
      </w:r>
      <w:r w:rsidRPr="00D9015D">
        <w:rPr>
          <w:rFonts w:ascii="Arial" w:hAnsi="Arial" w:eastAsia="Calibri" w:cs="Arial"/>
          <w:color w:val="000000" w:themeColor="text1"/>
          <w:sz w:val="22"/>
          <w:lang w:val="es-ES_tradnl"/>
        </w:rPr>
        <w:t>:</w:t>
      </w:r>
    </w:p>
    <w:p w:rsidRPr="00D9015D" w:rsidR="00DD5B04" w:rsidP="00DF76A2" w:rsidRDefault="00DD5B04" w14:paraId="1EAE5543" w14:textId="77777777">
      <w:pPr>
        <w:jc w:val="both"/>
        <w:rPr>
          <w:rFonts w:ascii="Arial" w:hAnsi="Arial" w:eastAsia="Calibri" w:cs="Arial"/>
          <w:color w:val="000000" w:themeColor="text1"/>
          <w:sz w:val="22"/>
          <w:lang w:val="es-ES_tradnl"/>
        </w:rPr>
      </w:pPr>
    </w:p>
    <w:p w:rsidRPr="00D9015D" w:rsidR="00DD5B04" w:rsidP="00DF76A2" w:rsidRDefault="00DD5B04" w14:paraId="2109B2D3" w14:textId="14193A7D">
      <w:pPr>
        <w:spacing w:line="276" w:lineRule="auto"/>
        <w:jc w:val="both"/>
        <w:rPr>
          <w:rFonts w:ascii="Arial" w:hAnsi="Arial" w:eastAsia="Calibri" w:cs="Arial"/>
          <w:color w:val="000000" w:themeColor="text1"/>
          <w:sz w:val="22"/>
          <w:lang w:val="es-ES_tradnl"/>
        </w:rPr>
      </w:pPr>
      <w:r w:rsidRPr="00D9015D">
        <w:rPr>
          <w:rFonts w:ascii="Arial" w:hAnsi="Arial" w:eastAsia="Calibri" w:cs="Arial"/>
          <w:color w:val="000000" w:themeColor="text1"/>
          <w:sz w:val="22"/>
          <w:lang w:val="es-ES_tradnl"/>
        </w:rPr>
        <w:t>En ejercicio de la competencia otorgada por el numeral 8 del artículo 11 y el numeral 5 del artículo 3 del Decreto Ley 4170 de 2011, la Agencia Nacional de Contratación Pública ― Colombia Compra Eficiente</w:t>
      </w:r>
      <w:r w:rsidRPr="00D9015D" w:rsidR="008C3C57">
        <w:rPr>
          <w:rFonts w:ascii="Arial" w:hAnsi="Arial" w:eastAsia="Calibri" w:cs="Arial"/>
          <w:color w:val="000000" w:themeColor="text1"/>
          <w:sz w:val="22"/>
          <w:lang w:val="es-ES_tradnl"/>
        </w:rPr>
        <w:t xml:space="preserve"> </w:t>
      </w:r>
      <w:r w:rsidRPr="00D9015D">
        <w:rPr>
          <w:rFonts w:ascii="Arial" w:hAnsi="Arial" w:eastAsia="Calibri" w:cs="Arial"/>
          <w:color w:val="000000" w:themeColor="text1"/>
          <w:sz w:val="22"/>
          <w:lang w:val="es-ES_tradnl"/>
        </w:rPr>
        <w:t xml:space="preserve">responde su consulta del </w:t>
      </w:r>
      <w:r w:rsidRPr="00D9015D" w:rsidR="005363C6">
        <w:rPr>
          <w:rFonts w:ascii="Arial" w:hAnsi="Arial" w:eastAsia="Calibri" w:cs="Arial"/>
          <w:color w:val="000000" w:themeColor="text1"/>
          <w:sz w:val="22"/>
          <w:lang w:val="es-ES_tradnl"/>
        </w:rPr>
        <w:t>1</w:t>
      </w:r>
      <w:r w:rsidR="001D4CAD">
        <w:rPr>
          <w:rFonts w:ascii="Arial" w:hAnsi="Arial" w:eastAsia="Calibri" w:cs="Arial"/>
          <w:color w:val="000000" w:themeColor="text1"/>
          <w:sz w:val="22"/>
          <w:lang w:val="es-ES_tradnl"/>
        </w:rPr>
        <w:t>4</w:t>
      </w:r>
      <w:r w:rsidRPr="00D9015D" w:rsidR="00FD4AF3">
        <w:rPr>
          <w:rFonts w:ascii="Arial" w:hAnsi="Arial" w:eastAsia="Calibri" w:cs="Arial"/>
          <w:color w:val="000000" w:themeColor="text1"/>
          <w:sz w:val="22"/>
          <w:lang w:val="es-ES_tradnl"/>
        </w:rPr>
        <w:t xml:space="preserve"> de </w:t>
      </w:r>
      <w:r w:rsidRPr="00D9015D" w:rsidR="00FB0880">
        <w:rPr>
          <w:rFonts w:ascii="Arial" w:hAnsi="Arial" w:eastAsia="Calibri" w:cs="Arial"/>
          <w:color w:val="000000" w:themeColor="text1"/>
          <w:sz w:val="22"/>
          <w:lang w:val="es-ES_tradnl"/>
        </w:rPr>
        <w:t>enero</w:t>
      </w:r>
      <w:r w:rsidRPr="00D9015D">
        <w:rPr>
          <w:rFonts w:ascii="Arial" w:hAnsi="Arial" w:eastAsia="Calibri" w:cs="Arial"/>
          <w:color w:val="000000" w:themeColor="text1"/>
          <w:sz w:val="22"/>
          <w:lang w:val="es-ES_tradnl"/>
        </w:rPr>
        <w:t xml:space="preserve"> del</w:t>
      </w:r>
      <w:r w:rsidRPr="00D9015D" w:rsidR="007E74BF">
        <w:rPr>
          <w:rFonts w:ascii="Arial" w:hAnsi="Arial" w:eastAsia="Calibri" w:cs="Arial"/>
          <w:color w:val="000000" w:themeColor="text1"/>
          <w:sz w:val="22"/>
          <w:lang w:val="es-ES_tradnl"/>
        </w:rPr>
        <w:t xml:space="preserve"> </w:t>
      </w:r>
      <w:r w:rsidRPr="00D9015D">
        <w:rPr>
          <w:rFonts w:ascii="Arial" w:hAnsi="Arial" w:eastAsia="Calibri" w:cs="Arial"/>
          <w:color w:val="000000" w:themeColor="text1"/>
          <w:sz w:val="22"/>
          <w:lang w:val="es-ES_tradnl"/>
        </w:rPr>
        <w:t>202</w:t>
      </w:r>
      <w:r w:rsidRPr="00D9015D" w:rsidR="00FB0880">
        <w:rPr>
          <w:rFonts w:ascii="Arial" w:hAnsi="Arial" w:eastAsia="Calibri" w:cs="Arial"/>
          <w:color w:val="000000" w:themeColor="text1"/>
          <w:sz w:val="22"/>
          <w:lang w:val="es-ES_tradnl"/>
        </w:rPr>
        <w:t>1</w:t>
      </w:r>
      <w:r w:rsidRPr="00D9015D" w:rsidR="008C3C57">
        <w:rPr>
          <w:rFonts w:ascii="Arial" w:hAnsi="Arial" w:eastAsia="Calibri" w:cs="Arial"/>
          <w:color w:val="000000" w:themeColor="text1"/>
          <w:sz w:val="22"/>
          <w:lang w:val="es-ES_tradnl"/>
        </w:rPr>
        <w:t>.</w:t>
      </w:r>
    </w:p>
    <w:p w:rsidRPr="00D9015D" w:rsidR="00DD5B04" w:rsidP="00DF76A2" w:rsidRDefault="00DD5B04" w14:paraId="0C1E0712" w14:textId="77777777">
      <w:pPr>
        <w:spacing w:line="276" w:lineRule="auto"/>
        <w:jc w:val="both"/>
        <w:rPr>
          <w:rFonts w:ascii="Arial" w:hAnsi="Arial" w:eastAsia="Calibri" w:cs="Arial"/>
          <w:b/>
          <w:color w:val="000000" w:themeColor="text1"/>
          <w:sz w:val="22"/>
          <w:lang w:val="es-ES_tradnl"/>
        </w:rPr>
      </w:pPr>
    </w:p>
    <w:p w:rsidRPr="00D9015D" w:rsidR="00DD5B04" w:rsidP="00DF76A2" w:rsidRDefault="00DD5B04" w14:paraId="7701FCC7" w14:textId="77777777">
      <w:pPr>
        <w:pStyle w:val="Prrafodelista"/>
        <w:numPr>
          <w:ilvl w:val="0"/>
          <w:numId w:val="8"/>
        </w:numPr>
        <w:tabs>
          <w:tab w:val="left" w:pos="0"/>
          <w:tab w:val="left" w:pos="142"/>
          <w:tab w:val="left" w:pos="284"/>
        </w:tabs>
        <w:spacing w:line="276" w:lineRule="auto"/>
        <w:ind w:left="0" w:firstLine="0"/>
        <w:jc w:val="both"/>
        <w:rPr>
          <w:rFonts w:ascii="Arial" w:hAnsi="Arial" w:eastAsia="Calibri" w:cs="Arial"/>
          <w:b/>
          <w:color w:val="000000" w:themeColor="text1"/>
          <w:sz w:val="22"/>
          <w:lang w:val="es-ES_tradnl"/>
        </w:rPr>
      </w:pPr>
      <w:r w:rsidRPr="00D9015D">
        <w:rPr>
          <w:rFonts w:ascii="Arial" w:hAnsi="Arial" w:eastAsia="Calibri" w:cs="Arial"/>
          <w:b/>
          <w:color w:val="000000" w:themeColor="text1"/>
          <w:sz w:val="22"/>
          <w:lang w:val="es-ES_tradnl"/>
        </w:rPr>
        <w:t xml:space="preserve">Problema planteado </w:t>
      </w:r>
    </w:p>
    <w:p w:rsidRPr="00D9015D" w:rsidR="00DD5B04" w:rsidP="00DF76A2" w:rsidRDefault="00DD5B04" w14:paraId="224B43D3" w14:textId="77777777">
      <w:pPr>
        <w:tabs>
          <w:tab w:val="left" w:pos="426"/>
        </w:tabs>
        <w:spacing w:line="276" w:lineRule="auto"/>
        <w:jc w:val="both"/>
        <w:rPr>
          <w:rFonts w:ascii="Arial" w:hAnsi="Arial" w:eastAsia="Calibri" w:cs="Arial"/>
          <w:b/>
          <w:color w:val="000000" w:themeColor="text1"/>
          <w:sz w:val="22"/>
          <w:lang w:val="es-ES_tradnl"/>
        </w:rPr>
      </w:pPr>
    </w:p>
    <w:p w:rsidRPr="00D9015D" w:rsidR="00443B55" w:rsidP="0099583D" w:rsidRDefault="00DD5B04" w14:paraId="3C575DE9" w14:textId="7003425A">
      <w:pPr>
        <w:spacing w:line="276" w:lineRule="auto"/>
        <w:jc w:val="both"/>
        <w:rPr>
          <w:rFonts w:ascii="Arial" w:hAnsi="Arial" w:cs="Arial"/>
          <w:color w:val="000000" w:themeColor="text1"/>
          <w:sz w:val="22"/>
          <w:lang w:val="es-ES_tradnl"/>
        </w:rPr>
      </w:pPr>
      <w:r w:rsidRPr="00D9015D">
        <w:rPr>
          <w:rFonts w:ascii="Arial" w:hAnsi="Arial" w:cs="Arial"/>
          <w:color w:val="000000" w:themeColor="text1"/>
          <w:sz w:val="22"/>
          <w:lang w:val="es-ES_tradnl"/>
        </w:rPr>
        <w:t xml:space="preserve">Usted </w:t>
      </w:r>
      <w:r w:rsidRPr="00D9015D" w:rsidR="00B422C0">
        <w:rPr>
          <w:rFonts w:ascii="Arial" w:hAnsi="Arial" w:cs="Arial"/>
          <w:color w:val="000000" w:themeColor="text1"/>
          <w:sz w:val="22"/>
          <w:lang w:val="es-ES_tradnl"/>
        </w:rPr>
        <w:t>formula</w:t>
      </w:r>
      <w:r w:rsidRPr="00D9015D" w:rsidR="006D46A3">
        <w:rPr>
          <w:rFonts w:ascii="Arial" w:hAnsi="Arial" w:cs="Arial"/>
          <w:color w:val="000000" w:themeColor="text1"/>
          <w:sz w:val="22"/>
          <w:lang w:val="es-ES_tradnl"/>
        </w:rPr>
        <w:t xml:space="preserve"> la</w:t>
      </w:r>
      <w:r w:rsidRPr="00D9015D" w:rsidR="00602931">
        <w:rPr>
          <w:rFonts w:ascii="Arial" w:hAnsi="Arial" w:cs="Arial"/>
          <w:color w:val="000000" w:themeColor="text1"/>
          <w:sz w:val="22"/>
          <w:lang w:val="es-ES_tradnl"/>
        </w:rPr>
        <w:t>s</w:t>
      </w:r>
      <w:r w:rsidRPr="00D9015D" w:rsidR="006D46A3">
        <w:rPr>
          <w:rFonts w:ascii="Arial" w:hAnsi="Arial" w:cs="Arial"/>
          <w:color w:val="000000" w:themeColor="text1"/>
          <w:sz w:val="22"/>
          <w:lang w:val="es-ES_tradnl"/>
        </w:rPr>
        <w:t xml:space="preserve"> siguiente</w:t>
      </w:r>
      <w:r w:rsidRPr="00D9015D" w:rsidR="00602931">
        <w:rPr>
          <w:rFonts w:ascii="Arial" w:hAnsi="Arial" w:cs="Arial"/>
          <w:color w:val="000000" w:themeColor="text1"/>
          <w:sz w:val="22"/>
          <w:lang w:val="es-ES_tradnl"/>
        </w:rPr>
        <w:t>s</w:t>
      </w:r>
      <w:r w:rsidRPr="00D9015D" w:rsidR="00C028F5">
        <w:rPr>
          <w:rFonts w:ascii="Arial" w:hAnsi="Arial" w:cs="Arial"/>
          <w:color w:val="000000" w:themeColor="text1"/>
          <w:sz w:val="22"/>
          <w:lang w:val="es-ES_tradnl"/>
        </w:rPr>
        <w:t xml:space="preserve"> </w:t>
      </w:r>
      <w:r w:rsidRPr="00D9015D" w:rsidR="00602931">
        <w:rPr>
          <w:rFonts w:ascii="Arial" w:hAnsi="Arial" w:cs="Arial"/>
          <w:color w:val="000000" w:themeColor="text1"/>
          <w:sz w:val="22"/>
          <w:lang w:val="es-ES_tradnl"/>
        </w:rPr>
        <w:t>preguntas</w:t>
      </w:r>
      <w:r w:rsidRPr="00D9015D" w:rsidR="00FB0880">
        <w:rPr>
          <w:rFonts w:ascii="Arial" w:hAnsi="Arial" w:cs="Arial"/>
          <w:color w:val="000000" w:themeColor="text1"/>
          <w:sz w:val="22"/>
          <w:lang w:val="es-ES_tradnl"/>
        </w:rPr>
        <w:t>, relacionada</w:t>
      </w:r>
      <w:r w:rsidRPr="00D9015D" w:rsidR="00602931">
        <w:rPr>
          <w:rFonts w:ascii="Arial" w:hAnsi="Arial" w:cs="Arial"/>
          <w:color w:val="000000" w:themeColor="text1"/>
          <w:sz w:val="22"/>
          <w:lang w:val="es-ES_tradnl"/>
        </w:rPr>
        <w:t>s</w:t>
      </w:r>
      <w:r w:rsidRPr="00D9015D" w:rsidR="00FB0880">
        <w:rPr>
          <w:rFonts w:ascii="Arial" w:hAnsi="Arial" w:cs="Arial"/>
          <w:color w:val="000000" w:themeColor="text1"/>
          <w:sz w:val="22"/>
          <w:lang w:val="es-ES_tradnl"/>
        </w:rPr>
        <w:t xml:space="preserve"> con el contenido del artículo 35 de la Ley </w:t>
      </w:r>
      <w:r w:rsidR="006A538C">
        <w:rPr>
          <w:rFonts w:ascii="Arial" w:hAnsi="Arial" w:cs="Arial"/>
          <w:color w:val="000000" w:themeColor="text1"/>
          <w:sz w:val="22"/>
          <w:lang w:val="es-ES_tradnl"/>
        </w:rPr>
        <w:t>2069</w:t>
      </w:r>
      <w:r w:rsidRPr="00D9015D" w:rsidR="00FB0880">
        <w:rPr>
          <w:rFonts w:ascii="Arial" w:hAnsi="Arial" w:cs="Arial"/>
          <w:color w:val="000000" w:themeColor="text1"/>
          <w:sz w:val="22"/>
          <w:lang w:val="es-ES_tradnl"/>
        </w:rPr>
        <w:t xml:space="preserve"> de 2020</w:t>
      </w:r>
      <w:r w:rsidRPr="00D9015D" w:rsidR="00716630">
        <w:rPr>
          <w:rFonts w:ascii="Arial" w:hAnsi="Arial" w:cs="Arial"/>
          <w:color w:val="000000" w:themeColor="text1"/>
          <w:sz w:val="22"/>
          <w:lang w:val="es-ES_tradnl"/>
        </w:rPr>
        <w:t>, «Por medio de la cual se impulsa el emprendimiento en Colombia»</w:t>
      </w:r>
      <w:r w:rsidRPr="00D9015D" w:rsidR="00B422C0">
        <w:rPr>
          <w:rFonts w:ascii="Arial" w:hAnsi="Arial" w:cs="Arial"/>
          <w:color w:val="000000" w:themeColor="text1"/>
          <w:sz w:val="22"/>
          <w:lang w:val="es-ES_tradnl"/>
        </w:rPr>
        <w:t>:</w:t>
      </w:r>
      <w:r w:rsidRPr="00D9015D" w:rsidR="007E18DF">
        <w:rPr>
          <w:rFonts w:ascii="Arial" w:hAnsi="Arial" w:cs="Arial"/>
          <w:color w:val="000000" w:themeColor="text1"/>
          <w:sz w:val="22"/>
          <w:lang w:val="es-ES_tradnl"/>
        </w:rPr>
        <w:t xml:space="preserve"> </w:t>
      </w:r>
    </w:p>
    <w:p w:rsidRPr="00D9015D" w:rsidR="00443B55" w:rsidP="0099583D" w:rsidRDefault="00443B55" w14:paraId="559EE20C" w14:textId="77777777">
      <w:pPr>
        <w:spacing w:line="276" w:lineRule="auto"/>
        <w:jc w:val="both"/>
        <w:rPr>
          <w:rFonts w:ascii="Arial" w:hAnsi="Arial" w:cs="Arial"/>
          <w:color w:val="000000" w:themeColor="text1"/>
          <w:sz w:val="22"/>
          <w:lang w:val="es-ES_tradnl"/>
        </w:rPr>
      </w:pPr>
    </w:p>
    <w:p w:rsidR="00D95F31" w:rsidP="00D95F31" w:rsidRDefault="001C79A4" w14:paraId="5DDF6E5A" w14:textId="4CD0131B">
      <w:pPr>
        <w:ind w:left="709" w:right="709"/>
        <w:jc w:val="both"/>
        <w:rPr>
          <w:rFonts w:ascii="Arial" w:hAnsi="Arial" w:cs="Arial"/>
          <w:color w:val="000000" w:themeColor="text1"/>
          <w:sz w:val="21"/>
          <w:szCs w:val="21"/>
          <w:lang w:val="es-ES_tradnl"/>
        </w:rPr>
      </w:pPr>
      <w:r w:rsidRPr="00D9015D">
        <w:rPr>
          <w:rFonts w:ascii="Arial" w:hAnsi="Arial" w:cs="Arial"/>
          <w:color w:val="000000" w:themeColor="text1"/>
          <w:sz w:val="21"/>
          <w:szCs w:val="21"/>
          <w:lang w:val="es-ES_tradnl"/>
        </w:rPr>
        <w:t>«</w:t>
      </w:r>
      <w:r w:rsidRPr="00D95F31" w:rsidR="00D95F31">
        <w:rPr>
          <w:rFonts w:ascii="Arial" w:hAnsi="Arial" w:cs="Arial"/>
          <w:color w:val="000000" w:themeColor="text1"/>
          <w:sz w:val="21"/>
          <w:szCs w:val="21"/>
          <w:lang w:val="es-ES_tradnl"/>
        </w:rPr>
        <w:t>¿Cómo se debe solicitar en el pliego de condiciones la acreditación de la calidad de mujer cabeza de familia o víctima de la violencia intrafamiliar? ¿Mediante qué documento se acredita tal calidad? ¿Cuál autoridad es competente de certificar tal calidad?</w:t>
      </w:r>
    </w:p>
    <w:p w:rsidRPr="00D95F31" w:rsidR="00D95F31" w:rsidP="00D95F31" w:rsidRDefault="00D95F31" w14:paraId="6579E0F4" w14:textId="77777777">
      <w:pPr>
        <w:ind w:left="709" w:right="709"/>
        <w:jc w:val="both"/>
        <w:rPr>
          <w:rFonts w:ascii="Arial" w:hAnsi="Arial" w:cs="Arial"/>
          <w:color w:val="000000" w:themeColor="text1"/>
          <w:sz w:val="21"/>
          <w:szCs w:val="21"/>
          <w:lang w:val="es-ES_tradnl"/>
        </w:rPr>
      </w:pPr>
    </w:p>
    <w:p w:rsidRPr="00D95F31" w:rsidR="00D95F31" w:rsidP="00D95F31" w:rsidRDefault="005B1D7A" w14:paraId="5F996974" w14:textId="79FCF3C7">
      <w:pPr>
        <w:ind w:left="709" w:right="709"/>
        <w:jc w:val="both"/>
        <w:rPr>
          <w:rFonts w:ascii="Arial" w:hAnsi="Arial" w:cs="Arial"/>
          <w:color w:val="000000" w:themeColor="text1"/>
          <w:sz w:val="21"/>
          <w:szCs w:val="21"/>
          <w:lang w:val="es-ES_tradnl"/>
        </w:rPr>
      </w:pPr>
      <w:r>
        <w:rPr>
          <w:rFonts w:ascii="Arial" w:hAnsi="Arial" w:cs="Arial"/>
          <w:color w:val="000000" w:themeColor="text1"/>
          <w:sz w:val="21"/>
          <w:szCs w:val="21"/>
          <w:lang w:val="es-ES_tradnl"/>
        </w:rPr>
        <w:t>»</w:t>
      </w:r>
      <w:r w:rsidRPr="00D95F31" w:rsidR="00D95F31">
        <w:rPr>
          <w:rFonts w:ascii="Arial" w:hAnsi="Arial" w:cs="Arial"/>
          <w:color w:val="000000" w:themeColor="text1"/>
          <w:sz w:val="21"/>
          <w:szCs w:val="21"/>
          <w:lang w:val="es-ES_tradnl"/>
        </w:rPr>
        <w:t>Para el caso de la persona jurídica en la cual participe o participen mayoritariamente; o, la de un proponente plural constituido por mujeres cabeza de familia, mujeres víctimas de violencia intrafamiliar y/o personas jurídicas en las cuales participe o participen mayoritariamente ¿</w:t>
      </w:r>
      <w:r w:rsidRPr="00D95F31" w:rsidR="00FA082B">
        <w:rPr>
          <w:rFonts w:ascii="Arial" w:hAnsi="Arial" w:cs="Arial"/>
          <w:color w:val="000000" w:themeColor="text1"/>
          <w:sz w:val="21"/>
          <w:szCs w:val="21"/>
          <w:lang w:val="es-ES_tradnl"/>
        </w:rPr>
        <w:t>Cómo</w:t>
      </w:r>
      <w:r w:rsidRPr="00D95F31" w:rsidR="00D95F31">
        <w:rPr>
          <w:rFonts w:ascii="Arial" w:hAnsi="Arial" w:cs="Arial"/>
          <w:color w:val="000000" w:themeColor="text1"/>
          <w:sz w:val="21"/>
          <w:szCs w:val="21"/>
          <w:lang w:val="es-ES_tradnl"/>
        </w:rPr>
        <w:t xml:space="preserve"> deben las personas </w:t>
      </w:r>
      <w:r w:rsidRPr="00D95F31" w:rsidR="00FA082B">
        <w:rPr>
          <w:rFonts w:ascii="Arial" w:hAnsi="Arial" w:cs="Arial"/>
          <w:color w:val="000000" w:themeColor="text1"/>
          <w:sz w:val="21"/>
          <w:szCs w:val="21"/>
          <w:lang w:val="es-ES_tradnl"/>
        </w:rPr>
        <w:t>jurídicas</w:t>
      </w:r>
      <w:r w:rsidRPr="00D95F31" w:rsidR="00D95F31">
        <w:rPr>
          <w:rFonts w:ascii="Arial" w:hAnsi="Arial" w:cs="Arial"/>
          <w:color w:val="000000" w:themeColor="text1"/>
          <w:sz w:val="21"/>
          <w:szCs w:val="21"/>
          <w:lang w:val="es-ES_tradnl"/>
        </w:rPr>
        <w:t xml:space="preserve"> acreditar esta circunstancia? ¿Mediante qué documento? ¿</w:t>
      </w:r>
      <w:r w:rsidRPr="00D95F31" w:rsidR="00FA082B">
        <w:rPr>
          <w:rFonts w:ascii="Arial" w:hAnsi="Arial" w:cs="Arial"/>
          <w:color w:val="000000" w:themeColor="text1"/>
          <w:sz w:val="21"/>
          <w:szCs w:val="21"/>
          <w:lang w:val="es-ES_tradnl"/>
        </w:rPr>
        <w:t>Cuál</w:t>
      </w:r>
      <w:r w:rsidRPr="00D95F31" w:rsidR="00D95F31">
        <w:rPr>
          <w:rFonts w:ascii="Arial" w:hAnsi="Arial" w:cs="Arial"/>
          <w:color w:val="000000" w:themeColor="text1"/>
          <w:sz w:val="21"/>
          <w:szCs w:val="21"/>
          <w:lang w:val="es-ES_tradnl"/>
        </w:rPr>
        <w:t xml:space="preserve"> autoridad es competente de certificar tal calidad?</w:t>
      </w:r>
    </w:p>
    <w:p w:rsidR="00FA082B" w:rsidP="00D95F31" w:rsidRDefault="00FA082B" w14:paraId="71CEFC4F" w14:textId="77777777">
      <w:pPr>
        <w:ind w:left="709" w:right="709"/>
        <w:jc w:val="both"/>
        <w:rPr>
          <w:rFonts w:ascii="Arial" w:hAnsi="Arial" w:cs="Arial"/>
          <w:color w:val="000000" w:themeColor="text1"/>
          <w:sz w:val="21"/>
          <w:szCs w:val="21"/>
          <w:lang w:val="es-ES_tradnl"/>
        </w:rPr>
      </w:pPr>
    </w:p>
    <w:p w:rsidR="00D95F31" w:rsidP="00D95F31" w:rsidRDefault="005B1D7A" w14:paraId="1B6F8386" w14:textId="7821002B">
      <w:pPr>
        <w:ind w:left="709" w:right="709"/>
        <w:jc w:val="both"/>
        <w:rPr>
          <w:rFonts w:ascii="Arial" w:hAnsi="Arial" w:cs="Arial"/>
          <w:color w:val="000000" w:themeColor="text1"/>
          <w:sz w:val="21"/>
          <w:szCs w:val="21"/>
          <w:lang w:val="es-ES_tradnl"/>
        </w:rPr>
      </w:pPr>
      <w:r>
        <w:rPr>
          <w:rFonts w:ascii="Arial" w:hAnsi="Arial" w:cs="Arial"/>
          <w:color w:val="000000" w:themeColor="text1"/>
          <w:sz w:val="21"/>
          <w:szCs w:val="21"/>
          <w:lang w:val="es-ES_tradnl"/>
        </w:rPr>
        <w:lastRenderedPageBreak/>
        <w:t>»</w:t>
      </w:r>
      <w:r w:rsidRPr="00D95F31" w:rsidR="00D95F31">
        <w:rPr>
          <w:rFonts w:ascii="Arial" w:hAnsi="Arial" w:cs="Arial"/>
          <w:color w:val="000000" w:themeColor="text1"/>
          <w:sz w:val="21"/>
          <w:szCs w:val="21"/>
          <w:lang w:val="es-ES_tradnl"/>
        </w:rPr>
        <w:t>¿</w:t>
      </w:r>
      <w:r w:rsidRPr="00D95F31" w:rsidR="00FA082B">
        <w:rPr>
          <w:rFonts w:ascii="Arial" w:hAnsi="Arial" w:cs="Arial"/>
          <w:color w:val="000000" w:themeColor="text1"/>
          <w:sz w:val="21"/>
          <w:szCs w:val="21"/>
          <w:lang w:val="es-ES_tradnl"/>
        </w:rPr>
        <w:t>Cómo</w:t>
      </w:r>
      <w:r w:rsidRPr="00D95F31" w:rsidR="00D95F31">
        <w:rPr>
          <w:rFonts w:ascii="Arial" w:hAnsi="Arial" w:cs="Arial"/>
          <w:color w:val="000000" w:themeColor="text1"/>
          <w:sz w:val="21"/>
          <w:szCs w:val="21"/>
          <w:lang w:val="es-ES_tradnl"/>
        </w:rPr>
        <w:t xml:space="preserve"> se acredita la </w:t>
      </w:r>
      <w:r w:rsidRPr="00D95F31" w:rsidR="00FA082B">
        <w:rPr>
          <w:rFonts w:ascii="Arial" w:hAnsi="Arial" w:cs="Arial"/>
          <w:color w:val="000000" w:themeColor="text1"/>
          <w:sz w:val="21"/>
          <w:szCs w:val="21"/>
          <w:lang w:val="es-ES_tradnl"/>
        </w:rPr>
        <w:t>vinculación</w:t>
      </w:r>
      <w:r w:rsidRPr="00D95F31" w:rsidR="00D95F31">
        <w:rPr>
          <w:rFonts w:ascii="Arial" w:hAnsi="Arial" w:cs="Arial"/>
          <w:color w:val="000000" w:themeColor="text1"/>
          <w:sz w:val="21"/>
          <w:szCs w:val="21"/>
          <w:lang w:val="es-ES_tradnl"/>
        </w:rPr>
        <w:t xml:space="preserve"> en mayor </w:t>
      </w:r>
      <w:r w:rsidRPr="00D95F31" w:rsidR="00FA082B">
        <w:rPr>
          <w:rFonts w:ascii="Arial" w:hAnsi="Arial" w:cs="Arial"/>
          <w:color w:val="000000" w:themeColor="text1"/>
          <w:sz w:val="21"/>
          <w:szCs w:val="21"/>
          <w:lang w:val="es-ES_tradnl"/>
        </w:rPr>
        <w:t>proporción</w:t>
      </w:r>
      <w:r w:rsidRPr="00D95F31" w:rsidR="00D95F31">
        <w:rPr>
          <w:rFonts w:ascii="Arial" w:hAnsi="Arial" w:cs="Arial"/>
          <w:color w:val="000000" w:themeColor="text1"/>
          <w:sz w:val="21"/>
          <w:szCs w:val="21"/>
          <w:lang w:val="es-ES_tradnl"/>
        </w:rPr>
        <w:t xml:space="preserve"> de personas mayores que no sean beneficiarios de la </w:t>
      </w:r>
      <w:r w:rsidRPr="00D95F31" w:rsidR="00FA082B">
        <w:rPr>
          <w:rFonts w:ascii="Arial" w:hAnsi="Arial" w:cs="Arial"/>
          <w:color w:val="000000" w:themeColor="text1"/>
          <w:sz w:val="21"/>
          <w:szCs w:val="21"/>
          <w:lang w:val="es-ES_tradnl"/>
        </w:rPr>
        <w:t>pensión</w:t>
      </w:r>
      <w:r w:rsidRPr="00D95F31" w:rsidR="00D95F31">
        <w:rPr>
          <w:rFonts w:ascii="Arial" w:hAnsi="Arial" w:cs="Arial"/>
          <w:color w:val="000000" w:themeColor="text1"/>
          <w:sz w:val="21"/>
          <w:szCs w:val="21"/>
          <w:lang w:val="es-ES_tradnl"/>
        </w:rPr>
        <w:t xml:space="preserve"> de vejez, familiar o de sobrevivencia y que hayan cumplido el requisito de edad de </w:t>
      </w:r>
      <w:r w:rsidRPr="00D95F31" w:rsidR="00FA082B">
        <w:rPr>
          <w:rFonts w:ascii="Arial" w:hAnsi="Arial" w:cs="Arial"/>
          <w:color w:val="000000" w:themeColor="text1"/>
          <w:sz w:val="21"/>
          <w:szCs w:val="21"/>
          <w:lang w:val="es-ES_tradnl"/>
        </w:rPr>
        <w:t>pensión</w:t>
      </w:r>
      <w:r w:rsidRPr="00D95F31" w:rsidR="00D95F31">
        <w:rPr>
          <w:rFonts w:ascii="Arial" w:hAnsi="Arial" w:cs="Arial"/>
          <w:color w:val="000000" w:themeColor="text1"/>
          <w:sz w:val="21"/>
          <w:szCs w:val="21"/>
          <w:lang w:val="es-ES_tradnl"/>
        </w:rPr>
        <w:t xml:space="preserve"> establecido en la Ley? ¿</w:t>
      </w:r>
      <w:r w:rsidRPr="00D95F31" w:rsidR="00FA082B">
        <w:rPr>
          <w:rFonts w:ascii="Arial" w:hAnsi="Arial" w:cs="Arial"/>
          <w:color w:val="000000" w:themeColor="text1"/>
          <w:sz w:val="21"/>
          <w:szCs w:val="21"/>
          <w:lang w:val="es-ES_tradnl"/>
        </w:rPr>
        <w:t>Cuál</w:t>
      </w:r>
      <w:r w:rsidRPr="00D95F31" w:rsidR="00D95F31">
        <w:rPr>
          <w:rFonts w:ascii="Arial" w:hAnsi="Arial" w:cs="Arial"/>
          <w:color w:val="000000" w:themeColor="text1"/>
          <w:sz w:val="21"/>
          <w:szCs w:val="21"/>
          <w:lang w:val="es-ES_tradnl"/>
        </w:rPr>
        <w:t xml:space="preserve"> autoridad es competente de certificar tal calidad?</w:t>
      </w:r>
    </w:p>
    <w:p w:rsidRPr="00D95F31" w:rsidR="00FA082B" w:rsidP="00D95F31" w:rsidRDefault="00FA082B" w14:paraId="0E404D63" w14:textId="77777777">
      <w:pPr>
        <w:ind w:left="709" w:right="709"/>
        <w:jc w:val="both"/>
        <w:rPr>
          <w:rFonts w:ascii="Arial" w:hAnsi="Arial" w:cs="Arial"/>
          <w:color w:val="000000" w:themeColor="text1"/>
          <w:sz w:val="21"/>
          <w:szCs w:val="21"/>
          <w:lang w:val="es-ES_tradnl"/>
        </w:rPr>
      </w:pPr>
    </w:p>
    <w:p w:rsidR="00FA082B" w:rsidP="00D95F31" w:rsidRDefault="005B1D7A" w14:paraId="220DF547" w14:textId="25105A99">
      <w:pPr>
        <w:ind w:left="709" w:right="709"/>
        <w:jc w:val="both"/>
        <w:rPr>
          <w:rFonts w:ascii="Arial" w:hAnsi="Arial" w:cs="Arial"/>
          <w:color w:val="000000" w:themeColor="text1"/>
          <w:sz w:val="21"/>
          <w:szCs w:val="21"/>
          <w:lang w:val="es-ES_tradnl"/>
        </w:rPr>
      </w:pPr>
      <w:r>
        <w:rPr>
          <w:rFonts w:ascii="Arial" w:hAnsi="Arial" w:cs="Arial"/>
          <w:color w:val="000000" w:themeColor="text1"/>
          <w:sz w:val="21"/>
          <w:szCs w:val="21"/>
          <w:lang w:val="es-ES_tradnl"/>
        </w:rPr>
        <w:t>»</w:t>
      </w:r>
      <w:r w:rsidRPr="00D95F31" w:rsidR="00D95F31">
        <w:rPr>
          <w:rFonts w:ascii="Arial" w:hAnsi="Arial" w:cs="Arial"/>
          <w:color w:val="000000" w:themeColor="text1"/>
          <w:sz w:val="21"/>
          <w:szCs w:val="21"/>
          <w:lang w:val="es-ES_tradnl"/>
        </w:rPr>
        <w:t>¿</w:t>
      </w:r>
      <w:r w:rsidRPr="00D95F31" w:rsidR="00FA082B">
        <w:rPr>
          <w:rFonts w:ascii="Arial" w:hAnsi="Arial" w:cs="Arial"/>
          <w:color w:val="000000" w:themeColor="text1"/>
          <w:sz w:val="21"/>
          <w:szCs w:val="21"/>
          <w:lang w:val="es-ES_tradnl"/>
        </w:rPr>
        <w:t>Cómo</w:t>
      </w:r>
      <w:r w:rsidRPr="00D95F31" w:rsidR="00D95F31">
        <w:rPr>
          <w:rFonts w:ascii="Arial" w:hAnsi="Arial" w:cs="Arial"/>
          <w:color w:val="000000" w:themeColor="text1"/>
          <w:sz w:val="21"/>
          <w:szCs w:val="21"/>
          <w:lang w:val="es-ES_tradnl"/>
        </w:rPr>
        <w:t xml:space="preserve"> se acredita que por lo menos diez por ciento (10%) de su </w:t>
      </w:r>
      <w:r w:rsidRPr="00D95F31" w:rsidR="00FA082B">
        <w:rPr>
          <w:rFonts w:ascii="Arial" w:hAnsi="Arial" w:cs="Arial"/>
          <w:color w:val="000000" w:themeColor="text1"/>
          <w:sz w:val="21"/>
          <w:szCs w:val="21"/>
          <w:lang w:val="es-ES_tradnl"/>
        </w:rPr>
        <w:t>nómina</w:t>
      </w:r>
      <w:r w:rsidRPr="00D95F31" w:rsidR="00D95F31">
        <w:rPr>
          <w:rFonts w:ascii="Arial" w:hAnsi="Arial" w:cs="Arial"/>
          <w:color w:val="000000" w:themeColor="text1"/>
          <w:sz w:val="21"/>
          <w:szCs w:val="21"/>
          <w:lang w:val="es-ES_tradnl"/>
        </w:rPr>
        <w:t xml:space="preserve"> pertenece a </w:t>
      </w:r>
      <w:r w:rsidRPr="00D95F31" w:rsidR="00FA082B">
        <w:rPr>
          <w:rFonts w:ascii="Arial" w:hAnsi="Arial" w:cs="Arial"/>
          <w:color w:val="000000" w:themeColor="text1"/>
          <w:sz w:val="21"/>
          <w:szCs w:val="21"/>
          <w:lang w:val="es-ES_tradnl"/>
        </w:rPr>
        <w:t>población</w:t>
      </w:r>
      <w:r w:rsidRPr="00D95F31" w:rsidR="00D95F31">
        <w:rPr>
          <w:rFonts w:ascii="Arial" w:hAnsi="Arial" w:cs="Arial"/>
          <w:color w:val="000000" w:themeColor="text1"/>
          <w:sz w:val="21"/>
          <w:szCs w:val="21"/>
          <w:lang w:val="es-ES_tradnl"/>
        </w:rPr>
        <w:t xml:space="preserve"> </w:t>
      </w:r>
      <w:r w:rsidRPr="00D95F31" w:rsidR="00FA082B">
        <w:rPr>
          <w:rFonts w:ascii="Arial" w:hAnsi="Arial" w:cs="Arial"/>
          <w:color w:val="000000" w:themeColor="text1"/>
          <w:sz w:val="21"/>
          <w:szCs w:val="21"/>
          <w:lang w:val="es-ES_tradnl"/>
        </w:rPr>
        <w:t>indígena</w:t>
      </w:r>
      <w:r w:rsidRPr="00D95F31" w:rsidR="00D95F31">
        <w:rPr>
          <w:rFonts w:ascii="Arial" w:hAnsi="Arial" w:cs="Arial"/>
          <w:color w:val="000000" w:themeColor="text1"/>
          <w:sz w:val="21"/>
          <w:szCs w:val="21"/>
          <w:lang w:val="es-ES_tradnl"/>
        </w:rPr>
        <w:t xml:space="preserve">, negra, afrocolombiana, raizal, palanquera, </w:t>
      </w:r>
      <w:proofErr w:type="spellStart"/>
      <w:r w:rsidRPr="00D95F31" w:rsidR="00D95F31">
        <w:rPr>
          <w:rFonts w:ascii="Arial" w:hAnsi="Arial" w:cs="Arial"/>
          <w:color w:val="000000" w:themeColor="text1"/>
          <w:sz w:val="21"/>
          <w:szCs w:val="21"/>
          <w:lang w:val="es-ES_tradnl"/>
        </w:rPr>
        <w:t>Rrom</w:t>
      </w:r>
      <w:proofErr w:type="spellEnd"/>
      <w:r w:rsidRPr="00D95F31" w:rsidR="00D95F31">
        <w:rPr>
          <w:rFonts w:ascii="Arial" w:hAnsi="Arial" w:cs="Arial"/>
          <w:color w:val="000000" w:themeColor="text1"/>
          <w:sz w:val="21"/>
          <w:szCs w:val="21"/>
          <w:lang w:val="es-ES_tradnl"/>
        </w:rPr>
        <w:t xml:space="preserve"> o gitanas? ¿</w:t>
      </w:r>
      <w:r w:rsidRPr="00D95F31" w:rsidR="00FA082B">
        <w:rPr>
          <w:rFonts w:ascii="Arial" w:hAnsi="Arial" w:cs="Arial"/>
          <w:color w:val="000000" w:themeColor="text1"/>
          <w:sz w:val="21"/>
          <w:szCs w:val="21"/>
          <w:lang w:val="es-ES_tradnl"/>
        </w:rPr>
        <w:t>Cuál</w:t>
      </w:r>
      <w:r w:rsidRPr="00D95F31" w:rsidR="00D95F31">
        <w:rPr>
          <w:rFonts w:ascii="Arial" w:hAnsi="Arial" w:cs="Arial"/>
          <w:color w:val="000000" w:themeColor="text1"/>
          <w:sz w:val="21"/>
          <w:szCs w:val="21"/>
          <w:lang w:val="es-ES_tradnl"/>
        </w:rPr>
        <w:t xml:space="preserve"> es el documento que debe presentarse para tal fin? ¿</w:t>
      </w:r>
      <w:r w:rsidRPr="00D95F31" w:rsidR="00FA082B">
        <w:rPr>
          <w:rFonts w:ascii="Arial" w:hAnsi="Arial" w:cs="Arial"/>
          <w:color w:val="000000" w:themeColor="text1"/>
          <w:sz w:val="21"/>
          <w:szCs w:val="21"/>
          <w:lang w:val="es-ES_tradnl"/>
        </w:rPr>
        <w:t>Cuál</w:t>
      </w:r>
      <w:r w:rsidRPr="00D95F31" w:rsidR="00D95F31">
        <w:rPr>
          <w:rFonts w:ascii="Arial" w:hAnsi="Arial" w:cs="Arial"/>
          <w:color w:val="000000" w:themeColor="text1"/>
          <w:sz w:val="21"/>
          <w:szCs w:val="21"/>
          <w:lang w:val="es-ES_tradnl"/>
        </w:rPr>
        <w:t xml:space="preserve"> autoridad es competente de certificar tal calidad? ¿Existe alguna entidad del Distrito Capital competente para tal efecto?</w:t>
      </w:r>
    </w:p>
    <w:p w:rsidR="00FA082B" w:rsidP="00D95F31" w:rsidRDefault="00FA082B" w14:paraId="413ACAC1" w14:textId="77777777">
      <w:pPr>
        <w:ind w:left="709" w:right="709"/>
        <w:jc w:val="both"/>
        <w:rPr>
          <w:rFonts w:ascii="Arial" w:hAnsi="Arial" w:cs="Arial"/>
          <w:color w:val="000000" w:themeColor="text1"/>
          <w:sz w:val="21"/>
          <w:szCs w:val="21"/>
          <w:lang w:val="es-ES_tradnl"/>
        </w:rPr>
      </w:pPr>
    </w:p>
    <w:p w:rsidR="006F1041" w:rsidP="006F1041" w:rsidRDefault="005B1D7A" w14:paraId="149987D1" w14:textId="7F70657D">
      <w:pPr>
        <w:ind w:left="709" w:right="709"/>
        <w:jc w:val="both"/>
        <w:rPr>
          <w:rFonts w:ascii="Arial" w:hAnsi="Arial" w:cs="Arial"/>
          <w:color w:val="000000" w:themeColor="text1"/>
          <w:sz w:val="21"/>
          <w:szCs w:val="21"/>
          <w:lang w:val="es-ES_tradnl"/>
        </w:rPr>
      </w:pPr>
      <w:r>
        <w:rPr>
          <w:rFonts w:ascii="Arial" w:hAnsi="Arial" w:cs="Arial"/>
          <w:color w:val="000000" w:themeColor="text1"/>
          <w:sz w:val="21"/>
          <w:szCs w:val="21"/>
          <w:lang w:val="es-ES_tradnl"/>
        </w:rPr>
        <w:t>»</w:t>
      </w:r>
      <w:r w:rsidRPr="006F1041" w:rsidR="006F1041">
        <w:rPr>
          <w:rFonts w:ascii="Arial" w:hAnsi="Arial" w:cs="Arial"/>
          <w:color w:val="000000" w:themeColor="text1"/>
          <w:sz w:val="21"/>
          <w:szCs w:val="21"/>
          <w:lang w:val="es-ES_tradnl"/>
        </w:rPr>
        <w:t>¿Cómo se acredita la calidad de persona en proceso de reintegración o reincorporación? En caso de persona jurídica en la cual participe o participen mayoritariamente o de un proponente plural, ¿Cómo se acredita que están constituidos por personas en proceso de reincorporación, y/o personas jurídicas en las cuales participe o participen mayoritariamente? ¿Cuál es el documento que debe presentarse para tal propósito? ¿Cuál autoridad es competente de certificar tal calidad?</w:t>
      </w:r>
    </w:p>
    <w:p w:rsidRPr="006F1041" w:rsidR="006F1041" w:rsidP="006F1041" w:rsidRDefault="006F1041" w14:paraId="45C6AAC3" w14:textId="77777777">
      <w:pPr>
        <w:ind w:left="709" w:right="709"/>
        <w:jc w:val="both"/>
        <w:rPr>
          <w:rFonts w:ascii="Arial" w:hAnsi="Arial" w:cs="Arial"/>
          <w:color w:val="000000" w:themeColor="text1"/>
          <w:sz w:val="21"/>
          <w:szCs w:val="21"/>
          <w:lang w:val="es-ES_tradnl"/>
        </w:rPr>
      </w:pPr>
    </w:p>
    <w:p w:rsidRPr="00D9015D" w:rsidR="004275A7" w:rsidP="006F1041" w:rsidRDefault="005B1D7A" w14:paraId="79D0132C" w14:textId="15F2584F">
      <w:pPr>
        <w:ind w:left="709" w:right="709"/>
        <w:jc w:val="both"/>
        <w:rPr>
          <w:rFonts w:ascii="Arial" w:hAnsi="Arial" w:cs="Arial"/>
          <w:color w:val="000000" w:themeColor="text1"/>
          <w:sz w:val="21"/>
          <w:szCs w:val="21"/>
          <w:lang w:val="es-ES_tradnl"/>
        </w:rPr>
      </w:pPr>
      <w:r>
        <w:rPr>
          <w:rFonts w:ascii="Arial" w:hAnsi="Arial" w:cs="Arial"/>
          <w:color w:val="000000" w:themeColor="text1"/>
          <w:sz w:val="21"/>
          <w:szCs w:val="21"/>
          <w:lang w:val="es-ES_tradnl"/>
        </w:rPr>
        <w:t>»</w:t>
      </w:r>
      <w:r w:rsidRPr="006F1041" w:rsidR="006F1041">
        <w:rPr>
          <w:rFonts w:ascii="Arial" w:hAnsi="Arial" w:cs="Arial"/>
          <w:color w:val="000000" w:themeColor="text1"/>
          <w:sz w:val="21"/>
          <w:szCs w:val="21"/>
          <w:lang w:val="es-ES_tradnl"/>
        </w:rPr>
        <w:t>¿Cómo se acredita la calidad de empresa reconocida y establecida como Sociedad de Beneficio e Interés Colectivo o Sociedad BIC, del segmento MIPYMES? ¿Dónde puede consultarse esta calidad? ¿Cuál es el documento que debe presentarse para tal propósito? ¿Cuál autoridad es competente de certificar tal calidad?</w:t>
      </w:r>
      <w:r w:rsidRPr="00D9015D" w:rsidR="00AD33A1">
        <w:rPr>
          <w:rFonts w:ascii="Arial" w:hAnsi="Arial" w:cs="Arial"/>
          <w:color w:val="000000" w:themeColor="text1"/>
          <w:sz w:val="21"/>
          <w:szCs w:val="21"/>
          <w:lang w:val="es-ES_tradnl"/>
        </w:rPr>
        <w:t>».</w:t>
      </w:r>
    </w:p>
    <w:p w:rsidRPr="00D9015D" w:rsidR="00507066" w:rsidP="00AD33A1" w:rsidRDefault="00507066" w14:paraId="3830C92C" w14:textId="77777777">
      <w:pPr>
        <w:ind w:left="709" w:right="709"/>
        <w:jc w:val="both"/>
        <w:rPr>
          <w:rFonts w:ascii="Arial" w:hAnsi="Arial" w:cs="Arial"/>
          <w:color w:val="000000" w:themeColor="text1"/>
          <w:sz w:val="21"/>
          <w:szCs w:val="21"/>
          <w:lang w:val="es-ES_tradnl"/>
        </w:rPr>
      </w:pPr>
    </w:p>
    <w:p w:rsidRPr="00D9015D" w:rsidR="00DD5B04" w:rsidP="00DF76A2" w:rsidRDefault="00DD5B04" w14:paraId="124D2DCA" w14:textId="77777777">
      <w:pPr>
        <w:pStyle w:val="Prrafodelista"/>
        <w:numPr>
          <w:ilvl w:val="0"/>
          <w:numId w:val="8"/>
        </w:numPr>
        <w:tabs>
          <w:tab w:val="left" w:pos="0"/>
          <w:tab w:val="left" w:pos="284"/>
        </w:tabs>
        <w:ind w:left="0" w:firstLine="0"/>
        <w:jc w:val="both"/>
        <w:rPr>
          <w:rFonts w:ascii="Arial" w:hAnsi="Arial" w:eastAsia="Calibri" w:cs="Arial"/>
          <w:b/>
          <w:color w:val="000000" w:themeColor="text1"/>
          <w:sz w:val="22"/>
          <w:lang w:val="es-ES_tradnl"/>
        </w:rPr>
      </w:pPr>
      <w:r w:rsidRPr="00D9015D">
        <w:rPr>
          <w:rFonts w:ascii="Arial" w:hAnsi="Arial" w:eastAsia="Calibri" w:cs="Arial"/>
          <w:b/>
          <w:color w:val="000000" w:themeColor="text1"/>
          <w:sz w:val="22"/>
          <w:lang w:val="es-ES_tradnl"/>
        </w:rPr>
        <w:t>Consideraciones</w:t>
      </w:r>
    </w:p>
    <w:p w:rsidR="003C557F" w:rsidP="00257B26" w:rsidRDefault="003C557F" w14:paraId="5BB550C4" w14:textId="77777777">
      <w:pPr>
        <w:spacing w:line="276" w:lineRule="auto"/>
        <w:jc w:val="both"/>
        <w:rPr>
          <w:rFonts w:ascii="Arial" w:hAnsi="Arial" w:eastAsia="Calibri" w:cs="Arial"/>
          <w:color w:val="000000" w:themeColor="text1"/>
          <w:sz w:val="22"/>
          <w:szCs w:val="22"/>
          <w:lang w:val="es-ES_tradnl"/>
        </w:rPr>
      </w:pPr>
    </w:p>
    <w:p w:rsidRPr="005419DA" w:rsidR="00257B26" w:rsidP="00257B26" w:rsidRDefault="00257B26" w14:paraId="7076646C" w14:textId="7BBEA462">
      <w:pPr>
        <w:spacing w:line="276" w:lineRule="auto"/>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t xml:space="preserve">La Subdirección de Gestión Contractual responderá la consulta, luego de analizar los siguientes temas: i) definición de los criterios de desempate en la contratación estatal, ii) vigencia y ámbito de aplicación de la Ley </w:t>
      </w:r>
      <w:r>
        <w:rPr>
          <w:rFonts w:ascii="Arial" w:hAnsi="Arial" w:eastAsia="Calibri" w:cs="Arial"/>
          <w:color w:val="000000" w:themeColor="text1"/>
          <w:sz w:val="22"/>
          <w:szCs w:val="22"/>
          <w:lang w:val="es-ES_tradnl"/>
        </w:rPr>
        <w:t>2069</w:t>
      </w:r>
      <w:r w:rsidRPr="005419DA">
        <w:rPr>
          <w:rFonts w:ascii="Arial" w:hAnsi="Arial" w:eastAsia="Calibri" w:cs="Arial"/>
          <w:color w:val="000000" w:themeColor="text1"/>
          <w:sz w:val="22"/>
          <w:szCs w:val="22"/>
          <w:lang w:val="es-ES_tradnl"/>
        </w:rPr>
        <w:t xml:space="preserve"> de 2020 y iii) forma de acreditación de los factores de desempate consagrados en el artículo 35 de la mencionada Ley.</w:t>
      </w:r>
    </w:p>
    <w:p w:rsidRPr="005419DA" w:rsidR="00257B26" w:rsidP="00257B26" w:rsidRDefault="00257B26" w14:paraId="08F7896F" w14:textId="77777777">
      <w:pPr>
        <w:spacing w:before="120" w:line="276" w:lineRule="auto"/>
        <w:ind w:firstLine="709"/>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t>Es importante destacar que la Agencia Nacional de Contratación Pública – Colombia Compra Eficiente se pronunció, en términos generales, sobre los factores de desempate en los procedimientos de contratación estatal, en los conceptos C-285 del 4 de mayo de 2020, C-481 del 27 de julio de 2020, C-514 y C-535 del 26 de agosto de 2020 y C-556 del 31 de agosto de 2020. Algunas de las consideraciones de estos conceptos se reiteran a continuación.</w:t>
      </w:r>
    </w:p>
    <w:p w:rsidRPr="005419DA" w:rsidR="00257B26" w:rsidP="00257B26" w:rsidRDefault="00257B26" w14:paraId="1B602717" w14:textId="77777777">
      <w:pPr>
        <w:spacing w:line="276" w:lineRule="auto"/>
        <w:jc w:val="both"/>
        <w:rPr>
          <w:rFonts w:ascii="Arial" w:hAnsi="Arial" w:eastAsia="Calibri" w:cs="Arial"/>
          <w:color w:val="000000" w:themeColor="text1"/>
          <w:sz w:val="22"/>
          <w:szCs w:val="22"/>
          <w:lang w:val="es-ES_tradnl"/>
        </w:rPr>
      </w:pPr>
    </w:p>
    <w:p w:rsidRPr="005419DA" w:rsidR="00257B26" w:rsidP="00257B26" w:rsidRDefault="00257B26" w14:paraId="52C866EF" w14:textId="77777777">
      <w:pPr>
        <w:spacing w:line="276" w:lineRule="auto"/>
        <w:jc w:val="both"/>
        <w:rPr>
          <w:rFonts w:ascii="Arial" w:hAnsi="Arial" w:eastAsia="Calibri" w:cs="Arial"/>
          <w:b/>
          <w:bCs/>
          <w:color w:val="000000" w:themeColor="text1"/>
          <w:sz w:val="22"/>
          <w:szCs w:val="22"/>
          <w:lang w:val="es-ES_tradnl"/>
        </w:rPr>
      </w:pPr>
      <w:r w:rsidRPr="005419DA">
        <w:rPr>
          <w:rFonts w:ascii="Arial" w:hAnsi="Arial" w:eastAsia="Calibri" w:cs="Arial"/>
          <w:b/>
          <w:bCs/>
          <w:color w:val="000000" w:themeColor="text1"/>
          <w:sz w:val="22"/>
          <w:szCs w:val="22"/>
          <w:lang w:val="es-ES_tradnl"/>
        </w:rPr>
        <w:t>2.1. Factores de desempate en la contratación estatal: concepto y características</w:t>
      </w:r>
    </w:p>
    <w:p w:rsidRPr="005419DA" w:rsidR="00257B26" w:rsidP="00257B26" w:rsidRDefault="00257B26" w14:paraId="6D21C6E6" w14:textId="77777777">
      <w:pPr>
        <w:spacing w:line="276" w:lineRule="auto"/>
        <w:jc w:val="both"/>
        <w:rPr>
          <w:rFonts w:ascii="Arial" w:hAnsi="Arial" w:eastAsia="Calibri" w:cs="Arial"/>
          <w:color w:val="000000" w:themeColor="text1"/>
          <w:sz w:val="22"/>
          <w:szCs w:val="22"/>
          <w:lang w:val="es-ES_tradnl"/>
        </w:rPr>
      </w:pPr>
    </w:p>
    <w:p w:rsidRPr="005419DA" w:rsidR="00257B26" w:rsidP="00257B26" w:rsidRDefault="00257B26" w14:paraId="43D84ADC" w14:textId="77777777">
      <w:pPr>
        <w:spacing w:line="276" w:lineRule="auto"/>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t xml:space="preserve">Dado que la selección objetiva es uno de los principios medulares de la contratación estatal, la selección del futuro contratista no puede motivarse en razones subjetivas que afecten la imparcialidad de la entidad pública. Así lo determina el primer inciso del artículo 5 de la Ley 1.150 de 2007, indicando que «Es objetiva la selección en la cual la escogencia se haga al </w:t>
      </w:r>
      <w:r w:rsidRPr="005419DA">
        <w:rPr>
          <w:rFonts w:ascii="Arial" w:hAnsi="Arial" w:eastAsia="Calibri" w:cs="Arial"/>
          <w:color w:val="000000" w:themeColor="text1"/>
          <w:sz w:val="22"/>
          <w:szCs w:val="22"/>
          <w:lang w:val="es-ES_tradnl"/>
        </w:rPr>
        <w:lastRenderedPageBreak/>
        <w:t>ofrecimiento más favorable a la entidad y a los fines que ella busca, sin tener en consideración factores de afecto o de interés y, en general, cualquier clase de motivación subjetiva». Además, la norma citada agrega que los factores de escogencia y calificación que establezcan las entidades en los pliegos de condiciones o sus equivalentes, tendrán en cuenta criterios como la experiencia y la capacidad jurídica, financiera y de organización, entre otros elementos que garanticen la escogencia de la mejor opción de negocio para la entidad estatal.</w:t>
      </w:r>
    </w:p>
    <w:p w:rsidRPr="005419DA" w:rsidR="00257B26" w:rsidP="00257B26" w:rsidRDefault="00257B26" w14:paraId="5BBCA393" w14:textId="77777777">
      <w:pPr>
        <w:spacing w:before="120" w:line="276" w:lineRule="auto"/>
        <w:ind w:firstLine="709"/>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t xml:space="preserve">En esta perspectiva, los requisitos habilitantes o de participación, así como los criterios de evaluación o de calificación con puntos, son instrumentos por medio de los cuales se pretende la materialización del principio de selección objetiva en la contratación pública. Sin embargo, en algunas ocasiones, así se establezcan requisitos habilitantes y factores de calificación óptimos, se presentan circunstancias de empate una vez aplicados estos criterios. Como lo ha indicado la Agencia Nacional de Contratación Pública – Colombia Compra Eficiente en el «Manual para el manejo de los incentivos en los procesos de contratación», «Dos ofertas resultan empatadas cuando obtienen la misma cantidad de puntos luego de aplicar las reglas establecidas en los pliegos de condiciones; u, ofrecen el mismo precio en los casos de mínima cuantía». Es decir, el empate es un evento en el cual dos o más oferentes alcanzan una puntuación similar, al ponderarse los criterios de calificación que, en principio, aplican al procedimiento de selección. </w:t>
      </w:r>
    </w:p>
    <w:p w:rsidRPr="005419DA" w:rsidR="00257B26" w:rsidP="00257B26" w:rsidRDefault="00257B26" w14:paraId="6EDC2D72" w14:textId="77777777">
      <w:pPr>
        <w:spacing w:before="120" w:line="276" w:lineRule="auto"/>
        <w:ind w:firstLine="709"/>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t xml:space="preserve">Pero, ni siquiera los casos de empate limitan el alcance de la selección objetiva en la contratación estatal. Por el contrario, en estos supuestos también debe mantenerse indemne tal postulado. En consecuencia, el desempate no puede propiciarse acudiendo arbitrariamente a consideraciones subjetivas que no estén amparadas en el ordenamiento jurídico, sino que deben aplicarse los factores permitidos por las disposiciones normativas que regulan esta materia. Precisamente, dentro de dichas disposiciones se encuentra el artículo 35 de la Ley </w:t>
      </w:r>
      <w:r>
        <w:rPr>
          <w:rFonts w:ascii="Arial" w:hAnsi="Arial" w:eastAsia="Calibri" w:cs="Arial"/>
          <w:color w:val="000000" w:themeColor="text1"/>
          <w:sz w:val="22"/>
          <w:szCs w:val="22"/>
          <w:lang w:val="es-ES_tradnl"/>
        </w:rPr>
        <w:t>2069</w:t>
      </w:r>
      <w:r w:rsidRPr="005419DA">
        <w:rPr>
          <w:rFonts w:ascii="Arial" w:hAnsi="Arial" w:eastAsia="Calibri" w:cs="Arial"/>
          <w:color w:val="000000" w:themeColor="text1"/>
          <w:sz w:val="22"/>
          <w:szCs w:val="22"/>
          <w:lang w:val="es-ES_tradnl"/>
        </w:rPr>
        <w:t xml:space="preserve"> de 2020. La </w:t>
      </w:r>
      <w:r>
        <w:rPr>
          <w:rFonts w:ascii="Arial" w:hAnsi="Arial" w:eastAsia="Calibri" w:cs="Arial"/>
          <w:color w:val="000000" w:themeColor="text1"/>
          <w:sz w:val="22"/>
          <w:szCs w:val="22"/>
          <w:lang w:val="es-ES_tradnl"/>
        </w:rPr>
        <w:t>jurisprudencia</w:t>
      </w:r>
      <w:r w:rsidRPr="005419DA">
        <w:rPr>
          <w:rFonts w:ascii="Arial" w:hAnsi="Arial" w:eastAsia="Calibri" w:cs="Arial"/>
          <w:color w:val="000000" w:themeColor="text1"/>
          <w:sz w:val="22"/>
          <w:szCs w:val="22"/>
          <w:lang w:val="es-ES_tradnl"/>
        </w:rPr>
        <w:t xml:space="preserve"> comparte la idea de que los criterios de desempate deben estar establecidos de antemano y constituyen un límite a la discrecionalidad administrativa en los procedimientos de selección</w:t>
      </w:r>
      <w:r w:rsidRPr="005419DA">
        <w:rPr>
          <w:rStyle w:val="Refdenotaalpie"/>
          <w:rFonts w:ascii="Arial" w:hAnsi="Arial" w:cs="Arial"/>
          <w:sz w:val="21"/>
          <w:szCs w:val="21"/>
          <w:lang w:val="es-ES_tradnl"/>
        </w:rPr>
        <w:footnoteReference w:id="2"/>
      </w:r>
      <w:r w:rsidRPr="005419DA">
        <w:rPr>
          <w:rFonts w:ascii="Arial" w:hAnsi="Arial" w:eastAsia="Calibri" w:cs="Arial"/>
          <w:color w:val="000000" w:themeColor="text1"/>
          <w:sz w:val="22"/>
          <w:szCs w:val="22"/>
          <w:lang w:val="es-ES_tradnl"/>
        </w:rPr>
        <w:t xml:space="preserve">. </w:t>
      </w:r>
    </w:p>
    <w:p w:rsidRPr="005419DA" w:rsidR="00257B26" w:rsidP="00257B26" w:rsidRDefault="00257B26" w14:paraId="0FC84F99" w14:textId="77777777">
      <w:pPr>
        <w:spacing w:before="120" w:line="276" w:lineRule="auto"/>
        <w:ind w:firstLine="709"/>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t>En tal sentido, la Corte Constitucional explica que cuando la ley establece factores de desempate obligatorios, las entidades estatales no pueden inaplicarlos, porque ello podría vulnerar el principio de igualdad, especialmente, cuando algunos de estos criterios surgen como acciones afirmativas para ciertos sectores de la población</w:t>
      </w:r>
      <w:r w:rsidRPr="005419DA">
        <w:rPr>
          <w:rStyle w:val="Refdenotaalpie"/>
          <w:rFonts w:ascii="Arial" w:hAnsi="Arial" w:eastAsia="Calibri" w:cs="Arial"/>
          <w:color w:val="000000" w:themeColor="text1"/>
          <w:sz w:val="22"/>
          <w:szCs w:val="22"/>
          <w:lang w:val="es-ES_tradnl"/>
        </w:rPr>
        <w:footnoteReference w:id="3"/>
      </w:r>
      <w:r w:rsidRPr="005419DA">
        <w:rPr>
          <w:rFonts w:ascii="Arial" w:hAnsi="Arial" w:eastAsia="Calibri" w:cs="Arial"/>
          <w:color w:val="000000" w:themeColor="text1"/>
          <w:sz w:val="22"/>
          <w:szCs w:val="22"/>
          <w:lang w:val="es-ES_tradnl"/>
        </w:rPr>
        <w:t xml:space="preserve">. Es más, según el </w:t>
      </w:r>
      <w:r w:rsidRPr="005419DA">
        <w:rPr>
          <w:rFonts w:ascii="Arial" w:hAnsi="Arial" w:eastAsia="Calibri" w:cs="Arial"/>
          <w:color w:val="000000" w:themeColor="text1"/>
          <w:sz w:val="22"/>
          <w:szCs w:val="22"/>
          <w:lang w:val="es-ES_tradnl"/>
        </w:rPr>
        <w:lastRenderedPageBreak/>
        <w:t>Consejo de Estado, ir en contra de los factores de desempate establecidos expresamente genera la nulidad del contrato, conforme al artículo 44, inciso 1º de la Ley 80 de 1993</w:t>
      </w:r>
      <w:r w:rsidRPr="005419DA">
        <w:rPr>
          <w:rStyle w:val="Refdenotaalpie"/>
          <w:rFonts w:ascii="Arial" w:hAnsi="Arial" w:eastAsia="Calibri" w:cs="Arial"/>
          <w:color w:val="000000" w:themeColor="text1"/>
          <w:sz w:val="22"/>
          <w:szCs w:val="22"/>
          <w:lang w:val="es-ES_tradnl"/>
        </w:rPr>
        <w:footnoteReference w:id="4"/>
      </w:r>
      <w:r w:rsidRPr="005419DA">
        <w:rPr>
          <w:rFonts w:ascii="Arial" w:hAnsi="Arial" w:eastAsia="Calibri" w:cs="Arial"/>
          <w:color w:val="000000" w:themeColor="text1"/>
          <w:sz w:val="22"/>
          <w:szCs w:val="22"/>
          <w:lang w:val="es-ES_tradnl"/>
        </w:rPr>
        <w:t>.</w:t>
      </w:r>
    </w:p>
    <w:p w:rsidRPr="005419DA" w:rsidR="00257B26" w:rsidP="00257B26" w:rsidRDefault="00257B26" w14:paraId="12A26AB0" w14:textId="77777777">
      <w:pPr>
        <w:spacing w:before="120" w:line="276" w:lineRule="auto"/>
        <w:ind w:firstLine="709"/>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t xml:space="preserve">Ahora bien, en cumplimiento de los principios de reciprocidad y de </w:t>
      </w:r>
      <w:r w:rsidRPr="005419DA">
        <w:rPr>
          <w:rFonts w:ascii="Arial" w:hAnsi="Arial" w:eastAsia="Calibri" w:cs="Arial"/>
          <w:i/>
          <w:iCs/>
          <w:color w:val="000000" w:themeColor="text1"/>
          <w:sz w:val="22"/>
          <w:szCs w:val="22"/>
          <w:lang w:val="es-ES_tradnl"/>
        </w:rPr>
        <w:t xml:space="preserve">pacta </w:t>
      </w:r>
      <w:proofErr w:type="spellStart"/>
      <w:r w:rsidRPr="005419DA">
        <w:rPr>
          <w:rFonts w:ascii="Arial" w:hAnsi="Arial" w:eastAsia="Calibri" w:cs="Arial"/>
          <w:i/>
          <w:iCs/>
          <w:color w:val="000000" w:themeColor="text1"/>
          <w:sz w:val="22"/>
          <w:szCs w:val="22"/>
          <w:lang w:val="es-ES_tradnl"/>
        </w:rPr>
        <w:t>sunt</w:t>
      </w:r>
      <w:proofErr w:type="spellEnd"/>
      <w:r w:rsidRPr="005419DA">
        <w:rPr>
          <w:rFonts w:ascii="Arial" w:hAnsi="Arial" w:eastAsia="Calibri" w:cs="Arial"/>
          <w:i/>
          <w:iCs/>
          <w:color w:val="000000" w:themeColor="text1"/>
          <w:sz w:val="22"/>
          <w:szCs w:val="22"/>
          <w:lang w:val="es-ES_tradnl"/>
        </w:rPr>
        <w:t xml:space="preserve"> </w:t>
      </w:r>
      <w:proofErr w:type="spellStart"/>
      <w:r w:rsidRPr="005419DA">
        <w:rPr>
          <w:rFonts w:ascii="Arial" w:hAnsi="Arial" w:eastAsia="Calibri" w:cs="Arial"/>
          <w:i/>
          <w:iCs/>
          <w:color w:val="000000" w:themeColor="text1"/>
          <w:sz w:val="22"/>
          <w:szCs w:val="22"/>
          <w:lang w:val="es-ES_tradnl"/>
        </w:rPr>
        <w:t>servanda</w:t>
      </w:r>
      <w:proofErr w:type="spellEnd"/>
      <w:r w:rsidRPr="005419DA">
        <w:rPr>
          <w:rFonts w:ascii="Arial" w:hAnsi="Arial" w:eastAsia="Calibri" w:cs="Arial"/>
          <w:color w:val="000000" w:themeColor="text1"/>
          <w:sz w:val="22"/>
          <w:szCs w:val="22"/>
          <w:lang w:val="es-ES_tradnl"/>
        </w:rPr>
        <w:t xml:space="preserve">, los factores de desempate que rigen la contratación estatal deben guardar armonía con los tratados comerciales internacionales suscritos por el Estado colombiano. Por tanto, las normas internas deben acoplarse a lo establecido en los acuerdos, pues estos prevalecen. Así lo precisó la Agencia Nacional de Contratación Pública – Colombia Compra Eficiente en el numeral IV, literal C, del «Manual para el manejo de los incentivos en los procesos de contratación». </w:t>
      </w:r>
    </w:p>
    <w:p w:rsidRPr="005419DA" w:rsidR="00257B26" w:rsidP="00257B26" w:rsidRDefault="00257B26" w14:paraId="7BE3AE10" w14:textId="77777777">
      <w:pPr>
        <w:spacing w:line="276" w:lineRule="auto"/>
        <w:rPr>
          <w:rFonts w:ascii="Arial" w:hAnsi="Arial" w:eastAsia="Calibri" w:cs="Arial"/>
          <w:color w:val="000000" w:themeColor="text1"/>
          <w:sz w:val="22"/>
          <w:szCs w:val="22"/>
          <w:lang w:val="es-ES_tradnl"/>
        </w:rPr>
      </w:pPr>
    </w:p>
    <w:p w:rsidRPr="005419DA" w:rsidR="00257B26" w:rsidP="00257B26" w:rsidRDefault="00257B26" w14:paraId="68998AA1" w14:textId="77777777">
      <w:pPr>
        <w:spacing w:line="276" w:lineRule="auto"/>
        <w:jc w:val="both"/>
        <w:rPr>
          <w:rFonts w:ascii="Arial" w:hAnsi="Arial" w:eastAsia="Calibri" w:cs="Arial"/>
          <w:b/>
          <w:bCs/>
          <w:color w:val="000000" w:themeColor="text1"/>
          <w:sz w:val="22"/>
          <w:szCs w:val="22"/>
          <w:lang w:val="es-ES_tradnl"/>
        </w:rPr>
      </w:pPr>
      <w:r w:rsidRPr="005419DA">
        <w:rPr>
          <w:rFonts w:ascii="Arial" w:hAnsi="Arial" w:eastAsia="Calibri" w:cs="Arial"/>
          <w:b/>
          <w:bCs/>
          <w:color w:val="000000" w:themeColor="text1"/>
          <w:sz w:val="22"/>
          <w:szCs w:val="22"/>
          <w:lang w:val="es-ES_tradnl"/>
        </w:rPr>
        <w:t xml:space="preserve">2.2. Vigencia y ámbito de aplicación de la Ley </w:t>
      </w:r>
      <w:r>
        <w:rPr>
          <w:rFonts w:ascii="Arial" w:hAnsi="Arial" w:eastAsia="Calibri" w:cs="Arial"/>
          <w:b/>
          <w:bCs/>
          <w:color w:val="000000" w:themeColor="text1"/>
          <w:sz w:val="22"/>
          <w:szCs w:val="22"/>
          <w:lang w:val="es-ES_tradnl"/>
        </w:rPr>
        <w:t>2069</w:t>
      </w:r>
      <w:r w:rsidRPr="005419DA">
        <w:rPr>
          <w:rFonts w:ascii="Arial" w:hAnsi="Arial" w:eastAsia="Calibri" w:cs="Arial"/>
          <w:b/>
          <w:bCs/>
          <w:color w:val="000000" w:themeColor="text1"/>
          <w:sz w:val="22"/>
          <w:szCs w:val="22"/>
          <w:lang w:val="es-ES_tradnl"/>
        </w:rPr>
        <w:t xml:space="preserve"> de 2020</w:t>
      </w:r>
    </w:p>
    <w:p w:rsidRPr="005419DA" w:rsidR="00257B26" w:rsidP="00257B26" w:rsidRDefault="00257B26" w14:paraId="65683534" w14:textId="77777777">
      <w:pPr>
        <w:spacing w:line="276" w:lineRule="auto"/>
        <w:jc w:val="both"/>
        <w:rPr>
          <w:rFonts w:ascii="Arial" w:hAnsi="Arial" w:eastAsia="Calibri" w:cs="Arial"/>
          <w:color w:val="000000" w:themeColor="text1"/>
          <w:sz w:val="22"/>
          <w:szCs w:val="22"/>
          <w:lang w:val="es-ES_tradnl"/>
        </w:rPr>
      </w:pPr>
    </w:p>
    <w:p w:rsidRPr="005419DA" w:rsidR="00257B26" w:rsidP="00257B26" w:rsidRDefault="00257B26" w14:paraId="69CDE940" w14:textId="77777777">
      <w:pPr>
        <w:spacing w:line="276" w:lineRule="auto"/>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t xml:space="preserve">El 31 de diciembre de 2020 se promulgó la Ley </w:t>
      </w:r>
      <w:r>
        <w:rPr>
          <w:rFonts w:ascii="Arial" w:hAnsi="Arial" w:eastAsia="Calibri" w:cs="Arial"/>
          <w:color w:val="000000" w:themeColor="text1"/>
          <w:sz w:val="22"/>
          <w:szCs w:val="22"/>
          <w:lang w:val="es-ES_tradnl"/>
        </w:rPr>
        <w:t>2069</w:t>
      </w:r>
      <w:r w:rsidRPr="005419DA">
        <w:rPr>
          <w:rFonts w:ascii="Arial" w:hAnsi="Arial" w:eastAsia="Calibri" w:cs="Arial"/>
          <w:color w:val="000000" w:themeColor="text1"/>
          <w:sz w:val="22"/>
          <w:szCs w:val="22"/>
          <w:lang w:val="es-ES_tradnl"/>
        </w:rPr>
        <w:t>, «Por medio de la cual se impulsa el emprendimiento en Colombia». De acuerdo con el artículo 84 de dicho cuerpo normativo,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esta Ley.</w:t>
      </w:r>
    </w:p>
    <w:p w:rsidRPr="005419DA" w:rsidR="00257B26" w:rsidP="00257B26" w:rsidRDefault="00257B26" w14:paraId="1B7A2288" w14:textId="77777777">
      <w:pPr>
        <w:spacing w:before="120" w:line="276" w:lineRule="auto"/>
        <w:ind w:firstLine="709"/>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t>En cuando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de acuerdo a las realidades socioeconómicas de cada región». En desarrollo de esta finalidad, se establecen medidas de apoyo para las micro, pequeñas y medianas empresas –</w:t>
      </w:r>
      <w:proofErr w:type="spellStart"/>
      <w:r w:rsidRPr="005419DA">
        <w:rPr>
          <w:rFonts w:ascii="Arial" w:hAnsi="Arial" w:eastAsia="Calibri" w:cs="Arial"/>
          <w:color w:val="000000" w:themeColor="text1"/>
          <w:sz w:val="22"/>
          <w:szCs w:val="22"/>
          <w:lang w:val="es-ES_tradnl"/>
        </w:rPr>
        <w:t>mipymes</w:t>
      </w:r>
      <w:proofErr w:type="spellEnd"/>
      <w:r w:rsidRPr="005419DA">
        <w:rPr>
          <w:rFonts w:ascii="Arial" w:hAnsi="Arial" w:eastAsia="Calibri" w:cs="Arial"/>
          <w:color w:val="000000" w:themeColor="text1"/>
          <w:sz w:val="22"/>
          <w:szCs w:val="22"/>
          <w:lang w:val="es-ES_tradnl"/>
        </w:rPr>
        <w:t>–, mediante la racionalización y simplificación de los trámites y tarifas</w:t>
      </w:r>
      <w:r w:rsidRPr="005419DA">
        <w:rPr>
          <w:rStyle w:val="Refdenotaalpie"/>
          <w:rFonts w:ascii="Arial" w:hAnsi="Arial" w:eastAsia="Calibri" w:cs="Arial"/>
          <w:color w:val="000000" w:themeColor="text1"/>
          <w:sz w:val="22"/>
          <w:szCs w:val="22"/>
          <w:lang w:val="es-ES_tradnl"/>
        </w:rPr>
        <w:footnoteReference w:id="5"/>
      </w:r>
      <w:r w:rsidRPr="005419DA">
        <w:rPr>
          <w:rFonts w:ascii="Arial" w:hAnsi="Arial" w:eastAsia="Calibri" w:cs="Arial"/>
          <w:color w:val="000000" w:themeColor="text1"/>
          <w:sz w:val="22"/>
          <w:szCs w:val="22"/>
          <w:lang w:val="es-ES_tradnl"/>
        </w:rPr>
        <w:t>, así como incentivos a favor de aquellas dentro del sistema de compras y contratación pública</w:t>
      </w:r>
      <w:r w:rsidRPr="005419DA">
        <w:rPr>
          <w:rStyle w:val="Refdenotaalpie"/>
          <w:rFonts w:ascii="Arial" w:hAnsi="Arial" w:eastAsia="Calibri" w:cs="Arial"/>
          <w:color w:val="000000" w:themeColor="text1"/>
          <w:sz w:val="22"/>
          <w:szCs w:val="22"/>
          <w:lang w:val="es-ES_tradnl"/>
        </w:rPr>
        <w:footnoteReference w:id="6"/>
      </w:r>
      <w:r w:rsidRPr="005419DA">
        <w:rPr>
          <w:rFonts w:ascii="Arial" w:hAnsi="Arial" w:eastAsia="Calibri" w:cs="Arial"/>
          <w:color w:val="000000" w:themeColor="text1"/>
          <w:sz w:val="22"/>
          <w:szCs w:val="22"/>
          <w:lang w:val="es-ES_tradnl"/>
        </w:rPr>
        <w:t>. También se consagran mecanismos de acceso al financiamiento</w:t>
      </w:r>
      <w:r w:rsidRPr="005419DA">
        <w:rPr>
          <w:rStyle w:val="Refdenotaalpie"/>
          <w:rFonts w:ascii="Arial" w:hAnsi="Arial" w:eastAsia="Calibri" w:cs="Arial"/>
          <w:color w:val="000000" w:themeColor="text1"/>
          <w:sz w:val="22"/>
          <w:szCs w:val="22"/>
          <w:lang w:val="es-ES_tradnl"/>
        </w:rPr>
        <w:footnoteReference w:id="7"/>
      </w:r>
      <w:r w:rsidRPr="005419DA">
        <w:rPr>
          <w:rFonts w:ascii="Arial" w:hAnsi="Arial" w:eastAsia="Calibri" w:cs="Arial"/>
          <w:color w:val="000000" w:themeColor="text1"/>
          <w:sz w:val="22"/>
          <w:szCs w:val="22"/>
          <w:lang w:val="es-ES_tradnl"/>
        </w:rPr>
        <w:t xml:space="preserve">, se unifican las fuentes </w:t>
      </w:r>
      <w:r w:rsidRPr="005419DA">
        <w:rPr>
          <w:rFonts w:ascii="Arial" w:hAnsi="Arial" w:eastAsia="Calibri" w:cs="Arial"/>
          <w:color w:val="000000" w:themeColor="text1"/>
          <w:sz w:val="22"/>
          <w:szCs w:val="22"/>
          <w:lang w:val="es-ES_tradnl"/>
        </w:rPr>
        <w:lastRenderedPageBreak/>
        <w:t>de emprendimiento y de desarrollo empresarial, para fortalecer y promover los distintos sectores de la economía</w:t>
      </w:r>
      <w:r w:rsidRPr="005419DA">
        <w:rPr>
          <w:rStyle w:val="Refdenotaalpie"/>
          <w:rFonts w:ascii="Arial" w:hAnsi="Arial" w:eastAsia="Calibri" w:cs="Arial"/>
          <w:color w:val="000000" w:themeColor="text1"/>
          <w:sz w:val="22"/>
          <w:szCs w:val="22"/>
          <w:lang w:val="es-ES_tradnl"/>
        </w:rPr>
        <w:footnoteReference w:id="8"/>
      </w:r>
      <w:r w:rsidRPr="005419DA">
        <w:rPr>
          <w:rFonts w:ascii="Arial" w:hAnsi="Arial" w:eastAsia="Calibri" w:cs="Arial"/>
          <w:color w:val="000000" w:themeColor="text1"/>
          <w:sz w:val="22"/>
          <w:szCs w:val="22"/>
          <w:lang w:val="es-ES_tradnl"/>
        </w:rPr>
        <w:t xml:space="preserve"> y se prevén medidas de educación para el emprendimiento y la innovación</w:t>
      </w:r>
      <w:r w:rsidRPr="005419DA">
        <w:rPr>
          <w:rStyle w:val="Refdenotaalpie"/>
          <w:rFonts w:ascii="Arial" w:hAnsi="Arial" w:eastAsia="Calibri" w:cs="Arial"/>
          <w:color w:val="000000" w:themeColor="text1"/>
          <w:sz w:val="22"/>
          <w:szCs w:val="22"/>
          <w:lang w:val="es-ES_tradnl"/>
        </w:rPr>
        <w:footnoteReference w:id="9"/>
      </w:r>
      <w:r w:rsidRPr="005419DA">
        <w:rPr>
          <w:rFonts w:ascii="Arial" w:hAnsi="Arial" w:eastAsia="Calibri" w:cs="Arial"/>
          <w:color w:val="000000" w:themeColor="text1"/>
          <w:sz w:val="22"/>
          <w:szCs w:val="22"/>
          <w:lang w:val="es-ES_tradnl"/>
        </w:rPr>
        <w:t>.</w:t>
      </w:r>
    </w:p>
    <w:p w:rsidRPr="005419DA" w:rsidR="00257B26" w:rsidP="00257B26" w:rsidRDefault="00257B26" w14:paraId="378B6C8F" w14:textId="77777777">
      <w:pPr>
        <w:spacing w:before="120" w:line="276" w:lineRule="auto"/>
        <w:ind w:firstLine="709"/>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t xml:space="preserve">Como se indicó, parte de la Ley </w:t>
      </w:r>
      <w:r>
        <w:rPr>
          <w:rFonts w:ascii="Arial" w:hAnsi="Arial" w:eastAsia="Calibri" w:cs="Arial"/>
          <w:color w:val="000000" w:themeColor="text1"/>
          <w:sz w:val="22"/>
          <w:szCs w:val="22"/>
          <w:lang w:val="es-ES_tradnl"/>
        </w:rPr>
        <w:t>2069</w:t>
      </w:r>
      <w:r w:rsidRPr="005419DA">
        <w:rPr>
          <w:rFonts w:ascii="Arial" w:hAnsi="Arial" w:eastAsia="Calibri" w:cs="Arial"/>
          <w:color w:val="000000" w:themeColor="text1"/>
          <w:sz w:val="22"/>
          <w:szCs w:val="22"/>
          <w:lang w:val="es-ES_tradnl"/>
        </w:rPr>
        <w:t xml:space="preserve"> contiene normas que modifican algunos aspectos de la contratación estatal para promover el emprendimiento. Concretamente, aquellas se encuentran en el Capítulo III –artículos 30 al 36–. En su orden, tales artículos consagran: i) reglas sobre la participación de las </w:t>
      </w:r>
      <w:proofErr w:type="spellStart"/>
      <w:r w:rsidRPr="005419DA">
        <w:rPr>
          <w:rFonts w:ascii="Arial" w:hAnsi="Arial" w:eastAsia="Calibri" w:cs="Arial"/>
          <w:color w:val="000000" w:themeColor="text1"/>
          <w:sz w:val="22"/>
          <w:szCs w:val="22"/>
          <w:lang w:val="es-ES_tradnl"/>
        </w:rPr>
        <w:t>mipymes</w:t>
      </w:r>
      <w:proofErr w:type="spellEnd"/>
      <w:r w:rsidRPr="005419DA">
        <w:rPr>
          <w:rFonts w:ascii="Arial" w:hAnsi="Arial" w:eastAsia="Calibri" w:cs="Arial"/>
          <w:color w:val="000000" w:themeColor="text1"/>
          <w:sz w:val="22"/>
          <w:szCs w:val="22"/>
          <w:lang w:val="es-ES_tradnl"/>
        </w:rPr>
        <w:t xml:space="preserve"> en el procedimiento de mínima cuantía, ii) criterios diferenciales para </w:t>
      </w:r>
      <w:proofErr w:type="spellStart"/>
      <w:r w:rsidRPr="005419DA">
        <w:rPr>
          <w:rFonts w:ascii="Arial" w:hAnsi="Arial" w:eastAsia="Calibri" w:cs="Arial"/>
          <w:color w:val="000000" w:themeColor="text1"/>
          <w:sz w:val="22"/>
          <w:szCs w:val="22"/>
          <w:lang w:val="es-ES_tradnl"/>
        </w:rPr>
        <w:t>mipymes</w:t>
      </w:r>
      <w:proofErr w:type="spellEnd"/>
      <w:r w:rsidRPr="005419DA">
        <w:rPr>
          <w:rFonts w:ascii="Arial" w:hAnsi="Arial" w:eastAsia="Calibri" w:cs="Arial"/>
          <w:color w:val="000000" w:themeColor="text1"/>
          <w:sz w:val="22"/>
          <w:szCs w:val="22"/>
          <w:lang w:val="es-ES_tradnl"/>
        </w:rPr>
        <w:t xml:space="preserve"> en el sistema de compras públicas, iii) criterios diferenciales para emprendimientos y empresas de mujeres en el sistema de compras públicas, iv) promoción del acceso de las </w:t>
      </w:r>
      <w:proofErr w:type="spellStart"/>
      <w:r w:rsidRPr="005419DA">
        <w:rPr>
          <w:rFonts w:ascii="Arial" w:hAnsi="Arial" w:eastAsia="Calibri" w:cs="Arial"/>
          <w:color w:val="000000" w:themeColor="text1"/>
          <w:sz w:val="22"/>
          <w:szCs w:val="22"/>
          <w:lang w:val="es-ES_tradnl"/>
        </w:rPr>
        <w:t>mipymes</w:t>
      </w:r>
      <w:proofErr w:type="spellEnd"/>
      <w:r w:rsidRPr="005419DA">
        <w:rPr>
          <w:rFonts w:ascii="Arial" w:hAnsi="Arial" w:eastAsia="Calibri" w:cs="Arial"/>
          <w:color w:val="000000" w:themeColor="text1"/>
          <w:sz w:val="22"/>
          <w:szCs w:val="22"/>
          <w:lang w:val="es-ES_tradnl"/>
        </w:rPr>
        <w:t xml:space="preserve"> al mercado de compras públicas, v) promoción del desarrollo en la contratación pública, vi) un nuevo régimen de factores de desempate y vi) un llamado a las entidades estatales para que promuevan compras públicas en el marco de la tecnología y la innovación. Teniendo en cuenta que la consulta está relacionada con la interpretación del artículo 35 de la referida Ley, a continuación se estudiará el contenido y alcance de dicha norma.  </w:t>
      </w:r>
    </w:p>
    <w:p w:rsidRPr="005419DA" w:rsidR="00257B26" w:rsidP="00257B26" w:rsidRDefault="00257B26" w14:paraId="7AD089C7" w14:textId="77777777">
      <w:pPr>
        <w:spacing w:line="276" w:lineRule="auto"/>
        <w:jc w:val="both"/>
        <w:rPr>
          <w:rFonts w:ascii="Arial" w:hAnsi="Arial" w:eastAsia="Calibri" w:cs="Arial"/>
          <w:color w:val="000000" w:themeColor="text1"/>
          <w:sz w:val="22"/>
          <w:szCs w:val="22"/>
          <w:lang w:val="es-ES_tradnl"/>
        </w:rPr>
      </w:pPr>
    </w:p>
    <w:p w:rsidRPr="005419DA" w:rsidR="00257B26" w:rsidP="00257B26" w:rsidRDefault="00257B26" w14:paraId="2D42A3B6" w14:textId="77777777">
      <w:pPr>
        <w:spacing w:line="276" w:lineRule="auto"/>
        <w:jc w:val="both"/>
        <w:rPr>
          <w:rFonts w:ascii="Arial" w:hAnsi="Arial" w:eastAsia="Calibri" w:cs="Arial"/>
          <w:b/>
          <w:bCs/>
          <w:color w:val="000000" w:themeColor="text1"/>
          <w:sz w:val="22"/>
          <w:szCs w:val="22"/>
          <w:lang w:val="es-ES_tradnl"/>
        </w:rPr>
      </w:pPr>
      <w:r w:rsidRPr="005419DA">
        <w:rPr>
          <w:rFonts w:ascii="Arial" w:hAnsi="Arial" w:eastAsia="Calibri" w:cs="Arial"/>
          <w:b/>
          <w:bCs/>
          <w:color w:val="000000" w:themeColor="text1"/>
          <w:sz w:val="22"/>
          <w:szCs w:val="22"/>
          <w:lang w:val="es-ES_tradnl"/>
        </w:rPr>
        <w:t xml:space="preserve">2.3. Forma de acreditación de los factores de desempate consagrados en el artículo 35 de la Ley </w:t>
      </w:r>
      <w:r>
        <w:rPr>
          <w:rFonts w:ascii="Arial" w:hAnsi="Arial" w:eastAsia="Calibri" w:cs="Arial"/>
          <w:b/>
          <w:bCs/>
          <w:color w:val="000000" w:themeColor="text1"/>
          <w:sz w:val="22"/>
          <w:szCs w:val="22"/>
          <w:lang w:val="es-ES_tradnl"/>
        </w:rPr>
        <w:t>2069</w:t>
      </w:r>
      <w:r w:rsidRPr="005419DA">
        <w:rPr>
          <w:rFonts w:ascii="Arial" w:hAnsi="Arial" w:eastAsia="Calibri" w:cs="Arial"/>
          <w:b/>
          <w:bCs/>
          <w:color w:val="000000" w:themeColor="text1"/>
          <w:sz w:val="22"/>
          <w:szCs w:val="22"/>
          <w:lang w:val="es-ES_tradnl"/>
        </w:rPr>
        <w:t xml:space="preserve"> de 2020</w:t>
      </w:r>
    </w:p>
    <w:p w:rsidRPr="005419DA" w:rsidR="00257B26" w:rsidP="00257B26" w:rsidRDefault="00257B26" w14:paraId="708F3FE0" w14:textId="77777777">
      <w:pPr>
        <w:spacing w:line="276" w:lineRule="auto"/>
        <w:jc w:val="both"/>
        <w:rPr>
          <w:rFonts w:ascii="Arial" w:hAnsi="Arial" w:eastAsia="Calibri" w:cs="Arial"/>
          <w:color w:val="000000" w:themeColor="text1"/>
          <w:sz w:val="22"/>
          <w:szCs w:val="22"/>
          <w:lang w:val="es-ES_tradnl"/>
        </w:rPr>
      </w:pPr>
    </w:p>
    <w:p w:rsidRPr="005419DA" w:rsidR="00257B26" w:rsidP="00257B26" w:rsidRDefault="00257B26" w14:paraId="42926E82" w14:textId="1BD33F40">
      <w:pPr>
        <w:spacing w:line="276" w:lineRule="auto"/>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t xml:space="preserve">El artículo 35 de la Ley </w:t>
      </w:r>
      <w:r>
        <w:rPr>
          <w:rFonts w:ascii="Arial" w:hAnsi="Arial" w:eastAsia="Calibri" w:cs="Arial"/>
          <w:color w:val="000000" w:themeColor="text1"/>
          <w:sz w:val="22"/>
          <w:szCs w:val="22"/>
          <w:lang w:val="es-ES_tradnl"/>
        </w:rPr>
        <w:t>2069</w:t>
      </w:r>
      <w:r w:rsidRPr="005419DA">
        <w:rPr>
          <w:rFonts w:ascii="Arial" w:hAnsi="Arial" w:eastAsia="Calibri" w:cs="Arial"/>
          <w:color w:val="000000" w:themeColor="text1"/>
          <w:sz w:val="22"/>
          <w:szCs w:val="22"/>
          <w:lang w:val="es-ES_tradnl"/>
        </w:rPr>
        <w:t xml:space="preserve"> de 2020 modifica la regulación de los factores de desempate en la contratación estatal. En consideración a que en la consulta se solicita que la Agencia Nacional de Contratación Pública – Colombia Compra Eficiente efectúe ciertas precisiones hermenéuticas sobre algunos numerales de dicho artículo, la </w:t>
      </w:r>
      <w:r w:rsidR="004260B2">
        <w:rPr>
          <w:rFonts w:ascii="Arial" w:hAnsi="Arial" w:eastAsia="Calibri" w:cs="Arial"/>
          <w:color w:val="000000" w:themeColor="text1"/>
          <w:sz w:val="22"/>
          <w:szCs w:val="22"/>
          <w:lang w:val="es-ES_tradnl"/>
        </w:rPr>
        <w:t>Agencia</w:t>
      </w:r>
      <w:r w:rsidRPr="005419DA">
        <w:rPr>
          <w:rFonts w:ascii="Arial" w:hAnsi="Arial" w:eastAsia="Calibri" w:cs="Arial"/>
          <w:color w:val="000000" w:themeColor="text1"/>
          <w:sz w:val="22"/>
          <w:szCs w:val="22"/>
          <w:lang w:val="es-ES_tradnl"/>
        </w:rPr>
        <w:t xml:space="preserve"> se pronunciará sobre el alcance que otorga a tales disposiciones, sin pasar por alto la novedad de la Ley </w:t>
      </w:r>
      <w:r>
        <w:rPr>
          <w:rFonts w:ascii="Arial" w:hAnsi="Arial" w:eastAsia="Calibri" w:cs="Arial"/>
          <w:color w:val="000000" w:themeColor="text1"/>
          <w:sz w:val="22"/>
          <w:szCs w:val="22"/>
          <w:lang w:val="es-ES_tradnl"/>
        </w:rPr>
        <w:t>2069</w:t>
      </w:r>
      <w:r w:rsidRPr="005419DA">
        <w:rPr>
          <w:rFonts w:ascii="Arial" w:hAnsi="Arial" w:eastAsia="Calibri" w:cs="Arial"/>
          <w:color w:val="000000" w:themeColor="text1"/>
          <w:sz w:val="22"/>
          <w:szCs w:val="22"/>
          <w:lang w:val="es-ES_tradnl"/>
        </w:rPr>
        <w:t xml:space="preserve"> de 2020 –dada su reciente entrada en vigencia– y la ausencia de pronunciamientos jurisprudenciales o estudios doctrinarios sobre el tema, que seguramente contribuirán a decantar la interpretación de las normas en comento.</w:t>
      </w:r>
    </w:p>
    <w:p w:rsidR="00F56054" w:rsidP="00257B26" w:rsidRDefault="00F56054" w14:paraId="5F7F7FA0" w14:textId="582EF893">
      <w:pPr>
        <w:spacing w:before="120" w:line="276" w:lineRule="auto"/>
        <w:ind w:firstLine="709"/>
        <w:jc w:val="both"/>
        <w:rPr>
          <w:rFonts w:ascii="Arial" w:hAnsi="Arial" w:eastAsia="Calibri" w:cs="Arial"/>
          <w:color w:val="000000" w:themeColor="text1"/>
          <w:sz w:val="22"/>
          <w:szCs w:val="22"/>
          <w:lang w:val="es-ES_tradnl"/>
        </w:rPr>
      </w:pPr>
      <w:r w:rsidRPr="00F56054">
        <w:rPr>
          <w:rFonts w:ascii="Arial" w:hAnsi="Arial" w:eastAsia="Calibri" w:cs="Arial"/>
          <w:color w:val="000000" w:themeColor="text1"/>
          <w:sz w:val="22"/>
          <w:szCs w:val="22"/>
          <w:lang w:val="es-ES_tradnl"/>
        </w:rPr>
        <w:t xml:space="preserve">Al respecto, pese a que el parágrafo 3 dispone que el Gobierno Nacional podrá regular los supuestos en que concurran dos o más factores de desempate, se considera que el artículo 35 de la Ley 2069 de 2020 goza de aplicación directa desde la fecha de su promulgación, es decir, no requiere de una reglamentación previa como presupuesto para su eficacia. Esta precisión reviste importancia, porque algunos enunciados normativos de la Ley bajo análisis establecen un mandato de reglamentación, dirigido al gobierno nacional, como condición para aplicar lo dispuesto en dicha Ley. </w:t>
      </w:r>
    </w:p>
    <w:p w:rsidRPr="005419DA" w:rsidR="00257B26" w:rsidP="00257B26" w:rsidRDefault="00257B26" w14:paraId="350D97AD" w14:textId="4B7EEE0E">
      <w:pPr>
        <w:spacing w:before="120" w:line="276" w:lineRule="auto"/>
        <w:ind w:firstLine="709"/>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lastRenderedPageBreak/>
        <w:t xml:space="preserve">Por ejemplo, en lo que a las compras públicas se refiere, el parágrafo primero del artículo 30, que alude a la participación de </w:t>
      </w:r>
      <w:proofErr w:type="spellStart"/>
      <w:r w:rsidRPr="005419DA">
        <w:rPr>
          <w:rFonts w:ascii="Arial" w:hAnsi="Arial" w:eastAsia="Calibri" w:cs="Arial"/>
          <w:color w:val="000000" w:themeColor="text1"/>
          <w:sz w:val="22"/>
          <w:szCs w:val="22"/>
          <w:lang w:val="es-ES_tradnl"/>
        </w:rPr>
        <w:t>mipymes</w:t>
      </w:r>
      <w:proofErr w:type="spellEnd"/>
      <w:r w:rsidRPr="005419DA">
        <w:rPr>
          <w:rFonts w:ascii="Arial" w:hAnsi="Arial" w:eastAsia="Calibri" w:cs="Arial"/>
          <w:color w:val="000000" w:themeColor="text1"/>
          <w:sz w:val="22"/>
          <w:szCs w:val="22"/>
          <w:lang w:val="es-ES_tradnl"/>
        </w:rPr>
        <w:t xml:space="preserve"> en procedimientos de mínima cuantía, establece que «Las particularidades del procedimiento aquí previsto, así como la posibilidad que tengan las entidades de realizar estas adquisiciones a </w:t>
      </w:r>
      <w:proofErr w:type="spellStart"/>
      <w:r w:rsidRPr="005419DA">
        <w:rPr>
          <w:rFonts w:ascii="Arial" w:hAnsi="Arial" w:eastAsia="Calibri" w:cs="Arial"/>
          <w:color w:val="000000" w:themeColor="text1"/>
          <w:sz w:val="22"/>
          <w:szCs w:val="22"/>
          <w:lang w:val="es-ES_tradnl"/>
        </w:rPr>
        <w:t>Mipymes</w:t>
      </w:r>
      <w:proofErr w:type="spellEnd"/>
      <w:r w:rsidRPr="005419DA">
        <w:rPr>
          <w:rFonts w:ascii="Arial" w:hAnsi="Arial" w:eastAsia="Calibri" w:cs="Arial"/>
          <w:color w:val="000000" w:themeColor="text1"/>
          <w:sz w:val="22"/>
          <w:szCs w:val="22"/>
          <w:lang w:val="es-ES_tradnl"/>
        </w:rPr>
        <w:t xml:space="preserve"> o establecimientos que correspondan a la definición de "gran almacén" señalada por la Superintendencia de Industria y Comercio, se determinarán en el reglamento que para el efecto expida el Gobierno Nacional». En un sentido similar, el parágrafo segundo del mismo artículo expresa que «La contratación a que se refiere el presente artículo se realizará exclusivamente con las reglas en él contempladas y en su reglamentación. […]». </w:t>
      </w:r>
    </w:p>
    <w:p w:rsidRPr="005419DA" w:rsidR="00257B26" w:rsidP="00257B26" w:rsidRDefault="00257B26" w14:paraId="658095D9" w14:textId="77777777">
      <w:pPr>
        <w:spacing w:before="120" w:line="276" w:lineRule="auto"/>
        <w:ind w:firstLine="709"/>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t xml:space="preserve">Así mismo, el artículo 31, en el segundo inciso, determina que «El Gobierno Nacional reglamentará la definición de los criterios diferenciales, sobre reglas objetivas que podrán implementar las Entidades Estatales». Del mismo modo, el parágrafo primero del artículo 32 establece que «La definición de emprendimientos y empresas de mujeres se reglamentará por el gobierno nacional», en tanto que el inciso cuarto del artículo 12 de la Ley 1150 de 2007, modificado por el artículo 34 de la Ley </w:t>
      </w:r>
      <w:r>
        <w:rPr>
          <w:rFonts w:ascii="Arial" w:hAnsi="Arial" w:eastAsia="Calibri" w:cs="Arial"/>
          <w:color w:val="000000" w:themeColor="text1"/>
          <w:sz w:val="22"/>
          <w:szCs w:val="22"/>
          <w:lang w:val="es-ES_tradnl"/>
        </w:rPr>
        <w:t>2069</w:t>
      </w:r>
      <w:r w:rsidRPr="005419DA">
        <w:rPr>
          <w:rFonts w:ascii="Arial" w:hAnsi="Arial" w:eastAsia="Calibri" w:cs="Arial"/>
          <w:color w:val="000000" w:themeColor="text1"/>
          <w:sz w:val="22"/>
          <w:szCs w:val="22"/>
          <w:lang w:val="es-ES_tradnl"/>
        </w:rPr>
        <w:t xml:space="preserve"> de 2020, indica que en los pliegos de condiciones las entidades estatales deben prever mecanismos que garanticen la provisión de bienes y servicios por parte de sujetos de especial protección constitucional «[…] en las condiciones que señale el reglamento».</w:t>
      </w:r>
    </w:p>
    <w:p w:rsidR="00BF42AC" w:rsidP="00257B26" w:rsidRDefault="00BF42AC" w14:paraId="0691CD5C" w14:textId="77777777">
      <w:pPr>
        <w:spacing w:before="120" w:line="276" w:lineRule="auto"/>
        <w:ind w:firstLine="709"/>
        <w:jc w:val="both"/>
        <w:rPr>
          <w:rFonts w:ascii="Arial" w:hAnsi="Arial" w:eastAsia="Calibri" w:cs="Arial"/>
          <w:color w:val="000000" w:themeColor="text1"/>
          <w:sz w:val="22"/>
          <w:szCs w:val="22"/>
          <w:lang w:val="es-ES_tradnl"/>
        </w:rPr>
      </w:pPr>
      <w:r w:rsidRPr="00BF42AC">
        <w:rPr>
          <w:rFonts w:ascii="Arial" w:hAnsi="Arial" w:eastAsia="Calibri" w:cs="Arial"/>
          <w:color w:val="000000" w:themeColor="text1"/>
          <w:sz w:val="22"/>
          <w:szCs w:val="22"/>
          <w:lang w:val="es-ES_tradnl"/>
        </w:rPr>
        <w:t>Lo mismo no sucede con el artículo 35. En efecto, si bien los factores de desempate regulados en el artículo 35 deben aplicarse «[…] de forma sucesiva y excluyente para seleccionar al oferente favorecido, respetando en todo caso los compromisos internacionales vigentes» –según lo dispone el inciso primero–, el parágrafo tercero del mencionado artículo establece que «El Gobierno Nacional podrá reglamentar la aplicación de factores de desempate en casos en que concurran dos o más de los factores aquí previstos». En otras palabras, dicho parágrafo le asigna potestad reglamentaria al gobierno nacional para definir factores que permitan desempatar las ofertas en aquellos casos en que varios oferentes reúnan al tiempo dos o más de los factores previstos en el artículo 35.</w:t>
      </w:r>
    </w:p>
    <w:p w:rsidRPr="005419DA" w:rsidR="00257B26" w:rsidP="00257B26" w:rsidRDefault="00257B26" w14:paraId="020D1557" w14:textId="3C0AD4C8">
      <w:pPr>
        <w:spacing w:before="120" w:line="276" w:lineRule="auto"/>
        <w:ind w:firstLine="709"/>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t xml:space="preserve">A continuación, el artículo en mención establece los factores de desempate que se deben seguir de manera sucesiva, sin indicar tampoco en cada numeral que su eficacia dependa de lo que determine el reglamento. La única alusión que se hace al reglamento se encuentra en el parágrafo tercero del artículo que se viene comentando, no para condicionar la aplicación de todo lo dispuesto en aquel, sino para indicar que «El Gobierno Nacional </w:t>
      </w:r>
      <w:r w:rsidRPr="005419DA">
        <w:rPr>
          <w:rFonts w:ascii="Arial" w:hAnsi="Arial" w:eastAsia="Calibri" w:cs="Arial"/>
          <w:i/>
          <w:iCs/>
          <w:color w:val="000000" w:themeColor="text1"/>
          <w:sz w:val="22"/>
          <w:szCs w:val="22"/>
          <w:lang w:val="es-ES_tradnl"/>
        </w:rPr>
        <w:t>podrá reglamentar</w:t>
      </w:r>
      <w:r w:rsidRPr="005419DA">
        <w:rPr>
          <w:rFonts w:ascii="Arial" w:hAnsi="Arial" w:eastAsia="Calibri" w:cs="Arial"/>
          <w:color w:val="000000" w:themeColor="text1"/>
          <w:sz w:val="22"/>
          <w:szCs w:val="22"/>
          <w:lang w:val="es-ES_tradnl"/>
        </w:rPr>
        <w:t xml:space="preserve"> la aplicación de factores de desempate en casos en que concurran dos o más de los factores aquí previstos» (Énfasis fuera de texto).</w:t>
      </w:r>
    </w:p>
    <w:p w:rsidR="00257B26" w:rsidP="00257B26" w:rsidRDefault="00257B26" w14:paraId="4071FFFD" w14:textId="1A9475D5">
      <w:pPr>
        <w:spacing w:before="120" w:line="276" w:lineRule="auto"/>
        <w:ind w:firstLine="709"/>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t>Como se observa se trata de una competencia que, en concordancia con el artículo 189.11 superior, el gobierno nacional puede ejercer discrecionalmente para la ejecución de las leyes. Por tanto,</w:t>
      </w:r>
      <w:r w:rsidR="004021BE">
        <w:rPr>
          <w:rFonts w:ascii="Arial" w:hAnsi="Arial" w:eastAsia="Calibri" w:cs="Arial"/>
          <w:color w:val="000000" w:themeColor="text1"/>
          <w:sz w:val="22"/>
          <w:szCs w:val="22"/>
          <w:lang w:val="es-ES_tradnl"/>
        </w:rPr>
        <w:t xml:space="preserve"> </w:t>
      </w:r>
      <w:r w:rsidRPr="004021BE" w:rsidR="004021BE">
        <w:rPr>
          <w:rFonts w:ascii="Arial" w:hAnsi="Arial" w:eastAsia="Calibri" w:cs="Arial"/>
          <w:color w:val="000000" w:themeColor="text1"/>
          <w:sz w:val="22"/>
          <w:szCs w:val="22"/>
          <w:lang w:val="es-ES_tradnl"/>
        </w:rPr>
        <w:t xml:space="preserve">sin perjuicio de que el Gobierno Nacional ejerza la potestad reglamentaria para regular los casos en que concurren dos o más de los factores de </w:t>
      </w:r>
      <w:r w:rsidRPr="004021BE" w:rsidR="004021BE">
        <w:rPr>
          <w:rFonts w:ascii="Arial" w:hAnsi="Arial" w:eastAsia="Calibri" w:cs="Arial"/>
          <w:color w:val="000000" w:themeColor="text1"/>
          <w:sz w:val="22"/>
          <w:szCs w:val="22"/>
          <w:lang w:val="es-ES_tradnl"/>
        </w:rPr>
        <w:lastRenderedPageBreak/>
        <w:t xml:space="preserve">desempate, </w:t>
      </w:r>
      <w:r w:rsidRPr="005419DA">
        <w:rPr>
          <w:rFonts w:ascii="Arial" w:hAnsi="Arial" w:eastAsia="Calibri" w:cs="Arial"/>
          <w:color w:val="000000" w:themeColor="text1"/>
          <w:sz w:val="22"/>
          <w:szCs w:val="22"/>
          <w:lang w:val="es-ES_tradnl"/>
        </w:rPr>
        <w:t xml:space="preserve"> no es necesaria la existencia del reglamento como presupuesto necesario para aplicar el artículo 35 de la Ley </w:t>
      </w:r>
      <w:r>
        <w:rPr>
          <w:rFonts w:ascii="Arial" w:hAnsi="Arial" w:eastAsia="Calibri" w:cs="Arial"/>
          <w:color w:val="000000" w:themeColor="text1"/>
          <w:sz w:val="22"/>
          <w:szCs w:val="22"/>
          <w:lang w:val="es-ES_tradnl"/>
        </w:rPr>
        <w:t>2069</w:t>
      </w:r>
      <w:r w:rsidRPr="005419DA">
        <w:rPr>
          <w:rFonts w:ascii="Arial" w:hAnsi="Arial" w:eastAsia="Calibri" w:cs="Arial"/>
          <w:color w:val="000000" w:themeColor="text1"/>
          <w:sz w:val="22"/>
          <w:szCs w:val="22"/>
          <w:lang w:val="es-ES_tradnl"/>
        </w:rPr>
        <w:t xml:space="preserve"> de 2020. De este modo, se concluye que los factores de desempate del artículo citado son exigibles desde la fecha de su promulgación, es decir, deben tenerse en cuenta en los procesos de selección que se inicien después del 31 de diciembre de 2020.</w:t>
      </w:r>
    </w:p>
    <w:p w:rsidRPr="005A72DD" w:rsidR="00325AD9" w:rsidP="00BB606C" w:rsidRDefault="005654BF" w14:paraId="6525352B" w14:textId="77F58487">
      <w:pPr>
        <w:spacing w:before="120" w:line="276" w:lineRule="auto"/>
        <w:ind w:firstLine="709"/>
        <w:jc w:val="both"/>
        <w:rPr>
          <w:rFonts w:ascii="Arial" w:hAnsi="Arial" w:cs="Arial"/>
          <w:color w:val="000000" w:themeColor="text1"/>
          <w:sz w:val="22"/>
          <w:szCs w:val="22"/>
          <w:lang w:val="es-ES_tradnl"/>
        </w:rPr>
      </w:pPr>
      <w:r>
        <w:rPr>
          <w:rFonts w:ascii="Arial" w:hAnsi="Arial" w:eastAsia="Calibri" w:cs="Arial"/>
          <w:color w:val="000000" w:themeColor="text1"/>
          <w:sz w:val="22"/>
          <w:szCs w:val="22"/>
          <w:lang w:val="es-ES_tradnl"/>
        </w:rPr>
        <w:t>Luego</w:t>
      </w:r>
      <w:r w:rsidR="00477072">
        <w:rPr>
          <w:rFonts w:ascii="Arial" w:hAnsi="Arial" w:eastAsia="Calibri" w:cs="Arial"/>
          <w:color w:val="000000" w:themeColor="text1"/>
          <w:sz w:val="22"/>
          <w:szCs w:val="22"/>
          <w:lang w:val="es-ES_tradnl"/>
        </w:rPr>
        <w:t xml:space="preserve"> de aclarar</w:t>
      </w:r>
      <w:r w:rsidRPr="005A72DD" w:rsidR="00325AD9">
        <w:rPr>
          <w:rFonts w:ascii="Arial" w:hAnsi="Arial" w:eastAsia="Calibri" w:cs="Arial"/>
          <w:color w:val="000000" w:themeColor="text1"/>
          <w:sz w:val="22"/>
          <w:szCs w:val="22"/>
          <w:lang w:val="es-ES_tradnl"/>
        </w:rPr>
        <w:t xml:space="preserve"> que el artículo 35 de la Ley </w:t>
      </w:r>
      <w:r w:rsidR="006A538C">
        <w:rPr>
          <w:rFonts w:ascii="Arial" w:hAnsi="Arial" w:eastAsia="Calibri" w:cs="Arial"/>
          <w:color w:val="000000" w:themeColor="text1"/>
          <w:sz w:val="22"/>
          <w:szCs w:val="22"/>
          <w:lang w:val="es-ES_tradnl"/>
        </w:rPr>
        <w:t>2069</w:t>
      </w:r>
      <w:r w:rsidRPr="005A72DD" w:rsidR="00325AD9">
        <w:rPr>
          <w:rFonts w:ascii="Arial" w:hAnsi="Arial" w:eastAsia="Calibri" w:cs="Arial"/>
          <w:color w:val="000000" w:themeColor="text1"/>
          <w:sz w:val="22"/>
          <w:szCs w:val="22"/>
          <w:lang w:val="es-ES_tradnl"/>
        </w:rPr>
        <w:t xml:space="preserve"> de 2020 se encuentra vigente y que no requiere </w:t>
      </w:r>
      <w:r w:rsidR="00477072">
        <w:rPr>
          <w:rFonts w:ascii="Arial" w:hAnsi="Arial" w:eastAsia="Calibri" w:cs="Arial"/>
          <w:color w:val="000000" w:themeColor="text1"/>
          <w:sz w:val="22"/>
          <w:szCs w:val="22"/>
          <w:lang w:val="es-ES_tradnl"/>
        </w:rPr>
        <w:t>reglamentación</w:t>
      </w:r>
      <w:r w:rsidRPr="005A72DD" w:rsidR="00325AD9">
        <w:rPr>
          <w:rFonts w:ascii="Arial" w:hAnsi="Arial" w:eastAsia="Calibri" w:cs="Arial"/>
          <w:color w:val="000000" w:themeColor="text1"/>
          <w:sz w:val="22"/>
          <w:szCs w:val="22"/>
          <w:lang w:val="es-ES_tradnl"/>
        </w:rPr>
        <w:t xml:space="preserve"> previa para que </w:t>
      </w:r>
      <w:r w:rsidRPr="005A72DD" w:rsidR="0041674B">
        <w:rPr>
          <w:rFonts w:ascii="Arial" w:hAnsi="Arial" w:eastAsia="Calibri" w:cs="Arial"/>
          <w:color w:val="000000" w:themeColor="text1"/>
          <w:sz w:val="22"/>
          <w:szCs w:val="22"/>
          <w:lang w:val="es-ES_tradnl"/>
        </w:rPr>
        <w:t xml:space="preserve">sea exigible en los procedimientos de selección, es menester hacer referencia al objeto de </w:t>
      </w:r>
      <w:r w:rsidRPr="005A72DD" w:rsidR="00A00F5E">
        <w:rPr>
          <w:rFonts w:ascii="Arial" w:hAnsi="Arial" w:eastAsia="Calibri" w:cs="Arial"/>
          <w:color w:val="000000" w:themeColor="text1"/>
          <w:sz w:val="22"/>
          <w:szCs w:val="22"/>
          <w:lang w:val="es-ES_tradnl"/>
        </w:rPr>
        <w:t>la</w:t>
      </w:r>
      <w:r w:rsidRPr="005A72DD" w:rsidR="0041674B">
        <w:rPr>
          <w:rFonts w:ascii="Arial" w:hAnsi="Arial" w:eastAsia="Calibri" w:cs="Arial"/>
          <w:color w:val="000000" w:themeColor="text1"/>
          <w:sz w:val="22"/>
          <w:szCs w:val="22"/>
          <w:lang w:val="es-ES_tradnl"/>
        </w:rPr>
        <w:t xml:space="preserve"> consulta. En ella se </w:t>
      </w:r>
      <w:r w:rsidRPr="005A72DD" w:rsidR="00030DFB">
        <w:rPr>
          <w:rFonts w:ascii="Arial" w:hAnsi="Arial" w:eastAsia="Calibri" w:cs="Arial"/>
          <w:color w:val="000000" w:themeColor="text1"/>
          <w:sz w:val="22"/>
          <w:szCs w:val="22"/>
          <w:lang w:val="es-ES_tradnl"/>
        </w:rPr>
        <w:t xml:space="preserve">formulan preguntas sobre </w:t>
      </w:r>
      <w:r w:rsidRPr="005A72DD" w:rsidR="0030257B">
        <w:rPr>
          <w:rFonts w:ascii="Arial" w:hAnsi="Arial" w:eastAsia="Calibri" w:cs="Arial"/>
          <w:color w:val="000000" w:themeColor="text1"/>
          <w:sz w:val="22"/>
          <w:szCs w:val="22"/>
          <w:lang w:val="es-ES_tradnl"/>
        </w:rPr>
        <w:t>el sentido y forma de acreditación de los factores de desempate previstos en los numerales 2, 4</w:t>
      </w:r>
      <w:r w:rsidRPr="005A72DD" w:rsidR="009B28D6">
        <w:rPr>
          <w:rFonts w:ascii="Arial" w:hAnsi="Arial" w:eastAsia="Calibri" w:cs="Arial"/>
          <w:color w:val="000000" w:themeColor="text1"/>
          <w:sz w:val="22"/>
          <w:szCs w:val="22"/>
          <w:lang w:val="es-ES_tradnl"/>
        </w:rPr>
        <w:t xml:space="preserve">, </w:t>
      </w:r>
      <w:r w:rsidRPr="005A72DD" w:rsidR="0030257B">
        <w:rPr>
          <w:rFonts w:ascii="Arial" w:hAnsi="Arial" w:eastAsia="Calibri" w:cs="Arial"/>
          <w:color w:val="000000" w:themeColor="text1"/>
          <w:sz w:val="22"/>
          <w:szCs w:val="22"/>
          <w:lang w:val="es-ES_tradnl"/>
        </w:rPr>
        <w:t>5,</w:t>
      </w:r>
      <w:r w:rsidRPr="005A72DD" w:rsidR="009B28D6">
        <w:rPr>
          <w:rFonts w:ascii="Arial" w:hAnsi="Arial" w:eastAsia="Calibri" w:cs="Arial"/>
          <w:color w:val="000000" w:themeColor="text1"/>
          <w:sz w:val="22"/>
          <w:szCs w:val="22"/>
          <w:lang w:val="es-ES_tradnl"/>
        </w:rPr>
        <w:t xml:space="preserve"> 6, 7</w:t>
      </w:r>
      <w:r w:rsidRPr="005A72DD" w:rsidR="005A72DD">
        <w:rPr>
          <w:rFonts w:ascii="Arial" w:hAnsi="Arial" w:eastAsia="Calibri" w:cs="Arial"/>
          <w:color w:val="000000" w:themeColor="text1"/>
          <w:sz w:val="22"/>
          <w:szCs w:val="22"/>
          <w:lang w:val="es-ES_tradnl"/>
        </w:rPr>
        <w:t xml:space="preserve"> y </w:t>
      </w:r>
      <w:r w:rsidR="00697F3D">
        <w:rPr>
          <w:rFonts w:ascii="Arial" w:hAnsi="Arial" w:eastAsia="Calibri" w:cs="Arial"/>
          <w:color w:val="000000" w:themeColor="text1"/>
          <w:sz w:val="22"/>
          <w:szCs w:val="22"/>
          <w:lang w:val="es-ES_tradnl"/>
        </w:rPr>
        <w:t>11</w:t>
      </w:r>
      <w:r w:rsidR="00D2074E">
        <w:rPr>
          <w:rFonts w:ascii="Arial" w:hAnsi="Arial" w:eastAsia="Calibri" w:cs="Arial"/>
          <w:color w:val="000000" w:themeColor="text1"/>
          <w:sz w:val="22"/>
          <w:szCs w:val="22"/>
          <w:lang w:val="es-ES_tradnl"/>
        </w:rPr>
        <w:t xml:space="preserve"> </w:t>
      </w:r>
      <w:r w:rsidRPr="005A72DD" w:rsidR="009C2210">
        <w:rPr>
          <w:rFonts w:ascii="Arial" w:hAnsi="Arial" w:eastAsia="Calibri" w:cs="Arial"/>
          <w:color w:val="000000" w:themeColor="text1"/>
          <w:sz w:val="22"/>
          <w:szCs w:val="22"/>
          <w:lang w:val="es-ES_tradnl"/>
        </w:rPr>
        <w:t>del artículo 35</w:t>
      </w:r>
      <w:r w:rsidRPr="005A72DD" w:rsidR="00454DF8">
        <w:rPr>
          <w:rFonts w:ascii="Arial" w:hAnsi="Arial" w:eastAsia="Calibri" w:cs="Arial"/>
          <w:color w:val="000000" w:themeColor="text1"/>
          <w:sz w:val="22"/>
          <w:szCs w:val="22"/>
          <w:lang w:val="es-ES_tradnl"/>
        </w:rPr>
        <w:t xml:space="preserve">. </w:t>
      </w:r>
      <w:r w:rsidRPr="005A72DD" w:rsidR="00694E8B">
        <w:rPr>
          <w:rFonts w:ascii="Arial" w:hAnsi="Arial" w:eastAsia="Calibri" w:cs="Arial"/>
          <w:color w:val="000000" w:themeColor="text1"/>
          <w:sz w:val="22"/>
          <w:szCs w:val="22"/>
          <w:lang w:val="es-ES_tradnl"/>
        </w:rPr>
        <w:t>Tales</w:t>
      </w:r>
      <w:r w:rsidRPr="005A72DD" w:rsidR="00454DF8">
        <w:rPr>
          <w:rFonts w:ascii="Arial" w:hAnsi="Arial" w:eastAsia="Calibri" w:cs="Arial"/>
          <w:color w:val="000000" w:themeColor="text1"/>
          <w:sz w:val="22"/>
          <w:szCs w:val="22"/>
          <w:lang w:val="es-ES_tradnl"/>
        </w:rPr>
        <w:t xml:space="preserve"> disposiciones normativas</w:t>
      </w:r>
      <w:r w:rsidRPr="005A72DD" w:rsidR="00694E8B">
        <w:rPr>
          <w:rFonts w:ascii="Arial" w:hAnsi="Arial" w:eastAsia="Calibri" w:cs="Arial"/>
          <w:color w:val="000000" w:themeColor="text1"/>
          <w:sz w:val="22"/>
          <w:szCs w:val="22"/>
          <w:lang w:val="es-ES_tradnl"/>
        </w:rPr>
        <w:t xml:space="preserve"> están redactadas de la siguiente manera</w:t>
      </w:r>
      <w:r w:rsidRPr="005A72DD" w:rsidR="00BB606C">
        <w:rPr>
          <w:rFonts w:ascii="Arial" w:hAnsi="Arial" w:cs="Arial"/>
          <w:color w:val="000000" w:themeColor="text1"/>
          <w:sz w:val="22"/>
          <w:szCs w:val="22"/>
          <w:lang w:val="es-ES_tradnl"/>
        </w:rPr>
        <w:t>:</w:t>
      </w:r>
    </w:p>
    <w:p w:rsidR="00530458" w:rsidP="00610001" w:rsidRDefault="00530458" w14:paraId="0BC827BE" w14:textId="45689577">
      <w:pPr>
        <w:ind w:right="709"/>
        <w:jc w:val="both"/>
        <w:rPr>
          <w:rFonts w:ascii="Arial" w:hAnsi="Arial" w:eastAsia="Calibri" w:cs="Arial"/>
          <w:color w:val="000000" w:themeColor="text1"/>
          <w:sz w:val="21"/>
          <w:szCs w:val="21"/>
          <w:lang w:val="es-ES_tradnl"/>
        </w:rPr>
      </w:pPr>
    </w:p>
    <w:p w:rsidR="00530458" w:rsidP="00BB606C" w:rsidRDefault="00530458" w14:paraId="217A8E4B" w14:textId="77777777">
      <w:pPr>
        <w:ind w:left="709" w:right="709"/>
        <w:jc w:val="both"/>
        <w:rPr>
          <w:rFonts w:ascii="Arial" w:hAnsi="Arial" w:eastAsia="Calibri" w:cs="Arial"/>
          <w:color w:val="000000" w:themeColor="text1"/>
          <w:sz w:val="21"/>
          <w:szCs w:val="21"/>
          <w:lang w:val="es-ES_tradnl"/>
        </w:rPr>
      </w:pPr>
      <w:r>
        <w:rPr>
          <w:rFonts w:ascii="Arial" w:hAnsi="Arial" w:eastAsia="Calibri" w:cs="Arial"/>
          <w:color w:val="000000" w:themeColor="text1"/>
          <w:sz w:val="21"/>
          <w:szCs w:val="21"/>
          <w:lang w:val="es-ES_tradnl"/>
        </w:rPr>
        <w:t>[…]</w:t>
      </w:r>
    </w:p>
    <w:p w:rsidRPr="00D9015D" w:rsidR="00BB606C" w:rsidP="00BB606C" w:rsidRDefault="00BB606C" w14:paraId="7A64D169" w14:textId="273E70CF">
      <w:pPr>
        <w:ind w:left="709" w:right="709"/>
        <w:jc w:val="both"/>
        <w:rPr>
          <w:rFonts w:ascii="Arial" w:hAnsi="Arial" w:eastAsia="Calibri" w:cs="Arial"/>
          <w:color w:val="000000" w:themeColor="text1"/>
          <w:sz w:val="21"/>
          <w:szCs w:val="21"/>
          <w:lang w:val="es-ES_tradnl"/>
        </w:rPr>
      </w:pPr>
      <w:r w:rsidRPr="00D9015D">
        <w:rPr>
          <w:rFonts w:ascii="Arial" w:hAnsi="Arial" w:eastAsia="Calibri" w:cs="Arial"/>
          <w:color w:val="000000" w:themeColor="text1"/>
          <w:sz w:val="21"/>
          <w:szCs w:val="21"/>
          <w:lang w:val="es-ES_tradnl"/>
        </w:rPr>
        <w:t>2. Preferir la propuesta de la mujer cabeza de familia, mujeres víctimas de la violencia intrafamiliar o de la persona jurídica en la cual participe o participen mayoritariamente; o, la de un proponente plural constituido por mujeres cabeza de familia, mujeres víctimas de violencia intrafamiliar y/o personas jurídicas en las cuales participe o participen mayoritariamente.</w:t>
      </w:r>
    </w:p>
    <w:p w:rsidRPr="00D9015D" w:rsidR="00766D49" w:rsidP="00BB606C" w:rsidRDefault="00766D49" w14:paraId="2B7F48FA" w14:textId="77777777">
      <w:pPr>
        <w:ind w:left="709" w:right="709"/>
        <w:jc w:val="both"/>
        <w:rPr>
          <w:rFonts w:ascii="Arial" w:hAnsi="Arial" w:eastAsia="Calibri" w:cs="Arial"/>
          <w:color w:val="000000" w:themeColor="text1"/>
          <w:sz w:val="21"/>
          <w:szCs w:val="21"/>
          <w:lang w:val="es-ES_tradnl"/>
        </w:rPr>
      </w:pPr>
    </w:p>
    <w:p w:rsidRPr="00D9015D" w:rsidR="00766D49" w:rsidP="00454DF8" w:rsidRDefault="00766D49" w14:paraId="4AE922A1" w14:textId="081E98C8">
      <w:pPr>
        <w:ind w:left="709" w:right="709"/>
        <w:jc w:val="both"/>
        <w:rPr>
          <w:rFonts w:ascii="Arial" w:hAnsi="Arial" w:eastAsia="Calibri" w:cs="Arial"/>
          <w:color w:val="000000" w:themeColor="text1"/>
          <w:sz w:val="21"/>
          <w:szCs w:val="21"/>
          <w:lang w:val="es-ES_tradnl"/>
        </w:rPr>
      </w:pPr>
      <w:r w:rsidRPr="00D9015D">
        <w:rPr>
          <w:rFonts w:ascii="Arial" w:hAnsi="Arial" w:eastAsia="Calibri" w:cs="Arial"/>
          <w:color w:val="000000" w:themeColor="text1"/>
          <w:sz w:val="21"/>
          <w:szCs w:val="21"/>
          <w:lang w:val="es-ES_tradnl"/>
        </w:rPr>
        <w:t>[…]</w:t>
      </w:r>
    </w:p>
    <w:p w:rsidRPr="00D9015D" w:rsidR="00BB606C" w:rsidP="00BB606C" w:rsidRDefault="00BB606C" w14:paraId="30885A41" w14:textId="6CE24544">
      <w:pPr>
        <w:ind w:left="709" w:right="709"/>
        <w:jc w:val="both"/>
        <w:rPr>
          <w:rFonts w:ascii="Arial" w:hAnsi="Arial" w:eastAsia="Calibri" w:cs="Arial"/>
          <w:color w:val="000000" w:themeColor="text1"/>
          <w:sz w:val="21"/>
          <w:szCs w:val="21"/>
          <w:lang w:val="es-ES_tradnl"/>
        </w:rPr>
      </w:pPr>
      <w:r w:rsidRPr="00D9015D">
        <w:rPr>
          <w:rFonts w:ascii="Arial" w:hAnsi="Arial" w:eastAsia="Calibri" w:cs="Arial"/>
          <w:color w:val="000000" w:themeColor="text1"/>
          <w:sz w:val="21"/>
          <w:szCs w:val="21"/>
          <w:lang w:val="es-ES_tradnl"/>
        </w:rPr>
        <w:t>4. Preferir la propuesta presentada por el oferente que acredite la vinculación en mayor proporción de personas mayores que no sean beneficiarios de la pensión de vejez, familiar o de sobrevivencia y que hayan cumplido el requisito de edad de pensión establecido en la Ley.</w:t>
      </w:r>
    </w:p>
    <w:p w:rsidRPr="00D9015D" w:rsidR="00766D49" w:rsidP="00BB606C" w:rsidRDefault="00766D49" w14:paraId="22CE685C" w14:textId="77777777">
      <w:pPr>
        <w:ind w:left="709" w:right="709"/>
        <w:jc w:val="both"/>
        <w:rPr>
          <w:rFonts w:ascii="Arial" w:hAnsi="Arial" w:eastAsia="Calibri" w:cs="Arial"/>
          <w:color w:val="000000" w:themeColor="text1"/>
          <w:sz w:val="21"/>
          <w:szCs w:val="21"/>
          <w:lang w:val="es-ES_tradnl"/>
        </w:rPr>
      </w:pPr>
    </w:p>
    <w:p w:rsidRPr="00D9015D" w:rsidR="00BB606C" w:rsidP="00BB606C" w:rsidRDefault="00BB606C" w14:paraId="79FB32E5" w14:textId="652DA2E0">
      <w:pPr>
        <w:ind w:left="709" w:right="709"/>
        <w:jc w:val="both"/>
        <w:rPr>
          <w:rFonts w:ascii="Arial" w:hAnsi="Arial" w:eastAsia="Calibri" w:cs="Arial"/>
          <w:color w:val="000000" w:themeColor="text1"/>
          <w:sz w:val="21"/>
          <w:szCs w:val="21"/>
          <w:lang w:val="es-ES_tradnl"/>
        </w:rPr>
      </w:pPr>
      <w:r w:rsidRPr="00D9015D">
        <w:rPr>
          <w:rFonts w:ascii="Arial" w:hAnsi="Arial" w:eastAsia="Calibri" w:cs="Arial"/>
          <w:color w:val="000000" w:themeColor="text1"/>
          <w:sz w:val="21"/>
          <w:szCs w:val="21"/>
          <w:lang w:val="es-ES_tradnl"/>
        </w:rPr>
        <w:t xml:space="preserve">5. Preferir la propuesta presentada por el oferente que acredite, en las condiciones establecidas en la ley, que por lo menos diez por ciento (10%) de su nómina pertenece a población indígena, negra, afrocolombiana, raizal, palanquera, </w:t>
      </w:r>
      <w:proofErr w:type="spellStart"/>
      <w:r w:rsidRPr="00D9015D">
        <w:rPr>
          <w:rFonts w:ascii="Arial" w:hAnsi="Arial" w:eastAsia="Calibri" w:cs="Arial"/>
          <w:color w:val="000000" w:themeColor="text1"/>
          <w:sz w:val="21"/>
          <w:szCs w:val="21"/>
          <w:lang w:val="es-ES_tradnl"/>
        </w:rPr>
        <w:t>Rrom</w:t>
      </w:r>
      <w:proofErr w:type="spellEnd"/>
      <w:r w:rsidRPr="00D9015D">
        <w:rPr>
          <w:rFonts w:ascii="Arial" w:hAnsi="Arial" w:eastAsia="Calibri" w:cs="Arial"/>
          <w:color w:val="000000" w:themeColor="text1"/>
          <w:sz w:val="21"/>
          <w:szCs w:val="21"/>
          <w:lang w:val="es-ES_tradnl"/>
        </w:rPr>
        <w:t xml:space="preserve"> o gitanas.</w:t>
      </w:r>
    </w:p>
    <w:p w:rsidRPr="00D9015D" w:rsidR="00766D49" w:rsidP="0036594A" w:rsidRDefault="00766D49" w14:paraId="01CFDCDD" w14:textId="77777777">
      <w:pPr>
        <w:ind w:right="709"/>
        <w:jc w:val="both"/>
        <w:rPr>
          <w:rFonts w:ascii="Arial" w:hAnsi="Arial" w:eastAsia="Calibri" w:cs="Arial"/>
          <w:color w:val="000000" w:themeColor="text1"/>
          <w:sz w:val="21"/>
          <w:szCs w:val="21"/>
          <w:lang w:val="es-ES_tradnl"/>
        </w:rPr>
      </w:pPr>
    </w:p>
    <w:p w:rsidR="00530458" w:rsidP="00530458" w:rsidRDefault="00530458" w14:paraId="725859D1" w14:textId="17117B92">
      <w:pPr>
        <w:ind w:left="709" w:right="709"/>
        <w:jc w:val="both"/>
        <w:rPr>
          <w:rFonts w:ascii="Arial" w:hAnsi="Arial" w:eastAsia="Calibri" w:cs="Arial"/>
          <w:color w:val="000000" w:themeColor="text1"/>
          <w:sz w:val="21"/>
          <w:szCs w:val="21"/>
          <w:lang w:val="es-ES_tradnl"/>
        </w:rPr>
      </w:pPr>
      <w:r w:rsidRPr="00530458">
        <w:rPr>
          <w:rFonts w:ascii="Arial" w:hAnsi="Arial" w:eastAsia="Calibri" w:cs="Arial"/>
          <w:color w:val="000000" w:themeColor="text1"/>
          <w:sz w:val="21"/>
          <w:szCs w:val="21"/>
          <w:lang w:val="es-ES_tradnl"/>
        </w:rPr>
        <w:t>6.</w:t>
      </w:r>
      <w:r w:rsidR="009D03B4">
        <w:rPr>
          <w:rFonts w:ascii="Arial" w:hAnsi="Arial" w:eastAsia="Calibri" w:cs="Arial"/>
          <w:color w:val="000000" w:themeColor="text1"/>
          <w:sz w:val="21"/>
          <w:szCs w:val="21"/>
          <w:lang w:val="es-ES_tradnl"/>
        </w:rPr>
        <w:t xml:space="preserve"> </w:t>
      </w:r>
      <w:r w:rsidRPr="00530458">
        <w:rPr>
          <w:rFonts w:ascii="Arial" w:hAnsi="Arial" w:eastAsia="Calibri" w:cs="Arial"/>
          <w:color w:val="000000" w:themeColor="text1"/>
          <w:sz w:val="21"/>
          <w:szCs w:val="21"/>
          <w:lang w:val="es-ES_tradnl"/>
        </w:rPr>
        <w:t>Preferir la propuesta de personas en proceso de reintegración o reincorporación o de la persona jurídica en la cual participe o participen mayoritariamente; o, la de un proponente plural constituido por personas en proceso de reincorporación, y/o personas jurídicas en las cuales participe o participen mayoritariamente.</w:t>
      </w:r>
    </w:p>
    <w:p w:rsidRPr="00530458" w:rsidR="00530458" w:rsidP="00530458" w:rsidRDefault="00530458" w14:paraId="62100D4E" w14:textId="77777777">
      <w:pPr>
        <w:ind w:left="709" w:right="709"/>
        <w:jc w:val="both"/>
        <w:rPr>
          <w:rFonts w:ascii="Arial" w:hAnsi="Arial" w:eastAsia="Calibri" w:cs="Arial"/>
          <w:color w:val="000000" w:themeColor="text1"/>
          <w:sz w:val="21"/>
          <w:szCs w:val="21"/>
          <w:lang w:val="es-ES_tradnl"/>
        </w:rPr>
      </w:pPr>
    </w:p>
    <w:p w:rsidRPr="00530458" w:rsidR="00530458" w:rsidP="00530458" w:rsidRDefault="00530458" w14:paraId="427A8F73" w14:textId="1CDB42CE">
      <w:pPr>
        <w:ind w:left="709" w:right="709"/>
        <w:jc w:val="both"/>
        <w:rPr>
          <w:rFonts w:ascii="Arial" w:hAnsi="Arial" w:eastAsia="Calibri" w:cs="Arial"/>
          <w:color w:val="000000" w:themeColor="text1"/>
          <w:sz w:val="21"/>
          <w:szCs w:val="21"/>
          <w:lang w:val="es-ES_tradnl"/>
        </w:rPr>
      </w:pPr>
      <w:r w:rsidRPr="00530458">
        <w:rPr>
          <w:rFonts w:ascii="Arial" w:hAnsi="Arial" w:eastAsia="Calibri" w:cs="Arial"/>
          <w:color w:val="000000" w:themeColor="text1"/>
          <w:sz w:val="21"/>
          <w:szCs w:val="21"/>
          <w:lang w:val="es-ES_tradnl"/>
        </w:rPr>
        <w:t xml:space="preserve">7. Preferir la oferta presentada por un proponente plural siempre que: (a) esté conformado por al menos una madre cabeza de familia y/o una persona en proceso de reincorporación o reintegración, o una persona jurídica en la cual participe o participen mayoritariamente, y, que tenga una participación de por lo menos el veinticinco por ciento (25%) en el proponente plural; (b) la madre cabeza de familia, la persona en proceso de reincorporación o reintegración, o la persona jurídica aporte mínimo el veinticinco por ciento (25%) de la experiencia acreditada en la oferta; y (c) ni la madre cabeza de familia o persona en proceso de reincorporación o reintegración, ni la persona jurídica, ni sus </w:t>
      </w:r>
      <w:r w:rsidRPr="00530458">
        <w:rPr>
          <w:rFonts w:ascii="Arial" w:hAnsi="Arial" w:eastAsia="Calibri" w:cs="Arial"/>
          <w:color w:val="000000" w:themeColor="text1"/>
          <w:sz w:val="21"/>
          <w:szCs w:val="21"/>
          <w:lang w:val="es-ES_tradnl"/>
        </w:rPr>
        <w:lastRenderedPageBreak/>
        <w:t>accionistas, socios o representantes legales sean empleados, socios o accionistas de los miembros del proponente plural.</w:t>
      </w:r>
    </w:p>
    <w:p w:rsidR="00530458" w:rsidP="00530458" w:rsidRDefault="00530458" w14:paraId="7A590C96" w14:textId="77777777">
      <w:pPr>
        <w:ind w:left="709" w:right="709"/>
        <w:jc w:val="both"/>
        <w:rPr>
          <w:rFonts w:ascii="Arial" w:hAnsi="Arial" w:eastAsia="Calibri" w:cs="Arial"/>
          <w:color w:val="000000" w:themeColor="text1"/>
          <w:sz w:val="21"/>
          <w:szCs w:val="21"/>
          <w:lang w:val="es-ES_tradnl"/>
        </w:rPr>
      </w:pPr>
    </w:p>
    <w:p w:rsidR="00530458" w:rsidP="00530458" w:rsidRDefault="00530458" w14:paraId="5CAAA9BB" w14:textId="77777777">
      <w:pPr>
        <w:ind w:left="709" w:right="709"/>
        <w:jc w:val="both"/>
        <w:rPr>
          <w:rFonts w:ascii="Arial" w:hAnsi="Arial" w:eastAsia="Calibri" w:cs="Arial"/>
          <w:color w:val="000000" w:themeColor="text1"/>
          <w:sz w:val="21"/>
          <w:szCs w:val="21"/>
          <w:lang w:val="es-ES_tradnl"/>
        </w:rPr>
      </w:pPr>
      <w:r>
        <w:rPr>
          <w:rFonts w:ascii="Arial" w:hAnsi="Arial" w:eastAsia="Calibri" w:cs="Arial"/>
          <w:color w:val="000000" w:themeColor="text1"/>
          <w:sz w:val="21"/>
          <w:szCs w:val="21"/>
          <w:lang w:val="es-ES_tradnl"/>
        </w:rPr>
        <w:t>[…]</w:t>
      </w:r>
    </w:p>
    <w:p w:rsidR="0011359A" w:rsidP="00530458" w:rsidRDefault="00610001" w14:paraId="57A12398" w14:textId="67DC20E9">
      <w:pPr>
        <w:ind w:left="709" w:right="709"/>
        <w:jc w:val="both"/>
        <w:rPr>
          <w:rFonts w:ascii="Arial" w:hAnsi="Arial" w:eastAsia="Calibri" w:cs="Arial"/>
          <w:color w:val="000000" w:themeColor="text1"/>
          <w:sz w:val="21"/>
          <w:szCs w:val="21"/>
          <w:lang w:val="es-ES_tradnl"/>
        </w:rPr>
      </w:pPr>
      <w:r w:rsidRPr="00610001">
        <w:rPr>
          <w:rFonts w:ascii="Arial" w:hAnsi="Arial" w:eastAsia="Calibri" w:cs="Arial"/>
          <w:color w:val="000000" w:themeColor="text1"/>
          <w:sz w:val="21"/>
          <w:szCs w:val="21"/>
          <w:lang w:val="es-ES_tradnl"/>
        </w:rPr>
        <w:t>11. Preferir las empresas reconocidas y establecidas como Sociedad de Beneficio e Interés Colectivo o Sociedad BIC, del segmento MIPYMES.</w:t>
      </w:r>
    </w:p>
    <w:p w:rsidRPr="00D9015D" w:rsidR="0011359A" w:rsidP="00530458" w:rsidRDefault="0011359A" w14:paraId="244771D8" w14:textId="099DCDCA">
      <w:pPr>
        <w:ind w:left="709" w:right="709"/>
        <w:jc w:val="both"/>
        <w:rPr>
          <w:rFonts w:ascii="Arial" w:hAnsi="Arial" w:eastAsia="Calibri" w:cs="Arial"/>
          <w:color w:val="000000" w:themeColor="text1"/>
          <w:sz w:val="21"/>
          <w:szCs w:val="21"/>
          <w:lang w:val="es-ES_tradnl"/>
        </w:rPr>
      </w:pPr>
      <w:r>
        <w:rPr>
          <w:rFonts w:ascii="Arial" w:hAnsi="Arial" w:eastAsia="Calibri" w:cs="Arial"/>
          <w:color w:val="000000" w:themeColor="text1"/>
          <w:sz w:val="21"/>
          <w:szCs w:val="21"/>
          <w:lang w:val="es-ES_tradnl"/>
        </w:rPr>
        <w:t>[…].</w:t>
      </w:r>
    </w:p>
    <w:p w:rsidRPr="00D9015D" w:rsidR="00766D49" w:rsidP="00BB606C" w:rsidRDefault="00766D49" w14:paraId="5E1207E2" w14:textId="74C55D63">
      <w:pPr>
        <w:ind w:left="709" w:right="709"/>
        <w:jc w:val="both"/>
        <w:rPr>
          <w:rFonts w:ascii="Arial" w:hAnsi="Arial" w:eastAsia="Calibri" w:cs="Arial"/>
          <w:color w:val="000000" w:themeColor="text1"/>
          <w:sz w:val="21"/>
          <w:szCs w:val="21"/>
          <w:lang w:val="es-ES_tradnl"/>
        </w:rPr>
      </w:pPr>
    </w:p>
    <w:p w:rsidRPr="005419DA" w:rsidR="001576A9" w:rsidP="001576A9" w:rsidRDefault="001576A9" w14:paraId="1C58E42F" w14:textId="77777777">
      <w:pPr>
        <w:spacing w:line="276" w:lineRule="auto"/>
        <w:ind w:firstLine="709"/>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t xml:space="preserve">Como se advierte, estos numerales </w:t>
      </w:r>
      <w:bookmarkStart w:name="_Hlk62459524" w:id="2"/>
      <w:r w:rsidRPr="005419DA">
        <w:rPr>
          <w:rFonts w:ascii="Arial" w:hAnsi="Arial" w:eastAsia="Calibri" w:cs="Arial"/>
          <w:color w:val="000000" w:themeColor="text1"/>
          <w:sz w:val="22"/>
          <w:szCs w:val="22"/>
          <w:lang w:val="es-ES_tradnl"/>
        </w:rPr>
        <w:t xml:space="preserve">no establecen un medio específico para acreditar las circunstancias a las que se refieren. Por lo tanto, corresponde a la entidad contratante analizar si el ordenamiento jurídico, en otras disposiciones legales o reglamentarias, exige un documento especial o si, por el contrario, hay libertad probatoria. Este análisis debe realizarse de manera independiente frente a cada numeral. En caso de que no exista «tarifa legal», es decir, en el evento en que la ley o el reglamento no definan un medio probatorio para acreditar la circunstancia correspondiente, la entidad estatal contratante tiene discrecionalidad para establecer en el pliego de condiciones o en el documento equivalente de qué manera el proponente podrá probar que se encuentra bajo la condición que permite aplicar la regla de desempate. Por supuesto, el decreto reglamentario que expida el gobierno nacional para garantizar la cumplida ejecución de la Ley </w:t>
      </w:r>
      <w:r>
        <w:rPr>
          <w:rFonts w:ascii="Arial" w:hAnsi="Arial" w:eastAsia="Calibri" w:cs="Arial"/>
          <w:color w:val="000000" w:themeColor="text1"/>
          <w:sz w:val="22"/>
          <w:szCs w:val="22"/>
          <w:lang w:val="es-ES_tradnl"/>
        </w:rPr>
        <w:t>2069</w:t>
      </w:r>
      <w:r w:rsidRPr="005419DA">
        <w:rPr>
          <w:rFonts w:ascii="Arial" w:hAnsi="Arial" w:eastAsia="Calibri" w:cs="Arial"/>
          <w:color w:val="000000" w:themeColor="text1"/>
          <w:sz w:val="22"/>
          <w:szCs w:val="22"/>
          <w:lang w:val="es-ES_tradnl"/>
        </w:rPr>
        <w:t xml:space="preserve"> de 2020 podría establecer los medios de prueba, así como las autoridades encargadas de certificar las circunstancias del artículo 35. Sin embargo, mientras ello no suceda, deberá aplicarse el criterio indicado con anterioridad.</w:t>
      </w:r>
    </w:p>
    <w:bookmarkEnd w:id="2"/>
    <w:p w:rsidRPr="00D9015D" w:rsidR="00BD6D41" w:rsidP="00336CD9" w:rsidRDefault="004567DA" w14:paraId="5BDB94EE" w14:textId="6560A1CD">
      <w:pPr>
        <w:spacing w:before="120" w:line="276" w:lineRule="auto"/>
        <w:ind w:firstLine="709"/>
        <w:jc w:val="both"/>
        <w:rPr>
          <w:rFonts w:ascii="Arial" w:hAnsi="Arial" w:eastAsia="Calibri" w:cs="Arial"/>
          <w:color w:val="000000" w:themeColor="text1"/>
          <w:sz w:val="22"/>
          <w:szCs w:val="22"/>
          <w:lang w:val="es-ES_tradnl"/>
        </w:rPr>
      </w:pPr>
      <w:r w:rsidRPr="00D9015D">
        <w:rPr>
          <w:rFonts w:ascii="Arial" w:hAnsi="Arial" w:eastAsia="Calibri" w:cs="Arial"/>
          <w:color w:val="000000" w:themeColor="text1"/>
          <w:sz w:val="22"/>
          <w:szCs w:val="22"/>
          <w:lang w:val="es-ES_tradnl"/>
        </w:rPr>
        <w:t xml:space="preserve">Así, en relación con el numeral 2 del artículo 35, como lo ha indicado la Corte Constitucional, </w:t>
      </w:r>
      <w:r w:rsidRPr="00D9015D" w:rsidR="00974CBD">
        <w:rPr>
          <w:rFonts w:ascii="Arial" w:hAnsi="Arial" w:eastAsia="Calibri" w:cs="Arial"/>
          <w:color w:val="000000" w:themeColor="text1"/>
          <w:sz w:val="22"/>
          <w:szCs w:val="22"/>
          <w:lang w:val="es-ES_tradnl"/>
        </w:rPr>
        <w:t>«[…] la condición de padre o madre cabeza de familia se acredita cuando la persona (i) tiene la responsabilidad permanente de hijos menores o personas incapacitadas para trabajar, (ii) no cuenta con la ayuda de otros miembros de la familia y (iii) su pareja murió, está ausente de manera permanente o abandonó el hogar y se demuestra que esta se sustrae del cumplimiento de sus obligaciones, o cuando su pareja se encuentre presente pero no asuma la responsabilidad que le corresponde por motivos como la incapacidad física, sensorial, síquica o mental»</w:t>
      </w:r>
      <w:r w:rsidRPr="00D9015D" w:rsidR="00974CBD">
        <w:rPr>
          <w:rStyle w:val="Refdenotaalpie"/>
          <w:rFonts w:ascii="Arial" w:hAnsi="Arial" w:eastAsia="Calibri" w:cs="Arial"/>
          <w:color w:val="000000" w:themeColor="text1"/>
          <w:sz w:val="22"/>
          <w:szCs w:val="22"/>
          <w:lang w:val="es-ES_tradnl"/>
        </w:rPr>
        <w:footnoteReference w:id="10"/>
      </w:r>
      <w:r w:rsidRPr="00D9015D" w:rsidR="00974CBD">
        <w:rPr>
          <w:rFonts w:ascii="Arial" w:hAnsi="Arial" w:eastAsia="Calibri" w:cs="Arial"/>
          <w:color w:val="000000" w:themeColor="text1"/>
          <w:sz w:val="22"/>
          <w:szCs w:val="22"/>
          <w:lang w:val="es-ES_tradnl"/>
        </w:rPr>
        <w:t>.</w:t>
      </w:r>
      <w:r w:rsidRPr="00D9015D" w:rsidR="0022609C">
        <w:rPr>
          <w:rFonts w:ascii="Arial" w:hAnsi="Arial" w:eastAsia="Calibri" w:cs="Arial"/>
          <w:color w:val="000000" w:themeColor="text1"/>
          <w:sz w:val="22"/>
          <w:szCs w:val="22"/>
          <w:lang w:val="es-ES_tradnl"/>
        </w:rPr>
        <w:t xml:space="preserve"> El </w:t>
      </w:r>
      <w:r w:rsidRPr="00D9015D" w:rsidR="002F40E2">
        <w:rPr>
          <w:rFonts w:ascii="Arial" w:hAnsi="Arial" w:eastAsia="Calibri" w:cs="Arial"/>
          <w:color w:val="000000" w:themeColor="text1"/>
          <w:sz w:val="22"/>
          <w:szCs w:val="22"/>
          <w:lang w:val="es-ES_tradnl"/>
        </w:rPr>
        <w:t>proponente</w:t>
      </w:r>
      <w:r w:rsidRPr="00D9015D" w:rsidR="0022609C">
        <w:rPr>
          <w:rFonts w:ascii="Arial" w:hAnsi="Arial" w:eastAsia="Calibri" w:cs="Arial"/>
          <w:color w:val="000000" w:themeColor="text1"/>
          <w:sz w:val="22"/>
          <w:szCs w:val="22"/>
          <w:lang w:val="es-ES_tradnl"/>
        </w:rPr>
        <w:t xml:space="preserve"> también podrá acreditar que la</w:t>
      </w:r>
      <w:r w:rsidRPr="00D9015D" w:rsidR="002F40E2">
        <w:rPr>
          <w:rFonts w:ascii="Arial" w:hAnsi="Arial" w:eastAsia="Calibri" w:cs="Arial"/>
          <w:color w:val="000000" w:themeColor="text1"/>
          <w:sz w:val="22"/>
          <w:szCs w:val="22"/>
          <w:lang w:val="es-ES_tradnl"/>
        </w:rPr>
        <w:t xml:space="preserve"> oferta ha sido presentada por mujeres víctimas de la violencia intrafamiliar, situación que, como también ha precisado la Corte Constitucional, se define como «[…] aquella que se propicia por el daño físico, emocional, sexual, psicológico o económico que se causa entre los miembros de la familia y al interior de la unidad doméstica. Esta se puede dar por acción u omisión de cualquier miembro de la familia»</w:t>
      </w:r>
      <w:r w:rsidRPr="00D9015D" w:rsidR="002F40E2">
        <w:rPr>
          <w:rStyle w:val="Refdenotaalpie"/>
          <w:rFonts w:ascii="Arial" w:hAnsi="Arial" w:eastAsia="Calibri" w:cs="Arial"/>
          <w:color w:val="000000" w:themeColor="text1"/>
          <w:sz w:val="22"/>
          <w:szCs w:val="22"/>
          <w:lang w:val="es-ES_tradnl"/>
        </w:rPr>
        <w:footnoteReference w:id="11"/>
      </w:r>
      <w:r w:rsidRPr="00D9015D" w:rsidR="00F62227">
        <w:rPr>
          <w:rFonts w:ascii="Arial" w:hAnsi="Arial" w:eastAsia="Calibri" w:cs="Arial"/>
          <w:color w:val="000000" w:themeColor="text1"/>
          <w:sz w:val="22"/>
          <w:szCs w:val="22"/>
          <w:lang w:val="es-ES_tradnl"/>
        </w:rPr>
        <w:t>.</w:t>
      </w:r>
      <w:r w:rsidRPr="00D9015D" w:rsidR="007651EF">
        <w:rPr>
          <w:rFonts w:ascii="Arial" w:hAnsi="Arial" w:eastAsia="Calibri" w:cs="Arial"/>
          <w:color w:val="000000" w:themeColor="text1"/>
          <w:sz w:val="22"/>
          <w:szCs w:val="22"/>
          <w:lang w:val="es-ES_tradnl"/>
        </w:rPr>
        <w:t xml:space="preserve"> </w:t>
      </w:r>
    </w:p>
    <w:p w:rsidRPr="00D9015D" w:rsidR="007E7657" w:rsidP="007E7657" w:rsidRDefault="0093360C" w14:paraId="27A795A3" w14:textId="77777777">
      <w:pPr>
        <w:spacing w:before="120" w:line="276" w:lineRule="auto"/>
        <w:ind w:firstLine="709"/>
        <w:jc w:val="both"/>
        <w:rPr>
          <w:rFonts w:ascii="Arial" w:hAnsi="Arial" w:cs="Arial"/>
          <w:color w:val="000000" w:themeColor="text1"/>
          <w:sz w:val="22"/>
          <w:szCs w:val="22"/>
          <w:lang w:val="es-ES_tradnl"/>
        </w:rPr>
      </w:pPr>
      <w:r w:rsidRPr="00D9015D">
        <w:rPr>
          <w:rFonts w:ascii="Arial" w:hAnsi="Arial" w:cs="Arial"/>
          <w:color w:val="000000" w:themeColor="text1"/>
          <w:sz w:val="22"/>
          <w:szCs w:val="22"/>
          <w:lang w:val="es-ES_tradnl"/>
        </w:rPr>
        <w:t xml:space="preserve">El parágrafo del artículo 2 de la Ley 82 de 1993 –«Por la cual se expiden normas para apoyar de manera especial a la mujer cabeza de familia»– establece que «La condición </w:t>
      </w:r>
      <w:r w:rsidRPr="00D9015D">
        <w:rPr>
          <w:rFonts w:ascii="Arial" w:hAnsi="Arial" w:cs="Arial"/>
          <w:color w:val="000000" w:themeColor="text1"/>
          <w:sz w:val="22"/>
          <w:szCs w:val="22"/>
          <w:lang w:val="es-ES_tradnl"/>
        </w:rPr>
        <w:lastRenderedPageBreak/>
        <w:t>de Mujer Cabeza de Familia y la cesación de la misma, desde el momento en que ocurra el respectivo evento, deberá ser declarada ante notario por cada una de ellas, expresando las circunstancias básicas del respectivo caso y sin que por este concepto se causen emolumentos notariales a su cargo». Por lo tanto, a menos que una norma posterior disponga lo contrario, tal declaración basta para acreditar la condición de mujer cabeza de familia</w:t>
      </w:r>
      <w:r w:rsidRPr="00D9015D">
        <w:rPr>
          <w:rStyle w:val="Refdenotaalpie"/>
          <w:rFonts w:ascii="Arial" w:hAnsi="Arial" w:cs="Arial"/>
          <w:color w:val="000000" w:themeColor="text1"/>
          <w:sz w:val="22"/>
          <w:szCs w:val="22"/>
          <w:lang w:val="es-ES_tradnl"/>
        </w:rPr>
        <w:footnoteReference w:id="12"/>
      </w:r>
      <w:r w:rsidRPr="00D9015D">
        <w:rPr>
          <w:rFonts w:ascii="Arial" w:hAnsi="Arial" w:cs="Arial"/>
          <w:color w:val="000000" w:themeColor="text1"/>
          <w:sz w:val="22"/>
          <w:szCs w:val="22"/>
          <w:lang w:val="es-ES_tradnl"/>
        </w:rPr>
        <w:t>.</w:t>
      </w:r>
      <w:r w:rsidRPr="00D9015D" w:rsidR="007E7657">
        <w:rPr>
          <w:rFonts w:ascii="Arial" w:hAnsi="Arial" w:cs="Arial"/>
          <w:color w:val="000000" w:themeColor="text1"/>
          <w:sz w:val="22"/>
          <w:szCs w:val="22"/>
          <w:lang w:val="es-ES_tradnl"/>
        </w:rPr>
        <w:t xml:space="preserve"> </w:t>
      </w:r>
    </w:p>
    <w:p w:rsidRPr="00D9015D" w:rsidR="0093360C" w:rsidP="007E7657" w:rsidRDefault="007E7657" w14:paraId="472C2CE9" w14:textId="72A6B755">
      <w:pPr>
        <w:spacing w:before="120" w:line="276" w:lineRule="auto"/>
        <w:ind w:firstLine="709"/>
        <w:jc w:val="both"/>
        <w:rPr>
          <w:rFonts w:ascii="Arial" w:hAnsi="Arial" w:cs="Arial"/>
          <w:color w:val="000000" w:themeColor="text1"/>
          <w:sz w:val="22"/>
          <w:szCs w:val="22"/>
          <w:lang w:val="es-ES_tradnl"/>
        </w:rPr>
      </w:pPr>
      <w:r w:rsidRPr="00D9015D">
        <w:rPr>
          <w:rFonts w:ascii="Arial" w:hAnsi="Arial" w:cs="Arial"/>
          <w:color w:val="000000" w:themeColor="text1"/>
          <w:sz w:val="22"/>
          <w:szCs w:val="22"/>
          <w:lang w:val="es-ES_tradnl"/>
        </w:rPr>
        <w:t>Por su parte, el artículo 21 de la Ley 1257 de 2008 –«Por la cual se dictan normas de sensibilización, prevención y sanción de formas de violencia y discriminación contra las mujeres, se reforman los Códigos Penal, de Procedimiento Penal, la Ley 294 de 1996 y se dictan otras disposiciones»–, dispone que «Las situaciones de violencia que dan lugar a la atención de las mujeres, sus hijos e hijas, se acreditarán con la medida de protección expedida por la autoridad competente, sin que puedan exigirse requisitos adicionales». Según los artículos 16 y 17 de la Ley 1257 de 2008, la medida de protección la debe impartir el comisario de familia del lugar donde ocurrieron los hechos y a falta de este el juez civil municipal o promiscuo municipal, o la autoridad indígena –en los casos de violencia intrafamiliar en las comunidades indígenas–. La medida de protección se debe emitir en una providencia motivada. Por lo tanto, este documento permite acreditar la situación de mujer víctima de violencia intrafamiliar. Las autoridades competentes mencionadas con anterioridad deben «[…] remitir todos los casos de violencia intrafamiliar a la Fiscalía General de la Nación para efectos de la investigación del delito de violencia intrafamiliar y posibles delitos conexos», según lo determina el parágrafo 3 del artículo 17 de la referida Ley. En consecuencia, no basta la copia de la denuncia en la Fiscalía para acreditar que se es víctima de violencia intrafamiliar, pues se requiere la providencia que establezca la medida de protección procedente.</w:t>
      </w:r>
    </w:p>
    <w:p w:rsidRPr="00D9015D" w:rsidR="009D460F" w:rsidP="003A41C5" w:rsidRDefault="003A41C5" w14:paraId="210237BF" w14:textId="4FF5DA28">
      <w:pPr>
        <w:spacing w:before="120" w:line="276" w:lineRule="auto"/>
        <w:ind w:firstLine="709"/>
        <w:jc w:val="both"/>
        <w:rPr>
          <w:rFonts w:ascii="Arial" w:hAnsi="Arial" w:cs="Arial"/>
          <w:color w:val="000000" w:themeColor="text1"/>
          <w:sz w:val="22"/>
          <w:szCs w:val="22"/>
          <w:lang w:val="es-ES_tradnl"/>
        </w:rPr>
      </w:pPr>
      <w:r w:rsidRPr="00D9015D">
        <w:rPr>
          <w:rFonts w:ascii="Arial" w:hAnsi="Arial" w:cs="Arial"/>
          <w:color w:val="000000" w:themeColor="text1"/>
          <w:sz w:val="22"/>
          <w:szCs w:val="22"/>
          <w:lang w:val="es-ES_tradnl"/>
        </w:rPr>
        <w:t>Ahora bien, el numeral 2 del artículo 35</w:t>
      </w:r>
      <w:r w:rsidRPr="00D9015D" w:rsidR="0093360C">
        <w:rPr>
          <w:rFonts w:ascii="Arial" w:hAnsi="Arial" w:cs="Arial"/>
          <w:color w:val="000000" w:themeColor="text1"/>
          <w:sz w:val="22"/>
          <w:szCs w:val="22"/>
          <w:lang w:val="es-ES_tradnl"/>
        </w:rPr>
        <w:t xml:space="preserve"> de la Ley </w:t>
      </w:r>
      <w:r w:rsidR="006A538C">
        <w:rPr>
          <w:rFonts w:ascii="Arial" w:hAnsi="Arial" w:cs="Arial"/>
          <w:color w:val="000000" w:themeColor="text1"/>
          <w:sz w:val="22"/>
          <w:szCs w:val="22"/>
          <w:lang w:val="es-ES_tradnl"/>
        </w:rPr>
        <w:t>2069</w:t>
      </w:r>
      <w:r w:rsidRPr="00D9015D" w:rsidR="0093360C">
        <w:rPr>
          <w:rFonts w:ascii="Arial" w:hAnsi="Arial" w:cs="Arial"/>
          <w:color w:val="000000" w:themeColor="text1"/>
          <w:sz w:val="22"/>
          <w:szCs w:val="22"/>
          <w:lang w:val="es-ES_tradnl"/>
        </w:rPr>
        <w:t xml:space="preserve"> de 2020</w:t>
      </w:r>
      <w:r w:rsidRPr="00D9015D">
        <w:rPr>
          <w:rFonts w:ascii="Arial" w:hAnsi="Arial" w:cs="Arial"/>
          <w:color w:val="000000" w:themeColor="text1"/>
          <w:sz w:val="22"/>
          <w:szCs w:val="22"/>
          <w:lang w:val="es-ES_tradnl"/>
        </w:rPr>
        <w:t xml:space="preserve"> no establece que este factor de desempate únicamente puede aplicarse cuando en la persona jurídica existe participación mayoritaria </w:t>
      </w:r>
      <w:r w:rsidRPr="00D9015D">
        <w:rPr>
          <w:rFonts w:ascii="Arial" w:hAnsi="Arial" w:cs="Arial"/>
          <w:i/>
          <w:iCs/>
          <w:color w:val="000000" w:themeColor="text1"/>
          <w:sz w:val="22"/>
          <w:szCs w:val="22"/>
          <w:lang w:val="es-ES_tradnl"/>
        </w:rPr>
        <w:t>solo</w:t>
      </w:r>
      <w:r w:rsidRPr="00D9015D">
        <w:rPr>
          <w:rFonts w:ascii="Arial" w:hAnsi="Arial" w:cs="Arial"/>
          <w:color w:val="000000" w:themeColor="text1"/>
          <w:sz w:val="22"/>
          <w:szCs w:val="22"/>
          <w:lang w:val="es-ES_tradnl"/>
        </w:rPr>
        <w:t xml:space="preserve"> de mujeres cabeza de familia o </w:t>
      </w:r>
      <w:r w:rsidRPr="00D9015D">
        <w:rPr>
          <w:rFonts w:ascii="Arial" w:hAnsi="Arial" w:cs="Arial"/>
          <w:i/>
          <w:iCs/>
          <w:color w:val="000000" w:themeColor="text1"/>
          <w:sz w:val="22"/>
          <w:szCs w:val="22"/>
          <w:lang w:val="es-ES_tradnl"/>
        </w:rPr>
        <w:t>solo</w:t>
      </w:r>
      <w:r w:rsidRPr="00D9015D">
        <w:rPr>
          <w:rFonts w:ascii="Arial" w:hAnsi="Arial" w:cs="Arial"/>
          <w:color w:val="000000" w:themeColor="text1"/>
          <w:sz w:val="22"/>
          <w:szCs w:val="22"/>
          <w:lang w:val="es-ES_tradnl"/>
        </w:rPr>
        <w:t xml:space="preserve"> de mujeres víctimas de la violencia intrafamiliar. Lo que </w:t>
      </w:r>
      <w:r w:rsidRPr="00D9015D" w:rsidR="00642126">
        <w:rPr>
          <w:rFonts w:ascii="Arial" w:hAnsi="Arial" w:cs="Arial"/>
          <w:color w:val="000000" w:themeColor="text1"/>
          <w:sz w:val="22"/>
          <w:szCs w:val="22"/>
          <w:lang w:val="es-ES_tradnl"/>
        </w:rPr>
        <w:t>prevé</w:t>
      </w:r>
      <w:r w:rsidRPr="00D9015D">
        <w:rPr>
          <w:rFonts w:ascii="Arial" w:hAnsi="Arial" w:cs="Arial"/>
          <w:color w:val="000000" w:themeColor="text1"/>
          <w:sz w:val="22"/>
          <w:szCs w:val="22"/>
          <w:lang w:val="es-ES_tradnl"/>
        </w:rPr>
        <w:t xml:space="preserve"> el enunciado normativo es que se debe «Preferir la propuesta de la mujer cabeza de familia, mujeres víctimas de la violencia intrafamiliar o de la persona jurídica en la cual participe </w:t>
      </w:r>
      <w:r w:rsidRPr="00D9015D">
        <w:rPr>
          <w:rFonts w:ascii="Arial" w:hAnsi="Arial" w:cs="Arial"/>
          <w:i/>
          <w:iCs/>
          <w:color w:val="000000" w:themeColor="text1"/>
          <w:sz w:val="22"/>
          <w:szCs w:val="22"/>
          <w:lang w:val="es-ES_tradnl"/>
        </w:rPr>
        <w:t>o participen</w:t>
      </w:r>
      <w:r w:rsidRPr="00D9015D">
        <w:rPr>
          <w:rFonts w:ascii="Arial" w:hAnsi="Arial" w:cs="Arial"/>
          <w:color w:val="000000" w:themeColor="text1"/>
          <w:sz w:val="22"/>
          <w:szCs w:val="22"/>
          <w:lang w:val="es-ES_tradnl"/>
        </w:rPr>
        <w:t xml:space="preserve"> mayoritariamente; o, la de un proponente plural constituido por mujeres cabeza de familia, mujeres víctimas de violencia intrafamiliar y/o personas jurídicas en las cuales participe </w:t>
      </w:r>
      <w:r w:rsidRPr="00D9015D">
        <w:rPr>
          <w:rFonts w:ascii="Arial" w:hAnsi="Arial" w:cs="Arial"/>
          <w:i/>
          <w:iCs/>
          <w:color w:val="000000" w:themeColor="text1"/>
          <w:sz w:val="22"/>
          <w:szCs w:val="22"/>
          <w:lang w:val="es-ES_tradnl"/>
        </w:rPr>
        <w:t xml:space="preserve">o participen </w:t>
      </w:r>
      <w:r w:rsidRPr="00D9015D">
        <w:rPr>
          <w:rFonts w:ascii="Arial" w:hAnsi="Arial" w:cs="Arial"/>
          <w:color w:val="000000" w:themeColor="text1"/>
          <w:sz w:val="22"/>
          <w:szCs w:val="22"/>
          <w:lang w:val="es-ES_tradnl"/>
        </w:rPr>
        <w:t>mayoritariamente» [cursiva fuera de texto]. Como se observa, la norma utiliza la expresión «[…] o participen […]», lo que significa que permite aplicar el factor de desempate cuando en una misma persona jurídica participen mayoritariamente mujeres cabeza de familia y mujeres víctimas de la violencia intrafamiliar.</w:t>
      </w:r>
    </w:p>
    <w:p w:rsidRPr="00D9015D" w:rsidR="00B32E31" w:rsidP="00B32E31" w:rsidRDefault="009D460F" w14:paraId="115D70FB" w14:textId="77777777">
      <w:pPr>
        <w:spacing w:before="120" w:line="276" w:lineRule="auto"/>
        <w:ind w:firstLine="709"/>
        <w:jc w:val="both"/>
        <w:rPr>
          <w:rFonts w:ascii="Arial" w:hAnsi="Arial" w:cs="Arial"/>
          <w:color w:val="000000" w:themeColor="text1"/>
          <w:sz w:val="22"/>
          <w:szCs w:val="22"/>
          <w:lang w:val="es-ES_tradnl"/>
        </w:rPr>
      </w:pPr>
      <w:r w:rsidRPr="00D9015D">
        <w:rPr>
          <w:rFonts w:ascii="Arial" w:hAnsi="Arial" w:cs="Arial"/>
          <w:color w:val="000000" w:themeColor="text1"/>
          <w:sz w:val="22"/>
          <w:szCs w:val="22"/>
          <w:lang w:val="es-ES_tradnl"/>
        </w:rPr>
        <w:lastRenderedPageBreak/>
        <w:t>Para poderse beneficiar del factor de desempate, el proponente plural debe estar constituido i) por mujeres cabeza de familia o mujeres víctimas de violencia intrafamiliar y/o ii) por personas jurídicas en las cuales tales mujeres participen mayoritariamente. Como la norma exige que la participación mayoritaria sea en la «persona jurídica», en caso de existir varias personas jurídicas integrando el proponente plural, cada una de ellas debe acreditar la participación mayoritaria de mujeres cabeza de familia o mujeres víctimas de violencia intrafamiliar.</w:t>
      </w:r>
    </w:p>
    <w:p w:rsidRPr="00D9015D" w:rsidR="008A41F8" w:rsidP="00B32E31" w:rsidRDefault="008A41F8" w14:paraId="2C9FA365" w14:textId="2F39B673">
      <w:pPr>
        <w:spacing w:before="120" w:line="276" w:lineRule="auto"/>
        <w:ind w:firstLine="709"/>
        <w:jc w:val="both"/>
        <w:rPr>
          <w:rFonts w:ascii="Arial" w:hAnsi="Arial" w:cs="Arial"/>
          <w:color w:val="000000" w:themeColor="text1"/>
          <w:sz w:val="22"/>
          <w:szCs w:val="22"/>
          <w:lang w:val="es-ES_tradnl"/>
        </w:rPr>
      </w:pPr>
      <w:r w:rsidRPr="00D9015D">
        <w:rPr>
          <w:rFonts w:ascii="Arial" w:hAnsi="Arial" w:cs="Arial"/>
          <w:color w:val="000000" w:themeColor="text1"/>
          <w:sz w:val="22"/>
          <w:szCs w:val="22"/>
          <w:lang w:val="es-ES_tradnl"/>
        </w:rPr>
        <w:t xml:space="preserve">El artículo 35, numeral 2, de la Ley </w:t>
      </w:r>
      <w:r w:rsidR="006A538C">
        <w:rPr>
          <w:rFonts w:ascii="Arial" w:hAnsi="Arial" w:cs="Arial"/>
          <w:color w:val="000000" w:themeColor="text1"/>
          <w:sz w:val="22"/>
          <w:szCs w:val="22"/>
          <w:lang w:val="es-ES_tradnl"/>
        </w:rPr>
        <w:t>2069</w:t>
      </w:r>
      <w:r w:rsidRPr="00D9015D">
        <w:rPr>
          <w:rFonts w:ascii="Arial" w:hAnsi="Arial" w:cs="Arial"/>
          <w:color w:val="000000" w:themeColor="text1"/>
          <w:sz w:val="22"/>
          <w:szCs w:val="22"/>
          <w:lang w:val="es-ES_tradnl"/>
        </w:rPr>
        <w:t xml:space="preserve"> de 2020</w:t>
      </w:r>
      <w:r w:rsidRPr="00D9015D" w:rsidR="008510A1">
        <w:rPr>
          <w:rFonts w:ascii="Arial" w:hAnsi="Arial" w:cs="Arial"/>
          <w:color w:val="000000" w:themeColor="text1"/>
          <w:sz w:val="22"/>
          <w:szCs w:val="22"/>
          <w:lang w:val="es-ES_tradnl"/>
        </w:rPr>
        <w:t xml:space="preserve"> </w:t>
      </w:r>
      <w:r w:rsidRPr="00D9015D">
        <w:rPr>
          <w:rFonts w:ascii="Arial" w:hAnsi="Arial" w:cs="Arial"/>
          <w:color w:val="000000" w:themeColor="text1"/>
          <w:sz w:val="22"/>
          <w:szCs w:val="22"/>
          <w:lang w:val="es-ES_tradnl"/>
        </w:rPr>
        <w:t>utiliza un concepto jurídico indeterminado, cuando se refiere a la participación mayoritaria de las mujeres cabeza de familia o mujeres víctimas de la violencia intrafamiliar en la persona jurídica o en el proponente plural. El decreto reglamentario que se expida podría precisar con mayor nitidez este requisito. A menos de indicarse lo contrario en dicha reglamentación, debe aplicarse lo dispuesto en el artículo 28 del Código Civil, según el cual «Las palabras de la ley se entenderán en su sentido natural y obvio, según el uso general de las mismas palabras; pero cuando el legislador las haya definido expresamente para ciertas materias, se les dará en éstas su significado legal». En tal sentido, teniendo en cuenta que no hay definición legal expresa, el Diccionario de la Lengua Española dice que «participar» es «Tener parte en una sociedad o negocio o ser socio de ellos»</w:t>
      </w:r>
      <w:r w:rsidRPr="00D9015D">
        <w:rPr>
          <w:rStyle w:val="Refdenotaalpie"/>
          <w:rFonts w:ascii="Arial" w:hAnsi="Arial" w:cs="Arial"/>
          <w:color w:val="000000" w:themeColor="text1"/>
          <w:sz w:val="22"/>
          <w:szCs w:val="22"/>
          <w:lang w:val="es-ES_tradnl"/>
        </w:rPr>
        <w:footnoteReference w:id="13"/>
      </w:r>
      <w:r w:rsidRPr="00D9015D">
        <w:rPr>
          <w:rFonts w:ascii="Arial" w:hAnsi="Arial" w:cs="Arial"/>
          <w:color w:val="000000" w:themeColor="text1"/>
          <w:sz w:val="22"/>
          <w:szCs w:val="22"/>
          <w:lang w:val="es-ES_tradnl"/>
        </w:rPr>
        <w:t xml:space="preserve">. Esta noción es acorde con el derecho societario, en el cual se indica que la participación recae sobre las utilidades de la sociedad, en algunos casos en proporción a las acciones –en las sociedades por acciones– o de acuerdo a la industria o trabajo personal del socio –como sucede usualmente en las sociedades de personas–. Así lo señalan, entre otros, los artículos 130, 137, 138, 141, 150, 380 y 462 del Código de Comercio. </w:t>
      </w:r>
    </w:p>
    <w:p w:rsidRPr="005419DA" w:rsidR="001264EE" w:rsidP="001264EE" w:rsidRDefault="001264EE" w14:paraId="1A82A832" w14:textId="63A1FFCE">
      <w:pPr>
        <w:spacing w:before="120" w:line="276" w:lineRule="auto"/>
        <w:ind w:firstLine="709"/>
        <w:jc w:val="both"/>
        <w:rPr>
          <w:rFonts w:ascii="Arial" w:hAnsi="Arial" w:cs="Arial"/>
          <w:color w:val="000000" w:themeColor="text1"/>
          <w:sz w:val="22"/>
          <w:szCs w:val="22"/>
          <w:lang w:val="es-ES_tradnl"/>
        </w:rPr>
      </w:pPr>
      <w:r w:rsidRPr="001264EE">
        <w:rPr>
          <w:rFonts w:ascii="Arial" w:hAnsi="Arial" w:cs="Arial"/>
          <w:color w:val="000000" w:themeColor="text1"/>
          <w:sz w:val="22"/>
          <w:szCs w:val="22"/>
          <w:lang w:val="es-ES_tradnl"/>
        </w:rPr>
        <w:t xml:space="preserve">Por lo tanto, de conformidad con el artículo 35, numeral 2 de la Ley </w:t>
      </w:r>
      <w:r w:rsidR="006A538C">
        <w:rPr>
          <w:rFonts w:ascii="Arial" w:hAnsi="Arial" w:cs="Arial"/>
          <w:color w:val="000000" w:themeColor="text1"/>
          <w:sz w:val="22"/>
          <w:szCs w:val="22"/>
          <w:lang w:val="es-ES_tradnl"/>
        </w:rPr>
        <w:t>2069</w:t>
      </w:r>
      <w:r w:rsidRPr="001264EE">
        <w:rPr>
          <w:rFonts w:ascii="Arial" w:hAnsi="Arial" w:cs="Arial"/>
          <w:color w:val="000000" w:themeColor="text1"/>
          <w:sz w:val="22"/>
          <w:szCs w:val="22"/>
          <w:lang w:val="es-ES_tradnl"/>
        </w:rPr>
        <w:t xml:space="preserve"> de 2020, si en un procedimiento de selección se presenta una persona jurídica o proponente plural en los que la participación mayoritaria en las utilidades es de las mujeres cabeza de familia o mujeres víctimas de la violencia intrafamiliar, se prefiere a este sobre los demás oferentes. En relación con la coexistencia de causales, se debe aplicar lo que determina el parágrafo del artículo 35 de la mencionada Ley, según el cual «El Gobierno Nacional podrá reglamentar la aplicación de factores de desempate en casos en que concurran dos o más de los factores aquí previstos». En ausencia de esta reglamentación, conforme al inciso primero de la norma citada, las entidades deberán aplicar los factores de desempate en forma sucesiva y excluyente.</w:t>
      </w:r>
      <w:r w:rsidRPr="005419DA">
        <w:rPr>
          <w:rFonts w:ascii="Arial" w:hAnsi="Arial" w:cs="Arial"/>
          <w:color w:val="000000" w:themeColor="text1"/>
          <w:sz w:val="22"/>
          <w:szCs w:val="22"/>
          <w:lang w:val="es-ES_tradnl"/>
        </w:rPr>
        <w:t xml:space="preserve"> </w:t>
      </w:r>
    </w:p>
    <w:p w:rsidRPr="00D9015D" w:rsidR="00272E89" w:rsidP="00272E89" w:rsidRDefault="00272E89" w14:paraId="128F8B09" w14:textId="7E079377">
      <w:pPr>
        <w:spacing w:before="120" w:line="276" w:lineRule="auto"/>
        <w:ind w:firstLine="709"/>
        <w:jc w:val="both"/>
        <w:rPr>
          <w:rFonts w:ascii="Arial" w:hAnsi="Arial" w:cs="Arial"/>
          <w:color w:val="000000" w:themeColor="text1"/>
          <w:sz w:val="22"/>
          <w:szCs w:val="22"/>
          <w:lang w:val="es-ES_tradnl"/>
        </w:rPr>
      </w:pPr>
      <w:r w:rsidRPr="00D9015D">
        <w:rPr>
          <w:rFonts w:ascii="Arial" w:hAnsi="Arial" w:cs="Arial"/>
          <w:color w:val="000000" w:themeColor="text1"/>
          <w:sz w:val="22"/>
          <w:szCs w:val="22"/>
          <w:lang w:val="es-ES_tradnl"/>
        </w:rPr>
        <w:t xml:space="preserve">Teniendo en cuenta pues que participar debe entenderse –a menos que el reglamento disponga lo contrario– como tomar parte en la sociedad o proponente plural, de acuerdo al aporte en dinero o trabajo, esta </w:t>
      </w:r>
      <w:r w:rsidR="00E922B1">
        <w:rPr>
          <w:rFonts w:ascii="Arial" w:hAnsi="Arial" w:cs="Arial"/>
          <w:color w:val="000000" w:themeColor="text1"/>
          <w:sz w:val="22"/>
          <w:szCs w:val="22"/>
          <w:lang w:val="es-ES_tradnl"/>
        </w:rPr>
        <w:t>Agencia</w:t>
      </w:r>
      <w:r w:rsidRPr="00D9015D">
        <w:rPr>
          <w:rFonts w:ascii="Arial" w:hAnsi="Arial" w:cs="Arial"/>
          <w:color w:val="000000" w:themeColor="text1"/>
          <w:sz w:val="22"/>
          <w:szCs w:val="22"/>
          <w:lang w:val="es-ES_tradnl"/>
        </w:rPr>
        <w:t xml:space="preserve"> considera que no basta con que una mujer cabeza de familia o víctima de la violencia intrafamiliar esté vinculada laboralmente o </w:t>
      </w:r>
      <w:r w:rsidRPr="00D9015D">
        <w:rPr>
          <w:rFonts w:ascii="Arial" w:hAnsi="Arial" w:cs="Arial"/>
          <w:color w:val="000000" w:themeColor="text1"/>
          <w:sz w:val="22"/>
          <w:szCs w:val="22"/>
          <w:lang w:val="es-ES_tradnl"/>
        </w:rPr>
        <w:lastRenderedPageBreak/>
        <w:t>prestando un servicio, para asumir que está «participando». Al menos no es eso lo que se deduce del derecho societario, como ya se explicó</w:t>
      </w:r>
      <w:r w:rsidR="001706D2">
        <w:rPr>
          <w:rFonts w:ascii="Arial" w:hAnsi="Arial" w:cs="Arial"/>
          <w:color w:val="000000" w:themeColor="text1"/>
          <w:sz w:val="22"/>
          <w:szCs w:val="22"/>
          <w:lang w:val="es-ES_tradnl"/>
        </w:rPr>
        <w:t>, y en ello, por razones objetivas se exhorta a la rigurosidad interpretativa de las entidades contratantes</w:t>
      </w:r>
      <w:r w:rsidRPr="00D9015D">
        <w:rPr>
          <w:rFonts w:ascii="Arial" w:hAnsi="Arial" w:cs="Arial"/>
          <w:color w:val="000000" w:themeColor="text1"/>
          <w:sz w:val="22"/>
          <w:szCs w:val="22"/>
          <w:lang w:val="es-ES_tradnl"/>
        </w:rPr>
        <w:t>.</w:t>
      </w:r>
      <w:r w:rsidR="001706D2">
        <w:rPr>
          <w:rFonts w:ascii="Arial" w:hAnsi="Arial" w:cs="Arial"/>
          <w:color w:val="000000" w:themeColor="text1"/>
          <w:sz w:val="22"/>
          <w:szCs w:val="22"/>
          <w:lang w:val="es-ES_tradnl"/>
        </w:rPr>
        <w:t xml:space="preserve"> </w:t>
      </w:r>
      <w:r w:rsidRPr="00D9015D">
        <w:rPr>
          <w:rFonts w:ascii="Arial" w:hAnsi="Arial" w:cs="Arial"/>
          <w:color w:val="000000" w:themeColor="text1"/>
          <w:sz w:val="22"/>
          <w:szCs w:val="22"/>
          <w:lang w:val="es-ES_tradnl"/>
        </w:rPr>
        <w:t>En consecuencia, no basta con que uno de los integrantes del consorcio o unión temporal tenga en su planta a mujeres que reúnan dicha condición, sino que se debe demostrar la participación de las mismas, según el certificado de existencia y representación –tratándose de personas jurídicas– o del documento de constitución del proponente plural. Sin embargo, se aclara que esta es la interpretación que por ahora la Agencia considera más razonable y que no desconoce la posibilidad de que el gobierno nacional, por vía reglamentaria, le dé un alcance diferente al enunciado normativo.</w:t>
      </w:r>
    </w:p>
    <w:p w:rsidRPr="00D9015D" w:rsidR="009A39EE" w:rsidP="00BD6D41" w:rsidRDefault="00BB4048" w14:paraId="17D0FB07" w14:textId="0DE65557">
      <w:pPr>
        <w:spacing w:before="120" w:line="276" w:lineRule="auto"/>
        <w:ind w:firstLine="709"/>
        <w:jc w:val="both"/>
        <w:rPr>
          <w:rFonts w:ascii="Arial" w:hAnsi="Arial" w:eastAsia="Calibri" w:cs="Arial"/>
          <w:color w:val="000000" w:themeColor="text1"/>
          <w:sz w:val="22"/>
          <w:szCs w:val="22"/>
          <w:lang w:val="es-ES_tradnl"/>
        </w:rPr>
      </w:pPr>
      <w:r w:rsidRPr="00D9015D">
        <w:rPr>
          <w:rFonts w:ascii="Arial" w:hAnsi="Arial" w:eastAsia="Calibri" w:cs="Arial"/>
          <w:color w:val="000000" w:themeColor="text1"/>
          <w:sz w:val="22"/>
          <w:szCs w:val="22"/>
          <w:lang w:val="es-ES_tradnl"/>
        </w:rPr>
        <w:t xml:space="preserve">Frente a lo </w:t>
      </w:r>
      <w:r w:rsidRPr="00D9015D" w:rsidR="00A8236F">
        <w:rPr>
          <w:rFonts w:ascii="Arial" w:hAnsi="Arial" w:eastAsia="Calibri" w:cs="Arial"/>
          <w:color w:val="000000" w:themeColor="text1"/>
          <w:sz w:val="22"/>
          <w:szCs w:val="22"/>
          <w:lang w:val="es-ES_tradnl"/>
        </w:rPr>
        <w:t>previsto</w:t>
      </w:r>
      <w:r w:rsidRPr="00D9015D">
        <w:rPr>
          <w:rFonts w:ascii="Arial" w:hAnsi="Arial" w:eastAsia="Calibri" w:cs="Arial"/>
          <w:color w:val="000000" w:themeColor="text1"/>
          <w:sz w:val="22"/>
          <w:szCs w:val="22"/>
          <w:lang w:val="es-ES_tradnl"/>
        </w:rPr>
        <w:t xml:space="preserve"> en el numeral 4</w:t>
      </w:r>
      <w:r w:rsidRPr="00D9015D" w:rsidR="003B1961">
        <w:rPr>
          <w:rFonts w:ascii="Arial" w:hAnsi="Arial" w:eastAsia="Calibri" w:cs="Arial"/>
          <w:color w:val="000000" w:themeColor="text1"/>
          <w:sz w:val="22"/>
          <w:szCs w:val="22"/>
          <w:lang w:val="es-ES_tradnl"/>
        </w:rPr>
        <w:t xml:space="preserve"> del artículo </w:t>
      </w:r>
      <w:r w:rsidRPr="00D9015D" w:rsidR="00B24D9F">
        <w:rPr>
          <w:rFonts w:ascii="Arial" w:hAnsi="Arial" w:eastAsia="Calibri" w:cs="Arial"/>
          <w:color w:val="000000" w:themeColor="text1"/>
          <w:sz w:val="22"/>
          <w:szCs w:val="22"/>
          <w:lang w:val="es-ES_tradnl"/>
        </w:rPr>
        <w:t xml:space="preserve">35 de la Ley </w:t>
      </w:r>
      <w:r w:rsidR="006A538C">
        <w:rPr>
          <w:rFonts w:ascii="Arial" w:hAnsi="Arial" w:eastAsia="Calibri" w:cs="Arial"/>
          <w:color w:val="000000" w:themeColor="text1"/>
          <w:sz w:val="22"/>
          <w:szCs w:val="22"/>
          <w:lang w:val="es-ES_tradnl"/>
        </w:rPr>
        <w:t>2069</w:t>
      </w:r>
      <w:r w:rsidRPr="00D9015D" w:rsidR="00B24D9F">
        <w:rPr>
          <w:rFonts w:ascii="Arial" w:hAnsi="Arial" w:eastAsia="Calibri" w:cs="Arial"/>
          <w:color w:val="000000" w:themeColor="text1"/>
          <w:sz w:val="22"/>
          <w:szCs w:val="22"/>
          <w:lang w:val="es-ES_tradnl"/>
        </w:rPr>
        <w:t xml:space="preserve"> de 2020</w:t>
      </w:r>
      <w:r w:rsidRPr="00D9015D" w:rsidR="003B1961">
        <w:rPr>
          <w:rFonts w:ascii="Arial" w:hAnsi="Arial" w:eastAsia="Calibri" w:cs="Arial"/>
          <w:color w:val="000000" w:themeColor="text1"/>
          <w:sz w:val="22"/>
          <w:szCs w:val="22"/>
          <w:lang w:val="es-ES_tradnl"/>
        </w:rPr>
        <w:t>, cuando el legislador alude al concepto de «personas mayores»</w:t>
      </w:r>
      <w:r w:rsidRPr="00D9015D" w:rsidR="008509A5">
        <w:rPr>
          <w:rFonts w:ascii="Arial" w:hAnsi="Arial" w:eastAsia="Calibri" w:cs="Arial"/>
          <w:color w:val="000000" w:themeColor="text1"/>
          <w:sz w:val="22"/>
          <w:szCs w:val="22"/>
          <w:lang w:val="es-ES_tradnl"/>
        </w:rPr>
        <w:t xml:space="preserve"> que no sean beneficiarias de la pensión de vejez, familiar o de sobrevivencia y que hayan cumplido la edad </w:t>
      </w:r>
      <w:r w:rsidRPr="00D9015D" w:rsidR="00E5428D">
        <w:rPr>
          <w:rFonts w:ascii="Arial" w:hAnsi="Arial" w:eastAsia="Calibri" w:cs="Arial"/>
          <w:color w:val="000000" w:themeColor="text1"/>
          <w:sz w:val="22"/>
          <w:szCs w:val="22"/>
          <w:lang w:val="es-ES_tradnl"/>
        </w:rPr>
        <w:t>para obtenerla</w:t>
      </w:r>
      <w:r w:rsidRPr="00D9015D" w:rsidR="003B1961">
        <w:rPr>
          <w:rFonts w:ascii="Arial" w:hAnsi="Arial" w:eastAsia="Calibri" w:cs="Arial"/>
          <w:color w:val="000000" w:themeColor="text1"/>
          <w:sz w:val="22"/>
          <w:szCs w:val="22"/>
          <w:lang w:val="es-ES_tradnl"/>
        </w:rPr>
        <w:t>, la interpretación más razonable</w:t>
      </w:r>
      <w:r w:rsidRPr="00D9015D" w:rsidR="008509A5">
        <w:rPr>
          <w:rFonts w:ascii="Arial" w:hAnsi="Arial" w:eastAsia="Calibri" w:cs="Arial"/>
          <w:color w:val="000000" w:themeColor="text1"/>
          <w:sz w:val="22"/>
          <w:szCs w:val="22"/>
          <w:lang w:val="es-ES_tradnl"/>
        </w:rPr>
        <w:t xml:space="preserve"> es entender</w:t>
      </w:r>
      <w:r w:rsidRPr="00D9015D" w:rsidR="00E5428D">
        <w:rPr>
          <w:rFonts w:ascii="Arial" w:hAnsi="Arial" w:eastAsia="Calibri" w:cs="Arial"/>
          <w:color w:val="000000" w:themeColor="text1"/>
          <w:sz w:val="22"/>
          <w:szCs w:val="22"/>
          <w:lang w:val="es-ES_tradnl"/>
        </w:rPr>
        <w:t xml:space="preserve"> que la norma se refiere al «adulto mayor»</w:t>
      </w:r>
      <w:r w:rsidR="00477072">
        <w:rPr>
          <w:rFonts w:ascii="Arial" w:hAnsi="Arial" w:eastAsia="Calibri" w:cs="Arial"/>
          <w:color w:val="000000" w:themeColor="text1"/>
          <w:sz w:val="22"/>
          <w:szCs w:val="22"/>
          <w:lang w:val="es-ES_tradnl"/>
        </w:rPr>
        <w:t>.</w:t>
      </w:r>
      <w:r w:rsidRPr="00D9015D" w:rsidR="00E5428D">
        <w:rPr>
          <w:rFonts w:ascii="Arial" w:hAnsi="Arial" w:eastAsia="Calibri" w:cs="Arial"/>
          <w:color w:val="000000" w:themeColor="text1"/>
          <w:sz w:val="22"/>
          <w:szCs w:val="22"/>
          <w:lang w:val="es-ES_tradnl"/>
        </w:rPr>
        <w:t xml:space="preserve"> </w:t>
      </w:r>
      <w:r w:rsidR="00AD12DB">
        <w:rPr>
          <w:rFonts w:ascii="Arial" w:hAnsi="Arial" w:eastAsia="Calibri" w:cs="Arial"/>
          <w:color w:val="000000" w:themeColor="text1"/>
          <w:sz w:val="22"/>
          <w:szCs w:val="22"/>
          <w:lang w:val="es-ES_tradnl"/>
        </w:rPr>
        <w:t xml:space="preserve">El concepto lo define </w:t>
      </w:r>
      <w:r w:rsidRPr="00D9015D" w:rsidR="00E5428D">
        <w:rPr>
          <w:rFonts w:ascii="Arial" w:hAnsi="Arial" w:eastAsia="Calibri" w:cs="Arial"/>
          <w:color w:val="000000" w:themeColor="text1"/>
          <w:sz w:val="22"/>
          <w:szCs w:val="22"/>
          <w:lang w:val="es-ES_tradnl"/>
        </w:rPr>
        <w:t xml:space="preserve">el artículo </w:t>
      </w:r>
      <w:r w:rsidRPr="00D9015D" w:rsidR="00BD6D41">
        <w:rPr>
          <w:rFonts w:ascii="Arial" w:hAnsi="Arial" w:eastAsia="Calibri" w:cs="Arial"/>
          <w:color w:val="000000" w:themeColor="text1"/>
          <w:sz w:val="22"/>
          <w:szCs w:val="22"/>
          <w:lang w:val="es-ES_tradnl"/>
        </w:rPr>
        <w:t>3 de la Ley 1251 de 2008 –«Por la cual se dictan normas tendientes a procurar la protección, promoción y defensa de los derechos de los adultos mayores»–</w:t>
      </w:r>
      <w:r w:rsidRPr="00D9015D" w:rsidR="00A0056C">
        <w:rPr>
          <w:rFonts w:ascii="Arial" w:hAnsi="Arial" w:eastAsia="Calibri" w:cs="Arial"/>
          <w:color w:val="000000" w:themeColor="text1"/>
          <w:sz w:val="22"/>
          <w:szCs w:val="22"/>
          <w:lang w:val="es-ES_tradnl"/>
        </w:rPr>
        <w:t xml:space="preserve"> como «</w:t>
      </w:r>
      <w:r w:rsidRPr="00D9015D" w:rsidR="00A0056C">
        <w:rPr>
          <w:lang w:val="es-ES_tradnl"/>
        </w:rPr>
        <w:t xml:space="preserve">[…] </w:t>
      </w:r>
      <w:r w:rsidRPr="00D9015D" w:rsidR="00A0056C">
        <w:rPr>
          <w:rFonts w:ascii="Arial" w:hAnsi="Arial" w:eastAsia="Calibri" w:cs="Arial"/>
          <w:color w:val="000000" w:themeColor="text1"/>
          <w:sz w:val="22"/>
          <w:szCs w:val="22"/>
          <w:lang w:val="es-ES_tradnl"/>
        </w:rPr>
        <w:t>aquella persona que cuenta con sesenta (60) años de edad o más»</w:t>
      </w:r>
      <w:r w:rsidRPr="00D9015D" w:rsidR="0031713F">
        <w:rPr>
          <w:rFonts w:ascii="Arial" w:hAnsi="Arial" w:eastAsia="Calibri" w:cs="Arial"/>
          <w:color w:val="000000" w:themeColor="text1"/>
          <w:sz w:val="22"/>
          <w:szCs w:val="22"/>
          <w:lang w:val="es-ES_tradnl"/>
        </w:rPr>
        <w:t xml:space="preserve">, lo cual </w:t>
      </w:r>
      <w:r w:rsidRPr="00D9015D" w:rsidR="00924770">
        <w:rPr>
          <w:rFonts w:ascii="Arial" w:hAnsi="Arial" w:eastAsia="Calibri" w:cs="Arial"/>
          <w:color w:val="000000" w:themeColor="text1"/>
          <w:sz w:val="22"/>
          <w:szCs w:val="22"/>
          <w:lang w:val="es-ES_tradnl"/>
        </w:rPr>
        <w:t>se puede acreditar con el documento de identidad</w:t>
      </w:r>
      <w:r w:rsidRPr="00D9015D" w:rsidR="0031713F">
        <w:rPr>
          <w:rFonts w:ascii="Arial" w:hAnsi="Arial" w:eastAsia="Calibri" w:cs="Arial"/>
          <w:color w:val="000000" w:themeColor="text1"/>
          <w:sz w:val="22"/>
          <w:szCs w:val="22"/>
          <w:lang w:val="es-ES_tradnl"/>
        </w:rPr>
        <w:t xml:space="preserve"> correspondiente.</w:t>
      </w:r>
    </w:p>
    <w:p w:rsidRPr="00D9015D" w:rsidR="00B24D9F" w:rsidP="00B24D9F" w:rsidRDefault="00B24D9F" w14:paraId="659CE29C" w14:textId="3838F82D">
      <w:pPr>
        <w:spacing w:before="120" w:line="276" w:lineRule="auto"/>
        <w:ind w:firstLine="709"/>
        <w:jc w:val="both"/>
        <w:rPr>
          <w:rFonts w:ascii="Arial" w:hAnsi="Arial" w:cs="Arial"/>
          <w:color w:val="000000" w:themeColor="text1"/>
          <w:sz w:val="22"/>
          <w:szCs w:val="22"/>
          <w:lang w:val="es-ES_tradnl"/>
        </w:rPr>
      </w:pPr>
      <w:r w:rsidRPr="00D9015D">
        <w:rPr>
          <w:rFonts w:ascii="Arial" w:hAnsi="Arial" w:cs="Arial"/>
          <w:color w:val="000000" w:themeColor="text1"/>
          <w:sz w:val="22"/>
          <w:szCs w:val="22"/>
          <w:lang w:val="es-ES_tradnl"/>
        </w:rPr>
        <w:t>El numeral dice que en dicho evento la regla de desempate se aplica a favor del «[…] oferente que acredite la vinculación en mayor proporción de personas mayores que no sean beneficiarios de la pensión de vejez, familiar o de sobrevivencia y que hayan cumplido el requisito de edad de pensión establecido en la Ley». De este modo, cuando la norma se refiere a la «mayor proporción» alude al número de personas vinculadas por el oferente y que además reúnan la condición de ser mayores y que «no sean beneficiarios de la pensión de vejez, familiar o de sobrevivencia y que hayan cumplido el requisito de edad de pensión establecido en la Ley».</w:t>
      </w:r>
      <w:r w:rsidRPr="00D9015D" w:rsidR="002A625C">
        <w:rPr>
          <w:rFonts w:ascii="Arial" w:hAnsi="Arial" w:cs="Arial"/>
          <w:color w:val="000000" w:themeColor="text1"/>
          <w:sz w:val="22"/>
          <w:szCs w:val="22"/>
          <w:lang w:val="es-ES_tradnl"/>
        </w:rPr>
        <w:t xml:space="preserve"> El reglamento podría establecer un método diferente, por ejemplo definiendo porcentajes, pero hasta ahora esto no ha sucedido.</w:t>
      </w:r>
    </w:p>
    <w:p w:rsidRPr="00D9015D" w:rsidR="00B24D9F" w:rsidP="00EF397D" w:rsidRDefault="00446270" w14:paraId="3917DFEC" w14:textId="1969CF68">
      <w:pPr>
        <w:spacing w:before="120" w:line="276" w:lineRule="auto"/>
        <w:ind w:firstLine="709"/>
        <w:jc w:val="both"/>
        <w:rPr>
          <w:rFonts w:ascii="Arial" w:hAnsi="Arial" w:cs="Arial"/>
          <w:color w:val="000000" w:themeColor="text1"/>
          <w:sz w:val="22"/>
          <w:szCs w:val="22"/>
          <w:lang w:val="es-ES_tradnl"/>
        </w:rPr>
      </w:pPr>
      <w:r w:rsidRPr="00D9015D">
        <w:rPr>
          <w:rFonts w:ascii="Arial" w:hAnsi="Arial" w:cs="Arial"/>
          <w:color w:val="000000" w:themeColor="text1"/>
          <w:sz w:val="22"/>
          <w:szCs w:val="22"/>
          <w:lang w:val="es-ES_tradnl"/>
        </w:rPr>
        <w:t>Teniendo en cuenta que el numeral no distingue tipos de oferente, dicho criterio de desempate se debe aplicar también a proponentes plurales. En este caso el proponente plural debe acreditar la proporción de personas mayores vinculadas a aquel y que además «no sean beneficiarios de la pensión de vejez, familiar o de sobrevivencia y que hayan cumplido el requisito de edad de pensión establecido en la Ley», para poder ser beneficiario del factor de desempate.</w:t>
      </w:r>
      <w:r w:rsidRPr="00D9015D" w:rsidR="002B0D83">
        <w:rPr>
          <w:rFonts w:ascii="Arial" w:hAnsi="Arial" w:cs="Arial"/>
          <w:color w:val="000000" w:themeColor="text1"/>
          <w:sz w:val="22"/>
          <w:szCs w:val="22"/>
          <w:lang w:val="es-ES_tradnl"/>
        </w:rPr>
        <w:t xml:space="preserve"> La norma guarda silencio sobre la acreditación de la condición que da lugar la aplicación del factor de desempate. Por tanto, esta </w:t>
      </w:r>
      <w:r w:rsidR="00E922B1">
        <w:rPr>
          <w:rFonts w:ascii="Arial" w:hAnsi="Arial" w:cs="Arial"/>
          <w:color w:val="000000" w:themeColor="text1"/>
          <w:sz w:val="22"/>
          <w:szCs w:val="22"/>
          <w:lang w:val="es-ES_tradnl"/>
        </w:rPr>
        <w:t>Agencia</w:t>
      </w:r>
      <w:r w:rsidRPr="00D9015D" w:rsidR="002B0D83">
        <w:rPr>
          <w:rFonts w:ascii="Arial" w:hAnsi="Arial" w:cs="Arial"/>
          <w:color w:val="000000" w:themeColor="text1"/>
          <w:sz w:val="22"/>
          <w:szCs w:val="22"/>
          <w:lang w:val="es-ES_tradnl"/>
        </w:rPr>
        <w:t xml:space="preserve"> considera que, sin perjuicio de que el reglamento que expida el gobierno nacional determine un medio de acreditación especial, existe libertad probatoria sobre el tema. En consecuencia, la entidad estatal contratante puede determinar en el pliego de condiciones</w:t>
      </w:r>
      <w:r w:rsidRPr="00D9015D" w:rsidR="007C7E15">
        <w:rPr>
          <w:rFonts w:ascii="Arial" w:hAnsi="Arial" w:cs="Arial"/>
          <w:color w:val="000000" w:themeColor="text1"/>
          <w:sz w:val="22"/>
          <w:szCs w:val="22"/>
          <w:lang w:val="es-ES_tradnl"/>
        </w:rPr>
        <w:t xml:space="preserve"> o documento equivalente </w:t>
      </w:r>
      <w:r w:rsidRPr="00D9015D" w:rsidR="002B0D83">
        <w:rPr>
          <w:rFonts w:ascii="Arial" w:hAnsi="Arial" w:cs="Arial"/>
          <w:color w:val="000000" w:themeColor="text1"/>
          <w:sz w:val="22"/>
          <w:szCs w:val="22"/>
          <w:lang w:val="es-ES_tradnl"/>
        </w:rPr>
        <w:t>cuál será el medio pertinente y conducente que permitirá evidenciar la vinculación de las personas mayores por parte del oferente.</w:t>
      </w:r>
    </w:p>
    <w:p w:rsidRPr="005419DA" w:rsidR="00B12ACA" w:rsidP="00B12ACA" w:rsidRDefault="00B12ACA" w14:paraId="6584DB0E" w14:textId="77777777">
      <w:pPr>
        <w:spacing w:before="120" w:line="276" w:lineRule="auto"/>
        <w:ind w:firstLine="709"/>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lastRenderedPageBreak/>
        <w:t>En lo que respecta al numeral 5, es decir, a la pertenencia a la «</w:t>
      </w:r>
      <w:r w:rsidRPr="005419DA">
        <w:rPr>
          <w:rFonts w:ascii="Arial" w:hAnsi="Arial" w:cs="Arial"/>
          <w:lang w:val="es-ES_tradnl"/>
        </w:rPr>
        <w:t xml:space="preserve">[…] </w:t>
      </w:r>
      <w:r w:rsidRPr="005419DA">
        <w:rPr>
          <w:rFonts w:ascii="Arial" w:hAnsi="Arial" w:eastAsia="Calibri" w:cs="Arial"/>
          <w:color w:val="000000" w:themeColor="text1"/>
          <w:sz w:val="22"/>
          <w:szCs w:val="22"/>
          <w:lang w:val="es-ES_tradnl"/>
        </w:rPr>
        <w:t xml:space="preserve">población indígena, negra, afrocolombiana, raizal, palanquera, </w:t>
      </w:r>
      <w:proofErr w:type="spellStart"/>
      <w:r w:rsidRPr="005419DA">
        <w:rPr>
          <w:rFonts w:ascii="Arial" w:hAnsi="Arial" w:eastAsia="Calibri" w:cs="Arial"/>
          <w:color w:val="000000" w:themeColor="text1"/>
          <w:sz w:val="22"/>
          <w:szCs w:val="22"/>
          <w:lang w:val="es-ES_tradnl"/>
        </w:rPr>
        <w:t>Rrom</w:t>
      </w:r>
      <w:proofErr w:type="spellEnd"/>
      <w:r w:rsidRPr="005419DA">
        <w:rPr>
          <w:rFonts w:ascii="Arial" w:hAnsi="Arial" w:eastAsia="Calibri" w:cs="Arial"/>
          <w:color w:val="000000" w:themeColor="text1"/>
          <w:sz w:val="22"/>
          <w:szCs w:val="22"/>
          <w:lang w:val="es-ES_tradnl"/>
        </w:rPr>
        <w:t xml:space="preserve"> o gitanas», es importante hacer algunas precisiones frente a cada grupo poblacional. El artículo 1 del Convenio No. 169 de la OIT –«Sobre pueblos indígenas y tribales en países independientes»–, aplicable en el ordenamiento jurídico colombiano, caracteriza la «población indígena» como aquella que desciende de grupos que «[…] habitaban en el país o en una región geográfica a la que pertenece el país en la época de la conquista o la colonización o del establecimiento de las actuales fronteras estatales y que, cualquiera que sea su situación jurídica, conserven todas sus propias instituciones sociales, económicas, culturales y políticas, o parte de ellas»</w:t>
      </w:r>
      <w:r w:rsidRPr="005419DA">
        <w:rPr>
          <w:rStyle w:val="Refdenotaalpie"/>
          <w:rFonts w:ascii="Arial" w:hAnsi="Arial" w:eastAsia="Calibri" w:cs="Arial"/>
          <w:color w:val="000000" w:themeColor="text1"/>
          <w:sz w:val="22"/>
          <w:szCs w:val="22"/>
          <w:lang w:val="es-ES_tradnl"/>
        </w:rPr>
        <w:footnoteReference w:id="14"/>
      </w:r>
      <w:r w:rsidRPr="005419DA">
        <w:rPr>
          <w:rFonts w:ascii="Arial" w:hAnsi="Arial" w:eastAsia="Calibri" w:cs="Arial"/>
          <w:color w:val="000000" w:themeColor="text1"/>
          <w:sz w:val="22"/>
          <w:szCs w:val="22"/>
          <w:lang w:val="es-ES_tradnl"/>
        </w:rPr>
        <w:t xml:space="preserve">. </w:t>
      </w:r>
    </w:p>
    <w:p w:rsidRPr="005419DA" w:rsidR="00B12ACA" w:rsidP="00B12ACA" w:rsidRDefault="00B12ACA" w14:paraId="34D49735" w14:textId="77777777">
      <w:pPr>
        <w:spacing w:before="120" w:line="276" w:lineRule="auto"/>
        <w:ind w:firstLine="709"/>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t xml:space="preserve">Por su parte, el artículo 2, numeral 5, de la Ley 70 de 1993 dispone que «comunidad negra» «Es el conjunto de familias de ascendencia afrocolombiana que poseen una cultura propia, comparten una historia y tienen sus propias tradiciones y costumbre dentro de la relación </w:t>
      </w:r>
      <w:proofErr w:type="spellStart"/>
      <w:r w:rsidRPr="005419DA">
        <w:rPr>
          <w:rFonts w:ascii="Arial" w:hAnsi="Arial" w:eastAsia="Calibri" w:cs="Arial"/>
          <w:color w:val="000000" w:themeColor="text1"/>
          <w:sz w:val="22"/>
          <w:szCs w:val="22"/>
          <w:lang w:val="es-ES_tradnl"/>
        </w:rPr>
        <w:t>compo</w:t>
      </w:r>
      <w:proofErr w:type="spellEnd"/>
      <w:r w:rsidRPr="005419DA">
        <w:rPr>
          <w:rFonts w:ascii="Arial" w:hAnsi="Arial" w:eastAsia="Calibri" w:cs="Arial"/>
          <w:color w:val="000000" w:themeColor="text1"/>
          <w:sz w:val="22"/>
          <w:szCs w:val="22"/>
          <w:lang w:val="es-ES_tradnl"/>
        </w:rPr>
        <w:t>-poblado, que revelan y conservan conciencia de identidad que las distinguen de otros grupos étnicos». De otro lado, «La población afrocolombiana está compuesta por hombres y mujeres con una marcada ascendencia (lingüística, étnica y cultural) africana. Los y las afrocolombianos(as) son algunos de los descendientes de africanos y africanas –provenientes de diversas regiones y etnias de África– que llegaron al continente americano en calidad de esclavos»</w:t>
      </w:r>
      <w:r w:rsidRPr="005419DA">
        <w:rPr>
          <w:rStyle w:val="Refdenotaalpie"/>
          <w:rFonts w:ascii="Arial" w:hAnsi="Arial" w:eastAsia="Calibri" w:cs="Arial"/>
          <w:color w:val="000000" w:themeColor="text1"/>
          <w:sz w:val="22"/>
          <w:szCs w:val="22"/>
          <w:lang w:val="es-ES_tradnl"/>
        </w:rPr>
        <w:footnoteReference w:id="15"/>
      </w:r>
      <w:r w:rsidRPr="005419DA">
        <w:rPr>
          <w:rFonts w:ascii="Arial" w:hAnsi="Arial" w:eastAsia="Calibri" w:cs="Arial"/>
          <w:color w:val="000000" w:themeColor="text1"/>
          <w:sz w:val="22"/>
          <w:szCs w:val="22"/>
          <w:lang w:val="es-ES_tradnl"/>
        </w:rPr>
        <w:t xml:space="preserve">. </w:t>
      </w:r>
    </w:p>
    <w:p w:rsidRPr="005419DA" w:rsidR="00B12ACA" w:rsidP="00B12ACA" w:rsidRDefault="00B12ACA" w14:paraId="5AB98E0A" w14:textId="77777777">
      <w:pPr>
        <w:spacing w:before="120" w:line="276" w:lineRule="auto"/>
        <w:ind w:firstLine="709"/>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t xml:space="preserve">La «población raizal», «Es la población nativa de las Islas de San Andrés, Providencia </w:t>
      </w:r>
      <w:r>
        <w:rPr>
          <w:rFonts w:ascii="Arial" w:hAnsi="Arial" w:eastAsia="Calibri" w:cs="Arial"/>
          <w:color w:val="000000" w:themeColor="text1"/>
          <w:sz w:val="22"/>
          <w:szCs w:val="22"/>
          <w:lang w:val="es-ES_tradnl"/>
        </w:rPr>
        <w:t>y</w:t>
      </w:r>
      <w:r w:rsidRPr="005419DA">
        <w:rPr>
          <w:rFonts w:ascii="Arial" w:hAnsi="Arial" w:eastAsia="Calibri" w:cs="Arial"/>
          <w:color w:val="000000" w:themeColor="text1"/>
          <w:sz w:val="22"/>
          <w:szCs w:val="22"/>
          <w:lang w:val="es-ES_tradnl"/>
        </w:rPr>
        <w:t xml:space="preserve"> Santa Catalina descendientes de la unión entre europeos (principalmente ingleses, españoles y holandeses) y esclavos africanos. Se distinguen por su cultura, lengua (creole), creencias religiosas (iglesia bautista) y pasado histórico similar a los pueblos antillanos como Jamaica y Haití»</w:t>
      </w:r>
      <w:r w:rsidRPr="005419DA">
        <w:rPr>
          <w:rStyle w:val="Refdenotaalpie"/>
          <w:rFonts w:ascii="Arial" w:hAnsi="Arial" w:eastAsia="Calibri" w:cs="Arial"/>
          <w:color w:val="000000" w:themeColor="text1"/>
          <w:sz w:val="22"/>
          <w:szCs w:val="22"/>
          <w:lang w:val="es-ES_tradnl"/>
        </w:rPr>
        <w:footnoteReference w:id="16"/>
      </w:r>
      <w:r w:rsidRPr="005419DA">
        <w:rPr>
          <w:rFonts w:ascii="Arial" w:hAnsi="Arial" w:eastAsia="Calibri" w:cs="Arial"/>
          <w:color w:val="000000" w:themeColor="text1"/>
          <w:sz w:val="22"/>
          <w:szCs w:val="22"/>
          <w:lang w:val="es-ES_tradnl"/>
        </w:rPr>
        <w:t xml:space="preserve">. La «población </w:t>
      </w:r>
      <w:proofErr w:type="spellStart"/>
      <w:r w:rsidRPr="005419DA">
        <w:rPr>
          <w:rFonts w:ascii="Arial" w:hAnsi="Arial" w:eastAsia="Calibri" w:cs="Arial"/>
          <w:color w:val="000000" w:themeColor="text1"/>
          <w:sz w:val="22"/>
          <w:szCs w:val="22"/>
          <w:lang w:val="es-ES_tradnl"/>
        </w:rPr>
        <w:t>palenquera</w:t>
      </w:r>
      <w:proofErr w:type="spellEnd"/>
      <w:r w:rsidRPr="005419DA">
        <w:rPr>
          <w:rFonts w:ascii="Arial" w:hAnsi="Arial" w:eastAsia="Calibri" w:cs="Arial"/>
          <w:color w:val="000000" w:themeColor="text1"/>
          <w:sz w:val="22"/>
          <w:szCs w:val="22"/>
          <w:lang w:val="es-ES_tradnl"/>
        </w:rPr>
        <w:t>» «</w:t>
      </w:r>
      <w:r w:rsidRPr="005419DA">
        <w:rPr>
          <w:rFonts w:ascii="Arial" w:hAnsi="Arial" w:cs="Arial"/>
          <w:lang w:val="es-ES_tradnl"/>
        </w:rPr>
        <w:t xml:space="preserve">[…] </w:t>
      </w:r>
      <w:r w:rsidRPr="005419DA">
        <w:rPr>
          <w:rFonts w:ascii="Arial" w:hAnsi="Arial" w:eastAsia="Calibri" w:cs="Arial"/>
          <w:color w:val="000000" w:themeColor="text1"/>
          <w:sz w:val="22"/>
          <w:szCs w:val="22"/>
          <w:lang w:val="es-ES_tradnl"/>
        </w:rPr>
        <w:t>está conformada por los descendientes de los esclavizados que mediante actos de resistencia y de libertad, se refugiaron en los territorios de la Costa Norte de Colombia desde el Siglo XV denominados palenques. Existen 4 Palenques reconocidos: San Basilio de Palenque (</w:t>
      </w:r>
      <w:proofErr w:type="spellStart"/>
      <w:r w:rsidRPr="005419DA">
        <w:rPr>
          <w:rFonts w:ascii="Arial" w:hAnsi="Arial" w:eastAsia="Calibri" w:cs="Arial"/>
          <w:color w:val="000000" w:themeColor="text1"/>
          <w:sz w:val="22"/>
          <w:szCs w:val="22"/>
          <w:lang w:val="es-ES_tradnl"/>
        </w:rPr>
        <w:t>Mahates</w:t>
      </w:r>
      <w:proofErr w:type="spellEnd"/>
      <w:r w:rsidRPr="005419DA">
        <w:rPr>
          <w:rFonts w:ascii="Arial" w:hAnsi="Arial" w:eastAsia="Calibri" w:cs="Arial"/>
          <w:color w:val="000000" w:themeColor="text1"/>
          <w:sz w:val="22"/>
          <w:szCs w:val="22"/>
          <w:lang w:val="es-ES_tradnl"/>
        </w:rPr>
        <w:t xml:space="preserve"> – Bolívar), San José de </w:t>
      </w:r>
      <w:proofErr w:type="spellStart"/>
      <w:r w:rsidRPr="005419DA">
        <w:rPr>
          <w:rFonts w:ascii="Arial" w:hAnsi="Arial" w:eastAsia="Calibri" w:cs="Arial"/>
          <w:color w:val="000000" w:themeColor="text1"/>
          <w:sz w:val="22"/>
          <w:szCs w:val="22"/>
          <w:lang w:val="es-ES_tradnl"/>
        </w:rPr>
        <w:t>Uré</w:t>
      </w:r>
      <w:proofErr w:type="spellEnd"/>
      <w:r w:rsidRPr="005419DA">
        <w:rPr>
          <w:rFonts w:ascii="Arial" w:hAnsi="Arial" w:eastAsia="Calibri" w:cs="Arial"/>
          <w:color w:val="000000" w:themeColor="text1"/>
          <w:sz w:val="22"/>
          <w:szCs w:val="22"/>
          <w:lang w:val="es-ES_tradnl"/>
        </w:rPr>
        <w:t xml:space="preserve"> (Córdoba), Jacobo Pérez </w:t>
      </w:r>
      <w:r>
        <w:rPr>
          <w:rFonts w:ascii="Arial" w:hAnsi="Arial" w:eastAsia="Calibri" w:cs="Arial"/>
          <w:color w:val="000000" w:themeColor="text1"/>
          <w:sz w:val="22"/>
          <w:szCs w:val="22"/>
          <w:lang w:val="es-ES_tradnl"/>
        </w:rPr>
        <w:t>E</w:t>
      </w:r>
      <w:r w:rsidRPr="005419DA">
        <w:rPr>
          <w:rFonts w:ascii="Arial" w:hAnsi="Arial" w:eastAsia="Calibri" w:cs="Arial"/>
          <w:color w:val="000000" w:themeColor="text1"/>
          <w:sz w:val="22"/>
          <w:szCs w:val="22"/>
          <w:lang w:val="es-ES_tradnl"/>
        </w:rPr>
        <w:t>scobar (Magdalena) y La Libertad (Sucre)»</w:t>
      </w:r>
      <w:r w:rsidRPr="005419DA">
        <w:rPr>
          <w:rStyle w:val="Refdenotaalpie"/>
          <w:rFonts w:ascii="Arial" w:hAnsi="Arial" w:eastAsia="Calibri" w:cs="Arial"/>
          <w:color w:val="000000" w:themeColor="text1"/>
          <w:sz w:val="22"/>
          <w:szCs w:val="22"/>
          <w:lang w:val="es-ES_tradnl"/>
        </w:rPr>
        <w:footnoteReference w:id="17"/>
      </w:r>
      <w:r w:rsidRPr="005419DA">
        <w:rPr>
          <w:rFonts w:ascii="Arial" w:hAnsi="Arial" w:eastAsia="Calibri" w:cs="Arial"/>
          <w:color w:val="000000" w:themeColor="text1"/>
          <w:sz w:val="22"/>
          <w:szCs w:val="22"/>
          <w:lang w:val="es-ES_tradnl"/>
        </w:rPr>
        <w:t xml:space="preserve">. </w:t>
      </w:r>
    </w:p>
    <w:p w:rsidR="00195D68" w:rsidP="00B12ACA" w:rsidRDefault="00B12ACA" w14:paraId="11E640EA" w14:textId="77777777">
      <w:pPr>
        <w:spacing w:before="120" w:line="276" w:lineRule="auto"/>
        <w:ind w:firstLine="709"/>
        <w:jc w:val="both"/>
        <w:rPr>
          <w:rFonts w:ascii="Arial" w:hAnsi="Arial" w:eastAsia="Calibri" w:cs="Arial"/>
          <w:color w:val="000000" w:themeColor="text1"/>
          <w:sz w:val="22"/>
          <w:szCs w:val="22"/>
          <w:lang w:val="es-ES_tradnl"/>
        </w:rPr>
      </w:pPr>
      <w:r w:rsidRPr="005419DA">
        <w:rPr>
          <w:rFonts w:ascii="Arial" w:hAnsi="Arial" w:eastAsia="Calibri" w:cs="Arial"/>
          <w:color w:val="000000" w:themeColor="text1"/>
          <w:sz w:val="22"/>
          <w:szCs w:val="22"/>
          <w:lang w:val="es-ES_tradnl"/>
        </w:rPr>
        <w:lastRenderedPageBreak/>
        <w:t>En cuanto al Pueblo «</w:t>
      </w:r>
      <w:proofErr w:type="spellStart"/>
      <w:r w:rsidRPr="005419DA">
        <w:rPr>
          <w:rFonts w:ascii="Arial" w:hAnsi="Arial" w:eastAsia="Calibri" w:cs="Arial"/>
          <w:color w:val="000000" w:themeColor="text1"/>
          <w:sz w:val="22"/>
          <w:szCs w:val="22"/>
          <w:lang w:val="es-ES_tradnl"/>
        </w:rPr>
        <w:t>Rrom</w:t>
      </w:r>
      <w:proofErr w:type="spellEnd"/>
      <w:r w:rsidRPr="005419DA">
        <w:rPr>
          <w:rFonts w:ascii="Arial" w:hAnsi="Arial" w:eastAsia="Calibri" w:cs="Arial"/>
          <w:color w:val="000000" w:themeColor="text1"/>
          <w:sz w:val="22"/>
          <w:szCs w:val="22"/>
          <w:lang w:val="es-ES_tradnl"/>
        </w:rPr>
        <w:t xml:space="preserve">» o «gitano» conviene indicar que, de acuerdo con el artículo 6 del Decreto 2957 del 6 de agosto de 2010, «El Estado colombiano reconoce a los </w:t>
      </w:r>
      <w:proofErr w:type="spellStart"/>
      <w:r w:rsidRPr="005419DA">
        <w:rPr>
          <w:rFonts w:ascii="Arial" w:hAnsi="Arial" w:eastAsia="Calibri" w:cs="Arial"/>
          <w:color w:val="000000" w:themeColor="text1"/>
          <w:sz w:val="22"/>
          <w:szCs w:val="22"/>
          <w:lang w:val="es-ES_tradnl"/>
        </w:rPr>
        <w:t>Rom</w:t>
      </w:r>
      <w:proofErr w:type="spellEnd"/>
      <w:r w:rsidRPr="005419DA">
        <w:rPr>
          <w:rFonts w:ascii="Arial" w:hAnsi="Arial" w:eastAsia="Calibri" w:cs="Arial"/>
          <w:color w:val="000000" w:themeColor="text1"/>
          <w:sz w:val="22"/>
          <w:szCs w:val="22"/>
          <w:lang w:val="es-ES_tradnl"/>
        </w:rPr>
        <w:t xml:space="preserve"> o Gitanos como un grupo étnico con una identidad cultural propia, que mantiene una conciencia étnica particular, que posee su propia forma de organización social, posee su propia lengua y que ha definido históricamente sus propias instituciones políticas y sociales»</w:t>
      </w:r>
      <w:r w:rsidRPr="005419DA">
        <w:rPr>
          <w:rStyle w:val="Refdenotaalpie"/>
          <w:rFonts w:ascii="Arial" w:hAnsi="Arial" w:eastAsia="Calibri" w:cs="Arial"/>
          <w:color w:val="000000" w:themeColor="text1"/>
          <w:sz w:val="22"/>
          <w:szCs w:val="22"/>
          <w:lang w:val="es-ES_tradnl"/>
        </w:rPr>
        <w:footnoteReference w:id="18"/>
      </w:r>
      <w:r w:rsidRPr="005419DA">
        <w:rPr>
          <w:rFonts w:ascii="Arial" w:hAnsi="Arial" w:eastAsia="Calibri" w:cs="Arial"/>
          <w:color w:val="000000" w:themeColor="text1"/>
          <w:sz w:val="22"/>
          <w:szCs w:val="22"/>
          <w:lang w:val="es-ES_tradnl"/>
        </w:rPr>
        <w:t>. Lo importante es que la competencia para la caracterización y registro de cualquiera de los grupos poblacionales anteriormente mencionados reside en el Ministerio del Interior, el Ministerio de Cultura y el Departamento Nacional de Estadística –DANE–, por lo cual se sugiere complementar esta información con dichas entidades.</w:t>
      </w:r>
    </w:p>
    <w:p w:rsidRPr="00D9015D" w:rsidR="002A7D84" w:rsidP="00B12ACA" w:rsidRDefault="00C82DC7" w14:paraId="06D24AC1" w14:textId="4D012921">
      <w:pPr>
        <w:spacing w:before="120" w:line="276" w:lineRule="auto"/>
        <w:ind w:firstLine="709"/>
        <w:jc w:val="both"/>
        <w:rPr>
          <w:rFonts w:ascii="Arial" w:hAnsi="Arial" w:cs="Arial"/>
          <w:color w:val="000000" w:themeColor="text1"/>
          <w:sz w:val="22"/>
          <w:szCs w:val="22"/>
          <w:lang w:val="es-ES_tradnl"/>
        </w:rPr>
      </w:pPr>
      <w:r w:rsidRPr="00D9015D">
        <w:rPr>
          <w:rFonts w:ascii="Arial" w:hAnsi="Arial" w:eastAsia="Calibri" w:cs="Arial"/>
          <w:color w:val="000000" w:themeColor="text1"/>
          <w:sz w:val="22"/>
          <w:szCs w:val="22"/>
          <w:lang w:val="es-ES_tradnl"/>
        </w:rPr>
        <w:t xml:space="preserve">El numeral 5 del artículo 35 no distingue tipos de oferentes. En razón de ello, también se aplica a proponentes plurales, que acrediten «[…], en las condiciones establecidas en la ley, que por lo menos diez por ciento (10%) de su nómina pertenece a población indígena, negra, afrocolombiana, raizal, palanquera, </w:t>
      </w:r>
      <w:proofErr w:type="spellStart"/>
      <w:r w:rsidRPr="00D9015D">
        <w:rPr>
          <w:rFonts w:ascii="Arial" w:hAnsi="Arial" w:eastAsia="Calibri" w:cs="Arial"/>
          <w:color w:val="000000" w:themeColor="text1"/>
          <w:sz w:val="22"/>
          <w:szCs w:val="22"/>
          <w:lang w:val="es-ES_tradnl"/>
        </w:rPr>
        <w:t>Rrom</w:t>
      </w:r>
      <w:proofErr w:type="spellEnd"/>
      <w:r w:rsidRPr="00D9015D">
        <w:rPr>
          <w:rFonts w:ascii="Arial" w:hAnsi="Arial" w:eastAsia="Calibri" w:cs="Arial"/>
          <w:color w:val="000000" w:themeColor="text1"/>
          <w:sz w:val="22"/>
          <w:szCs w:val="22"/>
          <w:lang w:val="es-ES_tradnl"/>
        </w:rPr>
        <w:t xml:space="preserve"> o gitanas».</w:t>
      </w:r>
      <w:r w:rsidRPr="00D9015D" w:rsidR="00E56408">
        <w:rPr>
          <w:rFonts w:ascii="Arial" w:hAnsi="Arial" w:eastAsia="Calibri" w:cs="Arial"/>
          <w:color w:val="000000" w:themeColor="text1"/>
          <w:sz w:val="22"/>
          <w:szCs w:val="22"/>
          <w:lang w:val="es-ES_tradnl"/>
        </w:rPr>
        <w:t xml:space="preserve"> </w:t>
      </w:r>
      <w:r w:rsidRPr="00D9015D" w:rsidR="00642F7C">
        <w:rPr>
          <w:rFonts w:ascii="Arial" w:hAnsi="Arial" w:eastAsia="Calibri" w:cs="Arial"/>
          <w:color w:val="000000" w:themeColor="text1"/>
          <w:sz w:val="22"/>
          <w:szCs w:val="22"/>
          <w:lang w:val="es-ES_tradnl"/>
        </w:rPr>
        <w:t xml:space="preserve">Ahora bien, sin perjuicio de lo que establezca el reglamento que expida el gobierno nacional, esta </w:t>
      </w:r>
      <w:r w:rsidR="00E922B1">
        <w:rPr>
          <w:rFonts w:ascii="Arial" w:hAnsi="Arial" w:eastAsia="Calibri" w:cs="Arial"/>
          <w:color w:val="000000" w:themeColor="text1"/>
          <w:sz w:val="22"/>
          <w:szCs w:val="22"/>
          <w:lang w:val="es-ES_tradnl"/>
        </w:rPr>
        <w:t>Agencia</w:t>
      </w:r>
      <w:r w:rsidRPr="00D9015D" w:rsidR="00642F7C">
        <w:rPr>
          <w:rFonts w:ascii="Arial" w:hAnsi="Arial" w:eastAsia="Calibri" w:cs="Arial"/>
          <w:color w:val="000000" w:themeColor="text1"/>
          <w:sz w:val="22"/>
          <w:szCs w:val="22"/>
          <w:lang w:val="es-ES_tradnl"/>
        </w:rPr>
        <w:t xml:space="preserve"> considera que se debe aplicar la normativa vigente sobre la materia, que establece que el Ministerio del Interior es la autoridad encargada de certificar la pertenencia a las poblaciones indígena, negra, afrocolombiana, raizal, </w:t>
      </w:r>
      <w:proofErr w:type="spellStart"/>
      <w:r w:rsidRPr="00D9015D" w:rsidR="00642F7C">
        <w:rPr>
          <w:rFonts w:ascii="Arial" w:hAnsi="Arial" w:eastAsia="Calibri" w:cs="Arial"/>
          <w:color w:val="000000" w:themeColor="text1"/>
          <w:sz w:val="22"/>
          <w:szCs w:val="22"/>
          <w:lang w:val="es-ES_tradnl"/>
        </w:rPr>
        <w:t>palenquera</w:t>
      </w:r>
      <w:proofErr w:type="spellEnd"/>
      <w:r w:rsidRPr="00D9015D" w:rsidR="00642F7C">
        <w:rPr>
          <w:rFonts w:ascii="Arial" w:hAnsi="Arial" w:eastAsia="Calibri" w:cs="Arial"/>
          <w:color w:val="000000" w:themeColor="text1"/>
          <w:sz w:val="22"/>
          <w:szCs w:val="22"/>
          <w:lang w:val="es-ES_tradnl"/>
        </w:rPr>
        <w:t xml:space="preserve">, </w:t>
      </w:r>
      <w:proofErr w:type="spellStart"/>
      <w:r w:rsidRPr="00D9015D" w:rsidR="00642F7C">
        <w:rPr>
          <w:rFonts w:ascii="Arial" w:hAnsi="Arial" w:eastAsia="Calibri" w:cs="Arial"/>
          <w:color w:val="000000" w:themeColor="text1"/>
          <w:sz w:val="22"/>
          <w:szCs w:val="22"/>
          <w:lang w:val="es-ES_tradnl"/>
        </w:rPr>
        <w:t>Rom</w:t>
      </w:r>
      <w:proofErr w:type="spellEnd"/>
      <w:r w:rsidRPr="00D9015D" w:rsidR="00642F7C">
        <w:rPr>
          <w:rFonts w:ascii="Arial" w:hAnsi="Arial" w:eastAsia="Calibri" w:cs="Arial"/>
          <w:color w:val="000000" w:themeColor="text1"/>
          <w:sz w:val="22"/>
          <w:szCs w:val="22"/>
          <w:lang w:val="es-ES_tradnl"/>
        </w:rPr>
        <w:t xml:space="preserve"> o gitanas. Lo anterior, se fundamenta en las competencias de la Dirección de Asuntos Indígenas, </w:t>
      </w:r>
      <w:proofErr w:type="spellStart"/>
      <w:r w:rsidRPr="00D9015D" w:rsidR="00642F7C">
        <w:rPr>
          <w:rFonts w:ascii="Arial" w:hAnsi="Arial" w:eastAsia="Calibri" w:cs="Arial"/>
          <w:color w:val="000000" w:themeColor="text1"/>
          <w:sz w:val="22"/>
          <w:szCs w:val="22"/>
          <w:lang w:val="es-ES_tradnl"/>
        </w:rPr>
        <w:t>Rom</w:t>
      </w:r>
      <w:proofErr w:type="spellEnd"/>
      <w:r w:rsidRPr="00D9015D" w:rsidR="00642F7C">
        <w:rPr>
          <w:rFonts w:ascii="Arial" w:hAnsi="Arial" w:eastAsia="Calibri" w:cs="Arial"/>
          <w:color w:val="000000" w:themeColor="text1"/>
          <w:sz w:val="22"/>
          <w:szCs w:val="22"/>
          <w:lang w:val="es-ES_tradnl"/>
        </w:rPr>
        <w:t xml:space="preserve"> y Minorías, así como de la Dirección de Asuntos para Comunidades Negras, Afrocolombianas, Raizales y Palenqueras, de dicho Ministerio</w:t>
      </w:r>
      <w:r w:rsidRPr="00D9015D" w:rsidR="00642F7C">
        <w:rPr>
          <w:rStyle w:val="Refdenotaalpie"/>
          <w:rFonts w:ascii="Arial" w:hAnsi="Arial" w:eastAsia="Calibri" w:cs="Arial"/>
          <w:color w:val="000000" w:themeColor="text1"/>
          <w:sz w:val="22"/>
          <w:szCs w:val="22"/>
          <w:lang w:val="es-ES_tradnl"/>
        </w:rPr>
        <w:footnoteReference w:id="19"/>
      </w:r>
      <w:r w:rsidRPr="00D9015D" w:rsidR="00642F7C">
        <w:rPr>
          <w:rFonts w:ascii="Arial" w:hAnsi="Arial" w:eastAsia="Calibri" w:cs="Arial"/>
          <w:color w:val="000000" w:themeColor="text1"/>
          <w:sz w:val="22"/>
          <w:szCs w:val="22"/>
          <w:lang w:val="es-ES_tradnl"/>
        </w:rPr>
        <w:t>.</w:t>
      </w:r>
      <w:r w:rsidRPr="00D9015D" w:rsidR="002A7D84">
        <w:rPr>
          <w:rFonts w:ascii="Arial" w:hAnsi="Arial" w:eastAsia="Calibri" w:cs="Arial"/>
          <w:color w:val="000000" w:themeColor="text1"/>
          <w:sz w:val="22"/>
          <w:szCs w:val="22"/>
          <w:lang w:val="es-ES_tradnl"/>
        </w:rPr>
        <w:t xml:space="preserve"> </w:t>
      </w:r>
      <w:r w:rsidRPr="00D9015D" w:rsidR="002A7D84">
        <w:rPr>
          <w:rFonts w:ascii="Arial" w:hAnsi="Arial" w:cs="Arial"/>
          <w:color w:val="000000" w:themeColor="text1"/>
          <w:sz w:val="22"/>
          <w:szCs w:val="22"/>
          <w:lang w:val="es-ES_tradnl"/>
        </w:rPr>
        <w:t>En tal sentido, el proponente deberá acreditar que por lo menos el 10% de sus trabajadores pertenece a estas poblaciones.</w:t>
      </w:r>
    </w:p>
    <w:p w:rsidRPr="005419DA" w:rsidR="00895138" w:rsidP="00895138" w:rsidRDefault="00895138" w14:paraId="33183E84" w14:textId="45C56AA7">
      <w:pPr>
        <w:spacing w:before="120" w:line="276" w:lineRule="auto"/>
        <w:ind w:firstLine="709"/>
        <w:jc w:val="both"/>
        <w:rPr>
          <w:rFonts w:ascii="Arial" w:hAnsi="Arial" w:cs="Arial"/>
          <w:color w:val="000000" w:themeColor="text1"/>
          <w:sz w:val="22"/>
          <w:szCs w:val="22"/>
          <w:lang w:val="es-ES_tradnl"/>
        </w:rPr>
      </w:pPr>
      <w:r w:rsidRPr="00895138">
        <w:rPr>
          <w:rFonts w:ascii="Arial" w:hAnsi="Arial" w:cs="Arial"/>
          <w:color w:val="000000" w:themeColor="text1"/>
          <w:sz w:val="22"/>
          <w:szCs w:val="22"/>
          <w:lang w:val="es-ES_tradnl"/>
        </w:rPr>
        <w:t xml:space="preserve">La </w:t>
      </w:r>
      <w:r w:rsidR="00E922B1">
        <w:rPr>
          <w:rFonts w:ascii="Arial" w:hAnsi="Arial" w:cs="Arial"/>
          <w:color w:val="000000" w:themeColor="text1"/>
          <w:sz w:val="22"/>
          <w:szCs w:val="22"/>
          <w:lang w:val="es-ES_tradnl"/>
        </w:rPr>
        <w:t>Agencia</w:t>
      </w:r>
      <w:r w:rsidRPr="00895138">
        <w:rPr>
          <w:rFonts w:ascii="Arial" w:hAnsi="Arial" w:cs="Arial"/>
          <w:color w:val="000000" w:themeColor="text1"/>
          <w:sz w:val="22"/>
          <w:szCs w:val="22"/>
          <w:lang w:val="es-ES_tradnl"/>
        </w:rPr>
        <w:t xml:space="preserve"> reitera que participar debe entenderse –a menos que el reglamento disponga lo contrario– como tomar parte en la sociedad o proponente plural, de acuerdo al aporte en dinero o trabajo. Esta misma acepción aplica para lo establecido en el numeral 6 del artículo 35 de la Ley </w:t>
      </w:r>
      <w:r w:rsidR="006A538C">
        <w:rPr>
          <w:rFonts w:ascii="Arial" w:hAnsi="Arial" w:cs="Arial"/>
          <w:color w:val="000000" w:themeColor="text1"/>
          <w:sz w:val="22"/>
          <w:szCs w:val="22"/>
          <w:lang w:val="es-ES_tradnl"/>
        </w:rPr>
        <w:t>2069</w:t>
      </w:r>
      <w:r w:rsidRPr="00895138">
        <w:rPr>
          <w:rFonts w:ascii="Arial" w:hAnsi="Arial" w:cs="Arial"/>
          <w:color w:val="000000" w:themeColor="text1"/>
          <w:sz w:val="22"/>
          <w:szCs w:val="22"/>
          <w:lang w:val="es-ES_tradnl"/>
        </w:rPr>
        <w:t xml:space="preserve"> de 2020. Como se observa, no es la planta de personal, sino la participación en la persona jurídica o en el proponente plural lo que se tiene en cuenta. Frente a la coexistencia de causales, se debe aplicar lo que determina el parágrafo del artículo 35 de la mencionada Ley, según el cual «El Gobierno Nacional podrá reglamentar la aplicación de factores de desempate en casos en que concurran dos o más de los factores aquí previstos». En ausencia de esta reglamentación, conforme al inciso primero </w:t>
      </w:r>
      <w:r w:rsidRPr="00895138">
        <w:rPr>
          <w:rFonts w:ascii="Arial" w:hAnsi="Arial" w:cs="Arial"/>
          <w:color w:val="000000" w:themeColor="text1"/>
          <w:sz w:val="22"/>
          <w:szCs w:val="22"/>
          <w:lang w:val="es-ES_tradnl"/>
        </w:rPr>
        <w:lastRenderedPageBreak/>
        <w:t>de la norma citada, las entidades deberán aplicar los factores de desempate en forma sucesiva y excluyente.</w:t>
      </w:r>
      <w:r w:rsidRPr="005419DA">
        <w:rPr>
          <w:rFonts w:ascii="Arial" w:hAnsi="Arial" w:cs="Arial"/>
          <w:color w:val="000000" w:themeColor="text1"/>
          <w:sz w:val="22"/>
          <w:szCs w:val="22"/>
          <w:lang w:val="es-ES_tradnl"/>
        </w:rPr>
        <w:t xml:space="preserve"> </w:t>
      </w:r>
    </w:p>
    <w:p w:rsidRPr="007628CA" w:rsidR="007628CA" w:rsidP="007628CA" w:rsidRDefault="007628CA" w14:paraId="672A9810" w14:textId="4ABFBFAB">
      <w:pPr>
        <w:spacing w:before="120" w:line="276" w:lineRule="auto"/>
        <w:ind w:firstLine="709"/>
        <w:jc w:val="both"/>
        <w:rPr>
          <w:rFonts w:ascii="Arial" w:hAnsi="Arial" w:eastAsia="Calibri" w:cs="Arial"/>
          <w:color w:val="000000" w:themeColor="text1"/>
          <w:sz w:val="22"/>
          <w:szCs w:val="22"/>
          <w:lang w:val="es-ES_tradnl"/>
        </w:rPr>
      </w:pPr>
      <w:r w:rsidRPr="00D9015D">
        <w:rPr>
          <w:rFonts w:ascii="Arial" w:hAnsi="Arial" w:eastAsia="Calibri" w:cs="Arial"/>
          <w:color w:val="000000" w:themeColor="text1"/>
          <w:sz w:val="22"/>
          <w:szCs w:val="22"/>
          <w:lang w:val="es-ES_tradnl"/>
        </w:rPr>
        <w:t xml:space="preserve">Frente al numeral 6 del artículo 35 de la Ley </w:t>
      </w:r>
      <w:r w:rsidR="006A538C">
        <w:rPr>
          <w:rFonts w:ascii="Arial" w:hAnsi="Arial" w:eastAsia="Calibri" w:cs="Arial"/>
          <w:color w:val="000000" w:themeColor="text1"/>
          <w:sz w:val="22"/>
          <w:szCs w:val="22"/>
          <w:lang w:val="es-ES_tradnl"/>
        </w:rPr>
        <w:t>2069</w:t>
      </w:r>
      <w:r w:rsidRPr="00D9015D">
        <w:rPr>
          <w:rFonts w:ascii="Arial" w:hAnsi="Arial" w:eastAsia="Calibri" w:cs="Arial"/>
          <w:color w:val="000000" w:themeColor="text1"/>
          <w:sz w:val="22"/>
          <w:szCs w:val="22"/>
          <w:lang w:val="es-ES_tradnl"/>
        </w:rPr>
        <w:t xml:space="preserve"> de 2020, que se refiere a las propuestas de «personas en proceso de reintegración o reincorporación», vale señalar que se trata de aquellas personas que hayan pertenecido a grupos al margen de la ley y que se encuentren en proceso de reintegración a la sociedad. La Agencia para la Reincorporación  y la Normalización –ARN–, es la «</w:t>
      </w:r>
      <w:r w:rsidRPr="00D9015D">
        <w:rPr>
          <w:rFonts w:ascii="Arial" w:hAnsi="Arial" w:cs="Arial"/>
          <w:sz w:val="22"/>
          <w:szCs w:val="22"/>
          <w:lang w:val="es-ES_tradnl"/>
        </w:rPr>
        <w:t xml:space="preserve">[…] </w:t>
      </w:r>
      <w:r w:rsidRPr="00D9015D">
        <w:rPr>
          <w:rFonts w:ascii="Arial" w:hAnsi="Arial" w:eastAsia="Calibri" w:cs="Arial"/>
          <w:color w:val="000000" w:themeColor="text1"/>
          <w:sz w:val="22"/>
          <w:szCs w:val="22"/>
          <w:lang w:val="es-ES_tradnl"/>
        </w:rPr>
        <w:t>entidad adscrita a la Presidencia de la República, que está encargada de coordinar, asesorar y ejecutar –con otras entidades públicas y privadas– la Ruta de Reintegración de las personas desmovilizadas de los grupos armados al margen de la ley»</w:t>
      </w:r>
      <w:r w:rsidRPr="00D9015D">
        <w:rPr>
          <w:rStyle w:val="Refdenotaalpie"/>
          <w:rFonts w:ascii="Arial" w:hAnsi="Arial" w:eastAsia="Calibri" w:cs="Arial"/>
          <w:color w:val="000000" w:themeColor="text1"/>
          <w:sz w:val="22"/>
          <w:szCs w:val="22"/>
          <w:lang w:val="es-ES_tradnl"/>
        </w:rPr>
        <w:footnoteReference w:id="20"/>
      </w:r>
      <w:r w:rsidRPr="00D9015D">
        <w:rPr>
          <w:rFonts w:ascii="Arial" w:hAnsi="Arial" w:eastAsia="Calibri" w:cs="Arial"/>
          <w:color w:val="000000" w:themeColor="text1"/>
          <w:sz w:val="22"/>
          <w:szCs w:val="22"/>
          <w:lang w:val="es-ES_tradnl"/>
        </w:rPr>
        <w:t xml:space="preserve"> y, por tanto, ante ella se puede obtener información sobre la acreditación de dicha circunstancia</w:t>
      </w:r>
      <w:r>
        <w:rPr>
          <w:rFonts w:ascii="Arial" w:hAnsi="Arial" w:eastAsia="Calibri" w:cs="Arial"/>
          <w:color w:val="000000" w:themeColor="text1"/>
          <w:sz w:val="22"/>
          <w:szCs w:val="22"/>
          <w:lang w:val="es-ES_tradnl"/>
        </w:rPr>
        <w:t xml:space="preserve">, </w:t>
      </w:r>
      <w:r w:rsidRPr="00F1559B">
        <w:rPr>
          <w:rFonts w:ascii="Arial" w:hAnsi="Arial" w:eastAsia="Calibri" w:cs="Arial"/>
          <w:color w:val="000000" w:themeColor="text1"/>
          <w:sz w:val="22"/>
          <w:szCs w:val="22"/>
          <w:lang w:val="es-ES_tradnl"/>
        </w:rPr>
        <w:t>pues dicha autoridad certifica esta condición.</w:t>
      </w:r>
    </w:p>
    <w:p w:rsidRPr="00D9015D" w:rsidR="00C96331" w:rsidP="00C96331" w:rsidRDefault="001F2C47" w14:paraId="70161A95" w14:textId="1A5A2D34">
      <w:pPr>
        <w:spacing w:before="120" w:line="276" w:lineRule="auto"/>
        <w:ind w:firstLine="709"/>
        <w:jc w:val="both"/>
        <w:rPr>
          <w:rFonts w:ascii="Arial" w:hAnsi="Arial" w:cs="Arial"/>
          <w:color w:val="000000" w:themeColor="text1"/>
          <w:sz w:val="22"/>
          <w:szCs w:val="22"/>
          <w:lang w:val="es-ES_tradnl"/>
        </w:rPr>
      </w:pPr>
      <w:r w:rsidRPr="00D9015D">
        <w:rPr>
          <w:rFonts w:ascii="Arial" w:hAnsi="Arial" w:cs="Arial"/>
          <w:color w:val="000000" w:themeColor="text1"/>
          <w:sz w:val="22"/>
          <w:szCs w:val="22"/>
          <w:lang w:val="es-ES_tradnl"/>
        </w:rPr>
        <w:t xml:space="preserve">En lo que respecta al numeral 7 del artículo 35 de la Ley </w:t>
      </w:r>
      <w:r w:rsidR="006A538C">
        <w:rPr>
          <w:rFonts w:ascii="Arial" w:hAnsi="Arial" w:cs="Arial"/>
          <w:color w:val="000000" w:themeColor="text1"/>
          <w:sz w:val="22"/>
          <w:szCs w:val="22"/>
          <w:lang w:val="es-ES_tradnl"/>
        </w:rPr>
        <w:t>2069</w:t>
      </w:r>
      <w:r w:rsidRPr="00D9015D">
        <w:rPr>
          <w:rFonts w:ascii="Arial" w:hAnsi="Arial" w:cs="Arial"/>
          <w:color w:val="000000" w:themeColor="text1"/>
          <w:sz w:val="22"/>
          <w:szCs w:val="22"/>
          <w:lang w:val="es-ES_tradnl"/>
        </w:rPr>
        <w:t xml:space="preserve"> de 2020, y </w:t>
      </w:r>
      <w:r w:rsidRPr="00D9015D" w:rsidR="00FD6675">
        <w:rPr>
          <w:rFonts w:ascii="Arial" w:hAnsi="Arial" w:cs="Arial"/>
          <w:color w:val="000000" w:themeColor="text1"/>
          <w:sz w:val="22"/>
          <w:szCs w:val="22"/>
          <w:lang w:val="es-ES_tradnl"/>
        </w:rPr>
        <w:t>considerando</w:t>
      </w:r>
      <w:r w:rsidRPr="00D9015D" w:rsidR="00435294">
        <w:rPr>
          <w:rFonts w:ascii="Arial" w:hAnsi="Arial" w:cs="Arial"/>
          <w:color w:val="000000" w:themeColor="text1"/>
          <w:sz w:val="22"/>
          <w:szCs w:val="22"/>
          <w:lang w:val="es-ES_tradnl"/>
        </w:rPr>
        <w:t xml:space="preserve"> solo</w:t>
      </w:r>
      <w:r w:rsidRPr="00D9015D" w:rsidR="00FD6675">
        <w:rPr>
          <w:rFonts w:ascii="Arial" w:hAnsi="Arial" w:cs="Arial"/>
          <w:color w:val="000000" w:themeColor="text1"/>
          <w:sz w:val="22"/>
          <w:szCs w:val="22"/>
          <w:lang w:val="es-ES_tradnl"/>
        </w:rPr>
        <w:t xml:space="preserve"> las inquietudes formuladas en la consulta, debe aclararse que</w:t>
      </w:r>
      <w:r w:rsidRPr="00D9015D" w:rsidR="00435294">
        <w:rPr>
          <w:rFonts w:ascii="Arial" w:hAnsi="Arial" w:cs="Arial"/>
          <w:color w:val="000000" w:themeColor="text1"/>
          <w:sz w:val="22"/>
          <w:szCs w:val="22"/>
          <w:lang w:val="es-ES_tradnl"/>
        </w:rPr>
        <w:t>,</w:t>
      </w:r>
      <w:r w:rsidRPr="00D9015D" w:rsidR="00FD6675">
        <w:rPr>
          <w:rFonts w:ascii="Arial" w:hAnsi="Arial" w:cs="Arial"/>
          <w:color w:val="000000" w:themeColor="text1"/>
          <w:sz w:val="22"/>
          <w:szCs w:val="22"/>
          <w:lang w:val="es-ES_tradnl"/>
        </w:rPr>
        <w:t xml:space="preserve"> </w:t>
      </w:r>
      <w:r w:rsidRPr="00D9015D" w:rsidR="00435294">
        <w:rPr>
          <w:rFonts w:ascii="Arial" w:hAnsi="Arial" w:cs="Arial"/>
          <w:color w:val="000000" w:themeColor="text1"/>
          <w:sz w:val="22"/>
          <w:szCs w:val="22"/>
          <w:lang w:val="es-ES_tradnl"/>
        </w:rPr>
        <w:t>de acuerdo con el literal a), la oferta del proponente plural integrado por una persona jurídica solo es preferida –según dicho criterio de desempate–, i) si en la persona jurídica la participación de las mujeres cabeza de familia o personas en proceso de reincorporación o reintegración es mayoritaria, y si, además, ii) la persona jurídica participa por lo menos en un veinticinco por ciento (25%) en el proponente plural, verbigracia, en el consorcio o unión temporal. Una lectura detenida de dicho literal nos permite concluir que se deben reunir ambas condiciones.</w:t>
      </w:r>
      <w:r w:rsidRPr="00D9015D" w:rsidR="00C96331">
        <w:rPr>
          <w:rFonts w:ascii="Arial" w:hAnsi="Arial" w:cs="Arial"/>
          <w:color w:val="000000" w:themeColor="text1"/>
          <w:sz w:val="22"/>
          <w:szCs w:val="22"/>
          <w:lang w:val="es-ES_tradnl"/>
        </w:rPr>
        <w:t xml:space="preserve"> </w:t>
      </w:r>
      <w:r w:rsidRPr="00D9015D" w:rsidR="00266316">
        <w:rPr>
          <w:rFonts w:ascii="Arial" w:hAnsi="Arial" w:cs="Arial"/>
          <w:color w:val="000000" w:themeColor="text1"/>
          <w:sz w:val="22"/>
          <w:szCs w:val="22"/>
          <w:lang w:val="es-ES_tradnl"/>
        </w:rPr>
        <w:t xml:space="preserve">De otro lado, lo que indica el literal c) del mismo numeral es que se debe preferir la oferta del proponente plural, si este cumple –entre varios requisitos– con la condición de que ni la madre cabeza de familia, ni la persona en proceso de reincorporación o reintegración, ni la persona jurídica, </w:t>
      </w:r>
      <w:r w:rsidRPr="00D9015D" w:rsidR="00492844">
        <w:rPr>
          <w:rFonts w:ascii="Arial" w:hAnsi="Arial" w:cs="Arial"/>
          <w:color w:val="000000" w:themeColor="text1"/>
          <w:sz w:val="22"/>
          <w:szCs w:val="22"/>
          <w:lang w:val="es-ES_tradnl"/>
        </w:rPr>
        <w:t>n</w:t>
      </w:r>
      <w:r w:rsidRPr="00D9015D" w:rsidR="00266316">
        <w:rPr>
          <w:rFonts w:ascii="Arial" w:hAnsi="Arial" w:cs="Arial"/>
          <w:color w:val="000000" w:themeColor="text1"/>
          <w:sz w:val="22"/>
          <w:szCs w:val="22"/>
          <w:lang w:val="es-ES_tradnl"/>
        </w:rPr>
        <w:t>i sus accionistas, socios o representantes legales «sean empleados, socios o accionistas de los miembros del proponente plural».</w:t>
      </w:r>
      <w:r w:rsidRPr="00D9015D" w:rsidR="00C96331">
        <w:rPr>
          <w:rFonts w:ascii="Arial" w:hAnsi="Arial" w:cs="Arial"/>
          <w:color w:val="000000" w:themeColor="text1"/>
          <w:sz w:val="22"/>
          <w:szCs w:val="22"/>
          <w:lang w:val="es-ES_tradnl"/>
        </w:rPr>
        <w:t xml:space="preserve"> Además, se precisa que el numeral 7 del artículo 35 de la Ley </w:t>
      </w:r>
      <w:r w:rsidR="006A538C">
        <w:rPr>
          <w:rFonts w:ascii="Arial" w:hAnsi="Arial" w:cs="Arial"/>
          <w:color w:val="000000" w:themeColor="text1"/>
          <w:sz w:val="22"/>
          <w:szCs w:val="22"/>
          <w:lang w:val="es-ES_tradnl"/>
        </w:rPr>
        <w:t>2069</w:t>
      </w:r>
      <w:r w:rsidRPr="00D9015D" w:rsidR="00C96331">
        <w:rPr>
          <w:rFonts w:ascii="Arial" w:hAnsi="Arial" w:cs="Arial"/>
          <w:color w:val="000000" w:themeColor="text1"/>
          <w:sz w:val="22"/>
          <w:szCs w:val="22"/>
          <w:lang w:val="es-ES_tradnl"/>
        </w:rPr>
        <w:t xml:space="preserve"> de 2020, en efecto, tiene como sujeto del factor de desempate al proponente plural. Pero, si se observa lo establecido en los numerales 2 y 6, respectivamente, se advierte que en ellos se regula el supuesto de la persona jurídica que se presenta individualmente y en la cual participan mayoritariamente mujeres cabeza de familia o personas en proceso de reincorporación o reintegración.</w:t>
      </w:r>
    </w:p>
    <w:p w:rsidRPr="005344BD" w:rsidR="003331CC" w:rsidP="003331CC" w:rsidRDefault="003331CC" w14:paraId="0A953A8E" w14:textId="54861477">
      <w:pPr>
        <w:spacing w:before="120" w:line="276" w:lineRule="auto"/>
        <w:ind w:firstLine="709"/>
        <w:jc w:val="both"/>
        <w:rPr>
          <w:rFonts w:ascii="Arial" w:hAnsi="Arial" w:eastAsia="Calibri" w:cs="Arial"/>
          <w:color w:val="000000" w:themeColor="text1"/>
          <w:sz w:val="22"/>
          <w:szCs w:val="22"/>
          <w:lang w:val="es-ES_tradnl"/>
        </w:rPr>
      </w:pPr>
      <w:r w:rsidRPr="005344BD">
        <w:rPr>
          <w:rFonts w:ascii="Arial" w:hAnsi="Arial" w:eastAsia="Calibri" w:cs="Arial"/>
          <w:color w:val="000000" w:themeColor="text1"/>
          <w:sz w:val="22"/>
          <w:szCs w:val="22"/>
          <w:lang w:val="es-ES_tradnl"/>
        </w:rPr>
        <w:t xml:space="preserve">En relación con la regla de desempate consagrada en el numeral 11 del artículo 35 de la Ley </w:t>
      </w:r>
      <w:r w:rsidR="006A538C">
        <w:rPr>
          <w:rFonts w:ascii="Arial" w:hAnsi="Arial" w:eastAsia="Calibri" w:cs="Arial"/>
          <w:color w:val="000000" w:themeColor="text1"/>
          <w:sz w:val="22"/>
          <w:szCs w:val="22"/>
          <w:lang w:val="es-ES_tradnl"/>
        </w:rPr>
        <w:t>2069</w:t>
      </w:r>
      <w:r w:rsidRPr="005344BD">
        <w:rPr>
          <w:rFonts w:ascii="Arial" w:hAnsi="Arial" w:eastAsia="Calibri" w:cs="Arial"/>
          <w:color w:val="000000" w:themeColor="text1"/>
          <w:sz w:val="22"/>
          <w:szCs w:val="22"/>
          <w:lang w:val="es-ES_tradnl"/>
        </w:rPr>
        <w:t xml:space="preserve"> de 2020, que hace referencia a «las empresas reconocidas y establecidas como Sociedad de Beneficio e Interés Colectivo o Sociedad BIC, del segmento MIPYMES», dicha situación se acredita con el certificado de existencia y representación legal de la sociedad en el que conste que reúne los requisitos del artículo 2 de la Ley 1.901 de 2018. Esta norma establece que «Tendrán la denominación de sociedad BIC todas aquellas compañías que sean constituidas de conformidad con la legislación vigente para tales efectos, las cuales, además del beneficio e interés de sus accionistas, actuarán en procura </w:t>
      </w:r>
      <w:r w:rsidRPr="005344BD">
        <w:rPr>
          <w:rFonts w:ascii="Arial" w:hAnsi="Arial" w:eastAsia="Calibri" w:cs="Arial"/>
          <w:color w:val="000000" w:themeColor="text1"/>
          <w:sz w:val="22"/>
          <w:szCs w:val="22"/>
          <w:lang w:val="es-ES_tradnl"/>
        </w:rPr>
        <w:lastRenderedPageBreak/>
        <w:t xml:space="preserve">del interés de la colectividad y del medio ambiente». Según los artículos 2.2.1.15.3. y 2.2.1.15.5. del Decreto 2046 de 2019, corresponde a las cámaras de comercio el registro de las sociedades BIC y por lo tanto son las autoridades encargadas de acreditar su existencia. Como el numeral 11 del artículo 35 exige que la sociedad BIC haga parte del segmento mipymes, se debe tener en cuenta además la forma de acreditación del tamaño empresarial prevista en el artículo 2.2.1.13.2.4. del Decreto 957 de 2019. Esta disposición determina al respecto lo siguiente: </w:t>
      </w:r>
    </w:p>
    <w:p w:rsidRPr="005344BD" w:rsidR="003331CC" w:rsidP="003331CC" w:rsidRDefault="003331CC" w14:paraId="19F41083" w14:textId="77777777">
      <w:pPr>
        <w:spacing w:line="276" w:lineRule="auto"/>
        <w:ind w:firstLine="709"/>
        <w:jc w:val="both"/>
        <w:rPr>
          <w:rFonts w:ascii="Arial" w:hAnsi="Arial" w:eastAsia="Calibri" w:cs="Arial"/>
          <w:color w:val="000000" w:themeColor="text1"/>
          <w:sz w:val="22"/>
          <w:szCs w:val="22"/>
          <w:lang w:val="es-ES_tradnl"/>
        </w:rPr>
      </w:pPr>
    </w:p>
    <w:p w:rsidRPr="005344BD" w:rsidR="003331CC" w:rsidP="003331CC" w:rsidRDefault="003331CC" w14:paraId="432A2A89" w14:textId="77777777">
      <w:pPr>
        <w:ind w:left="709" w:right="709"/>
        <w:jc w:val="both"/>
        <w:rPr>
          <w:rFonts w:ascii="Arial" w:hAnsi="Arial" w:eastAsia="Calibri" w:cs="Arial"/>
          <w:color w:val="000000" w:themeColor="text1"/>
          <w:sz w:val="21"/>
          <w:szCs w:val="21"/>
          <w:lang w:val="es-ES_tradnl"/>
        </w:rPr>
      </w:pPr>
      <w:r w:rsidRPr="005344BD">
        <w:rPr>
          <w:rFonts w:ascii="Arial" w:hAnsi="Arial" w:eastAsia="Calibri" w:cs="Arial"/>
          <w:color w:val="000000" w:themeColor="text1"/>
          <w:sz w:val="21"/>
          <w:szCs w:val="21"/>
          <w:lang w:val="es-ES_tradnl"/>
        </w:rPr>
        <w:t xml:space="preserve">Las empresas deberán acreditar su tamaño empresarial mediante certificación donde conste el valor de los ingresos por actividades ordinarias al 31 de diciembre del año inmediatamente anterior, o los obtenidos durante el tiempo de su operación, de la siguiente forma: </w:t>
      </w:r>
    </w:p>
    <w:p w:rsidRPr="005344BD" w:rsidR="003331CC" w:rsidP="003331CC" w:rsidRDefault="003331CC" w14:paraId="43AEA568" w14:textId="77777777">
      <w:pPr>
        <w:ind w:left="709" w:right="709"/>
        <w:jc w:val="both"/>
        <w:rPr>
          <w:rFonts w:ascii="Arial" w:hAnsi="Arial" w:eastAsia="Calibri" w:cs="Arial"/>
          <w:color w:val="000000" w:themeColor="text1"/>
          <w:sz w:val="21"/>
          <w:szCs w:val="21"/>
          <w:lang w:val="es-ES_tradnl"/>
        </w:rPr>
      </w:pPr>
    </w:p>
    <w:p w:rsidRPr="005344BD" w:rsidR="003331CC" w:rsidP="003331CC" w:rsidRDefault="003331CC" w14:paraId="1E0C663E" w14:textId="77777777">
      <w:pPr>
        <w:ind w:left="709" w:right="709"/>
        <w:jc w:val="both"/>
        <w:rPr>
          <w:rFonts w:ascii="Arial" w:hAnsi="Arial" w:eastAsia="Calibri" w:cs="Arial"/>
          <w:color w:val="000000" w:themeColor="text1"/>
          <w:sz w:val="21"/>
          <w:szCs w:val="21"/>
          <w:lang w:val="es-ES_tradnl"/>
        </w:rPr>
      </w:pPr>
      <w:r w:rsidRPr="005344BD">
        <w:rPr>
          <w:rFonts w:ascii="Arial" w:hAnsi="Arial" w:eastAsia="Calibri" w:cs="Arial"/>
          <w:color w:val="000000" w:themeColor="text1"/>
          <w:sz w:val="21"/>
          <w:szCs w:val="21"/>
          <w:lang w:val="es-ES_tradnl"/>
        </w:rPr>
        <w:t xml:space="preserve">1. Las personas naturales mediante certificación expedida por estas. </w:t>
      </w:r>
    </w:p>
    <w:p w:rsidRPr="005344BD" w:rsidR="003331CC" w:rsidP="003331CC" w:rsidRDefault="003331CC" w14:paraId="5CBB1BBC" w14:textId="77777777">
      <w:pPr>
        <w:ind w:left="709" w:right="709"/>
        <w:jc w:val="both"/>
        <w:rPr>
          <w:rFonts w:ascii="Arial" w:hAnsi="Arial" w:eastAsia="Calibri" w:cs="Arial"/>
          <w:color w:val="000000" w:themeColor="text1"/>
          <w:sz w:val="21"/>
          <w:szCs w:val="21"/>
          <w:lang w:val="es-ES_tradnl"/>
        </w:rPr>
      </w:pPr>
    </w:p>
    <w:p w:rsidRPr="005344BD" w:rsidR="003331CC" w:rsidP="003331CC" w:rsidRDefault="003331CC" w14:paraId="1123D284" w14:textId="77777777">
      <w:pPr>
        <w:ind w:left="709" w:right="709"/>
        <w:jc w:val="both"/>
        <w:rPr>
          <w:rFonts w:ascii="Arial" w:hAnsi="Arial" w:eastAsia="Calibri" w:cs="Arial"/>
          <w:color w:val="000000" w:themeColor="text1"/>
          <w:sz w:val="21"/>
          <w:szCs w:val="21"/>
          <w:lang w:val="es-ES_tradnl"/>
        </w:rPr>
      </w:pPr>
      <w:r w:rsidRPr="005344BD">
        <w:rPr>
          <w:rFonts w:ascii="Arial" w:hAnsi="Arial" w:eastAsia="Calibri" w:cs="Arial"/>
          <w:color w:val="000000" w:themeColor="text1"/>
          <w:sz w:val="21"/>
          <w:szCs w:val="21"/>
          <w:lang w:val="es-ES_tradnl"/>
        </w:rPr>
        <w:t xml:space="preserve">2. Las personas jurídicas mediante certificación expedida por el representante legal o el contador o revisor fiscal, si están obligadas a tenerlo. </w:t>
      </w:r>
    </w:p>
    <w:p w:rsidRPr="005344BD" w:rsidR="003331CC" w:rsidP="003331CC" w:rsidRDefault="003331CC" w14:paraId="264FD5EA" w14:textId="77777777">
      <w:pPr>
        <w:ind w:left="709" w:right="709"/>
        <w:jc w:val="both"/>
        <w:rPr>
          <w:rFonts w:ascii="Arial" w:hAnsi="Arial" w:eastAsia="Calibri" w:cs="Arial"/>
          <w:color w:val="000000" w:themeColor="text1"/>
          <w:sz w:val="21"/>
          <w:szCs w:val="21"/>
          <w:lang w:val="es-ES_tradnl"/>
        </w:rPr>
      </w:pPr>
    </w:p>
    <w:p w:rsidRPr="005344BD" w:rsidR="003331CC" w:rsidP="003331CC" w:rsidRDefault="003331CC" w14:paraId="5FCE422E" w14:textId="77777777">
      <w:pPr>
        <w:ind w:left="709" w:right="709"/>
        <w:jc w:val="both"/>
        <w:rPr>
          <w:rFonts w:ascii="Arial" w:hAnsi="Arial" w:eastAsia="Calibri" w:cs="Arial"/>
          <w:color w:val="000000" w:themeColor="text1"/>
          <w:sz w:val="21"/>
          <w:szCs w:val="21"/>
          <w:lang w:val="es-ES_tradnl"/>
        </w:rPr>
      </w:pPr>
      <w:r w:rsidRPr="005344BD">
        <w:rPr>
          <w:rFonts w:ascii="Arial" w:hAnsi="Arial" w:eastAsia="Calibri" w:cs="Arial"/>
          <w:color w:val="000000" w:themeColor="text1"/>
          <w:sz w:val="21"/>
          <w:szCs w:val="21"/>
          <w:lang w:val="es-ES_tradnl"/>
        </w:rPr>
        <w:t xml:space="preserve">Para los anteriores efectos, deberán observarse los rangos de clasificación establecidos en el presente Capítulo. </w:t>
      </w:r>
    </w:p>
    <w:p w:rsidRPr="005344BD" w:rsidR="003331CC" w:rsidP="003331CC" w:rsidRDefault="003331CC" w14:paraId="06CDC631" w14:textId="77777777">
      <w:pPr>
        <w:ind w:left="709" w:right="709"/>
        <w:jc w:val="both"/>
        <w:rPr>
          <w:rFonts w:ascii="Arial" w:hAnsi="Arial" w:eastAsia="Calibri" w:cs="Arial"/>
          <w:color w:val="000000" w:themeColor="text1"/>
          <w:sz w:val="21"/>
          <w:szCs w:val="21"/>
          <w:lang w:val="es-ES_tradnl"/>
        </w:rPr>
      </w:pPr>
    </w:p>
    <w:p w:rsidRPr="005344BD" w:rsidR="003331CC" w:rsidP="003331CC" w:rsidRDefault="003331CC" w14:paraId="1F38F35C" w14:textId="77777777">
      <w:pPr>
        <w:ind w:left="709" w:right="709"/>
        <w:jc w:val="both"/>
        <w:rPr>
          <w:rFonts w:ascii="Arial" w:hAnsi="Arial" w:eastAsia="Calibri" w:cs="Arial"/>
          <w:color w:val="000000" w:themeColor="text1"/>
          <w:sz w:val="21"/>
          <w:szCs w:val="21"/>
          <w:lang w:val="es-ES_tradnl"/>
        </w:rPr>
      </w:pPr>
      <w:r w:rsidRPr="005344BD">
        <w:rPr>
          <w:rFonts w:ascii="Arial" w:hAnsi="Arial" w:eastAsia="Calibri" w:cs="Arial"/>
          <w:color w:val="000000" w:themeColor="text1"/>
          <w:sz w:val="21"/>
          <w:szCs w:val="21"/>
          <w:lang w:val="es-ES_tradnl"/>
        </w:rPr>
        <w:t xml:space="preserve">Parágrafo. Para la aplicación de los incentivos del sistema de compras y contratación pública, la acreditación del tamaño empresarial se efectuará de acuerdo con lo previsto en el artículo 2.2.1.2.4.2.4 del Decreto 1082 de 2015 y demás normas que lo aclaren, modifiquen o adicionen. </w:t>
      </w:r>
    </w:p>
    <w:p w:rsidRPr="005344BD" w:rsidR="003331CC" w:rsidP="003331CC" w:rsidRDefault="003331CC" w14:paraId="66DCD4AE" w14:textId="77777777">
      <w:pPr>
        <w:tabs>
          <w:tab w:val="left" w:pos="0"/>
        </w:tabs>
        <w:jc w:val="both"/>
        <w:rPr>
          <w:rFonts w:ascii="Arial" w:hAnsi="Arial" w:eastAsia="Calibri" w:cs="Arial"/>
          <w:color w:val="000000" w:themeColor="text1"/>
          <w:sz w:val="22"/>
          <w:szCs w:val="22"/>
          <w:lang w:val="es-ES_tradnl"/>
        </w:rPr>
      </w:pPr>
    </w:p>
    <w:p w:rsidRPr="005344BD" w:rsidR="00B7708F" w:rsidP="00B7708F" w:rsidRDefault="003331CC" w14:paraId="0F28C0ED" w14:textId="77777777">
      <w:pPr>
        <w:spacing w:line="276" w:lineRule="auto"/>
        <w:ind w:firstLine="709"/>
        <w:jc w:val="both"/>
        <w:rPr>
          <w:rFonts w:ascii="Arial" w:hAnsi="Arial" w:eastAsia="Calibri" w:cs="Arial"/>
          <w:color w:val="000000" w:themeColor="text1"/>
          <w:sz w:val="22"/>
          <w:szCs w:val="22"/>
          <w:lang w:val="es-ES_tradnl"/>
        </w:rPr>
      </w:pPr>
      <w:r w:rsidRPr="005344BD">
        <w:rPr>
          <w:rFonts w:ascii="Arial" w:hAnsi="Arial" w:eastAsia="Calibri" w:cs="Arial"/>
          <w:color w:val="000000" w:themeColor="text1"/>
          <w:sz w:val="22"/>
          <w:szCs w:val="22"/>
          <w:lang w:val="es-ES_tradnl"/>
        </w:rPr>
        <w:t xml:space="preserve">El artículo 2.2.1.2.4.2.4 del Decreto 1082 de 2015, entretanto, señala que «La </w:t>
      </w:r>
      <w:proofErr w:type="spellStart"/>
      <w:r w:rsidRPr="005344BD">
        <w:rPr>
          <w:rFonts w:ascii="Arial" w:hAnsi="Arial" w:eastAsia="Calibri" w:cs="Arial"/>
          <w:color w:val="000000" w:themeColor="text1"/>
          <w:sz w:val="22"/>
          <w:szCs w:val="22"/>
          <w:lang w:val="es-ES_tradnl"/>
        </w:rPr>
        <w:t>Mipyme</w:t>
      </w:r>
      <w:proofErr w:type="spellEnd"/>
      <w:r w:rsidRPr="005344BD">
        <w:rPr>
          <w:rFonts w:ascii="Arial" w:hAnsi="Arial" w:eastAsia="Calibri" w:cs="Arial"/>
          <w:color w:val="000000" w:themeColor="text1"/>
          <w:sz w:val="22"/>
          <w:szCs w:val="22"/>
          <w:lang w:val="es-ES_tradnl"/>
        </w:rPr>
        <w:t xml:space="preserve"> nacional debe acreditar su condición con un certificado expedido por el representante legal y el revisor fiscal, si está obligado a tenerlo, o el contador, en el cual conste que la </w:t>
      </w:r>
      <w:proofErr w:type="spellStart"/>
      <w:r w:rsidRPr="005344BD">
        <w:rPr>
          <w:rFonts w:ascii="Arial" w:hAnsi="Arial" w:eastAsia="Calibri" w:cs="Arial"/>
          <w:color w:val="000000" w:themeColor="text1"/>
          <w:sz w:val="22"/>
          <w:szCs w:val="22"/>
          <w:lang w:val="es-ES_tradnl"/>
        </w:rPr>
        <w:t>Mipyme</w:t>
      </w:r>
      <w:proofErr w:type="spellEnd"/>
      <w:r w:rsidRPr="005344BD">
        <w:rPr>
          <w:rFonts w:ascii="Arial" w:hAnsi="Arial" w:eastAsia="Calibri" w:cs="Arial"/>
          <w:color w:val="000000" w:themeColor="text1"/>
          <w:sz w:val="22"/>
          <w:szCs w:val="22"/>
          <w:lang w:val="es-ES_tradnl"/>
        </w:rPr>
        <w:t xml:space="preserve"> tiene el tamaño empresarial establecido de conformidad con la ley».</w:t>
      </w:r>
    </w:p>
    <w:p w:rsidRPr="00B7708F" w:rsidR="005F361A" w:rsidP="00B7708F" w:rsidRDefault="002A7D84" w14:paraId="08005E80" w14:textId="7921578D">
      <w:pPr>
        <w:spacing w:before="120" w:line="276" w:lineRule="auto"/>
        <w:ind w:firstLine="709"/>
        <w:jc w:val="both"/>
        <w:rPr>
          <w:rFonts w:ascii="Arial" w:hAnsi="Arial" w:eastAsia="Calibri" w:cs="Arial"/>
          <w:color w:val="000000" w:themeColor="text1"/>
          <w:sz w:val="22"/>
          <w:szCs w:val="22"/>
          <w:lang w:val="es-ES_tradnl"/>
        </w:rPr>
      </w:pPr>
      <w:r w:rsidRPr="005344BD">
        <w:rPr>
          <w:rFonts w:ascii="Arial" w:hAnsi="Arial" w:cs="Arial"/>
          <w:color w:val="000000" w:themeColor="text1"/>
          <w:sz w:val="22"/>
          <w:szCs w:val="22"/>
          <w:lang w:val="es-ES_tradnl"/>
        </w:rPr>
        <w:t>Finalmente, si bien los factores de</w:t>
      </w:r>
      <w:r w:rsidRPr="00D9015D">
        <w:rPr>
          <w:rFonts w:ascii="Arial" w:hAnsi="Arial" w:cs="Arial"/>
          <w:color w:val="000000" w:themeColor="text1"/>
          <w:sz w:val="22"/>
          <w:szCs w:val="22"/>
          <w:lang w:val="es-ES_tradnl"/>
        </w:rPr>
        <w:t xml:space="preserve"> desempate regulados en el artículo 35 deben aplicarse «</w:t>
      </w:r>
      <w:r w:rsidRPr="00D9015D">
        <w:rPr>
          <w:rFonts w:ascii="Arial" w:hAnsi="Arial" w:cs="Arial"/>
          <w:sz w:val="22"/>
          <w:szCs w:val="22"/>
          <w:lang w:val="es-ES_tradnl"/>
        </w:rPr>
        <w:t xml:space="preserve">[…] </w:t>
      </w:r>
      <w:r w:rsidRPr="00D9015D">
        <w:rPr>
          <w:rFonts w:ascii="Arial" w:hAnsi="Arial" w:cs="Arial"/>
          <w:color w:val="000000" w:themeColor="text1"/>
          <w:sz w:val="22"/>
          <w:szCs w:val="22"/>
          <w:lang w:val="es-ES_tradnl"/>
        </w:rPr>
        <w:t>de forma sucesiva y excluyente para seleccionar al oferente favorecido, respetando en todo caso los compromisos internacionales vigentes» –según lo dispone el inciso primero–, el parágrafo tercero del mencionado artículo establece que «El Gobierno Nacional podrá reglamentar la aplicación de factores de desempate en casos en que concurran dos o más de los factores aquí previstos». En otras palabras, dicho parágrafo le asigna potestad reglamentaria al gobierno nacional para definir factores que permitan desempatar las ofertas en aquellos casos en que varios oferentes reúnan al tiempo dos o más de los factores previstos en el artículo 35.</w:t>
      </w:r>
    </w:p>
    <w:p w:rsidRPr="00D9015D" w:rsidR="0016204B" w:rsidP="00AC4AD2" w:rsidRDefault="005F361A" w14:paraId="1523A9FF" w14:textId="4997A6F1">
      <w:pPr>
        <w:spacing w:before="120" w:line="276" w:lineRule="auto"/>
        <w:ind w:firstLine="709"/>
        <w:jc w:val="both"/>
        <w:rPr>
          <w:rFonts w:ascii="Arial" w:hAnsi="Arial" w:cs="Arial"/>
          <w:color w:val="000000" w:themeColor="text1"/>
          <w:sz w:val="22"/>
          <w:szCs w:val="22"/>
          <w:lang w:val="es-ES_tradnl"/>
        </w:rPr>
      </w:pPr>
      <w:r>
        <w:rPr>
          <w:rFonts w:ascii="Arial" w:hAnsi="Arial" w:cs="Arial"/>
          <w:color w:val="000000" w:themeColor="text1"/>
          <w:sz w:val="22"/>
          <w:szCs w:val="22"/>
          <w:lang w:val="es-ES_tradnl"/>
        </w:rPr>
        <w:t>S</w:t>
      </w:r>
      <w:r w:rsidRPr="00D9015D" w:rsidR="00FD5443">
        <w:rPr>
          <w:rFonts w:ascii="Arial" w:hAnsi="Arial" w:cs="Arial"/>
          <w:color w:val="000000" w:themeColor="text1"/>
          <w:sz w:val="22"/>
          <w:szCs w:val="22"/>
          <w:lang w:val="es-ES_tradnl"/>
        </w:rPr>
        <w:t xml:space="preserve">i existe un tratado o acuerdo comercial que establezca disposiciones especiales en materia de compras y contratación pública, prevalece la regulación contenida en aquel. Esta conclusión también se fundamenta en el artículo 2.2.1.2.4.1.1. del Decreto 1082 de </w:t>
      </w:r>
      <w:r w:rsidRPr="00D9015D" w:rsidR="00FD5443">
        <w:rPr>
          <w:rFonts w:ascii="Arial" w:hAnsi="Arial" w:cs="Arial"/>
          <w:color w:val="000000" w:themeColor="text1"/>
          <w:sz w:val="22"/>
          <w:szCs w:val="22"/>
          <w:lang w:val="es-ES_tradnl"/>
        </w:rPr>
        <w:lastRenderedPageBreak/>
        <w:t xml:space="preserve">2015, según el cual «Las Entidades Estatales deben adelantar los Procesos de Contratación de acuerdo con lo previsto en los Acuerdos Comerciales, cuando estos les sean aplicables».​ La Ley </w:t>
      </w:r>
      <w:r w:rsidR="006A538C">
        <w:rPr>
          <w:rFonts w:ascii="Arial" w:hAnsi="Arial" w:cs="Arial"/>
          <w:color w:val="000000" w:themeColor="text1"/>
          <w:sz w:val="22"/>
          <w:szCs w:val="22"/>
          <w:lang w:val="es-ES_tradnl"/>
        </w:rPr>
        <w:t>2069</w:t>
      </w:r>
      <w:r w:rsidRPr="00D9015D" w:rsidR="00FD5443">
        <w:rPr>
          <w:rFonts w:ascii="Arial" w:hAnsi="Arial" w:cs="Arial"/>
          <w:color w:val="000000" w:themeColor="text1"/>
          <w:sz w:val="22"/>
          <w:szCs w:val="22"/>
          <w:lang w:val="es-ES_tradnl"/>
        </w:rPr>
        <w:t xml:space="preserve"> de 2020 no establece que ante la existencia de tratados o acuerdos comerciales que rijan el procedimiento de selección el órgano contratante se debe abstener de aplicar algunos numerales del artículo 35, sino que lo que indica es que la entidad estatal debe consultar en cada caso cuáles son las disposiciones del acuerdo comercial y si son o no compatibles con los factores de desempate. En caso negativo, prevalece el tratado.</w:t>
      </w:r>
      <w:r w:rsidRPr="00D9015D" w:rsidR="002A7D84">
        <w:rPr>
          <w:rFonts w:ascii="Arial" w:hAnsi="Arial" w:cs="Arial"/>
          <w:color w:val="000000" w:themeColor="text1"/>
          <w:sz w:val="22"/>
          <w:szCs w:val="22"/>
          <w:lang w:val="es-ES_tradnl"/>
        </w:rPr>
        <w:t xml:space="preserve"> </w:t>
      </w:r>
    </w:p>
    <w:p w:rsidR="00AC4AD2" w:rsidP="00510DE9" w:rsidRDefault="00AC4AD2" w14:paraId="29CE965B" w14:textId="77777777">
      <w:pPr>
        <w:tabs>
          <w:tab w:val="left" w:pos="0"/>
        </w:tabs>
        <w:jc w:val="both"/>
        <w:rPr>
          <w:rFonts w:ascii="Arial" w:hAnsi="Arial" w:eastAsia="Calibri" w:cs="Arial"/>
          <w:b/>
          <w:color w:val="000000" w:themeColor="text1"/>
          <w:sz w:val="22"/>
          <w:lang w:val="es-ES_tradnl"/>
        </w:rPr>
      </w:pPr>
    </w:p>
    <w:p w:rsidRPr="00D9015D" w:rsidR="00DD5B04" w:rsidP="00510DE9" w:rsidRDefault="004177A6" w14:paraId="37CA9805" w14:textId="74A99BE5">
      <w:pPr>
        <w:tabs>
          <w:tab w:val="left" w:pos="0"/>
        </w:tabs>
        <w:jc w:val="both"/>
        <w:rPr>
          <w:rFonts w:ascii="Arial" w:hAnsi="Arial" w:eastAsia="Calibri" w:cs="Arial"/>
          <w:b/>
          <w:color w:val="000000" w:themeColor="text1"/>
          <w:sz w:val="22"/>
          <w:lang w:val="es-ES_tradnl"/>
        </w:rPr>
      </w:pPr>
      <w:r w:rsidRPr="00D9015D">
        <w:rPr>
          <w:rFonts w:ascii="Arial" w:hAnsi="Arial" w:eastAsia="Calibri" w:cs="Arial"/>
          <w:b/>
          <w:color w:val="000000" w:themeColor="text1"/>
          <w:sz w:val="22"/>
          <w:lang w:val="es-ES_tradnl"/>
        </w:rPr>
        <w:t>3</w:t>
      </w:r>
      <w:r w:rsidRPr="00D9015D" w:rsidR="00B011A9">
        <w:rPr>
          <w:rFonts w:ascii="Arial" w:hAnsi="Arial" w:eastAsia="Calibri" w:cs="Arial"/>
          <w:b/>
          <w:color w:val="000000" w:themeColor="text1"/>
          <w:sz w:val="22"/>
          <w:lang w:val="es-ES_tradnl"/>
        </w:rPr>
        <w:t xml:space="preserve">. </w:t>
      </w:r>
      <w:r w:rsidRPr="00D9015D" w:rsidR="00DD5B04">
        <w:rPr>
          <w:rFonts w:ascii="Arial" w:hAnsi="Arial" w:eastAsia="Calibri" w:cs="Arial"/>
          <w:b/>
          <w:color w:val="000000" w:themeColor="text1"/>
          <w:sz w:val="22"/>
          <w:lang w:val="es-ES_tradnl"/>
        </w:rPr>
        <w:t>Respuesta</w:t>
      </w:r>
      <w:r w:rsidRPr="00D9015D" w:rsidR="002A7D84">
        <w:rPr>
          <w:rFonts w:ascii="Arial" w:hAnsi="Arial" w:eastAsia="Calibri" w:cs="Arial"/>
          <w:b/>
          <w:color w:val="000000" w:themeColor="text1"/>
          <w:sz w:val="22"/>
          <w:lang w:val="es-ES_tradnl"/>
        </w:rPr>
        <w:t>s</w:t>
      </w:r>
    </w:p>
    <w:p w:rsidRPr="00D9015D" w:rsidR="00C4581D" w:rsidP="00510DE9" w:rsidRDefault="00C4581D" w14:paraId="0B74D5B8" w14:textId="7F0A7F13">
      <w:pPr>
        <w:tabs>
          <w:tab w:val="left" w:pos="0"/>
        </w:tabs>
        <w:jc w:val="both"/>
        <w:rPr>
          <w:rFonts w:ascii="Arial" w:hAnsi="Arial" w:eastAsia="Calibri" w:cs="Arial"/>
          <w:color w:val="000000" w:themeColor="text1"/>
          <w:sz w:val="22"/>
          <w:lang w:val="es-ES_tradnl"/>
        </w:rPr>
      </w:pPr>
    </w:p>
    <w:p w:rsidR="00622ACD" w:rsidP="00622ACD" w:rsidRDefault="00622ACD" w14:paraId="2A8E2988" w14:textId="6F3816F1">
      <w:pPr>
        <w:ind w:left="709" w:right="709"/>
        <w:jc w:val="both"/>
        <w:rPr>
          <w:rFonts w:ascii="Arial" w:hAnsi="Arial" w:cs="Arial"/>
          <w:color w:val="000000" w:themeColor="text1"/>
          <w:sz w:val="21"/>
          <w:szCs w:val="21"/>
          <w:lang w:val="es-ES_tradnl"/>
        </w:rPr>
      </w:pPr>
      <w:r w:rsidRPr="00D9015D">
        <w:rPr>
          <w:rFonts w:ascii="Arial" w:hAnsi="Arial" w:cs="Arial"/>
          <w:color w:val="000000" w:themeColor="text1"/>
          <w:sz w:val="21"/>
          <w:szCs w:val="21"/>
          <w:lang w:val="es-ES_tradnl"/>
        </w:rPr>
        <w:t>«</w:t>
      </w:r>
      <w:r w:rsidRPr="00D95F31">
        <w:rPr>
          <w:rFonts w:ascii="Arial" w:hAnsi="Arial" w:cs="Arial"/>
          <w:color w:val="000000" w:themeColor="text1"/>
          <w:sz w:val="21"/>
          <w:szCs w:val="21"/>
          <w:lang w:val="es-ES_tradnl"/>
        </w:rPr>
        <w:t>¿Cómo se debe solicitar en el pliego de condiciones la acreditación de la calidad de mujer cabeza de familia o víctima de la violencia intrafamiliar? ¿Mediante qué documento se acredita tal calidad? ¿Cuál autoridad es competente de certificar tal calidad?</w:t>
      </w:r>
      <w:r w:rsidR="00580963">
        <w:rPr>
          <w:rFonts w:ascii="Arial" w:hAnsi="Arial" w:cs="Arial"/>
          <w:color w:val="000000" w:themeColor="text1"/>
          <w:sz w:val="21"/>
          <w:szCs w:val="21"/>
          <w:lang w:val="es-ES_tradnl"/>
        </w:rPr>
        <w:t>»</w:t>
      </w:r>
    </w:p>
    <w:p w:rsidR="00622ACD" w:rsidP="00580963" w:rsidRDefault="00622ACD" w14:paraId="2ADC0174" w14:textId="55D513A9">
      <w:pPr>
        <w:ind w:right="709"/>
        <w:jc w:val="both"/>
        <w:rPr>
          <w:rFonts w:ascii="Arial" w:hAnsi="Arial" w:cs="Arial"/>
          <w:color w:val="000000" w:themeColor="text1"/>
          <w:sz w:val="21"/>
          <w:szCs w:val="21"/>
          <w:lang w:val="es-ES_tradnl"/>
        </w:rPr>
      </w:pPr>
    </w:p>
    <w:p w:rsidRPr="00D9015D" w:rsidR="00452663" w:rsidP="00A55742" w:rsidRDefault="00452663" w14:paraId="7240ADC6" w14:textId="1615DD63">
      <w:pPr>
        <w:spacing w:line="276" w:lineRule="auto"/>
        <w:jc w:val="both"/>
        <w:rPr>
          <w:rFonts w:ascii="Arial" w:hAnsi="Arial" w:cs="Arial"/>
          <w:color w:val="000000" w:themeColor="text1"/>
          <w:sz w:val="22"/>
          <w:szCs w:val="22"/>
          <w:lang w:val="es-ES_tradnl"/>
        </w:rPr>
      </w:pPr>
      <w:r w:rsidRPr="00D9015D">
        <w:rPr>
          <w:rFonts w:ascii="Arial" w:hAnsi="Arial" w:cs="Arial"/>
          <w:color w:val="000000" w:themeColor="text1"/>
          <w:sz w:val="22"/>
          <w:szCs w:val="22"/>
          <w:lang w:val="es-ES_tradnl"/>
        </w:rPr>
        <w:t xml:space="preserve">El parágrafo del artículo 2 de la Ley 82 de 1993 –«Por la cual se expiden normas para apoyar de manera especial a la mujer cabeza de familia»– establece que «La condición de Mujer Cabeza de Familia y la cesación de la misma, desde el momento en que ocurra el respectivo evento, deberá ser declarada ante notario por cada una de ellas, expresando las circunstancias básicas del respectivo caso y sin que por este concepto se causen emolumentos notariales a su cargo». Por lo tanto, a menos que una norma posterior disponga lo contrario, tal declaración basta para acreditar la condición de mujer cabeza de familia. </w:t>
      </w:r>
    </w:p>
    <w:p w:rsidRPr="00D9015D" w:rsidR="00452663" w:rsidP="00452663" w:rsidRDefault="00452663" w14:paraId="365781E9" w14:textId="77777777">
      <w:pPr>
        <w:spacing w:before="120" w:line="276" w:lineRule="auto"/>
        <w:ind w:firstLine="709"/>
        <w:jc w:val="both"/>
        <w:rPr>
          <w:rFonts w:ascii="Arial" w:hAnsi="Arial" w:cs="Arial"/>
          <w:color w:val="000000" w:themeColor="text1"/>
          <w:sz w:val="22"/>
          <w:szCs w:val="22"/>
          <w:lang w:val="es-ES_tradnl"/>
        </w:rPr>
      </w:pPr>
      <w:r w:rsidRPr="00D9015D">
        <w:rPr>
          <w:rFonts w:ascii="Arial" w:hAnsi="Arial" w:cs="Arial"/>
          <w:color w:val="000000" w:themeColor="text1"/>
          <w:sz w:val="22"/>
          <w:szCs w:val="22"/>
          <w:lang w:val="es-ES_tradnl"/>
        </w:rPr>
        <w:t xml:space="preserve">Por su parte, el artículo 21 de la Ley 1257 de 2008 –«Por la cual se dictan normas de sensibilización, prevención y sanción de formas de violencia y discriminación contra las mujeres, se reforman los Códigos Penal, de Procedimiento Penal, la Ley 294 de 1996 y se dictan otras disposiciones»–, dispone que «Las situaciones de violencia que dan lugar a la atención de las mujeres, sus hijos e hijas, se acreditarán con la medida de protección expedida por la autoridad competente, sin que puedan exigirse requisitos adicionales». Según los artículos 16 y 17 de la Ley 1257 de 2008, la medida de protección la debe impartir el comisario de familia del lugar donde ocurrieron los hechos y a falta de este el juez civil municipal o promiscuo municipal, o la autoridad indígena –en los casos de violencia intrafamiliar en las comunidades indígenas–. La medida de protección se debe emitir en una providencia motivada. Por lo tanto, este documento permite acreditar la situación de mujer víctima de violencia intrafamiliar. Las autoridades competentes mencionadas con anterioridad deben «[…] remitir todos los casos de violencia intrafamiliar a la Fiscalía General de la Nación para efectos de la investigación del delito de violencia intrafamiliar y posibles delitos conexos», según lo determina el parágrafo 3 del artículo 17 de la referida Ley. En consecuencia, no basta la copia de la denuncia en la Fiscalía para acreditar que se </w:t>
      </w:r>
      <w:r w:rsidRPr="00D9015D">
        <w:rPr>
          <w:rFonts w:ascii="Arial" w:hAnsi="Arial" w:cs="Arial"/>
          <w:color w:val="000000" w:themeColor="text1"/>
          <w:sz w:val="22"/>
          <w:szCs w:val="22"/>
          <w:lang w:val="es-ES_tradnl"/>
        </w:rPr>
        <w:lastRenderedPageBreak/>
        <w:t>es víctima de violencia intrafamiliar, pues se requiere la providencia que establezca la medida de protección procedente.</w:t>
      </w:r>
    </w:p>
    <w:p w:rsidRPr="00580963" w:rsidR="00580963" w:rsidP="00580963" w:rsidRDefault="00580963" w14:paraId="48AA5B92" w14:textId="77777777">
      <w:pPr>
        <w:spacing w:line="276" w:lineRule="auto"/>
        <w:jc w:val="both"/>
        <w:rPr>
          <w:rFonts w:ascii="Arial" w:hAnsi="Arial" w:cs="Arial"/>
          <w:color w:val="000000" w:themeColor="text1"/>
          <w:sz w:val="22"/>
          <w:szCs w:val="22"/>
          <w:lang w:val="es-ES_tradnl"/>
        </w:rPr>
      </w:pPr>
    </w:p>
    <w:p w:rsidRPr="00D95F31" w:rsidR="00622ACD" w:rsidP="00622ACD" w:rsidRDefault="005C21CD" w14:paraId="553077B6" w14:textId="19C9F6FA">
      <w:pPr>
        <w:ind w:left="709" w:right="709"/>
        <w:jc w:val="both"/>
        <w:rPr>
          <w:rFonts w:ascii="Arial" w:hAnsi="Arial" w:cs="Arial"/>
          <w:color w:val="000000" w:themeColor="text1"/>
          <w:sz w:val="21"/>
          <w:szCs w:val="21"/>
          <w:lang w:val="es-ES_tradnl"/>
        </w:rPr>
      </w:pPr>
      <w:r>
        <w:rPr>
          <w:rFonts w:ascii="Arial" w:hAnsi="Arial" w:cs="Arial"/>
          <w:color w:val="000000" w:themeColor="text1"/>
          <w:sz w:val="21"/>
          <w:szCs w:val="21"/>
          <w:lang w:val="es-ES_tradnl"/>
        </w:rPr>
        <w:t>«</w:t>
      </w:r>
      <w:r w:rsidRPr="00D95F31" w:rsidR="00622ACD">
        <w:rPr>
          <w:rFonts w:ascii="Arial" w:hAnsi="Arial" w:cs="Arial"/>
          <w:color w:val="000000" w:themeColor="text1"/>
          <w:sz w:val="21"/>
          <w:szCs w:val="21"/>
          <w:lang w:val="es-ES_tradnl"/>
        </w:rPr>
        <w:t>Para el caso de la persona jurídica en la cual participe o participen mayoritariamente; o, la de un proponente plural constituido por mujeres cabeza de familia, mujeres víctimas de violencia intrafamiliar y/o personas jurídicas en las cuales participe o participen mayoritariamente ¿Cómo deben las personas jurídicas acreditar esta circunstancia? ¿Mediante qué documento? ¿Cuál autoridad es competente de certificar tal calidad?</w:t>
      </w:r>
      <w:r>
        <w:rPr>
          <w:rFonts w:ascii="Arial" w:hAnsi="Arial" w:cs="Arial"/>
          <w:color w:val="000000" w:themeColor="text1"/>
          <w:sz w:val="21"/>
          <w:szCs w:val="21"/>
          <w:lang w:val="es-ES_tradnl"/>
        </w:rPr>
        <w:t>»</w:t>
      </w:r>
    </w:p>
    <w:p w:rsidR="00622ACD" w:rsidP="00622ACD" w:rsidRDefault="00622ACD" w14:paraId="3F6D6047" w14:textId="60DF3F2C">
      <w:pPr>
        <w:ind w:left="709" w:right="709"/>
        <w:jc w:val="both"/>
        <w:rPr>
          <w:rFonts w:ascii="Arial" w:hAnsi="Arial" w:cs="Arial"/>
          <w:color w:val="000000" w:themeColor="text1"/>
          <w:sz w:val="21"/>
          <w:szCs w:val="21"/>
          <w:lang w:val="es-ES_tradnl"/>
        </w:rPr>
      </w:pPr>
    </w:p>
    <w:p w:rsidR="005C21CD" w:rsidP="005C21CD" w:rsidRDefault="00B83893" w14:paraId="373DE3C5" w14:textId="3EB7FE1C">
      <w:pPr>
        <w:spacing w:line="276" w:lineRule="auto"/>
        <w:jc w:val="both"/>
        <w:rPr>
          <w:rFonts w:ascii="Arial" w:hAnsi="Arial" w:cs="Arial"/>
          <w:color w:val="000000" w:themeColor="text1"/>
          <w:sz w:val="22"/>
          <w:szCs w:val="22"/>
          <w:lang w:val="es-ES_tradnl"/>
        </w:rPr>
      </w:pPr>
      <w:r>
        <w:rPr>
          <w:rFonts w:ascii="Arial" w:hAnsi="Arial" w:cs="Arial"/>
          <w:color w:val="000000" w:themeColor="text1"/>
          <w:sz w:val="22"/>
          <w:szCs w:val="22"/>
          <w:lang w:val="es-ES_tradnl"/>
        </w:rPr>
        <w:t xml:space="preserve">Se reitera lo dicho en la respuesta anterior. Además, se </w:t>
      </w:r>
      <w:r w:rsidR="0090690B">
        <w:rPr>
          <w:rFonts w:ascii="Arial" w:hAnsi="Arial" w:cs="Arial"/>
          <w:color w:val="000000" w:themeColor="text1"/>
          <w:sz w:val="22"/>
          <w:szCs w:val="22"/>
          <w:lang w:val="es-ES_tradnl"/>
        </w:rPr>
        <w:t>agrega que</w:t>
      </w:r>
      <w:r w:rsidR="009D4D17">
        <w:rPr>
          <w:rFonts w:ascii="Arial" w:hAnsi="Arial" w:cs="Arial"/>
          <w:color w:val="000000" w:themeColor="text1"/>
          <w:sz w:val="22"/>
          <w:szCs w:val="22"/>
          <w:lang w:val="es-ES_tradnl"/>
        </w:rPr>
        <w:t>,</w:t>
      </w:r>
      <w:r w:rsidR="0090690B">
        <w:rPr>
          <w:rFonts w:ascii="Arial" w:hAnsi="Arial" w:cs="Arial"/>
          <w:color w:val="000000" w:themeColor="text1"/>
          <w:sz w:val="22"/>
          <w:szCs w:val="22"/>
          <w:lang w:val="es-ES_tradnl"/>
        </w:rPr>
        <w:t xml:space="preserve"> en el caso de las personas jurídicas</w:t>
      </w:r>
      <w:r w:rsidR="009D4D17">
        <w:rPr>
          <w:rFonts w:ascii="Arial" w:hAnsi="Arial" w:cs="Arial"/>
          <w:color w:val="000000" w:themeColor="text1"/>
          <w:sz w:val="22"/>
          <w:szCs w:val="22"/>
          <w:lang w:val="es-ES_tradnl"/>
        </w:rPr>
        <w:t>,</w:t>
      </w:r>
      <w:r w:rsidR="0090690B">
        <w:rPr>
          <w:rFonts w:ascii="Arial" w:hAnsi="Arial" w:cs="Arial"/>
          <w:color w:val="000000" w:themeColor="text1"/>
          <w:sz w:val="22"/>
          <w:szCs w:val="22"/>
          <w:lang w:val="es-ES_tradnl"/>
        </w:rPr>
        <w:t xml:space="preserve"> la participación se puede acreditar con el correspondiente certificado de existencia y representación o con los documentos estatutarios respectivos. Para el proponente plural además se debe aportar el acta de constitución en la que se evidencie la participación de sus miembros.</w:t>
      </w:r>
    </w:p>
    <w:p w:rsidR="005C21CD" w:rsidP="00622ACD" w:rsidRDefault="005C21CD" w14:paraId="6F875E69" w14:textId="77777777">
      <w:pPr>
        <w:ind w:left="709" w:right="709"/>
        <w:jc w:val="both"/>
        <w:rPr>
          <w:rFonts w:ascii="Arial" w:hAnsi="Arial" w:cs="Arial"/>
          <w:color w:val="000000" w:themeColor="text1"/>
          <w:sz w:val="21"/>
          <w:szCs w:val="21"/>
          <w:lang w:val="es-ES_tradnl"/>
        </w:rPr>
      </w:pPr>
    </w:p>
    <w:p w:rsidR="00622ACD" w:rsidP="00622ACD" w:rsidRDefault="005A70B2" w14:paraId="6213517E" w14:textId="5DB37C27">
      <w:pPr>
        <w:ind w:left="709" w:right="709"/>
        <w:jc w:val="both"/>
        <w:rPr>
          <w:rFonts w:ascii="Arial" w:hAnsi="Arial" w:cs="Arial"/>
          <w:color w:val="000000" w:themeColor="text1"/>
          <w:sz w:val="21"/>
          <w:szCs w:val="21"/>
          <w:lang w:val="es-ES_tradnl"/>
        </w:rPr>
      </w:pPr>
      <w:r>
        <w:rPr>
          <w:rFonts w:ascii="Arial" w:hAnsi="Arial" w:cs="Arial"/>
          <w:color w:val="000000" w:themeColor="text1"/>
          <w:sz w:val="21"/>
          <w:szCs w:val="21"/>
          <w:lang w:val="es-ES_tradnl"/>
        </w:rPr>
        <w:t>«</w:t>
      </w:r>
      <w:r w:rsidRPr="00D95F31" w:rsidR="00622ACD">
        <w:rPr>
          <w:rFonts w:ascii="Arial" w:hAnsi="Arial" w:cs="Arial"/>
          <w:color w:val="000000" w:themeColor="text1"/>
          <w:sz w:val="21"/>
          <w:szCs w:val="21"/>
          <w:lang w:val="es-ES_tradnl"/>
        </w:rPr>
        <w:t>¿Cómo se acredita la vinculación en mayor proporción de personas mayores que no sean beneficiarios de la pensión de vejez, familiar o de sobrevivencia y que hayan cumplido el requisito de edad de pensión establecido en la Ley? ¿Cuál autoridad es competente de certificar tal calidad?</w:t>
      </w:r>
      <w:r>
        <w:rPr>
          <w:rFonts w:ascii="Arial" w:hAnsi="Arial" w:cs="Arial"/>
          <w:color w:val="000000" w:themeColor="text1"/>
          <w:sz w:val="21"/>
          <w:szCs w:val="21"/>
          <w:lang w:val="es-ES_tradnl"/>
        </w:rPr>
        <w:t>»</w:t>
      </w:r>
    </w:p>
    <w:p w:rsidR="00622ACD" w:rsidP="00622ACD" w:rsidRDefault="00622ACD" w14:paraId="1A2A367A" w14:textId="49AEDBAE">
      <w:pPr>
        <w:ind w:left="709" w:right="709"/>
        <w:jc w:val="both"/>
        <w:rPr>
          <w:rFonts w:ascii="Arial" w:hAnsi="Arial" w:cs="Arial"/>
          <w:color w:val="000000" w:themeColor="text1"/>
          <w:sz w:val="21"/>
          <w:szCs w:val="21"/>
          <w:lang w:val="es-ES_tradnl"/>
        </w:rPr>
      </w:pPr>
    </w:p>
    <w:p w:rsidR="005A70B2" w:rsidP="005A70B2" w:rsidRDefault="008E4786" w14:paraId="14B90326" w14:textId="31DDEC6B">
      <w:pPr>
        <w:spacing w:line="276" w:lineRule="auto"/>
        <w:jc w:val="both"/>
        <w:rPr>
          <w:rFonts w:ascii="Arial" w:hAnsi="Arial" w:cs="Arial"/>
          <w:color w:val="000000" w:themeColor="text1"/>
          <w:sz w:val="22"/>
          <w:szCs w:val="22"/>
          <w:lang w:val="es-ES_tradnl"/>
        </w:rPr>
      </w:pPr>
      <w:r>
        <w:rPr>
          <w:rFonts w:ascii="Arial" w:hAnsi="Arial" w:cs="Arial"/>
          <w:color w:val="000000" w:themeColor="text1"/>
          <w:sz w:val="22"/>
          <w:szCs w:val="22"/>
          <w:lang w:val="es-ES_tradnl"/>
        </w:rPr>
        <w:t xml:space="preserve">El numeral 4 del artículo 35 de la Ley </w:t>
      </w:r>
      <w:r w:rsidR="006A538C">
        <w:rPr>
          <w:rFonts w:ascii="Arial" w:hAnsi="Arial" w:cs="Arial"/>
          <w:color w:val="000000" w:themeColor="text1"/>
          <w:sz w:val="22"/>
          <w:szCs w:val="22"/>
          <w:lang w:val="es-ES_tradnl"/>
        </w:rPr>
        <w:t>2069</w:t>
      </w:r>
      <w:r>
        <w:rPr>
          <w:rFonts w:ascii="Arial" w:hAnsi="Arial" w:cs="Arial"/>
          <w:color w:val="000000" w:themeColor="text1"/>
          <w:sz w:val="22"/>
          <w:szCs w:val="22"/>
          <w:lang w:val="es-ES_tradnl"/>
        </w:rPr>
        <w:t xml:space="preserve"> de 2020</w:t>
      </w:r>
      <w:r w:rsidRPr="00D9015D">
        <w:rPr>
          <w:rFonts w:ascii="Arial" w:hAnsi="Arial" w:cs="Arial"/>
          <w:color w:val="000000" w:themeColor="text1"/>
          <w:sz w:val="22"/>
          <w:szCs w:val="22"/>
          <w:lang w:val="es-ES_tradnl"/>
        </w:rPr>
        <w:t xml:space="preserve"> guarda silencio sobre la acreditación de la condición que da lugar la aplicación del factor de desempate. Por tanto, esta </w:t>
      </w:r>
      <w:r w:rsidR="00E922B1">
        <w:rPr>
          <w:rFonts w:ascii="Arial" w:hAnsi="Arial" w:cs="Arial"/>
          <w:color w:val="000000" w:themeColor="text1"/>
          <w:sz w:val="22"/>
          <w:szCs w:val="22"/>
          <w:lang w:val="es-ES_tradnl"/>
        </w:rPr>
        <w:t>Agencia</w:t>
      </w:r>
      <w:r w:rsidRPr="00D9015D">
        <w:rPr>
          <w:rFonts w:ascii="Arial" w:hAnsi="Arial" w:cs="Arial"/>
          <w:color w:val="000000" w:themeColor="text1"/>
          <w:sz w:val="22"/>
          <w:szCs w:val="22"/>
          <w:lang w:val="es-ES_tradnl"/>
        </w:rPr>
        <w:t xml:space="preserve"> considera que, sin perjuicio de que el reglamento que expida el gobierno nacional determine un medio de acreditación especial, existe libertad probatoria sobre el tema. En consecuencia, la entidad estatal contratante puede determinar en el pliego de condiciones o documento equivalente cuál será el medio pertinente y conducente que permitirá evidenciar la vinculación de las personas mayores</w:t>
      </w:r>
      <w:r>
        <w:rPr>
          <w:rFonts w:ascii="Arial" w:hAnsi="Arial" w:cs="Arial"/>
          <w:color w:val="000000" w:themeColor="text1"/>
          <w:sz w:val="22"/>
          <w:szCs w:val="22"/>
          <w:lang w:val="es-ES_tradnl"/>
        </w:rPr>
        <w:t xml:space="preserve"> no beneficiarias de pensión</w:t>
      </w:r>
      <w:r w:rsidRPr="00D9015D">
        <w:rPr>
          <w:rFonts w:ascii="Arial" w:hAnsi="Arial" w:cs="Arial"/>
          <w:color w:val="000000" w:themeColor="text1"/>
          <w:sz w:val="22"/>
          <w:szCs w:val="22"/>
          <w:lang w:val="es-ES_tradnl"/>
        </w:rPr>
        <w:t xml:space="preserve"> por parte del oferente.</w:t>
      </w:r>
    </w:p>
    <w:p w:rsidRPr="00D95F31" w:rsidR="005A70B2" w:rsidP="00622ACD" w:rsidRDefault="005A70B2" w14:paraId="542E712F" w14:textId="77777777">
      <w:pPr>
        <w:ind w:left="709" w:right="709"/>
        <w:jc w:val="both"/>
        <w:rPr>
          <w:rFonts w:ascii="Arial" w:hAnsi="Arial" w:cs="Arial"/>
          <w:color w:val="000000" w:themeColor="text1"/>
          <w:sz w:val="21"/>
          <w:szCs w:val="21"/>
          <w:lang w:val="es-ES_tradnl"/>
        </w:rPr>
      </w:pPr>
    </w:p>
    <w:p w:rsidR="00622ACD" w:rsidP="00622ACD" w:rsidRDefault="00360B68" w14:paraId="6078A8C8" w14:textId="5648CE17">
      <w:pPr>
        <w:ind w:left="709" w:right="709"/>
        <w:jc w:val="both"/>
        <w:rPr>
          <w:rFonts w:ascii="Arial" w:hAnsi="Arial" w:cs="Arial"/>
          <w:color w:val="000000" w:themeColor="text1"/>
          <w:sz w:val="21"/>
          <w:szCs w:val="21"/>
          <w:lang w:val="es-ES_tradnl"/>
        </w:rPr>
      </w:pPr>
      <w:r>
        <w:rPr>
          <w:rFonts w:ascii="Arial" w:hAnsi="Arial" w:cs="Arial"/>
          <w:color w:val="000000" w:themeColor="text1"/>
          <w:sz w:val="21"/>
          <w:szCs w:val="21"/>
          <w:lang w:val="es-ES_tradnl"/>
        </w:rPr>
        <w:t>«</w:t>
      </w:r>
      <w:r w:rsidRPr="00D95F31" w:rsidR="00622ACD">
        <w:rPr>
          <w:rFonts w:ascii="Arial" w:hAnsi="Arial" w:cs="Arial"/>
          <w:color w:val="000000" w:themeColor="text1"/>
          <w:sz w:val="21"/>
          <w:szCs w:val="21"/>
          <w:lang w:val="es-ES_tradnl"/>
        </w:rPr>
        <w:t xml:space="preserve">¿Cómo se acredita que por lo menos diez por ciento (10%) de su nómina pertenece a población indígena, negra, afrocolombiana, raizal, palanquera, </w:t>
      </w:r>
      <w:proofErr w:type="spellStart"/>
      <w:r w:rsidRPr="00D95F31" w:rsidR="00622ACD">
        <w:rPr>
          <w:rFonts w:ascii="Arial" w:hAnsi="Arial" w:cs="Arial"/>
          <w:color w:val="000000" w:themeColor="text1"/>
          <w:sz w:val="21"/>
          <w:szCs w:val="21"/>
          <w:lang w:val="es-ES_tradnl"/>
        </w:rPr>
        <w:t>Rrom</w:t>
      </w:r>
      <w:proofErr w:type="spellEnd"/>
      <w:r w:rsidRPr="00D95F31" w:rsidR="00622ACD">
        <w:rPr>
          <w:rFonts w:ascii="Arial" w:hAnsi="Arial" w:cs="Arial"/>
          <w:color w:val="000000" w:themeColor="text1"/>
          <w:sz w:val="21"/>
          <w:szCs w:val="21"/>
          <w:lang w:val="es-ES_tradnl"/>
        </w:rPr>
        <w:t xml:space="preserve"> o gitanas? ¿Cuál es el documento que debe presentarse para tal fin? ¿Cuál autoridad es competente de certificar tal calidad? ¿Existe alguna entidad del Distrito Capital competente para tal efecto?</w:t>
      </w:r>
      <w:r>
        <w:rPr>
          <w:rFonts w:ascii="Arial" w:hAnsi="Arial" w:cs="Arial"/>
          <w:color w:val="000000" w:themeColor="text1"/>
          <w:sz w:val="21"/>
          <w:szCs w:val="21"/>
          <w:lang w:val="es-ES_tradnl"/>
        </w:rPr>
        <w:t>»</w:t>
      </w:r>
    </w:p>
    <w:p w:rsidR="00622ACD" w:rsidP="00622ACD" w:rsidRDefault="00622ACD" w14:paraId="0FEFDEEB" w14:textId="511A378E">
      <w:pPr>
        <w:ind w:left="709" w:right="709"/>
        <w:jc w:val="both"/>
        <w:rPr>
          <w:rFonts w:ascii="Arial" w:hAnsi="Arial" w:cs="Arial"/>
          <w:color w:val="000000" w:themeColor="text1"/>
          <w:sz w:val="21"/>
          <w:szCs w:val="21"/>
          <w:lang w:val="es-ES_tradnl"/>
        </w:rPr>
      </w:pPr>
    </w:p>
    <w:p w:rsidRPr="00D9015D" w:rsidR="00182368" w:rsidP="0040284E" w:rsidRDefault="009F4D88" w14:paraId="5939E230" w14:textId="6132D7E6">
      <w:pPr>
        <w:spacing w:line="276" w:lineRule="auto"/>
        <w:jc w:val="both"/>
        <w:rPr>
          <w:rFonts w:ascii="Arial" w:hAnsi="Arial" w:cs="Arial"/>
          <w:color w:val="000000" w:themeColor="text1"/>
          <w:sz w:val="22"/>
          <w:szCs w:val="22"/>
          <w:lang w:val="es-ES_tradnl"/>
        </w:rPr>
      </w:pPr>
      <w:r w:rsidRPr="005344BD">
        <w:rPr>
          <w:rFonts w:ascii="Arial" w:hAnsi="Arial" w:eastAsia="Calibri" w:cs="Arial"/>
          <w:color w:val="000000" w:themeColor="text1"/>
          <w:sz w:val="22"/>
          <w:szCs w:val="22"/>
          <w:lang w:val="es-ES_tradnl"/>
        </w:rPr>
        <w:t>Sin perjuicio de lo que disponga</w:t>
      </w:r>
      <w:r w:rsidRPr="005344BD" w:rsidR="00182368">
        <w:rPr>
          <w:rFonts w:ascii="Arial" w:hAnsi="Arial" w:eastAsia="Calibri" w:cs="Arial"/>
          <w:color w:val="000000" w:themeColor="text1"/>
          <w:sz w:val="22"/>
          <w:szCs w:val="22"/>
          <w:lang w:val="es-ES_tradnl"/>
        </w:rPr>
        <w:t xml:space="preserve"> el reglamento que expida el </w:t>
      </w:r>
      <w:r w:rsidRPr="005344BD">
        <w:rPr>
          <w:rFonts w:ascii="Arial" w:hAnsi="Arial" w:eastAsia="Calibri" w:cs="Arial"/>
          <w:color w:val="000000" w:themeColor="text1"/>
          <w:sz w:val="22"/>
          <w:szCs w:val="22"/>
          <w:lang w:val="es-ES_tradnl"/>
        </w:rPr>
        <w:t>Gobierno Nacional</w:t>
      </w:r>
      <w:r w:rsidRPr="005344BD" w:rsidR="00182368">
        <w:rPr>
          <w:rFonts w:ascii="Arial" w:hAnsi="Arial" w:eastAsia="Calibri" w:cs="Arial"/>
          <w:color w:val="000000" w:themeColor="text1"/>
          <w:sz w:val="22"/>
          <w:szCs w:val="22"/>
          <w:lang w:val="es-ES_tradnl"/>
        </w:rPr>
        <w:t xml:space="preserve">, esta </w:t>
      </w:r>
      <w:r w:rsidR="00E922B1">
        <w:rPr>
          <w:rFonts w:ascii="Arial" w:hAnsi="Arial" w:eastAsia="Calibri" w:cs="Arial"/>
          <w:color w:val="000000" w:themeColor="text1"/>
          <w:sz w:val="22"/>
          <w:szCs w:val="22"/>
          <w:lang w:val="es-ES_tradnl"/>
        </w:rPr>
        <w:t>Agencia</w:t>
      </w:r>
      <w:r w:rsidRPr="005344BD" w:rsidR="00182368">
        <w:rPr>
          <w:rFonts w:ascii="Arial" w:hAnsi="Arial" w:eastAsia="Calibri" w:cs="Arial"/>
          <w:color w:val="000000" w:themeColor="text1"/>
          <w:sz w:val="22"/>
          <w:szCs w:val="22"/>
          <w:lang w:val="es-ES_tradnl"/>
        </w:rPr>
        <w:t xml:space="preserve"> considera que se debe aplicar la normativa vigente sobre la materia, que establece que el Ministerio del Interior es la autoridad encargada de certificar la pertenencia a las poblaciones indígena, negra, afrocolombiana, raizal, </w:t>
      </w:r>
      <w:proofErr w:type="spellStart"/>
      <w:r w:rsidRPr="005344BD" w:rsidR="00182368">
        <w:rPr>
          <w:rFonts w:ascii="Arial" w:hAnsi="Arial" w:eastAsia="Calibri" w:cs="Arial"/>
          <w:color w:val="000000" w:themeColor="text1"/>
          <w:sz w:val="22"/>
          <w:szCs w:val="22"/>
          <w:lang w:val="es-ES_tradnl"/>
        </w:rPr>
        <w:t>palenquera</w:t>
      </w:r>
      <w:proofErr w:type="spellEnd"/>
      <w:r w:rsidRPr="005344BD" w:rsidR="00182368">
        <w:rPr>
          <w:rFonts w:ascii="Arial" w:hAnsi="Arial" w:eastAsia="Calibri" w:cs="Arial"/>
          <w:color w:val="000000" w:themeColor="text1"/>
          <w:sz w:val="22"/>
          <w:szCs w:val="22"/>
          <w:lang w:val="es-ES_tradnl"/>
        </w:rPr>
        <w:t xml:space="preserve">, </w:t>
      </w:r>
      <w:proofErr w:type="spellStart"/>
      <w:r w:rsidRPr="005344BD" w:rsidR="00182368">
        <w:rPr>
          <w:rFonts w:ascii="Arial" w:hAnsi="Arial" w:eastAsia="Calibri" w:cs="Arial"/>
          <w:color w:val="000000" w:themeColor="text1"/>
          <w:sz w:val="22"/>
          <w:szCs w:val="22"/>
          <w:lang w:val="es-ES_tradnl"/>
        </w:rPr>
        <w:t>Rom</w:t>
      </w:r>
      <w:proofErr w:type="spellEnd"/>
      <w:r w:rsidRPr="005344BD" w:rsidR="00182368">
        <w:rPr>
          <w:rFonts w:ascii="Arial" w:hAnsi="Arial" w:eastAsia="Calibri" w:cs="Arial"/>
          <w:color w:val="000000" w:themeColor="text1"/>
          <w:sz w:val="22"/>
          <w:szCs w:val="22"/>
          <w:lang w:val="es-ES_tradnl"/>
        </w:rPr>
        <w:t xml:space="preserve"> o gitanas. Lo anterior, se fundamenta en las competencias de la Dirección de Asuntos Indígenas, </w:t>
      </w:r>
      <w:proofErr w:type="spellStart"/>
      <w:r w:rsidRPr="005344BD" w:rsidR="00182368">
        <w:rPr>
          <w:rFonts w:ascii="Arial" w:hAnsi="Arial" w:eastAsia="Calibri" w:cs="Arial"/>
          <w:color w:val="000000" w:themeColor="text1"/>
          <w:sz w:val="22"/>
          <w:szCs w:val="22"/>
          <w:lang w:val="es-ES_tradnl"/>
        </w:rPr>
        <w:t>Rom</w:t>
      </w:r>
      <w:proofErr w:type="spellEnd"/>
      <w:r w:rsidRPr="005344BD" w:rsidR="00182368">
        <w:rPr>
          <w:rFonts w:ascii="Arial" w:hAnsi="Arial" w:eastAsia="Calibri" w:cs="Arial"/>
          <w:color w:val="000000" w:themeColor="text1"/>
          <w:sz w:val="22"/>
          <w:szCs w:val="22"/>
          <w:lang w:val="es-ES_tradnl"/>
        </w:rPr>
        <w:t xml:space="preserve"> y Minorías, así como de la Dirección de Asuntos para Comunidades Negras, </w:t>
      </w:r>
      <w:r w:rsidRPr="005344BD" w:rsidR="00182368">
        <w:rPr>
          <w:rFonts w:ascii="Arial" w:hAnsi="Arial" w:eastAsia="Calibri" w:cs="Arial"/>
          <w:color w:val="000000" w:themeColor="text1"/>
          <w:sz w:val="22"/>
          <w:szCs w:val="22"/>
          <w:lang w:val="es-ES_tradnl"/>
        </w:rPr>
        <w:lastRenderedPageBreak/>
        <w:t>Afrocolombianas, Raizales y Palenqueras, de dicho Ministerio</w:t>
      </w:r>
      <w:r w:rsidRPr="005344BD" w:rsidR="00182368">
        <w:rPr>
          <w:rStyle w:val="Refdenotaalpie"/>
          <w:rFonts w:ascii="Arial" w:hAnsi="Arial" w:eastAsia="Calibri" w:cs="Arial"/>
          <w:color w:val="000000" w:themeColor="text1"/>
          <w:sz w:val="22"/>
          <w:szCs w:val="22"/>
          <w:lang w:val="es-ES_tradnl"/>
        </w:rPr>
        <w:footnoteReference w:id="21"/>
      </w:r>
      <w:r w:rsidRPr="005344BD" w:rsidR="00182368">
        <w:rPr>
          <w:rFonts w:ascii="Arial" w:hAnsi="Arial" w:eastAsia="Calibri" w:cs="Arial"/>
          <w:color w:val="000000" w:themeColor="text1"/>
          <w:sz w:val="22"/>
          <w:szCs w:val="22"/>
          <w:lang w:val="es-ES_tradnl"/>
        </w:rPr>
        <w:t xml:space="preserve">. </w:t>
      </w:r>
      <w:r w:rsidRPr="005344BD" w:rsidR="00182368">
        <w:rPr>
          <w:rFonts w:ascii="Arial" w:hAnsi="Arial" w:cs="Arial"/>
          <w:color w:val="000000" w:themeColor="text1"/>
          <w:sz w:val="22"/>
          <w:szCs w:val="22"/>
          <w:lang w:val="es-ES_tradnl"/>
        </w:rPr>
        <w:t>En tal sentido, el proponente deberá acreditar que por lo menos el 10% de sus trabajadores pertenece a estas poblaciones.</w:t>
      </w:r>
    </w:p>
    <w:p w:rsidR="00531FEF" w:rsidP="00622ACD" w:rsidRDefault="00531FEF" w14:paraId="75D23141" w14:textId="77777777">
      <w:pPr>
        <w:ind w:left="709" w:right="709"/>
        <w:jc w:val="both"/>
        <w:rPr>
          <w:rFonts w:ascii="Arial" w:hAnsi="Arial" w:cs="Arial"/>
          <w:color w:val="000000" w:themeColor="text1"/>
          <w:sz w:val="21"/>
          <w:szCs w:val="21"/>
          <w:lang w:val="es-ES_tradnl"/>
        </w:rPr>
      </w:pPr>
    </w:p>
    <w:p w:rsidR="00622ACD" w:rsidP="00622ACD" w:rsidRDefault="00175BE2" w14:paraId="0047A42F" w14:textId="58F128C5">
      <w:pPr>
        <w:ind w:left="709" w:right="709"/>
        <w:jc w:val="both"/>
        <w:rPr>
          <w:rFonts w:ascii="Arial" w:hAnsi="Arial" w:cs="Arial"/>
          <w:color w:val="000000" w:themeColor="text1"/>
          <w:sz w:val="21"/>
          <w:szCs w:val="21"/>
          <w:lang w:val="es-ES_tradnl"/>
        </w:rPr>
      </w:pPr>
      <w:r>
        <w:rPr>
          <w:rFonts w:ascii="Arial" w:hAnsi="Arial" w:cs="Arial"/>
          <w:color w:val="000000" w:themeColor="text1"/>
          <w:sz w:val="21"/>
          <w:szCs w:val="21"/>
          <w:lang w:val="es-ES_tradnl"/>
        </w:rPr>
        <w:t>«</w:t>
      </w:r>
      <w:r w:rsidRPr="006F1041" w:rsidR="00622ACD">
        <w:rPr>
          <w:rFonts w:ascii="Arial" w:hAnsi="Arial" w:cs="Arial"/>
          <w:color w:val="000000" w:themeColor="text1"/>
          <w:sz w:val="21"/>
          <w:szCs w:val="21"/>
          <w:lang w:val="es-ES_tradnl"/>
        </w:rPr>
        <w:t>¿Cómo se acredita la calidad de persona en proceso de reintegración o reincorporación? En caso de persona jurídica en la cual participe o participen mayoritariamente o de un proponente plural, ¿Cómo se acredita que están constituidos por personas en proceso de reincorporación, y/o personas jurídicas en las cuales participe o participen mayoritariamente? ¿Cuál es el documento que debe presentarse para tal propósito? ¿Cuál autoridad es competente de certificar tal calidad?</w:t>
      </w:r>
      <w:r>
        <w:rPr>
          <w:rFonts w:ascii="Arial" w:hAnsi="Arial" w:cs="Arial"/>
          <w:color w:val="000000" w:themeColor="text1"/>
          <w:sz w:val="21"/>
          <w:szCs w:val="21"/>
          <w:lang w:val="es-ES_tradnl"/>
        </w:rPr>
        <w:t>»</w:t>
      </w:r>
    </w:p>
    <w:p w:rsidR="00622ACD" w:rsidP="00622ACD" w:rsidRDefault="00622ACD" w14:paraId="57724523" w14:textId="36B5FA10">
      <w:pPr>
        <w:ind w:left="709" w:right="709"/>
        <w:jc w:val="both"/>
        <w:rPr>
          <w:rFonts w:ascii="Arial" w:hAnsi="Arial" w:cs="Arial"/>
          <w:color w:val="000000" w:themeColor="text1"/>
          <w:sz w:val="21"/>
          <w:szCs w:val="21"/>
          <w:lang w:val="es-ES_tradnl"/>
        </w:rPr>
      </w:pPr>
    </w:p>
    <w:p w:rsidR="00175BE2" w:rsidP="00175BE2" w:rsidRDefault="00C520E6" w14:paraId="0794044F" w14:textId="2F045F52">
      <w:pPr>
        <w:spacing w:line="276" w:lineRule="auto"/>
        <w:jc w:val="both"/>
        <w:rPr>
          <w:rFonts w:ascii="Arial" w:hAnsi="Arial" w:cs="Arial"/>
          <w:color w:val="000000" w:themeColor="text1"/>
          <w:sz w:val="22"/>
          <w:szCs w:val="22"/>
          <w:lang w:val="es-ES_tradnl"/>
        </w:rPr>
      </w:pPr>
      <w:r w:rsidRPr="00C520E6">
        <w:rPr>
          <w:rFonts w:ascii="Arial" w:hAnsi="Arial" w:cs="Arial"/>
          <w:color w:val="000000" w:themeColor="text1"/>
          <w:sz w:val="22"/>
          <w:szCs w:val="22"/>
          <w:lang w:val="es-ES_tradnl"/>
        </w:rPr>
        <w:t xml:space="preserve">La Agencia para la </w:t>
      </w:r>
      <w:r w:rsidRPr="00C520E6" w:rsidR="000B0975">
        <w:rPr>
          <w:rFonts w:ascii="Arial" w:hAnsi="Arial" w:cs="Arial"/>
          <w:color w:val="000000" w:themeColor="text1"/>
          <w:sz w:val="22"/>
          <w:szCs w:val="22"/>
          <w:lang w:val="es-ES_tradnl"/>
        </w:rPr>
        <w:t>Reincorporación y</w:t>
      </w:r>
      <w:r w:rsidRPr="00C520E6">
        <w:rPr>
          <w:rFonts w:ascii="Arial" w:hAnsi="Arial" w:cs="Arial"/>
          <w:color w:val="000000" w:themeColor="text1"/>
          <w:sz w:val="22"/>
          <w:szCs w:val="22"/>
          <w:lang w:val="es-ES_tradnl"/>
        </w:rPr>
        <w:t xml:space="preserve"> la Normalización –ARN–, es la «[…] entidad adscrita a la Presidencia de la República, que está encargada de coordinar, asesorar y ejecutar –con otras entidades públicas y privadas– la Ruta de Reintegración de las personas desmovilizadas de los grupos armados al margen de la ley» y, por tanto, ante ella se puede obtener información sobre la acreditación de dicha circunstancia</w:t>
      </w:r>
      <w:r w:rsidR="00DC558F">
        <w:rPr>
          <w:rFonts w:ascii="Arial" w:hAnsi="Arial" w:cs="Arial"/>
          <w:color w:val="000000" w:themeColor="text1"/>
          <w:sz w:val="22"/>
          <w:szCs w:val="22"/>
          <w:lang w:val="es-ES_tradnl"/>
        </w:rPr>
        <w:t>, pues dicha autoridad certifica esta condición.</w:t>
      </w:r>
    </w:p>
    <w:p w:rsidRPr="006F1041" w:rsidR="00175BE2" w:rsidP="00622ACD" w:rsidRDefault="00175BE2" w14:paraId="7E47123F" w14:textId="77777777">
      <w:pPr>
        <w:ind w:left="709" w:right="709"/>
        <w:jc w:val="both"/>
        <w:rPr>
          <w:rFonts w:ascii="Arial" w:hAnsi="Arial" w:cs="Arial"/>
          <w:color w:val="000000" w:themeColor="text1"/>
          <w:sz w:val="21"/>
          <w:szCs w:val="21"/>
          <w:lang w:val="es-ES_tradnl"/>
        </w:rPr>
      </w:pPr>
    </w:p>
    <w:p w:rsidRPr="00D9015D" w:rsidR="00622ACD" w:rsidP="00622ACD" w:rsidRDefault="0067266A" w14:paraId="55D3340B" w14:textId="2001164E">
      <w:pPr>
        <w:ind w:left="709" w:right="709"/>
        <w:jc w:val="both"/>
        <w:rPr>
          <w:rFonts w:ascii="Arial" w:hAnsi="Arial" w:cs="Arial"/>
          <w:color w:val="000000" w:themeColor="text1"/>
          <w:sz w:val="21"/>
          <w:szCs w:val="21"/>
          <w:lang w:val="es-ES_tradnl"/>
        </w:rPr>
      </w:pPr>
      <w:r>
        <w:rPr>
          <w:rFonts w:ascii="Arial" w:hAnsi="Arial" w:cs="Arial"/>
          <w:color w:val="000000" w:themeColor="text1"/>
          <w:sz w:val="21"/>
          <w:szCs w:val="21"/>
          <w:lang w:val="es-ES_tradnl"/>
        </w:rPr>
        <w:t>«</w:t>
      </w:r>
      <w:r w:rsidRPr="006F1041" w:rsidR="00622ACD">
        <w:rPr>
          <w:rFonts w:ascii="Arial" w:hAnsi="Arial" w:cs="Arial"/>
          <w:color w:val="000000" w:themeColor="text1"/>
          <w:sz w:val="21"/>
          <w:szCs w:val="21"/>
          <w:lang w:val="es-ES_tradnl"/>
        </w:rPr>
        <w:t>¿Cómo se acredita la calidad de empresa reconocida y establecida como Sociedad de Beneficio e Interés Colectivo o Sociedad BIC, del segmento MIPYMES? ¿Dónde puede consultarse esta calidad? ¿Cuál es el documento que debe presentarse para tal propósito? ¿Cuál autoridad es competente de certificar tal calidad?</w:t>
      </w:r>
      <w:r w:rsidRPr="00D9015D" w:rsidR="00622ACD">
        <w:rPr>
          <w:rFonts w:ascii="Arial" w:hAnsi="Arial" w:cs="Arial"/>
          <w:color w:val="000000" w:themeColor="text1"/>
          <w:sz w:val="21"/>
          <w:szCs w:val="21"/>
          <w:lang w:val="es-ES_tradnl"/>
        </w:rPr>
        <w:t>».</w:t>
      </w:r>
    </w:p>
    <w:p w:rsidR="00955DFD" w:rsidP="00DF76A2" w:rsidRDefault="00955DFD" w14:paraId="74BEF13E" w14:textId="64C17524">
      <w:pPr>
        <w:spacing w:line="276" w:lineRule="auto"/>
        <w:jc w:val="both"/>
        <w:rPr>
          <w:rFonts w:ascii="Arial" w:hAnsi="Arial" w:cs="Arial"/>
          <w:color w:val="000000" w:themeColor="text1"/>
          <w:sz w:val="22"/>
          <w:szCs w:val="22"/>
          <w:lang w:val="es-ES_tradnl"/>
        </w:rPr>
      </w:pPr>
    </w:p>
    <w:p w:rsidR="0067266A" w:rsidP="00DF76A2" w:rsidRDefault="00CA5E65" w14:paraId="6CB7D8DE" w14:textId="355B6A60">
      <w:pPr>
        <w:spacing w:line="276" w:lineRule="auto"/>
        <w:jc w:val="both"/>
        <w:rPr>
          <w:rFonts w:ascii="Arial" w:hAnsi="Arial" w:eastAsia="Calibri" w:cs="Arial"/>
          <w:color w:val="000000" w:themeColor="text1"/>
          <w:sz w:val="22"/>
          <w:szCs w:val="22"/>
          <w:lang w:val="es-ES_tradnl"/>
        </w:rPr>
      </w:pPr>
      <w:r>
        <w:rPr>
          <w:rFonts w:ascii="Arial" w:hAnsi="Arial" w:eastAsia="Calibri" w:cs="Arial"/>
          <w:color w:val="000000" w:themeColor="text1"/>
          <w:sz w:val="22"/>
          <w:szCs w:val="22"/>
          <w:lang w:val="es-ES_tradnl"/>
        </w:rPr>
        <w:t>Dicha situación se acredita con el certificado de existencia y representación legal de la sociedad en el que conste que reúne los requisitos del artículo 2 de la Ley 1.901 de 2018. Esta norma establece que «</w:t>
      </w:r>
      <w:r w:rsidRPr="00BE5742">
        <w:rPr>
          <w:rFonts w:ascii="Arial" w:hAnsi="Arial" w:eastAsia="Calibri" w:cs="Arial"/>
          <w:color w:val="000000" w:themeColor="text1"/>
          <w:sz w:val="22"/>
          <w:szCs w:val="22"/>
          <w:lang w:val="es-ES_tradnl"/>
        </w:rPr>
        <w:t>Tendrán la denominación de sociedad BIC todas aquellas compañías que sean constituidas de conformidad con la legislación vigente para tales efectos, las cuales, además del beneficio e interés de sus accionistas, actuarán en procura del interés de la colectividad y del medio ambiente</w:t>
      </w:r>
      <w:r>
        <w:rPr>
          <w:rFonts w:ascii="Arial" w:hAnsi="Arial" w:eastAsia="Calibri" w:cs="Arial"/>
          <w:color w:val="000000" w:themeColor="text1"/>
          <w:sz w:val="22"/>
          <w:szCs w:val="22"/>
          <w:lang w:val="es-ES_tradnl"/>
        </w:rPr>
        <w:t>»</w:t>
      </w:r>
      <w:r w:rsidRPr="00BE5742">
        <w:rPr>
          <w:rFonts w:ascii="Arial" w:hAnsi="Arial" w:eastAsia="Calibri" w:cs="Arial"/>
          <w:color w:val="000000" w:themeColor="text1"/>
          <w:sz w:val="22"/>
          <w:szCs w:val="22"/>
          <w:lang w:val="es-ES_tradnl"/>
        </w:rPr>
        <w:t>.</w:t>
      </w:r>
      <w:r>
        <w:rPr>
          <w:rFonts w:ascii="Arial" w:hAnsi="Arial" w:eastAsia="Calibri" w:cs="Arial"/>
          <w:color w:val="000000" w:themeColor="text1"/>
          <w:sz w:val="22"/>
          <w:szCs w:val="22"/>
          <w:lang w:val="es-ES_tradnl"/>
        </w:rPr>
        <w:t xml:space="preserve"> Según los artículos </w:t>
      </w:r>
      <w:r w:rsidRPr="007E7D2E">
        <w:rPr>
          <w:rFonts w:ascii="Arial" w:hAnsi="Arial" w:eastAsia="Calibri" w:cs="Arial"/>
          <w:color w:val="000000" w:themeColor="text1"/>
          <w:sz w:val="22"/>
          <w:szCs w:val="22"/>
          <w:lang w:val="es-ES_tradnl"/>
        </w:rPr>
        <w:t>2.2.1.15.3.</w:t>
      </w:r>
      <w:r>
        <w:rPr>
          <w:rFonts w:ascii="Arial" w:hAnsi="Arial" w:eastAsia="Calibri" w:cs="Arial"/>
          <w:color w:val="000000" w:themeColor="text1"/>
          <w:sz w:val="22"/>
          <w:szCs w:val="22"/>
          <w:lang w:val="es-ES_tradnl"/>
        </w:rPr>
        <w:t xml:space="preserve"> y </w:t>
      </w:r>
      <w:r w:rsidRPr="007E7D2E">
        <w:rPr>
          <w:rFonts w:ascii="Arial" w:hAnsi="Arial" w:eastAsia="Calibri" w:cs="Arial"/>
          <w:color w:val="000000" w:themeColor="text1"/>
          <w:sz w:val="22"/>
          <w:szCs w:val="22"/>
          <w:lang w:val="es-ES_tradnl"/>
        </w:rPr>
        <w:t>2.2.1.15.5.</w:t>
      </w:r>
      <w:r>
        <w:rPr>
          <w:rFonts w:ascii="Arial" w:hAnsi="Arial" w:eastAsia="Calibri" w:cs="Arial"/>
          <w:color w:val="000000" w:themeColor="text1"/>
          <w:sz w:val="22"/>
          <w:szCs w:val="22"/>
          <w:lang w:val="es-ES_tradnl"/>
        </w:rPr>
        <w:t xml:space="preserve"> del Decreto </w:t>
      </w:r>
      <w:r w:rsidRPr="00E50C57">
        <w:rPr>
          <w:rFonts w:ascii="Arial" w:hAnsi="Arial" w:eastAsia="Calibri" w:cs="Arial"/>
          <w:color w:val="000000" w:themeColor="text1"/>
          <w:sz w:val="22"/>
          <w:szCs w:val="22"/>
          <w:lang w:val="es-ES_tradnl"/>
        </w:rPr>
        <w:t xml:space="preserve">2046 </w:t>
      </w:r>
      <w:r>
        <w:rPr>
          <w:rFonts w:ascii="Arial" w:hAnsi="Arial" w:eastAsia="Calibri" w:cs="Arial"/>
          <w:color w:val="000000" w:themeColor="text1"/>
          <w:sz w:val="22"/>
          <w:szCs w:val="22"/>
          <w:lang w:val="es-ES_tradnl"/>
        </w:rPr>
        <w:t>de</w:t>
      </w:r>
      <w:r w:rsidRPr="00E50C57">
        <w:rPr>
          <w:rFonts w:ascii="Arial" w:hAnsi="Arial" w:eastAsia="Calibri" w:cs="Arial"/>
          <w:color w:val="000000" w:themeColor="text1"/>
          <w:sz w:val="22"/>
          <w:szCs w:val="22"/>
          <w:lang w:val="es-ES_tradnl"/>
        </w:rPr>
        <w:t xml:space="preserve"> 2019</w:t>
      </w:r>
      <w:r>
        <w:rPr>
          <w:rFonts w:ascii="Arial" w:hAnsi="Arial" w:eastAsia="Calibri" w:cs="Arial"/>
          <w:color w:val="000000" w:themeColor="text1"/>
          <w:sz w:val="22"/>
          <w:szCs w:val="22"/>
          <w:lang w:val="es-ES_tradnl"/>
        </w:rPr>
        <w:t xml:space="preserve">, corresponde a las cámaras de comercio el registro de las sociedades BIC y por lo tanto son las autoridades encargadas de acreditar su existencia. Como el numeral 11 del artículo 35 exige que la sociedad BIC haga parte del segmento mipymes, se debe tener en cuenta además la forma de acreditación del tamaño empresarial prevista en el artículo </w:t>
      </w:r>
      <w:r w:rsidRPr="0063444B">
        <w:rPr>
          <w:rFonts w:ascii="Arial" w:hAnsi="Arial" w:eastAsia="Calibri" w:cs="Arial"/>
          <w:color w:val="000000" w:themeColor="text1"/>
          <w:sz w:val="22"/>
          <w:szCs w:val="22"/>
          <w:lang w:val="es-ES_tradnl"/>
        </w:rPr>
        <w:t>2.2.1.13.2.4.</w:t>
      </w:r>
      <w:r>
        <w:rPr>
          <w:rFonts w:ascii="Arial" w:hAnsi="Arial" w:eastAsia="Calibri" w:cs="Arial"/>
          <w:color w:val="000000" w:themeColor="text1"/>
          <w:sz w:val="22"/>
          <w:szCs w:val="22"/>
          <w:lang w:val="es-ES_tradnl"/>
        </w:rPr>
        <w:t xml:space="preserve"> del Decreto 957 de 2019.</w:t>
      </w:r>
    </w:p>
    <w:p w:rsidRPr="00D9015D" w:rsidR="00CA5E65" w:rsidP="00A55742" w:rsidRDefault="00CA5E65" w14:paraId="43708F48" w14:textId="77777777">
      <w:pPr>
        <w:spacing w:after="120" w:line="276" w:lineRule="auto"/>
        <w:jc w:val="both"/>
        <w:rPr>
          <w:rFonts w:ascii="Arial" w:hAnsi="Arial" w:cs="Arial"/>
          <w:color w:val="000000" w:themeColor="text1"/>
          <w:sz w:val="22"/>
          <w:szCs w:val="22"/>
          <w:lang w:val="es-ES_tradnl"/>
        </w:rPr>
      </w:pPr>
    </w:p>
    <w:p w:rsidRPr="00D9015D" w:rsidR="00DD5B04" w:rsidP="00DF76A2" w:rsidRDefault="00DD5B04" w14:paraId="7B2C921D" w14:textId="6360A462">
      <w:pPr>
        <w:spacing w:line="276" w:lineRule="auto"/>
        <w:jc w:val="both"/>
        <w:rPr>
          <w:rFonts w:ascii="Arial" w:hAnsi="Arial" w:cs="Arial"/>
          <w:color w:val="000000" w:themeColor="text1"/>
          <w:sz w:val="22"/>
          <w:lang w:val="es-ES_tradnl"/>
        </w:rPr>
      </w:pPr>
      <w:r w:rsidRPr="00D9015D">
        <w:rPr>
          <w:rFonts w:ascii="Arial" w:hAnsi="Arial" w:cs="Arial"/>
          <w:color w:val="000000" w:themeColor="text1"/>
          <w:sz w:val="22"/>
          <w:lang w:val="es-ES_tradnl"/>
        </w:rPr>
        <w:t>Este concepto tiene el alcance previsto en el artículo 28 del Código de Procedimiento Administrativo y de lo Contencioso Administrativo.</w:t>
      </w:r>
    </w:p>
    <w:p w:rsidRPr="00D9015D" w:rsidR="00DD5B04" w:rsidP="00DF76A2" w:rsidRDefault="00DD5B04" w14:paraId="77EE5912" w14:textId="77777777">
      <w:pPr>
        <w:pStyle w:val="NormalWeb"/>
        <w:spacing w:before="0" w:beforeAutospacing="0" w:after="0" w:afterAutospacing="0" w:line="276" w:lineRule="auto"/>
        <w:jc w:val="both"/>
        <w:rPr>
          <w:rFonts w:ascii="Arial" w:hAnsi="Arial" w:cs="Arial"/>
          <w:color w:val="000000" w:themeColor="text1"/>
          <w:sz w:val="22"/>
          <w:szCs w:val="22"/>
          <w:lang w:val="es-ES_tradnl"/>
        </w:rPr>
      </w:pPr>
    </w:p>
    <w:p w:rsidRPr="00D9015D" w:rsidR="00DD5B04" w:rsidP="00DF76A2" w:rsidRDefault="00DD5B04" w14:paraId="0DDBEF2B" w14:textId="7B8CF213">
      <w:pPr>
        <w:pStyle w:val="NormalWeb"/>
        <w:spacing w:before="0" w:beforeAutospacing="0" w:after="0" w:afterAutospacing="0" w:line="276" w:lineRule="auto"/>
        <w:jc w:val="both"/>
        <w:rPr>
          <w:rFonts w:ascii="Arial" w:hAnsi="Arial" w:cs="Arial"/>
          <w:color w:val="000000" w:themeColor="text1"/>
          <w:sz w:val="22"/>
          <w:szCs w:val="22"/>
          <w:lang w:val="es-ES_tradnl"/>
        </w:rPr>
      </w:pPr>
      <w:r w:rsidRPr="00D9015D">
        <w:rPr>
          <w:rFonts w:ascii="Arial" w:hAnsi="Arial" w:cs="Arial"/>
          <w:color w:val="000000" w:themeColor="text1"/>
          <w:sz w:val="22"/>
          <w:szCs w:val="22"/>
          <w:lang w:val="es-ES_tradnl"/>
        </w:rPr>
        <w:lastRenderedPageBreak/>
        <w:t>Atentamente,</w:t>
      </w:r>
    </w:p>
    <w:p w:rsidRPr="00D9015D" w:rsidR="00921304" w:rsidP="00DF76A2" w:rsidRDefault="00921304" w14:paraId="692FC307" w14:textId="210AA6B5">
      <w:pPr>
        <w:pStyle w:val="NormalWeb"/>
        <w:spacing w:before="0" w:beforeAutospacing="0" w:after="0" w:afterAutospacing="0" w:line="276" w:lineRule="auto"/>
        <w:jc w:val="both"/>
        <w:rPr>
          <w:rFonts w:ascii="Arial" w:hAnsi="Arial" w:cs="Arial"/>
          <w:color w:val="000000" w:themeColor="text1"/>
          <w:sz w:val="22"/>
          <w:szCs w:val="22"/>
          <w:lang w:val="es-ES_tradnl"/>
        </w:rPr>
      </w:pPr>
    </w:p>
    <w:p w:rsidRPr="00D9015D" w:rsidR="00921304" w:rsidP="3ABE7CBF" w:rsidRDefault="00F90C4D" w14:paraId="30AA3DC7" w14:textId="191E88F2">
      <w:pPr>
        <w:pStyle w:val="NormalWeb"/>
        <w:spacing w:before="0" w:beforeAutospacing="off" w:after="0" w:afterAutospacing="off" w:line="276" w:lineRule="auto"/>
        <w:jc w:val="center"/>
      </w:pPr>
      <w:r w:rsidR="45AF08E1">
        <w:drawing>
          <wp:inline wp14:editId="2C68C469" wp14:anchorId="3895FA77">
            <wp:extent cx="2514600" cy="1114425"/>
            <wp:effectExtent l="0" t="0" r="0" b="0"/>
            <wp:docPr id="376570392" name="" title=""/>
            <wp:cNvGraphicFramePr>
              <a:graphicFrameLocks noChangeAspect="1"/>
            </wp:cNvGraphicFramePr>
            <a:graphic>
              <a:graphicData uri="http://schemas.openxmlformats.org/drawingml/2006/picture">
                <pic:pic>
                  <pic:nvPicPr>
                    <pic:cNvPr id="0" name=""/>
                    <pic:cNvPicPr/>
                  </pic:nvPicPr>
                  <pic:blipFill>
                    <a:blip r:embed="R25d327cb26a74fbe">
                      <a:extLst>
                        <a:ext xmlns:a="http://schemas.openxmlformats.org/drawingml/2006/main" uri="{28A0092B-C50C-407E-A947-70E740481C1C}">
                          <a14:useLocalDpi val="0"/>
                        </a:ext>
                      </a:extLst>
                    </a:blip>
                    <a:stretch>
                      <a:fillRect/>
                    </a:stretch>
                  </pic:blipFill>
                  <pic:spPr>
                    <a:xfrm>
                      <a:off x="0" y="0"/>
                      <a:ext cx="2514600" cy="1114425"/>
                    </a:xfrm>
                    <a:prstGeom prst="rect">
                      <a:avLst/>
                    </a:prstGeom>
                  </pic:spPr>
                </pic:pic>
              </a:graphicData>
            </a:graphic>
          </wp:inline>
        </w:drawing>
      </w:r>
    </w:p>
    <w:p w:rsidRPr="00D9015D" w:rsidR="00425C43" w:rsidP="00B37657" w:rsidRDefault="00425C43" w14:paraId="5CBAE239" w14:textId="77777777">
      <w:pPr>
        <w:jc w:val="center"/>
        <w:rPr>
          <w:rFonts w:ascii="Arial" w:hAnsi="Arial" w:cs="Arial"/>
          <w:color w:val="000000" w:themeColor="text1"/>
          <w:sz w:val="18"/>
          <w:szCs w:val="20"/>
          <w:lang w:val="es-ES_tradnl" w:eastAsia="es-CO"/>
        </w:rPr>
      </w:pPr>
    </w:p>
    <w:p w:rsidRPr="00D9015D" w:rsidR="00DD5B04" w:rsidP="00B37657" w:rsidRDefault="00DD5B04" w14:paraId="49730030" w14:textId="217D35F3">
      <w:pPr>
        <w:jc w:val="center"/>
        <w:rPr>
          <w:rFonts w:ascii="Arial" w:hAnsi="Arial" w:cs="Arial"/>
          <w:color w:val="000000" w:themeColor="text1"/>
          <w:sz w:val="18"/>
          <w:szCs w:val="20"/>
          <w:lang w:val="es-ES_tradnl" w:eastAsia="es-CO"/>
        </w:rPr>
      </w:pPr>
    </w:p>
    <w:tbl>
      <w:tblPr>
        <w:tblStyle w:val="Tablaconcuadrcula"/>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12"/>
        <w:gridCol w:w="4413"/>
      </w:tblGrid>
      <w:tr w:rsidRPr="00D9015D" w:rsidR="00DD5B04" w:rsidTr="008F4163" w14:paraId="0C7DC5F7" w14:textId="77777777">
        <w:trPr>
          <w:trHeight w:val="315"/>
        </w:trPr>
        <w:tc>
          <w:tcPr>
            <w:tcW w:w="812" w:type="dxa"/>
            <w:vAlign w:val="center"/>
            <w:hideMark/>
          </w:tcPr>
          <w:p w:rsidRPr="00D9015D" w:rsidR="00DD5B04" w:rsidP="00DF76A2" w:rsidRDefault="00DD5B04" w14:paraId="5BDB1AC9" w14:textId="77777777">
            <w:pPr>
              <w:jc w:val="both"/>
              <w:rPr>
                <w:rFonts w:ascii="Arial" w:hAnsi="Arial" w:cs="Arial"/>
                <w:color w:val="000000" w:themeColor="text1"/>
                <w:sz w:val="16"/>
                <w:szCs w:val="16"/>
                <w:lang w:val="es-ES_tradnl" w:eastAsia="es-ES"/>
              </w:rPr>
            </w:pPr>
            <w:r w:rsidRPr="00D9015D">
              <w:rPr>
                <w:rFonts w:ascii="Arial" w:hAnsi="Arial" w:cs="Arial"/>
                <w:color w:val="000000" w:themeColor="text1"/>
                <w:sz w:val="16"/>
                <w:szCs w:val="16"/>
                <w:lang w:val="es-ES_tradnl" w:eastAsia="es-ES"/>
              </w:rPr>
              <w:t>Elaboró:</w:t>
            </w:r>
          </w:p>
        </w:tc>
        <w:tc>
          <w:tcPr>
            <w:tcW w:w="4413" w:type="dxa"/>
            <w:tcBorders>
              <w:top w:val="nil"/>
              <w:left w:val="nil"/>
              <w:bottom w:val="dotted" w:color="7F7F7F" w:themeColor="text1" w:themeTint="80" w:sz="4" w:space="0"/>
              <w:right w:val="nil"/>
            </w:tcBorders>
            <w:vAlign w:val="center"/>
            <w:hideMark/>
          </w:tcPr>
          <w:p w:rsidRPr="00D9015D" w:rsidR="00DD5B04" w:rsidP="00DF76A2" w:rsidRDefault="00DD5B04" w14:paraId="7F9F79B1" w14:textId="77777777">
            <w:pPr>
              <w:jc w:val="both"/>
              <w:rPr>
                <w:rFonts w:ascii="Arial" w:hAnsi="Arial" w:cs="Arial"/>
                <w:color w:val="000000" w:themeColor="text1"/>
                <w:sz w:val="16"/>
                <w:szCs w:val="16"/>
                <w:lang w:val="es-ES_tradnl" w:eastAsia="es-ES"/>
              </w:rPr>
            </w:pPr>
            <w:r w:rsidRPr="00D9015D">
              <w:rPr>
                <w:rFonts w:ascii="Arial" w:hAnsi="Arial" w:cs="Arial"/>
                <w:color w:val="000000" w:themeColor="text1"/>
                <w:sz w:val="16"/>
                <w:szCs w:val="16"/>
                <w:lang w:val="es-ES_tradnl" w:eastAsia="es-ES"/>
              </w:rPr>
              <w:t>Cristian Andrés Díaz Díez</w:t>
            </w:r>
          </w:p>
          <w:p w:rsidRPr="00D9015D" w:rsidR="00DD5B04" w:rsidP="00DF76A2" w:rsidRDefault="00DD5B04" w14:paraId="240C71FD" w14:textId="31312C95">
            <w:pPr>
              <w:jc w:val="both"/>
              <w:rPr>
                <w:rFonts w:ascii="Arial" w:hAnsi="Arial" w:cs="Arial"/>
                <w:color w:val="000000" w:themeColor="text1"/>
                <w:sz w:val="16"/>
                <w:szCs w:val="16"/>
                <w:lang w:val="es-ES_tradnl" w:eastAsia="es-ES"/>
              </w:rPr>
            </w:pPr>
            <w:r w:rsidRPr="00D9015D">
              <w:rPr>
                <w:rFonts w:ascii="Arial" w:hAnsi="Arial" w:cs="Arial"/>
                <w:color w:val="000000" w:themeColor="text1"/>
                <w:sz w:val="16"/>
                <w:szCs w:val="16"/>
                <w:lang w:val="es-ES_tradnl" w:eastAsia="es-ES"/>
              </w:rPr>
              <w:t>Contratista</w:t>
            </w:r>
            <w:r w:rsidRPr="00D9015D" w:rsidR="00FF0050">
              <w:rPr>
                <w:rFonts w:ascii="Arial" w:hAnsi="Arial" w:cs="Arial"/>
                <w:color w:val="000000" w:themeColor="text1"/>
                <w:sz w:val="16"/>
                <w:szCs w:val="16"/>
                <w:lang w:val="es-ES_tradnl" w:eastAsia="es-ES"/>
              </w:rPr>
              <w:t xml:space="preserve"> de la </w:t>
            </w:r>
            <w:r w:rsidRPr="00D9015D">
              <w:rPr>
                <w:rFonts w:ascii="Arial" w:hAnsi="Arial" w:cs="Arial"/>
                <w:color w:val="000000" w:themeColor="text1"/>
                <w:sz w:val="16"/>
                <w:szCs w:val="16"/>
                <w:lang w:val="es-ES_tradnl" w:eastAsia="es-ES"/>
              </w:rPr>
              <w:t>Subdirección de Gestión Contractual</w:t>
            </w:r>
          </w:p>
        </w:tc>
      </w:tr>
      <w:tr w:rsidRPr="00D9015D" w:rsidR="00DD5B04" w:rsidTr="008F4163" w14:paraId="2F8FD650" w14:textId="77777777">
        <w:trPr>
          <w:trHeight w:val="330"/>
        </w:trPr>
        <w:tc>
          <w:tcPr>
            <w:tcW w:w="812" w:type="dxa"/>
            <w:vAlign w:val="center"/>
            <w:hideMark/>
          </w:tcPr>
          <w:p w:rsidRPr="00D9015D" w:rsidR="00DD5B04" w:rsidP="00DF76A2" w:rsidRDefault="00DD5B04" w14:paraId="50203A0B" w14:textId="77777777">
            <w:pPr>
              <w:jc w:val="both"/>
              <w:rPr>
                <w:rFonts w:ascii="Arial" w:hAnsi="Arial" w:cs="Arial"/>
                <w:color w:val="000000" w:themeColor="text1"/>
                <w:sz w:val="16"/>
                <w:szCs w:val="16"/>
                <w:lang w:val="es-ES_tradnl" w:eastAsia="es-ES"/>
              </w:rPr>
            </w:pPr>
            <w:r w:rsidRPr="00D9015D">
              <w:rPr>
                <w:rFonts w:ascii="Arial" w:hAnsi="Arial" w:cs="Arial"/>
                <w:color w:val="000000" w:themeColor="text1"/>
                <w:sz w:val="16"/>
                <w:szCs w:val="16"/>
                <w:lang w:val="es-ES_tradnl" w:eastAsia="es-ES"/>
              </w:rPr>
              <w:t>Revisó:</w:t>
            </w:r>
          </w:p>
        </w:tc>
        <w:tc>
          <w:tcPr>
            <w:tcW w:w="4413" w:type="dxa"/>
            <w:tcBorders>
              <w:top w:val="dotted" w:color="7F7F7F" w:themeColor="text1" w:themeTint="80" w:sz="4" w:space="0"/>
              <w:left w:val="nil"/>
              <w:bottom w:val="dotted" w:color="7F7F7F" w:themeColor="text1" w:themeTint="80" w:sz="4" w:space="0"/>
              <w:right w:val="nil"/>
            </w:tcBorders>
            <w:vAlign w:val="center"/>
            <w:hideMark/>
          </w:tcPr>
          <w:p w:rsidRPr="00D9015D" w:rsidR="00C05A61" w:rsidP="00C05A61" w:rsidRDefault="007D231B" w14:paraId="31F77323" w14:textId="1ABB4017">
            <w:pPr>
              <w:jc w:val="both"/>
              <w:rPr>
                <w:rFonts w:ascii="Arial" w:hAnsi="Arial" w:cs="Arial"/>
                <w:color w:val="000000" w:themeColor="text1"/>
                <w:sz w:val="16"/>
                <w:szCs w:val="16"/>
                <w:lang w:val="es-ES_tradnl" w:eastAsia="es-ES"/>
              </w:rPr>
            </w:pPr>
            <w:r w:rsidRPr="00D9015D">
              <w:rPr>
                <w:rFonts w:ascii="Arial" w:hAnsi="Arial" w:cs="Arial"/>
                <w:color w:val="000000" w:themeColor="text1"/>
                <w:sz w:val="16"/>
                <w:szCs w:val="16"/>
                <w:lang w:val="es-ES_tradnl" w:eastAsia="es-ES"/>
              </w:rPr>
              <w:t>Juan David Montoya Penagos</w:t>
            </w:r>
          </w:p>
          <w:p w:rsidRPr="00D9015D" w:rsidR="00DD5B04" w:rsidP="00C05A61" w:rsidRDefault="00EF5CA8" w14:paraId="130B3228" w14:textId="2FA372DB">
            <w:pPr>
              <w:jc w:val="both"/>
              <w:rPr>
                <w:rFonts w:ascii="Arial" w:hAnsi="Arial" w:cs="Arial"/>
                <w:color w:val="000000" w:themeColor="text1"/>
                <w:sz w:val="16"/>
                <w:szCs w:val="16"/>
                <w:lang w:val="es-ES_tradnl" w:eastAsia="es-ES"/>
              </w:rPr>
            </w:pPr>
            <w:r w:rsidRPr="00D9015D">
              <w:rPr>
                <w:rFonts w:ascii="Arial" w:hAnsi="Arial" w:cs="Arial"/>
                <w:color w:val="000000" w:themeColor="text1"/>
                <w:sz w:val="16"/>
                <w:szCs w:val="16"/>
                <w:lang w:val="es-ES_tradnl" w:eastAsia="es-ES"/>
              </w:rPr>
              <w:t>Gestor T1</w:t>
            </w:r>
            <w:r w:rsidR="00423B0A">
              <w:rPr>
                <w:rFonts w:ascii="Arial" w:hAnsi="Arial" w:cs="Arial"/>
                <w:color w:val="000000" w:themeColor="text1"/>
                <w:sz w:val="16"/>
                <w:szCs w:val="16"/>
                <w:lang w:val="es-ES_tradnl" w:eastAsia="es-ES"/>
              </w:rPr>
              <w:t>-</w:t>
            </w:r>
            <w:r w:rsidRPr="00D9015D">
              <w:rPr>
                <w:rFonts w:ascii="Arial" w:hAnsi="Arial" w:cs="Arial"/>
                <w:color w:val="000000" w:themeColor="text1"/>
                <w:sz w:val="16"/>
                <w:szCs w:val="16"/>
                <w:lang w:val="es-ES_tradnl" w:eastAsia="es-ES"/>
              </w:rPr>
              <w:t>15</w:t>
            </w:r>
            <w:r w:rsidR="00423B0A">
              <w:rPr>
                <w:rFonts w:ascii="Arial" w:hAnsi="Arial" w:cs="Arial"/>
                <w:color w:val="000000" w:themeColor="text1"/>
                <w:sz w:val="16"/>
                <w:szCs w:val="16"/>
                <w:lang w:val="es-ES_tradnl" w:eastAsia="es-ES"/>
              </w:rPr>
              <w:t xml:space="preserve"> </w:t>
            </w:r>
            <w:r w:rsidRPr="00D9015D" w:rsidR="00423B0A">
              <w:rPr>
                <w:rFonts w:ascii="Arial" w:hAnsi="Arial" w:cs="Arial"/>
                <w:color w:val="000000" w:themeColor="text1"/>
                <w:sz w:val="16"/>
                <w:szCs w:val="16"/>
                <w:lang w:val="es-ES_tradnl" w:eastAsia="es-ES"/>
              </w:rPr>
              <w:t>de la Subdirección de Gestión Contractual</w:t>
            </w:r>
          </w:p>
        </w:tc>
      </w:tr>
      <w:tr w:rsidRPr="00D9015D" w:rsidR="00DD5B04" w:rsidTr="008F4163" w14:paraId="0FCBCA4A" w14:textId="77777777">
        <w:trPr>
          <w:trHeight w:val="300"/>
        </w:trPr>
        <w:tc>
          <w:tcPr>
            <w:tcW w:w="812" w:type="dxa"/>
            <w:vAlign w:val="center"/>
            <w:hideMark/>
          </w:tcPr>
          <w:p w:rsidRPr="00D9015D" w:rsidR="00DD5B04" w:rsidP="00DF76A2" w:rsidRDefault="00DD5B04" w14:paraId="3C1D943A" w14:textId="77777777">
            <w:pPr>
              <w:jc w:val="both"/>
              <w:rPr>
                <w:rFonts w:ascii="Arial" w:hAnsi="Arial" w:cs="Arial"/>
                <w:color w:val="000000" w:themeColor="text1"/>
                <w:sz w:val="16"/>
                <w:szCs w:val="16"/>
                <w:lang w:val="es-ES_tradnl" w:eastAsia="es-ES"/>
              </w:rPr>
            </w:pPr>
            <w:r w:rsidRPr="00D9015D">
              <w:rPr>
                <w:rFonts w:ascii="Arial" w:hAnsi="Arial" w:cs="Arial"/>
                <w:color w:val="000000" w:themeColor="text1"/>
                <w:sz w:val="16"/>
                <w:szCs w:val="16"/>
                <w:lang w:val="es-ES_tradnl" w:eastAsia="es-ES"/>
              </w:rPr>
              <w:t>Aprobó:</w:t>
            </w:r>
          </w:p>
        </w:tc>
        <w:tc>
          <w:tcPr>
            <w:tcW w:w="4413" w:type="dxa"/>
            <w:tcBorders>
              <w:top w:val="dotted" w:color="7F7F7F" w:themeColor="text1" w:themeTint="80" w:sz="4" w:space="0"/>
              <w:left w:val="nil"/>
              <w:bottom w:val="dotted" w:color="7F7F7F" w:themeColor="text1" w:themeTint="80" w:sz="4" w:space="0"/>
              <w:right w:val="nil"/>
            </w:tcBorders>
            <w:vAlign w:val="center"/>
            <w:hideMark/>
          </w:tcPr>
          <w:p w:rsidRPr="00D9015D" w:rsidR="006A55EE" w:rsidP="00DF76A2" w:rsidRDefault="00C05A61" w14:paraId="7180A172" w14:textId="7E7E6045">
            <w:pPr>
              <w:jc w:val="both"/>
              <w:rPr>
                <w:rFonts w:ascii="Arial" w:hAnsi="Arial" w:cs="Arial"/>
                <w:color w:val="000000" w:themeColor="text1"/>
                <w:sz w:val="16"/>
                <w:szCs w:val="16"/>
                <w:lang w:val="es-ES_tradnl" w:eastAsia="es-ES"/>
              </w:rPr>
            </w:pPr>
            <w:r w:rsidRPr="00D9015D">
              <w:rPr>
                <w:rFonts w:ascii="Arial" w:hAnsi="Arial" w:cs="Arial"/>
                <w:color w:val="000000" w:themeColor="text1"/>
                <w:sz w:val="16"/>
                <w:szCs w:val="16"/>
                <w:lang w:val="es-ES_tradnl" w:eastAsia="es-ES"/>
              </w:rPr>
              <w:t xml:space="preserve">Jorge </w:t>
            </w:r>
            <w:r w:rsidRPr="00D9015D" w:rsidR="00647A36">
              <w:rPr>
                <w:rFonts w:ascii="Arial" w:hAnsi="Arial" w:cs="Arial"/>
                <w:color w:val="000000" w:themeColor="text1"/>
                <w:sz w:val="16"/>
                <w:szCs w:val="16"/>
                <w:lang w:val="es-ES_tradnl" w:eastAsia="es-ES"/>
              </w:rPr>
              <w:t xml:space="preserve">Augusto </w:t>
            </w:r>
            <w:r w:rsidRPr="00D9015D">
              <w:rPr>
                <w:rFonts w:ascii="Arial" w:hAnsi="Arial" w:cs="Arial"/>
                <w:color w:val="000000" w:themeColor="text1"/>
                <w:sz w:val="16"/>
                <w:szCs w:val="16"/>
                <w:lang w:val="es-ES_tradnl" w:eastAsia="es-ES"/>
              </w:rPr>
              <w:t>Tirado Navarro</w:t>
            </w:r>
          </w:p>
          <w:p w:rsidRPr="00D9015D" w:rsidR="00DD5B04" w:rsidP="00DF76A2" w:rsidRDefault="00DD5B04" w14:paraId="1ADC483B" w14:textId="7B7AD802">
            <w:pPr>
              <w:jc w:val="both"/>
              <w:rPr>
                <w:rFonts w:ascii="Arial" w:hAnsi="Arial" w:cs="Arial"/>
                <w:color w:val="000000" w:themeColor="text1"/>
                <w:sz w:val="16"/>
                <w:szCs w:val="16"/>
                <w:lang w:val="es-ES_tradnl" w:eastAsia="es-ES"/>
              </w:rPr>
            </w:pPr>
            <w:r w:rsidRPr="00D9015D">
              <w:rPr>
                <w:rFonts w:ascii="Arial" w:hAnsi="Arial" w:cs="Arial"/>
                <w:color w:val="000000" w:themeColor="text1"/>
                <w:sz w:val="16"/>
                <w:szCs w:val="16"/>
                <w:lang w:val="es-ES_tradnl" w:eastAsia="es-ES"/>
              </w:rPr>
              <w:t>Subdirector de Gestión Contractual</w:t>
            </w:r>
            <w:r w:rsidR="00423B0A">
              <w:rPr>
                <w:rFonts w:ascii="Arial" w:hAnsi="Arial" w:cs="Arial"/>
                <w:color w:val="000000" w:themeColor="text1"/>
                <w:sz w:val="16"/>
                <w:szCs w:val="16"/>
                <w:lang w:val="es-ES_tradnl" w:eastAsia="es-ES"/>
              </w:rPr>
              <w:t xml:space="preserve"> ANCP – CCE</w:t>
            </w:r>
          </w:p>
        </w:tc>
      </w:tr>
    </w:tbl>
    <w:p w:rsidRPr="00D9015D" w:rsidR="00746E08" w:rsidP="00215B8E" w:rsidRDefault="00746E08" w14:paraId="35B56F46" w14:textId="77777777">
      <w:pPr>
        <w:jc w:val="both"/>
        <w:rPr>
          <w:rFonts w:ascii="Arial" w:hAnsi="Arial" w:cs="Arial"/>
          <w:lang w:val="es-ES_tradnl"/>
        </w:rPr>
      </w:pPr>
    </w:p>
    <w:sectPr w:rsidRPr="00D9015D" w:rsidR="00746E08" w:rsidSect="005D791B">
      <w:headerReference w:type="default" r:id="rId13"/>
      <w:footerReference w:type="default" r:id="rId14"/>
      <w:pgSz w:w="12240" w:h="15840" w:orient="portrait"/>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FD14C1" w:rsidRDefault="00FD14C1" w14:paraId="1F769415" w14:textId="77777777">
      <w:r>
        <w:separator/>
      </w:r>
    </w:p>
  </w:endnote>
  <w:endnote w:type="continuationSeparator" w:id="0">
    <w:p w:rsidR="00FD14C1" w:rsidRDefault="00FD14C1" w14:paraId="75C8A215" w14:textId="77777777">
      <w:r>
        <w:continuationSeparator/>
      </w:r>
    </w:p>
  </w:endnote>
  <w:endnote w:type="continuationNotice" w:id="1">
    <w:p w:rsidR="00FD14C1" w:rsidRDefault="00FD14C1" w14:paraId="49D80C19"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8F4163" w:rsidP="00322937" w:rsidRDefault="008F4163" w14:paraId="62F02A34" w14:textId="77777777">
    <w:pPr>
      <w:pStyle w:val="Sinespaciado"/>
      <w:jc w:val="right"/>
      <w:rPr>
        <w:rFonts w:ascii="Arial" w:hAnsi="Arial" w:cs="Arial"/>
        <w:sz w:val="18"/>
        <w:szCs w:val="18"/>
      </w:rPr>
    </w:pPr>
  </w:p>
  <w:p w:rsidRPr="008217B7" w:rsidR="008F4163" w:rsidP="00FE42ED" w:rsidRDefault="008F4163" w14:paraId="7A3785F3" w14:textId="2EF28465">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2</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15</w:t>
    </w:r>
    <w:r w:rsidRPr="00084B97">
      <w:rPr>
        <w:rFonts w:ascii="Arial" w:hAnsi="Arial" w:cs="Arial"/>
        <w:b/>
        <w:bCs/>
        <w:color w:val="7F7F7F" w:themeColor="text1" w:themeTint="80"/>
        <w:sz w:val="16"/>
        <w:szCs w:val="16"/>
      </w:rPr>
      <w:fldChar w:fldCharType="end"/>
    </w:r>
  </w:p>
  <w:p w:rsidR="008F4163" w:rsidP="00322937" w:rsidRDefault="008F4163" w14:paraId="48FC6A04" w14:textId="5FD1A7C9">
    <w:pPr>
      <w:pStyle w:val="Piedepgina"/>
      <w:jc w:val="center"/>
      <w:rPr>
        <w:lang w:val="es-ES"/>
      </w:rPr>
    </w:pPr>
    <w:r w:rsidR="3ABE7CBF">
      <w:drawing>
        <wp:inline wp14:editId="1378D1A7" wp14:anchorId="608B196D">
          <wp:extent cx="3700130" cy="519139"/>
          <wp:effectExtent l="0" t="0" r="0" b="0"/>
          <wp:docPr id="3" name="Imagen 3" title=""/>
          <wp:cNvGraphicFramePr>
            <a:graphicFrameLocks noChangeAspect="1"/>
          </wp:cNvGraphicFramePr>
          <a:graphic>
            <a:graphicData uri="http://schemas.openxmlformats.org/drawingml/2006/picture">
              <pic:pic>
                <pic:nvPicPr>
                  <pic:cNvPr id="0" name="Imagen 3"/>
                  <pic:cNvPicPr/>
                </pic:nvPicPr>
                <pic:blipFill>
                  <a:blip r:embed="Re2f0f0ca69c341eb">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3700130" cy="519139"/>
                  </a:xfrm>
                  <a:prstGeom prst="rect">
                    <a:avLst/>
                  </a:prstGeom>
                </pic:spPr>
              </pic:pic>
            </a:graphicData>
          </a:graphic>
        </wp:inline>
      </w:drawing>
    </w:r>
  </w:p>
  <w:p w:rsidR="008F4163" w:rsidP="007B0854" w:rsidRDefault="008F4163" w14:paraId="5D0E988C" w14:textId="77777777">
    <w:pPr>
      <w:pStyle w:val="Piedepgina"/>
      <w:jc w:val="center"/>
      <w:rPr>
        <w:lang w:val="es-ES"/>
      </w:rPr>
    </w:pPr>
  </w:p>
  <w:p w:rsidRPr="007B0854" w:rsidR="008F4163" w:rsidP="007B0854" w:rsidRDefault="008F4163" w14:paraId="6C0EFC49" w14:textId="77777777">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FD14C1" w:rsidRDefault="00FD14C1" w14:paraId="6D620BD0" w14:textId="77777777">
      <w:r>
        <w:separator/>
      </w:r>
    </w:p>
  </w:footnote>
  <w:footnote w:type="continuationSeparator" w:id="0">
    <w:p w:rsidR="00FD14C1" w:rsidRDefault="00FD14C1" w14:paraId="7DC08044" w14:textId="77777777">
      <w:r>
        <w:continuationSeparator/>
      </w:r>
    </w:p>
  </w:footnote>
  <w:footnote w:type="continuationNotice" w:id="1">
    <w:p w:rsidR="00FD14C1" w:rsidRDefault="00FD14C1" w14:paraId="3C9D3A68" w14:textId="77777777"/>
  </w:footnote>
  <w:footnote w:id="2">
    <w:p w:rsidRPr="00EA10E4" w:rsidR="00257B26" w:rsidP="00257B26" w:rsidRDefault="00257B26" w14:paraId="36213316" w14:textId="77777777">
      <w:pPr>
        <w:pStyle w:val="Textonotapie"/>
        <w:ind w:firstLine="709"/>
        <w:jc w:val="both"/>
        <w:rPr>
          <w:rFonts w:ascii="Arial" w:hAnsi="Arial" w:cs="Arial"/>
          <w:sz w:val="19"/>
          <w:szCs w:val="19"/>
          <w:lang w:val="es-ES"/>
        </w:rPr>
      </w:pPr>
      <w:r w:rsidRPr="00EA10E4">
        <w:rPr>
          <w:rStyle w:val="Refdenotaalpie"/>
          <w:rFonts w:ascii="Arial" w:hAnsi="Arial" w:cs="Arial"/>
          <w:sz w:val="19"/>
          <w:szCs w:val="19"/>
        </w:rPr>
        <w:footnoteRef/>
      </w:r>
      <w:r w:rsidRPr="00EA10E4">
        <w:rPr>
          <w:rFonts w:ascii="Arial" w:hAnsi="Arial" w:cs="Arial"/>
          <w:sz w:val="19"/>
          <w:szCs w:val="19"/>
        </w:rPr>
        <w:t xml:space="preserve"> </w:t>
      </w:r>
      <w:r w:rsidRPr="00EA10E4">
        <w:rPr>
          <w:rFonts w:ascii="Arial" w:hAnsi="Arial" w:cs="Arial"/>
          <w:sz w:val="19"/>
          <w:szCs w:val="19"/>
          <w:lang w:val="es-ES"/>
        </w:rPr>
        <w:t>Consejo de Estado. Sección Tercera. Sentencia del 29 de octubre de 2.015. Consejera Ponente: Stella Conto Díaz Del Castillo. Expediente: 31.918.</w:t>
      </w:r>
    </w:p>
    <w:p w:rsidRPr="00EA10E4" w:rsidR="00257B26" w:rsidP="00257B26" w:rsidRDefault="00257B26" w14:paraId="32B1B0BB" w14:textId="77777777">
      <w:pPr>
        <w:pStyle w:val="Textonotapie"/>
        <w:ind w:firstLine="709"/>
        <w:jc w:val="both"/>
        <w:rPr>
          <w:rFonts w:ascii="Arial" w:hAnsi="Arial" w:cs="Arial"/>
          <w:sz w:val="19"/>
          <w:szCs w:val="19"/>
          <w:lang w:val="es-ES"/>
        </w:rPr>
      </w:pPr>
    </w:p>
  </w:footnote>
  <w:footnote w:id="3">
    <w:p w:rsidRPr="008640C4" w:rsidR="00257B26" w:rsidP="00257B26" w:rsidRDefault="00257B26" w14:paraId="65D5B253" w14:textId="77777777">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Corte Constitucional. Sentencia T-684A del 14 de septiembre de 2011</w:t>
      </w:r>
      <w:r>
        <w:rPr>
          <w:rFonts w:ascii="Arial" w:hAnsi="Arial" w:cs="Arial"/>
          <w:sz w:val="19"/>
          <w:szCs w:val="19"/>
          <w:lang w:val="es-ES"/>
        </w:rPr>
        <w:t>. Magistrado Ponente:</w:t>
      </w:r>
      <w:r w:rsidRPr="008640C4">
        <w:rPr>
          <w:rFonts w:ascii="Arial" w:hAnsi="Arial" w:cs="Arial"/>
          <w:sz w:val="19"/>
          <w:szCs w:val="19"/>
          <w:lang w:val="es-ES"/>
        </w:rPr>
        <w:t xml:space="preserve"> Mauricio González Cuervo.</w:t>
      </w:r>
    </w:p>
    <w:p w:rsidRPr="008640C4" w:rsidR="00257B26" w:rsidP="00257B26" w:rsidRDefault="00257B26" w14:paraId="5227036D" w14:textId="77777777">
      <w:pPr>
        <w:pStyle w:val="Textonotapie"/>
        <w:ind w:firstLine="709"/>
        <w:jc w:val="both"/>
        <w:rPr>
          <w:rFonts w:ascii="Arial" w:hAnsi="Arial" w:cs="Arial"/>
          <w:sz w:val="19"/>
          <w:szCs w:val="19"/>
          <w:lang w:val="es-ES"/>
        </w:rPr>
      </w:pPr>
    </w:p>
  </w:footnote>
  <w:footnote w:id="4">
    <w:p w:rsidRPr="008640C4" w:rsidR="00257B26" w:rsidP="00257B26" w:rsidRDefault="00257B26" w14:paraId="3DBB4E4E" w14:textId="77777777">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Consejo de Estado. Sección Tercera. Sentencia del 6 de diciembre de 2.013. Consejera Ponente: Stella Conto Díaz Del Castillo. Expediente: 27.506. En efecto, el artículo 44, inciso 1º</w:t>
      </w:r>
      <w:r>
        <w:rPr>
          <w:rFonts w:ascii="Arial" w:hAnsi="Arial" w:cs="Arial"/>
          <w:sz w:val="19"/>
          <w:szCs w:val="19"/>
          <w:lang w:val="es-ES"/>
        </w:rPr>
        <w:t>,</w:t>
      </w:r>
      <w:r w:rsidRPr="008640C4">
        <w:rPr>
          <w:rFonts w:ascii="Arial" w:hAnsi="Arial" w:cs="Arial"/>
          <w:sz w:val="19"/>
          <w:szCs w:val="19"/>
          <w:lang w:val="es-ES"/>
        </w:rPr>
        <w:t xml:space="preserve"> de la Ley 80 de 1993 establece que «Los contratos del Estado son absolutamente nulos en los casos previstos en el derecho común […]», y uno de los supuestos consagrados en el derecho común es el llamado «objeto ilícito», que se presenta cuando se contrarían las normas de orden público, de conformidad con el artículo 1.519 del Código Civil. </w:t>
      </w:r>
    </w:p>
    <w:p w:rsidRPr="008640C4" w:rsidR="00257B26" w:rsidP="00257B26" w:rsidRDefault="00257B26" w14:paraId="55B7DAC7" w14:textId="77777777">
      <w:pPr>
        <w:pStyle w:val="Textonotapie"/>
        <w:ind w:firstLine="709"/>
        <w:jc w:val="both"/>
        <w:rPr>
          <w:rFonts w:ascii="Arial" w:hAnsi="Arial" w:cs="Arial"/>
          <w:sz w:val="19"/>
          <w:szCs w:val="19"/>
          <w:lang w:val="es-CO"/>
        </w:rPr>
      </w:pPr>
    </w:p>
  </w:footnote>
  <w:footnote w:id="5">
    <w:p w:rsidRPr="008640C4" w:rsidR="00257B26" w:rsidP="00257B26" w:rsidRDefault="00257B26" w14:paraId="0950F956" w14:textId="77777777">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2 al 29.</w:t>
      </w:r>
    </w:p>
    <w:p w:rsidRPr="008640C4" w:rsidR="00257B26" w:rsidP="00257B26" w:rsidRDefault="00257B26" w14:paraId="027A0115" w14:textId="77777777">
      <w:pPr>
        <w:pStyle w:val="Textonotapie"/>
        <w:ind w:firstLine="709"/>
        <w:jc w:val="both"/>
        <w:rPr>
          <w:rFonts w:ascii="Arial" w:hAnsi="Arial" w:cs="Arial"/>
          <w:sz w:val="19"/>
          <w:szCs w:val="19"/>
          <w:lang w:val="es-ES"/>
        </w:rPr>
      </w:pPr>
    </w:p>
  </w:footnote>
  <w:footnote w:id="6">
    <w:p w:rsidRPr="008640C4" w:rsidR="00257B26" w:rsidP="00257B26" w:rsidRDefault="00257B26" w14:paraId="1D8835E2" w14:textId="77777777">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30 al 36.</w:t>
      </w:r>
    </w:p>
    <w:p w:rsidRPr="008640C4" w:rsidR="00257B26" w:rsidP="00257B26" w:rsidRDefault="00257B26" w14:paraId="0D87DBE0" w14:textId="77777777">
      <w:pPr>
        <w:pStyle w:val="Textonotapie"/>
        <w:ind w:firstLine="709"/>
        <w:jc w:val="both"/>
        <w:rPr>
          <w:rFonts w:ascii="Arial" w:hAnsi="Arial" w:cs="Arial"/>
          <w:sz w:val="19"/>
          <w:szCs w:val="19"/>
          <w:lang w:val="es-ES"/>
        </w:rPr>
      </w:pPr>
    </w:p>
  </w:footnote>
  <w:footnote w:id="7">
    <w:p w:rsidRPr="008640C4" w:rsidR="00257B26" w:rsidP="00257B26" w:rsidRDefault="00257B26" w14:paraId="300AD068" w14:textId="77777777">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37 al 45.</w:t>
      </w:r>
    </w:p>
    <w:p w:rsidRPr="008640C4" w:rsidR="00257B26" w:rsidP="00257B26" w:rsidRDefault="00257B26" w14:paraId="29E9E9D1" w14:textId="77777777">
      <w:pPr>
        <w:pStyle w:val="Textonotapie"/>
        <w:ind w:firstLine="709"/>
        <w:jc w:val="both"/>
        <w:rPr>
          <w:rFonts w:ascii="Arial" w:hAnsi="Arial" w:cs="Arial"/>
          <w:sz w:val="19"/>
          <w:szCs w:val="19"/>
          <w:lang w:val="es-ES"/>
        </w:rPr>
      </w:pPr>
    </w:p>
  </w:footnote>
  <w:footnote w:id="8">
    <w:p w:rsidRPr="008640C4" w:rsidR="00257B26" w:rsidP="00257B26" w:rsidRDefault="00257B26" w14:paraId="0DBBCE12" w14:textId="77777777">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46 al 73.</w:t>
      </w:r>
    </w:p>
    <w:p w:rsidRPr="008640C4" w:rsidR="00257B26" w:rsidP="00257B26" w:rsidRDefault="00257B26" w14:paraId="78DD4587" w14:textId="77777777">
      <w:pPr>
        <w:pStyle w:val="Textonotapie"/>
        <w:ind w:firstLine="709"/>
        <w:jc w:val="both"/>
        <w:rPr>
          <w:rFonts w:ascii="Arial" w:hAnsi="Arial" w:cs="Arial"/>
          <w:sz w:val="19"/>
          <w:szCs w:val="19"/>
          <w:lang w:val="es-ES"/>
        </w:rPr>
      </w:pPr>
    </w:p>
  </w:footnote>
  <w:footnote w:id="9">
    <w:p w:rsidRPr="008640C4" w:rsidR="00257B26" w:rsidP="00257B26" w:rsidRDefault="00257B26" w14:paraId="5BC146B3" w14:textId="77777777">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74 al 83.</w:t>
      </w:r>
    </w:p>
    <w:p w:rsidRPr="008640C4" w:rsidR="00257B26" w:rsidP="00257B26" w:rsidRDefault="00257B26" w14:paraId="20C22835" w14:textId="77777777">
      <w:pPr>
        <w:pStyle w:val="Textonotapie"/>
        <w:ind w:firstLine="709"/>
        <w:jc w:val="both"/>
        <w:rPr>
          <w:rFonts w:ascii="Arial" w:hAnsi="Arial" w:cs="Arial"/>
          <w:sz w:val="19"/>
          <w:szCs w:val="19"/>
          <w:lang w:val="es-ES"/>
        </w:rPr>
      </w:pPr>
    </w:p>
  </w:footnote>
  <w:footnote w:id="10">
    <w:p w:rsidRPr="00EA10E4" w:rsidR="00974CBD" w:rsidP="00EA10E4" w:rsidRDefault="00974CBD" w14:paraId="260D678A" w14:textId="1CD5D6B9">
      <w:pPr>
        <w:pStyle w:val="Textonotapie"/>
        <w:ind w:firstLine="709"/>
        <w:jc w:val="both"/>
        <w:rPr>
          <w:rFonts w:ascii="Arial" w:hAnsi="Arial" w:cs="Arial"/>
          <w:sz w:val="19"/>
          <w:szCs w:val="19"/>
          <w:lang w:val="es-ES"/>
        </w:rPr>
      </w:pPr>
      <w:r w:rsidRPr="00EA10E4">
        <w:rPr>
          <w:rStyle w:val="Refdenotaalpie"/>
          <w:rFonts w:ascii="Arial" w:hAnsi="Arial" w:cs="Arial"/>
          <w:sz w:val="19"/>
          <w:szCs w:val="19"/>
        </w:rPr>
        <w:footnoteRef/>
      </w:r>
      <w:r w:rsidRPr="00EA10E4">
        <w:rPr>
          <w:rFonts w:ascii="Arial" w:hAnsi="Arial" w:cs="Arial"/>
          <w:sz w:val="19"/>
          <w:szCs w:val="19"/>
        </w:rPr>
        <w:t xml:space="preserve"> </w:t>
      </w:r>
      <w:r w:rsidRPr="00EA10E4" w:rsidR="0015623B">
        <w:rPr>
          <w:rFonts w:ascii="Arial" w:hAnsi="Arial" w:cs="Arial"/>
          <w:sz w:val="19"/>
          <w:szCs w:val="19"/>
          <w:lang w:val="es-ES"/>
        </w:rPr>
        <w:t>Sentencia T-003 de 2018. Magistrada Ponente: Cristina Pardo Schlesinger.</w:t>
      </w:r>
    </w:p>
    <w:p w:rsidRPr="00EA10E4" w:rsidR="00F62227" w:rsidP="00EA10E4" w:rsidRDefault="00F62227" w14:paraId="529B3D57" w14:textId="77777777">
      <w:pPr>
        <w:pStyle w:val="Textonotapie"/>
        <w:ind w:firstLine="709"/>
        <w:jc w:val="both"/>
        <w:rPr>
          <w:rFonts w:ascii="Arial" w:hAnsi="Arial" w:cs="Arial"/>
          <w:sz w:val="19"/>
          <w:szCs w:val="19"/>
          <w:lang w:val="es-CO"/>
        </w:rPr>
      </w:pPr>
    </w:p>
  </w:footnote>
  <w:footnote w:id="11">
    <w:p w:rsidRPr="00EA10E4" w:rsidR="002F40E2" w:rsidP="00EA10E4" w:rsidRDefault="002F40E2" w14:paraId="3C693AC2" w14:textId="48BDDA13">
      <w:pPr>
        <w:pStyle w:val="Textonotapie"/>
        <w:ind w:firstLine="709"/>
        <w:jc w:val="both"/>
        <w:rPr>
          <w:rFonts w:ascii="Arial" w:hAnsi="Arial" w:cs="Arial"/>
          <w:sz w:val="19"/>
          <w:szCs w:val="19"/>
          <w:lang w:val="es-ES"/>
        </w:rPr>
      </w:pPr>
      <w:r w:rsidRPr="00EA10E4">
        <w:rPr>
          <w:rStyle w:val="Refdenotaalpie"/>
          <w:rFonts w:ascii="Arial" w:hAnsi="Arial" w:cs="Arial"/>
          <w:sz w:val="19"/>
          <w:szCs w:val="19"/>
        </w:rPr>
        <w:footnoteRef/>
      </w:r>
      <w:r w:rsidRPr="00EA10E4">
        <w:rPr>
          <w:rFonts w:ascii="Arial" w:hAnsi="Arial" w:cs="Arial"/>
          <w:sz w:val="19"/>
          <w:szCs w:val="19"/>
        </w:rPr>
        <w:t xml:space="preserve"> </w:t>
      </w:r>
      <w:r w:rsidRPr="00EA10E4" w:rsidR="00F62227">
        <w:rPr>
          <w:rFonts w:ascii="Arial" w:hAnsi="Arial" w:cs="Arial"/>
          <w:sz w:val="19"/>
          <w:szCs w:val="19"/>
          <w:lang w:val="es-ES"/>
        </w:rPr>
        <w:t>Sentencia T-967 de 2014. Magistrada Ponente: Gloria Stella Ortiz Delgado.</w:t>
      </w:r>
    </w:p>
    <w:p w:rsidRPr="00EA10E4" w:rsidR="008E2BE6" w:rsidP="00EA10E4" w:rsidRDefault="008E2BE6" w14:paraId="3663EC63" w14:textId="77777777">
      <w:pPr>
        <w:pStyle w:val="Textonotapie"/>
        <w:ind w:firstLine="709"/>
        <w:jc w:val="both"/>
        <w:rPr>
          <w:rFonts w:ascii="Arial" w:hAnsi="Arial" w:cs="Arial"/>
          <w:sz w:val="19"/>
          <w:szCs w:val="19"/>
          <w:lang w:val="es-CO"/>
        </w:rPr>
      </w:pPr>
    </w:p>
  </w:footnote>
  <w:footnote w:id="12">
    <w:p w:rsidRPr="00EA10E4" w:rsidR="0093360C" w:rsidP="00EA10E4" w:rsidRDefault="0093360C" w14:paraId="6210057F" w14:textId="77777777">
      <w:pPr>
        <w:pStyle w:val="Textonotapie"/>
        <w:ind w:firstLine="709"/>
        <w:jc w:val="both"/>
        <w:rPr>
          <w:rFonts w:ascii="Arial" w:hAnsi="Arial" w:cs="Arial"/>
          <w:sz w:val="19"/>
          <w:szCs w:val="19"/>
          <w:lang w:val="es-CO"/>
        </w:rPr>
      </w:pPr>
      <w:r w:rsidRPr="00EA10E4">
        <w:rPr>
          <w:rStyle w:val="Refdenotaalpie"/>
          <w:rFonts w:ascii="Arial" w:hAnsi="Arial" w:cs="Arial"/>
          <w:sz w:val="19"/>
          <w:szCs w:val="19"/>
        </w:rPr>
        <w:footnoteRef/>
      </w:r>
      <w:r w:rsidRPr="00EA10E4">
        <w:rPr>
          <w:rFonts w:ascii="Arial" w:hAnsi="Arial" w:cs="Arial"/>
          <w:sz w:val="19"/>
          <w:szCs w:val="19"/>
        </w:rPr>
        <w:t xml:space="preserve"> </w:t>
      </w:r>
      <w:r w:rsidRPr="00EA10E4">
        <w:rPr>
          <w:rFonts w:ascii="Arial" w:hAnsi="Arial" w:cs="Arial"/>
          <w:sz w:val="19"/>
          <w:szCs w:val="19"/>
          <w:lang w:val="es-ES"/>
        </w:rPr>
        <w:t>Así lo admitió el Departamento Administrativo de la Función Pública en Concepto con radicado No. 20206000017881, del 22 de enero de 2020. Disponible en: https://www.funcionpublica.gov.co/eva/gestornormativo/norma.php?i=115437</w:t>
      </w:r>
    </w:p>
  </w:footnote>
  <w:footnote w:id="13">
    <w:p w:rsidRPr="00EA10E4" w:rsidR="008A41F8" w:rsidP="008A41F8" w:rsidRDefault="008A41F8" w14:paraId="1BB84D39" w14:textId="77777777">
      <w:pPr>
        <w:pStyle w:val="Textonotapie"/>
        <w:ind w:firstLine="709"/>
        <w:rPr>
          <w:rFonts w:ascii="Arial" w:hAnsi="Arial" w:cs="Arial"/>
          <w:sz w:val="19"/>
          <w:szCs w:val="19"/>
          <w:lang w:val="es-ES"/>
        </w:rPr>
      </w:pPr>
      <w:r w:rsidRPr="00EA10E4">
        <w:rPr>
          <w:rStyle w:val="Refdenotaalpie"/>
          <w:rFonts w:ascii="Arial" w:hAnsi="Arial" w:cs="Arial"/>
          <w:sz w:val="19"/>
          <w:szCs w:val="19"/>
        </w:rPr>
        <w:footnoteRef/>
      </w:r>
      <w:r w:rsidRPr="00EA10E4">
        <w:rPr>
          <w:rFonts w:ascii="Arial" w:hAnsi="Arial" w:cs="Arial"/>
          <w:sz w:val="19"/>
          <w:szCs w:val="19"/>
        </w:rPr>
        <w:t xml:space="preserve"> </w:t>
      </w:r>
      <w:r w:rsidRPr="00EA10E4">
        <w:rPr>
          <w:rFonts w:ascii="Arial" w:hAnsi="Arial" w:cs="Arial"/>
          <w:sz w:val="19"/>
          <w:szCs w:val="19"/>
          <w:lang w:val="es-ES"/>
        </w:rPr>
        <w:t>Diccionario de la Lengua Española. En: https://dle.rae.es/participar</w:t>
      </w:r>
    </w:p>
  </w:footnote>
  <w:footnote w:id="14">
    <w:p w:rsidRPr="008640C4" w:rsidR="00B12ACA" w:rsidP="00B12ACA" w:rsidRDefault="00B12ACA" w14:paraId="3ED4E6D1" w14:textId="77777777">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Disponible en: https://www.urosario.edu.co/jurisprudencia/catedra-viva-intercultural/Documentos/CONVENIO-OIT-169.pdf</w:t>
      </w:r>
    </w:p>
  </w:footnote>
  <w:footnote w:id="15">
    <w:p w:rsidR="00B12ACA" w:rsidP="00B12ACA" w:rsidRDefault="00B12ACA" w14:paraId="08A7A8FC" w14:textId="77777777">
      <w:pPr>
        <w:pStyle w:val="Textonotapie"/>
        <w:ind w:firstLine="709"/>
        <w:jc w:val="both"/>
        <w:rPr>
          <w:rFonts w:ascii="Arial" w:hAnsi="Arial" w:cs="Arial"/>
          <w:sz w:val="19"/>
          <w:szCs w:val="19"/>
        </w:rPr>
      </w:pPr>
    </w:p>
    <w:p w:rsidRPr="008640C4" w:rsidR="00B12ACA" w:rsidP="00B12ACA" w:rsidRDefault="00B12ACA" w14:paraId="230A82D9" w14:textId="77777777">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Ministerio de Cultura. Afrocolombianos, población con huellas de africanía. Disponible en: https://mincultura.gov.co/areas/poblaciones/comunidades-negras-afrocolombianas-raizales-y-palenqueras/Documents/Caracterizaci%C3%B3n%20comunidades%20negras%20y%20afrocolombianas.pdf</w:t>
      </w:r>
    </w:p>
  </w:footnote>
  <w:footnote w:id="16">
    <w:p w:rsidRPr="008640C4" w:rsidR="00B12ACA" w:rsidP="00B12ACA" w:rsidRDefault="00B12ACA" w14:paraId="654A7441" w14:textId="77777777">
      <w:pPr>
        <w:pStyle w:val="Textonotapie"/>
        <w:ind w:firstLine="709"/>
        <w:jc w:val="both"/>
        <w:rPr>
          <w:rFonts w:ascii="Arial" w:hAnsi="Arial" w:cs="Arial"/>
          <w:sz w:val="19"/>
          <w:szCs w:val="19"/>
          <w:lang w:val="es-CO"/>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Comunidades negras, afrocolombianas, raizales y palenqueras. Disponible en: https://www.unidadvictimas.gov.co/es/comunidades-negras-afrocolombianas-raizales-y-palenqueras/277</w:t>
      </w:r>
    </w:p>
  </w:footnote>
  <w:footnote w:id="17">
    <w:p w:rsidR="00B12ACA" w:rsidP="00B12ACA" w:rsidRDefault="00B12ACA" w14:paraId="745ACF01" w14:textId="77777777">
      <w:pPr>
        <w:pStyle w:val="Textonotapie"/>
        <w:ind w:firstLine="709"/>
        <w:jc w:val="both"/>
        <w:rPr>
          <w:rFonts w:ascii="Arial" w:hAnsi="Arial" w:cs="Arial"/>
          <w:sz w:val="19"/>
          <w:szCs w:val="19"/>
        </w:rPr>
      </w:pPr>
    </w:p>
    <w:p w:rsidRPr="008640C4" w:rsidR="00B12ACA" w:rsidP="00B12ACA" w:rsidRDefault="00B12ACA" w14:paraId="5AC4610F" w14:textId="77777777">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Ibíd.</w:t>
      </w:r>
    </w:p>
  </w:footnote>
  <w:footnote w:id="18">
    <w:p w:rsidR="00B12ACA" w:rsidP="00B12ACA" w:rsidRDefault="00B12ACA" w14:paraId="3ACC547E" w14:textId="77777777">
      <w:pPr>
        <w:pStyle w:val="Textonotapie"/>
        <w:ind w:firstLine="709"/>
        <w:jc w:val="both"/>
        <w:rPr>
          <w:rFonts w:ascii="Arial" w:hAnsi="Arial" w:cs="Arial"/>
          <w:sz w:val="19"/>
          <w:szCs w:val="19"/>
        </w:rPr>
      </w:pPr>
    </w:p>
    <w:p w:rsidR="00B12ACA" w:rsidP="00B12ACA" w:rsidRDefault="00B12ACA" w14:paraId="4BD229A8" w14:textId="4C0AAB9B">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Según el numeral 3 del artículo 4 del Decreto 2957 de 2010, «Para los Rom, el acto físico de ir de un lugar a otro es apenas un aspecto de su identidad cultural y de su estilo de vida. Dado que el nomadismo significa ante todo una manera de ver el mundo, una actitud particular respecto a la vivienda, al trabajo y a la vida en general, el nomadismo sustenta y da vida a una cosmovisión particular y radicalmente diferente a la que ostentan los pueblos sedentarios. El grupo étnico Rom o Gitano continúa siendo nómada aun cuando no esté realizando desplazamientos permanentemente por cuanto el nomadismo, además, es un estado que hace parte de su espiritualidad e imaginario colectivo».</w:t>
      </w:r>
    </w:p>
    <w:p w:rsidRPr="008640C4" w:rsidR="00814549" w:rsidP="00B12ACA" w:rsidRDefault="00814549" w14:paraId="5066492D" w14:textId="77777777">
      <w:pPr>
        <w:pStyle w:val="Textonotapie"/>
        <w:ind w:firstLine="709"/>
        <w:jc w:val="both"/>
        <w:rPr>
          <w:rFonts w:ascii="Arial" w:hAnsi="Arial" w:cs="Arial"/>
          <w:sz w:val="19"/>
          <w:szCs w:val="19"/>
          <w:lang w:val="es-CO"/>
        </w:rPr>
      </w:pPr>
    </w:p>
  </w:footnote>
  <w:footnote w:id="19">
    <w:p w:rsidRPr="00EA10E4" w:rsidR="00642F7C" w:rsidP="00EA10E4" w:rsidRDefault="00642F7C" w14:paraId="2DC3D0DE" w14:textId="2E5480D8">
      <w:pPr>
        <w:pStyle w:val="Textonotapie"/>
        <w:ind w:firstLine="709"/>
        <w:jc w:val="both"/>
        <w:rPr>
          <w:rFonts w:ascii="Arial" w:hAnsi="Arial" w:cs="Arial"/>
          <w:sz w:val="19"/>
          <w:szCs w:val="19"/>
        </w:rPr>
      </w:pPr>
      <w:r w:rsidRPr="00EA10E4">
        <w:rPr>
          <w:rStyle w:val="Refdenotaalpie"/>
          <w:rFonts w:ascii="Arial" w:hAnsi="Arial" w:cs="Arial"/>
          <w:sz w:val="19"/>
          <w:szCs w:val="19"/>
        </w:rPr>
        <w:footnoteRef/>
      </w:r>
      <w:r w:rsidRPr="00EA10E4">
        <w:rPr>
          <w:rFonts w:ascii="Arial" w:hAnsi="Arial" w:cs="Arial"/>
          <w:sz w:val="19"/>
          <w:szCs w:val="19"/>
        </w:rPr>
        <w:t xml:space="preserve"> </w:t>
      </w:r>
      <w:r w:rsidRPr="00EA10E4" w:rsidR="00B21271">
        <w:rPr>
          <w:rFonts w:ascii="Arial" w:hAnsi="Arial" w:cs="Arial"/>
          <w:sz w:val="19"/>
          <w:szCs w:val="19"/>
        </w:rPr>
        <w:t>En:</w:t>
      </w:r>
      <w:r w:rsidRPr="00EA10E4">
        <w:rPr>
          <w:rFonts w:ascii="Arial" w:hAnsi="Arial" w:cs="Arial"/>
          <w:sz w:val="19"/>
          <w:szCs w:val="19"/>
        </w:rPr>
        <w:t xml:space="preserve"> </w:t>
      </w:r>
      <w:r w:rsidRPr="00EA10E4" w:rsidR="00B21271">
        <w:rPr>
          <w:rFonts w:ascii="Arial" w:hAnsi="Arial" w:cs="Arial"/>
          <w:sz w:val="19"/>
          <w:szCs w:val="19"/>
        </w:rPr>
        <w:t>https://www.mininterior.gov.co/el-ministerio/funciones-y-deberes</w:t>
      </w:r>
    </w:p>
  </w:footnote>
  <w:footnote w:id="20">
    <w:p w:rsidRPr="008640C4" w:rsidR="007628CA" w:rsidP="007628CA" w:rsidRDefault="007628CA" w14:paraId="11818780" w14:textId="77777777">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En: http://www.reincorporacion.gov.co/es/agencia</w:t>
      </w:r>
    </w:p>
  </w:footnote>
  <w:footnote w:id="21">
    <w:p w:rsidRPr="00EA10E4" w:rsidR="00182368" w:rsidP="00182368" w:rsidRDefault="00182368" w14:paraId="1CA721AF" w14:textId="77777777">
      <w:pPr>
        <w:pStyle w:val="Textonotapie"/>
        <w:ind w:firstLine="709"/>
        <w:jc w:val="both"/>
        <w:rPr>
          <w:rFonts w:ascii="Arial" w:hAnsi="Arial" w:cs="Arial"/>
          <w:sz w:val="19"/>
          <w:szCs w:val="19"/>
        </w:rPr>
      </w:pPr>
      <w:r w:rsidRPr="00EA10E4">
        <w:rPr>
          <w:rStyle w:val="Refdenotaalpie"/>
          <w:rFonts w:ascii="Arial" w:hAnsi="Arial" w:cs="Arial"/>
          <w:sz w:val="19"/>
          <w:szCs w:val="19"/>
        </w:rPr>
        <w:footnoteRef/>
      </w:r>
      <w:r w:rsidRPr="00EA10E4">
        <w:rPr>
          <w:rFonts w:ascii="Arial" w:hAnsi="Arial" w:cs="Arial"/>
          <w:sz w:val="19"/>
          <w:szCs w:val="19"/>
        </w:rPr>
        <w:t xml:space="preserve"> En: https://www.mininterior.gov.co/el-ministerio/funciones-y-deberes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8F4163" w:rsidRDefault="008F4163" w14:paraId="6520770B" w14:textId="1A2BB94C">
    <w:pPr>
      <w:pStyle w:val="Encabezado"/>
    </w:pPr>
    <w:r>
      <w:rPr>
        <w:noProof/>
        <w:lang w:val="es-ES_tradnl" w:eastAsia="es-ES_tradnl"/>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0442D24"/>
    <w:multiLevelType w:val="hybrid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 w15:restartNumberingAfterBreak="0">
    <w:nsid w:val="17E60FA7"/>
    <w:multiLevelType w:val="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3" w15:restartNumberingAfterBreak="0">
    <w:nsid w:val="1D712575"/>
    <w:multiLevelType w:val="hybrid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2A53DDF"/>
    <w:multiLevelType w:val="hybridMultilevel"/>
    <w:tmpl w:val="A99C5180"/>
    <w:lvl w:ilvl="0">
      <w:start w:val="1"/>
      <w:numFmt w:val="decimal"/>
      <w:lvlText w:val="%1."/>
      <w:lvlJc w:val="left"/>
      <w:pPr>
        <w:ind w:left="660" w:hanging="360"/>
      </w:pPr>
      <w:rPr>
        <w:rFonts w:hint="default" w:ascii="Arial" w:hAnsi="Arial" w:eastAsia="Arial" w:cs="Arial"/>
        <w:b/>
        <w:bCs/>
        <w:color w:val="auto"/>
        <w:spacing w:val="-8"/>
        <w:w w:val="100"/>
        <w:sz w:val="22"/>
        <w:szCs w:val="22"/>
        <w:lang w:val="es-ES" w:eastAsia="en-US" w:bidi="ar-SA"/>
      </w:rPr>
    </w:lvl>
    <w:lvl w:ilvl="1">
      <w:start w:val="1"/>
      <w:numFmt w:val="decimal"/>
      <w:lvlText w:val="%1.%2"/>
      <w:lvlJc w:val="left"/>
      <w:pPr>
        <w:ind w:left="665" w:hanging="365"/>
      </w:pPr>
      <w:rPr>
        <w:rFonts w:hint="default" w:ascii="Arial" w:hAnsi="Arial" w:eastAsia="Arial" w:cs="Arial"/>
        <w:b/>
        <w:bCs/>
        <w:color w:val="auto"/>
        <w:spacing w:val="-1"/>
        <w:w w:val="100"/>
        <w:sz w:val="22"/>
        <w:szCs w:val="22"/>
        <w:lang w:val="es-ES" w:eastAsia="en-US" w:bidi="ar-SA"/>
      </w:rPr>
    </w:lvl>
    <w:lvl w:ilvl="2">
      <w:start w:val="1"/>
      <w:numFmt w:val="decimal"/>
      <w:lvlText w:val="%3)"/>
      <w:lvlJc w:val="left"/>
      <w:pPr>
        <w:ind w:left="1008" w:hanging="265"/>
      </w:pPr>
      <w:rPr>
        <w:rFonts w:hint="default" w:ascii="Arial" w:hAnsi="Arial" w:eastAsia="Arial" w:cs="Arial"/>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6" w15:restartNumberingAfterBreak="0">
    <w:nsid w:val="2D96052C"/>
    <w:multiLevelType w:val="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0D7E6C"/>
    <w:multiLevelType w:val="multilevel"/>
    <w:tmpl w:val="836404E2"/>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8"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1B41044"/>
    <w:multiLevelType w:val="multilevel"/>
    <w:tmpl w:val="836404E2"/>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rPr>
    </w:lvl>
    <w:lvl w:ilvl="8" w:tplc="0C0A0005" w:tentative="1">
      <w:start w:val="1"/>
      <w:numFmt w:val="bullet"/>
      <w:lvlText w:val=""/>
      <w:lvlJc w:val="left"/>
      <w:pPr>
        <w:ind w:left="6480" w:hanging="360"/>
      </w:pPr>
      <w:rPr>
        <w:rFonts w:hint="default" w:ascii="Wingdings" w:hAnsi="Wingdings"/>
      </w:rPr>
    </w:lvl>
  </w:abstractNum>
  <w:abstractNum w:abstractNumId="10"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1"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82459AB"/>
    <w:multiLevelType w:val="multilevel"/>
    <w:tmpl w:val="F7E4801A"/>
    <w:lvl w:ilvl="0" w:tplc="07686820">
      <w:start w:val="1"/>
      <w:numFmt w:val="bullet"/>
      <w:lvlText w:val=""/>
      <w:lvlJc w:val="left"/>
      <w:pPr>
        <w:ind w:left="720" w:hanging="360"/>
      </w:pPr>
      <w:rPr>
        <w:rFonts w:hint="default" w:ascii="Wingdings" w:hAnsi="Wingdings"/>
        <w:color w:val="0E63A8"/>
        <w:sz w:val="28"/>
      </w:rPr>
    </w:lvl>
    <w:lvl w:ilvl="1" w:tplc="0C0A0003" w:tentative="1">
      <w:start w:val="1"/>
      <w:numFmt w:val="bullet"/>
      <w:lvlText w:val="o"/>
      <w:lvlJc w:val="left"/>
      <w:pPr>
        <w:ind w:left="1440" w:hanging="360"/>
      </w:pPr>
      <w:rPr>
        <w:rFonts w:hint="default" w:ascii="Courier New" w:hAnsi="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rPr>
    </w:lvl>
    <w:lvl w:ilvl="8" w:tplc="0C0A0005" w:tentative="1">
      <w:start w:val="1"/>
      <w:numFmt w:val="bullet"/>
      <w:lvlText w:val=""/>
      <w:lvlJc w:val="left"/>
      <w:pPr>
        <w:ind w:left="6480" w:hanging="360"/>
      </w:pPr>
      <w:rPr>
        <w:rFonts w:hint="default" w:ascii="Wingdings" w:hAnsi="Wingdings"/>
      </w:rPr>
    </w:lvl>
  </w:abstractNum>
  <w:abstractNum w:abstractNumId="13" w15:restartNumberingAfterBreak="0">
    <w:nsid w:val="4923772D"/>
    <w:multiLevelType w:val="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1F2084E"/>
    <w:multiLevelType w:val="hybrid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9112A3E"/>
    <w:multiLevelType w:val="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6" w15:restartNumberingAfterBreak="0">
    <w:nsid w:val="597D4B97"/>
    <w:multiLevelType w:val="multilevel"/>
    <w:tmpl w:val="576C41F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5A9A2200"/>
    <w:multiLevelType w:val="hybrid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8" w15:restartNumberingAfterBreak="0">
    <w:nsid w:val="68FA17E7"/>
    <w:multiLevelType w:val="hybrid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9"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0" w15:restartNumberingAfterBreak="0">
    <w:nsid w:val="70C9241D"/>
    <w:multiLevelType w:val="multilevel"/>
    <w:tmpl w:val="B0B487B8"/>
    <w:lvl w:ilvl="0" w:tplc="AAC4AE08">
      <w:start w:val="1"/>
      <w:numFmt w:val="lowerRoman"/>
      <w:lvlText w:val="%1."/>
      <w:lvlJc w:val="right"/>
      <w:pPr>
        <w:ind w:left="1429" w:hanging="360"/>
      </w:pPr>
      <w:rPr>
        <w:rFonts w:ascii="Arial" w:hAnsi="Arial" w:eastAsia="Calibri"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21" w15:restartNumberingAfterBreak="0">
    <w:nsid w:val="72FA202B"/>
    <w:multiLevelType w:val="multilevel"/>
    <w:tmpl w:val="510EE350"/>
    <w:lvl w:ilvl="0" w:tplc="EBCEC2A2">
      <w:start w:val="232"/>
      <w:numFmt w:val="bullet"/>
      <w:lvlText w:val="-"/>
      <w:lvlJc w:val="left"/>
      <w:pPr>
        <w:ind w:left="720" w:hanging="360"/>
      </w:pPr>
      <w:rPr>
        <w:rFonts w:hint="default" w:ascii="Arial" w:hAnsi="Arial" w:cs="Arial" w:eastAsiaTheme="minorHAnsi"/>
      </w:rPr>
    </w:lvl>
    <w:lvl w:ilvl="1" w:tplc="240A0003">
      <w:start w:val="1"/>
      <w:numFmt w:val="bullet"/>
      <w:lvlText w:val="o"/>
      <w:lvlJc w:val="left"/>
      <w:pPr>
        <w:ind w:left="1440" w:hanging="360"/>
      </w:pPr>
      <w:rPr>
        <w:rFonts w:hint="default" w:ascii="Courier New" w:hAnsi="Courier New" w:cs="Courier New"/>
      </w:rPr>
    </w:lvl>
    <w:lvl w:ilvl="2" w:tplc="240A0005">
      <w:start w:val="1"/>
      <w:numFmt w:val="bullet"/>
      <w:lvlText w:val=""/>
      <w:lvlJc w:val="left"/>
      <w:pPr>
        <w:ind w:left="2160" w:hanging="360"/>
      </w:pPr>
      <w:rPr>
        <w:rFonts w:hint="default" w:ascii="Wingdings" w:hAnsi="Wingdings"/>
      </w:rPr>
    </w:lvl>
    <w:lvl w:ilvl="3" w:tplc="240A0001">
      <w:start w:val="1"/>
      <w:numFmt w:val="bullet"/>
      <w:lvlText w:val=""/>
      <w:lvlJc w:val="left"/>
      <w:pPr>
        <w:ind w:left="2880" w:hanging="360"/>
      </w:pPr>
      <w:rPr>
        <w:rFonts w:hint="default" w:ascii="Symbol" w:hAnsi="Symbol"/>
      </w:rPr>
    </w:lvl>
    <w:lvl w:ilvl="4" w:tplc="240A0003">
      <w:start w:val="1"/>
      <w:numFmt w:val="bullet"/>
      <w:lvlText w:val="o"/>
      <w:lvlJc w:val="left"/>
      <w:pPr>
        <w:ind w:left="3600" w:hanging="360"/>
      </w:pPr>
      <w:rPr>
        <w:rFonts w:hint="default" w:ascii="Courier New" w:hAnsi="Courier New" w:cs="Courier New"/>
      </w:rPr>
    </w:lvl>
    <w:lvl w:ilvl="5" w:tplc="240A0005">
      <w:start w:val="1"/>
      <w:numFmt w:val="bullet"/>
      <w:lvlText w:val=""/>
      <w:lvlJc w:val="left"/>
      <w:pPr>
        <w:ind w:left="4320" w:hanging="360"/>
      </w:pPr>
      <w:rPr>
        <w:rFonts w:hint="default" w:ascii="Wingdings" w:hAnsi="Wingdings"/>
      </w:rPr>
    </w:lvl>
    <w:lvl w:ilvl="6" w:tplc="240A0001">
      <w:start w:val="1"/>
      <w:numFmt w:val="bullet"/>
      <w:lvlText w:val=""/>
      <w:lvlJc w:val="left"/>
      <w:pPr>
        <w:ind w:left="5040" w:hanging="360"/>
      </w:pPr>
      <w:rPr>
        <w:rFonts w:hint="default" w:ascii="Symbol" w:hAnsi="Symbol"/>
      </w:rPr>
    </w:lvl>
    <w:lvl w:ilvl="7" w:tplc="240A0003">
      <w:start w:val="1"/>
      <w:numFmt w:val="bullet"/>
      <w:lvlText w:val="o"/>
      <w:lvlJc w:val="left"/>
      <w:pPr>
        <w:ind w:left="5760" w:hanging="360"/>
      </w:pPr>
      <w:rPr>
        <w:rFonts w:hint="default" w:ascii="Courier New" w:hAnsi="Courier New" w:cs="Courier New"/>
      </w:rPr>
    </w:lvl>
    <w:lvl w:ilvl="8" w:tplc="240A0005">
      <w:start w:val="1"/>
      <w:numFmt w:val="bullet"/>
      <w:lvlText w:val=""/>
      <w:lvlJc w:val="left"/>
      <w:pPr>
        <w:ind w:left="6480" w:hanging="360"/>
      </w:pPr>
      <w:rPr>
        <w:rFonts w:hint="default" w:ascii="Wingdings" w:hAnsi="Wingdings"/>
      </w:rPr>
    </w:lvl>
  </w:abstractNum>
  <w:abstractNum w:abstractNumId="22" w15:restartNumberingAfterBreak="0">
    <w:nsid w:val="736A0777"/>
    <w:multiLevelType w:val="multilevel"/>
    <w:tmpl w:val="510EE350"/>
    <w:lvl w:ilvl="0">
      <w:start w:val="232"/>
      <w:numFmt w:val="bullet"/>
      <w:lvlText w:val="-"/>
      <w:lvlJc w:val="left"/>
      <w:pPr>
        <w:ind w:left="720" w:hanging="360"/>
      </w:pPr>
      <w:rPr>
        <w:rFonts w:hint="default" w:ascii="Arial" w:hAnsi="Arial" w:cs="Arial" w:eastAsiaTheme="minorHAnsi"/>
      </w:rPr>
    </w:lvl>
    <w:lvl w:ilvl="1">
      <w:start w:val="1"/>
      <w:numFmt w:val="bullet"/>
      <w:lvlText w:val="o"/>
      <w:lvlJc w:val="left"/>
      <w:pPr>
        <w:ind w:left="1440" w:hanging="360"/>
      </w:pPr>
      <w:rPr>
        <w:rFonts w:hint="default" w:ascii="Courier New" w:hAnsi="Courier New" w:cs="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23" w15:restartNumberingAfterBreak="0">
    <w:nsid w:val="7CCD0A55"/>
    <w:multiLevelType w:val="hybrid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abstractNumId w:val="9"/>
  </w:num>
  <w:num w:numId="2">
    <w:abstractNumId w:val="7"/>
  </w:num>
  <w:num w:numId="3">
    <w:abstractNumId w:val="12"/>
  </w:num>
  <w:num w:numId="4">
    <w:abstractNumId w:val="15"/>
  </w:num>
  <w:num w:numId="5">
    <w:abstractNumId w:val="19"/>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num>
  <w:num w:numId="8">
    <w:abstractNumId w:val="0"/>
  </w:num>
  <w:num w:numId="9">
    <w:abstractNumId w:val="3"/>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11"/>
  </w:num>
  <w:num w:numId="14">
    <w:abstractNumId w:val="6"/>
  </w:num>
  <w:num w:numId="15">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num>
  <w:num w:numId="18">
    <w:abstractNumId w:val="13"/>
  </w:num>
  <w:num w:numId="19">
    <w:abstractNumId w:val="2"/>
  </w:num>
  <w:num w:numId="20">
    <w:abstractNumId w:val="22"/>
  </w:num>
  <w:num w:numId="21">
    <w:abstractNumId w:val="14"/>
  </w:num>
  <w:num w:numId="22">
    <w:abstractNumId w:val="5"/>
  </w:num>
  <w:num w:numId="23">
    <w:abstractNumId w:val="4"/>
  </w:num>
  <w:num w:numId="24">
    <w:abstractNumId w:val="20"/>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7"/>
  <w:proofState w:spelling="clean" w:grammar="dirty"/>
  <w:attachedTemplate r:id="rId1"/>
  <w:trackRevisions w:val="false"/>
  <w:defaultTabStop w:val="708"/>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559"/>
    <w:rsid w:val="0000162E"/>
    <w:rsid w:val="00001A1C"/>
    <w:rsid w:val="00001FFD"/>
    <w:rsid w:val="00002027"/>
    <w:rsid w:val="000020FE"/>
    <w:rsid w:val="00002173"/>
    <w:rsid w:val="000031A8"/>
    <w:rsid w:val="00003C5C"/>
    <w:rsid w:val="00003D39"/>
    <w:rsid w:val="000040D7"/>
    <w:rsid w:val="00004556"/>
    <w:rsid w:val="000051AF"/>
    <w:rsid w:val="000059D3"/>
    <w:rsid w:val="00005B6D"/>
    <w:rsid w:val="0000600A"/>
    <w:rsid w:val="00006081"/>
    <w:rsid w:val="00007750"/>
    <w:rsid w:val="000077FD"/>
    <w:rsid w:val="00007E37"/>
    <w:rsid w:val="00010C40"/>
    <w:rsid w:val="000112B4"/>
    <w:rsid w:val="00011DCC"/>
    <w:rsid w:val="00012532"/>
    <w:rsid w:val="00012B9E"/>
    <w:rsid w:val="00012F37"/>
    <w:rsid w:val="00012FBA"/>
    <w:rsid w:val="00013C6B"/>
    <w:rsid w:val="0001406B"/>
    <w:rsid w:val="000143F8"/>
    <w:rsid w:val="00014624"/>
    <w:rsid w:val="00015B44"/>
    <w:rsid w:val="00016081"/>
    <w:rsid w:val="000165AC"/>
    <w:rsid w:val="00016651"/>
    <w:rsid w:val="000171A2"/>
    <w:rsid w:val="00017B65"/>
    <w:rsid w:val="00020158"/>
    <w:rsid w:val="000207E0"/>
    <w:rsid w:val="000209E2"/>
    <w:rsid w:val="00020F8F"/>
    <w:rsid w:val="00021A95"/>
    <w:rsid w:val="0002256F"/>
    <w:rsid w:val="00023DAE"/>
    <w:rsid w:val="00024896"/>
    <w:rsid w:val="000255FA"/>
    <w:rsid w:val="00025D0A"/>
    <w:rsid w:val="000263F0"/>
    <w:rsid w:val="00026407"/>
    <w:rsid w:val="00026608"/>
    <w:rsid w:val="00027787"/>
    <w:rsid w:val="000278D2"/>
    <w:rsid w:val="00030DFB"/>
    <w:rsid w:val="00031364"/>
    <w:rsid w:val="000315E1"/>
    <w:rsid w:val="0003236E"/>
    <w:rsid w:val="0003339A"/>
    <w:rsid w:val="000341F2"/>
    <w:rsid w:val="00035046"/>
    <w:rsid w:val="000351F2"/>
    <w:rsid w:val="00036E03"/>
    <w:rsid w:val="000406DB"/>
    <w:rsid w:val="0004094D"/>
    <w:rsid w:val="00041029"/>
    <w:rsid w:val="00041357"/>
    <w:rsid w:val="0004149B"/>
    <w:rsid w:val="00041FC6"/>
    <w:rsid w:val="00042961"/>
    <w:rsid w:val="00042C25"/>
    <w:rsid w:val="00042D03"/>
    <w:rsid w:val="00043086"/>
    <w:rsid w:val="000430A0"/>
    <w:rsid w:val="00043399"/>
    <w:rsid w:val="00043D3B"/>
    <w:rsid w:val="0004418C"/>
    <w:rsid w:val="00044204"/>
    <w:rsid w:val="0004477A"/>
    <w:rsid w:val="000449D4"/>
    <w:rsid w:val="0004600D"/>
    <w:rsid w:val="000463B5"/>
    <w:rsid w:val="00046717"/>
    <w:rsid w:val="00046A63"/>
    <w:rsid w:val="00046C09"/>
    <w:rsid w:val="0004716A"/>
    <w:rsid w:val="00047385"/>
    <w:rsid w:val="000473E8"/>
    <w:rsid w:val="00047432"/>
    <w:rsid w:val="000504DE"/>
    <w:rsid w:val="00051074"/>
    <w:rsid w:val="000526F0"/>
    <w:rsid w:val="0005273D"/>
    <w:rsid w:val="00052B79"/>
    <w:rsid w:val="00052E4B"/>
    <w:rsid w:val="00052EA0"/>
    <w:rsid w:val="000536A7"/>
    <w:rsid w:val="000536E3"/>
    <w:rsid w:val="00053896"/>
    <w:rsid w:val="00053A00"/>
    <w:rsid w:val="0005474D"/>
    <w:rsid w:val="00055CB9"/>
    <w:rsid w:val="00056F66"/>
    <w:rsid w:val="0005702F"/>
    <w:rsid w:val="00061010"/>
    <w:rsid w:val="00061D06"/>
    <w:rsid w:val="00062CDD"/>
    <w:rsid w:val="00062DB3"/>
    <w:rsid w:val="00063472"/>
    <w:rsid w:val="000640AF"/>
    <w:rsid w:val="00064940"/>
    <w:rsid w:val="00064CAE"/>
    <w:rsid w:val="00064DB7"/>
    <w:rsid w:val="00064FA7"/>
    <w:rsid w:val="00065195"/>
    <w:rsid w:val="0006536C"/>
    <w:rsid w:val="0006626E"/>
    <w:rsid w:val="00070AF1"/>
    <w:rsid w:val="000714DE"/>
    <w:rsid w:val="0007254F"/>
    <w:rsid w:val="0007357C"/>
    <w:rsid w:val="00073C30"/>
    <w:rsid w:val="00074305"/>
    <w:rsid w:val="000744D0"/>
    <w:rsid w:val="00074B2A"/>
    <w:rsid w:val="00074EEE"/>
    <w:rsid w:val="000753D5"/>
    <w:rsid w:val="00075B3E"/>
    <w:rsid w:val="00076456"/>
    <w:rsid w:val="0007779B"/>
    <w:rsid w:val="000777E7"/>
    <w:rsid w:val="0007790A"/>
    <w:rsid w:val="0008017B"/>
    <w:rsid w:val="00080ACD"/>
    <w:rsid w:val="000811ED"/>
    <w:rsid w:val="00081D62"/>
    <w:rsid w:val="00082B74"/>
    <w:rsid w:val="00083099"/>
    <w:rsid w:val="00083EDC"/>
    <w:rsid w:val="00084B97"/>
    <w:rsid w:val="0008510E"/>
    <w:rsid w:val="000856DE"/>
    <w:rsid w:val="00085F17"/>
    <w:rsid w:val="00085FB0"/>
    <w:rsid w:val="00085FB3"/>
    <w:rsid w:val="0008686B"/>
    <w:rsid w:val="00086B2A"/>
    <w:rsid w:val="00086ED2"/>
    <w:rsid w:val="00087A64"/>
    <w:rsid w:val="0009082C"/>
    <w:rsid w:val="00090C39"/>
    <w:rsid w:val="000914D6"/>
    <w:rsid w:val="00091569"/>
    <w:rsid w:val="00092CDB"/>
    <w:rsid w:val="00092DCA"/>
    <w:rsid w:val="000942EB"/>
    <w:rsid w:val="00095B70"/>
    <w:rsid w:val="0009617E"/>
    <w:rsid w:val="0009628D"/>
    <w:rsid w:val="0009670F"/>
    <w:rsid w:val="000970E4"/>
    <w:rsid w:val="000979CF"/>
    <w:rsid w:val="000A03C8"/>
    <w:rsid w:val="000A05F2"/>
    <w:rsid w:val="000A06C4"/>
    <w:rsid w:val="000A0861"/>
    <w:rsid w:val="000A0EC4"/>
    <w:rsid w:val="000A0ED1"/>
    <w:rsid w:val="000A12DB"/>
    <w:rsid w:val="000A17C8"/>
    <w:rsid w:val="000A1B74"/>
    <w:rsid w:val="000A20D7"/>
    <w:rsid w:val="000A2128"/>
    <w:rsid w:val="000A362F"/>
    <w:rsid w:val="000A3B49"/>
    <w:rsid w:val="000A3E06"/>
    <w:rsid w:val="000A46FE"/>
    <w:rsid w:val="000A47E6"/>
    <w:rsid w:val="000A52C0"/>
    <w:rsid w:val="000A5AAF"/>
    <w:rsid w:val="000A5F97"/>
    <w:rsid w:val="000A648E"/>
    <w:rsid w:val="000A7268"/>
    <w:rsid w:val="000A73BB"/>
    <w:rsid w:val="000A73E8"/>
    <w:rsid w:val="000A7EF4"/>
    <w:rsid w:val="000B0975"/>
    <w:rsid w:val="000B0A15"/>
    <w:rsid w:val="000B103F"/>
    <w:rsid w:val="000B1437"/>
    <w:rsid w:val="000B1470"/>
    <w:rsid w:val="000B244D"/>
    <w:rsid w:val="000B2A1A"/>
    <w:rsid w:val="000B2B86"/>
    <w:rsid w:val="000B3051"/>
    <w:rsid w:val="000B419B"/>
    <w:rsid w:val="000B5781"/>
    <w:rsid w:val="000B5CB1"/>
    <w:rsid w:val="000B75F4"/>
    <w:rsid w:val="000C0185"/>
    <w:rsid w:val="000C0F81"/>
    <w:rsid w:val="000C128D"/>
    <w:rsid w:val="000C17A3"/>
    <w:rsid w:val="000C1909"/>
    <w:rsid w:val="000C1D4B"/>
    <w:rsid w:val="000C2DC4"/>
    <w:rsid w:val="000C2E6F"/>
    <w:rsid w:val="000C3260"/>
    <w:rsid w:val="000C3B77"/>
    <w:rsid w:val="000C3F6D"/>
    <w:rsid w:val="000C4F49"/>
    <w:rsid w:val="000C5861"/>
    <w:rsid w:val="000C5BDE"/>
    <w:rsid w:val="000C639D"/>
    <w:rsid w:val="000C6C31"/>
    <w:rsid w:val="000C6DBC"/>
    <w:rsid w:val="000C6F79"/>
    <w:rsid w:val="000C7476"/>
    <w:rsid w:val="000C7480"/>
    <w:rsid w:val="000C7711"/>
    <w:rsid w:val="000C7AA2"/>
    <w:rsid w:val="000D0462"/>
    <w:rsid w:val="000D053D"/>
    <w:rsid w:val="000D0ED2"/>
    <w:rsid w:val="000D107D"/>
    <w:rsid w:val="000D13FD"/>
    <w:rsid w:val="000D1CEB"/>
    <w:rsid w:val="000D2563"/>
    <w:rsid w:val="000D25BF"/>
    <w:rsid w:val="000D2FE4"/>
    <w:rsid w:val="000D3FDC"/>
    <w:rsid w:val="000D490B"/>
    <w:rsid w:val="000D4E38"/>
    <w:rsid w:val="000D50DB"/>
    <w:rsid w:val="000D6288"/>
    <w:rsid w:val="000D728B"/>
    <w:rsid w:val="000D7541"/>
    <w:rsid w:val="000D75E1"/>
    <w:rsid w:val="000E22CF"/>
    <w:rsid w:val="000E2977"/>
    <w:rsid w:val="000E2CC0"/>
    <w:rsid w:val="000E30AC"/>
    <w:rsid w:val="000E3B46"/>
    <w:rsid w:val="000E3E11"/>
    <w:rsid w:val="000E4596"/>
    <w:rsid w:val="000E4B94"/>
    <w:rsid w:val="000E4D50"/>
    <w:rsid w:val="000E5768"/>
    <w:rsid w:val="000E5843"/>
    <w:rsid w:val="000E6139"/>
    <w:rsid w:val="000E63B7"/>
    <w:rsid w:val="000E653C"/>
    <w:rsid w:val="000E6BE1"/>
    <w:rsid w:val="000E7E0B"/>
    <w:rsid w:val="000F0136"/>
    <w:rsid w:val="000F078A"/>
    <w:rsid w:val="000F122D"/>
    <w:rsid w:val="000F1450"/>
    <w:rsid w:val="000F14E8"/>
    <w:rsid w:val="000F1BBD"/>
    <w:rsid w:val="000F290F"/>
    <w:rsid w:val="000F4403"/>
    <w:rsid w:val="000F480B"/>
    <w:rsid w:val="000F4E17"/>
    <w:rsid w:val="000F5615"/>
    <w:rsid w:val="000F6578"/>
    <w:rsid w:val="000F6F92"/>
    <w:rsid w:val="000F7E8F"/>
    <w:rsid w:val="000F7FBB"/>
    <w:rsid w:val="001000FB"/>
    <w:rsid w:val="00100A9E"/>
    <w:rsid w:val="00100F6A"/>
    <w:rsid w:val="00102605"/>
    <w:rsid w:val="00102686"/>
    <w:rsid w:val="00102745"/>
    <w:rsid w:val="00103795"/>
    <w:rsid w:val="00103915"/>
    <w:rsid w:val="001039AA"/>
    <w:rsid w:val="00103EA0"/>
    <w:rsid w:val="00104149"/>
    <w:rsid w:val="00104F1C"/>
    <w:rsid w:val="001051E5"/>
    <w:rsid w:val="00105A74"/>
    <w:rsid w:val="00105ACB"/>
    <w:rsid w:val="00105AEF"/>
    <w:rsid w:val="00106259"/>
    <w:rsid w:val="001068EB"/>
    <w:rsid w:val="001078CE"/>
    <w:rsid w:val="00110F61"/>
    <w:rsid w:val="001111BD"/>
    <w:rsid w:val="0011165A"/>
    <w:rsid w:val="00111B2B"/>
    <w:rsid w:val="00112774"/>
    <w:rsid w:val="00112B2E"/>
    <w:rsid w:val="00113003"/>
    <w:rsid w:val="00113062"/>
    <w:rsid w:val="0011359A"/>
    <w:rsid w:val="00113705"/>
    <w:rsid w:val="00113975"/>
    <w:rsid w:val="00113CFC"/>
    <w:rsid w:val="00113FEA"/>
    <w:rsid w:val="00114A22"/>
    <w:rsid w:val="00114E9D"/>
    <w:rsid w:val="0011507B"/>
    <w:rsid w:val="00115C37"/>
    <w:rsid w:val="00116328"/>
    <w:rsid w:val="001163CF"/>
    <w:rsid w:val="001174C9"/>
    <w:rsid w:val="001177FE"/>
    <w:rsid w:val="00117E69"/>
    <w:rsid w:val="00121103"/>
    <w:rsid w:val="00121B78"/>
    <w:rsid w:val="00121BAB"/>
    <w:rsid w:val="00121E3C"/>
    <w:rsid w:val="00122B23"/>
    <w:rsid w:val="00122B7E"/>
    <w:rsid w:val="00123E27"/>
    <w:rsid w:val="00123FB5"/>
    <w:rsid w:val="0012400F"/>
    <w:rsid w:val="001249DC"/>
    <w:rsid w:val="0012572D"/>
    <w:rsid w:val="00125BED"/>
    <w:rsid w:val="00125C59"/>
    <w:rsid w:val="00125D4F"/>
    <w:rsid w:val="001264EE"/>
    <w:rsid w:val="00127004"/>
    <w:rsid w:val="0012770B"/>
    <w:rsid w:val="00127AF2"/>
    <w:rsid w:val="00127EDC"/>
    <w:rsid w:val="00127F42"/>
    <w:rsid w:val="00127F6D"/>
    <w:rsid w:val="00130355"/>
    <w:rsid w:val="00130365"/>
    <w:rsid w:val="001304E5"/>
    <w:rsid w:val="00131B5A"/>
    <w:rsid w:val="00132C30"/>
    <w:rsid w:val="00132EFD"/>
    <w:rsid w:val="00133AED"/>
    <w:rsid w:val="00134BCD"/>
    <w:rsid w:val="00134E09"/>
    <w:rsid w:val="001350AB"/>
    <w:rsid w:val="00135DB9"/>
    <w:rsid w:val="00135E5D"/>
    <w:rsid w:val="0013695C"/>
    <w:rsid w:val="00136BF7"/>
    <w:rsid w:val="00136C78"/>
    <w:rsid w:val="001378B9"/>
    <w:rsid w:val="00137FFA"/>
    <w:rsid w:val="00140109"/>
    <w:rsid w:val="0014029B"/>
    <w:rsid w:val="00140464"/>
    <w:rsid w:val="00140A4F"/>
    <w:rsid w:val="001413AB"/>
    <w:rsid w:val="00141DBF"/>
    <w:rsid w:val="00142EFD"/>
    <w:rsid w:val="00144335"/>
    <w:rsid w:val="0014502F"/>
    <w:rsid w:val="00145282"/>
    <w:rsid w:val="001453B0"/>
    <w:rsid w:val="001454D9"/>
    <w:rsid w:val="00145D8E"/>
    <w:rsid w:val="00146083"/>
    <w:rsid w:val="001462F7"/>
    <w:rsid w:val="001471AB"/>
    <w:rsid w:val="00147F35"/>
    <w:rsid w:val="00150005"/>
    <w:rsid w:val="00151AEB"/>
    <w:rsid w:val="00151B99"/>
    <w:rsid w:val="00151E79"/>
    <w:rsid w:val="001521B2"/>
    <w:rsid w:val="00152EDD"/>
    <w:rsid w:val="00153491"/>
    <w:rsid w:val="0015361C"/>
    <w:rsid w:val="0015372F"/>
    <w:rsid w:val="00153BFB"/>
    <w:rsid w:val="0015407E"/>
    <w:rsid w:val="0015448E"/>
    <w:rsid w:val="00154A6F"/>
    <w:rsid w:val="00155BED"/>
    <w:rsid w:val="00155D08"/>
    <w:rsid w:val="0015623B"/>
    <w:rsid w:val="00156BE5"/>
    <w:rsid w:val="00157232"/>
    <w:rsid w:val="001576A9"/>
    <w:rsid w:val="00160401"/>
    <w:rsid w:val="00160D4E"/>
    <w:rsid w:val="00161DDA"/>
    <w:rsid w:val="00161E62"/>
    <w:rsid w:val="00161F1C"/>
    <w:rsid w:val="0016200B"/>
    <w:rsid w:val="0016204B"/>
    <w:rsid w:val="00163D7A"/>
    <w:rsid w:val="00164281"/>
    <w:rsid w:val="00165703"/>
    <w:rsid w:val="00165E5C"/>
    <w:rsid w:val="00166204"/>
    <w:rsid w:val="00166797"/>
    <w:rsid w:val="0016685F"/>
    <w:rsid w:val="0016712F"/>
    <w:rsid w:val="00167503"/>
    <w:rsid w:val="001676A9"/>
    <w:rsid w:val="00167A15"/>
    <w:rsid w:val="00167A50"/>
    <w:rsid w:val="00167D1A"/>
    <w:rsid w:val="00167DF5"/>
    <w:rsid w:val="00170001"/>
    <w:rsid w:val="001706D2"/>
    <w:rsid w:val="00171362"/>
    <w:rsid w:val="00172198"/>
    <w:rsid w:val="00172612"/>
    <w:rsid w:val="00172817"/>
    <w:rsid w:val="001734E3"/>
    <w:rsid w:val="001742BF"/>
    <w:rsid w:val="001742E1"/>
    <w:rsid w:val="00175BE2"/>
    <w:rsid w:val="00175E49"/>
    <w:rsid w:val="0017649F"/>
    <w:rsid w:val="0017655B"/>
    <w:rsid w:val="001805C1"/>
    <w:rsid w:val="00180A2E"/>
    <w:rsid w:val="001813AF"/>
    <w:rsid w:val="00182368"/>
    <w:rsid w:val="001826C9"/>
    <w:rsid w:val="001829CD"/>
    <w:rsid w:val="00182F01"/>
    <w:rsid w:val="00184219"/>
    <w:rsid w:val="00184F27"/>
    <w:rsid w:val="0018519B"/>
    <w:rsid w:val="00185966"/>
    <w:rsid w:val="00185A2D"/>
    <w:rsid w:val="00185AFE"/>
    <w:rsid w:val="00185E78"/>
    <w:rsid w:val="00187177"/>
    <w:rsid w:val="00187ABD"/>
    <w:rsid w:val="001904E3"/>
    <w:rsid w:val="0019087A"/>
    <w:rsid w:val="00191C5A"/>
    <w:rsid w:val="00191CEB"/>
    <w:rsid w:val="00191E63"/>
    <w:rsid w:val="00192D68"/>
    <w:rsid w:val="0019388B"/>
    <w:rsid w:val="00193ADE"/>
    <w:rsid w:val="00193B9A"/>
    <w:rsid w:val="001940ED"/>
    <w:rsid w:val="001946AE"/>
    <w:rsid w:val="001946D5"/>
    <w:rsid w:val="00194E8C"/>
    <w:rsid w:val="00195D68"/>
    <w:rsid w:val="00195F02"/>
    <w:rsid w:val="001962EC"/>
    <w:rsid w:val="001963DD"/>
    <w:rsid w:val="001965DB"/>
    <w:rsid w:val="00196D01"/>
    <w:rsid w:val="00196DC9"/>
    <w:rsid w:val="00196E95"/>
    <w:rsid w:val="00197758"/>
    <w:rsid w:val="001A0236"/>
    <w:rsid w:val="001A0915"/>
    <w:rsid w:val="001A0AF8"/>
    <w:rsid w:val="001A0E1B"/>
    <w:rsid w:val="001A1490"/>
    <w:rsid w:val="001A18D5"/>
    <w:rsid w:val="001A1A38"/>
    <w:rsid w:val="001A1BE0"/>
    <w:rsid w:val="001A1D4A"/>
    <w:rsid w:val="001A3011"/>
    <w:rsid w:val="001A3078"/>
    <w:rsid w:val="001A4A9B"/>
    <w:rsid w:val="001A4B32"/>
    <w:rsid w:val="001A4DAF"/>
    <w:rsid w:val="001A54CD"/>
    <w:rsid w:val="001A66DF"/>
    <w:rsid w:val="001A67D0"/>
    <w:rsid w:val="001A6863"/>
    <w:rsid w:val="001A7591"/>
    <w:rsid w:val="001A75B1"/>
    <w:rsid w:val="001A7B06"/>
    <w:rsid w:val="001B0366"/>
    <w:rsid w:val="001B0444"/>
    <w:rsid w:val="001B096B"/>
    <w:rsid w:val="001B0F9F"/>
    <w:rsid w:val="001B123C"/>
    <w:rsid w:val="001B1A0D"/>
    <w:rsid w:val="001B1BF1"/>
    <w:rsid w:val="001B21AC"/>
    <w:rsid w:val="001B2456"/>
    <w:rsid w:val="001B449C"/>
    <w:rsid w:val="001B4AA2"/>
    <w:rsid w:val="001B4ADE"/>
    <w:rsid w:val="001B5530"/>
    <w:rsid w:val="001B5EF8"/>
    <w:rsid w:val="001B71E8"/>
    <w:rsid w:val="001C033E"/>
    <w:rsid w:val="001C07C6"/>
    <w:rsid w:val="001C120D"/>
    <w:rsid w:val="001C16DA"/>
    <w:rsid w:val="001C19CD"/>
    <w:rsid w:val="001C22D5"/>
    <w:rsid w:val="001C2515"/>
    <w:rsid w:val="001C26FB"/>
    <w:rsid w:val="001C33C1"/>
    <w:rsid w:val="001C3E30"/>
    <w:rsid w:val="001C3E5C"/>
    <w:rsid w:val="001C5072"/>
    <w:rsid w:val="001C5B2A"/>
    <w:rsid w:val="001C600B"/>
    <w:rsid w:val="001C6898"/>
    <w:rsid w:val="001C6DD8"/>
    <w:rsid w:val="001C76FA"/>
    <w:rsid w:val="001C79A4"/>
    <w:rsid w:val="001C7C7B"/>
    <w:rsid w:val="001D068D"/>
    <w:rsid w:val="001D12D1"/>
    <w:rsid w:val="001D15DF"/>
    <w:rsid w:val="001D2EEE"/>
    <w:rsid w:val="001D30F3"/>
    <w:rsid w:val="001D31A0"/>
    <w:rsid w:val="001D338E"/>
    <w:rsid w:val="001D4562"/>
    <w:rsid w:val="001D4CAD"/>
    <w:rsid w:val="001D56E9"/>
    <w:rsid w:val="001D6944"/>
    <w:rsid w:val="001D796A"/>
    <w:rsid w:val="001D7A84"/>
    <w:rsid w:val="001D7C79"/>
    <w:rsid w:val="001E003B"/>
    <w:rsid w:val="001E1CC4"/>
    <w:rsid w:val="001E1D38"/>
    <w:rsid w:val="001E28A0"/>
    <w:rsid w:val="001E3FFE"/>
    <w:rsid w:val="001E4258"/>
    <w:rsid w:val="001E5140"/>
    <w:rsid w:val="001E5D6A"/>
    <w:rsid w:val="001E6A94"/>
    <w:rsid w:val="001E70FB"/>
    <w:rsid w:val="001E780A"/>
    <w:rsid w:val="001F0806"/>
    <w:rsid w:val="001F0D15"/>
    <w:rsid w:val="001F0FA0"/>
    <w:rsid w:val="001F1349"/>
    <w:rsid w:val="001F1863"/>
    <w:rsid w:val="001F1A52"/>
    <w:rsid w:val="001F2356"/>
    <w:rsid w:val="001F2A68"/>
    <w:rsid w:val="001F2C47"/>
    <w:rsid w:val="001F4773"/>
    <w:rsid w:val="001F5008"/>
    <w:rsid w:val="001F56AA"/>
    <w:rsid w:val="001F58AA"/>
    <w:rsid w:val="001F5A4E"/>
    <w:rsid w:val="001F5EF6"/>
    <w:rsid w:val="001F657F"/>
    <w:rsid w:val="001F6FB6"/>
    <w:rsid w:val="001F72BB"/>
    <w:rsid w:val="001F7978"/>
    <w:rsid w:val="001F7A0E"/>
    <w:rsid w:val="001F7A4B"/>
    <w:rsid w:val="0020022E"/>
    <w:rsid w:val="0020054E"/>
    <w:rsid w:val="00201508"/>
    <w:rsid w:val="00201AC4"/>
    <w:rsid w:val="00201F1E"/>
    <w:rsid w:val="00202761"/>
    <w:rsid w:val="0020299B"/>
    <w:rsid w:val="00202B2A"/>
    <w:rsid w:val="00202E44"/>
    <w:rsid w:val="002037AA"/>
    <w:rsid w:val="00203FE3"/>
    <w:rsid w:val="002042D8"/>
    <w:rsid w:val="00204515"/>
    <w:rsid w:val="00204BF5"/>
    <w:rsid w:val="00204E6B"/>
    <w:rsid w:val="002053EF"/>
    <w:rsid w:val="002058D4"/>
    <w:rsid w:val="0020632A"/>
    <w:rsid w:val="0020697F"/>
    <w:rsid w:val="0020726E"/>
    <w:rsid w:val="00207389"/>
    <w:rsid w:val="002110EB"/>
    <w:rsid w:val="00211338"/>
    <w:rsid w:val="00211388"/>
    <w:rsid w:val="0021148C"/>
    <w:rsid w:val="00211694"/>
    <w:rsid w:val="0021201A"/>
    <w:rsid w:val="00212545"/>
    <w:rsid w:val="002138FE"/>
    <w:rsid w:val="00213A1F"/>
    <w:rsid w:val="00213C63"/>
    <w:rsid w:val="00214502"/>
    <w:rsid w:val="00214741"/>
    <w:rsid w:val="00214938"/>
    <w:rsid w:val="0021539A"/>
    <w:rsid w:val="00215852"/>
    <w:rsid w:val="00215B01"/>
    <w:rsid w:val="00215B8E"/>
    <w:rsid w:val="00216264"/>
    <w:rsid w:val="002169A0"/>
    <w:rsid w:val="002176B6"/>
    <w:rsid w:val="0021792D"/>
    <w:rsid w:val="00217DB8"/>
    <w:rsid w:val="002202CE"/>
    <w:rsid w:val="0022032A"/>
    <w:rsid w:val="002210AD"/>
    <w:rsid w:val="0022194E"/>
    <w:rsid w:val="002220B1"/>
    <w:rsid w:val="002221CE"/>
    <w:rsid w:val="00222BE8"/>
    <w:rsid w:val="00222DF6"/>
    <w:rsid w:val="00223102"/>
    <w:rsid w:val="002232CB"/>
    <w:rsid w:val="00224022"/>
    <w:rsid w:val="00226055"/>
    <w:rsid w:val="0022609C"/>
    <w:rsid w:val="0022613F"/>
    <w:rsid w:val="0022614F"/>
    <w:rsid w:val="00226236"/>
    <w:rsid w:val="002266AF"/>
    <w:rsid w:val="002270C9"/>
    <w:rsid w:val="00227A8B"/>
    <w:rsid w:val="0023146B"/>
    <w:rsid w:val="002315A0"/>
    <w:rsid w:val="00231748"/>
    <w:rsid w:val="00231DCC"/>
    <w:rsid w:val="00231EC7"/>
    <w:rsid w:val="00232E15"/>
    <w:rsid w:val="00233079"/>
    <w:rsid w:val="0023382C"/>
    <w:rsid w:val="00233977"/>
    <w:rsid w:val="00233C58"/>
    <w:rsid w:val="00233C71"/>
    <w:rsid w:val="002345B6"/>
    <w:rsid w:val="002347A6"/>
    <w:rsid w:val="00234B84"/>
    <w:rsid w:val="00236016"/>
    <w:rsid w:val="00237065"/>
    <w:rsid w:val="00237589"/>
    <w:rsid w:val="0023758D"/>
    <w:rsid w:val="002375A7"/>
    <w:rsid w:val="0024019A"/>
    <w:rsid w:val="00240EC1"/>
    <w:rsid w:val="0024120F"/>
    <w:rsid w:val="0024131D"/>
    <w:rsid w:val="002415B8"/>
    <w:rsid w:val="00241B82"/>
    <w:rsid w:val="00242D5F"/>
    <w:rsid w:val="00242D62"/>
    <w:rsid w:val="002430D0"/>
    <w:rsid w:val="002431D7"/>
    <w:rsid w:val="00244058"/>
    <w:rsid w:val="00245718"/>
    <w:rsid w:val="00245E07"/>
    <w:rsid w:val="00247712"/>
    <w:rsid w:val="00250A9E"/>
    <w:rsid w:val="00250EC6"/>
    <w:rsid w:val="002515C7"/>
    <w:rsid w:val="00251866"/>
    <w:rsid w:val="00251A9F"/>
    <w:rsid w:val="00252492"/>
    <w:rsid w:val="00252B35"/>
    <w:rsid w:val="00253070"/>
    <w:rsid w:val="0025316D"/>
    <w:rsid w:val="00253A02"/>
    <w:rsid w:val="00253B81"/>
    <w:rsid w:val="00254AE9"/>
    <w:rsid w:val="002554DE"/>
    <w:rsid w:val="00255575"/>
    <w:rsid w:val="00255E11"/>
    <w:rsid w:val="002564B7"/>
    <w:rsid w:val="00256835"/>
    <w:rsid w:val="002569F0"/>
    <w:rsid w:val="00256C01"/>
    <w:rsid w:val="00256E1A"/>
    <w:rsid w:val="00256ECF"/>
    <w:rsid w:val="00257730"/>
    <w:rsid w:val="0025788C"/>
    <w:rsid w:val="00257999"/>
    <w:rsid w:val="00257B26"/>
    <w:rsid w:val="002604AA"/>
    <w:rsid w:val="0026129B"/>
    <w:rsid w:val="00261560"/>
    <w:rsid w:val="00261715"/>
    <w:rsid w:val="00261CF9"/>
    <w:rsid w:val="00261EC0"/>
    <w:rsid w:val="0026231B"/>
    <w:rsid w:val="00263101"/>
    <w:rsid w:val="002631D1"/>
    <w:rsid w:val="00263201"/>
    <w:rsid w:val="00263A37"/>
    <w:rsid w:val="00264266"/>
    <w:rsid w:val="0026471F"/>
    <w:rsid w:val="0026480D"/>
    <w:rsid w:val="002653A6"/>
    <w:rsid w:val="002661F1"/>
    <w:rsid w:val="00266316"/>
    <w:rsid w:val="00266DB6"/>
    <w:rsid w:val="002711A4"/>
    <w:rsid w:val="00271230"/>
    <w:rsid w:val="00271F13"/>
    <w:rsid w:val="00272945"/>
    <w:rsid w:val="00272E89"/>
    <w:rsid w:val="0027482E"/>
    <w:rsid w:val="002748F1"/>
    <w:rsid w:val="00274DB5"/>
    <w:rsid w:val="00275BB1"/>
    <w:rsid w:val="0027770B"/>
    <w:rsid w:val="00277933"/>
    <w:rsid w:val="00277F8D"/>
    <w:rsid w:val="00277FA7"/>
    <w:rsid w:val="00280046"/>
    <w:rsid w:val="00280B4F"/>
    <w:rsid w:val="00280F3D"/>
    <w:rsid w:val="0028106A"/>
    <w:rsid w:val="00281EB4"/>
    <w:rsid w:val="00282E03"/>
    <w:rsid w:val="0028308E"/>
    <w:rsid w:val="002834E9"/>
    <w:rsid w:val="00283A52"/>
    <w:rsid w:val="00283C5E"/>
    <w:rsid w:val="00283E26"/>
    <w:rsid w:val="0028428F"/>
    <w:rsid w:val="00284CFC"/>
    <w:rsid w:val="00285832"/>
    <w:rsid w:val="00285969"/>
    <w:rsid w:val="0028599C"/>
    <w:rsid w:val="0028663B"/>
    <w:rsid w:val="00286CEC"/>
    <w:rsid w:val="002870F9"/>
    <w:rsid w:val="002871A9"/>
    <w:rsid w:val="00287505"/>
    <w:rsid w:val="00287BDB"/>
    <w:rsid w:val="00290781"/>
    <w:rsid w:val="00291784"/>
    <w:rsid w:val="002920DF"/>
    <w:rsid w:val="002928A3"/>
    <w:rsid w:val="002929BB"/>
    <w:rsid w:val="00294368"/>
    <w:rsid w:val="00294B78"/>
    <w:rsid w:val="00295416"/>
    <w:rsid w:val="00295949"/>
    <w:rsid w:val="00295D7C"/>
    <w:rsid w:val="0029624A"/>
    <w:rsid w:val="00296922"/>
    <w:rsid w:val="00297098"/>
    <w:rsid w:val="002A05D4"/>
    <w:rsid w:val="002A06DB"/>
    <w:rsid w:val="002A09FF"/>
    <w:rsid w:val="002A0E60"/>
    <w:rsid w:val="002A1A58"/>
    <w:rsid w:val="002A1B02"/>
    <w:rsid w:val="002A1C53"/>
    <w:rsid w:val="002A1F84"/>
    <w:rsid w:val="002A244B"/>
    <w:rsid w:val="002A28FC"/>
    <w:rsid w:val="002A2B44"/>
    <w:rsid w:val="002A2EA5"/>
    <w:rsid w:val="002A301E"/>
    <w:rsid w:val="002A3D94"/>
    <w:rsid w:val="002A4736"/>
    <w:rsid w:val="002A4B1C"/>
    <w:rsid w:val="002A55FE"/>
    <w:rsid w:val="002A625C"/>
    <w:rsid w:val="002A6AFB"/>
    <w:rsid w:val="002A733D"/>
    <w:rsid w:val="002A774A"/>
    <w:rsid w:val="002A78F3"/>
    <w:rsid w:val="002A7D84"/>
    <w:rsid w:val="002A7E5C"/>
    <w:rsid w:val="002A7F6D"/>
    <w:rsid w:val="002B0D83"/>
    <w:rsid w:val="002B1342"/>
    <w:rsid w:val="002B1F83"/>
    <w:rsid w:val="002B27C8"/>
    <w:rsid w:val="002B2A7F"/>
    <w:rsid w:val="002B330B"/>
    <w:rsid w:val="002B39BE"/>
    <w:rsid w:val="002B438C"/>
    <w:rsid w:val="002B48DB"/>
    <w:rsid w:val="002B4B34"/>
    <w:rsid w:val="002B541A"/>
    <w:rsid w:val="002B5EAB"/>
    <w:rsid w:val="002B5F2E"/>
    <w:rsid w:val="002B6407"/>
    <w:rsid w:val="002B6416"/>
    <w:rsid w:val="002B6459"/>
    <w:rsid w:val="002B6F22"/>
    <w:rsid w:val="002B7014"/>
    <w:rsid w:val="002B73B0"/>
    <w:rsid w:val="002C24B4"/>
    <w:rsid w:val="002C2B3A"/>
    <w:rsid w:val="002C2B87"/>
    <w:rsid w:val="002C3CF4"/>
    <w:rsid w:val="002C441A"/>
    <w:rsid w:val="002C4A73"/>
    <w:rsid w:val="002C4B84"/>
    <w:rsid w:val="002C4C0C"/>
    <w:rsid w:val="002C5016"/>
    <w:rsid w:val="002C5C2F"/>
    <w:rsid w:val="002C5D0F"/>
    <w:rsid w:val="002C60B9"/>
    <w:rsid w:val="002C6F77"/>
    <w:rsid w:val="002C704D"/>
    <w:rsid w:val="002D0845"/>
    <w:rsid w:val="002D0933"/>
    <w:rsid w:val="002D1555"/>
    <w:rsid w:val="002D15B6"/>
    <w:rsid w:val="002D19BB"/>
    <w:rsid w:val="002D1A9B"/>
    <w:rsid w:val="002D1F51"/>
    <w:rsid w:val="002D20F8"/>
    <w:rsid w:val="002D22BD"/>
    <w:rsid w:val="002D22C5"/>
    <w:rsid w:val="002D302A"/>
    <w:rsid w:val="002D36C6"/>
    <w:rsid w:val="002D37C1"/>
    <w:rsid w:val="002D444B"/>
    <w:rsid w:val="002D46A6"/>
    <w:rsid w:val="002D46B4"/>
    <w:rsid w:val="002D46CE"/>
    <w:rsid w:val="002D49C2"/>
    <w:rsid w:val="002D4A45"/>
    <w:rsid w:val="002D4B42"/>
    <w:rsid w:val="002D4B43"/>
    <w:rsid w:val="002D5A1B"/>
    <w:rsid w:val="002D6558"/>
    <w:rsid w:val="002D65BC"/>
    <w:rsid w:val="002E055C"/>
    <w:rsid w:val="002E1050"/>
    <w:rsid w:val="002E107E"/>
    <w:rsid w:val="002E18E5"/>
    <w:rsid w:val="002E1953"/>
    <w:rsid w:val="002E2C3F"/>
    <w:rsid w:val="002E2CB5"/>
    <w:rsid w:val="002E2D7D"/>
    <w:rsid w:val="002E32D0"/>
    <w:rsid w:val="002E3D76"/>
    <w:rsid w:val="002E40A1"/>
    <w:rsid w:val="002E48EC"/>
    <w:rsid w:val="002E4B44"/>
    <w:rsid w:val="002E4ECB"/>
    <w:rsid w:val="002E4F23"/>
    <w:rsid w:val="002E635A"/>
    <w:rsid w:val="002E6D68"/>
    <w:rsid w:val="002E7847"/>
    <w:rsid w:val="002F0073"/>
    <w:rsid w:val="002F1B27"/>
    <w:rsid w:val="002F1C67"/>
    <w:rsid w:val="002F240B"/>
    <w:rsid w:val="002F2E4D"/>
    <w:rsid w:val="002F2F50"/>
    <w:rsid w:val="002F33EC"/>
    <w:rsid w:val="002F34E3"/>
    <w:rsid w:val="002F3601"/>
    <w:rsid w:val="002F40E2"/>
    <w:rsid w:val="002F45F6"/>
    <w:rsid w:val="002F5A6F"/>
    <w:rsid w:val="002F692F"/>
    <w:rsid w:val="002F7031"/>
    <w:rsid w:val="002F7961"/>
    <w:rsid w:val="002F7B66"/>
    <w:rsid w:val="00300CB4"/>
    <w:rsid w:val="00300E24"/>
    <w:rsid w:val="0030257B"/>
    <w:rsid w:val="003033BA"/>
    <w:rsid w:val="0030341E"/>
    <w:rsid w:val="00303C19"/>
    <w:rsid w:val="003043A3"/>
    <w:rsid w:val="0030462D"/>
    <w:rsid w:val="00304BD4"/>
    <w:rsid w:val="00304F54"/>
    <w:rsid w:val="0030500A"/>
    <w:rsid w:val="003052EB"/>
    <w:rsid w:val="00305FCB"/>
    <w:rsid w:val="003063C3"/>
    <w:rsid w:val="003069DC"/>
    <w:rsid w:val="00306A13"/>
    <w:rsid w:val="00306B44"/>
    <w:rsid w:val="00307C44"/>
    <w:rsid w:val="0031040A"/>
    <w:rsid w:val="0031088E"/>
    <w:rsid w:val="00310D01"/>
    <w:rsid w:val="00311376"/>
    <w:rsid w:val="00311A1F"/>
    <w:rsid w:val="00311B47"/>
    <w:rsid w:val="00311D52"/>
    <w:rsid w:val="00312190"/>
    <w:rsid w:val="003125E0"/>
    <w:rsid w:val="0031271D"/>
    <w:rsid w:val="0031307C"/>
    <w:rsid w:val="003132BB"/>
    <w:rsid w:val="00313337"/>
    <w:rsid w:val="00313447"/>
    <w:rsid w:val="00313748"/>
    <w:rsid w:val="00313EA3"/>
    <w:rsid w:val="003151FE"/>
    <w:rsid w:val="00315365"/>
    <w:rsid w:val="00315457"/>
    <w:rsid w:val="003161A4"/>
    <w:rsid w:val="00316955"/>
    <w:rsid w:val="0031713F"/>
    <w:rsid w:val="0031720A"/>
    <w:rsid w:val="0031749B"/>
    <w:rsid w:val="003174E5"/>
    <w:rsid w:val="00317C9D"/>
    <w:rsid w:val="00317CD2"/>
    <w:rsid w:val="00317D99"/>
    <w:rsid w:val="0032078D"/>
    <w:rsid w:val="00320ADF"/>
    <w:rsid w:val="0032137B"/>
    <w:rsid w:val="00321A70"/>
    <w:rsid w:val="00321BD6"/>
    <w:rsid w:val="00321FA3"/>
    <w:rsid w:val="003227D3"/>
    <w:rsid w:val="00322937"/>
    <w:rsid w:val="00323881"/>
    <w:rsid w:val="00324885"/>
    <w:rsid w:val="003251A8"/>
    <w:rsid w:val="003254B1"/>
    <w:rsid w:val="00325AD9"/>
    <w:rsid w:val="00325D98"/>
    <w:rsid w:val="0032682A"/>
    <w:rsid w:val="00327A5C"/>
    <w:rsid w:val="0033092C"/>
    <w:rsid w:val="0033122A"/>
    <w:rsid w:val="003315AC"/>
    <w:rsid w:val="00331932"/>
    <w:rsid w:val="00331F74"/>
    <w:rsid w:val="00332382"/>
    <w:rsid w:val="00332453"/>
    <w:rsid w:val="0033251B"/>
    <w:rsid w:val="003331CC"/>
    <w:rsid w:val="003337A1"/>
    <w:rsid w:val="00333A88"/>
    <w:rsid w:val="00335B15"/>
    <w:rsid w:val="00335B21"/>
    <w:rsid w:val="00335D3F"/>
    <w:rsid w:val="00336104"/>
    <w:rsid w:val="00336729"/>
    <w:rsid w:val="00336CD9"/>
    <w:rsid w:val="0033726D"/>
    <w:rsid w:val="00337CA8"/>
    <w:rsid w:val="00340D3F"/>
    <w:rsid w:val="0034174B"/>
    <w:rsid w:val="0034177C"/>
    <w:rsid w:val="003420E9"/>
    <w:rsid w:val="00342345"/>
    <w:rsid w:val="00342837"/>
    <w:rsid w:val="00342C27"/>
    <w:rsid w:val="003430C8"/>
    <w:rsid w:val="003432C8"/>
    <w:rsid w:val="003434B3"/>
    <w:rsid w:val="00343536"/>
    <w:rsid w:val="00343EFB"/>
    <w:rsid w:val="00344760"/>
    <w:rsid w:val="003454E8"/>
    <w:rsid w:val="00345574"/>
    <w:rsid w:val="0034680A"/>
    <w:rsid w:val="00346C62"/>
    <w:rsid w:val="00347202"/>
    <w:rsid w:val="0034778E"/>
    <w:rsid w:val="00347A5A"/>
    <w:rsid w:val="003501E2"/>
    <w:rsid w:val="00351E10"/>
    <w:rsid w:val="003533F4"/>
    <w:rsid w:val="003536F6"/>
    <w:rsid w:val="00353DD5"/>
    <w:rsid w:val="00353F36"/>
    <w:rsid w:val="00355131"/>
    <w:rsid w:val="00355F74"/>
    <w:rsid w:val="003560DB"/>
    <w:rsid w:val="003564DB"/>
    <w:rsid w:val="00356F87"/>
    <w:rsid w:val="00357E83"/>
    <w:rsid w:val="00360B68"/>
    <w:rsid w:val="00360CF3"/>
    <w:rsid w:val="00361A59"/>
    <w:rsid w:val="00363348"/>
    <w:rsid w:val="00363857"/>
    <w:rsid w:val="00363D59"/>
    <w:rsid w:val="00363F08"/>
    <w:rsid w:val="003640F7"/>
    <w:rsid w:val="0036594A"/>
    <w:rsid w:val="00365D3A"/>
    <w:rsid w:val="003664FF"/>
    <w:rsid w:val="00366BD2"/>
    <w:rsid w:val="003670B8"/>
    <w:rsid w:val="003704A3"/>
    <w:rsid w:val="003706F2"/>
    <w:rsid w:val="003709E8"/>
    <w:rsid w:val="0037124F"/>
    <w:rsid w:val="00373827"/>
    <w:rsid w:val="0037401C"/>
    <w:rsid w:val="0037507B"/>
    <w:rsid w:val="00375C7C"/>
    <w:rsid w:val="00377027"/>
    <w:rsid w:val="00377135"/>
    <w:rsid w:val="00380272"/>
    <w:rsid w:val="003805DB"/>
    <w:rsid w:val="0038152A"/>
    <w:rsid w:val="0038245D"/>
    <w:rsid w:val="00382BAD"/>
    <w:rsid w:val="003835FD"/>
    <w:rsid w:val="00383EDF"/>
    <w:rsid w:val="00384C5E"/>
    <w:rsid w:val="00384DF1"/>
    <w:rsid w:val="00384FF3"/>
    <w:rsid w:val="00386456"/>
    <w:rsid w:val="003865A9"/>
    <w:rsid w:val="0039092B"/>
    <w:rsid w:val="00390BD9"/>
    <w:rsid w:val="00390F32"/>
    <w:rsid w:val="0039135E"/>
    <w:rsid w:val="0039285D"/>
    <w:rsid w:val="0039319C"/>
    <w:rsid w:val="00393577"/>
    <w:rsid w:val="00393CAE"/>
    <w:rsid w:val="003945F4"/>
    <w:rsid w:val="00394EB5"/>
    <w:rsid w:val="003953B4"/>
    <w:rsid w:val="0039615F"/>
    <w:rsid w:val="003966A0"/>
    <w:rsid w:val="00396A29"/>
    <w:rsid w:val="00397FF0"/>
    <w:rsid w:val="003A0878"/>
    <w:rsid w:val="003A1561"/>
    <w:rsid w:val="003A1D25"/>
    <w:rsid w:val="003A22A2"/>
    <w:rsid w:val="003A2447"/>
    <w:rsid w:val="003A2AA1"/>
    <w:rsid w:val="003A31A5"/>
    <w:rsid w:val="003A329A"/>
    <w:rsid w:val="003A3603"/>
    <w:rsid w:val="003A3851"/>
    <w:rsid w:val="003A3874"/>
    <w:rsid w:val="003A39DD"/>
    <w:rsid w:val="003A40DB"/>
    <w:rsid w:val="003A4199"/>
    <w:rsid w:val="003A41C5"/>
    <w:rsid w:val="003A4A8E"/>
    <w:rsid w:val="003A563C"/>
    <w:rsid w:val="003A581E"/>
    <w:rsid w:val="003A5E7E"/>
    <w:rsid w:val="003A6160"/>
    <w:rsid w:val="003A65A5"/>
    <w:rsid w:val="003A72F5"/>
    <w:rsid w:val="003A78E5"/>
    <w:rsid w:val="003B0341"/>
    <w:rsid w:val="003B1961"/>
    <w:rsid w:val="003B1E57"/>
    <w:rsid w:val="003B2EF3"/>
    <w:rsid w:val="003B534F"/>
    <w:rsid w:val="003B5391"/>
    <w:rsid w:val="003B58CE"/>
    <w:rsid w:val="003B65D7"/>
    <w:rsid w:val="003B65E0"/>
    <w:rsid w:val="003B6BD4"/>
    <w:rsid w:val="003B6F4D"/>
    <w:rsid w:val="003B6FE7"/>
    <w:rsid w:val="003C0491"/>
    <w:rsid w:val="003C0C0F"/>
    <w:rsid w:val="003C0D1F"/>
    <w:rsid w:val="003C116A"/>
    <w:rsid w:val="003C1AF4"/>
    <w:rsid w:val="003C1CB8"/>
    <w:rsid w:val="003C22DA"/>
    <w:rsid w:val="003C2550"/>
    <w:rsid w:val="003C287F"/>
    <w:rsid w:val="003C3339"/>
    <w:rsid w:val="003C375A"/>
    <w:rsid w:val="003C4317"/>
    <w:rsid w:val="003C4D9F"/>
    <w:rsid w:val="003C5247"/>
    <w:rsid w:val="003C557F"/>
    <w:rsid w:val="003C5B02"/>
    <w:rsid w:val="003C5E8A"/>
    <w:rsid w:val="003C622C"/>
    <w:rsid w:val="003C6505"/>
    <w:rsid w:val="003C73C7"/>
    <w:rsid w:val="003C7CFB"/>
    <w:rsid w:val="003D050B"/>
    <w:rsid w:val="003D0B98"/>
    <w:rsid w:val="003D0C3C"/>
    <w:rsid w:val="003D0DE5"/>
    <w:rsid w:val="003D1351"/>
    <w:rsid w:val="003D21C1"/>
    <w:rsid w:val="003D3B15"/>
    <w:rsid w:val="003D3B2E"/>
    <w:rsid w:val="003D4101"/>
    <w:rsid w:val="003D484D"/>
    <w:rsid w:val="003D49CB"/>
    <w:rsid w:val="003D5F10"/>
    <w:rsid w:val="003D6B8F"/>
    <w:rsid w:val="003D7566"/>
    <w:rsid w:val="003E0224"/>
    <w:rsid w:val="003E09BB"/>
    <w:rsid w:val="003E159D"/>
    <w:rsid w:val="003E20EA"/>
    <w:rsid w:val="003E210C"/>
    <w:rsid w:val="003E2F55"/>
    <w:rsid w:val="003E324A"/>
    <w:rsid w:val="003E34DB"/>
    <w:rsid w:val="003E3833"/>
    <w:rsid w:val="003E3AF9"/>
    <w:rsid w:val="003E4A70"/>
    <w:rsid w:val="003E4C48"/>
    <w:rsid w:val="003E4CD9"/>
    <w:rsid w:val="003E52C2"/>
    <w:rsid w:val="003E54B3"/>
    <w:rsid w:val="003E5780"/>
    <w:rsid w:val="003E5B9F"/>
    <w:rsid w:val="003E6072"/>
    <w:rsid w:val="003E60D6"/>
    <w:rsid w:val="003E6AB6"/>
    <w:rsid w:val="003E6E0B"/>
    <w:rsid w:val="003E71CD"/>
    <w:rsid w:val="003E78DA"/>
    <w:rsid w:val="003E7A8B"/>
    <w:rsid w:val="003F060E"/>
    <w:rsid w:val="003F0F7F"/>
    <w:rsid w:val="003F115C"/>
    <w:rsid w:val="003F153A"/>
    <w:rsid w:val="003F300D"/>
    <w:rsid w:val="003F391F"/>
    <w:rsid w:val="003F4599"/>
    <w:rsid w:val="003F45E1"/>
    <w:rsid w:val="003F4F6C"/>
    <w:rsid w:val="003F559E"/>
    <w:rsid w:val="003F6181"/>
    <w:rsid w:val="003F6BFC"/>
    <w:rsid w:val="003F7343"/>
    <w:rsid w:val="00400002"/>
    <w:rsid w:val="00400054"/>
    <w:rsid w:val="004016A3"/>
    <w:rsid w:val="00401B31"/>
    <w:rsid w:val="0040202B"/>
    <w:rsid w:val="0040219D"/>
    <w:rsid w:val="004021BE"/>
    <w:rsid w:val="0040284E"/>
    <w:rsid w:val="00402DE1"/>
    <w:rsid w:val="00402EEB"/>
    <w:rsid w:val="004037C2"/>
    <w:rsid w:val="00404041"/>
    <w:rsid w:val="004040D4"/>
    <w:rsid w:val="00404B43"/>
    <w:rsid w:val="00404C61"/>
    <w:rsid w:val="00405487"/>
    <w:rsid w:val="00405B8A"/>
    <w:rsid w:val="0040602B"/>
    <w:rsid w:val="0040606C"/>
    <w:rsid w:val="004060DC"/>
    <w:rsid w:val="00406DF5"/>
    <w:rsid w:val="00406F35"/>
    <w:rsid w:val="004077D0"/>
    <w:rsid w:val="00407A7A"/>
    <w:rsid w:val="00407ABC"/>
    <w:rsid w:val="00407F1E"/>
    <w:rsid w:val="00410A88"/>
    <w:rsid w:val="00410CC8"/>
    <w:rsid w:val="00411317"/>
    <w:rsid w:val="00411692"/>
    <w:rsid w:val="00411A9E"/>
    <w:rsid w:val="0041259F"/>
    <w:rsid w:val="00412B1B"/>
    <w:rsid w:val="00412B4D"/>
    <w:rsid w:val="00412C51"/>
    <w:rsid w:val="00413262"/>
    <w:rsid w:val="0041329C"/>
    <w:rsid w:val="004139F4"/>
    <w:rsid w:val="00413FFA"/>
    <w:rsid w:val="00414246"/>
    <w:rsid w:val="0041463D"/>
    <w:rsid w:val="00414D9A"/>
    <w:rsid w:val="00415194"/>
    <w:rsid w:val="00415816"/>
    <w:rsid w:val="00415B88"/>
    <w:rsid w:val="00415D32"/>
    <w:rsid w:val="004160A2"/>
    <w:rsid w:val="0041674B"/>
    <w:rsid w:val="004170D7"/>
    <w:rsid w:val="004177A6"/>
    <w:rsid w:val="00417C23"/>
    <w:rsid w:val="00417EFD"/>
    <w:rsid w:val="004200EE"/>
    <w:rsid w:val="00420786"/>
    <w:rsid w:val="004209D2"/>
    <w:rsid w:val="00420BBA"/>
    <w:rsid w:val="00420D6E"/>
    <w:rsid w:val="0042158C"/>
    <w:rsid w:val="00421617"/>
    <w:rsid w:val="004217A7"/>
    <w:rsid w:val="00421BD2"/>
    <w:rsid w:val="00421E00"/>
    <w:rsid w:val="00421FCB"/>
    <w:rsid w:val="00422DCA"/>
    <w:rsid w:val="00423B0A"/>
    <w:rsid w:val="00423D04"/>
    <w:rsid w:val="00423F9F"/>
    <w:rsid w:val="00425C43"/>
    <w:rsid w:val="004260B2"/>
    <w:rsid w:val="004273FA"/>
    <w:rsid w:val="004275A7"/>
    <w:rsid w:val="00430186"/>
    <w:rsid w:val="00430F17"/>
    <w:rsid w:val="00431CC7"/>
    <w:rsid w:val="0043260C"/>
    <w:rsid w:val="0043269A"/>
    <w:rsid w:val="00432E92"/>
    <w:rsid w:val="004333C2"/>
    <w:rsid w:val="00434787"/>
    <w:rsid w:val="00434C13"/>
    <w:rsid w:val="00434D8B"/>
    <w:rsid w:val="00435294"/>
    <w:rsid w:val="00435703"/>
    <w:rsid w:val="00435BD5"/>
    <w:rsid w:val="00436323"/>
    <w:rsid w:val="0043683F"/>
    <w:rsid w:val="00436F40"/>
    <w:rsid w:val="004370FA"/>
    <w:rsid w:val="00440096"/>
    <w:rsid w:val="004403DD"/>
    <w:rsid w:val="00440CF3"/>
    <w:rsid w:val="00440DB0"/>
    <w:rsid w:val="00440DDC"/>
    <w:rsid w:val="00440FAD"/>
    <w:rsid w:val="00441291"/>
    <w:rsid w:val="00441E04"/>
    <w:rsid w:val="004420AB"/>
    <w:rsid w:val="004422D6"/>
    <w:rsid w:val="004427AC"/>
    <w:rsid w:val="00442C7D"/>
    <w:rsid w:val="00442D13"/>
    <w:rsid w:val="00442D21"/>
    <w:rsid w:val="00442D4D"/>
    <w:rsid w:val="0044374D"/>
    <w:rsid w:val="00443B55"/>
    <w:rsid w:val="00443D27"/>
    <w:rsid w:val="0044500B"/>
    <w:rsid w:val="004451C5"/>
    <w:rsid w:val="00446037"/>
    <w:rsid w:val="00446270"/>
    <w:rsid w:val="0044642F"/>
    <w:rsid w:val="0044772C"/>
    <w:rsid w:val="00450846"/>
    <w:rsid w:val="00451A52"/>
    <w:rsid w:val="00452663"/>
    <w:rsid w:val="0045271D"/>
    <w:rsid w:val="00452755"/>
    <w:rsid w:val="00452803"/>
    <w:rsid w:val="004529C6"/>
    <w:rsid w:val="00452EAD"/>
    <w:rsid w:val="004533D1"/>
    <w:rsid w:val="004534D1"/>
    <w:rsid w:val="00454548"/>
    <w:rsid w:val="00454717"/>
    <w:rsid w:val="00454DF8"/>
    <w:rsid w:val="00455004"/>
    <w:rsid w:val="00455047"/>
    <w:rsid w:val="00455354"/>
    <w:rsid w:val="0045558D"/>
    <w:rsid w:val="00455BD3"/>
    <w:rsid w:val="004567DA"/>
    <w:rsid w:val="00456970"/>
    <w:rsid w:val="00456BB1"/>
    <w:rsid w:val="00456CD4"/>
    <w:rsid w:val="00456DDB"/>
    <w:rsid w:val="00456E61"/>
    <w:rsid w:val="00457031"/>
    <w:rsid w:val="00460915"/>
    <w:rsid w:val="00460946"/>
    <w:rsid w:val="004614A9"/>
    <w:rsid w:val="00461E97"/>
    <w:rsid w:val="0046268F"/>
    <w:rsid w:val="0046284F"/>
    <w:rsid w:val="00462B10"/>
    <w:rsid w:val="00462C04"/>
    <w:rsid w:val="0046320A"/>
    <w:rsid w:val="00463347"/>
    <w:rsid w:val="004636CC"/>
    <w:rsid w:val="004638E2"/>
    <w:rsid w:val="00463ADA"/>
    <w:rsid w:val="00464030"/>
    <w:rsid w:val="004647F8"/>
    <w:rsid w:val="004647FB"/>
    <w:rsid w:val="00465347"/>
    <w:rsid w:val="00465677"/>
    <w:rsid w:val="00466616"/>
    <w:rsid w:val="00466A0C"/>
    <w:rsid w:val="00466A53"/>
    <w:rsid w:val="00470A6A"/>
    <w:rsid w:val="00470D73"/>
    <w:rsid w:val="00470D92"/>
    <w:rsid w:val="00471DF7"/>
    <w:rsid w:val="004734CF"/>
    <w:rsid w:val="00473F33"/>
    <w:rsid w:val="0047586C"/>
    <w:rsid w:val="00475C5A"/>
    <w:rsid w:val="00475C9C"/>
    <w:rsid w:val="0047676B"/>
    <w:rsid w:val="00477072"/>
    <w:rsid w:val="0047773C"/>
    <w:rsid w:val="00477C5F"/>
    <w:rsid w:val="00480050"/>
    <w:rsid w:val="0048011C"/>
    <w:rsid w:val="004808DE"/>
    <w:rsid w:val="00480F9A"/>
    <w:rsid w:val="00481AC4"/>
    <w:rsid w:val="00481DC1"/>
    <w:rsid w:val="00482507"/>
    <w:rsid w:val="0048268A"/>
    <w:rsid w:val="00482A64"/>
    <w:rsid w:val="004835CA"/>
    <w:rsid w:val="004836F8"/>
    <w:rsid w:val="004836FE"/>
    <w:rsid w:val="00484A39"/>
    <w:rsid w:val="00484F0F"/>
    <w:rsid w:val="00484F40"/>
    <w:rsid w:val="0048540C"/>
    <w:rsid w:val="0048608A"/>
    <w:rsid w:val="004861B4"/>
    <w:rsid w:val="00486226"/>
    <w:rsid w:val="00486BD0"/>
    <w:rsid w:val="00486D00"/>
    <w:rsid w:val="00486FF7"/>
    <w:rsid w:val="00487263"/>
    <w:rsid w:val="0048734F"/>
    <w:rsid w:val="0049029D"/>
    <w:rsid w:val="0049030C"/>
    <w:rsid w:val="004903C0"/>
    <w:rsid w:val="0049114B"/>
    <w:rsid w:val="004912A8"/>
    <w:rsid w:val="00491577"/>
    <w:rsid w:val="004918E1"/>
    <w:rsid w:val="0049196A"/>
    <w:rsid w:val="0049196E"/>
    <w:rsid w:val="0049241A"/>
    <w:rsid w:val="00492844"/>
    <w:rsid w:val="00492C1F"/>
    <w:rsid w:val="00492E4C"/>
    <w:rsid w:val="00493664"/>
    <w:rsid w:val="004938FD"/>
    <w:rsid w:val="00493E04"/>
    <w:rsid w:val="004940E3"/>
    <w:rsid w:val="0049530F"/>
    <w:rsid w:val="00496664"/>
    <w:rsid w:val="00496786"/>
    <w:rsid w:val="0049695B"/>
    <w:rsid w:val="00496D8F"/>
    <w:rsid w:val="00497463"/>
    <w:rsid w:val="004A054C"/>
    <w:rsid w:val="004A08D1"/>
    <w:rsid w:val="004A16C1"/>
    <w:rsid w:val="004A1CE2"/>
    <w:rsid w:val="004A34D2"/>
    <w:rsid w:val="004A4301"/>
    <w:rsid w:val="004A4D93"/>
    <w:rsid w:val="004A546E"/>
    <w:rsid w:val="004A58EE"/>
    <w:rsid w:val="004A59B7"/>
    <w:rsid w:val="004A6051"/>
    <w:rsid w:val="004A623B"/>
    <w:rsid w:val="004A6A04"/>
    <w:rsid w:val="004A6A52"/>
    <w:rsid w:val="004B0A44"/>
    <w:rsid w:val="004B0F0B"/>
    <w:rsid w:val="004B2197"/>
    <w:rsid w:val="004B298A"/>
    <w:rsid w:val="004B2BB8"/>
    <w:rsid w:val="004B50CB"/>
    <w:rsid w:val="004B578D"/>
    <w:rsid w:val="004B5BE7"/>
    <w:rsid w:val="004B5E2D"/>
    <w:rsid w:val="004B6C07"/>
    <w:rsid w:val="004B74D3"/>
    <w:rsid w:val="004B755E"/>
    <w:rsid w:val="004B788E"/>
    <w:rsid w:val="004B7E5D"/>
    <w:rsid w:val="004C1198"/>
    <w:rsid w:val="004C22F7"/>
    <w:rsid w:val="004C2B27"/>
    <w:rsid w:val="004C3929"/>
    <w:rsid w:val="004C4160"/>
    <w:rsid w:val="004C5212"/>
    <w:rsid w:val="004C5EF0"/>
    <w:rsid w:val="004C64C9"/>
    <w:rsid w:val="004C7226"/>
    <w:rsid w:val="004C74C9"/>
    <w:rsid w:val="004C7915"/>
    <w:rsid w:val="004C7D70"/>
    <w:rsid w:val="004D02F9"/>
    <w:rsid w:val="004D03FE"/>
    <w:rsid w:val="004D0446"/>
    <w:rsid w:val="004D06A3"/>
    <w:rsid w:val="004D0F95"/>
    <w:rsid w:val="004D106A"/>
    <w:rsid w:val="004D1C7E"/>
    <w:rsid w:val="004D245A"/>
    <w:rsid w:val="004D31EE"/>
    <w:rsid w:val="004D36AF"/>
    <w:rsid w:val="004D3BD1"/>
    <w:rsid w:val="004D4BA1"/>
    <w:rsid w:val="004D584D"/>
    <w:rsid w:val="004D5A7E"/>
    <w:rsid w:val="004D6120"/>
    <w:rsid w:val="004D6826"/>
    <w:rsid w:val="004D7497"/>
    <w:rsid w:val="004E023F"/>
    <w:rsid w:val="004E0546"/>
    <w:rsid w:val="004E0556"/>
    <w:rsid w:val="004E0742"/>
    <w:rsid w:val="004E0C64"/>
    <w:rsid w:val="004E0F6B"/>
    <w:rsid w:val="004E1545"/>
    <w:rsid w:val="004E1F1C"/>
    <w:rsid w:val="004E2A35"/>
    <w:rsid w:val="004E2CCF"/>
    <w:rsid w:val="004E3B71"/>
    <w:rsid w:val="004E40CE"/>
    <w:rsid w:val="004E5736"/>
    <w:rsid w:val="004E5A3C"/>
    <w:rsid w:val="004E5B36"/>
    <w:rsid w:val="004E5D5D"/>
    <w:rsid w:val="004E6045"/>
    <w:rsid w:val="004E6F43"/>
    <w:rsid w:val="004E7200"/>
    <w:rsid w:val="004E787E"/>
    <w:rsid w:val="004E7AA1"/>
    <w:rsid w:val="004F0805"/>
    <w:rsid w:val="004F0960"/>
    <w:rsid w:val="004F0A5C"/>
    <w:rsid w:val="004F1596"/>
    <w:rsid w:val="004F163F"/>
    <w:rsid w:val="004F18A0"/>
    <w:rsid w:val="004F1A08"/>
    <w:rsid w:val="004F2B64"/>
    <w:rsid w:val="004F31B8"/>
    <w:rsid w:val="004F375E"/>
    <w:rsid w:val="004F3764"/>
    <w:rsid w:val="004F3EEF"/>
    <w:rsid w:val="004F5180"/>
    <w:rsid w:val="004F57C9"/>
    <w:rsid w:val="004F5930"/>
    <w:rsid w:val="004F5970"/>
    <w:rsid w:val="004F5F0C"/>
    <w:rsid w:val="004F6121"/>
    <w:rsid w:val="004F6161"/>
    <w:rsid w:val="004F66BC"/>
    <w:rsid w:val="004F6C26"/>
    <w:rsid w:val="004F7AC9"/>
    <w:rsid w:val="0050062F"/>
    <w:rsid w:val="00500E74"/>
    <w:rsid w:val="0050160F"/>
    <w:rsid w:val="0050284E"/>
    <w:rsid w:val="0050306F"/>
    <w:rsid w:val="00503A17"/>
    <w:rsid w:val="00505892"/>
    <w:rsid w:val="00505DCB"/>
    <w:rsid w:val="00507066"/>
    <w:rsid w:val="005075CA"/>
    <w:rsid w:val="00507B06"/>
    <w:rsid w:val="00507BF1"/>
    <w:rsid w:val="0051074C"/>
    <w:rsid w:val="00510DE9"/>
    <w:rsid w:val="005111E2"/>
    <w:rsid w:val="00511231"/>
    <w:rsid w:val="00511741"/>
    <w:rsid w:val="00512C4F"/>
    <w:rsid w:val="00513042"/>
    <w:rsid w:val="0051334F"/>
    <w:rsid w:val="00513399"/>
    <w:rsid w:val="00513AF2"/>
    <w:rsid w:val="00514575"/>
    <w:rsid w:val="00514C03"/>
    <w:rsid w:val="00514D67"/>
    <w:rsid w:val="0051522A"/>
    <w:rsid w:val="00515515"/>
    <w:rsid w:val="0051635C"/>
    <w:rsid w:val="00516C5B"/>
    <w:rsid w:val="00517612"/>
    <w:rsid w:val="00517CFB"/>
    <w:rsid w:val="00517F85"/>
    <w:rsid w:val="0052002F"/>
    <w:rsid w:val="00520235"/>
    <w:rsid w:val="00520899"/>
    <w:rsid w:val="00520922"/>
    <w:rsid w:val="005209FC"/>
    <w:rsid w:val="00520C09"/>
    <w:rsid w:val="00521A30"/>
    <w:rsid w:val="00521D7C"/>
    <w:rsid w:val="00521EA7"/>
    <w:rsid w:val="005224E5"/>
    <w:rsid w:val="0052311A"/>
    <w:rsid w:val="00523903"/>
    <w:rsid w:val="005239B6"/>
    <w:rsid w:val="00523C45"/>
    <w:rsid w:val="00523F41"/>
    <w:rsid w:val="00524165"/>
    <w:rsid w:val="005246E7"/>
    <w:rsid w:val="00524B08"/>
    <w:rsid w:val="00524C38"/>
    <w:rsid w:val="00524FD2"/>
    <w:rsid w:val="00525621"/>
    <w:rsid w:val="00526431"/>
    <w:rsid w:val="00527532"/>
    <w:rsid w:val="00527DEB"/>
    <w:rsid w:val="00527E57"/>
    <w:rsid w:val="00527F2C"/>
    <w:rsid w:val="00530405"/>
    <w:rsid w:val="00530458"/>
    <w:rsid w:val="00530522"/>
    <w:rsid w:val="005305E5"/>
    <w:rsid w:val="0053086F"/>
    <w:rsid w:val="00530CBA"/>
    <w:rsid w:val="00530F38"/>
    <w:rsid w:val="00531F26"/>
    <w:rsid w:val="00531FEF"/>
    <w:rsid w:val="00532501"/>
    <w:rsid w:val="0053277C"/>
    <w:rsid w:val="005327C0"/>
    <w:rsid w:val="00533101"/>
    <w:rsid w:val="00533CA9"/>
    <w:rsid w:val="005344BD"/>
    <w:rsid w:val="005346AD"/>
    <w:rsid w:val="00534EFB"/>
    <w:rsid w:val="00534F60"/>
    <w:rsid w:val="005357F1"/>
    <w:rsid w:val="00535C73"/>
    <w:rsid w:val="00535D15"/>
    <w:rsid w:val="00536053"/>
    <w:rsid w:val="005363C6"/>
    <w:rsid w:val="005369E6"/>
    <w:rsid w:val="005371AC"/>
    <w:rsid w:val="00537672"/>
    <w:rsid w:val="005376B5"/>
    <w:rsid w:val="0053772F"/>
    <w:rsid w:val="00537A70"/>
    <w:rsid w:val="00537B64"/>
    <w:rsid w:val="00537B77"/>
    <w:rsid w:val="00540C4C"/>
    <w:rsid w:val="00541469"/>
    <w:rsid w:val="00541571"/>
    <w:rsid w:val="00541B1F"/>
    <w:rsid w:val="0054275A"/>
    <w:rsid w:val="005428B8"/>
    <w:rsid w:val="005428BE"/>
    <w:rsid w:val="00542BD7"/>
    <w:rsid w:val="00543084"/>
    <w:rsid w:val="00543584"/>
    <w:rsid w:val="00543A9E"/>
    <w:rsid w:val="0054413A"/>
    <w:rsid w:val="00544288"/>
    <w:rsid w:val="005446BB"/>
    <w:rsid w:val="00544DA5"/>
    <w:rsid w:val="00544F43"/>
    <w:rsid w:val="00545E30"/>
    <w:rsid w:val="00545EA3"/>
    <w:rsid w:val="00546C9B"/>
    <w:rsid w:val="00547BF6"/>
    <w:rsid w:val="00547FB3"/>
    <w:rsid w:val="00551098"/>
    <w:rsid w:val="00551598"/>
    <w:rsid w:val="0055162B"/>
    <w:rsid w:val="00551A56"/>
    <w:rsid w:val="00551BFF"/>
    <w:rsid w:val="00551D68"/>
    <w:rsid w:val="00551DFF"/>
    <w:rsid w:val="00552540"/>
    <w:rsid w:val="005525C9"/>
    <w:rsid w:val="00552B3E"/>
    <w:rsid w:val="00554578"/>
    <w:rsid w:val="00554D57"/>
    <w:rsid w:val="005551AA"/>
    <w:rsid w:val="00555BCE"/>
    <w:rsid w:val="005564CA"/>
    <w:rsid w:val="005568BD"/>
    <w:rsid w:val="005568EA"/>
    <w:rsid w:val="00557140"/>
    <w:rsid w:val="0055715A"/>
    <w:rsid w:val="0055729E"/>
    <w:rsid w:val="00557984"/>
    <w:rsid w:val="00557A3F"/>
    <w:rsid w:val="00560BC1"/>
    <w:rsid w:val="00560C87"/>
    <w:rsid w:val="00560F51"/>
    <w:rsid w:val="00561249"/>
    <w:rsid w:val="0056182B"/>
    <w:rsid w:val="00561A88"/>
    <w:rsid w:val="00561AF3"/>
    <w:rsid w:val="00561E0B"/>
    <w:rsid w:val="00562141"/>
    <w:rsid w:val="00562D86"/>
    <w:rsid w:val="005640CA"/>
    <w:rsid w:val="00564704"/>
    <w:rsid w:val="00564712"/>
    <w:rsid w:val="005654BF"/>
    <w:rsid w:val="005657A8"/>
    <w:rsid w:val="00565952"/>
    <w:rsid w:val="00566866"/>
    <w:rsid w:val="005670A5"/>
    <w:rsid w:val="00567285"/>
    <w:rsid w:val="00567723"/>
    <w:rsid w:val="0056772D"/>
    <w:rsid w:val="005678F5"/>
    <w:rsid w:val="00567AB8"/>
    <w:rsid w:val="00570A26"/>
    <w:rsid w:val="00570CFD"/>
    <w:rsid w:val="00571872"/>
    <w:rsid w:val="0057221F"/>
    <w:rsid w:val="00572421"/>
    <w:rsid w:val="00572539"/>
    <w:rsid w:val="00573355"/>
    <w:rsid w:val="0057337D"/>
    <w:rsid w:val="00573504"/>
    <w:rsid w:val="0057355F"/>
    <w:rsid w:val="00573BA3"/>
    <w:rsid w:val="00574708"/>
    <w:rsid w:val="00574D81"/>
    <w:rsid w:val="005756AA"/>
    <w:rsid w:val="0057696F"/>
    <w:rsid w:val="005774FE"/>
    <w:rsid w:val="0058040C"/>
    <w:rsid w:val="00580963"/>
    <w:rsid w:val="00580D6D"/>
    <w:rsid w:val="00580FD8"/>
    <w:rsid w:val="005813DE"/>
    <w:rsid w:val="00581796"/>
    <w:rsid w:val="00581B45"/>
    <w:rsid w:val="005822D0"/>
    <w:rsid w:val="00582480"/>
    <w:rsid w:val="00582805"/>
    <w:rsid w:val="0058290E"/>
    <w:rsid w:val="00582CAB"/>
    <w:rsid w:val="00582FA6"/>
    <w:rsid w:val="005836D5"/>
    <w:rsid w:val="0058375E"/>
    <w:rsid w:val="00584233"/>
    <w:rsid w:val="005842D0"/>
    <w:rsid w:val="005845FB"/>
    <w:rsid w:val="005855AE"/>
    <w:rsid w:val="00585829"/>
    <w:rsid w:val="00585CA8"/>
    <w:rsid w:val="00586412"/>
    <w:rsid w:val="005864B9"/>
    <w:rsid w:val="00586564"/>
    <w:rsid w:val="005866C4"/>
    <w:rsid w:val="00590F1A"/>
    <w:rsid w:val="00591C03"/>
    <w:rsid w:val="00591E2A"/>
    <w:rsid w:val="005923C4"/>
    <w:rsid w:val="0059397D"/>
    <w:rsid w:val="00593EA2"/>
    <w:rsid w:val="00593F75"/>
    <w:rsid w:val="005940A0"/>
    <w:rsid w:val="0059429A"/>
    <w:rsid w:val="00594CBE"/>
    <w:rsid w:val="00596AF7"/>
    <w:rsid w:val="00596CCE"/>
    <w:rsid w:val="005A1976"/>
    <w:rsid w:val="005A2120"/>
    <w:rsid w:val="005A2501"/>
    <w:rsid w:val="005A2C80"/>
    <w:rsid w:val="005A3066"/>
    <w:rsid w:val="005A3B35"/>
    <w:rsid w:val="005A3C4B"/>
    <w:rsid w:val="005A3E5A"/>
    <w:rsid w:val="005A43F3"/>
    <w:rsid w:val="005A496F"/>
    <w:rsid w:val="005A4A56"/>
    <w:rsid w:val="005A5608"/>
    <w:rsid w:val="005A5A3D"/>
    <w:rsid w:val="005A6035"/>
    <w:rsid w:val="005A6B75"/>
    <w:rsid w:val="005A6E00"/>
    <w:rsid w:val="005A70B2"/>
    <w:rsid w:val="005A718A"/>
    <w:rsid w:val="005A72DD"/>
    <w:rsid w:val="005A7885"/>
    <w:rsid w:val="005B12B2"/>
    <w:rsid w:val="005B143B"/>
    <w:rsid w:val="005B19BD"/>
    <w:rsid w:val="005B1D7A"/>
    <w:rsid w:val="005B1E45"/>
    <w:rsid w:val="005B21C4"/>
    <w:rsid w:val="005B2A28"/>
    <w:rsid w:val="005B35AB"/>
    <w:rsid w:val="005B3621"/>
    <w:rsid w:val="005B3EBE"/>
    <w:rsid w:val="005B4948"/>
    <w:rsid w:val="005B501D"/>
    <w:rsid w:val="005B54CC"/>
    <w:rsid w:val="005B71BB"/>
    <w:rsid w:val="005B74AD"/>
    <w:rsid w:val="005B7E96"/>
    <w:rsid w:val="005C0429"/>
    <w:rsid w:val="005C084F"/>
    <w:rsid w:val="005C0EE9"/>
    <w:rsid w:val="005C169F"/>
    <w:rsid w:val="005C16A8"/>
    <w:rsid w:val="005C1716"/>
    <w:rsid w:val="005C1954"/>
    <w:rsid w:val="005C1C0B"/>
    <w:rsid w:val="005C2011"/>
    <w:rsid w:val="005C21CD"/>
    <w:rsid w:val="005C3EA3"/>
    <w:rsid w:val="005C44DE"/>
    <w:rsid w:val="005C5011"/>
    <w:rsid w:val="005C5241"/>
    <w:rsid w:val="005C529E"/>
    <w:rsid w:val="005C57BA"/>
    <w:rsid w:val="005C5C52"/>
    <w:rsid w:val="005C5D3D"/>
    <w:rsid w:val="005C5F05"/>
    <w:rsid w:val="005C6186"/>
    <w:rsid w:val="005C6CF7"/>
    <w:rsid w:val="005C7E45"/>
    <w:rsid w:val="005C7F3E"/>
    <w:rsid w:val="005D06D3"/>
    <w:rsid w:val="005D0C3B"/>
    <w:rsid w:val="005D103E"/>
    <w:rsid w:val="005D1051"/>
    <w:rsid w:val="005D1606"/>
    <w:rsid w:val="005D2044"/>
    <w:rsid w:val="005D209E"/>
    <w:rsid w:val="005D2917"/>
    <w:rsid w:val="005D2EB2"/>
    <w:rsid w:val="005D2F48"/>
    <w:rsid w:val="005D3B32"/>
    <w:rsid w:val="005D464B"/>
    <w:rsid w:val="005D466F"/>
    <w:rsid w:val="005D49F0"/>
    <w:rsid w:val="005D51F7"/>
    <w:rsid w:val="005D51FA"/>
    <w:rsid w:val="005D53E8"/>
    <w:rsid w:val="005D5A9D"/>
    <w:rsid w:val="005D5D15"/>
    <w:rsid w:val="005D6651"/>
    <w:rsid w:val="005D691D"/>
    <w:rsid w:val="005D6A72"/>
    <w:rsid w:val="005D6F38"/>
    <w:rsid w:val="005D791B"/>
    <w:rsid w:val="005D7CF2"/>
    <w:rsid w:val="005D7F92"/>
    <w:rsid w:val="005E062C"/>
    <w:rsid w:val="005E0D7B"/>
    <w:rsid w:val="005E1595"/>
    <w:rsid w:val="005E1F1D"/>
    <w:rsid w:val="005E273D"/>
    <w:rsid w:val="005E3278"/>
    <w:rsid w:val="005E363B"/>
    <w:rsid w:val="005E3736"/>
    <w:rsid w:val="005E4B72"/>
    <w:rsid w:val="005E52C9"/>
    <w:rsid w:val="005E781C"/>
    <w:rsid w:val="005F2D8B"/>
    <w:rsid w:val="005F305B"/>
    <w:rsid w:val="005F3361"/>
    <w:rsid w:val="005F361A"/>
    <w:rsid w:val="005F3B47"/>
    <w:rsid w:val="005F4481"/>
    <w:rsid w:val="005F47AC"/>
    <w:rsid w:val="005F49AF"/>
    <w:rsid w:val="005F4A58"/>
    <w:rsid w:val="005F54DF"/>
    <w:rsid w:val="005F5888"/>
    <w:rsid w:val="005F5984"/>
    <w:rsid w:val="005F5EAB"/>
    <w:rsid w:val="005F6CE2"/>
    <w:rsid w:val="005F6EC8"/>
    <w:rsid w:val="005F6F24"/>
    <w:rsid w:val="005F72E9"/>
    <w:rsid w:val="005F780B"/>
    <w:rsid w:val="00600473"/>
    <w:rsid w:val="0060139A"/>
    <w:rsid w:val="006013C9"/>
    <w:rsid w:val="00602931"/>
    <w:rsid w:val="00602B45"/>
    <w:rsid w:val="00603499"/>
    <w:rsid w:val="006035F5"/>
    <w:rsid w:val="00603CC2"/>
    <w:rsid w:val="006047D1"/>
    <w:rsid w:val="006048A4"/>
    <w:rsid w:val="00604A55"/>
    <w:rsid w:val="00604D4E"/>
    <w:rsid w:val="00604E3E"/>
    <w:rsid w:val="00605AC3"/>
    <w:rsid w:val="00606908"/>
    <w:rsid w:val="00607996"/>
    <w:rsid w:val="00607A37"/>
    <w:rsid w:val="00607E9F"/>
    <w:rsid w:val="00610001"/>
    <w:rsid w:val="0061085E"/>
    <w:rsid w:val="006112A7"/>
    <w:rsid w:val="00611398"/>
    <w:rsid w:val="006113B4"/>
    <w:rsid w:val="0061186D"/>
    <w:rsid w:val="00612322"/>
    <w:rsid w:val="006123C0"/>
    <w:rsid w:val="006129AB"/>
    <w:rsid w:val="00613191"/>
    <w:rsid w:val="006133F9"/>
    <w:rsid w:val="006134B3"/>
    <w:rsid w:val="00613DE1"/>
    <w:rsid w:val="0061401F"/>
    <w:rsid w:val="00614166"/>
    <w:rsid w:val="00614817"/>
    <w:rsid w:val="006149CC"/>
    <w:rsid w:val="006157A9"/>
    <w:rsid w:val="0061591D"/>
    <w:rsid w:val="00615ED0"/>
    <w:rsid w:val="0061604C"/>
    <w:rsid w:val="00616C2B"/>
    <w:rsid w:val="00616D7F"/>
    <w:rsid w:val="006178D1"/>
    <w:rsid w:val="00620719"/>
    <w:rsid w:val="006212C9"/>
    <w:rsid w:val="00621D0C"/>
    <w:rsid w:val="00622229"/>
    <w:rsid w:val="00622470"/>
    <w:rsid w:val="00622725"/>
    <w:rsid w:val="00622785"/>
    <w:rsid w:val="00622ACD"/>
    <w:rsid w:val="00622B63"/>
    <w:rsid w:val="006231AA"/>
    <w:rsid w:val="00623482"/>
    <w:rsid w:val="00623AC2"/>
    <w:rsid w:val="00623EBC"/>
    <w:rsid w:val="0062475D"/>
    <w:rsid w:val="00625642"/>
    <w:rsid w:val="00625DF2"/>
    <w:rsid w:val="006266D7"/>
    <w:rsid w:val="00626D42"/>
    <w:rsid w:val="00626EE3"/>
    <w:rsid w:val="006274AD"/>
    <w:rsid w:val="00627519"/>
    <w:rsid w:val="00627532"/>
    <w:rsid w:val="006302AA"/>
    <w:rsid w:val="006310C3"/>
    <w:rsid w:val="0063161E"/>
    <w:rsid w:val="00631BB5"/>
    <w:rsid w:val="00631DD0"/>
    <w:rsid w:val="00633DBF"/>
    <w:rsid w:val="00634122"/>
    <w:rsid w:val="0063444B"/>
    <w:rsid w:val="00634BEF"/>
    <w:rsid w:val="00635E32"/>
    <w:rsid w:val="006360FC"/>
    <w:rsid w:val="006361C9"/>
    <w:rsid w:val="00636405"/>
    <w:rsid w:val="006365DE"/>
    <w:rsid w:val="00636BE4"/>
    <w:rsid w:val="00636F88"/>
    <w:rsid w:val="0063732C"/>
    <w:rsid w:val="00637802"/>
    <w:rsid w:val="00637836"/>
    <w:rsid w:val="00637C26"/>
    <w:rsid w:val="00637F44"/>
    <w:rsid w:val="00641078"/>
    <w:rsid w:val="00641242"/>
    <w:rsid w:val="00641761"/>
    <w:rsid w:val="00642126"/>
    <w:rsid w:val="00642A32"/>
    <w:rsid w:val="00642F7C"/>
    <w:rsid w:val="006433D5"/>
    <w:rsid w:val="00643412"/>
    <w:rsid w:val="0064497F"/>
    <w:rsid w:val="00645844"/>
    <w:rsid w:val="00645CEB"/>
    <w:rsid w:val="00645E63"/>
    <w:rsid w:val="00646B20"/>
    <w:rsid w:val="00646D0F"/>
    <w:rsid w:val="00647A36"/>
    <w:rsid w:val="00647DCC"/>
    <w:rsid w:val="00647E8E"/>
    <w:rsid w:val="00647EFA"/>
    <w:rsid w:val="00647F14"/>
    <w:rsid w:val="00650027"/>
    <w:rsid w:val="00650E89"/>
    <w:rsid w:val="00651B9C"/>
    <w:rsid w:val="00651C47"/>
    <w:rsid w:val="00652E70"/>
    <w:rsid w:val="0065339A"/>
    <w:rsid w:val="00653469"/>
    <w:rsid w:val="0065443A"/>
    <w:rsid w:val="00654A38"/>
    <w:rsid w:val="00655301"/>
    <w:rsid w:val="00655371"/>
    <w:rsid w:val="00655507"/>
    <w:rsid w:val="006564A5"/>
    <w:rsid w:val="00656C4B"/>
    <w:rsid w:val="006572A7"/>
    <w:rsid w:val="006573EA"/>
    <w:rsid w:val="006577C9"/>
    <w:rsid w:val="006606A4"/>
    <w:rsid w:val="00661029"/>
    <w:rsid w:val="006610C3"/>
    <w:rsid w:val="0066135A"/>
    <w:rsid w:val="00661A38"/>
    <w:rsid w:val="0066272D"/>
    <w:rsid w:val="00662E58"/>
    <w:rsid w:val="00662F39"/>
    <w:rsid w:val="006635A0"/>
    <w:rsid w:val="00663D26"/>
    <w:rsid w:val="00664351"/>
    <w:rsid w:val="00665968"/>
    <w:rsid w:val="00665BF7"/>
    <w:rsid w:val="00665E65"/>
    <w:rsid w:val="006660F0"/>
    <w:rsid w:val="00666178"/>
    <w:rsid w:val="0066639E"/>
    <w:rsid w:val="00666473"/>
    <w:rsid w:val="00666B49"/>
    <w:rsid w:val="00666C72"/>
    <w:rsid w:val="00666E6C"/>
    <w:rsid w:val="0066707F"/>
    <w:rsid w:val="00667ED8"/>
    <w:rsid w:val="0067064C"/>
    <w:rsid w:val="00670B20"/>
    <w:rsid w:val="00670E12"/>
    <w:rsid w:val="00670F27"/>
    <w:rsid w:val="0067266A"/>
    <w:rsid w:val="00672E80"/>
    <w:rsid w:val="0067333F"/>
    <w:rsid w:val="006739E4"/>
    <w:rsid w:val="00673ECF"/>
    <w:rsid w:val="0067426B"/>
    <w:rsid w:val="00674A1B"/>
    <w:rsid w:val="00674D08"/>
    <w:rsid w:val="00674F1C"/>
    <w:rsid w:val="006754F8"/>
    <w:rsid w:val="00676127"/>
    <w:rsid w:val="00676AED"/>
    <w:rsid w:val="00677212"/>
    <w:rsid w:val="00677F26"/>
    <w:rsid w:val="006800EE"/>
    <w:rsid w:val="006802A7"/>
    <w:rsid w:val="00680A86"/>
    <w:rsid w:val="006811C9"/>
    <w:rsid w:val="006812CE"/>
    <w:rsid w:val="006826C1"/>
    <w:rsid w:val="00682C89"/>
    <w:rsid w:val="006832B8"/>
    <w:rsid w:val="006837B2"/>
    <w:rsid w:val="00683800"/>
    <w:rsid w:val="00684462"/>
    <w:rsid w:val="00684765"/>
    <w:rsid w:val="00684C0D"/>
    <w:rsid w:val="00684C8A"/>
    <w:rsid w:val="00684CF5"/>
    <w:rsid w:val="0068553E"/>
    <w:rsid w:val="00685D37"/>
    <w:rsid w:val="00685E7B"/>
    <w:rsid w:val="00686551"/>
    <w:rsid w:val="00686CAB"/>
    <w:rsid w:val="0068717F"/>
    <w:rsid w:val="0068730C"/>
    <w:rsid w:val="00687504"/>
    <w:rsid w:val="00687A14"/>
    <w:rsid w:val="00687A8C"/>
    <w:rsid w:val="00690839"/>
    <w:rsid w:val="006908DB"/>
    <w:rsid w:val="00690DE9"/>
    <w:rsid w:val="00691563"/>
    <w:rsid w:val="00691DE9"/>
    <w:rsid w:val="00691EAA"/>
    <w:rsid w:val="00692245"/>
    <w:rsid w:val="00692745"/>
    <w:rsid w:val="00692FFA"/>
    <w:rsid w:val="00693772"/>
    <w:rsid w:val="00693984"/>
    <w:rsid w:val="00693B77"/>
    <w:rsid w:val="00694160"/>
    <w:rsid w:val="00694E8B"/>
    <w:rsid w:val="006959A5"/>
    <w:rsid w:val="00695C0C"/>
    <w:rsid w:val="00696736"/>
    <w:rsid w:val="00696A05"/>
    <w:rsid w:val="00697665"/>
    <w:rsid w:val="00697C9A"/>
    <w:rsid w:val="00697E68"/>
    <w:rsid w:val="00697F3D"/>
    <w:rsid w:val="00697FC1"/>
    <w:rsid w:val="006A0274"/>
    <w:rsid w:val="006A27BC"/>
    <w:rsid w:val="006A2A43"/>
    <w:rsid w:val="006A2BF1"/>
    <w:rsid w:val="006A2F9A"/>
    <w:rsid w:val="006A34E4"/>
    <w:rsid w:val="006A3A5A"/>
    <w:rsid w:val="006A44CF"/>
    <w:rsid w:val="006A457D"/>
    <w:rsid w:val="006A4B5A"/>
    <w:rsid w:val="006A4C06"/>
    <w:rsid w:val="006A538C"/>
    <w:rsid w:val="006A55EE"/>
    <w:rsid w:val="006A575B"/>
    <w:rsid w:val="006A59DE"/>
    <w:rsid w:val="006A64C6"/>
    <w:rsid w:val="006A6655"/>
    <w:rsid w:val="006A6BF9"/>
    <w:rsid w:val="006A7AB8"/>
    <w:rsid w:val="006A7CB5"/>
    <w:rsid w:val="006A7FD0"/>
    <w:rsid w:val="006B025C"/>
    <w:rsid w:val="006B08ED"/>
    <w:rsid w:val="006B2170"/>
    <w:rsid w:val="006B2534"/>
    <w:rsid w:val="006B2CB2"/>
    <w:rsid w:val="006B347D"/>
    <w:rsid w:val="006B3E19"/>
    <w:rsid w:val="006B4488"/>
    <w:rsid w:val="006B4D5D"/>
    <w:rsid w:val="006B50C4"/>
    <w:rsid w:val="006B53AE"/>
    <w:rsid w:val="006B58B4"/>
    <w:rsid w:val="006B67AC"/>
    <w:rsid w:val="006B786A"/>
    <w:rsid w:val="006B7E4E"/>
    <w:rsid w:val="006C003A"/>
    <w:rsid w:val="006C107C"/>
    <w:rsid w:val="006C189C"/>
    <w:rsid w:val="006C2454"/>
    <w:rsid w:val="006C2551"/>
    <w:rsid w:val="006C27B9"/>
    <w:rsid w:val="006C37CA"/>
    <w:rsid w:val="006C39AE"/>
    <w:rsid w:val="006C40D2"/>
    <w:rsid w:val="006C4B85"/>
    <w:rsid w:val="006C4BBD"/>
    <w:rsid w:val="006C551E"/>
    <w:rsid w:val="006C5B15"/>
    <w:rsid w:val="006C5D32"/>
    <w:rsid w:val="006C5DCB"/>
    <w:rsid w:val="006C6475"/>
    <w:rsid w:val="006C70C4"/>
    <w:rsid w:val="006C741F"/>
    <w:rsid w:val="006D04DA"/>
    <w:rsid w:val="006D0B1A"/>
    <w:rsid w:val="006D10F6"/>
    <w:rsid w:val="006D1544"/>
    <w:rsid w:val="006D1688"/>
    <w:rsid w:val="006D1BE1"/>
    <w:rsid w:val="006D1DD3"/>
    <w:rsid w:val="006D1FF3"/>
    <w:rsid w:val="006D219C"/>
    <w:rsid w:val="006D2C65"/>
    <w:rsid w:val="006D32C6"/>
    <w:rsid w:val="006D360E"/>
    <w:rsid w:val="006D3697"/>
    <w:rsid w:val="006D39D2"/>
    <w:rsid w:val="006D3A94"/>
    <w:rsid w:val="006D3F2A"/>
    <w:rsid w:val="006D4370"/>
    <w:rsid w:val="006D46A3"/>
    <w:rsid w:val="006D5DCB"/>
    <w:rsid w:val="006D62E0"/>
    <w:rsid w:val="006D658F"/>
    <w:rsid w:val="006D66B2"/>
    <w:rsid w:val="006D6A12"/>
    <w:rsid w:val="006D712D"/>
    <w:rsid w:val="006D7687"/>
    <w:rsid w:val="006D7D1F"/>
    <w:rsid w:val="006D7D8A"/>
    <w:rsid w:val="006E046C"/>
    <w:rsid w:val="006E0572"/>
    <w:rsid w:val="006E05D8"/>
    <w:rsid w:val="006E08EE"/>
    <w:rsid w:val="006E0F32"/>
    <w:rsid w:val="006E155A"/>
    <w:rsid w:val="006E2C34"/>
    <w:rsid w:val="006E359B"/>
    <w:rsid w:val="006E39D1"/>
    <w:rsid w:val="006E3B05"/>
    <w:rsid w:val="006E437F"/>
    <w:rsid w:val="006E4D5B"/>
    <w:rsid w:val="006E602F"/>
    <w:rsid w:val="006E6720"/>
    <w:rsid w:val="006E7275"/>
    <w:rsid w:val="006E77B8"/>
    <w:rsid w:val="006E7AAF"/>
    <w:rsid w:val="006F0F74"/>
    <w:rsid w:val="006F1041"/>
    <w:rsid w:val="006F13BA"/>
    <w:rsid w:val="006F15CC"/>
    <w:rsid w:val="006F15F6"/>
    <w:rsid w:val="006F36EA"/>
    <w:rsid w:val="006F37F4"/>
    <w:rsid w:val="006F4147"/>
    <w:rsid w:val="006F4315"/>
    <w:rsid w:val="006F4CB0"/>
    <w:rsid w:val="006F4F78"/>
    <w:rsid w:val="006F547E"/>
    <w:rsid w:val="006F5CCF"/>
    <w:rsid w:val="006F6F04"/>
    <w:rsid w:val="006F71F5"/>
    <w:rsid w:val="006F72A8"/>
    <w:rsid w:val="006F79BB"/>
    <w:rsid w:val="007000A6"/>
    <w:rsid w:val="00700610"/>
    <w:rsid w:val="0070138A"/>
    <w:rsid w:val="0070157E"/>
    <w:rsid w:val="007030D4"/>
    <w:rsid w:val="00703279"/>
    <w:rsid w:val="00703B61"/>
    <w:rsid w:val="00703E11"/>
    <w:rsid w:val="00704102"/>
    <w:rsid w:val="0070437C"/>
    <w:rsid w:val="0070461C"/>
    <w:rsid w:val="00704F37"/>
    <w:rsid w:val="00705631"/>
    <w:rsid w:val="00705818"/>
    <w:rsid w:val="00705F62"/>
    <w:rsid w:val="0070773F"/>
    <w:rsid w:val="00707A2E"/>
    <w:rsid w:val="00707ED3"/>
    <w:rsid w:val="007101B7"/>
    <w:rsid w:val="00710668"/>
    <w:rsid w:val="00711019"/>
    <w:rsid w:val="007110F4"/>
    <w:rsid w:val="007112B1"/>
    <w:rsid w:val="0071130F"/>
    <w:rsid w:val="00712714"/>
    <w:rsid w:val="007129AB"/>
    <w:rsid w:val="00712B63"/>
    <w:rsid w:val="00712E5F"/>
    <w:rsid w:val="00713526"/>
    <w:rsid w:val="00713FC5"/>
    <w:rsid w:val="00714DCA"/>
    <w:rsid w:val="007150F3"/>
    <w:rsid w:val="00715BBF"/>
    <w:rsid w:val="00715C29"/>
    <w:rsid w:val="00715CBD"/>
    <w:rsid w:val="00715CF9"/>
    <w:rsid w:val="00715EAA"/>
    <w:rsid w:val="00716119"/>
    <w:rsid w:val="00716630"/>
    <w:rsid w:val="00716CAD"/>
    <w:rsid w:val="00716CD3"/>
    <w:rsid w:val="00716F18"/>
    <w:rsid w:val="00717363"/>
    <w:rsid w:val="00717786"/>
    <w:rsid w:val="00717ACB"/>
    <w:rsid w:val="0072138B"/>
    <w:rsid w:val="00721BFF"/>
    <w:rsid w:val="00723475"/>
    <w:rsid w:val="007236C4"/>
    <w:rsid w:val="00724635"/>
    <w:rsid w:val="00724F21"/>
    <w:rsid w:val="00725134"/>
    <w:rsid w:val="0072554B"/>
    <w:rsid w:val="0072571F"/>
    <w:rsid w:val="00725AFD"/>
    <w:rsid w:val="00726603"/>
    <w:rsid w:val="007266AC"/>
    <w:rsid w:val="00727B1D"/>
    <w:rsid w:val="00727DDC"/>
    <w:rsid w:val="00730CD6"/>
    <w:rsid w:val="00730F74"/>
    <w:rsid w:val="0073114B"/>
    <w:rsid w:val="00732151"/>
    <w:rsid w:val="00732EBC"/>
    <w:rsid w:val="00734952"/>
    <w:rsid w:val="00734990"/>
    <w:rsid w:val="00734FF5"/>
    <w:rsid w:val="00735B78"/>
    <w:rsid w:val="00735DA7"/>
    <w:rsid w:val="00736700"/>
    <w:rsid w:val="007368B4"/>
    <w:rsid w:val="007378E0"/>
    <w:rsid w:val="0074040E"/>
    <w:rsid w:val="00740529"/>
    <w:rsid w:val="00740876"/>
    <w:rsid w:val="00741358"/>
    <w:rsid w:val="00741626"/>
    <w:rsid w:val="00742332"/>
    <w:rsid w:val="00742886"/>
    <w:rsid w:val="00742A3A"/>
    <w:rsid w:val="00742DD2"/>
    <w:rsid w:val="007437C6"/>
    <w:rsid w:val="007441A2"/>
    <w:rsid w:val="00744E80"/>
    <w:rsid w:val="00745035"/>
    <w:rsid w:val="0074531C"/>
    <w:rsid w:val="00745547"/>
    <w:rsid w:val="007459D0"/>
    <w:rsid w:val="0074623A"/>
    <w:rsid w:val="00746420"/>
    <w:rsid w:val="00746A60"/>
    <w:rsid w:val="00746E04"/>
    <w:rsid w:val="00746E08"/>
    <w:rsid w:val="00746E3D"/>
    <w:rsid w:val="007473B9"/>
    <w:rsid w:val="00747C96"/>
    <w:rsid w:val="00750075"/>
    <w:rsid w:val="007502EC"/>
    <w:rsid w:val="00750382"/>
    <w:rsid w:val="0075094E"/>
    <w:rsid w:val="00750FA8"/>
    <w:rsid w:val="00750FB5"/>
    <w:rsid w:val="007520F0"/>
    <w:rsid w:val="007522E8"/>
    <w:rsid w:val="007529DB"/>
    <w:rsid w:val="007534AD"/>
    <w:rsid w:val="00753BAC"/>
    <w:rsid w:val="00754A0B"/>
    <w:rsid w:val="00755229"/>
    <w:rsid w:val="007552DB"/>
    <w:rsid w:val="0075549F"/>
    <w:rsid w:val="00755B08"/>
    <w:rsid w:val="00755DD0"/>
    <w:rsid w:val="0075647A"/>
    <w:rsid w:val="00756A2F"/>
    <w:rsid w:val="007573E1"/>
    <w:rsid w:val="0075749E"/>
    <w:rsid w:val="00757722"/>
    <w:rsid w:val="00757B2D"/>
    <w:rsid w:val="00757BAD"/>
    <w:rsid w:val="00757D62"/>
    <w:rsid w:val="00760021"/>
    <w:rsid w:val="00760561"/>
    <w:rsid w:val="00760867"/>
    <w:rsid w:val="00760EB6"/>
    <w:rsid w:val="007616DB"/>
    <w:rsid w:val="00761AB7"/>
    <w:rsid w:val="00761CE6"/>
    <w:rsid w:val="0076228A"/>
    <w:rsid w:val="00762440"/>
    <w:rsid w:val="00762499"/>
    <w:rsid w:val="0076275B"/>
    <w:rsid w:val="007628CA"/>
    <w:rsid w:val="007629B7"/>
    <w:rsid w:val="00762E60"/>
    <w:rsid w:val="00762F54"/>
    <w:rsid w:val="007634AD"/>
    <w:rsid w:val="0076445F"/>
    <w:rsid w:val="00764EC5"/>
    <w:rsid w:val="007651EF"/>
    <w:rsid w:val="00766D49"/>
    <w:rsid w:val="00766ECC"/>
    <w:rsid w:val="007672F3"/>
    <w:rsid w:val="007677B5"/>
    <w:rsid w:val="007678B1"/>
    <w:rsid w:val="007708A8"/>
    <w:rsid w:val="00772100"/>
    <w:rsid w:val="00772275"/>
    <w:rsid w:val="007734E4"/>
    <w:rsid w:val="0077380D"/>
    <w:rsid w:val="00773BC8"/>
    <w:rsid w:val="00774549"/>
    <w:rsid w:val="0077466F"/>
    <w:rsid w:val="007752B7"/>
    <w:rsid w:val="007759A8"/>
    <w:rsid w:val="00775C27"/>
    <w:rsid w:val="00775D98"/>
    <w:rsid w:val="00776B93"/>
    <w:rsid w:val="00776FE5"/>
    <w:rsid w:val="00777101"/>
    <w:rsid w:val="007774E7"/>
    <w:rsid w:val="0077768C"/>
    <w:rsid w:val="00777696"/>
    <w:rsid w:val="00777EDF"/>
    <w:rsid w:val="00777FF4"/>
    <w:rsid w:val="00780251"/>
    <w:rsid w:val="007804FE"/>
    <w:rsid w:val="00780F32"/>
    <w:rsid w:val="0078122E"/>
    <w:rsid w:val="00781939"/>
    <w:rsid w:val="00781D29"/>
    <w:rsid w:val="007820C7"/>
    <w:rsid w:val="007825EF"/>
    <w:rsid w:val="0078286B"/>
    <w:rsid w:val="00782D2C"/>
    <w:rsid w:val="00782FC2"/>
    <w:rsid w:val="0078347A"/>
    <w:rsid w:val="0078410A"/>
    <w:rsid w:val="00784938"/>
    <w:rsid w:val="00784FC4"/>
    <w:rsid w:val="00785BBB"/>
    <w:rsid w:val="00786937"/>
    <w:rsid w:val="00786FAD"/>
    <w:rsid w:val="00787B1B"/>
    <w:rsid w:val="00787CCC"/>
    <w:rsid w:val="00787D90"/>
    <w:rsid w:val="00787F5E"/>
    <w:rsid w:val="00790164"/>
    <w:rsid w:val="007905C6"/>
    <w:rsid w:val="00790A24"/>
    <w:rsid w:val="00790A37"/>
    <w:rsid w:val="00790A60"/>
    <w:rsid w:val="0079146D"/>
    <w:rsid w:val="00791C32"/>
    <w:rsid w:val="00791FF0"/>
    <w:rsid w:val="007923D0"/>
    <w:rsid w:val="007930D3"/>
    <w:rsid w:val="0079381F"/>
    <w:rsid w:val="00793A57"/>
    <w:rsid w:val="00793B2E"/>
    <w:rsid w:val="007948F5"/>
    <w:rsid w:val="00795647"/>
    <w:rsid w:val="007963F6"/>
    <w:rsid w:val="00796DC8"/>
    <w:rsid w:val="00796E80"/>
    <w:rsid w:val="0079744F"/>
    <w:rsid w:val="0079776F"/>
    <w:rsid w:val="007979AD"/>
    <w:rsid w:val="00797A9C"/>
    <w:rsid w:val="007A0502"/>
    <w:rsid w:val="007A0EAB"/>
    <w:rsid w:val="007A2341"/>
    <w:rsid w:val="007A2754"/>
    <w:rsid w:val="007A38A1"/>
    <w:rsid w:val="007A3BBE"/>
    <w:rsid w:val="007A4766"/>
    <w:rsid w:val="007A5947"/>
    <w:rsid w:val="007A717B"/>
    <w:rsid w:val="007A7714"/>
    <w:rsid w:val="007B0302"/>
    <w:rsid w:val="007B0313"/>
    <w:rsid w:val="007B0854"/>
    <w:rsid w:val="007B0E48"/>
    <w:rsid w:val="007B1D1B"/>
    <w:rsid w:val="007B21AA"/>
    <w:rsid w:val="007B2504"/>
    <w:rsid w:val="007B2549"/>
    <w:rsid w:val="007B303E"/>
    <w:rsid w:val="007B32C0"/>
    <w:rsid w:val="007B32F7"/>
    <w:rsid w:val="007B3659"/>
    <w:rsid w:val="007B38B5"/>
    <w:rsid w:val="007B3BF3"/>
    <w:rsid w:val="007B431B"/>
    <w:rsid w:val="007B4558"/>
    <w:rsid w:val="007B4632"/>
    <w:rsid w:val="007B46A2"/>
    <w:rsid w:val="007B4828"/>
    <w:rsid w:val="007B4B2D"/>
    <w:rsid w:val="007B4D4A"/>
    <w:rsid w:val="007B5428"/>
    <w:rsid w:val="007B59B7"/>
    <w:rsid w:val="007B6C64"/>
    <w:rsid w:val="007B6EC8"/>
    <w:rsid w:val="007B6F81"/>
    <w:rsid w:val="007B7EA2"/>
    <w:rsid w:val="007C097D"/>
    <w:rsid w:val="007C0AF2"/>
    <w:rsid w:val="007C1672"/>
    <w:rsid w:val="007C17AE"/>
    <w:rsid w:val="007C24EE"/>
    <w:rsid w:val="007C312A"/>
    <w:rsid w:val="007C3538"/>
    <w:rsid w:val="007C3570"/>
    <w:rsid w:val="007C3F3B"/>
    <w:rsid w:val="007C4097"/>
    <w:rsid w:val="007C4241"/>
    <w:rsid w:val="007C425E"/>
    <w:rsid w:val="007C55FF"/>
    <w:rsid w:val="007C6339"/>
    <w:rsid w:val="007C753F"/>
    <w:rsid w:val="007C7C43"/>
    <w:rsid w:val="007C7E15"/>
    <w:rsid w:val="007C7F0D"/>
    <w:rsid w:val="007D06E3"/>
    <w:rsid w:val="007D09E4"/>
    <w:rsid w:val="007D1134"/>
    <w:rsid w:val="007D231B"/>
    <w:rsid w:val="007D23F7"/>
    <w:rsid w:val="007D2566"/>
    <w:rsid w:val="007D2C18"/>
    <w:rsid w:val="007D2D74"/>
    <w:rsid w:val="007D3693"/>
    <w:rsid w:val="007D3C6D"/>
    <w:rsid w:val="007D481A"/>
    <w:rsid w:val="007D4B96"/>
    <w:rsid w:val="007D4ED0"/>
    <w:rsid w:val="007D5648"/>
    <w:rsid w:val="007D58C5"/>
    <w:rsid w:val="007D5DE8"/>
    <w:rsid w:val="007D7CFC"/>
    <w:rsid w:val="007E0812"/>
    <w:rsid w:val="007E0825"/>
    <w:rsid w:val="007E188A"/>
    <w:rsid w:val="007E18DF"/>
    <w:rsid w:val="007E214A"/>
    <w:rsid w:val="007E238D"/>
    <w:rsid w:val="007E2C36"/>
    <w:rsid w:val="007E350D"/>
    <w:rsid w:val="007E3ACA"/>
    <w:rsid w:val="007E3F4A"/>
    <w:rsid w:val="007E564D"/>
    <w:rsid w:val="007E5C4A"/>
    <w:rsid w:val="007E64D4"/>
    <w:rsid w:val="007E6570"/>
    <w:rsid w:val="007E66E9"/>
    <w:rsid w:val="007E69F2"/>
    <w:rsid w:val="007E7432"/>
    <w:rsid w:val="007E74BF"/>
    <w:rsid w:val="007E7657"/>
    <w:rsid w:val="007E7D2E"/>
    <w:rsid w:val="007F14D3"/>
    <w:rsid w:val="007F1814"/>
    <w:rsid w:val="007F1D9D"/>
    <w:rsid w:val="007F1E28"/>
    <w:rsid w:val="007F1F63"/>
    <w:rsid w:val="007F22A0"/>
    <w:rsid w:val="007F2902"/>
    <w:rsid w:val="007F2903"/>
    <w:rsid w:val="007F2F90"/>
    <w:rsid w:val="007F3320"/>
    <w:rsid w:val="007F3AC1"/>
    <w:rsid w:val="007F46E6"/>
    <w:rsid w:val="007F4976"/>
    <w:rsid w:val="007F4B40"/>
    <w:rsid w:val="007F5A56"/>
    <w:rsid w:val="007F5D42"/>
    <w:rsid w:val="007F616E"/>
    <w:rsid w:val="007F6B46"/>
    <w:rsid w:val="007F72CB"/>
    <w:rsid w:val="007F736A"/>
    <w:rsid w:val="007F7635"/>
    <w:rsid w:val="007F785F"/>
    <w:rsid w:val="007F7961"/>
    <w:rsid w:val="007F7AF6"/>
    <w:rsid w:val="007F7E36"/>
    <w:rsid w:val="00800E6D"/>
    <w:rsid w:val="008014D9"/>
    <w:rsid w:val="0080150F"/>
    <w:rsid w:val="0080153A"/>
    <w:rsid w:val="00801A2A"/>
    <w:rsid w:val="00802041"/>
    <w:rsid w:val="008022C9"/>
    <w:rsid w:val="00802605"/>
    <w:rsid w:val="00802F9E"/>
    <w:rsid w:val="00803700"/>
    <w:rsid w:val="00803D9D"/>
    <w:rsid w:val="008059C6"/>
    <w:rsid w:val="00805AD7"/>
    <w:rsid w:val="00805BD6"/>
    <w:rsid w:val="00805DE3"/>
    <w:rsid w:val="00807C35"/>
    <w:rsid w:val="00807F35"/>
    <w:rsid w:val="00807F69"/>
    <w:rsid w:val="008100F7"/>
    <w:rsid w:val="00810206"/>
    <w:rsid w:val="0081022B"/>
    <w:rsid w:val="00810A15"/>
    <w:rsid w:val="00811898"/>
    <w:rsid w:val="00811CDC"/>
    <w:rsid w:val="008124D8"/>
    <w:rsid w:val="00813A7B"/>
    <w:rsid w:val="00813F04"/>
    <w:rsid w:val="00814549"/>
    <w:rsid w:val="0081513E"/>
    <w:rsid w:val="00815DA5"/>
    <w:rsid w:val="00816221"/>
    <w:rsid w:val="008174F3"/>
    <w:rsid w:val="0081766B"/>
    <w:rsid w:val="008205AC"/>
    <w:rsid w:val="00820705"/>
    <w:rsid w:val="00820CBF"/>
    <w:rsid w:val="00820FA8"/>
    <w:rsid w:val="008212FD"/>
    <w:rsid w:val="00821489"/>
    <w:rsid w:val="0082168D"/>
    <w:rsid w:val="008217B7"/>
    <w:rsid w:val="0082239B"/>
    <w:rsid w:val="0082292E"/>
    <w:rsid w:val="00822D06"/>
    <w:rsid w:val="00822EC4"/>
    <w:rsid w:val="0082348D"/>
    <w:rsid w:val="008236BE"/>
    <w:rsid w:val="008241CE"/>
    <w:rsid w:val="00824910"/>
    <w:rsid w:val="00825240"/>
    <w:rsid w:val="00825B43"/>
    <w:rsid w:val="00826F71"/>
    <w:rsid w:val="00827CC0"/>
    <w:rsid w:val="008306AB"/>
    <w:rsid w:val="00831026"/>
    <w:rsid w:val="0083119B"/>
    <w:rsid w:val="00831BAE"/>
    <w:rsid w:val="00832216"/>
    <w:rsid w:val="00832513"/>
    <w:rsid w:val="00832CD0"/>
    <w:rsid w:val="00833430"/>
    <w:rsid w:val="00833ADA"/>
    <w:rsid w:val="00834128"/>
    <w:rsid w:val="0083417F"/>
    <w:rsid w:val="00835143"/>
    <w:rsid w:val="0083569B"/>
    <w:rsid w:val="00835741"/>
    <w:rsid w:val="00836718"/>
    <w:rsid w:val="00836E74"/>
    <w:rsid w:val="00836EAB"/>
    <w:rsid w:val="00837673"/>
    <w:rsid w:val="00837937"/>
    <w:rsid w:val="00837D82"/>
    <w:rsid w:val="00840893"/>
    <w:rsid w:val="00840E88"/>
    <w:rsid w:val="008410B1"/>
    <w:rsid w:val="008423EC"/>
    <w:rsid w:val="008429A6"/>
    <w:rsid w:val="00843615"/>
    <w:rsid w:val="00843698"/>
    <w:rsid w:val="00843A4B"/>
    <w:rsid w:val="00843B57"/>
    <w:rsid w:val="00843B60"/>
    <w:rsid w:val="00843D33"/>
    <w:rsid w:val="008444F0"/>
    <w:rsid w:val="00844D4F"/>
    <w:rsid w:val="00844F38"/>
    <w:rsid w:val="00845AE3"/>
    <w:rsid w:val="008466A0"/>
    <w:rsid w:val="00847535"/>
    <w:rsid w:val="00847B6D"/>
    <w:rsid w:val="0085092D"/>
    <w:rsid w:val="008509A5"/>
    <w:rsid w:val="00850C79"/>
    <w:rsid w:val="00850D82"/>
    <w:rsid w:val="00850F79"/>
    <w:rsid w:val="0085100B"/>
    <w:rsid w:val="008510A1"/>
    <w:rsid w:val="00851D6F"/>
    <w:rsid w:val="0085304C"/>
    <w:rsid w:val="008536BB"/>
    <w:rsid w:val="00853A3C"/>
    <w:rsid w:val="008548CA"/>
    <w:rsid w:val="008563B0"/>
    <w:rsid w:val="00856C06"/>
    <w:rsid w:val="0085790B"/>
    <w:rsid w:val="008579B9"/>
    <w:rsid w:val="00857C95"/>
    <w:rsid w:val="00857E78"/>
    <w:rsid w:val="00860AEF"/>
    <w:rsid w:val="00860B18"/>
    <w:rsid w:val="00860D5E"/>
    <w:rsid w:val="0086122C"/>
    <w:rsid w:val="00861310"/>
    <w:rsid w:val="00861C4D"/>
    <w:rsid w:val="00861F53"/>
    <w:rsid w:val="0086289E"/>
    <w:rsid w:val="008629CB"/>
    <w:rsid w:val="0086394E"/>
    <w:rsid w:val="00863F8A"/>
    <w:rsid w:val="00863FE3"/>
    <w:rsid w:val="008640C4"/>
    <w:rsid w:val="00864241"/>
    <w:rsid w:val="0086468A"/>
    <w:rsid w:val="008650BE"/>
    <w:rsid w:val="00865EAF"/>
    <w:rsid w:val="0086633B"/>
    <w:rsid w:val="00866495"/>
    <w:rsid w:val="00866881"/>
    <w:rsid w:val="00866931"/>
    <w:rsid w:val="00867512"/>
    <w:rsid w:val="008678A3"/>
    <w:rsid w:val="00867C13"/>
    <w:rsid w:val="00867C1D"/>
    <w:rsid w:val="0087033C"/>
    <w:rsid w:val="008715ED"/>
    <w:rsid w:val="008717D8"/>
    <w:rsid w:val="00871E3C"/>
    <w:rsid w:val="00872F97"/>
    <w:rsid w:val="00874607"/>
    <w:rsid w:val="008747E9"/>
    <w:rsid w:val="00874915"/>
    <w:rsid w:val="00874B89"/>
    <w:rsid w:val="00875403"/>
    <w:rsid w:val="00875434"/>
    <w:rsid w:val="00875C1F"/>
    <w:rsid w:val="00876215"/>
    <w:rsid w:val="0087646C"/>
    <w:rsid w:val="00876815"/>
    <w:rsid w:val="00877932"/>
    <w:rsid w:val="008808C7"/>
    <w:rsid w:val="0088106B"/>
    <w:rsid w:val="0088107D"/>
    <w:rsid w:val="0088187A"/>
    <w:rsid w:val="00881E64"/>
    <w:rsid w:val="00882E39"/>
    <w:rsid w:val="00883559"/>
    <w:rsid w:val="008850EB"/>
    <w:rsid w:val="00885228"/>
    <w:rsid w:val="008857E3"/>
    <w:rsid w:val="00886DF2"/>
    <w:rsid w:val="00886FB9"/>
    <w:rsid w:val="00887057"/>
    <w:rsid w:val="00887080"/>
    <w:rsid w:val="00887C79"/>
    <w:rsid w:val="0089107B"/>
    <w:rsid w:val="008913CC"/>
    <w:rsid w:val="008914AE"/>
    <w:rsid w:val="008919CF"/>
    <w:rsid w:val="00891F84"/>
    <w:rsid w:val="00891FC3"/>
    <w:rsid w:val="008928EC"/>
    <w:rsid w:val="00892A15"/>
    <w:rsid w:val="00892E5D"/>
    <w:rsid w:val="008935CF"/>
    <w:rsid w:val="0089436B"/>
    <w:rsid w:val="00894436"/>
    <w:rsid w:val="00894BB1"/>
    <w:rsid w:val="00895138"/>
    <w:rsid w:val="008951D0"/>
    <w:rsid w:val="00895442"/>
    <w:rsid w:val="0089582D"/>
    <w:rsid w:val="008959C6"/>
    <w:rsid w:val="0089606D"/>
    <w:rsid w:val="00896129"/>
    <w:rsid w:val="00896316"/>
    <w:rsid w:val="0089774F"/>
    <w:rsid w:val="00897875"/>
    <w:rsid w:val="00897B8F"/>
    <w:rsid w:val="008A00D9"/>
    <w:rsid w:val="008A07D5"/>
    <w:rsid w:val="008A1C96"/>
    <w:rsid w:val="008A1FB7"/>
    <w:rsid w:val="008A229A"/>
    <w:rsid w:val="008A2A23"/>
    <w:rsid w:val="008A2AF5"/>
    <w:rsid w:val="008A2B5A"/>
    <w:rsid w:val="008A3F9D"/>
    <w:rsid w:val="008A41F8"/>
    <w:rsid w:val="008A5474"/>
    <w:rsid w:val="008A5C9A"/>
    <w:rsid w:val="008A6005"/>
    <w:rsid w:val="008A614F"/>
    <w:rsid w:val="008A6A55"/>
    <w:rsid w:val="008A6DF0"/>
    <w:rsid w:val="008A6F6E"/>
    <w:rsid w:val="008A7888"/>
    <w:rsid w:val="008A796E"/>
    <w:rsid w:val="008B0862"/>
    <w:rsid w:val="008B088C"/>
    <w:rsid w:val="008B1BF5"/>
    <w:rsid w:val="008B263F"/>
    <w:rsid w:val="008B3045"/>
    <w:rsid w:val="008B47A6"/>
    <w:rsid w:val="008B5C7C"/>
    <w:rsid w:val="008B63FE"/>
    <w:rsid w:val="008B672C"/>
    <w:rsid w:val="008B7108"/>
    <w:rsid w:val="008C065F"/>
    <w:rsid w:val="008C0743"/>
    <w:rsid w:val="008C0B4C"/>
    <w:rsid w:val="008C11F0"/>
    <w:rsid w:val="008C1DBA"/>
    <w:rsid w:val="008C24E7"/>
    <w:rsid w:val="008C2500"/>
    <w:rsid w:val="008C2CAC"/>
    <w:rsid w:val="008C3C57"/>
    <w:rsid w:val="008C3E2A"/>
    <w:rsid w:val="008C45BD"/>
    <w:rsid w:val="008C4B19"/>
    <w:rsid w:val="008C62D4"/>
    <w:rsid w:val="008C6B89"/>
    <w:rsid w:val="008C6B97"/>
    <w:rsid w:val="008C7EF7"/>
    <w:rsid w:val="008D094D"/>
    <w:rsid w:val="008D18AA"/>
    <w:rsid w:val="008D1A2A"/>
    <w:rsid w:val="008D1ADE"/>
    <w:rsid w:val="008D3199"/>
    <w:rsid w:val="008D35D9"/>
    <w:rsid w:val="008D3B36"/>
    <w:rsid w:val="008D3B85"/>
    <w:rsid w:val="008D462D"/>
    <w:rsid w:val="008D6084"/>
    <w:rsid w:val="008D64AC"/>
    <w:rsid w:val="008D656F"/>
    <w:rsid w:val="008D66CA"/>
    <w:rsid w:val="008D69B1"/>
    <w:rsid w:val="008D7338"/>
    <w:rsid w:val="008D785E"/>
    <w:rsid w:val="008D7D66"/>
    <w:rsid w:val="008E0012"/>
    <w:rsid w:val="008E0DF7"/>
    <w:rsid w:val="008E0FAD"/>
    <w:rsid w:val="008E11E4"/>
    <w:rsid w:val="008E1252"/>
    <w:rsid w:val="008E1347"/>
    <w:rsid w:val="008E16E0"/>
    <w:rsid w:val="008E1C15"/>
    <w:rsid w:val="008E1C9A"/>
    <w:rsid w:val="008E28BD"/>
    <w:rsid w:val="008E2BE6"/>
    <w:rsid w:val="008E30C4"/>
    <w:rsid w:val="008E38B4"/>
    <w:rsid w:val="008E3BA4"/>
    <w:rsid w:val="008E3F17"/>
    <w:rsid w:val="008E44AB"/>
    <w:rsid w:val="008E4786"/>
    <w:rsid w:val="008E4CAE"/>
    <w:rsid w:val="008E5179"/>
    <w:rsid w:val="008E57FE"/>
    <w:rsid w:val="008E6598"/>
    <w:rsid w:val="008E710F"/>
    <w:rsid w:val="008E7214"/>
    <w:rsid w:val="008E7497"/>
    <w:rsid w:val="008E7884"/>
    <w:rsid w:val="008E7D6E"/>
    <w:rsid w:val="008F1056"/>
    <w:rsid w:val="008F2E8D"/>
    <w:rsid w:val="008F361D"/>
    <w:rsid w:val="008F387B"/>
    <w:rsid w:val="008F3DD9"/>
    <w:rsid w:val="008F4163"/>
    <w:rsid w:val="008F4814"/>
    <w:rsid w:val="008F4B18"/>
    <w:rsid w:val="008F4DA6"/>
    <w:rsid w:val="008F538E"/>
    <w:rsid w:val="008F5A20"/>
    <w:rsid w:val="008F5ABA"/>
    <w:rsid w:val="008F6157"/>
    <w:rsid w:val="008F71AB"/>
    <w:rsid w:val="008F7905"/>
    <w:rsid w:val="008F7989"/>
    <w:rsid w:val="00900912"/>
    <w:rsid w:val="00901F1D"/>
    <w:rsid w:val="009028E8"/>
    <w:rsid w:val="00902E5C"/>
    <w:rsid w:val="0090363E"/>
    <w:rsid w:val="00903788"/>
    <w:rsid w:val="009046E5"/>
    <w:rsid w:val="009047C5"/>
    <w:rsid w:val="0090690B"/>
    <w:rsid w:val="00910683"/>
    <w:rsid w:val="00910E00"/>
    <w:rsid w:val="00910E04"/>
    <w:rsid w:val="009116CE"/>
    <w:rsid w:val="00911714"/>
    <w:rsid w:val="00911D04"/>
    <w:rsid w:val="00911EFF"/>
    <w:rsid w:val="0091310F"/>
    <w:rsid w:val="009136D4"/>
    <w:rsid w:val="00914B9A"/>
    <w:rsid w:val="00914C3F"/>
    <w:rsid w:val="00914F33"/>
    <w:rsid w:val="00915EFE"/>
    <w:rsid w:val="00915FCE"/>
    <w:rsid w:val="00916AFE"/>
    <w:rsid w:val="00916FC8"/>
    <w:rsid w:val="009170D3"/>
    <w:rsid w:val="0091759C"/>
    <w:rsid w:val="00920026"/>
    <w:rsid w:val="009203E2"/>
    <w:rsid w:val="00920BF5"/>
    <w:rsid w:val="00920F61"/>
    <w:rsid w:val="00921304"/>
    <w:rsid w:val="00921395"/>
    <w:rsid w:val="00921805"/>
    <w:rsid w:val="00921E63"/>
    <w:rsid w:val="00923396"/>
    <w:rsid w:val="00923F56"/>
    <w:rsid w:val="00924770"/>
    <w:rsid w:val="00925346"/>
    <w:rsid w:val="00925743"/>
    <w:rsid w:val="0092579F"/>
    <w:rsid w:val="00927E8D"/>
    <w:rsid w:val="00927F23"/>
    <w:rsid w:val="009307CD"/>
    <w:rsid w:val="00931364"/>
    <w:rsid w:val="00931365"/>
    <w:rsid w:val="00931451"/>
    <w:rsid w:val="009314FA"/>
    <w:rsid w:val="0093194F"/>
    <w:rsid w:val="00931BF3"/>
    <w:rsid w:val="00931C55"/>
    <w:rsid w:val="0093228F"/>
    <w:rsid w:val="00933333"/>
    <w:rsid w:val="0093349A"/>
    <w:rsid w:val="0093360C"/>
    <w:rsid w:val="009338BA"/>
    <w:rsid w:val="00933FCB"/>
    <w:rsid w:val="009346C8"/>
    <w:rsid w:val="00934CEC"/>
    <w:rsid w:val="00934E69"/>
    <w:rsid w:val="00935E70"/>
    <w:rsid w:val="0093609A"/>
    <w:rsid w:val="00936815"/>
    <w:rsid w:val="00937401"/>
    <w:rsid w:val="009376FB"/>
    <w:rsid w:val="00937D6B"/>
    <w:rsid w:val="00940477"/>
    <w:rsid w:val="00940876"/>
    <w:rsid w:val="00940A53"/>
    <w:rsid w:val="00940F3C"/>
    <w:rsid w:val="009410E0"/>
    <w:rsid w:val="00941FA9"/>
    <w:rsid w:val="009439B6"/>
    <w:rsid w:val="009444B4"/>
    <w:rsid w:val="00944644"/>
    <w:rsid w:val="00946A24"/>
    <w:rsid w:val="009470D4"/>
    <w:rsid w:val="00947337"/>
    <w:rsid w:val="00947E6E"/>
    <w:rsid w:val="009512FA"/>
    <w:rsid w:val="009516A9"/>
    <w:rsid w:val="00951E57"/>
    <w:rsid w:val="00952350"/>
    <w:rsid w:val="00952505"/>
    <w:rsid w:val="00953018"/>
    <w:rsid w:val="009533E2"/>
    <w:rsid w:val="00953554"/>
    <w:rsid w:val="0095385A"/>
    <w:rsid w:val="00954F3A"/>
    <w:rsid w:val="00955DFD"/>
    <w:rsid w:val="0095674F"/>
    <w:rsid w:val="0095780A"/>
    <w:rsid w:val="009578C3"/>
    <w:rsid w:val="009579E4"/>
    <w:rsid w:val="00957AA4"/>
    <w:rsid w:val="00957ACB"/>
    <w:rsid w:val="00957F27"/>
    <w:rsid w:val="00960BDB"/>
    <w:rsid w:val="0096105C"/>
    <w:rsid w:val="0096147D"/>
    <w:rsid w:val="00961C14"/>
    <w:rsid w:val="00961D53"/>
    <w:rsid w:val="00961E5F"/>
    <w:rsid w:val="009625C6"/>
    <w:rsid w:val="009629B5"/>
    <w:rsid w:val="00962A50"/>
    <w:rsid w:val="00963550"/>
    <w:rsid w:val="00964138"/>
    <w:rsid w:val="009648D6"/>
    <w:rsid w:val="00964B3F"/>
    <w:rsid w:val="00964C98"/>
    <w:rsid w:val="00971441"/>
    <w:rsid w:val="00971555"/>
    <w:rsid w:val="009715D4"/>
    <w:rsid w:val="0097179A"/>
    <w:rsid w:val="00971B0A"/>
    <w:rsid w:val="009731F4"/>
    <w:rsid w:val="009732A4"/>
    <w:rsid w:val="00973AB3"/>
    <w:rsid w:val="00973C05"/>
    <w:rsid w:val="0097494E"/>
    <w:rsid w:val="00974999"/>
    <w:rsid w:val="00974B58"/>
    <w:rsid w:val="00974CBD"/>
    <w:rsid w:val="00975445"/>
    <w:rsid w:val="009761ED"/>
    <w:rsid w:val="0098022F"/>
    <w:rsid w:val="009810DE"/>
    <w:rsid w:val="00981B91"/>
    <w:rsid w:val="009822D7"/>
    <w:rsid w:val="009827E6"/>
    <w:rsid w:val="00982F84"/>
    <w:rsid w:val="009831C3"/>
    <w:rsid w:val="0098427D"/>
    <w:rsid w:val="00984567"/>
    <w:rsid w:val="00985102"/>
    <w:rsid w:val="009854BC"/>
    <w:rsid w:val="00985A66"/>
    <w:rsid w:val="0098606C"/>
    <w:rsid w:val="009865D5"/>
    <w:rsid w:val="009876F2"/>
    <w:rsid w:val="00987C77"/>
    <w:rsid w:val="00987FED"/>
    <w:rsid w:val="00990345"/>
    <w:rsid w:val="00990701"/>
    <w:rsid w:val="0099119C"/>
    <w:rsid w:val="0099137A"/>
    <w:rsid w:val="0099211C"/>
    <w:rsid w:val="00993013"/>
    <w:rsid w:val="009930AB"/>
    <w:rsid w:val="00993B78"/>
    <w:rsid w:val="00994F3F"/>
    <w:rsid w:val="00995119"/>
    <w:rsid w:val="0099531F"/>
    <w:rsid w:val="009953AD"/>
    <w:rsid w:val="009957D7"/>
    <w:rsid w:val="0099583D"/>
    <w:rsid w:val="00996020"/>
    <w:rsid w:val="0099629E"/>
    <w:rsid w:val="00996992"/>
    <w:rsid w:val="00996E1E"/>
    <w:rsid w:val="00997148"/>
    <w:rsid w:val="00997392"/>
    <w:rsid w:val="0099747C"/>
    <w:rsid w:val="0099771C"/>
    <w:rsid w:val="009A01E4"/>
    <w:rsid w:val="009A0917"/>
    <w:rsid w:val="009A0A33"/>
    <w:rsid w:val="009A1351"/>
    <w:rsid w:val="009A2041"/>
    <w:rsid w:val="009A2435"/>
    <w:rsid w:val="009A35DC"/>
    <w:rsid w:val="009A38AB"/>
    <w:rsid w:val="009A39EE"/>
    <w:rsid w:val="009A3A33"/>
    <w:rsid w:val="009A3D47"/>
    <w:rsid w:val="009A4D63"/>
    <w:rsid w:val="009A5356"/>
    <w:rsid w:val="009A5468"/>
    <w:rsid w:val="009A5D99"/>
    <w:rsid w:val="009A608C"/>
    <w:rsid w:val="009A6FDF"/>
    <w:rsid w:val="009A715F"/>
    <w:rsid w:val="009A76D6"/>
    <w:rsid w:val="009B03F1"/>
    <w:rsid w:val="009B2374"/>
    <w:rsid w:val="009B28D6"/>
    <w:rsid w:val="009B2E29"/>
    <w:rsid w:val="009B3163"/>
    <w:rsid w:val="009B422F"/>
    <w:rsid w:val="009B46BC"/>
    <w:rsid w:val="009B4D1A"/>
    <w:rsid w:val="009B519D"/>
    <w:rsid w:val="009B558B"/>
    <w:rsid w:val="009B6D21"/>
    <w:rsid w:val="009B78ED"/>
    <w:rsid w:val="009C181C"/>
    <w:rsid w:val="009C1A44"/>
    <w:rsid w:val="009C1C7F"/>
    <w:rsid w:val="009C1EC7"/>
    <w:rsid w:val="009C2210"/>
    <w:rsid w:val="009C28A2"/>
    <w:rsid w:val="009C3239"/>
    <w:rsid w:val="009C3828"/>
    <w:rsid w:val="009C3AD3"/>
    <w:rsid w:val="009C3AF4"/>
    <w:rsid w:val="009C3D2C"/>
    <w:rsid w:val="009C4987"/>
    <w:rsid w:val="009C4FDE"/>
    <w:rsid w:val="009C523F"/>
    <w:rsid w:val="009C59BF"/>
    <w:rsid w:val="009C5E4F"/>
    <w:rsid w:val="009C5F64"/>
    <w:rsid w:val="009C5F82"/>
    <w:rsid w:val="009C60EA"/>
    <w:rsid w:val="009C6BFC"/>
    <w:rsid w:val="009C70F8"/>
    <w:rsid w:val="009C78A3"/>
    <w:rsid w:val="009C7E68"/>
    <w:rsid w:val="009D00D7"/>
    <w:rsid w:val="009D0156"/>
    <w:rsid w:val="009D03B4"/>
    <w:rsid w:val="009D05DA"/>
    <w:rsid w:val="009D11F6"/>
    <w:rsid w:val="009D1A14"/>
    <w:rsid w:val="009D1E2A"/>
    <w:rsid w:val="009D1FA0"/>
    <w:rsid w:val="009D2BDF"/>
    <w:rsid w:val="009D3736"/>
    <w:rsid w:val="009D4529"/>
    <w:rsid w:val="009D460F"/>
    <w:rsid w:val="009D4D17"/>
    <w:rsid w:val="009D604F"/>
    <w:rsid w:val="009D61BB"/>
    <w:rsid w:val="009D6410"/>
    <w:rsid w:val="009D68BB"/>
    <w:rsid w:val="009D6909"/>
    <w:rsid w:val="009D700F"/>
    <w:rsid w:val="009D70C2"/>
    <w:rsid w:val="009D7244"/>
    <w:rsid w:val="009D7ADB"/>
    <w:rsid w:val="009D7B33"/>
    <w:rsid w:val="009E06C3"/>
    <w:rsid w:val="009E0703"/>
    <w:rsid w:val="009E1035"/>
    <w:rsid w:val="009E16DA"/>
    <w:rsid w:val="009E1CD4"/>
    <w:rsid w:val="009E2391"/>
    <w:rsid w:val="009E476A"/>
    <w:rsid w:val="009E4A16"/>
    <w:rsid w:val="009E4E05"/>
    <w:rsid w:val="009E56FF"/>
    <w:rsid w:val="009E5CB1"/>
    <w:rsid w:val="009E5E56"/>
    <w:rsid w:val="009E61EA"/>
    <w:rsid w:val="009E6990"/>
    <w:rsid w:val="009E6FEE"/>
    <w:rsid w:val="009F00B9"/>
    <w:rsid w:val="009F060F"/>
    <w:rsid w:val="009F0781"/>
    <w:rsid w:val="009F0850"/>
    <w:rsid w:val="009F1950"/>
    <w:rsid w:val="009F1BDF"/>
    <w:rsid w:val="009F1EAE"/>
    <w:rsid w:val="009F2732"/>
    <w:rsid w:val="009F2848"/>
    <w:rsid w:val="009F369D"/>
    <w:rsid w:val="009F36FE"/>
    <w:rsid w:val="009F4990"/>
    <w:rsid w:val="009F4D88"/>
    <w:rsid w:val="009F4F25"/>
    <w:rsid w:val="009F59C2"/>
    <w:rsid w:val="009F7263"/>
    <w:rsid w:val="009F76EA"/>
    <w:rsid w:val="009F78EB"/>
    <w:rsid w:val="009F7DB2"/>
    <w:rsid w:val="009F7F32"/>
    <w:rsid w:val="009F7FEB"/>
    <w:rsid w:val="00A003D5"/>
    <w:rsid w:val="00A0056C"/>
    <w:rsid w:val="00A00F5E"/>
    <w:rsid w:val="00A0120D"/>
    <w:rsid w:val="00A01852"/>
    <w:rsid w:val="00A0188B"/>
    <w:rsid w:val="00A01C35"/>
    <w:rsid w:val="00A01E73"/>
    <w:rsid w:val="00A023E7"/>
    <w:rsid w:val="00A02B88"/>
    <w:rsid w:val="00A03160"/>
    <w:rsid w:val="00A036AC"/>
    <w:rsid w:val="00A03C54"/>
    <w:rsid w:val="00A03DE5"/>
    <w:rsid w:val="00A041BC"/>
    <w:rsid w:val="00A0447F"/>
    <w:rsid w:val="00A046D2"/>
    <w:rsid w:val="00A04A54"/>
    <w:rsid w:val="00A058B8"/>
    <w:rsid w:val="00A05B4B"/>
    <w:rsid w:val="00A066C3"/>
    <w:rsid w:val="00A06754"/>
    <w:rsid w:val="00A069E0"/>
    <w:rsid w:val="00A06E4A"/>
    <w:rsid w:val="00A070E9"/>
    <w:rsid w:val="00A078FB"/>
    <w:rsid w:val="00A10209"/>
    <w:rsid w:val="00A1036D"/>
    <w:rsid w:val="00A1069F"/>
    <w:rsid w:val="00A10ACA"/>
    <w:rsid w:val="00A10D08"/>
    <w:rsid w:val="00A11E78"/>
    <w:rsid w:val="00A12355"/>
    <w:rsid w:val="00A12574"/>
    <w:rsid w:val="00A127D2"/>
    <w:rsid w:val="00A1284E"/>
    <w:rsid w:val="00A13CF5"/>
    <w:rsid w:val="00A143EC"/>
    <w:rsid w:val="00A149E8"/>
    <w:rsid w:val="00A1500F"/>
    <w:rsid w:val="00A15621"/>
    <w:rsid w:val="00A15670"/>
    <w:rsid w:val="00A157A0"/>
    <w:rsid w:val="00A1585B"/>
    <w:rsid w:val="00A15C19"/>
    <w:rsid w:val="00A15FE9"/>
    <w:rsid w:val="00A16809"/>
    <w:rsid w:val="00A17584"/>
    <w:rsid w:val="00A17769"/>
    <w:rsid w:val="00A17EA2"/>
    <w:rsid w:val="00A20264"/>
    <w:rsid w:val="00A20997"/>
    <w:rsid w:val="00A210D4"/>
    <w:rsid w:val="00A213DD"/>
    <w:rsid w:val="00A21454"/>
    <w:rsid w:val="00A216CE"/>
    <w:rsid w:val="00A22025"/>
    <w:rsid w:val="00A22498"/>
    <w:rsid w:val="00A22571"/>
    <w:rsid w:val="00A2298D"/>
    <w:rsid w:val="00A24560"/>
    <w:rsid w:val="00A25B0F"/>
    <w:rsid w:val="00A25BBB"/>
    <w:rsid w:val="00A27FB6"/>
    <w:rsid w:val="00A30121"/>
    <w:rsid w:val="00A30368"/>
    <w:rsid w:val="00A3043A"/>
    <w:rsid w:val="00A30E02"/>
    <w:rsid w:val="00A30F6A"/>
    <w:rsid w:val="00A31060"/>
    <w:rsid w:val="00A31C3E"/>
    <w:rsid w:val="00A31DE3"/>
    <w:rsid w:val="00A34538"/>
    <w:rsid w:val="00A34677"/>
    <w:rsid w:val="00A3540F"/>
    <w:rsid w:val="00A35630"/>
    <w:rsid w:val="00A35914"/>
    <w:rsid w:val="00A36189"/>
    <w:rsid w:val="00A37E73"/>
    <w:rsid w:val="00A37FB6"/>
    <w:rsid w:val="00A409E2"/>
    <w:rsid w:val="00A4104A"/>
    <w:rsid w:val="00A41081"/>
    <w:rsid w:val="00A411CA"/>
    <w:rsid w:val="00A42080"/>
    <w:rsid w:val="00A42096"/>
    <w:rsid w:val="00A426F3"/>
    <w:rsid w:val="00A42FDF"/>
    <w:rsid w:val="00A430A9"/>
    <w:rsid w:val="00A431FE"/>
    <w:rsid w:val="00A4384F"/>
    <w:rsid w:val="00A439E5"/>
    <w:rsid w:val="00A4414E"/>
    <w:rsid w:val="00A4497A"/>
    <w:rsid w:val="00A44AB5"/>
    <w:rsid w:val="00A44BE8"/>
    <w:rsid w:val="00A44C96"/>
    <w:rsid w:val="00A44CDD"/>
    <w:rsid w:val="00A44F54"/>
    <w:rsid w:val="00A45F9B"/>
    <w:rsid w:val="00A46574"/>
    <w:rsid w:val="00A47849"/>
    <w:rsid w:val="00A500B1"/>
    <w:rsid w:val="00A52A53"/>
    <w:rsid w:val="00A52EE5"/>
    <w:rsid w:val="00A53037"/>
    <w:rsid w:val="00A532B9"/>
    <w:rsid w:val="00A5351D"/>
    <w:rsid w:val="00A53E79"/>
    <w:rsid w:val="00A54031"/>
    <w:rsid w:val="00A5426D"/>
    <w:rsid w:val="00A54FC2"/>
    <w:rsid w:val="00A55122"/>
    <w:rsid w:val="00A55742"/>
    <w:rsid w:val="00A55CEA"/>
    <w:rsid w:val="00A56DE7"/>
    <w:rsid w:val="00A57EB2"/>
    <w:rsid w:val="00A6009E"/>
    <w:rsid w:val="00A60265"/>
    <w:rsid w:val="00A60540"/>
    <w:rsid w:val="00A60B1F"/>
    <w:rsid w:val="00A61C60"/>
    <w:rsid w:val="00A62589"/>
    <w:rsid w:val="00A62AD0"/>
    <w:rsid w:val="00A62C3A"/>
    <w:rsid w:val="00A6319C"/>
    <w:rsid w:val="00A63812"/>
    <w:rsid w:val="00A63DF7"/>
    <w:rsid w:val="00A6454D"/>
    <w:rsid w:val="00A64767"/>
    <w:rsid w:val="00A64F2F"/>
    <w:rsid w:val="00A6611E"/>
    <w:rsid w:val="00A668BA"/>
    <w:rsid w:val="00A66FA7"/>
    <w:rsid w:val="00A67E16"/>
    <w:rsid w:val="00A67EB1"/>
    <w:rsid w:val="00A703CC"/>
    <w:rsid w:val="00A70C5C"/>
    <w:rsid w:val="00A710A2"/>
    <w:rsid w:val="00A71EA7"/>
    <w:rsid w:val="00A730AD"/>
    <w:rsid w:val="00A73855"/>
    <w:rsid w:val="00A73D64"/>
    <w:rsid w:val="00A74216"/>
    <w:rsid w:val="00A74360"/>
    <w:rsid w:val="00A744B4"/>
    <w:rsid w:val="00A751E3"/>
    <w:rsid w:val="00A7536B"/>
    <w:rsid w:val="00A753B9"/>
    <w:rsid w:val="00A7549A"/>
    <w:rsid w:val="00A75504"/>
    <w:rsid w:val="00A75FD7"/>
    <w:rsid w:val="00A77168"/>
    <w:rsid w:val="00A7723B"/>
    <w:rsid w:val="00A773C3"/>
    <w:rsid w:val="00A7793C"/>
    <w:rsid w:val="00A77D21"/>
    <w:rsid w:val="00A80085"/>
    <w:rsid w:val="00A8043B"/>
    <w:rsid w:val="00A80DA0"/>
    <w:rsid w:val="00A81323"/>
    <w:rsid w:val="00A820CB"/>
    <w:rsid w:val="00A82342"/>
    <w:rsid w:val="00A8236F"/>
    <w:rsid w:val="00A82D06"/>
    <w:rsid w:val="00A83BEF"/>
    <w:rsid w:val="00A84443"/>
    <w:rsid w:val="00A8487F"/>
    <w:rsid w:val="00A849A3"/>
    <w:rsid w:val="00A84A0E"/>
    <w:rsid w:val="00A8575D"/>
    <w:rsid w:val="00A861F4"/>
    <w:rsid w:val="00A86E0B"/>
    <w:rsid w:val="00A90F12"/>
    <w:rsid w:val="00A91DAA"/>
    <w:rsid w:val="00A93101"/>
    <w:rsid w:val="00A93239"/>
    <w:rsid w:val="00A9413E"/>
    <w:rsid w:val="00A94293"/>
    <w:rsid w:val="00A9496E"/>
    <w:rsid w:val="00A949F0"/>
    <w:rsid w:val="00A94BDE"/>
    <w:rsid w:val="00A94FCA"/>
    <w:rsid w:val="00A95E4C"/>
    <w:rsid w:val="00A96C60"/>
    <w:rsid w:val="00A9740B"/>
    <w:rsid w:val="00A9766C"/>
    <w:rsid w:val="00A977F8"/>
    <w:rsid w:val="00A979DB"/>
    <w:rsid w:val="00A97C93"/>
    <w:rsid w:val="00AA06C6"/>
    <w:rsid w:val="00AA08E7"/>
    <w:rsid w:val="00AA0A06"/>
    <w:rsid w:val="00AA1351"/>
    <w:rsid w:val="00AA184C"/>
    <w:rsid w:val="00AA1AF4"/>
    <w:rsid w:val="00AA1C84"/>
    <w:rsid w:val="00AA3D7B"/>
    <w:rsid w:val="00AA42A0"/>
    <w:rsid w:val="00AA442B"/>
    <w:rsid w:val="00AA46A4"/>
    <w:rsid w:val="00AA5779"/>
    <w:rsid w:val="00AA58A1"/>
    <w:rsid w:val="00AA61C7"/>
    <w:rsid w:val="00AA669D"/>
    <w:rsid w:val="00AA66ED"/>
    <w:rsid w:val="00AA6B59"/>
    <w:rsid w:val="00AA6BE1"/>
    <w:rsid w:val="00AA7416"/>
    <w:rsid w:val="00AA7A60"/>
    <w:rsid w:val="00AA7B42"/>
    <w:rsid w:val="00AB041C"/>
    <w:rsid w:val="00AB14E8"/>
    <w:rsid w:val="00AB1B1D"/>
    <w:rsid w:val="00AB1CD8"/>
    <w:rsid w:val="00AB2216"/>
    <w:rsid w:val="00AB358D"/>
    <w:rsid w:val="00AB37A1"/>
    <w:rsid w:val="00AB3BAD"/>
    <w:rsid w:val="00AB3CFD"/>
    <w:rsid w:val="00AB49BC"/>
    <w:rsid w:val="00AB4DEE"/>
    <w:rsid w:val="00AB4E32"/>
    <w:rsid w:val="00AB5C19"/>
    <w:rsid w:val="00AB724B"/>
    <w:rsid w:val="00AB726C"/>
    <w:rsid w:val="00AB72B4"/>
    <w:rsid w:val="00AB7549"/>
    <w:rsid w:val="00AB7A7A"/>
    <w:rsid w:val="00AC02AA"/>
    <w:rsid w:val="00AC0537"/>
    <w:rsid w:val="00AC0A84"/>
    <w:rsid w:val="00AC1508"/>
    <w:rsid w:val="00AC2A0B"/>
    <w:rsid w:val="00AC2BEE"/>
    <w:rsid w:val="00AC2E53"/>
    <w:rsid w:val="00AC484F"/>
    <w:rsid w:val="00AC4AD2"/>
    <w:rsid w:val="00AC4B20"/>
    <w:rsid w:val="00AC5395"/>
    <w:rsid w:val="00AC55C7"/>
    <w:rsid w:val="00AC56F2"/>
    <w:rsid w:val="00AC5D9D"/>
    <w:rsid w:val="00AC71C3"/>
    <w:rsid w:val="00AD09F7"/>
    <w:rsid w:val="00AD12DB"/>
    <w:rsid w:val="00AD1EFA"/>
    <w:rsid w:val="00AD2072"/>
    <w:rsid w:val="00AD2DBD"/>
    <w:rsid w:val="00AD2FBF"/>
    <w:rsid w:val="00AD33A1"/>
    <w:rsid w:val="00AD340E"/>
    <w:rsid w:val="00AD455D"/>
    <w:rsid w:val="00AD463C"/>
    <w:rsid w:val="00AD4F60"/>
    <w:rsid w:val="00AD5044"/>
    <w:rsid w:val="00AD5114"/>
    <w:rsid w:val="00AD6236"/>
    <w:rsid w:val="00AD69D5"/>
    <w:rsid w:val="00AD7619"/>
    <w:rsid w:val="00AD7770"/>
    <w:rsid w:val="00AE1772"/>
    <w:rsid w:val="00AE1990"/>
    <w:rsid w:val="00AE25E8"/>
    <w:rsid w:val="00AE2AD4"/>
    <w:rsid w:val="00AE2CA7"/>
    <w:rsid w:val="00AE2F1D"/>
    <w:rsid w:val="00AE4C81"/>
    <w:rsid w:val="00AE586F"/>
    <w:rsid w:val="00AE62FE"/>
    <w:rsid w:val="00AE6582"/>
    <w:rsid w:val="00AE6DC5"/>
    <w:rsid w:val="00AE7686"/>
    <w:rsid w:val="00AE799A"/>
    <w:rsid w:val="00AF0E81"/>
    <w:rsid w:val="00AF117A"/>
    <w:rsid w:val="00AF16CA"/>
    <w:rsid w:val="00AF186E"/>
    <w:rsid w:val="00AF19DF"/>
    <w:rsid w:val="00AF1D41"/>
    <w:rsid w:val="00AF26CF"/>
    <w:rsid w:val="00AF3124"/>
    <w:rsid w:val="00AF344D"/>
    <w:rsid w:val="00AF39B3"/>
    <w:rsid w:val="00AF3C1F"/>
    <w:rsid w:val="00AF3FED"/>
    <w:rsid w:val="00AF4402"/>
    <w:rsid w:val="00AF4639"/>
    <w:rsid w:val="00AF4E92"/>
    <w:rsid w:val="00AF554B"/>
    <w:rsid w:val="00AF5C9B"/>
    <w:rsid w:val="00AF5D53"/>
    <w:rsid w:val="00AF5E2D"/>
    <w:rsid w:val="00AF644B"/>
    <w:rsid w:val="00AF69EB"/>
    <w:rsid w:val="00AF6CA6"/>
    <w:rsid w:val="00AF6EB6"/>
    <w:rsid w:val="00AF7796"/>
    <w:rsid w:val="00B011A9"/>
    <w:rsid w:val="00B01BAF"/>
    <w:rsid w:val="00B024ED"/>
    <w:rsid w:val="00B026B8"/>
    <w:rsid w:val="00B02EB3"/>
    <w:rsid w:val="00B02FCB"/>
    <w:rsid w:val="00B033F8"/>
    <w:rsid w:val="00B03C1E"/>
    <w:rsid w:val="00B04400"/>
    <w:rsid w:val="00B04835"/>
    <w:rsid w:val="00B05A55"/>
    <w:rsid w:val="00B05DE1"/>
    <w:rsid w:val="00B06595"/>
    <w:rsid w:val="00B06862"/>
    <w:rsid w:val="00B079A5"/>
    <w:rsid w:val="00B10109"/>
    <w:rsid w:val="00B1085E"/>
    <w:rsid w:val="00B10FD1"/>
    <w:rsid w:val="00B112D5"/>
    <w:rsid w:val="00B11378"/>
    <w:rsid w:val="00B1219D"/>
    <w:rsid w:val="00B12735"/>
    <w:rsid w:val="00B12ACA"/>
    <w:rsid w:val="00B12F44"/>
    <w:rsid w:val="00B13C48"/>
    <w:rsid w:val="00B13E35"/>
    <w:rsid w:val="00B13EC0"/>
    <w:rsid w:val="00B14102"/>
    <w:rsid w:val="00B14D32"/>
    <w:rsid w:val="00B1507C"/>
    <w:rsid w:val="00B1557C"/>
    <w:rsid w:val="00B155DC"/>
    <w:rsid w:val="00B15766"/>
    <w:rsid w:val="00B15E4A"/>
    <w:rsid w:val="00B1666A"/>
    <w:rsid w:val="00B167C8"/>
    <w:rsid w:val="00B1686D"/>
    <w:rsid w:val="00B16BF7"/>
    <w:rsid w:val="00B17129"/>
    <w:rsid w:val="00B1741D"/>
    <w:rsid w:val="00B17447"/>
    <w:rsid w:val="00B1771D"/>
    <w:rsid w:val="00B17B91"/>
    <w:rsid w:val="00B20209"/>
    <w:rsid w:val="00B203C9"/>
    <w:rsid w:val="00B2088D"/>
    <w:rsid w:val="00B208FF"/>
    <w:rsid w:val="00B21271"/>
    <w:rsid w:val="00B22E22"/>
    <w:rsid w:val="00B22F5F"/>
    <w:rsid w:val="00B23353"/>
    <w:rsid w:val="00B23813"/>
    <w:rsid w:val="00B23FD9"/>
    <w:rsid w:val="00B24591"/>
    <w:rsid w:val="00B245D5"/>
    <w:rsid w:val="00B245EF"/>
    <w:rsid w:val="00B24C36"/>
    <w:rsid w:val="00B24D9F"/>
    <w:rsid w:val="00B24F94"/>
    <w:rsid w:val="00B25126"/>
    <w:rsid w:val="00B25703"/>
    <w:rsid w:val="00B25A52"/>
    <w:rsid w:val="00B25EAF"/>
    <w:rsid w:val="00B25FC3"/>
    <w:rsid w:val="00B2692F"/>
    <w:rsid w:val="00B27875"/>
    <w:rsid w:val="00B3008D"/>
    <w:rsid w:val="00B30884"/>
    <w:rsid w:val="00B30E11"/>
    <w:rsid w:val="00B30EAE"/>
    <w:rsid w:val="00B30EEB"/>
    <w:rsid w:val="00B31423"/>
    <w:rsid w:val="00B317AE"/>
    <w:rsid w:val="00B323E0"/>
    <w:rsid w:val="00B32DC0"/>
    <w:rsid w:val="00B32E31"/>
    <w:rsid w:val="00B3346C"/>
    <w:rsid w:val="00B335E4"/>
    <w:rsid w:val="00B33C23"/>
    <w:rsid w:val="00B345B4"/>
    <w:rsid w:val="00B348B1"/>
    <w:rsid w:val="00B34A28"/>
    <w:rsid w:val="00B35046"/>
    <w:rsid w:val="00B357F4"/>
    <w:rsid w:val="00B35B6A"/>
    <w:rsid w:val="00B36D2B"/>
    <w:rsid w:val="00B37657"/>
    <w:rsid w:val="00B37AFD"/>
    <w:rsid w:val="00B37B07"/>
    <w:rsid w:val="00B4046F"/>
    <w:rsid w:val="00B406B3"/>
    <w:rsid w:val="00B40A36"/>
    <w:rsid w:val="00B41BCA"/>
    <w:rsid w:val="00B41D39"/>
    <w:rsid w:val="00B422C0"/>
    <w:rsid w:val="00B426CA"/>
    <w:rsid w:val="00B426E1"/>
    <w:rsid w:val="00B4387A"/>
    <w:rsid w:val="00B44746"/>
    <w:rsid w:val="00B44854"/>
    <w:rsid w:val="00B44BA5"/>
    <w:rsid w:val="00B458D0"/>
    <w:rsid w:val="00B4792C"/>
    <w:rsid w:val="00B50CAE"/>
    <w:rsid w:val="00B512AD"/>
    <w:rsid w:val="00B5196C"/>
    <w:rsid w:val="00B525CB"/>
    <w:rsid w:val="00B52697"/>
    <w:rsid w:val="00B54215"/>
    <w:rsid w:val="00B54D8F"/>
    <w:rsid w:val="00B55857"/>
    <w:rsid w:val="00B55C69"/>
    <w:rsid w:val="00B56851"/>
    <w:rsid w:val="00B56D6E"/>
    <w:rsid w:val="00B572F7"/>
    <w:rsid w:val="00B57B9D"/>
    <w:rsid w:val="00B57DAF"/>
    <w:rsid w:val="00B60094"/>
    <w:rsid w:val="00B6022C"/>
    <w:rsid w:val="00B6040C"/>
    <w:rsid w:val="00B614F8"/>
    <w:rsid w:val="00B61994"/>
    <w:rsid w:val="00B61B18"/>
    <w:rsid w:val="00B61FD4"/>
    <w:rsid w:val="00B6235B"/>
    <w:rsid w:val="00B62880"/>
    <w:rsid w:val="00B63872"/>
    <w:rsid w:val="00B63CB2"/>
    <w:rsid w:val="00B64246"/>
    <w:rsid w:val="00B64EDB"/>
    <w:rsid w:val="00B65938"/>
    <w:rsid w:val="00B65C8A"/>
    <w:rsid w:val="00B65CE2"/>
    <w:rsid w:val="00B660AD"/>
    <w:rsid w:val="00B66109"/>
    <w:rsid w:val="00B66349"/>
    <w:rsid w:val="00B669B3"/>
    <w:rsid w:val="00B67FBF"/>
    <w:rsid w:val="00B70832"/>
    <w:rsid w:val="00B71376"/>
    <w:rsid w:val="00B716D7"/>
    <w:rsid w:val="00B72110"/>
    <w:rsid w:val="00B72B91"/>
    <w:rsid w:val="00B73019"/>
    <w:rsid w:val="00B7315F"/>
    <w:rsid w:val="00B7323A"/>
    <w:rsid w:val="00B7353B"/>
    <w:rsid w:val="00B737FB"/>
    <w:rsid w:val="00B73E5D"/>
    <w:rsid w:val="00B73EF3"/>
    <w:rsid w:val="00B7423D"/>
    <w:rsid w:val="00B74D05"/>
    <w:rsid w:val="00B74EF8"/>
    <w:rsid w:val="00B75893"/>
    <w:rsid w:val="00B7708F"/>
    <w:rsid w:val="00B771F4"/>
    <w:rsid w:val="00B7762A"/>
    <w:rsid w:val="00B777FA"/>
    <w:rsid w:val="00B77850"/>
    <w:rsid w:val="00B7796B"/>
    <w:rsid w:val="00B80C72"/>
    <w:rsid w:val="00B8101E"/>
    <w:rsid w:val="00B81964"/>
    <w:rsid w:val="00B81E6F"/>
    <w:rsid w:val="00B82123"/>
    <w:rsid w:val="00B8225B"/>
    <w:rsid w:val="00B82BB5"/>
    <w:rsid w:val="00B83182"/>
    <w:rsid w:val="00B83893"/>
    <w:rsid w:val="00B839F0"/>
    <w:rsid w:val="00B851E4"/>
    <w:rsid w:val="00B854CE"/>
    <w:rsid w:val="00B85681"/>
    <w:rsid w:val="00B857EB"/>
    <w:rsid w:val="00B858AD"/>
    <w:rsid w:val="00B86162"/>
    <w:rsid w:val="00B86877"/>
    <w:rsid w:val="00B8695D"/>
    <w:rsid w:val="00B86E66"/>
    <w:rsid w:val="00B873BA"/>
    <w:rsid w:val="00B8746F"/>
    <w:rsid w:val="00B8760D"/>
    <w:rsid w:val="00B87706"/>
    <w:rsid w:val="00B90A49"/>
    <w:rsid w:val="00B90A73"/>
    <w:rsid w:val="00B91B8E"/>
    <w:rsid w:val="00B92531"/>
    <w:rsid w:val="00B92618"/>
    <w:rsid w:val="00B92751"/>
    <w:rsid w:val="00B92B69"/>
    <w:rsid w:val="00B92CC6"/>
    <w:rsid w:val="00B935C9"/>
    <w:rsid w:val="00B93E3D"/>
    <w:rsid w:val="00B95464"/>
    <w:rsid w:val="00B95C30"/>
    <w:rsid w:val="00B95E3D"/>
    <w:rsid w:val="00B9691F"/>
    <w:rsid w:val="00B96EEC"/>
    <w:rsid w:val="00B97392"/>
    <w:rsid w:val="00B976C7"/>
    <w:rsid w:val="00B97A73"/>
    <w:rsid w:val="00BA0C54"/>
    <w:rsid w:val="00BA1382"/>
    <w:rsid w:val="00BA15E3"/>
    <w:rsid w:val="00BA1A8C"/>
    <w:rsid w:val="00BA20B6"/>
    <w:rsid w:val="00BA20D8"/>
    <w:rsid w:val="00BA22FC"/>
    <w:rsid w:val="00BA2C2A"/>
    <w:rsid w:val="00BA2F30"/>
    <w:rsid w:val="00BA3982"/>
    <w:rsid w:val="00BA405F"/>
    <w:rsid w:val="00BA4771"/>
    <w:rsid w:val="00BA482B"/>
    <w:rsid w:val="00BA5027"/>
    <w:rsid w:val="00BA665B"/>
    <w:rsid w:val="00BA6FE8"/>
    <w:rsid w:val="00BA732D"/>
    <w:rsid w:val="00BA7370"/>
    <w:rsid w:val="00BA778B"/>
    <w:rsid w:val="00BB0888"/>
    <w:rsid w:val="00BB0DF1"/>
    <w:rsid w:val="00BB0E49"/>
    <w:rsid w:val="00BB0E9B"/>
    <w:rsid w:val="00BB2841"/>
    <w:rsid w:val="00BB300F"/>
    <w:rsid w:val="00BB32C9"/>
    <w:rsid w:val="00BB35C5"/>
    <w:rsid w:val="00BB4048"/>
    <w:rsid w:val="00BB4C8E"/>
    <w:rsid w:val="00BB57ED"/>
    <w:rsid w:val="00BB5A2D"/>
    <w:rsid w:val="00BB606C"/>
    <w:rsid w:val="00BB65C3"/>
    <w:rsid w:val="00BB662E"/>
    <w:rsid w:val="00BB67A9"/>
    <w:rsid w:val="00BB6C01"/>
    <w:rsid w:val="00BB7942"/>
    <w:rsid w:val="00BB7CD1"/>
    <w:rsid w:val="00BC0F33"/>
    <w:rsid w:val="00BC14A7"/>
    <w:rsid w:val="00BC17CC"/>
    <w:rsid w:val="00BC209F"/>
    <w:rsid w:val="00BC24AD"/>
    <w:rsid w:val="00BC2898"/>
    <w:rsid w:val="00BC2928"/>
    <w:rsid w:val="00BC29BD"/>
    <w:rsid w:val="00BC2BB1"/>
    <w:rsid w:val="00BC34A3"/>
    <w:rsid w:val="00BC3FF9"/>
    <w:rsid w:val="00BC4834"/>
    <w:rsid w:val="00BC4A97"/>
    <w:rsid w:val="00BC5A25"/>
    <w:rsid w:val="00BC5FDD"/>
    <w:rsid w:val="00BC68B4"/>
    <w:rsid w:val="00BC7277"/>
    <w:rsid w:val="00BD0140"/>
    <w:rsid w:val="00BD02CC"/>
    <w:rsid w:val="00BD088E"/>
    <w:rsid w:val="00BD0F18"/>
    <w:rsid w:val="00BD182E"/>
    <w:rsid w:val="00BD2063"/>
    <w:rsid w:val="00BD2950"/>
    <w:rsid w:val="00BD337A"/>
    <w:rsid w:val="00BD33D9"/>
    <w:rsid w:val="00BD38C5"/>
    <w:rsid w:val="00BD3A6D"/>
    <w:rsid w:val="00BD3AF1"/>
    <w:rsid w:val="00BD3DEA"/>
    <w:rsid w:val="00BD3E97"/>
    <w:rsid w:val="00BD40E4"/>
    <w:rsid w:val="00BD52FE"/>
    <w:rsid w:val="00BD62CF"/>
    <w:rsid w:val="00BD67B2"/>
    <w:rsid w:val="00BD68E2"/>
    <w:rsid w:val="00BD6D41"/>
    <w:rsid w:val="00BD76E5"/>
    <w:rsid w:val="00BD78FE"/>
    <w:rsid w:val="00BE0149"/>
    <w:rsid w:val="00BE0767"/>
    <w:rsid w:val="00BE07A6"/>
    <w:rsid w:val="00BE0CDF"/>
    <w:rsid w:val="00BE0F24"/>
    <w:rsid w:val="00BE12D7"/>
    <w:rsid w:val="00BE1372"/>
    <w:rsid w:val="00BE1775"/>
    <w:rsid w:val="00BE18DA"/>
    <w:rsid w:val="00BE26C0"/>
    <w:rsid w:val="00BE3442"/>
    <w:rsid w:val="00BE37CD"/>
    <w:rsid w:val="00BE47B2"/>
    <w:rsid w:val="00BE48C7"/>
    <w:rsid w:val="00BE4F66"/>
    <w:rsid w:val="00BE4FBF"/>
    <w:rsid w:val="00BE5238"/>
    <w:rsid w:val="00BE5742"/>
    <w:rsid w:val="00BE6074"/>
    <w:rsid w:val="00BE6D73"/>
    <w:rsid w:val="00BE7257"/>
    <w:rsid w:val="00BF020D"/>
    <w:rsid w:val="00BF0532"/>
    <w:rsid w:val="00BF0609"/>
    <w:rsid w:val="00BF0EE8"/>
    <w:rsid w:val="00BF10ED"/>
    <w:rsid w:val="00BF1DD2"/>
    <w:rsid w:val="00BF23A3"/>
    <w:rsid w:val="00BF2A7E"/>
    <w:rsid w:val="00BF3331"/>
    <w:rsid w:val="00BF3A45"/>
    <w:rsid w:val="00BF42AC"/>
    <w:rsid w:val="00BF436F"/>
    <w:rsid w:val="00BF5C05"/>
    <w:rsid w:val="00BF6A12"/>
    <w:rsid w:val="00BF6FC6"/>
    <w:rsid w:val="00BF7C52"/>
    <w:rsid w:val="00BF7F99"/>
    <w:rsid w:val="00C00713"/>
    <w:rsid w:val="00C009A0"/>
    <w:rsid w:val="00C01F74"/>
    <w:rsid w:val="00C020C1"/>
    <w:rsid w:val="00C02558"/>
    <w:rsid w:val="00C025FE"/>
    <w:rsid w:val="00C0285F"/>
    <w:rsid w:val="00C028F5"/>
    <w:rsid w:val="00C02F35"/>
    <w:rsid w:val="00C03305"/>
    <w:rsid w:val="00C03515"/>
    <w:rsid w:val="00C03738"/>
    <w:rsid w:val="00C037A6"/>
    <w:rsid w:val="00C04221"/>
    <w:rsid w:val="00C043F5"/>
    <w:rsid w:val="00C044E3"/>
    <w:rsid w:val="00C04607"/>
    <w:rsid w:val="00C04BDB"/>
    <w:rsid w:val="00C052C6"/>
    <w:rsid w:val="00C05A61"/>
    <w:rsid w:val="00C05FBA"/>
    <w:rsid w:val="00C05FEE"/>
    <w:rsid w:val="00C06CCF"/>
    <w:rsid w:val="00C0794D"/>
    <w:rsid w:val="00C10548"/>
    <w:rsid w:val="00C10E78"/>
    <w:rsid w:val="00C1159D"/>
    <w:rsid w:val="00C1233E"/>
    <w:rsid w:val="00C1276C"/>
    <w:rsid w:val="00C12FB3"/>
    <w:rsid w:val="00C138BC"/>
    <w:rsid w:val="00C13D85"/>
    <w:rsid w:val="00C14575"/>
    <w:rsid w:val="00C14639"/>
    <w:rsid w:val="00C14E82"/>
    <w:rsid w:val="00C14FF6"/>
    <w:rsid w:val="00C15A85"/>
    <w:rsid w:val="00C1637C"/>
    <w:rsid w:val="00C1641B"/>
    <w:rsid w:val="00C165FC"/>
    <w:rsid w:val="00C16DCE"/>
    <w:rsid w:val="00C176D5"/>
    <w:rsid w:val="00C17D24"/>
    <w:rsid w:val="00C2082C"/>
    <w:rsid w:val="00C20EB0"/>
    <w:rsid w:val="00C21004"/>
    <w:rsid w:val="00C21005"/>
    <w:rsid w:val="00C218DF"/>
    <w:rsid w:val="00C220B6"/>
    <w:rsid w:val="00C22D7C"/>
    <w:rsid w:val="00C22DDE"/>
    <w:rsid w:val="00C2338B"/>
    <w:rsid w:val="00C233CE"/>
    <w:rsid w:val="00C237DD"/>
    <w:rsid w:val="00C238F4"/>
    <w:rsid w:val="00C2393A"/>
    <w:rsid w:val="00C23A99"/>
    <w:rsid w:val="00C23AB5"/>
    <w:rsid w:val="00C245EE"/>
    <w:rsid w:val="00C24AE1"/>
    <w:rsid w:val="00C24B8D"/>
    <w:rsid w:val="00C24BD7"/>
    <w:rsid w:val="00C25813"/>
    <w:rsid w:val="00C26C71"/>
    <w:rsid w:val="00C27143"/>
    <w:rsid w:val="00C27490"/>
    <w:rsid w:val="00C27D37"/>
    <w:rsid w:val="00C309E8"/>
    <w:rsid w:val="00C32017"/>
    <w:rsid w:val="00C32571"/>
    <w:rsid w:val="00C325CD"/>
    <w:rsid w:val="00C3322E"/>
    <w:rsid w:val="00C337F5"/>
    <w:rsid w:val="00C3383E"/>
    <w:rsid w:val="00C33B90"/>
    <w:rsid w:val="00C34161"/>
    <w:rsid w:val="00C34B5F"/>
    <w:rsid w:val="00C358D4"/>
    <w:rsid w:val="00C365C6"/>
    <w:rsid w:val="00C366F4"/>
    <w:rsid w:val="00C36785"/>
    <w:rsid w:val="00C3711C"/>
    <w:rsid w:val="00C37256"/>
    <w:rsid w:val="00C37A7B"/>
    <w:rsid w:val="00C37DC1"/>
    <w:rsid w:val="00C37FFE"/>
    <w:rsid w:val="00C40B50"/>
    <w:rsid w:val="00C419E3"/>
    <w:rsid w:val="00C419F4"/>
    <w:rsid w:val="00C41E6A"/>
    <w:rsid w:val="00C42247"/>
    <w:rsid w:val="00C428E7"/>
    <w:rsid w:val="00C438A2"/>
    <w:rsid w:val="00C439BE"/>
    <w:rsid w:val="00C451B2"/>
    <w:rsid w:val="00C4539B"/>
    <w:rsid w:val="00C45466"/>
    <w:rsid w:val="00C455C1"/>
    <w:rsid w:val="00C4581D"/>
    <w:rsid w:val="00C47472"/>
    <w:rsid w:val="00C500F0"/>
    <w:rsid w:val="00C504A7"/>
    <w:rsid w:val="00C506C9"/>
    <w:rsid w:val="00C50A16"/>
    <w:rsid w:val="00C51C9A"/>
    <w:rsid w:val="00C520E6"/>
    <w:rsid w:val="00C52C68"/>
    <w:rsid w:val="00C52D98"/>
    <w:rsid w:val="00C52DA1"/>
    <w:rsid w:val="00C53423"/>
    <w:rsid w:val="00C53D24"/>
    <w:rsid w:val="00C54640"/>
    <w:rsid w:val="00C547A6"/>
    <w:rsid w:val="00C54A3A"/>
    <w:rsid w:val="00C55C32"/>
    <w:rsid w:val="00C56A67"/>
    <w:rsid w:val="00C56CC2"/>
    <w:rsid w:val="00C56D8D"/>
    <w:rsid w:val="00C57498"/>
    <w:rsid w:val="00C5763C"/>
    <w:rsid w:val="00C5780C"/>
    <w:rsid w:val="00C5796B"/>
    <w:rsid w:val="00C57C64"/>
    <w:rsid w:val="00C612C4"/>
    <w:rsid w:val="00C619A1"/>
    <w:rsid w:val="00C62370"/>
    <w:rsid w:val="00C62BBB"/>
    <w:rsid w:val="00C6305F"/>
    <w:rsid w:val="00C6325B"/>
    <w:rsid w:val="00C63DDD"/>
    <w:rsid w:val="00C63E99"/>
    <w:rsid w:val="00C649B8"/>
    <w:rsid w:val="00C64A64"/>
    <w:rsid w:val="00C65151"/>
    <w:rsid w:val="00C657F4"/>
    <w:rsid w:val="00C6598D"/>
    <w:rsid w:val="00C660FE"/>
    <w:rsid w:val="00C66119"/>
    <w:rsid w:val="00C66292"/>
    <w:rsid w:val="00C672A3"/>
    <w:rsid w:val="00C672F1"/>
    <w:rsid w:val="00C673D0"/>
    <w:rsid w:val="00C6742E"/>
    <w:rsid w:val="00C67B0B"/>
    <w:rsid w:val="00C67C0E"/>
    <w:rsid w:val="00C70012"/>
    <w:rsid w:val="00C71E2A"/>
    <w:rsid w:val="00C733BA"/>
    <w:rsid w:val="00C742F6"/>
    <w:rsid w:val="00C760DC"/>
    <w:rsid w:val="00C77777"/>
    <w:rsid w:val="00C8082B"/>
    <w:rsid w:val="00C80C6B"/>
    <w:rsid w:val="00C81A88"/>
    <w:rsid w:val="00C81D46"/>
    <w:rsid w:val="00C82298"/>
    <w:rsid w:val="00C82DC7"/>
    <w:rsid w:val="00C8331F"/>
    <w:rsid w:val="00C833B4"/>
    <w:rsid w:val="00C84284"/>
    <w:rsid w:val="00C84E33"/>
    <w:rsid w:val="00C85FFC"/>
    <w:rsid w:val="00C861FC"/>
    <w:rsid w:val="00C86C87"/>
    <w:rsid w:val="00C9005E"/>
    <w:rsid w:val="00C90111"/>
    <w:rsid w:val="00C9038E"/>
    <w:rsid w:val="00C9077B"/>
    <w:rsid w:val="00C90CA9"/>
    <w:rsid w:val="00C90F88"/>
    <w:rsid w:val="00C915F2"/>
    <w:rsid w:val="00C917B1"/>
    <w:rsid w:val="00C9193C"/>
    <w:rsid w:val="00C91B77"/>
    <w:rsid w:val="00C920E2"/>
    <w:rsid w:val="00C9370F"/>
    <w:rsid w:val="00C93765"/>
    <w:rsid w:val="00C93877"/>
    <w:rsid w:val="00C93D8C"/>
    <w:rsid w:val="00C93E07"/>
    <w:rsid w:val="00C946CC"/>
    <w:rsid w:val="00C959BD"/>
    <w:rsid w:val="00C95DFE"/>
    <w:rsid w:val="00C95F44"/>
    <w:rsid w:val="00C96331"/>
    <w:rsid w:val="00C96D1B"/>
    <w:rsid w:val="00C97106"/>
    <w:rsid w:val="00C978D4"/>
    <w:rsid w:val="00CA0031"/>
    <w:rsid w:val="00CA0413"/>
    <w:rsid w:val="00CA043A"/>
    <w:rsid w:val="00CA0E51"/>
    <w:rsid w:val="00CA1691"/>
    <w:rsid w:val="00CA41E7"/>
    <w:rsid w:val="00CA4A99"/>
    <w:rsid w:val="00CA4CCC"/>
    <w:rsid w:val="00CA5520"/>
    <w:rsid w:val="00CA5812"/>
    <w:rsid w:val="00CA5984"/>
    <w:rsid w:val="00CA5BD4"/>
    <w:rsid w:val="00CA5C14"/>
    <w:rsid w:val="00CA5E65"/>
    <w:rsid w:val="00CA7019"/>
    <w:rsid w:val="00CA76FC"/>
    <w:rsid w:val="00CA7E7B"/>
    <w:rsid w:val="00CB0236"/>
    <w:rsid w:val="00CB0CB1"/>
    <w:rsid w:val="00CB137C"/>
    <w:rsid w:val="00CB1881"/>
    <w:rsid w:val="00CB1969"/>
    <w:rsid w:val="00CB19E3"/>
    <w:rsid w:val="00CB2C3A"/>
    <w:rsid w:val="00CB2D38"/>
    <w:rsid w:val="00CB2F5E"/>
    <w:rsid w:val="00CB4137"/>
    <w:rsid w:val="00CB50D0"/>
    <w:rsid w:val="00CB52D0"/>
    <w:rsid w:val="00CB5578"/>
    <w:rsid w:val="00CB5671"/>
    <w:rsid w:val="00CB591C"/>
    <w:rsid w:val="00CB5943"/>
    <w:rsid w:val="00CB61B3"/>
    <w:rsid w:val="00CB6801"/>
    <w:rsid w:val="00CB6F83"/>
    <w:rsid w:val="00CB72AE"/>
    <w:rsid w:val="00CC00CD"/>
    <w:rsid w:val="00CC0579"/>
    <w:rsid w:val="00CC0AF3"/>
    <w:rsid w:val="00CC0BC6"/>
    <w:rsid w:val="00CC0E68"/>
    <w:rsid w:val="00CC1780"/>
    <w:rsid w:val="00CC194E"/>
    <w:rsid w:val="00CC21AC"/>
    <w:rsid w:val="00CC232E"/>
    <w:rsid w:val="00CC2514"/>
    <w:rsid w:val="00CC2D34"/>
    <w:rsid w:val="00CC2F69"/>
    <w:rsid w:val="00CC315F"/>
    <w:rsid w:val="00CC3D38"/>
    <w:rsid w:val="00CC3F2F"/>
    <w:rsid w:val="00CC40C3"/>
    <w:rsid w:val="00CC4CB4"/>
    <w:rsid w:val="00CC4E5D"/>
    <w:rsid w:val="00CC50AE"/>
    <w:rsid w:val="00CC5FFE"/>
    <w:rsid w:val="00CC61B7"/>
    <w:rsid w:val="00CC61CA"/>
    <w:rsid w:val="00CC69EC"/>
    <w:rsid w:val="00CC71D3"/>
    <w:rsid w:val="00CC743D"/>
    <w:rsid w:val="00CD02ED"/>
    <w:rsid w:val="00CD050A"/>
    <w:rsid w:val="00CD1017"/>
    <w:rsid w:val="00CD205D"/>
    <w:rsid w:val="00CD2A22"/>
    <w:rsid w:val="00CD2B50"/>
    <w:rsid w:val="00CD3172"/>
    <w:rsid w:val="00CD4506"/>
    <w:rsid w:val="00CD520B"/>
    <w:rsid w:val="00CD592E"/>
    <w:rsid w:val="00CD5982"/>
    <w:rsid w:val="00CD5A1A"/>
    <w:rsid w:val="00CD5BA4"/>
    <w:rsid w:val="00CD7EFA"/>
    <w:rsid w:val="00CE020E"/>
    <w:rsid w:val="00CE0566"/>
    <w:rsid w:val="00CE1CD4"/>
    <w:rsid w:val="00CE2761"/>
    <w:rsid w:val="00CE28FC"/>
    <w:rsid w:val="00CE314E"/>
    <w:rsid w:val="00CE3A85"/>
    <w:rsid w:val="00CE3D5C"/>
    <w:rsid w:val="00CE3E09"/>
    <w:rsid w:val="00CE3E14"/>
    <w:rsid w:val="00CE44C7"/>
    <w:rsid w:val="00CE53CC"/>
    <w:rsid w:val="00CE5F60"/>
    <w:rsid w:val="00CE65A7"/>
    <w:rsid w:val="00CE68FE"/>
    <w:rsid w:val="00CE69CC"/>
    <w:rsid w:val="00CE6EC4"/>
    <w:rsid w:val="00CE7F26"/>
    <w:rsid w:val="00CF1226"/>
    <w:rsid w:val="00CF1ABB"/>
    <w:rsid w:val="00CF1E1D"/>
    <w:rsid w:val="00CF24FE"/>
    <w:rsid w:val="00CF287F"/>
    <w:rsid w:val="00CF35D0"/>
    <w:rsid w:val="00CF3B57"/>
    <w:rsid w:val="00CF3DD5"/>
    <w:rsid w:val="00CF43E7"/>
    <w:rsid w:val="00CF4AF7"/>
    <w:rsid w:val="00CF4D20"/>
    <w:rsid w:val="00CF73F8"/>
    <w:rsid w:val="00CF7928"/>
    <w:rsid w:val="00CF7CA2"/>
    <w:rsid w:val="00D00911"/>
    <w:rsid w:val="00D00A8E"/>
    <w:rsid w:val="00D00DE0"/>
    <w:rsid w:val="00D00F79"/>
    <w:rsid w:val="00D012BF"/>
    <w:rsid w:val="00D01760"/>
    <w:rsid w:val="00D01838"/>
    <w:rsid w:val="00D0368E"/>
    <w:rsid w:val="00D03AC3"/>
    <w:rsid w:val="00D03D2D"/>
    <w:rsid w:val="00D03E7B"/>
    <w:rsid w:val="00D0401A"/>
    <w:rsid w:val="00D047E0"/>
    <w:rsid w:val="00D04B9F"/>
    <w:rsid w:val="00D04D43"/>
    <w:rsid w:val="00D04FFB"/>
    <w:rsid w:val="00D055FE"/>
    <w:rsid w:val="00D058E9"/>
    <w:rsid w:val="00D0612A"/>
    <w:rsid w:val="00D1060D"/>
    <w:rsid w:val="00D10D14"/>
    <w:rsid w:val="00D10E7C"/>
    <w:rsid w:val="00D11182"/>
    <w:rsid w:val="00D1137B"/>
    <w:rsid w:val="00D11508"/>
    <w:rsid w:val="00D11807"/>
    <w:rsid w:val="00D11DB3"/>
    <w:rsid w:val="00D12D82"/>
    <w:rsid w:val="00D12F77"/>
    <w:rsid w:val="00D1306E"/>
    <w:rsid w:val="00D130B7"/>
    <w:rsid w:val="00D13284"/>
    <w:rsid w:val="00D134CD"/>
    <w:rsid w:val="00D1401E"/>
    <w:rsid w:val="00D14B5F"/>
    <w:rsid w:val="00D14E13"/>
    <w:rsid w:val="00D14F23"/>
    <w:rsid w:val="00D160F6"/>
    <w:rsid w:val="00D16740"/>
    <w:rsid w:val="00D16A8B"/>
    <w:rsid w:val="00D16E39"/>
    <w:rsid w:val="00D171DE"/>
    <w:rsid w:val="00D172A4"/>
    <w:rsid w:val="00D17951"/>
    <w:rsid w:val="00D17AD8"/>
    <w:rsid w:val="00D2074E"/>
    <w:rsid w:val="00D2104A"/>
    <w:rsid w:val="00D21A58"/>
    <w:rsid w:val="00D21BB5"/>
    <w:rsid w:val="00D21FFC"/>
    <w:rsid w:val="00D223B6"/>
    <w:rsid w:val="00D223E8"/>
    <w:rsid w:val="00D224E1"/>
    <w:rsid w:val="00D22DC8"/>
    <w:rsid w:val="00D2477B"/>
    <w:rsid w:val="00D2522A"/>
    <w:rsid w:val="00D2531C"/>
    <w:rsid w:val="00D25428"/>
    <w:rsid w:val="00D2553E"/>
    <w:rsid w:val="00D2587F"/>
    <w:rsid w:val="00D2742F"/>
    <w:rsid w:val="00D2754F"/>
    <w:rsid w:val="00D277C5"/>
    <w:rsid w:val="00D279D9"/>
    <w:rsid w:val="00D312DC"/>
    <w:rsid w:val="00D31B84"/>
    <w:rsid w:val="00D31C6A"/>
    <w:rsid w:val="00D31EDF"/>
    <w:rsid w:val="00D31FF9"/>
    <w:rsid w:val="00D32149"/>
    <w:rsid w:val="00D32256"/>
    <w:rsid w:val="00D32A27"/>
    <w:rsid w:val="00D32ABC"/>
    <w:rsid w:val="00D33FA4"/>
    <w:rsid w:val="00D34B25"/>
    <w:rsid w:val="00D34C7F"/>
    <w:rsid w:val="00D34F4E"/>
    <w:rsid w:val="00D357F3"/>
    <w:rsid w:val="00D35C0E"/>
    <w:rsid w:val="00D36FBF"/>
    <w:rsid w:val="00D373A8"/>
    <w:rsid w:val="00D379A5"/>
    <w:rsid w:val="00D37BB3"/>
    <w:rsid w:val="00D401BE"/>
    <w:rsid w:val="00D4043A"/>
    <w:rsid w:val="00D40DB0"/>
    <w:rsid w:val="00D41093"/>
    <w:rsid w:val="00D41858"/>
    <w:rsid w:val="00D422DB"/>
    <w:rsid w:val="00D42AC2"/>
    <w:rsid w:val="00D4498E"/>
    <w:rsid w:val="00D4515F"/>
    <w:rsid w:val="00D451E8"/>
    <w:rsid w:val="00D466C9"/>
    <w:rsid w:val="00D47275"/>
    <w:rsid w:val="00D517F6"/>
    <w:rsid w:val="00D51AB7"/>
    <w:rsid w:val="00D51E15"/>
    <w:rsid w:val="00D52B7E"/>
    <w:rsid w:val="00D52E2F"/>
    <w:rsid w:val="00D52F59"/>
    <w:rsid w:val="00D53445"/>
    <w:rsid w:val="00D53E3E"/>
    <w:rsid w:val="00D54620"/>
    <w:rsid w:val="00D55904"/>
    <w:rsid w:val="00D5614E"/>
    <w:rsid w:val="00D5616F"/>
    <w:rsid w:val="00D57940"/>
    <w:rsid w:val="00D60327"/>
    <w:rsid w:val="00D61384"/>
    <w:rsid w:val="00D61526"/>
    <w:rsid w:val="00D61C39"/>
    <w:rsid w:val="00D61F81"/>
    <w:rsid w:val="00D620A6"/>
    <w:rsid w:val="00D62304"/>
    <w:rsid w:val="00D623C0"/>
    <w:rsid w:val="00D62BE6"/>
    <w:rsid w:val="00D63359"/>
    <w:rsid w:val="00D63766"/>
    <w:rsid w:val="00D63912"/>
    <w:rsid w:val="00D63923"/>
    <w:rsid w:val="00D6451B"/>
    <w:rsid w:val="00D64B57"/>
    <w:rsid w:val="00D651A1"/>
    <w:rsid w:val="00D65DEA"/>
    <w:rsid w:val="00D6650F"/>
    <w:rsid w:val="00D66579"/>
    <w:rsid w:val="00D676D3"/>
    <w:rsid w:val="00D67B06"/>
    <w:rsid w:val="00D67BC7"/>
    <w:rsid w:val="00D67C3B"/>
    <w:rsid w:val="00D701F1"/>
    <w:rsid w:val="00D705D3"/>
    <w:rsid w:val="00D70E00"/>
    <w:rsid w:val="00D70F7C"/>
    <w:rsid w:val="00D715AC"/>
    <w:rsid w:val="00D71851"/>
    <w:rsid w:val="00D718CF"/>
    <w:rsid w:val="00D728F5"/>
    <w:rsid w:val="00D72E9D"/>
    <w:rsid w:val="00D73249"/>
    <w:rsid w:val="00D73419"/>
    <w:rsid w:val="00D73881"/>
    <w:rsid w:val="00D73CA9"/>
    <w:rsid w:val="00D751B7"/>
    <w:rsid w:val="00D7524B"/>
    <w:rsid w:val="00D75396"/>
    <w:rsid w:val="00D759C0"/>
    <w:rsid w:val="00D75E99"/>
    <w:rsid w:val="00D765CE"/>
    <w:rsid w:val="00D766C7"/>
    <w:rsid w:val="00D7692B"/>
    <w:rsid w:val="00D7734F"/>
    <w:rsid w:val="00D7791D"/>
    <w:rsid w:val="00D8039E"/>
    <w:rsid w:val="00D8044C"/>
    <w:rsid w:val="00D805D6"/>
    <w:rsid w:val="00D8075E"/>
    <w:rsid w:val="00D80860"/>
    <w:rsid w:val="00D80D4C"/>
    <w:rsid w:val="00D8184D"/>
    <w:rsid w:val="00D81A7B"/>
    <w:rsid w:val="00D8223C"/>
    <w:rsid w:val="00D82B57"/>
    <w:rsid w:val="00D82CE5"/>
    <w:rsid w:val="00D831E3"/>
    <w:rsid w:val="00D8342C"/>
    <w:rsid w:val="00D84983"/>
    <w:rsid w:val="00D84C00"/>
    <w:rsid w:val="00D85494"/>
    <w:rsid w:val="00D8582C"/>
    <w:rsid w:val="00D85D61"/>
    <w:rsid w:val="00D8616D"/>
    <w:rsid w:val="00D8711B"/>
    <w:rsid w:val="00D87384"/>
    <w:rsid w:val="00D9015D"/>
    <w:rsid w:val="00D90683"/>
    <w:rsid w:val="00D90B2A"/>
    <w:rsid w:val="00D91483"/>
    <w:rsid w:val="00D915C8"/>
    <w:rsid w:val="00D9310B"/>
    <w:rsid w:val="00D931F3"/>
    <w:rsid w:val="00D93726"/>
    <w:rsid w:val="00D93F3E"/>
    <w:rsid w:val="00D9405B"/>
    <w:rsid w:val="00D94942"/>
    <w:rsid w:val="00D95145"/>
    <w:rsid w:val="00D95F31"/>
    <w:rsid w:val="00D96594"/>
    <w:rsid w:val="00D967CB"/>
    <w:rsid w:val="00D968D4"/>
    <w:rsid w:val="00D96EE0"/>
    <w:rsid w:val="00D97744"/>
    <w:rsid w:val="00D97BD1"/>
    <w:rsid w:val="00D97EF0"/>
    <w:rsid w:val="00DA00C3"/>
    <w:rsid w:val="00DA01E9"/>
    <w:rsid w:val="00DA06B8"/>
    <w:rsid w:val="00DA14A9"/>
    <w:rsid w:val="00DA286D"/>
    <w:rsid w:val="00DA2969"/>
    <w:rsid w:val="00DA29B7"/>
    <w:rsid w:val="00DA2E5F"/>
    <w:rsid w:val="00DA337C"/>
    <w:rsid w:val="00DA422F"/>
    <w:rsid w:val="00DA4842"/>
    <w:rsid w:val="00DA4C97"/>
    <w:rsid w:val="00DA5989"/>
    <w:rsid w:val="00DA5AB1"/>
    <w:rsid w:val="00DA5F9D"/>
    <w:rsid w:val="00DA6719"/>
    <w:rsid w:val="00DA69B2"/>
    <w:rsid w:val="00DA7462"/>
    <w:rsid w:val="00DA7AD0"/>
    <w:rsid w:val="00DB02D7"/>
    <w:rsid w:val="00DB03CC"/>
    <w:rsid w:val="00DB12D4"/>
    <w:rsid w:val="00DB14F0"/>
    <w:rsid w:val="00DB1745"/>
    <w:rsid w:val="00DB19BB"/>
    <w:rsid w:val="00DB1AFF"/>
    <w:rsid w:val="00DB219A"/>
    <w:rsid w:val="00DB3165"/>
    <w:rsid w:val="00DB4292"/>
    <w:rsid w:val="00DB5023"/>
    <w:rsid w:val="00DB6E46"/>
    <w:rsid w:val="00DB7117"/>
    <w:rsid w:val="00DB7760"/>
    <w:rsid w:val="00DB7DD4"/>
    <w:rsid w:val="00DC00B4"/>
    <w:rsid w:val="00DC0954"/>
    <w:rsid w:val="00DC0DF8"/>
    <w:rsid w:val="00DC15BA"/>
    <w:rsid w:val="00DC18CD"/>
    <w:rsid w:val="00DC1A68"/>
    <w:rsid w:val="00DC30B8"/>
    <w:rsid w:val="00DC478F"/>
    <w:rsid w:val="00DC558F"/>
    <w:rsid w:val="00DC61AC"/>
    <w:rsid w:val="00DC62E5"/>
    <w:rsid w:val="00DC6D70"/>
    <w:rsid w:val="00DC6DAA"/>
    <w:rsid w:val="00DC6F33"/>
    <w:rsid w:val="00DC7349"/>
    <w:rsid w:val="00DC7389"/>
    <w:rsid w:val="00DD0EA9"/>
    <w:rsid w:val="00DD14D8"/>
    <w:rsid w:val="00DD1599"/>
    <w:rsid w:val="00DD16F1"/>
    <w:rsid w:val="00DD1B03"/>
    <w:rsid w:val="00DD1E43"/>
    <w:rsid w:val="00DD1EDF"/>
    <w:rsid w:val="00DD2A62"/>
    <w:rsid w:val="00DD2F2F"/>
    <w:rsid w:val="00DD2F7A"/>
    <w:rsid w:val="00DD36D2"/>
    <w:rsid w:val="00DD37C4"/>
    <w:rsid w:val="00DD3885"/>
    <w:rsid w:val="00DD5808"/>
    <w:rsid w:val="00DD5946"/>
    <w:rsid w:val="00DD5B04"/>
    <w:rsid w:val="00DD5DAE"/>
    <w:rsid w:val="00DD5EC6"/>
    <w:rsid w:val="00DD605F"/>
    <w:rsid w:val="00DD6A79"/>
    <w:rsid w:val="00DD72A0"/>
    <w:rsid w:val="00DD735D"/>
    <w:rsid w:val="00DD7F7D"/>
    <w:rsid w:val="00DE0159"/>
    <w:rsid w:val="00DE064A"/>
    <w:rsid w:val="00DE082D"/>
    <w:rsid w:val="00DE1410"/>
    <w:rsid w:val="00DE20C6"/>
    <w:rsid w:val="00DE3119"/>
    <w:rsid w:val="00DE3C24"/>
    <w:rsid w:val="00DE3FF0"/>
    <w:rsid w:val="00DE4105"/>
    <w:rsid w:val="00DE4BEA"/>
    <w:rsid w:val="00DE5189"/>
    <w:rsid w:val="00DE7108"/>
    <w:rsid w:val="00DE78D1"/>
    <w:rsid w:val="00DE78FF"/>
    <w:rsid w:val="00DF0263"/>
    <w:rsid w:val="00DF0EB4"/>
    <w:rsid w:val="00DF158B"/>
    <w:rsid w:val="00DF170E"/>
    <w:rsid w:val="00DF193C"/>
    <w:rsid w:val="00DF1E36"/>
    <w:rsid w:val="00DF236B"/>
    <w:rsid w:val="00DF258A"/>
    <w:rsid w:val="00DF2A91"/>
    <w:rsid w:val="00DF3889"/>
    <w:rsid w:val="00DF3CC9"/>
    <w:rsid w:val="00DF4451"/>
    <w:rsid w:val="00DF49FF"/>
    <w:rsid w:val="00DF4FFB"/>
    <w:rsid w:val="00DF5236"/>
    <w:rsid w:val="00DF651F"/>
    <w:rsid w:val="00DF6F43"/>
    <w:rsid w:val="00DF71EA"/>
    <w:rsid w:val="00DF752F"/>
    <w:rsid w:val="00DF76A2"/>
    <w:rsid w:val="00E00B25"/>
    <w:rsid w:val="00E00B7A"/>
    <w:rsid w:val="00E02186"/>
    <w:rsid w:val="00E025C2"/>
    <w:rsid w:val="00E026BB"/>
    <w:rsid w:val="00E027C5"/>
    <w:rsid w:val="00E03124"/>
    <w:rsid w:val="00E031C3"/>
    <w:rsid w:val="00E03951"/>
    <w:rsid w:val="00E03DB8"/>
    <w:rsid w:val="00E03F17"/>
    <w:rsid w:val="00E0420C"/>
    <w:rsid w:val="00E04EDD"/>
    <w:rsid w:val="00E05E70"/>
    <w:rsid w:val="00E064BC"/>
    <w:rsid w:val="00E07225"/>
    <w:rsid w:val="00E076B4"/>
    <w:rsid w:val="00E07B55"/>
    <w:rsid w:val="00E10579"/>
    <w:rsid w:val="00E10603"/>
    <w:rsid w:val="00E109DD"/>
    <w:rsid w:val="00E11229"/>
    <w:rsid w:val="00E114CA"/>
    <w:rsid w:val="00E127D1"/>
    <w:rsid w:val="00E13867"/>
    <w:rsid w:val="00E1397F"/>
    <w:rsid w:val="00E13AB8"/>
    <w:rsid w:val="00E1482E"/>
    <w:rsid w:val="00E16382"/>
    <w:rsid w:val="00E1699C"/>
    <w:rsid w:val="00E16E75"/>
    <w:rsid w:val="00E1746D"/>
    <w:rsid w:val="00E2012A"/>
    <w:rsid w:val="00E205A2"/>
    <w:rsid w:val="00E20BA4"/>
    <w:rsid w:val="00E210D0"/>
    <w:rsid w:val="00E21887"/>
    <w:rsid w:val="00E21CC0"/>
    <w:rsid w:val="00E23137"/>
    <w:rsid w:val="00E23980"/>
    <w:rsid w:val="00E23AB0"/>
    <w:rsid w:val="00E241E9"/>
    <w:rsid w:val="00E254A2"/>
    <w:rsid w:val="00E257C3"/>
    <w:rsid w:val="00E25CB3"/>
    <w:rsid w:val="00E25DA4"/>
    <w:rsid w:val="00E26237"/>
    <w:rsid w:val="00E26CB8"/>
    <w:rsid w:val="00E26D16"/>
    <w:rsid w:val="00E26FCF"/>
    <w:rsid w:val="00E27165"/>
    <w:rsid w:val="00E275D9"/>
    <w:rsid w:val="00E3044A"/>
    <w:rsid w:val="00E30E49"/>
    <w:rsid w:val="00E31A4A"/>
    <w:rsid w:val="00E3344A"/>
    <w:rsid w:val="00E33B29"/>
    <w:rsid w:val="00E33B62"/>
    <w:rsid w:val="00E3403D"/>
    <w:rsid w:val="00E344BD"/>
    <w:rsid w:val="00E34E6C"/>
    <w:rsid w:val="00E353E2"/>
    <w:rsid w:val="00E36345"/>
    <w:rsid w:val="00E36C86"/>
    <w:rsid w:val="00E36CEB"/>
    <w:rsid w:val="00E37A28"/>
    <w:rsid w:val="00E400C7"/>
    <w:rsid w:val="00E40430"/>
    <w:rsid w:val="00E40690"/>
    <w:rsid w:val="00E40AEB"/>
    <w:rsid w:val="00E40E82"/>
    <w:rsid w:val="00E41141"/>
    <w:rsid w:val="00E4143A"/>
    <w:rsid w:val="00E41F68"/>
    <w:rsid w:val="00E424C8"/>
    <w:rsid w:val="00E4251D"/>
    <w:rsid w:val="00E427EF"/>
    <w:rsid w:val="00E43D00"/>
    <w:rsid w:val="00E443B4"/>
    <w:rsid w:val="00E445E4"/>
    <w:rsid w:val="00E457CB"/>
    <w:rsid w:val="00E45D47"/>
    <w:rsid w:val="00E45DE4"/>
    <w:rsid w:val="00E45E63"/>
    <w:rsid w:val="00E4759C"/>
    <w:rsid w:val="00E50A7B"/>
    <w:rsid w:val="00E50B0B"/>
    <w:rsid w:val="00E50C57"/>
    <w:rsid w:val="00E510FE"/>
    <w:rsid w:val="00E514BA"/>
    <w:rsid w:val="00E51E25"/>
    <w:rsid w:val="00E5205B"/>
    <w:rsid w:val="00E521AE"/>
    <w:rsid w:val="00E529A3"/>
    <w:rsid w:val="00E533EE"/>
    <w:rsid w:val="00E53A21"/>
    <w:rsid w:val="00E53BCA"/>
    <w:rsid w:val="00E53DE2"/>
    <w:rsid w:val="00E53F02"/>
    <w:rsid w:val="00E5428D"/>
    <w:rsid w:val="00E54534"/>
    <w:rsid w:val="00E548C3"/>
    <w:rsid w:val="00E54F27"/>
    <w:rsid w:val="00E55FF1"/>
    <w:rsid w:val="00E56090"/>
    <w:rsid w:val="00E56408"/>
    <w:rsid w:val="00E565B9"/>
    <w:rsid w:val="00E56E7B"/>
    <w:rsid w:val="00E5733B"/>
    <w:rsid w:val="00E5756C"/>
    <w:rsid w:val="00E57811"/>
    <w:rsid w:val="00E57FB0"/>
    <w:rsid w:val="00E601BE"/>
    <w:rsid w:val="00E60A44"/>
    <w:rsid w:val="00E60B5F"/>
    <w:rsid w:val="00E613AE"/>
    <w:rsid w:val="00E61429"/>
    <w:rsid w:val="00E61ABB"/>
    <w:rsid w:val="00E61FD7"/>
    <w:rsid w:val="00E623E6"/>
    <w:rsid w:val="00E62BBF"/>
    <w:rsid w:val="00E62C76"/>
    <w:rsid w:val="00E630A2"/>
    <w:rsid w:val="00E630C0"/>
    <w:rsid w:val="00E63107"/>
    <w:rsid w:val="00E6312C"/>
    <w:rsid w:val="00E634E6"/>
    <w:rsid w:val="00E63DCE"/>
    <w:rsid w:val="00E642EF"/>
    <w:rsid w:val="00E64700"/>
    <w:rsid w:val="00E65074"/>
    <w:rsid w:val="00E65857"/>
    <w:rsid w:val="00E65E70"/>
    <w:rsid w:val="00E66087"/>
    <w:rsid w:val="00E66D79"/>
    <w:rsid w:val="00E66FF9"/>
    <w:rsid w:val="00E6706F"/>
    <w:rsid w:val="00E673A2"/>
    <w:rsid w:val="00E67856"/>
    <w:rsid w:val="00E679C8"/>
    <w:rsid w:val="00E70314"/>
    <w:rsid w:val="00E724E7"/>
    <w:rsid w:val="00E72B41"/>
    <w:rsid w:val="00E7347B"/>
    <w:rsid w:val="00E73792"/>
    <w:rsid w:val="00E73D03"/>
    <w:rsid w:val="00E7471C"/>
    <w:rsid w:val="00E7498A"/>
    <w:rsid w:val="00E7514E"/>
    <w:rsid w:val="00E76537"/>
    <w:rsid w:val="00E77784"/>
    <w:rsid w:val="00E77AF5"/>
    <w:rsid w:val="00E8035B"/>
    <w:rsid w:val="00E820F4"/>
    <w:rsid w:val="00E82263"/>
    <w:rsid w:val="00E823F9"/>
    <w:rsid w:val="00E82C1F"/>
    <w:rsid w:val="00E83671"/>
    <w:rsid w:val="00E83D1E"/>
    <w:rsid w:val="00E840EE"/>
    <w:rsid w:val="00E84314"/>
    <w:rsid w:val="00E849CA"/>
    <w:rsid w:val="00E84A71"/>
    <w:rsid w:val="00E8556F"/>
    <w:rsid w:val="00E86556"/>
    <w:rsid w:val="00E86D35"/>
    <w:rsid w:val="00E86DC2"/>
    <w:rsid w:val="00E86E32"/>
    <w:rsid w:val="00E86F2E"/>
    <w:rsid w:val="00E8732E"/>
    <w:rsid w:val="00E9011F"/>
    <w:rsid w:val="00E906EB"/>
    <w:rsid w:val="00E9170E"/>
    <w:rsid w:val="00E919FB"/>
    <w:rsid w:val="00E922B1"/>
    <w:rsid w:val="00E9241E"/>
    <w:rsid w:val="00E92460"/>
    <w:rsid w:val="00E92E62"/>
    <w:rsid w:val="00E93804"/>
    <w:rsid w:val="00E9429D"/>
    <w:rsid w:val="00E95434"/>
    <w:rsid w:val="00E96467"/>
    <w:rsid w:val="00E966DA"/>
    <w:rsid w:val="00E96948"/>
    <w:rsid w:val="00E9737B"/>
    <w:rsid w:val="00E97A3F"/>
    <w:rsid w:val="00E97F0A"/>
    <w:rsid w:val="00EA0100"/>
    <w:rsid w:val="00EA0BCE"/>
    <w:rsid w:val="00EA10E4"/>
    <w:rsid w:val="00EA17BC"/>
    <w:rsid w:val="00EA2744"/>
    <w:rsid w:val="00EA37B9"/>
    <w:rsid w:val="00EA39F7"/>
    <w:rsid w:val="00EA3DC2"/>
    <w:rsid w:val="00EA434E"/>
    <w:rsid w:val="00EA4757"/>
    <w:rsid w:val="00EA560B"/>
    <w:rsid w:val="00EA5669"/>
    <w:rsid w:val="00EA5CC6"/>
    <w:rsid w:val="00EA63EF"/>
    <w:rsid w:val="00EA7CBF"/>
    <w:rsid w:val="00EB0A89"/>
    <w:rsid w:val="00EB0BD8"/>
    <w:rsid w:val="00EB1573"/>
    <w:rsid w:val="00EB1910"/>
    <w:rsid w:val="00EB2564"/>
    <w:rsid w:val="00EB2D83"/>
    <w:rsid w:val="00EB2E97"/>
    <w:rsid w:val="00EB3416"/>
    <w:rsid w:val="00EB4AE1"/>
    <w:rsid w:val="00EB52F4"/>
    <w:rsid w:val="00EB5694"/>
    <w:rsid w:val="00EB5779"/>
    <w:rsid w:val="00EB5D2F"/>
    <w:rsid w:val="00EB67F1"/>
    <w:rsid w:val="00EB6ADA"/>
    <w:rsid w:val="00EB7132"/>
    <w:rsid w:val="00EB72CD"/>
    <w:rsid w:val="00EB749A"/>
    <w:rsid w:val="00EB76B6"/>
    <w:rsid w:val="00EB7D8A"/>
    <w:rsid w:val="00EC04F7"/>
    <w:rsid w:val="00EC05E2"/>
    <w:rsid w:val="00EC0903"/>
    <w:rsid w:val="00EC0E84"/>
    <w:rsid w:val="00EC16E2"/>
    <w:rsid w:val="00EC1CE7"/>
    <w:rsid w:val="00EC1DAE"/>
    <w:rsid w:val="00EC26F1"/>
    <w:rsid w:val="00EC3BA2"/>
    <w:rsid w:val="00EC3C94"/>
    <w:rsid w:val="00EC44DF"/>
    <w:rsid w:val="00EC4FB9"/>
    <w:rsid w:val="00EC5393"/>
    <w:rsid w:val="00EC5741"/>
    <w:rsid w:val="00EC5DA3"/>
    <w:rsid w:val="00EC6014"/>
    <w:rsid w:val="00EC6565"/>
    <w:rsid w:val="00EC6B3E"/>
    <w:rsid w:val="00EC73DE"/>
    <w:rsid w:val="00EC7637"/>
    <w:rsid w:val="00EC7C07"/>
    <w:rsid w:val="00EC7CF2"/>
    <w:rsid w:val="00ED046C"/>
    <w:rsid w:val="00ED053A"/>
    <w:rsid w:val="00ED1F03"/>
    <w:rsid w:val="00ED249D"/>
    <w:rsid w:val="00ED2D27"/>
    <w:rsid w:val="00ED3347"/>
    <w:rsid w:val="00ED3441"/>
    <w:rsid w:val="00ED3860"/>
    <w:rsid w:val="00ED3954"/>
    <w:rsid w:val="00ED4174"/>
    <w:rsid w:val="00ED43A2"/>
    <w:rsid w:val="00ED4967"/>
    <w:rsid w:val="00ED5140"/>
    <w:rsid w:val="00ED538C"/>
    <w:rsid w:val="00ED5771"/>
    <w:rsid w:val="00ED587F"/>
    <w:rsid w:val="00ED5964"/>
    <w:rsid w:val="00ED623F"/>
    <w:rsid w:val="00ED63A5"/>
    <w:rsid w:val="00ED69BA"/>
    <w:rsid w:val="00ED6D1A"/>
    <w:rsid w:val="00ED72E9"/>
    <w:rsid w:val="00ED732E"/>
    <w:rsid w:val="00ED74B3"/>
    <w:rsid w:val="00ED77F0"/>
    <w:rsid w:val="00ED7FBC"/>
    <w:rsid w:val="00EE0253"/>
    <w:rsid w:val="00EE0297"/>
    <w:rsid w:val="00EE1258"/>
    <w:rsid w:val="00EE13DA"/>
    <w:rsid w:val="00EE1668"/>
    <w:rsid w:val="00EE1EDB"/>
    <w:rsid w:val="00EE24E2"/>
    <w:rsid w:val="00EE2A20"/>
    <w:rsid w:val="00EE366D"/>
    <w:rsid w:val="00EE40A4"/>
    <w:rsid w:val="00EE5454"/>
    <w:rsid w:val="00EE59B5"/>
    <w:rsid w:val="00EE5FB7"/>
    <w:rsid w:val="00EE6783"/>
    <w:rsid w:val="00EE678B"/>
    <w:rsid w:val="00EE7B54"/>
    <w:rsid w:val="00EE7C47"/>
    <w:rsid w:val="00EE7C88"/>
    <w:rsid w:val="00EE7C8B"/>
    <w:rsid w:val="00EF0209"/>
    <w:rsid w:val="00EF0EA4"/>
    <w:rsid w:val="00EF1E97"/>
    <w:rsid w:val="00EF2436"/>
    <w:rsid w:val="00EF2547"/>
    <w:rsid w:val="00EF2B2B"/>
    <w:rsid w:val="00EF2E1C"/>
    <w:rsid w:val="00EF2FD6"/>
    <w:rsid w:val="00EF326A"/>
    <w:rsid w:val="00EF397D"/>
    <w:rsid w:val="00EF427A"/>
    <w:rsid w:val="00EF45DF"/>
    <w:rsid w:val="00EF4944"/>
    <w:rsid w:val="00EF4952"/>
    <w:rsid w:val="00EF498F"/>
    <w:rsid w:val="00EF4A42"/>
    <w:rsid w:val="00EF510C"/>
    <w:rsid w:val="00EF55C4"/>
    <w:rsid w:val="00EF57BC"/>
    <w:rsid w:val="00EF5CA8"/>
    <w:rsid w:val="00EF6784"/>
    <w:rsid w:val="00EF688A"/>
    <w:rsid w:val="00EF6A03"/>
    <w:rsid w:val="00EF6DC2"/>
    <w:rsid w:val="00EF7506"/>
    <w:rsid w:val="00EF760B"/>
    <w:rsid w:val="00EF7BF4"/>
    <w:rsid w:val="00F0030F"/>
    <w:rsid w:val="00F00674"/>
    <w:rsid w:val="00F01657"/>
    <w:rsid w:val="00F01E67"/>
    <w:rsid w:val="00F02744"/>
    <w:rsid w:val="00F02BFD"/>
    <w:rsid w:val="00F02D25"/>
    <w:rsid w:val="00F03C3D"/>
    <w:rsid w:val="00F0435D"/>
    <w:rsid w:val="00F04580"/>
    <w:rsid w:val="00F04ECA"/>
    <w:rsid w:val="00F04ED5"/>
    <w:rsid w:val="00F04F8B"/>
    <w:rsid w:val="00F06E19"/>
    <w:rsid w:val="00F06F84"/>
    <w:rsid w:val="00F076E7"/>
    <w:rsid w:val="00F07A86"/>
    <w:rsid w:val="00F07AA1"/>
    <w:rsid w:val="00F105AE"/>
    <w:rsid w:val="00F10618"/>
    <w:rsid w:val="00F10E7D"/>
    <w:rsid w:val="00F1108B"/>
    <w:rsid w:val="00F114FA"/>
    <w:rsid w:val="00F11768"/>
    <w:rsid w:val="00F11951"/>
    <w:rsid w:val="00F12262"/>
    <w:rsid w:val="00F12564"/>
    <w:rsid w:val="00F12AF8"/>
    <w:rsid w:val="00F12C52"/>
    <w:rsid w:val="00F13381"/>
    <w:rsid w:val="00F13828"/>
    <w:rsid w:val="00F13E62"/>
    <w:rsid w:val="00F13F51"/>
    <w:rsid w:val="00F148B7"/>
    <w:rsid w:val="00F14EA9"/>
    <w:rsid w:val="00F15505"/>
    <w:rsid w:val="00F1559B"/>
    <w:rsid w:val="00F15BFF"/>
    <w:rsid w:val="00F16E4F"/>
    <w:rsid w:val="00F171B2"/>
    <w:rsid w:val="00F17244"/>
    <w:rsid w:val="00F20931"/>
    <w:rsid w:val="00F20ECE"/>
    <w:rsid w:val="00F213A0"/>
    <w:rsid w:val="00F21D54"/>
    <w:rsid w:val="00F21EF4"/>
    <w:rsid w:val="00F221A2"/>
    <w:rsid w:val="00F23113"/>
    <w:rsid w:val="00F23255"/>
    <w:rsid w:val="00F23393"/>
    <w:rsid w:val="00F23759"/>
    <w:rsid w:val="00F239B6"/>
    <w:rsid w:val="00F24644"/>
    <w:rsid w:val="00F25947"/>
    <w:rsid w:val="00F262D6"/>
    <w:rsid w:val="00F26F33"/>
    <w:rsid w:val="00F273D5"/>
    <w:rsid w:val="00F2748A"/>
    <w:rsid w:val="00F2786C"/>
    <w:rsid w:val="00F300A8"/>
    <w:rsid w:val="00F302C6"/>
    <w:rsid w:val="00F30400"/>
    <w:rsid w:val="00F3079E"/>
    <w:rsid w:val="00F31289"/>
    <w:rsid w:val="00F3232D"/>
    <w:rsid w:val="00F3399B"/>
    <w:rsid w:val="00F33F4B"/>
    <w:rsid w:val="00F346ED"/>
    <w:rsid w:val="00F34945"/>
    <w:rsid w:val="00F34E1E"/>
    <w:rsid w:val="00F3570C"/>
    <w:rsid w:val="00F363A4"/>
    <w:rsid w:val="00F36765"/>
    <w:rsid w:val="00F368FF"/>
    <w:rsid w:val="00F37068"/>
    <w:rsid w:val="00F37E5F"/>
    <w:rsid w:val="00F37F3F"/>
    <w:rsid w:val="00F40992"/>
    <w:rsid w:val="00F40F72"/>
    <w:rsid w:val="00F41596"/>
    <w:rsid w:val="00F41D8B"/>
    <w:rsid w:val="00F42121"/>
    <w:rsid w:val="00F424B3"/>
    <w:rsid w:val="00F428B1"/>
    <w:rsid w:val="00F428B4"/>
    <w:rsid w:val="00F4345D"/>
    <w:rsid w:val="00F4387B"/>
    <w:rsid w:val="00F4387F"/>
    <w:rsid w:val="00F45921"/>
    <w:rsid w:val="00F45B91"/>
    <w:rsid w:val="00F46639"/>
    <w:rsid w:val="00F476FD"/>
    <w:rsid w:val="00F50183"/>
    <w:rsid w:val="00F50D92"/>
    <w:rsid w:val="00F51765"/>
    <w:rsid w:val="00F51A51"/>
    <w:rsid w:val="00F51BC6"/>
    <w:rsid w:val="00F51CB4"/>
    <w:rsid w:val="00F52200"/>
    <w:rsid w:val="00F52324"/>
    <w:rsid w:val="00F524EE"/>
    <w:rsid w:val="00F52950"/>
    <w:rsid w:val="00F52C9D"/>
    <w:rsid w:val="00F533F1"/>
    <w:rsid w:val="00F55185"/>
    <w:rsid w:val="00F55679"/>
    <w:rsid w:val="00F56054"/>
    <w:rsid w:val="00F561E3"/>
    <w:rsid w:val="00F565E6"/>
    <w:rsid w:val="00F56AFA"/>
    <w:rsid w:val="00F575E2"/>
    <w:rsid w:val="00F579FF"/>
    <w:rsid w:val="00F600E0"/>
    <w:rsid w:val="00F605EC"/>
    <w:rsid w:val="00F60F60"/>
    <w:rsid w:val="00F612CE"/>
    <w:rsid w:val="00F6133C"/>
    <w:rsid w:val="00F61405"/>
    <w:rsid w:val="00F62227"/>
    <w:rsid w:val="00F624A7"/>
    <w:rsid w:val="00F62AB6"/>
    <w:rsid w:val="00F65A3C"/>
    <w:rsid w:val="00F66009"/>
    <w:rsid w:val="00F66282"/>
    <w:rsid w:val="00F6639E"/>
    <w:rsid w:val="00F670E9"/>
    <w:rsid w:val="00F67AF1"/>
    <w:rsid w:val="00F67D8B"/>
    <w:rsid w:val="00F700CD"/>
    <w:rsid w:val="00F701C5"/>
    <w:rsid w:val="00F70961"/>
    <w:rsid w:val="00F70A8F"/>
    <w:rsid w:val="00F71397"/>
    <w:rsid w:val="00F72389"/>
    <w:rsid w:val="00F72516"/>
    <w:rsid w:val="00F72FB4"/>
    <w:rsid w:val="00F732CF"/>
    <w:rsid w:val="00F735E5"/>
    <w:rsid w:val="00F73B82"/>
    <w:rsid w:val="00F73E80"/>
    <w:rsid w:val="00F7422B"/>
    <w:rsid w:val="00F7469C"/>
    <w:rsid w:val="00F7492E"/>
    <w:rsid w:val="00F74945"/>
    <w:rsid w:val="00F749A3"/>
    <w:rsid w:val="00F74AE8"/>
    <w:rsid w:val="00F76C11"/>
    <w:rsid w:val="00F77021"/>
    <w:rsid w:val="00F770AB"/>
    <w:rsid w:val="00F77E61"/>
    <w:rsid w:val="00F80221"/>
    <w:rsid w:val="00F80A0A"/>
    <w:rsid w:val="00F80C81"/>
    <w:rsid w:val="00F815AC"/>
    <w:rsid w:val="00F83B33"/>
    <w:rsid w:val="00F83CAE"/>
    <w:rsid w:val="00F840BF"/>
    <w:rsid w:val="00F8427A"/>
    <w:rsid w:val="00F843DF"/>
    <w:rsid w:val="00F84646"/>
    <w:rsid w:val="00F84899"/>
    <w:rsid w:val="00F85585"/>
    <w:rsid w:val="00F859F0"/>
    <w:rsid w:val="00F85CC1"/>
    <w:rsid w:val="00F86B5D"/>
    <w:rsid w:val="00F87634"/>
    <w:rsid w:val="00F87C13"/>
    <w:rsid w:val="00F87C5A"/>
    <w:rsid w:val="00F87E29"/>
    <w:rsid w:val="00F87F18"/>
    <w:rsid w:val="00F87F68"/>
    <w:rsid w:val="00F90C4D"/>
    <w:rsid w:val="00F911E1"/>
    <w:rsid w:val="00F9167D"/>
    <w:rsid w:val="00F91CB2"/>
    <w:rsid w:val="00F927E8"/>
    <w:rsid w:val="00F9289C"/>
    <w:rsid w:val="00F92FC1"/>
    <w:rsid w:val="00F932D1"/>
    <w:rsid w:val="00F93DBC"/>
    <w:rsid w:val="00F93E41"/>
    <w:rsid w:val="00F94644"/>
    <w:rsid w:val="00F952E4"/>
    <w:rsid w:val="00F9537B"/>
    <w:rsid w:val="00F96079"/>
    <w:rsid w:val="00F963FC"/>
    <w:rsid w:val="00F97CF1"/>
    <w:rsid w:val="00FA015F"/>
    <w:rsid w:val="00FA082B"/>
    <w:rsid w:val="00FA0FAC"/>
    <w:rsid w:val="00FA10F7"/>
    <w:rsid w:val="00FA1DA2"/>
    <w:rsid w:val="00FA313F"/>
    <w:rsid w:val="00FA3414"/>
    <w:rsid w:val="00FA347A"/>
    <w:rsid w:val="00FA3CDE"/>
    <w:rsid w:val="00FA49B7"/>
    <w:rsid w:val="00FA5043"/>
    <w:rsid w:val="00FA60C1"/>
    <w:rsid w:val="00FA65A3"/>
    <w:rsid w:val="00FA6F8B"/>
    <w:rsid w:val="00FA727C"/>
    <w:rsid w:val="00FA7A30"/>
    <w:rsid w:val="00FB033F"/>
    <w:rsid w:val="00FB0880"/>
    <w:rsid w:val="00FB12E3"/>
    <w:rsid w:val="00FB1570"/>
    <w:rsid w:val="00FB193B"/>
    <w:rsid w:val="00FB1FBC"/>
    <w:rsid w:val="00FB27B7"/>
    <w:rsid w:val="00FB35E3"/>
    <w:rsid w:val="00FB4C98"/>
    <w:rsid w:val="00FB4CE3"/>
    <w:rsid w:val="00FB583C"/>
    <w:rsid w:val="00FB630E"/>
    <w:rsid w:val="00FB6738"/>
    <w:rsid w:val="00FB691B"/>
    <w:rsid w:val="00FB6BE6"/>
    <w:rsid w:val="00FB731C"/>
    <w:rsid w:val="00FB7628"/>
    <w:rsid w:val="00FC05A0"/>
    <w:rsid w:val="00FC0811"/>
    <w:rsid w:val="00FC09B3"/>
    <w:rsid w:val="00FC1196"/>
    <w:rsid w:val="00FC15EB"/>
    <w:rsid w:val="00FC162C"/>
    <w:rsid w:val="00FC18DC"/>
    <w:rsid w:val="00FC2477"/>
    <w:rsid w:val="00FC2AC4"/>
    <w:rsid w:val="00FC2F73"/>
    <w:rsid w:val="00FC3A9B"/>
    <w:rsid w:val="00FC3AE1"/>
    <w:rsid w:val="00FC3DFC"/>
    <w:rsid w:val="00FC3EF4"/>
    <w:rsid w:val="00FC431B"/>
    <w:rsid w:val="00FC434C"/>
    <w:rsid w:val="00FC472C"/>
    <w:rsid w:val="00FC4FDF"/>
    <w:rsid w:val="00FC5CF4"/>
    <w:rsid w:val="00FC5D64"/>
    <w:rsid w:val="00FC6A39"/>
    <w:rsid w:val="00FC6DB9"/>
    <w:rsid w:val="00FC76A9"/>
    <w:rsid w:val="00FC79AB"/>
    <w:rsid w:val="00FC7BE7"/>
    <w:rsid w:val="00FC7DAC"/>
    <w:rsid w:val="00FD005D"/>
    <w:rsid w:val="00FD0216"/>
    <w:rsid w:val="00FD04AE"/>
    <w:rsid w:val="00FD0DFA"/>
    <w:rsid w:val="00FD14C1"/>
    <w:rsid w:val="00FD1890"/>
    <w:rsid w:val="00FD1994"/>
    <w:rsid w:val="00FD3508"/>
    <w:rsid w:val="00FD393C"/>
    <w:rsid w:val="00FD3AFF"/>
    <w:rsid w:val="00FD43BB"/>
    <w:rsid w:val="00FD4AF3"/>
    <w:rsid w:val="00FD5443"/>
    <w:rsid w:val="00FD6675"/>
    <w:rsid w:val="00FD6DC5"/>
    <w:rsid w:val="00FD72B1"/>
    <w:rsid w:val="00FD798D"/>
    <w:rsid w:val="00FE141E"/>
    <w:rsid w:val="00FE144E"/>
    <w:rsid w:val="00FE1768"/>
    <w:rsid w:val="00FE1DD5"/>
    <w:rsid w:val="00FE24F4"/>
    <w:rsid w:val="00FE2560"/>
    <w:rsid w:val="00FE35D0"/>
    <w:rsid w:val="00FE42ED"/>
    <w:rsid w:val="00FE4E06"/>
    <w:rsid w:val="00FE55A7"/>
    <w:rsid w:val="00FE5C5A"/>
    <w:rsid w:val="00FE601E"/>
    <w:rsid w:val="00FE6432"/>
    <w:rsid w:val="00FE72A0"/>
    <w:rsid w:val="00FF0050"/>
    <w:rsid w:val="00FF045F"/>
    <w:rsid w:val="00FF13D4"/>
    <w:rsid w:val="00FF2053"/>
    <w:rsid w:val="00FF3B37"/>
    <w:rsid w:val="00FF3CC7"/>
    <w:rsid w:val="00FF3D6F"/>
    <w:rsid w:val="00FF441A"/>
    <w:rsid w:val="00FF4BD8"/>
    <w:rsid w:val="00FF4D11"/>
    <w:rsid w:val="00FF5214"/>
    <w:rsid w:val="00FF596E"/>
    <w:rsid w:val="00FF5B59"/>
    <w:rsid w:val="00FF5BFD"/>
    <w:rsid w:val="00FF6095"/>
    <w:rsid w:val="00FF62FE"/>
    <w:rsid w:val="00FF6553"/>
    <w:rsid w:val="00FF70BD"/>
    <w:rsid w:val="00FF7124"/>
    <w:rsid w:val="00FF7A39"/>
    <w:rsid w:val="3ABE7CBF"/>
    <w:rsid w:val="45AF08E1"/>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A54FC2"/>
    <w:pPr>
      <w:spacing w:after="0" w:line="240" w:lineRule="auto"/>
    </w:pPr>
    <w:rPr>
      <w:rFonts w:ascii="Times New Roman" w:hAnsi="Times New Roman" w:eastAsia="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hAnsi="Arial" w:eastAsia="Arial" w:cs="Arial"/>
      <w:b/>
      <w:bCs/>
      <w:sz w:val="22"/>
      <w:szCs w:val="22"/>
      <w:lang w:val="es-ES" w:eastAsia="en-US"/>
    </w:rPr>
  </w:style>
  <w:style w:type="paragraph" w:styleId="Ttulo2">
    <w:name w:val="heading 2"/>
    <w:basedOn w:val="Normal"/>
    <w:next w:val="Normal"/>
    <w:link w:val="Ttulo2Car"/>
    <w:uiPriority w:val="9"/>
    <w:semiHidden/>
    <w:unhideWhenUsed/>
    <w:qFormat/>
    <w:rsid w:val="00E84314"/>
    <w:pPr>
      <w:keepNext/>
      <w:keepLines/>
      <w:spacing w:before="40"/>
      <w:outlineLvl w:val="1"/>
    </w:pPr>
    <w:rPr>
      <w:rFonts w:asciiTheme="majorHAnsi" w:hAnsiTheme="majorHAnsi" w:eastAsiaTheme="majorEastAsia" w:cstheme="majorBidi"/>
      <w:color w:val="365F91" w:themeColor="accent1" w:themeShade="BF"/>
      <w:sz w:val="26"/>
      <w:szCs w:val="26"/>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hAnsiTheme="minorHAnsi" w:eastAsiaTheme="minorHAnsi" w:cstheme="minorBidi"/>
      <w:szCs w:val="22"/>
      <w:lang w:val="es-MX" w:eastAsia="en-US"/>
    </w:rPr>
  </w:style>
  <w:style w:type="character" w:styleId="PiedepginaCar" w:customStyle="1">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hAnsi="Tahoma" w:cs="Tahoma" w:eastAsiaTheme="minorHAnsi"/>
      <w:sz w:val="16"/>
      <w:szCs w:val="16"/>
      <w:lang w:val="es-MX" w:eastAsia="en-US"/>
    </w:rPr>
  </w:style>
  <w:style w:type="character" w:styleId="TextodegloboCar" w:customStyle="1">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hAnsiTheme="minorHAnsi" w:eastAsiaTheme="minorHAnsi" w:cstheme="minorBidi"/>
      <w:szCs w:val="22"/>
      <w:lang w:val="es-MX" w:eastAsia="en-US"/>
    </w:rPr>
  </w:style>
  <w:style w:type="character" w:styleId="EncabezadoCar" w:customStyle="1">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rPr>
      <w:rFonts w:asciiTheme="minorHAnsi" w:hAnsiTheme="minorHAnsi" w:eastAsia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semiHidden/>
    <w:unhideWhenUsed/>
    <w:rsid w:val="00DA5AB1"/>
    <w:rPr>
      <w:rFonts w:asciiTheme="minorHAnsi" w:hAnsiTheme="minorHAnsi" w:eastAsiaTheme="minorHAnsi" w:cstheme="minorBidi"/>
      <w:sz w:val="20"/>
      <w:szCs w:val="20"/>
      <w:lang w:val="es-MX" w:eastAsia="en-US"/>
    </w:rPr>
  </w:style>
  <w:style w:type="character" w:styleId="TextocomentarioCar" w:customStyle="1">
    <w:name w:val="Texto comentario Car"/>
    <w:basedOn w:val="Fuentedeprrafopredeter"/>
    <w:link w:val="Textocomentario"/>
    <w:uiPriority w:val="99"/>
    <w:semiHidden/>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styleId="AsuntodelcomentarioCar" w:customStyle="1">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hAnsiTheme="minorHAnsi" w:eastAsiaTheme="minorHAnsi" w:cstheme="minorBidi"/>
      <w:sz w:val="20"/>
      <w:szCs w:val="20"/>
      <w:lang w:val="es-MX" w:eastAsia="en-US"/>
    </w:rPr>
  </w:style>
  <w:style w:type="character" w:styleId="TextonotapieCar1" w:customStyle="1">
    <w:name w:val="Texto nota pie Car1"/>
    <w:basedOn w:val="Fuentedeprrafopredeter"/>
    <w:uiPriority w:val="99"/>
    <w:semiHidden/>
    <w:rsid w:val="007B0854"/>
    <w:rPr>
      <w:sz w:val="20"/>
      <w:szCs w:val="20"/>
      <w:lang w:val="es-MX"/>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styleId="Capitulo1" w:customStyle="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styleId="Tablaconcuadrcula1" w:customStyle="1">
    <w:name w:val="Tabla con cuadrícula1"/>
    <w:basedOn w:val="Tablanormal"/>
    <w:next w:val="Tablaconcuadrcula"/>
    <w:uiPriority w:val="59"/>
    <w:rsid w:val="00795647"/>
    <w:pPr>
      <w:spacing w:after="0" w:line="24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hAnsiTheme="minorHAnsi" w:eastAsiaTheme="minorEastAsia" w:cstheme="minorBidi"/>
      <w:sz w:val="22"/>
      <w:szCs w:val="22"/>
      <w:lang w:eastAsia="es-CO"/>
    </w:rPr>
  </w:style>
  <w:style w:type="character" w:styleId="TextoindependienteCar" w:customStyle="1">
    <w:name w:val="Texto independiente Car"/>
    <w:basedOn w:val="Fuentedeprrafopredeter"/>
    <w:link w:val="Textoindependiente"/>
    <w:uiPriority w:val="99"/>
    <w:rsid w:val="00F1108B"/>
    <w:rPr>
      <w:rFonts w:eastAsiaTheme="minorEastAsia"/>
      <w:lang w:eastAsia="es-CO"/>
    </w:rPr>
  </w:style>
  <w:style w:type="character" w:styleId="Mencinsinresolver1" w:customStyle="1">
    <w:name w:val="Mención sin resolver1"/>
    <w:basedOn w:val="Fuentedeprrafopredeter"/>
    <w:uiPriority w:val="99"/>
    <w:semiHidden/>
    <w:unhideWhenUsed/>
    <w:rsid w:val="00247712"/>
    <w:rPr>
      <w:color w:val="605E5C"/>
      <w:shd w:val="clear" w:color="auto" w:fill="E1DFDD"/>
    </w:rPr>
  </w:style>
  <w:style w:type="character" w:styleId="Mencinsinresolver2" w:customStyle="1">
    <w:name w:val="Mención sin resolver2"/>
    <w:basedOn w:val="Fuentedeprrafopredeter"/>
    <w:uiPriority w:val="99"/>
    <w:semiHidden/>
    <w:unhideWhenUsed/>
    <w:rsid w:val="00717ACB"/>
    <w:rPr>
      <w:color w:val="605E5C"/>
      <w:shd w:val="clear" w:color="auto" w:fill="E1DFDD"/>
    </w:rPr>
  </w:style>
  <w:style w:type="character" w:styleId="Mencinsinresolver">
    <w:name w:val="Unresolved Mention"/>
    <w:basedOn w:val="Fuentedeprrafopredeter"/>
    <w:uiPriority w:val="99"/>
    <w:rsid w:val="00517CFB"/>
    <w:rPr>
      <w:color w:val="605E5C"/>
      <w:shd w:val="clear" w:color="auto" w:fill="E1DFDD"/>
    </w:rPr>
  </w:style>
  <w:style w:type="paragraph" w:styleId="Default" w:customStyle="1">
    <w:name w:val="Default"/>
    <w:rsid w:val="008919CF"/>
    <w:pPr>
      <w:autoSpaceDE w:val="0"/>
      <w:autoSpaceDN w:val="0"/>
      <w:adjustRightInd w:val="0"/>
      <w:spacing w:after="0" w:line="240" w:lineRule="auto"/>
    </w:pPr>
    <w:rPr>
      <w:rFonts w:ascii="Arial" w:hAnsi="Arial" w:cs="Arial"/>
      <w:color w:val="000000"/>
      <w:sz w:val="24"/>
      <w:szCs w:val="24"/>
    </w:rPr>
  </w:style>
  <w:style w:type="paragraph" w:styleId="paragraph" w:customStyle="1">
    <w:name w:val="paragraph"/>
    <w:basedOn w:val="Normal"/>
    <w:rsid w:val="00DD5B04"/>
    <w:pPr>
      <w:spacing w:before="100" w:beforeAutospacing="1" w:after="100" w:afterAutospacing="1"/>
    </w:pPr>
    <w:rPr>
      <w:lang w:eastAsia="es-CO"/>
    </w:rPr>
  </w:style>
  <w:style w:type="character" w:styleId="textrun" w:customStyle="1">
    <w:name w:val="textrun"/>
    <w:basedOn w:val="Fuentedeprrafopredeter"/>
    <w:rsid w:val="00DD5B04"/>
  </w:style>
  <w:style w:type="character" w:styleId="normaltextrun" w:customStyle="1">
    <w:name w:val="normaltextrun"/>
    <w:basedOn w:val="Fuentedeprrafopredeter"/>
    <w:rsid w:val="00DD5B04"/>
  </w:style>
  <w:style w:type="character" w:styleId="eop" w:customStyle="1">
    <w:name w:val="eop"/>
    <w:basedOn w:val="Fuentedeprrafopredeter"/>
    <w:rsid w:val="00DD5B04"/>
  </w:style>
  <w:style w:type="character" w:styleId="spellingerror" w:customStyle="1">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styleId="Ttulo1Car" w:customStyle="1">
    <w:name w:val="Título 1 Car"/>
    <w:basedOn w:val="Fuentedeprrafopredeter"/>
    <w:link w:val="Ttulo1"/>
    <w:uiPriority w:val="1"/>
    <w:rsid w:val="006D712D"/>
    <w:rPr>
      <w:rFonts w:ascii="Arial" w:hAnsi="Arial" w:eastAsia="Arial" w:cs="Arial"/>
      <w:b/>
      <w:bCs/>
      <w:lang w:val="es-ES"/>
    </w:rPr>
  </w:style>
  <w:style w:type="paragraph" w:styleId="Appelnotedebasde" w:customStyle="1">
    <w:name w:val="Appel note de bas de..."/>
    <w:basedOn w:val="Normal"/>
    <w:link w:val="Refdenotaalpie"/>
    <w:uiPriority w:val="99"/>
    <w:rsid w:val="00477C5F"/>
    <w:pPr>
      <w:spacing w:after="160" w:line="240" w:lineRule="exact"/>
    </w:pPr>
    <w:rPr>
      <w:rFonts w:asciiTheme="minorHAnsi" w:hAnsiTheme="minorHAnsi" w:eastAsia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hAnsiTheme="minorHAnsi" w:eastAsiaTheme="minorHAnsi" w:cstheme="minorBidi"/>
      <w:szCs w:val="22"/>
      <w:lang w:val="es-MX" w:eastAsia="en-US"/>
    </w:rPr>
  </w:style>
  <w:style w:type="character" w:styleId="SangradetextonormalCar" w:customStyle="1">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styleId="NormalWebCar" w:customStyle="1">
    <w:name w:val="Normal (Web) Car"/>
    <w:link w:val="NormalWeb"/>
    <w:uiPriority w:val="99"/>
    <w:rsid w:val="00F3570C"/>
    <w:rPr>
      <w:rFonts w:ascii="Times New Roman" w:hAnsi="Times New Roman" w:eastAsia="Times New Roman" w:cs="Times New Roman"/>
      <w:sz w:val="24"/>
      <w:szCs w:val="24"/>
      <w:lang w:eastAsia="es-CO"/>
    </w:rPr>
  </w:style>
  <w:style w:type="character" w:styleId="baj" w:customStyle="1">
    <w:name w:val="b_aj"/>
    <w:basedOn w:val="Fuentedeprrafopredeter"/>
    <w:rsid w:val="00470D73"/>
  </w:style>
  <w:style w:type="character" w:styleId="Ttulo2Car" w:customStyle="1">
    <w:name w:val="Título 2 Car"/>
    <w:basedOn w:val="Fuentedeprrafopredeter"/>
    <w:link w:val="Ttulo2"/>
    <w:uiPriority w:val="9"/>
    <w:semiHidden/>
    <w:rsid w:val="00E84314"/>
    <w:rPr>
      <w:rFonts w:asciiTheme="majorHAnsi" w:hAnsiTheme="majorHAnsi" w:eastAsiaTheme="majorEastAsia" w:cstheme="majorBidi"/>
      <w:color w:val="365F91" w:themeColor="accent1" w:themeShade="BF"/>
      <w:sz w:val="26"/>
      <w:szCs w:val="26"/>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144344">
      <w:bodyDiv w:val="1"/>
      <w:marLeft w:val="0"/>
      <w:marRight w:val="0"/>
      <w:marTop w:val="0"/>
      <w:marBottom w:val="0"/>
      <w:divBdr>
        <w:top w:val="none" w:sz="0" w:space="0" w:color="auto"/>
        <w:left w:val="none" w:sz="0" w:space="0" w:color="auto"/>
        <w:bottom w:val="none" w:sz="0" w:space="0" w:color="auto"/>
        <w:right w:val="none" w:sz="0" w:space="0" w:color="auto"/>
      </w:divBdr>
      <w:divsChild>
        <w:div w:id="1610551597">
          <w:marLeft w:val="0"/>
          <w:marRight w:val="0"/>
          <w:marTop w:val="0"/>
          <w:marBottom w:val="0"/>
          <w:divBdr>
            <w:top w:val="none" w:sz="0" w:space="0" w:color="auto"/>
            <w:left w:val="none" w:sz="0" w:space="0" w:color="auto"/>
            <w:bottom w:val="none" w:sz="0" w:space="0" w:color="auto"/>
            <w:right w:val="none" w:sz="0" w:space="0" w:color="auto"/>
          </w:divBdr>
          <w:divsChild>
            <w:div w:id="2038459412">
              <w:marLeft w:val="0"/>
              <w:marRight w:val="0"/>
              <w:marTop w:val="0"/>
              <w:marBottom w:val="0"/>
              <w:divBdr>
                <w:top w:val="none" w:sz="0" w:space="0" w:color="auto"/>
                <w:left w:val="none" w:sz="0" w:space="0" w:color="auto"/>
                <w:bottom w:val="none" w:sz="0" w:space="0" w:color="auto"/>
                <w:right w:val="none" w:sz="0" w:space="0" w:color="auto"/>
              </w:divBdr>
              <w:divsChild>
                <w:div w:id="20606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48305046">
      <w:bodyDiv w:val="1"/>
      <w:marLeft w:val="0"/>
      <w:marRight w:val="0"/>
      <w:marTop w:val="0"/>
      <w:marBottom w:val="0"/>
      <w:divBdr>
        <w:top w:val="none" w:sz="0" w:space="0" w:color="auto"/>
        <w:left w:val="none" w:sz="0" w:space="0" w:color="auto"/>
        <w:bottom w:val="none" w:sz="0" w:space="0" w:color="auto"/>
        <w:right w:val="none" w:sz="0" w:space="0" w:color="auto"/>
      </w:divBdr>
      <w:divsChild>
        <w:div w:id="262299518">
          <w:marLeft w:val="0"/>
          <w:marRight w:val="0"/>
          <w:marTop w:val="0"/>
          <w:marBottom w:val="0"/>
          <w:divBdr>
            <w:top w:val="none" w:sz="0" w:space="0" w:color="auto"/>
            <w:left w:val="none" w:sz="0" w:space="0" w:color="auto"/>
            <w:bottom w:val="none" w:sz="0" w:space="0" w:color="auto"/>
            <w:right w:val="none" w:sz="0" w:space="0" w:color="auto"/>
          </w:divBdr>
          <w:divsChild>
            <w:div w:id="1744986443">
              <w:marLeft w:val="0"/>
              <w:marRight w:val="0"/>
              <w:marTop w:val="0"/>
              <w:marBottom w:val="0"/>
              <w:divBdr>
                <w:top w:val="none" w:sz="0" w:space="0" w:color="auto"/>
                <w:left w:val="none" w:sz="0" w:space="0" w:color="auto"/>
                <w:bottom w:val="none" w:sz="0" w:space="0" w:color="auto"/>
                <w:right w:val="none" w:sz="0" w:space="0" w:color="auto"/>
              </w:divBdr>
              <w:divsChild>
                <w:div w:id="195724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5637734">
      <w:bodyDiv w:val="1"/>
      <w:marLeft w:val="0"/>
      <w:marRight w:val="0"/>
      <w:marTop w:val="0"/>
      <w:marBottom w:val="0"/>
      <w:divBdr>
        <w:top w:val="none" w:sz="0" w:space="0" w:color="auto"/>
        <w:left w:val="none" w:sz="0" w:space="0" w:color="auto"/>
        <w:bottom w:val="none" w:sz="0" w:space="0" w:color="auto"/>
        <w:right w:val="none" w:sz="0" w:space="0" w:color="auto"/>
      </w:divBdr>
      <w:divsChild>
        <w:div w:id="2103181439">
          <w:marLeft w:val="0"/>
          <w:marRight w:val="0"/>
          <w:marTop w:val="0"/>
          <w:marBottom w:val="0"/>
          <w:divBdr>
            <w:top w:val="none" w:sz="0" w:space="0" w:color="auto"/>
            <w:left w:val="none" w:sz="0" w:space="0" w:color="auto"/>
            <w:bottom w:val="none" w:sz="0" w:space="0" w:color="auto"/>
            <w:right w:val="none" w:sz="0" w:space="0" w:color="auto"/>
          </w:divBdr>
          <w:divsChild>
            <w:div w:id="2070616539">
              <w:marLeft w:val="0"/>
              <w:marRight w:val="0"/>
              <w:marTop w:val="0"/>
              <w:marBottom w:val="0"/>
              <w:divBdr>
                <w:top w:val="none" w:sz="0" w:space="0" w:color="auto"/>
                <w:left w:val="none" w:sz="0" w:space="0" w:color="auto"/>
                <w:bottom w:val="none" w:sz="0" w:space="0" w:color="auto"/>
                <w:right w:val="none" w:sz="0" w:space="0" w:color="auto"/>
              </w:divBdr>
              <w:divsChild>
                <w:div w:id="758605140">
                  <w:marLeft w:val="0"/>
                  <w:marRight w:val="0"/>
                  <w:marTop w:val="0"/>
                  <w:marBottom w:val="0"/>
                  <w:divBdr>
                    <w:top w:val="none" w:sz="0" w:space="0" w:color="auto"/>
                    <w:left w:val="none" w:sz="0" w:space="0" w:color="auto"/>
                    <w:bottom w:val="none" w:sz="0" w:space="0" w:color="auto"/>
                    <w:right w:val="none" w:sz="0" w:space="0" w:color="auto"/>
                  </w:divBdr>
                  <w:divsChild>
                    <w:div w:id="184531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79496941">
      <w:bodyDiv w:val="1"/>
      <w:marLeft w:val="0"/>
      <w:marRight w:val="0"/>
      <w:marTop w:val="0"/>
      <w:marBottom w:val="0"/>
      <w:divBdr>
        <w:top w:val="none" w:sz="0" w:space="0" w:color="auto"/>
        <w:left w:val="none" w:sz="0" w:space="0" w:color="auto"/>
        <w:bottom w:val="none" w:sz="0" w:space="0" w:color="auto"/>
        <w:right w:val="none" w:sz="0" w:space="0" w:color="auto"/>
      </w:divBdr>
      <w:divsChild>
        <w:div w:id="689528428">
          <w:marLeft w:val="0"/>
          <w:marRight w:val="0"/>
          <w:marTop w:val="0"/>
          <w:marBottom w:val="0"/>
          <w:divBdr>
            <w:top w:val="none" w:sz="0" w:space="0" w:color="auto"/>
            <w:left w:val="none" w:sz="0" w:space="0" w:color="auto"/>
            <w:bottom w:val="none" w:sz="0" w:space="0" w:color="auto"/>
            <w:right w:val="none" w:sz="0" w:space="0" w:color="auto"/>
          </w:divBdr>
          <w:divsChild>
            <w:div w:id="23706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37725">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94449001">
      <w:bodyDiv w:val="1"/>
      <w:marLeft w:val="0"/>
      <w:marRight w:val="0"/>
      <w:marTop w:val="0"/>
      <w:marBottom w:val="0"/>
      <w:divBdr>
        <w:top w:val="none" w:sz="0" w:space="0" w:color="auto"/>
        <w:left w:val="none" w:sz="0" w:space="0" w:color="auto"/>
        <w:bottom w:val="none" w:sz="0" w:space="0" w:color="auto"/>
        <w:right w:val="none" w:sz="0" w:space="0" w:color="auto"/>
      </w:divBdr>
    </w:div>
    <w:div w:id="94985693">
      <w:bodyDiv w:val="1"/>
      <w:marLeft w:val="0"/>
      <w:marRight w:val="0"/>
      <w:marTop w:val="0"/>
      <w:marBottom w:val="0"/>
      <w:divBdr>
        <w:top w:val="none" w:sz="0" w:space="0" w:color="auto"/>
        <w:left w:val="none" w:sz="0" w:space="0" w:color="auto"/>
        <w:bottom w:val="none" w:sz="0" w:space="0" w:color="auto"/>
        <w:right w:val="none" w:sz="0" w:space="0" w:color="auto"/>
      </w:divBdr>
    </w:div>
    <w:div w:id="107547962">
      <w:bodyDiv w:val="1"/>
      <w:marLeft w:val="0"/>
      <w:marRight w:val="0"/>
      <w:marTop w:val="0"/>
      <w:marBottom w:val="0"/>
      <w:divBdr>
        <w:top w:val="none" w:sz="0" w:space="0" w:color="auto"/>
        <w:left w:val="none" w:sz="0" w:space="0" w:color="auto"/>
        <w:bottom w:val="none" w:sz="0" w:space="0" w:color="auto"/>
        <w:right w:val="none" w:sz="0" w:space="0" w:color="auto"/>
      </w:divBdr>
    </w:div>
    <w:div w:id="122775619">
      <w:bodyDiv w:val="1"/>
      <w:marLeft w:val="0"/>
      <w:marRight w:val="0"/>
      <w:marTop w:val="0"/>
      <w:marBottom w:val="0"/>
      <w:divBdr>
        <w:top w:val="none" w:sz="0" w:space="0" w:color="auto"/>
        <w:left w:val="none" w:sz="0" w:space="0" w:color="auto"/>
        <w:bottom w:val="none" w:sz="0" w:space="0" w:color="auto"/>
        <w:right w:val="none" w:sz="0" w:space="0" w:color="auto"/>
      </w:divBdr>
      <w:divsChild>
        <w:div w:id="2062821963">
          <w:marLeft w:val="0"/>
          <w:marRight w:val="0"/>
          <w:marTop w:val="0"/>
          <w:marBottom w:val="0"/>
          <w:divBdr>
            <w:top w:val="none" w:sz="0" w:space="0" w:color="auto"/>
            <w:left w:val="none" w:sz="0" w:space="0" w:color="auto"/>
            <w:bottom w:val="none" w:sz="0" w:space="0" w:color="auto"/>
            <w:right w:val="none" w:sz="0" w:space="0" w:color="auto"/>
          </w:divBdr>
        </w:div>
      </w:divsChild>
    </w:div>
    <w:div w:id="129980973">
      <w:bodyDiv w:val="1"/>
      <w:marLeft w:val="0"/>
      <w:marRight w:val="0"/>
      <w:marTop w:val="0"/>
      <w:marBottom w:val="0"/>
      <w:divBdr>
        <w:top w:val="none" w:sz="0" w:space="0" w:color="auto"/>
        <w:left w:val="none" w:sz="0" w:space="0" w:color="auto"/>
        <w:bottom w:val="none" w:sz="0" w:space="0" w:color="auto"/>
        <w:right w:val="none" w:sz="0" w:space="0" w:color="auto"/>
      </w:divBdr>
      <w:divsChild>
        <w:div w:id="522939710">
          <w:marLeft w:val="0"/>
          <w:marRight w:val="0"/>
          <w:marTop w:val="0"/>
          <w:marBottom w:val="0"/>
          <w:divBdr>
            <w:top w:val="none" w:sz="0" w:space="0" w:color="auto"/>
            <w:left w:val="none" w:sz="0" w:space="0" w:color="auto"/>
            <w:bottom w:val="none" w:sz="0" w:space="0" w:color="auto"/>
            <w:right w:val="none" w:sz="0" w:space="0" w:color="auto"/>
          </w:divBdr>
          <w:divsChild>
            <w:div w:id="1560894338">
              <w:marLeft w:val="0"/>
              <w:marRight w:val="0"/>
              <w:marTop w:val="0"/>
              <w:marBottom w:val="0"/>
              <w:divBdr>
                <w:top w:val="none" w:sz="0" w:space="0" w:color="auto"/>
                <w:left w:val="none" w:sz="0" w:space="0" w:color="auto"/>
                <w:bottom w:val="none" w:sz="0" w:space="0" w:color="auto"/>
                <w:right w:val="none" w:sz="0" w:space="0" w:color="auto"/>
              </w:divBdr>
              <w:divsChild>
                <w:div w:id="11083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90619">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54615700">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69032022">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056181">
      <w:bodyDiv w:val="1"/>
      <w:marLeft w:val="0"/>
      <w:marRight w:val="0"/>
      <w:marTop w:val="0"/>
      <w:marBottom w:val="0"/>
      <w:divBdr>
        <w:top w:val="none" w:sz="0" w:space="0" w:color="auto"/>
        <w:left w:val="none" w:sz="0" w:space="0" w:color="auto"/>
        <w:bottom w:val="none" w:sz="0" w:space="0" w:color="auto"/>
        <w:right w:val="none" w:sz="0" w:space="0" w:color="auto"/>
      </w:divBdr>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58679361">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68775389">
      <w:bodyDiv w:val="1"/>
      <w:marLeft w:val="0"/>
      <w:marRight w:val="0"/>
      <w:marTop w:val="0"/>
      <w:marBottom w:val="0"/>
      <w:divBdr>
        <w:top w:val="none" w:sz="0" w:space="0" w:color="auto"/>
        <w:left w:val="none" w:sz="0" w:space="0" w:color="auto"/>
        <w:bottom w:val="none" w:sz="0" w:space="0" w:color="auto"/>
        <w:right w:val="none" w:sz="0" w:space="0" w:color="auto"/>
      </w:divBdr>
      <w:divsChild>
        <w:div w:id="1940679825">
          <w:marLeft w:val="0"/>
          <w:marRight w:val="0"/>
          <w:marTop w:val="0"/>
          <w:marBottom w:val="0"/>
          <w:divBdr>
            <w:top w:val="none" w:sz="0" w:space="0" w:color="auto"/>
            <w:left w:val="none" w:sz="0" w:space="0" w:color="auto"/>
            <w:bottom w:val="none" w:sz="0" w:space="0" w:color="auto"/>
            <w:right w:val="none" w:sz="0" w:space="0" w:color="auto"/>
          </w:divBdr>
          <w:divsChild>
            <w:div w:id="1033657070">
              <w:marLeft w:val="0"/>
              <w:marRight w:val="0"/>
              <w:marTop w:val="0"/>
              <w:marBottom w:val="0"/>
              <w:divBdr>
                <w:top w:val="none" w:sz="0" w:space="0" w:color="auto"/>
                <w:left w:val="none" w:sz="0" w:space="0" w:color="auto"/>
                <w:bottom w:val="none" w:sz="0" w:space="0" w:color="auto"/>
                <w:right w:val="none" w:sz="0" w:space="0" w:color="auto"/>
              </w:divBdr>
              <w:divsChild>
                <w:div w:id="188567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88053694">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0133555">
      <w:bodyDiv w:val="1"/>
      <w:marLeft w:val="0"/>
      <w:marRight w:val="0"/>
      <w:marTop w:val="0"/>
      <w:marBottom w:val="0"/>
      <w:divBdr>
        <w:top w:val="none" w:sz="0" w:space="0" w:color="auto"/>
        <w:left w:val="none" w:sz="0" w:space="0" w:color="auto"/>
        <w:bottom w:val="none" w:sz="0" w:space="0" w:color="auto"/>
        <w:right w:val="none" w:sz="0" w:space="0" w:color="auto"/>
      </w:divBdr>
    </w:div>
    <w:div w:id="310521259">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14844853">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1881237">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39620751">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48802467">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15446229">
      <w:bodyDiv w:val="1"/>
      <w:marLeft w:val="0"/>
      <w:marRight w:val="0"/>
      <w:marTop w:val="0"/>
      <w:marBottom w:val="0"/>
      <w:divBdr>
        <w:top w:val="none" w:sz="0" w:space="0" w:color="auto"/>
        <w:left w:val="none" w:sz="0" w:space="0" w:color="auto"/>
        <w:bottom w:val="none" w:sz="0" w:space="0" w:color="auto"/>
        <w:right w:val="none" w:sz="0" w:space="0" w:color="auto"/>
      </w:divBdr>
      <w:divsChild>
        <w:div w:id="1042360156">
          <w:marLeft w:val="0"/>
          <w:marRight w:val="0"/>
          <w:marTop w:val="0"/>
          <w:marBottom w:val="0"/>
          <w:divBdr>
            <w:top w:val="none" w:sz="0" w:space="0" w:color="auto"/>
            <w:left w:val="none" w:sz="0" w:space="0" w:color="auto"/>
            <w:bottom w:val="none" w:sz="0" w:space="0" w:color="auto"/>
            <w:right w:val="none" w:sz="0" w:space="0" w:color="auto"/>
          </w:divBdr>
          <w:divsChild>
            <w:div w:id="469910124">
              <w:marLeft w:val="0"/>
              <w:marRight w:val="0"/>
              <w:marTop w:val="0"/>
              <w:marBottom w:val="0"/>
              <w:divBdr>
                <w:top w:val="none" w:sz="0" w:space="0" w:color="auto"/>
                <w:left w:val="none" w:sz="0" w:space="0" w:color="auto"/>
                <w:bottom w:val="none" w:sz="0" w:space="0" w:color="auto"/>
                <w:right w:val="none" w:sz="0" w:space="0" w:color="auto"/>
              </w:divBdr>
              <w:divsChild>
                <w:div w:id="1034884912">
                  <w:marLeft w:val="0"/>
                  <w:marRight w:val="0"/>
                  <w:marTop w:val="0"/>
                  <w:marBottom w:val="0"/>
                  <w:divBdr>
                    <w:top w:val="none" w:sz="0" w:space="0" w:color="auto"/>
                    <w:left w:val="none" w:sz="0" w:space="0" w:color="auto"/>
                    <w:bottom w:val="none" w:sz="0" w:space="0" w:color="auto"/>
                    <w:right w:val="none" w:sz="0" w:space="0" w:color="auto"/>
                  </w:divBdr>
                  <w:divsChild>
                    <w:div w:id="172166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61339907">
      <w:bodyDiv w:val="1"/>
      <w:marLeft w:val="0"/>
      <w:marRight w:val="0"/>
      <w:marTop w:val="0"/>
      <w:marBottom w:val="0"/>
      <w:divBdr>
        <w:top w:val="none" w:sz="0" w:space="0" w:color="auto"/>
        <w:left w:val="none" w:sz="0" w:space="0" w:color="auto"/>
        <w:bottom w:val="none" w:sz="0" w:space="0" w:color="auto"/>
        <w:right w:val="none" w:sz="0" w:space="0" w:color="auto"/>
      </w:divBdr>
      <w:divsChild>
        <w:div w:id="1982536059">
          <w:marLeft w:val="0"/>
          <w:marRight w:val="0"/>
          <w:marTop w:val="0"/>
          <w:marBottom w:val="0"/>
          <w:divBdr>
            <w:top w:val="none" w:sz="0" w:space="0" w:color="auto"/>
            <w:left w:val="none" w:sz="0" w:space="0" w:color="auto"/>
            <w:bottom w:val="none" w:sz="0" w:space="0" w:color="auto"/>
            <w:right w:val="none" w:sz="0" w:space="0" w:color="auto"/>
          </w:divBdr>
          <w:divsChild>
            <w:div w:id="2022706307">
              <w:marLeft w:val="0"/>
              <w:marRight w:val="0"/>
              <w:marTop w:val="0"/>
              <w:marBottom w:val="0"/>
              <w:divBdr>
                <w:top w:val="none" w:sz="0" w:space="0" w:color="auto"/>
                <w:left w:val="none" w:sz="0" w:space="0" w:color="auto"/>
                <w:bottom w:val="none" w:sz="0" w:space="0" w:color="auto"/>
                <w:right w:val="none" w:sz="0" w:space="0" w:color="auto"/>
              </w:divBdr>
              <w:divsChild>
                <w:div w:id="894196165">
                  <w:marLeft w:val="0"/>
                  <w:marRight w:val="0"/>
                  <w:marTop w:val="0"/>
                  <w:marBottom w:val="0"/>
                  <w:divBdr>
                    <w:top w:val="none" w:sz="0" w:space="0" w:color="auto"/>
                    <w:left w:val="none" w:sz="0" w:space="0" w:color="auto"/>
                    <w:bottom w:val="none" w:sz="0" w:space="0" w:color="auto"/>
                    <w:right w:val="none" w:sz="0" w:space="0" w:color="auto"/>
                  </w:divBdr>
                  <w:divsChild>
                    <w:div w:id="380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74681217">
      <w:bodyDiv w:val="1"/>
      <w:marLeft w:val="0"/>
      <w:marRight w:val="0"/>
      <w:marTop w:val="0"/>
      <w:marBottom w:val="0"/>
      <w:divBdr>
        <w:top w:val="none" w:sz="0" w:space="0" w:color="auto"/>
        <w:left w:val="none" w:sz="0" w:space="0" w:color="auto"/>
        <w:bottom w:val="none" w:sz="0" w:space="0" w:color="auto"/>
        <w:right w:val="none" w:sz="0" w:space="0" w:color="auto"/>
      </w:divBdr>
    </w:div>
    <w:div w:id="478150842">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488137663">
      <w:bodyDiv w:val="1"/>
      <w:marLeft w:val="0"/>
      <w:marRight w:val="0"/>
      <w:marTop w:val="0"/>
      <w:marBottom w:val="0"/>
      <w:divBdr>
        <w:top w:val="none" w:sz="0" w:space="0" w:color="auto"/>
        <w:left w:val="none" w:sz="0" w:space="0" w:color="auto"/>
        <w:bottom w:val="none" w:sz="0" w:space="0" w:color="auto"/>
        <w:right w:val="none" w:sz="0" w:space="0" w:color="auto"/>
      </w:divBdr>
      <w:divsChild>
        <w:div w:id="173151323">
          <w:marLeft w:val="0"/>
          <w:marRight w:val="0"/>
          <w:marTop w:val="0"/>
          <w:marBottom w:val="0"/>
          <w:divBdr>
            <w:top w:val="none" w:sz="0" w:space="0" w:color="auto"/>
            <w:left w:val="none" w:sz="0" w:space="0" w:color="auto"/>
            <w:bottom w:val="none" w:sz="0" w:space="0" w:color="auto"/>
            <w:right w:val="none" w:sz="0" w:space="0" w:color="auto"/>
          </w:divBdr>
          <w:divsChild>
            <w:div w:id="1997612402">
              <w:marLeft w:val="0"/>
              <w:marRight w:val="0"/>
              <w:marTop w:val="0"/>
              <w:marBottom w:val="0"/>
              <w:divBdr>
                <w:top w:val="none" w:sz="0" w:space="0" w:color="auto"/>
                <w:left w:val="none" w:sz="0" w:space="0" w:color="auto"/>
                <w:bottom w:val="none" w:sz="0" w:space="0" w:color="auto"/>
                <w:right w:val="none" w:sz="0" w:space="0" w:color="auto"/>
              </w:divBdr>
              <w:divsChild>
                <w:div w:id="149606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5819">
          <w:marLeft w:val="0"/>
          <w:marRight w:val="0"/>
          <w:marTop w:val="0"/>
          <w:marBottom w:val="0"/>
          <w:divBdr>
            <w:top w:val="none" w:sz="0" w:space="0" w:color="auto"/>
            <w:left w:val="none" w:sz="0" w:space="0" w:color="auto"/>
            <w:bottom w:val="none" w:sz="0" w:space="0" w:color="auto"/>
            <w:right w:val="none" w:sz="0" w:space="0" w:color="auto"/>
          </w:divBdr>
          <w:divsChild>
            <w:div w:id="526329996">
              <w:marLeft w:val="0"/>
              <w:marRight w:val="0"/>
              <w:marTop w:val="0"/>
              <w:marBottom w:val="0"/>
              <w:divBdr>
                <w:top w:val="none" w:sz="0" w:space="0" w:color="auto"/>
                <w:left w:val="none" w:sz="0" w:space="0" w:color="auto"/>
                <w:bottom w:val="none" w:sz="0" w:space="0" w:color="auto"/>
                <w:right w:val="none" w:sz="0" w:space="0" w:color="auto"/>
              </w:divBdr>
              <w:divsChild>
                <w:div w:id="5277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4751">
          <w:marLeft w:val="0"/>
          <w:marRight w:val="0"/>
          <w:marTop w:val="0"/>
          <w:marBottom w:val="0"/>
          <w:divBdr>
            <w:top w:val="none" w:sz="0" w:space="0" w:color="auto"/>
            <w:left w:val="none" w:sz="0" w:space="0" w:color="auto"/>
            <w:bottom w:val="none" w:sz="0" w:space="0" w:color="auto"/>
            <w:right w:val="none" w:sz="0" w:space="0" w:color="auto"/>
          </w:divBdr>
          <w:divsChild>
            <w:div w:id="1757092539">
              <w:marLeft w:val="0"/>
              <w:marRight w:val="0"/>
              <w:marTop w:val="0"/>
              <w:marBottom w:val="0"/>
              <w:divBdr>
                <w:top w:val="none" w:sz="0" w:space="0" w:color="auto"/>
                <w:left w:val="none" w:sz="0" w:space="0" w:color="auto"/>
                <w:bottom w:val="none" w:sz="0" w:space="0" w:color="auto"/>
                <w:right w:val="none" w:sz="0" w:space="0" w:color="auto"/>
              </w:divBdr>
              <w:divsChild>
                <w:div w:id="90591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641010">
      <w:bodyDiv w:val="1"/>
      <w:marLeft w:val="0"/>
      <w:marRight w:val="0"/>
      <w:marTop w:val="0"/>
      <w:marBottom w:val="0"/>
      <w:divBdr>
        <w:top w:val="none" w:sz="0" w:space="0" w:color="auto"/>
        <w:left w:val="none" w:sz="0" w:space="0" w:color="auto"/>
        <w:bottom w:val="none" w:sz="0" w:space="0" w:color="auto"/>
        <w:right w:val="none" w:sz="0" w:space="0" w:color="auto"/>
      </w:divBdr>
      <w:divsChild>
        <w:div w:id="2075425971">
          <w:marLeft w:val="0"/>
          <w:marRight w:val="0"/>
          <w:marTop w:val="0"/>
          <w:marBottom w:val="0"/>
          <w:divBdr>
            <w:top w:val="none" w:sz="0" w:space="0" w:color="auto"/>
            <w:left w:val="none" w:sz="0" w:space="0" w:color="auto"/>
            <w:bottom w:val="none" w:sz="0" w:space="0" w:color="auto"/>
            <w:right w:val="none" w:sz="0" w:space="0" w:color="auto"/>
          </w:divBdr>
          <w:divsChild>
            <w:div w:id="205337403">
              <w:marLeft w:val="0"/>
              <w:marRight w:val="0"/>
              <w:marTop w:val="0"/>
              <w:marBottom w:val="0"/>
              <w:divBdr>
                <w:top w:val="none" w:sz="0" w:space="0" w:color="auto"/>
                <w:left w:val="none" w:sz="0" w:space="0" w:color="auto"/>
                <w:bottom w:val="none" w:sz="0" w:space="0" w:color="auto"/>
                <w:right w:val="none" w:sz="0" w:space="0" w:color="auto"/>
              </w:divBdr>
              <w:divsChild>
                <w:div w:id="1457597653">
                  <w:marLeft w:val="0"/>
                  <w:marRight w:val="0"/>
                  <w:marTop w:val="0"/>
                  <w:marBottom w:val="0"/>
                  <w:divBdr>
                    <w:top w:val="none" w:sz="0" w:space="0" w:color="auto"/>
                    <w:left w:val="none" w:sz="0" w:space="0" w:color="auto"/>
                    <w:bottom w:val="none" w:sz="0" w:space="0" w:color="auto"/>
                    <w:right w:val="none" w:sz="0" w:space="0" w:color="auto"/>
                  </w:divBdr>
                  <w:divsChild>
                    <w:div w:id="145216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274498">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12846565">
      <w:bodyDiv w:val="1"/>
      <w:marLeft w:val="0"/>
      <w:marRight w:val="0"/>
      <w:marTop w:val="0"/>
      <w:marBottom w:val="0"/>
      <w:divBdr>
        <w:top w:val="none" w:sz="0" w:space="0" w:color="auto"/>
        <w:left w:val="none" w:sz="0" w:space="0" w:color="auto"/>
        <w:bottom w:val="none" w:sz="0" w:space="0" w:color="auto"/>
        <w:right w:val="none" w:sz="0" w:space="0" w:color="auto"/>
      </w:divBdr>
    </w:div>
    <w:div w:id="512959422">
      <w:bodyDiv w:val="1"/>
      <w:marLeft w:val="0"/>
      <w:marRight w:val="0"/>
      <w:marTop w:val="0"/>
      <w:marBottom w:val="0"/>
      <w:divBdr>
        <w:top w:val="none" w:sz="0" w:space="0" w:color="auto"/>
        <w:left w:val="none" w:sz="0" w:space="0" w:color="auto"/>
        <w:bottom w:val="none" w:sz="0" w:space="0" w:color="auto"/>
        <w:right w:val="none" w:sz="0" w:space="0" w:color="auto"/>
      </w:divBdr>
    </w:div>
    <w:div w:id="519860012">
      <w:bodyDiv w:val="1"/>
      <w:marLeft w:val="0"/>
      <w:marRight w:val="0"/>
      <w:marTop w:val="0"/>
      <w:marBottom w:val="0"/>
      <w:divBdr>
        <w:top w:val="none" w:sz="0" w:space="0" w:color="auto"/>
        <w:left w:val="none" w:sz="0" w:space="0" w:color="auto"/>
        <w:bottom w:val="none" w:sz="0" w:space="0" w:color="auto"/>
        <w:right w:val="none" w:sz="0" w:space="0" w:color="auto"/>
      </w:divBdr>
      <w:divsChild>
        <w:div w:id="935869752">
          <w:marLeft w:val="0"/>
          <w:marRight w:val="0"/>
          <w:marTop w:val="0"/>
          <w:marBottom w:val="0"/>
          <w:divBdr>
            <w:top w:val="none" w:sz="0" w:space="0" w:color="auto"/>
            <w:left w:val="none" w:sz="0" w:space="0" w:color="auto"/>
            <w:bottom w:val="none" w:sz="0" w:space="0" w:color="auto"/>
            <w:right w:val="none" w:sz="0" w:space="0" w:color="auto"/>
          </w:divBdr>
          <w:divsChild>
            <w:div w:id="1469087117">
              <w:marLeft w:val="0"/>
              <w:marRight w:val="0"/>
              <w:marTop w:val="0"/>
              <w:marBottom w:val="0"/>
              <w:divBdr>
                <w:top w:val="none" w:sz="0" w:space="0" w:color="auto"/>
                <w:left w:val="none" w:sz="0" w:space="0" w:color="auto"/>
                <w:bottom w:val="none" w:sz="0" w:space="0" w:color="auto"/>
                <w:right w:val="none" w:sz="0" w:space="0" w:color="auto"/>
              </w:divBdr>
              <w:divsChild>
                <w:div w:id="1080370908">
                  <w:marLeft w:val="0"/>
                  <w:marRight w:val="0"/>
                  <w:marTop w:val="0"/>
                  <w:marBottom w:val="0"/>
                  <w:divBdr>
                    <w:top w:val="none" w:sz="0" w:space="0" w:color="auto"/>
                    <w:left w:val="none" w:sz="0" w:space="0" w:color="auto"/>
                    <w:bottom w:val="none" w:sz="0" w:space="0" w:color="auto"/>
                    <w:right w:val="none" w:sz="0" w:space="0" w:color="auto"/>
                  </w:divBdr>
                  <w:divsChild>
                    <w:div w:id="169006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2449049">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59361122">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69076510">
      <w:bodyDiv w:val="1"/>
      <w:marLeft w:val="0"/>
      <w:marRight w:val="0"/>
      <w:marTop w:val="0"/>
      <w:marBottom w:val="0"/>
      <w:divBdr>
        <w:top w:val="none" w:sz="0" w:space="0" w:color="auto"/>
        <w:left w:val="none" w:sz="0" w:space="0" w:color="auto"/>
        <w:bottom w:val="none" w:sz="0" w:space="0" w:color="auto"/>
        <w:right w:val="none" w:sz="0" w:space="0" w:color="auto"/>
      </w:divBdr>
    </w:div>
    <w:div w:id="581140375">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214150">
      <w:bodyDiv w:val="1"/>
      <w:marLeft w:val="0"/>
      <w:marRight w:val="0"/>
      <w:marTop w:val="0"/>
      <w:marBottom w:val="0"/>
      <w:divBdr>
        <w:top w:val="none" w:sz="0" w:space="0" w:color="auto"/>
        <w:left w:val="none" w:sz="0" w:space="0" w:color="auto"/>
        <w:bottom w:val="none" w:sz="0" w:space="0" w:color="auto"/>
        <w:right w:val="none" w:sz="0" w:space="0" w:color="auto"/>
      </w:divBdr>
      <w:divsChild>
        <w:div w:id="1768114359">
          <w:marLeft w:val="0"/>
          <w:marRight w:val="0"/>
          <w:marTop w:val="0"/>
          <w:marBottom w:val="0"/>
          <w:divBdr>
            <w:top w:val="none" w:sz="0" w:space="0" w:color="auto"/>
            <w:left w:val="none" w:sz="0" w:space="0" w:color="auto"/>
            <w:bottom w:val="none" w:sz="0" w:space="0" w:color="auto"/>
            <w:right w:val="none" w:sz="0" w:space="0" w:color="auto"/>
          </w:divBdr>
          <w:divsChild>
            <w:div w:id="1456832263">
              <w:marLeft w:val="0"/>
              <w:marRight w:val="0"/>
              <w:marTop w:val="0"/>
              <w:marBottom w:val="0"/>
              <w:divBdr>
                <w:top w:val="none" w:sz="0" w:space="0" w:color="auto"/>
                <w:left w:val="none" w:sz="0" w:space="0" w:color="auto"/>
                <w:bottom w:val="none" w:sz="0" w:space="0" w:color="auto"/>
                <w:right w:val="none" w:sz="0" w:space="0" w:color="auto"/>
              </w:divBdr>
              <w:divsChild>
                <w:div w:id="40117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119038">
      <w:bodyDiv w:val="1"/>
      <w:marLeft w:val="0"/>
      <w:marRight w:val="0"/>
      <w:marTop w:val="0"/>
      <w:marBottom w:val="0"/>
      <w:divBdr>
        <w:top w:val="none" w:sz="0" w:space="0" w:color="auto"/>
        <w:left w:val="none" w:sz="0" w:space="0" w:color="auto"/>
        <w:bottom w:val="none" w:sz="0" w:space="0" w:color="auto"/>
        <w:right w:val="none" w:sz="0" w:space="0" w:color="auto"/>
      </w:divBdr>
    </w:div>
    <w:div w:id="608127359">
      <w:bodyDiv w:val="1"/>
      <w:marLeft w:val="0"/>
      <w:marRight w:val="0"/>
      <w:marTop w:val="0"/>
      <w:marBottom w:val="0"/>
      <w:divBdr>
        <w:top w:val="none" w:sz="0" w:space="0" w:color="auto"/>
        <w:left w:val="none" w:sz="0" w:space="0" w:color="auto"/>
        <w:bottom w:val="none" w:sz="0" w:space="0" w:color="auto"/>
        <w:right w:val="none" w:sz="0" w:space="0" w:color="auto"/>
      </w:divBdr>
      <w:divsChild>
        <w:div w:id="1523393933">
          <w:marLeft w:val="0"/>
          <w:marRight w:val="0"/>
          <w:marTop w:val="0"/>
          <w:marBottom w:val="0"/>
          <w:divBdr>
            <w:top w:val="none" w:sz="0" w:space="0" w:color="auto"/>
            <w:left w:val="none" w:sz="0" w:space="0" w:color="auto"/>
            <w:bottom w:val="none" w:sz="0" w:space="0" w:color="auto"/>
            <w:right w:val="none" w:sz="0" w:space="0" w:color="auto"/>
          </w:divBdr>
          <w:divsChild>
            <w:div w:id="668682271">
              <w:marLeft w:val="0"/>
              <w:marRight w:val="0"/>
              <w:marTop w:val="0"/>
              <w:marBottom w:val="0"/>
              <w:divBdr>
                <w:top w:val="none" w:sz="0" w:space="0" w:color="auto"/>
                <w:left w:val="none" w:sz="0" w:space="0" w:color="auto"/>
                <w:bottom w:val="none" w:sz="0" w:space="0" w:color="auto"/>
                <w:right w:val="none" w:sz="0" w:space="0" w:color="auto"/>
              </w:divBdr>
              <w:divsChild>
                <w:div w:id="89994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40422574">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321897">
      <w:bodyDiv w:val="1"/>
      <w:marLeft w:val="0"/>
      <w:marRight w:val="0"/>
      <w:marTop w:val="0"/>
      <w:marBottom w:val="0"/>
      <w:divBdr>
        <w:top w:val="none" w:sz="0" w:space="0" w:color="auto"/>
        <w:left w:val="none" w:sz="0" w:space="0" w:color="auto"/>
        <w:bottom w:val="none" w:sz="0" w:space="0" w:color="auto"/>
        <w:right w:val="none" w:sz="0" w:space="0" w:color="auto"/>
      </w:divBdr>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65783682">
      <w:bodyDiv w:val="1"/>
      <w:marLeft w:val="0"/>
      <w:marRight w:val="0"/>
      <w:marTop w:val="0"/>
      <w:marBottom w:val="0"/>
      <w:divBdr>
        <w:top w:val="none" w:sz="0" w:space="0" w:color="auto"/>
        <w:left w:val="none" w:sz="0" w:space="0" w:color="auto"/>
        <w:bottom w:val="none" w:sz="0" w:space="0" w:color="auto"/>
        <w:right w:val="none" w:sz="0" w:space="0" w:color="auto"/>
      </w:divBdr>
      <w:divsChild>
        <w:div w:id="1875657694">
          <w:marLeft w:val="0"/>
          <w:marRight w:val="0"/>
          <w:marTop w:val="0"/>
          <w:marBottom w:val="0"/>
          <w:divBdr>
            <w:top w:val="none" w:sz="0" w:space="0" w:color="auto"/>
            <w:left w:val="none" w:sz="0" w:space="0" w:color="auto"/>
            <w:bottom w:val="none" w:sz="0" w:space="0" w:color="auto"/>
            <w:right w:val="none" w:sz="0" w:space="0" w:color="auto"/>
          </w:divBdr>
          <w:divsChild>
            <w:div w:id="1323243288">
              <w:marLeft w:val="0"/>
              <w:marRight w:val="0"/>
              <w:marTop w:val="0"/>
              <w:marBottom w:val="0"/>
              <w:divBdr>
                <w:top w:val="none" w:sz="0" w:space="0" w:color="auto"/>
                <w:left w:val="none" w:sz="0" w:space="0" w:color="auto"/>
                <w:bottom w:val="none" w:sz="0" w:space="0" w:color="auto"/>
                <w:right w:val="none" w:sz="0" w:space="0" w:color="auto"/>
              </w:divBdr>
              <w:divsChild>
                <w:div w:id="81876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984687">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682512875">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18632788">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27996429">
      <w:bodyDiv w:val="1"/>
      <w:marLeft w:val="0"/>
      <w:marRight w:val="0"/>
      <w:marTop w:val="0"/>
      <w:marBottom w:val="0"/>
      <w:divBdr>
        <w:top w:val="none" w:sz="0" w:space="0" w:color="auto"/>
        <w:left w:val="none" w:sz="0" w:space="0" w:color="auto"/>
        <w:bottom w:val="none" w:sz="0" w:space="0" w:color="auto"/>
        <w:right w:val="none" w:sz="0" w:space="0" w:color="auto"/>
      </w:divBdr>
      <w:divsChild>
        <w:div w:id="1994790054">
          <w:marLeft w:val="0"/>
          <w:marRight w:val="0"/>
          <w:marTop w:val="0"/>
          <w:marBottom w:val="0"/>
          <w:divBdr>
            <w:top w:val="none" w:sz="0" w:space="0" w:color="auto"/>
            <w:left w:val="none" w:sz="0" w:space="0" w:color="auto"/>
            <w:bottom w:val="none" w:sz="0" w:space="0" w:color="auto"/>
            <w:right w:val="none" w:sz="0" w:space="0" w:color="auto"/>
          </w:divBdr>
          <w:divsChild>
            <w:div w:id="1492988414">
              <w:marLeft w:val="0"/>
              <w:marRight w:val="0"/>
              <w:marTop w:val="0"/>
              <w:marBottom w:val="0"/>
              <w:divBdr>
                <w:top w:val="none" w:sz="0" w:space="0" w:color="auto"/>
                <w:left w:val="none" w:sz="0" w:space="0" w:color="auto"/>
                <w:bottom w:val="none" w:sz="0" w:space="0" w:color="auto"/>
                <w:right w:val="none" w:sz="0" w:space="0" w:color="auto"/>
              </w:divBdr>
              <w:divsChild>
                <w:div w:id="6345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47657133">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0279955">
      <w:bodyDiv w:val="1"/>
      <w:marLeft w:val="0"/>
      <w:marRight w:val="0"/>
      <w:marTop w:val="0"/>
      <w:marBottom w:val="0"/>
      <w:divBdr>
        <w:top w:val="none" w:sz="0" w:space="0" w:color="auto"/>
        <w:left w:val="none" w:sz="0" w:space="0" w:color="auto"/>
        <w:bottom w:val="none" w:sz="0" w:space="0" w:color="auto"/>
        <w:right w:val="none" w:sz="0" w:space="0" w:color="auto"/>
      </w:divBdr>
    </w:div>
    <w:div w:id="752238690">
      <w:bodyDiv w:val="1"/>
      <w:marLeft w:val="0"/>
      <w:marRight w:val="0"/>
      <w:marTop w:val="0"/>
      <w:marBottom w:val="0"/>
      <w:divBdr>
        <w:top w:val="none" w:sz="0" w:space="0" w:color="auto"/>
        <w:left w:val="none" w:sz="0" w:space="0" w:color="auto"/>
        <w:bottom w:val="none" w:sz="0" w:space="0" w:color="auto"/>
        <w:right w:val="none" w:sz="0" w:space="0" w:color="auto"/>
      </w:divBdr>
      <w:divsChild>
        <w:div w:id="1005858410">
          <w:marLeft w:val="0"/>
          <w:marRight w:val="0"/>
          <w:marTop w:val="0"/>
          <w:marBottom w:val="0"/>
          <w:divBdr>
            <w:top w:val="none" w:sz="0" w:space="0" w:color="auto"/>
            <w:left w:val="none" w:sz="0" w:space="0" w:color="auto"/>
            <w:bottom w:val="none" w:sz="0" w:space="0" w:color="auto"/>
            <w:right w:val="none" w:sz="0" w:space="0" w:color="auto"/>
          </w:divBdr>
          <w:divsChild>
            <w:div w:id="874081206">
              <w:marLeft w:val="0"/>
              <w:marRight w:val="0"/>
              <w:marTop w:val="0"/>
              <w:marBottom w:val="0"/>
              <w:divBdr>
                <w:top w:val="none" w:sz="0" w:space="0" w:color="auto"/>
                <w:left w:val="none" w:sz="0" w:space="0" w:color="auto"/>
                <w:bottom w:val="none" w:sz="0" w:space="0" w:color="auto"/>
                <w:right w:val="none" w:sz="0" w:space="0" w:color="auto"/>
              </w:divBdr>
              <w:divsChild>
                <w:div w:id="129980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76798332">
      <w:bodyDiv w:val="1"/>
      <w:marLeft w:val="0"/>
      <w:marRight w:val="0"/>
      <w:marTop w:val="0"/>
      <w:marBottom w:val="0"/>
      <w:divBdr>
        <w:top w:val="none" w:sz="0" w:space="0" w:color="auto"/>
        <w:left w:val="none" w:sz="0" w:space="0" w:color="auto"/>
        <w:bottom w:val="none" w:sz="0" w:space="0" w:color="auto"/>
        <w:right w:val="none" w:sz="0" w:space="0" w:color="auto"/>
      </w:divBdr>
      <w:divsChild>
        <w:div w:id="642001577">
          <w:marLeft w:val="0"/>
          <w:marRight w:val="0"/>
          <w:marTop w:val="0"/>
          <w:marBottom w:val="0"/>
          <w:divBdr>
            <w:top w:val="none" w:sz="0" w:space="0" w:color="auto"/>
            <w:left w:val="none" w:sz="0" w:space="0" w:color="auto"/>
            <w:bottom w:val="none" w:sz="0" w:space="0" w:color="auto"/>
            <w:right w:val="none" w:sz="0" w:space="0" w:color="auto"/>
          </w:divBdr>
          <w:divsChild>
            <w:div w:id="1454715168">
              <w:marLeft w:val="0"/>
              <w:marRight w:val="0"/>
              <w:marTop w:val="0"/>
              <w:marBottom w:val="0"/>
              <w:divBdr>
                <w:top w:val="none" w:sz="0" w:space="0" w:color="auto"/>
                <w:left w:val="none" w:sz="0" w:space="0" w:color="auto"/>
                <w:bottom w:val="none" w:sz="0" w:space="0" w:color="auto"/>
                <w:right w:val="none" w:sz="0" w:space="0" w:color="auto"/>
              </w:divBdr>
              <w:divsChild>
                <w:div w:id="97394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08321035">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38158970">
      <w:bodyDiv w:val="1"/>
      <w:marLeft w:val="0"/>
      <w:marRight w:val="0"/>
      <w:marTop w:val="0"/>
      <w:marBottom w:val="0"/>
      <w:divBdr>
        <w:top w:val="none" w:sz="0" w:space="0" w:color="auto"/>
        <w:left w:val="none" w:sz="0" w:space="0" w:color="auto"/>
        <w:bottom w:val="none" w:sz="0" w:space="0" w:color="auto"/>
        <w:right w:val="none" w:sz="0" w:space="0" w:color="auto"/>
      </w:divBdr>
    </w:div>
    <w:div w:id="841503518">
      <w:bodyDiv w:val="1"/>
      <w:marLeft w:val="0"/>
      <w:marRight w:val="0"/>
      <w:marTop w:val="0"/>
      <w:marBottom w:val="0"/>
      <w:divBdr>
        <w:top w:val="none" w:sz="0" w:space="0" w:color="auto"/>
        <w:left w:val="none" w:sz="0" w:space="0" w:color="auto"/>
        <w:bottom w:val="none" w:sz="0" w:space="0" w:color="auto"/>
        <w:right w:val="none" w:sz="0" w:space="0" w:color="auto"/>
      </w:divBdr>
      <w:divsChild>
        <w:div w:id="1472594732">
          <w:marLeft w:val="0"/>
          <w:marRight w:val="0"/>
          <w:marTop w:val="0"/>
          <w:marBottom w:val="0"/>
          <w:divBdr>
            <w:top w:val="none" w:sz="0" w:space="0" w:color="auto"/>
            <w:left w:val="none" w:sz="0" w:space="0" w:color="auto"/>
            <w:bottom w:val="none" w:sz="0" w:space="0" w:color="auto"/>
            <w:right w:val="none" w:sz="0" w:space="0" w:color="auto"/>
          </w:divBdr>
          <w:divsChild>
            <w:div w:id="558857304">
              <w:marLeft w:val="0"/>
              <w:marRight w:val="0"/>
              <w:marTop w:val="0"/>
              <w:marBottom w:val="0"/>
              <w:divBdr>
                <w:top w:val="none" w:sz="0" w:space="0" w:color="auto"/>
                <w:left w:val="none" w:sz="0" w:space="0" w:color="auto"/>
                <w:bottom w:val="none" w:sz="0" w:space="0" w:color="auto"/>
                <w:right w:val="none" w:sz="0" w:space="0" w:color="auto"/>
              </w:divBdr>
              <w:divsChild>
                <w:div w:id="164450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830520">
      <w:bodyDiv w:val="1"/>
      <w:marLeft w:val="0"/>
      <w:marRight w:val="0"/>
      <w:marTop w:val="0"/>
      <w:marBottom w:val="0"/>
      <w:divBdr>
        <w:top w:val="none" w:sz="0" w:space="0" w:color="auto"/>
        <w:left w:val="none" w:sz="0" w:space="0" w:color="auto"/>
        <w:bottom w:val="none" w:sz="0" w:space="0" w:color="auto"/>
        <w:right w:val="none" w:sz="0" w:space="0" w:color="auto"/>
      </w:divBdr>
    </w:div>
    <w:div w:id="850337716">
      <w:bodyDiv w:val="1"/>
      <w:marLeft w:val="0"/>
      <w:marRight w:val="0"/>
      <w:marTop w:val="0"/>
      <w:marBottom w:val="0"/>
      <w:divBdr>
        <w:top w:val="none" w:sz="0" w:space="0" w:color="auto"/>
        <w:left w:val="none" w:sz="0" w:space="0" w:color="auto"/>
        <w:bottom w:val="none" w:sz="0" w:space="0" w:color="auto"/>
        <w:right w:val="none" w:sz="0" w:space="0" w:color="auto"/>
      </w:divBdr>
      <w:divsChild>
        <w:div w:id="1303539871">
          <w:marLeft w:val="0"/>
          <w:marRight w:val="0"/>
          <w:marTop w:val="0"/>
          <w:marBottom w:val="0"/>
          <w:divBdr>
            <w:top w:val="none" w:sz="0" w:space="0" w:color="auto"/>
            <w:left w:val="none" w:sz="0" w:space="0" w:color="auto"/>
            <w:bottom w:val="none" w:sz="0" w:space="0" w:color="auto"/>
            <w:right w:val="none" w:sz="0" w:space="0" w:color="auto"/>
          </w:divBdr>
          <w:divsChild>
            <w:div w:id="494688211">
              <w:marLeft w:val="0"/>
              <w:marRight w:val="0"/>
              <w:marTop w:val="0"/>
              <w:marBottom w:val="0"/>
              <w:divBdr>
                <w:top w:val="none" w:sz="0" w:space="0" w:color="auto"/>
                <w:left w:val="none" w:sz="0" w:space="0" w:color="auto"/>
                <w:bottom w:val="none" w:sz="0" w:space="0" w:color="auto"/>
                <w:right w:val="none" w:sz="0" w:space="0" w:color="auto"/>
              </w:divBdr>
              <w:divsChild>
                <w:div w:id="1644038439">
                  <w:marLeft w:val="0"/>
                  <w:marRight w:val="0"/>
                  <w:marTop w:val="0"/>
                  <w:marBottom w:val="0"/>
                  <w:divBdr>
                    <w:top w:val="none" w:sz="0" w:space="0" w:color="auto"/>
                    <w:left w:val="none" w:sz="0" w:space="0" w:color="auto"/>
                    <w:bottom w:val="none" w:sz="0" w:space="0" w:color="auto"/>
                    <w:right w:val="none" w:sz="0" w:space="0" w:color="auto"/>
                  </w:divBdr>
                  <w:divsChild>
                    <w:div w:id="93240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048670">
      <w:bodyDiv w:val="1"/>
      <w:marLeft w:val="0"/>
      <w:marRight w:val="0"/>
      <w:marTop w:val="0"/>
      <w:marBottom w:val="0"/>
      <w:divBdr>
        <w:top w:val="none" w:sz="0" w:space="0" w:color="auto"/>
        <w:left w:val="none" w:sz="0" w:space="0" w:color="auto"/>
        <w:bottom w:val="none" w:sz="0" w:space="0" w:color="auto"/>
        <w:right w:val="none" w:sz="0" w:space="0" w:color="auto"/>
      </w:divBdr>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894200762">
      <w:bodyDiv w:val="1"/>
      <w:marLeft w:val="0"/>
      <w:marRight w:val="0"/>
      <w:marTop w:val="0"/>
      <w:marBottom w:val="0"/>
      <w:divBdr>
        <w:top w:val="none" w:sz="0" w:space="0" w:color="auto"/>
        <w:left w:val="none" w:sz="0" w:space="0" w:color="auto"/>
        <w:bottom w:val="none" w:sz="0" w:space="0" w:color="auto"/>
        <w:right w:val="none" w:sz="0" w:space="0" w:color="auto"/>
      </w:divBdr>
    </w:div>
    <w:div w:id="894463004">
      <w:bodyDiv w:val="1"/>
      <w:marLeft w:val="0"/>
      <w:marRight w:val="0"/>
      <w:marTop w:val="0"/>
      <w:marBottom w:val="0"/>
      <w:divBdr>
        <w:top w:val="none" w:sz="0" w:space="0" w:color="auto"/>
        <w:left w:val="none" w:sz="0" w:space="0" w:color="auto"/>
        <w:bottom w:val="none" w:sz="0" w:space="0" w:color="auto"/>
        <w:right w:val="none" w:sz="0" w:space="0" w:color="auto"/>
      </w:divBdr>
      <w:divsChild>
        <w:div w:id="68617061">
          <w:marLeft w:val="0"/>
          <w:marRight w:val="0"/>
          <w:marTop w:val="0"/>
          <w:marBottom w:val="0"/>
          <w:divBdr>
            <w:top w:val="none" w:sz="0" w:space="0" w:color="auto"/>
            <w:left w:val="none" w:sz="0" w:space="0" w:color="auto"/>
            <w:bottom w:val="none" w:sz="0" w:space="0" w:color="auto"/>
            <w:right w:val="none" w:sz="0" w:space="0" w:color="auto"/>
          </w:divBdr>
          <w:divsChild>
            <w:div w:id="1053651746">
              <w:marLeft w:val="0"/>
              <w:marRight w:val="0"/>
              <w:marTop w:val="0"/>
              <w:marBottom w:val="0"/>
              <w:divBdr>
                <w:top w:val="none" w:sz="0" w:space="0" w:color="auto"/>
                <w:left w:val="none" w:sz="0" w:space="0" w:color="auto"/>
                <w:bottom w:val="none" w:sz="0" w:space="0" w:color="auto"/>
                <w:right w:val="none" w:sz="0" w:space="0" w:color="auto"/>
              </w:divBdr>
              <w:divsChild>
                <w:div w:id="443117741">
                  <w:marLeft w:val="0"/>
                  <w:marRight w:val="0"/>
                  <w:marTop w:val="0"/>
                  <w:marBottom w:val="0"/>
                  <w:divBdr>
                    <w:top w:val="none" w:sz="0" w:space="0" w:color="auto"/>
                    <w:left w:val="none" w:sz="0" w:space="0" w:color="auto"/>
                    <w:bottom w:val="none" w:sz="0" w:space="0" w:color="auto"/>
                    <w:right w:val="none" w:sz="0" w:space="0" w:color="auto"/>
                  </w:divBdr>
                  <w:divsChild>
                    <w:div w:id="30292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639335">
      <w:bodyDiv w:val="1"/>
      <w:marLeft w:val="0"/>
      <w:marRight w:val="0"/>
      <w:marTop w:val="0"/>
      <w:marBottom w:val="0"/>
      <w:divBdr>
        <w:top w:val="none" w:sz="0" w:space="0" w:color="auto"/>
        <w:left w:val="none" w:sz="0" w:space="0" w:color="auto"/>
        <w:bottom w:val="none" w:sz="0" w:space="0" w:color="auto"/>
        <w:right w:val="none" w:sz="0" w:space="0" w:color="auto"/>
      </w:divBdr>
    </w:div>
    <w:div w:id="908031242">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2814326">
      <w:bodyDiv w:val="1"/>
      <w:marLeft w:val="0"/>
      <w:marRight w:val="0"/>
      <w:marTop w:val="0"/>
      <w:marBottom w:val="0"/>
      <w:divBdr>
        <w:top w:val="none" w:sz="0" w:space="0" w:color="auto"/>
        <w:left w:val="none" w:sz="0" w:space="0" w:color="auto"/>
        <w:bottom w:val="none" w:sz="0" w:space="0" w:color="auto"/>
        <w:right w:val="none" w:sz="0" w:space="0" w:color="auto"/>
      </w:divBdr>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3296817">
      <w:bodyDiv w:val="1"/>
      <w:marLeft w:val="0"/>
      <w:marRight w:val="0"/>
      <w:marTop w:val="0"/>
      <w:marBottom w:val="0"/>
      <w:divBdr>
        <w:top w:val="none" w:sz="0" w:space="0" w:color="auto"/>
        <w:left w:val="none" w:sz="0" w:space="0" w:color="auto"/>
        <w:bottom w:val="none" w:sz="0" w:space="0" w:color="auto"/>
        <w:right w:val="none" w:sz="0" w:space="0" w:color="auto"/>
      </w:divBdr>
    </w:div>
    <w:div w:id="925843760">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51285824">
      <w:bodyDiv w:val="1"/>
      <w:marLeft w:val="0"/>
      <w:marRight w:val="0"/>
      <w:marTop w:val="0"/>
      <w:marBottom w:val="0"/>
      <w:divBdr>
        <w:top w:val="none" w:sz="0" w:space="0" w:color="auto"/>
        <w:left w:val="none" w:sz="0" w:space="0" w:color="auto"/>
        <w:bottom w:val="none" w:sz="0" w:space="0" w:color="auto"/>
        <w:right w:val="none" w:sz="0" w:space="0" w:color="auto"/>
      </w:divBdr>
    </w:div>
    <w:div w:id="961688723">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262557">
      <w:bodyDiv w:val="1"/>
      <w:marLeft w:val="0"/>
      <w:marRight w:val="0"/>
      <w:marTop w:val="0"/>
      <w:marBottom w:val="0"/>
      <w:divBdr>
        <w:top w:val="none" w:sz="0" w:space="0" w:color="auto"/>
        <w:left w:val="none" w:sz="0" w:space="0" w:color="auto"/>
        <w:bottom w:val="none" w:sz="0" w:space="0" w:color="auto"/>
        <w:right w:val="none" w:sz="0" w:space="0" w:color="auto"/>
      </w:divBdr>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991757469">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2952161">
      <w:bodyDiv w:val="1"/>
      <w:marLeft w:val="0"/>
      <w:marRight w:val="0"/>
      <w:marTop w:val="0"/>
      <w:marBottom w:val="0"/>
      <w:divBdr>
        <w:top w:val="none" w:sz="0" w:space="0" w:color="auto"/>
        <w:left w:val="none" w:sz="0" w:space="0" w:color="auto"/>
        <w:bottom w:val="none" w:sz="0" w:space="0" w:color="auto"/>
        <w:right w:val="none" w:sz="0" w:space="0" w:color="auto"/>
      </w:divBdr>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25904290">
      <w:bodyDiv w:val="1"/>
      <w:marLeft w:val="0"/>
      <w:marRight w:val="0"/>
      <w:marTop w:val="0"/>
      <w:marBottom w:val="0"/>
      <w:divBdr>
        <w:top w:val="none" w:sz="0" w:space="0" w:color="auto"/>
        <w:left w:val="none" w:sz="0" w:space="0" w:color="auto"/>
        <w:bottom w:val="none" w:sz="0" w:space="0" w:color="auto"/>
        <w:right w:val="none" w:sz="0" w:space="0" w:color="auto"/>
      </w:divBdr>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48801666">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086416888">
      <w:bodyDiv w:val="1"/>
      <w:marLeft w:val="0"/>
      <w:marRight w:val="0"/>
      <w:marTop w:val="0"/>
      <w:marBottom w:val="0"/>
      <w:divBdr>
        <w:top w:val="none" w:sz="0" w:space="0" w:color="auto"/>
        <w:left w:val="none" w:sz="0" w:space="0" w:color="auto"/>
        <w:bottom w:val="none" w:sz="0" w:space="0" w:color="auto"/>
        <w:right w:val="none" w:sz="0" w:space="0" w:color="auto"/>
      </w:divBdr>
    </w:div>
    <w:div w:id="1102533683">
      <w:bodyDiv w:val="1"/>
      <w:marLeft w:val="0"/>
      <w:marRight w:val="0"/>
      <w:marTop w:val="0"/>
      <w:marBottom w:val="0"/>
      <w:divBdr>
        <w:top w:val="none" w:sz="0" w:space="0" w:color="auto"/>
        <w:left w:val="none" w:sz="0" w:space="0" w:color="auto"/>
        <w:bottom w:val="none" w:sz="0" w:space="0" w:color="auto"/>
        <w:right w:val="none" w:sz="0" w:space="0" w:color="auto"/>
      </w:divBdr>
      <w:divsChild>
        <w:div w:id="937952928">
          <w:marLeft w:val="0"/>
          <w:marRight w:val="0"/>
          <w:marTop w:val="0"/>
          <w:marBottom w:val="0"/>
          <w:divBdr>
            <w:top w:val="none" w:sz="0" w:space="0" w:color="auto"/>
            <w:left w:val="none" w:sz="0" w:space="0" w:color="auto"/>
            <w:bottom w:val="none" w:sz="0" w:space="0" w:color="auto"/>
            <w:right w:val="none" w:sz="0" w:space="0" w:color="auto"/>
          </w:divBdr>
          <w:divsChild>
            <w:div w:id="266161672">
              <w:marLeft w:val="0"/>
              <w:marRight w:val="0"/>
              <w:marTop w:val="0"/>
              <w:marBottom w:val="0"/>
              <w:divBdr>
                <w:top w:val="none" w:sz="0" w:space="0" w:color="auto"/>
                <w:left w:val="none" w:sz="0" w:space="0" w:color="auto"/>
                <w:bottom w:val="none" w:sz="0" w:space="0" w:color="auto"/>
                <w:right w:val="none" w:sz="0" w:space="0" w:color="auto"/>
              </w:divBdr>
              <w:divsChild>
                <w:div w:id="1082483636">
                  <w:marLeft w:val="0"/>
                  <w:marRight w:val="0"/>
                  <w:marTop w:val="0"/>
                  <w:marBottom w:val="0"/>
                  <w:divBdr>
                    <w:top w:val="none" w:sz="0" w:space="0" w:color="auto"/>
                    <w:left w:val="none" w:sz="0" w:space="0" w:color="auto"/>
                    <w:bottom w:val="none" w:sz="0" w:space="0" w:color="auto"/>
                    <w:right w:val="none" w:sz="0" w:space="0" w:color="auto"/>
                  </w:divBdr>
                  <w:divsChild>
                    <w:div w:id="167137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08046331">
      <w:bodyDiv w:val="1"/>
      <w:marLeft w:val="0"/>
      <w:marRight w:val="0"/>
      <w:marTop w:val="0"/>
      <w:marBottom w:val="0"/>
      <w:divBdr>
        <w:top w:val="none" w:sz="0" w:space="0" w:color="auto"/>
        <w:left w:val="none" w:sz="0" w:space="0" w:color="auto"/>
        <w:bottom w:val="none" w:sz="0" w:space="0" w:color="auto"/>
        <w:right w:val="none" w:sz="0" w:space="0" w:color="auto"/>
      </w:divBdr>
      <w:divsChild>
        <w:div w:id="1363172650">
          <w:marLeft w:val="0"/>
          <w:marRight w:val="0"/>
          <w:marTop w:val="0"/>
          <w:marBottom w:val="0"/>
          <w:divBdr>
            <w:top w:val="none" w:sz="0" w:space="0" w:color="auto"/>
            <w:left w:val="none" w:sz="0" w:space="0" w:color="auto"/>
            <w:bottom w:val="none" w:sz="0" w:space="0" w:color="auto"/>
            <w:right w:val="none" w:sz="0" w:space="0" w:color="auto"/>
          </w:divBdr>
          <w:divsChild>
            <w:div w:id="1155224784">
              <w:marLeft w:val="0"/>
              <w:marRight w:val="0"/>
              <w:marTop w:val="0"/>
              <w:marBottom w:val="0"/>
              <w:divBdr>
                <w:top w:val="none" w:sz="0" w:space="0" w:color="auto"/>
                <w:left w:val="none" w:sz="0" w:space="0" w:color="auto"/>
                <w:bottom w:val="none" w:sz="0" w:space="0" w:color="auto"/>
                <w:right w:val="none" w:sz="0" w:space="0" w:color="auto"/>
              </w:divBdr>
              <w:divsChild>
                <w:div w:id="160584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715178">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80585647">
      <w:bodyDiv w:val="1"/>
      <w:marLeft w:val="0"/>
      <w:marRight w:val="0"/>
      <w:marTop w:val="0"/>
      <w:marBottom w:val="0"/>
      <w:divBdr>
        <w:top w:val="none" w:sz="0" w:space="0" w:color="auto"/>
        <w:left w:val="none" w:sz="0" w:space="0" w:color="auto"/>
        <w:bottom w:val="none" w:sz="0" w:space="0" w:color="auto"/>
        <w:right w:val="none" w:sz="0" w:space="0" w:color="auto"/>
      </w:divBdr>
    </w:div>
    <w:div w:id="1191649574">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2572790">
      <w:bodyDiv w:val="1"/>
      <w:marLeft w:val="0"/>
      <w:marRight w:val="0"/>
      <w:marTop w:val="0"/>
      <w:marBottom w:val="0"/>
      <w:divBdr>
        <w:top w:val="none" w:sz="0" w:space="0" w:color="auto"/>
        <w:left w:val="none" w:sz="0" w:space="0" w:color="auto"/>
        <w:bottom w:val="none" w:sz="0" w:space="0" w:color="auto"/>
        <w:right w:val="none" w:sz="0" w:space="0" w:color="auto"/>
      </w:divBdr>
    </w:div>
    <w:div w:id="1213425965">
      <w:bodyDiv w:val="1"/>
      <w:marLeft w:val="0"/>
      <w:marRight w:val="0"/>
      <w:marTop w:val="0"/>
      <w:marBottom w:val="0"/>
      <w:divBdr>
        <w:top w:val="none" w:sz="0" w:space="0" w:color="auto"/>
        <w:left w:val="none" w:sz="0" w:space="0" w:color="auto"/>
        <w:bottom w:val="none" w:sz="0" w:space="0" w:color="auto"/>
        <w:right w:val="none" w:sz="0" w:space="0" w:color="auto"/>
      </w:divBdr>
      <w:divsChild>
        <w:div w:id="1898123514">
          <w:marLeft w:val="0"/>
          <w:marRight w:val="0"/>
          <w:marTop w:val="0"/>
          <w:marBottom w:val="0"/>
          <w:divBdr>
            <w:top w:val="none" w:sz="0" w:space="0" w:color="auto"/>
            <w:left w:val="none" w:sz="0" w:space="0" w:color="auto"/>
            <w:bottom w:val="none" w:sz="0" w:space="0" w:color="auto"/>
            <w:right w:val="none" w:sz="0" w:space="0" w:color="auto"/>
          </w:divBdr>
          <w:divsChild>
            <w:div w:id="577178891">
              <w:marLeft w:val="0"/>
              <w:marRight w:val="0"/>
              <w:marTop w:val="0"/>
              <w:marBottom w:val="0"/>
              <w:divBdr>
                <w:top w:val="none" w:sz="0" w:space="0" w:color="auto"/>
                <w:left w:val="none" w:sz="0" w:space="0" w:color="auto"/>
                <w:bottom w:val="none" w:sz="0" w:space="0" w:color="auto"/>
                <w:right w:val="none" w:sz="0" w:space="0" w:color="auto"/>
              </w:divBdr>
              <w:divsChild>
                <w:div w:id="1346323552">
                  <w:marLeft w:val="0"/>
                  <w:marRight w:val="0"/>
                  <w:marTop w:val="0"/>
                  <w:marBottom w:val="0"/>
                  <w:divBdr>
                    <w:top w:val="none" w:sz="0" w:space="0" w:color="auto"/>
                    <w:left w:val="none" w:sz="0" w:space="0" w:color="auto"/>
                    <w:bottom w:val="none" w:sz="0" w:space="0" w:color="auto"/>
                    <w:right w:val="none" w:sz="0" w:space="0" w:color="auto"/>
                  </w:divBdr>
                  <w:divsChild>
                    <w:div w:id="53616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27375474">
      <w:bodyDiv w:val="1"/>
      <w:marLeft w:val="0"/>
      <w:marRight w:val="0"/>
      <w:marTop w:val="0"/>
      <w:marBottom w:val="0"/>
      <w:divBdr>
        <w:top w:val="none" w:sz="0" w:space="0" w:color="auto"/>
        <w:left w:val="none" w:sz="0" w:space="0" w:color="auto"/>
        <w:bottom w:val="none" w:sz="0" w:space="0" w:color="auto"/>
        <w:right w:val="none" w:sz="0" w:space="0" w:color="auto"/>
      </w:divBdr>
    </w:div>
    <w:div w:id="1246646857">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09088797">
      <w:bodyDiv w:val="1"/>
      <w:marLeft w:val="0"/>
      <w:marRight w:val="0"/>
      <w:marTop w:val="0"/>
      <w:marBottom w:val="0"/>
      <w:divBdr>
        <w:top w:val="none" w:sz="0" w:space="0" w:color="auto"/>
        <w:left w:val="none" w:sz="0" w:space="0" w:color="auto"/>
        <w:bottom w:val="none" w:sz="0" w:space="0" w:color="auto"/>
        <w:right w:val="none" w:sz="0" w:space="0" w:color="auto"/>
      </w:divBdr>
    </w:div>
    <w:div w:id="1312295347">
      <w:bodyDiv w:val="1"/>
      <w:marLeft w:val="0"/>
      <w:marRight w:val="0"/>
      <w:marTop w:val="0"/>
      <w:marBottom w:val="0"/>
      <w:divBdr>
        <w:top w:val="none" w:sz="0" w:space="0" w:color="auto"/>
        <w:left w:val="none" w:sz="0" w:space="0" w:color="auto"/>
        <w:bottom w:val="none" w:sz="0" w:space="0" w:color="auto"/>
        <w:right w:val="none" w:sz="0" w:space="0" w:color="auto"/>
      </w:divBdr>
    </w:div>
    <w:div w:id="1314288308">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20426134">
      <w:bodyDiv w:val="1"/>
      <w:marLeft w:val="0"/>
      <w:marRight w:val="0"/>
      <w:marTop w:val="0"/>
      <w:marBottom w:val="0"/>
      <w:divBdr>
        <w:top w:val="none" w:sz="0" w:space="0" w:color="auto"/>
        <w:left w:val="none" w:sz="0" w:space="0" w:color="auto"/>
        <w:bottom w:val="none" w:sz="0" w:space="0" w:color="auto"/>
        <w:right w:val="none" w:sz="0" w:space="0" w:color="auto"/>
      </w:divBdr>
    </w:div>
    <w:div w:id="1327973237">
      <w:bodyDiv w:val="1"/>
      <w:marLeft w:val="0"/>
      <w:marRight w:val="0"/>
      <w:marTop w:val="0"/>
      <w:marBottom w:val="0"/>
      <w:divBdr>
        <w:top w:val="none" w:sz="0" w:space="0" w:color="auto"/>
        <w:left w:val="none" w:sz="0" w:space="0" w:color="auto"/>
        <w:bottom w:val="none" w:sz="0" w:space="0" w:color="auto"/>
        <w:right w:val="none" w:sz="0" w:space="0" w:color="auto"/>
      </w:divBdr>
    </w:div>
    <w:div w:id="1329864676">
      <w:bodyDiv w:val="1"/>
      <w:marLeft w:val="0"/>
      <w:marRight w:val="0"/>
      <w:marTop w:val="0"/>
      <w:marBottom w:val="0"/>
      <w:divBdr>
        <w:top w:val="none" w:sz="0" w:space="0" w:color="auto"/>
        <w:left w:val="none" w:sz="0" w:space="0" w:color="auto"/>
        <w:bottom w:val="none" w:sz="0" w:space="0" w:color="auto"/>
        <w:right w:val="none" w:sz="0" w:space="0" w:color="auto"/>
      </w:divBdr>
      <w:divsChild>
        <w:div w:id="385421705">
          <w:marLeft w:val="0"/>
          <w:marRight w:val="0"/>
          <w:marTop w:val="0"/>
          <w:marBottom w:val="0"/>
          <w:divBdr>
            <w:top w:val="none" w:sz="0" w:space="0" w:color="auto"/>
            <w:left w:val="none" w:sz="0" w:space="0" w:color="auto"/>
            <w:bottom w:val="none" w:sz="0" w:space="0" w:color="auto"/>
            <w:right w:val="none" w:sz="0" w:space="0" w:color="auto"/>
          </w:divBdr>
          <w:divsChild>
            <w:div w:id="17966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1666678">
      <w:bodyDiv w:val="1"/>
      <w:marLeft w:val="0"/>
      <w:marRight w:val="0"/>
      <w:marTop w:val="0"/>
      <w:marBottom w:val="0"/>
      <w:divBdr>
        <w:top w:val="none" w:sz="0" w:space="0" w:color="auto"/>
        <w:left w:val="none" w:sz="0" w:space="0" w:color="auto"/>
        <w:bottom w:val="none" w:sz="0" w:space="0" w:color="auto"/>
        <w:right w:val="none" w:sz="0" w:space="0" w:color="auto"/>
      </w:divBdr>
      <w:divsChild>
        <w:div w:id="1027023326">
          <w:marLeft w:val="0"/>
          <w:marRight w:val="0"/>
          <w:marTop w:val="0"/>
          <w:marBottom w:val="0"/>
          <w:divBdr>
            <w:top w:val="none" w:sz="0" w:space="0" w:color="auto"/>
            <w:left w:val="none" w:sz="0" w:space="0" w:color="auto"/>
            <w:bottom w:val="none" w:sz="0" w:space="0" w:color="auto"/>
            <w:right w:val="none" w:sz="0" w:space="0" w:color="auto"/>
          </w:divBdr>
          <w:divsChild>
            <w:div w:id="2137526825">
              <w:marLeft w:val="0"/>
              <w:marRight w:val="0"/>
              <w:marTop w:val="0"/>
              <w:marBottom w:val="0"/>
              <w:divBdr>
                <w:top w:val="none" w:sz="0" w:space="0" w:color="auto"/>
                <w:left w:val="none" w:sz="0" w:space="0" w:color="auto"/>
                <w:bottom w:val="none" w:sz="0" w:space="0" w:color="auto"/>
                <w:right w:val="none" w:sz="0" w:space="0" w:color="auto"/>
              </w:divBdr>
              <w:divsChild>
                <w:div w:id="155381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213872">
      <w:bodyDiv w:val="1"/>
      <w:marLeft w:val="0"/>
      <w:marRight w:val="0"/>
      <w:marTop w:val="0"/>
      <w:marBottom w:val="0"/>
      <w:divBdr>
        <w:top w:val="none" w:sz="0" w:space="0" w:color="auto"/>
        <w:left w:val="none" w:sz="0" w:space="0" w:color="auto"/>
        <w:bottom w:val="none" w:sz="0" w:space="0" w:color="auto"/>
        <w:right w:val="none" w:sz="0" w:space="0" w:color="auto"/>
      </w:divBdr>
      <w:divsChild>
        <w:div w:id="694817135">
          <w:marLeft w:val="0"/>
          <w:marRight w:val="0"/>
          <w:marTop w:val="0"/>
          <w:marBottom w:val="0"/>
          <w:divBdr>
            <w:top w:val="none" w:sz="0" w:space="0" w:color="auto"/>
            <w:left w:val="none" w:sz="0" w:space="0" w:color="auto"/>
            <w:bottom w:val="none" w:sz="0" w:space="0" w:color="auto"/>
            <w:right w:val="none" w:sz="0" w:space="0" w:color="auto"/>
          </w:divBdr>
          <w:divsChild>
            <w:div w:id="1524246835">
              <w:marLeft w:val="0"/>
              <w:marRight w:val="0"/>
              <w:marTop w:val="0"/>
              <w:marBottom w:val="0"/>
              <w:divBdr>
                <w:top w:val="none" w:sz="0" w:space="0" w:color="auto"/>
                <w:left w:val="none" w:sz="0" w:space="0" w:color="auto"/>
                <w:bottom w:val="none" w:sz="0" w:space="0" w:color="auto"/>
                <w:right w:val="none" w:sz="0" w:space="0" w:color="auto"/>
              </w:divBdr>
              <w:divsChild>
                <w:div w:id="667445988">
                  <w:marLeft w:val="0"/>
                  <w:marRight w:val="0"/>
                  <w:marTop w:val="0"/>
                  <w:marBottom w:val="0"/>
                  <w:divBdr>
                    <w:top w:val="none" w:sz="0" w:space="0" w:color="auto"/>
                    <w:left w:val="none" w:sz="0" w:space="0" w:color="auto"/>
                    <w:bottom w:val="none" w:sz="0" w:space="0" w:color="auto"/>
                    <w:right w:val="none" w:sz="0" w:space="0" w:color="auto"/>
                  </w:divBdr>
                  <w:divsChild>
                    <w:div w:id="178758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2215439">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48960988">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81651655">
      <w:bodyDiv w:val="1"/>
      <w:marLeft w:val="0"/>
      <w:marRight w:val="0"/>
      <w:marTop w:val="0"/>
      <w:marBottom w:val="0"/>
      <w:divBdr>
        <w:top w:val="none" w:sz="0" w:space="0" w:color="auto"/>
        <w:left w:val="none" w:sz="0" w:space="0" w:color="auto"/>
        <w:bottom w:val="none" w:sz="0" w:space="0" w:color="auto"/>
        <w:right w:val="none" w:sz="0" w:space="0" w:color="auto"/>
      </w:divBdr>
      <w:divsChild>
        <w:div w:id="1672567219">
          <w:marLeft w:val="0"/>
          <w:marRight w:val="0"/>
          <w:marTop w:val="0"/>
          <w:marBottom w:val="0"/>
          <w:divBdr>
            <w:top w:val="none" w:sz="0" w:space="0" w:color="auto"/>
            <w:left w:val="none" w:sz="0" w:space="0" w:color="auto"/>
            <w:bottom w:val="none" w:sz="0" w:space="0" w:color="auto"/>
            <w:right w:val="none" w:sz="0" w:space="0" w:color="auto"/>
          </w:divBdr>
        </w:div>
      </w:divsChild>
    </w:div>
    <w:div w:id="1482842812">
      <w:bodyDiv w:val="1"/>
      <w:marLeft w:val="0"/>
      <w:marRight w:val="0"/>
      <w:marTop w:val="0"/>
      <w:marBottom w:val="0"/>
      <w:divBdr>
        <w:top w:val="none" w:sz="0" w:space="0" w:color="auto"/>
        <w:left w:val="none" w:sz="0" w:space="0" w:color="auto"/>
        <w:bottom w:val="none" w:sz="0" w:space="0" w:color="auto"/>
        <w:right w:val="none" w:sz="0" w:space="0" w:color="auto"/>
      </w:divBdr>
    </w:div>
    <w:div w:id="1489908005">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7138254">
      <w:bodyDiv w:val="1"/>
      <w:marLeft w:val="0"/>
      <w:marRight w:val="0"/>
      <w:marTop w:val="0"/>
      <w:marBottom w:val="0"/>
      <w:divBdr>
        <w:top w:val="none" w:sz="0" w:space="0" w:color="auto"/>
        <w:left w:val="none" w:sz="0" w:space="0" w:color="auto"/>
        <w:bottom w:val="none" w:sz="0" w:space="0" w:color="auto"/>
        <w:right w:val="none" w:sz="0" w:space="0" w:color="auto"/>
      </w:divBdr>
    </w:div>
    <w:div w:id="1508133523">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1788581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39202002">
      <w:bodyDiv w:val="1"/>
      <w:marLeft w:val="0"/>
      <w:marRight w:val="0"/>
      <w:marTop w:val="0"/>
      <w:marBottom w:val="0"/>
      <w:divBdr>
        <w:top w:val="none" w:sz="0" w:space="0" w:color="auto"/>
        <w:left w:val="none" w:sz="0" w:space="0" w:color="auto"/>
        <w:bottom w:val="none" w:sz="0" w:space="0" w:color="auto"/>
        <w:right w:val="none" w:sz="0" w:space="0" w:color="auto"/>
      </w:divBdr>
      <w:divsChild>
        <w:div w:id="289094325">
          <w:marLeft w:val="0"/>
          <w:marRight w:val="0"/>
          <w:marTop w:val="0"/>
          <w:marBottom w:val="0"/>
          <w:divBdr>
            <w:top w:val="none" w:sz="0" w:space="0" w:color="auto"/>
            <w:left w:val="none" w:sz="0" w:space="0" w:color="auto"/>
            <w:bottom w:val="none" w:sz="0" w:space="0" w:color="auto"/>
            <w:right w:val="none" w:sz="0" w:space="0" w:color="auto"/>
          </w:divBdr>
          <w:divsChild>
            <w:div w:id="101149594">
              <w:marLeft w:val="0"/>
              <w:marRight w:val="0"/>
              <w:marTop w:val="0"/>
              <w:marBottom w:val="0"/>
              <w:divBdr>
                <w:top w:val="none" w:sz="0" w:space="0" w:color="auto"/>
                <w:left w:val="none" w:sz="0" w:space="0" w:color="auto"/>
                <w:bottom w:val="none" w:sz="0" w:space="0" w:color="auto"/>
                <w:right w:val="none" w:sz="0" w:space="0" w:color="auto"/>
              </w:divBdr>
              <w:divsChild>
                <w:div w:id="56564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66140219">
      <w:bodyDiv w:val="1"/>
      <w:marLeft w:val="0"/>
      <w:marRight w:val="0"/>
      <w:marTop w:val="0"/>
      <w:marBottom w:val="0"/>
      <w:divBdr>
        <w:top w:val="none" w:sz="0" w:space="0" w:color="auto"/>
        <w:left w:val="none" w:sz="0" w:space="0" w:color="auto"/>
        <w:bottom w:val="none" w:sz="0" w:space="0" w:color="auto"/>
        <w:right w:val="none" w:sz="0" w:space="0" w:color="auto"/>
      </w:divBdr>
    </w:div>
    <w:div w:id="1573925530">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07592">
      <w:bodyDiv w:val="1"/>
      <w:marLeft w:val="0"/>
      <w:marRight w:val="0"/>
      <w:marTop w:val="0"/>
      <w:marBottom w:val="0"/>
      <w:divBdr>
        <w:top w:val="none" w:sz="0" w:space="0" w:color="auto"/>
        <w:left w:val="none" w:sz="0" w:space="0" w:color="auto"/>
        <w:bottom w:val="none" w:sz="0" w:space="0" w:color="auto"/>
        <w:right w:val="none" w:sz="0" w:space="0" w:color="auto"/>
      </w:divBdr>
    </w:div>
    <w:div w:id="1601329495">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9067109">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0284887">
      <w:bodyDiv w:val="1"/>
      <w:marLeft w:val="0"/>
      <w:marRight w:val="0"/>
      <w:marTop w:val="0"/>
      <w:marBottom w:val="0"/>
      <w:divBdr>
        <w:top w:val="none" w:sz="0" w:space="0" w:color="auto"/>
        <w:left w:val="none" w:sz="0" w:space="0" w:color="auto"/>
        <w:bottom w:val="none" w:sz="0" w:space="0" w:color="auto"/>
        <w:right w:val="none" w:sz="0" w:space="0" w:color="auto"/>
      </w:divBdr>
      <w:divsChild>
        <w:div w:id="927079769">
          <w:marLeft w:val="0"/>
          <w:marRight w:val="0"/>
          <w:marTop w:val="0"/>
          <w:marBottom w:val="0"/>
          <w:divBdr>
            <w:top w:val="none" w:sz="0" w:space="0" w:color="auto"/>
            <w:left w:val="none" w:sz="0" w:space="0" w:color="auto"/>
            <w:bottom w:val="none" w:sz="0" w:space="0" w:color="auto"/>
            <w:right w:val="none" w:sz="0" w:space="0" w:color="auto"/>
          </w:divBdr>
          <w:divsChild>
            <w:div w:id="1644701967">
              <w:marLeft w:val="0"/>
              <w:marRight w:val="0"/>
              <w:marTop w:val="0"/>
              <w:marBottom w:val="0"/>
              <w:divBdr>
                <w:top w:val="none" w:sz="0" w:space="0" w:color="auto"/>
                <w:left w:val="none" w:sz="0" w:space="0" w:color="auto"/>
                <w:bottom w:val="none" w:sz="0" w:space="0" w:color="auto"/>
                <w:right w:val="none" w:sz="0" w:space="0" w:color="auto"/>
              </w:divBdr>
              <w:divsChild>
                <w:div w:id="371923142">
                  <w:marLeft w:val="0"/>
                  <w:marRight w:val="0"/>
                  <w:marTop w:val="0"/>
                  <w:marBottom w:val="0"/>
                  <w:divBdr>
                    <w:top w:val="none" w:sz="0" w:space="0" w:color="auto"/>
                    <w:left w:val="none" w:sz="0" w:space="0" w:color="auto"/>
                    <w:bottom w:val="none" w:sz="0" w:space="0" w:color="auto"/>
                    <w:right w:val="none" w:sz="0" w:space="0" w:color="auto"/>
                  </w:divBdr>
                  <w:divsChild>
                    <w:div w:id="195251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3413945">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3193784">
      <w:bodyDiv w:val="1"/>
      <w:marLeft w:val="0"/>
      <w:marRight w:val="0"/>
      <w:marTop w:val="0"/>
      <w:marBottom w:val="0"/>
      <w:divBdr>
        <w:top w:val="none" w:sz="0" w:space="0" w:color="auto"/>
        <w:left w:val="none" w:sz="0" w:space="0" w:color="auto"/>
        <w:bottom w:val="none" w:sz="0" w:space="0" w:color="auto"/>
        <w:right w:val="none" w:sz="0" w:space="0" w:color="auto"/>
      </w:divBdr>
      <w:divsChild>
        <w:div w:id="1417903108">
          <w:marLeft w:val="0"/>
          <w:marRight w:val="0"/>
          <w:marTop w:val="0"/>
          <w:marBottom w:val="0"/>
          <w:divBdr>
            <w:top w:val="none" w:sz="0" w:space="0" w:color="auto"/>
            <w:left w:val="none" w:sz="0" w:space="0" w:color="auto"/>
            <w:bottom w:val="none" w:sz="0" w:space="0" w:color="auto"/>
            <w:right w:val="none" w:sz="0" w:space="0" w:color="auto"/>
          </w:divBdr>
          <w:divsChild>
            <w:div w:id="1264530621">
              <w:marLeft w:val="0"/>
              <w:marRight w:val="0"/>
              <w:marTop w:val="0"/>
              <w:marBottom w:val="0"/>
              <w:divBdr>
                <w:top w:val="none" w:sz="0" w:space="0" w:color="auto"/>
                <w:left w:val="none" w:sz="0" w:space="0" w:color="auto"/>
                <w:bottom w:val="none" w:sz="0" w:space="0" w:color="auto"/>
                <w:right w:val="none" w:sz="0" w:space="0" w:color="auto"/>
              </w:divBdr>
              <w:divsChild>
                <w:div w:id="196064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78800704">
      <w:bodyDiv w:val="1"/>
      <w:marLeft w:val="0"/>
      <w:marRight w:val="0"/>
      <w:marTop w:val="0"/>
      <w:marBottom w:val="0"/>
      <w:divBdr>
        <w:top w:val="none" w:sz="0" w:space="0" w:color="auto"/>
        <w:left w:val="none" w:sz="0" w:space="0" w:color="auto"/>
        <w:bottom w:val="none" w:sz="0" w:space="0" w:color="auto"/>
        <w:right w:val="none" w:sz="0" w:space="0" w:color="auto"/>
      </w:divBdr>
      <w:divsChild>
        <w:div w:id="572349956">
          <w:marLeft w:val="0"/>
          <w:marRight w:val="0"/>
          <w:marTop w:val="0"/>
          <w:marBottom w:val="0"/>
          <w:divBdr>
            <w:top w:val="none" w:sz="0" w:space="0" w:color="auto"/>
            <w:left w:val="none" w:sz="0" w:space="0" w:color="auto"/>
            <w:bottom w:val="none" w:sz="0" w:space="0" w:color="auto"/>
            <w:right w:val="none" w:sz="0" w:space="0" w:color="auto"/>
          </w:divBdr>
        </w:div>
      </w:divsChild>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5423701">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410328">
      <w:bodyDiv w:val="1"/>
      <w:marLeft w:val="0"/>
      <w:marRight w:val="0"/>
      <w:marTop w:val="0"/>
      <w:marBottom w:val="0"/>
      <w:divBdr>
        <w:top w:val="none" w:sz="0" w:space="0" w:color="auto"/>
        <w:left w:val="none" w:sz="0" w:space="0" w:color="auto"/>
        <w:bottom w:val="none" w:sz="0" w:space="0" w:color="auto"/>
        <w:right w:val="none" w:sz="0" w:space="0" w:color="auto"/>
      </w:divBdr>
      <w:divsChild>
        <w:div w:id="932855324">
          <w:marLeft w:val="0"/>
          <w:marRight w:val="0"/>
          <w:marTop w:val="0"/>
          <w:marBottom w:val="0"/>
          <w:divBdr>
            <w:top w:val="none" w:sz="0" w:space="0" w:color="auto"/>
            <w:left w:val="none" w:sz="0" w:space="0" w:color="auto"/>
            <w:bottom w:val="none" w:sz="0" w:space="0" w:color="auto"/>
            <w:right w:val="none" w:sz="0" w:space="0" w:color="auto"/>
          </w:divBdr>
          <w:divsChild>
            <w:div w:id="984509499">
              <w:marLeft w:val="0"/>
              <w:marRight w:val="0"/>
              <w:marTop w:val="0"/>
              <w:marBottom w:val="0"/>
              <w:divBdr>
                <w:top w:val="none" w:sz="0" w:space="0" w:color="auto"/>
                <w:left w:val="none" w:sz="0" w:space="0" w:color="auto"/>
                <w:bottom w:val="none" w:sz="0" w:space="0" w:color="auto"/>
                <w:right w:val="none" w:sz="0" w:space="0" w:color="auto"/>
              </w:divBdr>
              <w:divsChild>
                <w:div w:id="1891262088">
                  <w:marLeft w:val="0"/>
                  <w:marRight w:val="0"/>
                  <w:marTop w:val="0"/>
                  <w:marBottom w:val="0"/>
                  <w:divBdr>
                    <w:top w:val="none" w:sz="0" w:space="0" w:color="auto"/>
                    <w:left w:val="none" w:sz="0" w:space="0" w:color="auto"/>
                    <w:bottom w:val="none" w:sz="0" w:space="0" w:color="auto"/>
                    <w:right w:val="none" w:sz="0" w:space="0" w:color="auto"/>
                  </w:divBdr>
                  <w:divsChild>
                    <w:div w:id="69195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48769308">
      <w:bodyDiv w:val="1"/>
      <w:marLeft w:val="0"/>
      <w:marRight w:val="0"/>
      <w:marTop w:val="0"/>
      <w:marBottom w:val="0"/>
      <w:divBdr>
        <w:top w:val="none" w:sz="0" w:space="0" w:color="auto"/>
        <w:left w:val="none" w:sz="0" w:space="0" w:color="auto"/>
        <w:bottom w:val="none" w:sz="0" w:space="0" w:color="auto"/>
        <w:right w:val="none" w:sz="0" w:space="0" w:color="auto"/>
      </w:divBdr>
      <w:divsChild>
        <w:div w:id="849875501">
          <w:marLeft w:val="0"/>
          <w:marRight w:val="0"/>
          <w:marTop w:val="0"/>
          <w:marBottom w:val="0"/>
          <w:divBdr>
            <w:top w:val="none" w:sz="0" w:space="0" w:color="auto"/>
            <w:left w:val="none" w:sz="0" w:space="0" w:color="auto"/>
            <w:bottom w:val="none" w:sz="0" w:space="0" w:color="auto"/>
            <w:right w:val="none" w:sz="0" w:space="0" w:color="auto"/>
          </w:divBdr>
          <w:divsChild>
            <w:div w:id="627515589">
              <w:marLeft w:val="0"/>
              <w:marRight w:val="0"/>
              <w:marTop w:val="0"/>
              <w:marBottom w:val="0"/>
              <w:divBdr>
                <w:top w:val="none" w:sz="0" w:space="0" w:color="auto"/>
                <w:left w:val="none" w:sz="0" w:space="0" w:color="auto"/>
                <w:bottom w:val="none" w:sz="0" w:space="0" w:color="auto"/>
                <w:right w:val="none" w:sz="0" w:space="0" w:color="auto"/>
              </w:divBdr>
              <w:divsChild>
                <w:div w:id="210410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400849">
      <w:bodyDiv w:val="1"/>
      <w:marLeft w:val="0"/>
      <w:marRight w:val="0"/>
      <w:marTop w:val="0"/>
      <w:marBottom w:val="0"/>
      <w:divBdr>
        <w:top w:val="none" w:sz="0" w:space="0" w:color="auto"/>
        <w:left w:val="none" w:sz="0" w:space="0" w:color="auto"/>
        <w:bottom w:val="none" w:sz="0" w:space="0" w:color="auto"/>
        <w:right w:val="none" w:sz="0" w:space="0" w:color="auto"/>
      </w:divBdr>
      <w:divsChild>
        <w:div w:id="2108649876">
          <w:marLeft w:val="0"/>
          <w:marRight w:val="0"/>
          <w:marTop w:val="0"/>
          <w:marBottom w:val="0"/>
          <w:divBdr>
            <w:top w:val="none" w:sz="0" w:space="0" w:color="auto"/>
            <w:left w:val="none" w:sz="0" w:space="0" w:color="auto"/>
            <w:bottom w:val="none" w:sz="0" w:space="0" w:color="auto"/>
            <w:right w:val="none" w:sz="0" w:space="0" w:color="auto"/>
          </w:divBdr>
          <w:divsChild>
            <w:div w:id="955403916">
              <w:marLeft w:val="0"/>
              <w:marRight w:val="0"/>
              <w:marTop w:val="0"/>
              <w:marBottom w:val="0"/>
              <w:divBdr>
                <w:top w:val="none" w:sz="0" w:space="0" w:color="auto"/>
                <w:left w:val="none" w:sz="0" w:space="0" w:color="auto"/>
                <w:bottom w:val="none" w:sz="0" w:space="0" w:color="auto"/>
                <w:right w:val="none" w:sz="0" w:space="0" w:color="auto"/>
              </w:divBdr>
              <w:divsChild>
                <w:div w:id="933324785">
                  <w:marLeft w:val="0"/>
                  <w:marRight w:val="0"/>
                  <w:marTop w:val="0"/>
                  <w:marBottom w:val="0"/>
                  <w:divBdr>
                    <w:top w:val="none" w:sz="0" w:space="0" w:color="auto"/>
                    <w:left w:val="none" w:sz="0" w:space="0" w:color="auto"/>
                    <w:bottom w:val="none" w:sz="0" w:space="0" w:color="auto"/>
                    <w:right w:val="none" w:sz="0" w:space="0" w:color="auto"/>
                  </w:divBdr>
                  <w:divsChild>
                    <w:div w:id="31676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474261">
      <w:bodyDiv w:val="1"/>
      <w:marLeft w:val="0"/>
      <w:marRight w:val="0"/>
      <w:marTop w:val="0"/>
      <w:marBottom w:val="0"/>
      <w:divBdr>
        <w:top w:val="none" w:sz="0" w:space="0" w:color="auto"/>
        <w:left w:val="none" w:sz="0" w:space="0" w:color="auto"/>
        <w:bottom w:val="none" w:sz="0" w:space="0" w:color="auto"/>
        <w:right w:val="none" w:sz="0" w:space="0" w:color="auto"/>
      </w:divBdr>
    </w:div>
    <w:div w:id="1776827981">
      <w:bodyDiv w:val="1"/>
      <w:marLeft w:val="0"/>
      <w:marRight w:val="0"/>
      <w:marTop w:val="0"/>
      <w:marBottom w:val="0"/>
      <w:divBdr>
        <w:top w:val="none" w:sz="0" w:space="0" w:color="auto"/>
        <w:left w:val="none" w:sz="0" w:space="0" w:color="auto"/>
        <w:bottom w:val="none" w:sz="0" w:space="0" w:color="auto"/>
        <w:right w:val="none" w:sz="0" w:space="0" w:color="auto"/>
      </w:divBdr>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946305">
      <w:bodyDiv w:val="1"/>
      <w:marLeft w:val="0"/>
      <w:marRight w:val="0"/>
      <w:marTop w:val="0"/>
      <w:marBottom w:val="0"/>
      <w:divBdr>
        <w:top w:val="none" w:sz="0" w:space="0" w:color="auto"/>
        <w:left w:val="none" w:sz="0" w:space="0" w:color="auto"/>
        <w:bottom w:val="none" w:sz="0" w:space="0" w:color="auto"/>
        <w:right w:val="none" w:sz="0" w:space="0" w:color="auto"/>
      </w:divBdr>
    </w:div>
    <w:div w:id="1789466845">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1071208">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6777416">
      <w:bodyDiv w:val="1"/>
      <w:marLeft w:val="0"/>
      <w:marRight w:val="0"/>
      <w:marTop w:val="0"/>
      <w:marBottom w:val="0"/>
      <w:divBdr>
        <w:top w:val="none" w:sz="0" w:space="0" w:color="auto"/>
        <w:left w:val="none" w:sz="0" w:space="0" w:color="auto"/>
        <w:bottom w:val="none" w:sz="0" w:space="0" w:color="auto"/>
        <w:right w:val="none" w:sz="0" w:space="0" w:color="auto"/>
      </w:divBdr>
      <w:divsChild>
        <w:div w:id="878473400">
          <w:marLeft w:val="0"/>
          <w:marRight w:val="0"/>
          <w:marTop w:val="0"/>
          <w:marBottom w:val="0"/>
          <w:divBdr>
            <w:top w:val="none" w:sz="0" w:space="0" w:color="auto"/>
            <w:left w:val="none" w:sz="0" w:space="0" w:color="auto"/>
            <w:bottom w:val="none" w:sz="0" w:space="0" w:color="auto"/>
            <w:right w:val="none" w:sz="0" w:space="0" w:color="auto"/>
          </w:divBdr>
          <w:divsChild>
            <w:div w:id="636031269">
              <w:marLeft w:val="0"/>
              <w:marRight w:val="0"/>
              <w:marTop w:val="0"/>
              <w:marBottom w:val="0"/>
              <w:divBdr>
                <w:top w:val="none" w:sz="0" w:space="0" w:color="auto"/>
                <w:left w:val="none" w:sz="0" w:space="0" w:color="auto"/>
                <w:bottom w:val="none" w:sz="0" w:space="0" w:color="auto"/>
                <w:right w:val="none" w:sz="0" w:space="0" w:color="auto"/>
              </w:divBdr>
              <w:divsChild>
                <w:div w:id="990787999">
                  <w:marLeft w:val="0"/>
                  <w:marRight w:val="0"/>
                  <w:marTop w:val="0"/>
                  <w:marBottom w:val="0"/>
                  <w:divBdr>
                    <w:top w:val="none" w:sz="0" w:space="0" w:color="auto"/>
                    <w:left w:val="none" w:sz="0" w:space="0" w:color="auto"/>
                    <w:bottom w:val="none" w:sz="0" w:space="0" w:color="auto"/>
                    <w:right w:val="none" w:sz="0" w:space="0" w:color="auto"/>
                  </w:divBdr>
                  <w:divsChild>
                    <w:div w:id="21004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1539483">
      <w:bodyDiv w:val="1"/>
      <w:marLeft w:val="0"/>
      <w:marRight w:val="0"/>
      <w:marTop w:val="0"/>
      <w:marBottom w:val="0"/>
      <w:divBdr>
        <w:top w:val="none" w:sz="0" w:space="0" w:color="auto"/>
        <w:left w:val="none" w:sz="0" w:space="0" w:color="auto"/>
        <w:bottom w:val="none" w:sz="0" w:space="0" w:color="auto"/>
        <w:right w:val="none" w:sz="0" w:space="0" w:color="auto"/>
      </w:divBdr>
    </w:div>
    <w:div w:id="1823085538">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4857320">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97814723">
      <w:bodyDiv w:val="1"/>
      <w:marLeft w:val="0"/>
      <w:marRight w:val="0"/>
      <w:marTop w:val="0"/>
      <w:marBottom w:val="0"/>
      <w:divBdr>
        <w:top w:val="none" w:sz="0" w:space="0" w:color="auto"/>
        <w:left w:val="none" w:sz="0" w:space="0" w:color="auto"/>
        <w:bottom w:val="none" w:sz="0" w:space="0" w:color="auto"/>
        <w:right w:val="none" w:sz="0" w:space="0" w:color="auto"/>
      </w:divBdr>
      <w:divsChild>
        <w:div w:id="230234604">
          <w:marLeft w:val="0"/>
          <w:marRight w:val="0"/>
          <w:marTop w:val="0"/>
          <w:marBottom w:val="0"/>
          <w:divBdr>
            <w:top w:val="none" w:sz="0" w:space="0" w:color="auto"/>
            <w:left w:val="none" w:sz="0" w:space="0" w:color="auto"/>
            <w:bottom w:val="none" w:sz="0" w:space="0" w:color="auto"/>
            <w:right w:val="none" w:sz="0" w:space="0" w:color="auto"/>
          </w:divBdr>
          <w:divsChild>
            <w:div w:id="2049253132">
              <w:marLeft w:val="0"/>
              <w:marRight w:val="0"/>
              <w:marTop w:val="0"/>
              <w:marBottom w:val="0"/>
              <w:divBdr>
                <w:top w:val="none" w:sz="0" w:space="0" w:color="auto"/>
                <w:left w:val="none" w:sz="0" w:space="0" w:color="auto"/>
                <w:bottom w:val="none" w:sz="0" w:space="0" w:color="auto"/>
                <w:right w:val="none" w:sz="0" w:space="0" w:color="auto"/>
              </w:divBdr>
              <w:divsChild>
                <w:div w:id="16798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333555">
      <w:bodyDiv w:val="1"/>
      <w:marLeft w:val="0"/>
      <w:marRight w:val="0"/>
      <w:marTop w:val="0"/>
      <w:marBottom w:val="0"/>
      <w:divBdr>
        <w:top w:val="none" w:sz="0" w:space="0" w:color="auto"/>
        <w:left w:val="none" w:sz="0" w:space="0" w:color="auto"/>
        <w:bottom w:val="none" w:sz="0" w:space="0" w:color="auto"/>
        <w:right w:val="none" w:sz="0" w:space="0" w:color="auto"/>
      </w:divBdr>
      <w:divsChild>
        <w:div w:id="1618832351">
          <w:marLeft w:val="0"/>
          <w:marRight w:val="0"/>
          <w:marTop w:val="0"/>
          <w:marBottom w:val="0"/>
          <w:divBdr>
            <w:top w:val="none" w:sz="0" w:space="0" w:color="auto"/>
            <w:left w:val="none" w:sz="0" w:space="0" w:color="auto"/>
            <w:bottom w:val="none" w:sz="0" w:space="0" w:color="auto"/>
            <w:right w:val="none" w:sz="0" w:space="0" w:color="auto"/>
          </w:divBdr>
          <w:divsChild>
            <w:div w:id="438573280">
              <w:marLeft w:val="0"/>
              <w:marRight w:val="0"/>
              <w:marTop w:val="0"/>
              <w:marBottom w:val="0"/>
              <w:divBdr>
                <w:top w:val="none" w:sz="0" w:space="0" w:color="auto"/>
                <w:left w:val="none" w:sz="0" w:space="0" w:color="auto"/>
                <w:bottom w:val="none" w:sz="0" w:space="0" w:color="auto"/>
                <w:right w:val="none" w:sz="0" w:space="0" w:color="auto"/>
              </w:divBdr>
              <w:divsChild>
                <w:div w:id="371198100">
                  <w:marLeft w:val="0"/>
                  <w:marRight w:val="0"/>
                  <w:marTop w:val="0"/>
                  <w:marBottom w:val="0"/>
                  <w:divBdr>
                    <w:top w:val="none" w:sz="0" w:space="0" w:color="auto"/>
                    <w:left w:val="none" w:sz="0" w:space="0" w:color="auto"/>
                    <w:bottom w:val="none" w:sz="0" w:space="0" w:color="auto"/>
                    <w:right w:val="none" w:sz="0" w:space="0" w:color="auto"/>
                  </w:divBdr>
                  <w:divsChild>
                    <w:div w:id="91528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67008671">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0964369">
      <w:bodyDiv w:val="1"/>
      <w:marLeft w:val="0"/>
      <w:marRight w:val="0"/>
      <w:marTop w:val="0"/>
      <w:marBottom w:val="0"/>
      <w:divBdr>
        <w:top w:val="none" w:sz="0" w:space="0" w:color="auto"/>
        <w:left w:val="none" w:sz="0" w:space="0" w:color="auto"/>
        <w:bottom w:val="none" w:sz="0" w:space="0" w:color="auto"/>
        <w:right w:val="none" w:sz="0" w:space="0" w:color="auto"/>
      </w:divBdr>
    </w:div>
    <w:div w:id="2007396015">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09597345">
      <w:bodyDiv w:val="1"/>
      <w:marLeft w:val="0"/>
      <w:marRight w:val="0"/>
      <w:marTop w:val="0"/>
      <w:marBottom w:val="0"/>
      <w:divBdr>
        <w:top w:val="none" w:sz="0" w:space="0" w:color="auto"/>
        <w:left w:val="none" w:sz="0" w:space="0" w:color="auto"/>
        <w:bottom w:val="none" w:sz="0" w:space="0" w:color="auto"/>
        <w:right w:val="none" w:sz="0" w:space="0" w:color="auto"/>
      </w:divBdr>
    </w:div>
    <w:div w:id="2012828402">
      <w:bodyDiv w:val="1"/>
      <w:marLeft w:val="0"/>
      <w:marRight w:val="0"/>
      <w:marTop w:val="0"/>
      <w:marBottom w:val="0"/>
      <w:divBdr>
        <w:top w:val="none" w:sz="0" w:space="0" w:color="auto"/>
        <w:left w:val="none" w:sz="0" w:space="0" w:color="auto"/>
        <w:bottom w:val="none" w:sz="0" w:space="0" w:color="auto"/>
        <w:right w:val="none" w:sz="0" w:space="0" w:color="auto"/>
      </w:divBdr>
    </w:div>
    <w:div w:id="2017071947">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45056635">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86803058">
      <w:bodyDiv w:val="1"/>
      <w:marLeft w:val="0"/>
      <w:marRight w:val="0"/>
      <w:marTop w:val="0"/>
      <w:marBottom w:val="0"/>
      <w:divBdr>
        <w:top w:val="none" w:sz="0" w:space="0" w:color="auto"/>
        <w:left w:val="none" w:sz="0" w:space="0" w:color="auto"/>
        <w:bottom w:val="none" w:sz="0" w:space="0" w:color="auto"/>
        <w:right w:val="none" w:sz="0" w:space="0" w:color="auto"/>
      </w:divBdr>
      <w:divsChild>
        <w:div w:id="177240049">
          <w:marLeft w:val="0"/>
          <w:marRight w:val="0"/>
          <w:marTop w:val="0"/>
          <w:marBottom w:val="0"/>
          <w:divBdr>
            <w:top w:val="none" w:sz="0" w:space="0" w:color="auto"/>
            <w:left w:val="none" w:sz="0" w:space="0" w:color="auto"/>
            <w:bottom w:val="none" w:sz="0" w:space="0" w:color="auto"/>
            <w:right w:val="none" w:sz="0" w:space="0" w:color="auto"/>
          </w:divBdr>
          <w:divsChild>
            <w:div w:id="1581257025">
              <w:marLeft w:val="0"/>
              <w:marRight w:val="0"/>
              <w:marTop w:val="0"/>
              <w:marBottom w:val="0"/>
              <w:divBdr>
                <w:top w:val="none" w:sz="0" w:space="0" w:color="auto"/>
                <w:left w:val="none" w:sz="0" w:space="0" w:color="auto"/>
                <w:bottom w:val="none" w:sz="0" w:space="0" w:color="auto"/>
                <w:right w:val="none" w:sz="0" w:space="0" w:color="auto"/>
              </w:divBdr>
              <w:divsChild>
                <w:div w:id="81048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398012">
      <w:bodyDiv w:val="1"/>
      <w:marLeft w:val="0"/>
      <w:marRight w:val="0"/>
      <w:marTop w:val="0"/>
      <w:marBottom w:val="0"/>
      <w:divBdr>
        <w:top w:val="none" w:sz="0" w:space="0" w:color="auto"/>
        <w:left w:val="none" w:sz="0" w:space="0" w:color="auto"/>
        <w:bottom w:val="none" w:sz="0" w:space="0" w:color="auto"/>
        <w:right w:val="none" w:sz="0" w:space="0" w:color="auto"/>
      </w:divBdr>
    </w:div>
    <w:div w:id="2098744137">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650556">
      <w:bodyDiv w:val="1"/>
      <w:marLeft w:val="0"/>
      <w:marRight w:val="0"/>
      <w:marTop w:val="0"/>
      <w:marBottom w:val="0"/>
      <w:divBdr>
        <w:top w:val="none" w:sz="0" w:space="0" w:color="auto"/>
        <w:left w:val="none" w:sz="0" w:space="0" w:color="auto"/>
        <w:bottom w:val="none" w:sz="0" w:space="0" w:color="auto"/>
        <w:right w:val="none" w:sz="0" w:space="0" w:color="auto"/>
      </w:divBdr>
    </w:div>
    <w:div w:id="2133672778">
      <w:bodyDiv w:val="1"/>
      <w:marLeft w:val="0"/>
      <w:marRight w:val="0"/>
      <w:marTop w:val="0"/>
      <w:marBottom w:val="0"/>
      <w:divBdr>
        <w:top w:val="none" w:sz="0" w:space="0" w:color="auto"/>
        <w:left w:val="none" w:sz="0" w:space="0" w:color="auto"/>
        <w:bottom w:val="none" w:sz="0" w:space="0" w:color="auto"/>
        <w:right w:val="none" w:sz="0" w:space="0" w:color="auto"/>
      </w:divBdr>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 Type="http://schemas.openxmlformats.org/officeDocument/2006/relationships/image" Target="/media/image4.png" Id="Ra508dd9dee0f4ad4" /><Relationship Type="http://schemas.openxmlformats.org/officeDocument/2006/relationships/image" Target="/media/image5.png" Id="R25d327cb26a74fbe" /></Relationships>
</file>

<file path=word/_rels/footer1.xml.rels>&#65279;<?xml version="1.0" encoding="utf-8"?><Relationships xmlns="http://schemas.openxmlformats.org/package/2006/relationships"><Relationship Type="http://schemas.openxmlformats.org/officeDocument/2006/relationships/image" Target="/media/image6.png" Id="Re2f0f0ca69c341eb" /></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2.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F8521671-D56A-F342-8BC5-FA15744391E7}">
  <ds:schemaRefs>
    <ds:schemaRef ds:uri="http://schemas.openxmlformats.org/officeDocument/2006/bibliography"/>
  </ds:schemaRefs>
</ds:datastoreItem>
</file>

<file path=customXml/itemProps4.xml><?xml version="1.0" encoding="utf-8"?>
<ds:datastoreItem xmlns:ds="http://schemas.openxmlformats.org/officeDocument/2006/customXml" ds:itemID="{8F4A4FA1-0EE5-42C4-8F7E-C4FC32C637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C:\Users\ximena.cabezas\AppData\Local\Microsoft\Windows\INetCache\Content.Outlook\N37DCYCK\Respuesta a consultas.dotm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RESPUESTA DIRECCIÓN CONTRACTUAL</dc:title>
  <dc:creator>Ximena Alejandra Cabezas Valencia</dc:creator>
  <lastModifiedBy>Liliana Patricia Sanguino Arenas</lastModifiedBy>
  <revision>37</revision>
  <lastPrinted>2020-01-30T15:05:00.0000000Z</lastPrinted>
  <dcterms:created xsi:type="dcterms:W3CDTF">2021-02-03T20:08:00.0000000Z</dcterms:created>
  <dcterms:modified xsi:type="dcterms:W3CDTF">2021-02-22T18:59:51.7189302Z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