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593EA1" w:rsidRDefault="00B55C69" w:rsidP="008536BB">
      <w:pPr>
        <w:jc w:val="right"/>
        <w:rPr>
          <w:rFonts w:ascii="Arial" w:eastAsia="Calibri" w:hAnsi="Arial" w:cs="Arial"/>
          <w:b/>
          <w:sz w:val="20"/>
          <w:szCs w:val="20"/>
          <w:lang w:val="es-ES_tradnl"/>
        </w:rPr>
      </w:pPr>
      <w:bookmarkStart w:id="0" w:name="_Hlk28946138"/>
      <w:bookmarkStart w:id="1" w:name="_Hlk29548183"/>
      <w:r w:rsidRPr="00593EA1">
        <w:rPr>
          <w:rFonts w:ascii="Arial" w:hAnsi="Arial" w:cs="Arial"/>
          <w:bCs/>
          <w:sz w:val="16"/>
          <w:szCs w:val="16"/>
          <w:lang w:val="es-ES_tradnl" w:eastAsia="es-ES"/>
        </w:rPr>
        <w:t>CCE-DES-FM-17</w:t>
      </w:r>
      <w:bookmarkEnd w:id="0"/>
      <w:bookmarkEnd w:id="1"/>
    </w:p>
    <w:p w14:paraId="55FBD910" w14:textId="77777777" w:rsidR="008536BB" w:rsidRPr="00593EA1" w:rsidRDefault="008536BB" w:rsidP="00B95C30">
      <w:pPr>
        <w:spacing w:line="276" w:lineRule="auto"/>
        <w:jc w:val="both"/>
        <w:rPr>
          <w:rFonts w:ascii="Arial" w:hAnsi="Arial" w:cs="Arial"/>
          <w:noProof/>
          <w:sz w:val="22"/>
          <w:lang w:val="es-ES_tradnl"/>
        </w:rPr>
      </w:pPr>
    </w:p>
    <w:p w14:paraId="6A654097" w14:textId="523CAACE" w:rsidR="00C978D4" w:rsidRPr="00593EA1" w:rsidRDefault="00272945" w:rsidP="00C978D4">
      <w:pPr>
        <w:jc w:val="both"/>
        <w:rPr>
          <w:rFonts w:ascii="Arial" w:eastAsia="Calibri" w:hAnsi="Arial" w:cs="Arial"/>
          <w:b/>
          <w:sz w:val="22"/>
          <w:lang w:val="es-ES_tradnl"/>
        </w:rPr>
      </w:pPr>
      <w:r w:rsidRPr="00593EA1">
        <w:rPr>
          <w:rFonts w:ascii="Arial" w:eastAsia="Calibri" w:hAnsi="Arial" w:cs="Arial"/>
          <w:b/>
          <w:sz w:val="22"/>
          <w:lang w:val="es-ES_tradnl"/>
        </w:rPr>
        <w:t>SELECCIÓN OBJETIVA</w:t>
      </w:r>
      <w:r w:rsidR="00C978D4" w:rsidRPr="00593EA1">
        <w:rPr>
          <w:rFonts w:ascii="Arial" w:eastAsia="Calibri" w:hAnsi="Arial" w:cs="Arial"/>
          <w:b/>
          <w:sz w:val="22"/>
          <w:lang w:val="es-ES_tradnl"/>
        </w:rPr>
        <w:t xml:space="preserve"> – </w:t>
      </w:r>
      <w:r w:rsidR="00003D39" w:rsidRPr="00593EA1">
        <w:rPr>
          <w:rFonts w:ascii="Arial" w:eastAsia="Calibri" w:hAnsi="Arial" w:cs="Arial"/>
          <w:b/>
          <w:sz w:val="22"/>
          <w:lang w:val="es-ES_tradnl"/>
        </w:rPr>
        <w:t>Contratación estatal</w:t>
      </w:r>
      <w:r w:rsidR="00616D7F" w:rsidRPr="00593EA1">
        <w:rPr>
          <w:rFonts w:ascii="Arial" w:eastAsia="Calibri" w:hAnsi="Arial" w:cs="Arial"/>
          <w:b/>
          <w:sz w:val="22"/>
          <w:lang w:val="es-ES_tradnl"/>
        </w:rPr>
        <w:t xml:space="preserve"> </w:t>
      </w:r>
      <w:r w:rsidR="00C978D4" w:rsidRPr="00593EA1">
        <w:rPr>
          <w:rFonts w:ascii="Arial" w:eastAsia="Calibri" w:hAnsi="Arial" w:cs="Arial"/>
          <w:b/>
          <w:sz w:val="22"/>
          <w:lang w:val="es-ES_tradnl"/>
        </w:rPr>
        <w:t xml:space="preserve">– </w:t>
      </w:r>
      <w:r w:rsidRPr="00593EA1">
        <w:rPr>
          <w:rFonts w:ascii="Arial" w:eastAsia="Calibri" w:hAnsi="Arial" w:cs="Arial"/>
          <w:b/>
          <w:sz w:val="22"/>
          <w:lang w:val="es-ES_tradnl"/>
        </w:rPr>
        <w:t>Concepto</w:t>
      </w:r>
    </w:p>
    <w:p w14:paraId="4AAB8DDD" w14:textId="537B898C" w:rsidR="00C978D4" w:rsidRPr="00593EA1" w:rsidRDefault="00C978D4" w:rsidP="0099531F">
      <w:pPr>
        <w:jc w:val="both"/>
        <w:rPr>
          <w:rFonts w:ascii="Arial" w:eastAsia="Calibri" w:hAnsi="Arial" w:cs="Arial"/>
          <w:b/>
          <w:sz w:val="22"/>
          <w:lang w:val="es-ES_tradnl"/>
        </w:rPr>
      </w:pPr>
    </w:p>
    <w:p w14:paraId="51D76961" w14:textId="77777777" w:rsidR="0098709E" w:rsidRPr="00593EA1" w:rsidRDefault="0098709E" w:rsidP="0098709E">
      <w:pPr>
        <w:jc w:val="both"/>
        <w:rPr>
          <w:rFonts w:ascii="Arial" w:eastAsia="Calibri" w:hAnsi="Arial" w:cs="Arial"/>
          <w:sz w:val="20"/>
          <w:szCs w:val="20"/>
          <w:lang w:val="es-ES_tradnl"/>
        </w:rPr>
      </w:pPr>
      <w:r w:rsidRPr="00593EA1">
        <w:rPr>
          <w:rFonts w:ascii="Arial" w:eastAsia="Calibri" w:hAnsi="Arial" w:cs="Arial"/>
          <w:sz w:val="20"/>
          <w:szCs w:val="20"/>
          <w:lang w:val="es-ES_tradnl"/>
        </w:rPr>
        <w:t xml:space="preserve">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w:t>
      </w:r>
      <w:proofErr w:type="gramStart"/>
      <w:r w:rsidRPr="00593EA1">
        <w:rPr>
          <w:rFonts w:ascii="Arial" w:eastAsia="Calibri" w:hAnsi="Arial" w:cs="Arial"/>
          <w:sz w:val="20"/>
          <w:szCs w:val="20"/>
          <w:lang w:val="es-ES_tradnl"/>
        </w:rPr>
        <w:t>equivalentes,</w:t>
      </w:r>
      <w:proofErr w:type="gramEnd"/>
      <w:r w:rsidRPr="00593EA1">
        <w:rPr>
          <w:rFonts w:ascii="Arial" w:eastAsia="Calibri" w:hAnsi="Arial" w:cs="Arial"/>
          <w:sz w:val="20"/>
          <w:szCs w:val="20"/>
          <w:lang w:val="es-ES_tradnl"/>
        </w:rPr>
        <w:t xml:space="preserve"> tendrán en cuenta criterios como la experiencia y la capacidad jurídica, financiera y de organización, entre otros elementos que garanticen la escogencia de la mejor opción de negocio para la entidad estatal.</w:t>
      </w:r>
    </w:p>
    <w:p w14:paraId="33E10CCB" w14:textId="73477A66" w:rsidR="00636F88" w:rsidRPr="00593EA1" w:rsidRDefault="00636F88" w:rsidP="0099531F">
      <w:pPr>
        <w:jc w:val="both"/>
        <w:rPr>
          <w:rFonts w:ascii="Arial" w:eastAsia="Calibri" w:hAnsi="Arial" w:cs="Arial"/>
          <w:b/>
          <w:sz w:val="22"/>
          <w:lang w:val="es-ES_tradnl"/>
        </w:rPr>
      </w:pPr>
    </w:p>
    <w:p w14:paraId="73365DCF" w14:textId="63E2A713" w:rsidR="00272945" w:rsidRPr="00593EA1" w:rsidRDefault="00B54215" w:rsidP="00272945">
      <w:pPr>
        <w:jc w:val="both"/>
        <w:rPr>
          <w:rFonts w:ascii="Arial" w:eastAsia="Calibri" w:hAnsi="Arial" w:cs="Arial"/>
          <w:b/>
          <w:sz w:val="22"/>
          <w:lang w:val="es-ES_tradnl"/>
        </w:rPr>
      </w:pPr>
      <w:r w:rsidRPr="00593EA1">
        <w:rPr>
          <w:rFonts w:ascii="Arial" w:eastAsia="Calibri" w:hAnsi="Arial" w:cs="Arial"/>
          <w:b/>
          <w:sz w:val="22"/>
          <w:lang w:val="es-ES_tradnl"/>
        </w:rPr>
        <w:t>EMPATE</w:t>
      </w:r>
      <w:r w:rsidR="00272945" w:rsidRPr="00593EA1">
        <w:rPr>
          <w:rFonts w:ascii="Arial" w:eastAsia="Calibri" w:hAnsi="Arial" w:cs="Arial"/>
          <w:b/>
          <w:sz w:val="22"/>
          <w:lang w:val="es-ES_tradnl"/>
        </w:rPr>
        <w:t xml:space="preserve"> – </w:t>
      </w:r>
      <w:r w:rsidRPr="00593EA1">
        <w:rPr>
          <w:rFonts w:ascii="Arial" w:eastAsia="Calibri" w:hAnsi="Arial" w:cs="Arial"/>
          <w:b/>
          <w:sz w:val="22"/>
          <w:lang w:val="es-ES_tradnl"/>
        </w:rPr>
        <w:t>Procedimiento de selección</w:t>
      </w:r>
      <w:r w:rsidR="00272945" w:rsidRPr="00593EA1">
        <w:rPr>
          <w:rFonts w:ascii="Arial" w:eastAsia="Calibri" w:hAnsi="Arial" w:cs="Arial"/>
          <w:b/>
          <w:sz w:val="22"/>
          <w:lang w:val="es-ES_tradnl"/>
        </w:rPr>
        <w:t xml:space="preserve"> – Concepto</w:t>
      </w:r>
    </w:p>
    <w:p w14:paraId="182F8CB9" w14:textId="246E5B50" w:rsidR="00272945" w:rsidRPr="00593EA1" w:rsidRDefault="00272945" w:rsidP="0099531F">
      <w:pPr>
        <w:jc w:val="both"/>
        <w:rPr>
          <w:rFonts w:ascii="Arial" w:eastAsia="Calibri" w:hAnsi="Arial" w:cs="Arial"/>
          <w:b/>
          <w:sz w:val="22"/>
          <w:lang w:val="es-ES_tradnl"/>
        </w:rPr>
      </w:pPr>
    </w:p>
    <w:p w14:paraId="3AD8423B" w14:textId="77777777" w:rsidR="007342BB" w:rsidRPr="00593EA1" w:rsidRDefault="007342BB" w:rsidP="007342BB">
      <w:pPr>
        <w:jc w:val="both"/>
        <w:rPr>
          <w:rFonts w:ascii="Arial" w:hAnsi="Arial" w:cs="Arial"/>
          <w:noProof/>
          <w:sz w:val="22"/>
          <w:lang w:val="es-ES_tradnl"/>
        </w:rPr>
      </w:pPr>
      <w:r w:rsidRPr="00593EA1">
        <w:rPr>
          <w:rFonts w:ascii="Arial" w:eastAsia="Calibri" w:hAnsi="Arial" w:cs="Arial"/>
          <w:sz w:val="20"/>
          <w:szCs w:val="20"/>
          <w:lang w:val="es-ES_tradnl"/>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w:t>
      </w:r>
    </w:p>
    <w:p w14:paraId="29DD8E0A" w14:textId="5F79A1BF" w:rsidR="006F71F5" w:rsidRPr="00593EA1" w:rsidRDefault="006F71F5" w:rsidP="00B95C30">
      <w:pPr>
        <w:spacing w:line="276" w:lineRule="auto"/>
        <w:jc w:val="both"/>
        <w:rPr>
          <w:rFonts w:ascii="Arial" w:hAnsi="Arial" w:cs="Arial"/>
          <w:noProof/>
          <w:sz w:val="22"/>
          <w:lang w:val="es-ES_tradnl"/>
        </w:rPr>
      </w:pPr>
    </w:p>
    <w:p w14:paraId="04086EC5" w14:textId="04F7FF6D" w:rsidR="00DF71EA" w:rsidRPr="00593EA1" w:rsidRDefault="00D73881" w:rsidP="00DF71EA">
      <w:pPr>
        <w:jc w:val="both"/>
        <w:rPr>
          <w:rFonts w:ascii="Arial" w:eastAsia="Calibri" w:hAnsi="Arial" w:cs="Arial"/>
          <w:b/>
          <w:sz w:val="22"/>
          <w:lang w:val="es-ES_tradnl"/>
        </w:rPr>
      </w:pPr>
      <w:r w:rsidRPr="00593EA1">
        <w:rPr>
          <w:rFonts w:ascii="Arial" w:eastAsia="Calibri" w:hAnsi="Arial" w:cs="Arial"/>
          <w:b/>
          <w:sz w:val="22"/>
          <w:lang w:val="es-ES_tradnl"/>
        </w:rPr>
        <w:t>FACTORES DE DESEMPATE</w:t>
      </w:r>
      <w:r w:rsidR="00DF71EA" w:rsidRPr="00593EA1">
        <w:rPr>
          <w:rFonts w:ascii="Arial" w:eastAsia="Calibri" w:hAnsi="Arial" w:cs="Arial"/>
          <w:b/>
          <w:sz w:val="22"/>
          <w:lang w:val="es-ES_tradnl"/>
        </w:rPr>
        <w:t xml:space="preserve"> – </w:t>
      </w:r>
      <w:r w:rsidRPr="00593EA1">
        <w:rPr>
          <w:rFonts w:ascii="Arial" w:eastAsia="Calibri" w:hAnsi="Arial" w:cs="Arial"/>
          <w:b/>
          <w:sz w:val="22"/>
          <w:lang w:val="es-ES_tradnl"/>
        </w:rPr>
        <w:t>Características</w:t>
      </w:r>
      <w:r w:rsidR="00DF71EA" w:rsidRPr="00593EA1">
        <w:rPr>
          <w:rFonts w:ascii="Arial" w:eastAsia="Calibri" w:hAnsi="Arial" w:cs="Arial"/>
          <w:b/>
          <w:sz w:val="22"/>
          <w:lang w:val="es-ES_tradnl"/>
        </w:rPr>
        <w:t xml:space="preserve"> – </w:t>
      </w:r>
      <w:r w:rsidRPr="00593EA1">
        <w:rPr>
          <w:rFonts w:ascii="Arial" w:eastAsia="Calibri" w:hAnsi="Arial" w:cs="Arial"/>
          <w:b/>
          <w:sz w:val="22"/>
          <w:lang w:val="es-ES_tradnl"/>
        </w:rPr>
        <w:t>Límites</w:t>
      </w:r>
    </w:p>
    <w:p w14:paraId="583F00A4" w14:textId="390EB1EB" w:rsidR="00DF71EA" w:rsidRPr="00593EA1" w:rsidRDefault="00DF71EA" w:rsidP="00B95C30">
      <w:pPr>
        <w:spacing w:line="276" w:lineRule="auto"/>
        <w:jc w:val="both"/>
        <w:rPr>
          <w:rFonts w:ascii="Arial" w:hAnsi="Arial" w:cs="Arial"/>
          <w:noProof/>
          <w:sz w:val="22"/>
          <w:lang w:val="es-ES_tradnl"/>
        </w:rPr>
      </w:pPr>
    </w:p>
    <w:p w14:paraId="3C240600" w14:textId="77777777" w:rsidR="0026051E" w:rsidRPr="00593EA1" w:rsidRDefault="0026051E" w:rsidP="0026051E">
      <w:pPr>
        <w:jc w:val="both"/>
        <w:rPr>
          <w:rFonts w:ascii="Arial" w:eastAsia="Calibri" w:hAnsi="Arial" w:cs="Arial"/>
          <w:sz w:val="20"/>
          <w:szCs w:val="20"/>
          <w:lang w:val="es-ES_tradnl"/>
        </w:rPr>
      </w:pPr>
      <w:r w:rsidRPr="00593EA1">
        <w:rPr>
          <w:rFonts w:ascii="Arial" w:eastAsia="Calibri" w:hAnsi="Arial" w:cs="Arial"/>
          <w:sz w:val="20"/>
          <w:szCs w:val="20"/>
          <w:lang w:val="es-ES_tradnl"/>
        </w:rPr>
        <w:t>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halla el artículo 35 de la Ley 2069 de 2020. La jurisprudencia comparte la idea de que los criterios de desempate deben estar establecidos de antemano y constituyen un límite a la discrecionalidad administrativa en los procedimientos de selección.</w:t>
      </w:r>
    </w:p>
    <w:p w14:paraId="4D06F5C8" w14:textId="77777777" w:rsidR="0026051E" w:rsidRPr="00593EA1" w:rsidRDefault="0026051E" w:rsidP="0026051E">
      <w:pPr>
        <w:jc w:val="both"/>
        <w:rPr>
          <w:rFonts w:ascii="Arial" w:eastAsia="Calibri" w:hAnsi="Arial" w:cs="Arial"/>
          <w:sz w:val="20"/>
          <w:szCs w:val="20"/>
          <w:lang w:val="es-ES_tradnl"/>
        </w:rPr>
      </w:pPr>
    </w:p>
    <w:p w14:paraId="1F0FD3F2" w14:textId="77777777" w:rsidR="0026051E" w:rsidRPr="00593EA1" w:rsidRDefault="0026051E" w:rsidP="0026051E">
      <w:pPr>
        <w:jc w:val="both"/>
        <w:rPr>
          <w:rFonts w:ascii="Arial" w:eastAsia="Calibri" w:hAnsi="Arial" w:cs="Arial"/>
          <w:sz w:val="20"/>
          <w:szCs w:val="20"/>
          <w:lang w:val="es-ES_tradnl"/>
        </w:rPr>
      </w:pPr>
      <w:r w:rsidRPr="00593EA1">
        <w:rPr>
          <w:rFonts w:ascii="Arial" w:eastAsia="Calibri" w:hAnsi="Arial" w:cs="Arial"/>
          <w:sz w:val="20"/>
          <w:szCs w:val="20"/>
          <w:lang w:val="es-ES_tradnl"/>
        </w:rPr>
        <w:t xml:space="preserve">En tal sentido, la Corte Constitucional explica que cuando la ley establece factores de desempate obligatorios, las entidades estatales no pueden </w:t>
      </w:r>
      <w:proofErr w:type="spellStart"/>
      <w:r w:rsidRPr="00593EA1">
        <w:rPr>
          <w:rFonts w:ascii="Arial" w:eastAsia="Calibri" w:hAnsi="Arial" w:cs="Arial"/>
          <w:sz w:val="20"/>
          <w:szCs w:val="20"/>
          <w:lang w:val="es-ES_tradnl"/>
        </w:rPr>
        <w:t>inaplicarlos</w:t>
      </w:r>
      <w:proofErr w:type="spellEnd"/>
      <w:r w:rsidRPr="00593EA1">
        <w:rPr>
          <w:rFonts w:ascii="Arial" w:eastAsia="Calibri" w:hAnsi="Arial" w:cs="Arial"/>
          <w:sz w:val="20"/>
          <w:szCs w:val="20"/>
          <w:lang w:val="es-ES_tradnl"/>
        </w:rPr>
        <w:t xml:space="preserve">, porque ello podría vulnerar el principio de igualdad, especialmente, cuando algunos de estos criterios surgen como acciones afirmativas para ciertos sectores de la población. Es más, según el Consejo de Estado, ir en contra de los factores de desempate establecidos expresamente genera la nulidad del contrato, conforme al artículo 44, inciso 1º de la Ley 80 de 1993. </w:t>
      </w:r>
    </w:p>
    <w:p w14:paraId="03CC5C7E" w14:textId="460BCC05" w:rsidR="00D73881" w:rsidRPr="00593EA1" w:rsidRDefault="00D73881" w:rsidP="00B95C30">
      <w:pPr>
        <w:spacing w:line="276" w:lineRule="auto"/>
        <w:jc w:val="both"/>
        <w:rPr>
          <w:rFonts w:ascii="Arial" w:hAnsi="Arial" w:cs="Arial"/>
          <w:noProof/>
          <w:sz w:val="22"/>
          <w:lang w:val="es-ES_tradnl"/>
        </w:rPr>
      </w:pPr>
    </w:p>
    <w:p w14:paraId="197D1E99" w14:textId="77777777" w:rsidR="0026051E" w:rsidRPr="00593EA1" w:rsidRDefault="0026051E" w:rsidP="00D73881">
      <w:pPr>
        <w:jc w:val="both"/>
        <w:rPr>
          <w:rFonts w:ascii="Arial" w:eastAsia="Calibri" w:hAnsi="Arial" w:cs="Arial"/>
          <w:b/>
          <w:sz w:val="22"/>
          <w:lang w:val="es-ES_tradnl"/>
        </w:rPr>
      </w:pPr>
    </w:p>
    <w:p w14:paraId="07AD6094" w14:textId="77777777" w:rsidR="0026051E" w:rsidRPr="00593EA1" w:rsidRDefault="0026051E" w:rsidP="00D73881">
      <w:pPr>
        <w:jc w:val="both"/>
        <w:rPr>
          <w:rFonts w:ascii="Arial" w:eastAsia="Calibri" w:hAnsi="Arial" w:cs="Arial"/>
          <w:b/>
          <w:sz w:val="22"/>
          <w:lang w:val="es-ES_tradnl"/>
        </w:rPr>
      </w:pPr>
    </w:p>
    <w:p w14:paraId="7144E95B" w14:textId="76DD9ABA" w:rsidR="00D73881" w:rsidRPr="00593EA1" w:rsidRDefault="00D73881" w:rsidP="00D73881">
      <w:pPr>
        <w:jc w:val="both"/>
        <w:rPr>
          <w:rFonts w:ascii="Arial" w:eastAsia="Calibri" w:hAnsi="Arial" w:cs="Arial"/>
          <w:b/>
          <w:sz w:val="22"/>
          <w:lang w:val="es-ES_tradnl"/>
        </w:rPr>
      </w:pPr>
      <w:r w:rsidRPr="00593EA1">
        <w:rPr>
          <w:rFonts w:ascii="Arial" w:eastAsia="Calibri" w:hAnsi="Arial" w:cs="Arial"/>
          <w:b/>
          <w:sz w:val="22"/>
          <w:lang w:val="es-ES_tradnl"/>
        </w:rPr>
        <w:lastRenderedPageBreak/>
        <w:t xml:space="preserve">LEY DE EMPRENDIMIENTO – Ley </w:t>
      </w:r>
      <w:r w:rsidR="006F0F34" w:rsidRPr="00593EA1">
        <w:rPr>
          <w:rFonts w:ascii="Arial" w:eastAsia="Calibri" w:hAnsi="Arial" w:cs="Arial"/>
          <w:b/>
          <w:sz w:val="22"/>
          <w:lang w:val="es-ES_tradnl"/>
        </w:rPr>
        <w:t>2069</w:t>
      </w:r>
      <w:r w:rsidRPr="00593EA1">
        <w:rPr>
          <w:rFonts w:ascii="Arial" w:eastAsia="Calibri" w:hAnsi="Arial" w:cs="Arial"/>
          <w:b/>
          <w:sz w:val="22"/>
          <w:lang w:val="es-ES_tradnl"/>
        </w:rPr>
        <w:t xml:space="preserve"> de 2020 – Vigencia </w:t>
      </w:r>
    </w:p>
    <w:p w14:paraId="0D3B8DEB" w14:textId="33C83BCF" w:rsidR="00D73881" w:rsidRPr="00593EA1" w:rsidRDefault="00D73881" w:rsidP="00D73881">
      <w:pPr>
        <w:jc w:val="both"/>
        <w:rPr>
          <w:rFonts w:ascii="Arial" w:eastAsia="Calibri" w:hAnsi="Arial" w:cs="Arial"/>
          <w:b/>
          <w:sz w:val="22"/>
          <w:lang w:val="es-ES_tradnl"/>
        </w:rPr>
      </w:pPr>
    </w:p>
    <w:p w14:paraId="097E383C" w14:textId="77777777" w:rsidR="006A2829" w:rsidRPr="00593EA1" w:rsidRDefault="006A2829" w:rsidP="006A2829">
      <w:pPr>
        <w:jc w:val="both"/>
        <w:rPr>
          <w:rFonts w:ascii="Arial" w:eastAsia="Calibri" w:hAnsi="Arial" w:cs="Arial"/>
          <w:sz w:val="20"/>
          <w:szCs w:val="20"/>
          <w:lang w:val="es-ES_tradnl"/>
        </w:rPr>
      </w:pPr>
      <w:r w:rsidRPr="00593EA1">
        <w:rPr>
          <w:rFonts w:ascii="Arial" w:eastAsia="Calibri" w:hAnsi="Arial" w:cs="Arial"/>
          <w:sz w:val="20"/>
          <w:szCs w:val="20"/>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14:paraId="4A4015B6" w14:textId="77777777" w:rsidR="006A2829" w:rsidRPr="00593EA1" w:rsidRDefault="006A2829" w:rsidP="006A2829">
      <w:pPr>
        <w:jc w:val="both"/>
        <w:rPr>
          <w:rFonts w:ascii="Arial" w:eastAsia="Calibri" w:hAnsi="Arial" w:cs="Arial"/>
          <w:sz w:val="20"/>
          <w:szCs w:val="20"/>
          <w:lang w:val="es-ES_tradnl"/>
        </w:rPr>
      </w:pPr>
    </w:p>
    <w:p w14:paraId="178DBEA3" w14:textId="354351E2" w:rsidR="006A2829" w:rsidRPr="00593EA1" w:rsidRDefault="006A2829" w:rsidP="006A2829">
      <w:pPr>
        <w:jc w:val="both"/>
        <w:rPr>
          <w:rFonts w:ascii="Arial" w:eastAsia="Calibri" w:hAnsi="Arial" w:cs="Arial"/>
          <w:sz w:val="20"/>
          <w:szCs w:val="20"/>
          <w:lang w:val="es-ES_tradnl"/>
        </w:rPr>
      </w:pPr>
      <w:r w:rsidRPr="00593EA1">
        <w:rPr>
          <w:rFonts w:ascii="Arial" w:eastAsia="Calibri" w:hAnsi="Arial" w:cs="Arial"/>
          <w:sz w:val="20"/>
          <w:szCs w:val="20"/>
          <w:lang w:val="es-ES_tradnl"/>
        </w:rPr>
        <w:t xml:space="preserve">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593EA1">
        <w:rPr>
          <w:rFonts w:ascii="Arial" w:eastAsia="Calibri" w:hAnsi="Arial" w:cs="Arial"/>
          <w:sz w:val="20"/>
          <w:szCs w:val="20"/>
          <w:lang w:val="es-ES_tradnl"/>
        </w:rPr>
        <w:t>de acuerdo a</w:t>
      </w:r>
      <w:proofErr w:type="gramEnd"/>
      <w:r w:rsidRPr="00593EA1">
        <w:rPr>
          <w:rFonts w:ascii="Arial" w:eastAsia="Calibri" w:hAnsi="Arial"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593EA1">
        <w:rPr>
          <w:rFonts w:ascii="Arial" w:eastAsia="Calibri" w:hAnsi="Arial" w:cs="Arial"/>
          <w:sz w:val="20"/>
          <w:szCs w:val="20"/>
          <w:lang w:val="es-ES_tradnl"/>
        </w:rPr>
        <w:t>mipymes</w:t>
      </w:r>
      <w:proofErr w:type="spellEnd"/>
      <w:r w:rsidRPr="00593EA1">
        <w:rPr>
          <w:rFonts w:ascii="Arial" w:eastAsia="Calibri" w:hAnsi="Arial"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72A90F5C" w14:textId="5ABF2878" w:rsidR="00FE0DB8" w:rsidRPr="00593EA1" w:rsidRDefault="00FE0DB8" w:rsidP="006A2829">
      <w:pPr>
        <w:jc w:val="both"/>
        <w:rPr>
          <w:rFonts w:ascii="Arial" w:eastAsia="Calibri" w:hAnsi="Arial" w:cs="Arial"/>
          <w:sz w:val="20"/>
          <w:szCs w:val="20"/>
          <w:lang w:val="es-ES_tradnl"/>
        </w:rPr>
      </w:pPr>
    </w:p>
    <w:p w14:paraId="72805ABC" w14:textId="4F794887" w:rsidR="00FE0DB8" w:rsidRPr="00593EA1" w:rsidRDefault="00FE0DB8" w:rsidP="006A2829">
      <w:pPr>
        <w:jc w:val="both"/>
        <w:rPr>
          <w:rFonts w:ascii="Arial" w:eastAsia="Calibri" w:hAnsi="Arial" w:cs="Arial"/>
          <w:b/>
          <w:sz w:val="22"/>
          <w:lang w:val="es-ES_tradnl"/>
        </w:rPr>
      </w:pPr>
      <w:r w:rsidRPr="00593EA1">
        <w:rPr>
          <w:rFonts w:ascii="Arial" w:eastAsia="Calibri" w:hAnsi="Arial" w:cs="Arial"/>
          <w:b/>
          <w:sz w:val="22"/>
          <w:lang w:val="es-ES_tradnl"/>
        </w:rPr>
        <w:t>FACTORES DE DESEMPATE – Aplicación – Sucesiva y excluyente</w:t>
      </w:r>
    </w:p>
    <w:p w14:paraId="557BB832" w14:textId="7AE0371C" w:rsidR="00FE0DB8" w:rsidRPr="00593EA1" w:rsidRDefault="00FE0DB8" w:rsidP="006A2829">
      <w:pPr>
        <w:jc w:val="both"/>
        <w:rPr>
          <w:rFonts w:ascii="Arial" w:eastAsia="Calibri" w:hAnsi="Arial" w:cs="Arial"/>
          <w:b/>
          <w:sz w:val="22"/>
          <w:lang w:val="es-ES_tradnl"/>
        </w:rPr>
      </w:pPr>
    </w:p>
    <w:p w14:paraId="158E109E" w14:textId="0FE82900" w:rsidR="00FE0DB8" w:rsidRPr="00593EA1" w:rsidRDefault="00FE0DB8" w:rsidP="00FE0DB8">
      <w:pPr>
        <w:jc w:val="both"/>
        <w:rPr>
          <w:rFonts w:ascii="Arial" w:eastAsia="Calibri" w:hAnsi="Arial" w:cs="Arial"/>
          <w:bCs/>
          <w:sz w:val="20"/>
          <w:szCs w:val="22"/>
          <w:lang w:val="es-ES_tradnl"/>
        </w:rPr>
      </w:pPr>
      <w:r w:rsidRPr="00593EA1">
        <w:rPr>
          <w:rFonts w:ascii="Arial" w:eastAsia="Calibri" w:hAnsi="Arial" w:cs="Arial"/>
          <w:bCs/>
          <w:sz w:val="20"/>
          <w:szCs w:val="22"/>
          <w:lang w:val="es-ES_tradnl"/>
        </w:rPr>
        <w:t xml:space="preserve">[…] en cuanto a la aplicación de los factores de desempate del artículo 35, se itera, debe hacerse de forma sucesiva y excluyente. La aplicación sucesiva significa que, para resolver una situación de empate usando dichos factores, las entidades estatales deben, en primer lugar, acudir al primero de los factores establecidos, esto es, el del numeral 1, y en caso de que dicho factor no sirva a resolver el empate, por cuanto ambos proponentes empatados cumplen con la condición establecida para beneficiarse del mismo o ninguno la cumple, la entidad deberá acudir al siguiente, y así sucesivamente hasta llegar al último factor. Por otro lado, el hecho de que la aplicación deba hacerse de forma excluyente supone que una situación de empate se resuelve únicamente conforme a uno de los doce factores enlistados en el artículo 35, y en caso de que no sea el primero, la entidad ha debido agotar los factores de desempate que lo anteceden. </w:t>
      </w:r>
    </w:p>
    <w:p w14:paraId="3670811C" w14:textId="77777777" w:rsidR="00FE0DB8" w:rsidRPr="00593EA1" w:rsidRDefault="00FE0DB8" w:rsidP="00FE0DB8">
      <w:pPr>
        <w:jc w:val="both"/>
        <w:rPr>
          <w:rFonts w:ascii="Arial" w:eastAsia="Calibri" w:hAnsi="Arial" w:cs="Arial"/>
          <w:bCs/>
          <w:sz w:val="20"/>
          <w:szCs w:val="22"/>
          <w:lang w:val="es-ES_tradnl"/>
        </w:rPr>
      </w:pPr>
    </w:p>
    <w:p w14:paraId="06AF25BC" w14:textId="06203201" w:rsidR="00FE0DB8" w:rsidRPr="00593EA1" w:rsidRDefault="00FE0DB8" w:rsidP="00FE0DB8">
      <w:pPr>
        <w:jc w:val="both"/>
        <w:rPr>
          <w:rFonts w:ascii="Arial" w:eastAsia="Calibri" w:hAnsi="Arial" w:cs="Arial"/>
          <w:bCs/>
          <w:sz w:val="20"/>
          <w:szCs w:val="22"/>
          <w:lang w:val="es-ES_tradnl"/>
        </w:rPr>
      </w:pPr>
      <w:r w:rsidRPr="00593EA1">
        <w:rPr>
          <w:rFonts w:ascii="Arial" w:eastAsia="Calibri" w:hAnsi="Arial" w:cs="Arial"/>
          <w:bCs/>
          <w:sz w:val="20"/>
          <w:szCs w:val="22"/>
          <w:lang w:val="es-ES_tradnl"/>
        </w:rPr>
        <w:t>De otra parte, es preciso aclarar que la aplicación sucesiva y excluyente dispuesta por el primer inciso del artículo 35 Ibídem, significa que el orden ascendente determinado por los numerales debe ser respetado por las entidades al aplicar los factores de desempate, cuyo uso además es imperativo en las situaciones de empate que se presenten en los procesos de selección adelantados con cargo a recursos públicos, por entidades estatales –independientemente de su régimen de contratación– o por los patrimonios autónomos constituidos por estas. Esto significa que tales entidades no pueden escoger cuales factores aplican y cuáles no, y que tampoco les está dado saltarse factores para aplicar un determinado factor, no habiendo agotado la posibilidad de resolver el empate con los que lo anteceden.</w:t>
      </w:r>
    </w:p>
    <w:p w14:paraId="7B24A529" w14:textId="77777777" w:rsidR="008410B1" w:rsidRPr="00593EA1" w:rsidRDefault="008410B1" w:rsidP="008410B1">
      <w:pPr>
        <w:jc w:val="both"/>
        <w:rPr>
          <w:rFonts w:ascii="Arial" w:eastAsia="Calibri" w:hAnsi="Arial" w:cs="Arial"/>
          <w:b/>
          <w:sz w:val="22"/>
          <w:lang w:val="es-ES_tradnl"/>
        </w:rPr>
      </w:pPr>
    </w:p>
    <w:p w14:paraId="5B078637" w14:textId="77777777" w:rsidR="00B167C8" w:rsidRPr="00593EA1" w:rsidRDefault="00B167C8" w:rsidP="00B95C30">
      <w:pPr>
        <w:spacing w:line="276" w:lineRule="auto"/>
        <w:jc w:val="both"/>
        <w:rPr>
          <w:rFonts w:ascii="Arial" w:hAnsi="Arial" w:cs="Arial"/>
          <w:noProof/>
          <w:sz w:val="22"/>
          <w:lang w:val="es-ES_tradnl"/>
        </w:rPr>
      </w:pPr>
    </w:p>
    <w:p w14:paraId="13C27EB7" w14:textId="77777777" w:rsidR="00B167C8" w:rsidRPr="00593EA1" w:rsidRDefault="00B167C8" w:rsidP="00B95C30">
      <w:pPr>
        <w:spacing w:line="276" w:lineRule="auto"/>
        <w:jc w:val="both"/>
        <w:rPr>
          <w:rFonts w:ascii="Arial" w:hAnsi="Arial" w:cs="Arial"/>
          <w:noProof/>
          <w:sz w:val="22"/>
          <w:lang w:val="es-ES_tradnl"/>
        </w:rPr>
      </w:pPr>
    </w:p>
    <w:p w14:paraId="0AB212D3" w14:textId="77777777" w:rsidR="00B167C8" w:rsidRPr="00593EA1" w:rsidRDefault="00B167C8" w:rsidP="00B95C30">
      <w:pPr>
        <w:spacing w:line="276" w:lineRule="auto"/>
        <w:jc w:val="both"/>
        <w:rPr>
          <w:rFonts w:ascii="Arial" w:hAnsi="Arial" w:cs="Arial"/>
          <w:noProof/>
          <w:sz w:val="22"/>
          <w:lang w:val="es-ES_tradnl"/>
        </w:rPr>
      </w:pPr>
    </w:p>
    <w:p w14:paraId="3C94E802" w14:textId="6D649291" w:rsidR="0031674D" w:rsidRPr="00593EA1" w:rsidRDefault="0031674D" w:rsidP="00B95C30">
      <w:pPr>
        <w:spacing w:line="276" w:lineRule="auto"/>
        <w:jc w:val="both"/>
        <w:rPr>
          <w:rFonts w:ascii="Arial" w:hAnsi="Arial" w:cs="Arial"/>
          <w:noProof/>
          <w:sz w:val="22"/>
          <w:lang w:val="es-ES_tradnl"/>
        </w:rPr>
      </w:pPr>
    </w:p>
    <w:p w14:paraId="61D6B9E6" w14:textId="77777777" w:rsidR="00F94CF9" w:rsidRPr="00F94CF9" w:rsidRDefault="00F94CF9" w:rsidP="00F94CF9">
      <w:pPr>
        <w:spacing w:line="276" w:lineRule="auto"/>
        <w:jc w:val="right"/>
        <w:rPr>
          <w:rFonts w:ascii="Arial" w:hAnsi="Arial" w:cs="Arial"/>
          <w:b/>
          <w:bCs/>
          <w:noProof/>
          <w:sz w:val="22"/>
          <w:lang w:val="es-ES_tradnl"/>
        </w:rPr>
      </w:pPr>
      <w:r w:rsidRPr="00F94CF9">
        <w:rPr>
          <w:rFonts w:ascii="Arial" w:hAnsi="Arial" w:cs="Arial"/>
          <w:b/>
          <w:bCs/>
          <w:noProof/>
          <w:sz w:val="22"/>
          <w:lang w:val="es-ES_tradnl"/>
        </w:rPr>
        <w:t>Radicado No. RS20210407002712</w:t>
      </w:r>
    </w:p>
    <w:p w14:paraId="72B34122" w14:textId="77777777" w:rsidR="00F94CF9" w:rsidRDefault="00F94CF9" w:rsidP="00B95C30">
      <w:pPr>
        <w:spacing w:line="276" w:lineRule="auto"/>
        <w:jc w:val="both"/>
        <w:rPr>
          <w:rFonts w:ascii="Arial" w:hAnsi="Arial" w:cs="Arial"/>
          <w:noProof/>
          <w:sz w:val="22"/>
          <w:lang w:val="es-ES_tradnl"/>
        </w:rPr>
      </w:pPr>
    </w:p>
    <w:p w14:paraId="4657B512" w14:textId="6795A3A1" w:rsidR="009F0312" w:rsidRPr="00593EA1" w:rsidRDefault="00F94CF9" w:rsidP="00B95C30">
      <w:pPr>
        <w:spacing w:line="276" w:lineRule="auto"/>
        <w:jc w:val="both"/>
        <w:rPr>
          <w:rFonts w:ascii="Arial" w:hAnsi="Arial" w:cs="Arial"/>
          <w:noProof/>
          <w:sz w:val="22"/>
          <w:lang w:val="es-ES_tradnl"/>
        </w:rPr>
      </w:pPr>
      <w:r w:rsidRPr="00F94CF9">
        <w:rPr>
          <w:rFonts w:ascii="Arial" w:hAnsi="Arial" w:cs="Arial"/>
          <w:noProof/>
          <w:sz w:val="22"/>
          <w:lang w:val="es-ES_tradnl"/>
        </w:rPr>
        <w:t>Bogotá, 07 Abril 2021</w:t>
      </w:r>
      <w:r w:rsidRPr="00F94CF9">
        <w:rPr>
          <w:rFonts w:ascii="Arial" w:hAnsi="Arial" w:cs="Arial"/>
          <w:noProof/>
          <w:sz w:val="22"/>
          <w:lang w:val="es-ES_tradnl"/>
        </w:rPr>
        <w:cr/>
      </w:r>
    </w:p>
    <w:p w14:paraId="3DCA4D09" w14:textId="47CED0EC" w:rsidR="0031674D" w:rsidRPr="00593EA1" w:rsidRDefault="0031674D" w:rsidP="00B95C30">
      <w:pPr>
        <w:jc w:val="both"/>
        <w:rPr>
          <w:rFonts w:ascii="Arial" w:hAnsi="Arial" w:cs="Arial"/>
          <w:b/>
          <w:sz w:val="22"/>
          <w:lang w:val="es-ES_tradnl"/>
        </w:rPr>
      </w:pPr>
    </w:p>
    <w:p w14:paraId="6431B909" w14:textId="62947D29" w:rsidR="00FE0DB8" w:rsidRPr="00593EA1" w:rsidRDefault="00FE0DB8" w:rsidP="00B95C30">
      <w:pPr>
        <w:jc w:val="both"/>
        <w:rPr>
          <w:rFonts w:ascii="Arial" w:hAnsi="Arial" w:cs="Arial"/>
          <w:b/>
          <w:sz w:val="22"/>
          <w:lang w:val="es-ES_tradnl"/>
        </w:rPr>
      </w:pPr>
    </w:p>
    <w:p w14:paraId="5F5AE9EF" w14:textId="55A13B6D" w:rsidR="00B95C30" w:rsidRPr="00593EA1" w:rsidRDefault="00BE4FBF" w:rsidP="00B95C30">
      <w:pPr>
        <w:jc w:val="both"/>
        <w:rPr>
          <w:rFonts w:ascii="Arial" w:eastAsia="Calibri" w:hAnsi="Arial" w:cs="Arial"/>
          <w:sz w:val="22"/>
          <w:lang w:val="es-ES_tradnl"/>
        </w:rPr>
      </w:pPr>
      <w:r w:rsidRPr="00593EA1">
        <w:rPr>
          <w:rFonts w:ascii="Arial" w:eastAsia="Calibri" w:hAnsi="Arial" w:cs="Arial"/>
          <w:sz w:val="22"/>
          <w:lang w:val="es-ES_tradnl"/>
        </w:rPr>
        <w:t>Señor</w:t>
      </w:r>
    </w:p>
    <w:p w14:paraId="0B4A3570" w14:textId="28D25900" w:rsidR="00754F12" w:rsidRPr="00593EA1" w:rsidRDefault="00754F12" w:rsidP="00B95C30">
      <w:pPr>
        <w:jc w:val="both"/>
        <w:rPr>
          <w:rFonts w:ascii="Arial" w:eastAsia="Calibri" w:hAnsi="Arial" w:cs="Arial"/>
          <w:b/>
          <w:sz w:val="22"/>
          <w:lang w:val="es-ES_tradnl"/>
        </w:rPr>
      </w:pPr>
      <w:r w:rsidRPr="00593EA1">
        <w:rPr>
          <w:rFonts w:ascii="Arial" w:eastAsia="Calibri" w:hAnsi="Arial" w:cs="Arial"/>
          <w:b/>
          <w:sz w:val="22"/>
          <w:lang w:val="es-ES_tradnl"/>
        </w:rPr>
        <w:t xml:space="preserve">Jorge </w:t>
      </w:r>
      <w:proofErr w:type="spellStart"/>
      <w:r w:rsidRPr="00593EA1">
        <w:rPr>
          <w:rFonts w:ascii="Arial" w:eastAsia="Calibri" w:hAnsi="Arial" w:cs="Arial"/>
          <w:b/>
          <w:sz w:val="22"/>
          <w:lang w:val="es-ES_tradnl"/>
        </w:rPr>
        <w:t>Armirola</w:t>
      </w:r>
      <w:proofErr w:type="spellEnd"/>
    </w:p>
    <w:p w14:paraId="09D4AEA8" w14:textId="39579F31" w:rsidR="00B95C30" w:rsidRPr="00593EA1" w:rsidRDefault="00754F12" w:rsidP="00B95C30">
      <w:pPr>
        <w:jc w:val="both"/>
        <w:rPr>
          <w:rFonts w:ascii="Arial" w:eastAsia="Calibri" w:hAnsi="Arial" w:cs="Arial"/>
          <w:sz w:val="22"/>
          <w:lang w:val="es-ES_tradnl"/>
        </w:rPr>
      </w:pPr>
      <w:r w:rsidRPr="00593EA1">
        <w:rPr>
          <w:rFonts w:ascii="Arial" w:eastAsia="Calibri" w:hAnsi="Arial" w:cs="Arial"/>
          <w:sz w:val="22"/>
          <w:lang w:val="es-ES_tradnl"/>
        </w:rPr>
        <w:t>Bogotá D.C.</w:t>
      </w:r>
    </w:p>
    <w:p w14:paraId="3F3D1203" w14:textId="087EB4C8" w:rsidR="00B95C30" w:rsidRPr="00593EA1" w:rsidRDefault="00B95C30" w:rsidP="00B95C30">
      <w:pPr>
        <w:jc w:val="both"/>
        <w:rPr>
          <w:rFonts w:ascii="Arial" w:eastAsia="Calibri" w:hAnsi="Arial" w:cs="Arial"/>
          <w:sz w:val="22"/>
          <w:lang w:val="es-ES_tradnl"/>
        </w:rPr>
      </w:pPr>
    </w:p>
    <w:p w14:paraId="7FEA18D2" w14:textId="77777777" w:rsidR="0031674D" w:rsidRPr="00593EA1" w:rsidRDefault="0031674D" w:rsidP="00B95C30">
      <w:pPr>
        <w:jc w:val="both"/>
        <w:rPr>
          <w:rFonts w:ascii="Arial" w:eastAsia="Calibri" w:hAnsi="Arial" w:cs="Arial"/>
          <w:sz w:val="22"/>
          <w:lang w:val="es-ES_tradnl"/>
        </w:rPr>
      </w:pPr>
    </w:p>
    <w:p w14:paraId="12E66182" w14:textId="721C7BD0" w:rsidR="00B95C30" w:rsidRPr="00593EA1" w:rsidRDefault="0031674D" w:rsidP="006E3937">
      <w:pPr>
        <w:rPr>
          <w:rFonts w:ascii="Arial" w:eastAsia="Calibri" w:hAnsi="Arial" w:cs="Arial"/>
          <w:b/>
          <w:bCs/>
          <w:sz w:val="22"/>
          <w:lang w:val="es-ES_tradnl"/>
        </w:rPr>
      </w:pPr>
      <w:r w:rsidRPr="00593EA1">
        <w:rPr>
          <w:rFonts w:ascii="Arial" w:eastAsia="Calibri" w:hAnsi="Arial" w:cs="Arial"/>
          <w:b/>
          <w:bCs/>
          <w:sz w:val="22"/>
          <w:lang w:val="es-ES_tradnl"/>
        </w:rPr>
        <w:t xml:space="preserve">                                            </w:t>
      </w:r>
      <w:r w:rsidR="00B95C30" w:rsidRPr="00593EA1">
        <w:rPr>
          <w:rFonts w:ascii="Arial" w:eastAsia="Calibri" w:hAnsi="Arial" w:cs="Arial"/>
          <w:b/>
          <w:bCs/>
          <w:sz w:val="22"/>
          <w:lang w:val="es-ES_tradnl"/>
        </w:rPr>
        <w:t xml:space="preserve">Concepto C ‒ </w:t>
      </w:r>
      <w:r w:rsidR="0061160E" w:rsidRPr="00593EA1">
        <w:rPr>
          <w:rFonts w:ascii="Arial" w:eastAsia="Calibri" w:hAnsi="Arial" w:cs="Arial"/>
          <w:b/>
          <w:bCs/>
          <w:sz w:val="22"/>
          <w:lang w:val="es-ES_tradnl"/>
        </w:rPr>
        <w:t>136</w:t>
      </w:r>
      <w:r w:rsidR="00B95C30" w:rsidRPr="00593EA1">
        <w:rPr>
          <w:rFonts w:ascii="Arial" w:eastAsia="Calibri" w:hAnsi="Arial" w:cs="Arial"/>
          <w:b/>
          <w:bCs/>
          <w:sz w:val="22"/>
          <w:lang w:val="es-ES_tradnl"/>
        </w:rPr>
        <w:t xml:space="preserve"> de 202</w:t>
      </w:r>
      <w:r w:rsidR="005E781C" w:rsidRPr="00593EA1">
        <w:rPr>
          <w:rFonts w:ascii="Arial" w:eastAsia="Calibri" w:hAnsi="Arial" w:cs="Arial"/>
          <w:b/>
          <w:bCs/>
          <w:sz w:val="22"/>
          <w:lang w:val="es-ES_tradnl"/>
        </w:rPr>
        <w:t>1</w:t>
      </w:r>
    </w:p>
    <w:p w14:paraId="1BD594F9" w14:textId="77777777" w:rsidR="00B95C30" w:rsidRPr="00593EA1" w:rsidRDefault="00B95C30" w:rsidP="00B95C30">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E0DB8" w:rsidRPr="00593EA1" w14:paraId="19DFC051" w14:textId="77777777" w:rsidTr="008F4163">
        <w:tc>
          <w:tcPr>
            <w:tcW w:w="2689" w:type="dxa"/>
          </w:tcPr>
          <w:p w14:paraId="6BC0D1AC" w14:textId="77777777" w:rsidR="00B95C30" w:rsidRPr="00593EA1" w:rsidRDefault="00B95C30" w:rsidP="008F4163">
            <w:pPr>
              <w:jc w:val="both"/>
              <w:rPr>
                <w:rFonts w:ascii="Arial" w:eastAsia="Calibri" w:hAnsi="Arial" w:cs="Arial"/>
                <w:sz w:val="22"/>
                <w:lang w:val="es-ES_tradnl"/>
              </w:rPr>
            </w:pPr>
            <w:r w:rsidRPr="00593EA1">
              <w:rPr>
                <w:rFonts w:ascii="Arial" w:eastAsia="Calibri" w:hAnsi="Arial" w:cs="Arial"/>
                <w:b/>
                <w:sz w:val="22"/>
                <w:lang w:val="es-ES_tradnl"/>
              </w:rPr>
              <w:t>Temas:</w:t>
            </w:r>
            <w:r w:rsidRPr="00593EA1">
              <w:rPr>
                <w:rFonts w:ascii="Arial" w:eastAsia="Calibri" w:hAnsi="Arial" w:cs="Arial"/>
                <w:sz w:val="22"/>
                <w:lang w:val="es-ES_tradnl"/>
              </w:rPr>
              <w:t xml:space="preserve">                                      </w:t>
            </w:r>
          </w:p>
        </w:tc>
        <w:tc>
          <w:tcPr>
            <w:tcW w:w="6237" w:type="dxa"/>
          </w:tcPr>
          <w:p w14:paraId="5F389CAF" w14:textId="6A9EA11A" w:rsidR="00B95C30" w:rsidRPr="00593EA1" w:rsidRDefault="008B63FE" w:rsidP="008F4163">
            <w:pPr>
              <w:jc w:val="both"/>
              <w:rPr>
                <w:rFonts w:ascii="Arial" w:eastAsia="Calibri" w:hAnsi="Arial" w:cs="Arial"/>
                <w:sz w:val="22"/>
                <w:lang w:val="es-ES_tradnl"/>
              </w:rPr>
            </w:pPr>
            <w:r w:rsidRPr="00593EA1">
              <w:rPr>
                <w:rFonts w:ascii="Arial" w:eastAsia="Calibri" w:hAnsi="Arial" w:cs="Arial"/>
                <w:bCs/>
                <w:sz w:val="22"/>
                <w:lang w:val="es-ES_tradnl"/>
              </w:rPr>
              <w:t xml:space="preserve">SELECCIÓN OBJETIVA – Contratación estatal – Concepto </w:t>
            </w:r>
            <w:r w:rsidR="00B95C30" w:rsidRPr="00593EA1">
              <w:rPr>
                <w:rFonts w:ascii="Arial" w:eastAsia="Calibri" w:hAnsi="Arial" w:cs="Arial"/>
                <w:bCs/>
                <w:sz w:val="22"/>
                <w:lang w:val="es-ES_tradnl"/>
              </w:rPr>
              <w:t>/</w:t>
            </w:r>
            <w:r w:rsidRPr="00593EA1">
              <w:rPr>
                <w:rFonts w:ascii="Arial" w:eastAsia="Calibri" w:hAnsi="Arial" w:cs="Arial"/>
                <w:bCs/>
                <w:sz w:val="22"/>
                <w:lang w:val="es-ES_tradnl"/>
              </w:rPr>
              <w:t xml:space="preserve"> EMPATE – Procedimiento de selección – Concepto / FACTORES DE DESEMPATE – Características – Límites / LEY DE EMPRENDIMIENTO – Ley </w:t>
            </w:r>
            <w:r w:rsidR="006F0F34" w:rsidRPr="00593EA1">
              <w:rPr>
                <w:rFonts w:ascii="Arial" w:eastAsia="Calibri" w:hAnsi="Arial" w:cs="Arial"/>
                <w:bCs/>
                <w:sz w:val="22"/>
                <w:lang w:val="es-ES_tradnl"/>
              </w:rPr>
              <w:t>2069</w:t>
            </w:r>
            <w:r w:rsidRPr="00593EA1">
              <w:rPr>
                <w:rFonts w:ascii="Arial" w:eastAsia="Calibri" w:hAnsi="Arial" w:cs="Arial"/>
                <w:bCs/>
                <w:sz w:val="22"/>
                <w:lang w:val="es-ES_tradnl"/>
              </w:rPr>
              <w:t xml:space="preserve"> de 2020 – Vigencia /</w:t>
            </w:r>
            <w:r w:rsidR="00FE0DB8" w:rsidRPr="00593EA1">
              <w:rPr>
                <w:rFonts w:ascii="Arial" w:eastAsia="Calibri" w:hAnsi="Arial" w:cs="Arial"/>
                <w:bCs/>
                <w:sz w:val="22"/>
                <w:lang w:val="es-ES_tradnl"/>
              </w:rPr>
              <w:t xml:space="preserve"> FACTORES DE DESEMPATE – Aplicación – Sucesiva y excluyente / </w:t>
            </w:r>
          </w:p>
        </w:tc>
      </w:tr>
      <w:tr w:rsidR="00B95C30" w:rsidRPr="00593EA1" w14:paraId="27CD52AB" w14:textId="77777777" w:rsidTr="008F4163">
        <w:tc>
          <w:tcPr>
            <w:tcW w:w="2689" w:type="dxa"/>
          </w:tcPr>
          <w:p w14:paraId="37E195A1" w14:textId="1BA218D5" w:rsidR="00B95C30" w:rsidRPr="00593EA1" w:rsidRDefault="00B95C30" w:rsidP="008F4163">
            <w:pPr>
              <w:spacing w:before="120"/>
              <w:jc w:val="both"/>
              <w:rPr>
                <w:rFonts w:ascii="Arial" w:eastAsia="Calibri" w:hAnsi="Arial" w:cs="Arial"/>
                <w:b/>
                <w:sz w:val="22"/>
                <w:lang w:val="es-ES_tradnl"/>
              </w:rPr>
            </w:pPr>
            <w:r w:rsidRPr="00593EA1">
              <w:rPr>
                <w:rFonts w:ascii="Arial" w:eastAsia="Calibri" w:hAnsi="Arial" w:cs="Arial"/>
                <w:b/>
                <w:sz w:val="22"/>
                <w:lang w:val="es-ES_tradnl"/>
              </w:rPr>
              <w:t>Radicación:</w:t>
            </w:r>
            <w:r w:rsidRPr="00593EA1">
              <w:rPr>
                <w:rFonts w:ascii="Arial" w:eastAsia="Calibri" w:hAnsi="Arial" w:cs="Arial"/>
                <w:sz w:val="22"/>
                <w:lang w:val="es-ES_tradnl"/>
              </w:rPr>
              <w:t xml:space="preserve">                              </w:t>
            </w:r>
          </w:p>
        </w:tc>
        <w:tc>
          <w:tcPr>
            <w:tcW w:w="6237" w:type="dxa"/>
          </w:tcPr>
          <w:p w14:paraId="09088B1B" w14:textId="51BA2788" w:rsidR="00B95C30" w:rsidRPr="00593EA1" w:rsidRDefault="00B95C30" w:rsidP="008F4163">
            <w:pPr>
              <w:spacing w:before="120"/>
              <w:jc w:val="both"/>
              <w:rPr>
                <w:rFonts w:ascii="Arial" w:eastAsia="Calibri" w:hAnsi="Arial" w:cs="Arial"/>
                <w:sz w:val="22"/>
                <w:lang w:val="es-ES_tradnl"/>
              </w:rPr>
            </w:pPr>
            <w:r w:rsidRPr="00593EA1">
              <w:rPr>
                <w:rFonts w:ascii="Arial" w:eastAsia="Calibri" w:hAnsi="Arial" w:cs="Arial"/>
                <w:sz w:val="22"/>
                <w:lang w:val="es-ES_tradnl"/>
              </w:rPr>
              <w:t xml:space="preserve">Respuesta a consulta # </w:t>
            </w:r>
            <w:r w:rsidR="00281D39" w:rsidRPr="00593EA1">
              <w:rPr>
                <w:rFonts w:ascii="Arial" w:eastAsia="Calibri" w:hAnsi="Arial" w:cs="Arial"/>
                <w:sz w:val="22"/>
                <w:lang w:val="es-ES_tradnl"/>
              </w:rPr>
              <w:t>P20210222001468</w:t>
            </w:r>
          </w:p>
        </w:tc>
      </w:tr>
    </w:tbl>
    <w:p w14:paraId="69729BEF" w14:textId="77777777" w:rsidR="00096D30" w:rsidRPr="00593EA1" w:rsidRDefault="00096D30" w:rsidP="003C3339">
      <w:pPr>
        <w:jc w:val="both"/>
        <w:rPr>
          <w:rFonts w:ascii="Arial" w:eastAsia="Calibri" w:hAnsi="Arial" w:cs="Arial"/>
          <w:sz w:val="22"/>
          <w:lang w:val="es-ES_tradnl"/>
        </w:rPr>
      </w:pPr>
    </w:p>
    <w:p w14:paraId="43664A51" w14:textId="77777777" w:rsidR="00096D30" w:rsidRPr="00593EA1" w:rsidRDefault="00096D30" w:rsidP="003C3339">
      <w:pPr>
        <w:jc w:val="both"/>
        <w:rPr>
          <w:rFonts w:ascii="Arial" w:eastAsia="Calibri" w:hAnsi="Arial" w:cs="Arial"/>
          <w:sz w:val="22"/>
          <w:lang w:val="es-ES_tradnl"/>
        </w:rPr>
      </w:pPr>
    </w:p>
    <w:p w14:paraId="1CF4AEA0" w14:textId="690705B5" w:rsidR="003C3339" w:rsidRPr="00593EA1" w:rsidRDefault="003C3339" w:rsidP="003C3339">
      <w:pPr>
        <w:jc w:val="both"/>
        <w:rPr>
          <w:rFonts w:ascii="Arial" w:eastAsia="Calibri" w:hAnsi="Arial" w:cs="Arial"/>
          <w:sz w:val="22"/>
          <w:lang w:val="es-ES_tradnl"/>
        </w:rPr>
      </w:pPr>
      <w:r w:rsidRPr="00593EA1">
        <w:rPr>
          <w:rFonts w:ascii="Arial" w:eastAsia="Calibri" w:hAnsi="Arial" w:cs="Arial"/>
          <w:sz w:val="22"/>
          <w:lang w:val="es-ES_tradnl"/>
        </w:rPr>
        <w:t>Estimad</w:t>
      </w:r>
      <w:r w:rsidR="00C018F7" w:rsidRPr="00593EA1">
        <w:rPr>
          <w:rFonts w:ascii="Arial" w:eastAsia="Calibri" w:hAnsi="Arial" w:cs="Arial"/>
          <w:sz w:val="22"/>
          <w:lang w:val="es-ES_tradnl"/>
        </w:rPr>
        <w:t>o</w:t>
      </w:r>
      <w:r w:rsidRPr="00593EA1">
        <w:rPr>
          <w:rFonts w:ascii="Arial" w:eastAsia="Calibri" w:hAnsi="Arial" w:cs="Arial"/>
          <w:sz w:val="22"/>
          <w:lang w:val="es-ES_tradnl"/>
        </w:rPr>
        <w:t xml:space="preserve"> </w:t>
      </w:r>
      <w:r w:rsidR="0063732C" w:rsidRPr="00593EA1">
        <w:rPr>
          <w:rFonts w:ascii="Arial" w:eastAsia="Calibri" w:hAnsi="Arial" w:cs="Arial"/>
          <w:sz w:val="22"/>
          <w:lang w:val="es-ES_tradnl"/>
        </w:rPr>
        <w:t>señor</w:t>
      </w:r>
      <w:r w:rsidR="00BE4FBF" w:rsidRPr="00593EA1">
        <w:rPr>
          <w:rFonts w:ascii="Arial" w:eastAsia="Calibri" w:hAnsi="Arial" w:cs="Arial"/>
          <w:sz w:val="22"/>
          <w:lang w:val="es-ES_tradnl"/>
        </w:rPr>
        <w:t xml:space="preserve"> </w:t>
      </w:r>
      <w:proofErr w:type="spellStart"/>
      <w:r w:rsidR="00754F12" w:rsidRPr="00593EA1">
        <w:rPr>
          <w:rFonts w:ascii="Arial" w:eastAsia="Calibri" w:hAnsi="Arial" w:cs="Arial"/>
          <w:sz w:val="22"/>
          <w:lang w:val="es-ES_tradnl"/>
        </w:rPr>
        <w:t>Armirola</w:t>
      </w:r>
      <w:proofErr w:type="spellEnd"/>
      <w:r w:rsidRPr="00593EA1">
        <w:rPr>
          <w:rFonts w:ascii="Arial" w:eastAsia="Calibri" w:hAnsi="Arial" w:cs="Arial"/>
          <w:sz w:val="22"/>
          <w:lang w:val="es-ES_tradnl"/>
        </w:rPr>
        <w:t>:</w:t>
      </w:r>
    </w:p>
    <w:p w14:paraId="1EAE5543" w14:textId="77777777" w:rsidR="00DD5B04" w:rsidRPr="00593EA1" w:rsidRDefault="00DD5B04" w:rsidP="00DF76A2">
      <w:pPr>
        <w:jc w:val="both"/>
        <w:rPr>
          <w:rFonts w:ascii="Arial" w:eastAsia="Calibri" w:hAnsi="Arial" w:cs="Arial"/>
          <w:sz w:val="22"/>
          <w:lang w:val="es-ES_tradnl"/>
        </w:rPr>
      </w:pPr>
    </w:p>
    <w:p w14:paraId="2109B2D3" w14:textId="2514E5D7" w:rsidR="00DD5B04" w:rsidRPr="00593EA1" w:rsidRDefault="00DD5B04" w:rsidP="00DF76A2">
      <w:pPr>
        <w:spacing w:line="276" w:lineRule="auto"/>
        <w:jc w:val="both"/>
        <w:rPr>
          <w:rFonts w:ascii="Arial" w:eastAsia="Calibri" w:hAnsi="Arial" w:cs="Arial"/>
          <w:sz w:val="22"/>
          <w:lang w:val="es-ES_tradnl"/>
        </w:rPr>
      </w:pPr>
      <w:r w:rsidRPr="00593EA1">
        <w:rPr>
          <w:rFonts w:ascii="Arial" w:eastAsia="Calibri" w:hAnsi="Arial" w:cs="Arial"/>
          <w:sz w:val="22"/>
          <w:lang w:val="es-ES_tradnl"/>
        </w:rPr>
        <w:t xml:space="preserve">En ejercicio de la competencia otorgada por el numeral 8 del artículo 11 y el numeral 5 del artículo 3 del Decreto Ley 4170 de 2011, la Agencia Nacional de Contratación Pública </w:t>
      </w:r>
      <w:r w:rsidR="0031674D" w:rsidRPr="00593EA1">
        <w:rPr>
          <w:rFonts w:ascii="Arial" w:eastAsia="Calibri" w:hAnsi="Arial" w:cs="Arial"/>
          <w:sz w:val="22"/>
          <w:lang w:val="es-ES_tradnl"/>
        </w:rPr>
        <w:t>–</w:t>
      </w:r>
      <w:r w:rsidRPr="00593EA1">
        <w:rPr>
          <w:rFonts w:ascii="Arial" w:eastAsia="Calibri" w:hAnsi="Arial" w:cs="Arial"/>
          <w:sz w:val="22"/>
          <w:lang w:val="es-ES_tradnl"/>
        </w:rPr>
        <w:t xml:space="preserve"> Colombia Compra Eficiente</w:t>
      </w:r>
      <w:r w:rsidR="008C3C57" w:rsidRPr="00593EA1">
        <w:rPr>
          <w:rFonts w:ascii="Arial" w:eastAsia="Calibri" w:hAnsi="Arial" w:cs="Arial"/>
          <w:sz w:val="22"/>
          <w:lang w:val="es-ES_tradnl"/>
        </w:rPr>
        <w:t xml:space="preserve"> </w:t>
      </w:r>
      <w:r w:rsidRPr="00593EA1">
        <w:rPr>
          <w:rFonts w:ascii="Arial" w:eastAsia="Calibri" w:hAnsi="Arial" w:cs="Arial"/>
          <w:sz w:val="22"/>
          <w:lang w:val="es-ES_tradnl"/>
        </w:rPr>
        <w:t xml:space="preserve">responde su consulta del </w:t>
      </w:r>
      <w:r w:rsidR="00754F12" w:rsidRPr="00593EA1">
        <w:rPr>
          <w:rFonts w:ascii="Arial" w:eastAsia="Calibri" w:hAnsi="Arial" w:cs="Arial"/>
          <w:sz w:val="22"/>
          <w:lang w:val="es-ES_tradnl"/>
        </w:rPr>
        <w:t xml:space="preserve">22 </w:t>
      </w:r>
      <w:r w:rsidR="00FD4AF3" w:rsidRPr="00593EA1">
        <w:rPr>
          <w:rFonts w:ascii="Arial" w:eastAsia="Calibri" w:hAnsi="Arial" w:cs="Arial"/>
          <w:sz w:val="22"/>
          <w:lang w:val="es-ES_tradnl"/>
        </w:rPr>
        <w:t xml:space="preserve">de </w:t>
      </w:r>
      <w:r w:rsidR="00754F12" w:rsidRPr="00593EA1">
        <w:rPr>
          <w:rFonts w:ascii="Arial" w:eastAsia="Calibri" w:hAnsi="Arial" w:cs="Arial"/>
          <w:sz w:val="22"/>
          <w:lang w:val="es-ES_tradnl"/>
        </w:rPr>
        <w:t>febrero</w:t>
      </w:r>
      <w:r w:rsidRPr="00593EA1">
        <w:rPr>
          <w:rFonts w:ascii="Arial" w:eastAsia="Calibri" w:hAnsi="Arial" w:cs="Arial"/>
          <w:sz w:val="22"/>
          <w:lang w:val="es-ES_tradnl"/>
        </w:rPr>
        <w:t xml:space="preserve"> del</w:t>
      </w:r>
      <w:r w:rsidR="007E74BF" w:rsidRPr="00593EA1">
        <w:rPr>
          <w:rFonts w:ascii="Arial" w:eastAsia="Calibri" w:hAnsi="Arial" w:cs="Arial"/>
          <w:sz w:val="22"/>
          <w:lang w:val="es-ES_tradnl"/>
        </w:rPr>
        <w:t xml:space="preserve"> </w:t>
      </w:r>
      <w:r w:rsidRPr="00593EA1">
        <w:rPr>
          <w:rFonts w:ascii="Arial" w:eastAsia="Calibri" w:hAnsi="Arial" w:cs="Arial"/>
          <w:sz w:val="22"/>
          <w:lang w:val="es-ES_tradnl"/>
        </w:rPr>
        <w:t>202</w:t>
      </w:r>
      <w:r w:rsidR="00FB0880" w:rsidRPr="00593EA1">
        <w:rPr>
          <w:rFonts w:ascii="Arial" w:eastAsia="Calibri" w:hAnsi="Arial" w:cs="Arial"/>
          <w:sz w:val="22"/>
          <w:lang w:val="es-ES_tradnl"/>
        </w:rPr>
        <w:t>1</w:t>
      </w:r>
      <w:r w:rsidR="008C3C57" w:rsidRPr="00593EA1">
        <w:rPr>
          <w:rFonts w:ascii="Arial" w:eastAsia="Calibri" w:hAnsi="Arial" w:cs="Arial"/>
          <w:sz w:val="22"/>
          <w:lang w:val="es-ES_tradnl"/>
        </w:rPr>
        <w:t>.</w:t>
      </w:r>
    </w:p>
    <w:p w14:paraId="0C1E0712" w14:textId="77777777" w:rsidR="00DD5B04" w:rsidRPr="00593EA1" w:rsidRDefault="00DD5B04" w:rsidP="00DF76A2">
      <w:pPr>
        <w:spacing w:line="276" w:lineRule="auto"/>
        <w:jc w:val="both"/>
        <w:rPr>
          <w:rFonts w:ascii="Arial" w:eastAsia="Calibri" w:hAnsi="Arial" w:cs="Arial"/>
          <w:b/>
          <w:sz w:val="22"/>
          <w:lang w:val="es-ES_tradnl"/>
        </w:rPr>
      </w:pPr>
    </w:p>
    <w:p w14:paraId="7701FCC7" w14:textId="77777777" w:rsidR="00DD5B04" w:rsidRPr="00593EA1"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593EA1">
        <w:rPr>
          <w:rFonts w:ascii="Arial" w:eastAsia="Calibri" w:hAnsi="Arial" w:cs="Arial"/>
          <w:b/>
          <w:sz w:val="22"/>
          <w:lang w:val="es-ES_tradnl"/>
        </w:rPr>
        <w:t xml:space="preserve">Problema planteado </w:t>
      </w:r>
    </w:p>
    <w:p w14:paraId="224B43D3" w14:textId="77777777" w:rsidR="00DD5B04" w:rsidRPr="00593EA1" w:rsidRDefault="00DD5B04" w:rsidP="00DF76A2">
      <w:pPr>
        <w:tabs>
          <w:tab w:val="left" w:pos="426"/>
        </w:tabs>
        <w:spacing w:line="276" w:lineRule="auto"/>
        <w:jc w:val="both"/>
        <w:rPr>
          <w:rFonts w:ascii="Arial" w:eastAsia="Calibri" w:hAnsi="Arial" w:cs="Arial"/>
          <w:b/>
          <w:sz w:val="22"/>
          <w:lang w:val="es-ES_tradnl"/>
        </w:rPr>
      </w:pPr>
    </w:p>
    <w:p w14:paraId="4D47B314" w14:textId="069C924E" w:rsidR="006842AA" w:rsidRPr="00593EA1" w:rsidRDefault="0061160E" w:rsidP="008C5742">
      <w:pPr>
        <w:spacing w:line="276" w:lineRule="auto"/>
        <w:jc w:val="both"/>
        <w:rPr>
          <w:rFonts w:ascii="Arial" w:hAnsi="Arial" w:cs="Arial"/>
          <w:sz w:val="22"/>
          <w:szCs w:val="22"/>
          <w:lang w:val="es-ES_tradnl"/>
        </w:rPr>
      </w:pPr>
      <w:r w:rsidRPr="00593EA1">
        <w:rPr>
          <w:rFonts w:ascii="Arial" w:hAnsi="Arial" w:cs="Arial"/>
          <w:sz w:val="22"/>
          <w:szCs w:val="22"/>
          <w:lang w:val="es-ES_tradnl"/>
        </w:rPr>
        <w:t>Respecto a</w:t>
      </w:r>
      <w:r w:rsidR="00FB0880" w:rsidRPr="00593EA1">
        <w:rPr>
          <w:rFonts w:ascii="Arial" w:hAnsi="Arial" w:cs="Arial"/>
          <w:sz w:val="22"/>
          <w:szCs w:val="22"/>
          <w:lang w:val="es-ES_tradnl"/>
        </w:rPr>
        <w:t xml:space="preserve">l artículo 35 de la Ley </w:t>
      </w:r>
      <w:r w:rsidR="006F0F34" w:rsidRPr="00593EA1">
        <w:rPr>
          <w:rFonts w:ascii="Arial" w:hAnsi="Arial" w:cs="Arial"/>
          <w:sz w:val="22"/>
          <w:szCs w:val="22"/>
          <w:lang w:val="es-ES_tradnl"/>
        </w:rPr>
        <w:t>2069</w:t>
      </w:r>
      <w:r w:rsidR="00FB0880" w:rsidRPr="00593EA1">
        <w:rPr>
          <w:rFonts w:ascii="Arial" w:hAnsi="Arial" w:cs="Arial"/>
          <w:sz w:val="22"/>
          <w:szCs w:val="22"/>
          <w:lang w:val="es-ES_tradnl"/>
        </w:rPr>
        <w:t xml:space="preserve"> de 2020</w:t>
      </w:r>
      <w:r w:rsidR="00716630" w:rsidRPr="00593EA1">
        <w:rPr>
          <w:rFonts w:ascii="Arial" w:hAnsi="Arial" w:cs="Arial"/>
          <w:sz w:val="22"/>
          <w:szCs w:val="22"/>
          <w:lang w:val="es-ES_tradnl"/>
        </w:rPr>
        <w:t xml:space="preserve">, </w:t>
      </w:r>
      <w:r w:rsidRPr="00593EA1">
        <w:rPr>
          <w:rFonts w:ascii="Arial" w:hAnsi="Arial" w:cs="Arial"/>
          <w:sz w:val="22"/>
          <w:szCs w:val="22"/>
          <w:lang w:val="es-ES_tradnl"/>
        </w:rPr>
        <w:t>usted realiza las siguientes preguntas:</w:t>
      </w:r>
      <w:r w:rsidRPr="00593EA1" w:rsidDel="0061160E">
        <w:rPr>
          <w:rFonts w:ascii="Arial" w:hAnsi="Arial" w:cs="Arial"/>
          <w:sz w:val="22"/>
          <w:szCs w:val="22"/>
          <w:lang w:val="es-ES_tradnl"/>
        </w:rPr>
        <w:t xml:space="preserve"> </w:t>
      </w:r>
      <w:bookmarkStart w:id="2" w:name="_Hlk68011690"/>
      <w:r w:rsidRPr="00593EA1">
        <w:rPr>
          <w:rFonts w:ascii="Arial" w:hAnsi="Arial" w:cs="Arial"/>
          <w:sz w:val="22"/>
          <w:szCs w:val="22"/>
          <w:lang w:val="es-ES_tradnl"/>
        </w:rPr>
        <w:t xml:space="preserve">i) </w:t>
      </w:r>
      <w:r w:rsidR="00F31293" w:rsidRPr="00593EA1">
        <w:rPr>
          <w:rFonts w:ascii="Arial" w:hAnsi="Arial" w:cs="Arial"/>
          <w:sz w:val="22"/>
          <w:szCs w:val="22"/>
          <w:lang w:val="es-ES_tradnl"/>
        </w:rPr>
        <w:t>«</w:t>
      </w:r>
      <w:r w:rsidR="00987DE6" w:rsidRPr="00593EA1">
        <w:rPr>
          <w:rFonts w:ascii="Arial" w:eastAsiaTheme="minorHAnsi" w:hAnsi="Arial" w:cs="Arial"/>
          <w:sz w:val="22"/>
          <w:szCs w:val="22"/>
          <w:lang w:eastAsia="en-US"/>
        </w:rPr>
        <w:t xml:space="preserve">Las entidades </w:t>
      </w:r>
      <w:r w:rsidR="0045330B" w:rsidRPr="00593EA1">
        <w:rPr>
          <w:rFonts w:ascii="Arial" w:eastAsiaTheme="minorHAnsi" w:hAnsi="Arial" w:cs="Arial"/>
          <w:sz w:val="22"/>
          <w:szCs w:val="22"/>
          <w:lang w:eastAsia="en-US"/>
        </w:rPr>
        <w:t>públicas</w:t>
      </w:r>
      <w:r w:rsidR="00987DE6" w:rsidRPr="00593EA1">
        <w:rPr>
          <w:rFonts w:ascii="Arial" w:eastAsiaTheme="minorHAnsi" w:hAnsi="Arial" w:cs="Arial"/>
          <w:sz w:val="22"/>
          <w:szCs w:val="22"/>
          <w:lang w:eastAsia="en-US"/>
        </w:rPr>
        <w:t xml:space="preserve">, independiente de su régimen de contratación y de la cuantía de la licitación, deben aplicar en caso de empate entre dos o </w:t>
      </w:r>
      <w:r w:rsidR="0045330B" w:rsidRPr="00593EA1">
        <w:rPr>
          <w:rFonts w:ascii="Arial" w:eastAsiaTheme="minorHAnsi" w:hAnsi="Arial" w:cs="Arial"/>
          <w:sz w:val="22"/>
          <w:szCs w:val="22"/>
          <w:lang w:eastAsia="en-US"/>
        </w:rPr>
        <w:t>más</w:t>
      </w:r>
      <w:r w:rsidR="00987DE6" w:rsidRPr="00593EA1">
        <w:rPr>
          <w:rFonts w:ascii="Arial" w:eastAsiaTheme="minorHAnsi" w:hAnsi="Arial" w:cs="Arial"/>
          <w:sz w:val="22"/>
          <w:szCs w:val="22"/>
          <w:lang w:eastAsia="en-US"/>
        </w:rPr>
        <w:t xml:space="preserve"> propuestas, los factores de desempate dispuesto en el </w:t>
      </w:r>
      <w:r w:rsidR="0045330B" w:rsidRPr="00593EA1">
        <w:rPr>
          <w:rFonts w:ascii="Arial" w:eastAsiaTheme="minorHAnsi" w:hAnsi="Arial" w:cs="Arial"/>
          <w:sz w:val="22"/>
          <w:szCs w:val="22"/>
          <w:lang w:eastAsia="en-US"/>
        </w:rPr>
        <w:t>Artículo</w:t>
      </w:r>
      <w:r w:rsidR="00987DE6" w:rsidRPr="00593EA1">
        <w:rPr>
          <w:rFonts w:ascii="Arial" w:eastAsiaTheme="minorHAnsi" w:hAnsi="Arial" w:cs="Arial"/>
          <w:sz w:val="22"/>
          <w:szCs w:val="22"/>
          <w:lang w:eastAsia="en-US"/>
        </w:rPr>
        <w:t xml:space="preserve"> 35 de esta Ley?</w:t>
      </w:r>
      <w:r w:rsidRPr="00593EA1">
        <w:rPr>
          <w:rFonts w:ascii="Arial" w:eastAsiaTheme="minorHAnsi" w:hAnsi="Arial" w:cs="Arial"/>
          <w:sz w:val="22"/>
          <w:szCs w:val="22"/>
          <w:lang w:eastAsia="en-US"/>
        </w:rPr>
        <w:t xml:space="preserve">», </w:t>
      </w:r>
      <w:proofErr w:type="spellStart"/>
      <w:r w:rsidRPr="00593EA1">
        <w:rPr>
          <w:rFonts w:ascii="Arial" w:eastAsiaTheme="minorHAnsi" w:hAnsi="Arial" w:cs="Arial"/>
          <w:sz w:val="22"/>
          <w:szCs w:val="22"/>
          <w:lang w:eastAsia="en-US"/>
        </w:rPr>
        <w:t>ii</w:t>
      </w:r>
      <w:proofErr w:type="spellEnd"/>
      <w:r w:rsidRPr="00593EA1">
        <w:rPr>
          <w:rFonts w:ascii="Arial" w:eastAsiaTheme="minorHAnsi" w:hAnsi="Arial" w:cs="Arial"/>
          <w:sz w:val="22"/>
          <w:szCs w:val="22"/>
          <w:lang w:eastAsia="en-US"/>
        </w:rPr>
        <w:t>) «</w:t>
      </w:r>
      <w:r w:rsidR="00987DE6" w:rsidRPr="00593EA1">
        <w:rPr>
          <w:rFonts w:ascii="Arial" w:eastAsiaTheme="minorHAnsi" w:hAnsi="Arial" w:cs="Arial"/>
          <w:sz w:val="22"/>
          <w:szCs w:val="22"/>
          <w:lang w:eastAsia="en-US"/>
        </w:rPr>
        <w:t xml:space="preserve">En caso de aplicación del </w:t>
      </w:r>
      <w:r w:rsidR="0045330B" w:rsidRPr="00593EA1">
        <w:rPr>
          <w:rFonts w:ascii="Arial" w:eastAsiaTheme="minorHAnsi" w:hAnsi="Arial" w:cs="Arial"/>
          <w:sz w:val="22"/>
          <w:szCs w:val="22"/>
          <w:lang w:eastAsia="en-US"/>
        </w:rPr>
        <w:t>artículo</w:t>
      </w:r>
      <w:r w:rsidR="00987DE6" w:rsidRPr="00593EA1">
        <w:rPr>
          <w:rFonts w:ascii="Arial" w:eastAsiaTheme="minorHAnsi" w:hAnsi="Arial" w:cs="Arial"/>
          <w:sz w:val="22"/>
          <w:szCs w:val="22"/>
          <w:lang w:eastAsia="en-US"/>
        </w:rPr>
        <w:t xml:space="preserve"> 35 para desempate en un proceso y/o licitación, debe aplicarse en el orden en que los trae el mencionado </w:t>
      </w:r>
      <w:r w:rsidRPr="00593EA1">
        <w:rPr>
          <w:rFonts w:ascii="Arial" w:eastAsiaTheme="minorHAnsi" w:hAnsi="Arial" w:cs="Arial"/>
          <w:sz w:val="22"/>
          <w:szCs w:val="22"/>
          <w:lang w:eastAsia="en-US"/>
        </w:rPr>
        <w:t>artículo</w:t>
      </w:r>
      <w:r w:rsidR="00987DE6" w:rsidRPr="00593EA1">
        <w:rPr>
          <w:rFonts w:ascii="Arial" w:eastAsiaTheme="minorHAnsi" w:hAnsi="Arial" w:cs="Arial"/>
          <w:sz w:val="22"/>
          <w:szCs w:val="22"/>
          <w:lang w:eastAsia="en-US"/>
        </w:rPr>
        <w:t xml:space="preserve"> hasta que algún proponente cumpla?</w:t>
      </w:r>
      <w:r w:rsidRPr="00593EA1">
        <w:rPr>
          <w:rFonts w:ascii="Arial" w:eastAsiaTheme="minorHAnsi" w:hAnsi="Arial" w:cs="Arial"/>
          <w:sz w:val="22"/>
          <w:szCs w:val="22"/>
          <w:lang w:eastAsia="en-US"/>
        </w:rPr>
        <w:t xml:space="preserve">», </w:t>
      </w:r>
      <w:proofErr w:type="spellStart"/>
      <w:r w:rsidRPr="00593EA1">
        <w:rPr>
          <w:rFonts w:ascii="Arial" w:eastAsiaTheme="minorHAnsi" w:hAnsi="Arial" w:cs="Arial"/>
          <w:sz w:val="22"/>
          <w:szCs w:val="22"/>
          <w:lang w:eastAsia="en-US"/>
        </w:rPr>
        <w:t>iii</w:t>
      </w:r>
      <w:proofErr w:type="spellEnd"/>
      <w:r w:rsidRPr="00593EA1">
        <w:rPr>
          <w:rFonts w:ascii="Arial" w:eastAsiaTheme="minorHAnsi" w:hAnsi="Arial" w:cs="Arial"/>
          <w:sz w:val="22"/>
          <w:szCs w:val="22"/>
          <w:lang w:eastAsia="en-US"/>
        </w:rPr>
        <w:t>) «</w:t>
      </w:r>
      <w:r w:rsidR="00987DE6" w:rsidRPr="00593EA1">
        <w:rPr>
          <w:rFonts w:ascii="Arial" w:eastAsiaTheme="minorHAnsi" w:hAnsi="Arial" w:cs="Arial"/>
          <w:sz w:val="22"/>
          <w:szCs w:val="22"/>
          <w:lang w:eastAsia="en-US"/>
        </w:rPr>
        <w:t xml:space="preserve">Puede la Entidad Contratante, a su criterio definir que factor de desempate utiliza, sin tener en cuenta el orden planteado en el </w:t>
      </w:r>
      <w:r w:rsidR="0045330B" w:rsidRPr="00593EA1">
        <w:rPr>
          <w:rFonts w:ascii="Arial" w:eastAsiaTheme="minorHAnsi" w:hAnsi="Arial" w:cs="Arial"/>
          <w:sz w:val="22"/>
          <w:szCs w:val="22"/>
          <w:lang w:eastAsia="en-US"/>
        </w:rPr>
        <w:t>artículo</w:t>
      </w:r>
      <w:r w:rsidR="00987DE6" w:rsidRPr="00593EA1">
        <w:rPr>
          <w:rFonts w:ascii="Arial" w:eastAsiaTheme="minorHAnsi" w:hAnsi="Arial" w:cs="Arial"/>
          <w:sz w:val="22"/>
          <w:szCs w:val="22"/>
          <w:lang w:eastAsia="en-US"/>
        </w:rPr>
        <w:t xml:space="preserve"> en </w:t>
      </w:r>
      <w:r w:rsidR="0045330B" w:rsidRPr="00593EA1">
        <w:rPr>
          <w:rFonts w:ascii="Arial" w:eastAsiaTheme="minorHAnsi" w:hAnsi="Arial" w:cs="Arial"/>
          <w:sz w:val="22"/>
          <w:szCs w:val="22"/>
          <w:lang w:eastAsia="en-US"/>
        </w:rPr>
        <w:t>mención?</w:t>
      </w:r>
      <w:r w:rsidRPr="00593EA1">
        <w:rPr>
          <w:rFonts w:ascii="Arial" w:eastAsiaTheme="minorHAnsi" w:hAnsi="Arial" w:cs="Arial"/>
          <w:sz w:val="22"/>
          <w:szCs w:val="22"/>
          <w:lang w:eastAsia="en-US"/>
        </w:rPr>
        <w:t xml:space="preserve">» y </w:t>
      </w:r>
      <w:proofErr w:type="spellStart"/>
      <w:r w:rsidRPr="00593EA1">
        <w:rPr>
          <w:rFonts w:ascii="Arial" w:eastAsiaTheme="minorHAnsi" w:hAnsi="Arial" w:cs="Arial"/>
          <w:sz w:val="22"/>
          <w:szCs w:val="22"/>
          <w:lang w:eastAsia="en-US"/>
        </w:rPr>
        <w:t>iv</w:t>
      </w:r>
      <w:proofErr w:type="spellEnd"/>
      <w:r w:rsidRPr="00593EA1">
        <w:rPr>
          <w:rFonts w:ascii="Arial" w:eastAsiaTheme="minorHAnsi" w:hAnsi="Arial" w:cs="Arial"/>
          <w:sz w:val="22"/>
          <w:szCs w:val="22"/>
          <w:lang w:eastAsia="en-US"/>
        </w:rPr>
        <w:t xml:space="preserve">) </w:t>
      </w:r>
      <w:r w:rsidR="00987DE6" w:rsidRPr="00593EA1">
        <w:rPr>
          <w:rFonts w:ascii="Arial" w:eastAsiaTheme="minorHAnsi" w:hAnsi="Arial" w:cs="Arial"/>
          <w:sz w:val="22"/>
          <w:szCs w:val="22"/>
          <w:lang w:eastAsia="en-US"/>
        </w:rPr>
        <w:t>Teniendo en cuenta estos criterios de desempate, deberían los proponentes contar en su planta de personal con estos perfiles, o por el contrario, son perfiles que se pueden ofrecer específicamente para una licitación y evidentemente que sirva para un eventual desempate?</w:t>
      </w:r>
      <w:r w:rsidR="00193AF8" w:rsidRPr="00593EA1">
        <w:rPr>
          <w:rFonts w:ascii="Arial" w:hAnsi="Arial" w:cs="Arial"/>
          <w:sz w:val="22"/>
          <w:szCs w:val="22"/>
          <w:lang w:val="es-ES_tradnl"/>
        </w:rPr>
        <w:t>»</w:t>
      </w:r>
      <w:r w:rsidR="00987DE6" w:rsidRPr="00593EA1">
        <w:rPr>
          <w:rFonts w:ascii="Arial" w:hAnsi="Arial" w:cs="Arial"/>
          <w:sz w:val="22"/>
          <w:szCs w:val="22"/>
          <w:lang w:val="es-ES_tradnl"/>
        </w:rPr>
        <w:t>.</w:t>
      </w:r>
    </w:p>
    <w:bookmarkEnd w:id="2"/>
    <w:p w14:paraId="5DD1D33A" w14:textId="77777777" w:rsidR="00FE0DB8" w:rsidRPr="00593EA1" w:rsidRDefault="00FE0DB8" w:rsidP="00987DE6">
      <w:pPr>
        <w:autoSpaceDE w:val="0"/>
        <w:autoSpaceDN w:val="0"/>
        <w:adjustRightInd w:val="0"/>
        <w:ind w:left="709" w:right="709"/>
        <w:jc w:val="both"/>
        <w:rPr>
          <w:rFonts w:ascii="Arial" w:hAnsi="Arial" w:cs="Arial"/>
          <w:sz w:val="21"/>
          <w:szCs w:val="21"/>
          <w:lang w:val="es-ES_tradnl"/>
        </w:rPr>
      </w:pPr>
    </w:p>
    <w:p w14:paraId="4805B484" w14:textId="77777777" w:rsidR="00F80411" w:rsidRPr="00593EA1" w:rsidRDefault="00F80411" w:rsidP="00F80411">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593EA1">
        <w:rPr>
          <w:rFonts w:ascii="Arial" w:eastAsia="Calibri" w:hAnsi="Arial" w:cs="Arial"/>
          <w:b/>
          <w:sz w:val="22"/>
          <w:lang w:val="es-ES_tradnl"/>
        </w:rPr>
        <w:t>Consideraciones</w:t>
      </w:r>
    </w:p>
    <w:p w14:paraId="1DEB17ED" w14:textId="77777777" w:rsidR="00F80411" w:rsidRPr="00593EA1" w:rsidRDefault="00F80411" w:rsidP="00F80411">
      <w:pPr>
        <w:spacing w:line="276" w:lineRule="auto"/>
        <w:jc w:val="both"/>
        <w:rPr>
          <w:rFonts w:ascii="Arial" w:eastAsia="Calibri" w:hAnsi="Arial" w:cs="Arial"/>
          <w:sz w:val="22"/>
          <w:szCs w:val="22"/>
          <w:lang w:val="es-ES_tradnl"/>
        </w:rPr>
      </w:pPr>
    </w:p>
    <w:p w14:paraId="5F01AF1F" w14:textId="7B45FE67" w:rsidR="00F80411" w:rsidRPr="00593EA1" w:rsidRDefault="00F80411" w:rsidP="00F80411">
      <w:pPr>
        <w:spacing w:line="276" w:lineRule="auto"/>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La Subdirección de Gestión Contractual responderá la consulta, luego de analizar los siguientes temas: i) </w:t>
      </w:r>
      <w:r w:rsidR="0061160E" w:rsidRPr="00593EA1">
        <w:rPr>
          <w:rFonts w:ascii="Arial" w:eastAsia="Calibri" w:hAnsi="Arial" w:cs="Arial"/>
          <w:sz w:val="22"/>
          <w:szCs w:val="22"/>
          <w:lang w:val="es-ES_tradnl"/>
        </w:rPr>
        <w:t xml:space="preserve">concepto y características de los </w:t>
      </w:r>
      <w:r w:rsidR="002A348B" w:rsidRPr="00593EA1">
        <w:rPr>
          <w:rFonts w:ascii="Arial" w:eastAsia="Calibri" w:hAnsi="Arial" w:cs="Arial"/>
          <w:sz w:val="22"/>
          <w:szCs w:val="22"/>
          <w:lang w:val="es-ES_tradnl"/>
        </w:rPr>
        <w:t>factores de desempate en la contratación estatal</w:t>
      </w:r>
      <w:r w:rsidRPr="00593EA1">
        <w:rPr>
          <w:rFonts w:ascii="Arial" w:eastAsia="Calibri" w:hAnsi="Arial" w:cs="Arial"/>
          <w:sz w:val="22"/>
          <w:szCs w:val="22"/>
          <w:lang w:val="es-ES_tradnl"/>
        </w:rPr>
        <w:t xml:space="preserve">, </w:t>
      </w:r>
      <w:proofErr w:type="spellStart"/>
      <w:r w:rsidRPr="00593EA1">
        <w:rPr>
          <w:rFonts w:ascii="Arial" w:eastAsia="Calibri" w:hAnsi="Arial" w:cs="Arial"/>
          <w:sz w:val="22"/>
          <w:szCs w:val="22"/>
          <w:lang w:val="es-ES_tradnl"/>
        </w:rPr>
        <w:t>ii</w:t>
      </w:r>
      <w:proofErr w:type="spellEnd"/>
      <w:r w:rsidRPr="00593EA1">
        <w:rPr>
          <w:rFonts w:ascii="Arial" w:eastAsia="Calibri" w:hAnsi="Arial" w:cs="Arial"/>
          <w:sz w:val="22"/>
          <w:szCs w:val="22"/>
          <w:lang w:val="es-ES_tradnl"/>
        </w:rPr>
        <w:t xml:space="preserve">) vigencia y ámbito de aplicación de la Ley 2069 de </w:t>
      </w:r>
      <w:proofErr w:type="gramStart"/>
      <w:r w:rsidRPr="00593EA1">
        <w:rPr>
          <w:rFonts w:ascii="Arial" w:eastAsia="Calibri" w:hAnsi="Arial" w:cs="Arial"/>
          <w:sz w:val="22"/>
          <w:szCs w:val="22"/>
          <w:lang w:val="es-ES_tradnl"/>
        </w:rPr>
        <w:t>2020</w:t>
      </w:r>
      <w:r w:rsidR="00FE0716" w:rsidRPr="00593EA1">
        <w:rPr>
          <w:rFonts w:ascii="Arial" w:eastAsia="Calibri" w:hAnsi="Arial" w:cs="Arial"/>
          <w:sz w:val="22"/>
          <w:szCs w:val="22"/>
          <w:lang w:val="es-ES_tradnl"/>
        </w:rPr>
        <w:t>,</w:t>
      </w:r>
      <w:r w:rsidRPr="00593EA1">
        <w:rPr>
          <w:rFonts w:ascii="Arial" w:eastAsia="Calibri" w:hAnsi="Arial" w:cs="Arial"/>
          <w:sz w:val="22"/>
          <w:szCs w:val="22"/>
          <w:lang w:val="es-ES_tradnl"/>
        </w:rPr>
        <w:t xml:space="preserve">  </w:t>
      </w:r>
      <w:proofErr w:type="spellStart"/>
      <w:r w:rsidRPr="00593EA1">
        <w:rPr>
          <w:rFonts w:ascii="Arial" w:eastAsia="Calibri" w:hAnsi="Arial" w:cs="Arial"/>
          <w:sz w:val="22"/>
          <w:szCs w:val="22"/>
          <w:lang w:val="es-ES_tradnl"/>
        </w:rPr>
        <w:t>iii</w:t>
      </w:r>
      <w:proofErr w:type="spellEnd"/>
      <w:proofErr w:type="gramEnd"/>
      <w:r w:rsidRPr="00593EA1">
        <w:rPr>
          <w:rFonts w:ascii="Arial" w:eastAsia="Calibri" w:hAnsi="Arial" w:cs="Arial"/>
          <w:sz w:val="22"/>
          <w:szCs w:val="22"/>
          <w:lang w:val="es-ES_tradnl"/>
        </w:rPr>
        <w:t>)</w:t>
      </w:r>
      <w:r w:rsidR="00FE0716" w:rsidRPr="00593EA1">
        <w:rPr>
          <w:rFonts w:ascii="Arial" w:eastAsia="Calibri" w:hAnsi="Arial" w:cs="Arial"/>
          <w:sz w:val="22"/>
          <w:szCs w:val="22"/>
          <w:lang w:val="es-ES_tradnl"/>
        </w:rPr>
        <w:t xml:space="preserve"> aplicación de los factores de desempate del artículo 35 de la Ley 2069 de 2020 y </w:t>
      </w:r>
      <w:r w:rsidRPr="00593EA1">
        <w:rPr>
          <w:rFonts w:ascii="Arial" w:eastAsia="Calibri" w:hAnsi="Arial" w:cs="Arial"/>
          <w:sz w:val="22"/>
          <w:szCs w:val="22"/>
          <w:lang w:val="es-ES_tradnl"/>
        </w:rPr>
        <w:t xml:space="preserve"> </w:t>
      </w:r>
      <w:proofErr w:type="spellStart"/>
      <w:r w:rsidR="002A348B" w:rsidRPr="00593EA1">
        <w:rPr>
          <w:rFonts w:ascii="Arial" w:eastAsia="Calibri" w:hAnsi="Arial" w:cs="Arial"/>
          <w:sz w:val="22"/>
          <w:szCs w:val="22"/>
          <w:lang w:val="es-ES_tradnl"/>
        </w:rPr>
        <w:t>iv</w:t>
      </w:r>
      <w:proofErr w:type="spellEnd"/>
      <w:r w:rsidR="00FE0716" w:rsidRPr="00593EA1">
        <w:rPr>
          <w:rFonts w:ascii="Arial" w:eastAsia="Calibri" w:hAnsi="Arial" w:cs="Arial"/>
          <w:sz w:val="22"/>
          <w:szCs w:val="22"/>
          <w:lang w:val="es-ES_tradnl"/>
        </w:rPr>
        <w:t xml:space="preserve">) </w:t>
      </w:r>
      <w:r w:rsidR="002A348B" w:rsidRPr="00593EA1">
        <w:rPr>
          <w:rFonts w:ascii="Arial" w:eastAsia="Calibri" w:hAnsi="Arial" w:cs="Arial"/>
          <w:sz w:val="22"/>
          <w:szCs w:val="22"/>
          <w:lang w:val="es-ES_tradnl"/>
        </w:rPr>
        <w:t>acreditación de los factores de desempate de los numerales 2, 3, 4, 5, 6 y 7 del artículo 35 de la Ley 2069 de 2020</w:t>
      </w:r>
      <w:r w:rsidRPr="00593EA1">
        <w:rPr>
          <w:rFonts w:ascii="Arial" w:eastAsia="Calibri" w:hAnsi="Arial" w:cs="Arial"/>
          <w:sz w:val="22"/>
          <w:szCs w:val="22"/>
          <w:lang w:val="es-ES_tradnl"/>
        </w:rPr>
        <w:t>.</w:t>
      </w:r>
    </w:p>
    <w:p w14:paraId="70BFC1A2" w14:textId="5DE8A795" w:rsidR="00F80411" w:rsidRPr="00593EA1" w:rsidRDefault="00F80411" w:rsidP="00C70D57">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Es importante destacar que la Agencia Nacional de Contratación Pública – Colombia Compra Eficiente se pronunció, en términos generales, sobre los factores de desempate en los procedimientos de contratación estatal, en los conceptos C-285 del 4 de mayo de 2020, C-481 del 27 de julio de 2020, C-514 y C-535 del 26 de agosto de 2020 y C-556 del 31 de agosto de 2020. </w:t>
      </w:r>
      <w:r w:rsidR="00C70D57" w:rsidRPr="00593EA1">
        <w:rPr>
          <w:rFonts w:ascii="Arial" w:eastAsia="Calibri" w:hAnsi="Arial" w:cs="Arial"/>
          <w:sz w:val="22"/>
          <w:szCs w:val="22"/>
          <w:lang w:val="es-ES_tradnl"/>
        </w:rPr>
        <w:t>Además, recientemente se expidieron los conceptos C-009, C-012, C-013, C-015, C-016 y C-026, del 4 de febrero de 2020, en los que se analizó la vigencia y forma de acreditación de los factores de desempate contenidos en el artículo 35 de la Ley 2069 de 2021. Algunas de las consideraciones de estos conceptos se reiteran a continuación.</w:t>
      </w:r>
    </w:p>
    <w:p w14:paraId="4171EB7A" w14:textId="77777777" w:rsidR="00C70D57" w:rsidRPr="00593EA1" w:rsidRDefault="00C70D57" w:rsidP="00EE3D2B">
      <w:pPr>
        <w:spacing w:line="276" w:lineRule="auto"/>
        <w:ind w:firstLine="709"/>
        <w:jc w:val="both"/>
        <w:rPr>
          <w:rFonts w:ascii="Arial" w:eastAsia="Calibri" w:hAnsi="Arial" w:cs="Arial"/>
          <w:sz w:val="22"/>
          <w:szCs w:val="22"/>
          <w:lang w:val="es-ES_tradnl"/>
        </w:rPr>
      </w:pPr>
    </w:p>
    <w:p w14:paraId="07744DBB" w14:textId="77777777" w:rsidR="00F80411" w:rsidRPr="00593EA1" w:rsidRDefault="00F80411" w:rsidP="00F80411">
      <w:pPr>
        <w:spacing w:line="276" w:lineRule="auto"/>
        <w:jc w:val="both"/>
        <w:rPr>
          <w:rFonts w:ascii="Arial" w:eastAsia="Calibri" w:hAnsi="Arial" w:cs="Arial"/>
          <w:b/>
          <w:bCs/>
          <w:sz w:val="22"/>
          <w:szCs w:val="22"/>
          <w:lang w:val="es-ES_tradnl"/>
        </w:rPr>
      </w:pPr>
      <w:r w:rsidRPr="00593EA1">
        <w:rPr>
          <w:rFonts w:ascii="Arial" w:eastAsia="Calibri" w:hAnsi="Arial" w:cs="Arial"/>
          <w:b/>
          <w:bCs/>
          <w:sz w:val="22"/>
          <w:szCs w:val="22"/>
          <w:lang w:val="es-ES_tradnl"/>
        </w:rPr>
        <w:t>2.1. Factores de desempate en la contratación estatal: concepto y características</w:t>
      </w:r>
    </w:p>
    <w:p w14:paraId="13D6A560" w14:textId="77777777" w:rsidR="00F80411" w:rsidRPr="00593EA1" w:rsidRDefault="00F80411" w:rsidP="00FE0DB8">
      <w:pPr>
        <w:jc w:val="both"/>
        <w:rPr>
          <w:rFonts w:ascii="Arial" w:eastAsia="Calibri" w:hAnsi="Arial" w:cs="Arial"/>
          <w:sz w:val="22"/>
          <w:szCs w:val="22"/>
          <w:lang w:val="es-ES_tradnl"/>
        </w:rPr>
      </w:pPr>
    </w:p>
    <w:p w14:paraId="2C930E52" w14:textId="77777777" w:rsidR="00F80411" w:rsidRPr="00593EA1" w:rsidRDefault="00F80411" w:rsidP="00F80411">
      <w:pPr>
        <w:spacing w:line="276" w:lineRule="auto"/>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w:t>
      </w:r>
      <w:proofErr w:type="gramStart"/>
      <w:r w:rsidRPr="00593EA1">
        <w:rPr>
          <w:rFonts w:ascii="Arial" w:eastAsia="Calibri" w:hAnsi="Arial" w:cs="Arial"/>
          <w:sz w:val="22"/>
          <w:szCs w:val="22"/>
          <w:lang w:val="es-ES_tradnl"/>
        </w:rPr>
        <w:t>equivalentes,</w:t>
      </w:r>
      <w:proofErr w:type="gramEnd"/>
      <w:r w:rsidRPr="00593EA1">
        <w:rPr>
          <w:rFonts w:ascii="Arial" w:eastAsia="Calibri" w:hAnsi="Arial" w:cs="Arial"/>
          <w:sz w:val="22"/>
          <w:szCs w:val="22"/>
          <w:lang w:val="es-ES_tradnl"/>
        </w:rPr>
        <w:t xml:space="preserve"> tendrán en cuenta criterios como la experiencia y la capacidad jurídica, financiera y de organización, entre otros elementos que garanticen la escogencia de la mejor opción de negocio para la entidad estatal.</w:t>
      </w:r>
    </w:p>
    <w:p w14:paraId="20992D58" w14:textId="77777777" w:rsidR="00F80411" w:rsidRPr="00593EA1" w:rsidRDefault="00F80411" w:rsidP="00F8041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 </w:t>
      </w:r>
    </w:p>
    <w:p w14:paraId="2F6D3C5F" w14:textId="77777777" w:rsidR="00F80411" w:rsidRPr="00593EA1" w:rsidRDefault="00F80411" w:rsidP="00F8041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encuentra el artículo 35 de la Ley 2069 de 2020. La jurisprudencia comparte la idea de que los criterios de desempate deben estar establecidos de antemano y constituyen un límite a la discrecionalidad administrativa en los procedimientos de selección</w:t>
      </w:r>
      <w:r w:rsidRPr="00593EA1">
        <w:rPr>
          <w:rStyle w:val="Refdenotaalpie"/>
          <w:rFonts w:ascii="Arial" w:hAnsi="Arial" w:cs="Arial"/>
          <w:sz w:val="21"/>
          <w:szCs w:val="21"/>
          <w:lang w:val="es-ES_tradnl"/>
        </w:rPr>
        <w:footnoteReference w:id="2"/>
      </w:r>
      <w:r w:rsidRPr="00593EA1">
        <w:rPr>
          <w:rFonts w:ascii="Arial" w:eastAsia="Calibri" w:hAnsi="Arial" w:cs="Arial"/>
          <w:sz w:val="22"/>
          <w:szCs w:val="22"/>
          <w:lang w:val="es-ES_tradnl"/>
        </w:rPr>
        <w:t xml:space="preserve">. </w:t>
      </w:r>
    </w:p>
    <w:p w14:paraId="0CB1D338" w14:textId="77777777" w:rsidR="00F80411" w:rsidRPr="00593EA1" w:rsidRDefault="00F80411" w:rsidP="00F8041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En tal sentido, la Corte Constitucional explica que cuando la ley establece factores de desempate obligatorios, las entidades estatales no pueden </w:t>
      </w:r>
      <w:proofErr w:type="spellStart"/>
      <w:r w:rsidRPr="00593EA1">
        <w:rPr>
          <w:rFonts w:ascii="Arial" w:eastAsia="Calibri" w:hAnsi="Arial" w:cs="Arial"/>
          <w:sz w:val="22"/>
          <w:szCs w:val="22"/>
          <w:lang w:val="es-ES_tradnl"/>
        </w:rPr>
        <w:t>inaplicarlos</w:t>
      </w:r>
      <w:proofErr w:type="spellEnd"/>
      <w:r w:rsidRPr="00593EA1">
        <w:rPr>
          <w:rFonts w:ascii="Arial" w:eastAsia="Calibri" w:hAnsi="Arial" w:cs="Arial"/>
          <w:sz w:val="22"/>
          <w:szCs w:val="22"/>
          <w:lang w:val="es-ES_tradnl"/>
        </w:rPr>
        <w:t>, porque ello podría vulnerar el principio de igualdad, especialmente, cuando algunos de estos criterios surgen como acciones afirmativas para ciertos sectores de la población</w:t>
      </w:r>
      <w:r w:rsidRPr="00593EA1">
        <w:rPr>
          <w:rStyle w:val="Refdenotaalpie"/>
          <w:rFonts w:ascii="Arial" w:eastAsia="Calibri" w:hAnsi="Arial" w:cs="Arial"/>
          <w:sz w:val="22"/>
          <w:szCs w:val="22"/>
          <w:lang w:val="es-ES_tradnl"/>
        </w:rPr>
        <w:footnoteReference w:id="3"/>
      </w:r>
      <w:r w:rsidRPr="00593EA1">
        <w:rPr>
          <w:rFonts w:ascii="Arial" w:eastAsia="Calibri" w:hAnsi="Arial" w:cs="Arial"/>
          <w:sz w:val="22"/>
          <w:szCs w:val="22"/>
          <w:lang w:val="es-ES_tradnl"/>
        </w:rPr>
        <w:t>. Es más, según el Consejo de Estado, ir en contra de los factores de desempate establecidos expresamente genera la nulidad del contrato, conforme al artículo 44, inciso 1º de la Ley 80 de 1993</w:t>
      </w:r>
      <w:r w:rsidRPr="00593EA1">
        <w:rPr>
          <w:rStyle w:val="Refdenotaalpie"/>
          <w:rFonts w:ascii="Arial" w:eastAsia="Calibri" w:hAnsi="Arial" w:cs="Arial"/>
          <w:sz w:val="22"/>
          <w:szCs w:val="22"/>
          <w:lang w:val="es-ES_tradnl"/>
        </w:rPr>
        <w:footnoteReference w:id="4"/>
      </w:r>
      <w:r w:rsidRPr="00593EA1">
        <w:rPr>
          <w:rFonts w:ascii="Arial" w:eastAsia="Calibri" w:hAnsi="Arial" w:cs="Arial"/>
          <w:sz w:val="22"/>
          <w:szCs w:val="22"/>
          <w:lang w:val="es-ES_tradnl"/>
        </w:rPr>
        <w:t>.</w:t>
      </w:r>
    </w:p>
    <w:p w14:paraId="1D00C27E" w14:textId="77777777" w:rsidR="00F80411" w:rsidRPr="00593EA1" w:rsidRDefault="00F80411" w:rsidP="00F8041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Ahora bien, en cumplimiento de los principios de reciprocidad y de </w:t>
      </w:r>
      <w:r w:rsidRPr="00593EA1">
        <w:rPr>
          <w:rFonts w:ascii="Arial" w:eastAsia="Calibri" w:hAnsi="Arial" w:cs="Arial"/>
          <w:i/>
          <w:iCs/>
          <w:sz w:val="22"/>
          <w:szCs w:val="22"/>
          <w:lang w:val="es-ES_tradnl"/>
        </w:rPr>
        <w:t xml:space="preserve">pacta sunt </w:t>
      </w:r>
      <w:proofErr w:type="spellStart"/>
      <w:r w:rsidRPr="00593EA1">
        <w:rPr>
          <w:rFonts w:ascii="Arial" w:eastAsia="Calibri" w:hAnsi="Arial" w:cs="Arial"/>
          <w:i/>
          <w:iCs/>
          <w:sz w:val="22"/>
          <w:szCs w:val="22"/>
          <w:lang w:val="es-ES_tradnl"/>
        </w:rPr>
        <w:t>servanda</w:t>
      </w:r>
      <w:proofErr w:type="spellEnd"/>
      <w:r w:rsidRPr="00593EA1">
        <w:rPr>
          <w:rFonts w:ascii="Arial" w:eastAsia="Calibri" w:hAnsi="Arial" w:cs="Arial"/>
          <w:sz w:val="22"/>
          <w:szCs w:val="22"/>
          <w:lang w:val="es-ES_tradnl"/>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 </w:t>
      </w:r>
    </w:p>
    <w:p w14:paraId="19A0375D" w14:textId="77777777" w:rsidR="00FE0DB8" w:rsidRPr="00593EA1" w:rsidRDefault="00FE0DB8" w:rsidP="00F80411">
      <w:pPr>
        <w:spacing w:line="276" w:lineRule="auto"/>
        <w:rPr>
          <w:rFonts w:ascii="Arial" w:eastAsia="Calibri" w:hAnsi="Arial" w:cs="Arial"/>
          <w:sz w:val="22"/>
          <w:szCs w:val="22"/>
          <w:lang w:val="es-ES_tradnl"/>
        </w:rPr>
      </w:pPr>
    </w:p>
    <w:p w14:paraId="3C73AE66" w14:textId="77777777" w:rsidR="00F80411" w:rsidRPr="00593EA1" w:rsidRDefault="00F80411" w:rsidP="00F80411">
      <w:pPr>
        <w:spacing w:line="276" w:lineRule="auto"/>
        <w:jc w:val="both"/>
        <w:rPr>
          <w:rFonts w:ascii="Arial" w:eastAsia="Calibri" w:hAnsi="Arial" w:cs="Arial"/>
          <w:b/>
          <w:bCs/>
          <w:sz w:val="22"/>
          <w:szCs w:val="22"/>
          <w:lang w:val="es-ES_tradnl"/>
        </w:rPr>
      </w:pPr>
      <w:r w:rsidRPr="00593EA1">
        <w:rPr>
          <w:rFonts w:ascii="Arial" w:eastAsia="Calibri" w:hAnsi="Arial" w:cs="Arial"/>
          <w:b/>
          <w:bCs/>
          <w:sz w:val="22"/>
          <w:szCs w:val="22"/>
          <w:lang w:val="es-ES_tradnl"/>
        </w:rPr>
        <w:t>2.2. Vigencia y ámbito de aplicación de la Ley 2069 de 2020</w:t>
      </w:r>
    </w:p>
    <w:p w14:paraId="3CF65FA3" w14:textId="77777777" w:rsidR="00F80411" w:rsidRPr="00593EA1" w:rsidRDefault="00F80411" w:rsidP="00F80411">
      <w:pPr>
        <w:spacing w:line="276" w:lineRule="auto"/>
        <w:jc w:val="both"/>
        <w:rPr>
          <w:rFonts w:ascii="Arial" w:eastAsia="Calibri" w:hAnsi="Arial" w:cs="Arial"/>
          <w:sz w:val="22"/>
          <w:szCs w:val="22"/>
          <w:lang w:val="es-ES_tradnl"/>
        </w:rPr>
      </w:pPr>
    </w:p>
    <w:p w14:paraId="52BFCF39" w14:textId="4F385DFF" w:rsidR="00F80411" w:rsidRPr="00593EA1" w:rsidRDefault="00F80411" w:rsidP="00F80411">
      <w:pPr>
        <w:spacing w:line="276" w:lineRule="auto"/>
        <w:jc w:val="both"/>
        <w:rPr>
          <w:rFonts w:ascii="Arial" w:eastAsia="Calibri" w:hAnsi="Arial" w:cs="Arial"/>
          <w:sz w:val="22"/>
          <w:szCs w:val="22"/>
          <w:lang w:val="es-ES_tradnl"/>
        </w:rPr>
      </w:pPr>
      <w:r w:rsidRPr="00593EA1">
        <w:rPr>
          <w:rFonts w:ascii="Arial" w:eastAsia="Calibri" w:hAnsi="Arial" w:cs="Arial"/>
          <w:sz w:val="22"/>
          <w:szCs w:val="22"/>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237DA3D6" w14:textId="77777777" w:rsidR="00F80411" w:rsidRPr="00593EA1" w:rsidRDefault="00F80411" w:rsidP="00F8041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593EA1">
        <w:rPr>
          <w:rFonts w:ascii="Arial" w:eastAsia="Calibri" w:hAnsi="Arial" w:cs="Arial"/>
          <w:sz w:val="22"/>
          <w:szCs w:val="22"/>
          <w:lang w:val="es-ES_tradnl"/>
        </w:rPr>
        <w:t>de acuerdo a</w:t>
      </w:r>
      <w:proofErr w:type="gramEnd"/>
      <w:r w:rsidRPr="00593EA1">
        <w:rPr>
          <w:rFonts w:ascii="Arial" w:eastAsia="Calibri" w:hAnsi="Arial" w:cs="Arial"/>
          <w:sz w:val="22"/>
          <w:szCs w:val="22"/>
          <w:lang w:val="es-ES_tradnl"/>
        </w:rPr>
        <w:t xml:space="preserve"> las realidades socioeconómicas de cada región». En desarrollo de esta finalidad, se establecen medidas de apoyo para las micro, pequeñas y medianas empresas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mediante la racionalización y simplificación de los trámites y tarifas</w:t>
      </w:r>
      <w:r w:rsidRPr="00593EA1">
        <w:rPr>
          <w:rStyle w:val="Refdenotaalpie"/>
          <w:rFonts w:ascii="Arial" w:eastAsia="Calibri" w:hAnsi="Arial" w:cs="Arial"/>
          <w:sz w:val="22"/>
          <w:szCs w:val="22"/>
          <w:lang w:val="es-ES_tradnl"/>
        </w:rPr>
        <w:footnoteReference w:id="5"/>
      </w:r>
      <w:r w:rsidRPr="00593EA1">
        <w:rPr>
          <w:rFonts w:ascii="Arial" w:eastAsia="Calibri" w:hAnsi="Arial" w:cs="Arial"/>
          <w:sz w:val="22"/>
          <w:szCs w:val="22"/>
          <w:lang w:val="es-ES_tradnl"/>
        </w:rPr>
        <w:t>, así como incentivos a favor de aquellas dentro del sistema de compras y contratación pública</w:t>
      </w:r>
      <w:r w:rsidRPr="00593EA1">
        <w:rPr>
          <w:rStyle w:val="Refdenotaalpie"/>
          <w:rFonts w:ascii="Arial" w:eastAsia="Calibri" w:hAnsi="Arial" w:cs="Arial"/>
          <w:sz w:val="22"/>
          <w:szCs w:val="22"/>
          <w:lang w:val="es-ES_tradnl"/>
        </w:rPr>
        <w:footnoteReference w:id="6"/>
      </w:r>
      <w:r w:rsidRPr="00593EA1">
        <w:rPr>
          <w:rFonts w:ascii="Arial" w:eastAsia="Calibri" w:hAnsi="Arial" w:cs="Arial"/>
          <w:sz w:val="22"/>
          <w:szCs w:val="22"/>
          <w:lang w:val="es-ES_tradnl"/>
        </w:rPr>
        <w:t>. También se consagran mecanismos de acceso al financiamiento</w:t>
      </w:r>
      <w:r w:rsidRPr="00593EA1">
        <w:rPr>
          <w:rStyle w:val="Refdenotaalpie"/>
          <w:rFonts w:ascii="Arial" w:eastAsia="Calibri" w:hAnsi="Arial" w:cs="Arial"/>
          <w:sz w:val="22"/>
          <w:szCs w:val="22"/>
          <w:lang w:val="es-ES_tradnl"/>
        </w:rPr>
        <w:footnoteReference w:id="7"/>
      </w:r>
      <w:r w:rsidRPr="00593EA1">
        <w:rPr>
          <w:rFonts w:ascii="Arial" w:eastAsia="Calibri" w:hAnsi="Arial" w:cs="Arial"/>
          <w:sz w:val="22"/>
          <w:szCs w:val="22"/>
          <w:lang w:val="es-ES_tradnl"/>
        </w:rPr>
        <w:t>, se unifican las fuentes de emprendimiento y de desarrollo empresarial, para fortalecer y promover los distintos sectores de la economía</w:t>
      </w:r>
      <w:r w:rsidRPr="00593EA1">
        <w:rPr>
          <w:rStyle w:val="Refdenotaalpie"/>
          <w:rFonts w:ascii="Arial" w:eastAsia="Calibri" w:hAnsi="Arial" w:cs="Arial"/>
          <w:sz w:val="22"/>
          <w:szCs w:val="22"/>
          <w:lang w:val="es-ES_tradnl"/>
        </w:rPr>
        <w:footnoteReference w:id="8"/>
      </w:r>
      <w:r w:rsidRPr="00593EA1">
        <w:rPr>
          <w:rFonts w:ascii="Arial" w:eastAsia="Calibri" w:hAnsi="Arial" w:cs="Arial"/>
          <w:sz w:val="22"/>
          <w:szCs w:val="22"/>
          <w:lang w:val="es-ES_tradnl"/>
        </w:rPr>
        <w:t xml:space="preserve"> y se prevén medidas de educación para el emprendimiento y la innovación</w:t>
      </w:r>
      <w:r w:rsidRPr="00593EA1">
        <w:rPr>
          <w:rStyle w:val="Refdenotaalpie"/>
          <w:rFonts w:ascii="Arial" w:eastAsia="Calibri" w:hAnsi="Arial" w:cs="Arial"/>
          <w:sz w:val="22"/>
          <w:szCs w:val="22"/>
          <w:lang w:val="es-ES_tradnl"/>
        </w:rPr>
        <w:footnoteReference w:id="9"/>
      </w:r>
      <w:r w:rsidRPr="00593EA1">
        <w:rPr>
          <w:rFonts w:ascii="Arial" w:eastAsia="Calibri" w:hAnsi="Arial" w:cs="Arial"/>
          <w:sz w:val="22"/>
          <w:szCs w:val="22"/>
          <w:lang w:val="es-ES_tradnl"/>
        </w:rPr>
        <w:t>.</w:t>
      </w:r>
    </w:p>
    <w:p w14:paraId="3F42E22F" w14:textId="3B893FF7" w:rsidR="001B0F40" w:rsidRPr="00593EA1" w:rsidRDefault="00F80411" w:rsidP="009B0101">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xml:space="preserve"> en el procedimiento de mínima cuantía, </w:t>
      </w:r>
      <w:proofErr w:type="spellStart"/>
      <w:r w:rsidRPr="00593EA1">
        <w:rPr>
          <w:rFonts w:ascii="Arial" w:eastAsia="Calibri" w:hAnsi="Arial" w:cs="Arial"/>
          <w:sz w:val="22"/>
          <w:szCs w:val="22"/>
          <w:lang w:val="es-ES_tradnl"/>
        </w:rPr>
        <w:t>ii</w:t>
      </w:r>
      <w:proofErr w:type="spellEnd"/>
      <w:r w:rsidRPr="00593EA1">
        <w:rPr>
          <w:rFonts w:ascii="Arial" w:eastAsia="Calibri" w:hAnsi="Arial" w:cs="Arial"/>
          <w:sz w:val="22"/>
          <w:szCs w:val="22"/>
          <w:lang w:val="es-ES_tradnl"/>
        </w:rPr>
        <w:t xml:space="preserve">) criterios diferenciales para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xml:space="preserve"> en el sistema de compras públicas, </w:t>
      </w:r>
      <w:proofErr w:type="spellStart"/>
      <w:r w:rsidRPr="00593EA1">
        <w:rPr>
          <w:rFonts w:ascii="Arial" w:eastAsia="Calibri" w:hAnsi="Arial" w:cs="Arial"/>
          <w:sz w:val="22"/>
          <w:szCs w:val="22"/>
          <w:lang w:val="es-ES_tradnl"/>
        </w:rPr>
        <w:t>iii</w:t>
      </w:r>
      <w:proofErr w:type="spellEnd"/>
      <w:r w:rsidRPr="00593EA1">
        <w:rPr>
          <w:rFonts w:ascii="Arial" w:eastAsia="Calibri" w:hAnsi="Arial" w:cs="Arial"/>
          <w:sz w:val="22"/>
          <w:szCs w:val="22"/>
          <w:lang w:val="es-ES_tradnl"/>
        </w:rPr>
        <w:t xml:space="preserve">) criterios diferenciales para emprendimientos y empresas de mujeres en el sistema de compras públicas, </w:t>
      </w:r>
      <w:proofErr w:type="spellStart"/>
      <w:r w:rsidRPr="00593EA1">
        <w:rPr>
          <w:rFonts w:ascii="Arial" w:eastAsia="Calibri" w:hAnsi="Arial" w:cs="Arial"/>
          <w:sz w:val="22"/>
          <w:szCs w:val="22"/>
          <w:lang w:val="es-ES_tradnl"/>
        </w:rPr>
        <w:t>iv</w:t>
      </w:r>
      <w:proofErr w:type="spellEnd"/>
      <w:r w:rsidRPr="00593EA1">
        <w:rPr>
          <w:rFonts w:ascii="Arial" w:eastAsia="Calibri" w:hAnsi="Arial" w:cs="Arial"/>
          <w:sz w:val="22"/>
          <w:szCs w:val="22"/>
          <w:lang w:val="es-ES_tradnl"/>
        </w:rPr>
        <w:t xml:space="preserve">) promoción del acceso de las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Ley, a </w:t>
      </w:r>
      <w:proofErr w:type="gramStart"/>
      <w:r w:rsidRPr="00593EA1">
        <w:rPr>
          <w:rFonts w:ascii="Arial" w:eastAsia="Calibri" w:hAnsi="Arial" w:cs="Arial"/>
          <w:sz w:val="22"/>
          <w:szCs w:val="22"/>
          <w:lang w:val="es-ES_tradnl"/>
        </w:rPr>
        <w:t>continuación</w:t>
      </w:r>
      <w:proofErr w:type="gramEnd"/>
      <w:r w:rsidRPr="00593EA1">
        <w:rPr>
          <w:rFonts w:ascii="Arial" w:eastAsia="Calibri" w:hAnsi="Arial" w:cs="Arial"/>
          <w:sz w:val="22"/>
          <w:szCs w:val="22"/>
          <w:lang w:val="es-ES_tradnl"/>
        </w:rPr>
        <w:t xml:space="preserve"> se estudiará el contenido y alcance de dicha norma.  </w:t>
      </w:r>
    </w:p>
    <w:p w14:paraId="0F9968F1" w14:textId="77777777" w:rsidR="001B0F40" w:rsidRPr="00593EA1" w:rsidRDefault="001B0F40" w:rsidP="00833ADA">
      <w:pPr>
        <w:spacing w:line="276" w:lineRule="auto"/>
        <w:jc w:val="both"/>
        <w:rPr>
          <w:rFonts w:ascii="Arial" w:eastAsia="Calibri" w:hAnsi="Arial" w:cs="Arial"/>
          <w:b/>
          <w:bCs/>
          <w:sz w:val="22"/>
          <w:szCs w:val="22"/>
          <w:lang w:val="es-ES_tradnl"/>
        </w:rPr>
      </w:pPr>
    </w:p>
    <w:p w14:paraId="2C2833A6" w14:textId="6ADC6C16" w:rsidR="00833ADA" w:rsidRPr="00593EA1" w:rsidRDefault="00523F41" w:rsidP="00833ADA">
      <w:pPr>
        <w:spacing w:line="276" w:lineRule="auto"/>
        <w:jc w:val="both"/>
        <w:rPr>
          <w:rFonts w:ascii="Arial" w:eastAsia="Calibri" w:hAnsi="Arial" w:cs="Arial"/>
          <w:b/>
          <w:bCs/>
          <w:sz w:val="22"/>
          <w:szCs w:val="22"/>
          <w:lang w:val="es-ES_tradnl"/>
        </w:rPr>
      </w:pPr>
      <w:r w:rsidRPr="00593EA1">
        <w:rPr>
          <w:rFonts w:ascii="Arial" w:eastAsia="Calibri" w:hAnsi="Arial" w:cs="Arial"/>
          <w:b/>
          <w:bCs/>
          <w:sz w:val="22"/>
          <w:szCs w:val="22"/>
          <w:lang w:val="es-ES_tradnl"/>
        </w:rPr>
        <w:t>2.3.</w:t>
      </w:r>
      <w:r w:rsidR="00833ADA" w:rsidRPr="00593EA1">
        <w:rPr>
          <w:rFonts w:ascii="Arial" w:eastAsia="Calibri" w:hAnsi="Arial" w:cs="Arial"/>
          <w:b/>
          <w:bCs/>
          <w:sz w:val="22"/>
          <w:szCs w:val="22"/>
          <w:lang w:val="es-ES_tradnl"/>
        </w:rPr>
        <w:t xml:space="preserve"> </w:t>
      </w:r>
      <w:bookmarkStart w:id="3" w:name="_Hlk65093490"/>
      <w:r w:rsidR="009C4E28" w:rsidRPr="00593EA1">
        <w:rPr>
          <w:rFonts w:ascii="Arial" w:eastAsia="Calibri" w:hAnsi="Arial" w:cs="Arial"/>
          <w:b/>
          <w:bCs/>
          <w:sz w:val="22"/>
          <w:szCs w:val="22"/>
          <w:lang w:val="es-ES_tradnl"/>
        </w:rPr>
        <w:t>Aplicación de los factores de desempate del artículo 35 de la Ley 2069 de 2020</w:t>
      </w:r>
    </w:p>
    <w:bookmarkEnd w:id="3"/>
    <w:p w14:paraId="39B77F09" w14:textId="77777777" w:rsidR="00FC6DB9" w:rsidRPr="00593EA1" w:rsidRDefault="00FC6DB9" w:rsidP="00271230">
      <w:pPr>
        <w:spacing w:line="276" w:lineRule="auto"/>
        <w:jc w:val="both"/>
        <w:rPr>
          <w:rFonts w:ascii="Arial" w:eastAsia="Calibri" w:hAnsi="Arial" w:cs="Arial"/>
          <w:sz w:val="22"/>
          <w:szCs w:val="22"/>
          <w:lang w:val="es-ES_tradnl"/>
        </w:rPr>
      </w:pPr>
    </w:p>
    <w:p w14:paraId="5A4EC232" w14:textId="18471C7C" w:rsidR="008C6A49" w:rsidRPr="00593EA1" w:rsidRDefault="008C6A49" w:rsidP="008C6A49">
      <w:pPr>
        <w:spacing w:line="276" w:lineRule="auto"/>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El artículo 35 de la Ley 2069 de 2020 modifica la regulación de los factores de desempate en la contratación estatal. En consideración a que en la consulta se solicita que la Agencia Nacional de Contratación Pública – Colombia Compra Eficiente efectúe ciertas precisiones hermenéuticas sobre algunos numerales de dicho artículo, la </w:t>
      </w:r>
      <w:r w:rsidR="00D7536A" w:rsidRPr="00593EA1">
        <w:rPr>
          <w:rFonts w:ascii="Arial" w:eastAsia="Calibri" w:hAnsi="Arial" w:cs="Arial"/>
          <w:sz w:val="22"/>
          <w:szCs w:val="22"/>
          <w:lang w:val="es-ES_tradnl"/>
        </w:rPr>
        <w:t>Agencia</w:t>
      </w:r>
      <w:r w:rsidRPr="00593EA1">
        <w:rPr>
          <w:rFonts w:ascii="Arial" w:eastAsia="Calibri" w:hAnsi="Arial" w:cs="Arial"/>
          <w:sz w:val="22"/>
          <w:szCs w:val="22"/>
          <w:lang w:val="es-ES_tradnl"/>
        </w:rPr>
        <w:t xml:space="preserve"> se pronunciará sobre el alcance que otorga a tales disposiciones, sin pasar por alto la novedad de la Ley 2069 de 2020 –dada su reciente entrada en vigencia– y la ausencia de pronunciamientos jurisprudenciales o estudios doctrinarios sobre el tema, que seguramente contribuirán a decantar la interpretación de las normas en comento.</w:t>
      </w:r>
    </w:p>
    <w:p w14:paraId="7041E5AE" w14:textId="0D5CCB0F" w:rsidR="00337296" w:rsidRPr="00593EA1" w:rsidRDefault="00337296" w:rsidP="00337296">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Al respecto, pese a que el parágrafo 3 dispone que el Gobierno Nacional podrá regular los supuestos en que concurran dos o más factores de desempate,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14:paraId="42911686" w14:textId="77777777" w:rsidR="008C6A49" w:rsidRPr="00593EA1" w:rsidRDefault="008C6A49" w:rsidP="008C6A49">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Por ejemplo, en lo que a las compras públicas se refiere, el parágrafo primero del artículo 30, que alude a la participación de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xml:space="preserve"> en procedimientos de mínima cuantía, establece que «Las particularidades del procedimiento aquí previsto, así como la posibilidad que tengan las entidades de realizar estas adquisiciones a </w:t>
      </w:r>
      <w:proofErr w:type="spellStart"/>
      <w:r w:rsidRPr="00593EA1">
        <w:rPr>
          <w:rFonts w:ascii="Arial" w:eastAsia="Calibri" w:hAnsi="Arial" w:cs="Arial"/>
          <w:sz w:val="22"/>
          <w:szCs w:val="22"/>
          <w:lang w:val="es-ES_tradnl"/>
        </w:rPr>
        <w:t>Mipymes</w:t>
      </w:r>
      <w:proofErr w:type="spellEnd"/>
      <w:r w:rsidRPr="00593EA1">
        <w:rPr>
          <w:rFonts w:ascii="Arial" w:eastAsia="Calibri" w:hAnsi="Arial" w:cs="Arial"/>
          <w:sz w:val="22"/>
          <w:szCs w:val="22"/>
          <w:lang w:val="es-ES_tradnl"/>
        </w:rPr>
        <w:t xml:space="preserve"> o establecimientos que correspondan a la definición de "gran almacén" señalada por la Superintendencia de Industria y Comercio, se determinarán en el reglamento que para el efecto expida el Gobierno Nacional». En un sentido similar, el parágrafo segundo del mismo artículo expresa que «La contratación a que se refiere el presente artículo se realizará exclusivamente con las reglas en él contempladas y en su reglamentación. […]». </w:t>
      </w:r>
    </w:p>
    <w:p w14:paraId="5319FCED" w14:textId="77777777" w:rsidR="008C6A49" w:rsidRPr="00593EA1" w:rsidRDefault="008C6A49" w:rsidP="008C6A49">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Así mismo,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2069 de 2020, indica que en los pliegos de condiciones las entidades estatales deben prever mecanismos que garanticen la provisión de bienes y servicios por parte de sujetos de especial protección constitucional «[…] en las condiciones que señale el reglamento».</w:t>
      </w:r>
    </w:p>
    <w:p w14:paraId="021F0A3C" w14:textId="77777777" w:rsidR="0047771F" w:rsidRPr="00593EA1" w:rsidRDefault="0047771F" w:rsidP="0047771F">
      <w:pPr>
        <w:spacing w:before="120" w:line="276" w:lineRule="auto"/>
        <w:ind w:firstLine="708"/>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Lo mismo no sucede con el artículo 35. En efecto, </w:t>
      </w:r>
      <w:r w:rsidRPr="00593EA1">
        <w:rPr>
          <w:rFonts w:ascii="Arial" w:hAnsi="Arial" w:cs="Arial"/>
          <w:sz w:val="22"/>
          <w:szCs w:val="22"/>
          <w:lang w:val="es-ES_tradnl"/>
        </w:rPr>
        <w:t>si bien los factores de desempate regulados en el artículo 35 deben aplicarse «</w:t>
      </w:r>
      <w:r w:rsidRPr="00593EA1">
        <w:rPr>
          <w:rFonts w:ascii="Arial" w:hAnsi="Arial" w:cs="Arial"/>
          <w:lang w:val="es-ES_tradnl"/>
        </w:rPr>
        <w:t xml:space="preserve">[…] </w:t>
      </w:r>
      <w:r w:rsidRPr="00593EA1">
        <w:rPr>
          <w:rFonts w:ascii="Arial" w:hAnsi="Arial" w:cs="Arial"/>
          <w:sz w:val="22"/>
          <w:szCs w:val="22"/>
          <w:lang w:val="es-ES_tradnl"/>
        </w:rPr>
        <w:t xml:space="preserve">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 </w:t>
      </w:r>
      <w:r w:rsidRPr="00593EA1">
        <w:rPr>
          <w:rFonts w:ascii="Arial" w:eastAsia="Calibri" w:hAnsi="Arial" w:cs="Arial"/>
          <w:sz w:val="22"/>
          <w:szCs w:val="22"/>
          <w:lang w:val="es-ES_tradnl"/>
        </w:rPr>
        <w:t xml:space="preserve"> </w:t>
      </w:r>
    </w:p>
    <w:p w14:paraId="1F45085B" w14:textId="77777777" w:rsidR="008C6A49" w:rsidRPr="00593EA1" w:rsidRDefault="008C6A49" w:rsidP="008C6A49">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lo dispuesto en aquel, sino para indicar que «El Gobierno Nacional </w:t>
      </w:r>
      <w:r w:rsidRPr="00593EA1">
        <w:rPr>
          <w:rFonts w:ascii="Arial" w:eastAsia="Calibri" w:hAnsi="Arial" w:cs="Arial"/>
          <w:i/>
          <w:iCs/>
          <w:sz w:val="22"/>
          <w:szCs w:val="22"/>
          <w:lang w:val="es-ES_tradnl"/>
        </w:rPr>
        <w:t>podrá reglamentar</w:t>
      </w:r>
      <w:r w:rsidRPr="00593EA1">
        <w:rPr>
          <w:rFonts w:ascii="Arial" w:eastAsia="Calibri" w:hAnsi="Arial" w:cs="Arial"/>
          <w:sz w:val="22"/>
          <w:szCs w:val="22"/>
          <w:lang w:val="es-ES_tradnl"/>
        </w:rPr>
        <w:t xml:space="preserve"> la aplicación de factores de desempate en casos en que concurran dos o más de los factores aquí previstos» (Énfasis fuera de texto).</w:t>
      </w:r>
    </w:p>
    <w:p w14:paraId="365E5E9B" w14:textId="0AFFD78A" w:rsidR="008C6A49" w:rsidRPr="00593EA1" w:rsidRDefault="008C6A49" w:rsidP="008C6A49">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Como se observa se trata de una competencia que, en concordancia con el artículo 189.11 superior, el gobierno nacional puede ejercer discrecionalmente para la ejecución de las leyes. Por tanto, </w:t>
      </w:r>
      <w:r w:rsidR="00E65A79" w:rsidRPr="00593EA1">
        <w:rPr>
          <w:rFonts w:ascii="Arial" w:eastAsia="Calibri" w:hAnsi="Arial" w:cs="Arial"/>
          <w:sz w:val="22"/>
          <w:szCs w:val="22"/>
          <w:lang w:val="es-ES_tradnl"/>
        </w:rPr>
        <w:t xml:space="preserve">sin perjuicio de que el Gobierno Nacional ejerza la potestad reglamentaria para regular los casos en que concurren dos o más de los factores de desempate, </w:t>
      </w:r>
      <w:r w:rsidRPr="00593EA1">
        <w:rPr>
          <w:rFonts w:ascii="Arial" w:eastAsia="Calibri" w:hAnsi="Arial" w:cs="Arial"/>
          <w:sz w:val="22"/>
          <w:szCs w:val="22"/>
          <w:lang w:val="es-ES_tradnl"/>
        </w:rPr>
        <w:t>no es necesaria la existencia del reglamento como presupuesto necesario para aplicar el artículo 35 de la Ley 2069 de 2020. De este modo, se concluye que los factores de desempate del artículo citado son exigibles desde la fecha de su promulgación, es decir, deben tenerse en cuenta en los procesos de selección que se inicien después del 31 de diciembre de 2020.</w:t>
      </w:r>
    </w:p>
    <w:p w14:paraId="2739984E" w14:textId="60A496B2" w:rsidR="006A4F85" w:rsidRPr="00593EA1" w:rsidRDefault="0018007F" w:rsidP="00AC4AD2">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Además, s</w:t>
      </w:r>
      <w:r w:rsidR="00FD5443" w:rsidRPr="00593EA1">
        <w:rPr>
          <w:rFonts w:ascii="Arial" w:hAnsi="Arial" w:cs="Arial"/>
          <w:sz w:val="22"/>
          <w:szCs w:val="22"/>
          <w:lang w:val="es-ES_tradnl"/>
        </w:rPr>
        <w:t xml:space="preserve">i existe un tratado o acuerdo comercial que establezca disposiciones especiales en materia de compras y contratación pública, prevalece la regulación contenida en aquel. Esta conclusión también se fundamenta en el artículo 2.2.1.2.4.1.1 del Decreto 1082 de 2015, según el cual «Las Entidades Estatales deben adelantar los Procesos de Contratación de acuerdo con lo previsto en los Acuerdos Comerciales, cuando estos les sean aplicables».​ La Ley </w:t>
      </w:r>
      <w:r w:rsidR="006F0F34" w:rsidRPr="00593EA1">
        <w:rPr>
          <w:rFonts w:ascii="Arial" w:hAnsi="Arial" w:cs="Arial"/>
          <w:sz w:val="22"/>
          <w:szCs w:val="22"/>
          <w:lang w:val="es-ES_tradnl"/>
        </w:rPr>
        <w:t>2069</w:t>
      </w:r>
      <w:r w:rsidR="00FD5443" w:rsidRPr="00593EA1">
        <w:rPr>
          <w:rFonts w:ascii="Arial" w:hAnsi="Arial" w:cs="Arial"/>
          <w:sz w:val="22"/>
          <w:szCs w:val="22"/>
          <w:lang w:val="es-ES_tradnl"/>
        </w:rPr>
        <w:t xml:space="preserve"> de 2020 no establece que ante la existencia de tratados o acuerdos comerciales que rijan el procedimiento de selección el órgano contratante se debe abstener de aplicar algunos numerales del artículo 35, sino que lo que indica es que la entidad estatal debe consultar en cada caso cuáles son las disposiciones del acuerdo comercial y si son o no compatibles con los factores de desempate. En caso negativo, prevalece el tratado.</w:t>
      </w:r>
    </w:p>
    <w:p w14:paraId="041BB6BB" w14:textId="79A3C805" w:rsidR="008E26D9" w:rsidRPr="00593EA1" w:rsidRDefault="006A4F85" w:rsidP="00AC4AD2">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 xml:space="preserve">Ahora bien, </w:t>
      </w:r>
      <w:r w:rsidR="00A46B4B" w:rsidRPr="00593EA1">
        <w:rPr>
          <w:rFonts w:ascii="Arial" w:hAnsi="Arial" w:cs="Arial"/>
          <w:sz w:val="22"/>
          <w:szCs w:val="22"/>
          <w:lang w:val="es-ES_tradnl"/>
        </w:rPr>
        <w:t xml:space="preserve">hasta la promulgación de la Ley </w:t>
      </w:r>
      <w:r w:rsidR="006F0F34" w:rsidRPr="00593EA1">
        <w:rPr>
          <w:rFonts w:ascii="Arial" w:hAnsi="Arial" w:cs="Arial"/>
          <w:sz w:val="22"/>
          <w:szCs w:val="22"/>
          <w:lang w:val="es-ES_tradnl"/>
        </w:rPr>
        <w:t>2069</w:t>
      </w:r>
      <w:r w:rsidR="00530059" w:rsidRPr="00593EA1">
        <w:rPr>
          <w:rFonts w:ascii="Arial" w:hAnsi="Arial" w:cs="Arial"/>
          <w:sz w:val="22"/>
          <w:szCs w:val="22"/>
          <w:lang w:val="es-ES_tradnl"/>
        </w:rPr>
        <w:t xml:space="preserve"> de 2020</w:t>
      </w:r>
      <w:r w:rsidR="00D65861" w:rsidRPr="00593EA1">
        <w:rPr>
          <w:rFonts w:ascii="Arial" w:hAnsi="Arial" w:cs="Arial"/>
          <w:sz w:val="22"/>
          <w:szCs w:val="22"/>
          <w:lang w:val="es-ES_tradnl"/>
        </w:rPr>
        <w:t>,</w:t>
      </w:r>
      <w:r w:rsidR="00530059" w:rsidRPr="00593EA1">
        <w:rPr>
          <w:rFonts w:ascii="Arial" w:hAnsi="Arial" w:cs="Arial"/>
          <w:sz w:val="22"/>
          <w:szCs w:val="22"/>
          <w:lang w:val="es-ES_tradnl"/>
        </w:rPr>
        <w:t xml:space="preserve"> </w:t>
      </w:r>
      <w:r w:rsidRPr="00593EA1">
        <w:rPr>
          <w:rFonts w:ascii="Arial" w:hAnsi="Arial" w:cs="Arial"/>
          <w:sz w:val="22"/>
          <w:szCs w:val="22"/>
          <w:lang w:val="es-ES_tradnl"/>
        </w:rPr>
        <w:t xml:space="preserve">el artículo </w:t>
      </w:r>
      <w:r w:rsidR="00A46B4B" w:rsidRPr="00593EA1">
        <w:rPr>
          <w:rFonts w:ascii="Arial" w:hAnsi="Arial" w:cs="Arial"/>
          <w:sz w:val="22"/>
          <w:szCs w:val="22"/>
          <w:lang w:val="es-ES_tradnl"/>
        </w:rPr>
        <w:t xml:space="preserve">2.2.1.1.2.2.9. del Decreto 1082 de 2015 </w:t>
      </w:r>
      <w:r w:rsidR="001F10BD" w:rsidRPr="00593EA1">
        <w:rPr>
          <w:rFonts w:ascii="Arial" w:hAnsi="Arial" w:cs="Arial"/>
          <w:sz w:val="22"/>
          <w:szCs w:val="22"/>
          <w:lang w:val="es-ES_tradnl"/>
        </w:rPr>
        <w:t>regulaba</w:t>
      </w:r>
      <w:r w:rsidR="00530059" w:rsidRPr="00593EA1">
        <w:rPr>
          <w:rFonts w:ascii="Arial" w:hAnsi="Arial" w:cs="Arial"/>
          <w:sz w:val="22"/>
          <w:szCs w:val="22"/>
          <w:lang w:val="es-ES_tradnl"/>
        </w:rPr>
        <w:t xml:space="preserve"> los factores de desempate que debían aplicarse en los procesos de selección</w:t>
      </w:r>
      <w:r w:rsidR="00530059" w:rsidRPr="00593EA1">
        <w:rPr>
          <w:rStyle w:val="Refdenotaalpie"/>
          <w:rFonts w:ascii="Arial" w:hAnsi="Arial" w:cs="Arial"/>
          <w:sz w:val="22"/>
          <w:szCs w:val="22"/>
          <w:lang w:val="es-ES_tradnl"/>
        </w:rPr>
        <w:footnoteReference w:id="10"/>
      </w:r>
      <w:r w:rsidR="00530059" w:rsidRPr="00593EA1">
        <w:rPr>
          <w:rFonts w:ascii="Arial" w:hAnsi="Arial" w:cs="Arial"/>
          <w:sz w:val="22"/>
          <w:szCs w:val="22"/>
          <w:lang w:val="es-ES_tradnl"/>
        </w:rPr>
        <w:t>.</w:t>
      </w:r>
      <w:r w:rsidR="00D65861" w:rsidRPr="00593EA1">
        <w:rPr>
          <w:rFonts w:ascii="Arial" w:hAnsi="Arial" w:cs="Arial"/>
          <w:sz w:val="22"/>
          <w:szCs w:val="22"/>
          <w:lang w:val="es-ES_tradnl"/>
        </w:rPr>
        <w:t xml:space="preserve"> En </w:t>
      </w:r>
      <w:r w:rsidR="00817661" w:rsidRPr="00593EA1">
        <w:rPr>
          <w:rFonts w:ascii="Arial" w:hAnsi="Arial" w:cs="Arial"/>
          <w:sz w:val="22"/>
          <w:szCs w:val="22"/>
          <w:lang w:val="es-ES_tradnl"/>
        </w:rPr>
        <w:t xml:space="preserve">criterio de esta </w:t>
      </w:r>
      <w:r w:rsidR="009962B0" w:rsidRPr="00593EA1">
        <w:rPr>
          <w:rFonts w:ascii="Arial" w:hAnsi="Arial" w:cs="Arial"/>
          <w:sz w:val="22"/>
          <w:szCs w:val="22"/>
          <w:lang w:val="es-ES_tradnl"/>
        </w:rPr>
        <w:t>Agencia</w:t>
      </w:r>
      <w:r w:rsidR="00817661" w:rsidRPr="00593EA1">
        <w:rPr>
          <w:rFonts w:ascii="Arial" w:hAnsi="Arial" w:cs="Arial"/>
          <w:sz w:val="22"/>
          <w:szCs w:val="22"/>
          <w:lang w:val="es-ES_tradnl"/>
        </w:rPr>
        <w:t xml:space="preserve">, dicha norma debe entenderse derogada por el artículo 35 de la Ley </w:t>
      </w:r>
      <w:r w:rsidR="006F0F34" w:rsidRPr="00593EA1">
        <w:rPr>
          <w:rFonts w:ascii="Arial" w:hAnsi="Arial" w:cs="Arial"/>
          <w:sz w:val="22"/>
          <w:szCs w:val="22"/>
          <w:lang w:val="es-ES_tradnl"/>
        </w:rPr>
        <w:t>2069</w:t>
      </w:r>
      <w:r w:rsidR="00817661" w:rsidRPr="00593EA1">
        <w:rPr>
          <w:rFonts w:ascii="Arial" w:hAnsi="Arial" w:cs="Arial"/>
          <w:sz w:val="22"/>
          <w:szCs w:val="22"/>
          <w:lang w:val="es-ES_tradnl"/>
        </w:rPr>
        <w:t xml:space="preserve"> de 2020.</w:t>
      </w:r>
      <w:r w:rsidR="008D021B" w:rsidRPr="00593EA1">
        <w:rPr>
          <w:rFonts w:ascii="Arial" w:hAnsi="Arial" w:cs="Arial"/>
          <w:sz w:val="22"/>
          <w:szCs w:val="22"/>
          <w:lang w:val="es-ES_tradnl"/>
        </w:rPr>
        <w:t xml:space="preserve"> Ello no solo porque el artículo </w:t>
      </w:r>
      <w:r w:rsidR="000B1057" w:rsidRPr="00593EA1">
        <w:rPr>
          <w:rFonts w:ascii="Arial" w:hAnsi="Arial" w:cs="Arial"/>
          <w:sz w:val="22"/>
          <w:szCs w:val="22"/>
          <w:lang w:val="es-ES_tradnl"/>
        </w:rPr>
        <w:t xml:space="preserve">84 de esta Ley dice que «rige a partir del momento de su promulgación», es decir, desde el 31 de diciembre de 2020, sino además porque </w:t>
      </w:r>
      <w:r w:rsidR="00AE5899" w:rsidRPr="00593EA1">
        <w:rPr>
          <w:rFonts w:ascii="Arial" w:hAnsi="Arial" w:cs="Arial"/>
          <w:sz w:val="22"/>
          <w:szCs w:val="22"/>
          <w:lang w:val="es-ES_tradnl"/>
        </w:rPr>
        <w:t xml:space="preserve">la misma disposición señala que </w:t>
      </w:r>
      <w:r w:rsidR="00EF07FB" w:rsidRPr="00593EA1">
        <w:rPr>
          <w:rFonts w:ascii="Arial" w:hAnsi="Arial" w:cs="Arial"/>
          <w:sz w:val="22"/>
          <w:szCs w:val="22"/>
          <w:lang w:val="es-ES_tradnl"/>
        </w:rPr>
        <w:t xml:space="preserve">la Ley </w:t>
      </w:r>
      <w:r w:rsidR="006F0F34" w:rsidRPr="00593EA1">
        <w:rPr>
          <w:rFonts w:ascii="Arial" w:hAnsi="Arial" w:cs="Arial"/>
          <w:sz w:val="22"/>
          <w:szCs w:val="22"/>
          <w:lang w:val="es-ES_tradnl"/>
        </w:rPr>
        <w:t>2069</w:t>
      </w:r>
      <w:r w:rsidR="00EF07FB" w:rsidRPr="00593EA1">
        <w:rPr>
          <w:rFonts w:ascii="Arial" w:hAnsi="Arial" w:cs="Arial"/>
          <w:sz w:val="22"/>
          <w:szCs w:val="22"/>
          <w:lang w:val="es-ES_tradnl"/>
        </w:rPr>
        <w:t xml:space="preserve"> de 2020 deroga «[…] todas las disposiciones que le sean contrarias». Se presenta una antinomia o contradicción normativa cuando dos o más disposiciones normativas regulan en sentido diferente un tema.</w:t>
      </w:r>
      <w:r w:rsidR="00583E07" w:rsidRPr="00593EA1">
        <w:rPr>
          <w:rFonts w:ascii="Arial" w:hAnsi="Arial" w:cs="Arial"/>
          <w:sz w:val="22"/>
          <w:szCs w:val="22"/>
          <w:lang w:val="es-ES_tradnl"/>
        </w:rPr>
        <w:t xml:space="preserve"> Bajo esta consideración, como el artículo 35 de la Ley </w:t>
      </w:r>
      <w:r w:rsidR="006F0F34" w:rsidRPr="00593EA1">
        <w:rPr>
          <w:rFonts w:ascii="Arial" w:hAnsi="Arial" w:cs="Arial"/>
          <w:sz w:val="22"/>
          <w:szCs w:val="22"/>
          <w:lang w:val="es-ES_tradnl"/>
        </w:rPr>
        <w:t>2069</w:t>
      </w:r>
      <w:r w:rsidR="00583E07" w:rsidRPr="00593EA1">
        <w:rPr>
          <w:rFonts w:ascii="Arial" w:hAnsi="Arial" w:cs="Arial"/>
          <w:sz w:val="22"/>
          <w:szCs w:val="22"/>
          <w:lang w:val="es-ES_tradnl"/>
        </w:rPr>
        <w:t xml:space="preserve"> de 2020 regula en forma distinta</w:t>
      </w:r>
      <w:r w:rsidR="00AB24F8" w:rsidRPr="00593EA1">
        <w:rPr>
          <w:rFonts w:ascii="Arial" w:hAnsi="Arial" w:cs="Arial"/>
          <w:sz w:val="22"/>
          <w:szCs w:val="22"/>
          <w:lang w:val="es-ES_tradnl"/>
        </w:rPr>
        <w:t xml:space="preserve"> a como lo hacía el artículo 2.2.1.1.2.2.9. del Decreto 1082 de 2015 </w:t>
      </w:r>
      <w:r w:rsidR="00397C34" w:rsidRPr="00593EA1">
        <w:rPr>
          <w:rFonts w:ascii="Arial" w:hAnsi="Arial" w:cs="Arial"/>
          <w:sz w:val="22"/>
          <w:szCs w:val="22"/>
          <w:lang w:val="es-ES_tradnl"/>
        </w:rPr>
        <w:t>la aplicación de los factores de desempate,</w:t>
      </w:r>
      <w:r w:rsidR="00AB24F8" w:rsidRPr="00593EA1">
        <w:rPr>
          <w:rFonts w:ascii="Arial" w:hAnsi="Arial" w:cs="Arial"/>
          <w:sz w:val="22"/>
          <w:szCs w:val="22"/>
          <w:lang w:val="es-ES_tradnl"/>
        </w:rPr>
        <w:t xml:space="preserve"> </w:t>
      </w:r>
      <w:r w:rsidR="0018007F" w:rsidRPr="00593EA1">
        <w:rPr>
          <w:rFonts w:ascii="Arial" w:hAnsi="Arial" w:cs="Arial"/>
          <w:sz w:val="22"/>
          <w:szCs w:val="22"/>
          <w:lang w:val="es-ES_tradnl"/>
        </w:rPr>
        <w:t xml:space="preserve">este último </w:t>
      </w:r>
      <w:r w:rsidR="00AB24F8" w:rsidRPr="00593EA1">
        <w:rPr>
          <w:rFonts w:ascii="Arial" w:hAnsi="Arial" w:cs="Arial"/>
          <w:sz w:val="22"/>
          <w:szCs w:val="22"/>
          <w:lang w:val="es-ES_tradnl"/>
        </w:rPr>
        <w:t xml:space="preserve">debe entenderse derogado. </w:t>
      </w:r>
    </w:p>
    <w:p w14:paraId="0E5E6761" w14:textId="77777777" w:rsidR="00A32BA3" w:rsidRPr="00593EA1" w:rsidRDefault="00AB24F8" w:rsidP="00AC4AD2">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 xml:space="preserve">Un argumento adicional para sostener esta tesis tiene que ver con el fenómeno de la pérdida de fuerza ejecutoria –o decaimiento– de los actos administrativos, regulado en el numeral </w:t>
      </w:r>
      <w:r w:rsidR="00A639A9" w:rsidRPr="00593EA1">
        <w:rPr>
          <w:rFonts w:ascii="Arial" w:hAnsi="Arial" w:cs="Arial"/>
          <w:sz w:val="22"/>
          <w:szCs w:val="22"/>
          <w:lang w:val="es-ES_tradnl"/>
        </w:rPr>
        <w:t>2 del artículo 91 de la Ley 1437 de 2011.</w:t>
      </w:r>
      <w:r w:rsidR="005907D4" w:rsidRPr="00593EA1">
        <w:rPr>
          <w:rFonts w:ascii="Arial" w:hAnsi="Arial" w:cs="Arial"/>
          <w:sz w:val="22"/>
          <w:szCs w:val="22"/>
          <w:lang w:val="es-ES_tradnl"/>
        </w:rPr>
        <w:t xml:space="preserve"> </w:t>
      </w:r>
      <w:r w:rsidR="00A639A9" w:rsidRPr="00593EA1">
        <w:rPr>
          <w:rFonts w:ascii="Arial" w:hAnsi="Arial" w:cs="Arial"/>
          <w:sz w:val="22"/>
          <w:szCs w:val="22"/>
          <w:lang w:val="es-ES_tradnl"/>
        </w:rPr>
        <w:t xml:space="preserve">Esta norma señala que los actos administrativos pierden fuerza ejecutoria </w:t>
      </w:r>
      <w:r w:rsidR="0064194F" w:rsidRPr="00593EA1">
        <w:rPr>
          <w:rFonts w:ascii="Arial" w:hAnsi="Arial" w:cs="Arial"/>
          <w:sz w:val="22"/>
          <w:szCs w:val="22"/>
          <w:lang w:val="es-ES_tradnl"/>
        </w:rPr>
        <w:t xml:space="preserve">«Cuando desaparezcan sus fundamentos de hecho o de derecho». </w:t>
      </w:r>
      <w:bookmarkStart w:id="4" w:name="_Hlk62546732"/>
      <w:r w:rsidR="0064194F" w:rsidRPr="00593EA1">
        <w:rPr>
          <w:rFonts w:ascii="Arial" w:hAnsi="Arial" w:cs="Arial"/>
          <w:sz w:val="22"/>
          <w:szCs w:val="22"/>
          <w:lang w:val="es-ES_tradnl"/>
        </w:rPr>
        <w:t xml:space="preserve">Dado que el Decreto 1082 de 2015 es un reglamento </w:t>
      </w:r>
      <w:proofErr w:type="spellStart"/>
      <w:r w:rsidR="0064194F" w:rsidRPr="00593EA1">
        <w:rPr>
          <w:rFonts w:ascii="Arial" w:hAnsi="Arial" w:cs="Arial"/>
          <w:i/>
          <w:iCs/>
          <w:sz w:val="22"/>
          <w:szCs w:val="22"/>
          <w:lang w:val="es-ES_tradnl"/>
        </w:rPr>
        <w:t>secundum</w:t>
      </w:r>
      <w:proofErr w:type="spellEnd"/>
      <w:r w:rsidR="0064194F" w:rsidRPr="00593EA1">
        <w:rPr>
          <w:rFonts w:ascii="Arial" w:hAnsi="Arial" w:cs="Arial"/>
          <w:i/>
          <w:iCs/>
          <w:sz w:val="22"/>
          <w:szCs w:val="22"/>
          <w:lang w:val="es-ES_tradnl"/>
        </w:rPr>
        <w:t xml:space="preserve"> </w:t>
      </w:r>
      <w:proofErr w:type="spellStart"/>
      <w:r w:rsidR="0064194F" w:rsidRPr="00593EA1">
        <w:rPr>
          <w:rFonts w:ascii="Arial" w:hAnsi="Arial" w:cs="Arial"/>
          <w:i/>
          <w:iCs/>
          <w:sz w:val="22"/>
          <w:szCs w:val="22"/>
          <w:lang w:val="es-ES_tradnl"/>
        </w:rPr>
        <w:t>legem</w:t>
      </w:r>
      <w:proofErr w:type="spellEnd"/>
      <w:r w:rsidR="0064194F" w:rsidRPr="00593EA1">
        <w:rPr>
          <w:rFonts w:ascii="Arial" w:hAnsi="Arial" w:cs="Arial"/>
          <w:sz w:val="22"/>
          <w:szCs w:val="22"/>
          <w:lang w:val="es-ES_tradnl"/>
        </w:rPr>
        <w:t xml:space="preserve"> </w:t>
      </w:r>
      <w:r w:rsidR="00E305A8" w:rsidRPr="00593EA1">
        <w:rPr>
          <w:rFonts w:ascii="Arial" w:hAnsi="Arial" w:cs="Arial"/>
          <w:sz w:val="22"/>
          <w:szCs w:val="22"/>
          <w:lang w:val="es-ES_tradnl"/>
        </w:rPr>
        <w:t xml:space="preserve">–es decir, que desarrolla </w:t>
      </w:r>
      <w:r w:rsidR="00F44120" w:rsidRPr="00593EA1">
        <w:rPr>
          <w:rFonts w:ascii="Arial" w:hAnsi="Arial" w:cs="Arial"/>
          <w:sz w:val="22"/>
          <w:szCs w:val="22"/>
          <w:lang w:val="es-ES_tradnl"/>
        </w:rPr>
        <w:t>una norma de mayor jerarquía</w:t>
      </w:r>
      <w:r w:rsidR="00E305A8" w:rsidRPr="00593EA1">
        <w:rPr>
          <w:rFonts w:ascii="Arial" w:hAnsi="Arial" w:cs="Arial"/>
          <w:sz w:val="22"/>
          <w:szCs w:val="22"/>
          <w:lang w:val="es-ES_tradnl"/>
        </w:rPr>
        <w:t>–</w:t>
      </w:r>
      <w:r w:rsidR="004B6EF5" w:rsidRPr="00593EA1">
        <w:rPr>
          <w:rFonts w:ascii="Arial" w:hAnsi="Arial" w:cs="Arial"/>
          <w:sz w:val="22"/>
          <w:szCs w:val="22"/>
          <w:lang w:val="es-ES_tradnl"/>
        </w:rPr>
        <w:t>, la expedición de una ley</w:t>
      </w:r>
      <w:r w:rsidR="008E26D9" w:rsidRPr="00593EA1">
        <w:rPr>
          <w:rFonts w:ascii="Arial" w:hAnsi="Arial" w:cs="Arial"/>
          <w:sz w:val="22"/>
          <w:szCs w:val="22"/>
          <w:lang w:val="es-ES_tradnl"/>
        </w:rPr>
        <w:t xml:space="preserve"> en sentido formal</w:t>
      </w:r>
      <w:r w:rsidR="00C03664" w:rsidRPr="00593EA1">
        <w:rPr>
          <w:rFonts w:ascii="Arial" w:hAnsi="Arial" w:cs="Arial"/>
          <w:sz w:val="22"/>
          <w:szCs w:val="22"/>
          <w:lang w:val="es-ES_tradnl"/>
        </w:rPr>
        <w:t xml:space="preserve"> –</w:t>
      </w:r>
      <w:r w:rsidR="008E26D9" w:rsidRPr="00593EA1">
        <w:rPr>
          <w:rFonts w:ascii="Arial" w:hAnsi="Arial" w:cs="Arial"/>
          <w:sz w:val="22"/>
          <w:szCs w:val="22"/>
          <w:lang w:val="es-ES_tradnl"/>
        </w:rPr>
        <w:t xml:space="preserve">es decir, </w:t>
      </w:r>
      <w:r w:rsidR="00F44120" w:rsidRPr="00593EA1">
        <w:rPr>
          <w:rFonts w:ascii="Arial" w:hAnsi="Arial" w:cs="Arial"/>
          <w:sz w:val="22"/>
          <w:szCs w:val="22"/>
          <w:lang w:val="es-ES_tradnl"/>
        </w:rPr>
        <w:t>una fuente que condiciona el contenido de este último</w:t>
      </w:r>
      <w:r w:rsidR="00C03664" w:rsidRPr="00593EA1">
        <w:rPr>
          <w:rFonts w:ascii="Arial" w:hAnsi="Arial" w:cs="Arial"/>
          <w:sz w:val="22"/>
          <w:szCs w:val="22"/>
          <w:lang w:val="es-ES_tradnl"/>
        </w:rPr>
        <w:t>–</w:t>
      </w:r>
      <w:r w:rsidR="008E26D9" w:rsidRPr="00593EA1">
        <w:rPr>
          <w:rFonts w:ascii="Arial" w:hAnsi="Arial" w:cs="Arial"/>
          <w:sz w:val="22"/>
          <w:szCs w:val="22"/>
          <w:lang w:val="es-ES_tradnl"/>
        </w:rPr>
        <w:t>, hace que la disposición reglamentaria decaiga</w:t>
      </w:r>
      <w:bookmarkEnd w:id="4"/>
      <w:r w:rsidR="008E26D9" w:rsidRPr="00593EA1">
        <w:rPr>
          <w:rFonts w:ascii="Arial" w:hAnsi="Arial" w:cs="Arial"/>
          <w:sz w:val="22"/>
          <w:szCs w:val="22"/>
          <w:lang w:val="es-ES_tradnl"/>
        </w:rPr>
        <w:t xml:space="preserve">. </w:t>
      </w:r>
      <w:r w:rsidR="00397C34" w:rsidRPr="00593EA1">
        <w:rPr>
          <w:rFonts w:ascii="Arial" w:hAnsi="Arial" w:cs="Arial"/>
          <w:sz w:val="22"/>
          <w:szCs w:val="22"/>
          <w:lang w:val="es-ES_tradnl"/>
        </w:rPr>
        <w:t xml:space="preserve"> </w:t>
      </w:r>
      <w:r w:rsidR="00817661" w:rsidRPr="00593EA1">
        <w:rPr>
          <w:rFonts w:ascii="Arial" w:hAnsi="Arial" w:cs="Arial"/>
          <w:sz w:val="22"/>
          <w:szCs w:val="22"/>
          <w:lang w:val="es-ES_tradnl"/>
        </w:rPr>
        <w:t xml:space="preserve"> </w:t>
      </w:r>
      <w:r w:rsidR="00530059" w:rsidRPr="00593EA1">
        <w:rPr>
          <w:rFonts w:ascii="Arial" w:hAnsi="Arial" w:cs="Arial"/>
          <w:sz w:val="22"/>
          <w:szCs w:val="22"/>
          <w:lang w:val="es-ES_tradnl"/>
        </w:rPr>
        <w:t xml:space="preserve"> </w:t>
      </w:r>
      <w:r w:rsidR="006A4F85" w:rsidRPr="00593EA1">
        <w:rPr>
          <w:rFonts w:ascii="Arial" w:hAnsi="Arial" w:cs="Arial"/>
          <w:sz w:val="22"/>
          <w:szCs w:val="22"/>
          <w:lang w:val="es-ES_tradnl"/>
        </w:rPr>
        <w:t xml:space="preserve"> </w:t>
      </w:r>
    </w:p>
    <w:p w14:paraId="111B087D" w14:textId="21190D24" w:rsidR="00A1396D" w:rsidRPr="00593EA1" w:rsidRDefault="00A32BA3" w:rsidP="00AC4AD2">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 xml:space="preserve">Ahora bien, </w:t>
      </w:r>
      <w:r w:rsidR="00510C09" w:rsidRPr="00593EA1">
        <w:rPr>
          <w:rFonts w:ascii="Arial" w:hAnsi="Arial" w:cs="Arial"/>
          <w:sz w:val="22"/>
          <w:szCs w:val="22"/>
          <w:lang w:val="es-ES_tradnl"/>
        </w:rPr>
        <w:t>en cuanto a la aplicación de los factores de desempate</w:t>
      </w:r>
      <w:r w:rsidR="00BB07A9" w:rsidRPr="00593EA1">
        <w:rPr>
          <w:rFonts w:ascii="Arial" w:hAnsi="Arial" w:cs="Arial"/>
          <w:sz w:val="22"/>
          <w:szCs w:val="22"/>
          <w:lang w:val="es-ES_tradnl"/>
        </w:rPr>
        <w:t xml:space="preserve"> del artículo 35</w:t>
      </w:r>
      <w:r w:rsidR="00510C09" w:rsidRPr="00593EA1">
        <w:rPr>
          <w:rFonts w:ascii="Arial" w:hAnsi="Arial" w:cs="Arial"/>
          <w:sz w:val="22"/>
          <w:szCs w:val="22"/>
          <w:lang w:val="es-ES_tradnl"/>
        </w:rPr>
        <w:t xml:space="preserve">, se </w:t>
      </w:r>
      <w:r w:rsidR="0061160E" w:rsidRPr="00593EA1">
        <w:rPr>
          <w:rFonts w:ascii="Arial" w:hAnsi="Arial" w:cs="Arial"/>
          <w:sz w:val="22"/>
          <w:szCs w:val="22"/>
          <w:lang w:val="es-ES_tradnl"/>
        </w:rPr>
        <w:t>reitera</w:t>
      </w:r>
      <w:r w:rsidR="00510C09" w:rsidRPr="00593EA1">
        <w:rPr>
          <w:rFonts w:ascii="Arial" w:hAnsi="Arial" w:cs="Arial"/>
          <w:sz w:val="22"/>
          <w:szCs w:val="22"/>
          <w:lang w:val="es-ES_tradnl"/>
        </w:rPr>
        <w:t xml:space="preserve">, </w:t>
      </w:r>
      <w:r w:rsidR="00BB07A9" w:rsidRPr="00593EA1">
        <w:rPr>
          <w:rFonts w:ascii="Arial" w:hAnsi="Arial" w:cs="Arial"/>
          <w:sz w:val="22"/>
          <w:szCs w:val="22"/>
          <w:lang w:val="es-ES_tradnl"/>
        </w:rPr>
        <w:t xml:space="preserve">debe hacerse de forma </w:t>
      </w:r>
      <w:r w:rsidR="00BB07A9" w:rsidRPr="00593EA1">
        <w:rPr>
          <w:rFonts w:ascii="Arial" w:hAnsi="Arial" w:cs="Arial"/>
          <w:i/>
          <w:iCs/>
          <w:sz w:val="22"/>
          <w:szCs w:val="22"/>
          <w:lang w:val="es-ES_tradnl"/>
        </w:rPr>
        <w:t>sucesiva y excluyente</w:t>
      </w:r>
      <w:r w:rsidR="003B6E81" w:rsidRPr="00593EA1">
        <w:rPr>
          <w:rFonts w:ascii="Arial" w:hAnsi="Arial" w:cs="Arial"/>
          <w:sz w:val="22"/>
          <w:szCs w:val="22"/>
          <w:lang w:val="es-ES_tradnl"/>
        </w:rPr>
        <w:t xml:space="preserve">. </w:t>
      </w:r>
      <w:r w:rsidR="00CD2FB8" w:rsidRPr="00593EA1">
        <w:rPr>
          <w:rFonts w:ascii="Arial" w:hAnsi="Arial" w:cs="Arial"/>
          <w:sz w:val="22"/>
          <w:szCs w:val="22"/>
          <w:lang w:val="es-ES_tradnl"/>
        </w:rPr>
        <w:t xml:space="preserve">La aplicación </w:t>
      </w:r>
      <w:r w:rsidR="00CD2FB8" w:rsidRPr="00593EA1">
        <w:rPr>
          <w:rFonts w:ascii="Arial" w:hAnsi="Arial" w:cs="Arial"/>
          <w:i/>
          <w:iCs/>
          <w:sz w:val="22"/>
          <w:szCs w:val="22"/>
          <w:lang w:val="es-ES_tradnl"/>
        </w:rPr>
        <w:t>sucesiva</w:t>
      </w:r>
      <w:r w:rsidR="00CD2FB8" w:rsidRPr="00593EA1">
        <w:rPr>
          <w:rFonts w:ascii="Arial" w:hAnsi="Arial" w:cs="Arial"/>
          <w:sz w:val="22"/>
          <w:szCs w:val="22"/>
          <w:lang w:val="es-ES_tradnl"/>
        </w:rPr>
        <w:t xml:space="preserve"> significa </w:t>
      </w:r>
      <w:r w:rsidR="003B6E81" w:rsidRPr="00593EA1">
        <w:rPr>
          <w:rFonts w:ascii="Arial" w:hAnsi="Arial" w:cs="Arial"/>
          <w:sz w:val="22"/>
          <w:szCs w:val="22"/>
          <w:lang w:val="es-ES_tradnl"/>
        </w:rPr>
        <w:t xml:space="preserve">que, para resolver </w:t>
      </w:r>
      <w:r w:rsidR="004D4C83" w:rsidRPr="00593EA1">
        <w:rPr>
          <w:rFonts w:ascii="Arial" w:hAnsi="Arial" w:cs="Arial"/>
          <w:sz w:val="22"/>
          <w:szCs w:val="22"/>
          <w:lang w:val="es-ES_tradnl"/>
        </w:rPr>
        <w:t xml:space="preserve">una situación de empate usando </w:t>
      </w:r>
      <w:r w:rsidR="00042281" w:rsidRPr="00593EA1">
        <w:rPr>
          <w:rFonts w:ascii="Arial" w:hAnsi="Arial" w:cs="Arial"/>
          <w:sz w:val="22"/>
          <w:szCs w:val="22"/>
          <w:lang w:val="es-ES_tradnl"/>
        </w:rPr>
        <w:t>dichos factores, la</w:t>
      </w:r>
      <w:r w:rsidR="00EB7F85" w:rsidRPr="00593EA1">
        <w:rPr>
          <w:rFonts w:ascii="Arial" w:hAnsi="Arial" w:cs="Arial"/>
          <w:sz w:val="22"/>
          <w:szCs w:val="22"/>
          <w:lang w:val="es-ES_tradnl"/>
        </w:rPr>
        <w:t>s</w:t>
      </w:r>
      <w:r w:rsidR="00042281" w:rsidRPr="00593EA1">
        <w:rPr>
          <w:rFonts w:ascii="Arial" w:hAnsi="Arial" w:cs="Arial"/>
          <w:sz w:val="22"/>
          <w:szCs w:val="22"/>
          <w:lang w:val="es-ES_tradnl"/>
        </w:rPr>
        <w:t xml:space="preserve"> entidades estatales deben</w:t>
      </w:r>
      <w:r w:rsidR="00516757" w:rsidRPr="00593EA1">
        <w:rPr>
          <w:rFonts w:ascii="Arial" w:hAnsi="Arial" w:cs="Arial"/>
          <w:sz w:val="22"/>
          <w:szCs w:val="22"/>
          <w:lang w:val="es-ES_tradnl"/>
        </w:rPr>
        <w:t>, en primer lugar, acudir al primero de los factores establecidos</w:t>
      </w:r>
      <w:r w:rsidR="007D7A2B" w:rsidRPr="00593EA1">
        <w:rPr>
          <w:rFonts w:ascii="Arial" w:hAnsi="Arial" w:cs="Arial"/>
          <w:sz w:val="22"/>
          <w:szCs w:val="22"/>
          <w:lang w:val="es-ES_tradnl"/>
        </w:rPr>
        <w:t>, esto es, el del numeral 1, y en caso de que dicho factor no sirva a resolver el empate</w:t>
      </w:r>
      <w:r w:rsidR="00CD2FB8" w:rsidRPr="00593EA1">
        <w:rPr>
          <w:rFonts w:ascii="Arial" w:hAnsi="Arial" w:cs="Arial"/>
          <w:sz w:val="22"/>
          <w:szCs w:val="22"/>
          <w:lang w:val="es-ES_tradnl"/>
        </w:rPr>
        <w:t>,</w:t>
      </w:r>
      <w:r w:rsidR="007D7A2B" w:rsidRPr="00593EA1">
        <w:rPr>
          <w:rFonts w:ascii="Arial" w:hAnsi="Arial" w:cs="Arial"/>
          <w:sz w:val="22"/>
          <w:szCs w:val="22"/>
          <w:lang w:val="es-ES_tradnl"/>
        </w:rPr>
        <w:t xml:space="preserve"> por cuanto</w:t>
      </w:r>
      <w:r w:rsidR="006E42CC" w:rsidRPr="00593EA1">
        <w:rPr>
          <w:rFonts w:ascii="Arial" w:hAnsi="Arial" w:cs="Arial"/>
          <w:sz w:val="22"/>
          <w:szCs w:val="22"/>
          <w:lang w:val="es-ES_tradnl"/>
        </w:rPr>
        <w:t xml:space="preserve"> </w:t>
      </w:r>
      <w:r w:rsidR="0061160E" w:rsidRPr="00593EA1">
        <w:rPr>
          <w:rFonts w:ascii="Arial" w:hAnsi="Arial" w:cs="Arial"/>
          <w:sz w:val="22"/>
          <w:szCs w:val="22"/>
          <w:lang w:val="es-ES_tradnl"/>
        </w:rPr>
        <w:t xml:space="preserve">los </w:t>
      </w:r>
      <w:r w:rsidR="006E42CC" w:rsidRPr="00593EA1">
        <w:rPr>
          <w:rFonts w:ascii="Arial" w:hAnsi="Arial" w:cs="Arial"/>
          <w:sz w:val="22"/>
          <w:szCs w:val="22"/>
          <w:lang w:val="es-ES_tradnl"/>
        </w:rPr>
        <w:t>proponentes empatados cumplen</w:t>
      </w:r>
      <w:r w:rsidR="00721129" w:rsidRPr="00593EA1">
        <w:rPr>
          <w:rFonts w:ascii="Arial" w:hAnsi="Arial" w:cs="Arial"/>
          <w:sz w:val="22"/>
          <w:szCs w:val="22"/>
          <w:lang w:val="es-ES_tradnl"/>
        </w:rPr>
        <w:t xml:space="preserve"> con la condición establecida para beneficiarse del mismo</w:t>
      </w:r>
      <w:r w:rsidR="00AB52F1" w:rsidRPr="00593EA1">
        <w:rPr>
          <w:rFonts w:ascii="Arial" w:hAnsi="Arial" w:cs="Arial"/>
          <w:sz w:val="22"/>
          <w:szCs w:val="22"/>
          <w:lang w:val="es-ES_tradnl"/>
        </w:rPr>
        <w:t xml:space="preserve"> o ninguno la cumple</w:t>
      </w:r>
      <w:r w:rsidR="00721129" w:rsidRPr="00593EA1">
        <w:rPr>
          <w:rFonts w:ascii="Arial" w:hAnsi="Arial" w:cs="Arial"/>
          <w:sz w:val="22"/>
          <w:szCs w:val="22"/>
          <w:lang w:val="es-ES_tradnl"/>
        </w:rPr>
        <w:t xml:space="preserve">, </w:t>
      </w:r>
      <w:r w:rsidR="00DB1A5F" w:rsidRPr="00593EA1">
        <w:rPr>
          <w:rFonts w:ascii="Arial" w:hAnsi="Arial" w:cs="Arial"/>
          <w:sz w:val="22"/>
          <w:szCs w:val="22"/>
          <w:lang w:val="es-ES_tradnl"/>
        </w:rPr>
        <w:t>la entidad deberá acudir al siguiente</w:t>
      </w:r>
      <w:r w:rsidR="00781575" w:rsidRPr="00593EA1">
        <w:rPr>
          <w:rFonts w:ascii="Arial" w:hAnsi="Arial" w:cs="Arial"/>
          <w:sz w:val="22"/>
          <w:szCs w:val="22"/>
          <w:lang w:val="es-ES_tradnl"/>
        </w:rPr>
        <w:t>, y así sucesivamente</w:t>
      </w:r>
      <w:r w:rsidR="00560DBE" w:rsidRPr="00593EA1">
        <w:rPr>
          <w:rFonts w:ascii="Arial" w:hAnsi="Arial" w:cs="Arial"/>
          <w:sz w:val="22"/>
          <w:szCs w:val="22"/>
          <w:lang w:val="es-ES_tradnl"/>
        </w:rPr>
        <w:t xml:space="preserve"> hasta</w:t>
      </w:r>
      <w:r w:rsidR="00C74FFE" w:rsidRPr="00593EA1">
        <w:rPr>
          <w:rFonts w:ascii="Arial" w:hAnsi="Arial" w:cs="Arial"/>
          <w:sz w:val="22"/>
          <w:szCs w:val="22"/>
          <w:lang w:val="es-ES_tradnl"/>
        </w:rPr>
        <w:t xml:space="preserve"> llegar </w:t>
      </w:r>
      <w:r w:rsidR="0099316B" w:rsidRPr="00593EA1">
        <w:rPr>
          <w:rFonts w:ascii="Arial" w:hAnsi="Arial" w:cs="Arial"/>
          <w:sz w:val="22"/>
          <w:szCs w:val="22"/>
          <w:lang w:val="es-ES_tradnl"/>
        </w:rPr>
        <w:t xml:space="preserve">al último factor. </w:t>
      </w:r>
      <w:r w:rsidR="00CD2FB8" w:rsidRPr="00593EA1">
        <w:rPr>
          <w:rFonts w:ascii="Arial" w:hAnsi="Arial" w:cs="Arial"/>
          <w:sz w:val="22"/>
          <w:szCs w:val="22"/>
          <w:lang w:val="es-ES_tradnl"/>
        </w:rPr>
        <w:t xml:space="preserve">Por otro lado, el hecho de que la aplicación deba hacerse de forma </w:t>
      </w:r>
      <w:r w:rsidR="00CD2FB8" w:rsidRPr="00593EA1">
        <w:rPr>
          <w:rFonts w:ascii="Arial" w:hAnsi="Arial" w:cs="Arial"/>
          <w:i/>
          <w:iCs/>
          <w:sz w:val="22"/>
          <w:szCs w:val="22"/>
          <w:lang w:val="es-ES_tradnl"/>
        </w:rPr>
        <w:t>excluyente</w:t>
      </w:r>
      <w:r w:rsidR="000F485B" w:rsidRPr="00593EA1">
        <w:rPr>
          <w:rFonts w:ascii="Arial" w:hAnsi="Arial" w:cs="Arial"/>
          <w:sz w:val="22"/>
          <w:szCs w:val="22"/>
          <w:lang w:val="es-ES_tradnl"/>
        </w:rPr>
        <w:t xml:space="preserve"> </w:t>
      </w:r>
      <w:r w:rsidR="00C242D2" w:rsidRPr="00593EA1">
        <w:rPr>
          <w:rFonts w:ascii="Arial" w:hAnsi="Arial" w:cs="Arial"/>
          <w:sz w:val="22"/>
          <w:szCs w:val="22"/>
          <w:lang w:val="es-ES_tradnl"/>
        </w:rPr>
        <w:t xml:space="preserve">supone que una situación de empate se resuelve únicamente conforme a uno de los </w:t>
      </w:r>
      <w:r w:rsidR="00E57A46" w:rsidRPr="00593EA1">
        <w:rPr>
          <w:rFonts w:ascii="Arial" w:hAnsi="Arial" w:cs="Arial"/>
          <w:sz w:val="22"/>
          <w:szCs w:val="22"/>
          <w:lang w:val="es-ES_tradnl"/>
        </w:rPr>
        <w:t xml:space="preserve">doce factores enlistados en el artículo 35, </w:t>
      </w:r>
      <w:r w:rsidR="005F3D80" w:rsidRPr="00593EA1">
        <w:rPr>
          <w:rFonts w:ascii="Arial" w:hAnsi="Arial" w:cs="Arial"/>
          <w:sz w:val="22"/>
          <w:szCs w:val="22"/>
          <w:lang w:val="es-ES_tradnl"/>
        </w:rPr>
        <w:t xml:space="preserve">y en caso de que no sea el primero, la entidad </w:t>
      </w:r>
      <w:r w:rsidR="0061160E" w:rsidRPr="00593EA1">
        <w:rPr>
          <w:rFonts w:ascii="Arial" w:hAnsi="Arial" w:cs="Arial"/>
          <w:sz w:val="22"/>
          <w:szCs w:val="22"/>
          <w:lang w:val="es-ES_tradnl"/>
        </w:rPr>
        <w:t>debe</w:t>
      </w:r>
      <w:r w:rsidR="005F3D80" w:rsidRPr="00593EA1">
        <w:rPr>
          <w:rFonts w:ascii="Arial" w:hAnsi="Arial" w:cs="Arial"/>
          <w:sz w:val="22"/>
          <w:szCs w:val="22"/>
          <w:lang w:val="es-ES_tradnl"/>
        </w:rPr>
        <w:t xml:space="preserve"> agotar </w:t>
      </w:r>
      <w:r w:rsidR="007C3B0F" w:rsidRPr="00593EA1">
        <w:rPr>
          <w:rFonts w:ascii="Arial" w:hAnsi="Arial" w:cs="Arial"/>
          <w:sz w:val="22"/>
          <w:szCs w:val="22"/>
          <w:lang w:val="es-ES_tradnl"/>
        </w:rPr>
        <w:t>los factores de desempate que l</w:t>
      </w:r>
      <w:r w:rsidR="007940C4" w:rsidRPr="00593EA1">
        <w:rPr>
          <w:rFonts w:ascii="Arial" w:hAnsi="Arial" w:cs="Arial"/>
          <w:sz w:val="22"/>
          <w:szCs w:val="22"/>
          <w:lang w:val="es-ES_tradnl"/>
        </w:rPr>
        <w:t xml:space="preserve">e </w:t>
      </w:r>
      <w:proofErr w:type="gramStart"/>
      <w:r w:rsidR="007940C4" w:rsidRPr="00593EA1">
        <w:rPr>
          <w:rFonts w:ascii="Arial" w:hAnsi="Arial" w:cs="Arial"/>
          <w:sz w:val="22"/>
          <w:szCs w:val="22"/>
          <w:lang w:val="es-ES_tradnl"/>
        </w:rPr>
        <w:t>siguen.</w:t>
      </w:r>
      <w:r w:rsidR="007C3B0F" w:rsidRPr="00593EA1">
        <w:rPr>
          <w:rFonts w:ascii="Arial" w:hAnsi="Arial" w:cs="Arial"/>
          <w:sz w:val="22"/>
          <w:szCs w:val="22"/>
          <w:lang w:val="es-ES_tradnl"/>
        </w:rPr>
        <w:t>.</w:t>
      </w:r>
      <w:proofErr w:type="gramEnd"/>
      <w:r w:rsidR="007C3B0F" w:rsidRPr="00593EA1">
        <w:rPr>
          <w:rFonts w:ascii="Arial" w:hAnsi="Arial" w:cs="Arial"/>
          <w:sz w:val="22"/>
          <w:szCs w:val="22"/>
          <w:lang w:val="es-ES_tradnl"/>
        </w:rPr>
        <w:t xml:space="preserve"> </w:t>
      </w:r>
    </w:p>
    <w:p w14:paraId="1523A9FF" w14:textId="06996334" w:rsidR="0016204B" w:rsidRPr="00593EA1" w:rsidRDefault="001662CA" w:rsidP="00AC4AD2">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 xml:space="preserve">De otra parte, </w:t>
      </w:r>
      <w:r w:rsidR="00E3216D" w:rsidRPr="00593EA1">
        <w:rPr>
          <w:rFonts w:ascii="Arial" w:hAnsi="Arial" w:cs="Arial"/>
          <w:sz w:val="22"/>
          <w:szCs w:val="22"/>
          <w:lang w:val="es-ES_tradnl"/>
        </w:rPr>
        <w:t xml:space="preserve">es preciso aclarar que </w:t>
      </w:r>
      <w:r w:rsidRPr="00593EA1">
        <w:rPr>
          <w:rFonts w:ascii="Arial" w:hAnsi="Arial" w:cs="Arial"/>
          <w:sz w:val="22"/>
          <w:szCs w:val="22"/>
          <w:lang w:val="es-ES_tradnl"/>
        </w:rPr>
        <w:t>la aplicación</w:t>
      </w:r>
      <w:r w:rsidR="00E3216D" w:rsidRPr="00593EA1">
        <w:rPr>
          <w:rFonts w:ascii="Arial" w:hAnsi="Arial" w:cs="Arial"/>
          <w:sz w:val="22"/>
          <w:szCs w:val="22"/>
          <w:lang w:val="es-ES_tradnl"/>
        </w:rPr>
        <w:t xml:space="preserve"> </w:t>
      </w:r>
      <w:r w:rsidRPr="00593EA1">
        <w:rPr>
          <w:rFonts w:ascii="Arial" w:hAnsi="Arial" w:cs="Arial"/>
          <w:i/>
          <w:iCs/>
          <w:sz w:val="22"/>
          <w:szCs w:val="22"/>
          <w:lang w:val="es-ES_tradnl"/>
        </w:rPr>
        <w:t>sucesiva</w:t>
      </w:r>
      <w:r w:rsidR="008B4848" w:rsidRPr="00593EA1">
        <w:rPr>
          <w:rFonts w:ascii="Arial" w:hAnsi="Arial" w:cs="Arial"/>
          <w:i/>
          <w:iCs/>
          <w:sz w:val="22"/>
          <w:szCs w:val="22"/>
          <w:lang w:val="es-ES_tradnl"/>
        </w:rPr>
        <w:t xml:space="preserve"> </w:t>
      </w:r>
      <w:r w:rsidR="00DB043B" w:rsidRPr="00593EA1">
        <w:rPr>
          <w:rFonts w:ascii="Arial" w:hAnsi="Arial" w:cs="Arial"/>
          <w:sz w:val="22"/>
          <w:szCs w:val="22"/>
          <w:lang w:val="es-ES_tradnl"/>
        </w:rPr>
        <w:t>y</w:t>
      </w:r>
      <w:r w:rsidR="00DB043B" w:rsidRPr="00593EA1">
        <w:rPr>
          <w:rFonts w:ascii="Arial" w:hAnsi="Arial" w:cs="Arial"/>
          <w:i/>
          <w:iCs/>
          <w:sz w:val="22"/>
          <w:szCs w:val="22"/>
          <w:lang w:val="es-ES_tradnl"/>
        </w:rPr>
        <w:t xml:space="preserve"> excluyente </w:t>
      </w:r>
      <w:r w:rsidR="00DB043B" w:rsidRPr="00593EA1">
        <w:rPr>
          <w:rFonts w:ascii="Arial" w:hAnsi="Arial" w:cs="Arial"/>
          <w:sz w:val="22"/>
          <w:szCs w:val="22"/>
          <w:lang w:val="es-ES_tradnl"/>
        </w:rPr>
        <w:t>d</w:t>
      </w:r>
      <w:r w:rsidR="00562E7A" w:rsidRPr="00593EA1">
        <w:rPr>
          <w:rFonts w:ascii="Arial" w:hAnsi="Arial" w:cs="Arial"/>
          <w:sz w:val="22"/>
          <w:szCs w:val="22"/>
          <w:lang w:val="es-ES_tradnl"/>
        </w:rPr>
        <w:t xml:space="preserve">ispuesta por el primer inciso del artículo 35 </w:t>
      </w:r>
      <w:r w:rsidR="00562E7A" w:rsidRPr="00593EA1">
        <w:rPr>
          <w:rFonts w:ascii="Arial" w:hAnsi="Arial" w:cs="Arial"/>
          <w:i/>
          <w:iCs/>
          <w:sz w:val="22"/>
          <w:szCs w:val="22"/>
          <w:lang w:val="es-ES_tradnl"/>
        </w:rPr>
        <w:t>Ibídem</w:t>
      </w:r>
      <w:r w:rsidR="008D57E4" w:rsidRPr="00593EA1">
        <w:rPr>
          <w:rFonts w:ascii="Arial" w:hAnsi="Arial" w:cs="Arial"/>
          <w:i/>
          <w:iCs/>
          <w:sz w:val="22"/>
          <w:szCs w:val="22"/>
          <w:lang w:val="es-ES_tradnl"/>
        </w:rPr>
        <w:t xml:space="preserve">, </w:t>
      </w:r>
      <w:r w:rsidR="008D57E4" w:rsidRPr="00593EA1">
        <w:rPr>
          <w:rFonts w:ascii="Arial" w:hAnsi="Arial" w:cs="Arial"/>
          <w:sz w:val="22"/>
          <w:szCs w:val="22"/>
          <w:lang w:val="es-ES_tradnl"/>
        </w:rPr>
        <w:t>significa que el orden determinado por los numerales</w:t>
      </w:r>
      <w:r w:rsidR="00D87818" w:rsidRPr="00593EA1">
        <w:rPr>
          <w:rFonts w:ascii="Arial" w:hAnsi="Arial" w:cs="Arial"/>
          <w:sz w:val="22"/>
          <w:szCs w:val="22"/>
          <w:lang w:val="es-ES_tradnl"/>
        </w:rPr>
        <w:t xml:space="preserve"> debe respeta</w:t>
      </w:r>
      <w:r w:rsidR="0061160E" w:rsidRPr="00593EA1">
        <w:rPr>
          <w:rFonts w:ascii="Arial" w:hAnsi="Arial" w:cs="Arial"/>
          <w:sz w:val="22"/>
          <w:szCs w:val="22"/>
          <w:lang w:val="es-ES_tradnl"/>
        </w:rPr>
        <w:t>rse</w:t>
      </w:r>
      <w:r w:rsidR="00D87818" w:rsidRPr="00593EA1">
        <w:rPr>
          <w:rFonts w:ascii="Arial" w:hAnsi="Arial" w:cs="Arial"/>
          <w:sz w:val="22"/>
          <w:szCs w:val="22"/>
          <w:lang w:val="es-ES_tradnl"/>
        </w:rPr>
        <w:t xml:space="preserve"> por las entidades al aplicar los factores de desempate, cuyo </w:t>
      </w:r>
      <w:r w:rsidR="0061160E" w:rsidRPr="00593EA1">
        <w:rPr>
          <w:rFonts w:ascii="Arial" w:hAnsi="Arial" w:cs="Arial"/>
          <w:sz w:val="22"/>
          <w:szCs w:val="22"/>
          <w:lang w:val="es-ES_tradnl"/>
        </w:rPr>
        <w:t xml:space="preserve">acatamiento </w:t>
      </w:r>
      <w:r w:rsidR="00D87818" w:rsidRPr="00593EA1">
        <w:rPr>
          <w:rFonts w:ascii="Arial" w:hAnsi="Arial" w:cs="Arial"/>
          <w:sz w:val="22"/>
          <w:szCs w:val="22"/>
          <w:lang w:val="es-ES_tradnl"/>
        </w:rPr>
        <w:t>además es imperativo</w:t>
      </w:r>
      <w:r w:rsidR="00CD7690" w:rsidRPr="00593EA1">
        <w:rPr>
          <w:rFonts w:ascii="Arial" w:hAnsi="Arial" w:cs="Arial"/>
          <w:sz w:val="22"/>
          <w:szCs w:val="22"/>
          <w:lang w:val="es-ES_tradnl"/>
        </w:rPr>
        <w:t xml:space="preserve"> </w:t>
      </w:r>
      <w:r w:rsidR="00D87818" w:rsidRPr="00593EA1">
        <w:rPr>
          <w:rFonts w:ascii="Arial" w:hAnsi="Arial" w:cs="Arial"/>
          <w:sz w:val="22"/>
          <w:szCs w:val="22"/>
          <w:lang w:val="es-ES_tradnl"/>
        </w:rPr>
        <w:t xml:space="preserve">en los procesos de selección adelantados con cargo a recursos públicos, por entidades estatales </w:t>
      </w:r>
      <w:r w:rsidR="00132292" w:rsidRPr="00593EA1">
        <w:rPr>
          <w:rFonts w:ascii="Arial" w:hAnsi="Arial" w:cs="Arial"/>
          <w:sz w:val="22"/>
          <w:szCs w:val="22"/>
          <w:lang w:val="es-ES_tradnl"/>
        </w:rPr>
        <w:t>–</w:t>
      </w:r>
      <w:r w:rsidR="00F962F4" w:rsidRPr="00593EA1">
        <w:rPr>
          <w:rFonts w:ascii="Arial" w:hAnsi="Arial" w:cs="Arial"/>
          <w:sz w:val="22"/>
          <w:szCs w:val="22"/>
          <w:lang w:val="es-ES_tradnl"/>
        </w:rPr>
        <w:t>independientemente de su régimen de contratación</w:t>
      </w:r>
      <w:r w:rsidR="00132292" w:rsidRPr="00593EA1">
        <w:rPr>
          <w:rFonts w:ascii="Arial" w:hAnsi="Arial" w:cs="Arial"/>
          <w:sz w:val="22"/>
          <w:szCs w:val="22"/>
          <w:lang w:val="es-ES_tradnl"/>
        </w:rPr>
        <w:t>–</w:t>
      </w:r>
      <w:r w:rsidR="00F962F4" w:rsidRPr="00593EA1">
        <w:rPr>
          <w:rFonts w:ascii="Arial" w:hAnsi="Arial" w:cs="Arial"/>
          <w:sz w:val="22"/>
          <w:szCs w:val="22"/>
          <w:lang w:val="es-ES_tradnl"/>
        </w:rPr>
        <w:t xml:space="preserve"> o por los patrimonios autónomos </w:t>
      </w:r>
      <w:r w:rsidR="00132292" w:rsidRPr="00593EA1">
        <w:rPr>
          <w:rFonts w:ascii="Arial" w:hAnsi="Arial" w:cs="Arial"/>
          <w:sz w:val="22"/>
          <w:szCs w:val="22"/>
          <w:lang w:val="es-ES_tradnl"/>
        </w:rPr>
        <w:t>constituidos</w:t>
      </w:r>
      <w:r w:rsidR="00F962F4" w:rsidRPr="00593EA1">
        <w:rPr>
          <w:rFonts w:ascii="Arial" w:hAnsi="Arial" w:cs="Arial"/>
          <w:sz w:val="22"/>
          <w:szCs w:val="22"/>
          <w:lang w:val="es-ES_tradnl"/>
        </w:rPr>
        <w:t xml:space="preserve"> por estas</w:t>
      </w:r>
      <w:r w:rsidR="00132292" w:rsidRPr="00593EA1">
        <w:rPr>
          <w:rFonts w:ascii="Arial" w:hAnsi="Arial" w:cs="Arial"/>
          <w:sz w:val="22"/>
          <w:szCs w:val="22"/>
          <w:lang w:val="es-ES_tradnl"/>
        </w:rPr>
        <w:t>. Esto significa que tales entidades</w:t>
      </w:r>
      <w:r w:rsidR="00AB52F1" w:rsidRPr="00593EA1">
        <w:rPr>
          <w:rFonts w:ascii="Arial" w:hAnsi="Arial" w:cs="Arial"/>
          <w:sz w:val="22"/>
          <w:szCs w:val="22"/>
          <w:lang w:val="es-ES_tradnl"/>
        </w:rPr>
        <w:t xml:space="preserve"> no pueden escoger cuales factores aplican </w:t>
      </w:r>
      <w:r w:rsidR="0061160E" w:rsidRPr="00593EA1">
        <w:rPr>
          <w:rFonts w:ascii="Arial" w:hAnsi="Arial" w:cs="Arial"/>
          <w:sz w:val="22"/>
          <w:szCs w:val="22"/>
          <w:lang w:val="es-ES_tradnl"/>
        </w:rPr>
        <w:t xml:space="preserve">ni </w:t>
      </w:r>
      <w:r w:rsidR="00712493" w:rsidRPr="00593EA1">
        <w:rPr>
          <w:rFonts w:ascii="Arial" w:hAnsi="Arial" w:cs="Arial"/>
          <w:sz w:val="22"/>
          <w:szCs w:val="22"/>
          <w:lang w:val="es-ES_tradnl"/>
        </w:rPr>
        <w:t xml:space="preserve">les </w:t>
      </w:r>
      <w:r w:rsidR="00B05623" w:rsidRPr="00593EA1">
        <w:rPr>
          <w:rFonts w:ascii="Arial" w:hAnsi="Arial" w:cs="Arial"/>
          <w:sz w:val="22"/>
          <w:szCs w:val="22"/>
          <w:lang w:val="es-ES_tradnl"/>
        </w:rPr>
        <w:t>está</w:t>
      </w:r>
      <w:r w:rsidR="00712493" w:rsidRPr="00593EA1">
        <w:rPr>
          <w:rFonts w:ascii="Arial" w:hAnsi="Arial" w:cs="Arial"/>
          <w:sz w:val="22"/>
          <w:szCs w:val="22"/>
          <w:lang w:val="es-ES_tradnl"/>
        </w:rPr>
        <w:t xml:space="preserve"> </w:t>
      </w:r>
      <w:r w:rsidR="0061160E" w:rsidRPr="00593EA1">
        <w:rPr>
          <w:rFonts w:ascii="Arial" w:hAnsi="Arial" w:cs="Arial"/>
          <w:sz w:val="22"/>
          <w:szCs w:val="22"/>
          <w:lang w:val="es-ES_tradnl"/>
        </w:rPr>
        <w:t xml:space="preserve">permitido </w:t>
      </w:r>
      <w:r w:rsidR="00CD7690" w:rsidRPr="00593EA1">
        <w:rPr>
          <w:rFonts w:ascii="Arial" w:hAnsi="Arial" w:cs="Arial"/>
          <w:sz w:val="22"/>
          <w:szCs w:val="22"/>
          <w:lang w:val="es-ES_tradnl"/>
        </w:rPr>
        <w:t>aplicarlos selectivamente</w:t>
      </w:r>
      <w:r w:rsidR="003A47B0" w:rsidRPr="00593EA1">
        <w:rPr>
          <w:rFonts w:ascii="Arial" w:hAnsi="Arial" w:cs="Arial"/>
          <w:sz w:val="22"/>
          <w:szCs w:val="22"/>
          <w:lang w:val="es-ES_tradnl"/>
        </w:rPr>
        <w:t xml:space="preserve">, </w:t>
      </w:r>
      <w:r w:rsidR="00CD7690" w:rsidRPr="00593EA1">
        <w:rPr>
          <w:rFonts w:ascii="Arial" w:hAnsi="Arial" w:cs="Arial"/>
          <w:sz w:val="22"/>
          <w:szCs w:val="22"/>
          <w:lang w:val="es-ES_tradnl"/>
        </w:rPr>
        <w:t>sin</w:t>
      </w:r>
      <w:r w:rsidR="00712493" w:rsidRPr="00593EA1">
        <w:rPr>
          <w:rFonts w:ascii="Arial" w:hAnsi="Arial" w:cs="Arial"/>
          <w:sz w:val="22"/>
          <w:szCs w:val="22"/>
          <w:lang w:val="es-ES_tradnl"/>
        </w:rPr>
        <w:t xml:space="preserve"> agota</w:t>
      </w:r>
      <w:r w:rsidR="00CD7690" w:rsidRPr="00593EA1">
        <w:rPr>
          <w:rFonts w:ascii="Arial" w:hAnsi="Arial" w:cs="Arial"/>
          <w:sz w:val="22"/>
          <w:szCs w:val="22"/>
          <w:lang w:val="es-ES_tradnl"/>
        </w:rPr>
        <w:t>r</w:t>
      </w:r>
      <w:r w:rsidR="00712493" w:rsidRPr="00593EA1">
        <w:rPr>
          <w:rFonts w:ascii="Arial" w:hAnsi="Arial" w:cs="Arial"/>
          <w:sz w:val="22"/>
          <w:szCs w:val="22"/>
          <w:lang w:val="es-ES_tradnl"/>
        </w:rPr>
        <w:t xml:space="preserve"> la posibilidad de </w:t>
      </w:r>
      <w:r w:rsidR="00CE3EAC" w:rsidRPr="00593EA1">
        <w:rPr>
          <w:rFonts w:ascii="Arial" w:hAnsi="Arial" w:cs="Arial"/>
          <w:sz w:val="22"/>
          <w:szCs w:val="22"/>
          <w:lang w:val="es-ES_tradnl"/>
        </w:rPr>
        <w:t>resolver el empate c</w:t>
      </w:r>
      <w:r w:rsidR="00B05623" w:rsidRPr="00593EA1">
        <w:rPr>
          <w:rFonts w:ascii="Arial" w:hAnsi="Arial" w:cs="Arial"/>
          <w:sz w:val="22"/>
          <w:szCs w:val="22"/>
          <w:lang w:val="es-ES_tradnl"/>
        </w:rPr>
        <w:t xml:space="preserve">on los </w:t>
      </w:r>
      <w:r w:rsidR="000802AA" w:rsidRPr="00593EA1">
        <w:rPr>
          <w:rFonts w:ascii="Arial" w:hAnsi="Arial" w:cs="Arial"/>
          <w:sz w:val="22"/>
          <w:szCs w:val="22"/>
          <w:lang w:val="es-ES_tradnl"/>
        </w:rPr>
        <w:t xml:space="preserve">causales que </w:t>
      </w:r>
      <w:r w:rsidR="00B05623" w:rsidRPr="00593EA1">
        <w:rPr>
          <w:rFonts w:ascii="Arial" w:hAnsi="Arial" w:cs="Arial"/>
          <w:sz w:val="22"/>
          <w:szCs w:val="22"/>
          <w:lang w:val="es-ES_tradnl"/>
        </w:rPr>
        <w:t>l</w:t>
      </w:r>
      <w:r w:rsidR="000802AA" w:rsidRPr="00593EA1">
        <w:rPr>
          <w:rFonts w:ascii="Arial" w:hAnsi="Arial" w:cs="Arial"/>
          <w:sz w:val="22"/>
          <w:szCs w:val="22"/>
          <w:lang w:val="es-ES_tradnl"/>
        </w:rPr>
        <w:t>e</w:t>
      </w:r>
      <w:r w:rsidR="00B05623" w:rsidRPr="00593EA1">
        <w:rPr>
          <w:rFonts w:ascii="Arial" w:hAnsi="Arial" w:cs="Arial"/>
          <w:sz w:val="22"/>
          <w:szCs w:val="22"/>
          <w:lang w:val="es-ES_tradnl"/>
        </w:rPr>
        <w:t xml:space="preserve"> anteced</w:t>
      </w:r>
      <w:r w:rsidR="000802AA" w:rsidRPr="00593EA1">
        <w:rPr>
          <w:rFonts w:ascii="Arial" w:hAnsi="Arial" w:cs="Arial"/>
          <w:sz w:val="22"/>
          <w:szCs w:val="22"/>
          <w:lang w:val="es-ES_tradnl"/>
        </w:rPr>
        <w:t>a</w:t>
      </w:r>
      <w:r w:rsidR="00B05623" w:rsidRPr="00593EA1">
        <w:rPr>
          <w:rFonts w:ascii="Arial" w:hAnsi="Arial" w:cs="Arial"/>
          <w:sz w:val="22"/>
          <w:szCs w:val="22"/>
          <w:lang w:val="es-ES_tradnl"/>
        </w:rPr>
        <w:t xml:space="preserve">n. </w:t>
      </w:r>
    </w:p>
    <w:p w14:paraId="7F29AF4A" w14:textId="77777777" w:rsidR="008505C4" w:rsidRPr="00593EA1" w:rsidRDefault="008505C4" w:rsidP="008505C4">
      <w:pPr>
        <w:spacing w:line="276" w:lineRule="auto"/>
        <w:ind w:firstLine="709"/>
        <w:jc w:val="both"/>
        <w:rPr>
          <w:rFonts w:ascii="Arial" w:hAnsi="Arial" w:cs="Arial"/>
          <w:sz w:val="22"/>
          <w:szCs w:val="22"/>
          <w:lang w:val="es-ES_tradnl"/>
        </w:rPr>
      </w:pPr>
    </w:p>
    <w:p w14:paraId="7F108D55" w14:textId="1F8E7A98" w:rsidR="00290ECC" w:rsidRPr="00593EA1" w:rsidRDefault="00290ECC" w:rsidP="008505C4">
      <w:pPr>
        <w:spacing w:line="276" w:lineRule="auto"/>
        <w:jc w:val="both"/>
        <w:rPr>
          <w:rFonts w:ascii="Arial" w:hAnsi="Arial" w:cs="Arial"/>
          <w:b/>
          <w:bCs/>
          <w:sz w:val="22"/>
          <w:szCs w:val="22"/>
          <w:lang w:val="es-ES_tradnl"/>
        </w:rPr>
      </w:pPr>
      <w:r w:rsidRPr="00593EA1">
        <w:rPr>
          <w:rFonts w:ascii="Arial" w:hAnsi="Arial" w:cs="Arial"/>
          <w:b/>
          <w:bCs/>
          <w:sz w:val="22"/>
          <w:szCs w:val="22"/>
          <w:lang w:val="es-ES_tradnl"/>
        </w:rPr>
        <w:t xml:space="preserve">2.4. </w:t>
      </w:r>
      <w:r w:rsidR="008505C4" w:rsidRPr="00593EA1">
        <w:rPr>
          <w:rFonts w:ascii="Arial" w:hAnsi="Arial" w:cs="Arial"/>
          <w:b/>
          <w:bCs/>
          <w:sz w:val="22"/>
          <w:szCs w:val="22"/>
          <w:lang w:val="es-ES_tradnl"/>
        </w:rPr>
        <w:t>Acreditación de los factores de desempate de los numerales 2, 3, 4, 5, 6 y 7 del artículo 35 de la Ley 2069 de 2020</w:t>
      </w:r>
    </w:p>
    <w:p w14:paraId="3801D876" w14:textId="6AA47AE9" w:rsidR="008505C4" w:rsidRPr="00593EA1" w:rsidRDefault="008505C4" w:rsidP="008505C4">
      <w:pPr>
        <w:spacing w:line="276" w:lineRule="auto"/>
        <w:jc w:val="both"/>
        <w:rPr>
          <w:rFonts w:ascii="Arial" w:hAnsi="Arial" w:cs="Arial"/>
          <w:b/>
          <w:bCs/>
          <w:sz w:val="22"/>
          <w:szCs w:val="22"/>
          <w:lang w:val="es-ES_tradnl"/>
        </w:rPr>
      </w:pPr>
    </w:p>
    <w:p w14:paraId="246222C5" w14:textId="45485D99" w:rsidR="00290ECC" w:rsidRPr="00593EA1" w:rsidRDefault="00A76AEE" w:rsidP="008505C4">
      <w:pPr>
        <w:spacing w:line="276" w:lineRule="auto"/>
        <w:jc w:val="both"/>
        <w:rPr>
          <w:rFonts w:ascii="Arial" w:hAnsi="Arial" w:cs="Arial"/>
          <w:sz w:val="21"/>
          <w:szCs w:val="21"/>
          <w:lang w:val="es-ES_tradnl"/>
        </w:rPr>
      </w:pPr>
      <w:r w:rsidRPr="00593EA1">
        <w:rPr>
          <w:rFonts w:ascii="Arial" w:hAnsi="Arial" w:cs="Arial"/>
          <w:sz w:val="22"/>
          <w:szCs w:val="22"/>
          <w:lang w:val="es-ES_tradnl"/>
        </w:rPr>
        <w:t>Dentro de los doce factores de desempate implementados por el artículo 35 de la Ley 2069 de 2020</w:t>
      </w:r>
      <w:r w:rsidR="00DF27F1" w:rsidRPr="00593EA1">
        <w:rPr>
          <w:rFonts w:ascii="Arial" w:hAnsi="Arial" w:cs="Arial"/>
          <w:sz w:val="22"/>
          <w:szCs w:val="22"/>
          <w:lang w:val="es-ES_tradnl"/>
        </w:rPr>
        <w:t>, ha</w:t>
      </w:r>
      <w:r w:rsidR="008F14B4" w:rsidRPr="00593EA1">
        <w:rPr>
          <w:rFonts w:ascii="Arial" w:hAnsi="Arial" w:cs="Arial"/>
          <w:sz w:val="22"/>
          <w:szCs w:val="22"/>
          <w:lang w:val="es-ES_tradnl"/>
        </w:rPr>
        <w:t>y</w:t>
      </w:r>
      <w:r w:rsidR="00DF27F1" w:rsidRPr="00593EA1">
        <w:rPr>
          <w:rFonts w:ascii="Arial" w:hAnsi="Arial" w:cs="Arial"/>
          <w:sz w:val="22"/>
          <w:szCs w:val="22"/>
          <w:lang w:val="es-ES_tradnl"/>
        </w:rPr>
        <w:t xml:space="preserve"> unos cuyos supuestos de hecho implican que el proponente acredite estar conformado por determinado</w:t>
      </w:r>
      <w:r w:rsidR="0000356C" w:rsidRPr="00593EA1">
        <w:rPr>
          <w:rFonts w:ascii="Arial" w:hAnsi="Arial" w:cs="Arial"/>
          <w:sz w:val="22"/>
          <w:szCs w:val="22"/>
          <w:lang w:val="es-ES_tradnl"/>
        </w:rPr>
        <w:t>s</w:t>
      </w:r>
      <w:r w:rsidR="00327373" w:rsidRPr="00593EA1">
        <w:rPr>
          <w:rFonts w:ascii="Arial" w:hAnsi="Arial" w:cs="Arial"/>
          <w:sz w:val="22"/>
          <w:szCs w:val="22"/>
          <w:lang w:val="es-ES_tradnl"/>
        </w:rPr>
        <w:t xml:space="preserve"> grupos poblacionales, requiriendo en algunos, incluso, acreditar una determinada proporción </w:t>
      </w:r>
      <w:r w:rsidR="008F14B4" w:rsidRPr="00593EA1">
        <w:rPr>
          <w:rFonts w:ascii="Arial" w:hAnsi="Arial" w:cs="Arial"/>
          <w:sz w:val="22"/>
          <w:szCs w:val="22"/>
          <w:lang w:val="es-ES_tradnl"/>
        </w:rPr>
        <w:t xml:space="preserve">de participación en el proponente o de vinculación de personas a la planta de personal de este. </w:t>
      </w:r>
      <w:r w:rsidR="0000356C" w:rsidRPr="00593EA1">
        <w:rPr>
          <w:rFonts w:ascii="Arial" w:eastAsia="Calibri" w:hAnsi="Arial" w:cs="Arial"/>
          <w:sz w:val="22"/>
          <w:szCs w:val="22"/>
          <w:lang w:val="es-ES_tradnl"/>
        </w:rPr>
        <w:t>Nos referimos a los factores de los numerales</w:t>
      </w:r>
      <w:r w:rsidR="00290ECC" w:rsidRPr="00593EA1">
        <w:rPr>
          <w:rFonts w:ascii="Arial" w:eastAsia="Calibri" w:hAnsi="Arial" w:cs="Arial"/>
          <w:sz w:val="22"/>
          <w:szCs w:val="22"/>
          <w:lang w:val="es-ES_tradnl"/>
        </w:rPr>
        <w:t xml:space="preserve"> </w:t>
      </w:r>
      <w:r w:rsidR="00290ECC" w:rsidRPr="00593EA1">
        <w:rPr>
          <w:rFonts w:ascii="Arial" w:hAnsi="Arial" w:cs="Arial"/>
          <w:sz w:val="22"/>
          <w:szCs w:val="22"/>
          <w:lang w:val="es-ES_tradnl"/>
        </w:rPr>
        <w:t xml:space="preserve">2, </w:t>
      </w:r>
      <w:r w:rsidR="0027609D" w:rsidRPr="00593EA1">
        <w:rPr>
          <w:rFonts w:ascii="Arial" w:hAnsi="Arial" w:cs="Arial"/>
          <w:sz w:val="22"/>
          <w:szCs w:val="22"/>
          <w:lang w:val="es-ES_tradnl"/>
        </w:rPr>
        <w:t xml:space="preserve">3, </w:t>
      </w:r>
      <w:r w:rsidR="00290ECC" w:rsidRPr="00593EA1">
        <w:rPr>
          <w:rFonts w:ascii="Arial" w:hAnsi="Arial" w:cs="Arial"/>
          <w:sz w:val="22"/>
          <w:szCs w:val="22"/>
          <w:lang w:val="es-ES_tradnl"/>
        </w:rPr>
        <w:t>4, 5, 6 y 7 de dicho artículo</w:t>
      </w:r>
      <w:r w:rsidR="0000356C" w:rsidRPr="00593EA1">
        <w:rPr>
          <w:rFonts w:ascii="Arial" w:hAnsi="Arial" w:cs="Arial"/>
          <w:sz w:val="22"/>
          <w:szCs w:val="22"/>
          <w:lang w:val="es-ES_tradnl"/>
        </w:rPr>
        <w:t xml:space="preserve"> correspondientes a los</w:t>
      </w:r>
      <w:r w:rsidR="00290ECC" w:rsidRPr="00593EA1">
        <w:rPr>
          <w:rFonts w:ascii="Arial" w:hAnsi="Arial" w:cs="Arial"/>
          <w:sz w:val="22"/>
          <w:szCs w:val="22"/>
          <w:lang w:val="es-ES_tradnl"/>
        </w:rPr>
        <w:t xml:space="preserve"> siguientes factores de desempate</w:t>
      </w:r>
      <w:r w:rsidR="00290ECC" w:rsidRPr="00593EA1">
        <w:rPr>
          <w:rFonts w:ascii="Arial" w:hAnsi="Arial" w:cs="Arial"/>
          <w:sz w:val="21"/>
          <w:szCs w:val="21"/>
          <w:lang w:val="es-ES_tradnl"/>
        </w:rPr>
        <w:t>:</w:t>
      </w:r>
    </w:p>
    <w:p w14:paraId="63DC9B22" w14:textId="77777777" w:rsidR="00290ECC" w:rsidRPr="00593EA1" w:rsidRDefault="00290ECC" w:rsidP="00290ECC">
      <w:pPr>
        <w:spacing w:line="276" w:lineRule="auto"/>
        <w:ind w:firstLine="709"/>
        <w:jc w:val="both"/>
        <w:rPr>
          <w:rFonts w:ascii="Arial" w:hAnsi="Arial" w:cs="Arial"/>
          <w:sz w:val="21"/>
          <w:szCs w:val="21"/>
          <w:lang w:val="es-ES_tradnl"/>
        </w:rPr>
      </w:pPr>
    </w:p>
    <w:p w14:paraId="213850B4" w14:textId="77777777" w:rsidR="00290ECC" w:rsidRPr="00593EA1" w:rsidRDefault="00290ECC" w:rsidP="00290ECC">
      <w:pPr>
        <w:spacing w:after="120"/>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w:t>
      </w:r>
    </w:p>
    <w:p w14:paraId="087CCBB5" w14:textId="107D138D" w:rsidR="00290ECC" w:rsidRPr="00593EA1" w:rsidRDefault="00290ECC" w:rsidP="00290ECC">
      <w:pPr>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2. Preferir la propuesta de la mujer cabeza de familia, mujeres víctimas de la violencia intrafamiliar o de la persona jurídica en la cual participe o participen mayoritariamente; o, la de un proponente plural constituido por mujeres cabeza de familia, mujeres víctimas de violencia intrafamiliar y/o personas jurídicas en las cuales participe o participen mayoritariamente.</w:t>
      </w:r>
    </w:p>
    <w:p w14:paraId="2963C00C" w14:textId="77777777" w:rsidR="00226E47" w:rsidRPr="00593EA1" w:rsidRDefault="00226E47" w:rsidP="00290ECC">
      <w:pPr>
        <w:ind w:left="709" w:right="709"/>
        <w:jc w:val="both"/>
        <w:rPr>
          <w:rFonts w:ascii="Arial" w:eastAsia="Calibri" w:hAnsi="Arial" w:cs="Arial"/>
          <w:sz w:val="21"/>
          <w:szCs w:val="21"/>
          <w:lang w:val="es-ES_tradnl"/>
        </w:rPr>
      </w:pPr>
    </w:p>
    <w:p w14:paraId="369F88B7" w14:textId="1DF95ED8" w:rsidR="00290ECC" w:rsidRPr="00593EA1" w:rsidRDefault="00226E47" w:rsidP="00226E47">
      <w:pPr>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 xml:space="preserve">3. </w:t>
      </w:r>
      <w:r w:rsidRPr="00593EA1">
        <w:rPr>
          <w:rFonts w:ascii="Arial" w:hAnsi="Arial" w:cs="Arial"/>
          <w:sz w:val="21"/>
          <w:szCs w:val="21"/>
        </w:rPr>
        <w:t>Preferir la propuesta presentada por el oferente que acredite en las condiciones establecidas en la ley que por lo menos el diez por ciento (10%) de su nómina está en condición de discapacidad a la que se refiere la Ley 361 de 1997. Si la oferta es presentada por un proponente plural,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  </w:t>
      </w:r>
    </w:p>
    <w:p w14:paraId="5E71028C" w14:textId="77777777" w:rsidR="00226E47" w:rsidRPr="00593EA1" w:rsidRDefault="00226E47" w:rsidP="00290ECC">
      <w:pPr>
        <w:spacing w:after="120"/>
        <w:ind w:left="709" w:right="709"/>
        <w:jc w:val="both"/>
        <w:rPr>
          <w:rFonts w:ascii="Arial" w:eastAsia="Calibri" w:hAnsi="Arial" w:cs="Arial"/>
          <w:sz w:val="21"/>
          <w:szCs w:val="21"/>
          <w:lang w:val="es-ES_tradnl"/>
        </w:rPr>
      </w:pPr>
    </w:p>
    <w:p w14:paraId="214CA388" w14:textId="16052534" w:rsidR="00290ECC" w:rsidRPr="00593EA1" w:rsidRDefault="00290ECC" w:rsidP="00290ECC">
      <w:pPr>
        <w:spacing w:after="120"/>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4. Preferir la propuesta presentada por el oferente que acredite la vinculación en mayor proporción de personas mayores que no sean beneficiarios de la pensión de vejez, familiar o de sobrevivencia y que hayan cumplido el requisito de edad de pensión establecido en la Ley.</w:t>
      </w:r>
    </w:p>
    <w:p w14:paraId="142A6416" w14:textId="77777777" w:rsidR="00290ECC" w:rsidRPr="00593EA1" w:rsidRDefault="00290ECC" w:rsidP="00290ECC">
      <w:pPr>
        <w:spacing w:after="120"/>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 xml:space="preserve">5. Preferir la propuesta presentada por el oferente que acredite, en las condiciones establecidas en la ley, que por lo menos diez por ciento (10%) de su nómina pertenece a población indígena, negra, afrocolombiana, raizal, palanquera, </w:t>
      </w:r>
      <w:proofErr w:type="spellStart"/>
      <w:r w:rsidRPr="00593EA1">
        <w:rPr>
          <w:rFonts w:ascii="Arial" w:eastAsia="Calibri" w:hAnsi="Arial" w:cs="Arial"/>
          <w:sz w:val="21"/>
          <w:szCs w:val="21"/>
          <w:lang w:val="es-ES_tradnl"/>
        </w:rPr>
        <w:t>Rrom</w:t>
      </w:r>
      <w:proofErr w:type="spellEnd"/>
      <w:r w:rsidRPr="00593EA1">
        <w:rPr>
          <w:rFonts w:ascii="Arial" w:eastAsia="Calibri" w:hAnsi="Arial" w:cs="Arial"/>
          <w:sz w:val="21"/>
          <w:szCs w:val="21"/>
          <w:lang w:val="es-ES_tradnl"/>
        </w:rPr>
        <w:t xml:space="preserve"> o gitanas.</w:t>
      </w:r>
    </w:p>
    <w:p w14:paraId="394E6500" w14:textId="77777777" w:rsidR="00290ECC" w:rsidRPr="00593EA1" w:rsidRDefault="00290ECC" w:rsidP="00290ECC">
      <w:pPr>
        <w:spacing w:after="120"/>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6. Preferir la propuesta de personas en proceso de reintegración o reincorporación o de la persona jurídica en la cual participe o participen mayoritariamente; o, la de un proponente plural constituido por personas en proceso de reincorporación, y/o personas jurídicas en las cuales participe o participen mayoritariamente.</w:t>
      </w:r>
    </w:p>
    <w:p w14:paraId="0F859602" w14:textId="77777777" w:rsidR="00290ECC" w:rsidRPr="00593EA1" w:rsidRDefault="00290ECC" w:rsidP="00290ECC">
      <w:pPr>
        <w:ind w:left="709" w:right="709"/>
        <w:jc w:val="both"/>
        <w:rPr>
          <w:rFonts w:ascii="Arial" w:eastAsia="Calibri" w:hAnsi="Arial" w:cs="Arial"/>
          <w:sz w:val="21"/>
          <w:szCs w:val="21"/>
          <w:lang w:val="es-ES_tradnl"/>
        </w:rPr>
      </w:pPr>
      <w:r w:rsidRPr="00593EA1">
        <w:rPr>
          <w:rFonts w:ascii="Arial" w:eastAsia="Calibri" w:hAnsi="Arial" w:cs="Arial"/>
          <w:sz w:val="21"/>
          <w:szCs w:val="21"/>
          <w:lang w:val="es-ES_tradnl"/>
        </w:rPr>
        <w:t>7. Preferir la oferta presentada por un proponente plural siempre que: (a) esté conformado por al menos una madre cabeza de familia y/o una persona en proceso de reincorporación o reintegración, o una persona jurídica en la cual participe o participen mayoritariamente, y, que tenga una participación de por lo menos el veinticinco por ciento (25%) en el proponente plural; (b) la madre cabeza de familia, la persona en proceso de reincorporación o reintegración, o la persona jurídica aporte mínimo el veinticinco por ciento (25%) de la experiencia acreditada en la oferta; y (c) ni la madre cabeza de familia o persona en proceso de reincorporación o reintegración, ni la persona jurídica, ni sus accionistas, socios o representantes legales sean empleados, socios o accionistas de los miembros del proponente plural […]</w:t>
      </w:r>
    </w:p>
    <w:p w14:paraId="12D87883" w14:textId="77777777" w:rsidR="00290ECC" w:rsidRPr="00593EA1" w:rsidRDefault="00290ECC" w:rsidP="00290ECC">
      <w:pPr>
        <w:spacing w:line="276" w:lineRule="auto"/>
        <w:ind w:left="709" w:right="709"/>
        <w:jc w:val="both"/>
        <w:rPr>
          <w:rFonts w:ascii="Arial" w:eastAsia="Calibri" w:hAnsi="Arial" w:cs="Arial"/>
          <w:sz w:val="22"/>
          <w:szCs w:val="22"/>
          <w:lang w:val="es-ES_tradnl"/>
        </w:rPr>
      </w:pPr>
    </w:p>
    <w:p w14:paraId="1593EC65" w14:textId="77777777" w:rsidR="00290ECC" w:rsidRPr="00593EA1" w:rsidRDefault="00290ECC" w:rsidP="00290ECC">
      <w:pPr>
        <w:spacing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Como se advierte, estos numerales </w:t>
      </w:r>
      <w:bookmarkStart w:id="5" w:name="_Hlk62459524"/>
      <w:r w:rsidRPr="00593EA1">
        <w:rPr>
          <w:rFonts w:ascii="Arial" w:eastAsia="Calibri" w:hAnsi="Arial" w:cs="Arial"/>
          <w:sz w:val="22"/>
          <w:szCs w:val="22"/>
          <w:lang w:val="es-ES_tradnl"/>
        </w:rPr>
        <w:t>no establecen un medio específico para acreditar las circunstancias a las que se refieren. Por lo tanto, corresponde a la entidad contratante analizar si el ordenamiento jurídico, en otras disposiciones legales o reglamentarias, exige un documento especial o si, por el contrario, hay libertad probatoria. Este análisis debe realizarse de manera independiente frente a cada numeral. En caso de que no exista «tarifa legal», es decir, en el evento en que la ley o el reglamento no definan un medio probatorio para acreditar la circunstancia correspondiente, la entidad estatal contratante tiene discrecionalidad para establecer en el pliego de condiciones o en el documento equivalente de qué manera el proponente podrá probar que se halla bajo la condición que permite aplicar la regla de desempate. Por supuesto, el decreto reglamentario que expida el gobierno nacional para garantizar la cumplida ejecución de la Ley 2069 de 2020 podría establecer los medios de prueba, así como las autoridades encargadas de certificar las circunstancias del artículo 35. Sin embargo, mientras ello no suceda, deberá aplicarse el criterio indicado con anterioridad.</w:t>
      </w:r>
    </w:p>
    <w:bookmarkEnd w:id="5"/>
    <w:p w14:paraId="66E09802"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Así, en relación con el numeral 2 del artículo 35, como lo ha indicado la Corte Constitucional, «[…] la condición de padre o madre cabeza de familia se acredita cuando la persona (i) tiene la responsabilidad permanente de hijos menores o personas incapacitadas para trabajar, (</w:t>
      </w:r>
      <w:proofErr w:type="spellStart"/>
      <w:r w:rsidRPr="00593EA1">
        <w:rPr>
          <w:rFonts w:ascii="Arial" w:eastAsia="Calibri" w:hAnsi="Arial" w:cs="Arial"/>
          <w:sz w:val="22"/>
          <w:szCs w:val="22"/>
          <w:lang w:val="es-ES_tradnl"/>
        </w:rPr>
        <w:t>ii</w:t>
      </w:r>
      <w:proofErr w:type="spellEnd"/>
      <w:r w:rsidRPr="00593EA1">
        <w:rPr>
          <w:rFonts w:ascii="Arial" w:eastAsia="Calibri" w:hAnsi="Arial" w:cs="Arial"/>
          <w:sz w:val="22"/>
          <w:szCs w:val="22"/>
          <w:lang w:val="es-ES_tradnl"/>
        </w:rPr>
        <w:t>) no cuenta con la ayuda de otros miembros de la familia y (</w:t>
      </w:r>
      <w:proofErr w:type="spellStart"/>
      <w:r w:rsidRPr="00593EA1">
        <w:rPr>
          <w:rFonts w:ascii="Arial" w:eastAsia="Calibri" w:hAnsi="Arial" w:cs="Arial"/>
          <w:sz w:val="22"/>
          <w:szCs w:val="22"/>
          <w:lang w:val="es-ES_tradnl"/>
        </w:rPr>
        <w:t>iii</w:t>
      </w:r>
      <w:proofErr w:type="spellEnd"/>
      <w:r w:rsidRPr="00593EA1">
        <w:rPr>
          <w:rFonts w:ascii="Arial" w:eastAsia="Calibri" w:hAnsi="Arial" w:cs="Arial"/>
          <w:sz w:val="22"/>
          <w:szCs w:val="22"/>
          <w:lang w:val="es-ES_tradnl"/>
        </w:rPr>
        <w:t>) su pareja murió, está ausente de manera permanente o abandonó el hogar y se demuestra que esta se sustrae del cumplimiento de sus obligaciones, o cuando su pareja se encuentre presente pero no asuma la responsabilidad que le corresponde por motivos como la incapacidad física, sensorial, síquica o mental»</w:t>
      </w:r>
      <w:r w:rsidRPr="00593EA1">
        <w:rPr>
          <w:rStyle w:val="Refdenotaalpie"/>
          <w:rFonts w:ascii="Arial" w:eastAsia="Calibri" w:hAnsi="Arial" w:cs="Arial"/>
          <w:sz w:val="22"/>
          <w:szCs w:val="22"/>
          <w:lang w:val="es-ES_tradnl"/>
        </w:rPr>
        <w:footnoteReference w:id="11"/>
      </w:r>
      <w:r w:rsidRPr="00593EA1">
        <w:rPr>
          <w:rFonts w:ascii="Arial" w:eastAsia="Calibri" w:hAnsi="Arial" w:cs="Arial"/>
          <w:sz w:val="22"/>
          <w:szCs w:val="22"/>
          <w:lang w:val="es-ES_tradnl"/>
        </w:rPr>
        <w:t>. El proponente también podrá acreditar que la oferta ha sido presentada por mujeres víctimas de la violencia intrafamiliar, situación que, como también ha precisado la Corte Constitucional, se define como «[…] aquella que se propicia por el daño físico, emocional, sexual, psicológico o económico que se causa entre los miembros de la familia y al interior de la unidad doméstica. Esta se puede dar por acción u omisión de cualquier miembro de la familia»</w:t>
      </w:r>
      <w:r w:rsidRPr="00593EA1">
        <w:rPr>
          <w:rStyle w:val="Refdenotaalpie"/>
          <w:rFonts w:ascii="Arial" w:eastAsia="Calibri" w:hAnsi="Arial" w:cs="Arial"/>
          <w:sz w:val="22"/>
          <w:szCs w:val="22"/>
          <w:lang w:val="es-ES_tradnl"/>
        </w:rPr>
        <w:footnoteReference w:id="12"/>
      </w:r>
      <w:r w:rsidRPr="00593EA1">
        <w:rPr>
          <w:rFonts w:ascii="Arial" w:eastAsia="Calibri" w:hAnsi="Arial" w:cs="Arial"/>
          <w:sz w:val="22"/>
          <w:szCs w:val="22"/>
          <w:lang w:val="es-ES_tradnl"/>
        </w:rPr>
        <w:t>.</w:t>
      </w:r>
    </w:p>
    <w:p w14:paraId="51348334" w14:textId="77777777" w:rsidR="00290ECC" w:rsidRPr="00593EA1" w:rsidRDefault="00290ECC" w:rsidP="00290ECC">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 xml:space="preserve">El parágrafo del artículo 2 de la Ley 82 de 1993 –«Por la cual se expiden normas para apoyar de manera especial a la mujer cabeza de familia»– establece que «La condición de Mujer Cabeza de Familia y la cesación de </w:t>
      </w:r>
      <w:proofErr w:type="gramStart"/>
      <w:r w:rsidRPr="00593EA1">
        <w:rPr>
          <w:rFonts w:ascii="Arial" w:hAnsi="Arial" w:cs="Arial"/>
          <w:sz w:val="22"/>
          <w:szCs w:val="22"/>
          <w:lang w:val="es-ES_tradnl"/>
        </w:rPr>
        <w:t>la misma</w:t>
      </w:r>
      <w:proofErr w:type="gramEnd"/>
      <w:r w:rsidRPr="00593EA1">
        <w:rPr>
          <w:rFonts w:ascii="Arial" w:hAnsi="Arial" w:cs="Arial"/>
          <w:sz w:val="22"/>
          <w:szCs w:val="22"/>
          <w:lang w:val="es-ES_tradnl"/>
        </w:rPr>
        <w:t>, desde el momento en que ocurra el respectivo evento, deberá ser declarada ante notario por cada una de ellas, expresando las circunstancias básicas del respectivo caso y sin que por este concepto se causen emolumentos notariales a su cargo». Por lo tanto, a menos que una norma posterior disponga lo contrario, tal declaración basta para acreditar la condición de mujer cabeza de familia</w:t>
      </w:r>
      <w:r w:rsidRPr="00593EA1">
        <w:rPr>
          <w:rStyle w:val="Refdenotaalpie"/>
          <w:rFonts w:ascii="Arial" w:hAnsi="Arial" w:cs="Arial"/>
          <w:sz w:val="22"/>
          <w:szCs w:val="22"/>
          <w:lang w:val="es-ES_tradnl"/>
        </w:rPr>
        <w:footnoteReference w:id="13"/>
      </w:r>
      <w:r w:rsidRPr="00593EA1">
        <w:rPr>
          <w:rFonts w:ascii="Arial" w:hAnsi="Arial" w:cs="Arial"/>
          <w:sz w:val="22"/>
          <w:szCs w:val="22"/>
          <w:lang w:val="es-ES_tradnl"/>
        </w:rPr>
        <w:t xml:space="preserve">. </w:t>
      </w:r>
    </w:p>
    <w:p w14:paraId="669A531B" w14:textId="722F79B5" w:rsidR="00290ECC" w:rsidRPr="00593EA1" w:rsidRDefault="00290ECC" w:rsidP="00290ECC">
      <w:pPr>
        <w:spacing w:before="120" w:line="276" w:lineRule="auto"/>
        <w:ind w:firstLine="709"/>
        <w:jc w:val="both"/>
        <w:rPr>
          <w:rFonts w:ascii="Arial" w:hAnsi="Arial" w:cs="Arial"/>
          <w:sz w:val="22"/>
          <w:szCs w:val="22"/>
          <w:lang w:val="es-ES_tradnl"/>
        </w:rPr>
      </w:pPr>
      <w:r w:rsidRPr="00593EA1">
        <w:rPr>
          <w:rFonts w:ascii="Arial" w:eastAsia="Calibri" w:hAnsi="Arial" w:cs="Arial"/>
          <w:sz w:val="22"/>
          <w:szCs w:val="22"/>
          <w:lang w:val="es-ES_tradnl"/>
        </w:rPr>
        <w:t xml:space="preserve">Por su parte, el artículo 21 de la Ley 1257 de 2008, por la cual se dictan normas de sensibilización, prevención y sanción de formas de violencia y discriminación contra las mujeres, se reforman los Códigos Penal, de Procedimiento Penal, la Ley 294 de 1996 y se dictan otras disposiciones, dispone que «Las situaciones de violencia que dan lugar a la atención de las mujeres, sus hijos e hijas, se acreditarán con la medida de protección expedida por la autoridad competente, sin que puedan exigirse requisitos adicionales». </w:t>
      </w:r>
      <w:r w:rsidRPr="00593EA1">
        <w:rPr>
          <w:rFonts w:ascii="Arial" w:hAnsi="Arial" w:cs="Arial"/>
          <w:sz w:val="22"/>
          <w:szCs w:val="22"/>
          <w:lang w:val="es-ES_tradnl"/>
        </w:rPr>
        <w:t>De acuerdo con los artículos 16 y 17 de la Ley 1257 de 2008, la medida de protección la debe impartir el comisario de familia del lugar donde ocurrieron los hechos y a falta de este el juez civil municipal o promiscuo municipal, o la autoridad indígena –en los casos de violencia intrafamiliar en las comunidades indígenas–. La medida de protección se debe emitir en una providencia motivada. Por lo tanto, este documento permite acreditar la situación de mujer víctima de violencia intrafamiliar. Las autoridades competentes mencionadas con anterioridad deben «[…] remitir todos los casos de violencia intrafamiliar a la Fiscalía General de la Nación para efectos de la investigación del delito de violencia intrafamiliar y posibles delitos conexos», según lo determina el parágrafo 3 del artículo 17 de la referida Ley. En consecuencia, no basta la copia de la denuncia en la Fiscalía para acreditar que se es víctima de violencia intrafamiliar, pues se requiere la providencia que establezca la medida de protección procedente.</w:t>
      </w:r>
    </w:p>
    <w:p w14:paraId="225D1269" w14:textId="3585F270" w:rsidR="0018656E" w:rsidRPr="00593EA1" w:rsidRDefault="0018656E" w:rsidP="00290ECC">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En cuanto al numeral 3</w:t>
      </w:r>
      <w:r w:rsidR="000E08A0" w:rsidRPr="00593EA1">
        <w:rPr>
          <w:rFonts w:ascii="Arial" w:hAnsi="Arial" w:cs="Arial"/>
          <w:sz w:val="22"/>
          <w:szCs w:val="22"/>
          <w:lang w:val="es-ES_tradnl"/>
        </w:rPr>
        <w:t xml:space="preserve">, </w:t>
      </w:r>
      <w:r w:rsidR="00AE14BB" w:rsidRPr="00593EA1">
        <w:rPr>
          <w:rFonts w:ascii="Arial" w:hAnsi="Arial" w:cs="Arial"/>
          <w:sz w:val="22"/>
          <w:szCs w:val="22"/>
          <w:lang w:val="es-ES_tradnl"/>
        </w:rPr>
        <w:t xml:space="preserve">es pertinente </w:t>
      </w:r>
      <w:r w:rsidR="000802AA" w:rsidRPr="00593EA1">
        <w:rPr>
          <w:rFonts w:ascii="Arial" w:hAnsi="Arial" w:cs="Arial"/>
          <w:sz w:val="22"/>
          <w:szCs w:val="22"/>
          <w:lang w:val="es-ES_tradnl"/>
        </w:rPr>
        <w:t>recordar</w:t>
      </w:r>
      <w:r w:rsidR="00AE14BB" w:rsidRPr="00593EA1">
        <w:rPr>
          <w:rFonts w:ascii="Arial" w:hAnsi="Arial" w:cs="Arial"/>
          <w:sz w:val="22"/>
          <w:szCs w:val="22"/>
          <w:lang w:val="es-ES_tradnl"/>
        </w:rPr>
        <w:t xml:space="preserve"> lo dispuesto en los artículos 2.2.1.2.4.2.6</w:t>
      </w:r>
      <w:r w:rsidR="00A22020" w:rsidRPr="00593EA1">
        <w:rPr>
          <w:rFonts w:ascii="Arial" w:hAnsi="Arial" w:cs="Arial"/>
          <w:sz w:val="22"/>
          <w:szCs w:val="22"/>
          <w:lang w:val="es-ES_tradnl"/>
        </w:rPr>
        <w:t xml:space="preserve"> y 2.2.1.2.4.2.7</w:t>
      </w:r>
      <w:r w:rsidR="002C5F46" w:rsidRPr="00593EA1">
        <w:rPr>
          <w:rFonts w:ascii="Arial" w:hAnsi="Arial" w:cs="Arial"/>
          <w:sz w:val="22"/>
          <w:szCs w:val="22"/>
          <w:lang w:val="es-ES_tradnl"/>
        </w:rPr>
        <w:t xml:space="preserve"> del Decreto 1082 de 2015, en el que se regulan los requisitos y medios de acreditación </w:t>
      </w:r>
      <w:r w:rsidR="008D0AD5" w:rsidRPr="00593EA1">
        <w:rPr>
          <w:rFonts w:ascii="Arial" w:hAnsi="Arial" w:cs="Arial"/>
          <w:sz w:val="22"/>
          <w:szCs w:val="22"/>
          <w:lang w:val="es-ES_tradnl"/>
        </w:rPr>
        <w:t>requeridos para acceder al</w:t>
      </w:r>
      <w:r w:rsidR="002C5F46" w:rsidRPr="00593EA1">
        <w:rPr>
          <w:rFonts w:ascii="Arial" w:hAnsi="Arial" w:cs="Arial"/>
          <w:sz w:val="22"/>
          <w:szCs w:val="22"/>
          <w:lang w:val="es-ES_tradnl"/>
        </w:rPr>
        <w:t xml:space="preserve"> puntaje adicional</w:t>
      </w:r>
      <w:r w:rsidR="008D0AD5" w:rsidRPr="00593EA1">
        <w:rPr>
          <w:rFonts w:ascii="Arial" w:hAnsi="Arial" w:cs="Arial"/>
          <w:sz w:val="22"/>
          <w:szCs w:val="22"/>
          <w:lang w:val="es-ES_tradnl"/>
        </w:rPr>
        <w:t xml:space="preserve"> para los proponentes que acr</w:t>
      </w:r>
      <w:r w:rsidR="004A00D0" w:rsidRPr="00593EA1">
        <w:rPr>
          <w:rFonts w:ascii="Arial" w:hAnsi="Arial" w:cs="Arial"/>
          <w:sz w:val="22"/>
          <w:szCs w:val="22"/>
          <w:lang w:val="es-ES_tradnl"/>
        </w:rPr>
        <w:t xml:space="preserve">editen </w:t>
      </w:r>
      <w:r w:rsidR="00FA3275" w:rsidRPr="00593EA1">
        <w:rPr>
          <w:rFonts w:ascii="Arial" w:hAnsi="Arial" w:cs="Arial"/>
          <w:sz w:val="22"/>
          <w:szCs w:val="22"/>
          <w:lang w:val="es-ES_tradnl"/>
        </w:rPr>
        <w:t>determinado número de trabajadores</w:t>
      </w:r>
      <w:r w:rsidR="00666FAB" w:rsidRPr="00593EA1">
        <w:rPr>
          <w:rFonts w:ascii="Arial" w:hAnsi="Arial" w:cs="Arial"/>
          <w:sz w:val="22"/>
          <w:szCs w:val="22"/>
          <w:lang w:val="es-ES_tradnl"/>
        </w:rPr>
        <w:t xml:space="preserve"> en sus plantas de personal. Para acceder a dicho puntaje los proponentes deben acreditar su conformación la conformación de su planta de personal </w:t>
      </w:r>
      <w:r w:rsidR="00C21D08" w:rsidRPr="00593EA1">
        <w:rPr>
          <w:rFonts w:ascii="Arial" w:hAnsi="Arial" w:cs="Arial"/>
          <w:sz w:val="22"/>
          <w:szCs w:val="22"/>
          <w:lang w:val="es-ES_tradnl"/>
        </w:rPr>
        <w:t xml:space="preserve">mediante una certificación suscrita por el representante legal y/o revisor fiscal en el que conste </w:t>
      </w:r>
      <w:r w:rsidR="00633548" w:rsidRPr="00593EA1">
        <w:rPr>
          <w:rFonts w:ascii="Arial" w:hAnsi="Arial" w:cs="Arial"/>
          <w:sz w:val="22"/>
          <w:szCs w:val="22"/>
          <w:lang w:val="es-ES_tradnl"/>
        </w:rPr>
        <w:t xml:space="preserve">la conformación de la plata de personal y una certificación en la expedida </w:t>
      </w:r>
      <w:r w:rsidR="009D5450" w:rsidRPr="00593EA1">
        <w:rPr>
          <w:rFonts w:ascii="Arial" w:hAnsi="Arial" w:cs="Arial"/>
          <w:sz w:val="22"/>
          <w:szCs w:val="22"/>
          <w:lang w:val="es-ES_tradnl"/>
        </w:rPr>
        <w:t>por el Ministerio del Trabajo en el conste la cantidad de trabajadores con discapacidad vinculados. Tales documentos</w:t>
      </w:r>
      <w:r w:rsidR="00875E98" w:rsidRPr="00593EA1">
        <w:rPr>
          <w:rFonts w:ascii="Arial" w:hAnsi="Arial" w:cs="Arial"/>
          <w:sz w:val="22"/>
          <w:szCs w:val="22"/>
          <w:lang w:val="es-ES_tradnl"/>
        </w:rPr>
        <w:t>, si bien no están conce</w:t>
      </w:r>
      <w:r w:rsidR="00692A08" w:rsidRPr="00593EA1">
        <w:rPr>
          <w:rFonts w:ascii="Arial" w:hAnsi="Arial" w:cs="Arial"/>
          <w:sz w:val="22"/>
          <w:szCs w:val="22"/>
          <w:lang w:val="es-ES_tradnl"/>
        </w:rPr>
        <w:t xml:space="preserve">bidos para aplicar el factor de desempate del numeral 3, podrían servir </w:t>
      </w:r>
      <w:r w:rsidR="00AC4EF6" w:rsidRPr="00593EA1">
        <w:rPr>
          <w:rFonts w:ascii="Arial" w:hAnsi="Arial" w:cs="Arial"/>
          <w:sz w:val="22"/>
          <w:szCs w:val="22"/>
          <w:lang w:val="es-ES_tradnl"/>
        </w:rPr>
        <w:t>para</w:t>
      </w:r>
      <w:r w:rsidR="00692A08" w:rsidRPr="00593EA1">
        <w:rPr>
          <w:rFonts w:ascii="Arial" w:hAnsi="Arial" w:cs="Arial"/>
          <w:sz w:val="22"/>
          <w:szCs w:val="22"/>
          <w:lang w:val="es-ES_tradnl"/>
        </w:rPr>
        <w:t xml:space="preserve"> acre</w:t>
      </w:r>
      <w:r w:rsidR="009B1D8E" w:rsidRPr="00593EA1">
        <w:rPr>
          <w:rFonts w:ascii="Arial" w:hAnsi="Arial" w:cs="Arial"/>
          <w:sz w:val="22"/>
          <w:szCs w:val="22"/>
          <w:lang w:val="es-ES_tradnl"/>
        </w:rPr>
        <w:t>ditar el supuesto de hecho que se contempla</w:t>
      </w:r>
      <w:r w:rsidR="000802AA" w:rsidRPr="00593EA1">
        <w:rPr>
          <w:rFonts w:ascii="Arial" w:hAnsi="Arial" w:cs="Arial"/>
          <w:sz w:val="22"/>
          <w:szCs w:val="22"/>
          <w:lang w:val="es-ES_tradnl"/>
        </w:rPr>
        <w:t xml:space="preserve"> en éste</w:t>
      </w:r>
      <w:r w:rsidR="009B1D8E" w:rsidRPr="00593EA1">
        <w:rPr>
          <w:rFonts w:ascii="Arial" w:hAnsi="Arial" w:cs="Arial"/>
          <w:sz w:val="22"/>
          <w:szCs w:val="22"/>
          <w:lang w:val="es-ES_tradnl"/>
        </w:rPr>
        <w:t xml:space="preserve">, al permitir </w:t>
      </w:r>
      <w:r w:rsidR="00AC4EF6" w:rsidRPr="00593EA1">
        <w:rPr>
          <w:rFonts w:ascii="Arial" w:hAnsi="Arial" w:cs="Arial"/>
          <w:sz w:val="22"/>
          <w:szCs w:val="22"/>
          <w:lang w:val="es-ES_tradnl"/>
        </w:rPr>
        <w:t xml:space="preserve">analizar y </w:t>
      </w:r>
      <w:r w:rsidR="009B1D8E" w:rsidRPr="00593EA1">
        <w:rPr>
          <w:rFonts w:ascii="Arial" w:hAnsi="Arial" w:cs="Arial"/>
          <w:sz w:val="22"/>
          <w:szCs w:val="22"/>
          <w:lang w:val="es-ES_tradnl"/>
        </w:rPr>
        <w:t xml:space="preserve">verificar el porcentaje de la planta de personal que corresponda a trabajadores con discapacidad. </w:t>
      </w:r>
      <w:r w:rsidR="007B710F" w:rsidRPr="00593EA1">
        <w:rPr>
          <w:rFonts w:ascii="Arial" w:hAnsi="Arial" w:cs="Arial"/>
          <w:sz w:val="22"/>
          <w:szCs w:val="22"/>
          <w:lang w:val="es-ES_tradnl"/>
        </w:rPr>
        <w:t xml:space="preserve">En caso de proponentes plurales </w:t>
      </w:r>
      <w:r w:rsidR="00AC4EF6" w:rsidRPr="00593EA1">
        <w:rPr>
          <w:rFonts w:ascii="Arial" w:hAnsi="Arial" w:cs="Arial"/>
          <w:sz w:val="22"/>
          <w:szCs w:val="22"/>
          <w:lang w:val="es-ES_tradnl"/>
        </w:rPr>
        <w:t>dicha verificación además deberá observar el documento de conformación del consorcio o la unión temporal en el que consten los porcentajes de participación.</w:t>
      </w:r>
      <w:r w:rsidR="00FA3275" w:rsidRPr="00593EA1">
        <w:rPr>
          <w:rFonts w:ascii="Arial" w:hAnsi="Arial" w:cs="Arial"/>
          <w:sz w:val="22"/>
          <w:szCs w:val="22"/>
          <w:lang w:val="es-ES_tradnl"/>
        </w:rPr>
        <w:t xml:space="preserve"> </w:t>
      </w:r>
    </w:p>
    <w:p w14:paraId="49731E41"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En relación con lo previsto en el numeral 4 del artículo en comento, cuando el legislador alude al concepto de «personas mayores» que no sean beneficiarias de la pensión de vejez, familiar o de sobrevivencia y que hayan cumplido la edad para obtenerla, la interpretación más razonable es entender que la norma se refiere al «adulto mayor». Este concepto lo define el artículo 3 de la Ley 1251 de 2008 –«Por la cual se dictan normas tendientes a procurar la protección, promoción y defensa de los derechos de los adultos mayores»– como «</w:t>
      </w:r>
      <w:r w:rsidRPr="00593EA1">
        <w:rPr>
          <w:lang w:val="es-ES_tradnl"/>
        </w:rPr>
        <w:t xml:space="preserve">[…] </w:t>
      </w:r>
      <w:r w:rsidRPr="00593EA1">
        <w:rPr>
          <w:rFonts w:ascii="Arial" w:eastAsia="Calibri" w:hAnsi="Arial" w:cs="Arial"/>
          <w:sz w:val="22"/>
          <w:szCs w:val="22"/>
          <w:lang w:val="es-ES_tradnl"/>
        </w:rPr>
        <w:t xml:space="preserve">aquella persona que cuenta con sesenta (60) </w:t>
      </w:r>
      <w:proofErr w:type="gramStart"/>
      <w:r w:rsidRPr="00593EA1">
        <w:rPr>
          <w:rFonts w:ascii="Arial" w:eastAsia="Calibri" w:hAnsi="Arial" w:cs="Arial"/>
          <w:sz w:val="22"/>
          <w:szCs w:val="22"/>
          <w:lang w:val="es-ES_tradnl"/>
        </w:rPr>
        <w:t>años de edad</w:t>
      </w:r>
      <w:proofErr w:type="gramEnd"/>
      <w:r w:rsidRPr="00593EA1">
        <w:rPr>
          <w:rFonts w:ascii="Arial" w:eastAsia="Calibri" w:hAnsi="Arial" w:cs="Arial"/>
          <w:sz w:val="22"/>
          <w:szCs w:val="22"/>
          <w:lang w:val="es-ES_tradnl"/>
        </w:rPr>
        <w:t xml:space="preserve"> o más», lo cual se puede acreditar con el documento de identidad correspondiente.</w:t>
      </w:r>
    </w:p>
    <w:p w14:paraId="605C8F95"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En lo que respecta al numeral 5, es decir, a la pertenencia a la «</w:t>
      </w:r>
      <w:r w:rsidRPr="00593EA1">
        <w:rPr>
          <w:lang w:val="es-ES_tradnl"/>
        </w:rPr>
        <w:t xml:space="preserve">[…] </w:t>
      </w:r>
      <w:r w:rsidRPr="00593EA1">
        <w:rPr>
          <w:rFonts w:ascii="Arial" w:eastAsia="Calibri" w:hAnsi="Arial" w:cs="Arial"/>
          <w:sz w:val="22"/>
          <w:szCs w:val="22"/>
          <w:lang w:val="es-ES_tradnl"/>
        </w:rPr>
        <w:t xml:space="preserve">población indígena, negra, afrocolombiana, raizal, palanquera, </w:t>
      </w:r>
      <w:proofErr w:type="spellStart"/>
      <w:r w:rsidRPr="00593EA1">
        <w:rPr>
          <w:rFonts w:ascii="Arial" w:eastAsia="Calibri" w:hAnsi="Arial" w:cs="Arial"/>
          <w:sz w:val="22"/>
          <w:szCs w:val="22"/>
          <w:lang w:val="es-ES_tradnl"/>
        </w:rPr>
        <w:t>Rrom</w:t>
      </w:r>
      <w:proofErr w:type="spellEnd"/>
      <w:r w:rsidRPr="00593EA1">
        <w:rPr>
          <w:rFonts w:ascii="Arial" w:eastAsia="Calibri" w:hAnsi="Arial" w:cs="Arial"/>
          <w:sz w:val="22"/>
          <w:szCs w:val="22"/>
          <w:lang w:val="es-ES_tradnl"/>
        </w:rPr>
        <w:t xml:space="preserve"> o gitanas», es importante hacer algunas precisiones frente a cada grupo poblacional. El artículo 1 del Convenio No. 169 de la OIT –«Sobre pueblos indígenas y tribales en países independientes»–, aplicable en el ordenamiento jurídico colombiano, caracteriza la «población indígena» como aquella que desciende de grupos que «[…] habitaban en el país o en una región geográfica a la que pertenece el país en la época de la conquista o la colonización o del establecimiento de las actuales fronteras estatales y que, cualquiera que sea su situación jurídica, conserven todas sus propias instituciones sociales, económicas, culturales y políticas, o parte de ellas»</w:t>
      </w:r>
      <w:r w:rsidRPr="00593EA1">
        <w:rPr>
          <w:rStyle w:val="Refdenotaalpie"/>
          <w:rFonts w:ascii="Arial" w:eastAsia="Calibri" w:hAnsi="Arial" w:cs="Arial"/>
          <w:sz w:val="22"/>
          <w:szCs w:val="22"/>
          <w:lang w:val="es-ES_tradnl"/>
        </w:rPr>
        <w:footnoteReference w:id="14"/>
      </w:r>
      <w:r w:rsidRPr="00593EA1">
        <w:rPr>
          <w:rFonts w:ascii="Arial" w:eastAsia="Calibri" w:hAnsi="Arial" w:cs="Arial"/>
          <w:sz w:val="22"/>
          <w:szCs w:val="22"/>
          <w:lang w:val="es-ES_tradnl"/>
        </w:rPr>
        <w:t xml:space="preserve">. </w:t>
      </w:r>
    </w:p>
    <w:p w14:paraId="59FD3D84"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Por su parte, el artículo 2, numeral 5, de la Ley 70 de 1993 dispone que «comunidad negra» «Es el conjunto de familias de ascendencia afrocolombiana que poseen una cultura propia, comparten una historia y tienen sus propias tradiciones y costumbre dentro de la relación </w:t>
      </w:r>
      <w:proofErr w:type="spellStart"/>
      <w:r w:rsidRPr="00593EA1">
        <w:rPr>
          <w:rFonts w:ascii="Arial" w:eastAsia="Calibri" w:hAnsi="Arial" w:cs="Arial"/>
          <w:sz w:val="22"/>
          <w:szCs w:val="22"/>
          <w:lang w:val="es-ES_tradnl"/>
        </w:rPr>
        <w:t>compo</w:t>
      </w:r>
      <w:proofErr w:type="spellEnd"/>
      <w:r w:rsidRPr="00593EA1">
        <w:rPr>
          <w:rFonts w:ascii="Arial" w:eastAsia="Calibri" w:hAnsi="Arial" w:cs="Arial"/>
          <w:sz w:val="22"/>
          <w:szCs w:val="22"/>
          <w:lang w:val="es-ES_tradnl"/>
        </w:rPr>
        <w:t>-poblado, que revelan y conservan conciencia de identidad que las distinguen de otros grupos étnicos». De otro lado, «La población afrocolombiana está compuesta por hombres y mujeres con una marcada ascendencia (lingüística, étnica y cultural) africana. Los y las afrocolombianos (as) son algunos de los descendientes de africanos y africanas –provenientes de diversas regiones y etnias de África– que llegaron al continente americano en calidad de esclavos»</w:t>
      </w:r>
      <w:r w:rsidRPr="00593EA1">
        <w:rPr>
          <w:rStyle w:val="Refdenotaalpie"/>
          <w:rFonts w:ascii="Arial" w:eastAsia="Calibri" w:hAnsi="Arial" w:cs="Arial"/>
          <w:sz w:val="22"/>
          <w:szCs w:val="22"/>
          <w:lang w:val="es-ES_tradnl"/>
        </w:rPr>
        <w:footnoteReference w:id="15"/>
      </w:r>
      <w:r w:rsidRPr="00593EA1">
        <w:rPr>
          <w:rFonts w:ascii="Arial" w:eastAsia="Calibri" w:hAnsi="Arial" w:cs="Arial"/>
          <w:sz w:val="22"/>
          <w:szCs w:val="22"/>
          <w:lang w:val="es-ES_tradnl"/>
        </w:rPr>
        <w:t xml:space="preserve">. </w:t>
      </w:r>
    </w:p>
    <w:p w14:paraId="632DCA7E"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La «población raizal», «Es la población nativa de las Islas de San Andrés, Providencia Y Santa Catalina descendientes de la unión entre europeos (principalmente ingleses, españoles y holandeses) y esclavos africanos. Se distinguen por su cultura, lengua (creole), creencias religiosas (iglesia bautista) y pasado histórico similar a los pueblos antillanos como Jamaica y Haití»</w:t>
      </w:r>
      <w:r w:rsidRPr="00593EA1">
        <w:rPr>
          <w:rStyle w:val="Refdenotaalpie"/>
          <w:rFonts w:ascii="Arial" w:eastAsia="Calibri" w:hAnsi="Arial" w:cs="Arial"/>
          <w:sz w:val="22"/>
          <w:szCs w:val="22"/>
          <w:lang w:val="es-ES_tradnl"/>
        </w:rPr>
        <w:footnoteReference w:id="16"/>
      </w:r>
      <w:r w:rsidRPr="00593EA1">
        <w:rPr>
          <w:rFonts w:ascii="Arial" w:eastAsia="Calibri" w:hAnsi="Arial" w:cs="Arial"/>
          <w:sz w:val="22"/>
          <w:szCs w:val="22"/>
          <w:lang w:val="es-ES_tradnl"/>
        </w:rPr>
        <w:t>. La «población palenquera» «</w:t>
      </w:r>
      <w:r w:rsidRPr="00593EA1">
        <w:rPr>
          <w:lang w:val="es-ES_tradnl"/>
        </w:rPr>
        <w:t xml:space="preserve">[…] </w:t>
      </w:r>
      <w:r w:rsidRPr="00593EA1">
        <w:rPr>
          <w:rFonts w:ascii="Arial" w:eastAsia="Calibri" w:hAnsi="Arial" w:cs="Arial"/>
          <w:sz w:val="22"/>
          <w:szCs w:val="22"/>
          <w:lang w:val="es-ES_tradnl"/>
        </w:rPr>
        <w:t xml:space="preserve">está conformada por los descendientes de los esclavizados que mediante actos de resistencia y de libertad, se refugiaron en los territorios de la Costa Norte de Colombia desde el Siglo XV denominados palenques. Existen 4 Palenques reconocidos: San Basilio de Palenque (Mahates – Bolívar), San José de </w:t>
      </w:r>
      <w:proofErr w:type="spellStart"/>
      <w:r w:rsidRPr="00593EA1">
        <w:rPr>
          <w:rFonts w:ascii="Arial" w:eastAsia="Calibri" w:hAnsi="Arial" w:cs="Arial"/>
          <w:sz w:val="22"/>
          <w:szCs w:val="22"/>
          <w:lang w:val="es-ES_tradnl"/>
        </w:rPr>
        <w:t>Uré</w:t>
      </w:r>
      <w:proofErr w:type="spellEnd"/>
      <w:r w:rsidRPr="00593EA1">
        <w:rPr>
          <w:rFonts w:ascii="Arial" w:eastAsia="Calibri" w:hAnsi="Arial" w:cs="Arial"/>
          <w:sz w:val="22"/>
          <w:szCs w:val="22"/>
          <w:lang w:val="es-ES_tradnl"/>
        </w:rPr>
        <w:t xml:space="preserve"> (Córdoba), Jacobo Pérez Escobar (Magdalena) y La Libertad (Sucre)»</w:t>
      </w:r>
      <w:r w:rsidRPr="00593EA1">
        <w:rPr>
          <w:rStyle w:val="Refdenotaalpie"/>
          <w:rFonts w:ascii="Arial" w:eastAsia="Calibri" w:hAnsi="Arial" w:cs="Arial"/>
          <w:sz w:val="22"/>
          <w:szCs w:val="22"/>
          <w:lang w:val="es-ES_tradnl"/>
        </w:rPr>
        <w:footnoteReference w:id="17"/>
      </w:r>
      <w:r w:rsidRPr="00593EA1">
        <w:rPr>
          <w:rFonts w:ascii="Arial" w:eastAsia="Calibri" w:hAnsi="Arial" w:cs="Arial"/>
          <w:sz w:val="22"/>
          <w:szCs w:val="22"/>
          <w:lang w:val="es-ES_tradnl"/>
        </w:rPr>
        <w:t xml:space="preserve">. </w:t>
      </w:r>
    </w:p>
    <w:p w14:paraId="6EBE1FEF"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En cuanto al Pueblo «</w:t>
      </w:r>
      <w:proofErr w:type="spellStart"/>
      <w:r w:rsidRPr="00593EA1">
        <w:rPr>
          <w:rFonts w:ascii="Arial" w:eastAsia="Calibri" w:hAnsi="Arial" w:cs="Arial"/>
          <w:sz w:val="22"/>
          <w:szCs w:val="22"/>
          <w:lang w:val="es-ES_tradnl"/>
        </w:rPr>
        <w:t>Rrom</w:t>
      </w:r>
      <w:proofErr w:type="spellEnd"/>
      <w:r w:rsidRPr="00593EA1">
        <w:rPr>
          <w:rFonts w:ascii="Arial" w:eastAsia="Calibri" w:hAnsi="Arial" w:cs="Arial"/>
          <w:sz w:val="22"/>
          <w:szCs w:val="22"/>
          <w:lang w:val="es-ES_tradnl"/>
        </w:rPr>
        <w:t xml:space="preserve">» o «gitano» conviene indicar que, de acuerdo con el artículo 6 del Decreto 2957 del 6 de agosto de 2010, «El Estado colombiano reconoce a los </w:t>
      </w:r>
      <w:proofErr w:type="spellStart"/>
      <w:r w:rsidRPr="00593EA1">
        <w:rPr>
          <w:rFonts w:ascii="Arial" w:eastAsia="Calibri" w:hAnsi="Arial" w:cs="Arial"/>
          <w:sz w:val="22"/>
          <w:szCs w:val="22"/>
          <w:lang w:val="es-ES_tradnl"/>
        </w:rPr>
        <w:t>Rom</w:t>
      </w:r>
      <w:proofErr w:type="spellEnd"/>
      <w:r w:rsidRPr="00593EA1">
        <w:rPr>
          <w:rFonts w:ascii="Arial" w:eastAsia="Calibri" w:hAnsi="Arial" w:cs="Arial"/>
          <w:sz w:val="22"/>
          <w:szCs w:val="22"/>
          <w:lang w:val="es-ES_tradnl"/>
        </w:rPr>
        <w:t xml:space="preserve"> o Gitanos como un grupo étnico con una identidad cultural propia, que mantiene una conciencia étnica particular, que posee su propia forma de organización social, posee su propia lengua y que ha definido históricamente sus propias instituciones políticas y sociales»</w:t>
      </w:r>
      <w:r w:rsidRPr="00593EA1">
        <w:rPr>
          <w:rStyle w:val="Refdenotaalpie"/>
          <w:rFonts w:ascii="Arial" w:eastAsia="Calibri" w:hAnsi="Arial" w:cs="Arial"/>
          <w:sz w:val="22"/>
          <w:szCs w:val="22"/>
          <w:lang w:val="es-ES_tradnl"/>
        </w:rPr>
        <w:footnoteReference w:id="18"/>
      </w:r>
      <w:r w:rsidRPr="00593EA1">
        <w:rPr>
          <w:rFonts w:ascii="Arial" w:eastAsia="Calibri" w:hAnsi="Arial" w:cs="Arial"/>
          <w:sz w:val="22"/>
          <w:szCs w:val="22"/>
          <w:lang w:val="es-ES_tradnl"/>
        </w:rPr>
        <w:t>. Lo importante es que la competencia para la caracterización y registro de cualquiera de los grupos poblacionales anteriormente mencionados reside en el Ministerio del Interior, el Ministerio de Cultura y el Departamento Nacional de Estadística –DANE–, por lo cual se sugiere complementar esta información con dichas entidades.</w:t>
      </w:r>
    </w:p>
    <w:p w14:paraId="0EDBFDB4" w14:textId="77777777" w:rsidR="00290ECC" w:rsidRPr="00593EA1" w:rsidRDefault="00290ECC" w:rsidP="00290ECC">
      <w:pPr>
        <w:spacing w:before="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Frente al numeral 6 del artículo 35 de la Ley 2069 de 2020, que se refiere a las propuestas de «personas en proceso de reintegración o reincorporación», vale señalar que se trata de aquellas personas que hayan pertenecido a grupos al margen de la ley y que se encuentren en proceso de reintegración a la sociedad. La Agencia para la Reincorporación y la Normalización –ARN–, es la «</w:t>
      </w:r>
      <w:r w:rsidRPr="00593EA1">
        <w:rPr>
          <w:lang w:val="es-ES_tradnl"/>
        </w:rPr>
        <w:t xml:space="preserve">[…] </w:t>
      </w:r>
      <w:r w:rsidRPr="00593EA1">
        <w:rPr>
          <w:rFonts w:ascii="Arial" w:eastAsia="Calibri" w:hAnsi="Arial" w:cs="Arial"/>
          <w:sz w:val="22"/>
          <w:szCs w:val="22"/>
          <w:lang w:val="es-ES_tradnl"/>
        </w:rPr>
        <w:t>entidad adscrita a la Presidencia de la República, que está encargada de coordinar, asesorar y ejecutar –con otras entidades públicas y privadas– la Ruta de Reintegración de las personas desmovilizadas de los grupos armados al margen de la ley»</w:t>
      </w:r>
      <w:r w:rsidRPr="00593EA1">
        <w:rPr>
          <w:rStyle w:val="Refdenotaalpie"/>
          <w:rFonts w:ascii="Arial" w:eastAsia="Calibri" w:hAnsi="Arial" w:cs="Arial"/>
          <w:sz w:val="22"/>
          <w:szCs w:val="22"/>
          <w:lang w:val="es-ES_tradnl"/>
        </w:rPr>
        <w:footnoteReference w:id="19"/>
      </w:r>
      <w:r w:rsidRPr="00593EA1">
        <w:rPr>
          <w:rFonts w:ascii="Arial" w:eastAsia="Calibri" w:hAnsi="Arial" w:cs="Arial"/>
          <w:sz w:val="22"/>
          <w:szCs w:val="22"/>
          <w:lang w:val="es-ES_tradnl"/>
        </w:rPr>
        <w:t>. Por tanto, ante ella se puede obtener información sobre la acreditación de dicha circunstancia.</w:t>
      </w:r>
    </w:p>
    <w:p w14:paraId="28A088D5" w14:textId="21EF3145" w:rsidR="00290ECC" w:rsidRPr="00593EA1" w:rsidRDefault="00EA55BB" w:rsidP="0000356C">
      <w:pPr>
        <w:spacing w:before="120" w:after="120" w:line="276" w:lineRule="auto"/>
        <w:ind w:firstLine="709"/>
        <w:jc w:val="both"/>
        <w:rPr>
          <w:rFonts w:ascii="Arial" w:eastAsia="Calibri" w:hAnsi="Arial" w:cs="Arial"/>
          <w:sz w:val="22"/>
          <w:szCs w:val="22"/>
          <w:lang w:val="es-ES_tradnl"/>
        </w:rPr>
      </w:pPr>
      <w:r w:rsidRPr="00593EA1">
        <w:rPr>
          <w:rFonts w:ascii="Arial" w:eastAsia="Calibri" w:hAnsi="Arial" w:cs="Arial"/>
          <w:sz w:val="22"/>
          <w:szCs w:val="22"/>
          <w:lang w:val="es-ES_tradnl"/>
        </w:rPr>
        <w:t>R</w:t>
      </w:r>
      <w:r w:rsidR="00290ECC" w:rsidRPr="00593EA1">
        <w:rPr>
          <w:rFonts w:ascii="Arial" w:eastAsia="Calibri" w:hAnsi="Arial" w:cs="Arial"/>
          <w:sz w:val="22"/>
          <w:szCs w:val="22"/>
          <w:lang w:val="es-ES_tradnl"/>
        </w:rPr>
        <w:t>especto de las situaciones mencionadas en el numeral 7 del artículo 35 de la Ley bajo análisis tienen que ver con las madres cabeza de familia y con las personas en proceso de reincorporación o reintegración, razón por la cual caben las mismas consideraciones hechas frente a los numerales 2 y 6. La participación de estas personas en la forma asociativa –consorcio o unión temporal– se debe acreditar en el correspondiente acuerdo privado de constitución del proponente plural y en el certificado de existencia y representación legal, tratándose de personas jurídicas.</w:t>
      </w:r>
    </w:p>
    <w:p w14:paraId="329855E7" w14:textId="4E669A30" w:rsidR="000063EC" w:rsidRPr="00593EA1" w:rsidRDefault="0000356C" w:rsidP="000063EC">
      <w:pPr>
        <w:spacing w:before="120" w:line="276" w:lineRule="auto"/>
        <w:jc w:val="both"/>
        <w:rPr>
          <w:rFonts w:ascii="Arial" w:hAnsi="Arial" w:cs="Arial"/>
          <w:sz w:val="22"/>
          <w:szCs w:val="22"/>
          <w:lang w:val="es-ES_tradnl"/>
        </w:rPr>
      </w:pPr>
      <w:r w:rsidRPr="00593EA1">
        <w:rPr>
          <w:rFonts w:ascii="Arial" w:hAnsi="Arial" w:cs="Arial"/>
          <w:sz w:val="22"/>
          <w:szCs w:val="22"/>
          <w:lang w:val="es-ES_tradnl"/>
        </w:rPr>
        <w:tab/>
      </w:r>
      <w:r w:rsidR="008C5742" w:rsidRPr="00593EA1">
        <w:rPr>
          <w:rFonts w:ascii="Arial" w:hAnsi="Arial" w:cs="Arial"/>
          <w:sz w:val="22"/>
          <w:szCs w:val="22"/>
          <w:lang w:val="es-ES_tradnl"/>
        </w:rPr>
        <w:t>Sobre el</w:t>
      </w:r>
      <w:r w:rsidR="001363D6" w:rsidRPr="00593EA1">
        <w:rPr>
          <w:rFonts w:ascii="Arial" w:hAnsi="Arial" w:cs="Arial"/>
          <w:sz w:val="22"/>
          <w:szCs w:val="22"/>
          <w:lang w:val="es-ES_tradnl"/>
        </w:rPr>
        <w:t xml:space="preserve"> interrogante 4 formulado por el peticionario es preciso aclarar que</w:t>
      </w:r>
      <w:r w:rsidR="008C5742" w:rsidRPr="00593EA1">
        <w:rPr>
          <w:rFonts w:ascii="Arial" w:hAnsi="Arial" w:cs="Arial"/>
          <w:sz w:val="22"/>
          <w:szCs w:val="22"/>
          <w:lang w:val="es-ES_tradnl"/>
        </w:rPr>
        <w:t xml:space="preserve">, respecto de la aplicación de los factores de desempate que impliquen vinculación de </w:t>
      </w:r>
      <w:r w:rsidR="008C5742" w:rsidRPr="00593EA1">
        <w:rPr>
          <w:rFonts w:ascii="Arial" w:hAnsi="Arial" w:cs="Arial"/>
          <w:i/>
          <w:iCs/>
          <w:sz w:val="22"/>
          <w:szCs w:val="22"/>
          <w:lang w:val="es-ES"/>
        </w:rPr>
        <w:t>«</w:t>
      </w:r>
      <w:r w:rsidR="008C5742" w:rsidRPr="00593EA1">
        <w:rPr>
          <w:rFonts w:ascii="Arial" w:hAnsi="Arial" w:cs="Arial"/>
          <w:i/>
          <w:iCs/>
          <w:sz w:val="22"/>
          <w:szCs w:val="22"/>
          <w:lang w:val="es-ES_tradnl"/>
        </w:rPr>
        <w:t>capital humano</w:t>
      </w:r>
      <w:r w:rsidR="008C5742" w:rsidRPr="00593EA1">
        <w:rPr>
          <w:rFonts w:ascii="Arial" w:hAnsi="Arial" w:cs="Arial"/>
          <w:i/>
          <w:iCs/>
          <w:sz w:val="22"/>
          <w:szCs w:val="22"/>
          <w:lang w:val="es-ES"/>
        </w:rPr>
        <w:t>»</w:t>
      </w:r>
      <w:r w:rsidR="000063EC" w:rsidRPr="00593EA1">
        <w:rPr>
          <w:rFonts w:ascii="Arial" w:hAnsi="Arial" w:cs="Arial"/>
          <w:sz w:val="22"/>
          <w:szCs w:val="22"/>
          <w:lang w:val="es-ES_tradnl"/>
        </w:rPr>
        <w:t>, el parágrafo segundo del artículo 35 establece una limitación</w:t>
      </w:r>
      <w:r w:rsidR="003C1C02" w:rsidRPr="00593EA1">
        <w:rPr>
          <w:rFonts w:ascii="Arial" w:hAnsi="Arial" w:cs="Arial"/>
          <w:sz w:val="22"/>
          <w:szCs w:val="22"/>
          <w:lang w:val="es-ES_tradnl"/>
        </w:rPr>
        <w:t xml:space="preserve">. </w:t>
      </w:r>
      <w:r w:rsidR="000063EC" w:rsidRPr="00593EA1">
        <w:rPr>
          <w:rFonts w:ascii="Arial" w:hAnsi="Arial" w:cs="Arial"/>
          <w:sz w:val="22"/>
          <w:szCs w:val="22"/>
          <w:lang w:val="es-ES_tradnl"/>
        </w:rPr>
        <w:t xml:space="preserve">Conforme a dicho parágrafo, para aplicar este tipo de factores de desempate </w:t>
      </w:r>
      <w:r w:rsidR="000063EC" w:rsidRPr="00593EA1">
        <w:rPr>
          <w:rFonts w:ascii="Arial" w:hAnsi="Arial" w:cs="Arial"/>
          <w:sz w:val="22"/>
          <w:szCs w:val="22"/>
          <w:lang w:val="es-ES"/>
        </w:rPr>
        <w:t xml:space="preserve">«[…] </w:t>
      </w:r>
      <w:r w:rsidR="000063EC" w:rsidRPr="00593EA1">
        <w:rPr>
          <w:rFonts w:ascii="Arial" w:hAnsi="Arial" w:cs="Arial"/>
          <w:sz w:val="22"/>
          <w:szCs w:val="22"/>
          <w:lang w:val="es-ES_tradnl"/>
        </w:rPr>
        <w:t>el oferente deberá acreditar una antigüedad igual o mayor a un año</w:t>
      </w:r>
      <w:r w:rsidR="000063EC" w:rsidRPr="00593EA1">
        <w:rPr>
          <w:rFonts w:ascii="Arial" w:hAnsi="Arial" w:cs="Arial"/>
          <w:sz w:val="22"/>
          <w:szCs w:val="22"/>
          <w:lang w:val="es-ES"/>
        </w:rPr>
        <w:t xml:space="preserve">», lo que supone un requisito de antigüedad respecto de la vinculación de </w:t>
      </w:r>
      <w:r w:rsidR="000063EC" w:rsidRPr="00593EA1">
        <w:rPr>
          <w:rFonts w:ascii="Arial" w:hAnsi="Arial" w:cs="Arial"/>
          <w:i/>
          <w:iCs/>
          <w:sz w:val="22"/>
          <w:szCs w:val="22"/>
          <w:lang w:val="es-ES"/>
        </w:rPr>
        <w:t>«</w:t>
      </w:r>
      <w:r w:rsidR="000063EC" w:rsidRPr="00593EA1">
        <w:rPr>
          <w:rFonts w:ascii="Arial" w:hAnsi="Arial" w:cs="Arial"/>
          <w:i/>
          <w:iCs/>
          <w:sz w:val="22"/>
          <w:szCs w:val="22"/>
          <w:lang w:val="es-ES_tradnl"/>
        </w:rPr>
        <w:t>capital humano</w:t>
      </w:r>
      <w:r w:rsidR="000063EC" w:rsidRPr="00593EA1">
        <w:rPr>
          <w:rFonts w:ascii="Arial" w:hAnsi="Arial" w:cs="Arial"/>
          <w:i/>
          <w:iCs/>
          <w:sz w:val="22"/>
          <w:szCs w:val="22"/>
          <w:lang w:val="es-ES"/>
        </w:rPr>
        <w:t>»</w:t>
      </w:r>
      <w:r w:rsidR="000063EC" w:rsidRPr="00593EA1">
        <w:rPr>
          <w:rFonts w:ascii="Arial" w:hAnsi="Arial" w:cs="Arial"/>
          <w:sz w:val="22"/>
          <w:szCs w:val="22"/>
          <w:lang w:val="es-ES"/>
        </w:rPr>
        <w:t xml:space="preserve"> en virtud del cual aplica el respectivo factor de desempate.</w:t>
      </w:r>
      <w:r w:rsidR="000063EC" w:rsidRPr="00593EA1">
        <w:rPr>
          <w:rFonts w:ascii="Arial" w:hAnsi="Arial" w:cs="Arial"/>
          <w:sz w:val="22"/>
          <w:szCs w:val="22"/>
          <w:lang w:val="es-ES_tradnl"/>
        </w:rPr>
        <w:t xml:space="preserve"> Para los casos de sociedades con constitución inferior a un año, el referido </w:t>
      </w:r>
      <w:r w:rsidR="006D3802" w:rsidRPr="00593EA1">
        <w:rPr>
          <w:rFonts w:ascii="Arial" w:hAnsi="Arial" w:cs="Arial"/>
          <w:sz w:val="22"/>
          <w:szCs w:val="22"/>
          <w:lang w:val="es-ES_tradnl"/>
        </w:rPr>
        <w:t>parágrafo</w:t>
      </w:r>
      <w:r w:rsidR="000063EC" w:rsidRPr="00593EA1">
        <w:rPr>
          <w:rFonts w:ascii="Arial" w:hAnsi="Arial" w:cs="Arial"/>
          <w:sz w:val="22"/>
          <w:szCs w:val="22"/>
          <w:lang w:val="es-ES_tradnl"/>
        </w:rPr>
        <w:t xml:space="preserve"> dispone </w:t>
      </w:r>
      <w:r w:rsidR="00DC298F" w:rsidRPr="00593EA1">
        <w:rPr>
          <w:rFonts w:ascii="Arial" w:hAnsi="Arial" w:cs="Arial"/>
          <w:sz w:val="22"/>
          <w:szCs w:val="22"/>
          <w:lang w:val="es-ES_tradnl"/>
        </w:rPr>
        <w:t>que «</w:t>
      </w:r>
      <w:r w:rsidR="000063EC" w:rsidRPr="00593EA1">
        <w:rPr>
          <w:rFonts w:ascii="Arial" w:hAnsi="Arial" w:cs="Arial"/>
          <w:sz w:val="22"/>
          <w:szCs w:val="22"/>
          <w:lang w:val="es-ES"/>
        </w:rPr>
        <w:t>[…]</w:t>
      </w:r>
      <w:r w:rsidR="000063EC" w:rsidRPr="00593EA1">
        <w:rPr>
          <w:rFonts w:ascii="Arial" w:hAnsi="Arial" w:cs="Arial"/>
          <w:color w:val="000000"/>
          <w:sz w:val="22"/>
          <w:szCs w:val="22"/>
        </w:rPr>
        <w:t xml:space="preserve"> se tendrá en cuenta</w:t>
      </w:r>
      <w:bookmarkStart w:id="6" w:name="_Hlk68504375"/>
      <w:r w:rsidR="000063EC" w:rsidRPr="00593EA1">
        <w:rPr>
          <w:rFonts w:ascii="Arial" w:hAnsi="Arial" w:cs="Arial"/>
          <w:color w:val="000000"/>
          <w:sz w:val="22"/>
          <w:szCs w:val="22"/>
        </w:rPr>
        <w:t xml:space="preserve"> a aquellos trabajadores que hayan estado vinculados desde el momento de constitución de </w:t>
      </w:r>
      <w:proofErr w:type="gramStart"/>
      <w:r w:rsidR="000063EC" w:rsidRPr="00593EA1">
        <w:rPr>
          <w:rFonts w:ascii="Arial" w:hAnsi="Arial" w:cs="Arial"/>
          <w:color w:val="000000"/>
          <w:sz w:val="22"/>
          <w:szCs w:val="22"/>
        </w:rPr>
        <w:t>la misma</w:t>
      </w:r>
      <w:proofErr w:type="gramEnd"/>
      <w:r w:rsidR="000063EC" w:rsidRPr="00593EA1">
        <w:rPr>
          <w:rFonts w:ascii="Arial" w:hAnsi="Arial" w:cs="Arial"/>
          <w:sz w:val="22"/>
          <w:szCs w:val="22"/>
          <w:lang w:val="es-ES"/>
        </w:rPr>
        <w:t>»</w:t>
      </w:r>
      <w:r w:rsidR="000063EC" w:rsidRPr="00593EA1">
        <w:rPr>
          <w:rFonts w:ascii="Arial" w:hAnsi="Arial" w:cs="Arial"/>
          <w:color w:val="000000"/>
          <w:sz w:val="22"/>
          <w:szCs w:val="22"/>
        </w:rPr>
        <w:t>.  </w:t>
      </w:r>
      <w:bookmarkEnd w:id="6"/>
    </w:p>
    <w:p w14:paraId="49BD6C86" w14:textId="07E2495F" w:rsidR="006D3802" w:rsidRPr="00593EA1" w:rsidRDefault="006D3802" w:rsidP="006D3802">
      <w:pPr>
        <w:spacing w:before="120" w:line="276" w:lineRule="auto"/>
        <w:jc w:val="both"/>
        <w:rPr>
          <w:rFonts w:ascii="Arial" w:hAnsi="Arial" w:cs="Arial"/>
          <w:sz w:val="22"/>
          <w:szCs w:val="22"/>
          <w:lang w:val="es-ES_tradnl"/>
        </w:rPr>
      </w:pPr>
    </w:p>
    <w:p w14:paraId="0F2574FE" w14:textId="77777777" w:rsidR="006D3802" w:rsidRPr="00593EA1" w:rsidRDefault="006D3802">
      <w:pPr>
        <w:spacing w:before="120" w:line="276" w:lineRule="auto"/>
        <w:jc w:val="both"/>
        <w:rPr>
          <w:rFonts w:ascii="Arial" w:hAnsi="Arial" w:cs="Arial"/>
          <w:sz w:val="22"/>
          <w:szCs w:val="22"/>
          <w:lang w:val="es-ES_tradnl"/>
        </w:rPr>
      </w:pPr>
    </w:p>
    <w:p w14:paraId="29CE965B" w14:textId="77777777" w:rsidR="00AC4AD2" w:rsidRPr="00593EA1" w:rsidRDefault="00AC4AD2" w:rsidP="00510DE9">
      <w:pPr>
        <w:tabs>
          <w:tab w:val="left" w:pos="0"/>
        </w:tabs>
        <w:jc w:val="both"/>
        <w:rPr>
          <w:rFonts w:ascii="Arial" w:eastAsia="Calibri" w:hAnsi="Arial" w:cs="Arial"/>
          <w:b/>
          <w:sz w:val="22"/>
          <w:lang w:val="es-ES_tradnl"/>
        </w:rPr>
      </w:pPr>
    </w:p>
    <w:p w14:paraId="37CA9805" w14:textId="74A99BE5" w:rsidR="00DD5B04" w:rsidRPr="00593EA1" w:rsidRDefault="004177A6" w:rsidP="00510DE9">
      <w:pPr>
        <w:tabs>
          <w:tab w:val="left" w:pos="0"/>
        </w:tabs>
        <w:jc w:val="both"/>
        <w:rPr>
          <w:rFonts w:ascii="Arial" w:eastAsia="Calibri" w:hAnsi="Arial" w:cs="Arial"/>
          <w:b/>
          <w:sz w:val="22"/>
          <w:lang w:val="es-ES_tradnl"/>
        </w:rPr>
      </w:pPr>
      <w:r w:rsidRPr="00593EA1">
        <w:rPr>
          <w:rFonts w:ascii="Arial" w:eastAsia="Calibri" w:hAnsi="Arial" w:cs="Arial"/>
          <w:b/>
          <w:sz w:val="22"/>
          <w:lang w:val="es-ES_tradnl"/>
        </w:rPr>
        <w:t>3</w:t>
      </w:r>
      <w:r w:rsidR="00B011A9" w:rsidRPr="00593EA1">
        <w:rPr>
          <w:rFonts w:ascii="Arial" w:eastAsia="Calibri" w:hAnsi="Arial" w:cs="Arial"/>
          <w:b/>
          <w:sz w:val="22"/>
          <w:lang w:val="es-ES_tradnl"/>
        </w:rPr>
        <w:t xml:space="preserve">. </w:t>
      </w:r>
      <w:r w:rsidR="00DD5B04" w:rsidRPr="00593EA1">
        <w:rPr>
          <w:rFonts w:ascii="Arial" w:eastAsia="Calibri" w:hAnsi="Arial" w:cs="Arial"/>
          <w:b/>
          <w:sz w:val="22"/>
          <w:lang w:val="es-ES_tradnl"/>
        </w:rPr>
        <w:t>Respuesta</w:t>
      </w:r>
      <w:r w:rsidR="002A7D84" w:rsidRPr="00593EA1">
        <w:rPr>
          <w:rFonts w:ascii="Arial" w:eastAsia="Calibri" w:hAnsi="Arial" w:cs="Arial"/>
          <w:b/>
          <w:sz w:val="22"/>
          <w:lang w:val="es-ES_tradnl"/>
        </w:rPr>
        <w:t>s</w:t>
      </w:r>
    </w:p>
    <w:p w14:paraId="0B74D5B8" w14:textId="7F0A7F13" w:rsidR="00C4581D" w:rsidRPr="00593EA1" w:rsidRDefault="00C4581D" w:rsidP="00510DE9">
      <w:pPr>
        <w:tabs>
          <w:tab w:val="left" w:pos="0"/>
        </w:tabs>
        <w:jc w:val="both"/>
        <w:rPr>
          <w:rFonts w:ascii="Arial" w:eastAsia="Calibri" w:hAnsi="Arial" w:cs="Arial"/>
          <w:sz w:val="22"/>
          <w:lang w:val="es-ES_tradnl"/>
        </w:rPr>
      </w:pPr>
    </w:p>
    <w:p w14:paraId="49B4117E" w14:textId="77777777" w:rsidR="009A0255" w:rsidRPr="00593EA1" w:rsidRDefault="009A0255" w:rsidP="00284EB9">
      <w:pPr>
        <w:autoSpaceDE w:val="0"/>
        <w:autoSpaceDN w:val="0"/>
        <w:adjustRightInd w:val="0"/>
        <w:ind w:left="709" w:right="709"/>
        <w:jc w:val="both"/>
        <w:rPr>
          <w:rFonts w:ascii="Arial" w:hAnsi="Arial" w:cs="Arial"/>
          <w:sz w:val="21"/>
          <w:szCs w:val="21"/>
          <w:lang w:val="es-ES_tradnl"/>
        </w:rPr>
      </w:pPr>
      <w:r w:rsidRPr="00593EA1">
        <w:rPr>
          <w:rFonts w:ascii="Arial" w:hAnsi="Arial" w:cs="Arial"/>
          <w:sz w:val="21"/>
          <w:szCs w:val="21"/>
          <w:lang w:val="es-ES_tradnl"/>
        </w:rPr>
        <w:t>i) «</w:t>
      </w:r>
      <w:proofErr w:type="gramStart"/>
      <w:r w:rsidRPr="00593EA1">
        <w:rPr>
          <w:rFonts w:ascii="Arial" w:hAnsi="Arial" w:cs="Arial"/>
          <w:sz w:val="21"/>
          <w:szCs w:val="21"/>
          <w:lang w:val="es-ES_tradnl"/>
        </w:rPr>
        <w:t>Las entidades públicas, independiente de su régimen de contratación y de la cuantía de la licitación, deben aplicar en caso de empate entre dos o más propuestas, los factores de desempate dispuesto en el Artículo 35 de esta Ley?</w:t>
      </w:r>
      <w:proofErr w:type="gramEnd"/>
      <w:r w:rsidRPr="00593EA1">
        <w:rPr>
          <w:rFonts w:ascii="Arial" w:hAnsi="Arial" w:cs="Arial"/>
          <w:sz w:val="21"/>
          <w:szCs w:val="21"/>
          <w:lang w:val="es-ES_tradnl"/>
        </w:rPr>
        <w:t>».</w:t>
      </w:r>
    </w:p>
    <w:p w14:paraId="31403DBF" w14:textId="77777777" w:rsidR="001662CA" w:rsidRPr="00593EA1" w:rsidRDefault="001662CA" w:rsidP="008C5742">
      <w:pPr>
        <w:autoSpaceDE w:val="0"/>
        <w:autoSpaceDN w:val="0"/>
        <w:adjustRightInd w:val="0"/>
        <w:spacing w:line="276" w:lineRule="auto"/>
        <w:ind w:left="709" w:right="709"/>
        <w:jc w:val="both"/>
        <w:rPr>
          <w:rFonts w:ascii="Arial" w:eastAsiaTheme="minorHAnsi" w:hAnsi="Arial" w:cs="Arial"/>
          <w:sz w:val="21"/>
          <w:szCs w:val="21"/>
          <w:lang w:eastAsia="en-US"/>
        </w:rPr>
      </w:pPr>
    </w:p>
    <w:p w14:paraId="43708F48" w14:textId="052A1613" w:rsidR="00CA5E65" w:rsidRPr="00593EA1" w:rsidRDefault="00F740A0" w:rsidP="00DF76A2">
      <w:pPr>
        <w:spacing w:line="276" w:lineRule="auto"/>
        <w:jc w:val="both"/>
        <w:rPr>
          <w:rFonts w:ascii="Arial" w:eastAsia="Calibri" w:hAnsi="Arial" w:cs="Arial"/>
          <w:sz w:val="22"/>
          <w:szCs w:val="22"/>
          <w:lang w:val="es-ES_tradnl"/>
        </w:rPr>
      </w:pPr>
      <w:r w:rsidRPr="00593EA1">
        <w:rPr>
          <w:rFonts w:ascii="Arial" w:eastAsia="Calibri" w:hAnsi="Arial" w:cs="Arial"/>
          <w:sz w:val="22"/>
          <w:szCs w:val="22"/>
          <w:lang w:val="es-ES_tradnl"/>
        </w:rPr>
        <w:t xml:space="preserve">El artículo 35 de la Ley </w:t>
      </w:r>
      <w:r w:rsidR="006F0F34" w:rsidRPr="00593EA1">
        <w:rPr>
          <w:rFonts w:ascii="Arial" w:eastAsia="Calibri" w:hAnsi="Arial" w:cs="Arial"/>
          <w:sz w:val="22"/>
          <w:szCs w:val="22"/>
          <w:lang w:val="es-ES_tradnl"/>
        </w:rPr>
        <w:t>2069</w:t>
      </w:r>
      <w:r w:rsidRPr="00593EA1">
        <w:rPr>
          <w:rFonts w:ascii="Arial" w:eastAsia="Calibri" w:hAnsi="Arial" w:cs="Arial"/>
          <w:sz w:val="22"/>
          <w:szCs w:val="22"/>
          <w:lang w:val="es-ES_tradnl"/>
        </w:rPr>
        <w:t xml:space="preserve"> de 2020, que modifica el régimen de los factores de desempate en la contratación estatal, se encuentra vigente y goza de aplicación directa desde la fecha de su promulgación, </w:t>
      </w:r>
      <w:r w:rsidR="0018007F" w:rsidRPr="00593EA1">
        <w:rPr>
          <w:rFonts w:ascii="Arial" w:eastAsia="Calibri" w:hAnsi="Arial" w:cs="Arial"/>
          <w:sz w:val="22"/>
          <w:szCs w:val="22"/>
          <w:lang w:val="es-ES_tradnl"/>
        </w:rPr>
        <w:t>es decir,</w:t>
      </w:r>
      <w:r w:rsidRPr="00593EA1">
        <w:rPr>
          <w:rFonts w:ascii="Arial" w:eastAsia="Calibri" w:hAnsi="Arial" w:cs="Arial"/>
          <w:sz w:val="22"/>
          <w:szCs w:val="22"/>
          <w:lang w:val="es-ES_tradnl"/>
        </w:rPr>
        <w:t xml:space="preserve"> no requiere de una reglamentación previa como presupuesto para su eficacia.</w:t>
      </w:r>
      <w:r w:rsidR="00470552" w:rsidRPr="00593EA1">
        <w:rPr>
          <w:rFonts w:ascii="Arial" w:eastAsia="Calibri" w:hAnsi="Arial" w:cs="Arial"/>
          <w:sz w:val="22"/>
          <w:szCs w:val="22"/>
          <w:lang w:val="es-ES_tradnl"/>
        </w:rPr>
        <w:t xml:space="preserve"> </w:t>
      </w:r>
      <w:r w:rsidR="0018007F" w:rsidRPr="00593EA1">
        <w:rPr>
          <w:rFonts w:ascii="Arial" w:eastAsia="Calibri" w:hAnsi="Arial" w:cs="Arial"/>
          <w:sz w:val="22"/>
          <w:szCs w:val="22"/>
          <w:lang w:val="es-ES_tradnl"/>
        </w:rPr>
        <w:t>Estos</w:t>
      </w:r>
      <w:r w:rsidR="009E41E5" w:rsidRPr="00593EA1">
        <w:rPr>
          <w:rFonts w:ascii="Arial" w:eastAsia="Calibri" w:hAnsi="Arial" w:cs="Arial"/>
          <w:sz w:val="22"/>
          <w:szCs w:val="22"/>
          <w:lang w:val="es-ES_tradnl"/>
        </w:rPr>
        <w:t xml:space="preserve"> criterios de desempate </w:t>
      </w:r>
      <w:r w:rsidR="0018007F" w:rsidRPr="00593EA1">
        <w:rPr>
          <w:rFonts w:ascii="Arial" w:eastAsia="Calibri" w:hAnsi="Arial" w:cs="Arial"/>
          <w:sz w:val="22"/>
          <w:szCs w:val="22"/>
          <w:lang w:val="es-ES_tradnl"/>
        </w:rPr>
        <w:t>actualmente</w:t>
      </w:r>
      <w:r w:rsidR="0018007F" w:rsidRPr="00593EA1" w:rsidDel="0018007F">
        <w:rPr>
          <w:rFonts w:ascii="Arial" w:eastAsia="Calibri" w:hAnsi="Arial" w:cs="Arial"/>
          <w:sz w:val="22"/>
          <w:szCs w:val="22"/>
          <w:lang w:val="es-ES_tradnl"/>
        </w:rPr>
        <w:t xml:space="preserve"> </w:t>
      </w:r>
      <w:r w:rsidR="009E41E5" w:rsidRPr="00593EA1">
        <w:rPr>
          <w:rFonts w:ascii="Arial" w:eastAsia="Calibri" w:hAnsi="Arial" w:cs="Arial"/>
          <w:sz w:val="22"/>
          <w:szCs w:val="22"/>
          <w:lang w:val="es-ES_tradnl"/>
        </w:rPr>
        <w:t>son</w:t>
      </w:r>
      <w:r w:rsidR="00DB31EE" w:rsidRPr="00593EA1">
        <w:rPr>
          <w:rFonts w:ascii="Arial" w:eastAsia="Calibri" w:hAnsi="Arial" w:cs="Arial"/>
          <w:sz w:val="22"/>
          <w:szCs w:val="22"/>
          <w:lang w:val="es-ES_tradnl"/>
        </w:rPr>
        <w:t xml:space="preserve"> </w:t>
      </w:r>
      <w:r w:rsidR="009E41E5" w:rsidRPr="00593EA1">
        <w:rPr>
          <w:rFonts w:ascii="Arial" w:eastAsia="Calibri" w:hAnsi="Arial" w:cs="Arial"/>
          <w:sz w:val="22"/>
          <w:szCs w:val="22"/>
          <w:lang w:val="es-ES_tradnl"/>
        </w:rPr>
        <w:t>aplicables</w:t>
      </w:r>
      <w:r w:rsidR="00DB31EE" w:rsidRPr="00593EA1">
        <w:rPr>
          <w:rFonts w:ascii="Arial" w:eastAsia="Calibri" w:hAnsi="Arial" w:cs="Arial"/>
          <w:sz w:val="22"/>
          <w:szCs w:val="22"/>
          <w:lang w:val="es-ES_tradnl"/>
        </w:rPr>
        <w:t xml:space="preserve"> </w:t>
      </w:r>
      <w:r w:rsidR="009E41E5" w:rsidRPr="00593EA1">
        <w:rPr>
          <w:rFonts w:ascii="Arial" w:eastAsia="Calibri" w:hAnsi="Arial" w:cs="Arial"/>
          <w:sz w:val="22"/>
          <w:szCs w:val="22"/>
          <w:lang w:val="es-ES_tradnl"/>
        </w:rPr>
        <w:t>a todas las entidades estatales</w:t>
      </w:r>
      <w:r w:rsidR="00DB31EE" w:rsidRPr="00593EA1">
        <w:rPr>
          <w:rFonts w:ascii="Arial" w:eastAsia="Calibri" w:hAnsi="Arial" w:cs="Arial"/>
          <w:sz w:val="22"/>
          <w:szCs w:val="22"/>
          <w:lang w:val="es-ES_tradnl"/>
        </w:rPr>
        <w:t>, independientemente de su régimen de contratación.</w:t>
      </w:r>
    </w:p>
    <w:p w14:paraId="18FD7E98" w14:textId="29BEB29B" w:rsidR="00791744" w:rsidRPr="00593EA1" w:rsidRDefault="00C440B6" w:rsidP="00DC298F">
      <w:pPr>
        <w:spacing w:before="120" w:line="276" w:lineRule="auto"/>
        <w:ind w:firstLine="709"/>
        <w:jc w:val="both"/>
        <w:rPr>
          <w:rFonts w:ascii="Arial" w:hAnsi="Arial" w:cs="Arial"/>
          <w:sz w:val="22"/>
          <w:szCs w:val="22"/>
          <w:lang w:val="es-ES_tradnl"/>
        </w:rPr>
      </w:pPr>
      <w:r w:rsidRPr="00593EA1">
        <w:rPr>
          <w:rFonts w:ascii="Arial" w:hAnsi="Arial" w:cs="Arial"/>
          <w:sz w:val="22"/>
          <w:szCs w:val="22"/>
          <w:lang w:val="es-ES_tradnl"/>
        </w:rPr>
        <w:t>Además, s</w:t>
      </w:r>
      <w:r w:rsidR="00791744" w:rsidRPr="00593EA1">
        <w:rPr>
          <w:rFonts w:ascii="Arial" w:hAnsi="Arial" w:cs="Arial"/>
          <w:sz w:val="22"/>
          <w:szCs w:val="22"/>
          <w:lang w:val="es-ES_tradnl"/>
        </w:rPr>
        <w:t>i bien los factores de desempate regulados en el artículo 35 deben aplicarse «[…] 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w:t>
      </w:r>
    </w:p>
    <w:p w14:paraId="13D6B1B6" w14:textId="77777777" w:rsidR="00DC298F" w:rsidRPr="00593EA1" w:rsidRDefault="00DC298F" w:rsidP="00284EB9">
      <w:pPr>
        <w:spacing w:line="276" w:lineRule="auto"/>
        <w:ind w:firstLine="709"/>
        <w:jc w:val="both"/>
        <w:rPr>
          <w:rFonts w:ascii="Arial" w:hAnsi="Arial" w:cs="Arial"/>
          <w:sz w:val="22"/>
          <w:szCs w:val="22"/>
          <w:lang w:val="es-ES_tradnl"/>
        </w:rPr>
      </w:pPr>
    </w:p>
    <w:p w14:paraId="79C700B7" w14:textId="77777777" w:rsidR="008C5742" w:rsidRPr="00593EA1" w:rsidRDefault="008C5742" w:rsidP="008C5742">
      <w:pPr>
        <w:autoSpaceDE w:val="0"/>
        <w:autoSpaceDN w:val="0"/>
        <w:adjustRightInd w:val="0"/>
        <w:spacing w:after="120"/>
        <w:ind w:left="709" w:right="709"/>
        <w:jc w:val="both"/>
        <w:rPr>
          <w:rFonts w:ascii="Arial" w:hAnsi="Arial" w:cs="Arial"/>
          <w:sz w:val="21"/>
          <w:szCs w:val="21"/>
          <w:lang w:val="es-ES_tradnl"/>
        </w:rPr>
      </w:pPr>
      <w:proofErr w:type="spellStart"/>
      <w:r w:rsidRPr="00593EA1">
        <w:rPr>
          <w:rFonts w:ascii="Arial" w:hAnsi="Arial" w:cs="Arial"/>
          <w:sz w:val="21"/>
          <w:szCs w:val="21"/>
          <w:lang w:val="es-ES_tradnl"/>
        </w:rPr>
        <w:t>ii</w:t>
      </w:r>
      <w:proofErr w:type="spellEnd"/>
      <w:r w:rsidRPr="00593EA1">
        <w:rPr>
          <w:rFonts w:ascii="Arial" w:hAnsi="Arial" w:cs="Arial"/>
          <w:sz w:val="21"/>
          <w:szCs w:val="21"/>
          <w:lang w:val="es-ES_tradnl"/>
        </w:rPr>
        <w:t>) «En caso de aplicación del artículo 35 para desempate en un proceso y/o licitación, debe aplicarse en el orden en que los trae el mencionado artículo hasta que algún proponente cumpla?».</w:t>
      </w:r>
    </w:p>
    <w:p w14:paraId="6273609E" w14:textId="77777777" w:rsidR="008C5742" w:rsidRPr="00593EA1" w:rsidRDefault="008C5742" w:rsidP="00284EB9">
      <w:pPr>
        <w:autoSpaceDE w:val="0"/>
        <w:autoSpaceDN w:val="0"/>
        <w:adjustRightInd w:val="0"/>
        <w:ind w:left="709" w:right="709"/>
        <w:jc w:val="both"/>
        <w:rPr>
          <w:rFonts w:ascii="Arial" w:hAnsi="Arial" w:cs="Arial"/>
          <w:sz w:val="21"/>
          <w:szCs w:val="21"/>
          <w:lang w:val="es-ES_tradnl"/>
        </w:rPr>
      </w:pPr>
      <w:proofErr w:type="spellStart"/>
      <w:r w:rsidRPr="00593EA1">
        <w:rPr>
          <w:rFonts w:ascii="Arial" w:hAnsi="Arial" w:cs="Arial"/>
          <w:sz w:val="21"/>
          <w:szCs w:val="21"/>
          <w:lang w:val="es-ES_tradnl"/>
        </w:rPr>
        <w:t>iii</w:t>
      </w:r>
      <w:proofErr w:type="spellEnd"/>
      <w:r w:rsidRPr="00593EA1">
        <w:rPr>
          <w:rFonts w:ascii="Arial" w:hAnsi="Arial" w:cs="Arial"/>
          <w:sz w:val="21"/>
          <w:szCs w:val="21"/>
          <w:lang w:val="es-ES_tradnl"/>
        </w:rPr>
        <w:t>) «</w:t>
      </w:r>
      <w:proofErr w:type="gramStart"/>
      <w:r w:rsidRPr="00593EA1">
        <w:rPr>
          <w:rFonts w:ascii="Arial" w:hAnsi="Arial" w:cs="Arial"/>
          <w:sz w:val="21"/>
          <w:szCs w:val="21"/>
          <w:lang w:val="es-ES_tradnl"/>
        </w:rPr>
        <w:t>Puede la Entidad Contratante, a su criterio definir que factor de desempate utiliza, sin tener en cuenta el orden planteado en el artículo en mención?</w:t>
      </w:r>
      <w:proofErr w:type="gramEnd"/>
      <w:r w:rsidRPr="00593EA1">
        <w:rPr>
          <w:rFonts w:ascii="Arial" w:hAnsi="Arial" w:cs="Arial"/>
          <w:sz w:val="21"/>
          <w:szCs w:val="21"/>
          <w:lang w:val="es-ES_tradnl"/>
        </w:rPr>
        <w:t>».</w:t>
      </w:r>
    </w:p>
    <w:p w14:paraId="55F381CA" w14:textId="77777777" w:rsidR="008C5742" w:rsidRPr="00593EA1" w:rsidRDefault="008C5742" w:rsidP="00284EB9">
      <w:pPr>
        <w:spacing w:line="276" w:lineRule="auto"/>
        <w:ind w:firstLine="709"/>
        <w:jc w:val="both"/>
        <w:rPr>
          <w:rFonts w:ascii="Arial" w:hAnsi="Arial" w:cs="Arial"/>
          <w:sz w:val="22"/>
          <w:szCs w:val="22"/>
          <w:lang w:val="es-ES_tradnl"/>
        </w:rPr>
      </w:pPr>
    </w:p>
    <w:p w14:paraId="37091687" w14:textId="2CEA7FD2" w:rsidR="00F740A0" w:rsidRPr="00593EA1" w:rsidRDefault="00DC298F" w:rsidP="00DC298F">
      <w:pPr>
        <w:spacing w:line="276" w:lineRule="auto"/>
        <w:jc w:val="both"/>
        <w:rPr>
          <w:rFonts w:ascii="Arial" w:hAnsi="Arial" w:cs="Arial"/>
          <w:sz w:val="22"/>
          <w:szCs w:val="22"/>
          <w:lang w:val="es-ES_tradnl"/>
        </w:rPr>
      </w:pPr>
      <w:r w:rsidRPr="00593EA1">
        <w:rPr>
          <w:rFonts w:ascii="Arial" w:hAnsi="Arial" w:cs="Arial"/>
          <w:sz w:val="22"/>
          <w:szCs w:val="22"/>
          <w:lang w:val="es-ES_tradnl"/>
        </w:rPr>
        <w:t>L</w:t>
      </w:r>
      <w:r w:rsidR="004A0641" w:rsidRPr="00593EA1">
        <w:rPr>
          <w:rFonts w:ascii="Arial" w:hAnsi="Arial" w:cs="Arial"/>
          <w:sz w:val="22"/>
          <w:szCs w:val="22"/>
          <w:lang w:val="es-ES_tradnl"/>
        </w:rPr>
        <w:t>os factores de desempate</w:t>
      </w:r>
      <w:r w:rsidR="008C5742" w:rsidRPr="00593EA1">
        <w:rPr>
          <w:rFonts w:ascii="Arial" w:hAnsi="Arial" w:cs="Arial"/>
          <w:sz w:val="22"/>
          <w:szCs w:val="22"/>
          <w:lang w:val="es-ES_tradnl"/>
        </w:rPr>
        <w:t xml:space="preserve"> debe</w:t>
      </w:r>
      <w:r w:rsidRPr="00593EA1">
        <w:rPr>
          <w:rFonts w:ascii="Arial" w:hAnsi="Arial" w:cs="Arial"/>
          <w:sz w:val="22"/>
          <w:szCs w:val="22"/>
          <w:lang w:val="es-ES_tradnl"/>
        </w:rPr>
        <w:t>n aplicarse</w:t>
      </w:r>
      <w:r w:rsidR="008C5742" w:rsidRPr="00593EA1">
        <w:rPr>
          <w:rFonts w:ascii="Arial" w:hAnsi="Arial" w:cs="Arial"/>
          <w:sz w:val="22"/>
          <w:szCs w:val="22"/>
          <w:lang w:val="es-ES_tradnl"/>
        </w:rPr>
        <w:t xml:space="preserve"> de</w:t>
      </w:r>
      <w:r w:rsidR="004A0641" w:rsidRPr="00593EA1">
        <w:rPr>
          <w:rFonts w:ascii="Arial" w:hAnsi="Arial" w:cs="Arial"/>
          <w:sz w:val="22"/>
          <w:szCs w:val="22"/>
          <w:lang w:val="es-ES_tradnl"/>
        </w:rPr>
        <w:t xml:space="preserve"> manera </w:t>
      </w:r>
      <w:r w:rsidR="004A0641" w:rsidRPr="00593EA1">
        <w:rPr>
          <w:rFonts w:ascii="Arial" w:hAnsi="Arial" w:cs="Arial"/>
          <w:i/>
          <w:iCs/>
          <w:sz w:val="22"/>
          <w:szCs w:val="22"/>
          <w:lang w:val="es-ES_tradnl"/>
        </w:rPr>
        <w:t>sucesiva y excluyente</w:t>
      </w:r>
      <w:r w:rsidR="008C5742" w:rsidRPr="00593EA1">
        <w:rPr>
          <w:rFonts w:ascii="Arial" w:hAnsi="Arial" w:cs="Arial"/>
          <w:i/>
          <w:iCs/>
          <w:sz w:val="22"/>
          <w:szCs w:val="22"/>
          <w:lang w:val="es-ES_tradnl"/>
        </w:rPr>
        <w:t xml:space="preserve">, </w:t>
      </w:r>
      <w:r w:rsidR="008C5742" w:rsidRPr="00593EA1">
        <w:rPr>
          <w:rFonts w:ascii="Arial" w:hAnsi="Arial" w:cs="Arial"/>
          <w:sz w:val="22"/>
          <w:szCs w:val="22"/>
          <w:lang w:val="es-ES_tradnl"/>
        </w:rPr>
        <w:t>lo que</w:t>
      </w:r>
      <w:r w:rsidR="00C82050" w:rsidRPr="00593EA1">
        <w:rPr>
          <w:rFonts w:ascii="Arial" w:hAnsi="Arial" w:cs="Arial"/>
          <w:sz w:val="22"/>
          <w:szCs w:val="22"/>
          <w:lang w:val="es-ES_tradnl"/>
        </w:rPr>
        <w:t xml:space="preserve"> implica que las entidades estatales deberán respetar el orden determinado por los numerales. Esto además supone que las entidades contratantes no pueden escoger </w:t>
      </w:r>
      <w:r w:rsidR="000C3D87" w:rsidRPr="00593EA1">
        <w:rPr>
          <w:rFonts w:ascii="Arial" w:hAnsi="Arial" w:cs="Arial"/>
          <w:sz w:val="22"/>
          <w:szCs w:val="22"/>
          <w:lang w:val="es-ES_tradnl"/>
        </w:rPr>
        <w:t xml:space="preserve">de manera </w:t>
      </w:r>
      <w:r w:rsidR="009A0255" w:rsidRPr="00593EA1">
        <w:rPr>
          <w:rFonts w:ascii="Arial" w:hAnsi="Arial" w:cs="Arial"/>
          <w:sz w:val="22"/>
          <w:szCs w:val="22"/>
          <w:lang w:val="es-ES_tradnl"/>
        </w:rPr>
        <w:t xml:space="preserve">discrecional </w:t>
      </w:r>
      <w:r w:rsidR="000C3D87" w:rsidRPr="00593EA1">
        <w:rPr>
          <w:rFonts w:ascii="Arial" w:hAnsi="Arial" w:cs="Arial"/>
          <w:sz w:val="22"/>
          <w:szCs w:val="22"/>
          <w:lang w:val="es-ES_tradnl"/>
        </w:rPr>
        <w:t xml:space="preserve">que factores aplican, sino que deben comenzar por el primero </w:t>
      </w:r>
      <w:r w:rsidR="000D58B7" w:rsidRPr="00593EA1">
        <w:rPr>
          <w:rFonts w:ascii="Arial" w:hAnsi="Arial" w:cs="Arial"/>
          <w:sz w:val="22"/>
          <w:szCs w:val="22"/>
          <w:lang w:val="es-ES_tradnl"/>
        </w:rPr>
        <w:t xml:space="preserve">y en caso de que este no resuelva el empate continuar con el segundo, y así sucesivamente. </w:t>
      </w:r>
    </w:p>
    <w:p w14:paraId="4C7B48CE" w14:textId="77777777" w:rsidR="00DC298F" w:rsidRPr="00593EA1" w:rsidRDefault="00DC298F" w:rsidP="00284EB9">
      <w:pPr>
        <w:spacing w:line="276" w:lineRule="auto"/>
        <w:jc w:val="both"/>
        <w:rPr>
          <w:rFonts w:ascii="Arial" w:hAnsi="Arial" w:cs="Arial"/>
          <w:sz w:val="22"/>
          <w:szCs w:val="22"/>
          <w:lang w:val="es-ES_tradnl"/>
        </w:rPr>
      </w:pPr>
    </w:p>
    <w:p w14:paraId="1ABCA384" w14:textId="30A4D5BD" w:rsidR="008C5742" w:rsidRPr="00593EA1" w:rsidRDefault="008C5742" w:rsidP="008C5742">
      <w:pPr>
        <w:autoSpaceDE w:val="0"/>
        <w:autoSpaceDN w:val="0"/>
        <w:adjustRightInd w:val="0"/>
        <w:ind w:left="709" w:right="709"/>
        <w:jc w:val="both"/>
        <w:rPr>
          <w:rFonts w:ascii="Arial" w:eastAsiaTheme="minorHAnsi" w:hAnsi="Arial" w:cs="Arial"/>
          <w:sz w:val="21"/>
          <w:szCs w:val="21"/>
          <w:lang w:eastAsia="en-US"/>
        </w:rPr>
      </w:pPr>
      <w:proofErr w:type="spellStart"/>
      <w:r w:rsidRPr="00593EA1">
        <w:rPr>
          <w:rFonts w:ascii="Arial" w:hAnsi="Arial" w:cs="Arial"/>
          <w:sz w:val="21"/>
          <w:szCs w:val="21"/>
          <w:lang w:val="es-ES_tradnl"/>
        </w:rPr>
        <w:t>iv</w:t>
      </w:r>
      <w:proofErr w:type="spellEnd"/>
      <w:r w:rsidRPr="00593EA1">
        <w:rPr>
          <w:rFonts w:ascii="Arial" w:hAnsi="Arial" w:cs="Arial"/>
          <w:sz w:val="21"/>
          <w:szCs w:val="21"/>
          <w:lang w:val="es-ES_tradnl"/>
        </w:rPr>
        <w:t xml:space="preserve">) </w:t>
      </w:r>
      <w:r w:rsidR="00DC298F" w:rsidRPr="00593EA1">
        <w:rPr>
          <w:rFonts w:ascii="Arial" w:hAnsi="Arial" w:cs="Arial"/>
          <w:sz w:val="21"/>
          <w:szCs w:val="21"/>
          <w:lang w:val="es-ES_tradnl"/>
        </w:rPr>
        <w:t>«</w:t>
      </w:r>
      <w:r w:rsidRPr="00593EA1">
        <w:rPr>
          <w:rFonts w:ascii="Arial" w:hAnsi="Arial" w:cs="Arial"/>
          <w:sz w:val="21"/>
          <w:szCs w:val="21"/>
          <w:lang w:val="es-ES_tradnl"/>
        </w:rPr>
        <w:t xml:space="preserve">Teniendo en cuenta estos criterios de desempate, deberían los proponentes contar en su planta de personal con estos perfiles, </w:t>
      </w:r>
      <w:proofErr w:type="gramStart"/>
      <w:r w:rsidRPr="00593EA1">
        <w:rPr>
          <w:rFonts w:ascii="Arial" w:hAnsi="Arial" w:cs="Arial"/>
          <w:sz w:val="21"/>
          <w:szCs w:val="21"/>
          <w:lang w:val="es-ES_tradnl"/>
        </w:rPr>
        <w:t>o</w:t>
      </w:r>
      <w:proofErr w:type="gramEnd"/>
      <w:r w:rsidRPr="00593EA1">
        <w:rPr>
          <w:rFonts w:ascii="Arial" w:hAnsi="Arial" w:cs="Arial"/>
          <w:sz w:val="21"/>
          <w:szCs w:val="21"/>
          <w:lang w:val="es-ES_tradnl"/>
        </w:rPr>
        <w:t xml:space="preserve"> por el contrario, son perfiles que se pueden ofrecer específicamente para una licitación y evidentemente que sirva para un eventual desempate?».</w:t>
      </w:r>
    </w:p>
    <w:p w14:paraId="3C212491" w14:textId="77777777" w:rsidR="008C5742" w:rsidRPr="00593EA1" w:rsidRDefault="008C5742" w:rsidP="00284EB9">
      <w:pPr>
        <w:spacing w:line="276" w:lineRule="auto"/>
        <w:jc w:val="both"/>
        <w:rPr>
          <w:rFonts w:ascii="Arial" w:hAnsi="Arial" w:cs="Arial"/>
          <w:sz w:val="22"/>
          <w:szCs w:val="22"/>
          <w:lang w:val="es-ES_tradnl"/>
        </w:rPr>
      </w:pPr>
    </w:p>
    <w:p w14:paraId="566C6610" w14:textId="0AA31105" w:rsidR="00D852C1" w:rsidRPr="00593EA1" w:rsidRDefault="006D3802" w:rsidP="00284EB9">
      <w:pPr>
        <w:spacing w:line="276" w:lineRule="auto"/>
        <w:jc w:val="both"/>
        <w:rPr>
          <w:rFonts w:ascii="Arial" w:hAnsi="Arial" w:cs="Arial"/>
          <w:sz w:val="22"/>
          <w:szCs w:val="22"/>
          <w:lang w:val="es-ES_tradnl"/>
        </w:rPr>
      </w:pPr>
      <w:r w:rsidRPr="00593EA1">
        <w:rPr>
          <w:rFonts w:ascii="Arial" w:hAnsi="Arial" w:cs="Arial"/>
          <w:sz w:val="22"/>
          <w:szCs w:val="22"/>
          <w:lang w:val="es-ES_tradnl"/>
        </w:rPr>
        <w:t xml:space="preserve">De conformidad con el parágrafo segundo del artículo 35 de la </w:t>
      </w:r>
      <w:r w:rsidR="0008224B" w:rsidRPr="00593EA1">
        <w:rPr>
          <w:rFonts w:ascii="Arial" w:hAnsi="Arial" w:cs="Arial"/>
          <w:sz w:val="22"/>
          <w:szCs w:val="22"/>
          <w:lang w:val="es-ES_tradnl"/>
        </w:rPr>
        <w:t>Ley 2069 de 2020</w:t>
      </w:r>
      <w:r w:rsidRPr="00593EA1">
        <w:rPr>
          <w:rFonts w:ascii="Arial" w:hAnsi="Arial" w:cs="Arial"/>
          <w:sz w:val="22"/>
          <w:szCs w:val="22"/>
          <w:lang w:val="es-ES_tradnl"/>
        </w:rPr>
        <w:t xml:space="preserve">, para la aplicación de los factores de desempate que impliquen la vinculación de </w:t>
      </w:r>
      <w:r w:rsidRPr="00593EA1">
        <w:rPr>
          <w:rFonts w:ascii="Arial" w:hAnsi="Arial" w:cs="Arial"/>
          <w:i/>
          <w:iCs/>
          <w:sz w:val="22"/>
          <w:szCs w:val="22"/>
          <w:lang w:val="es-ES"/>
        </w:rPr>
        <w:t>«</w:t>
      </w:r>
      <w:r w:rsidRPr="00593EA1">
        <w:rPr>
          <w:rFonts w:ascii="Arial" w:hAnsi="Arial" w:cs="Arial"/>
          <w:i/>
          <w:iCs/>
          <w:sz w:val="22"/>
          <w:szCs w:val="22"/>
          <w:lang w:val="es-ES_tradnl"/>
        </w:rPr>
        <w:t>capital humano</w:t>
      </w:r>
      <w:proofErr w:type="gramStart"/>
      <w:r w:rsidRPr="00593EA1">
        <w:rPr>
          <w:rFonts w:ascii="Arial" w:hAnsi="Arial" w:cs="Arial"/>
          <w:i/>
          <w:iCs/>
          <w:sz w:val="22"/>
          <w:szCs w:val="22"/>
          <w:lang w:val="es-ES"/>
        </w:rPr>
        <w:t xml:space="preserve">», </w:t>
      </w:r>
      <w:r w:rsidR="0008224B" w:rsidRPr="00593EA1">
        <w:rPr>
          <w:rFonts w:ascii="Arial" w:hAnsi="Arial" w:cs="Arial"/>
          <w:sz w:val="22"/>
          <w:szCs w:val="22"/>
          <w:lang w:val="es-ES_tradnl"/>
        </w:rPr>
        <w:t xml:space="preserve"> </w:t>
      </w:r>
      <w:r w:rsidRPr="00593EA1">
        <w:rPr>
          <w:rFonts w:ascii="Arial" w:hAnsi="Arial" w:cs="Arial"/>
          <w:sz w:val="22"/>
          <w:szCs w:val="22"/>
          <w:lang w:val="es-ES_tradnl"/>
        </w:rPr>
        <w:t>el</w:t>
      </w:r>
      <w:proofErr w:type="gramEnd"/>
      <w:r w:rsidR="009541F2" w:rsidRPr="00593EA1">
        <w:rPr>
          <w:rFonts w:ascii="Arial" w:hAnsi="Arial" w:cs="Arial"/>
          <w:sz w:val="22"/>
          <w:szCs w:val="22"/>
          <w:lang w:val="es-ES_tradnl"/>
        </w:rPr>
        <w:t xml:space="preserve"> proponente</w:t>
      </w:r>
      <w:r w:rsidRPr="00593EA1">
        <w:rPr>
          <w:rFonts w:ascii="Arial" w:hAnsi="Arial" w:cs="Arial"/>
          <w:sz w:val="22"/>
          <w:szCs w:val="22"/>
          <w:lang w:val="es-ES_tradnl"/>
        </w:rPr>
        <w:t xml:space="preserve"> debe acreditar un </w:t>
      </w:r>
      <w:r w:rsidRPr="00593EA1">
        <w:rPr>
          <w:rFonts w:ascii="Arial" w:hAnsi="Arial" w:cs="Arial"/>
          <w:sz w:val="22"/>
          <w:szCs w:val="22"/>
          <w:lang w:val="es-ES"/>
        </w:rPr>
        <w:t xml:space="preserve">antigüedad </w:t>
      </w:r>
      <w:r w:rsidRPr="00593EA1">
        <w:rPr>
          <w:rFonts w:ascii="Arial" w:hAnsi="Arial" w:cs="Arial"/>
          <w:sz w:val="22"/>
          <w:szCs w:val="22"/>
          <w:lang w:val="es-ES_tradnl"/>
        </w:rPr>
        <w:t>igual o mayor a un año</w:t>
      </w:r>
      <w:r w:rsidRPr="00593EA1">
        <w:rPr>
          <w:rFonts w:ascii="Arial" w:hAnsi="Arial" w:cs="Arial"/>
          <w:sz w:val="22"/>
          <w:szCs w:val="22"/>
          <w:lang w:val="es-ES"/>
        </w:rPr>
        <w:t>. Para las sociedades con constitución inferior a un año se tendrá en a aquellos trabajadores que hayan estado vinculados desde el momento de constitución.</w:t>
      </w:r>
    </w:p>
    <w:p w14:paraId="0E697988" w14:textId="77777777" w:rsidR="00FE0DB8" w:rsidRPr="00593EA1" w:rsidRDefault="00FE0DB8" w:rsidP="00284EB9">
      <w:pPr>
        <w:spacing w:after="120" w:line="276" w:lineRule="auto"/>
        <w:jc w:val="both"/>
        <w:rPr>
          <w:rFonts w:ascii="Arial" w:hAnsi="Arial" w:cs="Arial"/>
          <w:sz w:val="22"/>
          <w:lang w:val="es-ES_tradnl"/>
        </w:rPr>
      </w:pPr>
    </w:p>
    <w:p w14:paraId="414F9EBC" w14:textId="4292A24F" w:rsidR="00D41AD0" w:rsidRPr="00593EA1" w:rsidRDefault="00DD5B04" w:rsidP="00D41AD0">
      <w:pPr>
        <w:spacing w:line="276" w:lineRule="auto"/>
        <w:jc w:val="both"/>
        <w:rPr>
          <w:rFonts w:ascii="Arial" w:hAnsi="Arial" w:cs="Arial"/>
          <w:sz w:val="22"/>
          <w:lang w:val="es-ES_tradnl"/>
        </w:rPr>
      </w:pPr>
      <w:r w:rsidRPr="00593EA1">
        <w:rPr>
          <w:rFonts w:ascii="Arial" w:hAnsi="Arial" w:cs="Arial"/>
          <w:sz w:val="22"/>
          <w:lang w:val="es-ES_tradnl"/>
        </w:rPr>
        <w:t>Este concepto tiene el alcance previsto en el artículo 28 del Código de Procedimiento Administrativo y de lo Contencioso Administrativo.</w:t>
      </w:r>
    </w:p>
    <w:p w14:paraId="79F25957" w14:textId="77777777" w:rsidR="00D41AD0" w:rsidRPr="00593EA1" w:rsidRDefault="00D41AD0" w:rsidP="00D41AD0">
      <w:pPr>
        <w:spacing w:line="276" w:lineRule="auto"/>
        <w:rPr>
          <w:rFonts w:ascii="Arial" w:hAnsi="Arial" w:cs="Arial"/>
          <w:szCs w:val="20"/>
          <w:lang w:eastAsia="es-CO"/>
        </w:rPr>
      </w:pPr>
    </w:p>
    <w:p w14:paraId="268966D1" w14:textId="46552BCC" w:rsidR="00D41AD0" w:rsidRPr="00593EA1" w:rsidRDefault="00D41AD0" w:rsidP="00D41AD0">
      <w:pPr>
        <w:spacing w:line="276" w:lineRule="auto"/>
        <w:rPr>
          <w:rFonts w:ascii="Arial" w:hAnsi="Arial" w:cs="Arial"/>
          <w:sz w:val="22"/>
          <w:szCs w:val="22"/>
        </w:rPr>
      </w:pPr>
      <w:r w:rsidRPr="00593EA1">
        <w:rPr>
          <w:rFonts w:ascii="Arial" w:hAnsi="Arial" w:cs="Arial"/>
          <w:sz w:val="22"/>
          <w:szCs w:val="22"/>
          <w:lang w:eastAsia="es-CO"/>
        </w:rPr>
        <w:t>Atentamente,</w:t>
      </w:r>
    </w:p>
    <w:p w14:paraId="3B5827B4" w14:textId="77777777" w:rsidR="00D41AD0" w:rsidRPr="00593EA1" w:rsidRDefault="00D41AD0" w:rsidP="00D41AD0">
      <w:pPr>
        <w:spacing w:after="18"/>
        <w:jc w:val="center"/>
        <w:rPr>
          <w:rFonts w:ascii="Arial" w:hAnsi="Arial" w:cs="Arial"/>
          <w:lang w:eastAsia="es-CO"/>
        </w:rPr>
      </w:pPr>
    </w:p>
    <w:p w14:paraId="3FF80AAB" w14:textId="4C7DFF56" w:rsidR="00D41AD0" w:rsidRPr="00593EA1" w:rsidRDefault="00F94CF9" w:rsidP="00D41AD0">
      <w:pPr>
        <w:spacing w:after="18"/>
        <w:jc w:val="center"/>
        <w:rPr>
          <w:rFonts w:ascii="Arial" w:hAnsi="Arial" w:cs="Arial"/>
          <w:lang w:eastAsia="es-CO"/>
        </w:rPr>
      </w:pPr>
      <w:r>
        <w:rPr>
          <w:noProof/>
        </w:rPr>
        <w:drawing>
          <wp:inline distT="0" distB="0" distL="0" distR="0" wp14:anchorId="18B95D76" wp14:editId="1A433BD4">
            <wp:extent cx="2514600" cy="1114425"/>
            <wp:effectExtent l="0" t="0" r="0" b="0"/>
            <wp:docPr id="2066894487" name="Imagen 206689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14600" cy="1114425"/>
                    </a:xfrm>
                    <a:prstGeom prst="rect">
                      <a:avLst/>
                    </a:prstGeom>
                  </pic:spPr>
                </pic:pic>
              </a:graphicData>
            </a:graphic>
          </wp:inline>
        </w:drawing>
      </w:r>
    </w:p>
    <w:p w14:paraId="29BE19A4" w14:textId="77777777" w:rsidR="00D41AD0" w:rsidRPr="00593EA1" w:rsidRDefault="00D41AD0" w:rsidP="00D41AD0">
      <w:pPr>
        <w:spacing w:after="18"/>
        <w:jc w:val="center"/>
        <w:rPr>
          <w:rFonts w:ascii="Arial" w:hAnsi="Arial" w:cs="Arial"/>
          <w:lang w:eastAsia="es-CO"/>
        </w:rPr>
      </w:pPr>
    </w:p>
    <w:tbl>
      <w:tblPr>
        <w:tblStyle w:val="Tablaconcuadrcula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
        <w:gridCol w:w="4003"/>
      </w:tblGrid>
      <w:tr w:rsidR="00FE0DB8" w:rsidRPr="00593EA1" w14:paraId="6E14C7D5" w14:textId="77777777" w:rsidTr="00BB6A6E">
        <w:trPr>
          <w:trHeight w:val="286"/>
        </w:trPr>
        <w:tc>
          <w:tcPr>
            <w:tcW w:w="886" w:type="dxa"/>
            <w:vAlign w:val="center"/>
            <w:hideMark/>
          </w:tcPr>
          <w:p w14:paraId="7CEA620B"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Elaboró:</w:t>
            </w:r>
          </w:p>
        </w:tc>
        <w:tc>
          <w:tcPr>
            <w:tcW w:w="4003" w:type="dxa"/>
            <w:tcBorders>
              <w:top w:val="nil"/>
              <w:left w:val="nil"/>
              <w:bottom w:val="dotted" w:sz="4" w:space="0" w:color="7F7F7F"/>
              <w:right w:val="nil"/>
            </w:tcBorders>
            <w:vAlign w:val="center"/>
            <w:hideMark/>
          </w:tcPr>
          <w:p w14:paraId="46C04C69"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Alejandro Sarmiento Cantillo</w:t>
            </w:r>
          </w:p>
          <w:p w14:paraId="5A404145"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Gestor T1-11 de la Subdirección de Gestión Contractual</w:t>
            </w:r>
          </w:p>
        </w:tc>
      </w:tr>
      <w:tr w:rsidR="00FE0DB8" w:rsidRPr="00593EA1" w14:paraId="248B061C" w14:textId="77777777" w:rsidTr="00BB6A6E">
        <w:trPr>
          <w:trHeight w:val="299"/>
        </w:trPr>
        <w:tc>
          <w:tcPr>
            <w:tcW w:w="886" w:type="dxa"/>
            <w:vAlign w:val="center"/>
          </w:tcPr>
          <w:p w14:paraId="2E43396E"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Revisó:</w:t>
            </w:r>
          </w:p>
        </w:tc>
        <w:tc>
          <w:tcPr>
            <w:tcW w:w="4003" w:type="dxa"/>
            <w:tcBorders>
              <w:top w:val="dotted" w:sz="4" w:space="0" w:color="7F7F7F"/>
              <w:left w:val="nil"/>
              <w:bottom w:val="dotted" w:sz="4" w:space="0" w:color="7F7F7F"/>
              <w:right w:val="nil"/>
            </w:tcBorders>
            <w:vAlign w:val="center"/>
          </w:tcPr>
          <w:p w14:paraId="63FEFEF6"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Juan David Montoya Penagos</w:t>
            </w:r>
          </w:p>
          <w:p w14:paraId="48880094"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 xml:space="preserve">Gestor T1-15 de la Subdirección de Gestión Contractual  </w:t>
            </w:r>
          </w:p>
        </w:tc>
      </w:tr>
      <w:tr w:rsidR="00FE0DB8" w:rsidRPr="00FE0DB8" w14:paraId="2A340DDD" w14:textId="77777777" w:rsidTr="00BB6A6E">
        <w:trPr>
          <w:trHeight w:val="272"/>
        </w:trPr>
        <w:tc>
          <w:tcPr>
            <w:tcW w:w="886" w:type="dxa"/>
            <w:vAlign w:val="center"/>
            <w:hideMark/>
          </w:tcPr>
          <w:p w14:paraId="04761992"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Aprobó:</w:t>
            </w:r>
          </w:p>
        </w:tc>
        <w:tc>
          <w:tcPr>
            <w:tcW w:w="4003" w:type="dxa"/>
            <w:tcBorders>
              <w:top w:val="dotted" w:sz="4" w:space="0" w:color="7F7F7F"/>
              <w:left w:val="nil"/>
              <w:bottom w:val="dotted" w:sz="4" w:space="0" w:color="7F7F7F"/>
              <w:right w:val="nil"/>
            </w:tcBorders>
            <w:vAlign w:val="center"/>
            <w:hideMark/>
          </w:tcPr>
          <w:p w14:paraId="41BFAEC3" w14:textId="77777777" w:rsidR="00D41AD0" w:rsidRPr="00593EA1" w:rsidRDefault="00D41AD0" w:rsidP="00BB6A6E">
            <w:pPr>
              <w:rPr>
                <w:rFonts w:ascii="Arial" w:hAnsi="Arial" w:cs="Arial"/>
                <w:sz w:val="14"/>
                <w:szCs w:val="14"/>
                <w:lang w:eastAsia="es-ES"/>
              </w:rPr>
            </w:pPr>
            <w:r w:rsidRPr="00593EA1">
              <w:rPr>
                <w:rFonts w:ascii="Arial" w:hAnsi="Arial" w:cs="Arial"/>
                <w:sz w:val="14"/>
                <w:szCs w:val="14"/>
                <w:lang w:eastAsia="es-ES"/>
              </w:rPr>
              <w:t>Jorge Augusto Tirado Navarro</w:t>
            </w:r>
          </w:p>
          <w:p w14:paraId="71A03592" w14:textId="77777777" w:rsidR="00D41AD0" w:rsidRPr="00FE0DB8" w:rsidRDefault="00D41AD0" w:rsidP="00BB6A6E">
            <w:pPr>
              <w:rPr>
                <w:rFonts w:ascii="Arial" w:hAnsi="Arial" w:cs="Arial"/>
                <w:sz w:val="14"/>
                <w:szCs w:val="14"/>
                <w:lang w:eastAsia="es-ES"/>
              </w:rPr>
            </w:pPr>
            <w:r w:rsidRPr="00593EA1">
              <w:rPr>
                <w:rFonts w:ascii="Arial" w:hAnsi="Arial" w:cs="Arial"/>
                <w:sz w:val="14"/>
                <w:szCs w:val="14"/>
                <w:lang w:eastAsia="es-ES"/>
              </w:rPr>
              <w:t>Subdirector de Gestión Contractual</w:t>
            </w:r>
          </w:p>
        </w:tc>
      </w:tr>
    </w:tbl>
    <w:p w14:paraId="2A049973" w14:textId="77777777" w:rsidR="00D41AD0" w:rsidRPr="00FE0DB8" w:rsidRDefault="00D41AD0" w:rsidP="00D41AD0">
      <w:pPr>
        <w:rPr>
          <w:rFonts w:ascii="Arial" w:hAnsi="Arial" w:cs="Arial"/>
          <w:lang w:eastAsia="es-ES"/>
        </w:rPr>
      </w:pPr>
    </w:p>
    <w:p w14:paraId="35B56F46" w14:textId="0D7F932B" w:rsidR="00746E08" w:rsidRPr="00FE0DB8" w:rsidRDefault="00746E08" w:rsidP="00D41AD0">
      <w:pPr>
        <w:spacing w:line="276" w:lineRule="auto"/>
        <w:jc w:val="both"/>
        <w:rPr>
          <w:rFonts w:ascii="Arial" w:hAnsi="Arial" w:cs="Arial"/>
          <w:lang w:val="es-ES_tradnl"/>
        </w:rPr>
      </w:pPr>
    </w:p>
    <w:sectPr w:rsidR="00746E08" w:rsidRPr="00FE0DB8"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D01603" w14:textId="77777777" w:rsidR="001F5CDE" w:rsidRDefault="001F5CDE">
      <w:r>
        <w:separator/>
      </w:r>
    </w:p>
  </w:endnote>
  <w:endnote w:type="continuationSeparator" w:id="0">
    <w:p w14:paraId="7A43484A" w14:textId="77777777" w:rsidR="001F5CDE" w:rsidRDefault="001F5CDE">
      <w:r>
        <w:continuationSeparator/>
      </w:r>
    </w:p>
  </w:endnote>
  <w:endnote w:type="continuationNotice" w:id="1">
    <w:p w14:paraId="69418038" w14:textId="77777777" w:rsidR="001F5CDE" w:rsidRDefault="001F5C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3763D393" w:rsidP="00322937">
    <w:pPr>
      <w:pStyle w:val="Piedepgina"/>
      <w:jc w:val="center"/>
      <w:rPr>
        <w:lang w:val="es-ES"/>
      </w:rPr>
    </w:pPr>
    <w:r>
      <w:rPr>
        <w:noProof/>
      </w:rPr>
      <w:drawing>
        <wp:inline distT="0" distB="0" distL="0" distR="0" wp14:anchorId="608B196D" wp14:editId="4EFFAC6D">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6C92A6" w14:textId="77777777" w:rsidR="001F5CDE" w:rsidRDefault="001F5CDE">
      <w:r>
        <w:separator/>
      </w:r>
    </w:p>
  </w:footnote>
  <w:footnote w:type="continuationSeparator" w:id="0">
    <w:p w14:paraId="40698ACB" w14:textId="77777777" w:rsidR="001F5CDE" w:rsidRDefault="001F5CDE">
      <w:r>
        <w:continuationSeparator/>
      </w:r>
    </w:p>
  </w:footnote>
  <w:footnote w:type="continuationNotice" w:id="1">
    <w:p w14:paraId="5AFB0A1A" w14:textId="77777777" w:rsidR="001F5CDE" w:rsidRDefault="001F5CDE"/>
  </w:footnote>
  <w:footnote w:id="2">
    <w:p w14:paraId="5EE2BBDD" w14:textId="77777777" w:rsidR="00F80411" w:rsidRPr="00EA10E4" w:rsidRDefault="00F80411" w:rsidP="00F80411">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Consejo de Estado. Sección Tercera. Sentencia del 29 de octubre de 2.015. Consejera Ponente: Stella Conto Díaz Del Castillo. Expediente: 31.918.</w:t>
      </w:r>
    </w:p>
    <w:p w14:paraId="3B4DF297" w14:textId="77777777" w:rsidR="00F80411" w:rsidRPr="00EA10E4" w:rsidRDefault="00F80411" w:rsidP="00F80411">
      <w:pPr>
        <w:pStyle w:val="Textonotapie"/>
        <w:ind w:firstLine="709"/>
        <w:jc w:val="both"/>
        <w:rPr>
          <w:rFonts w:ascii="Arial" w:hAnsi="Arial" w:cs="Arial"/>
          <w:sz w:val="19"/>
          <w:szCs w:val="19"/>
          <w:lang w:val="es-ES"/>
        </w:rPr>
      </w:pPr>
    </w:p>
  </w:footnote>
  <w:footnote w:id="3">
    <w:p w14:paraId="38605483"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Corte Constitucional. Sentencia T-684A del 14 de septiembre de 2011</w:t>
      </w:r>
      <w:r>
        <w:rPr>
          <w:rFonts w:ascii="Arial" w:hAnsi="Arial" w:cs="Arial"/>
          <w:sz w:val="19"/>
          <w:szCs w:val="19"/>
          <w:lang w:val="es-ES"/>
        </w:rPr>
        <w:t>. Magistrado Ponente:</w:t>
      </w:r>
      <w:r w:rsidRPr="008640C4">
        <w:rPr>
          <w:rFonts w:ascii="Arial" w:hAnsi="Arial" w:cs="Arial"/>
          <w:sz w:val="19"/>
          <w:szCs w:val="19"/>
          <w:lang w:val="es-ES"/>
        </w:rPr>
        <w:t xml:space="preserve"> Mauricio González Cuervo.</w:t>
      </w:r>
    </w:p>
    <w:p w14:paraId="6296EE45" w14:textId="77777777" w:rsidR="00F80411" w:rsidRPr="008640C4" w:rsidRDefault="00F80411" w:rsidP="00F80411">
      <w:pPr>
        <w:pStyle w:val="Textonotapie"/>
        <w:ind w:firstLine="709"/>
        <w:jc w:val="both"/>
        <w:rPr>
          <w:rFonts w:ascii="Arial" w:hAnsi="Arial" w:cs="Arial"/>
          <w:sz w:val="19"/>
          <w:szCs w:val="19"/>
          <w:lang w:val="es-ES"/>
        </w:rPr>
      </w:pPr>
    </w:p>
  </w:footnote>
  <w:footnote w:id="4">
    <w:p w14:paraId="533FAE3F"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Consejo de Estado. Sección Tercera. Sentencia del 6 de diciembre de 2.013. Consejera Ponente: Stella Conto Díaz Del Castillo. Expediente: 27.506. En efecto, el artículo 44, inciso 1º</w:t>
      </w:r>
      <w:r>
        <w:rPr>
          <w:rFonts w:ascii="Arial" w:hAnsi="Arial" w:cs="Arial"/>
          <w:sz w:val="19"/>
          <w:szCs w:val="19"/>
          <w:lang w:val="es-ES"/>
        </w:rPr>
        <w:t>,</w:t>
      </w:r>
      <w:r w:rsidRPr="008640C4">
        <w:rPr>
          <w:rFonts w:ascii="Arial" w:hAnsi="Arial" w:cs="Arial"/>
          <w:sz w:val="19"/>
          <w:szCs w:val="19"/>
          <w:lang w:val="es-ES"/>
        </w:rPr>
        <w:t xml:space="preserve">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p w14:paraId="4D0C9747" w14:textId="77777777" w:rsidR="00F80411" w:rsidRPr="008640C4" w:rsidRDefault="00F80411" w:rsidP="00F80411">
      <w:pPr>
        <w:pStyle w:val="Textonotapie"/>
        <w:ind w:firstLine="709"/>
        <w:jc w:val="both"/>
        <w:rPr>
          <w:rFonts w:ascii="Arial" w:hAnsi="Arial" w:cs="Arial"/>
          <w:sz w:val="19"/>
          <w:szCs w:val="19"/>
          <w:lang w:val="es-CO"/>
        </w:rPr>
      </w:pPr>
    </w:p>
  </w:footnote>
  <w:footnote w:id="5">
    <w:p w14:paraId="77146A50"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653F7200" w14:textId="77777777" w:rsidR="00F80411" w:rsidRPr="008640C4" w:rsidRDefault="00F80411" w:rsidP="00F80411">
      <w:pPr>
        <w:pStyle w:val="Textonotapie"/>
        <w:ind w:firstLine="709"/>
        <w:jc w:val="both"/>
        <w:rPr>
          <w:rFonts w:ascii="Arial" w:hAnsi="Arial" w:cs="Arial"/>
          <w:sz w:val="19"/>
          <w:szCs w:val="19"/>
          <w:lang w:val="es-ES"/>
        </w:rPr>
      </w:pPr>
    </w:p>
  </w:footnote>
  <w:footnote w:id="6">
    <w:p w14:paraId="4E055C6A"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3EB7365C" w14:textId="77777777" w:rsidR="00F80411" w:rsidRPr="008640C4" w:rsidRDefault="00F80411" w:rsidP="00F80411">
      <w:pPr>
        <w:pStyle w:val="Textonotapie"/>
        <w:ind w:firstLine="709"/>
        <w:jc w:val="both"/>
        <w:rPr>
          <w:rFonts w:ascii="Arial" w:hAnsi="Arial" w:cs="Arial"/>
          <w:sz w:val="19"/>
          <w:szCs w:val="19"/>
          <w:lang w:val="es-ES"/>
        </w:rPr>
      </w:pPr>
    </w:p>
  </w:footnote>
  <w:footnote w:id="7">
    <w:p w14:paraId="15AD37D3"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3143494F" w14:textId="77777777" w:rsidR="00F80411" w:rsidRPr="008640C4" w:rsidRDefault="00F80411" w:rsidP="00F80411">
      <w:pPr>
        <w:pStyle w:val="Textonotapie"/>
        <w:ind w:firstLine="709"/>
        <w:jc w:val="both"/>
        <w:rPr>
          <w:rFonts w:ascii="Arial" w:hAnsi="Arial" w:cs="Arial"/>
          <w:sz w:val="19"/>
          <w:szCs w:val="19"/>
          <w:lang w:val="es-ES"/>
        </w:rPr>
      </w:pPr>
    </w:p>
  </w:footnote>
  <w:footnote w:id="8">
    <w:p w14:paraId="7D602341"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6C35605C" w14:textId="77777777" w:rsidR="00F80411" w:rsidRPr="008640C4" w:rsidRDefault="00F80411" w:rsidP="00F80411">
      <w:pPr>
        <w:pStyle w:val="Textonotapie"/>
        <w:ind w:firstLine="709"/>
        <w:jc w:val="both"/>
        <w:rPr>
          <w:rFonts w:ascii="Arial" w:hAnsi="Arial" w:cs="Arial"/>
          <w:sz w:val="19"/>
          <w:szCs w:val="19"/>
          <w:lang w:val="es-ES"/>
        </w:rPr>
      </w:pPr>
    </w:p>
  </w:footnote>
  <w:footnote w:id="9">
    <w:p w14:paraId="56BE8B0D"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66E965A2" w14:textId="77777777" w:rsidR="00F80411" w:rsidRPr="008640C4" w:rsidRDefault="00F80411" w:rsidP="00F80411">
      <w:pPr>
        <w:pStyle w:val="Textonotapie"/>
        <w:ind w:firstLine="709"/>
        <w:jc w:val="both"/>
        <w:rPr>
          <w:rFonts w:ascii="Arial" w:hAnsi="Arial" w:cs="Arial"/>
          <w:sz w:val="19"/>
          <w:szCs w:val="19"/>
          <w:lang w:val="es-ES"/>
        </w:rPr>
      </w:pPr>
    </w:p>
  </w:footnote>
  <w:footnote w:id="10">
    <w:p w14:paraId="7BEBE4BC" w14:textId="0B820A13" w:rsidR="00530059" w:rsidRPr="0064696D" w:rsidRDefault="00530059" w:rsidP="009949CE">
      <w:pPr>
        <w:pStyle w:val="Textonotapie"/>
        <w:ind w:firstLine="709"/>
        <w:jc w:val="both"/>
        <w:rPr>
          <w:rFonts w:ascii="Arial" w:hAnsi="Arial" w:cs="Arial"/>
          <w:sz w:val="19"/>
          <w:szCs w:val="19"/>
          <w:lang w:val="es-ES"/>
        </w:rPr>
      </w:pPr>
      <w:r w:rsidRPr="0064696D">
        <w:rPr>
          <w:rStyle w:val="Refdenotaalpie"/>
          <w:rFonts w:ascii="Arial" w:hAnsi="Arial" w:cs="Arial"/>
          <w:sz w:val="19"/>
          <w:szCs w:val="19"/>
        </w:rPr>
        <w:footnoteRef/>
      </w:r>
      <w:r w:rsidRPr="0064696D">
        <w:rPr>
          <w:rFonts w:ascii="Arial" w:hAnsi="Arial" w:cs="Arial"/>
          <w:sz w:val="19"/>
          <w:szCs w:val="19"/>
        </w:rPr>
        <w:t xml:space="preserve"> </w:t>
      </w:r>
      <w:r w:rsidRPr="0064696D">
        <w:rPr>
          <w:rFonts w:ascii="Arial" w:hAnsi="Arial" w:cs="Arial"/>
          <w:sz w:val="19"/>
          <w:szCs w:val="19"/>
          <w:lang w:val="es-ES"/>
        </w:rPr>
        <w:t>En efecto, esta disposición reglamentaria indicaba: «En caso de empate en el puntaje total de dos o más ofertas, la Entidad Estatal escogerá el oferente que tenga el mayor puntaje en el primero de los factores de escogencia y calificación establecidos en los pliegos de condiciones del Proceso de Contratación. Si persiste el empate, escogerá al oferente que tenga el mayor puntaje en el segundo de los factores de escogencia y calificación establecidos en los pliegos de condiciones del Proceso de Contratación y así sucesivamente hasta agotar la totalidad de los factores de escogencia y calificación establecidos en los pliegos de condiciones.</w:t>
      </w:r>
    </w:p>
    <w:p w14:paraId="2186A106" w14:textId="03EE071D" w:rsidR="00530059" w:rsidRPr="0064696D" w:rsidRDefault="009949CE" w:rsidP="009949CE">
      <w:pPr>
        <w:pStyle w:val="Textonotapie"/>
        <w:ind w:firstLine="709"/>
        <w:jc w:val="both"/>
        <w:rPr>
          <w:rFonts w:ascii="Arial" w:hAnsi="Arial" w:cs="Arial"/>
          <w:sz w:val="19"/>
          <w:szCs w:val="19"/>
          <w:lang w:val="es-ES"/>
        </w:rPr>
      </w:pPr>
      <w:proofErr w:type="gramStart"/>
      <w:r>
        <w:rPr>
          <w:rFonts w:ascii="Arial" w:hAnsi="Arial" w:cs="Arial"/>
          <w:sz w:val="19"/>
          <w:szCs w:val="19"/>
          <w:lang w:val="es-ES"/>
        </w:rPr>
        <w:t>»</w:t>
      </w:r>
      <w:r w:rsidR="00530059" w:rsidRPr="0064696D">
        <w:rPr>
          <w:rFonts w:ascii="Arial" w:hAnsi="Arial" w:cs="Arial"/>
          <w:sz w:val="19"/>
          <w:szCs w:val="19"/>
          <w:lang w:val="es-ES"/>
        </w:rPr>
        <w:t>Si</w:t>
      </w:r>
      <w:proofErr w:type="gramEnd"/>
      <w:r w:rsidR="00530059" w:rsidRPr="0064696D">
        <w:rPr>
          <w:rFonts w:ascii="Arial" w:hAnsi="Arial" w:cs="Arial"/>
          <w:sz w:val="19"/>
          <w:szCs w:val="19"/>
          <w:lang w:val="es-ES"/>
        </w:rPr>
        <w:t xml:space="preserve"> persiste el empate, la Entidad Estatal debe utilizar las siguientes reglas de forma sucesiva y excluyente para seleccionar el oferente favorecido, respetando los compromisos adquiridos por Acuerdos Comerciales:</w:t>
      </w:r>
    </w:p>
    <w:p w14:paraId="4DFE72EE" w14:textId="07C46650"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1.</w:t>
      </w:r>
      <w:r>
        <w:rPr>
          <w:rFonts w:ascii="Arial" w:hAnsi="Arial" w:cs="Arial"/>
          <w:sz w:val="19"/>
          <w:szCs w:val="19"/>
          <w:lang w:val="es-ES"/>
        </w:rPr>
        <w:t xml:space="preserve"> </w:t>
      </w:r>
      <w:r w:rsidR="00530059" w:rsidRPr="0064696D">
        <w:rPr>
          <w:rFonts w:ascii="Arial" w:hAnsi="Arial" w:cs="Arial"/>
          <w:sz w:val="19"/>
          <w:szCs w:val="19"/>
          <w:lang w:val="es-ES"/>
        </w:rPr>
        <w:t>Preferir la oferta de bienes o servicios nacionales frente a la oferta de bienes o servicios extranjeros.</w:t>
      </w:r>
    </w:p>
    <w:p w14:paraId="55EE1E60" w14:textId="019C69CF"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2.</w:t>
      </w:r>
      <w:r>
        <w:rPr>
          <w:rFonts w:ascii="Arial" w:hAnsi="Arial" w:cs="Arial"/>
          <w:sz w:val="19"/>
          <w:szCs w:val="19"/>
          <w:lang w:val="es-ES"/>
        </w:rPr>
        <w:t xml:space="preserve"> </w:t>
      </w:r>
      <w:r w:rsidR="00530059" w:rsidRPr="0064696D">
        <w:rPr>
          <w:rFonts w:ascii="Arial" w:hAnsi="Arial" w:cs="Arial"/>
          <w:sz w:val="19"/>
          <w:szCs w:val="19"/>
          <w:lang w:val="es-ES"/>
        </w:rPr>
        <w:t xml:space="preserve">Preferir las ofertas presentada por una </w:t>
      </w:r>
      <w:proofErr w:type="spellStart"/>
      <w:r w:rsidR="00530059" w:rsidRPr="0064696D">
        <w:rPr>
          <w:rFonts w:ascii="Arial" w:hAnsi="Arial" w:cs="Arial"/>
          <w:sz w:val="19"/>
          <w:szCs w:val="19"/>
          <w:lang w:val="es-ES"/>
        </w:rPr>
        <w:t>Mipyme</w:t>
      </w:r>
      <w:proofErr w:type="spellEnd"/>
      <w:r w:rsidR="00530059" w:rsidRPr="0064696D">
        <w:rPr>
          <w:rFonts w:ascii="Arial" w:hAnsi="Arial" w:cs="Arial"/>
          <w:sz w:val="19"/>
          <w:szCs w:val="19"/>
          <w:lang w:val="es-ES"/>
        </w:rPr>
        <w:t xml:space="preserve"> nacional.</w:t>
      </w:r>
    </w:p>
    <w:p w14:paraId="24F6B951" w14:textId="78F6340D"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3.</w:t>
      </w:r>
      <w:r>
        <w:rPr>
          <w:rFonts w:ascii="Arial" w:hAnsi="Arial" w:cs="Arial"/>
          <w:sz w:val="19"/>
          <w:szCs w:val="19"/>
          <w:lang w:val="es-ES"/>
        </w:rPr>
        <w:t xml:space="preserve"> </w:t>
      </w:r>
      <w:r w:rsidR="00530059" w:rsidRPr="0064696D">
        <w:rPr>
          <w:rFonts w:ascii="Arial" w:hAnsi="Arial" w:cs="Arial"/>
          <w:sz w:val="19"/>
          <w:szCs w:val="19"/>
          <w:lang w:val="es-ES"/>
        </w:rPr>
        <w:t xml:space="preserve">Preferir la oferta presentada por un consorcio, unión temporal o promesa de sociedad futura siempre que: (a) esté conformado por al menos una </w:t>
      </w:r>
      <w:proofErr w:type="spellStart"/>
      <w:r w:rsidR="00530059" w:rsidRPr="0064696D">
        <w:rPr>
          <w:rFonts w:ascii="Arial" w:hAnsi="Arial" w:cs="Arial"/>
          <w:sz w:val="19"/>
          <w:szCs w:val="19"/>
          <w:lang w:val="es-ES"/>
        </w:rPr>
        <w:t>Mipyme</w:t>
      </w:r>
      <w:proofErr w:type="spellEnd"/>
      <w:r w:rsidR="00530059" w:rsidRPr="0064696D">
        <w:rPr>
          <w:rFonts w:ascii="Arial" w:hAnsi="Arial" w:cs="Arial"/>
          <w:sz w:val="19"/>
          <w:szCs w:val="19"/>
          <w:lang w:val="es-ES"/>
        </w:rPr>
        <w:t xml:space="preserve"> nacional que tenga una participación de por lo menos el veinticinco por ciento (25%); (b) la </w:t>
      </w:r>
      <w:proofErr w:type="spellStart"/>
      <w:r w:rsidR="00530059" w:rsidRPr="0064696D">
        <w:rPr>
          <w:rFonts w:ascii="Arial" w:hAnsi="Arial" w:cs="Arial"/>
          <w:sz w:val="19"/>
          <w:szCs w:val="19"/>
          <w:lang w:val="es-ES"/>
        </w:rPr>
        <w:t>Mipyme</w:t>
      </w:r>
      <w:proofErr w:type="spellEnd"/>
      <w:r w:rsidR="00530059" w:rsidRPr="0064696D">
        <w:rPr>
          <w:rFonts w:ascii="Arial" w:hAnsi="Arial" w:cs="Arial"/>
          <w:sz w:val="19"/>
          <w:szCs w:val="19"/>
          <w:lang w:val="es-ES"/>
        </w:rPr>
        <w:t xml:space="preserve"> aporte mínimo el veinticinco por ciento (25%) de la experiencia acreditada en la oferta; y (c) ni la </w:t>
      </w:r>
      <w:proofErr w:type="spellStart"/>
      <w:r w:rsidR="00530059" w:rsidRPr="0064696D">
        <w:rPr>
          <w:rFonts w:ascii="Arial" w:hAnsi="Arial" w:cs="Arial"/>
          <w:sz w:val="19"/>
          <w:szCs w:val="19"/>
          <w:lang w:val="es-ES"/>
        </w:rPr>
        <w:t>Mipyme</w:t>
      </w:r>
      <w:proofErr w:type="spellEnd"/>
      <w:r w:rsidR="00530059" w:rsidRPr="0064696D">
        <w:rPr>
          <w:rFonts w:ascii="Arial" w:hAnsi="Arial" w:cs="Arial"/>
          <w:sz w:val="19"/>
          <w:szCs w:val="19"/>
          <w:lang w:val="es-ES"/>
        </w:rPr>
        <w:t>, ni sus accionistas, socios o representantes legales sean empleados, socios o accionistas de los miembros del consorcio, unión temporal o promesa de sociedad futura.</w:t>
      </w:r>
    </w:p>
    <w:p w14:paraId="5BC30F59" w14:textId="518BE03D"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4.</w:t>
      </w:r>
      <w:r>
        <w:rPr>
          <w:rFonts w:ascii="Arial" w:hAnsi="Arial" w:cs="Arial"/>
          <w:sz w:val="19"/>
          <w:szCs w:val="19"/>
          <w:lang w:val="es-ES"/>
        </w:rPr>
        <w:t xml:space="preserve"> </w:t>
      </w:r>
      <w:r w:rsidR="00530059" w:rsidRPr="0064696D">
        <w:rPr>
          <w:rFonts w:ascii="Arial" w:hAnsi="Arial" w:cs="Arial"/>
          <w:sz w:val="19"/>
          <w:szCs w:val="19"/>
          <w:lang w:val="es-ES"/>
        </w:rPr>
        <w:t>Preferir la propuesta presentada por el oferente que acredite en las condiciones establecidas en la ley que por lo menos el diez por ciento (10%) de su nómina está en condición de discapacidad a la que se refiere la Ley 361 de 1997. Si la oferta es presentada por un consorcio, unión temporal o promesa de sociedad futura,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w:t>
      </w:r>
    </w:p>
    <w:p w14:paraId="762F4336" w14:textId="04C31981" w:rsidR="00530059" w:rsidRPr="0064696D" w:rsidRDefault="009949CE" w:rsidP="0064696D">
      <w:pPr>
        <w:pStyle w:val="Textonotapie"/>
        <w:ind w:firstLine="709"/>
        <w:jc w:val="both"/>
        <w:rPr>
          <w:rFonts w:ascii="Arial" w:hAnsi="Arial" w:cs="Arial"/>
          <w:sz w:val="19"/>
          <w:szCs w:val="19"/>
          <w:lang w:val="es-CO"/>
        </w:rPr>
      </w:pPr>
      <w:r>
        <w:rPr>
          <w:rFonts w:ascii="Arial" w:hAnsi="Arial" w:cs="Arial"/>
          <w:sz w:val="19"/>
          <w:szCs w:val="19"/>
          <w:lang w:val="es-ES"/>
        </w:rPr>
        <w:t>»</w:t>
      </w:r>
      <w:r w:rsidR="00530059" w:rsidRPr="0064696D">
        <w:rPr>
          <w:rFonts w:ascii="Arial" w:hAnsi="Arial" w:cs="Arial"/>
          <w:sz w:val="19"/>
          <w:szCs w:val="19"/>
          <w:lang w:val="es-ES"/>
        </w:rPr>
        <w:t>5.</w:t>
      </w:r>
      <w:r>
        <w:rPr>
          <w:rFonts w:ascii="Arial" w:hAnsi="Arial" w:cs="Arial"/>
          <w:sz w:val="19"/>
          <w:szCs w:val="19"/>
          <w:lang w:val="es-ES"/>
        </w:rPr>
        <w:t xml:space="preserve"> </w:t>
      </w:r>
      <w:r w:rsidR="00530059" w:rsidRPr="0064696D">
        <w:rPr>
          <w:rFonts w:ascii="Arial" w:hAnsi="Arial" w:cs="Arial"/>
          <w:sz w:val="19"/>
          <w:szCs w:val="19"/>
          <w:lang w:val="es-ES"/>
        </w:rPr>
        <w:t>Utilizar un método aleatorio para seleccionar el oferente, método que deberá haber sido previsto en los pliegos de condiciones del Proceso de Contratación</w:t>
      </w:r>
      <w:r>
        <w:rPr>
          <w:rFonts w:ascii="Arial" w:hAnsi="Arial" w:cs="Arial"/>
          <w:sz w:val="19"/>
          <w:szCs w:val="19"/>
          <w:lang w:val="es-ES"/>
        </w:rPr>
        <w:t>»</w:t>
      </w:r>
      <w:r w:rsidR="00530059" w:rsidRPr="0064696D">
        <w:rPr>
          <w:rFonts w:ascii="Arial" w:hAnsi="Arial" w:cs="Arial"/>
          <w:sz w:val="19"/>
          <w:szCs w:val="19"/>
          <w:lang w:val="es-ES"/>
        </w:rPr>
        <w:t>.</w:t>
      </w:r>
    </w:p>
  </w:footnote>
  <w:footnote w:id="11">
    <w:p w14:paraId="1FA17081" w14:textId="77777777" w:rsidR="00290ECC" w:rsidRPr="008640C4"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Sentencia T-003 de 2018. Magistrada Ponente: Cristina Pardo Schlesinger.</w:t>
      </w:r>
    </w:p>
    <w:p w14:paraId="0F65C42E" w14:textId="77777777" w:rsidR="00290ECC" w:rsidRPr="008640C4" w:rsidRDefault="00290ECC" w:rsidP="00290ECC">
      <w:pPr>
        <w:pStyle w:val="Textonotapie"/>
        <w:ind w:firstLine="709"/>
        <w:jc w:val="both"/>
        <w:rPr>
          <w:rFonts w:ascii="Arial" w:hAnsi="Arial" w:cs="Arial"/>
          <w:sz w:val="19"/>
          <w:szCs w:val="19"/>
          <w:lang w:val="es-CO"/>
        </w:rPr>
      </w:pPr>
    </w:p>
  </w:footnote>
  <w:footnote w:id="12">
    <w:p w14:paraId="4E23DED8" w14:textId="77777777" w:rsidR="00290ECC"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Sentencia T-967 de 2014. Magistrada Ponente: Gloria Stella Ortiz Delgado.</w:t>
      </w:r>
    </w:p>
    <w:p w14:paraId="5128DEE8" w14:textId="77777777" w:rsidR="00290ECC" w:rsidRPr="008640C4" w:rsidRDefault="00290ECC" w:rsidP="00290ECC">
      <w:pPr>
        <w:pStyle w:val="Textonotapie"/>
        <w:ind w:firstLine="709"/>
        <w:jc w:val="both"/>
        <w:rPr>
          <w:rFonts w:ascii="Arial" w:hAnsi="Arial" w:cs="Arial"/>
          <w:sz w:val="19"/>
          <w:szCs w:val="19"/>
          <w:lang w:val="es-CO"/>
        </w:rPr>
      </w:pPr>
    </w:p>
  </w:footnote>
  <w:footnote w:id="13">
    <w:p w14:paraId="27FC4D57" w14:textId="77777777" w:rsidR="00290ECC" w:rsidRPr="00EA10E4" w:rsidRDefault="00290ECC" w:rsidP="00290ECC">
      <w:pPr>
        <w:pStyle w:val="Textonotapie"/>
        <w:ind w:firstLine="709"/>
        <w:jc w:val="both"/>
        <w:rPr>
          <w:rFonts w:ascii="Arial" w:hAnsi="Arial" w:cs="Arial"/>
          <w:sz w:val="19"/>
          <w:szCs w:val="19"/>
          <w:lang w:val="es-CO"/>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Así lo admitió el Departamento Administrativo de la Función Pública en Concepto con radicado No. 20206000017881, del 22 de enero de 2020. Disponible en: https://www.funcionpublica.gov.co/eva/gestornormativo/norma.php?i=115437</w:t>
      </w:r>
    </w:p>
  </w:footnote>
  <w:footnote w:id="14">
    <w:p w14:paraId="152FBB08" w14:textId="77777777" w:rsidR="00290ECC" w:rsidRPr="008640C4"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Disponible en: https://www.urosario.edu.co/jurisprudencia/catedra-viva-intercultural/Documentos/CONVENIO-OIT-169.pdf</w:t>
      </w:r>
    </w:p>
  </w:footnote>
  <w:footnote w:id="15">
    <w:p w14:paraId="6326CCC3" w14:textId="77777777" w:rsidR="00290ECC" w:rsidRDefault="00290ECC" w:rsidP="00290ECC">
      <w:pPr>
        <w:pStyle w:val="Textonotapie"/>
        <w:ind w:firstLine="709"/>
        <w:jc w:val="both"/>
        <w:rPr>
          <w:rFonts w:ascii="Arial" w:hAnsi="Arial" w:cs="Arial"/>
          <w:sz w:val="19"/>
          <w:szCs w:val="19"/>
        </w:rPr>
      </w:pPr>
    </w:p>
    <w:p w14:paraId="628A5125" w14:textId="77777777" w:rsidR="00290ECC" w:rsidRPr="008640C4"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Ministerio de Cultura. Afrocolombianos, población con huellas de africanía. Disponible en: https://mincultura.gov.co/areas/poblaciones/comunidades-negras-afrocolombianas-raizales-y-palenqueras/Documents/Caracterizaci%C3%B3n%20comunidades%20negras%20y%20afrocolombianas.pdf</w:t>
      </w:r>
    </w:p>
  </w:footnote>
  <w:footnote w:id="16">
    <w:p w14:paraId="6F57DF64" w14:textId="77777777" w:rsidR="00290ECC" w:rsidRPr="008640C4" w:rsidRDefault="00290ECC" w:rsidP="00290ECC">
      <w:pPr>
        <w:pStyle w:val="Textonotapie"/>
        <w:ind w:firstLine="709"/>
        <w:jc w:val="both"/>
        <w:rPr>
          <w:rFonts w:ascii="Arial" w:hAnsi="Arial" w:cs="Arial"/>
          <w:sz w:val="19"/>
          <w:szCs w:val="19"/>
          <w:lang w:val="es-CO"/>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Comunidades negras, afrocolombianas, raizales y palenqueras. Disponible en: https://www.unidadvictimas.gov.co/es/comunidades-negras-afrocolombianas-raizales-y-palenqueras/277</w:t>
      </w:r>
    </w:p>
  </w:footnote>
  <w:footnote w:id="17">
    <w:p w14:paraId="47993026" w14:textId="77777777" w:rsidR="00EA55BB" w:rsidRDefault="00EA55BB" w:rsidP="00290ECC">
      <w:pPr>
        <w:pStyle w:val="Textonotapie"/>
        <w:ind w:firstLine="709"/>
        <w:jc w:val="both"/>
        <w:rPr>
          <w:rFonts w:ascii="Arial" w:hAnsi="Arial" w:cs="Arial"/>
          <w:sz w:val="19"/>
          <w:szCs w:val="19"/>
        </w:rPr>
      </w:pPr>
    </w:p>
    <w:p w14:paraId="1921EF33" w14:textId="27D8EA17" w:rsidR="00290ECC" w:rsidRPr="008640C4"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proofErr w:type="spellStart"/>
      <w:r w:rsidRPr="008640C4">
        <w:rPr>
          <w:rFonts w:ascii="Arial" w:hAnsi="Arial" w:cs="Arial"/>
          <w:sz w:val="19"/>
          <w:szCs w:val="19"/>
        </w:rPr>
        <w:t>Ibíd</w:t>
      </w:r>
      <w:proofErr w:type="spellEnd"/>
      <w:r w:rsidRPr="008640C4">
        <w:rPr>
          <w:rFonts w:ascii="Arial" w:hAnsi="Arial" w:cs="Arial"/>
          <w:sz w:val="19"/>
          <w:szCs w:val="19"/>
        </w:rPr>
        <w:t>.</w:t>
      </w:r>
    </w:p>
  </w:footnote>
  <w:footnote w:id="18">
    <w:p w14:paraId="45E23259" w14:textId="77777777" w:rsidR="00290ECC" w:rsidRDefault="00290ECC" w:rsidP="00290ECC">
      <w:pPr>
        <w:pStyle w:val="Textonotapie"/>
        <w:ind w:firstLine="709"/>
        <w:jc w:val="both"/>
        <w:rPr>
          <w:rFonts w:ascii="Arial" w:hAnsi="Arial" w:cs="Arial"/>
          <w:sz w:val="19"/>
          <w:szCs w:val="19"/>
        </w:rPr>
      </w:pPr>
    </w:p>
    <w:p w14:paraId="11B24A5D" w14:textId="77777777" w:rsidR="00290ECC"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 xml:space="preserve">Según el numeral 3 del artículo 4 del Decreto 2957 de 2010, «Para los </w:t>
      </w:r>
      <w:proofErr w:type="spellStart"/>
      <w:r w:rsidRPr="008640C4">
        <w:rPr>
          <w:rFonts w:ascii="Arial" w:hAnsi="Arial" w:cs="Arial"/>
          <w:sz w:val="19"/>
          <w:szCs w:val="19"/>
          <w:lang w:val="es-ES"/>
        </w:rPr>
        <w:t>Rom</w:t>
      </w:r>
      <w:proofErr w:type="spellEnd"/>
      <w:r w:rsidRPr="008640C4">
        <w:rPr>
          <w:rFonts w:ascii="Arial" w:hAnsi="Arial" w:cs="Arial"/>
          <w:sz w:val="19"/>
          <w:szCs w:val="19"/>
          <w:lang w:val="es-ES"/>
        </w:rPr>
        <w:t xml:space="preserve">, el acto físico de ir de un lugar a otro es apenas un aspecto de su identidad cultural y de su estilo de vida. Dado que el nomadismo significa ante todo una manera de ver el mundo, una actitud particular respecto a la vivienda, al trabajo y a la vida en general, el nomadismo sustenta y da vida a una cosmovisión particular y radicalmente diferente a la que ostentan los pueblos sedentarios. El grupo étnico </w:t>
      </w:r>
      <w:proofErr w:type="spellStart"/>
      <w:r w:rsidRPr="008640C4">
        <w:rPr>
          <w:rFonts w:ascii="Arial" w:hAnsi="Arial" w:cs="Arial"/>
          <w:sz w:val="19"/>
          <w:szCs w:val="19"/>
          <w:lang w:val="es-ES"/>
        </w:rPr>
        <w:t>Rom</w:t>
      </w:r>
      <w:proofErr w:type="spellEnd"/>
      <w:r w:rsidRPr="008640C4">
        <w:rPr>
          <w:rFonts w:ascii="Arial" w:hAnsi="Arial" w:cs="Arial"/>
          <w:sz w:val="19"/>
          <w:szCs w:val="19"/>
          <w:lang w:val="es-ES"/>
        </w:rPr>
        <w:t xml:space="preserve"> o Gitano continúa siendo nómada aun cuando no esté realizando desplazamientos permanentemente por cuanto el nomadismo, además, es un estado que hace parte de su espiritualidad e imaginario colectivo».</w:t>
      </w:r>
    </w:p>
    <w:p w14:paraId="7FDB96F1" w14:textId="77777777" w:rsidR="00290ECC" w:rsidRPr="008640C4" w:rsidRDefault="00290ECC" w:rsidP="00290ECC">
      <w:pPr>
        <w:pStyle w:val="Textonotapie"/>
        <w:ind w:firstLine="709"/>
        <w:jc w:val="both"/>
        <w:rPr>
          <w:rFonts w:ascii="Arial" w:hAnsi="Arial" w:cs="Arial"/>
          <w:sz w:val="19"/>
          <w:szCs w:val="19"/>
          <w:lang w:val="es-CO"/>
        </w:rPr>
      </w:pPr>
    </w:p>
  </w:footnote>
  <w:footnote w:id="19">
    <w:p w14:paraId="263A8E7E" w14:textId="77777777" w:rsidR="00290ECC" w:rsidRPr="008640C4" w:rsidRDefault="00290ECC" w:rsidP="00290ECC">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En: http://www.reincorporacion.gov.co/es/agencia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tplc="E7100C76">
      <w:start w:val="1"/>
      <w:numFmt w:val="decimal"/>
      <w:lvlText w:val="%1."/>
      <w:lvlJc w:val="left"/>
      <w:pPr>
        <w:ind w:left="360" w:hanging="360"/>
      </w:pPr>
      <w:rPr>
        <w:color w:val="auto"/>
        <w:sz w:val="20"/>
        <w:szCs w:val="20"/>
      </w:rPr>
    </w:lvl>
    <w:lvl w:ilvl="1" w:tplc="87EE5358">
      <w:start w:val="1"/>
      <w:numFmt w:val="decimal"/>
      <w:lvlText w:val="3.%2."/>
      <w:lvlJc w:val="left"/>
      <w:pPr>
        <w:ind w:left="1004" w:hanging="720"/>
      </w:pPr>
      <w:rPr>
        <w:b/>
        <w:i w:val="0"/>
        <w:color w:val="000000"/>
      </w:rPr>
    </w:lvl>
    <w:lvl w:ilvl="2" w:tplc="DE9805AE">
      <w:start w:val="1"/>
      <w:numFmt w:val="decimal"/>
      <w:lvlText w:val="4.1.%3."/>
      <w:lvlJc w:val="left"/>
      <w:pPr>
        <w:ind w:left="964" w:hanging="624"/>
      </w:pPr>
      <w:rPr>
        <w:b/>
        <w:i w:val="0"/>
      </w:rPr>
    </w:lvl>
    <w:lvl w:ilvl="3" w:tplc="3828DC10">
      <w:start w:val="1"/>
      <w:numFmt w:val="decimal"/>
      <w:lvlText w:val="%1.%2.%3.%4."/>
      <w:lvlJc w:val="left"/>
      <w:pPr>
        <w:ind w:left="1080" w:hanging="1080"/>
      </w:pPr>
      <w:rPr>
        <w:b/>
      </w:rPr>
    </w:lvl>
    <w:lvl w:ilvl="4" w:tplc="D676E56C">
      <w:start w:val="1"/>
      <w:numFmt w:val="decimal"/>
      <w:lvlText w:val="%1.%2.%3.%4.%5."/>
      <w:lvlJc w:val="left"/>
      <w:pPr>
        <w:ind w:left="1080" w:hanging="1080"/>
      </w:pPr>
    </w:lvl>
    <w:lvl w:ilvl="5" w:tplc="232E2864">
      <w:start w:val="1"/>
      <w:numFmt w:val="decimal"/>
      <w:lvlText w:val="%1.%2.%3.%4.%5.%6."/>
      <w:lvlJc w:val="left"/>
      <w:pPr>
        <w:ind w:left="1440" w:hanging="1440"/>
      </w:pPr>
    </w:lvl>
    <w:lvl w:ilvl="6" w:tplc="0128BB30">
      <w:start w:val="1"/>
      <w:numFmt w:val="decimal"/>
      <w:lvlText w:val="%1.%2.%3.%4.%5.%6.%7."/>
      <w:lvlJc w:val="left"/>
      <w:pPr>
        <w:ind w:left="1440" w:hanging="1440"/>
      </w:pPr>
    </w:lvl>
    <w:lvl w:ilvl="7" w:tplc="99142DDC">
      <w:start w:val="1"/>
      <w:numFmt w:val="decimal"/>
      <w:lvlText w:val="%1.%2.%3.%4.%5.%6.%7.%8."/>
      <w:lvlJc w:val="left"/>
      <w:pPr>
        <w:ind w:left="1800" w:hanging="1800"/>
      </w:pPr>
    </w:lvl>
    <w:lvl w:ilvl="8" w:tplc="ACCA714C">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tplc="FA80C8C6">
      <w:start w:val="2"/>
      <w:numFmt w:val="decimal"/>
      <w:lvlText w:val="%1"/>
      <w:lvlJc w:val="left"/>
      <w:pPr>
        <w:ind w:left="360" w:hanging="360"/>
      </w:pPr>
      <w:rPr>
        <w:rFonts w:hint="default"/>
      </w:rPr>
    </w:lvl>
    <w:lvl w:ilvl="1" w:tplc="C90A2042">
      <w:start w:val="3"/>
      <w:numFmt w:val="decimal"/>
      <w:lvlText w:val="%1.%2"/>
      <w:lvlJc w:val="left"/>
      <w:pPr>
        <w:ind w:left="360" w:hanging="360"/>
      </w:pPr>
      <w:rPr>
        <w:rFonts w:hint="default"/>
      </w:rPr>
    </w:lvl>
    <w:lvl w:ilvl="2" w:tplc="C7A24484">
      <w:start w:val="1"/>
      <w:numFmt w:val="decimal"/>
      <w:lvlText w:val="%1.%2.%3"/>
      <w:lvlJc w:val="left"/>
      <w:pPr>
        <w:ind w:left="720" w:hanging="720"/>
      </w:pPr>
      <w:rPr>
        <w:rFonts w:hint="default"/>
      </w:rPr>
    </w:lvl>
    <w:lvl w:ilvl="3" w:tplc="FB9C1762">
      <w:start w:val="1"/>
      <w:numFmt w:val="decimal"/>
      <w:lvlText w:val="%1.%2.%3.%4"/>
      <w:lvlJc w:val="left"/>
      <w:pPr>
        <w:ind w:left="720" w:hanging="720"/>
      </w:pPr>
      <w:rPr>
        <w:rFonts w:hint="default"/>
      </w:rPr>
    </w:lvl>
    <w:lvl w:ilvl="4" w:tplc="8FCC1832">
      <w:start w:val="1"/>
      <w:numFmt w:val="decimal"/>
      <w:lvlText w:val="%1.%2.%3.%4.%5"/>
      <w:lvlJc w:val="left"/>
      <w:pPr>
        <w:ind w:left="1080" w:hanging="1080"/>
      </w:pPr>
      <w:rPr>
        <w:rFonts w:hint="default"/>
      </w:rPr>
    </w:lvl>
    <w:lvl w:ilvl="5" w:tplc="96085A3C">
      <w:start w:val="1"/>
      <w:numFmt w:val="decimal"/>
      <w:lvlText w:val="%1.%2.%3.%4.%5.%6"/>
      <w:lvlJc w:val="left"/>
      <w:pPr>
        <w:ind w:left="1080" w:hanging="1080"/>
      </w:pPr>
      <w:rPr>
        <w:rFonts w:hint="default"/>
      </w:rPr>
    </w:lvl>
    <w:lvl w:ilvl="6" w:tplc="13EA411E">
      <w:start w:val="1"/>
      <w:numFmt w:val="decimal"/>
      <w:lvlText w:val="%1.%2.%3.%4.%5.%6.%7"/>
      <w:lvlJc w:val="left"/>
      <w:pPr>
        <w:ind w:left="1440" w:hanging="1440"/>
      </w:pPr>
      <w:rPr>
        <w:rFonts w:hint="default"/>
      </w:rPr>
    </w:lvl>
    <w:lvl w:ilvl="7" w:tplc="7DF001E8">
      <w:start w:val="1"/>
      <w:numFmt w:val="decimal"/>
      <w:lvlText w:val="%1.%2.%3.%4.%5.%6.%7.%8"/>
      <w:lvlJc w:val="left"/>
      <w:pPr>
        <w:ind w:left="1440" w:hanging="1440"/>
      </w:pPr>
      <w:rPr>
        <w:rFonts w:hint="default"/>
      </w:rPr>
    </w:lvl>
    <w:lvl w:ilvl="8" w:tplc="7976311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tplc="E4E82AE2">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tplc="6F126D08">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tplc="5AE45F56">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tplc="C256FEA8">
      <w:numFmt w:val="bullet"/>
      <w:lvlText w:val="•"/>
      <w:lvlJc w:val="left"/>
      <w:pPr>
        <w:ind w:left="2853" w:hanging="265"/>
      </w:pPr>
      <w:rPr>
        <w:rFonts w:hint="default"/>
        <w:lang w:val="es-ES" w:eastAsia="en-US" w:bidi="ar-SA"/>
      </w:rPr>
    </w:lvl>
    <w:lvl w:ilvl="4" w:tplc="2A4893A4">
      <w:numFmt w:val="bullet"/>
      <w:lvlText w:val="•"/>
      <w:lvlJc w:val="left"/>
      <w:pPr>
        <w:ind w:left="3780" w:hanging="265"/>
      </w:pPr>
      <w:rPr>
        <w:rFonts w:hint="default"/>
        <w:lang w:val="es-ES" w:eastAsia="en-US" w:bidi="ar-SA"/>
      </w:rPr>
    </w:lvl>
    <w:lvl w:ilvl="5" w:tplc="855A64D4">
      <w:numFmt w:val="bullet"/>
      <w:lvlText w:val="•"/>
      <w:lvlJc w:val="left"/>
      <w:pPr>
        <w:ind w:left="4706" w:hanging="265"/>
      </w:pPr>
      <w:rPr>
        <w:rFonts w:hint="default"/>
        <w:lang w:val="es-ES" w:eastAsia="en-US" w:bidi="ar-SA"/>
      </w:rPr>
    </w:lvl>
    <w:lvl w:ilvl="6" w:tplc="995CE770">
      <w:numFmt w:val="bullet"/>
      <w:lvlText w:val="•"/>
      <w:lvlJc w:val="left"/>
      <w:pPr>
        <w:ind w:left="5633" w:hanging="265"/>
      </w:pPr>
      <w:rPr>
        <w:rFonts w:hint="default"/>
        <w:lang w:val="es-ES" w:eastAsia="en-US" w:bidi="ar-SA"/>
      </w:rPr>
    </w:lvl>
    <w:lvl w:ilvl="7" w:tplc="48D81B68">
      <w:numFmt w:val="bullet"/>
      <w:lvlText w:val="•"/>
      <w:lvlJc w:val="left"/>
      <w:pPr>
        <w:ind w:left="6560" w:hanging="265"/>
      </w:pPr>
      <w:rPr>
        <w:rFonts w:hint="default"/>
        <w:lang w:val="es-ES" w:eastAsia="en-US" w:bidi="ar-SA"/>
      </w:rPr>
    </w:lvl>
    <w:lvl w:ilvl="8" w:tplc="CE3C5E52">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166C8374">
      <w:start w:val="1"/>
      <w:numFmt w:val="decimal"/>
      <w:lvlText w:val="%1."/>
      <w:lvlJc w:val="left"/>
      <w:pPr>
        <w:tabs>
          <w:tab w:val="num" w:pos="720"/>
        </w:tabs>
        <w:ind w:left="720" w:hanging="360"/>
      </w:pPr>
    </w:lvl>
    <w:lvl w:ilvl="1" w:tplc="8514DBE8" w:tentative="1">
      <w:start w:val="1"/>
      <w:numFmt w:val="decimal"/>
      <w:lvlText w:val="%2."/>
      <w:lvlJc w:val="left"/>
      <w:pPr>
        <w:tabs>
          <w:tab w:val="num" w:pos="1440"/>
        </w:tabs>
        <w:ind w:left="1440" w:hanging="360"/>
      </w:pPr>
    </w:lvl>
    <w:lvl w:ilvl="2" w:tplc="13B42FB2" w:tentative="1">
      <w:start w:val="1"/>
      <w:numFmt w:val="decimal"/>
      <w:lvlText w:val="%3."/>
      <w:lvlJc w:val="left"/>
      <w:pPr>
        <w:tabs>
          <w:tab w:val="num" w:pos="2160"/>
        </w:tabs>
        <w:ind w:left="2160" w:hanging="360"/>
      </w:pPr>
    </w:lvl>
    <w:lvl w:ilvl="3" w:tplc="2974C174" w:tentative="1">
      <w:start w:val="1"/>
      <w:numFmt w:val="decimal"/>
      <w:lvlText w:val="%4."/>
      <w:lvlJc w:val="left"/>
      <w:pPr>
        <w:tabs>
          <w:tab w:val="num" w:pos="2880"/>
        </w:tabs>
        <w:ind w:left="2880" w:hanging="360"/>
      </w:pPr>
    </w:lvl>
    <w:lvl w:ilvl="4" w:tplc="035E8506" w:tentative="1">
      <w:start w:val="1"/>
      <w:numFmt w:val="decimal"/>
      <w:lvlText w:val="%5."/>
      <w:lvlJc w:val="left"/>
      <w:pPr>
        <w:tabs>
          <w:tab w:val="num" w:pos="3600"/>
        </w:tabs>
        <w:ind w:left="3600" w:hanging="360"/>
      </w:pPr>
    </w:lvl>
    <w:lvl w:ilvl="5" w:tplc="A8BA5AE0" w:tentative="1">
      <w:start w:val="1"/>
      <w:numFmt w:val="decimal"/>
      <w:lvlText w:val="%6."/>
      <w:lvlJc w:val="left"/>
      <w:pPr>
        <w:tabs>
          <w:tab w:val="num" w:pos="4320"/>
        </w:tabs>
        <w:ind w:left="4320" w:hanging="360"/>
      </w:pPr>
    </w:lvl>
    <w:lvl w:ilvl="6" w:tplc="BAE0AB82" w:tentative="1">
      <w:start w:val="1"/>
      <w:numFmt w:val="decimal"/>
      <w:lvlText w:val="%7."/>
      <w:lvlJc w:val="left"/>
      <w:pPr>
        <w:tabs>
          <w:tab w:val="num" w:pos="5040"/>
        </w:tabs>
        <w:ind w:left="5040" w:hanging="360"/>
      </w:pPr>
    </w:lvl>
    <w:lvl w:ilvl="7" w:tplc="1A08E4E6" w:tentative="1">
      <w:start w:val="1"/>
      <w:numFmt w:val="decimal"/>
      <w:lvlText w:val="%8."/>
      <w:lvlJc w:val="left"/>
      <w:pPr>
        <w:tabs>
          <w:tab w:val="num" w:pos="5760"/>
        </w:tabs>
        <w:ind w:left="5760" w:hanging="360"/>
      </w:pPr>
    </w:lvl>
    <w:lvl w:ilvl="8" w:tplc="FC6EBA06"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hybridMultilevel"/>
    <w:tmpl w:val="614E70D0"/>
    <w:lvl w:ilvl="0" w:tplc="25B26202">
      <w:start w:val="1"/>
      <w:numFmt w:val="decimal"/>
      <w:lvlText w:val="%1."/>
      <w:lvlJc w:val="left"/>
      <w:pPr>
        <w:ind w:left="360" w:hanging="360"/>
      </w:pPr>
      <w:rPr>
        <w:rFonts w:hint="default"/>
        <w:b/>
        <w:sz w:val="22"/>
      </w:rPr>
    </w:lvl>
    <w:lvl w:ilvl="1" w:tplc="5538A040">
      <w:start w:val="1"/>
      <w:numFmt w:val="decimal"/>
      <w:isLgl/>
      <w:lvlText w:val="%1.%2"/>
      <w:lvlJc w:val="left"/>
      <w:pPr>
        <w:ind w:left="360" w:hanging="360"/>
      </w:pPr>
      <w:rPr>
        <w:rFonts w:hint="default"/>
      </w:rPr>
    </w:lvl>
    <w:lvl w:ilvl="2" w:tplc="5122E7E2">
      <w:start w:val="1"/>
      <w:numFmt w:val="decimal"/>
      <w:isLgl/>
      <w:lvlText w:val="%1.%2.%3"/>
      <w:lvlJc w:val="left"/>
      <w:pPr>
        <w:ind w:left="720" w:hanging="720"/>
      </w:pPr>
      <w:rPr>
        <w:rFonts w:hint="default"/>
      </w:rPr>
    </w:lvl>
    <w:lvl w:ilvl="3" w:tplc="81B45E54">
      <w:start w:val="1"/>
      <w:numFmt w:val="decimal"/>
      <w:isLgl/>
      <w:lvlText w:val="%1.%2.%3.%4"/>
      <w:lvlJc w:val="left"/>
      <w:pPr>
        <w:ind w:left="720" w:hanging="720"/>
      </w:pPr>
      <w:rPr>
        <w:rFonts w:hint="default"/>
      </w:rPr>
    </w:lvl>
    <w:lvl w:ilvl="4" w:tplc="3F0E72CE">
      <w:start w:val="1"/>
      <w:numFmt w:val="decimal"/>
      <w:isLgl/>
      <w:lvlText w:val="%1.%2.%3.%4.%5"/>
      <w:lvlJc w:val="left"/>
      <w:pPr>
        <w:ind w:left="1080" w:hanging="1080"/>
      </w:pPr>
      <w:rPr>
        <w:rFonts w:hint="default"/>
      </w:rPr>
    </w:lvl>
    <w:lvl w:ilvl="5" w:tplc="EA08B772">
      <w:start w:val="1"/>
      <w:numFmt w:val="decimal"/>
      <w:isLgl/>
      <w:lvlText w:val="%1.%2.%3.%4.%5.%6"/>
      <w:lvlJc w:val="left"/>
      <w:pPr>
        <w:ind w:left="1080" w:hanging="1080"/>
      </w:pPr>
      <w:rPr>
        <w:rFonts w:hint="default"/>
      </w:rPr>
    </w:lvl>
    <w:lvl w:ilvl="6" w:tplc="18F274CE">
      <w:start w:val="1"/>
      <w:numFmt w:val="decimal"/>
      <w:isLgl/>
      <w:lvlText w:val="%1.%2.%3.%4.%5.%6.%7"/>
      <w:lvlJc w:val="left"/>
      <w:pPr>
        <w:ind w:left="1440" w:hanging="1440"/>
      </w:pPr>
      <w:rPr>
        <w:rFonts w:hint="default"/>
      </w:rPr>
    </w:lvl>
    <w:lvl w:ilvl="7" w:tplc="7CBCB5A4">
      <w:start w:val="1"/>
      <w:numFmt w:val="decimal"/>
      <w:isLgl/>
      <w:lvlText w:val="%1.%2.%3.%4.%5.%6.%7.%8"/>
      <w:lvlJc w:val="left"/>
      <w:pPr>
        <w:ind w:left="1440" w:hanging="1440"/>
      </w:pPr>
      <w:rPr>
        <w:rFonts w:hint="default"/>
      </w:rPr>
    </w:lvl>
    <w:lvl w:ilvl="8" w:tplc="F028B94E">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tplc="A9C8E336">
      <w:start w:val="2"/>
      <w:numFmt w:val="decimal"/>
      <w:lvlText w:val="%1."/>
      <w:lvlJc w:val="left"/>
      <w:pPr>
        <w:ind w:left="360" w:hanging="360"/>
      </w:pPr>
    </w:lvl>
    <w:lvl w:ilvl="1" w:tplc="1EDC411C">
      <w:start w:val="1"/>
      <w:numFmt w:val="decimal"/>
      <w:lvlText w:val="%1.%2."/>
      <w:lvlJc w:val="left"/>
      <w:pPr>
        <w:ind w:left="720" w:hanging="720"/>
      </w:pPr>
    </w:lvl>
    <w:lvl w:ilvl="2" w:tplc="309C4D46">
      <w:start w:val="1"/>
      <w:numFmt w:val="decimal"/>
      <w:lvlText w:val="%1.%2.%3."/>
      <w:lvlJc w:val="left"/>
      <w:pPr>
        <w:ind w:left="720" w:hanging="720"/>
      </w:pPr>
    </w:lvl>
    <w:lvl w:ilvl="3" w:tplc="D72C377A">
      <w:start w:val="1"/>
      <w:numFmt w:val="decimal"/>
      <w:lvlText w:val="%1.%2.%3.%4."/>
      <w:lvlJc w:val="left"/>
      <w:pPr>
        <w:ind w:left="1080" w:hanging="1080"/>
      </w:pPr>
    </w:lvl>
    <w:lvl w:ilvl="4" w:tplc="B2561F14">
      <w:start w:val="1"/>
      <w:numFmt w:val="decimal"/>
      <w:lvlText w:val="%1.%2.%3.%4.%5."/>
      <w:lvlJc w:val="left"/>
      <w:pPr>
        <w:ind w:left="1080" w:hanging="1080"/>
      </w:pPr>
    </w:lvl>
    <w:lvl w:ilvl="5" w:tplc="AC04B9F0">
      <w:start w:val="1"/>
      <w:numFmt w:val="decimal"/>
      <w:lvlText w:val="%1.%2.%3.%4.%5.%6."/>
      <w:lvlJc w:val="left"/>
      <w:pPr>
        <w:ind w:left="1440" w:hanging="1440"/>
      </w:pPr>
    </w:lvl>
    <w:lvl w:ilvl="6" w:tplc="C7E89AD8">
      <w:start w:val="1"/>
      <w:numFmt w:val="decimal"/>
      <w:lvlText w:val="%1.%2.%3.%4.%5.%6.%7."/>
      <w:lvlJc w:val="left"/>
      <w:pPr>
        <w:ind w:left="1440" w:hanging="1440"/>
      </w:pPr>
    </w:lvl>
    <w:lvl w:ilvl="7" w:tplc="E04417EA">
      <w:start w:val="1"/>
      <w:numFmt w:val="decimal"/>
      <w:lvlText w:val="%1.%2.%3.%4.%5.%6.%7.%8."/>
      <w:lvlJc w:val="left"/>
      <w:pPr>
        <w:ind w:left="1800" w:hanging="1800"/>
      </w:pPr>
    </w:lvl>
    <w:lvl w:ilvl="8" w:tplc="E612F72E">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hybridMultilevel"/>
    <w:tmpl w:val="25463362"/>
    <w:lvl w:ilvl="0" w:tplc="6EE6CE60">
      <w:start w:val="2"/>
      <w:numFmt w:val="decimal"/>
      <w:lvlText w:val="%1."/>
      <w:lvlJc w:val="left"/>
      <w:pPr>
        <w:ind w:left="360" w:hanging="360"/>
      </w:pPr>
    </w:lvl>
    <w:lvl w:ilvl="1" w:tplc="F41C9290">
      <w:start w:val="1"/>
      <w:numFmt w:val="decimal"/>
      <w:lvlText w:val="%1.%2."/>
      <w:lvlJc w:val="left"/>
      <w:pPr>
        <w:ind w:left="720" w:hanging="720"/>
      </w:pPr>
    </w:lvl>
    <w:lvl w:ilvl="2" w:tplc="19E6EC38">
      <w:start w:val="1"/>
      <w:numFmt w:val="decimal"/>
      <w:lvlText w:val="%1.%2.%3."/>
      <w:lvlJc w:val="left"/>
      <w:pPr>
        <w:ind w:left="720" w:hanging="720"/>
      </w:pPr>
    </w:lvl>
    <w:lvl w:ilvl="3" w:tplc="B09E3FFE">
      <w:start w:val="1"/>
      <w:numFmt w:val="decimal"/>
      <w:lvlText w:val="%1.%2.%3.%4."/>
      <w:lvlJc w:val="left"/>
      <w:pPr>
        <w:ind w:left="1080" w:hanging="1080"/>
      </w:pPr>
    </w:lvl>
    <w:lvl w:ilvl="4" w:tplc="74E85934">
      <w:start w:val="1"/>
      <w:numFmt w:val="decimal"/>
      <w:lvlText w:val="%1.%2.%3.%4.%5."/>
      <w:lvlJc w:val="left"/>
      <w:pPr>
        <w:ind w:left="1080" w:hanging="1080"/>
      </w:pPr>
    </w:lvl>
    <w:lvl w:ilvl="5" w:tplc="8EE8CECE">
      <w:start w:val="1"/>
      <w:numFmt w:val="decimal"/>
      <w:lvlText w:val="%1.%2.%3.%4.%5.%6."/>
      <w:lvlJc w:val="left"/>
      <w:pPr>
        <w:ind w:left="1440" w:hanging="1440"/>
      </w:pPr>
    </w:lvl>
    <w:lvl w:ilvl="6" w:tplc="5AC478C2">
      <w:start w:val="1"/>
      <w:numFmt w:val="decimal"/>
      <w:lvlText w:val="%1.%2.%3.%4.%5.%6.%7."/>
      <w:lvlJc w:val="left"/>
      <w:pPr>
        <w:ind w:left="1440" w:hanging="1440"/>
      </w:pPr>
    </w:lvl>
    <w:lvl w:ilvl="7" w:tplc="0548E36C">
      <w:start w:val="1"/>
      <w:numFmt w:val="decimal"/>
      <w:lvlText w:val="%1.%2.%3.%4.%5.%6.%7.%8."/>
      <w:lvlJc w:val="left"/>
      <w:pPr>
        <w:ind w:left="1800" w:hanging="1800"/>
      </w:pPr>
    </w:lvl>
    <w:lvl w:ilvl="8" w:tplc="30F8F812">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56C"/>
    <w:rsid w:val="00003C5C"/>
    <w:rsid w:val="00003D39"/>
    <w:rsid w:val="000040D7"/>
    <w:rsid w:val="00004556"/>
    <w:rsid w:val="000051AF"/>
    <w:rsid w:val="000059D3"/>
    <w:rsid w:val="00005B6D"/>
    <w:rsid w:val="0000600A"/>
    <w:rsid w:val="00006081"/>
    <w:rsid w:val="000063EC"/>
    <w:rsid w:val="00007750"/>
    <w:rsid w:val="000077FD"/>
    <w:rsid w:val="00007E37"/>
    <w:rsid w:val="00010C40"/>
    <w:rsid w:val="000112B4"/>
    <w:rsid w:val="00011DCC"/>
    <w:rsid w:val="00012532"/>
    <w:rsid w:val="0001272E"/>
    <w:rsid w:val="00012B9E"/>
    <w:rsid w:val="00012F37"/>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339A"/>
    <w:rsid w:val="000341F2"/>
    <w:rsid w:val="00035046"/>
    <w:rsid w:val="000351F2"/>
    <w:rsid w:val="00036E03"/>
    <w:rsid w:val="000406DB"/>
    <w:rsid w:val="0004094D"/>
    <w:rsid w:val="00041029"/>
    <w:rsid w:val="00041357"/>
    <w:rsid w:val="0004149B"/>
    <w:rsid w:val="00041FC6"/>
    <w:rsid w:val="00042281"/>
    <w:rsid w:val="00042961"/>
    <w:rsid w:val="00042C25"/>
    <w:rsid w:val="00042D03"/>
    <w:rsid w:val="00043086"/>
    <w:rsid w:val="000430A0"/>
    <w:rsid w:val="00043399"/>
    <w:rsid w:val="00043D3B"/>
    <w:rsid w:val="0004418C"/>
    <w:rsid w:val="00044204"/>
    <w:rsid w:val="0004477A"/>
    <w:rsid w:val="000449D4"/>
    <w:rsid w:val="0004600D"/>
    <w:rsid w:val="000463B5"/>
    <w:rsid w:val="00046717"/>
    <w:rsid w:val="00046A63"/>
    <w:rsid w:val="00046C09"/>
    <w:rsid w:val="0004716A"/>
    <w:rsid w:val="00047385"/>
    <w:rsid w:val="000473E8"/>
    <w:rsid w:val="00047432"/>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61010"/>
    <w:rsid w:val="00061D06"/>
    <w:rsid w:val="00062CDD"/>
    <w:rsid w:val="00062DB3"/>
    <w:rsid w:val="00063472"/>
    <w:rsid w:val="000640AF"/>
    <w:rsid w:val="00064940"/>
    <w:rsid w:val="00064BBF"/>
    <w:rsid w:val="00064CAE"/>
    <w:rsid w:val="00064DB7"/>
    <w:rsid w:val="00064FA7"/>
    <w:rsid w:val="00065195"/>
    <w:rsid w:val="0006536C"/>
    <w:rsid w:val="0006626E"/>
    <w:rsid w:val="00070AF1"/>
    <w:rsid w:val="000714DE"/>
    <w:rsid w:val="0007254F"/>
    <w:rsid w:val="0007357C"/>
    <w:rsid w:val="00073C30"/>
    <w:rsid w:val="00074305"/>
    <w:rsid w:val="000744D0"/>
    <w:rsid w:val="00074B2A"/>
    <w:rsid w:val="00074EEE"/>
    <w:rsid w:val="000753D5"/>
    <w:rsid w:val="00075B3E"/>
    <w:rsid w:val="00076456"/>
    <w:rsid w:val="0007779B"/>
    <w:rsid w:val="000777E7"/>
    <w:rsid w:val="0007790A"/>
    <w:rsid w:val="0008017B"/>
    <w:rsid w:val="000802AA"/>
    <w:rsid w:val="00080ACD"/>
    <w:rsid w:val="000811ED"/>
    <w:rsid w:val="00081D62"/>
    <w:rsid w:val="0008224B"/>
    <w:rsid w:val="00082B74"/>
    <w:rsid w:val="00083099"/>
    <w:rsid w:val="00083EDC"/>
    <w:rsid w:val="00084B97"/>
    <w:rsid w:val="0008510E"/>
    <w:rsid w:val="000856DE"/>
    <w:rsid w:val="00085F17"/>
    <w:rsid w:val="00085FB0"/>
    <w:rsid w:val="00085FB3"/>
    <w:rsid w:val="0008686B"/>
    <w:rsid w:val="00086B2A"/>
    <w:rsid w:val="00086ED2"/>
    <w:rsid w:val="00087A64"/>
    <w:rsid w:val="0009082C"/>
    <w:rsid w:val="00090C39"/>
    <w:rsid w:val="000914D6"/>
    <w:rsid w:val="00091569"/>
    <w:rsid w:val="0009200C"/>
    <w:rsid w:val="00092CDB"/>
    <w:rsid w:val="00092DCA"/>
    <w:rsid w:val="000942EB"/>
    <w:rsid w:val="00094A39"/>
    <w:rsid w:val="00095557"/>
    <w:rsid w:val="00095B70"/>
    <w:rsid w:val="0009617E"/>
    <w:rsid w:val="0009628D"/>
    <w:rsid w:val="0009670F"/>
    <w:rsid w:val="00096D30"/>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3B0"/>
    <w:rsid w:val="000A46FE"/>
    <w:rsid w:val="000A47E6"/>
    <w:rsid w:val="000A52C0"/>
    <w:rsid w:val="000A5AAF"/>
    <w:rsid w:val="000A5F97"/>
    <w:rsid w:val="000A648E"/>
    <w:rsid w:val="000A7268"/>
    <w:rsid w:val="000A73BB"/>
    <w:rsid w:val="000A73E8"/>
    <w:rsid w:val="000A7EF4"/>
    <w:rsid w:val="000B0A15"/>
    <w:rsid w:val="000B103F"/>
    <w:rsid w:val="000B1057"/>
    <w:rsid w:val="000B1437"/>
    <w:rsid w:val="000B1470"/>
    <w:rsid w:val="000B244D"/>
    <w:rsid w:val="000B2A1A"/>
    <w:rsid w:val="000B2B86"/>
    <w:rsid w:val="000B3051"/>
    <w:rsid w:val="000B419B"/>
    <w:rsid w:val="000B5781"/>
    <w:rsid w:val="000B5CB1"/>
    <w:rsid w:val="000B75F4"/>
    <w:rsid w:val="000C0185"/>
    <w:rsid w:val="000C0F81"/>
    <w:rsid w:val="000C128D"/>
    <w:rsid w:val="000C17A3"/>
    <w:rsid w:val="000C1D4B"/>
    <w:rsid w:val="000C2DC4"/>
    <w:rsid w:val="000C3260"/>
    <w:rsid w:val="000C3B77"/>
    <w:rsid w:val="000C3D87"/>
    <w:rsid w:val="000C3F6D"/>
    <w:rsid w:val="000C4F49"/>
    <w:rsid w:val="000C5861"/>
    <w:rsid w:val="000C5BDE"/>
    <w:rsid w:val="000C639D"/>
    <w:rsid w:val="000C6C31"/>
    <w:rsid w:val="000C6DBC"/>
    <w:rsid w:val="000C6F79"/>
    <w:rsid w:val="000C7322"/>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58B7"/>
    <w:rsid w:val="000D6288"/>
    <w:rsid w:val="000D728B"/>
    <w:rsid w:val="000D7541"/>
    <w:rsid w:val="000D75E1"/>
    <w:rsid w:val="000E08A0"/>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69"/>
    <w:rsid w:val="000E7E0B"/>
    <w:rsid w:val="000F0136"/>
    <w:rsid w:val="000F078A"/>
    <w:rsid w:val="000F122D"/>
    <w:rsid w:val="000F1450"/>
    <w:rsid w:val="000F14E8"/>
    <w:rsid w:val="000F1BBD"/>
    <w:rsid w:val="000F290F"/>
    <w:rsid w:val="000F4403"/>
    <w:rsid w:val="000F4481"/>
    <w:rsid w:val="000F480B"/>
    <w:rsid w:val="000F485B"/>
    <w:rsid w:val="000F4E17"/>
    <w:rsid w:val="000F5615"/>
    <w:rsid w:val="000F6578"/>
    <w:rsid w:val="000F6F92"/>
    <w:rsid w:val="000F7E8F"/>
    <w:rsid w:val="000F7FBB"/>
    <w:rsid w:val="001000FB"/>
    <w:rsid w:val="00100A9E"/>
    <w:rsid w:val="00100F6A"/>
    <w:rsid w:val="00102605"/>
    <w:rsid w:val="00102686"/>
    <w:rsid w:val="00102745"/>
    <w:rsid w:val="001030CE"/>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59A"/>
    <w:rsid w:val="00113705"/>
    <w:rsid w:val="00113975"/>
    <w:rsid w:val="00113CFC"/>
    <w:rsid w:val="00113FEA"/>
    <w:rsid w:val="00114A22"/>
    <w:rsid w:val="00114E9D"/>
    <w:rsid w:val="0011507B"/>
    <w:rsid w:val="00115C37"/>
    <w:rsid w:val="00116328"/>
    <w:rsid w:val="001163CF"/>
    <w:rsid w:val="001174C9"/>
    <w:rsid w:val="001177FE"/>
    <w:rsid w:val="00117E69"/>
    <w:rsid w:val="00121103"/>
    <w:rsid w:val="00121B78"/>
    <w:rsid w:val="00121BAB"/>
    <w:rsid w:val="00121E3C"/>
    <w:rsid w:val="00122B23"/>
    <w:rsid w:val="00122B7E"/>
    <w:rsid w:val="00123E27"/>
    <w:rsid w:val="00123FB5"/>
    <w:rsid w:val="0012400F"/>
    <w:rsid w:val="001249DC"/>
    <w:rsid w:val="0012572D"/>
    <w:rsid w:val="00125BED"/>
    <w:rsid w:val="00125C59"/>
    <w:rsid w:val="00125D4F"/>
    <w:rsid w:val="00127004"/>
    <w:rsid w:val="0012770B"/>
    <w:rsid w:val="00127AF2"/>
    <w:rsid w:val="00127EDC"/>
    <w:rsid w:val="00127F42"/>
    <w:rsid w:val="00127F6D"/>
    <w:rsid w:val="00130355"/>
    <w:rsid w:val="00130365"/>
    <w:rsid w:val="001304E5"/>
    <w:rsid w:val="00131B5A"/>
    <w:rsid w:val="00132292"/>
    <w:rsid w:val="00132C30"/>
    <w:rsid w:val="00132EFD"/>
    <w:rsid w:val="00133AED"/>
    <w:rsid w:val="00134BCD"/>
    <w:rsid w:val="00134E09"/>
    <w:rsid w:val="001350AB"/>
    <w:rsid w:val="00135DB9"/>
    <w:rsid w:val="00135E5D"/>
    <w:rsid w:val="001363D6"/>
    <w:rsid w:val="0013695C"/>
    <w:rsid w:val="00136BF7"/>
    <w:rsid w:val="00136C78"/>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5BED"/>
    <w:rsid w:val="00155D08"/>
    <w:rsid w:val="0015623B"/>
    <w:rsid w:val="00156BE5"/>
    <w:rsid w:val="00157232"/>
    <w:rsid w:val="00157B5F"/>
    <w:rsid w:val="00160401"/>
    <w:rsid w:val="00160D4E"/>
    <w:rsid w:val="00161DDA"/>
    <w:rsid w:val="00161E62"/>
    <w:rsid w:val="00161F1C"/>
    <w:rsid w:val="0016200B"/>
    <w:rsid w:val="0016204B"/>
    <w:rsid w:val="00163D7A"/>
    <w:rsid w:val="00164281"/>
    <w:rsid w:val="00165703"/>
    <w:rsid w:val="00165E5C"/>
    <w:rsid w:val="00166204"/>
    <w:rsid w:val="001662CA"/>
    <w:rsid w:val="00166797"/>
    <w:rsid w:val="0016685F"/>
    <w:rsid w:val="0016712F"/>
    <w:rsid w:val="00167503"/>
    <w:rsid w:val="001676A9"/>
    <w:rsid w:val="00167A15"/>
    <w:rsid w:val="00167A50"/>
    <w:rsid w:val="00167D1A"/>
    <w:rsid w:val="00167DF5"/>
    <w:rsid w:val="00170001"/>
    <w:rsid w:val="00172198"/>
    <w:rsid w:val="00172612"/>
    <w:rsid w:val="001726C6"/>
    <w:rsid w:val="00172817"/>
    <w:rsid w:val="001734E3"/>
    <w:rsid w:val="001742BF"/>
    <w:rsid w:val="001742E1"/>
    <w:rsid w:val="00175BE2"/>
    <w:rsid w:val="00175E49"/>
    <w:rsid w:val="0017649F"/>
    <w:rsid w:val="0017655B"/>
    <w:rsid w:val="0018007F"/>
    <w:rsid w:val="001805C1"/>
    <w:rsid w:val="00180A2E"/>
    <w:rsid w:val="001813AF"/>
    <w:rsid w:val="00182368"/>
    <w:rsid w:val="001826C9"/>
    <w:rsid w:val="001829CD"/>
    <w:rsid w:val="00182F01"/>
    <w:rsid w:val="00184219"/>
    <w:rsid w:val="00184F27"/>
    <w:rsid w:val="0018519B"/>
    <w:rsid w:val="00185966"/>
    <w:rsid w:val="00185A2D"/>
    <w:rsid w:val="00185AFE"/>
    <w:rsid w:val="00185E78"/>
    <w:rsid w:val="0018656E"/>
    <w:rsid w:val="00187177"/>
    <w:rsid w:val="00187ABD"/>
    <w:rsid w:val="001904E3"/>
    <w:rsid w:val="0019087A"/>
    <w:rsid w:val="00191C5A"/>
    <w:rsid w:val="00191CEB"/>
    <w:rsid w:val="00191E63"/>
    <w:rsid w:val="00192D68"/>
    <w:rsid w:val="0019388B"/>
    <w:rsid w:val="00193ADE"/>
    <w:rsid w:val="00193AF8"/>
    <w:rsid w:val="00193B9A"/>
    <w:rsid w:val="001940ED"/>
    <w:rsid w:val="001946AE"/>
    <w:rsid w:val="001946D5"/>
    <w:rsid w:val="00194E8C"/>
    <w:rsid w:val="00195F02"/>
    <w:rsid w:val="001962EC"/>
    <w:rsid w:val="001963DD"/>
    <w:rsid w:val="001965DB"/>
    <w:rsid w:val="00196D01"/>
    <w:rsid w:val="00196DC9"/>
    <w:rsid w:val="00196E95"/>
    <w:rsid w:val="00197758"/>
    <w:rsid w:val="00197C5C"/>
    <w:rsid w:val="001A0236"/>
    <w:rsid w:val="001A0915"/>
    <w:rsid w:val="001A0AF8"/>
    <w:rsid w:val="001A0E1B"/>
    <w:rsid w:val="001A1490"/>
    <w:rsid w:val="001A18D5"/>
    <w:rsid w:val="001A1A38"/>
    <w:rsid w:val="001A1BE0"/>
    <w:rsid w:val="001A1D4A"/>
    <w:rsid w:val="001A3011"/>
    <w:rsid w:val="001A3078"/>
    <w:rsid w:val="001A4A9B"/>
    <w:rsid w:val="001A4B32"/>
    <w:rsid w:val="001A4DAF"/>
    <w:rsid w:val="001A4F44"/>
    <w:rsid w:val="001A54CD"/>
    <w:rsid w:val="001A66DF"/>
    <w:rsid w:val="001A67D0"/>
    <w:rsid w:val="001A6863"/>
    <w:rsid w:val="001A7591"/>
    <w:rsid w:val="001A75B1"/>
    <w:rsid w:val="001A7B06"/>
    <w:rsid w:val="001B0366"/>
    <w:rsid w:val="001B0444"/>
    <w:rsid w:val="001B096B"/>
    <w:rsid w:val="001B0EB0"/>
    <w:rsid w:val="001B0F40"/>
    <w:rsid w:val="001B0F9F"/>
    <w:rsid w:val="001B123C"/>
    <w:rsid w:val="001B1A0D"/>
    <w:rsid w:val="001B1BF1"/>
    <w:rsid w:val="001B21AC"/>
    <w:rsid w:val="001B2456"/>
    <w:rsid w:val="001B449C"/>
    <w:rsid w:val="001B4AA2"/>
    <w:rsid w:val="001B4ADE"/>
    <w:rsid w:val="001B5530"/>
    <w:rsid w:val="001B5EF8"/>
    <w:rsid w:val="001B71E8"/>
    <w:rsid w:val="001C033E"/>
    <w:rsid w:val="001C07C6"/>
    <w:rsid w:val="001C120D"/>
    <w:rsid w:val="001C16DA"/>
    <w:rsid w:val="001C19CD"/>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EEE"/>
    <w:rsid w:val="001D30F3"/>
    <w:rsid w:val="001D31A0"/>
    <w:rsid w:val="001D338E"/>
    <w:rsid w:val="001D4562"/>
    <w:rsid w:val="001D4CAD"/>
    <w:rsid w:val="001D56E9"/>
    <w:rsid w:val="001D6944"/>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806"/>
    <w:rsid w:val="001F0D15"/>
    <w:rsid w:val="001F0FA0"/>
    <w:rsid w:val="001F10BD"/>
    <w:rsid w:val="001F1349"/>
    <w:rsid w:val="001F1863"/>
    <w:rsid w:val="001F1A52"/>
    <w:rsid w:val="001F2356"/>
    <w:rsid w:val="001F2A68"/>
    <w:rsid w:val="001F2C47"/>
    <w:rsid w:val="001F4773"/>
    <w:rsid w:val="001F5008"/>
    <w:rsid w:val="001F56AA"/>
    <w:rsid w:val="001F58AA"/>
    <w:rsid w:val="001F5A4E"/>
    <w:rsid w:val="001F5CDE"/>
    <w:rsid w:val="001F5EF6"/>
    <w:rsid w:val="001F657F"/>
    <w:rsid w:val="001F6FB6"/>
    <w:rsid w:val="001F72BB"/>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0AD"/>
    <w:rsid w:val="0022194E"/>
    <w:rsid w:val="002220B1"/>
    <w:rsid w:val="002221CE"/>
    <w:rsid w:val="00222BE8"/>
    <w:rsid w:val="00222DF6"/>
    <w:rsid w:val="00223092"/>
    <w:rsid w:val="00223102"/>
    <w:rsid w:val="002232CB"/>
    <w:rsid w:val="00224022"/>
    <w:rsid w:val="00226055"/>
    <w:rsid w:val="0022609C"/>
    <w:rsid w:val="0022613F"/>
    <w:rsid w:val="0022614F"/>
    <w:rsid w:val="00226236"/>
    <w:rsid w:val="002266AF"/>
    <w:rsid w:val="00226E47"/>
    <w:rsid w:val="002270C9"/>
    <w:rsid w:val="00227A8B"/>
    <w:rsid w:val="0023146B"/>
    <w:rsid w:val="002315A0"/>
    <w:rsid w:val="00231748"/>
    <w:rsid w:val="00231DCC"/>
    <w:rsid w:val="00231EC7"/>
    <w:rsid w:val="00232AF4"/>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B82"/>
    <w:rsid w:val="00242D5F"/>
    <w:rsid w:val="00242D62"/>
    <w:rsid w:val="002430D0"/>
    <w:rsid w:val="002431D7"/>
    <w:rsid w:val="00244058"/>
    <w:rsid w:val="00245718"/>
    <w:rsid w:val="00245E07"/>
    <w:rsid w:val="00247712"/>
    <w:rsid w:val="00250A9E"/>
    <w:rsid w:val="00250EC6"/>
    <w:rsid w:val="002515C7"/>
    <w:rsid w:val="00251866"/>
    <w:rsid w:val="00251A9F"/>
    <w:rsid w:val="00252492"/>
    <w:rsid w:val="00252B35"/>
    <w:rsid w:val="00253070"/>
    <w:rsid w:val="0025316D"/>
    <w:rsid w:val="00253A02"/>
    <w:rsid w:val="00253B81"/>
    <w:rsid w:val="00254AE9"/>
    <w:rsid w:val="002554DE"/>
    <w:rsid w:val="00255575"/>
    <w:rsid w:val="00255E11"/>
    <w:rsid w:val="002564B7"/>
    <w:rsid w:val="00256835"/>
    <w:rsid w:val="002569F0"/>
    <w:rsid w:val="00256C01"/>
    <w:rsid w:val="00256E1A"/>
    <w:rsid w:val="00256ECF"/>
    <w:rsid w:val="00257730"/>
    <w:rsid w:val="00257999"/>
    <w:rsid w:val="002604AA"/>
    <w:rsid w:val="0026051E"/>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82E"/>
    <w:rsid w:val="002748F1"/>
    <w:rsid w:val="00274DB5"/>
    <w:rsid w:val="00275BB1"/>
    <w:rsid w:val="0027609D"/>
    <w:rsid w:val="0027770B"/>
    <w:rsid w:val="00277933"/>
    <w:rsid w:val="00277F8D"/>
    <w:rsid w:val="00277FA7"/>
    <w:rsid w:val="00280046"/>
    <w:rsid w:val="00280B4F"/>
    <w:rsid w:val="00280F3D"/>
    <w:rsid w:val="0028106A"/>
    <w:rsid w:val="00281D39"/>
    <w:rsid w:val="00281EB4"/>
    <w:rsid w:val="00282E03"/>
    <w:rsid w:val="0028308E"/>
    <w:rsid w:val="002834E9"/>
    <w:rsid w:val="00283A52"/>
    <w:rsid w:val="00283C5E"/>
    <w:rsid w:val="00283E26"/>
    <w:rsid w:val="0028428F"/>
    <w:rsid w:val="00284CFC"/>
    <w:rsid w:val="00284EB9"/>
    <w:rsid w:val="00285832"/>
    <w:rsid w:val="00285969"/>
    <w:rsid w:val="0028599C"/>
    <w:rsid w:val="0028663B"/>
    <w:rsid w:val="00286CEC"/>
    <w:rsid w:val="002870F9"/>
    <w:rsid w:val="002871A9"/>
    <w:rsid w:val="00287505"/>
    <w:rsid w:val="00287727"/>
    <w:rsid w:val="00287BDB"/>
    <w:rsid w:val="00290781"/>
    <w:rsid w:val="00290ECC"/>
    <w:rsid w:val="00291784"/>
    <w:rsid w:val="002920DF"/>
    <w:rsid w:val="002928A3"/>
    <w:rsid w:val="002929BB"/>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48B"/>
    <w:rsid w:val="002A3D94"/>
    <w:rsid w:val="002A4736"/>
    <w:rsid w:val="002A4B1C"/>
    <w:rsid w:val="002A55FE"/>
    <w:rsid w:val="002A5904"/>
    <w:rsid w:val="002A625C"/>
    <w:rsid w:val="002A6AFB"/>
    <w:rsid w:val="002A733D"/>
    <w:rsid w:val="002A774A"/>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24B4"/>
    <w:rsid w:val="002C2B3A"/>
    <w:rsid w:val="002C2B87"/>
    <w:rsid w:val="002C3CF4"/>
    <w:rsid w:val="002C441A"/>
    <w:rsid w:val="002C4A73"/>
    <w:rsid w:val="002C4B84"/>
    <w:rsid w:val="002C4C0C"/>
    <w:rsid w:val="002C5016"/>
    <w:rsid w:val="002C5C2F"/>
    <w:rsid w:val="002C5D0F"/>
    <w:rsid w:val="002C5F46"/>
    <w:rsid w:val="002C60B9"/>
    <w:rsid w:val="002C61D4"/>
    <w:rsid w:val="002C6F77"/>
    <w:rsid w:val="002C704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D76"/>
    <w:rsid w:val="002E40A1"/>
    <w:rsid w:val="002E48EC"/>
    <w:rsid w:val="002E4B44"/>
    <w:rsid w:val="002E4ECB"/>
    <w:rsid w:val="002E4F23"/>
    <w:rsid w:val="002E635A"/>
    <w:rsid w:val="002E6D68"/>
    <w:rsid w:val="002E777C"/>
    <w:rsid w:val="002E7847"/>
    <w:rsid w:val="002F0073"/>
    <w:rsid w:val="002F1700"/>
    <w:rsid w:val="002F1B27"/>
    <w:rsid w:val="002F1C67"/>
    <w:rsid w:val="002F240B"/>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41E"/>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61A4"/>
    <w:rsid w:val="0031674D"/>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98"/>
    <w:rsid w:val="0032682A"/>
    <w:rsid w:val="00327373"/>
    <w:rsid w:val="00327A5C"/>
    <w:rsid w:val="0033092C"/>
    <w:rsid w:val="0033122A"/>
    <w:rsid w:val="003315AC"/>
    <w:rsid w:val="00331932"/>
    <w:rsid w:val="00331F74"/>
    <w:rsid w:val="00332382"/>
    <w:rsid w:val="00332453"/>
    <w:rsid w:val="0033251B"/>
    <w:rsid w:val="003331CC"/>
    <w:rsid w:val="00333A88"/>
    <w:rsid w:val="00335B15"/>
    <w:rsid w:val="00335B21"/>
    <w:rsid w:val="00335D3F"/>
    <w:rsid w:val="00336104"/>
    <w:rsid w:val="00336729"/>
    <w:rsid w:val="00336CD9"/>
    <w:rsid w:val="0033726D"/>
    <w:rsid w:val="00337296"/>
    <w:rsid w:val="00337CA8"/>
    <w:rsid w:val="00340D3F"/>
    <w:rsid w:val="0034174B"/>
    <w:rsid w:val="0034177C"/>
    <w:rsid w:val="003420E9"/>
    <w:rsid w:val="00342345"/>
    <w:rsid w:val="00342837"/>
    <w:rsid w:val="00342C27"/>
    <w:rsid w:val="003430C8"/>
    <w:rsid w:val="003432C8"/>
    <w:rsid w:val="003434B3"/>
    <w:rsid w:val="00343536"/>
    <w:rsid w:val="00343EFB"/>
    <w:rsid w:val="00344760"/>
    <w:rsid w:val="003454E8"/>
    <w:rsid w:val="00345574"/>
    <w:rsid w:val="0034680A"/>
    <w:rsid w:val="00346C62"/>
    <w:rsid w:val="00347202"/>
    <w:rsid w:val="0034778E"/>
    <w:rsid w:val="00347A5A"/>
    <w:rsid w:val="003501E2"/>
    <w:rsid w:val="00351E10"/>
    <w:rsid w:val="003529EB"/>
    <w:rsid w:val="003533F4"/>
    <w:rsid w:val="003536F6"/>
    <w:rsid w:val="00353DD5"/>
    <w:rsid w:val="00353F36"/>
    <w:rsid w:val="00355131"/>
    <w:rsid w:val="00355F74"/>
    <w:rsid w:val="003560DB"/>
    <w:rsid w:val="003564DB"/>
    <w:rsid w:val="00356F87"/>
    <w:rsid w:val="00357E83"/>
    <w:rsid w:val="00360B68"/>
    <w:rsid w:val="00360CF3"/>
    <w:rsid w:val="00361A59"/>
    <w:rsid w:val="00363348"/>
    <w:rsid w:val="00363857"/>
    <w:rsid w:val="00363D59"/>
    <w:rsid w:val="00363F08"/>
    <w:rsid w:val="003640F7"/>
    <w:rsid w:val="0036594A"/>
    <w:rsid w:val="00365D3A"/>
    <w:rsid w:val="003664FF"/>
    <w:rsid w:val="00366BD2"/>
    <w:rsid w:val="003670B8"/>
    <w:rsid w:val="003704A3"/>
    <w:rsid w:val="003706F2"/>
    <w:rsid w:val="003709E8"/>
    <w:rsid w:val="0037124F"/>
    <w:rsid w:val="003714F7"/>
    <w:rsid w:val="00373827"/>
    <w:rsid w:val="0037401C"/>
    <w:rsid w:val="0037507B"/>
    <w:rsid w:val="00375C7C"/>
    <w:rsid w:val="00377027"/>
    <w:rsid w:val="00377135"/>
    <w:rsid w:val="00380272"/>
    <w:rsid w:val="003805DB"/>
    <w:rsid w:val="0038152A"/>
    <w:rsid w:val="0038245D"/>
    <w:rsid w:val="00382BAD"/>
    <w:rsid w:val="003835FD"/>
    <w:rsid w:val="00383EDF"/>
    <w:rsid w:val="00384C5E"/>
    <w:rsid w:val="00384DF1"/>
    <w:rsid w:val="00384FF3"/>
    <w:rsid w:val="00386456"/>
    <w:rsid w:val="003865A9"/>
    <w:rsid w:val="0039092B"/>
    <w:rsid w:val="00390BD9"/>
    <w:rsid w:val="00390F32"/>
    <w:rsid w:val="0039135E"/>
    <w:rsid w:val="0039285D"/>
    <w:rsid w:val="0039319C"/>
    <w:rsid w:val="00393577"/>
    <w:rsid w:val="00393CAE"/>
    <w:rsid w:val="003945F4"/>
    <w:rsid w:val="00394EB5"/>
    <w:rsid w:val="003953B4"/>
    <w:rsid w:val="0039615F"/>
    <w:rsid w:val="003966A0"/>
    <w:rsid w:val="00396A29"/>
    <w:rsid w:val="00397C34"/>
    <w:rsid w:val="00397FF0"/>
    <w:rsid w:val="003A0878"/>
    <w:rsid w:val="003A1561"/>
    <w:rsid w:val="003A1D25"/>
    <w:rsid w:val="003A22A2"/>
    <w:rsid w:val="003A2447"/>
    <w:rsid w:val="003A2AA1"/>
    <w:rsid w:val="003A31A5"/>
    <w:rsid w:val="003A329A"/>
    <w:rsid w:val="003A3603"/>
    <w:rsid w:val="003A3851"/>
    <w:rsid w:val="003A39DD"/>
    <w:rsid w:val="003A40DB"/>
    <w:rsid w:val="003A4199"/>
    <w:rsid w:val="003A41C5"/>
    <w:rsid w:val="003A47B0"/>
    <w:rsid w:val="003A4A8E"/>
    <w:rsid w:val="003A563C"/>
    <w:rsid w:val="003A581E"/>
    <w:rsid w:val="003A5E7E"/>
    <w:rsid w:val="003A6160"/>
    <w:rsid w:val="003A65A5"/>
    <w:rsid w:val="003A72F5"/>
    <w:rsid w:val="003A78E5"/>
    <w:rsid w:val="003B0341"/>
    <w:rsid w:val="003B1961"/>
    <w:rsid w:val="003B1E57"/>
    <w:rsid w:val="003B2EF3"/>
    <w:rsid w:val="003B534F"/>
    <w:rsid w:val="003B5391"/>
    <w:rsid w:val="003B58CE"/>
    <w:rsid w:val="003B65D7"/>
    <w:rsid w:val="003B65E0"/>
    <w:rsid w:val="003B6BD4"/>
    <w:rsid w:val="003B6E81"/>
    <w:rsid w:val="003B6F4D"/>
    <w:rsid w:val="003B6FE7"/>
    <w:rsid w:val="003C0491"/>
    <w:rsid w:val="003C0C0F"/>
    <w:rsid w:val="003C0D1F"/>
    <w:rsid w:val="003C116A"/>
    <w:rsid w:val="003C1AF4"/>
    <w:rsid w:val="003C1C02"/>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50B"/>
    <w:rsid w:val="003D0B98"/>
    <w:rsid w:val="003D0C3C"/>
    <w:rsid w:val="003D0DE5"/>
    <w:rsid w:val="003D1351"/>
    <w:rsid w:val="003D21C1"/>
    <w:rsid w:val="003D3B15"/>
    <w:rsid w:val="003D3B2E"/>
    <w:rsid w:val="003D4101"/>
    <w:rsid w:val="003D484D"/>
    <w:rsid w:val="003D49CB"/>
    <w:rsid w:val="003D5F10"/>
    <w:rsid w:val="003D6B8F"/>
    <w:rsid w:val="003D7566"/>
    <w:rsid w:val="003E0224"/>
    <w:rsid w:val="003E09BB"/>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19D"/>
    <w:rsid w:val="0040284E"/>
    <w:rsid w:val="00402DE1"/>
    <w:rsid w:val="00402EEB"/>
    <w:rsid w:val="004037C2"/>
    <w:rsid w:val="00404041"/>
    <w:rsid w:val="004040D4"/>
    <w:rsid w:val="00404B43"/>
    <w:rsid w:val="00404C61"/>
    <w:rsid w:val="00405487"/>
    <w:rsid w:val="00405B8A"/>
    <w:rsid w:val="0040602B"/>
    <w:rsid w:val="0040606C"/>
    <w:rsid w:val="004060DC"/>
    <w:rsid w:val="00406DF5"/>
    <w:rsid w:val="00406F35"/>
    <w:rsid w:val="004077D0"/>
    <w:rsid w:val="00407A7A"/>
    <w:rsid w:val="00407ABC"/>
    <w:rsid w:val="00407F1E"/>
    <w:rsid w:val="00410A88"/>
    <w:rsid w:val="00410CC8"/>
    <w:rsid w:val="00410EA0"/>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9D2"/>
    <w:rsid w:val="00420BBA"/>
    <w:rsid w:val="00420D6E"/>
    <w:rsid w:val="0042158C"/>
    <w:rsid w:val="00421617"/>
    <w:rsid w:val="004217A7"/>
    <w:rsid w:val="00421BD2"/>
    <w:rsid w:val="00421E00"/>
    <w:rsid w:val="00421FCB"/>
    <w:rsid w:val="00422DCA"/>
    <w:rsid w:val="00423C7F"/>
    <w:rsid w:val="00423D04"/>
    <w:rsid w:val="00423F9F"/>
    <w:rsid w:val="00424C83"/>
    <w:rsid w:val="00425C43"/>
    <w:rsid w:val="004273FA"/>
    <w:rsid w:val="004275A7"/>
    <w:rsid w:val="00430186"/>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13"/>
    <w:rsid w:val="00442D21"/>
    <w:rsid w:val="00442D4D"/>
    <w:rsid w:val="0044374D"/>
    <w:rsid w:val="00443B55"/>
    <w:rsid w:val="00443D27"/>
    <w:rsid w:val="0044500B"/>
    <w:rsid w:val="004451C5"/>
    <w:rsid w:val="00446037"/>
    <w:rsid w:val="00446270"/>
    <w:rsid w:val="0044642F"/>
    <w:rsid w:val="0044772C"/>
    <w:rsid w:val="00450846"/>
    <w:rsid w:val="00451A52"/>
    <w:rsid w:val="00452663"/>
    <w:rsid w:val="0045271D"/>
    <w:rsid w:val="00452755"/>
    <w:rsid w:val="00452803"/>
    <w:rsid w:val="004529C6"/>
    <w:rsid w:val="00452EAD"/>
    <w:rsid w:val="0045330B"/>
    <w:rsid w:val="004533D1"/>
    <w:rsid w:val="004534D1"/>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2E1D"/>
    <w:rsid w:val="0046320A"/>
    <w:rsid w:val="00463347"/>
    <w:rsid w:val="004636CC"/>
    <w:rsid w:val="004638E2"/>
    <w:rsid w:val="00464030"/>
    <w:rsid w:val="004647F8"/>
    <w:rsid w:val="004647FB"/>
    <w:rsid w:val="00465347"/>
    <w:rsid w:val="00465677"/>
    <w:rsid w:val="00466392"/>
    <w:rsid w:val="00466616"/>
    <w:rsid w:val="00466A0C"/>
    <w:rsid w:val="00466A53"/>
    <w:rsid w:val="00470552"/>
    <w:rsid w:val="00470A6A"/>
    <w:rsid w:val="00470D73"/>
    <w:rsid w:val="00470D92"/>
    <w:rsid w:val="00471DF7"/>
    <w:rsid w:val="004734CF"/>
    <w:rsid w:val="00473F33"/>
    <w:rsid w:val="00474DD3"/>
    <w:rsid w:val="0047586C"/>
    <w:rsid w:val="00475C5A"/>
    <w:rsid w:val="00475C9C"/>
    <w:rsid w:val="0047676B"/>
    <w:rsid w:val="0047771F"/>
    <w:rsid w:val="0047773C"/>
    <w:rsid w:val="00477C5F"/>
    <w:rsid w:val="00480050"/>
    <w:rsid w:val="0048011C"/>
    <w:rsid w:val="004808DE"/>
    <w:rsid w:val="00480F9A"/>
    <w:rsid w:val="00481AC4"/>
    <w:rsid w:val="00481DC1"/>
    <w:rsid w:val="00482507"/>
    <w:rsid w:val="0048268A"/>
    <w:rsid w:val="00482A64"/>
    <w:rsid w:val="004835CA"/>
    <w:rsid w:val="004836F8"/>
    <w:rsid w:val="004836FE"/>
    <w:rsid w:val="00484A39"/>
    <w:rsid w:val="00484F0F"/>
    <w:rsid w:val="00484F40"/>
    <w:rsid w:val="0048540C"/>
    <w:rsid w:val="0048608A"/>
    <w:rsid w:val="004861B4"/>
    <w:rsid w:val="00486226"/>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530F"/>
    <w:rsid w:val="00496664"/>
    <w:rsid w:val="00496786"/>
    <w:rsid w:val="0049695B"/>
    <w:rsid w:val="00496D8F"/>
    <w:rsid w:val="00497463"/>
    <w:rsid w:val="004A00D0"/>
    <w:rsid w:val="004A054C"/>
    <w:rsid w:val="004A0641"/>
    <w:rsid w:val="004A08D1"/>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197"/>
    <w:rsid w:val="004B298A"/>
    <w:rsid w:val="004B2BB8"/>
    <w:rsid w:val="004B50CB"/>
    <w:rsid w:val="004B578D"/>
    <w:rsid w:val="004B5BE7"/>
    <w:rsid w:val="004B5E2D"/>
    <w:rsid w:val="004B6C07"/>
    <w:rsid w:val="004B6EF5"/>
    <w:rsid w:val="004B74D3"/>
    <w:rsid w:val="004B755E"/>
    <w:rsid w:val="004B788E"/>
    <w:rsid w:val="004B7E5D"/>
    <w:rsid w:val="004C1198"/>
    <w:rsid w:val="004C22F7"/>
    <w:rsid w:val="004C2B27"/>
    <w:rsid w:val="004C3929"/>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86"/>
    <w:rsid w:val="004D4BA1"/>
    <w:rsid w:val="004D4C83"/>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55"/>
    <w:rsid w:val="004E40CE"/>
    <w:rsid w:val="004E5736"/>
    <w:rsid w:val="004E5A3C"/>
    <w:rsid w:val="004E5B36"/>
    <w:rsid w:val="004E5D5D"/>
    <w:rsid w:val="004E6045"/>
    <w:rsid w:val="004E6F43"/>
    <w:rsid w:val="004E7200"/>
    <w:rsid w:val="004E787E"/>
    <w:rsid w:val="004E7AA1"/>
    <w:rsid w:val="004F0805"/>
    <w:rsid w:val="004F0960"/>
    <w:rsid w:val="004F0A5C"/>
    <w:rsid w:val="004F1596"/>
    <w:rsid w:val="004F163F"/>
    <w:rsid w:val="004F18A0"/>
    <w:rsid w:val="004F1A08"/>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A17"/>
    <w:rsid w:val="00505892"/>
    <w:rsid w:val="00505DCB"/>
    <w:rsid w:val="00507066"/>
    <w:rsid w:val="005075CA"/>
    <w:rsid w:val="00507B06"/>
    <w:rsid w:val="00507BF1"/>
    <w:rsid w:val="0051074C"/>
    <w:rsid w:val="00510C09"/>
    <w:rsid w:val="00510DE9"/>
    <w:rsid w:val="005111E2"/>
    <w:rsid w:val="00511231"/>
    <w:rsid w:val="00511741"/>
    <w:rsid w:val="00512C4F"/>
    <w:rsid w:val="00513042"/>
    <w:rsid w:val="0051334F"/>
    <w:rsid w:val="00513399"/>
    <w:rsid w:val="005135BE"/>
    <w:rsid w:val="00513AF2"/>
    <w:rsid w:val="00514575"/>
    <w:rsid w:val="00514C03"/>
    <w:rsid w:val="00514D67"/>
    <w:rsid w:val="0051522A"/>
    <w:rsid w:val="00515515"/>
    <w:rsid w:val="0051635C"/>
    <w:rsid w:val="00516757"/>
    <w:rsid w:val="00516C5B"/>
    <w:rsid w:val="00517612"/>
    <w:rsid w:val="00517CFB"/>
    <w:rsid w:val="00517F85"/>
    <w:rsid w:val="0052002F"/>
    <w:rsid w:val="00520235"/>
    <w:rsid w:val="00520899"/>
    <w:rsid w:val="00520922"/>
    <w:rsid w:val="005209FC"/>
    <w:rsid w:val="00520C09"/>
    <w:rsid w:val="00521A30"/>
    <w:rsid w:val="00521D7C"/>
    <w:rsid w:val="00521EA7"/>
    <w:rsid w:val="005224E5"/>
    <w:rsid w:val="0052311A"/>
    <w:rsid w:val="00523903"/>
    <w:rsid w:val="005239B6"/>
    <w:rsid w:val="00523C45"/>
    <w:rsid w:val="00523F41"/>
    <w:rsid w:val="00524165"/>
    <w:rsid w:val="005246E7"/>
    <w:rsid w:val="00524B08"/>
    <w:rsid w:val="00524C38"/>
    <w:rsid w:val="00524FD2"/>
    <w:rsid w:val="00525621"/>
    <w:rsid w:val="00526431"/>
    <w:rsid w:val="00527532"/>
    <w:rsid w:val="00527DEB"/>
    <w:rsid w:val="00527E57"/>
    <w:rsid w:val="00527F2C"/>
    <w:rsid w:val="00530059"/>
    <w:rsid w:val="00530405"/>
    <w:rsid w:val="00530458"/>
    <w:rsid w:val="00530522"/>
    <w:rsid w:val="005305E5"/>
    <w:rsid w:val="0053086F"/>
    <w:rsid w:val="00530CBA"/>
    <w:rsid w:val="00530F38"/>
    <w:rsid w:val="00531F26"/>
    <w:rsid w:val="00531FEF"/>
    <w:rsid w:val="00532501"/>
    <w:rsid w:val="0053277C"/>
    <w:rsid w:val="005327C0"/>
    <w:rsid w:val="0053295E"/>
    <w:rsid w:val="00533101"/>
    <w:rsid w:val="00533CA9"/>
    <w:rsid w:val="005346AD"/>
    <w:rsid w:val="00534EFB"/>
    <w:rsid w:val="00534F60"/>
    <w:rsid w:val="005357F1"/>
    <w:rsid w:val="00535C73"/>
    <w:rsid w:val="00535D15"/>
    <w:rsid w:val="00536053"/>
    <w:rsid w:val="005363C6"/>
    <w:rsid w:val="005369E6"/>
    <w:rsid w:val="005371AC"/>
    <w:rsid w:val="00537672"/>
    <w:rsid w:val="005376B5"/>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A56"/>
    <w:rsid w:val="00551BFF"/>
    <w:rsid w:val="00551D68"/>
    <w:rsid w:val="00551DFF"/>
    <w:rsid w:val="005525C9"/>
    <w:rsid w:val="00552B3E"/>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DBE"/>
    <w:rsid w:val="00560F51"/>
    <w:rsid w:val="00561249"/>
    <w:rsid w:val="0056182B"/>
    <w:rsid w:val="00561A88"/>
    <w:rsid w:val="00561AF3"/>
    <w:rsid w:val="00561E0B"/>
    <w:rsid w:val="00562141"/>
    <w:rsid w:val="00562D86"/>
    <w:rsid w:val="00562E7A"/>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74FE"/>
    <w:rsid w:val="0058040C"/>
    <w:rsid w:val="00580963"/>
    <w:rsid w:val="00580D6D"/>
    <w:rsid w:val="00580FD8"/>
    <w:rsid w:val="005813DE"/>
    <w:rsid w:val="00581796"/>
    <w:rsid w:val="00581B45"/>
    <w:rsid w:val="00582480"/>
    <w:rsid w:val="00582805"/>
    <w:rsid w:val="0058290E"/>
    <w:rsid w:val="00582CAB"/>
    <w:rsid w:val="00582FA6"/>
    <w:rsid w:val="005836D5"/>
    <w:rsid w:val="0058375E"/>
    <w:rsid w:val="00583E07"/>
    <w:rsid w:val="00584233"/>
    <w:rsid w:val="005842D0"/>
    <w:rsid w:val="005845FB"/>
    <w:rsid w:val="005855AE"/>
    <w:rsid w:val="00585829"/>
    <w:rsid w:val="00585CA8"/>
    <w:rsid w:val="00586412"/>
    <w:rsid w:val="005864B9"/>
    <w:rsid w:val="00586564"/>
    <w:rsid w:val="005866C4"/>
    <w:rsid w:val="005907D4"/>
    <w:rsid w:val="00590F1A"/>
    <w:rsid w:val="00591C03"/>
    <w:rsid w:val="00591E2A"/>
    <w:rsid w:val="005923C4"/>
    <w:rsid w:val="005936E0"/>
    <w:rsid w:val="0059397D"/>
    <w:rsid w:val="00593EA1"/>
    <w:rsid w:val="00593EA2"/>
    <w:rsid w:val="00593F75"/>
    <w:rsid w:val="005940A0"/>
    <w:rsid w:val="0059429A"/>
    <w:rsid w:val="00594CBE"/>
    <w:rsid w:val="00596AF7"/>
    <w:rsid w:val="00596CCE"/>
    <w:rsid w:val="005A1976"/>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0B2"/>
    <w:rsid w:val="005A718A"/>
    <w:rsid w:val="005A72DD"/>
    <w:rsid w:val="005A7885"/>
    <w:rsid w:val="005B12B2"/>
    <w:rsid w:val="005B143B"/>
    <w:rsid w:val="005B19BD"/>
    <w:rsid w:val="005B1D7A"/>
    <w:rsid w:val="005B1E45"/>
    <w:rsid w:val="005B21C4"/>
    <w:rsid w:val="005B2A28"/>
    <w:rsid w:val="005B35AB"/>
    <w:rsid w:val="005B3621"/>
    <w:rsid w:val="005B3EBE"/>
    <w:rsid w:val="005B4948"/>
    <w:rsid w:val="005B501D"/>
    <w:rsid w:val="005B54CC"/>
    <w:rsid w:val="005B71BB"/>
    <w:rsid w:val="005B74AD"/>
    <w:rsid w:val="005B7E96"/>
    <w:rsid w:val="005C0429"/>
    <w:rsid w:val="005C084F"/>
    <w:rsid w:val="005C0A99"/>
    <w:rsid w:val="005C0EE9"/>
    <w:rsid w:val="005C169F"/>
    <w:rsid w:val="005C16A8"/>
    <w:rsid w:val="005C1716"/>
    <w:rsid w:val="005C1954"/>
    <w:rsid w:val="005C1C0B"/>
    <w:rsid w:val="005C2011"/>
    <w:rsid w:val="005C21CD"/>
    <w:rsid w:val="005C3EA3"/>
    <w:rsid w:val="005C44DE"/>
    <w:rsid w:val="005C5011"/>
    <w:rsid w:val="005C5241"/>
    <w:rsid w:val="005C529E"/>
    <w:rsid w:val="005C57BA"/>
    <w:rsid w:val="005C5C52"/>
    <w:rsid w:val="005C5D3D"/>
    <w:rsid w:val="005C5F05"/>
    <w:rsid w:val="005C6186"/>
    <w:rsid w:val="005C6CF7"/>
    <w:rsid w:val="005C7E45"/>
    <w:rsid w:val="005C7F3E"/>
    <w:rsid w:val="005D06D3"/>
    <w:rsid w:val="005D07DF"/>
    <w:rsid w:val="005D0C3B"/>
    <w:rsid w:val="005D103E"/>
    <w:rsid w:val="005D1051"/>
    <w:rsid w:val="005D1606"/>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781C"/>
    <w:rsid w:val="005F2D8B"/>
    <w:rsid w:val="005F305B"/>
    <w:rsid w:val="005F3361"/>
    <w:rsid w:val="005F361A"/>
    <w:rsid w:val="005F3B47"/>
    <w:rsid w:val="005F3D80"/>
    <w:rsid w:val="005F4481"/>
    <w:rsid w:val="005F47AC"/>
    <w:rsid w:val="005F49AF"/>
    <w:rsid w:val="005F4A58"/>
    <w:rsid w:val="005F54DF"/>
    <w:rsid w:val="005F5694"/>
    <w:rsid w:val="005F5888"/>
    <w:rsid w:val="005F5984"/>
    <w:rsid w:val="005F5EAB"/>
    <w:rsid w:val="005F6CE2"/>
    <w:rsid w:val="005F6EC8"/>
    <w:rsid w:val="005F6F24"/>
    <w:rsid w:val="005F72E9"/>
    <w:rsid w:val="005F780B"/>
    <w:rsid w:val="00600473"/>
    <w:rsid w:val="0060139A"/>
    <w:rsid w:val="006013C9"/>
    <w:rsid w:val="006018ED"/>
    <w:rsid w:val="00602931"/>
    <w:rsid w:val="00602B45"/>
    <w:rsid w:val="00603499"/>
    <w:rsid w:val="006035F5"/>
    <w:rsid w:val="00603CC2"/>
    <w:rsid w:val="006047D1"/>
    <w:rsid w:val="006048A4"/>
    <w:rsid w:val="00604A55"/>
    <w:rsid w:val="00604D4E"/>
    <w:rsid w:val="00604E3E"/>
    <w:rsid w:val="00605AC3"/>
    <w:rsid w:val="00606908"/>
    <w:rsid w:val="00607996"/>
    <w:rsid w:val="00607A37"/>
    <w:rsid w:val="00607E9F"/>
    <w:rsid w:val="00610001"/>
    <w:rsid w:val="0061085E"/>
    <w:rsid w:val="006112A7"/>
    <w:rsid w:val="00611398"/>
    <w:rsid w:val="006113B4"/>
    <w:rsid w:val="0061160E"/>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0A23"/>
    <w:rsid w:val="0062118A"/>
    <w:rsid w:val="006212C9"/>
    <w:rsid w:val="00621D0C"/>
    <w:rsid w:val="00622229"/>
    <w:rsid w:val="00622470"/>
    <w:rsid w:val="00622725"/>
    <w:rsid w:val="00622785"/>
    <w:rsid w:val="00622ACD"/>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3548"/>
    <w:rsid w:val="00633B29"/>
    <w:rsid w:val="00633DBF"/>
    <w:rsid w:val="00634122"/>
    <w:rsid w:val="0063444B"/>
    <w:rsid w:val="00634BEF"/>
    <w:rsid w:val="00635E32"/>
    <w:rsid w:val="006360FC"/>
    <w:rsid w:val="006361C9"/>
    <w:rsid w:val="00636405"/>
    <w:rsid w:val="006365DE"/>
    <w:rsid w:val="00636BE4"/>
    <w:rsid w:val="00636F88"/>
    <w:rsid w:val="0063732C"/>
    <w:rsid w:val="00637802"/>
    <w:rsid w:val="00637836"/>
    <w:rsid w:val="00637C26"/>
    <w:rsid w:val="00637E2A"/>
    <w:rsid w:val="00637F44"/>
    <w:rsid w:val="00641078"/>
    <w:rsid w:val="00641242"/>
    <w:rsid w:val="00641761"/>
    <w:rsid w:val="0064194F"/>
    <w:rsid w:val="00642126"/>
    <w:rsid w:val="00642A32"/>
    <w:rsid w:val="00642F7C"/>
    <w:rsid w:val="006433D5"/>
    <w:rsid w:val="00643412"/>
    <w:rsid w:val="00645844"/>
    <w:rsid w:val="00645CEB"/>
    <w:rsid w:val="00645E63"/>
    <w:rsid w:val="0064696D"/>
    <w:rsid w:val="00646B20"/>
    <w:rsid w:val="00646D0F"/>
    <w:rsid w:val="00647A36"/>
    <w:rsid w:val="00647AB8"/>
    <w:rsid w:val="00647DCC"/>
    <w:rsid w:val="00647E8E"/>
    <w:rsid w:val="00647EFA"/>
    <w:rsid w:val="00647F14"/>
    <w:rsid w:val="00650027"/>
    <w:rsid w:val="00650E89"/>
    <w:rsid w:val="00651B9C"/>
    <w:rsid w:val="00651C47"/>
    <w:rsid w:val="00652E70"/>
    <w:rsid w:val="0065339A"/>
    <w:rsid w:val="00653469"/>
    <w:rsid w:val="0065399B"/>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A0"/>
    <w:rsid w:val="00663D26"/>
    <w:rsid w:val="00664351"/>
    <w:rsid w:val="00665968"/>
    <w:rsid w:val="00665BF7"/>
    <w:rsid w:val="00665E65"/>
    <w:rsid w:val="006660F0"/>
    <w:rsid w:val="00666178"/>
    <w:rsid w:val="0066639E"/>
    <w:rsid w:val="00666473"/>
    <w:rsid w:val="00666B49"/>
    <w:rsid w:val="00666C72"/>
    <w:rsid w:val="00666E6C"/>
    <w:rsid w:val="00666FAB"/>
    <w:rsid w:val="0066707F"/>
    <w:rsid w:val="00667ED8"/>
    <w:rsid w:val="0067064C"/>
    <w:rsid w:val="00670B20"/>
    <w:rsid w:val="00670E12"/>
    <w:rsid w:val="00670F27"/>
    <w:rsid w:val="0067266A"/>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11C9"/>
    <w:rsid w:val="006812CE"/>
    <w:rsid w:val="006826C1"/>
    <w:rsid w:val="00682C89"/>
    <w:rsid w:val="006832B8"/>
    <w:rsid w:val="006837B2"/>
    <w:rsid w:val="00683800"/>
    <w:rsid w:val="006842AA"/>
    <w:rsid w:val="00684462"/>
    <w:rsid w:val="00684765"/>
    <w:rsid w:val="00684C0D"/>
    <w:rsid w:val="00684C8A"/>
    <w:rsid w:val="00684CF5"/>
    <w:rsid w:val="0068553E"/>
    <w:rsid w:val="00685D37"/>
    <w:rsid w:val="00685E7B"/>
    <w:rsid w:val="00686551"/>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784"/>
    <w:rsid w:val="00692A08"/>
    <w:rsid w:val="00692FFA"/>
    <w:rsid w:val="00693772"/>
    <w:rsid w:val="00693984"/>
    <w:rsid w:val="00693B77"/>
    <w:rsid w:val="00694160"/>
    <w:rsid w:val="00694E8B"/>
    <w:rsid w:val="006959A5"/>
    <w:rsid w:val="00695C0C"/>
    <w:rsid w:val="00696736"/>
    <w:rsid w:val="00696A05"/>
    <w:rsid w:val="00697665"/>
    <w:rsid w:val="00697C9A"/>
    <w:rsid w:val="00697E68"/>
    <w:rsid w:val="00697F3D"/>
    <w:rsid w:val="00697FC1"/>
    <w:rsid w:val="006A0274"/>
    <w:rsid w:val="006A27BC"/>
    <w:rsid w:val="006A2829"/>
    <w:rsid w:val="006A2A43"/>
    <w:rsid w:val="006A2BF1"/>
    <w:rsid w:val="006A2F9A"/>
    <w:rsid w:val="006A34E4"/>
    <w:rsid w:val="006A3A5A"/>
    <w:rsid w:val="006A3E98"/>
    <w:rsid w:val="006A44CF"/>
    <w:rsid w:val="006A457D"/>
    <w:rsid w:val="006A4B5A"/>
    <w:rsid w:val="006A4C06"/>
    <w:rsid w:val="006A4F85"/>
    <w:rsid w:val="006A55EE"/>
    <w:rsid w:val="006A575B"/>
    <w:rsid w:val="006A59DE"/>
    <w:rsid w:val="006A64C6"/>
    <w:rsid w:val="006A6655"/>
    <w:rsid w:val="006A6BF9"/>
    <w:rsid w:val="006A7AB8"/>
    <w:rsid w:val="006A7CB5"/>
    <w:rsid w:val="006A7FD0"/>
    <w:rsid w:val="006B025C"/>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37CA"/>
    <w:rsid w:val="006C39AE"/>
    <w:rsid w:val="006C40D2"/>
    <w:rsid w:val="006C4B85"/>
    <w:rsid w:val="006C4BBD"/>
    <w:rsid w:val="006C551E"/>
    <w:rsid w:val="006C563F"/>
    <w:rsid w:val="006C5B15"/>
    <w:rsid w:val="006C5D32"/>
    <w:rsid w:val="006C5DCB"/>
    <w:rsid w:val="006C6475"/>
    <w:rsid w:val="006C70C4"/>
    <w:rsid w:val="006C741F"/>
    <w:rsid w:val="006D04DA"/>
    <w:rsid w:val="006D0B1A"/>
    <w:rsid w:val="006D10F6"/>
    <w:rsid w:val="006D1544"/>
    <w:rsid w:val="006D1688"/>
    <w:rsid w:val="006D1BE1"/>
    <w:rsid w:val="006D1DD3"/>
    <w:rsid w:val="006D1FF3"/>
    <w:rsid w:val="006D219C"/>
    <w:rsid w:val="006D2C65"/>
    <w:rsid w:val="006D32C6"/>
    <w:rsid w:val="006D360E"/>
    <w:rsid w:val="006D3697"/>
    <w:rsid w:val="006D3802"/>
    <w:rsid w:val="006D39D2"/>
    <w:rsid w:val="006D3A94"/>
    <w:rsid w:val="006D3F2A"/>
    <w:rsid w:val="006D4370"/>
    <w:rsid w:val="006D46A3"/>
    <w:rsid w:val="006D5DCB"/>
    <w:rsid w:val="006D62E0"/>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37"/>
    <w:rsid w:val="006E39D1"/>
    <w:rsid w:val="006E3B05"/>
    <w:rsid w:val="006E42CC"/>
    <w:rsid w:val="006E437F"/>
    <w:rsid w:val="006E4D5B"/>
    <w:rsid w:val="006E602F"/>
    <w:rsid w:val="006E6720"/>
    <w:rsid w:val="006E7275"/>
    <w:rsid w:val="006E77B8"/>
    <w:rsid w:val="006E7AAF"/>
    <w:rsid w:val="006F0F34"/>
    <w:rsid w:val="006F0F74"/>
    <w:rsid w:val="006F1041"/>
    <w:rsid w:val="006F13BA"/>
    <w:rsid w:val="006F15CC"/>
    <w:rsid w:val="006F15F6"/>
    <w:rsid w:val="006F36EA"/>
    <w:rsid w:val="006F4147"/>
    <w:rsid w:val="006F4315"/>
    <w:rsid w:val="006F4CB0"/>
    <w:rsid w:val="006F4F78"/>
    <w:rsid w:val="006F547E"/>
    <w:rsid w:val="006F5CCF"/>
    <w:rsid w:val="006F6F04"/>
    <w:rsid w:val="006F71F5"/>
    <w:rsid w:val="006F72A8"/>
    <w:rsid w:val="006F79BB"/>
    <w:rsid w:val="007000A6"/>
    <w:rsid w:val="00700610"/>
    <w:rsid w:val="0070138A"/>
    <w:rsid w:val="0070157E"/>
    <w:rsid w:val="007030D4"/>
    <w:rsid w:val="00703279"/>
    <w:rsid w:val="00703B61"/>
    <w:rsid w:val="00703E11"/>
    <w:rsid w:val="00704102"/>
    <w:rsid w:val="0070437C"/>
    <w:rsid w:val="0070461C"/>
    <w:rsid w:val="00704F37"/>
    <w:rsid w:val="00705631"/>
    <w:rsid w:val="00705818"/>
    <w:rsid w:val="00705F62"/>
    <w:rsid w:val="0070773F"/>
    <w:rsid w:val="00707A2E"/>
    <w:rsid w:val="00707ED3"/>
    <w:rsid w:val="007101B7"/>
    <w:rsid w:val="00710668"/>
    <w:rsid w:val="00711019"/>
    <w:rsid w:val="007110F4"/>
    <w:rsid w:val="007112B1"/>
    <w:rsid w:val="0071130F"/>
    <w:rsid w:val="00712493"/>
    <w:rsid w:val="00712714"/>
    <w:rsid w:val="007129AB"/>
    <w:rsid w:val="00712B63"/>
    <w:rsid w:val="00712E5F"/>
    <w:rsid w:val="0071349D"/>
    <w:rsid w:val="00713526"/>
    <w:rsid w:val="00713FC5"/>
    <w:rsid w:val="00714DCA"/>
    <w:rsid w:val="007150F3"/>
    <w:rsid w:val="00715BBF"/>
    <w:rsid w:val="00715C29"/>
    <w:rsid w:val="00715CBD"/>
    <w:rsid w:val="00715EAA"/>
    <w:rsid w:val="00716119"/>
    <w:rsid w:val="00716630"/>
    <w:rsid w:val="00716CAD"/>
    <w:rsid w:val="00716CD3"/>
    <w:rsid w:val="00716F18"/>
    <w:rsid w:val="00717363"/>
    <w:rsid w:val="00717786"/>
    <w:rsid w:val="00717ACB"/>
    <w:rsid w:val="00721129"/>
    <w:rsid w:val="0072138B"/>
    <w:rsid w:val="00721BFF"/>
    <w:rsid w:val="00723475"/>
    <w:rsid w:val="007236C4"/>
    <w:rsid w:val="00724635"/>
    <w:rsid w:val="00724F21"/>
    <w:rsid w:val="00725134"/>
    <w:rsid w:val="0072554B"/>
    <w:rsid w:val="0072571F"/>
    <w:rsid w:val="00725AFD"/>
    <w:rsid w:val="00726603"/>
    <w:rsid w:val="007266AC"/>
    <w:rsid w:val="00727B1D"/>
    <w:rsid w:val="00727DDC"/>
    <w:rsid w:val="0073017B"/>
    <w:rsid w:val="00730CD6"/>
    <w:rsid w:val="00730F74"/>
    <w:rsid w:val="0073114B"/>
    <w:rsid w:val="00732151"/>
    <w:rsid w:val="00732EBC"/>
    <w:rsid w:val="007342BB"/>
    <w:rsid w:val="00734952"/>
    <w:rsid w:val="00734990"/>
    <w:rsid w:val="00734FF5"/>
    <w:rsid w:val="00735B78"/>
    <w:rsid w:val="00735DA7"/>
    <w:rsid w:val="00736700"/>
    <w:rsid w:val="007368B4"/>
    <w:rsid w:val="007378E0"/>
    <w:rsid w:val="0074040E"/>
    <w:rsid w:val="00740529"/>
    <w:rsid w:val="00740876"/>
    <w:rsid w:val="00741358"/>
    <w:rsid w:val="00741626"/>
    <w:rsid w:val="00742332"/>
    <w:rsid w:val="00742886"/>
    <w:rsid w:val="00742A3A"/>
    <w:rsid w:val="00742DD2"/>
    <w:rsid w:val="007437C6"/>
    <w:rsid w:val="007441A2"/>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EC"/>
    <w:rsid w:val="00750382"/>
    <w:rsid w:val="0075094E"/>
    <w:rsid w:val="00750FA8"/>
    <w:rsid w:val="00750FB5"/>
    <w:rsid w:val="007520F0"/>
    <w:rsid w:val="007522E8"/>
    <w:rsid w:val="007529DB"/>
    <w:rsid w:val="007534AD"/>
    <w:rsid w:val="00753BAC"/>
    <w:rsid w:val="00754881"/>
    <w:rsid w:val="00754A0B"/>
    <w:rsid w:val="00754F12"/>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8CA"/>
    <w:rsid w:val="007629B7"/>
    <w:rsid w:val="00762E60"/>
    <w:rsid w:val="00762F54"/>
    <w:rsid w:val="007634AD"/>
    <w:rsid w:val="0076445F"/>
    <w:rsid w:val="00764EC5"/>
    <w:rsid w:val="007651EF"/>
    <w:rsid w:val="00766D49"/>
    <w:rsid w:val="00766ECC"/>
    <w:rsid w:val="007672F3"/>
    <w:rsid w:val="007677B5"/>
    <w:rsid w:val="007678B1"/>
    <w:rsid w:val="007708A8"/>
    <w:rsid w:val="00772100"/>
    <w:rsid w:val="00772275"/>
    <w:rsid w:val="007734E4"/>
    <w:rsid w:val="0077380D"/>
    <w:rsid w:val="00773BC8"/>
    <w:rsid w:val="00774549"/>
    <w:rsid w:val="0077466F"/>
    <w:rsid w:val="007749E0"/>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22E"/>
    <w:rsid w:val="00781575"/>
    <w:rsid w:val="00781939"/>
    <w:rsid w:val="00781D29"/>
    <w:rsid w:val="007825EF"/>
    <w:rsid w:val="0078286B"/>
    <w:rsid w:val="00782D2C"/>
    <w:rsid w:val="00782FC2"/>
    <w:rsid w:val="0078347A"/>
    <w:rsid w:val="0078410A"/>
    <w:rsid w:val="00784938"/>
    <w:rsid w:val="00784FC4"/>
    <w:rsid w:val="00785BBB"/>
    <w:rsid w:val="00786937"/>
    <w:rsid w:val="00786FAD"/>
    <w:rsid w:val="00787B1B"/>
    <w:rsid w:val="00787CCC"/>
    <w:rsid w:val="00787D90"/>
    <w:rsid w:val="00787F5E"/>
    <w:rsid w:val="00790164"/>
    <w:rsid w:val="007905C6"/>
    <w:rsid w:val="00790A24"/>
    <w:rsid w:val="00790A37"/>
    <w:rsid w:val="00790A60"/>
    <w:rsid w:val="0079146D"/>
    <w:rsid w:val="00791744"/>
    <w:rsid w:val="00791C32"/>
    <w:rsid w:val="00791FF0"/>
    <w:rsid w:val="007923D0"/>
    <w:rsid w:val="007930D3"/>
    <w:rsid w:val="0079381F"/>
    <w:rsid w:val="00793A57"/>
    <w:rsid w:val="00793B2E"/>
    <w:rsid w:val="007940C4"/>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BCF"/>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10F"/>
    <w:rsid w:val="007B7EA2"/>
    <w:rsid w:val="007C097D"/>
    <w:rsid w:val="007C0AF2"/>
    <w:rsid w:val="007C1672"/>
    <w:rsid w:val="007C17AE"/>
    <w:rsid w:val="007C24EE"/>
    <w:rsid w:val="007C312A"/>
    <w:rsid w:val="007C3538"/>
    <w:rsid w:val="007C3570"/>
    <w:rsid w:val="007C3B0F"/>
    <w:rsid w:val="007C3F3B"/>
    <w:rsid w:val="007C4097"/>
    <w:rsid w:val="007C4241"/>
    <w:rsid w:val="007C425E"/>
    <w:rsid w:val="007C55FF"/>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A2B"/>
    <w:rsid w:val="007D7CFC"/>
    <w:rsid w:val="007E0812"/>
    <w:rsid w:val="007E0825"/>
    <w:rsid w:val="007E18DF"/>
    <w:rsid w:val="007E214A"/>
    <w:rsid w:val="007E238D"/>
    <w:rsid w:val="007E2C36"/>
    <w:rsid w:val="007E350D"/>
    <w:rsid w:val="007E3ACA"/>
    <w:rsid w:val="007E3F4A"/>
    <w:rsid w:val="007E564D"/>
    <w:rsid w:val="007E5C4A"/>
    <w:rsid w:val="007E64D4"/>
    <w:rsid w:val="007E6570"/>
    <w:rsid w:val="007E66E9"/>
    <w:rsid w:val="007E69F2"/>
    <w:rsid w:val="007E7432"/>
    <w:rsid w:val="007E74BF"/>
    <w:rsid w:val="007E7657"/>
    <w:rsid w:val="007E7D2E"/>
    <w:rsid w:val="007F0781"/>
    <w:rsid w:val="007F14D3"/>
    <w:rsid w:val="007F1814"/>
    <w:rsid w:val="007F1D9D"/>
    <w:rsid w:val="007F1E28"/>
    <w:rsid w:val="007F1F63"/>
    <w:rsid w:val="007F22A0"/>
    <w:rsid w:val="007F2902"/>
    <w:rsid w:val="007F2903"/>
    <w:rsid w:val="007F2F90"/>
    <w:rsid w:val="007F3320"/>
    <w:rsid w:val="007F3AC1"/>
    <w:rsid w:val="007F46E6"/>
    <w:rsid w:val="007F4976"/>
    <w:rsid w:val="007F4B40"/>
    <w:rsid w:val="007F5A56"/>
    <w:rsid w:val="007F5D42"/>
    <w:rsid w:val="007F616E"/>
    <w:rsid w:val="007F6B46"/>
    <w:rsid w:val="007F72CB"/>
    <w:rsid w:val="007F736A"/>
    <w:rsid w:val="007F7635"/>
    <w:rsid w:val="007F785F"/>
    <w:rsid w:val="007F7961"/>
    <w:rsid w:val="007F7AF6"/>
    <w:rsid w:val="007F7E36"/>
    <w:rsid w:val="00800E6D"/>
    <w:rsid w:val="008014D9"/>
    <w:rsid w:val="0080150F"/>
    <w:rsid w:val="0080153A"/>
    <w:rsid w:val="00801A2A"/>
    <w:rsid w:val="00802041"/>
    <w:rsid w:val="008022C9"/>
    <w:rsid w:val="00802605"/>
    <w:rsid w:val="00802F9E"/>
    <w:rsid w:val="00803700"/>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F3"/>
    <w:rsid w:val="00817661"/>
    <w:rsid w:val="0081766B"/>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5C4"/>
    <w:rsid w:val="0085092D"/>
    <w:rsid w:val="008509A5"/>
    <w:rsid w:val="00850C79"/>
    <w:rsid w:val="00850D82"/>
    <w:rsid w:val="00850F79"/>
    <w:rsid w:val="0085100B"/>
    <w:rsid w:val="008510A1"/>
    <w:rsid w:val="0085304C"/>
    <w:rsid w:val="008536BB"/>
    <w:rsid w:val="00853A3C"/>
    <w:rsid w:val="008548CA"/>
    <w:rsid w:val="008563B0"/>
    <w:rsid w:val="00856C06"/>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68A"/>
    <w:rsid w:val="008650BE"/>
    <w:rsid w:val="00865EAF"/>
    <w:rsid w:val="0086633B"/>
    <w:rsid w:val="00866495"/>
    <w:rsid w:val="00866881"/>
    <w:rsid w:val="00866931"/>
    <w:rsid w:val="00867512"/>
    <w:rsid w:val="008678A3"/>
    <w:rsid w:val="00867C13"/>
    <w:rsid w:val="00867C1D"/>
    <w:rsid w:val="0087033C"/>
    <w:rsid w:val="008715ED"/>
    <w:rsid w:val="008717D8"/>
    <w:rsid w:val="00871E3C"/>
    <w:rsid w:val="00872828"/>
    <w:rsid w:val="00872F97"/>
    <w:rsid w:val="00874607"/>
    <w:rsid w:val="008747E9"/>
    <w:rsid w:val="00874915"/>
    <w:rsid w:val="00874B89"/>
    <w:rsid w:val="00875403"/>
    <w:rsid w:val="00875434"/>
    <w:rsid w:val="00875C1F"/>
    <w:rsid w:val="00875E98"/>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4848"/>
    <w:rsid w:val="008B54A2"/>
    <w:rsid w:val="008B5C7C"/>
    <w:rsid w:val="008B63FE"/>
    <w:rsid w:val="008B672C"/>
    <w:rsid w:val="008B7108"/>
    <w:rsid w:val="008C065F"/>
    <w:rsid w:val="008C0743"/>
    <w:rsid w:val="008C0B4C"/>
    <w:rsid w:val="008C11F0"/>
    <w:rsid w:val="008C1DBA"/>
    <w:rsid w:val="008C24E7"/>
    <w:rsid w:val="008C2500"/>
    <w:rsid w:val="008C2CAC"/>
    <w:rsid w:val="008C3C57"/>
    <w:rsid w:val="008C3E2A"/>
    <w:rsid w:val="008C45BD"/>
    <w:rsid w:val="008C4B19"/>
    <w:rsid w:val="008C5742"/>
    <w:rsid w:val="008C62D4"/>
    <w:rsid w:val="008C6A49"/>
    <w:rsid w:val="008C6B89"/>
    <w:rsid w:val="008C6B97"/>
    <w:rsid w:val="008C7EF7"/>
    <w:rsid w:val="008D021B"/>
    <w:rsid w:val="008D094D"/>
    <w:rsid w:val="008D0AD5"/>
    <w:rsid w:val="008D18AA"/>
    <w:rsid w:val="008D1A2A"/>
    <w:rsid w:val="008D1ADE"/>
    <w:rsid w:val="008D3199"/>
    <w:rsid w:val="008D35D9"/>
    <w:rsid w:val="008D3B36"/>
    <w:rsid w:val="008D3B85"/>
    <w:rsid w:val="008D462D"/>
    <w:rsid w:val="008D57E4"/>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6D9"/>
    <w:rsid w:val="008E28BD"/>
    <w:rsid w:val="008E2BE6"/>
    <w:rsid w:val="008E30C4"/>
    <w:rsid w:val="008E38B4"/>
    <w:rsid w:val="008E3BA4"/>
    <w:rsid w:val="008E3F17"/>
    <w:rsid w:val="008E44AB"/>
    <w:rsid w:val="008E4786"/>
    <w:rsid w:val="008E4CAE"/>
    <w:rsid w:val="008E5179"/>
    <w:rsid w:val="008E57FE"/>
    <w:rsid w:val="008E6598"/>
    <w:rsid w:val="008E710F"/>
    <w:rsid w:val="008E7214"/>
    <w:rsid w:val="008E7497"/>
    <w:rsid w:val="008E7884"/>
    <w:rsid w:val="008E7D6E"/>
    <w:rsid w:val="008F1056"/>
    <w:rsid w:val="008F14B4"/>
    <w:rsid w:val="008F2E8D"/>
    <w:rsid w:val="008F361D"/>
    <w:rsid w:val="008F387B"/>
    <w:rsid w:val="008F3DD9"/>
    <w:rsid w:val="008F4163"/>
    <w:rsid w:val="008F4814"/>
    <w:rsid w:val="008F4B18"/>
    <w:rsid w:val="008F4DA6"/>
    <w:rsid w:val="008F538E"/>
    <w:rsid w:val="008F5A20"/>
    <w:rsid w:val="008F5ABA"/>
    <w:rsid w:val="008F6157"/>
    <w:rsid w:val="008F71AB"/>
    <w:rsid w:val="008F7905"/>
    <w:rsid w:val="008F7989"/>
    <w:rsid w:val="00900912"/>
    <w:rsid w:val="00901F1D"/>
    <w:rsid w:val="009028E8"/>
    <w:rsid w:val="00902E5C"/>
    <w:rsid w:val="0090363E"/>
    <w:rsid w:val="00903788"/>
    <w:rsid w:val="009046E5"/>
    <w:rsid w:val="009047C5"/>
    <w:rsid w:val="00905336"/>
    <w:rsid w:val="0090690B"/>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AFE"/>
    <w:rsid w:val="00916FC8"/>
    <w:rsid w:val="009170D3"/>
    <w:rsid w:val="009174E2"/>
    <w:rsid w:val="0091759C"/>
    <w:rsid w:val="00920026"/>
    <w:rsid w:val="009203E2"/>
    <w:rsid w:val="00920BF5"/>
    <w:rsid w:val="00920F61"/>
    <w:rsid w:val="00921304"/>
    <w:rsid w:val="00921395"/>
    <w:rsid w:val="00921805"/>
    <w:rsid w:val="00921E63"/>
    <w:rsid w:val="00923396"/>
    <w:rsid w:val="00923F5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E70"/>
    <w:rsid w:val="0093609A"/>
    <w:rsid w:val="00936815"/>
    <w:rsid w:val="00937401"/>
    <w:rsid w:val="009376FB"/>
    <w:rsid w:val="00937D6B"/>
    <w:rsid w:val="00940477"/>
    <w:rsid w:val="00940876"/>
    <w:rsid w:val="00940A53"/>
    <w:rsid w:val="00940F3C"/>
    <w:rsid w:val="009410E0"/>
    <w:rsid w:val="00941FA9"/>
    <w:rsid w:val="009439B6"/>
    <w:rsid w:val="009444B4"/>
    <w:rsid w:val="00944644"/>
    <w:rsid w:val="00946A24"/>
    <w:rsid w:val="009470D4"/>
    <w:rsid w:val="00947337"/>
    <w:rsid w:val="00947E6E"/>
    <w:rsid w:val="009512FA"/>
    <w:rsid w:val="009516A9"/>
    <w:rsid w:val="00951E57"/>
    <w:rsid w:val="00952350"/>
    <w:rsid w:val="00952505"/>
    <w:rsid w:val="00953018"/>
    <w:rsid w:val="009533E2"/>
    <w:rsid w:val="00953554"/>
    <w:rsid w:val="0095385A"/>
    <w:rsid w:val="009541F2"/>
    <w:rsid w:val="00954372"/>
    <w:rsid w:val="00954F3A"/>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3550"/>
    <w:rsid w:val="00964138"/>
    <w:rsid w:val="009648D6"/>
    <w:rsid w:val="00964B3F"/>
    <w:rsid w:val="00964C98"/>
    <w:rsid w:val="00971441"/>
    <w:rsid w:val="00971555"/>
    <w:rsid w:val="009715D4"/>
    <w:rsid w:val="0097179A"/>
    <w:rsid w:val="00971B0A"/>
    <w:rsid w:val="009731F4"/>
    <w:rsid w:val="009732A4"/>
    <w:rsid w:val="00973AB3"/>
    <w:rsid w:val="00973C05"/>
    <w:rsid w:val="0097494E"/>
    <w:rsid w:val="00974999"/>
    <w:rsid w:val="00974B58"/>
    <w:rsid w:val="00974CBD"/>
    <w:rsid w:val="00975445"/>
    <w:rsid w:val="009761ED"/>
    <w:rsid w:val="0098022F"/>
    <w:rsid w:val="009810DE"/>
    <w:rsid w:val="00981B91"/>
    <w:rsid w:val="009822D7"/>
    <w:rsid w:val="009827E6"/>
    <w:rsid w:val="00982F84"/>
    <w:rsid w:val="009831C3"/>
    <w:rsid w:val="0098427D"/>
    <w:rsid w:val="00984567"/>
    <w:rsid w:val="00985102"/>
    <w:rsid w:val="009854BC"/>
    <w:rsid w:val="00985A66"/>
    <w:rsid w:val="0098606C"/>
    <w:rsid w:val="009865D5"/>
    <w:rsid w:val="0098709E"/>
    <w:rsid w:val="009876F2"/>
    <w:rsid w:val="00987C77"/>
    <w:rsid w:val="00987DE6"/>
    <w:rsid w:val="00987FED"/>
    <w:rsid w:val="00990345"/>
    <w:rsid w:val="00990701"/>
    <w:rsid w:val="0099119C"/>
    <w:rsid w:val="0099137A"/>
    <w:rsid w:val="0099211C"/>
    <w:rsid w:val="00993013"/>
    <w:rsid w:val="009930AB"/>
    <w:rsid w:val="0099316B"/>
    <w:rsid w:val="00993B78"/>
    <w:rsid w:val="009949CE"/>
    <w:rsid w:val="00994F3F"/>
    <w:rsid w:val="00995119"/>
    <w:rsid w:val="0099531F"/>
    <w:rsid w:val="009953AD"/>
    <w:rsid w:val="009957D7"/>
    <w:rsid w:val="0099583D"/>
    <w:rsid w:val="00996020"/>
    <w:rsid w:val="0099629E"/>
    <w:rsid w:val="009962B0"/>
    <w:rsid w:val="00996992"/>
    <w:rsid w:val="00996E1E"/>
    <w:rsid w:val="00997148"/>
    <w:rsid w:val="00997392"/>
    <w:rsid w:val="0099747C"/>
    <w:rsid w:val="0099771C"/>
    <w:rsid w:val="00997E9C"/>
    <w:rsid w:val="009A01E4"/>
    <w:rsid w:val="009A0255"/>
    <w:rsid w:val="009A0917"/>
    <w:rsid w:val="009A0A33"/>
    <w:rsid w:val="009A1351"/>
    <w:rsid w:val="009A2041"/>
    <w:rsid w:val="009A2435"/>
    <w:rsid w:val="009A35DC"/>
    <w:rsid w:val="009A38AB"/>
    <w:rsid w:val="009A39EE"/>
    <w:rsid w:val="009A3A33"/>
    <w:rsid w:val="009A3D47"/>
    <w:rsid w:val="009A4D63"/>
    <w:rsid w:val="009A5356"/>
    <w:rsid w:val="009A5468"/>
    <w:rsid w:val="009A5D99"/>
    <w:rsid w:val="009A608C"/>
    <w:rsid w:val="009A6FDF"/>
    <w:rsid w:val="009A715F"/>
    <w:rsid w:val="009A76D6"/>
    <w:rsid w:val="009B0101"/>
    <w:rsid w:val="009B03F1"/>
    <w:rsid w:val="009B1D8E"/>
    <w:rsid w:val="009B2374"/>
    <w:rsid w:val="009B28D6"/>
    <w:rsid w:val="009B2E29"/>
    <w:rsid w:val="009B3163"/>
    <w:rsid w:val="009B422F"/>
    <w:rsid w:val="009B46BC"/>
    <w:rsid w:val="009B4D1A"/>
    <w:rsid w:val="009B519D"/>
    <w:rsid w:val="009B558B"/>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E28"/>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4D17"/>
    <w:rsid w:val="009D5450"/>
    <w:rsid w:val="009D604F"/>
    <w:rsid w:val="009D61BB"/>
    <w:rsid w:val="009D6410"/>
    <w:rsid w:val="009D68BB"/>
    <w:rsid w:val="009D6909"/>
    <w:rsid w:val="009D700F"/>
    <w:rsid w:val="009D70C2"/>
    <w:rsid w:val="009D7244"/>
    <w:rsid w:val="009D7ADB"/>
    <w:rsid w:val="009D7B33"/>
    <w:rsid w:val="009E06C3"/>
    <w:rsid w:val="009E0703"/>
    <w:rsid w:val="009E1035"/>
    <w:rsid w:val="009E16DA"/>
    <w:rsid w:val="009E1CD4"/>
    <w:rsid w:val="009E2391"/>
    <w:rsid w:val="009E41E5"/>
    <w:rsid w:val="009E476A"/>
    <w:rsid w:val="009E4A16"/>
    <w:rsid w:val="009E4E05"/>
    <w:rsid w:val="009E56FF"/>
    <w:rsid w:val="009E5CB1"/>
    <w:rsid w:val="009E5E56"/>
    <w:rsid w:val="009E61EA"/>
    <w:rsid w:val="009E6990"/>
    <w:rsid w:val="009E6FEE"/>
    <w:rsid w:val="009F00B9"/>
    <w:rsid w:val="009F0312"/>
    <w:rsid w:val="009F060F"/>
    <w:rsid w:val="009F0781"/>
    <w:rsid w:val="009F0850"/>
    <w:rsid w:val="009F1950"/>
    <w:rsid w:val="009F1BDF"/>
    <w:rsid w:val="009F1EAE"/>
    <w:rsid w:val="009F2732"/>
    <w:rsid w:val="009F2848"/>
    <w:rsid w:val="009F369D"/>
    <w:rsid w:val="009F36FE"/>
    <w:rsid w:val="009F4990"/>
    <w:rsid w:val="009F4F25"/>
    <w:rsid w:val="009F59C2"/>
    <w:rsid w:val="009F7263"/>
    <w:rsid w:val="009F76EA"/>
    <w:rsid w:val="009F78EB"/>
    <w:rsid w:val="009F7DB2"/>
    <w:rsid w:val="009F7F32"/>
    <w:rsid w:val="009F7FEB"/>
    <w:rsid w:val="00A003D5"/>
    <w:rsid w:val="00A0056C"/>
    <w:rsid w:val="00A00E82"/>
    <w:rsid w:val="00A00F5E"/>
    <w:rsid w:val="00A0120D"/>
    <w:rsid w:val="00A01852"/>
    <w:rsid w:val="00A0188B"/>
    <w:rsid w:val="00A01C35"/>
    <w:rsid w:val="00A01E73"/>
    <w:rsid w:val="00A023E7"/>
    <w:rsid w:val="00A02B88"/>
    <w:rsid w:val="00A03160"/>
    <w:rsid w:val="00A036AC"/>
    <w:rsid w:val="00A03C54"/>
    <w:rsid w:val="00A03DE5"/>
    <w:rsid w:val="00A041BC"/>
    <w:rsid w:val="00A0447F"/>
    <w:rsid w:val="00A046D2"/>
    <w:rsid w:val="00A04A54"/>
    <w:rsid w:val="00A058B8"/>
    <w:rsid w:val="00A05B4B"/>
    <w:rsid w:val="00A066C3"/>
    <w:rsid w:val="00A06754"/>
    <w:rsid w:val="00A069E0"/>
    <w:rsid w:val="00A06E4A"/>
    <w:rsid w:val="00A070E9"/>
    <w:rsid w:val="00A078FB"/>
    <w:rsid w:val="00A10209"/>
    <w:rsid w:val="00A1036D"/>
    <w:rsid w:val="00A1069F"/>
    <w:rsid w:val="00A10ACA"/>
    <w:rsid w:val="00A10D08"/>
    <w:rsid w:val="00A11E78"/>
    <w:rsid w:val="00A12355"/>
    <w:rsid w:val="00A12574"/>
    <w:rsid w:val="00A127D2"/>
    <w:rsid w:val="00A1284E"/>
    <w:rsid w:val="00A1396D"/>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0"/>
    <w:rsid w:val="00A22025"/>
    <w:rsid w:val="00A22498"/>
    <w:rsid w:val="00A22571"/>
    <w:rsid w:val="00A225F8"/>
    <w:rsid w:val="00A2298D"/>
    <w:rsid w:val="00A24560"/>
    <w:rsid w:val="00A25B0F"/>
    <w:rsid w:val="00A25BBB"/>
    <w:rsid w:val="00A27FB6"/>
    <w:rsid w:val="00A30121"/>
    <w:rsid w:val="00A30368"/>
    <w:rsid w:val="00A3043A"/>
    <w:rsid w:val="00A30E02"/>
    <w:rsid w:val="00A30F6A"/>
    <w:rsid w:val="00A31060"/>
    <w:rsid w:val="00A31C3E"/>
    <w:rsid w:val="00A31DE3"/>
    <w:rsid w:val="00A32BA3"/>
    <w:rsid w:val="00A34538"/>
    <w:rsid w:val="00A34677"/>
    <w:rsid w:val="00A3540F"/>
    <w:rsid w:val="00A35630"/>
    <w:rsid w:val="00A35914"/>
    <w:rsid w:val="00A36189"/>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B4B"/>
    <w:rsid w:val="00A47849"/>
    <w:rsid w:val="00A500B1"/>
    <w:rsid w:val="00A52A53"/>
    <w:rsid w:val="00A52EE5"/>
    <w:rsid w:val="00A53037"/>
    <w:rsid w:val="00A532B9"/>
    <w:rsid w:val="00A5351D"/>
    <w:rsid w:val="00A53E79"/>
    <w:rsid w:val="00A54031"/>
    <w:rsid w:val="00A5426D"/>
    <w:rsid w:val="00A54FC2"/>
    <w:rsid w:val="00A55122"/>
    <w:rsid w:val="00A55CEA"/>
    <w:rsid w:val="00A56DE7"/>
    <w:rsid w:val="00A57EB2"/>
    <w:rsid w:val="00A6009E"/>
    <w:rsid w:val="00A60265"/>
    <w:rsid w:val="00A60540"/>
    <w:rsid w:val="00A60885"/>
    <w:rsid w:val="00A60B1F"/>
    <w:rsid w:val="00A60E17"/>
    <w:rsid w:val="00A61C60"/>
    <w:rsid w:val="00A62589"/>
    <w:rsid w:val="00A62AD0"/>
    <w:rsid w:val="00A62C3A"/>
    <w:rsid w:val="00A6319C"/>
    <w:rsid w:val="00A63812"/>
    <w:rsid w:val="00A639A9"/>
    <w:rsid w:val="00A63DF7"/>
    <w:rsid w:val="00A6454D"/>
    <w:rsid w:val="00A64767"/>
    <w:rsid w:val="00A64F2F"/>
    <w:rsid w:val="00A658CE"/>
    <w:rsid w:val="00A6611E"/>
    <w:rsid w:val="00A668BA"/>
    <w:rsid w:val="00A66FA7"/>
    <w:rsid w:val="00A67E16"/>
    <w:rsid w:val="00A67EB1"/>
    <w:rsid w:val="00A703CC"/>
    <w:rsid w:val="00A70C5C"/>
    <w:rsid w:val="00A710A2"/>
    <w:rsid w:val="00A71EA7"/>
    <w:rsid w:val="00A730AD"/>
    <w:rsid w:val="00A73855"/>
    <w:rsid w:val="00A73D64"/>
    <w:rsid w:val="00A74216"/>
    <w:rsid w:val="00A74220"/>
    <w:rsid w:val="00A74360"/>
    <w:rsid w:val="00A744B4"/>
    <w:rsid w:val="00A751E3"/>
    <w:rsid w:val="00A7536B"/>
    <w:rsid w:val="00A753B9"/>
    <w:rsid w:val="00A7549A"/>
    <w:rsid w:val="00A75504"/>
    <w:rsid w:val="00A75FD7"/>
    <w:rsid w:val="00A76AEE"/>
    <w:rsid w:val="00A77168"/>
    <w:rsid w:val="00A7723B"/>
    <w:rsid w:val="00A773C3"/>
    <w:rsid w:val="00A7793C"/>
    <w:rsid w:val="00A77D21"/>
    <w:rsid w:val="00A80085"/>
    <w:rsid w:val="00A8043B"/>
    <w:rsid w:val="00A80DA0"/>
    <w:rsid w:val="00A81323"/>
    <w:rsid w:val="00A820CB"/>
    <w:rsid w:val="00A82342"/>
    <w:rsid w:val="00A8236F"/>
    <w:rsid w:val="00A82603"/>
    <w:rsid w:val="00A82D06"/>
    <w:rsid w:val="00A83BEF"/>
    <w:rsid w:val="00A84443"/>
    <w:rsid w:val="00A8487F"/>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C93"/>
    <w:rsid w:val="00AA06C6"/>
    <w:rsid w:val="00AA08E7"/>
    <w:rsid w:val="00AA0A06"/>
    <w:rsid w:val="00AA1351"/>
    <w:rsid w:val="00AA184C"/>
    <w:rsid w:val="00AA1AF4"/>
    <w:rsid w:val="00AA1C84"/>
    <w:rsid w:val="00AA3D7B"/>
    <w:rsid w:val="00AA42A0"/>
    <w:rsid w:val="00AA442B"/>
    <w:rsid w:val="00AA46A4"/>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24F8"/>
    <w:rsid w:val="00AB358D"/>
    <w:rsid w:val="00AB37A1"/>
    <w:rsid w:val="00AB3BAD"/>
    <w:rsid w:val="00AB3CFD"/>
    <w:rsid w:val="00AB49BC"/>
    <w:rsid w:val="00AB4DEE"/>
    <w:rsid w:val="00AB4E32"/>
    <w:rsid w:val="00AB52F1"/>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4EF6"/>
    <w:rsid w:val="00AC5395"/>
    <w:rsid w:val="00AC55C7"/>
    <w:rsid w:val="00AC56F2"/>
    <w:rsid w:val="00AC5D9D"/>
    <w:rsid w:val="00AC71C3"/>
    <w:rsid w:val="00AD09F7"/>
    <w:rsid w:val="00AD1EFA"/>
    <w:rsid w:val="00AD2072"/>
    <w:rsid w:val="00AD2DBD"/>
    <w:rsid w:val="00AD2FBF"/>
    <w:rsid w:val="00AD33A1"/>
    <w:rsid w:val="00AD340E"/>
    <w:rsid w:val="00AD455D"/>
    <w:rsid w:val="00AD463C"/>
    <w:rsid w:val="00AD4F60"/>
    <w:rsid w:val="00AD5044"/>
    <w:rsid w:val="00AD5114"/>
    <w:rsid w:val="00AD6236"/>
    <w:rsid w:val="00AD69D5"/>
    <w:rsid w:val="00AD7619"/>
    <w:rsid w:val="00AD7770"/>
    <w:rsid w:val="00AE14BB"/>
    <w:rsid w:val="00AE1772"/>
    <w:rsid w:val="00AE1990"/>
    <w:rsid w:val="00AE25E8"/>
    <w:rsid w:val="00AE2AD4"/>
    <w:rsid w:val="00AE2CA7"/>
    <w:rsid w:val="00AE2F1D"/>
    <w:rsid w:val="00AE4C81"/>
    <w:rsid w:val="00AE586F"/>
    <w:rsid w:val="00AE5899"/>
    <w:rsid w:val="00AE62FE"/>
    <w:rsid w:val="00AE6582"/>
    <w:rsid w:val="00AE6DC5"/>
    <w:rsid w:val="00AE7686"/>
    <w:rsid w:val="00AE799A"/>
    <w:rsid w:val="00AF0E81"/>
    <w:rsid w:val="00AF117A"/>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EB6"/>
    <w:rsid w:val="00AF7796"/>
    <w:rsid w:val="00B011A9"/>
    <w:rsid w:val="00B01BAF"/>
    <w:rsid w:val="00B024ED"/>
    <w:rsid w:val="00B026B8"/>
    <w:rsid w:val="00B02EB3"/>
    <w:rsid w:val="00B02FCB"/>
    <w:rsid w:val="00B033F8"/>
    <w:rsid w:val="00B03C1E"/>
    <w:rsid w:val="00B04400"/>
    <w:rsid w:val="00B04835"/>
    <w:rsid w:val="00B05623"/>
    <w:rsid w:val="00B05A55"/>
    <w:rsid w:val="00B05DE1"/>
    <w:rsid w:val="00B06595"/>
    <w:rsid w:val="00B06862"/>
    <w:rsid w:val="00B079A5"/>
    <w:rsid w:val="00B10109"/>
    <w:rsid w:val="00B1085E"/>
    <w:rsid w:val="00B10FD1"/>
    <w:rsid w:val="00B112D5"/>
    <w:rsid w:val="00B11378"/>
    <w:rsid w:val="00B1219D"/>
    <w:rsid w:val="00B12735"/>
    <w:rsid w:val="00B12F44"/>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D"/>
    <w:rsid w:val="00B17B91"/>
    <w:rsid w:val="00B20209"/>
    <w:rsid w:val="00B203C9"/>
    <w:rsid w:val="00B2088D"/>
    <w:rsid w:val="00B208FF"/>
    <w:rsid w:val="00B21271"/>
    <w:rsid w:val="00B22E22"/>
    <w:rsid w:val="00B22F5F"/>
    <w:rsid w:val="00B23353"/>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D2B"/>
    <w:rsid w:val="00B37657"/>
    <w:rsid w:val="00B37AFD"/>
    <w:rsid w:val="00B37B07"/>
    <w:rsid w:val="00B4046F"/>
    <w:rsid w:val="00B406B3"/>
    <w:rsid w:val="00B40A36"/>
    <w:rsid w:val="00B41BCA"/>
    <w:rsid w:val="00B41D39"/>
    <w:rsid w:val="00B422C0"/>
    <w:rsid w:val="00B42555"/>
    <w:rsid w:val="00B426CA"/>
    <w:rsid w:val="00B426E1"/>
    <w:rsid w:val="00B4387A"/>
    <w:rsid w:val="00B44746"/>
    <w:rsid w:val="00B44854"/>
    <w:rsid w:val="00B44BA5"/>
    <w:rsid w:val="00B458D0"/>
    <w:rsid w:val="00B4792C"/>
    <w:rsid w:val="00B50CAE"/>
    <w:rsid w:val="00B512AD"/>
    <w:rsid w:val="00B5196C"/>
    <w:rsid w:val="00B525CB"/>
    <w:rsid w:val="00B52697"/>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C9A"/>
    <w:rsid w:val="00B64EDB"/>
    <w:rsid w:val="00B65938"/>
    <w:rsid w:val="00B65C8A"/>
    <w:rsid w:val="00B65CE2"/>
    <w:rsid w:val="00B660AD"/>
    <w:rsid w:val="00B66109"/>
    <w:rsid w:val="00B66349"/>
    <w:rsid w:val="00B669B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08F"/>
    <w:rsid w:val="00B771F4"/>
    <w:rsid w:val="00B7762A"/>
    <w:rsid w:val="00B777FA"/>
    <w:rsid w:val="00B77850"/>
    <w:rsid w:val="00B7796B"/>
    <w:rsid w:val="00B80C72"/>
    <w:rsid w:val="00B8101E"/>
    <w:rsid w:val="00B81964"/>
    <w:rsid w:val="00B81E6F"/>
    <w:rsid w:val="00B82123"/>
    <w:rsid w:val="00B8225B"/>
    <w:rsid w:val="00B82BB5"/>
    <w:rsid w:val="00B83182"/>
    <w:rsid w:val="00B83893"/>
    <w:rsid w:val="00B839F0"/>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68"/>
    <w:rsid w:val="00BA1A8C"/>
    <w:rsid w:val="00BA20B6"/>
    <w:rsid w:val="00BA20D8"/>
    <w:rsid w:val="00BA22FC"/>
    <w:rsid w:val="00BA2C2A"/>
    <w:rsid w:val="00BA2F30"/>
    <w:rsid w:val="00BA3982"/>
    <w:rsid w:val="00BA405F"/>
    <w:rsid w:val="00BA4771"/>
    <w:rsid w:val="00BA482B"/>
    <w:rsid w:val="00BA5027"/>
    <w:rsid w:val="00BA665B"/>
    <w:rsid w:val="00BA6FE8"/>
    <w:rsid w:val="00BA732D"/>
    <w:rsid w:val="00BA7370"/>
    <w:rsid w:val="00BA778B"/>
    <w:rsid w:val="00BB07A9"/>
    <w:rsid w:val="00BB0888"/>
    <w:rsid w:val="00BB0DF1"/>
    <w:rsid w:val="00BB0E49"/>
    <w:rsid w:val="00BB0E9B"/>
    <w:rsid w:val="00BB2841"/>
    <w:rsid w:val="00BB300F"/>
    <w:rsid w:val="00BB32C9"/>
    <w:rsid w:val="00BB35C5"/>
    <w:rsid w:val="00BB4048"/>
    <w:rsid w:val="00BB4C8E"/>
    <w:rsid w:val="00BB57ED"/>
    <w:rsid w:val="00BB5A2D"/>
    <w:rsid w:val="00BB606C"/>
    <w:rsid w:val="00BB65C3"/>
    <w:rsid w:val="00BB662E"/>
    <w:rsid w:val="00BB67A9"/>
    <w:rsid w:val="00BB6C01"/>
    <w:rsid w:val="00BB7942"/>
    <w:rsid w:val="00BB7CD1"/>
    <w:rsid w:val="00BC0F33"/>
    <w:rsid w:val="00BC14A7"/>
    <w:rsid w:val="00BC17CC"/>
    <w:rsid w:val="00BC209F"/>
    <w:rsid w:val="00BC24AD"/>
    <w:rsid w:val="00BC2898"/>
    <w:rsid w:val="00BC2928"/>
    <w:rsid w:val="00BC29BD"/>
    <w:rsid w:val="00BC2BB1"/>
    <w:rsid w:val="00BC34A3"/>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C7"/>
    <w:rsid w:val="00BE4F66"/>
    <w:rsid w:val="00BE4FBF"/>
    <w:rsid w:val="00BE5238"/>
    <w:rsid w:val="00BE5742"/>
    <w:rsid w:val="00BE6074"/>
    <w:rsid w:val="00BE6D73"/>
    <w:rsid w:val="00BE7257"/>
    <w:rsid w:val="00BF020D"/>
    <w:rsid w:val="00BF0532"/>
    <w:rsid w:val="00BF0609"/>
    <w:rsid w:val="00BF0EE8"/>
    <w:rsid w:val="00BF10ED"/>
    <w:rsid w:val="00BF1DD2"/>
    <w:rsid w:val="00BF23A3"/>
    <w:rsid w:val="00BF2A7E"/>
    <w:rsid w:val="00BF3331"/>
    <w:rsid w:val="00BF3A45"/>
    <w:rsid w:val="00BF436F"/>
    <w:rsid w:val="00BF45AE"/>
    <w:rsid w:val="00BF5C05"/>
    <w:rsid w:val="00BF6A12"/>
    <w:rsid w:val="00BF6FC6"/>
    <w:rsid w:val="00BF7C52"/>
    <w:rsid w:val="00BF7F99"/>
    <w:rsid w:val="00C00713"/>
    <w:rsid w:val="00C009A0"/>
    <w:rsid w:val="00C018F7"/>
    <w:rsid w:val="00C01F74"/>
    <w:rsid w:val="00C020C1"/>
    <w:rsid w:val="00C02558"/>
    <w:rsid w:val="00C025FE"/>
    <w:rsid w:val="00C0285F"/>
    <w:rsid w:val="00C028F5"/>
    <w:rsid w:val="00C02F35"/>
    <w:rsid w:val="00C03305"/>
    <w:rsid w:val="00C03515"/>
    <w:rsid w:val="00C03664"/>
    <w:rsid w:val="00C03738"/>
    <w:rsid w:val="00C037A6"/>
    <w:rsid w:val="00C04221"/>
    <w:rsid w:val="00C043F5"/>
    <w:rsid w:val="00C044E3"/>
    <w:rsid w:val="00C04607"/>
    <w:rsid w:val="00C04BDB"/>
    <w:rsid w:val="00C052C6"/>
    <w:rsid w:val="00C05A61"/>
    <w:rsid w:val="00C05FBA"/>
    <w:rsid w:val="00C05FEE"/>
    <w:rsid w:val="00C06CCF"/>
    <w:rsid w:val="00C0794D"/>
    <w:rsid w:val="00C10E78"/>
    <w:rsid w:val="00C1159D"/>
    <w:rsid w:val="00C1233E"/>
    <w:rsid w:val="00C1276C"/>
    <w:rsid w:val="00C12FB3"/>
    <w:rsid w:val="00C138BC"/>
    <w:rsid w:val="00C13D85"/>
    <w:rsid w:val="00C14575"/>
    <w:rsid w:val="00C14639"/>
    <w:rsid w:val="00C14E82"/>
    <w:rsid w:val="00C14FF6"/>
    <w:rsid w:val="00C15A85"/>
    <w:rsid w:val="00C1637C"/>
    <w:rsid w:val="00C1641B"/>
    <w:rsid w:val="00C165FC"/>
    <w:rsid w:val="00C16DCE"/>
    <w:rsid w:val="00C176D5"/>
    <w:rsid w:val="00C17D24"/>
    <w:rsid w:val="00C2082C"/>
    <w:rsid w:val="00C20EB0"/>
    <w:rsid w:val="00C21004"/>
    <w:rsid w:val="00C21005"/>
    <w:rsid w:val="00C218DF"/>
    <w:rsid w:val="00C21D08"/>
    <w:rsid w:val="00C220B6"/>
    <w:rsid w:val="00C22D7C"/>
    <w:rsid w:val="00C22DDE"/>
    <w:rsid w:val="00C2338B"/>
    <w:rsid w:val="00C233CE"/>
    <w:rsid w:val="00C237DD"/>
    <w:rsid w:val="00C238F4"/>
    <w:rsid w:val="00C2393A"/>
    <w:rsid w:val="00C23A99"/>
    <w:rsid w:val="00C23AB5"/>
    <w:rsid w:val="00C242D2"/>
    <w:rsid w:val="00C245EE"/>
    <w:rsid w:val="00C24AE1"/>
    <w:rsid w:val="00C24B8D"/>
    <w:rsid w:val="00C24BD7"/>
    <w:rsid w:val="00C25813"/>
    <w:rsid w:val="00C26C71"/>
    <w:rsid w:val="00C27143"/>
    <w:rsid w:val="00C27490"/>
    <w:rsid w:val="00C27D37"/>
    <w:rsid w:val="00C309E8"/>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8A2"/>
    <w:rsid w:val="00C439BE"/>
    <w:rsid w:val="00C440B6"/>
    <w:rsid w:val="00C451B2"/>
    <w:rsid w:val="00C4539B"/>
    <w:rsid w:val="00C45466"/>
    <w:rsid w:val="00C455C1"/>
    <w:rsid w:val="00C4581D"/>
    <w:rsid w:val="00C47472"/>
    <w:rsid w:val="00C500F0"/>
    <w:rsid w:val="00C504A7"/>
    <w:rsid w:val="00C506C9"/>
    <w:rsid w:val="00C50A16"/>
    <w:rsid w:val="00C51C9A"/>
    <w:rsid w:val="00C520E6"/>
    <w:rsid w:val="00C52C68"/>
    <w:rsid w:val="00C52D98"/>
    <w:rsid w:val="00C52DA1"/>
    <w:rsid w:val="00C53423"/>
    <w:rsid w:val="00C53D24"/>
    <w:rsid w:val="00C54640"/>
    <w:rsid w:val="00C547A6"/>
    <w:rsid w:val="00C54A3A"/>
    <w:rsid w:val="00C55C32"/>
    <w:rsid w:val="00C56A67"/>
    <w:rsid w:val="00C56CC2"/>
    <w:rsid w:val="00C56D8D"/>
    <w:rsid w:val="00C57498"/>
    <w:rsid w:val="00C5763C"/>
    <w:rsid w:val="00C5780C"/>
    <w:rsid w:val="00C5796B"/>
    <w:rsid w:val="00C57C64"/>
    <w:rsid w:val="00C605D1"/>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67D7A"/>
    <w:rsid w:val="00C70012"/>
    <w:rsid w:val="00C70D57"/>
    <w:rsid w:val="00C71E2A"/>
    <w:rsid w:val="00C730C1"/>
    <w:rsid w:val="00C733BA"/>
    <w:rsid w:val="00C742F6"/>
    <w:rsid w:val="00C74FFE"/>
    <w:rsid w:val="00C760DC"/>
    <w:rsid w:val="00C77777"/>
    <w:rsid w:val="00C8082B"/>
    <w:rsid w:val="00C80C6B"/>
    <w:rsid w:val="00C81A88"/>
    <w:rsid w:val="00C81D46"/>
    <w:rsid w:val="00C82050"/>
    <w:rsid w:val="00C82298"/>
    <w:rsid w:val="00C82DC7"/>
    <w:rsid w:val="00C8331F"/>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5E65"/>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CB4"/>
    <w:rsid w:val="00CC4E5D"/>
    <w:rsid w:val="00CC50AE"/>
    <w:rsid w:val="00CC5FFE"/>
    <w:rsid w:val="00CC61B7"/>
    <w:rsid w:val="00CC61CA"/>
    <w:rsid w:val="00CC69EC"/>
    <w:rsid w:val="00CC6E09"/>
    <w:rsid w:val="00CC71D3"/>
    <w:rsid w:val="00CC743D"/>
    <w:rsid w:val="00CD02ED"/>
    <w:rsid w:val="00CD050A"/>
    <w:rsid w:val="00CD1017"/>
    <w:rsid w:val="00CD205D"/>
    <w:rsid w:val="00CD2A22"/>
    <w:rsid w:val="00CD2B50"/>
    <w:rsid w:val="00CD2FB8"/>
    <w:rsid w:val="00CD3172"/>
    <w:rsid w:val="00CD4506"/>
    <w:rsid w:val="00CD520B"/>
    <w:rsid w:val="00CD592E"/>
    <w:rsid w:val="00CD5982"/>
    <w:rsid w:val="00CD5A1A"/>
    <w:rsid w:val="00CD7690"/>
    <w:rsid w:val="00CD7EFA"/>
    <w:rsid w:val="00CE020E"/>
    <w:rsid w:val="00CE0566"/>
    <w:rsid w:val="00CE1CD4"/>
    <w:rsid w:val="00CE2761"/>
    <w:rsid w:val="00CE28FC"/>
    <w:rsid w:val="00CE314E"/>
    <w:rsid w:val="00CE3A85"/>
    <w:rsid w:val="00CE3D5C"/>
    <w:rsid w:val="00CE3E09"/>
    <w:rsid w:val="00CE3E14"/>
    <w:rsid w:val="00CE3EAC"/>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06CA3"/>
    <w:rsid w:val="00D1060D"/>
    <w:rsid w:val="00D10D14"/>
    <w:rsid w:val="00D10E7C"/>
    <w:rsid w:val="00D11182"/>
    <w:rsid w:val="00D1137B"/>
    <w:rsid w:val="00D11508"/>
    <w:rsid w:val="00D11807"/>
    <w:rsid w:val="00D11DB3"/>
    <w:rsid w:val="00D12D82"/>
    <w:rsid w:val="00D12F77"/>
    <w:rsid w:val="00D1306E"/>
    <w:rsid w:val="00D130B7"/>
    <w:rsid w:val="00D134CD"/>
    <w:rsid w:val="00D1401E"/>
    <w:rsid w:val="00D14B5F"/>
    <w:rsid w:val="00D14E13"/>
    <w:rsid w:val="00D14F23"/>
    <w:rsid w:val="00D160F6"/>
    <w:rsid w:val="00D16740"/>
    <w:rsid w:val="00D16A8B"/>
    <w:rsid w:val="00D16E39"/>
    <w:rsid w:val="00D171DE"/>
    <w:rsid w:val="00D172A4"/>
    <w:rsid w:val="00D17951"/>
    <w:rsid w:val="00D17AD8"/>
    <w:rsid w:val="00D2074E"/>
    <w:rsid w:val="00D2104A"/>
    <w:rsid w:val="00D21A58"/>
    <w:rsid w:val="00D21BB5"/>
    <w:rsid w:val="00D21FFC"/>
    <w:rsid w:val="00D223B6"/>
    <w:rsid w:val="00D223E8"/>
    <w:rsid w:val="00D224E1"/>
    <w:rsid w:val="00D22DC8"/>
    <w:rsid w:val="00D2477B"/>
    <w:rsid w:val="00D2522A"/>
    <w:rsid w:val="00D2531C"/>
    <w:rsid w:val="00D25428"/>
    <w:rsid w:val="00D2553E"/>
    <w:rsid w:val="00D2587F"/>
    <w:rsid w:val="00D2742F"/>
    <w:rsid w:val="00D2754F"/>
    <w:rsid w:val="00D277C5"/>
    <w:rsid w:val="00D279D9"/>
    <w:rsid w:val="00D312DC"/>
    <w:rsid w:val="00D31B84"/>
    <w:rsid w:val="00D31C6A"/>
    <w:rsid w:val="00D31EDF"/>
    <w:rsid w:val="00D31FF9"/>
    <w:rsid w:val="00D32149"/>
    <w:rsid w:val="00D32256"/>
    <w:rsid w:val="00D32A27"/>
    <w:rsid w:val="00D32ABC"/>
    <w:rsid w:val="00D330CE"/>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1AD0"/>
    <w:rsid w:val="00D422DB"/>
    <w:rsid w:val="00D42AC2"/>
    <w:rsid w:val="00D4498E"/>
    <w:rsid w:val="00D4515F"/>
    <w:rsid w:val="00D451E8"/>
    <w:rsid w:val="00D466C9"/>
    <w:rsid w:val="00D47275"/>
    <w:rsid w:val="00D517F6"/>
    <w:rsid w:val="00D51AB7"/>
    <w:rsid w:val="00D51E15"/>
    <w:rsid w:val="00D52B7E"/>
    <w:rsid w:val="00D52E2F"/>
    <w:rsid w:val="00D52F59"/>
    <w:rsid w:val="00D53445"/>
    <w:rsid w:val="00D53E3E"/>
    <w:rsid w:val="00D54620"/>
    <w:rsid w:val="00D55904"/>
    <w:rsid w:val="00D5614E"/>
    <w:rsid w:val="00D5616F"/>
    <w:rsid w:val="00D56B72"/>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51A1"/>
    <w:rsid w:val="00D65861"/>
    <w:rsid w:val="00D65DEA"/>
    <w:rsid w:val="00D6650F"/>
    <w:rsid w:val="00D66579"/>
    <w:rsid w:val="00D676D3"/>
    <w:rsid w:val="00D67B06"/>
    <w:rsid w:val="00D67BC7"/>
    <w:rsid w:val="00D67C3B"/>
    <w:rsid w:val="00D701F1"/>
    <w:rsid w:val="00D705D3"/>
    <w:rsid w:val="00D70E00"/>
    <w:rsid w:val="00D70F7C"/>
    <w:rsid w:val="00D715AC"/>
    <w:rsid w:val="00D71851"/>
    <w:rsid w:val="00D718CF"/>
    <w:rsid w:val="00D728F5"/>
    <w:rsid w:val="00D72E9D"/>
    <w:rsid w:val="00D73249"/>
    <w:rsid w:val="00D73419"/>
    <w:rsid w:val="00D73881"/>
    <w:rsid w:val="00D73CA9"/>
    <w:rsid w:val="00D751B7"/>
    <w:rsid w:val="00D7524B"/>
    <w:rsid w:val="00D7536A"/>
    <w:rsid w:val="00D7539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4983"/>
    <w:rsid w:val="00D84C00"/>
    <w:rsid w:val="00D852C1"/>
    <w:rsid w:val="00D85494"/>
    <w:rsid w:val="00D8582C"/>
    <w:rsid w:val="00D85D61"/>
    <w:rsid w:val="00D8616D"/>
    <w:rsid w:val="00D8711B"/>
    <w:rsid w:val="00D87384"/>
    <w:rsid w:val="00D87818"/>
    <w:rsid w:val="00D9015D"/>
    <w:rsid w:val="00D90683"/>
    <w:rsid w:val="00D90B2A"/>
    <w:rsid w:val="00D91483"/>
    <w:rsid w:val="00D915C8"/>
    <w:rsid w:val="00D9310B"/>
    <w:rsid w:val="00D931F3"/>
    <w:rsid w:val="00D93726"/>
    <w:rsid w:val="00D93F3E"/>
    <w:rsid w:val="00D9405B"/>
    <w:rsid w:val="00D94942"/>
    <w:rsid w:val="00D95145"/>
    <w:rsid w:val="00D95F31"/>
    <w:rsid w:val="00D96594"/>
    <w:rsid w:val="00D967CB"/>
    <w:rsid w:val="00D968D4"/>
    <w:rsid w:val="00D96EE0"/>
    <w:rsid w:val="00D97BD1"/>
    <w:rsid w:val="00D97EF0"/>
    <w:rsid w:val="00DA00C3"/>
    <w:rsid w:val="00DA01E9"/>
    <w:rsid w:val="00DA06B8"/>
    <w:rsid w:val="00DA14A9"/>
    <w:rsid w:val="00DA286D"/>
    <w:rsid w:val="00DA2969"/>
    <w:rsid w:val="00DA29B7"/>
    <w:rsid w:val="00DA2E5F"/>
    <w:rsid w:val="00DA337C"/>
    <w:rsid w:val="00DA422F"/>
    <w:rsid w:val="00DA4842"/>
    <w:rsid w:val="00DA4C97"/>
    <w:rsid w:val="00DA5989"/>
    <w:rsid w:val="00DA5AB1"/>
    <w:rsid w:val="00DA5F9D"/>
    <w:rsid w:val="00DA6719"/>
    <w:rsid w:val="00DA69B2"/>
    <w:rsid w:val="00DA7462"/>
    <w:rsid w:val="00DA7AD0"/>
    <w:rsid w:val="00DB02D7"/>
    <w:rsid w:val="00DB03CC"/>
    <w:rsid w:val="00DB043B"/>
    <w:rsid w:val="00DB12D4"/>
    <w:rsid w:val="00DB14F0"/>
    <w:rsid w:val="00DB1745"/>
    <w:rsid w:val="00DB19BB"/>
    <w:rsid w:val="00DB1A5F"/>
    <w:rsid w:val="00DB1AFF"/>
    <w:rsid w:val="00DB219A"/>
    <w:rsid w:val="00DB3165"/>
    <w:rsid w:val="00DB31EE"/>
    <w:rsid w:val="00DB4292"/>
    <w:rsid w:val="00DB5023"/>
    <w:rsid w:val="00DB6E46"/>
    <w:rsid w:val="00DB7117"/>
    <w:rsid w:val="00DB7760"/>
    <w:rsid w:val="00DB7DD4"/>
    <w:rsid w:val="00DC00B4"/>
    <w:rsid w:val="00DC0954"/>
    <w:rsid w:val="00DC0DF8"/>
    <w:rsid w:val="00DC15BA"/>
    <w:rsid w:val="00DC18CD"/>
    <w:rsid w:val="00DC1A68"/>
    <w:rsid w:val="00DC298F"/>
    <w:rsid w:val="00DC30B8"/>
    <w:rsid w:val="00DC478F"/>
    <w:rsid w:val="00DC558F"/>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2A62"/>
    <w:rsid w:val="00DD2F2F"/>
    <w:rsid w:val="00DD2F7A"/>
    <w:rsid w:val="00DD36D2"/>
    <w:rsid w:val="00DD37C4"/>
    <w:rsid w:val="00DD3885"/>
    <w:rsid w:val="00DD5808"/>
    <w:rsid w:val="00DD5946"/>
    <w:rsid w:val="00DD5B04"/>
    <w:rsid w:val="00DD5DAE"/>
    <w:rsid w:val="00DD5EC6"/>
    <w:rsid w:val="00DD605F"/>
    <w:rsid w:val="00DD6A79"/>
    <w:rsid w:val="00DD72A0"/>
    <w:rsid w:val="00DD735D"/>
    <w:rsid w:val="00DD7F7D"/>
    <w:rsid w:val="00DE0159"/>
    <w:rsid w:val="00DE064A"/>
    <w:rsid w:val="00DE082D"/>
    <w:rsid w:val="00DE1410"/>
    <w:rsid w:val="00DE20C6"/>
    <w:rsid w:val="00DE3119"/>
    <w:rsid w:val="00DE3C24"/>
    <w:rsid w:val="00DE3FF0"/>
    <w:rsid w:val="00DE4105"/>
    <w:rsid w:val="00DE4BEA"/>
    <w:rsid w:val="00DE5189"/>
    <w:rsid w:val="00DE5DA0"/>
    <w:rsid w:val="00DE7108"/>
    <w:rsid w:val="00DE78D1"/>
    <w:rsid w:val="00DE78FF"/>
    <w:rsid w:val="00DF0263"/>
    <w:rsid w:val="00DF0EB4"/>
    <w:rsid w:val="00DF158B"/>
    <w:rsid w:val="00DF170E"/>
    <w:rsid w:val="00DF193C"/>
    <w:rsid w:val="00DF1E36"/>
    <w:rsid w:val="00DF236B"/>
    <w:rsid w:val="00DF258A"/>
    <w:rsid w:val="00DF27F1"/>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2186"/>
    <w:rsid w:val="00E025C2"/>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603"/>
    <w:rsid w:val="00E109DD"/>
    <w:rsid w:val="00E11229"/>
    <w:rsid w:val="00E114CA"/>
    <w:rsid w:val="00E127D1"/>
    <w:rsid w:val="00E13867"/>
    <w:rsid w:val="00E1397F"/>
    <w:rsid w:val="00E13AB8"/>
    <w:rsid w:val="00E1482E"/>
    <w:rsid w:val="00E16382"/>
    <w:rsid w:val="00E1699C"/>
    <w:rsid w:val="00E16E75"/>
    <w:rsid w:val="00E1746D"/>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5A8"/>
    <w:rsid w:val="00E30E49"/>
    <w:rsid w:val="00E31A4A"/>
    <w:rsid w:val="00E3216D"/>
    <w:rsid w:val="00E3344A"/>
    <w:rsid w:val="00E33B29"/>
    <w:rsid w:val="00E33B62"/>
    <w:rsid w:val="00E3403D"/>
    <w:rsid w:val="00E344BD"/>
    <w:rsid w:val="00E34E6C"/>
    <w:rsid w:val="00E353E2"/>
    <w:rsid w:val="00E36345"/>
    <w:rsid w:val="00E36C86"/>
    <w:rsid w:val="00E36CEB"/>
    <w:rsid w:val="00E37A28"/>
    <w:rsid w:val="00E400C7"/>
    <w:rsid w:val="00E40430"/>
    <w:rsid w:val="00E40690"/>
    <w:rsid w:val="00E40AEB"/>
    <w:rsid w:val="00E40E82"/>
    <w:rsid w:val="00E41141"/>
    <w:rsid w:val="00E4143A"/>
    <w:rsid w:val="00E41F68"/>
    <w:rsid w:val="00E424C8"/>
    <w:rsid w:val="00E4251D"/>
    <w:rsid w:val="00E427EF"/>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811"/>
    <w:rsid w:val="00E57A46"/>
    <w:rsid w:val="00E57FB0"/>
    <w:rsid w:val="00E601BE"/>
    <w:rsid w:val="00E60A0D"/>
    <w:rsid w:val="00E60A44"/>
    <w:rsid w:val="00E60B5F"/>
    <w:rsid w:val="00E613AE"/>
    <w:rsid w:val="00E61429"/>
    <w:rsid w:val="00E6143A"/>
    <w:rsid w:val="00E61ABB"/>
    <w:rsid w:val="00E61FD7"/>
    <w:rsid w:val="00E623E6"/>
    <w:rsid w:val="00E62BBF"/>
    <w:rsid w:val="00E62C76"/>
    <w:rsid w:val="00E630A2"/>
    <w:rsid w:val="00E630C0"/>
    <w:rsid w:val="00E63107"/>
    <w:rsid w:val="00E6312C"/>
    <w:rsid w:val="00E634E6"/>
    <w:rsid w:val="00E63DCE"/>
    <w:rsid w:val="00E642EF"/>
    <w:rsid w:val="00E64700"/>
    <w:rsid w:val="00E65074"/>
    <w:rsid w:val="00E65857"/>
    <w:rsid w:val="00E65A79"/>
    <w:rsid w:val="00E65E70"/>
    <w:rsid w:val="00E66087"/>
    <w:rsid w:val="00E66D79"/>
    <w:rsid w:val="00E66FF9"/>
    <w:rsid w:val="00E6706F"/>
    <w:rsid w:val="00E673A2"/>
    <w:rsid w:val="00E67856"/>
    <w:rsid w:val="00E679C8"/>
    <w:rsid w:val="00E67CC3"/>
    <w:rsid w:val="00E70314"/>
    <w:rsid w:val="00E724E7"/>
    <w:rsid w:val="00E72B41"/>
    <w:rsid w:val="00E7347B"/>
    <w:rsid w:val="00E73792"/>
    <w:rsid w:val="00E73D03"/>
    <w:rsid w:val="00E7471C"/>
    <w:rsid w:val="00E7498A"/>
    <w:rsid w:val="00E7514E"/>
    <w:rsid w:val="00E75DC5"/>
    <w:rsid w:val="00E7617F"/>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56F"/>
    <w:rsid w:val="00E86556"/>
    <w:rsid w:val="00E86D35"/>
    <w:rsid w:val="00E86DC2"/>
    <w:rsid w:val="00E86E32"/>
    <w:rsid w:val="00E86F2E"/>
    <w:rsid w:val="00E8732E"/>
    <w:rsid w:val="00E9011F"/>
    <w:rsid w:val="00E906EB"/>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BCE"/>
    <w:rsid w:val="00EA10E4"/>
    <w:rsid w:val="00EA17BC"/>
    <w:rsid w:val="00EA2744"/>
    <w:rsid w:val="00EA37B9"/>
    <w:rsid w:val="00EA39F7"/>
    <w:rsid w:val="00EA3DC2"/>
    <w:rsid w:val="00EA434E"/>
    <w:rsid w:val="00EA4757"/>
    <w:rsid w:val="00EA55BB"/>
    <w:rsid w:val="00EA560B"/>
    <w:rsid w:val="00EA5669"/>
    <w:rsid w:val="00EA5CC6"/>
    <w:rsid w:val="00EA63EF"/>
    <w:rsid w:val="00EA7CBF"/>
    <w:rsid w:val="00EB08CB"/>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B7F85"/>
    <w:rsid w:val="00EC04F7"/>
    <w:rsid w:val="00EC05E2"/>
    <w:rsid w:val="00EC090E"/>
    <w:rsid w:val="00EC0E84"/>
    <w:rsid w:val="00EC16E2"/>
    <w:rsid w:val="00EC1CE7"/>
    <w:rsid w:val="00EC1DAE"/>
    <w:rsid w:val="00EC26F1"/>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D27"/>
    <w:rsid w:val="00ED3347"/>
    <w:rsid w:val="00ED3441"/>
    <w:rsid w:val="00ED3860"/>
    <w:rsid w:val="00ED3954"/>
    <w:rsid w:val="00ED4174"/>
    <w:rsid w:val="00ED43A2"/>
    <w:rsid w:val="00ED4967"/>
    <w:rsid w:val="00ED5140"/>
    <w:rsid w:val="00ED538C"/>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3D2B"/>
    <w:rsid w:val="00EE40A4"/>
    <w:rsid w:val="00EE5454"/>
    <w:rsid w:val="00EE59B5"/>
    <w:rsid w:val="00EE5FB7"/>
    <w:rsid w:val="00EE6783"/>
    <w:rsid w:val="00EE678B"/>
    <w:rsid w:val="00EE7B54"/>
    <w:rsid w:val="00EE7C47"/>
    <w:rsid w:val="00EE7C88"/>
    <w:rsid w:val="00EE7C8B"/>
    <w:rsid w:val="00EF0209"/>
    <w:rsid w:val="00EF07FB"/>
    <w:rsid w:val="00EF0EA4"/>
    <w:rsid w:val="00EF1E97"/>
    <w:rsid w:val="00EF2436"/>
    <w:rsid w:val="00EF2547"/>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ECA"/>
    <w:rsid w:val="00F04F8B"/>
    <w:rsid w:val="00F06E19"/>
    <w:rsid w:val="00F06F84"/>
    <w:rsid w:val="00F076E7"/>
    <w:rsid w:val="00F07A86"/>
    <w:rsid w:val="00F07AA1"/>
    <w:rsid w:val="00F105AE"/>
    <w:rsid w:val="00F10618"/>
    <w:rsid w:val="00F10E7D"/>
    <w:rsid w:val="00F1108B"/>
    <w:rsid w:val="00F114FA"/>
    <w:rsid w:val="00F11768"/>
    <w:rsid w:val="00F11951"/>
    <w:rsid w:val="00F12262"/>
    <w:rsid w:val="00F12564"/>
    <w:rsid w:val="00F12AF8"/>
    <w:rsid w:val="00F12C52"/>
    <w:rsid w:val="00F13381"/>
    <w:rsid w:val="00F13828"/>
    <w:rsid w:val="00F13E62"/>
    <w:rsid w:val="00F13F51"/>
    <w:rsid w:val="00F148B7"/>
    <w:rsid w:val="00F14EA9"/>
    <w:rsid w:val="00F15505"/>
    <w:rsid w:val="00F1559B"/>
    <w:rsid w:val="00F15BFF"/>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5947"/>
    <w:rsid w:val="00F262D6"/>
    <w:rsid w:val="00F26F33"/>
    <w:rsid w:val="00F273D5"/>
    <w:rsid w:val="00F2748A"/>
    <w:rsid w:val="00F2786C"/>
    <w:rsid w:val="00F300A8"/>
    <w:rsid w:val="00F302C6"/>
    <w:rsid w:val="00F30400"/>
    <w:rsid w:val="00F3079E"/>
    <w:rsid w:val="00F31289"/>
    <w:rsid w:val="00F31293"/>
    <w:rsid w:val="00F3232D"/>
    <w:rsid w:val="00F3399B"/>
    <w:rsid w:val="00F33F4B"/>
    <w:rsid w:val="00F346ED"/>
    <w:rsid w:val="00F34945"/>
    <w:rsid w:val="00F34E1E"/>
    <w:rsid w:val="00F3570C"/>
    <w:rsid w:val="00F363A4"/>
    <w:rsid w:val="00F36765"/>
    <w:rsid w:val="00F368FF"/>
    <w:rsid w:val="00F37068"/>
    <w:rsid w:val="00F37E5F"/>
    <w:rsid w:val="00F37F3F"/>
    <w:rsid w:val="00F40992"/>
    <w:rsid w:val="00F40F72"/>
    <w:rsid w:val="00F41596"/>
    <w:rsid w:val="00F41D8B"/>
    <w:rsid w:val="00F42121"/>
    <w:rsid w:val="00F424B3"/>
    <w:rsid w:val="00F428B1"/>
    <w:rsid w:val="00F428B4"/>
    <w:rsid w:val="00F4345D"/>
    <w:rsid w:val="00F4387B"/>
    <w:rsid w:val="00F4387F"/>
    <w:rsid w:val="00F44120"/>
    <w:rsid w:val="00F45921"/>
    <w:rsid w:val="00F45B91"/>
    <w:rsid w:val="00F46639"/>
    <w:rsid w:val="00F476FD"/>
    <w:rsid w:val="00F50183"/>
    <w:rsid w:val="00F50D92"/>
    <w:rsid w:val="00F51765"/>
    <w:rsid w:val="00F51A51"/>
    <w:rsid w:val="00F51BC6"/>
    <w:rsid w:val="00F51CB4"/>
    <w:rsid w:val="00F52200"/>
    <w:rsid w:val="00F52324"/>
    <w:rsid w:val="00F52950"/>
    <w:rsid w:val="00F52C9D"/>
    <w:rsid w:val="00F533F1"/>
    <w:rsid w:val="00F55185"/>
    <w:rsid w:val="00F55679"/>
    <w:rsid w:val="00F561E3"/>
    <w:rsid w:val="00F565E6"/>
    <w:rsid w:val="00F5673A"/>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AF1"/>
    <w:rsid w:val="00F67D8B"/>
    <w:rsid w:val="00F700CD"/>
    <w:rsid w:val="00F701C5"/>
    <w:rsid w:val="00F70961"/>
    <w:rsid w:val="00F70A8F"/>
    <w:rsid w:val="00F71397"/>
    <w:rsid w:val="00F72389"/>
    <w:rsid w:val="00F72516"/>
    <w:rsid w:val="00F72FB4"/>
    <w:rsid w:val="00F732CF"/>
    <w:rsid w:val="00F735E5"/>
    <w:rsid w:val="00F73B82"/>
    <w:rsid w:val="00F73E80"/>
    <w:rsid w:val="00F740A0"/>
    <w:rsid w:val="00F7422B"/>
    <w:rsid w:val="00F7469C"/>
    <w:rsid w:val="00F7492E"/>
    <w:rsid w:val="00F74945"/>
    <w:rsid w:val="00F749A3"/>
    <w:rsid w:val="00F74AE8"/>
    <w:rsid w:val="00F76C11"/>
    <w:rsid w:val="00F77021"/>
    <w:rsid w:val="00F770AB"/>
    <w:rsid w:val="00F77223"/>
    <w:rsid w:val="00F77E61"/>
    <w:rsid w:val="00F80221"/>
    <w:rsid w:val="00F80411"/>
    <w:rsid w:val="00F80A0A"/>
    <w:rsid w:val="00F80C81"/>
    <w:rsid w:val="00F815AC"/>
    <w:rsid w:val="00F82939"/>
    <w:rsid w:val="00F82B92"/>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68"/>
    <w:rsid w:val="00F90C4D"/>
    <w:rsid w:val="00F911E1"/>
    <w:rsid w:val="00F9167D"/>
    <w:rsid w:val="00F91CB2"/>
    <w:rsid w:val="00F927E8"/>
    <w:rsid w:val="00F9289C"/>
    <w:rsid w:val="00F92FC1"/>
    <w:rsid w:val="00F932D1"/>
    <w:rsid w:val="00F93DBC"/>
    <w:rsid w:val="00F93E41"/>
    <w:rsid w:val="00F94644"/>
    <w:rsid w:val="00F94CF9"/>
    <w:rsid w:val="00F952E4"/>
    <w:rsid w:val="00F9537B"/>
    <w:rsid w:val="00F953C2"/>
    <w:rsid w:val="00F96079"/>
    <w:rsid w:val="00F962F4"/>
    <w:rsid w:val="00F963FC"/>
    <w:rsid w:val="00F97CF1"/>
    <w:rsid w:val="00FA015F"/>
    <w:rsid w:val="00FA082B"/>
    <w:rsid w:val="00FA0FAC"/>
    <w:rsid w:val="00FA10F7"/>
    <w:rsid w:val="00FA1DA2"/>
    <w:rsid w:val="00FA313F"/>
    <w:rsid w:val="00FA3275"/>
    <w:rsid w:val="00FA3414"/>
    <w:rsid w:val="00FA347A"/>
    <w:rsid w:val="00FA3CDE"/>
    <w:rsid w:val="00FA49B7"/>
    <w:rsid w:val="00FA5043"/>
    <w:rsid w:val="00FA60C1"/>
    <w:rsid w:val="00FA65A3"/>
    <w:rsid w:val="00FA6F8B"/>
    <w:rsid w:val="00FA727C"/>
    <w:rsid w:val="00FA7A30"/>
    <w:rsid w:val="00FB033F"/>
    <w:rsid w:val="00FB0880"/>
    <w:rsid w:val="00FB12E3"/>
    <w:rsid w:val="00FB1570"/>
    <w:rsid w:val="00FB193B"/>
    <w:rsid w:val="00FB1FBC"/>
    <w:rsid w:val="00FB27B7"/>
    <w:rsid w:val="00FB35E3"/>
    <w:rsid w:val="00FB4C98"/>
    <w:rsid w:val="00FB4CE3"/>
    <w:rsid w:val="00FB583C"/>
    <w:rsid w:val="00FB630E"/>
    <w:rsid w:val="00FB6738"/>
    <w:rsid w:val="00FB691B"/>
    <w:rsid w:val="00FB6BE6"/>
    <w:rsid w:val="00FB731C"/>
    <w:rsid w:val="00FB7628"/>
    <w:rsid w:val="00FC05A0"/>
    <w:rsid w:val="00FC0811"/>
    <w:rsid w:val="00FC09B3"/>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CF4"/>
    <w:rsid w:val="00FC5D64"/>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0716"/>
    <w:rsid w:val="00FE0DB8"/>
    <w:rsid w:val="00FE141E"/>
    <w:rsid w:val="00FE144E"/>
    <w:rsid w:val="00FE1768"/>
    <w:rsid w:val="00FE1DD5"/>
    <w:rsid w:val="00FE24F4"/>
    <w:rsid w:val="00FE2560"/>
    <w:rsid w:val="00FE35D0"/>
    <w:rsid w:val="00FE42ED"/>
    <w:rsid w:val="00FE4E06"/>
    <w:rsid w:val="00FE55A7"/>
    <w:rsid w:val="00FE5C5A"/>
    <w:rsid w:val="00FE601E"/>
    <w:rsid w:val="00FE6432"/>
    <w:rsid w:val="00FE72A0"/>
    <w:rsid w:val="00FF0050"/>
    <w:rsid w:val="00FF045F"/>
    <w:rsid w:val="00FF13D4"/>
    <w:rsid w:val="00FF2053"/>
    <w:rsid w:val="00FF3B37"/>
    <w:rsid w:val="00FF3CC7"/>
    <w:rsid w:val="00FF3D6F"/>
    <w:rsid w:val="00FF441A"/>
    <w:rsid w:val="00FF4BD8"/>
    <w:rsid w:val="00FF4D11"/>
    <w:rsid w:val="00FF5214"/>
    <w:rsid w:val="00FF596E"/>
    <w:rsid w:val="00FF5B59"/>
    <w:rsid w:val="00FF5BFD"/>
    <w:rsid w:val="00FF6095"/>
    <w:rsid w:val="00FF62FE"/>
    <w:rsid w:val="00FF6553"/>
    <w:rsid w:val="00FF70BD"/>
    <w:rsid w:val="00FF7124"/>
    <w:rsid w:val="00FF7A39"/>
    <w:rsid w:val="00FF7DD1"/>
    <w:rsid w:val="097D5FF0"/>
    <w:rsid w:val="3763D393"/>
    <w:rsid w:val="5B27469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68775389">
      <w:bodyDiv w:val="1"/>
      <w:marLeft w:val="0"/>
      <w:marRight w:val="0"/>
      <w:marTop w:val="0"/>
      <w:marBottom w:val="0"/>
      <w:divBdr>
        <w:top w:val="none" w:sz="0" w:space="0" w:color="auto"/>
        <w:left w:val="none" w:sz="0" w:space="0" w:color="auto"/>
        <w:bottom w:val="none" w:sz="0" w:space="0" w:color="auto"/>
        <w:right w:val="none" w:sz="0" w:space="0" w:color="auto"/>
      </w:divBdr>
      <w:divsChild>
        <w:div w:id="1940679825">
          <w:marLeft w:val="0"/>
          <w:marRight w:val="0"/>
          <w:marTop w:val="0"/>
          <w:marBottom w:val="0"/>
          <w:divBdr>
            <w:top w:val="none" w:sz="0" w:space="0" w:color="auto"/>
            <w:left w:val="none" w:sz="0" w:space="0" w:color="auto"/>
            <w:bottom w:val="none" w:sz="0" w:space="0" w:color="auto"/>
            <w:right w:val="none" w:sz="0" w:space="0" w:color="auto"/>
          </w:divBdr>
          <w:divsChild>
            <w:div w:id="1033657070">
              <w:marLeft w:val="0"/>
              <w:marRight w:val="0"/>
              <w:marTop w:val="0"/>
              <w:marBottom w:val="0"/>
              <w:divBdr>
                <w:top w:val="none" w:sz="0" w:space="0" w:color="auto"/>
                <w:left w:val="none" w:sz="0" w:space="0" w:color="auto"/>
                <w:bottom w:val="none" w:sz="0" w:space="0" w:color="auto"/>
                <w:right w:val="none" w:sz="0" w:space="0" w:color="auto"/>
              </w:divBdr>
              <w:divsChild>
                <w:div w:id="188567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5783682">
      <w:bodyDiv w:val="1"/>
      <w:marLeft w:val="0"/>
      <w:marRight w:val="0"/>
      <w:marTop w:val="0"/>
      <w:marBottom w:val="0"/>
      <w:divBdr>
        <w:top w:val="none" w:sz="0" w:space="0" w:color="auto"/>
        <w:left w:val="none" w:sz="0" w:space="0" w:color="auto"/>
        <w:bottom w:val="none" w:sz="0" w:space="0" w:color="auto"/>
        <w:right w:val="none" w:sz="0" w:space="0" w:color="auto"/>
      </w:divBdr>
      <w:divsChild>
        <w:div w:id="1875657694">
          <w:marLeft w:val="0"/>
          <w:marRight w:val="0"/>
          <w:marTop w:val="0"/>
          <w:marBottom w:val="0"/>
          <w:divBdr>
            <w:top w:val="none" w:sz="0" w:space="0" w:color="auto"/>
            <w:left w:val="none" w:sz="0" w:space="0" w:color="auto"/>
            <w:bottom w:val="none" w:sz="0" w:space="0" w:color="auto"/>
            <w:right w:val="none" w:sz="0" w:space="0" w:color="auto"/>
          </w:divBdr>
          <w:divsChild>
            <w:div w:id="1323243288">
              <w:marLeft w:val="0"/>
              <w:marRight w:val="0"/>
              <w:marTop w:val="0"/>
              <w:marBottom w:val="0"/>
              <w:divBdr>
                <w:top w:val="none" w:sz="0" w:space="0" w:color="auto"/>
                <w:left w:val="none" w:sz="0" w:space="0" w:color="auto"/>
                <w:bottom w:val="none" w:sz="0" w:space="0" w:color="auto"/>
                <w:right w:val="none" w:sz="0" w:space="0" w:color="auto"/>
              </w:divBdr>
              <w:divsChild>
                <w:div w:id="8187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20588">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3150604">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13730">
      <w:bodyDiv w:val="1"/>
      <w:marLeft w:val="0"/>
      <w:marRight w:val="0"/>
      <w:marTop w:val="0"/>
      <w:marBottom w:val="0"/>
      <w:divBdr>
        <w:top w:val="none" w:sz="0" w:space="0" w:color="auto"/>
        <w:left w:val="none" w:sz="0" w:space="0" w:color="auto"/>
        <w:bottom w:val="none" w:sz="0" w:space="0" w:color="auto"/>
        <w:right w:val="none" w:sz="0" w:space="0" w:color="auto"/>
      </w:divBdr>
    </w:div>
    <w:div w:id="901790734">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3158371">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4856602">
      <w:bodyDiv w:val="1"/>
      <w:marLeft w:val="0"/>
      <w:marRight w:val="0"/>
      <w:marTop w:val="0"/>
      <w:marBottom w:val="0"/>
      <w:divBdr>
        <w:top w:val="none" w:sz="0" w:space="0" w:color="auto"/>
        <w:left w:val="none" w:sz="0" w:space="0" w:color="auto"/>
        <w:bottom w:val="none" w:sz="0" w:space="0" w:color="auto"/>
        <w:right w:val="none" w:sz="0" w:space="0" w:color="auto"/>
      </w:divBdr>
      <w:divsChild>
        <w:div w:id="1354383366">
          <w:marLeft w:val="0"/>
          <w:marRight w:val="0"/>
          <w:marTop w:val="0"/>
          <w:marBottom w:val="0"/>
          <w:divBdr>
            <w:top w:val="none" w:sz="0" w:space="0" w:color="auto"/>
            <w:left w:val="none" w:sz="0" w:space="0" w:color="auto"/>
            <w:bottom w:val="none" w:sz="0" w:space="0" w:color="auto"/>
            <w:right w:val="none" w:sz="0" w:space="0" w:color="auto"/>
          </w:divBdr>
          <w:divsChild>
            <w:div w:id="932206033">
              <w:marLeft w:val="0"/>
              <w:marRight w:val="0"/>
              <w:marTop w:val="0"/>
              <w:marBottom w:val="0"/>
              <w:divBdr>
                <w:top w:val="none" w:sz="0" w:space="0" w:color="auto"/>
                <w:left w:val="none" w:sz="0" w:space="0" w:color="auto"/>
                <w:bottom w:val="none" w:sz="0" w:space="0" w:color="auto"/>
                <w:right w:val="none" w:sz="0" w:space="0" w:color="auto"/>
              </w:divBdr>
              <w:divsChild>
                <w:div w:id="132369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5496400">
      <w:bodyDiv w:val="1"/>
      <w:marLeft w:val="0"/>
      <w:marRight w:val="0"/>
      <w:marTop w:val="0"/>
      <w:marBottom w:val="0"/>
      <w:divBdr>
        <w:top w:val="none" w:sz="0" w:space="0" w:color="auto"/>
        <w:left w:val="none" w:sz="0" w:space="0" w:color="auto"/>
        <w:bottom w:val="none" w:sz="0" w:space="0" w:color="auto"/>
        <w:right w:val="none" w:sz="0" w:space="0" w:color="auto"/>
      </w:divBdr>
      <w:divsChild>
        <w:div w:id="1563323021">
          <w:marLeft w:val="0"/>
          <w:marRight w:val="0"/>
          <w:marTop w:val="0"/>
          <w:marBottom w:val="0"/>
          <w:divBdr>
            <w:top w:val="none" w:sz="0" w:space="0" w:color="auto"/>
            <w:left w:val="none" w:sz="0" w:space="0" w:color="auto"/>
            <w:bottom w:val="none" w:sz="0" w:space="0" w:color="auto"/>
            <w:right w:val="none" w:sz="0" w:space="0" w:color="auto"/>
          </w:divBdr>
        </w:div>
      </w:divsChild>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24136">
      <w:bodyDiv w:val="1"/>
      <w:marLeft w:val="0"/>
      <w:marRight w:val="0"/>
      <w:marTop w:val="0"/>
      <w:marBottom w:val="0"/>
      <w:divBdr>
        <w:top w:val="none" w:sz="0" w:space="0" w:color="auto"/>
        <w:left w:val="none" w:sz="0" w:space="0" w:color="auto"/>
        <w:bottom w:val="none" w:sz="0" w:space="0" w:color="auto"/>
        <w:right w:val="none" w:sz="0" w:space="0" w:color="auto"/>
      </w:divBdr>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7814723">
      <w:bodyDiv w:val="1"/>
      <w:marLeft w:val="0"/>
      <w:marRight w:val="0"/>
      <w:marTop w:val="0"/>
      <w:marBottom w:val="0"/>
      <w:divBdr>
        <w:top w:val="none" w:sz="0" w:space="0" w:color="auto"/>
        <w:left w:val="none" w:sz="0" w:space="0" w:color="auto"/>
        <w:bottom w:val="none" w:sz="0" w:space="0" w:color="auto"/>
        <w:right w:val="none" w:sz="0" w:space="0" w:color="auto"/>
      </w:divBdr>
      <w:divsChild>
        <w:div w:id="230234604">
          <w:marLeft w:val="0"/>
          <w:marRight w:val="0"/>
          <w:marTop w:val="0"/>
          <w:marBottom w:val="0"/>
          <w:divBdr>
            <w:top w:val="none" w:sz="0" w:space="0" w:color="auto"/>
            <w:left w:val="none" w:sz="0" w:space="0" w:color="auto"/>
            <w:bottom w:val="none" w:sz="0" w:space="0" w:color="auto"/>
            <w:right w:val="none" w:sz="0" w:space="0" w:color="auto"/>
          </w:divBdr>
          <w:divsChild>
            <w:div w:id="2049253132">
              <w:marLeft w:val="0"/>
              <w:marRight w:val="0"/>
              <w:marTop w:val="0"/>
              <w:marBottom w:val="0"/>
              <w:divBdr>
                <w:top w:val="none" w:sz="0" w:space="0" w:color="auto"/>
                <w:left w:val="none" w:sz="0" w:space="0" w:color="auto"/>
                <w:bottom w:val="none" w:sz="0" w:space="0" w:color="auto"/>
                <w:right w:val="none" w:sz="0" w:space="0" w:color="auto"/>
              </w:divBdr>
              <w:divsChild>
                <w:div w:id="1679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17</Pages>
  <Words>6715</Words>
  <Characters>36936</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Alejandro Sarmiento</cp:lastModifiedBy>
  <cp:revision>2</cp:revision>
  <cp:lastPrinted>2020-01-30T15:05:00Z</cp:lastPrinted>
  <dcterms:created xsi:type="dcterms:W3CDTF">2021-04-07T15:12:00Z</dcterms:created>
  <dcterms:modified xsi:type="dcterms:W3CDTF">2021-04-07T15:12:00Z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