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426F4D" w14:textId="77777777" w:rsidR="000920F0" w:rsidRPr="001E0B39" w:rsidRDefault="000920F0" w:rsidP="00F106B5">
      <w:pPr>
        <w:spacing w:line="276" w:lineRule="auto"/>
        <w:jc w:val="right"/>
        <w:rPr>
          <w:rFonts w:ascii="Arial" w:hAnsi="Arial" w:cs="Arial"/>
          <w:bCs/>
          <w:sz w:val="16"/>
          <w:szCs w:val="16"/>
          <w:lang w:val="es-ES_tradnl" w:eastAsia="es-ES"/>
        </w:rPr>
      </w:pPr>
      <w:bookmarkStart w:id="0" w:name="_Hlk28946138"/>
      <w:bookmarkStart w:id="1" w:name="_Hlk29548183"/>
      <w:bookmarkStart w:id="2" w:name="_Hlk29890381"/>
      <w:r w:rsidRPr="001E0B39">
        <w:rPr>
          <w:rFonts w:ascii="Arial" w:hAnsi="Arial" w:cs="Arial"/>
          <w:b/>
          <w:sz w:val="21"/>
          <w:szCs w:val="21"/>
          <w:lang w:val="es-ES_tradnl" w:eastAsia="es-ES"/>
        </w:rPr>
        <w:tab/>
      </w:r>
      <w:r w:rsidRPr="001E0B39">
        <w:rPr>
          <w:rFonts w:ascii="Arial" w:hAnsi="Arial" w:cs="Arial"/>
          <w:bCs/>
          <w:sz w:val="16"/>
          <w:szCs w:val="16"/>
          <w:lang w:val="es-ES_tradnl" w:eastAsia="es-ES"/>
        </w:rPr>
        <w:t>CCE-DES-FM-17</w:t>
      </w:r>
    </w:p>
    <w:p w14:paraId="2C39B34B" w14:textId="77777777" w:rsidR="00F935BC" w:rsidRPr="001C64F9" w:rsidRDefault="00F935BC" w:rsidP="00F935BC">
      <w:pPr>
        <w:jc w:val="both"/>
        <w:rPr>
          <w:rFonts w:ascii="Arial" w:hAnsi="Arial" w:cs="Arial"/>
          <w:b/>
          <w:sz w:val="22"/>
          <w:lang w:val="es-ES_tradnl"/>
        </w:rPr>
      </w:pPr>
      <w:r>
        <w:rPr>
          <w:rFonts w:ascii="Arial" w:hAnsi="Arial" w:cs="Arial"/>
          <w:b/>
          <w:sz w:val="22"/>
          <w:lang w:val="es-ES_tradnl"/>
        </w:rPr>
        <w:t>DOCUMENTOS TIPO</w:t>
      </w:r>
      <w:r w:rsidRPr="001C64F9">
        <w:rPr>
          <w:rFonts w:ascii="Arial" w:hAnsi="Arial" w:cs="Arial"/>
          <w:b/>
          <w:sz w:val="22"/>
          <w:lang w:val="es-ES_tradnl"/>
        </w:rPr>
        <w:t xml:space="preserve"> </w:t>
      </w:r>
      <w:r w:rsidRPr="001C64F9">
        <w:rPr>
          <w:rFonts w:ascii="Arial" w:hAnsi="Arial" w:cs="Arial"/>
          <w:b/>
          <w:color w:val="000000" w:themeColor="text1"/>
          <w:sz w:val="22"/>
          <w:lang w:val="es-ES_tradnl"/>
        </w:rPr>
        <w:t>–</w:t>
      </w:r>
      <w:r w:rsidRPr="001C64F9">
        <w:rPr>
          <w:rFonts w:ascii="Arial" w:hAnsi="Arial" w:cs="Arial"/>
          <w:b/>
          <w:sz w:val="22"/>
          <w:lang w:val="es-ES_tradnl"/>
        </w:rPr>
        <w:t xml:space="preserve"> </w:t>
      </w:r>
      <w:r>
        <w:rPr>
          <w:rFonts w:ascii="Arial" w:hAnsi="Arial" w:cs="Arial"/>
          <w:b/>
          <w:sz w:val="22"/>
          <w:lang w:val="es-ES_tradnl"/>
        </w:rPr>
        <w:t>Fundamento normativo</w:t>
      </w:r>
      <w:r w:rsidRPr="001C64F9">
        <w:rPr>
          <w:rFonts w:ascii="Arial" w:hAnsi="Arial" w:cs="Arial"/>
          <w:b/>
          <w:sz w:val="22"/>
          <w:lang w:val="es-ES_tradnl"/>
        </w:rPr>
        <w:t xml:space="preserve"> </w:t>
      </w:r>
      <w:r w:rsidRPr="001C64F9">
        <w:rPr>
          <w:rFonts w:ascii="Arial" w:hAnsi="Arial" w:cs="Arial"/>
          <w:b/>
          <w:color w:val="000000" w:themeColor="text1"/>
          <w:sz w:val="22"/>
          <w:lang w:val="es-ES_tradnl"/>
        </w:rPr>
        <w:t xml:space="preserve">– </w:t>
      </w:r>
      <w:r>
        <w:rPr>
          <w:rFonts w:ascii="Arial" w:hAnsi="Arial" w:cs="Arial"/>
          <w:b/>
          <w:sz w:val="22"/>
          <w:lang w:val="es-ES_tradnl"/>
        </w:rPr>
        <w:t>Ley 2022 de 2020</w:t>
      </w:r>
    </w:p>
    <w:p w14:paraId="3CA008CE" w14:textId="77777777" w:rsidR="00F935BC" w:rsidRDefault="00F935BC" w:rsidP="00F935BC">
      <w:pPr>
        <w:jc w:val="both"/>
        <w:rPr>
          <w:rFonts w:ascii="Arial" w:hAnsi="Arial" w:cs="Arial"/>
          <w:b/>
          <w:sz w:val="22"/>
          <w:lang w:val="es-ES_tradnl"/>
        </w:rPr>
      </w:pPr>
    </w:p>
    <w:p w14:paraId="627EA864" w14:textId="77777777" w:rsidR="00F935BC" w:rsidRPr="00AE6FCE" w:rsidRDefault="00F935BC" w:rsidP="00F935BC">
      <w:pPr>
        <w:jc w:val="both"/>
        <w:rPr>
          <w:rFonts w:ascii="Arial" w:hAnsi="Arial" w:cs="Arial"/>
          <w:sz w:val="20"/>
          <w:szCs w:val="20"/>
          <w:lang w:val="es-ES_tradnl"/>
        </w:rPr>
      </w:pPr>
      <w:r w:rsidRPr="00AE6FCE">
        <w:rPr>
          <w:rFonts w:ascii="Arial" w:hAnsi="Arial" w:cs="Arial"/>
          <w:sz w:val="20"/>
          <w:szCs w:val="20"/>
          <w:lang w:val="es-ES_tradnl"/>
        </w:rPr>
        <w:t xml:space="preserve">Por otra parte, debe tenerse en cuenta que la Ley 2022 de 2020 fue sancionada por el Presidente de la República el 22 de julio, por lo que su expedición es reciente.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p>
    <w:p w14:paraId="300EF133" w14:textId="77777777" w:rsidR="00F935BC" w:rsidRDefault="00F935BC" w:rsidP="00F935BC">
      <w:pPr>
        <w:jc w:val="both"/>
        <w:rPr>
          <w:rFonts w:ascii="Arial" w:hAnsi="Arial" w:cs="Arial"/>
          <w:sz w:val="20"/>
          <w:szCs w:val="20"/>
          <w:lang w:val="es-ES_tradnl"/>
        </w:rPr>
      </w:pPr>
    </w:p>
    <w:p w14:paraId="48480872" w14:textId="77777777" w:rsidR="00F935BC" w:rsidRDefault="00F935BC" w:rsidP="00F935BC">
      <w:pPr>
        <w:jc w:val="both"/>
        <w:rPr>
          <w:rFonts w:ascii="Arial" w:hAnsi="Arial" w:cs="Arial"/>
          <w:sz w:val="20"/>
          <w:szCs w:val="20"/>
          <w:lang w:val="es-ES_tradnl"/>
        </w:rPr>
      </w:pPr>
      <w:r w:rsidRPr="00AE6FCE">
        <w:rPr>
          <w:rFonts w:ascii="Arial" w:hAnsi="Arial" w:cs="Arial"/>
          <w:sz w:val="20"/>
          <w:szCs w:val="20"/>
          <w:lang w:val="es-ES_tradnl"/>
        </w:rPr>
        <w:t>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vigencia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 la Resolución 249 de 2020, «Por la cual se adoptan los documentos tipo para los procesos de licitación pública para obras de infraestructura de agua potable y saneamiento básico en la modalidad llave en mano»; así como la Resolución 269 de 2020, «Por la cual se adopta el documento tipo para los procesos de gestión catastral con enfoque multipropósito que se celebren a través de contratos interadministrativos».</w:t>
      </w:r>
    </w:p>
    <w:p w14:paraId="0E78CBDE" w14:textId="77777777" w:rsidR="00F935BC" w:rsidRDefault="00F935BC" w:rsidP="00F935BC">
      <w:pPr>
        <w:jc w:val="both"/>
        <w:rPr>
          <w:rFonts w:ascii="Arial" w:hAnsi="Arial" w:cs="Arial"/>
          <w:sz w:val="20"/>
          <w:szCs w:val="20"/>
          <w:lang w:val="es-ES_tradnl"/>
        </w:rPr>
      </w:pPr>
    </w:p>
    <w:p w14:paraId="4B31BDF1" w14:textId="77777777" w:rsidR="00F935BC" w:rsidRPr="001C64F9" w:rsidRDefault="00F935BC" w:rsidP="00F935BC">
      <w:pPr>
        <w:jc w:val="both"/>
        <w:rPr>
          <w:rFonts w:ascii="Arial" w:hAnsi="Arial" w:cs="Arial"/>
          <w:b/>
          <w:sz w:val="22"/>
          <w:lang w:val="es-ES_tradnl"/>
        </w:rPr>
      </w:pPr>
      <w:r>
        <w:rPr>
          <w:rFonts w:ascii="Arial" w:hAnsi="Arial" w:cs="Arial"/>
          <w:b/>
          <w:sz w:val="22"/>
          <w:lang w:val="es-ES_tradnl"/>
        </w:rPr>
        <w:t xml:space="preserve">INALTERABILIDAD </w:t>
      </w:r>
      <w:r w:rsidRPr="001C64F9">
        <w:rPr>
          <w:rFonts w:ascii="Arial" w:hAnsi="Arial" w:cs="Arial"/>
          <w:b/>
          <w:color w:val="000000" w:themeColor="text1"/>
          <w:sz w:val="22"/>
          <w:lang w:val="es-ES_tradnl"/>
        </w:rPr>
        <w:t>–</w:t>
      </w:r>
      <w:r w:rsidRPr="001C64F9">
        <w:rPr>
          <w:rFonts w:ascii="Arial" w:hAnsi="Arial" w:cs="Arial"/>
          <w:b/>
          <w:sz w:val="22"/>
          <w:lang w:val="es-ES_tradnl"/>
        </w:rPr>
        <w:t xml:space="preserve"> </w:t>
      </w:r>
      <w:r>
        <w:rPr>
          <w:rFonts w:ascii="Arial" w:hAnsi="Arial" w:cs="Arial"/>
          <w:b/>
          <w:sz w:val="22"/>
          <w:lang w:val="es-ES_tradnl"/>
        </w:rPr>
        <w:t>Documentos tipo</w:t>
      </w:r>
      <w:r w:rsidRPr="001C64F9">
        <w:rPr>
          <w:rFonts w:ascii="Arial" w:hAnsi="Arial" w:cs="Arial"/>
          <w:b/>
          <w:sz w:val="22"/>
          <w:lang w:val="es-ES_tradnl"/>
        </w:rPr>
        <w:t xml:space="preserve"> </w:t>
      </w:r>
      <w:r w:rsidRPr="001C64F9">
        <w:rPr>
          <w:rFonts w:ascii="Arial" w:hAnsi="Arial" w:cs="Arial"/>
          <w:b/>
          <w:color w:val="000000" w:themeColor="text1"/>
          <w:sz w:val="22"/>
          <w:lang w:val="es-ES_tradnl"/>
        </w:rPr>
        <w:t xml:space="preserve">– </w:t>
      </w:r>
      <w:r>
        <w:rPr>
          <w:rFonts w:ascii="Arial" w:hAnsi="Arial" w:cs="Arial"/>
          <w:b/>
          <w:sz w:val="22"/>
          <w:lang w:val="es-ES_tradnl"/>
        </w:rPr>
        <w:t xml:space="preserve">Regla vigente </w:t>
      </w:r>
      <w:r w:rsidRPr="001C64F9">
        <w:rPr>
          <w:rFonts w:ascii="Arial" w:hAnsi="Arial" w:cs="Arial"/>
          <w:b/>
          <w:color w:val="000000" w:themeColor="text1"/>
          <w:sz w:val="22"/>
          <w:lang w:val="es-ES_tradnl"/>
        </w:rPr>
        <w:t>–</w:t>
      </w:r>
      <w:r>
        <w:rPr>
          <w:rFonts w:ascii="Arial" w:hAnsi="Arial" w:cs="Arial"/>
          <w:b/>
          <w:color w:val="000000" w:themeColor="text1"/>
          <w:sz w:val="22"/>
          <w:lang w:val="es-ES_tradnl"/>
        </w:rPr>
        <w:t xml:space="preserve"> Contenido</w:t>
      </w:r>
    </w:p>
    <w:p w14:paraId="4E50AC87" w14:textId="77777777" w:rsidR="00F935BC" w:rsidRDefault="00F935BC" w:rsidP="00F935BC">
      <w:pPr>
        <w:jc w:val="both"/>
        <w:rPr>
          <w:rFonts w:ascii="Arial" w:hAnsi="Arial" w:cs="Arial"/>
          <w:sz w:val="20"/>
          <w:szCs w:val="20"/>
          <w:lang w:val="es-ES_tradnl"/>
        </w:rPr>
      </w:pPr>
    </w:p>
    <w:p w14:paraId="07F7990E" w14:textId="77777777" w:rsidR="00F935BC" w:rsidRPr="00F61217" w:rsidRDefault="00F935BC" w:rsidP="00F935BC">
      <w:pPr>
        <w:jc w:val="both"/>
        <w:rPr>
          <w:rFonts w:ascii="Arial" w:hAnsi="Arial" w:cs="Arial"/>
          <w:sz w:val="20"/>
          <w:szCs w:val="20"/>
          <w:lang w:val="es-ES_tradnl"/>
        </w:rPr>
      </w:pPr>
      <w:r w:rsidRPr="00F61217">
        <w:rPr>
          <w:rFonts w:ascii="Arial" w:hAnsi="Arial" w:cs="Arial"/>
          <w:sz w:val="20"/>
          <w:szCs w:val="20"/>
          <w:lang w:val="es-ES_tradnl"/>
        </w:rPr>
        <w:t>Todas las resoluciones</w:t>
      </w:r>
      <w:r>
        <w:rPr>
          <w:rFonts w:ascii="Arial" w:hAnsi="Arial" w:cs="Arial"/>
          <w:sz w:val="20"/>
          <w:szCs w:val="20"/>
          <w:lang w:val="es-ES_tradnl"/>
        </w:rPr>
        <w:t xml:space="preserve"> </w:t>
      </w:r>
      <w:r w:rsidRPr="00F61217">
        <w:rPr>
          <w:rFonts w:ascii="Arial" w:hAnsi="Arial" w:cs="Arial"/>
          <w:sz w:val="20"/>
          <w:szCs w:val="20"/>
          <w:lang w:val="es-ES_tradnl"/>
        </w:rPr>
        <w:t xml:space="preserve">expedidas por la Agencia Nacional de Contratación Pública – Colombia Compra Eficiente, mediante las cuales se han adoptado los pliegos tipo, consagran la regla de la inalterabilidad de los Documentos Tipo. Esta prohibición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w:t>
      </w:r>
      <w:r>
        <w:rPr>
          <w:rFonts w:ascii="Arial" w:hAnsi="Arial" w:cs="Arial"/>
          <w:sz w:val="20"/>
          <w:szCs w:val="20"/>
          <w:lang w:val="es-ES_tradnl"/>
        </w:rPr>
        <w:t>Por lo tanto</w:t>
      </w:r>
      <w:r w:rsidRPr="00F61217">
        <w:rPr>
          <w:rFonts w:ascii="Arial" w:hAnsi="Arial" w:cs="Arial"/>
          <w:sz w:val="20"/>
          <w:szCs w:val="20"/>
          <w:lang w:val="es-ES_tradnl"/>
        </w:rPr>
        <w:t>, las entidades estatales, al realizar sus procedimientos de selección, solo podrán modificarlos en los aspectos en que los documentos tipo lo permitan.</w:t>
      </w:r>
    </w:p>
    <w:p w14:paraId="40B751AD" w14:textId="77777777" w:rsidR="00F935BC" w:rsidRDefault="00F935BC" w:rsidP="00F935BC">
      <w:pPr>
        <w:jc w:val="both"/>
        <w:rPr>
          <w:rFonts w:ascii="Arial" w:hAnsi="Arial" w:cs="Arial"/>
          <w:sz w:val="20"/>
          <w:szCs w:val="20"/>
          <w:lang w:val="es-ES_tradnl"/>
        </w:rPr>
      </w:pPr>
    </w:p>
    <w:p w14:paraId="53C53E67" w14:textId="77777777" w:rsidR="00F935BC" w:rsidRDefault="00F935BC" w:rsidP="00F935BC">
      <w:pPr>
        <w:jc w:val="both"/>
        <w:rPr>
          <w:rFonts w:ascii="Arial" w:hAnsi="Arial" w:cs="Arial"/>
          <w:sz w:val="20"/>
          <w:szCs w:val="20"/>
          <w:lang w:val="es-ES_tradnl"/>
        </w:rPr>
      </w:pPr>
      <w:r w:rsidRPr="00F61217">
        <w:rPr>
          <w:rFonts w:ascii="Arial" w:hAnsi="Arial" w:cs="Arial"/>
          <w:sz w:val="20"/>
          <w:szCs w:val="20"/>
          <w:lang w:val="es-ES_tradnl"/>
        </w:rPr>
        <w:t>El fundamento legal vigente de la regla de la inalterabilidad se encuentra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y 594 de 2020, que adicionaron, respectivamente, los artículos 2.2.1.2.6.1.4. y 2.2.1.2.6.3.4 al Decreto 1082 de 2015.</w:t>
      </w:r>
    </w:p>
    <w:p w14:paraId="6EB4D096" w14:textId="77777777" w:rsidR="000920F0" w:rsidRPr="001E0B39" w:rsidRDefault="000920F0" w:rsidP="00F106B5">
      <w:pPr>
        <w:spacing w:line="276" w:lineRule="auto"/>
        <w:jc w:val="both"/>
        <w:rPr>
          <w:rFonts w:ascii="Arial" w:hAnsi="Arial" w:cs="Arial"/>
          <w:b/>
          <w:sz w:val="16"/>
          <w:szCs w:val="16"/>
          <w:lang w:val="es-ES_tradnl"/>
        </w:rPr>
      </w:pPr>
    </w:p>
    <w:p w14:paraId="60732977" w14:textId="77777777" w:rsidR="00F935BC" w:rsidRPr="004D43F4" w:rsidRDefault="00F935BC" w:rsidP="00F935BC">
      <w:pPr>
        <w:spacing w:before="120" w:after="120"/>
        <w:jc w:val="both"/>
        <w:rPr>
          <w:rFonts w:ascii="Arial" w:hAnsi="Arial" w:cs="Arial"/>
          <w:b/>
          <w:sz w:val="22"/>
        </w:rPr>
      </w:pPr>
      <w:r w:rsidRPr="004D43F4">
        <w:rPr>
          <w:rFonts w:ascii="Arial" w:hAnsi="Arial" w:cs="Arial"/>
          <w:b/>
          <w:sz w:val="22"/>
        </w:rPr>
        <w:lastRenderedPageBreak/>
        <w:t xml:space="preserve">DOCUMENTOS TIPO </w:t>
      </w:r>
      <w:r w:rsidRPr="004D43F4">
        <w:rPr>
          <w:rFonts w:ascii="Arial" w:hAnsi="Arial" w:cs="Arial"/>
          <w:b/>
          <w:sz w:val="22"/>
        </w:rPr>
        <w:softHyphen/>
        <w:t>– Versión 3 – Acreditación experiencia – Proponentes plurales – Numeral 3.5.3 Consideraciones para la validez de la experiencia requerida – Literal D</w:t>
      </w:r>
    </w:p>
    <w:p w14:paraId="3D0AAFCB" w14:textId="77777777" w:rsidR="00F935BC" w:rsidRPr="0055428A" w:rsidRDefault="00F935BC" w:rsidP="00F935BC">
      <w:pPr>
        <w:pStyle w:val="NormalWeb"/>
        <w:spacing w:after="0"/>
        <w:jc w:val="both"/>
        <w:rPr>
          <w:rFonts w:ascii="Arial" w:eastAsiaTheme="minorHAnsi" w:hAnsi="Arial" w:cs="Arial"/>
          <w:color w:val="000000" w:themeColor="text1"/>
          <w:sz w:val="20"/>
          <w:szCs w:val="20"/>
          <w:lang w:val="es-MX"/>
        </w:rPr>
      </w:pPr>
      <w:r w:rsidRPr="0055428A">
        <w:rPr>
          <w:rFonts w:ascii="Arial" w:eastAsiaTheme="minorHAnsi" w:hAnsi="Arial" w:cs="Arial"/>
          <w:color w:val="000000" w:themeColor="text1"/>
          <w:sz w:val="20"/>
          <w:szCs w:val="20"/>
          <w:lang w:val="es-MX"/>
        </w:rPr>
        <w:t xml:space="preserve">Del aparte transcrito se infiere lo siguiente: i) uno de los integrantes debe acreditar mínimo el cincuenta por ciento (50%) de la experiencia exigida, ii) los demás integrantes deben acreditar al menos el cinco por ciento (5%) y, iii) sin perjuicio de la exigencia anterior, solo uno de los integrantes, si así lo considera pertinente, podrá no aportar experiencia. Esto quiere decir que, a partir de la adopción de los documentos tipo de licitación de obra pública de infraestructura de transporte – versión 3, en principio se exige que todos los integrantes acrediten experiencia, y solo de manera excepcional se permite que uno de los integrantes no aporte ninguna experiencia. </w:t>
      </w:r>
    </w:p>
    <w:p w14:paraId="5E06D85C" w14:textId="77777777" w:rsidR="00F935BC" w:rsidRPr="0055428A" w:rsidRDefault="00F935BC" w:rsidP="00F935BC">
      <w:pPr>
        <w:pStyle w:val="NormalWeb"/>
        <w:spacing w:before="0" w:beforeAutospacing="0" w:after="0" w:afterAutospacing="0"/>
        <w:ind w:right="51"/>
        <w:jc w:val="both"/>
        <w:rPr>
          <w:rFonts w:ascii="Arial" w:eastAsiaTheme="minorHAnsi" w:hAnsi="Arial" w:cs="Arial"/>
          <w:color w:val="000000" w:themeColor="text1"/>
          <w:sz w:val="20"/>
          <w:szCs w:val="20"/>
          <w:lang w:val="es-MX" w:eastAsia="en-US"/>
        </w:rPr>
      </w:pPr>
      <w:r>
        <w:rPr>
          <w:rFonts w:ascii="Arial" w:eastAsiaTheme="minorHAnsi" w:hAnsi="Arial" w:cs="Arial"/>
          <w:color w:val="000000" w:themeColor="text1"/>
          <w:sz w:val="20"/>
          <w:szCs w:val="20"/>
          <w:lang w:val="es-ES_tradnl" w:eastAsia="en-US"/>
        </w:rPr>
        <w:t xml:space="preserve">[…] </w:t>
      </w:r>
      <w:r w:rsidRPr="0055428A">
        <w:rPr>
          <w:rFonts w:ascii="Arial" w:eastAsiaTheme="minorHAnsi" w:hAnsi="Arial" w:cs="Arial"/>
          <w:color w:val="000000" w:themeColor="text1"/>
          <w:sz w:val="20"/>
          <w:szCs w:val="20"/>
          <w:lang w:val="es-MX" w:eastAsia="en-US"/>
        </w:rPr>
        <w:t xml:space="preserve">En este sentido, la medida adoptada por la Agencia tiene dos propósitos: i) garantizar la idoneidad de todos los integrantes de los proponentes plurales para la ejecución del proyecto y ii) permitir que al menos uno de los integrantes que no tiene experiencia participe en el proceso de contratación, y de este modo, permitirle adquirir experiencia con el Estado al ser integrante del proponente plural. </w:t>
      </w:r>
    </w:p>
    <w:p w14:paraId="47A7248D" w14:textId="77777777" w:rsidR="00F935BC" w:rsidRDefault="00F935BC" w:rsidP="00F935BC">
      <w:pPr>
        <w:pStyle w:val="NormalWeb"/>
        <w:spacing w:before="0" w:beforeAutospacing="0" w:after="0" w:afterAutospacing="0"/>
        <w:ind w:right="51"/>
        <w:jc w:val="both"/>
        <w:rPr>
          <w:rFonts w:ascii="Arial" w:eastAsiaTheme="minorHAnsi" w:hAnsi="Arial" w:cs="Arial"/>
          <w:color w:val="000000" w:themeColor="text1"/>
          <w:sz w:val="20"/>
          <w:szCs w:val="20"/>
          <w:lang w:val="es-ES_tradnl" w:eastAsia="en-US"/>
        </w:rPr>
      </w:pPr>
    </w:p>
    <w:p w14:paraId="43D02F32" w14:textId="77777777" w:rsidR="007F632A" w:rsidRPr="001E0B39" w:rsidRDefault="007F632A" w:rsidP="008538E0">
      <w:pPr>
        <w:jc w:val="both"/>
        <w:rPr>
          <w:rFonts w:ascii="Arial" w:hAnsi="Arial" w:cs="Arial"/>
          <w:bCs/>
          <w:sz w:val="20"/>
          <w:szCs w:val="20"/>
          <w:lang w:val="es-ES_tradnl"/>
        </w:rPr>
      </w:pPr>
    </w:p>
    <w:p w14:paraId="6A263ED4" w14:textId="6C11565F" w:rsidR="008538E0" w:rsidRPr="001E0B39" w:rsidRDefault="00DC3B5B" w:rsidP="008538E0">
      <w:pPr>
        <w:jc w:val="both"/>
        <w:rPr>
          <w:rFonts w:ascii="Arial" w:hAnsi="Arial" w:cs="Arial"/>
          <w:bCs/>
          <w:sz w:val="20"/>
          <w:szCs w:val="20"/>
          <w:lang w:val="es-ES_tradnl"/>
        </w:rPr>
      </w:pPr>
      <w:r>
        <w:rPr>
          <w:rFonts w:ascii="Arial" w:hAnsi="Arial" w:cs="Arial"/>
          <w:bCs/>
          <w:noProof/>
          <w:sz w:val="20"/>
          <w:szCs w:val="20"/>
          <w:lang w:val="es-ES_tradnl"/>
        </w:rPr>
        <w:drawing>
          <wp:inline distT="0" distB="0" distL="0" distR="0" wp14:anchorId="702B711F" wp14:editId="2DBA2A1D">
            <wp:extent cx="5581015" cy="1699260"/>
            <wp:effectExtent l="0" t="0" r="0" b="2540"/>
            <wp:docPr id="2" name="Imagen 2"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Código QR&#10;&#10;Descripción generada automáticamente"/>
                    <pic:cNvPicPr/>
                  </pic:nvPicPr>
                  <pic:blipFill>
                    <a:blip r:embed="rId11"/>
                    <a:stretch>
                      <a:fillRect/>
                    </a:stretch>
                  </pic:blipFill>
                  <pic:spPr>
                    <a:xfrm>
                      <a:off x="0" y="0"/>
                      <a:ext cx="5581015" cy="1699260"/>
                    </a:xfrm>
                    <a:prstGeom prst="rect">
                      <a:avLst/>
                    </a:prstGeom>
                  </pic:spPr>
                </pic:pic>
              </a:graphicData>
            </a:graphic>
          </wp:inline>
        </w:drawing>
      </w:r>
    </w:p>
    <w:p w14:paraId="60CF0A00" w14:textId="159695F0" w:rsidR="009A0857" w:rsidRDefault="009A0857" w:rsidP="009A0857">
      <w:pPr>
        <w:tabs>
          <w:tab w:val="left" w:pos="3374"/>
        </w:tabs>
        <w:spacing w:line="276" w:lineRule="auto"/>
        <w:rPr>
          <w:rFonts w:ascii="Arial" w:hAnsi="Arial" w:cs="Arial"/>
          <w:sz w:val="22"/>
          <w:szCs w:val="20"/>
          <w:lang w:val="es-ES_tradnl"/>
        </w:rPr>
      </w:pPr>
    </w:p>
    <w:p w14:paraId="4D02D1A8" w14:textId="77777777" w:rsidR="00DC3B5B" w:rsidRPr="001E0B39" w:rsidRDefault="00DC3B5B" w:rsidP="009A0857">
      <w:pPr>
        <w:tabs>
          <w:tab w:val="left" w:pos="3374"/>
        </w:tabs>
        <w:spacing w:line="276" w:lineRule="auto"/>
        <w:rPr>
          <w:rFonts w:ascii="Arial" w:hAnsi="Arial" w:cs="Arial"/>
          <w:sz w:val="22"/>
          <w:lang w:val="es-ES_tradnl"/>
        </w:rPr>
      </w:pPr>
    </w:p>
    <w:p w14:paraId="01BF8BF4" w14:textId="77777777" w:rsidR="009A0857" w:rsidRPr="001E0B39" w:rsidRDefault="009A0857" w:rsidP="009A0857">
      <w:pPr>
        <w:rPr>
          <w:rFonts w:ascii="Arial" w:hAnsi="Arial" w:cs="Arial"/>
          <w:bCs/>
          <w:sz w:val="22"/>
          <w:lang w:val="es-ES_tradnl"/>
        </w:rPr>
      </w:pPr>
      <w:r w:rsidRPr="001E0B39">
        <w:rPr>
          <w:rFonts w:ascii="Arial" w:hAnsi="Arial" w:cs="Arial"/>
          <w:bCs/>
          <w:sz w:val="22"/>
          <w:lang w:val="es-ES_tradnl"/>
        </w:rPr>
        <w:t>Señor</w:t>
      </w:r>
    </w:p>
    <w:p w14:paraId="2C68BCF9" w14:textId="11B90CC2" w:rsidR="009A0857" w:rsidRDefault="0031059A" w:rsidP="009A0857">
      <w:pPr>
        <w:rPr>
          <w:rFonts w:ascii="Arial" w:hAnsi="Arial" w:cs="Arial"/>
          <w:b/>
          <w:sz w:val="22"/>
          <w:lang w:val="es-ES_tradnl"/>
        </w:rPr>
      </w:pPr>
      <w:r>
        <w:rPr>
          <w:rFonts w:ascii="Arial" w:hAnsi="Arial" w:cs="Arial"/>
          <w:b/>
          <w:sz w:val="22"/>
          <w:lang w:val="es-ES_tradnl"/>
        </w:rPr>
        <w:t xml:space="preserve">Omar Leal </w:t>
      </w:r>
    </w:p>
    <w:p w14:paraId="62F71165" w14:textId="0BF884C8" w:rsidR="009A0857" w:rsidRPr="00880C42" w:rsidRDefault="0031059A" w:rsidP="009A0857">
      <w:pPr>
        <w:rPr>
          <w:rFonts w:ascii="Arial" w:hAnsi="Arial" w:cs="Arial"/>
          <w:b/>
          <w:sz w:val="22"/>
          <w:lang w:val="es-ES_tradnl"/>
        </w:rPr>
      </w:pPr>
      <w:r>
        <w:rPr>
          <w:rFonts w:ascii="Arial" w:hAnsi="Arial" w:cs="Arial"/>
          <w:b/>
          <w:sz w:val="22"/>
          <w:lang w:val="es-ES_tradnl"/>
        </w:rPr>
        <w:t>Bogotá D.C</w:t>
      </w:r>
    </w:p>
    <w:p w14:paraId="3B6342DB" w14:textId="77777777" w:rsidR="009A0857" w:rsidRPr="001E0B39" w:rsidRDefault="009A0857" w:rsidP="009A0857">
      <w:pPr>
        <w:rPr>
          <w:rFonts w:ascii="Arial" w:hAnsi="Arial" w:cs="Arial"/>
          <w:sz w:val="22"/>
          <w:lang w:val="es-ES_tradnl"/>
        </w:rPr>
      </w:pPr>
    </w:p>
    <w:p w14:paraId="6A08AC5D" w14:textId="58B7EAE7" w:rsidR="009A0857" w:rsidRPr="001E0B39" w:rsidRDefault="009A0857" w:rsidP="009A0857">
      <w:pPr>
        <w:rPr>
          <w:rFonts w:ascii="Arial" w:hAnsi="Arial" w:cs="Arial"/>
          <w:b/>
          <w:sz w:val="22"/>
          <w:lang w:val="es-ES_tradnl"/>
        </w:rPr>
      </w:pPr>
      <w:r w:rsidRPr="001E0B39">
        <w:rPr>
          <w:rFonts w:ascii="Arial" w:hAnsi="Arial" w:cs="Arial"/>
          <w:b/>
          <w:sz w:val="22"/>
          <w:lang w:val="es-ES_tradnl"/>
        </w:rPr>
        <w:t xml:space="preserve">                                            Concepto </w:t>
      </w:r>
      <w:r w:rsidR="00880C42">
        <w:rPr>
          <w:rFonts w:ascii="Arial" w:hAnsi="Arial" w:cs="Arial"/>
          <w:b/>
          <w:sz w:val="22"/>
          <w:lang w:val="es-ES_tradnl"/>
        </w:rPr>
        <w:t xml:space="preserve">C </w:t>
      </w:r>
      <w:r w:rsidR="00880C42" w:rsidRPr="00880C42">
        <w:rPr>
          <w:rFonts w:ascii="Arial" w:hAnsi="Arial" w:cs="Arial"/>
          <w:b/>
          <w:sz w:val="22"/>
          <w:lang w:val="es-ES_tradnl"/>
        </w:rPr>
        <w:t>–</w:t>
      </w:r>
      <w:r w:rsidR="00880C42" w:rsidRPr="001E0B39">
        <w:rPr>
          <w:rFonts w:ascii="Arial" w:hAnsi="Arial" w:cs="Arial"/>
          <w:bCs/>
          <w:sz w:val="22"/>
          <w:lang w:val="es-ES_tradnl"/>
        </w:rPr>
        <w:t xml:space="preserve"> </w:t>
      </w:r>
      <w:r w:rsidR="00880C42">
        <w:rPr>
          <w:rFonts w:ascii="Arial" w:hAnsi="Arial" w:cs="Arial"/>
          <w:b/>
          <w:sz w:val="22"/>
          <w:lang w:val="es-ES_tradnl"/>
        </w:rPr>
        <w:t>153</w:t>
      </w:r>
      <w:r w:rsidRPr="001E0B39">
        <w:rPr>
          <w:rFonts w:ascii="Arial" w:hAnsi="Arial" w:cs="Arial"/>
          <w:b/>
          <w:sz w:val="22"/>
          <w:lang w:val="es-ES_tradnl"/>
        </w:rPr>
        <w:t xml:space="preserve"> de 2021</w:t>
      </w:r>
    </w:p>
    <w:p w14:paraId="69C95FB2" w14:textId="77777777" w:rsidR="009A0857" w:rsidRPr="001E0B39" w:rsidRDefault="009A0857" w:rsidP="009A0857">
      <w:pPr>
        <w:rPr>
          <w:rFonts w:ascii="Arial"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A0857" w:rsidRPr="001E0B39" w14:paraId="041D9E5E" w14:textId="77777777" w:rsidTr="00C60A6D">
        <w:trPr>
          <w:trHeight w:val="591"/>
        </w:trPr>
        <w:tc>
          <w:tcPr>
            <w:tcW w:w="2689" w:type="dxa"/>
            <w:hideMark/>
          </w:tcPr>
          <w:p w14:paraId="6D692FCA" w14:textId="77777777" w:rsidR="009A0857" w:rsidRPr="001E0B39" w:rsidRDefault="009A0857" w:rsidP="00C60A6D">
            <w:pPr>
              <w:rPr>
                <w:rFonts w:ascii="Arial" w:hAnsi="Arial" w:cs="Arial"/>
                <w:bCs/>
                <w:sz w:val="22"/>
                <w:lang w:val="es-ES_tradnl"/>
              </w:rPr>
            </w:pPr>
            <w:r w:rsidRPr="001E0B39">
              <w:rPr>
                <w:rFonts w:ascii="Arial" w:hAnsi="Arial" w:cs="Arial"/>
                <w:bCs/>
                <w:sz w:val="22"/>
                <w:lang w:val="es-ES_tradnl"/>
              </w:rPr>
              <w:t xml:space="preserve">Temas:        </w:t>
            </w:r>
          </w:p>
        </w:tc>
        <w:tc>
          <w:tcPr>
            <w:tcW w:w="6237" w:type="dxa"/>
            <w:hideMark/>
          </w:tcPr>
          <w:p w14:paraId="713A3DCF" w14:textId="6D920D0A" w:rsidR="006C2966" w:rsidRPr="00DC3B5B" w:rsidRDefault="00E045BE" w:rsidP="007B2408">
            <w:pPr>
              <w:spacing w:before="120" w:after="120"/>
              <w:jc w:val="both"/>
              <w:rPr>
                <w:rFonts w:ascii="Arial" w:hAnsi="Arial" w:cs="Arial"/>
                <w:bCs/>
                <w:sz w:val="22"/>
              </w:rPr>
            </w:pPr>
            <w:r w:rsidRPr="00DC3B5B">
              <w:rPr>
                <w:rFonts w:ascii="Arial" w:hAnsi="Arial" w:cs="Arial"/>
                <w:bCs/>
                <w:sz w:val="22"/>
                <w:lang w:val="es-ES_tradnl"/>
              </w:rPr>
              <w:t xml:space="preserve">DOCUMENTOS TIPO </w:t>
            </w:r>
            <w:r w:rsidRPr="00DC3B5B">
              <w:rPr>
                <w:rFonts w:ascii="Arial" w:hAnsi="Arial" w:cs="Arial"/>
                <w:bCs/>
                <w:color w:val="000000" w:themeColor="text1"/>
                <w:sz w:val="22"/>
                <w:lang w:val="es-ES_tradnl"/>
              </w:rPr>
              <w:t>–</w:t>
            </w:r>
            <w:r w:rsidRPr="00DC3B5B">
              <w:rPr>
                <w:rFonts w:ascii="Arial" w:hAnsi="Arial" w:cs="Arial"/>
                <w:bCs/>
                <w:sz w:val="22"/>
                <w:lang w:val="es-ES_tradnl"/>
              </w:rPr>
              <w:t xml:space="preserve"> Fundamento normativo </w:t>
            </w:r>
            <w:r w:rsidRPr="00DC3B5B">
              <w:rPr>
                <w:rFonts w:ascii="Arial" w:hAnsi="Arial" w:cs="Arial"/>
                <w:bCs/>
                <w:color w:val="000000" w:themeColor="text1"/>
                <w:sz w:val="22"/>
                <w:lang w:val="es-ES_tradnl"/>
              </w:rPr>
              <w:t xml:space="preserve">– </w:t>
            </w:r>
            <w:r w:rsidRPr="00DC3B5B">
              <w:rPr>
                <w:rFonts w:ascii="Arial" w:hAnsi="Arial" w:cs="Arial"/>
                <w:bCs/>
                <w:sz w:val="22"/>
                <w:lang w:val="es-ES_tradnl"/>
              </w:rPr>
              <w:t xml:space="preserve">Ley 2022 de 2020 INALTERABILIDAD </w:t>
            </w:r>
            <w:r w:rsidRPr="00DC3B5B">
              <w:rPr>
                <w:rFonts w:ascii="Arial" w:hAnsi="Arial" w:cs="Arial"/>
                <w:bCs/>
                <w:color w:val="000000" w:themeColor="text1"/>
                <w:sz w:val="22"/>
                <w:lang w:val="es-ES_tradnl"/>
              </w:rPr>
              <w:t>–</w:t>
            </w:r>
            <w:r w:rsidRPr="00DC3B5B">
              <w:rPr>
                <w:rFonts w:ascii="Arial" w:hAnsi="Arial" w:cs="Arial"/>
                <w:bCs/>
                <w:sz w:val="22"/>
                <w:lang w:val="es-ES_tradnl"/>
              </w:rPr>
              <w:t xml:space="preserve"> Documentos tipo </w:t>
            </w:r>
            <w:r w:rsidRPr="00DC3B5B">
              <w:rPr>
                <w:rFonts w:ascii="Arial" w:hAnsi="Arial" w:cs="Arial"/>
                <w:bCs/>
                <w:color w:val="000000" w:themeColor="text1"/>
                <w:sz w:val="22"/>
                <w:lang w:val="es-ES_tradnl"/>
              </w:rPr>
              <w:t xml:space="preserve">– </w:t>
            </w:r>
            <w:r w:rsidRPr="00DC3B5B">
              <w:rPr>
                <w:rFonts w:ascii="Arial" w:hAnsi="Arial" w:cs="Arial"/>
                <w:bCs/>
                <w:sz w:val="22"/>
                <w:lang w:val="es-ES_tradnl"/>
              </w:rPr>
              <w:t xml:space="preserve">Regla vigente </w:t>
            </w:r>
            <w:r w:rsidRPr="00DC3B5B">
              <w:rPr>
                <w:rFonts w:ascii="Arial" w:hAnsi="Arial" w:cs="Arial"/>
                <w:bCs/>
                <w:color w:val="000000" w:themeColor="text1"/>
                <w:sz w:val="22"/>
                <w:lang w:val="es-ES_tradnl"/>
              </w:rPr>
              <w:t>– Contenido</w:t>
            </w:r>
            <w:r w:rsidRPr="00DC3B5B">
              <w:rPr>
                <w:rFonts w:ascii="Arial" w:hAnsi="Arial" w:cs="Arial"/>
                <w:bCs/>
                <w:sz w:val="22"/>
              </w:rPr>
              <w:t xml:space="preserve"> DOCUMENTOS TIPO </w:t>
            </w:r>
            <w:r w:rsidRPr="00DC3B5B">
              <w:rPr>
                <w:rFonts w:ascii="Arial" w:hAnsi="Arial" w:cs="Arial"/>
                <w:bCs/>
                <w:sz w:val="22"/>
              </w:rPr>
              <w:softHyphen/>
              <w:t>– Versión 3 – Acreditación experiencia – Proponentes plurales – Numeral 3.5.3 Consideraciones para la validez de la experiencia requerida – Literal D</w:t>
            </w:r>
          </w:p>
          <w:p w14:paraId="775B4972" w14:textId="44A7D041" w:rsidR="009A0857" w:rsidRPr="001E0B39" w:rsidRDefault="009A0857" w:rsidP="00C60A6D">
            <w:pPr>
              <w:pStyle w:val="Prrafodelista"/>
              <w:spacing w:after="120"/>
              <w:ind w:left="0"/>
              <w:jc w:val="both"/>
              <w:rPr>
                <w:rFonts w:ascii="Arial" w:hAnsi="Arial" w:cs="Arial"/>
                <w:bCs/>
                <w:sz w:val="22"/>
                <w:highlight w:val="yellow"/>
                <w:lang w:val="es-ES_tradnl"/>
              </w:rPr>
            </w:pPr>
          </w:p>
        </w:tc>
      </w:tr>
      <w:tr w:rsidR="009A0857" w:rsidRPr="001E0B39" w14:paraId="76F4C4B6" w14:textId="77777777" w:rsidTr="00C60A6D">
        <w:tc>
          <w:tcPr>
            <w:tcW w:w="2689" w:type="dxa"/>
          </w:tcPr>
          <w:p w14:paraId="7F512AAD" w14:textId="77777777" w:rsidR="009A0857" w:rsidRPr="001E0B39" w:rsidRDefault="009A0857" w:rsidP="00C60A6D">
            <w:pPr>
              <w:rPr>
                <w:rFonts w:ascii="Arial" w:hAnsi="Arial" w:cs="Arial"/>
                <w:b/>
                <w:sz w:val="22"/>
                <w:lang w:val="es-ES_tradnl"/>
              </w:rPr>
            </w:pPr>
            <w:r w:rsidRPr="001E0B39">
              <w:rPr>
                <w:rFonts w:ascii="Arial" w:hAnsi="Arial" w:cs="Arial"/>
                <w:b/>
                <w:sz w:val="22"/>
                <w:lang w:val="es-ES_tradnl"/>
              </w:rPr>
              <w:t>Radicación:</w:t>
            </w:r>
            <w:r w:rsidRPr="001E0B39">
              <w:rPr>
                <w:rFonts w:ascii="Arial" w:hAnsi="Arial" w:cs="Arial"/>
                <w:sz w:val="22"/>
                <w:lang w:val="es-ES_tradnl"/>
              </w:rPr>
              <w:t xml:space="preserve">                              </w:t>
            </w:r>
          </w:p>
        </w:tc>
        <w:tc>
          <w:tcPr>
            <w:tcW w:w="6237" w:type="dxa"/>
          </w:tcPr>
          <w:p w14:paraId="67DF2755" w14:textId="08E7C8BC" w:rsidR="006C2966" w:rsidRPr="001E0B39" w:rsidRDefault="009A0857" w:rsidP="00880C42">
            <w:pPr>
              <w:jc w:val="both"/>
              <w:rPr>
                <w:rFonts w:ascii="Arial" w:hAnsi="Arial" w:cs="Arial"/>
                <w:sz w:val="22"/>
                <w:lang w:val="es-ES_tradnl"/>
              </w:rPr>
            </w:pPr>
            <w:r w:rsidRPr="001E0B39">
              <w:rPr>
                <w:rFonts w:ascii="Arial" w:hAnsi="Arial" w:cs="Arial"/>
                <w:sz w:val="22"/>
                <w:lang w:val="es-ES_tradnl"/>
              </w:rPr>
              <w:t xml:space="preserve">Respuesta a consulta # </w:t>
            </w:r>
            <w:r w:rsidR="00880C42" w:rsidRPr="00880C42">
              <w:rPr>
                <w:rFonts w:ascii="Arial" w:hAnsi="Arial" w:cs="Arial"/>
                <w:sz w:val="22"/>
                <w:lang w:val="es-ES_tradnl"/>
              </w:rPr>
              <w:t>P20210226001608</w:t>
            </w:r>
          </w:p>
        </w:tc>
      </w:tr>
    </w:tbl>
    <w:p w14:paraId="7B3559AD" w14:textId="77777777" w:rsidR="007F632A" w:rsidRPr="001E0B39" w:rsidRDefault="007F632A" w:rsidP="009A0857">
      <w:pPr>
        <w:rPr>
          <w:rFonts w:ascii="Arial" w:hAnsi="Arial" w:cs="Arial"/>
          <w:sz w:val="22"/>
          <w:lang w:val="es-ES_tradnl"/>
        </w:rPr>
      </w:pPr>
    </w:p>
    <w:p w14:paraId="2EE70C0C" w14:textId="6CB98815" w:rsidR="009A0857" w:rsidRPr="001E0B39" w:rsidRDefault="009A0857" w:rsidP="009A0857">
      <w:pPr>
        <w:rPr>
          <w:rFonts w:ascii="Arial" w:hAnsi="Arial" w:cs="Arial"/>
          <w:sz w:val="22"/>
          <w:lang w:val="es-ES_tradnl"/>
        </w:rPr>
      </w:pPr>
      <w:r w:rsidRPr="001E0B39">
        <w:rPr>
          <w:rFonts w:ascii="Arial" w:hAnsi="Arial" w:cs="Arial"/>
          <w:sz w:val="22"/>
          <w:lang w:val="es-ES_tradnl"/>
        </w:rPr>
        <w:lastRenderedPageBreak/>
        <w:t xml:space="preserve">Estimado señor </w:t>
      </w:r>
      <w:r w:rsidR="00880C42">
        <w:rPr>
          <w:rFonts w:ascii="Arial" w:hAnsi="Arial" w:cs="Arial"/>
          <w:sz w:val="22"/>
          <w:lang w:val="es-ES_tradnl"/>
        </w:rPr>
        <w:t>Leal</w:t>
      </w:r>
      <w:r w:rsidRPr="001E0B39">
        <w:rPr>
          <w:rFonts w:ascii="Arial" w:hAnsi="Arial" w:cs="Arial"/>
          <w:sz w:val="22"/>
          <w:lang w:val="es-ES_tradnl"/>
        </w:rPr>
        <w:t>,</w:t>
      </w:r>
    </w:p>
    <w:p w14:paraId="70C5F874" w14:textId="77777777" w:rsidR="009A0857" w:rsidRPr="001E0B39" w:rsidRDefault="009A0857" w:rsidP="009A0857">
      <w:pPr>
        <w:spacing w:line="276" w:lineRule="auto"/>
        <w:rPr>
          <w:rFonts w:ascii="Arial" w:hAnsi="Arial" w:cs="Arial"/>
          <w:sz w:val="22"/>
          <w:lang w:val="es-ES_tradnl"/>
        </w:rPr>
      </w:pPr>
    </w:p>
    <w:p w14:paraId="75D98102" w14:textId="47F622F3" w:rsidR="009A0857" w:rsidRPr="001E0B39" w:rsidRDefault="009A0857" w:rsidP="009A0857">
      <w:pPr>
        <w:spacing w:line="276" w:lineRule="auto"/>
        <w:jc w:val="both"/>
        <w:rPr>
          <w:rFonts w:ascii="Arial" w:hAnsi="Arial" w:cs="Arial"/>
          <w:sz w:val="22"/>
          <w:lang w:val="es-ES_tradnl"/>
        </w:rPr>
      </w:pPr>
      <w:r w:rsidRPr="001E0B39">
        <w:rPr>
          <w:rFonts w:ascii="Arial" w:hAnsi="Arial" w:cs="Arial"/>
          <w:sz w:val="22"/>
          <w:lang w:val="es-ES_tradnl"/>
        </w:rPr>
        <w:t xml:space="preserve">En ejercicio de la competencia otorgada por el numeral 8 del artículo 11 y el numeral 5 del artículo 3 del Decreto Ley 4170 de 2011, la Agencia Nacional de Contratación Pública ― Colombia Compra Eficiente responde su consulta del </w:t>
      </w:r>
      <w:r w:rsidR="00880C42">
        <w:rPr>
          <w:rFonts w:ascii="Arial" w:hAnsi="Arial" w:cs="Arial"/>
          <w:sz w:val="22"/>
          <w:lang w:val="es-ES_tradnl"/>
        </w:rPr>
        <w:t>26</w:t>
      </w:r>
      <w:r w:rsidRPr="001E0B39">
        <w:rPr>
          <w:rFonts w:ascii="Arial" w:hAnsi="Arial" w:cs="Arial"/>
          <w:sz w:val="22"/>
          <w:lang w:val="es-ES_tradnl"/>
        </w:rPr>
        <w:t xml:space="preserve"> de febrero del año 2021. </w:t>
      </w:r>
    </w:p>
    <w:p w14:paraId="34372822" w14:textId="77777777" w:rsidR="009A0857" w:rsidRPr="001E0B39" w:rsidRDefault="009A0857" w:rsidP="009A0857">
      <w:pPr>
        <w:tabs>
          <w:tab w:val="left" w:pos="426"/>
        </w:tabs>
        <w:spacing w:line="276" w:lineRule="auto"/>
        <w:jc w:val="both"/>
        <w:rPr>
          <w:rFonts w:ascii="Arial" w:hAnsi="Arial" w:cs="Arial"/>
          <w:sz w:val="22"/>
          <w:lang w:val="es-ES_tradnl"/>
        </w:rPr>
      </w:pPr>
    </w:p>
    <w:p w14:paraId="430B6450" w14:textId="77777777" w:rsidR="009A0857" w:rsidRPr="001E0B39" w:rsidRDefault="009A0857" w:rsidP="006C2966">
      <w:pPr>
        <w:pStyle w:val="Prrafodelista"/>
        <w:numPr>
          <w:ilvl w:val="0"/>
          <w:numId w:val="10"/>
        </w:numPr>
        <w:tabs>
          <w:tab w:val="left" w:pos="284"/>
        </w:tabs>
        <w:spacing w:line="276" w:lineRule="auto"/>
        <w:jc w:val="both"/>
        <w:rPr>
          <w:rFonts w:ascii="Arial" w:eastAsia="Calibri" w:hAnsi="Arial" w:cs="Arial"/>
          <w:b/>
          <w:sz w:val="22"/>
          <w:lang w:val="es-ES_tradnl"/>
        </w:rPr>
      </w:pPr>
      <w:r w:rsidRPr="001E0B39">
        <w:rPr>
          <w:rFonts w:ascii="Arial" w:eastAsia="Calibri" w:hAnsi="Arial" w:cs="Arial"/>
          <w:b/>
          <w:sz w:val="22"/>
          <w:lang w:val="es-ES_tradnl"/>
        </w:rPr>
        <w:t>Problemas planteados</w:t>
      </w:r>
    </w:p>
    <w:p w14:paraId="4A4BE246" w14:textId="48E2994B" w:rsidR="009A0857" w:rsidRPr="00880C42" w:rsidRDefault="009A0857" w:rsidP="00880C42">
      <w:pPr>
        <w:pStyle w:val="NormalWeb"/>
        <w:jc w:val="both"/>
        <w:rPr>
          <w:rFonts w:ascii="Arial" w:hAnsi="Arial" w:cs="Arial"/>
          <w:sz w:val="22"/>
          <w:szCs w:val="22"/>
          <w:lang w:val="es-ES_tradnl"/>
        </w:rPr>
      </w:pPr>
      <w:r w:rsidRPr="00880C42">
        <w:rPr>
          <w:rFonts w:ascii="Arial" w:hAnsi="Arial" w:cs="Arial"/>
          <w:sz w:val="22"/>
          <w:szCs w:val="22"/>
          <w:lang w:val="es-ES_tradnl"/>
        </w:rPr>
        <w:t>Usted formuló la</w:t>
      </w:r>
      <w:r w:rsidR="0074765C" w:rsidRPr="00880C42">
        <w:rPr>
          <w:rFonts w:ascii="Arial" w:hAnsi="Arial" w:cs="Arial"/>
          <w:sz w:val="22"/>
          <w:szCs w:val="22"/>
          <w:lang w:val="es-ES_tradnl"/>
        </w:rPr>
        <w:t>s</w:t>
      </w:r>
      <w:r w:rsidRPr="00880C42">
        <w:rPr>
          <w:rFonts w:ascii="Arial" w:hAnsi="Arial" w:cs="Arial"/>
          <w:sz w:val="22"/>
          <w:szCs w:val="22"/>
          <w:lang w:val="es-ES_tradnl"/>
        </w:rPr>
        <w:t xml:space="preserve"> siguiente</w:t>
      </w:r>
      <w:r w:rsidR="0074765C" w:rsidRPr="00880C42">
        <w:rPr>
          <w:rFonts w:ascii="Arial" w:hAnsi="Arial" w:cs="Arial"/>
          <w:sz w:val="22"/>
          <w:szCs w:val="22"/>
          <w:lang w:val="es-ES_tradnl"/>
        </w:rPr>
        <w:t>s</w:t>
      </w:r>
      <w:r w:rsidRPr="00880C42">
        <w:rPr>
          <w:rFonts w:ascii="Arial" w:hAnsi="Arial" w:cs="Arial"/>
          <w:sz w:val="22"/>
          <w:szCs w:val="22"/>
          <w:lang w:val="es-ES_tradnl"/>
        </w:rPr>
        <w:t xml:space="preserve"> pregunta</w:t>
      </w:r>
      <w:r w:rsidR="0074765C" w:rsidRPr="00880C42">
        <w:rPr>
          <w:rFonts w:ascii="Arial" w:hAnsi="Arial" w:cs="Arial"/>
          <w:sz w:val="22"/>
          <w:szCs w:val="22"/>
          <w:lang w:val="es-ES_tradnl"/>
        </w:rPr>
        <w:t>s</w:t>
      </w:r>
      <w:r w:rsidRPr="00880C42">
        <w:rPr>
          <w:rFonts w:ascii="Arial" w:hAnsi="Arial" w:cs="Arial"/>
          <w:sz w:val="22"/>
          <w:szCs w:val="22"/>
          <w:lang w:val="es-ES_tradnl"/>
        </w:rPr>
        <w:t>:</w:t>
      </w:r>
      <w:r w:rsidRPr="00880C42">
        <w:rPr>
          <w:rFonts w:ascii="Arial" w:hAnsi="Arial" w:cs="Arial"/>
          <w:b/>
          <w:sz w:val="22"/>
          <w:szCs w:val="22"/>
          <w:lang w:val="es-ES_tradnl"/>
        </w:rPr>
        <w:t xml:space="preserve"> </w:t>
      </w:r>
      <w:r w:rsidRPr="00880C42">
        <w:rPr>
          <w:rFonts w:ascii="Arial" w:hAnsi="Arial" w:cs="Arial"/>
          <w:sz w:val="22"/>
          <w:szCs w:val="22"/>
          <w:lang w:val="es-ES_tradnl"/>
        </w:rPr>
        <w:t>«</w:t>
      </w:r>
      <w:r w:rsidR="0074765C" w:rsidRPr="00880C42">
        <w:rPr>
          <w:rFonts w:ascii="Arial" w:hAnsi="Arial" w:cs="Arial"/>
          <w:sz w:val="22"/>
          <w:szCs w:val="22"/>
          <w:lang w:eastAsia="es-ES_tradnl"/>
        </w:rPr>
        <w:t xml:space="preserve">1. En el </w:t>
      </w:r>
      <w:r w:rsidR="00592A2B" w:rsidRPr="00880C42">
        <w:rPr>
          <w:rFonts w:ascii="Arial" w:hAnsi="Arial" w:cs="Arial"/>
          <w:sz w:val="22"/>
          <w:szCs w:val="22"/>
          <w:lang w:eastAsia="es-ES_tradnl"/>
        </w:rPr>
        <w:t>hipotético</w:t>
      </w:r>
      <w:r w:rsidR="0074765C" w:rsidRPr="00880C42">
        <w:rPr>
          <w:rFonts w:ascii="Arial" w:hAnsi="Arial" w:cs="Arial"/>
          <w:sz w:val="22"/>
          <w:szCs w:val="22"/>
          <w:lang w:eastAsia="es-ES_tradnl"/>
        </w:rPr>
        <w:t xml:space="preserve"> caso de presentar oferta en consorcio o </w:t>
      </w:r>
      <w:r w:rsidR="00592A2B" w:rsidRPr="00880C42">
        <w:rPr>
          <w:rFonts w:ascii="Arial" w:hAnsi="Arial" w:cs="Arial"/>
          <w:sz w:val="22"/>
          <w:szCs w:val="22"/>
          <w:lang w:eastAsia="es-ES_tradnl"/>
        </w:rPr>
        <w:t>unión</w:t>
      </w:r>
      <w:r w:rsidR="0074765C" w:rsidRPr="00880C42">
        <w:rPr>
          <w:rFonts w:ascii="Arial" w:hAnsi="Arial" w:cs="Arial"/>
          <w:sz w:val="22"/>
          <w:szCs w:val="22"/>
          <w:lang w:eastAsia="es-ES_tradnl"/>
        </w:rPr>
        <w:t xml:space="preserve"> temporal conformada por dos integrantes, ¿ambos deben acreditar experiencia? </w:t>
      </w:r>
      <w:r w:rsidR="0074765C" w:rsidRPr="00880C42">
        <w:rPr>
          <w:rFonts w:ascii="Arial" w:hAnsi="Arial" w:cs="Arial"/>
          <w:sz w:val="22"/>
          <w:szCs w:val="22"/>
          <w:lang w:val="es-ES_tradnl"/>
        </w:rPr>
        <w:t xml:space="preserve"> Igualmente, si el consorcio o unión temporal conformada por dos integrantes, ¿no aplica la excepción de que uno de los integrantes no presente experiencia cumpliendo la condición de no superar el cinco por ciento (5%) de </w:t>
      </w:r>
      <w:r w:rsidR="00880C42" w:rsidRPr="00880C42">
        <w:rPr>
          <w:rFonts w:ascii="Arial" w:hAnsi="Arial" w:cs="Arial"/>
          <w:sz w:val="22"/>
          <w:szCs w:val="22"/>
          <w:lang w:val="es-ES_tradnl"/>
        </w:rPr>
        <w:t>participación</w:t>
      </w:r>
      <w:r w:rsidR="0074765C" w:rsidRPr="00880C42">
        <w:rPr>
          <w:rFonts w:ascii="Arial" w:hAnsi="Arial" w:cs="Arial"/>
          <w:sz w:val="22"/>
          <w:szCs w:val="22"/>
          <w:lang w:val="es-ES_tradnl"/>
        </w:rPr>
        <w:t>?</w:t>
      </w:r>
      <w:r w:rsidR="00880C42" w:rsidRPr="00880C42">
        <w:rPr>
          <w:rFonts w:ascii="Arial" w:hAnsi="Arial" w:cs="Arial"/>
          <w:sz w:val="22"/>
          <w:szCs w:val="22"/>
          <w:lang w:val="es-ES_tradnl"/>
        </w:rPr>
        <w:t xml:space="preserve"> </w:t>
      </w:r>
      <w:r w:rsidR="0074765C" w:rsidRPr="00880C42">
        <w:rPr>
          <w:rFonts w:ascii="Arial" w:hAnsi="Arial" w:cs="Arial"/>
          <w:sz w:val="22"/>
          <w:szCs w:val="22"/>
          <w:lang w:val="es-ES_tradnl"/>
        </w:rPr>
        <w:t xml:space="preserve">3. El literal D, ¿aplica </w:t>
      </w:r>
      <w:r w:rsidR="00880C42" w:rsidRPr="00880C42">
        <w:rPr>
          <w:rFonts w:ascii="Arial" w:hAnsi="Arial" w:cs="Arial"/>
          <w:sz w:val="22"/>
          <w:szCs w:val="22"/>
          <w:lang w:val="es-ES_tradnl"/>
        </w:rPr>
        <w:t>únicamente</w:t>
      </w:r>
      <w:r w:rsidR="0074765C" w:rsidRPr="00880C42">
        <w:rPr>
          <w:rFonts w:ascii="Arial" w:hAnsi="Arial" w:cs="Arial"/>
          <w:sz w:val="22"/>
          <w:szCs w:val="22"/>
          <w:lang w:val="es-ES_tradnl"/>
        </w:rPr>
        <w:t xml:space="preserve"> a consorcios o uniones temporales conformadas por tres integrantes?</w:t>
      </w:r>
      <w:r w:rsidRPr="00880C42">
        <w:rPr>
          <w:rFonts w:ascii="Arial" w:hAnsi="Arial" w:cs="Arial"/>
          <w:sz w:val="22"/>
          <w:szCs w:val="22"/>
          <w:lang w:val="es-ES_tradnl"/>
        </w:rPr>
        <w:t xml:space="preserve">». </w:t>
      </w:r>
    </w:p>
    <w:p w14:paraId="5C346B59" w14:textId="77777777" w:rsidR="009A0857" w:rsidRPr="001E0B39" w:rsidRDefault="009A0857" w:rsidP="006C2966">
      <w:pPr>
        <w:tabs>
          <w:tab w:val="left" w:pos="284"/>
        </w:tabs>
        <w:spacing w:line="276" w:lineRule="auto"/>
        <w:jc w:val="both"/>
        <w:rPr>
          <w:rFonts w:ascii="Arial" w:hAnsi="Arial" w:cs="Arial"/>
          <w:sz w:val="20"/>
          <w:szCs w:val="20"/>
          <w:lang w:val="es-ES_tradnl"/>
        </w:rPr>
      </w:pPr>
    </w:p>
    <w:p w14:paraId="62071FF4" w14:textId="70C9C7A6" w:rsidR="009A0857" w:rsidRPr="001E0B39" w:rsidRDefault="009A0857" w:rsidP="006C2966">
      <w:pPr>
        <w:pStyle w:val="Prrafodelista"/>
        <w:numPr>
          <w:ilvl w:val="0"/>
          <w:numId w:val="10"/>
        </w:numPr>
        <w:tabs>
          <w:tab w:val="left" w:pos="426"/>
        </w:tabs>
        <w:spacing w:line="276" w:lineRule="auto"/>
        <w:jc w:val="both"/>
        <w:rPr>
          <w:rFonts w:ascii="Arial" w:hAnsi="Arial" w:cs="Arial"/>
          <w:b/>
          <w:sz w:val="22"/>
          <w:lang w:val="es-ES_tradnl"/>
        </w:rPr>
      </w:pPr>
      <w:r w:rsidRPr="001E0B39">
        <w:rPr>
          <w:rFonts w:ascii="Arial" w:hAnsi="Arial" w:cs="Arial"/>
          <w:b/>
          <w:sz w:val="22"/>
          <w:lang w:val="es-ES_tradnl"/>
        </w:rPr>
        <w:t>Consideraciones</w:t>
      </w:r>
    </w:p>
    <w:p w14:paraId="07FD296A" w14:textId="19D7906A" w:rsidR="009A0857" w:rsidRPr="001E0B39" w:rsidRDefault="009A0857" w:rsidP="006C2966">
      <w:pPr>
        <w:tabs>
          <w:tab w:val="left" w:pos="426"/>
        </w:tabs>
        <w:spacing w:line="276" w:lineRule="auto"/>
        <w:jc w:val="both"/>
        <w:rPr>
          <w:rFonts w:ascii="Arial" w:hAnsi="Arial" w:cs="Arial"/>
          <w:b/>
          <w:sz w:val="22"/>
          <w:lang w:val="es-ES_tradnl"/>
        </w:rPr>
      </w:pPr>
    </w:p>
    <w:p w14:paraId="15148D18" w14:textId="020F5704" w:rsidR="00AA5AF7" w:rsidRPr="001E0B39" w:rsidRDefault="009A0857" w:rsidP="00E045BE">
      <w:pPr>
        <w:spacing w:line="276" w:lineRule="auto"/>
        <w:jc w:val="both"/>
        <w:rPr>
          <w:rFonts w:ascii="Arial" w:hAnsi="Arial" w:cs="Arial"/>
          <w:sz w:val="22"/>
          <w:lang w:val="es-ES_tradnl"/>
        </w:rPr>
      </w:pPr>
      <w:r w:rsidRPr="001E0B39">
        <w:rPr>
          <w:rFonts w:ascii="Arial" w:hAnsi="Arial" w:cs="Arial"/>
          <w:sz w:val="22"/>
          <w:lang w:val="es-ES_tradnl"/>
        </w:rPr>
        <w:t>Para resolver esta consulta</w:t>
      </w:r>
      <w:r w:rsidR="00AA5AF7" w:rsidRPr="001E0B39">
        <w:rPr>
          <w:rFonts w:ascii="Arial" w:hAnsi="Arial" w:cs="Arial"/>
          <w:sz w:val="22"/>
          <w:lang w:val="es-ES_tradnl"/>
        </w:rPr>
        <w:t xml:space="preserve"> relacionada con los documentos tipo de licitación de obra pública de infraestructura de transporte – versión 3, en primer lugar, se explicará </w:t>
      </w:r>
      <w:r w:rsidR="00E045BE">
        <w:rPr>
          <w:rFonts w:ascii="Arial" w:hAnsi="Arial" w:cs="Arial"/>
          <w:sz w:val="22"/>
          <w:lang w:val="es-ES_tradnl"/>
        </w:rPr>
        <w:t xml:space="preserve">el </w:t>
      </w:r>
      <w:r w:rsidR="00E045BE" w:rsidRPr="00E045BE">
        <w:rPr>
          <w:rFonts w:ascii="Arial" w:eastAsia="Arial" w:hAnsi="Arial" w:cs="Arial"/>
          <w:color w:val="000000"/>
          <w:sz w:val="22"/>
          <w:lang w:val="es-ES_tradnl"/>
        </w:rPr>
        <w:t>fundamento normativo de los documentos tipo adoptados hasta la actualidad y el alcance de la regla de la inalterabilidad de los documentos tipo</w:t>
      </w:r>
      <w:r w:rsidR="00AA5AF7" w:rsidRPr="001E0B39">
        <w:rPr>
          <w:rFonts w:ascii="Arial" w:hAnsi="Arial" w:cs="Arial"/>
          <w:sz w:val="22"/>
          <w:lang w:val="es-ES_tradnl"/>
        </w:rPr>
        <w:t>. En segundo lugar, se analizará el cambio realizado en los documentos tipo, que fue observado por el peticionario, el cual es, (1) la acreditación de la experiencia por parte de los proponentes plurales,</w:t>
      </w:r>
      <w:r w:rsidR="00880C42">
        <w:rPr>
          <w:rFonts w:ascii="Arial" w:hAnsi="Arial" w:cs="Arial"/>
          <w:sz w:val="22"/>
          <w:lang w:val="es-ES_tradnl"/>
        </w:rPr>
        <w:t xml:space="preserve"> específicamente, el literal D del numeral 3.5.3.</w:t>
      </w:r>
    </w:p>
    <w:p w14:paraId="1D33D45D" w14:textId="639ABAB8" w:rsidR="00AA5AF7" w:rsidRPr="001E0B39" w:rsidRDefault="00AA5AF7" w:rsidP="006C2966">
      <w:pPr>
        <w:spacing w:line="276" w:lineRule="auto"/>
        <w:jc w:val="both"/>
        <w:rPr>
          <w:rFonts w:ascii="Arial" w:hAnsi="Arial" w:cs="Arial"/>
          <w:sz w:val="22"/>
          <w:lang w:val="es-ES_tradnl"/>
        </w:rPr>
      </w:pPr>
    </w:p>
    <w:p w14:paraId="135AE87E" w14:textId="752B8684" w:rsidR="006C2966" w:rsidRDefault="009A0857" w:rsidP="006C2966">
      <w:pPr>
        <w:spacing w:line="276" w:lineRule="auto"/>
        <w:ind w:firstLine="709"/>
        <w:jc w:val="both"/>
        <w:rPr>
          <w:rFonts w:ascii="Arial" w:hAnsi="Arial" w:cs="Arial"/>
          <w:sz w:val="22"/>
          <w:lang w:val="es-ES_tradnl"/>
        </w:rPr>
      </w:pPr>
      <w:r w:rsidRPr="001E0B39">
        <w:rPr>
          <w:rFonts w:ascii="Arial" w:hAnsi="Arial" w:cs="Arial"/>
          <w:sz w:val="22"/>
          <w:lang w:val="es-ES_tradnl"/>
        </w:rPr>
        <w:t>La Agencia Nacional de Contratación Pública ― Colombia Compra Eficiente se pronunció sobre</w:t>
      </w:r>
      <w:r w:rsidR="00E045BE">
        <w:rPr>
          <w:rFonts w:ascii="Arial" w:hAnsi="Arial" w:cs="Arial"/>
          <w:sz w:val="22"/>
          <w:lang w:val="es-ES_tradnl"/>
        </w:rPr>
        <w:t xml:space="preserve"> </w:t>
      </w:r>
      <w:r w:rsidR="00E045BE" w:rsidRPr="00E045BE">
        <w:rPr>
          <w:rFonts w:ascii="Arial" w:eastAsia="Arial" w:hAnsi="Arial" w:cs="Arial"/>
          <w:color w:val="000000"/>
          <w:sz w:val="22"/>
          <w:lang w:val="es-ES_tradnl"/>
        </w:rPr>
        <w:t>fundamento normativo de los documentos tipo adoptados hasta la actualidad y el alcance de la regla de la inalterabilidad de los documentos tipo</w:t>
      </w:r>
      <w:r w:rsidR="00E045BE">
        <w:rPr>
          <w:rFonts w:ascii="Arial" w:eastAsia="Arial" w:hAnsi="Arial" w:cs="Arial"/>
          <w:color w:val="000000"/>
          <w:sz w:val="22"/>
          <w:lang w:val="es-ES_tradnl"/>
        </w:rPr>
        <w:t xml:space="preserve"> en el Concepto C 157 de 2021 y sobre</w:t>
      </w:r>
      <w:r w:rsidR="00E045BE">
        <w:rPr>
          <w:rFonts w:ascii="Arial" w:hAnsi="Arial" w:cs="Arial"/>
          <w:sz w:val="22"/>
          <w:lang w:val="es-ES_tradnl"/>
        </w:rPr>
        <w:t xml:space="preserve"> </w:t>
      </w:r>
      <w:r w:rsidR="00E045BE" w:rsidRPr="001E0B39">
        <w:rPr>
          <w:rFonts w:ascii="Arial" w:hAnsi="Arial" w:cs="Arial"/>
          <w:sz w:val="22"/>
          <w:lang w:val="es-ES_tradnl"/>
        </w:rPr>
        <w:t>el</w:t>
      </w:r>
      <w:r w:rsidRPr="001E0B39">
        <w:rPr>
          <w:rFonts w:ascii="Arial" w:hAnsi="Arial" w:cs="Arial"/>
          <w:sz w:val="22"/>
          <w:lang w:val="es-ES_tradnl"/>
        </w:rPr>
        <w:t xml:space="preserve"> </w:t>
      </w:r>
      <w:r w:rsidR="00AA5AF7" w:rsidRPr="001E0B39">
        <w:rPr>
          <w:rFonts w:ascii="Arial" w:hAnsi="Arial" w:cs="Arial"/>
          <w:sz w:val="22"/>
          <w:lang w:val="es-ES_tradnl"/>
        </w:rPr>
        <w:t xml:space="preserve">literal D del numeral 3.5.3. del documento base de los pliegos tipo de infraestructura de transporte </w:t>
      </w:r>
      <w:r w:rsidR="00E045BE">
        <w:rPr>
          <w:rFonts w:ascii="Arial" w:hAnsi="Arial" w:cs="Arial"/>
          <w:sz w:val="22"/>
          <w:lang w:val="es-ES_tradnl"/>
        </w:rPr>
        <w:t xml:space="preserve">versión 3 </w:t>
      </w:r>
      <w:r w:rsidR="00AA5AF7" w:rsidRPr="001E0B39">
        <w:rPr>
          <w:rFonts w:ascii="Arial" w:hAnsi="Arial" w:cs="Arial"/>
          <w:sz w:val="22"/>
          <w:lang w:val="es-ES_tradnl"/>
        </w:rPr>
        <w:t xml:space="preserve">en </w:t>
      </w:r>
      <w:r w:rsidR="00E045BE">
        <w:rPr>
          <w:rFonts w:ascii="Arial" w:hAnsi="Arial" w:cs="Arial"/>
          <w:sz w:val="22"/>
          <w:lang w:val="es-ES_tradnl"/>
        </w:rPr>
        <w:t>los Conceptos 018 y 042 de 2021</w:t>
      </w:r>
      <w:r w:rsidR="00AA5AF7" w:rsidRPr="001E0B39">
        <w:rPr>
          <w:rFonts w:ascii="Arial" w:hAnsi="Arial" w:cs="Arial"/>
          <w:sz w:val="22"/>
          <w:lang w:val="es-ES_tradnl"/>
        </w:rPr>
        <w:t xml:space="preserve">. </w:t>
      </w:r>
      <w:r w:rsidRPr="001E0B39">
        <w:rPr>
          <w:rFonts w:ascii="Arial" w:hAnsi="Arial" w:cs="Arial"/>
          <w:sz w:val="22"/>
          <w:lang w:val="es-ES_tradnl"/>
        </w:rPr>
        <w:t>La</w:t>
      </w:r>
      <w:r w:rsidR="00E045BE">
        <w:rPr>
          <w:rFonts w:ascii="Arial" w:hAnsi="Arial" w:cs="Arial"/>
          <w:sz w:val="22"/>
          <w:lang w:val="es-ES_tradnl"/>
        </w:rPr>
        <w:t>s</w:t>
      </w:r>
      <w:r w:rsidRPr="001E0B39">
        <w:rPr>
          <w:rFonts w:ascii="Arial" w:hAnsi="Arial" w:cs="Arial"/>
          <w:sz w:val="22"/>
          <w:lang w:val="es-ES_tradnl"/>
        </w:rPr>
        <w:t xml:space="preserve"> tesis expuesta</w:t>
      </w:r>
      <w:r w:rsidR="00E045BE">
        <w:rPr>
          <w:rFonts w:ascii="Arial" w:hAnsi="Arial" w:cs="Arial"/>
          <w:sz w:val="22"/>
          <w:lang w:val="es-ES_tradnl"/>
        </w:rPr>
        <w:t>s</w:t>
      </w:r>
      <w:r w:rsidRPr="001E0B39">
        <w:rPr>
          <w:rFonts w:ascii="Arial" w:hAnsi="Arial" w:cs="Arial"/>
          <w:sz w:val="22"/>
          <w:lang w:val="es-ES_tradnl"/>
        </w:rPr>
        <w:t xml:space="preserve"> en </w:t>
      </w:r>
      <w:r w:rsidR="007B2408" w:rsidRPr="001E0B39">
        <w:rPr>
          <w:rFonts w:ascii="Arial" w:hAnsi="Arial" w:cs="Arial"/>
          <w:sz w:val="22"/>
          <w:lang w:val="es-ES_tradnl"/>
        </w:rPr>
        <w:t>dicho</w:t>
      </w:r>
      <w:r w:rsidR="007B2408">
        <w:rPr>
          <w:rFonts w:ascii="Arial" w:hAnsi="Arial" w:cs="Arial"/>
          <w:sz w:val="22"/>
          <w:lang w:val="es-ES_tradnl"/>
        </w:rPr>
        <w:t>s</w:t>
      </w:r>
      <w:r w:rsidR="007B2408" w:rsidRPr="001E0B39">
        <w:rPr>
          <w:rFonts w:ascii="Arial" w:hAnsi="Arial" w:cs="Arial"/>
          <w:sz w:val="22"/>
          <w:lang w:val="es-ES_tradnl"/>
        </w:rPr>
        <w:t xml:space="preserve"> conceptos</w:t>
      </w:r>
      <w:r w:rsidRPr="001E0B39">
        <w:rPr>
          <w:rFonts w:ascii="Arial" w:hAnsi="Arial" w:cs="Arial"/>
          <w:sz w:val="22"/>
          <w:lang w:val="es-ES_tradnl"/>
        </w:rPr>
        <w:t xml:space="preserve"> se reitera a continuación:</w:t>
      </w:r>
      <w:bookmarkEnd w:id="0"/>
      <w:bookmarkEnd w:id="1"/>
    </w:p>
    <w:p w14:paraId="2731FEA4" w14:textId="77777777" w:rsidR="00880C42" w:rsidRPr="001E0B39" w:rsidRDefault="00880C42" w:rsidP="006C2966">
      <w:pPr>
        <w:spacing w:line="276" w:lineRule="auto"/>
        <w:ind w:firstLine="709"/>
        <w:jc w:val="both"/>
        <w:rPr>
          <w:rFonts w:ascii="Arial" w:hAnsi="Arial" w:cs="Arial"/>
          <w:sz w:val="22"/>
          <w:lang w:val="es-ES_tradnl"/>
        </w:rPr>
      </w:pPr>
    </w:p>
    <w:p w14:paraId="7C4F40F5" w14:textId="77777777" w:rsidR="00F935BC" w:rsidRPr="008918A2" w:rsidRDefault="00F935BC" w:rsidP="00F935BC">
      <w:pPr>
        <w:spacing w:line="276" w:lineRule="auto"/>
        <w:jc w:val="both"/>
        <w:rPr>
          <w:rFonts w:ascii="Arial" w:eastAsia="Arial" w:hAnsi="Arial" w:cs="Arial"/>
          <w:b/>
          <w:bCs/>
          <w:color w:val="000000"/>
          <w:sz w:val="22"/>
          <w:lang w:val="es-ES_tradnl"/>
        </w:rPr>
      </w:pPr>
      <w:r w:rsidRPr="008918A2">
        <w:rPr>
          <w:rFonts w:ascii="Arial" w:eastAsia="Arial" w:hAnsi="Arial" w:cs="Arial"/>
          <w:b/>
          <w:bCs/>
          <w:color w:val="000000"/>
          <w:sz w:val="22"/>
          <w:lang w:val="es-ES_tradnl"/>
        </w:rPr>
        <w:t xml:space="preserve">2.1. Fundamento normativo de los </w:t>
      </w:r>
      <w:r>
        <w:rPr>
          <w:rFonts w:ascii="Arial" w:eastAsia="Arial" w:hAnsi="Arial" w:cs="Arial"/>
          <w:b/>
          <w:bCs/>
          <w:color w:val="000000"/>
          <w:sz w:val="22"/>
          <w:lang w:val="es-ES_tradnl"/>
        </w:rPr>
        <w:t>documentos tipo</w:t>
      </w:r>
      <w:r w:rsidRPr="008918A2">
        <w:rPr>
          <w:rFonts w:ascii="Arial" w:eastAsia="Arial" w:hAnsi="Arial" w:cs="Arial"/>
          <w:b/>
          <w:bCs/>
          <w:color w:val="000000"/>
          <w:sz w:val="22"/>
          <w:lang w:val="es-ES_tradnl"/>
        </w:rPr>
        <w:t xml:space="preserve"> adoptados hasta la actualidad</w:t>
      </w:r>
    </w:p>
    <w:p w14:paraId="077BE3BB" w14:textId="77777777" w:rsidR="00F935BC" w:rsidRPr="008918A2" w:rsidRDefault="00F935BC" w:rsidP="00F935BC">
      <w:pPr>
        <w:spacing w:line="276" w:lineRule="auto"/>
        <w:jc w:val="both"/>
        <w:rPr>
          <w:rFonts w:ascii="Arial" w:eastAsia="Arial" w:hAnsi="Arial" w:cs="Arial"/>
          <w:b/>
          <w:bCs/>
          <w:color w:val="000000"/>
          <w:sz w:val="22"/>
          <w:lang w:val="es-ES_tradnl"/>
        </w:rPr>
      </w:pPr>
    </w:p>
    <w:p w14:paraId="36DC1FA0" w14:textId="77777777" w:rsidR="00F935BC" w:rsidRPr="008918A2" w:rsidRDefault="00F935BC" w:rsidP="00F935BC">
      <w:pPr>
        <w:spacing w:after="120" w:line="276" w:lineRule="auto"/>
        <w:jc w:val="both"/>
        <w:rPr>
          <w:rFonts w:ascii="Arial" w:hAnsi="Arial" w:cs="Arial"/>
          <w:color w:val="000000"/>
          <w:sz w:val="22"/>
          <w:lang w:val="es-ES_tradnl"/>
        </w:rPr>
      </w:pPr>
      <w:r w:rsidRPr="008918A2">
        <w:rPr>
          <w:rFonts w:ascii="Arial" w:hAnsi="Arial" w:cs="Arial"/>
          <w:color w:val="000000"/>
          <w:sz w:val="22"/>
          <w:lang w:val="es-ES_tradnl"/>
        </w:rPr>
        <w:t>La adopción de los documentos tipo obligatorios en el ordenamiento jurídico colombiano se incluyó por primera vez en el parágrafo 3 del artículo 2 de la Ley 1150 de 2007</w:t>
      </w:r>
      <w:r w:rsidRPr="008918A2">
        <w:rPr>
          <w:rStyle w:val="Refdenotaalpie"/>
          <w:rFonts w:ascii="Arial" w:hAnsi="Arial" w:cs="Arial"/>
          <w:color w:val="000000"/>
          <w:sz w:val="22"/>
          <w:lang w:val="es-ES_tradnl"/>
        </w:rPr>
        <w:footnoteReference w:id="2"/>
      </w:r>
      <w:r w:rsidRPr="008918A2">
        <w:rPr>
          <w:rFonts w:ascii="Arial" w:hAnsi="Arial" w:cs="Arial"/>
          <w:color w:val="000000"/>
          <w:sz w:val="22"/>
          <w:lang w:val="es-ES_tradnl"/>
        </w:rPr>
        <w:t xml:space="preserve">, que </w:t>
      </w:r>
      <w:r w:rsidRPr="008918A2">
        <w:rPr>
          <w:rFonts w:ascii="Arial" w:hAnsi="Arial" w:cs="Arial"/>
          <w:color w:val="000000"/>
          <w:sz w:val="22"/>
          <w:lang w:val="es-ES_tradnl"/>
        </w:rPr>
        <w:lastRenderedPageBreak/>
        <w:t xml:space="preserve">facultó al gobierno nacional para expedirlos, pero solo cuando se tratara de la adquisición o suministro de bienes y servicios de características técnicas uniformes y de común utilización. Sin embargo, esta facultad no ha sido ejercida hasta la actualidad. </w:t>
      </w:r>
    </w:p>
    <w:p w14:paraId="35B61AC9" w14:textId="77777777" w:rsidR="00F935BC" w:rsidRPr="008918A2" w:rsidRDefault="00F935BC" w:rsidP="00F935BC">
      <w:pPr>
        <w:spacing w:line="276" w:lineRule="auto"/>
        <w:ind w:firstLine="708"/>
        <w:jc w:val="both"/>
        <w:rPr>
          <w:rFonts w:ascii="Arial" w:hAnsi="Arial" w:cs="Arial"/>
          <w:color w:val="000000"/>
          <w:sz w:val="22"/>
          <w:lang w:val="es-ES_tradnl"/>
        </w:rPr>
      </w:pPr>
      <w:r w:rsidRPr="008918A2">
        <w:rPr>
          <w:rFonts w:ascii="Arial" w:hAnsi="Arial" w:cs="Arial"/>
          <w:color w:val="000000"/>
          <w:sz w:val="22"/>
          <w:lang w:val="es-ES_tradnl"/>
        </w:rPr>
        <w:t xml:space="preserve">Debido a lo anterior, el artículo 4 de la Ley 1882 de 2018 se convierte en el antecedente más relevante respecto a los documentos tipo. A partir de esta norma se determinó la obligatoriedad por parte de todas las entidades sometidas al Estatuto General de Contratación de la Administración Pública de aplicar los documentos tipo adoptados por el gobierno nacional. Ahora bien, en virtud de la Ley 1882 de 2018 se expidieron varios documentos tipo para el sector de infraestructura de transporte y, por tanto, es importante explicar el proceso previsto en dicho cuerpo normativo. </w:t>
      </w:r>
    </w:p>
    <w:p w14:paraId="262E6CCF" w14:textId="77777777" w:rsidR="00F935BC" w:rsidRPr="008918A2" w:rsidRDefault="00F935BC" w:rsidP="00F935BC">
      <w:pPr>
        <w:spacing w:before="120" w:after="120" w:line="276" w:lineRule="auto"/>
        <w:ind w:firstLine="708"/>
        <w:jc w:val="both"/>
        <w:rPr>
          <w:rFonts w:ascii="Arial" w:hAnsi="Arial" w:cs="Arial"/>
          <w:color w:val="000000"/>
          <w:sz w:val="22"/>
          <w:lang w:val="es-ES_tradnl"/>
        </w:rPr>
      </w:pPr>
      <w:r w:rsidRPr="008918A2">
        <w:rPr>
          <w:rFonts w:ascii="Arial" w:hAnsi="Arial" w:cs="Arial"/>
          <w:color w:val="000000"/>
          <w:sz w:val="22"/>
          <w:lang w:val="es-ES_tradnl"/>
        </w:rPr>
        <w:t>La Ley 1882 de 2018, en el artículo 4,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r w:rsidRPr="008918A2">
        <w:rPr>
          <w:rStyle w:val="Refdenotaalpie"/>
          <w:rFonts w:ascii="Arial" w:hAnsi="Arial" w:cs="Arial"/>
          <w:color w:val="000000"/>
          <w:sz w:val="22"/>
          <w:lang w:val="es-ES_tradnl"/>
        </w:rPr>
        <w:footnoteReference w:id="3"/>
      </w:r>
      <w:r w:rsidRPr="008918A2">
        <w:rPr>
          <w:rFonts w:ascii="Arial" w:hAnsi="Arial" w:cs="Arial"/>
          <w:color w:val="000000"/>
          <w:sz w:val="22"/>
          <w:lang w:val="es-ES_tradnl"/>
        </w:rPr>
        <w:t>.</w:t>
      </w:r>
    </w:p>
    <w:p w14:paraId="5E11083B" w14:textId="77777777" w:rsidR="00F935BC" w:rsidRPr="008918A2" w:rsidRDefault="00F935BC" w:rsidP="00F935BC">
      <w:pPr>
        <w:spacing w:before="120" w:after="120" w:line="276" w:lineRule="auto"/>
        <w:jc w:val="both"/>
        <w:rPr>
          <w:rFonts w:ascii="Arial" w:hAnsi="Arial" w:cs="Arial"/>
          <w:color w:val="000000"/>
          <w:sz w:val="22"/>
          <w:lang w:val="es-ES_tradnl"/>
        </w:rPr>
      </w:pPr>
      <w:r w:rsidRPr="008918A2">
        <w:rPr>
          <w:rFonts w:ascii="Arial" w:hAnsi="Arial" w:cs="Arial"/>
          <w:color w:val="000000"/>
          <w:sz w:val="22"/>
          <w:lang w:val="es-ES_tradnl"/>
        </w:rPr>
        <w:tab/>
        <w:t xml:space="preserve">Asimismo, señalaba que, dentro de los documentos tipo, el gobierno adoptaría de manera general y con alcance obligatorio para todas las entidades las condiciones habilitantes, así como los factores técnicos y económicos de escogencia, según correspondiera a cada modalidad de selección y la ponderación precisa y detallada de los mismos, teniendo en cuenta la naturaleza y cuantía de los contratos. Finalmente, para la adopción de esta reglamentación el gobierno tendría en cuenta las características propias de las regiones con el ánimo de promover el empleo local. Por último, se facultaba al </w:t>
      </w:r>
      <w:r w:rsidRPr="008918A2">
        <w:rPr>
          <w:rFonts w:ascii="Arial" w:hAnsi="Arial" w:cs="Arial"/>
          <w:color w:val="000000"/>
          <w:sz w:val="22"/>
          <w:lang w:val="es-ES_tradnl"/>
        </w:rPr>
        <w:lastRenderedPageBreak/>
        <w:t xml:space="preserve">gobierno para adoptar los documentos tipo cuando lo considerara necesario en relación con otros contratos o procesos de selección. </w:t>
      </w:r>
    </w:p>
    <w:p w14:paraId="4E75A0C4" w14:textId="77777777" w:rsidR="00F935BC" w:rsidRPr="008918A2" w:rsidRDefault="00F935BC" w:rsidP="00F935BC">
      <w:pPr>
        <w:spacing w:before="120" w:after="120" w:line="276" w:lineRule="auto"/>
        <w:jc w:val="both"/>
        <w:rPr>
          <w:rFonts w:ascii="Arial" w:hAnsi="Arial" w:cs="Arial"/>
          <w:color w:val="000000"/>
          <w:sz w:val="22"/>
          <w:lang w:val="es-ES_tradnl"/>
        </w:rPr>
      </w:pPr>
      <w:r w:rsidRPr="008918A2">
        <w:rPr>
          <w:rFonts w:ascii="Arial" w:hAnsi="Arial" w:cs="Arial"/>
          <w:color w:val="000000"/>
          <w:sz w:val="22"/>
          <w:lang w:val="es-ES_tradnl"/>
        </w:rPr>
        <w:tab/>
        <w:t>De la norma descrita se concluía lo siguiente: i) la adopción de los documentos tipo estaba en cabeza del gobierno nacional</w:t>
      </w:r>
      <w:r>
        <w:rPr>
          <w:rFonts w:ascii="Arial" w:hAnsi="Arial" w:cs="Arial"/>
          <w:color w:val="000000"/>
          <w:sz w:val="22"/>
          <w:lang w:val="es-ES_tradnl"/>
        </w:rPr>
        <w:t>;</w:t>
      </w:r>
      <w:r w:rsidRPr="008918A2">
        <w:rPr>
          <w:rFonts w:ascii="Arial" w:hAnsi="Arial" w:cs="Arial"/>
          <w:color w:val="000000"/>
          <w:sz w:val="22"/>
          <w:lang w:val="es-ES_tradnl"/>
        </w:rPr>
        <w:t xml:space="preserve"> ii) </w:t>
      </w:r>
      <w:r>
        <w:rPr>
          <w:rFonts w:ascii="Arial" w:hAnsi="Arial" w:cs="Arial"/>
          <w:color w:val="000000"/>
          <w:sz w:val="22"/>
          <w:lang w:val="es-ES_tradnl"/>
        </w:rPr>
        <w:t>e</w:t>
      </w:r>
      <w:r w:rsidRPr="008918A2">
        <w:rPr>
          <w:rFonts w:ascii="Arial" w:hAnsi="Arial" w:cs="Arial"/>
          <w:color w:val="000000"/>
          <w:sz w:val="22"/>
          <w:lang w:val="es-ES_tradnl"/>
        </w:rPr>
        <w:t>stos debían relacionarse con procesos de obra públicas, interventoría para las obras públicas, interventoría para consultoría de estudios y diseños y, finalmente, consultoría en ingeniería para obras</w:t>
      </w:r>
      <w:r>
        <w:rPr>
          <w:rFonts w:ascii="Arial" w:hAnsi="Arial" w:cs="Arial"/>
          <w:color w:val="000000"/>
          <w:sz w:val="22"/>
          <w:lang w:val="es-ES_tradnl"/>
        </w:rPr>
        <w:t>;</w:t>
      </w:r>
      <w:r w:rsidRPr="008918A2">
        <w:rPr>
          <w:rFonts w:ascii="Arial" w:hAnsi="Arial" w:cs="Arial"/>
          <w:color w:val="000000"/>
          <w:sz w:val="22"/>
          <w:lang w:val="es-ES_tradnl"/>
        </w:rPr>
        <w:t xml:space="preserve"> iii) </w:t>
      </w:r>
      <w:r>
        <w:rPr>
          <w:rFonts w:ascii="Arial" w:hAnsi="Arial" w:cs="Arial"/>
          <w:color w:val="000000"/>
          <w:sz w:val="22"/>
          <w:lang w:val="es-ES_tradnl"/>
        </w:rPr>
        <w:t>e</w:t>
      </w:r>
      <w:r w:rsidRPr="008918A2">
        <w:rPr>
          <w:rFonts w:ascii="Arial" w:hAnsi="Arial" w:cs="Arial"/>
          <w:color w:val="000000"/>
          <w:sz w:val="22"/>
          <w:lang w:val="es-ES_tradnl"/>
        </w:rPr>
        <w:t>ran de obligatorio cumplimiento por parte de todas las entidades sometidas al Estatuto General de Contratación de la Administración Pública</w:t>
      </w:r>
      <w:r>
        <w:rPr>
          <w:rFonts w:ascii="Arial" w:hAnsi="Arial" w:cs="Arial"/>
          <w:color w:val="000000"/>
          <w:sz w:val="22"/>
          <w:lang w:val="es-ES_tradnl"/>
        </w:rPr>
        <w:t>;</w:t>
      </w:r>
      <w:r w:rsidRPr="008918A2">
        <w:rPr>
          <w:rFonts w:ascii="Arial" w:hAnsi="Arial" w:cs="Arial"/>
          <w:color w:val="000000"/>
          <w:sz w:val="22"/>
          <w:lang w:val="es-ES_tradnl"/>
        </w:rPr>
        <w:t xml:space="preserve"> iv) </w:t>
      </w:r>
      <w:r>
        <w:rPr>
          <w:rFonts w:ascii="Arial" w:hAnsi="Arial" w:cs="Arial"/>
          <w:color w:val="000000"/>
          <w:sz w:val="22"/>
          <w:lang w:val="es-ES_tradnl"/>
        </w:rPr>
        <w:t>e</w:t>
      </w:r>
      <w:r w:rsidRPr="008918A2">
        <w:rPr>
          <w:rFonts w:ascii="Arial" w:hAnsi="Arial" w:cs="Arial"/>
          <w:color w:val="000000"/>
          <w:sz w:val="22"/>
          <w:lang w:val="es-ES_tradnl"/>
        </w:rPr>
        <w:t>n los documentos tipo se indicarían las condiciones generales de los requisitos habilitantes, así como los factores técnicos y económicos de escogencia, según correspondiera para cada modalidad de selección</w:t>
      </w:r>
      <w:r>
        <w:rPr>
          <w:rFonts w:ascii="Arial" w:hAnsi="Arial" w:cs="Arial"/>
          <w:color w:val="000000"/>
          <w:sz w:val="22"/>
          <w:lang w:val="es-ES_tradnl"/>
        </w:rPr>
        <w:t>;</w:t>
      </w:r>
      <w:r w:rsidRPr="008918A2">
        <w:rPr>
          <w:rFonts w:ascii="Arial" w:hAnsi="Arial" w:cs="Arial"/>
          <w:color w:val="000000"/>
          <w:sz w:val="22"/>
          <w:lang w:val="es-ES_tradnl"/>
        </w:rPr>
        <w:t xml:space="preserve"> v) </w:t>
      </w:r>
      <w:r>
        <w:rPr>
          <w:rFonts w:ascii="Arial" w:hAnsi="Arial" w:cs="Arial"/>
          <w:color w:val="000000"/>
          <w:sz w:val="22"/>
          <w:lang w:val="es-ES_tradnl"/>
        </w:rPr>
        <w:t>el</w:t>
      </w:r>
      <w:r w:rsidRPr="008918A2">
        <w:rPr>
          <w:rFonts w:ascii="Arial" w:hAnsi="Arial" w:cs="Arial"/>
          <w:color w:val="000000"/>
          <w:sz w:val="22"/>
          <w:lang w:val="es-ES_tradnl"/>
        </w:rPr>
        <w:t xml:space="preserve"> gobierno nacional tenía la facultad de adoptar documentos tipo en otros contratos o procesos de selección</w:t>
      </w:r>
      <w:r>
        <w:rPr>
          <w:rFonts w:ascii="Arial" w:hAnsi="Arial" w:cs="Arial"/>
          <w:color w:val="000000"/>
          <w:sz w:val="22"/>
          <w:lang w:val="es-ES_tradnl"/>
        </w:rPr>
        <w:t>; p</w:t>
      </w:r>
      <w:r w:rsidRPr="008918A2">
        <w:rPr>
          <w:rFonts w:ascii="Arial" w:hAnsi="Arial" w:cs="Arial"/>
          <w:color w:val="000000"/>
          <w:sz w:val="22"/>
          <w:lang w:val="es-ES_tradnl"/>
        </w:rPr>
        <w:t xml:space="preserve">or último, vi) los documentos tipo serían adoptados por categorías de acuerdo con la cuantía de la contratación. </w:t>
      </w:r>
    </w:p>
    <w:p w14:paraId="11A5572C" w14:textId="77777777" w:rsidR="00F935BC" w:rsidRPr="008918A2" w:rsidRDefault="00F935BC" w:rsidP="00F935BC">
      <w:pPr>
        <w:spacing w:before="120" w:after="120" w:line="276" w:lineRule="auto"/>
        <w:jc w:val="both"/>
        <w:rPr>
          <w:rFonts w:ascii="Arial" w:hAnsi="Arial" w:cs="Arial"/>
          <w:color w:val="000000"/>
          <w:sz w:val="22"/>
          <w:lang w:val="es-ES_tradnl"/>
        </w:rPr>
      </w:pPr>
      <w:r w:rsidRPr="008918A2">
        <w:rPr>
          <w:rFonts w:ascii="Arial" w:hAnsi="Arial" w:cs="Arial"/>
          <w:color w:val="000000"/>
          <w:sz w:val="22"/>
          <w:lang w:val="es-ES_tradnl"/>
        </w:rPr>
        <w:tab/>
        <w:t xml:space="preserve">Esta norma fue estudiada por la Corte Constitucional en la </w:t>
      </w:r>
      <w:r>
        <w:rPr>
          <w:rFonts w:ascii="Arial" w:hAnsi="Arial" w:cs="Arial"/>
          <w:color w:val="000000"/>
          <w:sz w:val="22"/>
          <w:lang w:val="es-ES_tradnl"/>
        </w:rPr>
        <w:t>S</w:t>
      </w:r>
      <w:r w:rsidRPr="008918A2">
        <w:rPr>
          <w:rFonts w:ascii="Arial" w:hAnsi="Arial" w:cs="Arial"/>
          <w:color w:val="000000"/>
          <w:sz w:val="22"/>
          <w:lang w:val="es-ES_tradnl"/>
        </w:rPr>
        <w:t xml:space="preserve">entencia C-119 de 2020. Al respecto, indicó que la adopción de los documentos tipo no afectaba la autonomía de las entidades territoriales, en cuanto la estandarización se predicaba únicamente de los requisitos habilitantes </w:t>
      </w:r>
      <w:bookmarkStart w:id="3" w:name="_Hlk48665985"/>
      <w:r w:rsidRPr="008918A2">
        <w:rPr>
          <w:rFonts w:ascii="Arial" w:hAnsi="Arial" w:cs="Arial"/>
          <w:color w:val="000000"/>
          <w:sz w:val="22"/>
          <w:lang w:val="es-ES_tradnl"/>
        </w:rPr>
        <w:t>y los criterios de escogencia, elementos propios del procedimiento de selección del contratista, materia en la que existe reserva de ley y que no se encuentra atribuida a la regulación de las entidades territoriales</w:t>
      </w:r>
      <w:bookmarkEnd w:id="3"/>
      <w:r w:rsidRPr="008918A2">
        <w:rPr>
          <w:rFonts w:ascii="Arial" w:hAnsi="Arial" w:cs="Arial"/>
          <w:color w:val="000000"/>
          <w:sz w:val="22"/>
          <w:lang w:val="es-ES_tradnl"/>
        </w:rPr>
        <w:t>. De igual manera, se establece que esta autonomía se garantiza con la identificación autónoma de sus necesidades y la configuración de los elementos del contrato</w:t>
      </w:r>
      <w:r w:rsidRPr="008918A2">
        <w:rPr>
          <w:rStyle w:val="Refdenotaalpie"/>
          <w:rFonts w:ascii="Arial" w:hAnsi="Arial" w:cs="Arial"/>
          <w:color w:val="000000"/>
          <w:sz w:val="22"/>
          <w:lang w:val="es-ES_tradnl"/>
        </w:rPr>
        <w:footnoteReference w:id="4"/>
      </w:r>
      <w:r w:rsidRPr="008918A2">
        <w:rPr>
          <w:rFonts w:ascii="Arial" w:hAnsi="Arial" w:cs="Arial"/>
          <w:color w:val="000000"/>
          <w:sz w:val="22"/>
          <w:lang w:val="es-ES_tradnl"/>
        </w:rPr>
        <w:t>.</w:t>
      </w:r>
    </w:p>
    <w:p w14:paraId="0F0DEFE8" w14:textId="77777777" w:rsidR="00F935BC" w:rsidRPr="008918A2" w:rsidRDefault="00F935BC" w:rsidP="00F935BC">
      <w:pPr>
        <w:spacing w:before="120" w:after="120" w:line="276" w:lineRule="auto"/>
        <w:jc w:val="both"/>
        <w:rPr>
          <w:rFonts w:ascii="Arial" w:hAnsi="Arial" w:cs="Arial"/>
          <w:color w:val="000000"/>
          <w:sz w:val="22"/>
          <w:lang w:val="es-ES_tradnl"/>
        </w:rPr>
      </w:pPr>
      <w:r w:rsidRPr="008918A2">
        <w:rPr>
          <w:rFonts w:ascii="Arial" w:hAnsi="Arial" w:cs="Arial"/>
          <w:color w:val="000000"/>
          <w:sz w:val="22"/>
          <w:lang w:val="es-ES_tradnl"/>
        </w:rPr>
        <w:tab/>
        <w:t xml:space="preserve">De este modo, los documentos tipo no afectan la autonomía de las entidades territoriales. Lo anterior, debido a que la definición de los requisitos habilitantes y de aspectos técnicos de la selección del contratista en los procesos de selección, son aspectos en los que el legislador tiene amplia libertad de configuración legislativa y, por tanto, puede atribuir dicha regulación al gobierno nacional. Ahora, dicha autonomía se materializa cuando las entidades territoriales deciden </w:t>
      </w:r>
      <w:r>
        <w:rPr>
          <w:rFonts w:ascii="Arial" w:hAnsi="Arial" w:cs="Arial"/>
          <w:color w:val="000000"/>
          <w:sz w:val="22"/>
          <w:lang w:val="es-ES_tradnl"/>
        </w:rPr>
        <w:t>iniciar</w:t>
      </w:r>
      <w:r w:rsidRPr="008918A2">
        <w:rPr>
          <w:rFonts w:ascii="Arial" w:hAnsi="Arial" w:cs="Arial"/>
          <w:color w:val="000000"/>
          <w:sz w:val="22"/>
          <w:lang w:val="es-ES_tradnl"/>
        </w:rPr>
        <w:t xml:space="preserve"> un proceso de convocatoria para satisfacer sus necesidades para la adquisición de un bien</w:t>
      </w:r>
      <w:r>
        <w:rPr>
          <w:rFonts w:ascii="Arial" w:hAnsi="Arial" w:cs="Arial"/>
          <w:color w:val="000000"/>
          <w:sz w:val="22"/>
          <w:lang w:val="es-ES_tradnl"/>
        </w:rPr>
        <w:t>, obra</w:t>
      </w:r>
      <w:r w:rsidRPr="008918A2">
        <w:rPr>
          <w:rFonts w:ascii="Arial" w:hAnsi="Arial" w:cs="Arial"/>
          <w:color w:val="000000"/>
          <w:sz w:val="22"/>
          <w:lang w:val="es-ES_tradnl"/>
        </w:rPr>
        <w:t xml:space="preserve"> o servicio</w:t>
      </w:r>
      <w:r>
        <w:rPr>
          <w:rFonts w:ascii="Arial" w:hAnsi="Arial" w:cs="Arial"/>
          <w:color w:val="000000"/>
          <w:sz w:val="22"/>
          <w:lang w:val="es-ES_tradnl"/>
        </w:rPr>
        <w:t>,</w:t>
      </w:r>
      <w:r w:rsidRPr="008918A2">
        <w:rPr>
          <w:rFonts w:ascii="Arial" w:hAnsi="Arial" w:cs="Arial"/>
          <w:color w:val="000000"/>
          <w:sz w:val="22"/>
          <w:lang w:val="es-ES_tradnl"/>
        </w:rPr>
        <w:t xml:space="preserve"> y además se incluyen en la minuta del contrato las condiciones particulares del negocio jurídico a celebrar.</w:t>
      </w:r>
    </w:p>
    <w:p w14:paraId="24B93E3F" w14:textId="77777777" w:rsidR="00F935BC" w:rsidRDefault="00F935BC" w:rsidP="00F935BC">
      <w:pPr>
        <w:spacing w:before="120" w:after="120" w:line="276" w:lineRule="auto"/>
        <w:jc w:val="both"/>
        <w:rPr>
          <w:rFonts w:ascii="Arial" w:hAnsi="Arial" w:cs="Arial"/>
          <w:sz w:val="22"/>
          <w:lang w:val="es-ES_tradnl"/>
        </w:rPr>
      </w:pPr>
      <w:r w:rsidRPr="008918A2">
        <w:rPr>
          <w:rFonts w:ascii="Arial" w:hAnsi="Arial" w:cs="Arial"/>
          <w:color w:val="000000"/>
          <w:sz w:val="22"/>
          <w:lang w:val="es-ES_tradnl"/>
        </w:rPr>
        <w:lastRenderedPageBreak/>
        <w:tab/>
        <w:t xml:space="preserve">Explicado el proceso para adoptar los documentos tipo en virtud de la Ley 1882 de 2018 y estudiada su constitucionalidad, de acuerdo con el pronunciamiento de la Corte Constitucional, a continuación se identificarán los documentos tipo adoptados por el gobierno nacional en virtud de esta ley. </w:t>
      </w:r>
      <w:r w:rsidRPr="008918A2">
        <w:rPr>
          <w:rFonts w:ascii="Arial" w:hAnsi="Arial" w:cs="Arial"/>
          <w:sz w:val="22"/>
          <w:lang w:val="es-ES_tradnl"/>
        </w:rPr>
        <w:t xml:space="preserve">Dada la relevancia económica y el impacto que tienen en el nivel territorial los proyectos de obra en el sector transporte, el gobierno nacional, en vigencia del artículo 4 de la Ley 1882 de 2018, por el cual se adicionó el parágrafo 7 del artículo 2 de la Ley 1150 de 2007, inició la implementación gradual mediante el Decreto 342 del 5 de marzo de 2019, relacionado con los documentos tipo para los procesos de selección de licitación de obra pública de infraestructura de transporte. </w:t>
      </w:r>
    </w:p>
    <w:p w14:paraId="7195BBBE" w14:textId="77777777" w:rsidR="00F935BC" w:rsidRPr="008918A2" w:rsidRDefault="00F935BC" w:rsidP="00F935BC">
      <w:pPr>
        <w:spacing w:before="120" w:after="120" w:line="276" w:lineRule="auto"/>
        <w:ind w:firstLine="708"/>
        <w:jc w:val="both"/>
        <w:rPr>
          <w:rFonts w:ascii="Arial" w:hAnsi="Arial" w:cs="Arial"/>
          <w:color w:val="000000"/>
          <w:sz w:val="22"/>
          <w:lang w:val="es-ES_tradnl"/>
        </w:rPr>
      </w:pPr>
      <w:r w:rsidRPr="008918A2">
        <w:rPr>
          <w:rFonts w:ascii="Arial" w:hAnsi="Arial" w:cs="Arial"/>
          <w:sz w:val="22"/>
          <w:lang w:val="es-ES_tradnl"/>
        </w:rPr>
        <w:t>Luego se expidió el Decreto 2096 del 21 de noviembre de 2019, que permitió el desarrollo de los documentos tipo para los pliegos de condiciones de los procesos de obras públicas de infraestructura de transporte que se adelantaran por la modalidad de selección abreviada de menor cuantía. Finalmente, se profirió el Decreto 594 del 25 de abril de 2020, frente a los documentos tipo para los contratos de obra pública</w:t>
      </w:r>
      <w:r w:rsidRPr="008918A2" w:rsidDel="00A434AB">
        <w:rPr>
          <w:rFonts w:ascii="Arial" w:hAnsi="Arial" w:cs="Arial"/>
          <w:sz w:val="22"/>
          <w:lang w:val="es-ES_tradnl"/>
        </w:rPr>
        <w:t xml:space="preserve"> </w:t>
      </w:r>
      <w:r w:rsidRPr="008918A2">
        <w:rPr>
          <w:rFonts w:ascii="Arial" w:hAnsi="Arial" w:cs="Arial"/>
          <w:sz w:val="22"/>
          <w:lang w:val="es-ES_tradnl"/>
        </w:rPr>
        <w:t xml:space="preserve">de infraestructura de transporte que se surtieran por la modalidad de mínima cuantía. Estos documentos fueron implementados y desarrollados por la Agencia Nacional de Contratación Pública </w:t>
      </w:r>
      <w:bookmarkStart w:id="4" w:name="_Hlk37841850"/>
      <w:r w:rsidRPr="008918A2">
        <w:rPr>
          <w:rFonts w:ascii="Arial" w:hAnsi="Arial" w:cs="Arial"/>
          <w:sz w:val="22"/>
          <w:lang w:val="es-ES_tradnl"/>
        </w:rPr>
        <w:t xml:space="preserve">– Colombia Compra Eficiente, </w:t>
      </w:r>
      <w:bookmarkEnd w:id="4"/>
      <w:r w:rsidRPr="008918A2">
        <w:rPr>
          <w:rFonts w:ascii="Arial" w:hAnsi="Arial" w:cs="Arial"/>
          <w:sz w:val="22"/>
          <w:lang w:val="es-ES_tradnl"/>
        </w:rPr>
        <w:t>por medio de la Resolución 1798 de 1 de abril de 2019 –derogada por la Resolución 045 del 14 de febrero de 2020–, la Resolución 044 del 14 de febrero de 2020 y la Resolución 094 del 21 de mayo de 2020.</w:t>
      </w:r>
    </w:p>
    <w:p w14:paraId="18506575" w14:textId="77777777" w:rsidR="00F935BC"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Por otra parte</w:t>
      </w:r>
      <w:r w:rsidRPr="008918A2">
        <w:rPr>
          <w:rFonts w:eastAsia="Calibri"/>
          <w:i/>
          <w:iCs/>
          <w:color w:val="000000" w:themeColor="text1"/>
        </w:rPr>
        <w:t>,</w:t>
      </w:r>
      <w:r w:rsidRPr="008918A2">
        <w:rPr>
          <w:rFonts w:eastAsia="Calibri"/>
          <w:color w:val="000000" w:themeColor="text1"/>
        </w:rPr>
        <w:t xml:space="preserve"> debe tenerse en cuenta que la Ley 2022 de 2020 fue sancionada por el </w:t>
      </w:r>
      <w:proofErr w:type="gramStart"/>
      <w:r w:rsidRPr="008918A2">
        <w:rPr>
          <w:rFonts w:eastAsia="Calibri"/>
          <w:color w:val="000000" w:themeColor="text1"/>
        </w:rPr>
        <w:t>Presidente</w:t>
      </w:r>
      <w:proofErr w:type="gramEnd"/>
      <w:r w:rsidRPr="008918A2">
        <w:rPr>
          <w:rFonts w:eastAsia="Calibri"/>
          <w:color w:val="000000" w:themeColor="text1"/>
        </w:rPr>
        <w:t xml:space="preserve"> de la República el 22 de julio, por lo que su expedición es reciente. En este sentido, con la finalidad de realizar un desarrollo armónico y ajustado a la ley que otorga esta competencia, la Agencia Nacional de Contratación Pública expidió la Resolución 160 del 15 de septiembre de 2020</w:t>
      </w:r>
      <w:r>
        <w:rPr>
          <w:rFonts w:eastAsia="Calibri"/>
          <w:color w:val="000000" w:themeColor="text1"/>
        </w:rPr>
        <w:t>,</w:t>
      </w:r>
      <w:r w:rsidRPr="008918A2">
        <w:rPr>
          <w:rFonts w:eastAsia="Calibri"/>
          <w:color w:val="000000" w:themeColor="text1"/>
        </w:rPr>
        <w:t xml:space="preserve"> «Por la cual se adopta el procedimiento para implementar los documentos tipo y se define el sistema para su revisión». Asimismo, con fundamento en dicha Ley, se profirió la Resolución 240 del 27 de noviembre de 2020, «Por la cual se actualizan los Documentos Tipo para los procesos de selección de licitación de obra pública de infraestructura de transporte y se deroga la Resolución 0045 de 2020». </w:t>
      </w:r>
    </w:p>
    <w:p w14:paraId="5F50EFAD"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De igual manera, se expidió la Resolución 241 del 27 de noviembre de 2020, «Por la cual se actualizan los Documentos Tipo para los procesos de selección abreviada de menor cuantía de obra pública de infraestructura de transporte y se deroga la Resolución 0044 de 2020». Adicionalmente, entró en vigencia la Resolución 256 de 2020, «Por la cual se adoptan los documentos tipo para los procesos de selección de concursos de méritos, para contratar la interventoría de obras públicas de infraestructura de transporte». Por otra parte, se expidió la Resolución 248 de 2020, «Por la cual se adoptan los documentos tipo para los procesos de licitación pública para obras de infraestructura de agua potable y saneamiento básico»</w:t>
      </w:r>
      <w:r>
        <w:rPr>
          <w:rFonts w:eastAsia="Calibri"/>
          <w:color w:val="000000" w:themeColor="text1"/>
        </w:rPr>
        <w:t>;</w:t>
      </w:r>
      <w:r w:rsidRPr="008918A2">
        <w:rPr>
          <w:rFonts w:eastAsia="Calibri"/>
          <w:color w:val="000000" w:themeColor="text1"/>
        </w:rPr>
        <w:t xml:space="preserve"> la Resolución 249 de 2020, «Por la cual se adoptan los documentos tipo para los procesos de licitación pública para obras de infraestructura de agua potable y </w:t>
      </w:r>
      <w:r w:rsidRPr="008918A2">
        <w:rPr>
          <w:rFonts w:eastAsia="Calibri"/>
          <w:color w:val="000000" w:themeColor="text1"/>
        </w:rPr>
        <w:lastRenderedPageBreak/>
        <w:t>saneamiento básico en la modalidad llave en mano»</w:t>
      </w:r>
      <w:r>
        <w:rPr>
          <w:rFonts w:eastAsia="Calibri"/>
          <w:color w:val="000000" w:themeColor="text1"/>
        </w:rPr>
        <w:t>;</w:t>
      </w:r>
      <w:r w:rsidRPr="008918A2">
        <w:rPr>
          <w:rFonts w:eastAsia="Calibri"/>
          <w:color w:val="000000" w:themeColor="text1"/>
        </w:rPr>
        <w:t xml:space="preserve"> </w:t>
      </w:r>
      <w:r>
        <w:rPr>
          <w:rFonts w:eastAsia="Calibri"/>
          <w:color w:val="000000" w:themeColor="text1"/>
        </w:rPr>
        <w:t>así como</w:t>
      </w:r>
      <w:r w:rsidRPr="008918A2">
        <w:rPr>
          <w:rFonts w:eastAsia="Calibri"/>
          <w:color w:val="000000" w:themeColor="text1"/>
        </w:rPr>
        <w:t xml:space="preserve"> la Resolución 269 de 2020, «Por la cual se adopta el documento tipo para los procesos de gestión catastral con enfoque multipropósito que se celebren a través de contratos interadministrativos».</w:t>
      </w:r>
    </w:p>
    <w:p w14:paraId="3F07A633"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 xml:space="preserve">En síntesis, hasta el momento se han expedido los siguientes documentos tipo que son obligatorios para todas las entidades sometidas al Estatuto General de Contratación de la Administración Pública: </w:t>
      </w:r>
    </w:p>
    <w:p w14:paraId="237FD104"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 xml:space="preserve">i) Documentos tipo para licitación de obra pública de infraestructura de transporte –versión 1–, obligatorios para los procesos cuyo aviso de convocatoria se haya publicado desde el 1 de abril de 2019. </w:t>
      </w:r>
    </w:p>
    <w:p w14:paraId="79823BCD"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ii) Documentos tipo para licitación de obra pública de infraestructura de transporte –versión 2–, obligatorios para los procesos cuyo aviso de convocatoria se haya publicado desde el 10 de marzo de 2020.</w:t>
      </w:r>
    </w:p>
    <w:p w14:paraId="143D0DE7"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iii) Documentos tipo para licitación de obra pública de infraestructura de transporte –versión 3–, obligatorios para los procesos cuyo aviso de convocatoria se haya publicado desde el 1 de enero de 2021.</w:t>
      </w:r>
    </w:p>
    <w:p w14:paraId="054B1616"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iv) Documentos tipo para procesos de selección abreviada de menor cuantía de infraestructura de transporte –versión 1–, obligatorios para los procesos cuyo aviso de convocatoria se haya publicado desde el 17 de febrero de 2020.</w:t>
      </w:r>
    </w:p>
    <w:p w14:paraId="2C9B0231"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 xml:space="preserve">v) Documentos tipo para procesos de selección abreviada de menor cuantía de infraestructura de transporte –versión 2–, obligatorios para los procesos cuyo aviso de convocatoria se haya publicado desde el 1 de enero de 2021. </w:t>
      </w:r>
    </w:p>
    <w:p w14:paraId="51AFCE1E"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vi) Documentos tipo para procesos de mínima cuantía de infraestructura de transporte, obligatorios para los procesos cuya invitación pública se haya publicado a partir del 10 de junio de 2020.</w:t>
      </w:r>
    </w:p>
    <w:p w14:paraId="60833734"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vii) Documentos tipo para procesos de concurso de méritos para contratar la interventoría de obras públicas de infraestructura de transporte, obligatorios para los procesos cuyo aviso de convocatoria se haya publicado desde el 1 de enero de 2021.</w:t>
      </w:r>
    </w:p>
    <w:p w14:paraId="24E9ABB8"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viii) Documentos tipo para procesos de licitación pública para obras de infraestructura de agua potable y saneamiento básico, obligatorios para los procesos cuyo aviso de convocatoria se haya publicado desde el 11 de diciembre de 2020.</w:t>
      </w:r>
    </w:p>
    <w:p w14:paraId="336D85EA"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t>ix) Documentos tipo para procesos de licitación pública para obras de infraestructura de agua potable y saneamiento básico en la modalidad llave en mano, obligatorios para los procesos cuyo aviso de convocatoria se haya publicado desde el 11 de diciembre de 2020.</w:t>
      </w:r>
    </w:p>
    <w:p w14:paraId="0BB73435" w14:textId="77777777" w:rsidR="00F935BC" w:rsidRPr="008918A2" w:rsidRDefault="00F935BC" w:rsidP="00F935BC">
      <w:pPr>
        <w:pStyle w:val="Normal11pt"/>
        <w:spacing w:before="120" w:line="276" w:lineRule="auto"/>
        <w:ind w:left="0" w:firstLine="709"/>
        <w:rPr>
          <w:rFonts w:eastAsia="Calibri"/>
          <w:color w:val="000000" w:themeColor="text1"/>
        </w:rPr>
      </w:pPr>
      <w:r w:rsidRPr="008918A2">
        <w:rPr>
          <w:rFonts w:eastAsia="Calibri"/>
          <w:color w:val="000000" w:themeColor="text1"/>
        </w:rPr>
        <w:lastRenderedPageBreak/>
        <w:t>x) Documentos tipo para procesos de gestión catastral con enfoque multipropósito que se celebren a través de contratos interadministrativos, a partir del 1 de febrero de 2021.</w:t>
      </w:r>
    </w:p>
    <w:p w14:paraId="0E5A92B3" w14:textId="77777777" w:rsidR="00F935BC" w:rsidRPr="008918A2" w:rsidRDefault="00F935BC" w:rsidP="00F935BC">
      <w:pPr>
        <w:pStyle w:val="Normal11pt"/>
        <w:spacing w:before="120" w:line="276" w:lineRule="auto"/>
        <w:ind w:left="0" w:firstLine="709"/>
        <w:rPr>
          <w:rFonts w:eastAsia="Calibri"/>
          <w:lang w:eastAsia="en-US"/>
        </w:rPr>
      </w:pPr>
      <w:r w:rsidRPr="008918A2">
        <w:rPr>
          <w:rFonts w:eastAsia="Calibri"/>
          <w:color w:val="000000" w:themeColor="text1"/>
        </w:rPr>
        <w:t>Cabe aclarar que la Agencia Nacional de Contratación Pública sigue avanzando en la expedición de nuevos documentos tipo. Sin embargo, debe tenerse en cuenta que estos exigen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w:t>
      </w:r>
    </w:p>
    <w:p w14:paraId="64250D18" w14:textId="6CCA7157" w:rsidR="00136F74" w:rsidRPr="001E0B39" w:rsidRDefault="00136F74" w:rsidP="00136F74">
      <w:pPr>
        <w:spacing w:before="120" w:after="120" w:line="276" w:lineRule="auto"/>
        <w:ind w:right="51" w:firstLine="708"/>
        <w:jc w:val="both"/>
        <w:rPr>
          <w:rFonts w:ascii="Arial" w:hAnsi="Arial" w:cs="Arial"/>
          <w:sz w:val="22"/>
          <w:lang w:val="es-ES_tradnl"/>
        </w:rPr>
      </w:pPr>
      <w:r>
        <w:rPr>
          <w:rFonts w:ascii="Arial" w:hAnsi="Arial" w:cs="Arial"/>
          <w:sz w:val="22"/>
          <w:lang w:val="es-ES_tradnl"/>
        </w:rPr>
        <w:t>L</w:t>
      </w:r>
      <w:r w:rsidRPr="001E0B39">
        <w:rPr>
          <w:rFonts w:ascii="Arial" w:hAnsi="Arial" w:cs="Arial"/>
          <w:sz w:val="22"/>
          <w:lang w:val="es-ES_tradnl"/>
        </w:rPr>
        <w:t xml:space="preserve">a Resolución No. 240 de 2020, en el artículo 6, establece su vigencia señalando que rige a partir de su publicación, deroga la Resolución 045 de 2020, y aplica a los procesos de contratación de licitación de obra pública de infraestructura de transporte, cuyo aviso de convocatoria sea publicado a partir del </w:t>
      </w:r>
      <w:r w:rsidRPr="001E0B39">
        <w:rPr>
          <w:rFonts w:ascii="Arial" w:hAnsi="Arial" w:cs="Arial"/>
          <w:i/>
          <w:iCs/>
          <w:sz w:val="22"/>
          <w:lang w:val="es-ES_tradnl"/>
        </w:rPr>
        <w:t>1 de enero de 2021</w:t>
      </w:r>
      <w:r w:rsidRPr="001E0B39">
        <w:rPr>
          <w:rFonts w:ascii="Arial" w:hAnsi="Arial" w:cs="Arial"/>
          <w:sz w:val="22"/>
          <w:lang w:val="es-ES_tradnl"/>
        </w:rPr>
        <w:t xml:space="preserve">. Sin perjuicio de ello, el parágrafo primero permite aplicar la nueva versión de los Documentos tipo a los procesos cuyo aviso de convocatoria se publique luego de la expedición de la nueva versión, al tiempo que se aclara que los procesos iniciados con anterioridad se continuarán rigiendo por la Versión 2. Por último, el parágrafo 2 aclara que la Resolución 142 del 1 de septiembre de 2020 se mantendrá vigente y aplicará a estos documentos tipo. Así se indica en los siguientes términos: </w:t>
      </w:r>
    </w:p>
    <w:p w14:paraId="7C743C0A" w14:textId="77777777" w:rsidR="00136F74" w:rsidRPr="001E0B39" w:rsidRDefault="00136F74" w:rsidP="00136F74">
      <w:pPr>
        <w:shd w:val="clear" w:color="auto" w:fill="FFFFFF"/>
        <w:tabs>
          <w:tab w:val="left" w:pos="1134"/>
        </w:tabs>
        <w:spacing w:line="276" w:lineRule="auto"/>
        <w:ind w:left="709" w:right="474"/>
        <w:jc w:val="both"/>
        <w:rPr>
          <w:rFonts w:ascii="Arial" w:hAnsi="Arial" w:cs="Arial"/>
          <w:b/>
          <w:sz w:val="21"/>
          <w:szCs w:val="21"/>
          <w:lang w:val="es-ES_tradnl"/>
        </w:rPr>
      </w:pPr>
      <w:r w:rsidRPr="001E0B39">
        <w:rPr>
          <w:rFonts w:ascii="Arial" w:hAnsi="Arial" w:cs="Arial"/>
          <w:b/>
          <w:bCs/>
          <w:sz w:val="21"/>
          <w:szCs w:val="21"/>
          <w:lang w:val="es-ES_tradnl"/>
        </w:rPr>
        <w:t xml:space="preserve">Artículo 6 VIGENCIA Y DEROGATORIAS. </w:t>
      </w:r>
      <w:r w:rsidRPr="001E0B39">
        <w:rPr>
          <w:rFonts w:ascii="Arial" w:hAnsi="Arial" w:cs="Arial"/>
          <w:sz w:val="21"/>
          <w:szCs w:val="21"/>
          <w:lang w:val="es-ES_tradnl"/>
        </w:rPr>
        <w:t>La presente resolución rige a partir de su publicación, deroga la Resolución 045 de 2020 y sus modificaciones posteriores, y aplica a los procesos de selección de licitación de obra pública de infraestructura de transporte, cuyo aviso de convocatoria se publique a partir del 1 de enero de 2021.</w:t>
      </w:r>
    </w:p>
    <w:p w14:paraId="1230422C" w14:textId="77777777" w:rsidR="00136F74" w:rsidRPr="001E0B39" w:rsidRDefault="00136F74" w:rsidP="00136F74">
      <w:pPr>
        <w:shd w:val="clear" w:color="auto" w:fill="FFFFFF"/>
        <w:tabs>
          <w:tab w:val="left" w:pos="1134"/>
        </w:tabs>
        <w:spacing w:line="276" w:lineRule="auto"/>
        <w:ind w:left="360"/>
        <w:jc w:val="both"/>
        <w:rPr>
          <w:rFonts w:ascii="Arial" w:hAnsi="Arial" w:cs="Arial"/>
          <w:b/>
          <w:bCs/>
          <w:sz w:val="21"/>
          <w:szCs w:val="21"/>
          <w:lang w:val="es-ES_tradnl"/>
        </w:rPr>
      </w:pPr>
    </w:p>
    <w:p w14:paraId="6067533F" w14:textId="77777777" w:rsidR="00136F74" w:rsidRPr="001E0B39" w:rsidRDefault="00136F74" w:rsidP="00136F74">
      <w:pPr>
        <w:shd w:val="clear" w:color="auto" w:fill="FFFFFF"/>
        <w:tabs>
          <w:tab w:val="left" w:pos="1134"/>
        </w:tabs>
        <w:spacing w:line="276" w:lineRule="auto"/>
        <w:ind w:left="709" w:right="474"/>
        <w:jc w:val="both"/>
        <w:rPr>
          <w:rFonts w:ascii="Arial" w:hAnsi="Arial" w:cs="Arial"/>
          <w:sz w:val="21"/>
          <w:szCs w:val="21"/>
          <w:lang w:val="es-ES_tradnl"/>
        </w:rPr>
      </w:pPr>
      <w:r w:rsidRPr="001E0B39">
        <w:rPr>
          <w:rFonts w:ascii="Arial" w:hAnsi="Arial" w:cs="Arial"/>
          <w:b/>
          <w:bCs/>
          <w:sz w:val="21"/>
          <w:szCs w:val="21"/>
          <w:lang w:val="es-ES_tradnl"/>
        </w:rPr>
        <w:t xml:space="preserve">Parágrafo 1. </w:t>
      </w:r>
      <w:r w:rsidRPr="001E0B39">
        <w:rPr>
          <w:rFonts w:ascii="Arial" w:hAnsi="Arial" w:cs="Arial"/>
          <w:sz w:val="21"/>
          <w:szCs w:val="21"/>
          <w:lang w:val="es-ES_tradnl"/>
        </w:rPr>
        <w:t>Sin perjuicio de lo anterior, las entidades estatales podrán discrecionalmente aplicar la presente Versión 3</w:t>
      </w:r>
      <w:r w:rsidRPr="001E0B39" w:rsidDel="005A75D7">
        <w:rPr>
          <w:rFonts w:ascii="Arial" w:hAnsi="Arial" w:cs="Arial"/>
          <w:sz w:val="21"/>
          <w:szCs w:val="21"/>
          <w:lang w:val="es-ES_tradnl"/>
        </w:rPr>
        <w:t xml:space="preserve"> de </w:t>
      </w:r>
      <w:r w:rsidRPr="001E0B39">
        <w:rPr>
          <w:rFonts w:ascii="Arial" w:hAnsi="Arial" w:cs="Arial"/>
          <w:sz w:val="21"/>
          <w:szCs w:val="21"/>
          <w:lang w:val="es-ES_tradnl"/>
        </w:rPr>
        <w:t>este documento tipo, a los procesos cuyo aviso de convocatoria se publique después de la fecha de expedición de esta resolución</w:t>
      </w:r>
      <w:r w:rsidRPr="001E0B39" w:rsidDel="00297F7A">
        <w:rPr>
          <w:rFonts w:ascii="Arial" w:hAnsi="Arial" w:cs="Arial"/>
          <w:sz w:val="21"/>
          <w:szCs w:val="21"/>
          <w:lang w:val="es-ES_tradnl"/>
        </w:rPr>
        <w:t>, indicándolo en el aviso de convocatoria</w:t>
      </w:r>
      <w:r w:rsidRPr="001E0B39" w:rsidDel="003745FD">
        <w:rPr>
          <w:rFonts w:ascii="Arial" w:hAnsi="Arial" w:cs="Arial"/>
          <w:sz w:val="21"/>
          <w:szCs w:val="21"/>
          <w:lang w:val="es-ES_tradnl"/>
        </w:rPr>
        <w:t>.</w:t>
      </w:r>
    </w:p>
    <w:p w14:paraId="76F179BD" w14:textId="77777777" w:rsidR="00136F74" w:rsidRPr="001E0B39" w:rsidRDefault="00136F74" w:rsidP="00136F74">
      <w:pPr>
        <w:shd w:val="clear" w:color="auto" w:fill="FFFFFF"/>
        <w:tabs>
          <w:tab w:val="left" w:pos="1134"/>
        </w:tabs>
        <w:spacing w:line="276" w:lineRule="auto"/>
        <w:ind w:left="709" w:right="474"/>
        <w:jc w:val="both"/>
        <w:rPr>
          <w:rFonts w:ascii="Arial" w:hAnsi="Arial" w:cs="Arial"/>
          <w:sz w:val="21"/>
          <w:szCs w:val="21"/>
          <w:lang w:val="es-ES_tradnl"/>
        </w:rPr>
      </w:pPr>
    </w:p>
    <w:p w14:paraId="28D85068" w14:textId="77777777" w:rsidR="00136F74" w:rsidRPr="001E0B39" w:rsidRDefault="00136F74" w:rsidP="00136F74">
      <w:pPr>
        <w:shd w:val="clear" w:color="auto" w:fill="FFFFFF"/>
        <w:tabs>
          <w:tab w:val="left" w:pos="1134"/>
        </w:tabs>
        <w:spacing w:line="276" w:lineRule="auto"/>
        <w:ind w:left="709" w:right="474"/>
        <w:jc w:val="both"/>
        <w:rPr>
          <w:rFonts w:ascii="Arial" w:hAnsi="Arial" w:cs="Arial"/>
          <w:b/>
          <w:sz w:val="21"/>
          <w:szCs w:val="21"/>
          <w:lang w:val="es-ES_tradnl"/>
        </w:rPr>
      </w:pPr>
      <w:r w:rsidRPr="001E0B39">
        <w:rPr>
          <w:rFonts w:ascii="Arial" w:hAnsi="Arial" w:cs="Arial"/>
          <w:sz w:val="21"/>
          <w:szCs w:val="21"/>
          <w:lang w:val="es-ES_tradnl"/>
        </w:rPr>
        <w:t>Los procedimientos de selección iniciados con fundamento en la Versión 2 de los Documentos Tipo se continuarán rigiendo por dicha versión.</w:t>
      </w:r>
    </w:p>
    <w:p w14:paraId="0D916C4B" w14:textId="77777777" w:rsidR="00136F74" w:rsidRPr="001E0B39" w:rsidRDefault="00136F74" w:rsidP="00136F74">
      <w:pPr>
        <w:pStyle w:val="Prrafodelista"/>
        <w:shd w:val="clear" w:color="auto" w:fill="FFFFFF"/>
        <w:tabs>
          <w:tab w:val="left" w:pos="1134"/>
        </w:tabs>
        <w:spacing w:line="276" w:lineRule="auto"/>
        <w:ind w:left="0"/>
        <w:jc w:val="both"/>
        <w:rPr>
          <w:rFonts w:ascii="Arial" w:hAnsi="Arial" w:cs="Arial"/>
          <w:color w:val="0D0D0D" w:themeColor="text1" w:themeTint="F2"/>
          <w:sz w:val="21"/>
          <w:szCs w:val="21"/>
          <w:lang w:val="es-ES_tradnl"/>
        </w:rPr>
      </w:pPr>
    </w:p>
    <w:p w14:paraId="1EF429CD" w14:textId="77777777" w:rsidR="00136F74" w:rsidRPr="001E0B39" w:rsidRDefault="00136F74" w:rsidP="00136F74">
      <w:pPr>
        <w:spacing w:before="120" w:after="120" w:line="276" w:lineRule="auto"/>
        <w:ind w:right="51" w:firstLine="708"/>
        <w:jc w:val="both"/>
        <w:rPr>
          <w:rFonts w:ascii="Arial" w:hAnsi="Arial" w:cs="Arial"/>
          <w:sz w:val="22"/>
          <w:lang w:val="es-ES_tradnl"/>
        </w:rPr>
      </w:pPr>
      <w:r w:rsidRPr="001E0B39">
        <w:rPr>
          <w:rFonts w:ascii="Arial" w:hAnsi="Arial" w:cs="Arial"/>
          <w:sz w:val="22"/>
          <w:lang w:val="es-ES_tradnl"/>
        </w:rPr>
        <w:t xml:space="preserve">Por tanto, la Agencia Nacional de Contratación Pública – Colombia Compra Eficiente, en coordinación con las entidades técnicas y especializadas, decidieron que la implementación de estos documentos empezaría a regir a partir del 1 de enero de 2021, sin perjuicio que las entidades de manera autónoma decidan acoger esta nueva versión a partir de la expedición de la Resolución 240 de 2020. </w:t>
      </w:r>
    </w:p>
    <w:p w14:paraId="7D23DEBE" w14:textId="77777777" w:rsidR="00136F74" w:rsidRPr="008918A2" w:rsidRDefault="00136F74" w:rsidP="00F935BC">
      <w:pPr>
        <w:tabs>
          <w:tab w:val="left" w:pos="0"/>
        </w:tabs>
        <w:spacing w:line="276" w:lineRule="auto"/>
        <w:jc w:val="both"/>
        <w:rPr>
          <w:rFonts w:ascii="Arial" w:hAnsi="Arial" w:cs="Arial"/>
          <w:b/>
          <w:color w:val="000000" w:themeColor="text1"/>
          <w:sz w:val="22"/>
          <w:lang w:val="es-ES_tradnl"/>
        </w:rPr>
      </w:pPr>
    </w:p>
    <w:p w14:paraId="66F5FA27" w14:textId="77777777" w:rsidR="00F935BC" w:rsidRPr="008918A2" w:rsidRDefault="00F935BC" w:rsidP="00F935BC">
      <w:pPr>
        <w:spacing w:line="276" w:lineRule="auto"/>
        <w:jc w:val="both"/>
        <w:rPr>
          <w:rFonts w:ascii="Arial" w:eastAsia="Arial" w:hAnsi="Arial" w:cs="Arial"/>
          <w:b/>
          <w:bCs/>
          <w:color w:val="000000"/>
          <w:sz w:val="22"/>
          <w:lang w:val="es-ES_tradnl"/>
        </w:rPr>
      </w:pPr>
      <w:r w:rsidRPr="008918A2">
        <w:rPr>
          <w:rFonts w:ascii="Arial" w:eastAsia="Arial" w:hAnsi="Arial" w:cs="Arial"/>
          <w:b/>
          <w:bCs/>
          <w:color w:val="000000"/>
          <w:sz w:val="22"/>
          <w:lang w:val="es-ES_tradnl"/>
        </w:rPr>
        <w:t xml:space="preserve">2.2. Alcance de la regla de la inalterabilidad de los </w:t>
      </w:r>
      <w:r>
        <w:rPr>
          <w:rFonts w:ascii="Arial" w:eastAsia="Arial" w:hAnsi="Arial" w:cs="Arial"/>
          <w:b/>
          <w:bCs/>
          <w:color w:val="000000"/>
          <w:sz w:val="22"/>
          <w:lang w:val="es-ES_tradnl"/>
        </w:rPr>
        <w:t>documentos</w:t>
      </w:r>
      <w:r w:rsidRPr="008918A2">
        <w:rPr>
          <w:rFonts w:ascii="Arial" w:eastAsia="Arial" w:hAnsi="Arial" w:cs="Arial"/>
          <w:b/>
          <w:bCs/>
          <w:color w:val="000000"/>
          <w:sz w:val="22"/>
          <w:lang w:val="es-ES_tradnl"/>
        </w:rPr>
        <w:t xml:space="preserve"> tipo </w:t>
      </w:r>
    </w:p>
    <w:p w14:paraId="058AAA39" w14:textId="77777777" w:rsidR="00F935BC" w:rsidRPr="008918A2" w:rsidRDefault="00F935BC" w:rsidP="00F935BC">
      <w:pPr>
        <w:tabs>
          <w:tab w:val="left" w:pos="0"/>
        </w:tabs>
        <w:spacing w:line="276" w:lineRule="auto"/>
        <w:jc w:val="both"/>
        <w:rPr>
          <w:rFonts w:ascii="Arial" w:hAnsi="Arial" w:cs="Arial"/>
          <w:b/>
          <w:color w:val="000000" w:themeColor="text1"/>
          <w:sz w:val="22"/>
          <w:lang w:val="es-ES_tradnl"/>
        </w:rPr>
      </w:pPr>
    </w:p>
    <w:p w14:paraId="33B11071" w14:textId="77777777" w:rsidR="00F935BC" w:rsidRPr="008918A2" w:rsidRDefault="00F935BC" w:rsidP="00F935BC">
      <w:pPr>
        <w:spacing w:line="276" w:lineRule="auto"/>
        <w:jc w:val="both"/>
        <w:rPr>
          <w:rFonts w:ascii="Arial" w:hAnsi="Arial" w:cs="Arial"/>
          <w:sz w:val="22"/>
          <w:shd w:val="clear" w:color="auto" w:fill="FFFFFF"/>
          <w:lang w:val="es-ES_tradnl"/>
        </w:rPr>
      </w:pPr>
      <w:r w:rsidRPr="008918A2">
        <w:rPr>
          <w:rFonts w:ascii="Arial" w:hAnsi="Arial" w:cs="Arial"/>
          <w:sz w:val="22"/>
          <w:shd w:val="clear" w:color="auto" w:fill="FFFFFF"/>
          <w:lang w:val="es-ES_tradnl"/>
        </w:rPr>
        <w:t xml:space="preserve">Todas las resoluciones expedidas por la Agencia Nacional de Contratación Pública – Colombia Compra Eficiente, mediante las cuales se han adoptado los </w:t>
      </w:r>
      <w:r>
        <w:rPr>
          <w:rFonts w:ascii="Arial" w:hAnsi="Arial" w:cs="Arial"/>
          <w:sz w:val="22"/>
          <w:shd w:val="clear" w:color="auto" w:fill="FFFFFF"/>
          <w:lang w:val="es-ES_tradnl"/>
        </w:rPr>
        <w:t>documentos</w:t>
      </w:r>
      <w:r w:rsidRPr="008918A2">
        <w:rPr>
          <w:rFonts w:ascii="Arial" w:hAnsi="Arial" w:cs="Arial"/>
          <w:sz w:val="22"/>
          <w:shd w:val="clear" w:color="auto" w:fill="FFFFFF"/>
          <w:lang w:val="es-ES_tradnl"/>
        </w:rPr>
        <w:t xml:space="preserve"> tipo, consagran la regla de la inalterabilidad</w:t>
      </w:r>
      <w:r w:rsidRPr="008918A2">
        <w:rPr>
          <w:rStyle w:val="Refdenotaalpie"/>
          <w:rFonts w:ascii="Arial" w:hAnsi="Arial" w:cs="Arial"/>
          <w:sz w:val="22"/>
          <w:shd w:val="clear" w:color="auto" w:fill="FFFFFF"/>
          <w:lang w:val="es-ES_tradnl"/>
        </w:rPr>
        <w:footnoteReference w:id="5"/>
      </w:r>
      <w:r w:rsidRPr="008918A2">
        <w:rPr>
          <w:rFonts w:ascii="Arial" w:hAnsi="Arial" w:cs="Arial"/>
          <w:sz w:val="22"/>
          <w:shd w:val="clear" w:color="auto" w:fill="FFFFFF"/>
          <w:lang w:val="es-ES_tradnl"/>
        </w:rPr>
        <w:t xml:space="preserve">. Esta prohibición consiste en que las entidades estatales no pueden incluir o modificar en los </w:t>
      </w:r>
      <w:r w:rsidRPr="008918A2">
        <w:rPr>
          <w:rFonts w:ascii="Arial" w:hAnsi="Arial" w:cs="Arial"/>
          <w:i/>
          <w:iCs/>
          <w:sz w:val="22"/>
          <w:shd w:val="clear" w:color="auto" w:fill="FFFFFF"/>
          <w:lang w:val="es-ES_tradnl"/>
        </w:rPr>
        <w:t>Documentos del Proceso</w:t>
      </w:r>
      <w:r w:rsidRPr="008918A2">
        <w:rPr>
          <w:rFonts w:ascii="Arial" w:hAnsi="Arial" w:cs="Arial"/>
          <w:sz w:val="22"/>
          <w:shd w:val="clear" w:color="auto" w:fill="FFFFFF"/>
          <w:lang w:val="es-ES_tradnl"/>
        </w:rPr>
        <w:t xml:space="preserve"> las condiciones habilitantes, los factores técnicos y económicos de escogencia y los sistemas de ponderación distintos a los señalados en los documentos tipo. En consecuencia, las condiciones establecidas </w:t>
      </w:r>
      <w:r>
        <w:rPr>
          <w:rFonts w:ascii="Arial" w:hAnsi="Arial" w:cs="Arial"/>
          <w:sz w:val="22"/>
          <w:shd w:val="clear" w:color="auto" w:fill="FFFFFF"/>
          <w:lang w:val="es-ES_tradnl"/>
        </w:rPr>
        <w:t>en dichos documentos</w:t>
      </w:r>
      <w:r w:rsidRPr="008918A2">
        <w:rPr>
          <w:rFonts w:ascii="Arial" w:hAnsi="Arial" w:cs="Arial"/>
          <w:sz w:val="22"/>
          <w:shd w:val="clear" w:color="auto" w:fill="FFFFFF"/>
          <w:lang w:val="es-ES_tradnl"/>
        </w:rPr>
        <w:t xml:space="preserve">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AD0A0AF" w14:textId="77777777" w:rsidR="00F935BC" w:rsidRPr="008918A2" w:rsidRDefault="00F935BC" w:rsidP="00F935BC">
      <w:pPr>
        <w:spacing w:before="120" w:line="276" w:lineRule="auto"/>
        <w:ind w:firstLine="709"/>
        <w:jc w:val="both"/>
        <w:rPr>
          <w:rFonts w:ascii="Arial" w:hAnsi="Arial" w:cs="Arial"/>
          <w:sz w:val="22"/>
          <w:shd w:val="clear" w:color="auto" w:fill="FFFFFF"/>
          <w:lang w:val="es-ES_tradnl"/>
        </w:rPr>
      </w:pPr>
      <w:r w:rsidRPr="008918A2">
        <w:rPr>
          <w:rFonts w:ascii="Arial" w:hAnsi="Arial" w:cs="Arial"/>
          <w:sz w:val="22"/>
          <w:shd w:val="clear" w:color="auto" w:fill="FFFFFF"/>
          <w:lang w:val="es-ES_tradnl"/>
        </w:rPr>
        <w:t>El fundamento legal vigente de la regla de la inalterabilidad se encuentra en el artículo 1 de la Ley 2022 de 2020, según el cual «</w:t>
      </w:r>
      <w:r w:rsidRPr="008918A2">
        <w:rPr>
          <w:rFonts w:ascii="Arial" w:hAnsi="Arial" w:cs="Arial"/>
          <w:sz w:val="22"/>
          <w:lang w:val="es-ES_tradnl"/>
        </w:rPr>
        <w:t xml:space="preserve">[…] </w:t>
      </w:r>
      <w:r w:rsidRPr="008918A2">
        <w:rPr>
          <w:rFonts w:ascii="Arial" w:hAnsi="Arial" w:cs="Arial"/>
          <w:sz w:val="22"/>
          <w:shd w:val="clear" w:color="auto" w:fill="FFFFFF"/>
          <w:lang w:val="es-ES_tradnl"/>
        </w:rPr>
        <w:t xml:space="preserve">serán de obligatorio cumplimiento en la actividad contractual de todas las entidades sometidas al Estatuto General de Contratación de la Administración Pública». Pero eso no significa que antes no rigiera, pues así también lo disponía el artículo 4 de la Ley 1882 de 2018. </w:t>
      </w:r>
      <w:r>
        <w:rPr>
          <w:rFonts w:ascii="Arial" w:hAnsi="Arial" w:cs="Arial"/>
          <w:sz w:val="22"/>
          <w:shd w:val="clear" w:color="auto" w:fill="FFFFFF"/>
          <w:lang w:val="es-ES_tradnl"/>
        </w:rPr>
        <w:t>Incluso p</w:t>
      </w:r>
      <w:r w:rsidRPr="008918A2">
        <w:rPr>
          <w:rFonts w:ascii="Arial" w:hAnsi="Arial" w:cs="Arial"/>
          <w:sz w:val="22"/>
          <w:shd w:val="clear" w:color="auto" w:fill="FFFFFF"/>
          <w:lang w:val="es-ES_tradnl"/>
        </w:rPr>
        <w:t xml:space="preserve">or vía reglamentaria también </w:t>
      </w:r>
      <w:r>
        <w:rPr>
          <w:rFonts w:ascii="Arial" w:hAnsi="Arial" w:cs="Arial"/>
          <w:sz w:val="22"/>
          <w:shd w:val="clear" w:color="auto" w:fill="FFFFFF"/>
          <w:lang w:val="es-ES_tradnl"/>
        </w:rPr>
        <w:t>se dispuso</w:t>
      </w:r>
      <w:r w:rsidRPr="008918A2">
        <w:rPr>
          <w:rFonts w:ascii="Arial" w:hAnsi="Arial" w:cs="Arial"/>
          <w:sz w:val="22"/>
          <w:shd w:val="clear" w:color="auto" w:fill="FFFFFF"/>
          <w:lang w:val="es-ES_tradnl"/>
        </w:rPr>
        <w:t xml:space="preserve"> el carácter inmodificable de los pliegos tipo en el artículo 1 de los Decretos 342 de 2019 y 594 de 2020, que adicionaron, respectivamente, los artículos 2.2.1.2.6.1.4. y 2.2.1.2.6.3.4 al Decreto 1082 de 2015.</w:t>
      </w:r>
    </w:p>
    <w:p w14:paraId="20B1270D" w14:textId="77777777" w:rsidR="00F935BC" w:rsidRDefault="00F935BC" w:rsidP="00F935BC">
      <w:pPr>
        <w:spacing w:before="120" w:line="276" w:lineRule="auto"/>
        <w:ind w:firstLine="709"/>
        <w:jc w:val="both"/>
        <w:rPr>
          <w:rFonts w:ascii="Arial" w:hAnsi="Arial" w:cs="Arial"/>
          <w:sz w:val="22"/>
          <w:shd w:val="clear" w:color="auto" w:fill="FFFFFF"/>
          <w:lang w:val="es-ES_tradnl"/>
        </w:rPr>
      </w:pPr>
      <w:r w:rsidRPr="008918A2">
        <w:rPr>
          <w:rFonts w:ascii="Arial" w:hAnsi="Arial" w:cs="Arial"/>
          <w:sz w:val="22"/>
          <w:shd w:val="clear" w:color="auto" w:fill="FFFFFF"/>
          <w:lang w:val="es-ES_tradnl"/>
        </w:rPr>
        <w:t>En este orden de ideas, no cabe duda de que está vigente la regla de la inalterabilidad de los documentos tipo. Lo anterior por cuanto las diferentes disposiciones normativas que se han expedido ratifica</w:t>
      </w:r>
      <w:r>
        <w:rPr>
          <w:rFonts w:ascii="Arial" w:hAnsi="Arial" w:cs="Arial"/>
          <w:sz w:val="22"/>
          <w:shd w:val="clear" w:color="auto" w:fill="FFFFFF"/>
          <w:lang w:val="es-ES_tradnl"/>
        </w:rPr>
        <w:t>n</w:t>
      </w:r>
      <w:r w:rsidRPr="008918A2">
        <w:rPr>
          <w:rFonts w:ascii="Arial" w:hAnsi="Arial" w:cs="Arial"/>
          <w:sz w:val="22"/>
          <w:shd w:val="clear" w:color="auto" w:fill="FFFFFF"/>
          <w:lang w:val="es-ES_tradnl"/>
        </w:rPr>
        <w:t xml:space="preserve"> </w:t>
      </w:r>
      <w:r>
        <w:rPr>
          <w:rFonts w:ascii="Arial" w:hAnsi="Arial" w:cs="Arial"/>
          <w:sz w:val="22"/>
          <w:shd w:val="clear" w:color="auto" w:fill="FFFFFF"/>
          <w:lang w:val="es-ES_tradnl"/>
        </w:rPr>
        <w:t>esta</w:t>
      </w:r>
      <w:r w:rsidRPr="008918A2">
        <w:rPr>
          <w:rFonts w:ascii="Arial" w:hAnsi="Arial" w:cs="Arial"/>
          <w:sz w:val="22"/>
          <w:shd w:val="clear" w:color="auto" w:fill="FFFFFF"/>
          <w:lang w:val="es-ES_tradnl"/>
        </w:rPr>
        <w:t xml:space="preserve"> regla, como ha sucedido con el artículo 1 de la Ley 2022 de 2020 y con las resoluciones </w:t>
      </w:r>
      <w:r>
        <w:rPr>
          <w:rFonts w:ascii="Arial" w:hAnsi="Arial" w:cs="Arial"/>
          <w:sz w:val="22"/>
          <w:shd w:val="clear" w:color="auto" w:fill="FFFFFF"/>
          <w:lang w:val="es-ES_tradnl"/>
        </w:rPr>
        <w:t>expedidas por</w:t>
      </w:r>
      <w:r w:rsidRPr="008918A2">
        <w:rPr>
          <w:rFonts w:ascii="Arial" w:hAnsi="Arial" w:cs="Arial"/>
          <w:sz w:val="22"/>
          <w:shd w:val="clear" w:color="auto" w:fill="FFFFFF"/>
          <w:lang w:val="es-ES_tradnl"/>
        </w:rPr>
        <w:t xml:space="preserve"> la Agencia Nacional de Contratación Pública – Colombia Compra Eficiente.</w:t>
      </w:r>
    </w:p>
    <w:p w14:paraId="76ADD024" w14:textId="0516EE9E" w:rsidR="005A6F36" w:rsidRDefault="005A6F36" w:rsidP="00E045BE">
      <w:pPr>
        <w:spacing w:line="276" w:lineRule="auto"/>
        <w:ind w:right="51"/>
        <w:jc w:val="both"/>
        <w:rPr>
          <w:rFonts w:ascii="Arial" w:hAnsi="Arial" w:cs="Arial"/>
          <w:sz w:val="22"/>
          <w:lang w:val="es-ES_tradnl"/>
        </w:rPr>
      </w:pPr>
    </w:p>
    <w:p w14:paraId="4417791E" w14:textId="56A9094D" w:rsidR="00AA5AF7" w:rsidRDefault="00AA5AF7" w:rsidP="006C2966">
      <w:pPr>
        <w:pStyle w:val="NormalWeb"/>
        <w:spacing w:before="0" w:beforeAutospacing="0" w:after="0" w:afterAutospacing="0" w:line="276" w:lineRule="auto"/>
        <w:ind w:right="51"/>
        <w:jc w:val="both"/>
        <w:rPr>
          <w:rFonts w:ascii="Arial" w:hAnsi="Arial" w:cs="Arial"/>
          <w:b/>
          <w:bCs/>
          <w:sz w:val="22"/>
          <w:lang w:val="es-ES_tradnl"/>
        </w:rPr>
      </w:pPr>
      <w:r w:rsidRPr="001E0B39">
        <w:rPr>
          <w:rFonts w:ascii="Arial" w:hAnsi="Arial" w:cs="Arial"/>
          <w:b/>
          <w:bCs/>
          <w:sz w:val="22"/>
          <w:lang w:val="es-ES_tradnl"/>
        </w:rPr>
        <w:t>2.</w:t>
      </w:r>
      <w:r w:rsidR="00E045BE">
        <w:rPr>
          <w:rFonts w:ascii="Arial" w:hAnsi="Arial" w:cs="Arial"/>
          <w:b/>
          <w:bCs/>
          <w:sz w:val="22"/>
          <w:lang w:val="es-ES_tradnl"/>
        </w:rPr>
        <w:t>3</w:t>
      </w:r>
      <w:r w:rsidRPr="001E0B39">
        <w:rPr>
          <w:rFonts w:ascii="Arial" w:hAnsi="Arial" w:cs="Arial"/>
          <w:b/>
          <w:bCs/>
          <w:sz w:val="22"/>
          <w:lang w:val="es-ES_tradnl"/>
        </w:rPr>
        <w:t xml:space="preserve">. </w:t>
      </w:r>
      <w:r w:rsidRPr="001E0B39">
        <w:rPr>
          <w:rFonts w:ascii="Arial" w:eastAsiaTheme="minorHAnsi" w:hAnsi="Arial" w:cs="Arial"/>
          <w:b/>
          <w:bCs/>
          <w:sz w:val="22"/>
          <w:szCs w:val="22"/>
          <w:lang w:val="es-ES_tradnl" w:eastAsia="en-US"/>
        </w:rPr>
        <w:t xml:space="preserve">Acreditación de experiencia por parte de proponentes plurales </w:t>
      </w:r>
      <w:r w:rsidRPr="001E0B39">
        <w:rPr>
          <w:rFonts w:ascii="Arial" w:hAnsi="Arial" w:cs="Arial"/>
          <w:b/>
          <w:bCs/>
          <w:sz w:val="22"/>
          <w:lang w:val="es-ES_tradnl"/>
        </w:rPr>
        <w:t>– Numeral 3.5.3</w:t>
      </w:r>
      <w:r w:rsidR="00550C99" w:rsidRPr="001E0B39">
        <w:rPr>
          <w:rFonts w:ascii="Arial" w:hAnsi="Arial" w:cs="Arial"/>
          <w:b/>
          <w:bCs/>
          <w:sz w:val="22"/>
          <w:lang w:val="es-ES_tradnl"/>
        </w:rPr>
        <w:t xml:space="preserve"> </w:t>
      </w:r>
      <w:r w:rsidRPr="001E0B39">
        <w:rPr>
          <w:rFonts w:ascii="Arial" w:hAnsi="Arial" w:cs="Arial"/>
          <w:b/>
          <w:bCs/>
          <w:sz w:val="22"/>
          <w:lang w:val="es-ES_tradnl"/>
        </w:rPr>
        <w:t>literal D.</w:t>
      </w:r>
    </w:p>
    <w:p w14:paraId="2DD6A2BE" w14:textId="77777777" w:rsidR="007B2408" w:rsidRPr="001E0B39" w:rsidRDefault="007B2408" w:rsidP="006C2966">
      <w:pPr>
        <w:pStyle w:val="NormalWeb"/>
        <w:spacing w:before="0" w:beforeAutospacing="0" w:after="0" w:afterAutospacing="0" w:line="276" w:lineRule="auto"/>
        <w:ind w:right="51"/>
        <w:jc w:val="both"/>
        <w:rPr>
          <w:rFonts w:ascii="Arial" w:eastAsiaTheme="minorHAnsi" w:hAnsi="Arial" w:cs="Arial"/>
          <w:b/>
          <w:bCs/>
          <w:sz w:val="22"/>
          <w:szCs w:val="22"/>
          <w:lang w:val="es-ES_tradnl" w:eastAsia="en-US"/>
        </w:rPr>
      </w:pPr>
    </w:p>
    <w:p w14:paraId="7D46270F" w14:textId="13D5B4FA" w:rsidR="00550C99" w:rsidRPr="001E0B39" w:rsidRDefault="00550C99" w:rsidP="006C2966">
      <w:pPr>
        <w:pStyle w:val="NormalWeb"/>
        <w:spacing w:before="0" w:beforeAutospacing="0" w:after="120" w:afterAutospacing="0" w:line="276" w:lineRule="auto"/>
        <w:ind w:right="51"/>
        <w:jc w:val="both"/>
        <w:rPr>
          <w:rFonts w:ascii="Arial" w:eastAsiaTheme="minorHAnsi" w:hAnsi="Arial" w:cs="Arial"/>
          <w:sz w:val="22"/>
          <w:szCs w:val="22"/>
          <w:lang w:val="es-ES_tradnl" w:eastAsia="en-US"/>
        </w:rPr>
      </w:pPr>
      <w:r w:rsidRPr="001E0B39">
        <w:rPr>
          <w:rFonts w:ascii="Arial" w:eastAsiaTheme="minorHAnsi" w:hAnsi="Arial" w:cs="Arial"/>
          <w:sz w:val="22"/>
          <w:szCs w:val="22"/>
          <w:lang w:val="es-ES_tradnl" w:eastAsia="en-US"/>
        </w:rPr>
        <w:t xml:space="preserve">Uno de los ajustes relevantes realizados a los documentos tipo de licitación de obra pública de infraestructura de transporte – versión 3 es la forma en cómo se acredita la experiencia por parte de los proponentes plurales. Es así, como en el numeral «3.5.3 Consideraciones para la validez de la experiencia requerida», literal D, se establece la regla que todos los integrantes del proponente plural deben acreditar experiencia para la ejecución del proyecto, y solo uno de ellos podría no acreditarla, siempre y cuando su participación no </w:t>
      </w:r>
      <w:r w:rsidRPr="001E0B39">
        <w:rPr>
          <w:rFonts w:ascii="Arial" w:eastAsiaTheme="minorHAnsi" w:hAnsi="Arial" w:cs="Arial"/>
          <w:sz w:val="22"/>
          <w:szCs w:val="22"/>
          <w:lang w:val="es-ES_tradnl" w:eastAsia="en-US"/>
        </w:rPr>
        <w:lastRenderedPageBreak/>
        <w:t xml:space="preserve">supere el cinco por ciento (5%) de participación en la estructura plural. En efecto, en ese numeral se estableció: </w:t>
      </w:r>
    </w:p>
    <w:p w14:paraId="07556004" w14:textId="77777777" w:rsidR="00550C99" w:rsidRPr="001E0B39" w:rsidRDefault="00550C99" w:rsidP="006C2966">
      <w:pPr>
        <w:pStyle w:val="NormalWeb"/>
        <w:spacing w:before="0" w:beforeAutospacing="0" w:after="0" w:afterAutospacing="0" w:line="276" w:lineRule="auto"/>
        <w:ind w:right="51"/>
        <w:jc w:val="both"/>
        <w:rPr>
          <w:rFonts w:ascii="Arial" w:eastAsiaTheme="minorHAnsi" w:hAnsi="Arial" w:cs="Arial"/>
          <w:sz w:val="22"/>
          <w:szCs w:val="22"/>
          <w:lang w:val="es-ES_tradnl" w:eastAsia="en-US"/>
        </w:rPr>
      </w:pPr>
    </w:p>
    <w:p w14:paraId="71512CC7" w14:textId="77777777" w:rsidR="00550C99" w:rsidRPr="001E0B39" w:rsidRDefault="00550C99" w:rsidP="006C2966">
      <w:pPr>
        <w:pStyle w:val="Prrafodelista"/>
        <w:numPr>
          <w:ilvl w:val="0"/>
          <w:numId w:val="11"/>
        </w:numPr>
        <w:tabs>
          <w:tab w:val="left" w:pos="993"/>
        </w:tabs>
        <w:spacing w:line="276" w:lineRule="auto"/>
        <w:ind w:right="758" w:hanging="11"/>
        <w:contextualSpacing w:val="0"/>
        <w:jc w:val="both"/>
        <w:rPr>
          <w:rFonts w:ascii="Arial" w:hAnsi="Arial" w:cs="Arial"/>
          <w:sz w:val="20"/>
          <w:szCs w:val="20"/>
          <w:lang w:val="es-ES_tradnl"/>
        </w:rPr>
      </w:pPr>
      <w:r w:rsidRPr="001E0B39">
        <w:rPr>
          <w:rFonts w:ascii="Arial" w:hAnsi="Arial" w:cs="Arial"/>
          <w:sz w:val="20"/>
          <w:szCs w:val="20"/>
          <w:lang w:val="es-ES_tradnl"/>
        </w:rPr>
        <w:t xml:space="preserve">Tratándose de proponentes plurales se tendrá en cuenta lo siguiente: i) uno de los integrantes debe aportar como mínimo el cincuenta por ciento (50%) de la experiencia exigida; ii) los demás integrantes deben acreditar al menos el cinco por ciento (5%) de la experiencia requerida; y iii) sin perjuicio de lo anterior, solo uno de los integrantes, si así lo considera pertinente, podrá no acreditar experiencia. En este último caso, el porcentaje de participación del integrante que no aporta experiencia en la estructura plural no podrá superar el cinco por ciento (5%).  </w:t>
      </w:r>
    </w:p>
    <w:p w14:paraId="522FB864" w14:textId="77777777" w:rsidR="00550C99" w:rsidRPr="001E0B39" w:rsidRDefault="00550C99" w:rsidP="006C2966">
      <w:pPr>
        <w:pStyle w:val="NormalWeb"/>
        <w:spacing w:before="0" w:beforeAutospacing="0" w:after="0" w:afterAutospacing="0" w:line="276" w:lineRule="auto"/>
        <w:ind w:right="51"/>
        <w:jc w:val="both"/>
        <w:rPr>
          <w:rFonts w:ascii="Arial" w:eastAsiaTheme="minorHAnsi" w:hAnsi="Arial" w:cs="Arial"/>
          <w:sz w:val="22"/>
          <w:szCs w:val="22"/>
          <w:lang w:val="es-ES_tradnl" w:eastAsia="en-US"/>
        </w:rPr>
      </w:pPr>
    </w:p>
    <w:p w14:paraId="0BC1B5F7" w14:textId="77777777" w:rsidR="00550C99" w:rsidRPr="001E0B39" w:rsidRDefault="00550C99" w:rsidP="006C2966">
      <w:pPr>
        <w:pStyle w:val="NormalWeb"/>
        <w:spacing w:before="120" w:beforeAutospacing="0" w:after="120" w:afterAutospacing="0" w:line="276" w:lineRule="auto"/>
        <w:ind w:right="51"/>
        <w:jc w:val="both"/>
        <w:rPr>
          <w:rFonts w:ascii="Arial" w:eastAsiaTheme="minorHAnsi" w:hAnsi="Arial" w:cs="Arial"/>
          <w:sz w:val="22"/>
          <w:szCs w:val="22"/>
          <w:lang w:val="es-ES_tradnl" w:eastAsia="en-US"/>
        </w:rPr>
      </w:pPr>
      <w:r w:rsidRPr="001E0B39">
        <w:rPr>
          <w:rFonts w:ascii="Arial" w:eastAsiaTheme="minorHAnsi" w:hAnsi="Arial" w:cs="Arial"/>
          <w:sz w:val="22"/>
          <w:szCs w:val="22"/>
          <w:lang w:val="es-ES_tradnl" w:eastAsia="en-US"/>
        </w:rPr>
        <w:t xml:space="preserve">Del aparte transcrito se infiere lo siguiente: i) uno de los integrantes debe acreditar mínimo el cincuenta por ciento (50%) de la experiencia exigida, ii) los demás integrantes deben acreditar al menos el cinco por ciento (5%) y, iii) sin perjuicio de la exigencia anterior, solo uno de los integrantes, si así lo considera pertinente, podrá no aportar experiencia. Esto quiere decir que, a partir de la adopción de los documentos tipo de licitación de obra pública de infraestructura de transporte – versión 3, en principio se exige que todos los integrantes acrediten experiencia, y solo de manera excepcional se permite que uno de los integrantes no aporte ninguna experiencia. </w:t>
      </w:r>
    </w:p>
    <w:p w14:paraId="216E6BD8" w14:textId="77777777" w:rsidR="00550C99" w:rsidRPr="001E0B39" w:rsidRDefault="00550C99" w:rsidP="006C2966">
      <w:pPr>
        <w:pStyle w:val="NormalWeb"/>
        <w:spacing w:before="120" w:beforeAutospacing="0" w:after="120" w:afterAutospacing="0" w:line="276" w:lineRule="auto"/>
        <w:ind w:right="51"/>
        <w:jc w:val="both"/>
        <w:rPr>
          <w:rFonts w:ascii="Arial" w:eastAsiaTheme="minorHAnsi" w:hAnsi="Arial" w:cs="Arial"/>
          <w:sz w:val="22"/>
          <w:szCs w:val="22"/>
          <w:lang w:val="es-ES_tradnl" w:eastAsia="en-US"/>
        </w:rPr>
      </w:pPr>
      <w:r w:rsidRPr="001E0B39">
        <w:rPr>
          <w:rFonts w:ascii="Arial" w:eastAsiaTheme="minorHAnsi" w:hAnsi="Arial" w:cs="Arial"/>
          <w:sz w:val="22"/>
          <w:szCs w:val="22"/>
          <w:lang w:val="es-ES_tradnl" w:eastAsia="en-US"/>
        </w:rPr>
        <w:tab/>
        <w:t xml:space="preserve">Lo anterior suscita el siguiente interrogante: ¿por qué en principio todos los integrantes deben concurrir a acreditar la experiencia requerida y por qué excepcionalmente permitir que no aporten experiencia? Sin duda, este es un ajuste a los documentos dirigido a garantizar la idoneidad de los contratistas del Estado y particularmente de los integrantes de la estructura plural que ejecutan el proyecto. Además, la Agencia tuvo en cuenta que no todas las personas naturales o jurídicas tienen experiencia, por ello, optó por permitir que excepcionalmente uno de los integrantes no tuviera que acreditarla, de manera que pueda adquirir dicha experiencia como integrante de un proponente plural. </w:t>
      </w:r>
    </w:p>
    <w:p w14:paraId="78759695" w14:textId="02272AFD" w:rsidR="006C2966" w:rsidRPr="007B2408" w:rsidRDefault="00550C99" w:rsidP="007B2408">
      <w:pPr>
        <w:pStyle w:val="NormalWeb"/>
        <w:spacing w:before="120" w:beforeAutospacing="0" w:after="120" w:afterAutospacing="0" w:line="276" w:lineRule="auto"/>
        <w:ind w:right="51" w:firstLine="708"/>
        <w:jc w:val="both"/>
        <w:rPr>
          <w:rFonts w:ascii="Arial" w:eastAsiaTheme="minorHAnsi" w:hAnsi="Arial" w:cs="Arial"/>
          <w:sz w:val="22"/>
          <w:szCs w:val="22"/>
          <w:lang w:val="es-ES_tradnl" w:eastAsia="en-US"/>
        </w:rPr>
      </w:pPr>
      <w:r w:rsidRPr="001E0B39">
        <w:rPr>
          <w:rFonts w:ascii="Arial" w:eastAsiaTheme="minorHAnsi" w:hAnsi="Arial" w:cs="Arial"/>
          <w:sz w:val="22"/>
          <w:szCs w:val="22"/>
          <w:lang w:val="es-ES_tradnl" w:eastAsia="en-US"/>
        </w:rPr>
        <w:t xml:space="preserve">En este sentido, la medida adoptada por la Agencia tiene dos propósitos: i) garantizar la idoneidad de todos los integrantes de los proponentes plurales para la ejecución del proyecto y ii) permitir que al menos uno de los integrantes que no tiene experiencia participe en el proceso de contratación, y de este modo, permitirle adquirir experiencia con el Estado al ser integrante del proponente plural. </w:t>
      </w:r>
    </w:p>
    <w:p w14:paraId="2980998C" w14:textId="60535876" w:rsidR="000920F0" w:rsidRPr="001E0B39" w:rsidRDefault="000920F0" w:rsidP="006C2966">
      <w:pPr>
        <w:pStyle w:val="paragraph"/>
        <w:spacing w:before="0" w:beforeAutospacing="0" w:after="0" w:afterAutospacing="0" w:line="276" w:lineRule="auto"/>
        <w:jc w:val="both"/>
        <w:textAlignment w:val="baseline"/>
        <w:rPr>
          <w:rFonts w:ascii="Arial" w:hAnsi="Arial" w:cs="Arial"/>
          <w:sz w:val="22"/>
          <w:lang w:val="es-ES_tradnl"/>
        </w:rPr>
      </w:pPr>
      <w:r w:rsidRPr="001E0B39">
        <w:rPr>
          <w:rFonts w:ascii="Arial" w:hAnsi="Arial" w:cs="Arial"/>
          <w:b/>
          <w:sz w:val="22"/>
          <w:lang w:val="es-ES_tradnl"/>
        </w:rPr>
        <w:t>3.</w:t>
      </w:r>
      <w:r w:rsidR="0049042F" w:rsidRPr="001E0B39">
        <w:rPr>
          <w:rFonts w:ascii="Arial" w:hAnsi="Arial" w:cs="Arial"/>
          <w:b/>
          <w:sz w:val="22"/>
          <w:lang w:val="es-ES_tradnl"/>
        </w:rPr>
        <w:t xml:space="preserve"> </w:t>
      </w:r>
      <w:r w:rsidRPr="001E0B39">
        <w:rPr>
          <w:rFonts w:ascii="Arial" w:hAnsi="Arial" w:cs="Arial"/>
          <w:b/>
          <w:sz w:val="22"/>
          <w:lang w:val="es-ES_tradnl"/>
        </w:rPr>
        <w:t>Respuesta</w:t>
      </w:r>
      <w:r w:rsidR="00990B70" w:rsidRPr="001E0B39">
        <w:rPr>
          <w:rFonts w:ascii="Arial" w:hAnsi="Arial" w:cs="Arial"/>
          <w:b/>
          <w:sz w:val="22"/>
          <w:lang w:val="es-ES_tradnl"/>
        </w:rPr>
        <w:t>s</w:t>
      </w:r>
    </w:p>
    <w:p w14:paraId="458F619B" w14:textId="77777777" w:rsidR="000920F0" w:rsidRPr="001E0B39" w:rsidRDefault="000920F0" w:rsidP="006C2966">
      <w:pPr>
        <w:spacing w:line="276" w:lineRule="auto"/>
        <w:ind w:left="709" w:right="709"/>
        <w:jc w:val="both"/>
        <w:rPr>
          <w:rFonts w:ascii="Arial" w:hAnsi="Arial" w:cs="Arial"/>
          <w:i/>
          <w:sz w:val="22"/>
          <w:lang w:val="es-ES_tradnl"/>
        </w:rPr>
      </w:pPr>
    </w:p>
    <w:p w14:paraId="2964CDB7" w14:textId="36F8DFDF" w:rsidR="00DD002F" w:rsidRDefault="00550C99" w:rsidP="00E82BE2">
      <w:pPr>
        <w:ind w:left="709" w:right="709"/>
        <w:jc w:val="both"/>
        <w:rPr>
          <w:rFonts w:ascii="Arial" w:hAnsi="Arial" w:cs="Arial"/>
          <w:sz w:val="21"/>
          <w:szCs w:val="21"/>
          <w:lang w:val="es-ES_tradnl"/>
        </w:rPr>
      </w:pPr>
      <w:r w:rsidRPr="001E0B39">
        <w:rPr>
          <w:rFonts w:ascii="Arial" w:hAnsi="Arial" w:cs="Arial"/>
          <w:sz w:val="21"/>
          <w:szCs w:val="21"/>
          <w:lang w:val="es-ES_tradnl"/>
        </w:rPr>
        <w:t>«</w:t>
      </w:r>
      <w:r w:rsidR="00880C42" w:rsidRPr="00880C42">
        <w:rPr>
          <w:rFonts w:ascii="Arial" w:hAnsi="Arial" w:cs="Arial"/>
          <w:sz w:val="21"/>
          <w:szCs w:val="21"/>
          <w:lang w:val="es-ES_tradnl"/>
        </w:rPr>
        <w:t xml:space="preserve">1. En el hipotético caso de presentar oferta en consorcio o unión temporal conformada por dos integrantes, ¿ambos deben acreditar experiencia?  Igualmente, si el consorcio o unión temporal conformada por dos integrantes, ¿no aplica la excepción de que uno de los integrantes no presente experiencia </w:t>
      </w:r>
      <w:r w:rsidR="00880C42" w:rsidRPr="00880C42">
        <w:rPr>
          <w:rFonts w:ascii="Arial" w:hAnsi="Arial" w:cs="Arial"/>
          <w:sz w:val="21"/>
          <w:szCs w:val="21"/>
          <w:lang w:val="es-ES_tradnl"/>
        </w:rPr>
        <w:lastRenderedPageBreak/>
        <w:t>cumpliendo la condición de no superar el cinco por ciento (5%) de participación? 3. El literal D, ¿aplica únicamente a consorcios o uniones temporales conformadas por tres integrantes?</w:t>
      </w:r>
      <w:r w:rsidRPr="001E0B39">
        <w:rPr>
          <w:rFonts w:ascii="Arial" w:hAnsi="Arial" w:cs="Arial"/>
          <w:sz w:val="21"/>
          <w:szCs w:val="21"/>
          <w:lang w:val="es-ES_tradnl"/>
        </w:rPr>
        <w:t xml:space="preserve">». </w:t>
      </w:r>
    </w:p>
    <w:p w14:paraId="43B89C99" w14:textId="77777777" w:rsidR="002F6312" w:rsidRPr="001E0B39" w:rsidRDefault="002F6312" w:rsidP="006C2966">
      <w:pPr>
        <w:spacing w:line="276" w:lineRule="auto"/>
        <w:jc w:val="both"/>
        <w:rPr>
          <w:rFonts w:ascii="Arial" w:hAnsi="Arial" w:cs="Arial"/>
          <w:sz w:val="22"/>
          <w:lang w:val="es-ES_tradnl"/>
        </w:rPr>
      </w:pPr>
    </w:p>
    <w:p w14:paraId="6BA84DD4" w14:textId="4B3D23E3" w:rsidR="007B2408" w:rsidRPr="008918A2" w:rsidRDefault="009F3E39" w:rsidP="007B2408">
      <w:pPr>
        <w:spacing w:line="276" w:lineRule="auto"/>
        <w:jc w:val="both"/>
        <w:rPr>
          <w:rFonts w:ascii="Arial" w:hAnsi="Arial" w:cs="Arial"/>
          <w:sz w:val="22"/>
          <w:shd w:val="clear" w:color="auto" w:fill="FFFFFF"/>
          <w:lang w:val="es-ES_tradnl"/>
        </w:rPr>
      </w:pPr>
      <w:r>
        <w:rPr>
          <w:rFonts w:ascii="Arial" w:hAnsi="Arial" w:cs="Arial"/>
          <w:sz w:val="22"/>
          <w:shd w:val="clear" w:color="auto" w:fill="FFFFFF"/>
          <w:lang w:val="es-ES_tradnl"/>
        </w:rPr>
        <w:t>Se reitera que t</w:t>
      </w:r>
      <w:r w:rsidR="007B2408" w:rsidRPr="008918A2">
        <w:rPr>
          <w:rFonts w:ascii="Arial" w:hAnsi="Arial" w:cs="Arial"/>
          <w:sz w:val="22"/>
          <w:shd w:val="clear" w:color="auto" w:fill="FFFFFF"/>
          <w:lang w:val="es-ES_tradnl"/>
        </w:rPr>
        <w:t xml:space="preserve">odas las resoluciones expedidas por la Agencia Nacional de Contratación Pública – Colombia Compra Eficiente, mediante las cuales se han adoptado los </w:t>
      </w:r>
      <w:r w:rsidR="007B2408">
        <w:rPr>
          <w:rFonts w:ascii="Arial" w:hAnsi="Arial" w:cs="Arial"/>
          <w:sz w:val="22"/>
          <w:shd w:val="clear" w:color="auto" w:fill="FFFFFF"/>
          <w:lang w:val="es-ES_tradnl"/>
        </w:rPr>
        <w:t>documentos</w:t>
      </w:r>
      <w:r w:rsidR="007B2408" w:rsidRPr="008918A2">
        <w:rPr>
          <w:rFonts w:ascii="Arial" w:hAnsi="Arial" w:cs="Arial"/>
          <w:sz w:val="22"/>
          <w:shd w:val="clear" w:color="auto" w:fill="FFFFFF"/>
          <w:lang w:val="es-ES_tradnl"/>
        </w:rPr>
        <w:t xml:space="preserve"> tipo, consagran la regla de la inalterabilidad</w:t>
      </w:r>
      <w:r w:rsidR="007B2408" w:rsidRPr="008918A2">
        <w:rPr>
          <w:rStyle w:val="Refdenotaalpie"/>
          <w:rFonts w:ascii="Arial" w:hAnsi="Arial" w:cs="Arial"/>
          <w:sz w:val="22"/>
          <w:shd w:val="clear" w:color="auto" w:fill="FFFFFF"/>
          <w:lang w:val="es-ES_tradnl"/>
        </w:rPr>
        <w:footnoteReference w:id="6"/>
      </w:r>
      <w:r w:rsidR="007B2408" w:rsidRPr="008918A2">
        <w:rPr>
          <w:rFonts w:ascii="Arial" w:hAnsi="Arial" w:cs="Arial"/>
          <w:sz w:val="22"/>
          <w:shd w:val="clear" w:color="auto" w:fill="FFFFFF"/>
          <w:lang w:val="es-ES_tradnl"/>
        </w:rPr>
        <w:t xml:space="preserve">. Esta prohibición consiste en que las entidades estatales no pueden incluir o modificar en los </w:t>
      </w:r>
      <w:r w:rsidR="007B2408" w:rsidRPr="008918A2">
        <w:rPr>
          <w:rFonts w:ascii="Arial" w:hAnsi="Arial" w:cs="Arial"/>
          <w:i/>
          <w:iCs/>
          <w:sz w:val="22"/>
          <w:shd w:val="clear" w:color="auto" w:fill="FFFFFF"/>
          <w:lang w:val="es-ES_tradnl"/>
        </w:rPr>
        <w:t>Documentos del Proceso</w:t>
      </w:r>
      <w:r w:rsidR="007B2408" w:rsidRPr="008918A2">
        <w:rPr>
          <w:rFonts w:ascii="Arial" w:hAnsi="Arial" w:cs="Arial"/>
          <w:sz w:val="22"/>
          <w:shd w:val="clear" w:color="auto" w:fill="FFFFFF"/>
          <w:lang w:val="es-ES_tradnl"/>
        </w:rPr>
        <w:t xml:space="preserve"> las condiciones habilitantes, los factores técnicos y económicos de escogencia y los sistemas de ponderación distintos a los señalados en los documentos tipo. En consecuencia, las condiciones establecidas </w:t>
      </w:r>
      <w:r w:rsidR="007B2408">
        <w:rPr>
          <w:rFonts w:ascii="Arial" w:hAnsi="Arial" w:cs="Arial"/>
          <w:sz w:val="22"/>
          <w:shd w:val="clear" w:color="auto" w:fill="FFFFFF"/>
          <w:lang w:val="es-ES_tradnl"/>
        </w:rPr>
        <w:t>en dichos documentos</w:t>
      </w:r>
      <w:r w:rsidR="007B2408" w:rsidRPr="008918A2">
        <w:rPr>
          <w:rFonts w:ascii="Arial" w:hAnsi="Arial" w:cs="Arial"/>
          <w:sz w:val="22"/>
          <w:shd w:val="clear" w:color="auto" w:fill="FFFFFF"/>
          <w:lang w:val="es-ES_tradnl"/>
        </w:rPr>
        <w:t xml:space="preserve">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B0DCE3D" w14:textId="6CE9270A" w:rsidR="00807B1B" w:rsidRDefault="00807B1B" w:rsidP="007B2408">
      <w:pPr>
        <w:ind w:right="709"/>
        <w:jc w:val="both"/>
        <w:rPr>
          <w:rFonts w:ascii="Arial" w:hAnsi="Arial" w:cs="Arial"/>
          <w:sz w:val="21"/>
          <w:szCs w:val="21"/>
          <w:lang w:val="es-ES_tradnl"/>
        </w:rPr>
      </w:pPr>
    </w:p>
    <w:p w14:paraId="1B0930E6" w14:textId="2D6B06ED" w:rsidR="009F3E39" w:rsidRPr="00136F74" w:rsidRDefault="007B2408" w:rsidP="00136F74">
      <w:pPr>
        <w:pStyle w:val="NormalWeb"/>
        <w:spacing w:before="120" w:after="120" w:line="276" w:lineRule="auto"/>
        <w:ind w:right="51" w:firstLine="708"/>
        <w:jc w:val="both"/>
        <w:rPr>
          <w:rFonts w:ascii="Arial" w:hAnsi="Arial" w:cs="Arial"/>
          <w:sz w:val="22"/>
          <w:szCs w:val="22"/>
          <w:lang w:val="es-ES"/>
        </w:rPr>
      </w:pPr>
      <w:r>
        <w:rPr>
          <w:rFonts w:ascii="Arial" w:hAnsi="Arial" w:cs="Arial"/>
          <w:sz w:val="21"/>
          <w:szCs w:val="21"/>
          <w:lang w:val="es-ES_tradnl"/>
        </w:rPr>
        <w:t xml:space="preserve">De acuerdo con lo expuesto hasta aquí, </w:t>
      </w:r>
      <w:r>
        <w:rPr>
          <w:rFonts w:ascii="Arial" w:eastAsiaTheme="minorHAnsi" w:hAnsi="Arial" w:cs="Arial"/>
          <w:sz w:val="22"/>
          <w:szCs w:val="22"/>
          <w:lang w:val="es-ES_tradnl" w:eastAsia="en-US"/>
        </w:rPr>
        <w:t>en virtud de lo dispuesto por el</w:t>
      </w:r>
      <w:r w:rsidRPr="001E0B39">
        <w:rPr>
          <w:rFonts w:ascii="Arial" w:eastAsiaTheme="minorHAnsi" w:hAnsi="Arial" w:cs="Arial"/>
          <w:sz w:val="22"/>
          <w:szCs w:val="22"/>
          <w:lang w:val="es-ES_tradnl" w:eastAsia="en-US"/>
        </w:rPr>
        <w:t xml:space="preserve"> numeral «3.5.3 Consideraciones para la validez de la experiencia requerida», literal D,</w:t>
      </w:r>
      <w:r>
        <w:rPr>
          <w:rFonts w:ascii="Arial" w:eastAsiaTheme="minorHAnsi" w:hAnsi="Arial" w:cs="Arial"/>
          <w:sz w:val="22"/>
          <w:szCs w:val="22"/>
          <w:lang w:val="es-ES_tradnl" w:eastAsia="en-US"/>
        </w:rPr>
        <w:t xml:space="preserve"> </w:t>
      </w:r>
      <w:r>
        <w:rPr>
          <w:rFonts w:ascii="Arial" w:hAnsi="Arial" w:cs="Arial"/>
          <w:sz w:val="21"/>
          <w:szCs w:val="21"/>
          <w:lang w:val="es-ES_tradnl"/>
        </w:rPr>
        <w:t xml:space="preserve">se tiene que </w:t>
      </w:r>
      <w:r w:rsidRPr="001E0B39">
        <w:rPr>
          <w:rFonts w:ascii="Arial" w:eastAsiaTheme="minorHAnsi" w:hAnsi="Arial" w:cs="Arial"/>
          <w:sz w:val="22"/>
          <w:szCs w:val="22"/>
          <w:lang w:val="es-ES_tradnl" w:eastAsia="en-US"/>
        </w:rPr>
        <w:t xml:space="preserve"> i) uno de los integrantes debe acreditar mínimo el cincuenta por ciento (50%) de la experiencia exigida, ii) los demás integrantes deben acreditar al menos el cinco por ciento (5%) y, iii) sin perjuicio de la exigencia anterior, solo uno de los integrantes, si así lo considera pertinente, podrá no aportar experiencia</w:t>
      </w:r>
      <w:r w:rsidRPr="007B2408">
        <w:t xml:space="preserve"> </w:t>
      </w:r>
      <w:r w:rsidRPr="007B2408">
        <w:rPr>
          <w:rFonts w:ascii="Arial" w:hAnsi="Arial" w:cs="Arial"/>
          <w:sz w:val="22"/>
          <w:szCs w:val="22"/>
          <w:lang w:val="es-ES"/>
        </w:rPr>
        <w:t>pero ello implicaría que no podría tener más del 5% de participación en la estructura plural</w:t>
      </w:r>
      <w:r w:rsidRPr="001E0B39">
        <w:rPr>
          <w:rFonts w:ascii="Arial" w:eastAsiaTheme="minorHAnsi" w:hAnsi="Arial" w:cs="Arial"/>
          <w:sz w:val="22"/>
          <w:szCs w:val="22"/>
          <w:lang w:val="es-ES_tradnl" w:eastAsia="en-US"/>
        </w:rPr>
        <w:t xml:space="preserve">. Esto quiere decir que, a partir de la adopción de los documentos tipo de licitación de obra pública de infraestructura de transporte – versión 3, en principio se exige que todos los integrantes acrediten experiencia, y solo de manera excepcional se permite que uno de los integrantes no aporte ninguna experiencia. </w:t>
      </w:r>
    </w:p>
    <w:p w14:paraId="5258441D" w14:textId="77777777" w:rsidR="009F3E39" w:rsidRDefault="009F3E39" w:rsidP="006C2966">
      <w:pPr>
        <w:spacing w:line="276" w:lineRule="auto"/>
        <w:jc w:val="both"/>
        <w:rPr>
          <w:rFonts w:ascii="Arial" w:hAnsi="Arial" w:cs="Arial"/>
          <w:sz w:val="22"/>
          <w:lang w:val="es-ES_tradnl"/>
        </w:rPr>
      </w:pPr>
    </w:p>
    <w:p w14:paraId="0E867D2D" w14:textId="0DD2C505" w:rsidR="009F3E39" w:rsidRDefault="009F3E39" w:rsidP="009F3E39">
      <w:pPr>
        <w:spacing w:line="276" w:lineRule="auto"/>
        <w:ind w:firstLine="708"/>
        <w:jc w:val="both"/>
        <w:rPr>
          <w:rFonts w:ascii="Arial" w:hAnsi="Arial" w:cs="Arial"/>
          <w:sz w:val="22"/>
          <w:lang w:val="es-ES_tradnl"/>
        </w:rPr>
      </w:pPr>
      <w:r w:rsidRPr="009F3E39">
        <w:rPr>
          <w:rFonts w:ascii="Arial" w:hAnsi="Arial" w:cs="Arial"/>
          <w:sz w:val="22"/>
          <w:lang w:val="es-ES_tradnl"/>
        </w:rPr>
        <w:t>Como se señaló anteriormente, el literal D de las consideraciones para validar la experiencia, busca garantizar la idoneidad de aquellos que conforman una pluralidad de proponentes y dar la posibilidad de que excepcionalmente uno de los integrantes no valide experiencia alguna, para que el mismo pueda adquirirla con el proceso en cuestión. Por ello, se indica que debe existir una acreditación mínima del 50% de experiencia por parte de uno de los integrantes.</w:t>
      </w:r>
    </w:p>
    <w:p w14:paraId="48904613" w14:textId="77777777" w:rsidR="009F3E39" w:rsidRDefault="009F3E39" w:rsidP="006C2966">
      <w:pPr>
        <w:spacing w:line="276" w:lineRule="auto"/>
        <w:jc w:val="both"/>
        <w:rPr>
          <w:rFonts w:ascii="Arial" w:hAnsi="Arial" w:cs="Arial"/>
          <w:sz w:val="22"/>
          <w:lang w:val="es-ES_tradnl"/>
        </w:rPr>
      </w:pPr>
    </w:p>
    <w:p w14:paraId="544609D3" w14:textId="587CD8A6" w:rsidR="000920F0" w:rsidRPr="001E0B39" w:rsidRDefault="000920F0" w:rsidP="006C2966">
      <w:pPr>
        <w:spacing w:line="276" w:lineRule="auto"/>
        <w:jc w:val="both"/>
        <w:rPr>
          <w:rFonts w:ascii="Arial" w:hAnsi="Arial" w:cs="Arial"/>
          <w:sz w:val="22"/>
          <w:lang w:val="es-ES_tradnl"/>
        </w:rPr>
      </w:pPr>
      <w:r w:rsidRPr="001E0B39">
        <w:rPr>
          <w:rFonts w:ascii="Arial" w:hAnsi="Arial" w:cs="Arial"/>
          <w:sz w:val="22"/>
          <w:lang w:val="es-ES_tradnl"/>
        </w:rPr>
        <w:lastRenderedPageBreak/>
        <w:t>Este concepto tiene el alcance previsto en el artículo 28 del Código de Procedimiento Administrativo y de lo Contencioso Administrativo</w:t>
      </w:r>
      <w:r w:rsidR="00A568E5" w:rsidRPr="001E0B39">
        <w:rPr>
          <w:rFonts w:ascii="Arial" w:hAnsi="Arial" w:cs="Arial"/>
          <w:sz w:val="22"/>
          <w:lang w:val="es-ES_tradnl"/>
        </w:rPr>
        <w:t>.</w:t>
      </w:r>
    </w:p>
    <w:p w14:paraId="72B1ECAA" w14:textId="77777777" w:rsidR="00150A83" w:rsidRPr="001E0B39" w:rsidRDefault="00150A83" w:rsidP="006C2966">
      <w:pPr>
        <w:spacing w:line="276" w:lineRule="auto"/>
        <w:jc w:val="both"/>
        <w:rPr>
          <w:rFonts w:ascii="Arial" w:hAnsi="Arial" w:cs="Arial"/>
          <w:sz w:val="22"/>
          <w:lang w:val="es-ES_tradnl"/>
        </w:rPr>
      </w:pPr>
    </w:p>
    <w:p w14:paraId="2A352265" w14:textId="77777777" w:rsidR="000920F0" w:rsidRPr="001E0B39" w:rsidRDefault="000920F0" w:rsidP="006C2966">
      <w:pPr>
        <w:spacing w:line="276" w:lineRule="auto"/>
        <w:jc w:val="both"/>
        <w:rPr>
          <w:rFonts w:ascii="Arial" w:hAnsi="Arial" w:cs="Arial"/>
          <w:sz w:val="22"/>
          <w:lang w:val="es-ES_tradnl"/>
        </w:rPr>
      </w:pPr>
      <w:r w:rsidRPr="001E0B39">
        <w:rPr>
          <w:rFonts w:ascii="Arial" w:hAnsi="Arial" w:cs="Arial"/>
          <w:noProof/>
          <w:lang w:val="es-ES_tradnl"/>
        </w:rPr>
        <mc:AlternateContent>
          <mc:Choice Requires="wps">
            <w:drawing>
              <wp:anchor distT="0" distB="0" distL="114300" distR="114300" simplePos="0" relativeHeight="251658240" behindDoc="0" locked="0" layoutInCell="1" allowOverlap="1" wp14:anchorId="580C3C28" wp14:editId="686CAA36">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16sdtdh="http://schemas.microsoft.com/office/word/2020/wordml/sdtdatahash">
            <w:pict>
              <v:line id="Conector recto 1"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53B0AB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w10:wrap anchorx="page"/>
              </v:line>
            </w:pict>
          </mc:Fallback>
        </mc:AlternateContent>
      </w:r>
    </w:p>
    <w:bookmarkEnd w:id="2"/>
    <w:p w14:paraId="1DB2D98F" w14:textId="77777777" w:rsidR="00240E70" w:rsidRPr="001E0B39" w:rsidRDefault="00240E70" w:rsidP="006C2966">
      <w:pPr>
        <w:spacing w:line="276" w:lineRule="auto"/>
        <w:textAlignment w:val="baseline"/>
        <w:rPr>
          <w:rFonts w:ascii="Segoe UI" w:eastAsia="Times New Roman" w:hAnsi="Segoe UI" w:cs="Segoe UI"/>
          <w:sz w:val="18"/>
          <w:szCs w:val="18"/>
          <w:lang w:val="es-ES_tradnl" w:eastAsia="es-CO"/>
        </w:rPr>
      </w:pPr>
      <w:r w:rsidRPr="001E0B39">
        <w:rPr>
          <w:rFonts w:ascii="Arial" w:eastAsia="Times New Roman" w:hAnsi="Arial" w:cs="Arial"/>
          <w:sz w:val="22"/>
          <w:lang w:val="es-ES_tradnl" w:eastAsia="es-CO"/>
        </w:rPr>
        <w:t>Atentamente, </w:t>
      </w:r>
    </w:p>
    <w:p w14:paraId="7150F2FA" w14:textId="77777777" w:rsidR="00240E70" w:rsidRPr="001E0B39" w:rsidRDefault="00240E70" w:rsidP="006C2966">
      <w:pPr>
        <w:spacing w:line="276" w:lineRule="auto"/>
        <w:textAlignment w:val="baseline"/>
        <w:rPr>
          <w:rFonts w:ascii="Segoe UI" w:eastAsia="Times New Roman" w:hAnsi="Segoe UI" w:cs="Segoe UI"/>
          <w:sz w:val="18"/>
          <w:szCs w:val="18"/>
          <w:lang w:val="es-ES_tradnl" w:eastAsia="es-CO"/>
        </w:rPr>
      </w:pPr>
      <w:r w:rsidRPr="001E0B39">
        <w:rPr>
          <w:rFonts w:ascii="Arial" w:eastAsia="Times New Roman" w:hAnsi="Arial" w:cs="Arial"/>
          <w:sz w:val="22"/>
          <w:lang w:val="es-ES_tradnl" w:eastAsia="es-CO"/>
        </w:rPr>
        <w:t> </w:t>
      </w:r>
    </w:p>
    <w:p w14:paraId="49864B38" w14:textId="6C58062E" w:rsidR="00240E70" w:rsidRPr="001E0B39" w:rsidRDefault="0062496D" w:rsidP="006C2966">
      <w:pPr>
        <w:spacing w:line="276" w:lineRule="auto"/>
        <w:jc w:val="center"/>
        <w:textAlignment w:val="baseline"/>
        <w:rPr>
          <w:rFonts w:ascii="Segoe UI" w:eastAsia="Times New Roman" w:hAnsi="Segoe UI" w:cs="Segoe UI"/>
          <w:sz w:val="18"/>
          <w:szCs w:val="18"/>
          <w:lang w:val="es-ES_tradnl" w:eastAsia="es-CO"/>
        </w:rPr>
      </w:pPr>
      <w:r>
        <w:rPr>
          <w:rFonts w:ascii="Arial" w:eastAsia="Times New Roman" w:hAnsi="Arial" w:cs="Arial"/>
          <w:noProof/>
          <w:sz w:val="18"/>
          <w:szCs w:val="18"/>
          <w:lang w:val="es-ES_tradnl" w:eastAsia="es-CO"/>
        </w:rPr>
        <w:drawing>
          <wp:inline distT="0" distB="0" distL="0" distR="0" wp14:anchorId="07F20CFF" wp14:editId="71B77B3C">
            <wp:extent cx="2514600" cy="1104900"/>
            <wp:effectExtent l="0" t="0" r="0" b="0"/>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2"/>
                    <a:stretch>
                      <a:fillRect/>
                    </a:stretch>
                  </pic:blipFill>
                  <pic:spPr>
                    <a:xfrm>
                      <a:off x="0" y="0"/>
                      <a:ext cx="2514600" cy="1104900"/>
                    </a:xfrm>
                    <a:prstGeom prst="rect">
                      <a:avLst/>
                    </a:prstGeom>
                  </pic:spPr>
                </pic:pic>
              </a:graphicData>
            </a:graphic>
          </wp:inline>
        </w:drawing>
      </w:r>
      <w:r w:rsidR="00240E70" w:rsidRPr="001E0B39">
        <w:rPr>
          <w:rFonts w:ascii="Arial" w:eastAsia="Times New Roman" w:hAnsi="Arial" w:cs="Arial"/>
          <w:sz w:val="18"/>
          <w:szCs w:val="18"/>
          <w:lang w:val="es-ES_tradnl" w:eastAsia="es-CO"/>
        </w:rPr>
        <w:t> </w:t>
      </w:r>
    </w:p>
    <w:p w14:paraId="40007A7C" w14:textId="77777777" w:rsidR="00240E70" w:rsidRPr="001E0B39" w:rsidRDefault="00240E70" w:rsidP="006C2966">
      <w:pPr>
        <w:spacing w:line="276" w:lineRule="auto"/>
        <w:jc w:val="center"/>
        <w:textAlignment w:val="baseline"/>
        <w:rPr>
          <w:rFonts w:ascii="Segoe UI" w:eastAsia="Times New Roman" w:hAnsi="Segoe UI" w:cs="Segoe UI"/>
          <w:sz w:val="18"/>
          <w:szCs w:val="18"/>
          <w:lang w:val="es-ES_tradnl" w:eastAsia="es-CO"/>
        </w:rPr>
      </w:pPr>
      <w:r w:rsidRPr="001E0B39">
        <w:rPr>
          <w:rFonts w:ascii="Arial" w:eastAsia="Times New Roman" w:hAnsi="Arial" w:cs="Arial"/>
          <w:sz w:val="18"/>
          <w:szCs w:val="18"/>
          <w:lang w:val="es-ES_tradnl" w:eastAsia="es-CO"/>
        </w:rPr>
        <w:t> </w:t>
      </w:r>
    </w:p>
    <w:p w14:paraId="6D67CA66" w14:textId="77777777" w:rsidR="00240E70" w:rsidRPr="001E0B39" w:rsidRDefault="00240E70" w:rsidP="006C2966">
      <w:pPr>
        <w:spacing w:line="276" w:lineRule="auto"/>
        <w:jc w:val="center"/>
        <w:textAlignment w:val="baseline"/>
        <w:rPr>
          <w:rFonts w:ascii="Segoe UI" w:eastAsia="Times New Roman" w:hAnsi="Segoe UI" w:cs="Segoe UI"/>
          <w:sz w:val="18"/>
          <w:szCs w:val="18"/>
          <w:lang w:val="es-ES_tradnl" w:eastAsia="es-CO"/>
        </w:rPr>
      </w:pPr>
      <w:r w:rsidRPr="001E0B39">
        <w:rPr>
          <w:rFonts w:ascii="Arial" w:eastAsia="Times New Roman" w:hAnsi="Arial" w:cs="Arial"/>
          <w:sz w:val="18"/>
          <w:szCs w:val="18"/>
          <w:lang w:val="es-ES_tradnl" w:eastAsia="es-CO"/>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4410"/>
      </w:tblGrid>
      <w:tr w:rsidR="00240E70" w:rsidRPr="001E0B39" w14:paraId="3E955EC7" w14:textId="77777777" w:rsidTr="00240E70">
        <w:trPr>
          <w:trHeight w:val="315"/>
        </w:trPr>
        <w:tc>
          <w:tcPr>
            <w:tcW w:w="810" w:type="dxa"/>
            <w:tcBorders>
              <w:top w:val="nil"/>
              <w:left w:val="nil"/>
              <w:bottom w:val="nil"/>
              <w:right w:val="nil"/>
            </w:tcBorders>
            <w:vAlign w:val="center"/>
            <w:hideMark/>
          </w:tcPr>
          <w:p w14:paraId="41CCA5B6"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Elaboró: </w:t>
            </w:r>
          </w:p>
        </w:tc>
        <w:tc>
          <w:tcPr>
            <w:tcW w:w="4410" w:type="dxa"/>
            <w:tcBorders>
              <w:top w:val="nil"/>
              <w:left w:val="nil"/>
              <w:bottom w:val="dotted" w:sz="6" w:space="0" w:color="7F7F7F"/>
              <w:right w:val="nil"/>
            </w:tcBorders>
            <w:vAlign w:val="center"/>
            <w:hideMark/>
          </w:tcPr>
          <w:p w14:paraId="62FE1E4B" w14:textId="5AFA347F" w:rsidR="00240E70" w:rsidRPr="001E0B39" w:rsidRDefault="00E82BE2"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Sandra Mile</w:t>
            </w:r>
            <w:r w:rsidR="007F632A">
              <w:rPr>
                <w:rFonts w:ascii="Arial" w:eastAsia="Times New Roman" w:hAnsi="Arial" w:cs="Arial"/>
                <w:sz w:val="16"/>
                <w:szCs w:val="16"/>
                <w:lang w:val="es-ES_tradnl" w:eastAsia="es-CO"/>
              </w:rPr>
              <w:t>n</w:t>
            </w:r>
            <w:r w:rsidRPr="001E0B39">
              <w:rPr>
                <w:rFonts w:ascii="Arial" w:eastAsia="Times New Roman" w:hAnsi="Arial" w:cs="Arial"/>
                <w:sz w:val="16"/>
                <w:szCs w:val="16"/>
                <w:lang w:val="es-ES_tradnl" w:eastAsia="es-CO"/>
              </w:rPr>
              <w:t xml:space="preserve">a </w:t>
            </w:r>
            <w:r w:rsidR="001E0B39" w:rsidRPr="001E0B39">
              <w:rPr>
                <w:rFonts w:ascii="Arial" w:eastAsia="Times New Roman" w:hAnsi="Arial" w:cs="Arial"/>
                <w:sz w:val="16"/>
                <w:szCs w:val="16"/>
                <w:lang w:val="es-ES_tradnl" w:eastAsia="es-CO"/>
              </w:rPr>
              <w:t>Rodríguez</w:t>
            </w:r>
            <w:r w:rsidRPr="001E0B39">
              <w:rPr>
                <w:rFonts w:ascii="Arial" w:eastAsia="Times New Roman" w:hAnsi="Arial" w:cs="Arial"/>
                <w:sz w:val="16"/>
                <w:szCs w:val="16"/>
                <w:lang w:val="es-ES_tradnl" w:eastAsia="es-CO"/>
              </w:rPr>
              <w:t xml:space="preserve"> Mora</w:t>
            </w:r>
            <w:r w:rsidR="00240E70" w:rsidRPr="001E0B39">
              <w:rPr>
                <w:rFonts w:ascii="Arial" w:eastAsia="Times New Roman" w:hAnsi="Arial" w:cs="Arial"/>
                <w:sz w:val="16"/>
                <w:szCs w:val="16"/>
                <w:lang w:val="es-ES_tradnl" w:eastAsia="es-CO"/>
              </w:rPr>
              <w:t> </w:t>
            </w:r>
          </w:p>
          <w:p w14:paraId="49DD01A8" w14:textId="2E1EFECD" w:rsidR="00240E70" w:rsidRPr="001E0B39" w:rsidRDefault="00E82BE2"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Contratista</w:t>
            </w:r>
            <w:r w:rsidR="00240E70" w:rsidRPr="001E0B39">
              <w:rPr>
                <w:rFonts w:ascii="Arial" w:eastAsia="Times New Roman" w:hAnsi="Arial" w:cs="Arial"/>
                <w:sz w:val="16"/>
                <w:szCs w:val="16"/>
                <w:lang w:val="es-ES_tradnl" w:eastAsia="es-CO"/>
              </w:rPr>
              <w:t> </w:t>
            </w:r>
            <w:r w:rsidR="003C7BF7">
              <w:rPr>
                <w:rFonts w:ascii="Arial" w:eastAsia="Times New Roman" w:hAnsi="Arial" w:cs="Arial"/>
                <w:sz w:val="16"/>
                <w:szCs w:val="16"/>
                <w:lang w:val="es-ES_tradnl" w:eastAsia="es-CO"/>
              </w:rPr>
              <w:t>Subdirección Contractual</w:t>
            </w:r>
          </w:p>
        </w:tc>
      </w:tr>
      <w:tr w:rsidR="00240E70" w:rsidRPr="001E0B39" w14:paraId="64205BAA" w14:textId="77777777" w:rsidTr="00240E70">
        <w:trPr>
          <w:trHeight w:val="315"/>
        </w:trPr>
        <w:tc>
          <w:tcPr>
            <w:tcW w:w="810" w:type="dxa"/>
            <w:tcBorders>
              <w:top w:val="outset" w:sz="6" w:space="0" w:color="auto"/>
              <w:left w:val="nil"/>
              <w:bottom w:val="nil"/>
              <w:right w:val="nil"/>
            </w:tcBorders>
            <w:vAlign w:val="center"/>
            <w:hideMark/>
          </w:tcPr>
          <w:p w14:paraId="0361BC7B"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Revisó: </w:t>
            </w:r>
          </w:p>
        </w:tc>
        <w:tc>
          <w:tcPr>
            <w:tcW w:w="4410" w:type="dxa"/>
            <w:tcBorders>
              <w:top w:val="dotted" w:sz="6" w:space="0" w:color="7F7F7F"/>
              <w:left w:val="nil"/>
              <w:bottom w:val="dotted" w:sz="6" w:space="0" w:color="7F7F7F"/>
              <w:right w:val="nil"/>
            </w:tcBorders>
            <w:vAlign w:val="center"/>
            <w:hideMark/>
          </w:tcPr>
          <w:p w14:paraId="57887966" w14:textId="324D4FC6" w:rsidR="00240E70" w:rsidRPr="001E0B39" w:rsidRDefault="007F632A" w:rsidP="006C2966">
            <w:pPr>
              <w:spacing w:line="276" w:lineRule="auto"/>
              <w:textAlignment w:val="baseline"/>
              <w:rPr>
                <w:rFonts w:ascii="Times New Roman" w:eastAsia="Times New Roman" w:hAnsi="Times New Roman"/>
                <w:szCs w:val="24"/>
                <w:lang w:val="es-ES_tradnl" w:eastAsia="es-CO"/>
              </w:rPr>
            </w:pPr>
            <w:r>
              <w:rPr>
                <w:rFonts w:ascii="Arial" w:eastAsia="Times New Roman" w:hAnsi="Arial" w:cs="Arial"/>
                <w:sz w:val="16"/>
                <w:szCs w:val="16"/>
                <w:lang w:val="es-ES_tradnl" w:eastAsia="es-CO"/>
              </w:rPr>
              <w:t xml:space="preserve">Sebastián Ramírez </w:t>
            </w:r>
          </w:p>
          <w:p w14:paraId="29A6192B" w14:textId="70CD6823"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Gestor T1-15</w:t>
            </w:r>
            <w:r w:rsidR="003C7BF7">
              <w:rPr>
                <w:rFonts w:ascii="Arial" w:eastAsia="Times New Roman" w:hAnsi="Arial" w:cs="Arial"/>
                <w:sz w:val="16"/>
                <w:szCs w:val="16"/>
                <w:lang w:val="es-ES_tradnl" w:eastAsia="es-CO"/>
              </w:rPr>
              <w:t xml:space="preserve"> Subdirección Contractual </w:t>
            </w:r>
          </w:p>
        </w:tc>
      </w:tr>
      <w:tr w:rsidR="00240E70" w:rsidRPr="001E0B39" w14:paraId="171CB16C" w14:textId="77777777" w:rsidTr="00240E70">
        <w:trPr>
          <w:trHeight w:val="300"/>
        </w:trPr>
        <w:tc>
          <w:tcPr>
            <w:tcW w:w="810" w:type="dxa"/>
            <w:tcBorders>
              <w:top w:val="outset" w:sz="6" w:space="0" w:color="auto"/>
              <w:left w:val="nil"/>
              <w:bottom w:val="nil"/>
              <w:right w:val="nil"/>
            </w:tcBorders>
            <w:vAlign w:val="center"/>
            <w:hideMark/>
          </w:tcPr>
          <w:p w14:paraId="486968D1"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Aprobó: </w:t>
            </w:r>
          </w:p>
        </w:tc>
        <w:tc>
          <w:tcPr>
            <w:tcW w:w="4410" w:type="dxa"/>
            <w:tcBorders>
              <w:top w:val="dotted" w:sz="6" w:space="0" w:color="7F7F7F"/>
              <w:left w:val="nil"/>
              <w:bottom w:val="dotted" w:sz="6" w:space="0" w:color="7F7F7F"/>
              <w:right w:val="nil"/>
            </w:tcBorders>
            <w:vAlign w:val="center"/>
            <w:hideMark/>
          </w:tcPr>
          <w:p w14:paraId="0EE6EE86"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Jorge Augusto Tirado Navarro </w:t>
            </w:r>
          </w:p>
          <w:p w14:paraId="4C5940ED"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Subdirector de Gestión Contractual </w:t>
            </w:r>
          </w:p>
        </w:tc>
      </w:tr>
      <w:tr w:rsidR="00240E70" w:rsidRPr="001E0B39" w14:paraId="6B714601" w14:textId="77777777" w:rsidTr="00240E70">
        <w:trPr>
          <w:trHeight w:val="300"/>
        </w:trPr>
        <w:tc>
          <w:tcPr>
            <w:tcW w:w="810" w:type="dxa"/>
            <w:tcBorders>
              <w:top w:val="outset" w:sz="6" w:space="0" w:color="auto"/>
              <w:left w:val="nil"/>
              <w:bottom w:val="nil"/>
              <w:right w:val="nil"/>
            </w:tcBorders>
            <w:vAlign w:val="center"/>
            <w:hideMark/>
          </w:tcPr>
          <w:p w14:paraId="42CF303C"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Anexo: </w:t>
            </w:r>
          </w:p>
        </w:tc>
        <w:tc>
          <w:tcPr>
            <w:tcW w:w="4410" w:type="dxa"/>
            <w:tcBorders>
              <w:top w:val="dotted" w:sz="6" w:space="0" w:color="7F7F7F"/>
              <w:left w:val="nil"/>
              <w:bottom w:val="dotted" w:sz="6" w:space="0" w:color="7F7F7F"/>
              <w:right w:val="nil"/>
            </w:tcBorders>
            <w:vAlign w:val="center"/>
            <w:hideMark/>
          </w:tcPr>
          <w:p w14:paraId="217A49E3" w14:textId="77777777" w:rsidR="00240E70" w:rsidRPr="001E0B39" w:rsidRDefault="00240E70" w:rsidP="006C2966">
            <w:pPr>
              <w:spacing w:line="276" w:lineRule="auto"/>
              <w:textAlignment w:val="baseline"/>
              <w:rPr>
                <w:rFonts w:ascii="Times New Roman" w:eastAsia="Times New Roman" w:hAnsi="Times New Roman"/>
                <w:szCs w:val="24"/>
                <w:lang w:val="es-ES_tradnl" w:eastAsia="es-CO"/>
              </w:rPr>
            </w:pPr>
            <w:r w:rsidRPr="001E0B39">
              <w:rPr>
                <w:rFonts w:ascii="Arial" w:eastAsia="Times New Roman" w:hAnsi="Arial" w:cs="Arial"/>
                <w:sz w:val="16"/>
                <w:szCs w:val="16"/>
                <w:lang w:val="es-ES_tradnl" w:eastAsia="es-CO"/>
              </w:rPr>
              <w:t>0 </w:t>
            </w:r>
          </w:p>
        </w:tc>
      </w:tr>
    </w:tbl>
    <w:p w14:paraId="74D61BE9" w14:textId="77777777" w:rsidR="00914791" w:rsidRPr="001E0B39" w:rsidRDefault="00914791" w:rsidP="006C2966">
      <w:pPr>
        <w:spacing w:line="276" w:lineRule="auto"/>
        <w:jc w:val="both"/>
        <w:rPr>
          <w:rFonts w:ascii="Arial" w:hAnsi="Arial" w:cs="Arial"/>
          <w:sz w:val="22"/>
          <w:lang w:val="es-ES_tradnl"/>
        </w:rPr>
      </w:pPr>
    </w:p>
    <w:p w14:paraId="7EBF297E" w14:textId="69F9D0B2" w:rsidR="007B0854" w:rsidRPr="001E0B39" w:rsidRDefault="001E0B39" w:rsidP="006C2966">
      <w:pPr>
        <w:pStyle w:val="NormalWeb"/>
        <w:spacing w:before="0" w:beforeAutospacing="0" w:after="0" w:afterAutospacing="0" w:line="276" w:lineRule="auto"/>
        <w:jc w:val="both"/>
        <w:rPr>
          <w:rFonts w:ascii="Arial" w:hAnsi="Arial" w:cs="Arial"/>
          <w:lang w:val="es-ES_tradnl"/>
        </w:rPr>
      </w:pPr>
      <w:r w:rsidRPr="001E0B39">
        <w:rPr>
          <w:rFonts w:ascii="Arial" w:hAnsi="Arial" w:cs="Arial"/>
          <w:lang w:val="es-ES_tradnl"/>
        </w:rPr>
        <w:t xml:space="preserve"> </w:t>
      </w:r>
    </w:p>
    <w:sectPr w:rsidR="007B0854" w:rsidRPr="001E0B39" w:rsidSect="004A34D2">
      <w:headerReference w:type="default" r:id="rId13"/>
      <w:footerReference w:type="default" r:id="rId14"/>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4ABD3F" w14:textId="77777777" w:rsidR="004532B7" w:rsidRDefault="004532B7">
      <w:r>
        <w:separator/>
      </w:r>
    </w:p>
  </w:endnote>
  <w:endnote w:type="continuationSeparator" w:id="0">
    <w:p w14:paraId="370CFA5E" w14:textId="77777777" w:rsidR="004532B7" w:rsidRDefault="004532B7">
      <w:r>
        <w:continuationSeparator/>
      </w:r>
    </w:p>
  </w:endnote>
  <w:endnote w:type="continuationNotice" w:id="1">
    <w:p w14:paraId="483A8CF1" w14:textId="77777777" w:rsidR="004532B7" w:rsidRDefault="004532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D70032" w14:textId="77777777" w:rsidR="00F44916" w:rsidRDefault="00F44916" w:rsidP="00856133">
    <w:pPr>
      <w:pStyle w:val="Sinespaciado"/>
      <w:jc w:val="right"/>
      <w:rPr>
        <w:rFonts w:ascii="Arial" w:hAnsi="Arial" w:cs="Arial"/>
        <w:sz w:val="18"/>
        <w:szCs w:val="18"/>
      </w:rPr>
    </w:pPr>
  </w:p>
  <w:p w14:paraId="512F463F" w14:textId="54B3CCBC" w:rsidR="00F44916" w:rsidRPr="008217B7" w:rsidRDefault="00F44916" w:rsidP="00856133">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31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31</w:t>
    </w:r>
    <w:r w:rsidRPr="00084B97">
      <w:rPr>
        <w:rFonts w:ascii="Arial" w:hAnsi="Arial" w:cs="Arial"/>
        <w:b/>
        <w:bCs/>
        <w:color w:val="7F7F7F" w:themeColor="text1" w:themeTint="80"/>
        <w:sz w:val="16"/>
        <w:szCs w:val="16"/>
      </w:rPr>
      <w:fldChar w:fldCharType="end"/>
    </w:r>
  </w:p>
  <w:p w14:paraId="1DA6AEB0" w14:textId="77777777" w:rsidR="00F44916" w:rsidRDefault="30ADF538" w:rsidP="00856133">
    <w:pPr>
      <w:pStyle w:val="Piedepgina"/>
      <w:jc w:val="center"/>
    </w:pPr>
    <w:r>
      <w:rPr>
        <w:noProof/>
      </w:rPr>
      <w:drawing>
        <wp:inline distT="0" distB="0" distL="0" distR="0" wp14:anchorId="6A1C2C0F" wp14:editId="7A150B53">
          <wp:extent cx="3700130" cy="519139"/>
          <wp:effectExtent l="0" t="0" r="0" b="0"/>
          <wp:docPr id="3613310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1E885A93" w14:textId="77777777" w:rsidR="00F44916" w:rsidRDefault="00F44916" w:rsidP="00856133">
    <w:pPr>
      <w:pStyle w:val="Piedepgina"/>
      <w:jc w:val="center"/>
    </w:pPr>
  </w:p>
  <w:p w14:paraId="70077B90" w14:textId="77777777" w:rsidR="00F44916" w:rsidRPr="007B0854" w:rsidRDefault="00F44916" w:rsidP="00856133">
    <w:pPr>
      <w:pStyle w:val="Piedepgina"/>
      <w:jc w:val="center"/>
    </w:pPr>
  </w:p>
  <w:p w14:paraId="6C0EFC49" w14:textId="77777777" w:rsidR="00F44916" w:rsidRPr="00856133" w:rsidRDefault="00F44916" w:rsidP="0085613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EC4BAC" w14:textId="77777777" w:rsidR="004532B7" w:rsidRDefault="004532B7">
      <w:r>
        <w:separator/>
      </w:r>
    </w:p>
  </w:footnote>
  <w:footnote w:type="continuationSeparator" w:id="0">
    <w:p w14:paraId="479C26C4" w14:textId="77777777" w:rsidR="004532B7" w:rsidRDefault="004532B7">
      <w:r>
        <w:continuationSeparator/>
      </w:r>
    </w:p>
  </w:footnote>
  <w:footnote w:type="continuationNotice" w:id="1">
    <w:p w14:paraId="1735BD2F" w14:textId="77777777" w:rsidR="004532B7" w:rsidRDefault="004532B7"/>
  </w:footnote>
  <w:footnote w:id="2">
    <w:p w14:paraId="2E9EED24" w14:textId="77777777" w:rsidR="00F935BC" w:rsidRPr="00F12256" w:rsidRDefault="00F935BC" w:rsidP="00F935BC">
      <w:pPr>
        <w:pStyle w:val="Textonotapie"/>
        <w:ind w:firstLine="709"/>
        <w:jc w:val="both"/>
        <w:rPr>
          <w:rFonts w:ascii="Arial" w:hAnsi="Arial" w:cs="Arial"/>
          <w:sz w:val="19"/>
          <w:szCs w:val="19"/>
        </w:rPr>
      </w:pPr>
      <w:r w:rsidRPr="00F12256">
        <w:rPr>
          <w:rStyle w:val="Refdenotaalpie"/>
          <w:rFonts w:ascii="Arial" w:hAnsi="Arial" w:cs="Arial"/>
          <w:sz w:val="19"/>
          <w:szCs w:val="19"/>
        </w:rPr>
        <w:footnoteRef/>
      </w:r>
      <w:r w:rsidRPr="00F12256">
        <w:rPr>
          <w:rFonts w:ascii="Arial" w:hAnsi="Arial" w:cs="Arial"/>
          <w:sz w:val="19"/>
          <w:szCs w:val="19"/>
        </w:rPr>
        <w:t xml:space="preserve"> «Parágrafo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21FC5B37" w14:textId="77777777" w:rsidR="00F935BC" w:rsidRPr="00F12256" w:rsidRDefault="00F935BC" w:rsidP="00F935BC">
      <w:pPr>
        <w:pStyle w:val="Textonotapie"/>
        <w:ind w:firstLine="709"/>
        <w:jc w:val="both"/>
        <w:rPr>
          <w:rFonts w:ascii="Arial" w:hAnsi="Arial" w:cs="Arial"/>
          <w:sz w:val="19"/>
          <w:szCs w:val="19"/>
          <w:lang w:val="es-CO"/>
        </w:rPr>
      </w:pPr>
    </w:p>
  </w:footnote>
  <w:footnote w:id="3">
    <w:p w14:paraId="69441E5A" w14:textId="77777777" w:rsidR="00F935BC" w:rsidRPr="00F12256" w:rsidRDefault="00F935BC" w:rsidP="00F935BC">
      <w:pPr>
        <w:pStyle w:val="Textonotapie"/>
        <w:ind w:firstLine="709"/>
        <w:jc w:val="both"/>
        <w:rPr>
          <w:rFonts w:ascii="Arial" w:hAnsi="Arial" w:cs="Arial"/>
          <w:sz w:val="19"/>
          <w:szCs w:val="19"/>
        </w:rPr>
      </w:pPr>
      <w:r w:rsidRPr="00F12256">
        <w:rPr>
          <w:rStyle w:val="Refdenotaalpie"/>
          <w:rFonts w:ascii="Arial" w:hAnsi="Arial" w:cs="Arial"/>
          <w:sz w:val="19"/>
          <w:szCs w:val="19"/>
        </w:rPr>
        <w:footnoteRef/>
      </w:r>
      <w:r w:rsidRPr="00F12256">
        <w:rPr>
          <w:rFonts w:ascii="Arial" w:hAnsi="Arial" w:cs="Arial"/>
          <w:sz w:val="19"/>
          <w:szCs w:val="19"/>
        </w:rPr>
        <w:t xml:space="preserve"> </w:t>
      </w:r>
      <w:r w:rsidRPr="00F12256">
        <w:rPr>
          <w:rFonts w:ascii="Arial" w:hAnsi="Arial" w:cs="Arial"/>
          <w:sz w:val="19"/>
          <w:szCs w:val="19"/>
          <w:lang w:val="es-CO"/>
        </w:rPr>
        <w:t xml:space="preserve">Ley 1882 de 2018: «Artículo 4. </w:t>
      </w:r>
      <w:r w:rsidRPr="00F12256">
        <w:rPr>
          <w:rFonts w:ascii="Arial" w:hAnsi="Arial" w:cs="Arial"/>
          <w:sz w:val="19"/>
          <w:szCs w:val="19"/>
        </w:rPr>
        <w:t>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 según corresponda a cada modalidad de selección y la ponderación precisa y detallada de los mismos, que deberán incluirse en los pliegos de condiciones, teniendo en cuenta la naturaleza y cuantía de los contratos. Para la adopción de esta reglamentación el Gobierno tendrá en cuenta las características propias de las regiones con el ánimo de promover el empleo local.</w:t>
      </w:r>
    </w:p>
    <w:p w14:paraId="754D4692" w14:textId="77777777" w:rsidR="00F935BC" w:rsidRPr="00F12256" w:rsidRDefault="00F935BC" w:rsidP="00F935BC">
      <w:pPr>
        <w:pStyle w:val="Textonotapie"/>
        <w:ind w:firstLine="709"/>
        <w:jc w:val="both"/>
        <w:rPr>
          <w:rFonts w:ascii="Arial" w:hAnsi="Arial" w:cs="Arial"/>
          <w:sz w:val="19"/>
          <w:szCs w:val="19"/>
          <w:lang w:val="es-CO"/>
        </w:rPr>
      </w:pPr>
      <w:r w:rsidRPr="00F12256">
        <w:rPr>
          <w:rFonts w:ascii="Arial" w:hAnsi="Arial" w:cs="Arial"/>
          <w:sz w:val="19"/>
          <w:szCs w:val="19"/>
          <w:lang w:val="es-CO"/>
        </w:rPr>
        <w:t>»La facultad de adoptar documentos tipo la tendrá el Gobierno nacional, cuando lo considere necesario, en relación con otros contratos o procesos de selección.</w:t>
      </w:r>
    </w:p>
    <w:p w14:paraId="3099541D" w14:textId="77777777" w:rsidR="00F935BC" w:rsidRPr="00F12256" w:rsidRDefault="00F935BC" w:rsidP="00F935BC">
      <w:pPr>
        <w:pStyle w:val="Textonotapie"/>
        <w:ind w:firstLine="709"/>
        <w:jc w:val="both"/>
        <w:rPr>
          <w:rFonts w:ascii="Arial" w:hAnsi="Arial" w:cs="Arial"/>
          <w:sz w:val="19"/>
          <w:szCs w:val="19"/>
          <w:lang w:val="es-CO"/>
        </w:rPr>
      </w:pPr>
      <w:r w:rsidRPr="00F12256">
        <w:rPr>
          <w:rFonts w:ascii="Arial" w:hAnsi="Arial" w:cs="Arial"/>
          <w:sz w:val="19"/>
          <w:szCs w:val="19"/>
          <w:lang w:val="es-CO"/>
        </w:rPr>
        <w:t>»Los pliegos tipo se adoptarán por categorías de acuerdo con la cuantía de la contratación, según la reglamentación que expida el Gobierno nacional».</w:t>
      </w:r>
    </w:p>
    <w:p w14:paraId="053CA6CB" w14:textId="77777777" w:rsidR="00F935BC" w:rsidRPr="00F12256" w:rsidRDefault="00F935BC" w:rsidP="00F935BC">
      <w:pPr>
        <w:pStyle w:val="Textonotapie"/>
        <w:ind w:firstLine="709"/>
        <w:jc w:val="both"/>
        <w:rPr>
          <w:rFonts w:ascii="Arial" w:hAnsi="Arial" w:cs="Arial"/>
          <w:sz w:val="19"/>
          <w:szCs w:val="19"/>
          <w:lang w:val="es-CO"/>
        </w:rPr>
      </w:pPr>
    </w:p>
  </w:footnote>
  <w:footnote w:id="4">
    <w:p w14:paraId="02D76D73" w14:textId="77777777" w:rsidR="00F935BC" w:rsidRPr="00F12256" w:rsidRDefault="00F935BC" w:rsidP="00F935BC">
      <w:pPr>
        <w:pStyle w:val="Textonotapie"/>
        <w:ind w:firstLine="709"/>
        <w:jc w:val="both"/>
        <w:rPr>
          <w:rFonts w:ascii="Arial" w:hAnsi="Arial" w:cs="Arial"/>
          <w:sz w:val="19"/>
          <w:szCs w:val="19"/>
        </w:rPr>
      </w:pPr>
      <w:r w:rsidRPr="00F12256">
        <w:rPr>
          <w:rStyle w:val="Refdenotaalpie"/>
          <w:rFonts w:ascii="Arial" w:hAnsi="Arial" w:cs="Arial"/>
          <w:sz w:val="19"/>
          <w:szCs w:val="19"/>
        </w:rPr>
        <w:footnoteRef/>
      </w:r>
      <w:r w:rsidRPr="00F12256">
        <w:rPr>
          <w:rFonts w:ascii="Arial" w:hAnsi="Arial" w:cs="Arial"/>
          <w:sz w:val="19"/>
          <w:szCs w:val="19"/>
        </w:rPr>
        <w:t xml:space="preserve"> Corte Constitucional. Sentencia C-119 de 2020. M.P. Alejandro Linares Cantillo. «Encontró la Corte en el control abstracto de constitucionalidad, que de la norma no surge vulneración alguna de la autonomía de los entes territoriales, en cuanto que la estandarización se predica únicamente de los requisitos habilitantes y los criterios de escogencia, elementos propios del procedimiento de selección de contratistas, materia en la que existe reserva de ley, el Legislador goza de un amplio margen de configuración normativa y que no se encuentra atribuida a la regulación de las entidades territoriales. Resaltó que la norma cuestionada no interfiere en la facultad de las entidades territoriales para gestionar sus propios intereses, la que, en materia contractual, se predica particularmente de la identificación autónoma de sus necesidades y la configuración de los elementos del contrato».</w:t>
      </w:r>
    </w:p>
    <w:p w14:paraId="1D8E94FE" w14:textId="77777777" w:rsidR="00F935BC" w:rsidRPr="00F12256" w:rsidRDefault="00F935BC" w:rsidP="00F935BC">
      <w:pPr>
        <w:pStyle w:val="Textonotapie"/>
        <w:ind w:firstLine="709"/>
        <w:jc w:val="both"/>
        <w:rPr>
          <w:rFonts w:ascii="Arial" w:hAnsi="Arial" w:cs="Arial"/>
          <w:sz w:val="19"/>
          <w:szCs w:val="19"/>
        </w:rPr>
      </w:pPr>
    </w:p>
  </w:footnote>
  <w:footnote w:id="5">
    <w:p w14:paraId="01F6A14E" w14:textId="77777777" w:rsidR="00F935BC" w:rsidRPr="00F12256" w:rsidRDefault="00F935BC" w:rsidP="00F935BC">
      <w:pPr>
        <w:pStyle w:val="Textonotapie"/>
        <w:ind w:firstLine="709"/>
        <w:jc w:val="both"/>
        <w:rPr>
          <w:rFonts w:ascii="Arial" w:hAnsi="Arial" w:cs="Arial"/>
          <w:sz w:val="19"/>
          <w:szCs w:val="19"/>
        </w:rPr>
      </w:pPr>
      <w:r w:rsidRPr="00F12256">
        <w:rPr>
          <w:rStyle w:val="Refdenotaalpie"/>
          <w:rFonts w:ascii="Arial" w:hAnsi="Arial" w:cs="Arial"/>
          <w:sz w:val="19"/>
          <w:szCs w:val="19"/>
        </w:rPr>
        <w:footnoteRef/>
      </w:r>
      <w:r w:rsidRPr="00F12256">
        <w:rPr>
          <w:rFonts w:ascii="Arial" w:hAnsi="Arial" w:cs="Arial"/>
          <w:sz w:val="19"/>
          <w:szCs w:val="19"/>
        </w:rPr>
        <w:t xml:space="preserve"> En cuanto a las resoluciones vigentes, dicha regla se observa en el artículo 3 de las Resoluciones 240, 241, 248, 249, 256 y 269 de 2020, así como en el artículo 2 de la Resolución 094 de 2020.</w:t>
      </w:r>
    </w:p>
  </w:footnote>
  <w:footnote w:id="6">
    <w:p w14:paraId="32BEA412" w14:textId="77777777" w:rsidR="007B2408" w:rsidRPr="00F12256" w:rsidRDefault="007B2408" w:rsidP="007B2408">
      <w:pPr>
        <w:pStyle w:val="Textonotapie"/>
        <w:ind w:firstLine="709"/>
        <w:jc w:val="both"/>
        <w:rPr>
          <w:rFonts w:ascii="Arial" w:hAnsi="Arial" w:cs="Arial"/>
          <w:sz w:val="19"/>
          <w:szCs w:val="19"/>
        </w:rPr>
      </w:pPr>
      <w:r w:rsidRPr="00F12256">
        <w:rPr>
          <w:rStyle w:val="Refdenotaalpie"/>
          <w:rFonts w:ascii="Arial" w:hAnsi="Arial" w:cs="Arial"/>
          <w:sz w:val="19"/>
          <w:szCs w:val="19"/>
        </w:rPr>
        <w:footnoteRef/>
      </w:r>
      <w:r w:rsidRPr="00F12256">
        <w:rPr>
          <w:rFonts w:ascii="Arial" w:hAnsi="Arial" w:cs="Arial"/>
          <w:sz w:val="19"/>
          <w:szCs w:val="19"/>
        </w:rPr>
        <w:t xml:space="preserve"> En cuanto a las resoluciones vigentes, dicha regla se observa en el artículo 3 de las Resoluciones 240, 241, 248, 249, 256 y 269 de 2020, así como en el artículo 2 de la Resolución 094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F44916" w:rsidRDefault="00F44916">
    <w:pPr>
      <w:pStyle w:val="Encabezado"/>
    </w:pPr>
    <w:r>
      <w:rPr>
        <w:noProof/>
        <w:lang w:val="en-US"/>
      </w:rPr>
      <w:drawing>
        <wp:anchor distT="0" distB="0" distL="114300" distR="114300" simplePos="0" relativeHeight="251658240" behindDoc="1" locked="0" layoutInCell="1" allowOverlap="1" wp14:anchorId="1A706351" wp14:editId="1962F15F">
          <wp:simplePos x="0" y="0"/>
          <wp:positionH relativeFrom="column">
            <wp:posOffset>4382219</wp:posOffset>
          </wp:positionH>
          <wp:positionV relativeFrom="paragraph">
            <wp:posOffset>232997</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48E84652"/>
    <w:lvl w:ilvl="0">
      <w:start w:val="1"/>
      <w:numFmt w:val="decimal"/>
      <w:lvlText w:val="%1."/>
      <w:lvlJc w:val="left"/>
      <w:pPr>
        <w:ind w:left="6601" w:hanging="360"/>
      </w:pPr>
      <w:rPr>
        <w:b/>
        <w:color w:val="404040" w:themeColor="text1" w:themeTint="BF"/>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7F83371"/>
    <w:multiLevelType w:val="hybridMultilevel"/>
    <w:tmpl w:val="CE289002"/>
    <w:lvl w:ilvl="0" w:tplc="F3FA661C">
      <w:start w:val="1"/>
      <w:numFmt w:val="lowerRoman"/>
      <w:lvlText w:val="%1)"/>
      <w:lvlJc w:val="left"/>
      <w:pPr>
        <w:ind w:left="1429" w:hanging="720"/>
      </w:pPr>
      <w:rPr>
        <w:rFonts w:hint="default"/>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7"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8" w15:restartNumberingAfterBreak="0">
    <w:nsid w:val="75384595"/>
    <w:multiLevelType w:val="multilevel"/>
    <w:tmpl w:val="B606839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77DF7927"/>
    <w:multiLevelType w:val="multilevel"/>
    <w:tmpl w:val="C7C66B9A"/>
    <w:lvl w:ilvl="0">
      <w:start w:val="1"/>
      <w:numFmt w:val="decimal"/>
      <w:lvlText w:val="%1."/>
      <w:lvlJc w:val="left"/>
      <w:pPr>
        <w:ind w:left="54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560" w:hanging="380"/>
      </w:pPr>
      <w:rPr>
        <w:rFonts w:ascii="Arial" w:eastAsia="Arial" w:hAnsi="Arial" w:cs="Arial" w:hint="default"/>
        <w:b/>
        <w:bCs/>
        <w:color w:val="auto"/>
        <w:spacing w:val="-1"/>
        <w:w w:val="100"/>
        <w:sz w:val="22"/>
        <w:szCs w:val="22"/>
        <w:lang w:val="es-ES" w:eastAsia="en-US" w:bidi="ar-SA"/>
      </w:rPr>
    </w:lvl>
    <w:lvl w:ilvl="2">
      <w:numFmt w:val="bullet"/>
      <w:lvlText w:val="•"/>
      <w:lvlJc w:val="left"/>
      <w:pPr>
        <w:ind w:left="1522" w:hanging="380"/>
      </w:pPr>
      <w:rPr>
        <w:rFonts w:hint="default"/>
        <w:lang w:val="es-ES" w:eastAsia="en-US" w:bidi="ar-SA"/>
      </w:rPr>
    </w:lvl>
    <w:lvl w:ilvl="3">
      <w:numFmt w:val="bullet"/>
      <w:lvlText w:val="•"/>
      <w:lvlJc w:val="left"/>
      <w:pPr>
        <w:ind w:left="2484" w:hanging="380"/>
      </w:pPr>
      <w:rPr>
        <w:rFonts w:hint="default"/>
        <w:lang w:val="es-ES" w:eastAsia="en-US" w:bidi="ar-SA"/>
      </w:rPr>
    </w:lvl>
    <w:lvl w:ilvl="4">
      <w:numFmt w:val="bullet"/>
      <w:lvlText w:val="•"/>
      <w:lvlJc w:val="left"/>
      <w:pPr>
        <w:ind w:left="3446" w:hanging="380"/>
      </w:pPr>
      <w:rPr>
        <w:rFonts w:hint="default"/>
        <w:lang w:val="es-ES" w:eastAsia="en-US" w:bidi="ar-SA"/>
      </w:rPr>
    </w:lvl>
    <w:lvl w:ilvl="5">
      <w:numFmt w:val="bullet"/>
      <w:lvlText w:val="•"/>
      <w:lvlJc w:val="left"/>
      <w:pPr>
        <w:ind w:left="4408" w:hanging="380"/>
      </w:pPr>
      <w:rPr>
        <w:rFonts w:hint="default"/>
        <w:lang w:val="es-ES" w:eastAsia="en-US" w:bidi="ar-SA"/>
      </w:rPr>
    </w:lvl>
    <w:lvl w:ilvl="6">
      <w:numFmt w:val="bullet"/>
      <w:lvlText w:val="•"/>
      <w:lvlJc w:val="left"/>
      <w:pPr>
        <w:ind w:left="5371" w:hanging="380"/>
      </w:pPr>
      <w:rPr>
        <w:rFonts w:hint="default"/>
        <w:lang w:val="es-ES" w:eastAsia="en-US" w:bidi="ar-SA"/>
      </w:rPr>
    </w:lvl>
    <w:lvl w:ilvl="7">
      <w:numFmt w:val="bullet"/>
      <w:lvlText w:val="•"/>
      <w:lvlJc w:val="left"/>
      <w:pPr>
        <w:ind w:left="6333" w:hanging="380"/>
      </w:pPr>
      <w:rPr>
        <w:rFonts w:hint="default"/>
        <w:lang w:val="es-ES" w:eastAsia="en-US" w:bidi="ar-SA"/>
      </w:rPr>
    </w:lvl>
    <w:lvl w:ilvl="8">
      <w:numFmt w:val="bullet"/>
      <w:lvlText w:val="•"/>
      <w:lvlJc w:val="left"/>
      <w:pPr>
        <w:ind w:left="7295" w:hanging="380"/>
      </w:pPr>
      <w:rPr>
        <w:rFonts w:hint="default"/>
        <w:lang w:val="es-ES" w:eastAsia="en-US" w:bidi="ar-SA"/>
      </w:rPr>
    </w:lvl>
  </w:abstractNum>
  <w:num w:numId="1">
    <w:abstractNumId w:val="4"/>
  </w:num>
  <w:num w:numId="2">
    <w:abstractNumId w:val="3"/>
  </w:num>
  <w:num w:numId="3">
    <w:abstractNumId w:val="5"/>
  </w:num>
  <w:num w:numId="4">
    <w:abstractNumId w:val="6"/>
  </w:num>
  <w:num w:numId="5">
    <w:abstractNumId w:val="7"/>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
  </w:num>
  <w:num w:numId="9">
    <w:abstractNumId w:val="9"/>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activeWritingStyle w:appName="MSWord" w:lang="es-ES"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6" w:nlCheck="1" w:checkStyle="0"/>
  <w:activeWritingStyle w:appName="MSWord" w:lang="es-ES_tradnl"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4096" w:nlCheck="1" w:checkStyle="0"/>
  <w:activeWritingStyle w:appName="MSWord" w:lang="es-CO" w:vendorID="64" w:dllVersion="0" w:nlCheck="1" w:checkStyle="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9BA"/>
    <w:rsid w:val="000018D4"/>
    <w:rsid w:val="0000280E"/>
    <w:rsid w:val="00002841"/>
    <w:rsid w:val="00002B30"/>
    <w:rsid w:val="00004E4A"/>
    <w:rsid w:val="00005A24"/>
    <w:rsid w:val="00007092"/>
    <w:rsid w:val="000073AC"/>
    <w:rsid w:val="0001011E"/>
    <w:rsid w:val="00010B21"/>
    <w:rsid w:val="0001178C"/>
    <w:rsid w:val="00011C19"/>
    <w:rsid w:val="00012D3B"/>
    <w:rsid w:val="0001321B"/>
    <w:rsid w:val="000144E5"/>
    <w:rsid w:val="00014B1D"/>
    <w:rsid w:val="00014E50"/>
    <w:rsid w:val="0001587F"/>
    <w:rsid w:val="0002058B"/>
    <w:rsid w:val="0002128D"/>
    <w:rsid w:val="00022B41"/>
    <w:rsid w:val="00022C2B"/>
    <w:rsid w:val="0002438E"/>
    <w:rsid w:val="000245BA"/>
    <w:rsid w:val="00025F0D"/>
    <w:rsid w:val="000263B0"/>
    <w:rsid w:val="00030FC5"/>
    <w:rsid w:val="00033726"/>
    <w:rsid w:val="000344F9"/>
    <w:rsid w:val="00034AA9"/>
    <w:rsid w:val="00036094"/>
    <w:rsid w:val="000362E6"/>
    <w:rsid w:val="00037F2A"/>
    <w:rsid w:val="00040923"/>
    <w:rsid w:val="00040E6F"/>
    <w:rsid w:val="00043668"/>
    <w:rsid w:val="00043881"/>
    <w:rsid w:val="0004453E"/>
    <w:rsid w:val="00044758"/>
    <w:rsid w:val="000448CC"/>
    <w:rsid w:val="000453DC"/>
    <w:rsid w:val="00046C88"/>
    <w:rsid w:val="00047C18"/>
    <w:rsid w:val="00047DDF"/>
    <w:rsid w:val="00057438"/>
    <w:rsid w:val="00057FB3"/>
    <w:rsid w:val="00060D9A"/>
    <w:rsid w:val="00062624"/>
    <w:rsid w:val="00062FA1"/>
    <w:rsid w:val="0006305C"/>
    <w:rsid w:val="000649D4"/>
    <w:rsid w:val="000651AE"/>
    <w:rsid w:val="00065EB9"/>
    <w:rsid w:val="00066090"/>
    <w:rsid w:val="00066567"/>
    <w:rsid w:val="000678DE"/>
    <w:rsid w:val="00071C82"/>
    <w:rsid w:val="000720AC"/>
    <w:rsid w:val="000732C7"/>
    <w:rsid w:val="000765A3"/>
    <w:rsid w:val="0007666B"/>
    <w:rsid w:val="000775E4"/>
    <w:rsid w:val="00082182"/>
    <w:rsid w:val="00082186"/>
    <w:rsid w:val="000835DB"/>
    <w:rsid w:val="00083D0E"/>
    <w:rsid w:val="00084818"/>
    <w:rsid w:val="00085C37"/>
    <w:rsid w:val="00086610"/>
    <w:rsid w:val="000867ED"/>
    <w:rsid w:val="00087989"/>
    <w:rsid w:val="000920F0"/>
    <w:rsid w:val="000942EB"/>
    <w:rsid w:val="00094748"/>
    <w:rsid w:val="00097D3C"/>
    <w:rsid w:val="000A000F"/>
    <w:rsid w:val="000A0247"/>
    <w:rsid w:val="000A0343"/>
    <w:rsid w:val="000A4286"/>
    <w:rsid w:val="000A6AAF"/>
    <w:rsid w:val="000A6F0A"/>
    <w:rsid w:val="000B103F"/>
    <w:rsid w:val="000B2324"/>
    <w:rsid w:val="000B324A"/>
    <w:rsid w:val="000C14AA"/>
    <w:rsid w:val="000C23C7"/>
    <w:rsid w:val="000C397B"/>
    <w:rsid w:val="000C6CCE"/>
    <w:rsid w:val="000C786A"/>
    <w:rsid w:val="000C798F"/>
    <w:rsid w:val="000D1FBC"/>
    <w:rsid w:val="000D2573"/>
    <w:rsid w:val="000D30D4"/>
    <w:rsid w:val="000D31C7"/>
    <w:rsid w:val="000D387A"/>
    <w:rsid w:val="000D47EF"/>
    <w:rsid w:val="000D48CC"/>
    <w:rsid w:val="000D6474"/>
    <w:rsid w:val="000D7615"/>
    <w:rsid w:val="000D7BBD"/>
    <w:rsid w:val="000E1284"/>
    <w:rsid w:val="000E1CDD"/>
    <w:rsid w:val="000E2E43"/>
    <w:rsid w:val="000E450F"/>
    <w:rsid w:val="000E7D7E"/>
    <w:rsid w:val="000F0898"/>
    <w:rsid w:val="000F14E8"/>
    <w:rsid w:val="000F19EF"/>
    <w:rsid w:val="000F1F4B"/>
    <w:rsid w:val="000F3DFB"/>
    <w:rsid w:val="000F6DA0"/>
    <w:rsid w:val="00101394"/>
    <w:rsid w:val="001014F5"/>
    <w:rsid w:val="00103915"/>
    <w:rsid w:val="001078E6"/>
    <w:rsid w:val="00111960"/>
    <w:rsid w:val="001160B0"/>
    <w:rsid w:val="001162A5"/>
    <w:rsid w:val="001200ED"/>
    <w:rsid w:val="0012087D"/>
    <w:rsid w:val="00120B80"/>
    <w:rsid w:val="00121D3B"/>
    <w:rsid w:val="00122B23"/>
    <w:rsid w:val="001245D4"/>
    <w:rsid w:val="00124E57"/>
    <w:rsid w:val="00135A40"/>
    <w:rsid w:val="00135DC7"/>
    <w:rsid w:val="00136F74"/>
    <w:rsid w:val="001375C4"/>
    <w:rsid w:val="00137646"/>
    <w:rsid w:val="00137A61"/>
    <w:rsid w:val="00137FFA"/>
    <w:rsid w:val="001438ED"/>
    <w:rsid w:val="001448E6"/>
    <w:rsid w:val="00146025"/>
    <w:rsid w:val="00146856"/>
    <w:rsid w:val="00147224"/>
    <w:rsid w:val="00150009"/>
    <w:rsid w:val="00150A83"/>
    <w:rsid w:val="00152274"/>
    <w:rsid w:val="001522B6"/>
    <w:rsid w:val="0015343F"/>
    <w:rsid w:val="001543F8"/>
    <w:rsid w:val="00154B53"/>
    <w:rsid w:val="00155245"/>
    <w:rsid w:val="00155DAE"/>
    <w:rsid w:val="00155DD9"/>
    <w:rsid w:val="001566B1"/>
    <w:rsid w:val="00156BE4"/>
    <w:rsid w:val="00162380"/>
    <w:rsid w:val="00165A21"/>
    <w:rsid w:val="00166C46"/>
    <w:rsid w:val="00167BF1"/>
    <w:rsid w:val="00171104"/>
    <w:rsid w:val="00171CF4"/>
    <w:rsid w:val="00175A64"/>
    <w:rsid w:val="0018017A"/>
    <w:rsid w:val="00181C2A"/>
    <w:rsid w:val="00183388"/>
    <w:rsid w:val="00184CBC"/>
    <w:rsid w:val="00186338"/>
    <w:rsid w:val="00190812"/>
    <w:rsid w:val="00192F9B"/>
    <w:rsid w:val="00195EF5"/>
    <w:rsid w:val="00196BE5"/>
    <w:rsid w:val="001975AC"/>
    <w:rsid w:val="001A00E2"/>
    <w:rsid w:val="001A153A"/>
    <w:rsid w:val="001A393A"/>
    <w:rsid w:val="001A4318"/>
    <w:rsid w:val="001A5507"/>
    <w:rsid w:val="001A680B"/>
    <w:rsid w:val="001B1847"/>
    <w:rsid w:val="001B1ECB"/>
    <w:rsid w:val="001B23CE"/>
    <w:rsid w:val="001B45E7"/>
    <w:rsid w:val="001C0A60"/>
    <w:rsid w:val="001C0AF7"/>
    <w:rsid w:val="001C16CC"/>
    <w:rsid w:val="001C39DF"/>
    <w:rsid w:val="001C4570"/>
    <w:rsid w:val="001C5E73"/>
    <w:rsid w:val="001D0260"/>
    <w:rsid w:val="001D0A63"/>
    <w:rsid w:val="001D1883"/>
    <w:rsid w:val="001D33D1"/>
    <w:rsid w:val="001D5240"/>
    <w:rsid w:val="001D60DA"/>
    <w:rsid w:val="001D7FE6"/>
    <w:rsid w:val="001E04BA"/>
    <w:rsid w:val="001E05E8"/>
    <w:rsid w:val="001E0B39"/>
    <w:rsid w:val="001E1B39"/>
    <w:rsid w:val="001E1E4A"/>
    <w:rsid w:val="001E2D6F"/>
    <w:rsid w:val="001E40C6"/>
    <w:rsid w:val="001E5ACA"/>
    <w:rsid w:val="001E6B77"/>
    <w:rsid w:val="001F083C"/>
    <w:rsid w:val="001F1672"/>
    <w:rsid w:val="001F515E"/>
    <w:rsid w:val="001F59D8"/>
    <w:rsid w:val="001F5FEF"/>
    <w:rsid w:val="00200B89"/>
    <w:rsid w:val="00200C0F"/>
    <w:rsid w:val="002021C7"/>
    <w:rsid w:val="00202B7A"/>
    <w:rsid w:val="002031DB"/>
    <w:rsid w:val="002047E9"/>
    <w:rsid w:val="00205305"/>
    <w:rsid w:val="00205850"/>
    <w:rsid w:val="00206852"/>
    <w:rsid w:val="00207041"/>
    <w:rsid w:val="00211C31"/>
    <w:rsid w:val="00213804"/>
    <w:rsid w:val="0021714E"/>
    <w:rsid w:val="00220681"/>
    <w:rsid w:val="002236FF"/>
    <w:rsid w:val="00224722"/>
    <w:rsid w:val="00226F3A"/>
    <w:rsid w:val="00227E56"/>
    <w:rsid w:val="002301F1"/>
    <w:rsid w:val="002304C1"/>
    <w:rsid w:val="002315AE"/>
    <w:rsid w:val="00232ECE"/>
    <w:rsid w:val="0023384B"/>
    <w:rsid w:val="00233A64"/>
    <w:rsid w:val="002346F8"/>
    <w:rsid w:val="00234B84"/>
    <w:rsid w:val="00236F7F"/>
    <w:rsid w:val="00240E70"/>
    <w:rsid w:val="0024212A"/>
    <w:rsid w:val="002436DD"/>
    <w:rsid w:val="002456DF"/>
    <w:rsid w:val="00250966"/>
    <w:rsid w:val="00251667"/>
    <w:rsid w:val="002518A6"/>
    <w:rsid w:val="0025429B"/>
    <w:rsid w:val="0025531C"/>
    <w:rsid w:val="00256C1D"/>
    <w:rsid w:val="00261AAE"/>
    <w:rsid w:val="0026505D"/>
    <w:rsid w:val="002654B9"/>
    <w:rsid w:val="00266568"/>
    <w:rsid w:val="002668CC"/>
    <w:rsid w:val="00270911"/>
    <w:rsid w:val="00270A17"/>
    <w:rsid w:val="00270C9A"/>
    <w:rsid w:val="00272F3C"/>
    <w:rsid w:val="00273961"/>
    <w:rsid w:val="0027401B"/>
    <w:rsid w:val="0027497E"/>
    <w:rsid w:val="00276DFC"/>
    <w:rsid w:val="002806D0"/>
    <w:rsid w:val="0028218D"/>
    <w:rsid w:val="00282A6B"/>
    <w:rsid w:val="00283535"/>
    <w:rsid w:val="002871B1"/>
    <w:rsid w:val="0029116C"/>
    <w:rsid w:val="00292D21"/>
    <w:rsid w:val="002934B2"/>
    <w:rsid w:val="0029572E"/>
    <w:rsid w:val="00295D8A"/>
    <w:rsid w:val="002A0F0D"/>
    <w:rsid w:val="002A0F0F"/>
    <w:rsid w:val="002A19C4"/>
    <w:rsid w:val="002A294A"/>
    <w:rsid w:val="002A2CD3"/>
    <w:rsid w:val="002A7C42"/>
    <w:rsid w:val="002B03E5"/>
    <w:rsid w:val="002B17C5"/>
    <w:rsid w:val="002B446C"/>
    <w:rsid w:val="002B6286"/>
    <w:rsid w:val="002B709B"/>
    <w:rsid w:val="002C1EEC"/>
    <w:rsid w:val="002C31BC"/>
    <w:rsid w:val="002C57F2"/>
    <w:rsid w:val="002C68B3"/>
    <w:rsid w:val="002D05DE"/>
    <w:rsid w:val="002D2FF2"/>
    <w:rsid w:val="002D3B38"/>
    <w:rsid w:val="002D57A3"/>
    <w:rsid w:val="002D5D61"/>
    <w:rsid w:val="002D5FFC"/>
    <w:rsid w:val="002D665A"/>
    <w:rsid w:val="002E0C71"/>
    <w:rsid w:val="002E13E0"/>
    <w:rsid w:val="002E1993"/>
    <w:rsid w:val="002E1A34"/>
    <w:rsid w:val="002E424E"/>
    <w:rsid w:val="002E429F"/>
    <w:rsid w:val="002E479E"/>
    <w:rsid w:val="002E4EFE"/>
    <w:rsid w:val="002E654E"/>
    <w:rsid w:val="002E6F80"/>
    <w:rsid w:val="002F1143"/>
    <w:rsid w:val="002F1FE0"/>
    <w:rsid w:val="002F231E"/>
    <w:rsid w:val="002F23C9"/>
    <w:rsid w:val="002F6312"/>
    <w:rsid w:val="002F6F49"/>
    <w:rsid w:val="0030118B"/>
    <w:rsid w:val="003033BA"/>
    <w:rsid w:val="00305329"/>
    <w:rsid w:val="00306222"/>
    <w:rsid w:val="00306763"/>
    <w:rsid w:val="00307033"/>
    <w:rsid w:val="003074FD"/>
    <w:rsid w:val="00307E45"/>
    <w:rsid w:val="003102F2"/>
    <w:rsid w:val="0031059A"/>
    <w:rsid w:val="00310C43"/>
    <w:rsid w:val="00311A86"/>
    <w:rsid w:val="0031275A"/>
    <w:rsid w:val="003127CD"/>
    <w:rsid w:val="003133D1"/>
    <w:rsid w:val="00313974"/>
    <w:rsid w:val="00315651"/>
    <w:rsid w:val="00315A1D"/>
    <w:rsid w:val="00317242"/>
    <w:rsid w:val="003174A5"/>
    <w:rsid w:val="00317949"/>
    <w:rsid w:val="00317BB7"/>
    <w:rsid w:val="00321B8E"/>
    <w:rsid w:val="00325979"/>
    <w:rsid w:val="00326BEF"/>
    <w:rsid w:val="003277AE"/>
    <w:rsid w:val="00327E0D"/>
    <w:rsid w:val="00331A72"/>
    <w:rsid w:val="00331CE3"/>
    <w:rsid w:val="00333156"/>
    <w:rsid w:val="00333CDE"/>
    <w:rsid w:val="003342B2"/>
    <w:rsid w:val="003355DA"/>
    <w:rsid w:val="0033597E"/>
    <w:rsid w:val="003373A4"/>
    <w:rsid w:val="00340AD3"/>
    <w:rsid w:val="00340C37"/>
    <w:rsid w:val="0034119F"/>
    <w:rsid w:val="00341911"/>
    <w:rsid w:val="00341BE6"/>
    <w:rsid w:val="00343194"/>
    <w:rsid w:val="00343AB2"/>
    <w:rsid w:val="003461EA"/>
    <w:rsid w:val="0034680A"/>
    <w:rsid w:val="003477C1"/>
    <w:rsid w:val="00351423"/>
    <w:rsid w:val="00352ABF"/>
    <w:rsid w:val="00352FB2"/>
    <w:rsid w:val="0035397A"/>
    <w:rsid w:val="0035419A"/>
    <w:rsid w:val="0035582B"/>
    <w:rsid w:val="00355E89"/>
    <w:rsid w:val="00356A34"/>
    <w:rsid w:val="00361348"/>
    <w:rsid w:val="0036167C"/>
    <w:rsid w:val="00362709"/>
    <w:rsid w:val="00363BC9"/>
    <w:rsid w:val="003643E8"/>
    <w:rsid w:val="00366AA6"/>
    <w:rsid w:val="0037114A"/>
    <w:rsid w:val="0037229F"/>
    <w:rsid w:val="00373E13"/>
    <w:rsid w:val="003743B6"/>
    <w:rsid w:val="00374F3E"/>
    <w:rsid w:val="003762EE"/>
    <w:rsid w:val="00376854"/>
    <w:rsid w:val="0037781B"/>
    <w:rsid w:val="003829B3"/>
    <w:rsid w:val="003839D0"/>
    <w:rsid w:val="00385978"/>
    <w:rsid w:val="00385DDF"/>
    <w:rsid w:val="00386456"/>
    <w:rsid w:val="00390BDB"/>
    <w:rsid w:val="00390F08"/>
    <w:rsid w:val="00391F77"/>
    <w:rsid w:val="00392A2E"/>
    <w:rsid w:val="0039355B"/>
    <w:rsid w:val="0039398A"/>
    <w:rsid w:val="00393DF4"/>
    <w:rsid w:val="003946F7"/>
    <w:rsid w:val="003950F3"/>
    <w:rsid w:val="00396696"/>
    <w:rsid w:val="00396ABB"/>
    <w:rsid w:val="003976AE"/>
    <w:rsid w:val="003A03E8"/>
    <w:rsid w:val="003A122C"/>
    <w:rsid w:val="003A1A92"/>
    <w:rsid w:val="003A266D"/>
    <w:rsid w:val="003A3B32"/>
    <w:rsid w:val="003A3CF0"/>
    <w:rsid w:val="003A581E"/>
    <w:rsid w:val="003A5E4E"/>
    <w:rsid w:val="003A6BA0"/>
    <w:rsid w:val="003A6EA8"/>
    <w:rsid w:val="003A789C"/>
    <w:rsid w:val="003B03BF"/>
    <w:rsid w:val="003B0BB1"/>
    <w:rsid w:val="003B49A4"/>
    <w:rsid w:val="003B4D4F"/>
    <w:rsid w:val="003B7211"/>
    <w:rsid w:val="003B75E6"/>
    <w:rsid w:val="003C0712"/>
    <w:rsid w:val="003C3A87"/>
    <w:rsid w:val="003C3FB8"/>
    <w:rsid w:val="003C5458"/>
    <w:rsid w:val="003C564B"/>
    <w:rsid w:val="003C5A2E"/>
    <w:rsid w:val="003C77FB"/>
    <w:rsid w:val="003C7BF7"/>
    <w:rsid w:val="003D1833"/>
    <w:rsid w:val="003D5FFB"/>
    <w:rsid w:val="003E1061"/>
    <w:rsid w:val="003E1853"/>
    <w:rsid w:val="003E21E7"/>
    <w:rsid w:val="003E5578"/>
    <w:rsid w:val="003F0256"/>
    <w:rsid w:val="003F2762"/>
    <w:rsid w:val="003F466C"/>
    <w:rsid w:val="003F551E"/>
    <w:rsid w:val="003F5E2E"/>
    <w:rsid w:val="003F5F01"/>
    <w:rsid w:val="003F6DB8"/>
    <w:rsid w:val="003F7100"/>
    <w:rsid w:val="004008EE"/>
    <w:rsid w:val="004026AA"/>
    <w:rsid w:val="00402FFB"/>
    <w:rsid w:val="00403195"/>
    <w:rsid w:val="0040416B"/>
    <w:rsid w:val="00405F6D"/>
    <w:rsid w:val="00412B33"/>
    <w:rsid w:val="00412C94"/>
    <w:rsid w:val="00412E29"/>
    <w:rsid w:val="0041405F"/>
    <w:rsid w:val="0041420E"/>
    <w:rsid w:val="00414B36"/>
    <w:rsid w:val="00414EE8"/>
    <w:rsid w:val="00415E4F"/>
    <w:rsid w:val="00417023"/>
    <w:rsid w:val="004206A4"/>
    <w:rsid w:val="00421CA0"/>
    <w:rsid w:val="0042704E"/>
    <w:rsid w:val="0042797D"/>
    <w:rsid w:val="00427D74"/>
    <w:rsid w:val="004301E2"/>
    <w:rsid w:val="00433063"/>
    <w:rsid w:val="004336EA"/>
    <w:rsid w:val="004345E3"/>
    <w:rsid w:val="004348A1"/>
    <w:rsid w:val="00434F99"/>
    <w:rsid w:val="00435530"/>
    <w:rsid w:val="00435E15"/>
    <w:rsid w:val="00436F07"/>
    <w:rsid w:val="00437E23"/>
    <w:rsid w:val="00440DC5"/>
    <w:rsid w:val="00440E07"/>
    <w:rsid w:val="004422D6"/>
    <w:rsid w:val="00442D02"/>
    <w:rsid w:val="00443588"/>
    <w:rsid w:val="0044423C"/>
    <w:rsid w:val="004473DB"/>
    <w:rsid w:val="00450066"/>
    <w:rsid w:val="00450A8F"/>
    <w:rsid w:val="00450AE7"/>
    <w:rsid w:val="004532B7"/>
    <w:rsid w:val="00454FD6"/>
    <w:rsid w:val="00455DB2"/>
    <w:rsid w:val="00457DF1"/>
    <w:rsid w:val="004604D5"/>
    <w:rsid w:val="00460842"/>
    <w:rsid w:val="00460ED0"/>
    <w:rsid w:val="00461501"/>
    <w:rsid w:val="00461F68"/>
    <w:rsid w:val="00462ECE"/>
    <w:rsid w:val="00464784"/>
    <w:rsid w:val="004649F4"/>
    <w:rsid w:val="00465EED"/>
    <w:rsid w:val="00467068"/>
    <w:rsid w:val="00470363"/>
    <w:rsid w:val="00474F64"/>
    <w:rsid w:val="00476602"/>
    <w:rsid w:val="00477519"/>
    <w:rsid w:val="00482AC2"/>
    <w:rsid w:val="004832BF"/>
    <w:rsid w:val="00483432"/>
    <w:rsid w:val="0048439B"/>
    <w:rsid w:val="0048447C"/>
    <w:rsid w:val="00485259"/>
    <w:rsid w:val="0049042F"/>
    <w:rsid w:val="00491763"/>
    <w:rsid w:val="004938A8"/>
    <w:rsid w:val="00494839"/>
    <w:rsid w:val="00494F71"/>
    <w:rsid w:val="004959F8"/>
    <w:rsid w:val="00495D77"/>
    <w:rsid w:val="0049660B"/>
    <w:rsid w:val="00497A1D"/>
    <w:rsid w:val="004A267D"/>
    <w:rsid w:val="004A278C"/>
    <w:rsid w:val="004A29A5"/>
    <w:rsid w:val="004A2B18"/>
    <w:rsid w:val="004A34D2"/>
    <w:rsid w:val="004A512D"/>
    <w:rsid w:val="004A611F"/>
    <w:rsid w:val="004A6646"/>
    <w:rsid w:val="004B0D78"/>
    <w:rsid w:val="004B1158"/>
    <w:rsid w:val="004B1821"/>
    <w:rsid w:val="004B3D99"/>
    <w:rsid w:val="004B445E"/>
    <w:rsid w:val="004B5235"/>
    <w:rsid w:val="004B5922"/>
    <w:rsid w:val="004B5C3C"/>
    <w:rsid w:val="004B6246"/>
    <w:rsid w:val="004B645B"/>
    <w:rsid w:val="004B794D"/>
    <w:rsid w:val="004B7B59"/>
    <w:rsid w:val="004B7D75"/>
    <w:rsid w:val="004C0279"/>
    <w:rsid w:val="004C0932"/>
    <w:rsid w:val="004C0BB2"/>
    <w:rsid w:val="004C3E7F"/>
    <w:rsid w:val="004C3EDA"/>
    <w:rsid w:val="004C69A1"/>
    <w:rsid w:val="004C6C72"/>
    <w:rsid w:val="004D0CB0"/>
    <w:rsid w:val="004D11C2"/>
    <w:rsid w:val="004D3CCE"/>
    <w:rsid w:val="004D4C8F"/>
    <w:rsid w:val="004D5609"/>
    <w:rsid w:val="004D718B"/>
    <w:rsid w:val="004D7EC4"/>
    <w:rsid w:val="004E16E5"/>
    <w:rsid w:val="004E4D0D"/>
    <w:rsid w:val="004E4E22"/>
    <w:rsid w:val="004E7149"/>
    <w:rsid w:val="004E750B"/>
    <w:rsid w:val="004F0AF3"/>
    <w:rsid w:val="004F1B23"/>
    <w:rsid w:val="004F3091"/>
    <w:rsid w:val="004F4E70"/>
    <w:rsid w:val="004F58AE"/>
    <w:rsid w:val="004F5C0B"/>
    <w:rsid w:val="00501C7C"/>
    <w:rsid w:val="005024CA"/>
    <w:rsid w:val="00502628"/>
    <w:rsid w:val="00502D15"/>
    <w:rsid w:val="005037D6"/>
    <w:rsid w:val="00504448"/>
    <w:rsid w:val="005056CF"/>
    <w:rsid w:val="00507356"/>
    <w:rsid w:val="005079BF"/>
    <w:rsid w:val="0051074C"/>
    <w:rsid w:val="00512B03"/>
    <w:rsid w:val="00512E6D"/>
    <w:rsid w:val="00513AF2"/>
    <w:rsid w:val="0051777B"/>
    <w:rsid w:val="00517808"/>
    <w:rsid w:val="00520772"/>
    <w:rsid w:val="00520794"/>
    <w:rsid w:val="00521AC4"/>
    <w:rsid w:val="00523448"/>
    <w:rsid w:val="0052435B"/>
    <w:rsid w:val="00525274"/>
    <w:rsid w:val="00526515"/>
    <w:rsid w:val="00527802"/>
    <w:rsid w:val="00527C35"/>
    <w:rsid w:val="00530BAB"/>
    <w:rsid w:val="005311CA"/>
    <w:rsid w:val="005313B9"/>
    <w:rsid w:val="00531C8E"/>
    <w:rsid w:val="00534450"/>
    <w:rsid w:val="00535C77"/>
    <w:rsid w:val="0054061C"/>
    <w:rsid w:val="00540BDD"/>
    <w:rsid w:val="005414AC"/>
    <w:rsid w:val="00542C19"/>
    <w:rsid w:val="00543102"/>
    <w:rsid w:val="0054413A"/>
    <w:rsid w:val="00544B92"/>
    <w:rsid w:val="00545E73"/>
    <w:rsid w:val="0054651C"/>
    <w:rsid w:val="00547F13"/>
    <w:rsid w:val="00550C02"/>
    <w:rsid w:val="00550C99"/>
    <w:rsid w:val="00551312"/>
    <w:rsid w:val="00551653"/>
    <w:rsid w:val="00552067"/>
    <w:rsid w:val="00553B5D"/>
    <w:rsid w:val="005542DB"/>
    <w:rsid w:val="005544D0"/>
    <w:rsid w:val="0055487B"/>
    <w:rsid w:val="00555055"/>
    <w:rsid w:val="005550A3"/>
    <w:rsid w:val="005564CA"/>
    <w:rsid w:val="00560A4E"/>
    <w:rsid w:val="00562490"/>
    <w:rsid w:val="005657A2"/>
    <w:rsid w:val="00565C7E"/>
    <w:rsid w:val="00566225"/>
    <w:rsid w:val="00566E6A"/>
    <w:rsid w:val="005705F7"/>
    <w:rsid w:val="0057076F"/>
    <w:rsid w:val="005725DF"/>
    <w:rsid w:val="005731D0"/>
    <w:rsid w:val="0057359F"/>
    <w:rsid w:val="00575217"/>
    <w:rsid w:val="00575B3D"/>
    <w:rsid w:val="00576724"/>
    <w:rsid w:val="00576733"/>
    <w:rsid w:val="00577071"/>
    <w:rsid w:val="00581EBC"/>
    <w:rsid w:val="0058647D"/>
    <w:rsid w:val="00586679"/>
    <w:rsid w:val="005870DF"/>
    <w:rsid w:val="00587E9D"/>
    <w:rsid w:val="0059076C"/>
    <w:rsid w:val="00592A2B"/>
    <w:rsid w:val="00593DB1"/>
    <w:rsid w:val="00593FE9"/>
    <w:rsid w:val="00597889"/>
    <w:rsid w:val="00597B42"/>
    <w:rsid w:val="00597B94"/>
    <w:rsid w:val="005A07BD"/>
    <w:rsid w:val="005A09E8"/>
    <w:rsid w:val="005A0CC4"/>
    <w:rsid w:val="005A2022"/>
    <w:rsid w:val="005A2B7F"/>
    <w:rsid w:val="005A5DA1"/>
    <w:rsid w:val="005A6F36"/>
    <w:rsid w:val="005B01B5"/>
    <w:rsid w:val="005B26EB"/>
    <w:rsid w:val="005B338A"/>
    <w:rsid w:val="005B4444"/>
    <w:rsid w:val="005B50FB"/>
    <w:rsid w:val="005B61E8"/>
    <w:rsid w:val="005B64E3"/>
    <w:rsid w:val="005B74E2"/>
    <w:rsid w:val="005C19F3"/>
    <w:rsid w:val="005C280F"/>
    <w:rsid w:val="005C2A6C"/>
    <w:rsid w:val="005C47CD"/>
    <w:rsid w:val="005C60EB"/>
    <w:rsid w:val="005C6619"/>
    <w:rsid w:val="005C66D8"/>
    <w:rsid w:val="005C7BC1"/>
    <w:rsid w:val="005D1E83"/>
    <w:rsid w:val="005D2381"/>
    <w:rsid w:val="005D3C8F"/>
    <w:rsid w:val="005D47B2"/>
    <w:rsid w:val="005D4946"/>
    <w:rsid w:val="005D6180"/>
    <w:rsid w:val="005D78E7"/>
    <w:rsid w:val="005E124C"/>
    <w:rsid w:val="005E1400"/>
    <w:rsid w:val="005E15AC"/>
    <w:rsid w:val="005E414D"/>
    <w:rsid w:val="005E74B0"/>
    <w:rsid w:val="005E7E46"/>
    <w:rsid w:val="005F0567"/>
    <w:rsid w:val="005F2058"/>
    <w:rsid w:val="005F2C66"/>
    <w:rsid w:val="005F51D1"/>
    <w:rsid w:val="005F5643"/>
    <w:rsid w:val="005F591C"/>
    <w:rsid w:val="005F735D"/>
    <w:rsid w:val="005F7503"/>
    <w:rsid w:val="00604F5A"/>
    <w:rsid w:val="00606144"/>
    <w:rsid w:val="006103E8"/>
    <w:rsid w:val="00611026"/>
    <w:rsid w:val="00612107"/>
    <w:rsid w:val="00613798"/>
    <w:rsid w:val="006137DC"/>
    <w:rsid w:val="00614030"/>
    <w:rsid w:val="00614E0B"/>
    <w:rsid w:val="006160D2"/>
    <w:rsid w:val="00616FD5"/>
    <w:rsid w:val="00620BF2"/>
    <w:rsid w:val="00623442"/>
    <w:rsid w:val="0062496D"/>
    <w:rsid w:val="0063024C"/>
    <w:rsid w:val="00630415"/>
    <w:rsid w:val="006310DC"/>
    <w:rsid w:val="006313A5"/>
    <w:rsid w:val="006324F8"/>
    <w:rsid w:val="006326DB"/>
    <w:rsid w:val="00632865"/>
    <w:rsid w:val="00632E60"/>
    <w:rsid w:val="00633357"/>
    <w:rsid w:val="00634551"/>
    <w:rsid w:val="006359C0"/>
    <w:rsid w:val="00636DBA"/>
    <w:rsid w:val="006376C9"/>
    <w:rsid w:val="00640DDA"/>
    <w:rsid w:val="00640E32"/>
    <w:rsid w:val="006420D0"/>
    <w:rsid w:val="006423F5"/>
    <w:rsid w:val="00642EA9"/>
    <w:rsid w:val="006462AE"/>
    <w:rsid w:val="00646B5C"/>
    <w:rsid w:val="00647FE6"/>
    <w:rsid w:val="00654420"/>
    <w:rsid w:val="00654A2F"/>
    <w:rsid w:val="00654A4D"/>
    <w:rsid w:val="00655371"/>
    <w:rsid w:val="00655762"/>
    <w:rsid w:val="00656BDD"/>
    <w:rsid w:val="00656FCA"/>
    <w:rsid w:val="00660CC8"/>
    <w:rsid w:val="006616E6"/>
    <w:rsid w:val="00661EC2"/>
    <w:rsid w:val="00664B5C"/>
    <w:rsid w:val="006650DF"/>
    <w:rsid w:val="00665D69"/>
    <w:rsid w:val="006673CF"/>
    <w:rsid w:val="00667FF9"/>
    <w:rsid w:val="00671A48"/>
    <w:rsid w:val="00671E09"/>
    <w:rsid w:val="00675CDD"/>
    <w:rsid w:val="00675F48"/>
    <w:rsid w:val="00675FF8"/>
    <w:rsid w:val="006760DE"/>
    <w:rsid w:val="0067611C"/>
    <w:rsid w:val="006773B5"/>
    <w:rsid w:val="00680A59"/>
    <w:rsid w:val="006815A1"/>
    <w:rsid w:val="0068257A"/>
    <w:rsid w:val="00682E0D"/>
    <w:rsid w:val="00683856"/>
    <w:rsid w:val="00685162"/>
    <w:rsid w:val="00686AA5"/>
    <w:rsid w:val="00686E3A"/>
    <w:rsid w:val="00690B55"/>
    <w:rsid w:val="006913CA"/>
    <w:rsid w:val="00691DF1"/>
    <w:rsid w:val="00696576"/>
    <w:rsid w:val="00697665"/>
    <w:rsid w:val="006977A6"/>
    <w:rsid w:val="006A06C5"/>
    <w:rsid w:val="006A22FE"/>
    <w:rsid w:val="006A25C9"/>
    <w:rsid w:val="006A3B75"/>
    <w:rsid w:val="006A5068"/>
    <w:rsid w:val="006A63E2"/>
    <w:rsid w:val="006A67F3"/>
    <w:rsid w:val="006A6B4A"/>
    <w:rsid w:val="006A7981"/>
    <w:rsid w:val="006A7FD0"/>
    <w:rsid w:val="006B0790"/>
    <w:rsid w:val="006B2A4B"/>
    <w:rsid w:val="006B2A81"/>
    <w:rsid w:val="006B3A45"/>
    <w:rsid w:val="006B4DEC"/>
    <w:rsid w:val="006B58E4"/>
    <w:rsid w:val="006B5D02"/>
    <w:rsid w:val="006B74EF"/>
    <w:rsid w:val="006C01CD"/>
    <w:rsid w:val="006C04B6"/>
    <w:rsid w:val="006C1787"/>
    <w:rsid w:val="006C2966"/>
    <w:rsid w:val="006C2EDF"/>
    <w:rsid w:val="006C45E1"/>
    <w:rsid w:val="006C4C2C"/>
    <w:rsid w:val="006C4D46"/>
    <w:rsid w:val="006D1C63"/>
    <w:rsid w:val="006D4157"/>
    <w:rsid w:val="006D6A68"/>
    <w:rsid w:val="006D7687"/>
    <w:rsid w:val="006E0572"/>
    <w:rsid w:val="006E19F4"/>
    <w:rsid w:val="006E3D5D"/>
    <w:rsid w:val="006E5E5D"/>
    <w:rsid w:val="006E69B8"/>
    <w:rsid w:val="006E71B6"/>
    <w:rsid w:val="006E73B1"/>
    <w:rsid w:val="006F344A"/>
    <w:rsid w:val="006F3FD3"/>
    <w:rsid w:val="006F6AE7"/>
    <w:rsid w:val="007026A8"/>
    <w:rsid w:val="007031C5"/>
    <w:rsid w:val="00703690"/>
    <w:rsid w:val="00703DDF"/>
    <w:rsid w:val="00704D2A"/>
    <w:rsid w:val="00705025"/>
    <w:rsid w:val="00705631"/>
    <w:rsid w:val="00714CC7"/>
    <w:rsid w:val="0071524A"/>
    <w:rsid w:val="007155E0"/>
    <w:rsid w:val="00716793"/>
    <w:rsid w:val="007171C0"/>
    <w:rsid w:val="007204C0"/>
    <w:rsid w:val="00720B31"/>
    <w:rsid w:val="007217EF"/>
    <w:rsid w:val="00725873"/>
    <w:rsid w:val="007265C3"/>
    <w:rsid w:val="00726AEA"/>
    <w:rsid w:val="00730FCA"/>
    <w:rsid w:val="007318D8"/>
    <w:rsid w:val="0073240F"/>
    <w:rsid w:val="007330DE"/>
    <w:rsid w:val="0073340B"/>
    <w:rsid w:val="00734381"/>
    <w:rsid w:val="00734538"/>
    <w:rsid w:val="007349F3"/>
    <w:rsid w:val="0073550A"/>
    <w:rsid w:val="00736105"/>
    <w:rsid w:val="00736292"/>
    <w:rsid w:val="007369E4"/>
    <w:rsid w:val="007379DB"/>
    <w:rsid w:val="00737AD0"/>
    <w:rsid w:val="00742AFC"/>
    <w:rsid w:val="00742B02"/>
    <w:rsid w:val="00742DD2"/>
    <w:rsid w:val="00745301"/>
    <w:rsid w:val="00746C26"/>
    <w:rsid w:val="0074765C"/>
    <w:rsid w:val="0075277F"/>
    <w:rsid w:val="00752D13"/>
    <w:rsid w:val="0075345C"/>
    <w:rsid w:val="00754152"/>
    <w:rsid w:val="00754EC0"/>
    <w:rsid w:val="0075647A"/>
    <w:rsid w:val="00757117"/>
    <w:rsid w:val="00760C7C"/>
    <w:rsid w:val="007634AD"/>
    <w:rsid w:val="00763B06"/>
    <w:rsid w:val="00763DF0"/>
    <w:rsid w:val="00766562"/>
    <w:rsid w:val="00770749"/>
    <w:rsid w:val="00770ADC"/>
    <w:rsid w:val="00771BA7"/>
    <w:rsid w:val="00773EE9"/>
    <w:rsid w:val="00773EFA"/>
    <w:rsid w:val="007751AB"/>
    <w:rsid w:val="0077581F"/>
    <w:rsid w:val="00775C7C"/>
    <w:rsid w:val="00775F71"/>
    <w:rsid w:val="00777B18"/>
    <w:rsid w:val="00780F3A"/>
    <w:rsid w:val="0078122E"/>
    <w:rsid w:val="00781432"/>
    <w:rsid w:val="0078331C"/>
    <w:rsid w:val="00786FA5"/>
    <w:rsid w:val="00790165"/>
    <w:rsid w:val="00792CCD"/>
    <w:rsid w:val="00795F60"/>
    <w:rsid w:val="007A00AB"/>
    <w:rsid w:val="007A1640"/>
    <w:rsid w:val="007A3087"/>
    <w:rsid w:val="007A3365"/>
    <w:rsid w:val="007A3575"/>
    <w:rsid w:val="007A36F7"/>
    <w:rsid w:val="007A3878"/>
    <w:rsid w:val="007A45E1"/>
    <w:rsid w:val="007A4F9B"/>
    <w:rsid w:val="007B0854"/>
    <w:rsid w:val="007B2408"/>
    <w:rsid w:val="007B26EA"/>
    <w:rsid w:val="007B350C"/>
    <w:rsid w:val="007B5E4D"/>
    <w:rsid w:val="007C0482"/>
    <w:rsid w:val="007C2BF6"/>
    <w:rsid w:val="007C4999"/>
    <w:rsid w:val="007C5B45"/>
    <w:rsid w:val="007C67B5"/>
    <w:rsid w:val="007C6D53"/>
    <w:rsid w:val="007C745C"/>
    <w:rsid w:val="007D1800"/>
    <w:rsid w:val="007D28D9"/>
    <w:rsid w:val="007D4460"/>
    <w:rsid w:val="007D4E2C"/>
    <w:rsid w:val="007E0012"/>
    <w:rsid w:val="007E07F7"/>
    <w:rsid w:val="007E13BA"/>
    <w:rsid w:val="007E724B"/>
    <w:rsid w:val="007E7D01"/>
    <w:rsid w:val="007F21B2"/>
    <w:rsid w:val="007F306F"/>
    <w:rsid w:val="007F3261"/>
    <w:rsid w:val="007F3788"/>
    <w:rsid w:val="007F40CD"/>
    <w:rsid w:val="007F5CD2"/>
    <w:rsid w:val="007F632A"/>
    <w:rsid w:val="007F6877"/>
    <w:rsid w:val="007F6E86"/>
    <w:rsid w:val="007F72CB"/>
    <w:rsid w:val="008020B4"/>
    <w:rsid w:val="00802410"/>
    <w:rsid w:val="008029C5"/>
    <w:rsid w:val="00802E04"/>
    <w:rsid w:val="00803C53"/>
    <w:rsid w:val="00804199"/>
    <w:rsid w:val="00807B1B"/>
    <w:rsid w:val="00810BC2"/>
    <w:rsid w:val="00810F70"/>
    <w:rsid w:val="008112AE"/>
    <w:rsid w:val="008118F4"/>
    <w:rsid w:val="008119DE"/>
    <w:rsid w:val="00812B27"/>
    <w:rsid w:val="00813D99"/>
    <w:rsid w:val="008150DF"/>
    <w:rsid w:val="00822101"/>
    <w:rsid w:val="0082268C"/>
    <w:rsid w:val="0083119B"/>
    <w:rsid w:val="00834E72"/>
    <w:rsid w:val="0083573C"/>
    <w:rsid w:val="00836AFD"/>
    <w:rsid w:val="00836C3A"/>
    <w:rsid w:val="00836EAB"/>
    <w:rsid w:val="00837248"/>
    <w:rsid w:val="00837349"/>
    <w:rsid w:val="00840D0A"/>
    <w:rsid w:val="00841AF1"/>
    <w:rsid w:val="00841B8A"/>
    <w:rsid w:val="00845BC2"/>
    <w:rsid w:val="00845C82"/>
    <w:rsid w:val="00847A9D"/>
    <w:rsid w:val="00847F78"/>
    <w:rsid w:val="0085092D"/>
    <w:rsid w:val="00852147"/>
    <w:rsid w:val="008538E0"/>
    <w:rsid w:val="00854321"/>
    <w:rsid w:val="00854646"/>
    <w:rsid w:val="008546F7"/>
    <w:rsid w:val="00856133"/>
    <w:rsid w:val="00856268"/>
    <w:rsid w:val="008563D1"/>
    <w:rsid w:val="00860B70"/>
    <w:rsid w:val="00870D79"/>
    <w:rsid w:val="00874D84"/>
    <w:rsid w:val="00875A80"/>
    <w:rsid w:val="008765F0"/>
    <w:rsid w:val="00876A9D"/>
    <w:rsid w:val="0087751D"/>
    <w:rsid w:val="00877CD6"/>
    <w:rsid w:val="00880C42"/>
    <w:rsid w:val="0088101C"/>
    <w:rsid w:val="0088206E"/>
    <w:rsid w:val="0088233B"/>
    <w:rsid w:val="008828E7"/>
    <w:rsid w:val="0088385C"/>
    <w:rsid w:val="00884C8B"/>
    <w:rsid w:val="0088563B"/>
    <w:rsid w:val="008856AE"/>
    <w:rsid w:val="0088659A"/>
    <w:rsid w:val="00886DDE"/>
    <w:rsid w:val="00890EC8"/>
    <w:rsid w:val="00891978"/>
    <w:rsid w:val="00892103"/>
    <w:rsid w:val="00893313"/>
    <w:rsid w:val="00893744"/>
    <w:rsid w:val="00893A01"/>
    <w:rsid w:val="00895A43"/>
    <w:rsid w:val="008A1527"/>
    <w:rsid w:val="008A1750"/>
    <w:rsid w:val="008A1B06"/>
    <w:rsid w:val="008A2636"/>
    <w:rsid w:val="008A4B60"/>
    <w:rsid w:val="008B0FF2"/>
    <w:rsid w:val="008B1E24"/>
    <w:rsid w:val="008B2021"/>
    <w:rsid w:val="008B404F"/>
    <w:rsid w:val="008B4FA2"/>
    <w:rsid w:val="008B5359"/>
    <w:rsid w:val="008B5AED"/>
    <w:rsid w:val="008B6437"/>
    <w:rsid w:val="008B7DB2"/>
    <w:rsid w:val="008C0C45"/>
    <w:rsid w:val="008C36A1"/>
    <w:rsid w:val="008C3A55"/>
    <w:rsid w:val="008C7603"/>
    <w:rsid w:val="008C7B34"/>
    <w:rsid w:val="008D082E"/>
    <w:rsid w:val="008D0D41"/>
    <w:rsid w:val="008D218F"/>
    <w:rsid w:val="008D41C2"/>
    <w:rsid w:val="008D4AE8"/>
    <w:rsid w:val="008D55EA"/>
    <w:rsid w:val="008D6B63"/>
    <w:rsid w:val="008D7FDF"/>
    <w:rsid w:val="008E07D2"/>
    <w:rsid w:val="008E12EE"/>
    <w:rsid w:val="008E1C15"/>
    <w:rsid w:val="008E2789"/>
    <w:rsid w:val="008E3D79"/>
    <w:rsid w:val="008E4385"/>
    <w:rsid w:val="008E58E3"/>
    <w:rsid w:val="008E6270"/>
    <w:rsid w:val="008E76C6"/>
    <w:rsid w:val="008F1674"/>
    <w:rsid w:val="008F180C"/>
    <w:rsid w:val="008F4F08"/>
    <w:rsid w:val="008F67B0"/>
    <w:rsid w:val="008F6974"/>
    <w:rsid w:val="00900C60"/>
    <w:rsid w:val="00900CC0"/>
    <w:rsid w:val="00901F74"/>
    <w:rsid w:val="00902980"/>
    <w:rsid w:val="00903913"/>
    <w:rsid w:val="00904433"/>
    <w:rsid w:val="009047C5"/>
    <w:rsid w:val="009049F3"/>
    <w:rsid w:val="00906117"/>
    <w:rsid w:val="00906DF7"/>
    <w:rsid w:val="00911AE7"/>
    <w:rsid w:val="00911B55"/>
    <w:rsid w:val="00914791"/>
    <w:rsid w:val="00914BEA"/>
    <w:rsid w:val="00914CA9"/>
    <w:rsid w:val="0091733A"/>
    <w:rsid w:val="00917D09"/>
    <w:rsid w:val="00920089"/>
    <w:rsid w:val="009207A6"/>
    <w:rsid w:val="00921E06"/>
    <w:rsid w:val="00921E2E"/>
    <w:rsid w:val="00922B83"/>
    <w:rsid w:val="00924B30"/>
    <w:rsid w:val="00924EBF"/>
    <w:rsid w:val="0092615F"/>
    <w:rsid w:val="00927EAE"/>
    <w:rsid w:val="00931EF5"/>
    <w:rsid w:val="009321E6"/>
    <w:rsid w:val="009329C1"/>
    <w:rsid w:val="0093326F"/>
    <w:rsid w:val="009333DD"/>
    <w:rsid w:val="00934245"/>
    <w:rsid w:val="009343E2"/>
    <w:rsid w:val="00940D6B"/>
    <w:rsid w:val="00943849"/>
    <w:rsid w:val="00943ED3"/>
    <w:rsid w:val="00943FE7"/>
    <w:rsid w:val="00945B7C"/>
    <w:rsid w:val="00947C29"/>
    <w:rsid w:val="00951797"/>
    <w:rsid w:val="0095285B"/>
    <w:rsid w:val="00952EDF"/>
    <w:rsid w:val="0095385A"/>
    <w:rsid w:val="00956410"/>
    <w:rsid w:val="00961031"/>
    <w:rsid w:val="0096486A"/>
    <w:rsid w:val="00964E9B"/>
    <w:rsid w:val="00965839"/>
    <w:rsid w:val="00966C75"/>
    <w:rsid w:val="0097005F"/>
    <w:rsid w:val="009743FB"/>
    <w:rsid w:val="00975738"/>
    <w:rsid w:val="00976237"/>
    <w:rsid w:val="009768F4"/>
    <w:rsid w:val="00977307"/>
    <w:rsid w:val="009777A2"/>
    <w:rsid w:val="009823A4"/>
    <w:rsid w:val="00983F83"/>
    <w:rsid w:val="009840CC"/>
    <w:rsid w:val="00985247"/>
    <w:rsid w:val="009863F1"/>
    <w:rsid w:val="00987DD3"/>
    <w:rsid w:val="00990A5A"/>
    <w:rsid w:val="00990B70"/>
    <w:rsid w:val="00993037"/>
    <w:rsid w:val="00994999"/>
    <w:rsid w:val="009969F2"/>
    <w:rsid w:val="009973A4"/>
    <w:rsid w:val="00997EA9"/>
    <w:rsid w:val="009A0857"/>
    <w:rsid w:val="009A0F89"/>
    <w:rsid w:val="009A1C7B"/>
    <w:rsid w:val="009A1DB3"/>
    <w:rsid w:val="009A2502"/>
    <w:rsid w:val="009A2E9B"/>
    <w:rsid w:val="009A351C"/>
    <w:rsid w:val="009A36E4"/>
    <w:rsid w:val="009A4877"/>
    <w:rsid w:val="009A4DDF"/>
    <w:rsid w:val="009A5FB7"/>
    <w:rsid w:val="009A65FE"/>
    <w:rsid w:val="009A69D9"/>
    <w:rsid w:val="009A7DDF"/>
    <w:rsid w:val="009B223B"/>
    <w:rsid w:val="009B38BA"/>
    <w:rsid w:val="009B7BFB"/>
    <w:rsid w:val="009B7D69"/>
    <w:rsid w:val="009C1B12"/>
    <w:rsid w:val="009C1F9A"/>
    <w:rsid w:val="009C5436"/>
    <w:rsid w:val="009C5B56"/>
    <w:rsid w:val="009C68C5"/>
    <w:rsid w:val="009C6DAA"/>
    <w:rsid w:val="009D169F"/>
    <w:rsid w:val="009D17E4"/>
    <w:rsid w:val="009D1CC6"/>
    <w:rsid w:val="009D2970"/>
    <w:rsid w:val="009D4284"/>
    <w:rsid w:val="009D4A95"/>
    <w:rsid w:val="009D51AB"/>
    <w:rsid w:val="009D5694"/>
    <w:rsid w:val="009D65AE"/>
    <w:rsid w:val="009D71D6"/>
    <w:rsid w:val="009D72B1"/>
    <w:rsid w:val="009D768B"/>
    <w:rsid w:val="009E134A"/>
    <w:rsid w:val="009E2041"/>
    <w:rsid w:val="009E2F26"/>
    <w:rsid w:val="009E3931"/>
    <w:rsid w:val="009E58DB"/>
    <w:rsid w:val="009F3049"/>
    <w:rsid w:val="009F387C"/>
    <w:rsid w:val="009F3E39"/>
    <w:rsid w:val="009F4F5C"/>
    <w:rsid w:val="009F7878"/>
    <w:rsid w:val="00A00480"/>
    <w:rsid w:val="00A009C1"/>
    <w:rsid w:val="00A018CF"/>
    <w:rsid w:val="00A0366E"/>
    <w:rsid w:val="00A037EA"/>
    <w:rsid w:val="00A03FFA"/>
    <w:rsid w:val="00A04EE6"/>
    <w:rsid w:val="00A064D1"/>
    <w:rsid w:val="00A0747C"/>
    <w:rsid w:val="00A131D8"/>
    <w:rsid w:val="00A14ED6"/>
    <w:rsid w:val="00A14FEA"/>
    <w:rsid w:val="00A15652"/>
    <w:rsid w:val="00A15E6A"/>
    <w:rsid w:val="00A17D5A"/>
    <w:rsid w:val="00A20899"/>
    <w:rsid w:val="00A24560"/>
    <w:rsid w:val="00A252F8"/>
    <w:rsid w:val="00A25924"/>
    <w:rsid w:val="00A311BE"/>
    <w:rsid w:val="00A3135A"/>
    <w:rsid w:val="00A31FAF"/>
    <w:rsid w:val="00A33107"/>
    <w:rsid w:val="00A34538"/>
    <w:rsid w:val="00A348B5"/>
    <w:rsid w:val="00A35DB0"/>
    <w:rsid w:val="00A366C0"/>
    <w:rsid w:val="00A37325"/>
    <w:rsid w:val="00A4284F"/>
    <w:rsid w:val="00A44ADA"/>
    <w:rsid w:val="00A457BC"/>
    <w:rsid w:val="00A46B58"/>
    <w:rsid w:val="00A502C3"/>
    <w:rsid w:val="00A50BA7"/>
    <w:rsid w:val="00A55589"/>
    <w:rsid w:val="00A55593"/>
    <w:rsid w:val="00A568E5"/>
    <w:rsid w:val="00A6031B"/>
    <w:rsid w:val="00A60F23"/>
    <w:rsid w:val="00A6135D"/>
    <w:rsid w:val="00A61BAB"/>
    <w:rsid w:val="00A63214"/>
    <w:rsid w:val="00A63550"/>
    <w:rsid w:val="00A637F0"/>
    <w:rsid w:val="00A64A3E"/>
    <w:rsid w:val="00A64D34"/>
    <w:rsid w:val="00A66B56"/>
    <w:rsid w:val="00A66CB6"/>
    <w:rsid w:val="00A67701"/>
    <w:rsid w:val="00A70D3C"/>
    <w:rsid w:val="00A7259A"/>
    <w:rsid w:val="00A7306C"/>
    <w:rsid w:val="00A74421"/>
    <w:rsid w:val="00A80531"/>
    <w:rsid w:val="00A80657"/>
    <w:rsid w:val="00A80A35"/>
    <w:rsid w:val="00A8155D"/>
    <w:rsid w:val="00A81A2A"/>
    <w:rsid w:val="00A82798"/>
    <w:rsid w:val="00A83FAF"/>
    <w:rsid w:val="00A846F0"/>
    <w:rsid w:val="00A872E4"/>
    <w:rsid w:val="00A90376"/>
    <w:rsid w:val="00A911F3"/>
    <w:rsid w:val="00A92F8F"/>
    <w:rsid w:val="00A94854"/>
    <w:rsid w:val="00A963E6"/>
    <w:rsid w:val="00A965EF"/>
    <w:rsid w:val="00A97BA9"/>
    <w:rsid w:val="00AA0108"/>
    <w:rsid w:val="00AA2FA4"/>
    <w:rsid w:val="00AA442B"/>
    <w:rsid w:val="00AA5AF7"/>
    <w:rsid w:val="00AA5DE7"/>
    <w:rsid w:val="00AB019E"/>
    <w:rsid w:val="00AB0CF9"/>
    <w:rsid w:val="00AB22AC"/>
    <w:rsid w:val="00AB519E"/>
    <w:rsid w:val="00AB71ED"/>
    <w:rsid w:val="00AC284A"/>
    <w:rsid w:val="00AC2F83"/>
    <w:rsid w:val="00AC4A88"/>
    <w:rsid w:val="00AC604E"/>
    <w:rsid w:val="00AC7AF0"/>
    <w:rsid w:val="00AD0301"/>
    <w:rsid w:val="00AD1BC5"/>
    <w:rsid w:val="00AD2AE0"/>
    <w:rsid w:val="00AD2F6D"/>
    <w:rsid w:val="00AD44F4"/>
    <w:rsid w:val="00AD4D7E"/>
    <w:rsid w:val="00AD5641"/>
    <w:rsid w:val="00AD73B1"/>
    <w:rsid w:val="00AD7629"/>
    <w:rsid w:val="00AD7A70"/>
    <w:rsid w:val="00AE2836"/>
    <w:rsid w:val="00AE496A"/>
    <w:rsid w:val="00AE7CA2"/>
    <w:rsid w:val="00AF0146"/>
    <w:rsid w:val="00AF080A"/>
    <w:rsid w:val="00AF13C5"/>
    <w:rsid w:val="00AF1ECB"/>
    <w:rsid w:val="00AF379D"/>
    <w:rsid w:val="00AF3B59"/>
    <w:rsid w:val="00AF3C31"/>
    <w:rsid w:val="00AF5311"/>
    <w:rsid w:val="00AF6C24"/>
    <w:rsid w:val="00B009B4"/>
    <w:rsid w:val="00B018FE"/>
    <w:rsid w:val="00B02308"/>
    <w:rsid w:val="00B03B42"/>
    <w:rsid w:val="00B050FF"/>
    <w:rsid w:val="00B061F8"/>
    <w:rsid w:val="00B07589"/>
    <w:rsid w:val="00B105C8"/>
    <w:rsid w:val="00B113BF"/>
    <w:rsid w:val="00B12934"/>
    <w:rsid w:val="00B1340D"/>
    <w:rsid w:val="00B13824"/>
    <w:rsid w:val="00B13A80"/>
    <w:rsid w:val="00B14412"/>
    <w:rsid w:val="00B14514"/>
    <w:rsid w:val="00B1474F"/>
    <w:rsid w:val="00B14DB7"/>
    <w:rsid w:val="00B16D71"/>
    <w:rsid w:val="00B21C77"/>
    <w:rsid w:val="00B22E22"/>
    <w:rsid w:val="00B2375A"/>
    <w:rsid w:val="00B246F2"/>
    <w:rsid w:val="00B251F5"/>
    <w:rsid w:val="00B254BA"/>
    <w:rsid w:val="00B26B41"/>
    <w:rsid w:val="00B27137"/>
    <w:rsid w:val="00B308CC"/>
    <w:rsid w:val="00B30B07"/>
    <w:rsid w:val="00B34319"/>
    <w:rsid w:val="00B34437"/>
    <w:rsid w:val="00B34CA4"/>
    <w:rsid w:val="00B35A49"/>
    <w:rsid w:val="00B36042"/>
    <w:rsid w:val="00B375CA"/>
    <w:rsid w:val="00B40151"/>
    <w:rsid w:val="00B417C9"/>
    <w:rsid w:val="00B42A23"/>
    <w:rsid w:val="00B42F19"/>
    <w:rsid w:val="00B442BB"/>
    <w:rsid w:val="00B448AF"/>
    <w:rsid w:val="00B45B98"/>
    <w:rsid w:val="00B473D1"/>
    <w:rsid w:val="00B50B3D"/>
    <w:rsid w:val="00B525CB"/>
    <w:rsid w:val="00B5723A"/>
    <w:rsid w:val="00B615BB"/>
    <w:rsid w:val="00B61EAF"/>
    <w:rsid w:val="00B628C8"/>
    <w:rsid w:val="00B63CB2"/>
    <w:rsid w:val="00B64914"/>
    <w:rsid w:val="00B67830"/>
    <w:rsid w:val="00B734AF"/>
    <w:rsid w:val="00B73E50"/>
    <w:rsid w:val="00B7415E"/>
    <w:rsid w:val="00B7625C"/>
    <w:rsid w:val="00B76CDB"/>
    <w:rsid w:val="00B80A0C"/>
    <w:rsid w:val="00B81B4F"/>
    <w:rsid w:val="00B83689"/>
    <w:rsid w:val="00B83959"/>
    <w:rsid w:val="00B83E31"/>
    <w:rsid w:val="00B85CB0"/>
    <w:rsid w:val="00B86742"/>
    <w:rsid w:val="00B86E19"/>
    <w:rsid w:val="00B9214A"/>
    <w:rsid w:val="00B9228C"/>
    <w:rsid w:val="00B924AA"/>
    <w:rsid w:val="00B93C15"/>
    <w:rsid w:val="00B93EB4"/>
    <w:rsid w:val="00B94453"/>
    <w:rsid w:val="00B955E0"/>
    <w:rsid w:val="00B96EEB"/>
    <w:rsid w:val="00B972C9"/>
    <w:rsid w:val="00BA2A4A"/>
    <w:rsid w:val="00BA2D3A"/>
    <w:rsid w:val="00BA5331"/>
    <w:rsid w:val="00BA7E88"/>
    <w:rsid w:val="00BB094C"/>
    <w:rsid w:val="00BB20AF"/>
    <w:rsid w:val="00BB343D"/>
    <w:rsid w:val="00BB4442"/>
    <w:rsid w:val="00BB52CB"/>
    <w:rsid w:val="00BB6594"/>
    <w:rsid w:val="00BB6E3C"/>
    <w:rsid w:val="00BC00B1"/>
    <w:rsid w:val="00BC10B9"/>
    <w:rsid w:val="00BC2E1A"/>
    <w:rsid w:val="00BC3CF6"/>
    <w:rsid w:val="00BC4624"/>
    <w:rsid w:val="00BC4A98"/>
    <w:rsid w:val="00BC5927"/>
    <w:rsid w:val="00BC75EB"/>
    <w:rsid w:val="00BD115B"/>
    <w:rsid w:val="00BD1CED"/>
    <w:rsid w:val="00BD28D5"/>
    <w:rsid w:val="00BD531D"/>
    <w:rsid w:val="00BD5C8F"/>
    <w:rsid w:val="00BD78FE"/>
    <w:rsid w:val="00BE020D"/>
    <w:rsid w:val="00BE051B"/>
    <w:rsid w:val="00BE15CF"/>
    <w:rsid w:val="00BE2414"/>
    <w:rsid w:val="00BE30AE"/>
    <w:rsid w:val="00BF0AE6"/>
    <w:rsid w:val="00BF1286"/>
    <w:rsid w:val="00BF1C20"/>
    <w:rsid w:val="00BF1F2C"/>
    <w:rsid w:val="00BF3F8D"/>
    <w:rsid w:val="00BF5F64"/>
    <w:rsid w:val="00BF616F"/>
    <w:rsid w:val="00C00B13"/>
    <w:rsid w:val="00C00EE1"/>
    <w:rsid w:val="00C03C90"/>
    <w:rsid w:val="00C04442"/>
    <w:rsid w:val="00C05BB1"/>
    <w:rsid w:val="00C05D8E"/>
    <w:rsid w:val="00C07ED0"/>
    <w:rsid w:val="00C1022B"/>
    <w:rsid w:val="00C10447"/>
    <w:rsid w:val="00C1187E"/>
    <w:rsid w:val="00C142C8"/>
    <w:rsid w:val="00C15D32"/>
    <w:rsid w:val="00C166F7"/>
    <w:rsid w:val="00C205DB"/>
    <w:rsid w:val="00C2159E"/>
    <w:rsid w:val="00C216A9"/>
    <w:rsid w:val="00C21D03"/>
    <w:rsid w:val="00C24E53"/>
    <w:rsid w:val="00C253B9"/>
    <w:rsid w:val="00C25B27"/>
    <w:rsid w:val="00C309EC"/>
    <w:rsid w:val="00C3265D"/>
    <w:rsid w:val="00C32FA9"/>
    <w:rsid w:val="00C3420D"/>
    <w:rsid w:val="00C34CD8"/>
    <w:rsid w:val="00C34E5D"/>
    <w:rsid w:val="00C3799C"/>
    <w:rsid w:val="00C41CC9"/>
    <w:rsid w:val="00C44B05"/>
    <w:rsid w:val="00C45264"/>
    <w:rsid w:val="00C4683E"/>
    <w:rsid w:val="00C46F19"/>
    <w:rsid w:val="00C518B8"/>
    <w:rsid w:val="00C53893"/>
    <w:rsid w:val="00C539EC"/>
    <w:rsid w:val="00C53B49"/>
    <w:rsid w:val="00C55CE9"/>
    <w:rsid w:val="00C57F52"/>
    <w:rsid w:val="00C60A6C"/>
    <w:rsid w:val="00C61FA4"/>
    <w:rsid w:val="00C6215B"/>
    <w:rsid w:val="00C62DB7"/>
    <w:rsid w:val="00C63E6D"/>
    <w:rsid w:val="00C6470F"/>
    <w:rsid w:val="00C64854"/>
    <w:rsid w:val="00C660E1"/>
    <w:rsid w:val="00C66325"/>
    <w:rsid w:val="00C6742E"/>
    <w:rsid w:val="00C6749A"/>
    <w:rsid w:val="00C676B2"/>
    <w:rsid w:val="00C70828"/>
    <w:rsid w:val="00C70B6F"/>
    <w:rsid w:val="00C743E9"/>
    <w:rsid w:val="00C75CF1"/>
    <w:rsid w:val="00C76B72"/>
    <w:rsid w:val="00C84725"/>
    <w:rsid w:val="00C90033"/>
    <w:rsid w:val="00C9033A"/>
    <w:rsid w:val="00C92C93"/>
    <w:rsid w:val="00C93D81"/>
    <w:rsid w:val="00CA3AC3"/>
    <w:rsid w:val="00CA474A"/>
    <w:rsid w:val="00CA4E1C"/>
    <w:rsid w:val="00CA6A4C"/>
    <w:rsid w:val="00CA6AE8"/>
    <w:rsid w:val="00CA6D91"/>
    <w:rsid w:val="00CB0646"/>
    <w:rsid w:val="00CB2848"/>
    <w:rsid w:val="00CB4647"/>
    <w:rsid w:val="00CB48B2"/>
    <w:rsid w:val="00CB4F58"/>
    <w:rsid w:val="00CB5153"/>
    <w:rsid w:val="00CB60EC"/>
    <w:rsid w:val="00CC00CD"/>
    <w:rsid w:val="00CC1E8F"/>
    <w:rsid w:val="00CC2908"/>
    <w:rsid w:val="00CC5461"/>
    <w:rsid w:val="00CC5C83"/>
    <w:rsid w:val="00CC6744"/>
    <w:rsid w:val="00CC704B"/>
    <w:rsid w:val="00CD0EFB"/>
    <w:rsid w:val="00CD1D8A"/>
    <w:rsid w:val="00CD2FA0"/>
    <w:rsid w:val="00CD56AA"/>
    <w:rsid w:val="00CD66DC"/>
    <w:rsid w:val="00CD76F0"/>
    <w:rsid w:val="00CD7776"/>
    <w:rsid w:val="00CE1E9A"/>
    <w:rsid w:val="00CE5088"/>
    <w:rsid w:val="00CE65B0"/>
    <w:rsid w:val="00CE68C6"/>
    <w:rsid w:val="00CE762D"/>
    <w:rsid w:val="00CF29EA"/>
    <w:rsid w:val="00CF2ABC"/>
    <w:rsid w:val="00CF40C0"/>
    <w:rsid w:val="00CF478D"/>
    <w:rsid w:val="00CF6D74"/>
    <w:rsid w:val="00D0147E"/>
    <w:rsid w:val="00D01A82"/>
    <w:rsid w:val="00D035F8"/>
    <w:rsid w:val="00D05420"/>
    <w:rsid w:val="00D06915"/>
    <w:rsid w:val="00D06ADE"/>
    <w:rsid w:val="00D1574C"/>
    <w:rsid w:val="00D15B6E"/>
    <w:rsid w:val="00D16312"/>
    <w:rsid w:val="00D16E39"/>
    <w:rsid w:val="00D2246B"/>
    <w:rsid w:val="00D234DF"/>
    <w:rsid w:val="00D246C2"/>
    <w:rsid w:val="00D27700"/>
    <w:rsid w:val="00D305BD"/>
    <w:rsid w:val="00D30743"/>
    <w:rsid w:val="00D32D01"/>
    <w:rsid w:val="00D32E17"/>
    <w:rsid w:val="00D32EBE"/>
    <w:rsid w:val="00D33BCF"/>
    <w:rsid w:val="00D345B5"/>
    <w:rsid w:val="00D34731"/>
    <w:rsid w:val="00D3720F"/>
    <w:rsid w:val="00D40D8E"/>
    <w:rsid w:val="00D40FAB"/>
    <w:rsid w:val="00D41158"/>
    <w:rsid w:val="00D41D66"/>
    <w:rsid w:val="00D42C78"/>
    <w:rsid w:val="00D4348E"/>
    <w:rsid w:val="00D44FB5"/>
    <w:rsid w:val="00D4574F"/>
    <w:rsid w:val="00D4699F"/>
    <w:rsid w:val="00D50075"/>
    <w:rsid w:val="00D51603"/>
    <w:rsid w:val="00D52820"/>
    <w:rsid w:val="00D52B6D"/>
    <w:rsid w:val="00D5365B"/>
    <w:rsid w:val="00D54877"/>
    <w:rsid w:val="00D553D7"/>
    <w:rsid w:val="00D567A9"/>
    <w:rsid w:val="00D6034C"/>
    <w:rsid w:val="00D6361B"/>
    <w:rsid w:val="00D64A4A"/>
    <w:rsid w:val="00D65DDA"/>
    <w:rsid w:val="00D709EF"/>
    <w:rsid w:val="00D72E9D"/>
    <w:rsid w:val="00D73430"/>
    <w:rsid w:val="00D747D7"/>
    <w:rsid w:val="00D74C23"/>
    <w:rsid w:val="00D74C57"/>
    <w:rsid w:val="00D77187"/>
    <w:rsid w:val="00D82CE5"/>
    <w:rsid w:val="00D8507B"/>
    <w:rsid w:val="00D855EC"/>
    <w:rsid w:val="00D85B4F"/>
    <w:rsid w:val="00D90696"/>
    <w:rsid w:val="00D914DA"/>
    <w:rsid w:val="00D91B83"/>
    <w:rsid w:val="00D91DB7"/>
    <w:rsid w:val="00D9271F"/>
    <w:rsid w:val="00D936D0"/>
    <w:rsid w:val="00D93E4B"/>
    <w:rsid w:val="00D9433E"/>
    <w:rsid w:val="00D94DAE"/>
    <w:rsid w:val="00D94FAE"/>
    <w:rsid w:val="00D95624"/>
    <w:rsid w:val="00D97469"/>
    <w:rsid w:val="00DA0439"/>
    <w:rsid w:val="00DA0775"/>
    <w:rsid w:val="00DA311A"/>
    <w:rsid w:val="00DA5AB1"/>
    <w:rsid w:val="00DA6FB5"/>
    <w:rsid w:val="00DA7425"/>
    <w:rsid w:val="00DB11B2"/>
    <w:rsid w:val="00DB1204"/>
    <w:rsid w:val="00DB3B65"/>
    <w:rsid w:val="00DB5599"/>
    <w:rsid w:val="00DB5918"/>
    <w:rsid w:val="00DB6907"/>
    <w:rsid w:val="00DB710D"/>
    <w:rsid w:val="00DC08E1"/>
    <w:rsid w:val="00DC1AB6"/>
    <w:rsid w:val="00DC36CE"/>
    <w:rsid w:val="00DC3B5B"/>
    <w:rsid w:val="00DC3CF1"/>
    <w:rsid w:val="00DC3EF6"/>
    <w:rsid w:val="00DC53D7"/>
    <w:rsid w:val="00DC5733"/>
    <w:rsid w:val="00DC5DE5"/>
    <w:rsid w:val="00DC6019"/>
    <w:rsid w:val="00DC62E5"/>
    <w:rsid w:val="00DD002F"/>
    <w:rsid w:val="00DD514A"/>
    <w:rsid w:val="00DD5FCE"/>
    <w:rsid w:val="00DD6C69"/>
    <w:rsid w:val="00DD6C91"/>
    <w:rsid w:val="00DD735D"/>
    <w:rsid w:val="00DE057F"/>
    <w:rsid w:val="00DE100A"/>
    <w:rsid w:val="00DE1A24"/>
    <w:rsid w:val="00DE3119"/>
    <w:rsid w:val="00DE3771"/>
    <w:rsid w:val="00DE53B3"/>
    <w:rsid w:val="00DE540F"/>
    <w:rsid w:val="00DE63CA"/>
    <w:rsid w:val="00DE6469"/>
    <w:rsid w:val="00DF09A8"/>
    <w:rsid w:val="00DF107A"/>
    <w:rsid w:val="00DF167C"/>
    <w:rsid w:val="00DF198C"/>
    <w:rsid w:val="00DF236B"/>
    <w:rsid w:val="00DF3197"/>
    <w:rsid w:val="00DF3271"/>
    <w:rsid w:val="00DF42F1"/>
    <w:rsid w:val="00DF59D6"/>
    <w:rsid w:val="00DF7ACB"/>
    <w:rsid w:val="00E01639"/>
    <w:rsid w:val="00E01F0B"/>
    <w:rsid w:val="00E0222A"/>
    <w:rsid w:val="00E03888"/>
    <w:rsid w:val="00E045BE"/>
    <w:rsid w:val="00E05934"/>
    <w:rsid w:val="00E07BC7"/>
    <w:rsid w:val="00E10A23"/>
    <w:rsid w:val="00E1123E"/>
    <w:rsid w:val="00E1209F"/>
    <w:rsid w:val="00E126C1"/>
    <w:rsid w:val="00E1277F"/>
    <w:rsid w:val="00E129E9"/>
    <w:rsid w:val="00E13AB8"/>
    <w:rsid w:val="00E13C3F"/>
    <w:rsid w:val="00E14CEA"/>
    <w:rsid w:val="00E1511F"/>
    <w:rsid w:val="00E16BBA"/>
    <w:rsid w:val="00E173AD"/>
    <w:rsid w:val="00E17E1B"/>
    <w:rsid w:val="00E20955"/>
    <w:rsid w:val="00E214DF"/>
    <w:rsid w:val="00E242B9"/>
    <w:rsid w:val="00E25651"/>
    <w:rsid w:val="00E25D1B"/>
    <w:rsid w:val="00E267C6"/>
    <w:rsid w:val="00E2690F"/>
    <w:rsid w:val="00E26CA4"/>
    <w:rsid w:val="00E275BF"/>
    <w:rsid w:val="00E32050"/>
    <w:rsid w:val="00E32500"/>
    <w:rsid w:val="00E3337D"/>
    <w:rsid w:val="00E33B62"/>
    <w:rsid w:val="00E351A3"/>
    <w:rsid w:val="00E36BCA"/>
    <w:rsid w:val="00E36C78"/>
    <w:rsid w:val="00E3785C"/>
    <w:rsid w:val="00E4169B"/>
    <w:rsid w:val="00E429C3"/>
    <w:rsid w:val="00E42F19"/>
    <w:rsid w:val="00E437AE"/>
    <w:rsid w:val="00E476B7"/>
    <w:rsid w:val="00E5140F"/>
    <w:rsid w:val="00E51569"/>
    <w:rsid w:val="00E51ECE"/>
    <w:rsid w:val="00E53698"/>
    <w:rsid w:val="00E5448D"/>
    <w:rsid w:val="00E5489A"/>
    <w:rsid w:val="00E56F95"/>
    <w:rsid w:val="00E60ADC"/>
    <w:rsid w:val="00E63F16"/>
    <w:rsid w:val="00E64032"/>
    <w:rsid w:val="00E641C8"/>
    <w:rsid w:val="00E64347"/>
    <w:rsid w:val="00E64E54"/>
    <w:rsid w:val="00E6697B"/>
    <w:rsid w:val="00E66D8E"/>
    <w:rsid w:val="00E71BA4"/>
    <w:rsid w:val="00E72688"/>
    <w:rsid w:val="00E728F0"/>
    <w:rsid w:val="00E72932"/>
    <w:rsid w:val="00E773CD"/>
    <w:rsid w:val="00E822B0"/>
    <w:rsid w:val="00E82BE2"/>
    <w:rsid w:val="00E86340"/>
    <w:rsid w:val="00E86589"/>
    <w:rsid w:val="00E86805"/>
    <w:rsid w:val="00E932D4"/>
    <w:rsid w:val="00E932EF"/>
    <w:rsid w:val="00E93D64"/>
    <w:rsid w:val="00E93F32"/>
    <w:rsid w:val="00E9469D"/>
    <w:rsid w:val="00E97868"/>
    <w:rsid w:val="00E97974"/>
    <w:rsid w:val="00E97A9B"/>
    <w:rsid w:val="00EA0062"/>
    <w:rsid w:val="00EA1D29"/>
    <w:rsid w:val="00EA2E32"/>
    <w:rsid w:val="00EA49E7"/>
    <w:rsid w:val="00EA5627"/>
    <w:rsid w:val="00EA7FF3"/>
    <w:rsid w:val="00EB0CD1"/>
    <w:rsid w:val="00EB2207"/>
    <w:rsid w:val="00EB31E8"/>
    <w:rsid w:val="00EB39F0"/>
    <w:rsid w:val="00EB3CC9"/>
    <w:rsid w:val="00EB4517"/>
    <w:rsid w:val="00EB4E60"/>
    <w:rsid w:val="00EB61CA"/>
    <w:rsid w:val="00EB66BC"/>
    <w:rsid w:val="00EB66DA"/>
    <w:rsid w:val="00EB77D4"/>
    <w:rsid w:val="00EC0496"/>
    <w:rsid w:val="00EC0612"/>
    <w:rsid w:val="00EC0A6A"/>
    <w:rsid w:val="00EC152A"/>
    <w:rsid w:val="00EC1EEA"/>
    <w:rsid w:val="00EC35C7"/>
    <w:rsid w:val="00EC4003"/>
    <w:rsid w:val="00EC69AE"/>
    <w:rsid w:val="00ED0712"/>
    <w:rsid w:val="00ED1923"/>
    <w:rsid w:val="00ED1CBE"/>
    <w:rsid w:val="00ED23DD"/>
    <w:rsid w:val="00ED41FD"/>
    <w:rsid w:val="00ED4F9F"/>
    <w:rsid w:val="00ED520C"/>
    <w:rsid w:val="00EE21CC"/>
    <w:rsid w:val="00EE2FB0"/>
    <w:rsid w:val="00EE461A"/>
    <w:rsid w:val="00EE4899"/>
    <w:rsid w:val="00EE5B35"/>
    <w:rsid w:val="00EE5BFD"/>
    <w:rsid w:val="00EE5D34"/>
    <w:rsid w:val="00EE6725"/>
    <w:rsid w:val="00EE759C"/>
    <w:rsid w:val="00EE7F0C"/>
    <w:rsid w:val="00EF0630"/>
    <w:rsid w:val="00EF16B4"/>
    <w:rsid w:val="00EF1743"/>
    <w:rsid w:val="00EF2AB2"/>
    <w:rsid w:val="00EF2B13"/>
    <w:rsid w:val="00EF2DE9"/>
    <w:rsid w:val="00EF51AA"/>
    <w:rsid w:val="00EF74C8"/>
    <w:rsid w:val="00EF795E"/>
    <w:rsid w:val="00F0016A"/>
    <w:rsid w:val="00F00368"/>
    <w:rsid w:val="00F00C5A"/>
    <w:rsid w:val="00F043F9"/>
    <w:rsid w:val="00F069A3"/>
    <w:rsid w:val="00F06DDB"/>
    <w:rsid w:val="00F07E74"/>
    <w:rsid w:val="00F106B5"/>
    <w:rsid w:val="00F11757"/>
    <w:rsid w:val="00F118CE"/>
    <w:rsid w:val="00F125C1"/>
    <w:rsid w:val="00F12FEC"/>
    <w:rsid w:val="00F2171E"/>
    <w:rsid w:val="00F24737"/>
    <w:rsid w:val="00F26416"/>
    <w:rsid w:val="00F265D4"/>
    <w:rsid w:val="00F337D5"/>
    <w:rsid w:val="00F33ED0"/>
    <w:rsid w:val="00F35235"/>
    <w:rsid w:val="00F35EF3"/>
    <w:rsid w:val="00F369A7"/>
    <w:rsid w:val="00F37136"/>
    <w:rsid w:val="00F37C95"/>
    <w:rsid w:val="00F40429"/>
    <w:rsid w:val="00F44108"/>
    <w:rsid w:val="00F442A2"/>
    <w:rsid w:val="00F44916"/>
    <w:rsid w:val="00F44975"/>
    <w:rsid w:val="00F44C8B"/>
    <w:rsid w:val="00F456F9"/>
    <w:rsid w:val="00F458C6"/>
    <w:rsid w:val="00F46458"/>
    <w:rsid w:val="00F4653A"/>
    <w:rsid w:val="00F46984"/>
    <w:rsid w:val="00F471A4"/>
    <w:rsid w:val="00F47476"/>
    <w:rsid w:val="00F47546"/>
    <w:rsid w:val="00F50DDA"/>
    <w:rsid w:val="00F51A49"/>
    <w:rsid w:val="00F54047"/>
    <w:rsid w:val="00F5470E"/>
    <w:rsid w:val="00F548D5"/>
    <w:rsid w:val="00F554B9"/>
    <w:rsid w:val="00F572FA"/>
    <w:rsid w:val="00F60F4D"/>
    <w:rsid w:val="00F6177E"/>
    <w:rsid w:val="00F63C52"/>
    <w:rsid w:val="00F646C8"/>
    <w:rsid w:val="00F64A14"/>
    <w:rsid w:val="00F6506D"/>
    <w:rsid w:val="00F70AE0"/>
    <w:rsid w:val="00F71F95"/>
    <w:rsid w:val="00F727D9"/>
    <w:rsid w:val="00F72FBA"/>
    <w:rsid w:val="00F740F2"/>
    <w:rsid w:val="00F74230"/>
    <w:rsid w:val="00F74474"/>
    <w:rsid w:val="00F74527"/>
    <w:rsid w:val="00F75589"/>
    <w:rsid w:val="00F755D0"/>
    <w:rsid w:val="00F768DE"/>
    <w:rsid w:val="00F77649"/>
    <w:rsid w:val="00F8136F"/>
    <w:rsid w:val="00F8234B"/>
    <w:rsid w:val="00F84899"/>
    <w:rsid w:val="00F84B03"/>
    <w:rsid w:val="00F84BB3"/>
    <w:rsid w:val="00F859F0"/>
    <w:rsid w:val="00F865F7"/>
    <w:rsid w:val="00F87C4D"/>
    <w:rsid w:val="00F92088"/>
    <w:rsid w:val="00F935BC"/>
    <w:rsid w:val="00F94599"/>
    <w:rsid w:val="00FA04B9"/>
    <w:rsid w:val="00FA09F6"/>
    <w:rsid w:val="00FA0FF5"/>
    <w:rsid w:val="00FA1BED"/>
    <w:rsid w:val="00FA2B40"/>
    <w:rsid w:val="00FA4E11"/>
    <w:rsid w:val="00FA579D"/>
    <w:rsid w:val="00FA5E74"/>
    <w:rsid w:val="00FA6021"/>
    <w:rsid w:val="00FA7233"/>
    <w:rsid w:val="00FB2446"/>
    <w:rsid w:val="00FB42D2"/>
    <w:rsid w:val="00FB6205"/>
    <w:rsid w:val="00FC2A12"/>
    <w:rsid w:val="00FC2A7E"/>
    <w:rsid w:val="00FC2DE9"/>
    <w:rsid w:val="00FC3402"/>
    <w:rsid w:val="00FC3C08"/>
    <w:rsid w:val="00FC7738"/>
    <w:rsid w:val="00FD1D04"/>
    <w:rsid w:val="00FD2262"/>
    <w:rsid w:val="00FD3007"/>
    <w:rsid w:val="00FD38C9"/>
    <w:rsid w:val="00FD4D51"/>
    <w:rsid w:val="00FD5AF7"/>
    <w:rsid w:val="00FD75F3"/>
    <w:rsid w:val="00FD79B7"/>
    <w:rsid w:val="00FE141E"/>
    <w:rsid w:val="00FE2AAC"/>
    <w:rsid w:val="00FE306B"/>
    <w:rsid w:val="00FE3140"/>
    <w:rsid w:val="00FE49F4"/>
    <w:rsid w:val="00FE6739"/>
    <w:rsid w:val="00FF131D"/>
    <w:rsid w:val="00FF1902"/>
    <w:rsid w:val="00FF25AA"/>
    <w:rsid w:val="00FF3F79"/>
    <w:rsid w:val="00FF4DDD"/>
    <w:rsid w:val="00FF537A"/>
    <w:rsid w:val="0DF18D41"/>
    <w:rsid w:val="15321B46"/>
    <w:rsid w:val="16634891"/>
    <w:rsid w:val="16AF01CE"/>
    <w:rsid w:val="1A3EA139"/>
    <w:rsid w:val="1D413D81"/>
    <w:rsid w:val="30ADF538"/>
    <w:rsid w:val="3EA8FA14"/>
    <w:rsid w:val="5F9EF4B8"/>
    <w:rsid w:val="6DEB363A"/>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8E0"/>
    <w:pPr>
      <w:spacing w:after="0" w:line="240" w:lineRule="auto"/>
    </w:pPr>
    <w:rPr>
      <w:rFonts w:ascii="Calibri" w:eastAsia="Calibri" w:hAnsi="Calibri" w:cs="Times New Roman"/>
      <w:sz w:val="24"/>
      <w:lang w:val="es-ES"/>
    </w:rPr>
  </w:style>
  <w:style w:type="paragraph" w:styleId="Ttulo1">
    <w:name w:val="heading 1"/>
    <w:basedOn w:val="Normal"/>
    <w:link w:val="Ttulo1Car"/>
    <w:uiPriority w:val="1"/>
    <w:qFormat/>
    <w:rsid w:val="00616FD5"/>
    <w:pPr>
      <w:widowControl w:val="0"/>
      <w:autoSpaceDE w:val="0"/>
      <w:autoSpaceDN w:val="0"/>
      <w:ind w:left="540" w:hanging="361"/>
      <w:outlineLvl w:val="0"/>
    </w:pPr>
    <w:rPr>
      <w:rFonts w:ascii="Arial" w:eastAsia="Arial" w:hAnsi="Arial" w:cs="Arial"/>
      <w:b/>
      <w:bCs/>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rPr>
      <w:rFonts w:asciiTheme="minorHAnsi" w:eastAsiaTheme="minorHAnsi" w:hAnsiTheme="minorHAnsi" w:cstheme="minorBidi"/>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rFonts w:ascii="Times New Roman" w:eastAsia="Times New Roman" w:hAnsi="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nhideWhenUsed/>
    <w:qFormat/>
    <w:rsid w:val="007B0854"/>
    <w:rPr>
      <w:rFonts w:asciiTheme="minorHAnsi" w:eastAsiaTheme="minorHAnsi" w:hAnsiTheme="minorHAnsi" w:cstheme="minorBidi"/>
      <w:sz w:val="20"/>
      <w:szCs w:val="20"/>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R,F"/>
    <w:basedOn w:val="Fuentedeprrafopredeter"/>
    <w:link w:val="Appelnotedebasde"/>
    <w:uiPriority w:val="99"/>
    <w:unhideWhenUsed/>
    <w:qFormat/>
    <w:rsid w:val="007B0854"/>
    <w:rPr>
      <w:vertAlign w:val="superscript"/>
    </w:rPr>
  </w:style>
  <w:style w:type="character" w:customStyle="1" w:styleId="NormalWebCar">
    <w:name w:val="Normal (Web) Car"/>
    <w:link w:val="NormalWeb"/>
    <w:uiPriority w:val="99"/>
    <w:rsid w:val="000920F0"/>
    <w:rPr>
      <w:rFonts w:ascii="Times New Roman" w:eastAsia="Times New Roman" w:hAnsi="Times New Roman" w:cs="Times New Roman"/>
      <w:sz w:val="24"/>
      <w:szCs w:val="24"/>
      <w:lang w:eastAsia="es-CO"/>
    </w:rPr>
  </w:style>
  <w:style w:type="character" w:customStyle="1" w:styleId="Mencinsinresolver1">
    <w:name w:val="Mención sin resolver1"/>
    <w:basedOn w:val="Fuentedeprrafopredeter"/>
    <w:uiPriority w:val="99"/>
    <w:rsid w:val="00901F74"/>
    <w:rPr>
      <w:color w:val="605E5C"/>
      <w:shd w:val="clear" w:color="auto" w:fill="E1DFDD"/>
    </w:rPr>
  </w:style>
  <w:style w:type="paragraph" w:styleId="Revisin">
    <w:name w:val="Revision"/>
    <w:hidden/>
    <w:uiPriority w:val="99"/>
    <w:semiHidden/>
    <w:rsid w:val="004D0CB0"/>
    <w:pPr>
      <w:spacing w:after="0" w:line="240" w:lineRule="auto"/>
    </w:pPr>
    <w:rPr>
      <w:sz w:val="24"/>
      <w:lang w:val="es-MX"/>
    </w:rPr>
  </w:style>
  <w:style w:type="paragraph" w:customStyle="1" w:styleId="Default">
    <w:name w:val="Default"/>
    <w:rsid w:val="00C46F19"/>
    <w:pPr>
      <w:autoSpaceDE w:val="0"/>
      <w:autoSpaceDN w:val="0"/>
      <w:adjustRightInd w:val="0"/>
      <w:spacing w:after="0" w:line="240" w:lineRule="auto"/>
    </w:pPr>
    <w:rPr>
      <w:rFonts w:ascii="Arial" w:hAnsi="Arial" w:cs="Arial"/>
      <w:color w:val="000000"/>
      <w:sz w:val="24"/>
      <w:szCs w:val="24"/>
    </w:rPr>
  </w:style>
  <w:style w:type="character" w:customStyle="1" w:styleId="normaltextrun">
    <w:name w:val="normaltextrun"/>
    <w:basedOn w:val="Fuentedeprrafopredeter"/>
    <w:rsid w:val="00A457BC"/>
  </w:style>
  <w:style w:type="paragraph" w:customStyle="1" w:styleId="paragraph">
    <w:name w:val="paragraph"/>
    <w:basedOn w:val="Normal"/>
    <w:rsid w:val="00671A48"/>
    <w:pPr>
      <w:spacing w:before="100" w:beforeAutospacing="1" w:after="100" w:afterAutospacing="1"/>
    </w:pPr>
    <w:rPr>
      <w:rFonts w:ascii="Times New Roman" w:eastAsia="Times New Roman" w:hAnsi="Times New Roman"/>
      <w:szCs w:val="24"/>
      <w:lang w:val="es-CO" w:eastAsia="es-CO"/>
    </w:rPr>
  </w:style>
  <w:style w:type="character" w:customStyle="1" w:styleId="eop">
    <w:name w:val="eop"/>
    <w:basedOn w:val="Fuentedeprrafopredeter"/>
    <w:rsid w:val="00671A48"/>
  </w:style>
  <w:style w:type="character" w:customStyle="1" w:styleId="superscript">
    <w:name w:val="superscript"/>
    <w:basedOn w:val="Fuentedeprrafopredeter"/>
    <w:rsid w:val="00671A48"/>
  </w:style>
  <w:style w:type="paragraph" w:styleId="Textonotaalfinal">
    <w:name w:val="endnote text"/>
    <w:basedOn w:val="Normal"/>
    <w:link w:val="TextonotaalfinalCar"/>
    <w:uiPriority w:val="99"/>
    <w:semiHidden/>
    <w:unhideWhenUsed/>
    <w:rsid w:val="00306222"/>
    <w:rPr>
      <w:sz w:val="20"/>
      <w:szCs w:val="20"/>
    </w:rPr>
  </w:style>
  <w:style w:type="character" w:customStyle="1" w:styleId="TextonotaalfinalCar">
    <w:name w:val="Texto nota al final Car"/>
    <w:basedOn w:val="Fuentedeprrafopredeter"/>
    <w:link w:val="Textonotaalfinal"/>
    <w:uiPriority w:val="99"/>
    <w:semiHidden/>
    <w:rsid w:val="00306222"/>
    <w:rPr>
      <w:rFonts w:ascii="Calibri" w:eastAsia="Calibri" w:hAnsi="Calibri" w:cs="Times New Roman"/>
      <w:sz w:val="20"/>
      <w:szCs w:val="20"/>
      <w:lang w:val="es-MX"/>
    </w:rPr>
  </w:style>
  <w:style w:type="character" w:styleId="Refdenotaalfinal">
    <w:name w:val="endnote reference"/>
    <w:basedOn w:val="Fuentedeprrafopredeter"/>
    <w:uiPriority w:val="99"/>
    <w:semiHidden/>
    <w:unhideWhenUsed/>
    <w:rsid w:val="00306222"/>
    <w:rPr>
      <w:vertAlign w:val="superscript"/>
    </w:rPr>
  </w:style>
  <w:style w:type="character" w:customStyle="1" w:styleId="Ttulo1Car">
    <w:name w:val="Título 1 Car"/>
    <w:basedOn w:val="Fuentedeprrafopredeter"/>
    <w:link w:val="Ttulo1"/>
    <w:uiPriority w:val="1"/>
    <w:rsid w:val="00616FD5"/>
    <w:rPr>
      <w:rFonts w:ascii="Arial" w:eastAsia="Arial" w:hAnsi="Arial" w:cs="Arial"/>
      <w:b/>
      <w:bCs/>
      <w:lang w:val="es-ES"/>
    </w:rPr>
  </w:style>
  <w:style w:type="paragraph" w:styleId="Textoindependiente">
    <w:name w:val="Body Text"/>
    <w:basedOn w:val="Normal"/>
    <w:link w:val="TextoindependienteCar"/>
    <w:uiPriority w:val="1"/>
    <w:qFormat/>
    <w:rsid w:val="00616FD5"/>
    <w:pPr>
      <w:widowControl w:val="0"/>
      <w:autoSpaceDE w:val="0"/>
      <w:autoSpaceDN w:val="0"/>
    </w:pPr>
    <w:rPr>
      <w:rFonts w:ascii="Arial" w:eastAsia="Arial" w:hAnsi="Arial" w:cs="Arial"/>
      <w:sz w:val="22"/>
    </w:rPr>
  </w:style>
  <w:style w:type="character" w:customStyle="1" w:styleId="TextoindependienteCar">
    <w:name w:val="Texto independiente Car"/>
    <w:basedOn w:val="Fuentedeprrafopredeter"/>
    <w:link w:val="Textoindependiente"/>
    <w:uiPriority w:val="1"/>
    <w:rsid w:val="00616FD5"/>
    <w:rPr>
      <w:rFonts w:ascii="Arial" w:eastAsia="Arial" w:hAnsi="Arial" w:cs="Arial"/>
      <w:lang w:val="es-ES"/>
    </w:rPr>
  </w:style>
  <w:style w:type="paragraph" w:customStyle="1" w:styleId="xxmsonormal">
    <w:name w:val="x_x_msonormal"/>
    <w:basedOn w:val="Normal"/>
    <w:rsid w:val="00A64A3E"/>
    <w:pPr>
      <w:spacing w:before="100" w:beforeAutospacing="1" w:after="100" w:afterAutospacing="1"/>
    </w:pPr>
    <w:rPr>
      <w:rFonts w:ascii="Times New Roman" w:eastAsia="Times New Roman" w:hAnsi="Times New Roman"/>
      <w:szCs w:val="24"/>
      <w:lang w:val="es-CO" w:eastAsia="es-CO"/>
    </w:rPr>
  </w:style>
  <w:style w:type="paragraph" w:customStyle="1" w:styleId="xxxxmsobodytext">
    <w:name w:val="x_x_xxmsobodytext"/>
    <w:basedOn w:val="Normal"/>
    <w:rsid w:val="00A64A3E"/>
    <w:pPr>
      <w:spacing w:before="100" w:beforeAutospacing="1" w:after="100" w:afterAutospacing="1"/>
    </w:pPr>
    <w:rPr>
      <w:rFonts w:ascii="Times New Roman" w:eastAsia="Times New Roman" w:hAnsi="Times New Roman"/>
      <w:szCs w:val="24"/>
      <w:lang w:val="es-CO" w:eastAsia="es-CO"/>
    </w:rPr>
  </w:style>
  <w:style w:type="paragraph" w:customStyle="1" w:styleId="xxxxmsonormal">
    <w:name w:val="x_x_xxmsonormal"/>
    <w:basedOn w:val="Normal"/>
    <w:rsid w:val="00A64A3E"/>
    <w:pPr>
      <w:spacing w:before="100" w:beforeAutospacing="1" w:after="100" w:afterAutospacing="1"/>
    </w:pPr>
    <w:rPr>
      <w:rFonts w:ascii="Times New Roman" w:eastAsia="Times New Roman" w:hAnsi="Times New Roman"/>
      <w:szCs w:val="24"/>
      <w:lang w:val="es-CO" w:eastAsia="es-CO"/>
    </w:rPr>
  </w:style>
  <w:style w:type="character" w:customStyle="1" w:styleId="cf01">
    <w:name w:val="cf01"/>
    <w:basedOn w:val="Fuentedeprrafopredeter"/>
    <w:rsid w:val="00450AE7"/>
    <w:rPr>
      <w:rFonts w:ascii="Segoe UI" w:hAnsi="Segoe UI" w:cs="Segoe UI" w:hint="default"/>
      <w:sz w:val="18"/>
      <w:szCs w:val="18"/>
    </w:rPr>
  </w:style>
  <w:style w:type="paragraph" w:customStyle="1" w:styleId="Appelnotedebasde">
    <w:name w:val="Appel note de bas de..."/>
    <w:basedOn w:val="Normal"/>
    <w:link w:val="Refdenotaalpie"/>
    <w:uiPriority w:val="99"/>
    <w:rsid w:val="00611026"/>
    <w:pPr>
      <w:spacing w:after="160" w:line="240" w:lineRule="exact"/>
    </w:pPr>
    <w:rPr>
      <w:rFonts w:asciiTheme="minorHAnsi" w:eastAsiaTheme="minorHAnsi" w:hAnsiTheme="minorHAnsi" w:cstheme="minorBidi"/>
      <w:sz w:val="22"/>
      <w:vertAlign w:val="superscript"/>
      <w:lang w:val="es-CO"/>
    </w:rPr>
  </w:style>
  <w:style w:type="paragraph" w:customStyle="1" w:styleId="Normal11pt">
    <w:name w:val="Normal + 11 pt"/>
    <w:aliases w:val="Negro,Justificado,Izquierda:  -0,95 cm,Derecha:  0,04 cm"/>
    <w:basedOn w:val="Normal"/>
    <w:uiPriority w:val="99"/>
    <w:rsid w:val="00F935BC"/>
    <w:pPr>
      <w:ind w:left="-540"/>
      <w:jc w:val="both"/>
    </w:pPr>
    <w:rPr>
      <w:rFonts w:ascii="Arial" w:eastAsia="Times New Roman" w:hAnsi="Arial" w:cs="Arial"/>
      <w:color w:val="000000"/>
      <w:sz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87012">
      <w:bodyDiv w:val="1"/>
      <w:marLeft w:val="0"/>
      <w:marRight w:val="0"/>
      <w:marTop w:val="0"/>
      <w:marBottom w:val="0"/>
      <w:divBdr>
        <w:top w:val="none" w:sz="0" w:space="0" w:color="auto"/>
        <w:left w:val="none" w:sz="0" w:space="0" w:color="auto"/>
        <w:bottom w:val="none" w:sz="0" w:space="0" w:color="auto"/>
        <w:right w:val="none" w:sz="0" w:space="0" w:color="auto"/>
      </w:divBdr>
      <w:divsChild>
        <w:div w:id="177045463">
          <w:marLeft w:val="0"/>
          <w:marRight w:val="0"/>
          <w:marTop w:val="0"/>
          <w:marBottom w:val="0"/>
          <w:divBdr>
            <w:top w:val="none" w:sz="0" w:space="0" w:color="auto"/>
            <w:left w:val="none" w:sz="0" w:space="0" w:color="auto"/>
            <w:bottom w:val="none" w:sz="0" w:space="0" w:color="auto"/>
            <w:right w:val="none" w:sz="0" w:space="0" w:color="auto"/>
          </w:divBdr>
          <w:divsChild>
            <w:div w:id="1020086607">
              <w:marLeft w:val="0"/>
              <w:marRight w:val="0"/>
              <w:marTop w:val="0"/>
              <w:marBottom w:val="0"/>
              <w:divBdr>
                <w:top w:val="none" w:sz="0" w:space="0" w:color="auto"/>
                <w:left w:val="none" w:sz="0" w:space="0" w:color="auto"/>
                <w:bottom w:val="none" w:sz="0" w:space="0" w:color="auto"/>
                <w:right w:val="none" w:sz="0" w:space="0" w:color="auto"/>
              </w:divBdr>
              <w:divsChild>
                <w:div w:id="2085568655">
                  <w:marLeft w:val="0"/>
                  <w:marRight w:val="0"/>
                  <w:marTop w:val="0"/>
                  <w:marBottom w:val="0"/>
                  <w:divBdr>
                    <w:top w:val="none" w:sz="0" w:space="0" w:color="auto"/>
                    <w:left w:val="none" w:sz="0" w:space="0" w:color="auto"/>
                    <w:bottom w:val="none" w:sz="0" w:space="0" w:color="auto"/>
                    <w:right w:val="none" w:sz="0" w:space="0" w:color="auto"/>
                  </w:divBdr>
                  <w:divsChild>
                    <w:div w:id="113463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76465">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70323335">
      <w:bodyDiv w:val="1"/>
      <w:marLeft w:val="0"/>
      <w:marRight w:val="0"/>
      <w:marTop w:val="0"/>
      <w:marBottom w:val="0"/>
      <w:divBdr>
        <w:top w:val="none" w:sz="0" w:space="0" w:color="auto"/>
        <w:left w:val="none" w:sz="0" w:space="0" w:color="auto"/>
        <w:bottom w:val="none" w:sz="0" w:space="0" w:color="auto"/>
        <w:right w:val="none" w:sz="0" w:space="0" w:color="auto"/>
      </w:divBdr>
    </w:div>
    <w:div w:id="86537261">
      <w:bodyDiv w:val="1"/>
      <w:marLeft w:val="0"/>
      <w:marRight w:val="0"/>
      <w:marTop w:val="0"/>
      <w:marBottom w:val="0"/>
      <w:divBdr>
        <w:top w:val="none" w:sz="0" w:space="0" w:color="auto"/>
        <w:left w:val="none" w:sz="0" w:space="0" w:color="auto"/>
        <w:bottom w:val="none" w:sz="0" w:space="0" w:color="auto"/>
        <w:right w:val="none" w:sz="0" w:space="0" w:color="auto"/>
      </w:divBdr>
    </w:div>
    <w:div w:id="96368908">
      <w:bodyDiv w:val="1"/>
      <w:marLeft w:val="0"/>
      <w:marRight w:val="0"/>
      <w:marTop w:val="0"/>
      <w:marBottom w:val="0"/>
      <w:divBdr>
        <w:top w:val="none" w:sz="0" w:space="0" w:color="auto"/>
        <w:left w:val="none" w:sz="0" w:space="0" w:color="auto"/>
        <w:bottom w:val="none" w:sz="0" w:space="0" w:color="auto"/>
        <w:right w:val="none" w:sz="0" w:space="0" w:color="auto"/>
      </w:divBdr>
    </w:div>
    <w:div w:id="156846338">
      <w:bodyDiv w:val="1"/>
      <w:marLeft w:val="0"/>
      <w:marRight w:val="0"/>
      <w:marTop w:val="0"/>
      <w:marBottom w:val="0"/>
      <w:divBdr>
        <w:top w:val="none" w:sz="0" w:space="0" w:color="auto"/>
        <w:left w:val="none" w:sz="0" w:space="0" w:color="auto"/>
        <w:bottom w:val="none" w:sz="0" w:space="0" w:color="auto"/>
        <w:right w:val="none" w:sz="0" w:space="0" w:color="auto"/>
      </w:divBdr>
    </w:div>
    <w:div w:id="174805232">
      <w:bodyDiv w:val="1"/>
      <w:marLeft w:val="0"/>
      <w:marRight w:val="0"/>
      <w:marTop w:val="0"/>
      <w:marBottom w:val="0"/>
      <w:divBdr>
        <w:top w:val="none" w:sz="0" w:space="0" w:color="auto"/>
        <w:left w:val="none" w:sz="0" w:space="0" w:color="auto"/>
        <w:bottom w:val="none" w:sz="0" w:space="0" w:color="auto"/>
        <w:right w:val="none" w:sz="0" w:space="0" w:color="auto"/>
      </w:divBdr>
    </w:div>
    <w:div w:id="184948185">
      <w:bodyDiv w:val="1"/>
      <w:marLeft w:val="0"/>
      <w:marRight w:val="0"/>
      <w:marTop w:val="0"/>
      <w:marBottom w:val="0"/>
      <w:divBdr>
        <w:top w:val="none" w:sz="0" w:space="0" w:color="auto"/>
        <w:left w:val="none" w:sz="0" w:space="0" w:color="auto"/>
        <w:bottom w:val="none" w:sz="0" w:space="0" w:color="auto"/>
        <w:right w:val="none" w:sz="0" w:space="0" w:color="auto"/>
      </w:divBdr>
    </w:div>
    <w:div w:id="229654869">
      <w:bodyDiv w:val="1"/>
      <w:marLeft w:val="0"/>
      <w:marRight w:val="0"/>
      <w:marTop w:val="0"/>
      <w:marBottom w:val="0"/>
      <w:divBdr>
        <w:top w:val="none" w:sz="0" w:space="0" w:color="auto"/>
        <w:left w:val="none" w:sz="0" w:space="0" w:color="auto"/>
        <w:bottom w:val="none" w:sz="0" w:space="0" w:color="auto"/>
        <w:right w:val="none" w:sz="0" w:space="0" w:color="auto"/>
      </w:divBdr>
    </w:div>
    <w:div w:id="251934702">
      <w:bodyDiv w:val="1"/>
      <w:marLeft w:val="0"/>
      <w:marRight w:val="0"/>
      <w:marTop w:val="0"/>
      <w:marBottom w:val="0"/>
      <w:divBdr>
        <w:top w:val="none" w:sz="0" w:space="0" w:color="auto"/>
        <w:left w:val="none" w:sz="0" w:space="0" w:color="auto"/>
        <w:bottom w:val="none" w:sz="0" w:space="0" w:color="auto"/>
        <w:right w:val="none" w:sz="0" w:space="0" w:color="auto"/>
      </w:divBdr>
    </w:div>
    <w:div w:id="278876812">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321470353">
      <w:bodyDiv w:val="1"/>
      <w:marLeft w:val="0"/>
      <w:marRight w:val="0"/>
      <w:marTop w:val="0"/>
      <w:marBottom w:val="0"/>
      <w:divBdr>
        <w:top w:val="none" w:sz="0" w:space="0" w:color="auto"/>
        <w:left w:val="none" w:sz="0" w:space="0" w:color="auto"/>
        <w:bottom w:val="none" w:sz="0" w:space="0" w:color="auto"/>
        <w:right w:val="none" w:sz="0" w:space="0" w:color="auto"/>
      </w:divBdr>
    </w:div>
    <w:div w:id="331641372">
      <w:bodyDiv w:val="1"/>
      <w:marLeft w:val="0"/>
      <w:marRight w:val="0"/>
      <w:marTop w:val="0"/>
      <w:marBottom w:val="0"/>
      <w:divBdr>
        <w:top w:val="none" w:sz="0" w:space="0" w:color="auto"/>
        <w:left w:val="none" w:sz="0" w:space="0" w:color="auto"/>
        <w:bottom w:val="none" w:sz="0" w:space="0" w:color="auto"/>
        <w:right w:val="none" w:sz="0" w:space="0" w:color="auto"/>
      </w:divBdr>
    </w:div>
    <w:div w:id="397824396">
      <w:bodyDiv w:val="1"/>
      <w:marLeft w:val="0"/>
      <w:marRight w:val="0"/>
      <w:marTop w:val="0"/>
      <w:marBottom w:val="0"/>
      <w:divBdr>
        <w:top w:val="none" w:sz="0" w:space="0" w:color="auto"/>
        <w:left w:val="none" w:sz="0" w:space="0" w:color="auto"/>
        <w:bottom w:val="none" w:sz="0" w:space="0" w:color="auto"/>
        <w:right w:val="none" w:sz="0" w:space="0" w:color="auto"/>
      </w:divBdr>
    </w:div>
    <w:div w:id="486940016">
      <w:bodyDiv w:val="1"/>
      <w:marLeft w:val="0"/>
      <w:marRight w:val="0"/>
      <w:marTop w:val="0"/>
      <w:marBottom w:val="0"/>
      <w:divBdr>
        <w:top w:val="none" w:sz="0" w:space="0" w:color="auto"/>
        <w:left w:val="none" w:sz="0" w:space="0" w:color="auto"/>
        <w:bottom w:val="none" w:sz="0" w:space="0" w:color="auto"/>
        <w:right w:val="none" w:sz="0" w:space="0" w:color="auto"/>
      </w:divBdr>
    </w:div>
    <w:div w:id="494228281">
      <w:bodyDiv w:val="1"/>
      <w:marLeft w:val="0"/>
      <w:marRight w:val="0"/>
      <w:marTop w:val="0"/>
      <w:marBottom w:val="0"/>
      <w:divBdr>
        <w:top w:val="none" w:sz="0" w:space="0" w:color="auto"/>
        <w:left w:val="none" w:sz="0" w:space="0" w:color="auto"/>
        <w:bottom w:val="none" w:sz="0" w:space="0" w:color="auto"/>
        <w:right w:val="none" w:sz="0" w:space="0" w:color="auto"/>
      </w:divBdr>
      <w:divsChild>
        <w:div w:id="91052880">
          <w:marLeft w:val="0"/>
          <w:marRight w:val="0"/>
          <w:marTop w:val="0"/>
          <w:marBottom w:val="0"/>
          <w:divBdr>
            <w:top w:val="none" w:sz="0" w:space="0" w:color="auto"/>
            <w:left w:val="none" w:sz="0" w:space="0" w:color="auto"/>
            <w:bottom w:val="none" w:sz="0" w:space="0" w:color="auto"/>
            <w:right w:val="none" w:sz="0" w:space="0" w:color="auto"/>
          </w:divBdr>
          <w:divsChild>
            <w:div w:id="133302900">
              <w:marLeft w:val="0"/>
              <w:marRight w:val="0"/>
              <w:marTop w:val="0"/>
              <w:marBottom w:val="0"/>
              <w:divBdr>
                <w:top w:val="none" w:sz="0" w:space="0" w:color="auto"/>
                <w:left w:val="none" w:sz="0" w:space="0" w:color="auto"/>
                <w:bottom w:val="none" w:sz="0" w:space="0" w:color="auto"/>
                <w:right w:val="none" w:sz="0" w:space="0" w:color="auto"/>
              </w:divBdr>
              <w:divsChild>
                <w:div w:id="568854489">
                  <w:marLeft w:val="0"/>
                  <w:marRight w:val="0"/>
                  <w:marTop w:val="0"/>
                  <w:marBottom w:val="0"/>
                  <w:divBdr>
                    <w:top w:val="none" w:sz="0" w:space="0" w:color="auto"/>
                    <w:left w:val="none" w:sz="0" w:space="0" w:color="auto"/>
                    <w:bottom w:val="none" w:sz="0" w:space="0" w:color="auto"/>
                    <w:right w:val="none" w:sz="0" w:space="0" w:color="auto"/>
                  </w:divBdr>
                  <w:divsChild>
                    <w:div w:id="153334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125763">
      <w:bodyDiv w:val="1"/>
      <w:marLeft w:val="0"/>
      <w:marRight w:val="0"/>
      <w:marTop w:val="0"/>
      <w:marBottom w:val="0"/>
      <w:divBdr>
        <w:top w:val="none" w:sz="0" w:space="0" w:color="auto"/>
        <w:left w:val="none" w:sz="0" w:space="0" w:color="auto"/>
        <w:bottom w:val="none" w:sz="0" w:space="0" w:color="auto"/>
        <w:right w:val="none" w:sz="0" w:space="0" w:color="auto"/>
      </w:divBdr>
    </w:div>
    <w:div w:id="568426114">
      <w:bodyDiv w:val="1"/>
      <w:marLeft w:val="0"/>
      <w:marRight w:val="0"/>
      <w:marTop w:val="0"/>
      <w:marBottom w:val="0"/>
      <w:divBdr>
        <w:top w:val="none" w:sz="0" w:space="0" w:color="auto"/>
        <w:left w:val="none" w:sz="0" w:space="0" w:color="auto"/>
        <w:bottom w:val="none" w:sz="0" w:space="0" w:color="auto"/>
        <w:right w:val="none" w:sz="0" w:space="0" w:color="auto"/>
      </w:divBdr>
      <w:divsChild>
        <w:div w:id="1322195844">
          <w:marLeft w:val="0"/>
          <w:marRight w:val="0"/>
          <w:marTop w:val="0"/>
          <w:marBottom w:val="0"/>
          <w:divBdr>
            <w:top w:val="none" w:sz="0" w:space="0" w:color="auto"/>
            <w:left w:val="none" w:sz="0" w:space="0" w:color="auto"/>
            <w:bottom w:val="none" w:sz="0" w:space="0" w:color="auto"/>
            <w:right w:val="none" w:sz="0" w:space="0" w:color="auto"/>
          </w:divBdr>
          <w:divsChild>
            <w:div w:id="518934769">
              <w:marLeft w:val="0"/>
              <w:marRight w:val="0"/>
              <w:marTop w:val="0"/>
              <w:marBottom w:val="0"/>
              <w:divBdr>
                <w:top w:val="none" w:sz="0" w:space="0" w:color="auto"/>
                <w:left w:val="none" w:sz="0" w:space="0" w:color="auto"/>
                <w:bottom w:val="none" w:sz="0" w:space="0" w:color="auto"/>
                <w:right w:val="none" w:sz="0" w:space="0" w:color="auto"/>
              </w:divBdr>
              <w:divsChild>
                <w:div w:id="164049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607808">
      <w:bodyDiv w:val="1"/>
      <w:marLeft w:val="0"/>
      <w:marRight w:val="0"/>
      <w:marTop w:val="0"/>
      <w:marBottom w:val="0"/>
      <w:divBdr>
        <w:top w:val="none" w:sz="0" w:space="0" w:color="auto"/>
        <w:left w:val="none" w:sz="0" w:space="0" w:color="auto"/>
        <w:bottom w:val="none" w:sz="0" w:space="0" w:color="auto"/>
        <w:right w:val="none" w:sz="0" w:space="0" w:color="auto"/>
      </w:divBdr>
    </w:div>
    <w:div w:id="612252676">
      <w:bodyDiv w:val="1"/>
      <w:marLeft w:val="0"/>
      <w:marRight w:val="0"/>
      <w:marTop w:val="0"/>
      <w:marBottom w:val="0"/>
      <w:divBdr>
        <w:top w:val="none" w:sz="0" w:space="0" w:color="auto"/>
        <w:left w:val="none" w:sz="0" w:space="0" w:color="auto"/>
        <w:bottom w:val="none" w:sz="0" w:space="0" w:color="auto"/>
        <w:right w:val="none" w:sz="0" w:space="0" w:color="auto"/>
      </w:divBdr>
      <w:divsChild>
        <w:div w:id="1281229350">
          <w:marLeft w:val="0"/>
          <w:marRight w:val="0"/>
          <w:marTop w:val="0"/>
          <w:marBottom w:val="0"/>
          <w:divBdr>
            <w:top w:val="none" w:sz="0" w:space="0" w:color="auto"/>
            <w:left w:val="none" w:sz="0" w:space="0" w:color="auto"/>
            <w:bottom w:val="none" w:sz="0" w:space="0" w:color="auto"/>
            <w:right w:val="none" w:sz="0" w:space="0" w:color="auto"/>
          </w:divBdr>
        </w:div>
        <w:div w:id="1760786229">
          <w:marLeft w:val="0"/>
          <w:marRight w:val="0"/>
          <w:marTop w:val="0"/>
          <w:marBottom w:val="0"/>
          <w:divBdr>
            <w:top w:val="none" w:sz="0" w:space="0" w:color="auto"/>
            <w:left w:val="none" w:sz="0" w:space="0" w:color="auto"/>
            <w:bottom w:val="none" w:sz="0" w:space="0" w:color="auto"/>
            <w:right w:val="none" w:sz="0" w:space="0" w:color="auto"/>
          </w:divBdr>
        </w:div>
        <w:div w:id="1565526537">
          <w:marLeft w:val="0"/>
          <w:marRight w:val="0"/>
          <w:marTop w:val="0"/>
          <w:marBottom w:val="0"/>
          <w:divBdr>
            <w:top w:val="none" w:sz="0" w:space="0" w:color="auto"/>
            <w:left w:val="none" w:sz="0" w:space="0" w:color="auto"/>
            <w:bottom w:val="none" w:sz="0" w:space="0" w:color="auto"/>
            <w:right w:val="none" w:sz="0" w:space="0" w:color="auto"/>
          </w:divBdr>
        </w:div>
        <w:div w:id="62025465">
          <w:marLeft w:val="0"/>
          <w:marRight w:val="0"/>
          <w:marTop w:val="0"/>
          <w:marBottom w:val="0"/>
          <w:divBdr>
            <w:top w:val="none" w:sz="0" w:space="0" w:color="auto"/>
            <w:left w:val="none" w:sz="0" w:space="0" w:color="auto"/>
            <w:bottom w:val="none" w:sz="0" w:space="0" w:color="auto"/>
            <w:right w:val="none" w:sz="0" w:space="0" w:color="auto"/>
          </w:divBdr>
        </w:div>
        <w:div w:id="1991130831">
          <w:marLeft w:val="0"/>
          <w:marRight w:val="0"/>
          <w:marTop w:val="0"/>
          <w:marBottom w:val="0"/>
          <w:divBdr>
            <w:top w:val="none" w:sz="0" w:space="0" w:color="auto"/>
            <w:left w:val="none" w:sz="0" w:space="0" w:color="auto"/>
            <w:bottom w:val="none" w:sz="0" w:space="0" w:color="auto"/>
            <w:right w:val="none" w:sz="0" w:space="0" w:color="auto"/>
          </w:divBdr>
        </w:div>
        <w:div w:id="847059627">
          <w:marLeft w:val="0"/>
          <w:marRight w:val="0"/>
          <w:marTop w:val="0"/>
          <w:marBottom w:val="0"/>
          <w:divBdr>
            <w:top w:val="none" w:sz="0" w:space="0" w:color="auto"/>
            <w:left w:val="none" w:sz="0" w:space="0" w:color="auto"/>
            <w:bottom w:val="none" w:sz="0" w:space="0" w:color="auto"/>
            <w:right w:val="none" w:sz="0" w:space="0" w:color="auto"/>
          </w:divBdr>
        </w:div>
        <w:div w:id="365570852">
          <w:marLeft w:val="0"/>
          <w:marRight w:val="0"/>
          <w:marTop w:val="0"/>
          <w:marBottom w:val="0"/>
          <w:divBdr>
            <w:top w:val="none" w:sz="0" w:space="0" w:color="auto"/>
            <w:left w:val="none" w:sz="0" w:space="0" w:color="auto"/>
            <w:bottom w:val="none" w:sz="0" w:space="0" w:color="auto"/>
            <w:right w:val="none" w:sz="0" w:space="0" w:color="auto"/>
          </w:divBdr>
        </w:div>
        <w:div w:id="389959568">
          <w:marLeft w:val="0"/>
          <w:marRight w:val="0"/>
          <w:marTop w:val="0"/>
          <w:marBottom w:val="0"/>
          <w:divBdr>
            <w:top w:val="none" w:sz="0" w:space="0" w:color="auto"/>
            <w:left w:val="none" w:sz="0" w:space="0" w:color="auto"/>
            <w:bottom w:val="none" w:sz="0" w:space="0" w:color="auto"/>
            <w:right w:val="none" w:sz="0" w:space="0" w:color="auto"/>
          </w:divBdr>
        </w:div>
        <w:div w:id="1472016851">
          <w:marLeft w:val="0"/>
          <w:marRight w:val="0"/>
          <w:marTop w:val="0"/>
          <w:marBottom w:val="0"/>
          <w:divBdr>
            <w:top w:val="none" w:sz="0" w:space="0" w:color="auto"/>
            <w:left w:val="none" w:sz="0" w:space="0" w:color="auto"/>
            <w:bottom w:val="none" w:sz="0" w:space="0" w:color="auto"/>
            <w:right w:val="none" w:sz="0" w:space="0" w:color="auto"/>
          </w:divBdr>
        </w:div>
        <w:div w:id="254287878">
          <w:marLeft w:val="0"/>
          <w:marRight w:val="0"/>
          <w:marTop w:val="0"/>
          <w:marBottom w:val="0"/>
          <w:divBdr>
            <w:top w:val="none" w:sz="0" w:space="0" w:color="auto"/>
            <w:left w:val="none" w:sz="0" w:space="0" w:color="auto"/>
            <w:bottom w:val="none" w:sz="0" w:space="0" w:color="auto"/>
            <w:right w:val="none" w:sz="0" w:space="0" w:color="auto"/>
          </w:divBdr>
        </w:div>
        <w:div w:id="676082288">
          <w:marLeft w:val="0"/>
          <w:marRight w:val="0"/>
          <w:marTop w:val="0"/>
          <w:marBottom w:val="0"/>
          <w:divBdr>
            <w:top w:val="none" w:sz="0" w:space="0" w:color="auto"/>
            <w:left w:val="none" w:sz="0" w:space="0" w:color="auto"/>
            <w:bottom w:val="none" w:sz="0" w:space="0" w:color="auto"/>
            <w:right w:val="none" w:sz="0" w:space="0" w:color="auto"/>
          </w:divBdr>
        </w:div>
        <w:div w:id="2099783964">
          <w:marLeft w:val="0"/>
          <w:marRight w:val="0"/>
          <w:marTop w:val="0"/>
          <w:marBottom w:val="0"/>
          <w:divBdr>
            <w:top w:val="none" w:sz="0" w:space="0" w:color="auto"/>
            <w:left w:val="none" w:sz="0" w:space="0" w:color="auto"/>
            <w:bottom w:val="none" w:sz="0" w:space="0" w:color="auto"/>
            <w:right w:val="none" w:sz="0" w:space="0" w:color="auto"/>
          </w:divBdr>
        </w:div>
        <w:div w:id="668563821">
          <w:marLeft w:val="0"/>
          <w:marRight w:val="0"/>
          <w:marTop w:val="0"/>
          <w:marBottom w:val="0"/>
          <w:divBdr>
            <w:top w:val="none" w:sz="0" w:space="0" w:color="auto"/>
            <w:left w:val="none" w:sz="0" w:space="0" w:color="auto"/>
            <w:bottom w:val="none" w:sz="0" w:space="0" w:color="auto"/>
            <w:right w:val="none" w:sz="0" w:space="0" w:color="auto"/>
          </w:divBdr>
        </w:div>
        <w:div w:id="1874222203">
          <w:marLeft w:val="0"/>
          <w:marRight w:val="0"/>
          <w:marTop w:val="0"/>
          <w:marBottom w:val="0"/>
          <w:divBdr>
            <w:top w:val="none" w:sz="0" w:space="0" w:color="auto"/>
            <w:left w:val="none" w:sz="0" w:space="0" w:color="auto"/>
            <w:bottom w:val="none" w:sz="0" w:space="0" w:color="auto"/>
            <w:right w:val="none" w:sz="0" w:space="0" w:color="auto"/>
          </w:divBdr>
        </w:div>
        <w:div w:id="1901552411">
          <w:marLeft w:val="0"/>
          <w:marRight w:val="0"/>
          <w:marTop w:val="0"/>
          <w:marBottom w:val="0"/>
          <w:divBdr>
            <w:top w:val="none" w:sz="0" w:space="0" w:color="auto"/>
            <w:left w:val="none" w:sz="0" w:space="0" w:color="auto"/>
            <w:bottom w:val="none" w:sz="0" w:space="0" w:color="auto"/>
            <w:right w:val="none" w:sz="0" w:space="0" w:color="auto"/>
          </w:divBdr>
        </w:div>
        <w:div w:id="747338983">
          <w:marLeft w:val="0"/>
          <w:marRight w:val="0"/>
          <w:marTop w:val="0"/>
          <w:marBottom w:val="0"/>
          <w:divBdr>
            <w:top w:val="none" w:sz="0" w:space="0" w:color="auto"/>
            <w:left w:val="none" w:sz="0" w:space="0" w:color="auto"/>
            <w:bottom w:val="none" w:sz="0" w:space="0" w:color="auto"/>
            <w:right w:val="none" w:sz="0" w:space="0" w:color="auto"/>
          </w:divBdr>
        </w:div>
        <w:div w:id="1681929628">
          <w:marLeft w:val="0"/>
          <w:marRight w:val="0"/>
          <w:marTop w:val="0"/>
          <w:marBottom w:val="0"/>
          <w:divBdr>
            <w:top w:val="none" w:sz="0" w:space="0" w:color="auto"/>
            <w:left w:val="none" w:sz="0" w:space="0" w:color="auto"/>
            <w:bottom w:val="none" w:sz="0" w:space="0" w:color="auto"/>
            <w:right w:val="none" w:sz="0" w:space="0" w:color="auto"/>
          </w:divBdr>
        </w:div>
        <w:div w:id="673924336">
          <w:marLeft w:val="0"/>
          <w:marRight w:val="0"/>
          <w:marTop w:val="0"/>
          <w:marBottom w:val="0"/>
          <w:divBdr>
            <w:top w:val="none" w:sz="0" w:space="0" w:color="auto"/>
            <w:left w:val="none" w:sz="0" w:space="0" w:color="auto"/>
            <w:bottom w:val="none" w:sz="0" w:space="0" w:color="auto"/>
            <w:right w:val="none" w:sz="0" w:space="0" w:color="auto"/>
          </w:divBdr>
        </w:div>
        <w:div w:id="1502505793">
          <w:marLeft w:val="0"/>
          <w:marRight w:val="0"/>
          <w:marTop w:val="0"/>
          <w:marBottom w:val="0"/>
          <w:divBdr>
            <w:top w:val="none" w:sz="0" w:space="0" w:color="auto"/>
            <w:left w:val="none" w:sz="0" w:space="0" w:color="auto"/>
            <w:bottom w:val="none" w:sz="0" w:space="0" w:color="auto"/>
            <w:right w:val="none" w:sz="0" w:space="0" w:color="auto"/>
          </w:divBdr>
        </w:div>
        <w:div w:id="849375375">
          <w:marLeft w:val="0"/>
          <w:marRight w:val="0"/>
          <w:marTop w:val="0"/>
          <w:marBottom w:val="0"/>
          <w:divBdr>
            <w:top w:val="none" w:sz="0" w:space="0" w:color="auto"/>
            <w:left w:val="none" w:sz="0" w:space="0" w:color="auto"/>
            <w:bottom w:val="none" w:sz="0" w:space="0" w:color="auto"/>
            <w:right w:val="none" w:sz="0" w:space="0" w:color="auto"/>
          </w:divBdr>
        </w:div>
        <w:div w:id="1149394905">
          <w:marLeft w:val="0"/>
          <w:marRight w:val="0"/>
          <w:marTop w:val="0"/>
          <w:marBottom w:val="0"/>
          <w:divBdr>
            <w:top w:val="none" w:sz="0" w:space="0" w:color="auto"/>
            <w:left w:val="none" w:sz="0" w:space="0" w:color="auto"/>
            <w:bottom w:val="none" w:sz="0" w:space="0" w:color="auto"/>
            <w:right w:val="none" w:sz="0" w:space="0" w:color="auto"/>
          </w:divBdr>
        </w:div>
        <w:div w:id="576090831">
          <w:marLeft w:val="0"/>
          <w:marRight w:val="0"/>
          <w:marTop w:val="0"/>
          <w:marBottom w:val="0"/>
          <w:divBdr>
            <w:top w:val="none" w:sz="0" w:space="0" w:color="auto"/>
            <w:left w:val="none" w:sz="0" w:space="0" w:color="auto"/>
            <w:bottom w:val="none" w:sz="0" w:space="0" w:color="auto"/>
            <w:right w:val="none" w:sz="0" w:space="0" w:color="auto"/>
          </w:divBdr>
        </w:div>
      </w:divsChild>
    </w:div>
    <w:div w:id="630938460">
      <w:bodyDiv w:val="1"/>
      <w:marLeft w:val="0"/>
      <w:marRight w:val="0"/>
      <w:marTop w:val="0"/>
      <w:marBottom w:val="0"/>
      <w:divBdr>
        <w:top w:val="none" w:sz="0" w:space="0" w:color="auto"/>
        <w:left w:val="none" w:sz="0" w:space="0" w:color="auto"/>
        <w:bottom w:val="none" w:sz="0" w:space="0" w:color="auto"/>
        <w:right w:val="none" w:sz="0" w:space="0" w:color="auto"/>
      </w:divBdr>
    </w:div>
    <w:div w:id="634288312">
      <w:bodyDiv w:val="1"/>
      <w:marLeft w:val="0"/>
      <w:marRight w:val="0"/>
      <w:marTop w:val="0"/>
      <w:marBottom w:val="0"/>
      <w:divBdr>
        <w:top w:val="none" w:sz="0" w:space="0" w:color="auto"/>
        <w:left w:val="none" w:sz="0" w:space="0" w:color="auto"/>
        <w:bottom w:val="none" w:sz="0" w:space="0" w:color="auto"/>
        <w:right w:val="none" w:sz="0" w:space="0" w:color="auto"/>
      </w:divBdr>
    </w:div>
    <w:div w:id="716660526">
      <w:bodyDiv w:val="1"/>
      <w:marLeft w:val="0"/>
      <w:marRight w:val="0"/>
      <w:marTop w:val="0"/>
      <w:marBottom w:val="0"/>
      <w:divBdr>
        <w:top w:val="none" w:sz="0" w:space="0" w:color="auto"/>
        <w:left w:val="none" w:sz="0" w:space="0" w:color="auto"/>
        <w:bottom w:val="none" w:sz="0" w:space="0" w:color="auto"/>
        <w:right w:val="none" w:sz="0" w:space="0" w:color="auto"/>
      </w:divBdr>
    </w:div>
    <w:div w:id="724717256">
      <w:bodyDiv w:val="1"/>
      <w:marLeft w:val="0"/>
      <w:marRight w:val="0"/>
      <w:marTop w:val="0"/>
      <w:marBottom w:val="0"/>
      <w:divBdr>
        <w:top w:val="none" w:sz="0" w:space="0" w:color="auto"/>
        <w:left w:val="none" w:sz="0" w:space="0" w:color="auto"/>
        <w:bottom w:val="none" w:sz="0" w:space="0" w:color="auto"/>
        <w:right w:val="none" w:sz="0" w:space="0" w:color="auto"/>
      </w:divBdr>
      <w:divsChild>
        <w:div w:id="1042556098">
          <w:marLeft w:val="0"/>
          <w:marRight w:val="0"/>
          <w:marTop w:val="0"/>
          <w:marBottom w:val="0"/>
          <w:divBdr>
            <w:top w:val="none" w:sz="0" w:space="0" w:color="auto"/>
            <w:left w:val="none" w:sz="0" w:space="0" w:color="auto"/>
            <w:bottom w:val="none" w:sz="0" w:space="0" w:color="auto"/>
            <w:right w:val="none" w:sz="0" w:space="0" w:color="auto"/>
          </w:divBdr>
          <w:divsChild>
            <w:div w:id="1050760329">
              <w:marLeft w:val="0"/>
              <w:marRight w:val="0"/>
              <w:marTop w:val="0"/>
              <w:marBottom w:val="0"/>
              <w:divBdr>
                <w:top w:val="none" w:sz="0" w:space="0" w:color="auto"/>
                <w:left w:val="none" w:sz="0" w:space="0" w:color="auto"/>
                <w:bottom w:val="none" w:sz="0" w:space="0" w:color="auto"/>
                <w:right w:val="none" w:sz="0" w:space="0" w:color="auto"/>
              </w:divBdr>
              <w:divsChild>
                <w:div w:id="638269492">
                  <w:marLeft w:val="0"/>
                  <w:marRight w:val="0"/>
                  <w:marTop w:val="0"/>
                  <w:marBottom w:val="0"/>
                  <w:divBdr>
                    <w:top w:val="none" w:sz="0" w:space="0" w:color="auto"/>
                    <w:left w:val="none" w:sz="0" w:space="0" w:color="auto"/>
                    <w:bottom w:val="none" w:sz="0" w:space="0" w:color="auto"/>
                    <w:right w:val="none" w:sz="0" w:space="0" w:color="auto"/>
                  </w:divBdr>
                  <w:divsChild>
                    <w:div w:id="1149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292648">
      <w:bodyDiv w:val="1"/>
      <w:marLeft w:val="0"/>
      <w:marRight w:val="0"/>
      <w:marTop w:val="0"/>
      <w:marBottom w:val="0"/>
      <w:divBdr>
        <w:top w:val="none" w:sz="0" w:space="0" w:color="auto"/>
        <w:left w:val="none" w:sz="0" w:space="0" w:color="auto"/>
        <w:bottom w:val="none" w:sz="0" w:space="0" w:color="auto"/>
        <w:right w:val="none" w:sz="0" w:space="0" w:color="auto"/>
      </w:divBdr>
    </w:div>
    <w:div w:id="753666651">
      <w:bodyDiv w:val="1"/>
      <w:marLeft w:val="0"/>
      <w:marRight w:val="0"/>
      <w:marTop w:val="0"/>
      <w:marBottom w:val="0"/>
      <w:divBdr>
        <w:top w:val="none" w:sz="0" w:space="0" w:color="auto"/>
        <w:left w:val="none" w:sz="0" w:space="0" w:color="auto"/>
        <w:bottom w:val="none" w:sz="0" w:space="0" w:color="auto"/>
        <w:right w:val="none" w:sz="0" w:space="0" w:color="auto"/>
      </w:divBdr>
      <w:divsChild>
        <w:div w:id="1890846231">
          <w:marLeft w:val="0"/>
          <w:marRight w:val="0"/>
          <w:marTop w:val="0"/>
          <w:marBottom w:val="0"/>
          <w:divBdr>
            <w:top w:val="none" w:sz="0" w:space="0" w:color="auto"/>
            <w:left w:val="none" w:sz="0" w:space="0" w:color="auto"/>
            <w:bottom w:val="none" w:sz="0" w:space="0" w:color="auto"/>
            <w:right w:val="none" w:sz="0" w:space="0" w:color="auto"/>
          </w:divBdr>
          <w:divsChild>
            <w:div w:id="1936472411">
              <w:marLeft w:val="0"/>
              <w:marRight w:val="0"/>
              <w:marTop w:val="0"/>
              <w:marBottom w:val="0"/>
              <w:divBdr>
                <w:top w:val="none" w:sz="0" w:space="0" w:color="auto"/>
                <w:left w:val="none" w:sz="0" w:space="0" w:color="auto"/>
                <w:bottom w:val="none" w:sz="0" w:space="0" w:color="auto"/>
                <w:right w:val="none" w:sz="0" w:space="0" w:color="auto"/>
              </w:divBdr>
              <w:divsChild>
                <w:div w:id="172143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130067">
      <w:bodyDiv w:val="1"/>
      <w:marLeft w:val="0"/>
      <w:marRight w:val="0"/>
      <w:marTop w:val="0"/>
      <w:marBottom w:val="0"/>
      <w:divBdr>
        <w:top w:val="none" w:sz="0" w:space="0" w:color="auto"/>
        <w:left w:val="none" w:sz="0" w:space="0" w:color="auto"/>
        <w:bottom w:val="none" w:sz="0" w:space="0" w:color="auto"/>
        <w:right w:val="none" w:sz="0" w:space="0" w:color="auto"/>
      </w:divBdr>
      <w:divsChild>
        <w:div w:id="1260412852">
          <w:marLeft w:val="0"/>
          <w:marRight w:val="0"/>
          <w:marTop w:val="0"/>
          <w:marBottom w:val="0"/>
          <w:divBdr>
            <w:top w:val="none" w:sz="0" w:space="0" w:color="auto"/>
            <w:left w:val="none" w:sz="0" w:space="0" w:color="auto"/>
            <w:bottom w:val="none" w:sz="0" w:space="0" w:color="auto"/>
            <w:right w:val="none" w:sz="0" w:space="0" w:color="auto"/>
          </w:divBdr>
          <w:divsChild>
            <w:div w:id="196508913">
              <w:marLeft w:val="0"/>
              <w:marRight w:val="0"/>
              <w:marTop w:val="0"/>
              <w:marBottom w:val="0"/>
              <w:divBdr>
                <w:top w:val="none" w:sz="0" w:space="0" w:color="auto"/>
                <w:left w:val="none" w:sz="0" w:space="0" w:color="auto"/>
                <w:bottom w:val="none" w:sz="0" w:space="0" w:color="auto"/>
                <w:right w:val="none" w:sz="0" w:space="0" w:color="auto"/>
              </w:divBdr>
              <w:divsChild>
                <w:div w:id="552547799">
                  <w:marLeft w:val="0"/>
                  <w:marRight w:val="0"/>
                  <w:marTop w:val="0"/>
                  <w:marBottom w:val="0"/>
                  <w:divBdr>
                    <w:top w:val="none" w:sz="0" w:space="0" w:color="auto"/>
                    <w:left w:val="none" w:sz="0" w:space="0" w:color="auto"/>
                    <w:bottom w:val="none" w:sz="0" w:space="0" w:color="auto"/>
                    <w:right w:val="none" w:sz="0" w:space="0" w:color="auto"/>
                  </w:divBdr>
                  <w:divsChild>
                    <w:div w:id="43294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596036">
      <w:bodyDiv w:val="1"/>
      <w:marLeft w:val="0"/>
      <w:marRight w:val="0"/>
      <w:marTop w:val="0"/>
      <w:marBottom w:val="0"/>
      <w:divBdr>
        <w:top w:val="none" w:sz="0" w:space="0" w:color="auto"/>
        <w:left w:val="none" w:sz="0" w:space="0" w:color="auto"/>
        <w:bottom w:val="none" w:sz="0" w:space="0" w:color="auto"/>
        <w:right w:val="none" w:sz="0" w:space="0" w:color="auto"/>
      </w:divBdr>
    </w:div>
    <w:div w:id="790320981">
      <w:bodyDiv w:val="1"/>
      <w:marLeft w:val="0"/>
      <w:marRight w:val="0"/>
      <w:marTop w:val="0"/>
      <w:marBottom w:val="0"/>
      <w:divBdr>
        <w:top w:val="none" w:sz="0" w:space="0" w:color="auto"/>
        <w:left w:val="none" w:sz="0" w:space="0" w:color="auto"/>
        <w:bottom w:val="none" w:sz="0" w:space="0" w:color="auto"/>
        <w:right w:val="none" w:sz="0" w:space="0" w:color="auto"/>
      </w:divBdr>
      <w:divsChild>
        <w:div w:id="1997878097">
          <w:marLeft w:val="0"/>
          <w:marRight w:val="0"/>
          <w:marTop w:val="0"/>
          <w:marBottom w:val="0"/>
          <w:divBdr>
            <w:top w:val="none" w:sz="0" w:space="0" w:color="auto"/>
            <w:left w:val="none" w:sz="0" w:space="0" w:color="auto"/>
            <w:bottom w:val="none" w:sz="0" w:space="0" w:color="auto"/>
            <w:right w:val="none" w:sz="0" w:space="0" w:color="auto"/>
          </w:divBdr>
          <w:divsChild>
            <w:div w:id="1843425114">
              <w:marLeft w:val="0"/>
              <w:marRight w:val="0"/>
              <w:marTop w:val="0"/>
              <w:marBottom w:val="0"/>
              <w:divBdr>
                <w:top w:val="none" w:sz="0" w:space="0" w:color="auto"/>
                <w:left w:val="none" w:sz="0" w:space="0" w:color="auto"/>
                <w:bottom w:val="none" w:sz="0" w:space="0" w:color="auto"/>
                <w:right w:val="none" w:sz="0" w:space="0" w:color="auto"/>
              </w:divBdr>
              <w:divsChild>
                <w:div w:id="86384608">
                  <w:marLeft w:val="0"/>
                  <w:marRight w:val="0"/>
                  <w:marTop w:val="0"/>
                  <w:marBottom w:val="0"/>
                  <w:divBdr>
                    <w:top w:val="none" w:sz="0" w:space="0" w:color="auto"/>
                    <w:left w:val="none" w:sz="0" w:space="0" w:color="auto"/>
                    <w:bottom w:val="none" w:sz="0" w:space="0" w:color="auto"/>
                    <w:right w:val="none" w:sz="0" w:space="0" w:color="auto"/>
                  </w:divBdr>
                  <w:divsChild>
                    <w:div w:id="113502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734055">
      <w:bodyDiv w:val="1"/>
      <w:marLeft w:val="0"/>
      <w:marRight w:val="0"/>
      <w:marTop w:val="0"/>
      <w:marBottom w:val="0"/>
      <w:divBdr>
        <w:top w:val="none" w:sz="0" w:space="0" w:color="auto"/>
        <w:left w:val="none" w:sz="0" w:space="0" w:color="auto"/>
        <w:bottom w:val="none" w:sz="0" w:space="0" w:color="auto"/>
        <w:right w:val="none" w:sz="0" w:space="0" w:color="auto"/>
      </w:divBdr>
    </w:div>
    <w:div w:id="932515811">
      <w:bodyDiv w:val="1"/>
      <w:marLeft w:val="0"/>
      <w:marRight w:val="0"/>
      <w:marTop w:val="0"/>
      <w:marBottom w:val="0"/>
      <w:divBdr>
        <w:top w:val="none" w:sz="0" w:space="0" w:color="auto"/>
        <w:left w:val="none" w:sz="0" w:space="0" w:color="auto"/>
        <w:bottom w:val="none" w:sz="0" w:space="0" w:color="auto"/>
        <w:right w:val="none" w:sz="0" w:space="0" w:color="auto"/>
      </w:divBdr>
    </w:div>
    <w:div w:id="983122116">
      <w:bodyDiv w:val="1"/>
      <w:marLeft w:val="0"/>
      <w:marRight w:val="0"/>
      <w:marTop w:val="0"/>
      <w:marBottom w:val="0"/>
      <w:divBdr>
        <w:top w:val="none" w:sz="0" w:space="0" w:color="auto"/>
        <w:left w:val="none" w:sz="0" w:space="0" w:color="auto"/>
        <w:bottom w:val="none" w:sz="0" w:space="0" w:color="auto"/>
        <w:right w:val="none" w:sz="0" w:space="0" w:color="auto"/>
      </w:divBdr>
      <w:divsChild>
        <w:div w:id="274680265">
          <w:marLeft w:val="0"/>
          <w:marRight w:val="0"/>
          <w:marTop w:val="0"/>
          <w:marBottom w:val="0"/>
          <w:divBdr>
            <w:top w:val="none" w:sz="0" w:space="0" w:color="auto"/>
            <w:left w:val="none" w:sz="0" w:space="0" w:color="auto"/>
            <w:bottom w:val="none" w:sz="0" w:space="0" w:color="auto"/>
            <w:right w:val="none" w:sz="0" w:space="0" w:color="auto"/>
          </w:divBdr>
          <w:divsChild>
            <w:div w:id="2065912344">
              <w:marLeft w:val="0"/>
              <w:marRight w:val="0"/>
              <w:marTop w:val="0"/>
              <w:marBottom w:val="0"/>
              <w:divBdr>
                <w:top w:val="none" w:sz="0" w:space="0" w:color="auto"/>
                <w:left w:val="none" w:sz="0" w:space="0" w:color="auto"/>
                <w:bottom w:val="none" w:sz="0" w:space="0" w:color="auto"/>
                <w:right w:val="none" w:sz="0" w:space="0" w:color="auto"/>
              </w:divBdr>
              <w:divsChild>
                <w:div w:id="110403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629355">
      <w:bodyDiv w:val="1"/>
      <w:marLeft w:val="0"/>
      <w:marRight w:val="0"/>
      <w:marTop w:val="0"/>
      <w:marBottom w:val="0"/>
      <w:divBdr>
        <w:top w:val="none" w:sz="0" w:space="0" w:color="auto"/>
        <w:left w:val="none" w:sz="0" w:space="0" w:color="auto"/>
        <w:bottom w:val="none" w:sz="0" w:space="0" w:color="auto"/>
        <w:right w:val="none" w:sz="0" w:space="0" w:color="auto"/>
      </w:divBdr>
    </w:div>
    <w:div w:id="993220301">
      <w:bodyDiv w:val="1"/>
      <w:marLeft w:val="0"/>
      <w:marRight w:val="0"/>
      <w:marTop w:val="0"/>
      <w:marBottom w:val="0"/>
      <w:divBdr>
        <w:top w:val="none" w:sz="0" w:space="0" w:color="auto"/>
        <w:left w:val="none" w:sz="0" w:space="0" w:color="auto"/>
        <w:bottom w:val="none" w:sz="0" w:space="0" w:color="auto"/>
        <w:right w:val="none" w:sz="0" w:space="0" w:color="auto"/>
      </w:divBdr>
    </w:div>
    <w:div w:id="996416141">
      <w:bodyDiv w:val="1"/>
      <w:marLeft w:val="0"/>
      <w:marRight w:val="0"/>
      <w:marTop w:val="0"/>
      <w:marBottom w:val="0"/>
      <w:divBdr>
        <w:top w:val="none" w:sz="0" w:space="0" w:color="auto"/>
        <w:left w:val="none" w:sz="0" w:space="0" w:color="auto"/>
        <w:bottom w:val="none" w:sz="0" w:space="0" w:color="auto"/>
        <w:right w:val="none" w:sz="0" w:space="0" w:color="auto"/>
      </w:divBdr>
    </w:div>
    <w:div w:id="1004742548">
      <w:bodyDiv w:val="1"/>
      <w:marLeft w:val="0"/>
      <w:marRight w:val="0"/>
      <w:marTop w:val="0"/>
      <w:marBottom w:val="0"/>
      <w:divBdr>
        <w:top w:val="none" w:sz="0" w:space="0" w:color="auto"/>
        <w:left w:val="none" w:sz="0" w:space="0" w:color="auto"/>
        <w:bottom w:val="none" w:sz="0" w:space="0" w:color="auto"/>
        <w:right w:val="none" w:sz="0" w:space="0" w:color="auto"/>
      </w:divBdr>
      <w:divsChild>
        <w:div w:id="1424839724">
          <w:marLeft w:val="0"/>
          <w:marRight w:val="0"/>
          <w:marTop w:val="0"/>
          <w:marBottom w:val="0"/>
          <w:divBdr>
            <w:top w:val="none" w:sz="0" w:space="0" w:color="auto"/>
            <w:left w:val="none" w:sz="0" w:space="0" w:color="auto"/>
            <w:bottom w:val="none" w:sz="0" w:space="0" w:color="auto"/>
            <w:right w:val="none" w:sz="0" w:space="0" w:color="auto"/>
          </w:divBdr>
          <w:divsChild>
            <w:div w:id="972058484">
              <w:marLeft w:val="0"/>
              <w:marRight w:val="0"/>
              <w:marTop w:val="0"/>
              <w:marBottom w:val="0"/>
              <w:divBdr>
                <w:top w:val="none" w:sz="0" w:space="0" w:color="auto"/>
                <w:left w:val="none" w:sz="0" w:space="0" w:color="auto"/>
                <w:bottom w:val="none" w:sz="0" w:space="0" w:color="auto"/>
                <w:right w:val="none" w:sz="0" w:space="0" w:color="auto"/>
              </w:divBdr>
              <w:divsChild>
                <w:div w:id="1507550600">
                  <w:marLeft w:val="0"/>
                  <w:marRight w:val="0"/>
                  <w:marTop w:val="0"/>
                  <w:marBottom w:val="0"/>
                  <w:divBdr>
                    <w:top w:val="none" w:sz="0" w:space="0" w:color="auto"/>
                    <w:left w:val="none" w:sz="0" w:space="0" w:color="auto"/>
                    <w:bottom w:val="none" w:sz="0" w:space="0" w:color="auto"/>
                    <w:right w:val="none" w:sz="0" w:space="0" w:color="auto"/>
                  </w:divBdr>
                  <w:divsChild>
                    <w:div w:id="165603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853041">
      <w:bodyDiv w:val="1"/>
      <w:marLeft w:val="0"/>
      <w:marRight w:val="0"/>
      <w:marTop w:val="0"/>
      <w:marBottom w:val="0"/>
      <w:divBdr>
        <w:top w:val="none" w:sz="0" w:space="0" w:color="auto"/>
        <w:left w:val="none" w:sz="0" w:space="0" w:color="auto"/>
        <w:bottom w:val="none" w:sz="0" w:space="0" w:color="auto"/>
        <w:right w:val="none" w:sz="0" w:space="0" w:color="auto"/>
      </w:divBdr>
    </w:div>
    <w:div w:id="1051729835">
      <w:bodyDiv w:val="1"/>
      <w:marLeft w:val="0"/>
      <w:marRight w:val="0"/>
      <w:marTop w:val="0"/>
      <w:marBottom w:val="0"/>
      <w:divBdr>
        <w:top w:val="none" w:sz="0" w:space="0" w:color="auto"/>
        <w:left w:val="none" w:sz="0" w:space="0" w:color="auto"/>
        <w:bottom w:val="none" w:sz="0" w:space="0" w:color="auto"/>
        <w:right w:val="none" w:sz="0" w:space="0" w:color="auto"/>
      </w:divBdr>
      <w:divsChild>
        <w:div w:id="947155884">
          <w:marLeft w:val="0"/>
          <w:marRight w:val="0"/>
          <w:marTop w:val="0"/>
          <w:marBottom w:val="0"/>
          <w:divBdr>
            <w:top w:val="none" w:sz="0" w:space="0" w:color="auto"/>
            <w:left w:val="none" w:sz="0" w:space="0" w:color="auto"/>
            <w:bottom w:val="none" w:sz="0" w:space="0" w:color="auto"/>
            <w:right w:val="none" w:sz="0" w:space="0" w:color="auto"/>
          </w:divBdr>
          <w:divsChild>
            <w:div w:id="1909341863">
              <w:marLeft w:val="0"/>
              <w:marRight w:val="0"/>
              <w:marTop w:val="0"/>
              <w:marBottom w:val="0"/>
              <w:divBdr>
                <w:top w:val="none" w:sz="0" w:space="0" w:color="auto"/>
                <w:left w:val="none" w:sz="0" w:space="0" w:color="auto"/>
                <w:bottom w:val="none" w:sz="0" w:space="0" w:color="auto"/>
                <w:right w:val="none" w:sz="0" w:space="0" w:color="auto"/>
              </w:divBdr>
              <w:divsChild>
                <w:div w:id="211812458">
                  <w:marLeft w:val="0"/>
                  <w:marRight w:val="0"/>
                  <w:marTop w:val="0"/>
                  <w:marBottom w:val="0"/>
                  <w:divBdr>
                    <w:top w:val="none" w:sz="0" w:space="0" w:color="auto"/>
                    <w:left w:val="none" w:sz="0" w:space="0" w:color="auto"/>
                    <w:bottom w:val="none" w:sz="0" w:space="0" w:color="auto"/>
                    <w:right w:val="none" w:sz="0" w:space="0" w:color="auto"/>
                  </w:divBdr>
                  <w:divsChild>
                    <w:div w:id="45147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12814">
      <w:bodyDiv w:val="1"/>
      <w:marLeft w:val="0"/>
      <w:marRight w:val="0"/>
      <w:marTop w:val="0"/>
      <w:marBottom w:val="0"/>
      <w:divBdr>
        <w:top w:val="none" w:sz="0" w:space="0" w:color="auto"/>
        <w:left w:val="none" w:sz="0" w:space="0" w:color="auto"/>
        <w:bottom w:val="none" w:sz="0" w:space="0" w:color="auto"/>
        <w:right w:val="none" w:sz="0" w:space="0" w:color="auto"/>
      </w:divBdr>
    </w:div>
    <w:div w:id="1083602265">
      <w:bodyDiv w:val="1"/>
      <w:marLeft w:val="0"/>
      <w:marRight w:val="0"/>
      <w:marTop w:val="0"/>
      <w:marBottom w:val="0"/>
      <w:divBdr>
        <w:top w:val="none" w:sz="0" w:space="0" w:color="auto"/>
        <w:left w:val="none" w:sz="0" w:space="0" w:color="auto"/>
        <w:bottom w:val="none" w:sz="0" w:space="0" w:color="auto"/>
        <w:right w:val="none" w:sz="0" w:space="0" w:color="auto"/>
      </w:divBdr>
      <w:divsChild>
        <w:div w:id="563881081">
          <w:marLeft w:val="0"/>
          <w:marRight w:val="0"/>
          <w:marTop w:val="0"/>
          <w:marBottom w:val="0"/>
          <w:divBdr>
            <w:top w:val="none" w:sz="0" w:space="0" w:color="auto"/>
            <w:left w:val="none" w:sz="0" w:space="0" w:color="auto"/>
            <w:bottom w:val="none" w:sz="0" w:space="0" w:color="auto"/>
            <w:right w:val="none" w:sz="0" w:space="0" w:color="auto"/>
          </w:divBdr>
          <w:divsChild>
            <w:div w:id="117842857">
              <w:marLeft w:val="0"/>
              <w:marRight w:val="0"/>
              <w:marTop w:val="0"/>
              <w:marBottom w:val="0"/>
              <w:divBdr>
                <w:top w:val="none" w:sz="0" w:space="0" w:color="auto"/>
                <w:left w:val="none" w:sz="0" w:space="0" w:color="auto"/>
                <w:bottom w:val="none" w:sz="0" w:space="0" w:color="auto"/>
                <w:right w:val="none" w:sz="0" w:space="0" w:color="auto"/>
              </w:divBdr>
              <w:divsChild>
                <w:div w:id="150597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936679">
      <w:bodyDiv w:val="1"/>
      <w:marLeft w:val="0"/>
      <w:marRight w:val="0"/>
      <w:marTop w:val="0"/>
      <w:marBottom w:val="0"/>
      <w:divBdr>
        <w:top w:val="none" w:sz="0" w:space="0" w:color="auto"/>
        <w:left w:val="none" w:sz="0" w:space="0" w:color="auto"/>
        <w:bottom w:val="none" w:sz="0" w:space="0" w:color="auto"/>
        <w:right w:val="none" w:sz="0" w:space="0" w:color="auto"/>
      </w:divBdr>
    </w:div>
    <w:div w:id="1118646902">
      <w:bodyDiv w:val="1"/>
      <w:marLeft w:val="0"/>
      <w:marRight w:val="0"/>
      <w:marTop w:val="0"/>
      <w:marBottom w:val="0"/>
      <w:divBdr>
        <w:top w:val="none" w:sz="0" w:space="0" w:color="auto"/>
        <w:left w:val="none" w:sz="0" w:space="0" w:color="auto"/>
        <w:bottom w:val="none" w:sz="0" w:space="0" w:color="auto"/>
        <w:right w:val="none" w:sz="0" w:space="0" w:color="auto"/>
      </w:divBdr>
    </w:div>
    <w:div w:id="1164275818">
      <w:bodyDiv w:val="1"/>
      <w:marLeft w:val="0"/>
      <w:marRight w:val="0"/>
      <w:marTop w:val="0"/>
      <w:marBottom w:val="0"/>
      <w:divBdr>
        <w:top w:val="none" w:sz="0" w:space="0" w:color="auto"/>
        <w:left w:val="none" w:sz="0" w:space="0" w:color="auto"/>
        <w:bottom w:val="none" w:sz="0" w:space="0" w:color="auto"/>
        <w:right w:val="none" w:sz="0" w:space="0" w:color="auto"/>
      </w:divBdr>
    </w:div>
    <w:div w:id="1276208358">
      <w:bodyDiv w:val="1"/>
      <w:marLeft w:val="0"/>
      <w:marRight w:val="0"/>
      <w:marTop w:val="0"/>
      <w:marBottom w:val="0"/>
      <w:divBdr>
        <w:top w:val="none" w:sz="0" w:space="0" w:color="auto"/>
        <w:left w:val="none" w:sz="0" w:space="0" w:color="auto"/>
        <w:bottom w:val="none" w:sz="0" w:space="0" w:color="auto"/>
        <w:right w:val="none" w:sz="0" w:space="0" w:color="auto"/>
      </w:divBdr>
    </w:div>
    <w:div w:id="1314407250">
      <w:bodyDiv w:val="1"/>
      <w:marLeft w:val="0"/>
      <w:marRight w:val="0"/>
      <w:marTop w:val="0"/>
      <w:marBottom w:val="0"/>
      <w:divBdr>
        <w:top w:val="none" w:sz="0" w:space="0" w:color="auto"/>
        <w:left w:val="none" w:sz="0" w:space="0" w:color="auto"/>
        <w:bottom w:val="none" w:sz="0" w:space="0" w:color="auto"/>
        <w:right w:val="none" w:sz="0" w:space="0" w:color="auto"/>
      </w:divBdr>
    </w:div>
    <w:div w:id="1331103864">
      <w:bodyDiv w:val="1"/>
      <w:marLeft w:val="0"/>
      <w:marRight w:val="0"/>
      <w:marTop w:val="0"/>
      <w:marBottom w:val="0"/>
      <w:divBdr>
        <w:top w:val="none" w:sz="0" w:space="0" w:color="auto"/>
        <w:left w:val="none" w:sz="0" w:space="0" w:color="auto"/>
        <w:bottom w:val="none" w:sz="0" w:space="0" w:color="auto"/>
        <w:right w:val="none" w:sz="0" w:space="0" w:color="auto"/>
      </w:divBdr>
    </w:div>
    <w:div w:id="1348092929">
      <w:bodyDiv w:val="1"/>
      <w:marLeft w:val="0"/>
      <w:marRight w:val="0"/>
      <w:marTop w:val="0"/>
      <w:marBottom w:val="0"/>
      <w:divBdr>
        <w:top w:val="none" w:sz="0" w:space="0" w:color="auto"/>
        <w:left w:val="none" w:sz="0" w:space="0" w:color="auto"/>
        <w:bottom w:val="none" w:sz="0" w:space="0" w:color="auto"/>
        <w:right w:val="none" w:sz="0" w:space="0" w:color="auto"/>
      </w:divBdr>
    </w:div>
    <w:div w:id="1430813612">
      <w:bodyDiv w:val="1"/>
      <w:marLeft w:val="0"/>
      <w:marRight w:val="0"/>
      <w:marTop w:val="0"/>
      <w:marBottom w:val="0"/>
      <w:divBdr>
        <w:top w:val="none" w:sz="0" w:space="0" w:color="auto"/>
        <w:left w:val="none" w:sz="0" w:space="0" w:color="auto"/>
        <w:bottom w:val="none" w:sz="0" w:space="0" w:color="auto"/>
        <w:right w:val="none" w:sz="0" w:space="0" w:color="auto"/>
      </w:divBdr>
    </w:div>
    <w:div w:id="1458714824">
      <w:bodyDiv w:val="1"/>
      <w:marLeft w:val="0"/>
      <w:marRight w:val="0"/>
      <w:marTop w:val="0"/>
      <w:marBottom w:val="0"/>
      <w:divBdr>
        <w:top w:val="none" w:sz="0" w:space="0" w:color="auto"/>
        <w:left w:val="none" w:sz="0" w:space="0" w:color="auto"/>
        <w:bottom w:val="none" w:sz="0" w:space="0" w:color="auto"/>
        <w:right w:val="none" w:sz="0" w:space="0" w:color="auto"/>
      </w:divBdr>
    </w:div>
    <w:div w:id="1477264318">
      <w:bodyDiv w:val="1"/>
      <w:marLeft w:val="0"/>
      <w:marRight w:val="0"/>
      <w:marTop w:val="0"/>
      <w:marBottom w:val="0"/>
      <w:divBdr>
        <w:top w:val="none" w:sz="0" w:space="0" w:color="auto"/>
        <w:left w:val="none" w:sz="0" w:space="0" w:color="auto"/>
        <w:bottom w:val="none" w:sz="0" w:space="0" w:color="auto"/>
        <w:right w:val="none" w:sz="0" w:space="0" w:color="auto"/>
      </w:divBdr>
    </w:div>
    <w:div w:id="1519465003">
      <w:bodyDiv w:val="1"/>
      <w:marLeft w:val="0"/>
      <w:marRight w:val="0"/>
      <w:marTop w:val="0"/>
      <w:marBottom w:val="0"/>
      <w:divBdr>
        <w:top w:val="none" w:sz="0" w:space="0" w:color="auto"/>
        <w:left w:val="none" w:sz="0" w:space="0" w:color="auto"/>
        <w:bottom w:val="none" w:sz="0" w:space="0" w:color="auto"/>
        <w:right w:val="none" w:sz="0" w:space="0" w:color="auto"/>
      </w:divBdr>
    </w:div>
    <w:div w:id="1655915158">
      <w:bodyDiv w:val="1"/>
      <w:marLeft w:val="0"/>
      <w:marRight w:val="0"/>
      <w:marTop w:val="0"/>
      <w:marBottom w:val="0"/>
      <w:divBdr>
        <w:top w:val="none" w:sz="0" w:space="0" w:color="auto"/>
        <w:left w:val="none" w:sz="0" w:space="0" w:color="auto"/>
        <w:bottom w:val="none" w:sz="0" w:space="0" w:color="auto"/>
        <w:right w:val="none" w:sz="0" w:space="0" w:color="auto"/>
      </w:divBdr>
    </w:div>
    <w:div w:id="1658680677">
      <w:bodyDiv w:val="1"/>
      <w:marLeft w:val="0"/>
      <w:marRight w:val="0"/>
      <w:marTop w:val="0"/>
      <w:marBottom w:val="0"/>
      <w:divBdr>
        <w:top w:val="none" w:sz="0" w:space="0" w:color="auto"/>
        <w:left w:val="none" w:sz="0" w:space="0" w:color="auto"/>
        <w:bottom w:val="none" w:sz="0" w:space="0" w:color="auto"/>
        <w:right w:val="none" w:sz="0" w:space="0" w:color="auto"/>
      </w:divBdr>
    </w:div>
    <w:div w:id="1662541294">
      <w:bodyDiv w:val="1"/>
      <w:marLeft w:val="0"/>
      <w:marRight w:val="0"/>
      <w:marTop w:val="0"/>
      <w:marBottom w:val="0"/>
      <w:divBdr>
        <w:top w:val="none" w:sz="0" w:space="0" w:color="auto"/>
        <w:left w:val="none" w:sz="0" w:space="0" w:color="auto"/>
        <w:bottom w:val="none" w:sz="0" w:space="0" w:color="auto"/>
        <w:right w:val="none" w:sz="0" w:space="0" w:color="auto"/>
      </w:divBdr>
    </w:div>
    <w:div w:id="1688369097">
      <w:bodyDiv w:val="1"/>
      <w:marLeft w:val="0"/>
      <w:marRight w:val="0"/>
      <w:marTop w:val="0"/>
      <w:marBottom w:val="0"/>
      <w:divBdr>
        <w:top w:val="none" w:sz="0" w:space="0" w:color="auto"/>
        <w:left w:val="none" w:sz="0" w:space="0" w:color="auto"/>
        <w:bottom w:val="none" w:sz="0" w:space="0" w:color="auto"/>
        <w:right w:val="none" w:sz="0" w:space="0" w:color="auto"/>
      </w:divBdr>
    </w:div>
    <w:div w:id="1702705312">
      <w:bodyDiv w:val="1"/>
      <w:marLeft w:val="0"/>
      <w:marRight w:val="0"/>
      <w:marTop w:val="0"/>
      <w:marBottom w:val="0"/>
      <w:divBdr>
        <w:top w:val="none" w:sz="0" w:space="0" w:color="auto"/>
        <w:left w:val="none" w:sz="0" w:space="0" w:color="auto"/>
        <w:bottom w:val="none" w:sz="0" w:space="0" w:color="auto"/>
        <w:right w:val="none" w:sz="0" w:space="0" w:color="auto"/>
      </w:divBdr>
    </w:div>
    <w:div w:id="1725786698">
      <w:bodyDiv w:val="1"/>
      <w:marLeft w:val="0"/>
      <w:marRight w:val="0"/>
      <w:marTop w:val="0"/>
      <w:marBottom w:val="0"/>
      <w:divBdr>
        <w:top w:val="none" w:sz="0" w:space="0" w:color="auto"/>
        <w:left w:val="none" w:sz="0" w:space="0" w:color="auto"/>
        <w:bottom w:val="none" w:sz="0" w:space="0" w:color="auto"/>
        <w:right w:val="none" w:sz="0" w:space="0" w:color="auto"/>
      </w:divBdr>
    </w:div>
    <w:div w:id="1770006728">
      <w:bodyDiv w:val="1"/>
      <w:marLeft w:val="0"/>
      <w:marRight w:val="0"/>
      <w:marTop w:val="0"/>
      <w:marBottom w:val="0"/>
      <w:divBdr>
        <w:top w:val="none" w:sz="0" w:space="0" w:color="auto"/>
        <w:left w:val="none" w:sz="0" w:space="0" w:color="auto"/>
        <w:bottom w:val="none" w:sz="0" w:space="0" w:color="auto"/>
        <w:right w:val="none" w:sz="0" w:space="0" w:color="auto"/>
      </w:divBdr>
    </w:div>
    <w:div w:id="1835103771">
      <w:bodyDiv w:val="1"/>
      <w:marLeft w:val="0"/>
      <w:marRight w:val="0"/>
      <w:marTop w:val="0"/>
      <w:marBottom w:val="0"/>
      <w:divBdr>
        <w:top w:val="none" w:sz="0" w:space="0" w:color="auto"/>
        <w:left w:val="none" w:sz="0" w:space="0" w:color="auto"/>
        <w:bottom w:val="none" w:sz="0" w:space="0" w:color="auto"/>
        <w:right w:val="none" w:sz="0" w:space="0" w:color="auto"/>
      </w:divBdr>
    </w:div>
    <w:div w:id="1842817058">
      <w:bodyDiv w:val="1"/>
      <w:marLeft w:val="0"/>
      <w:marRight w:val="0"/>
      <w:marTop w:val="0"/>
      <w:marBottom w:val="0"/>
      <w:divBdr>
        <w:top w:val="none" w:sz="0" w:space="0" w:color="auto"/>
        <w:left w:val="none" w:sz="0" w:space="0" w:color="auto"/>
        <w:bottom w:val="none" w:sz="0" w:space="0" w:color="auto"/>
        <w:right w:val="none" w:sz="0" w:space="0" w:color="auto"/>
      </w:divBdr>
    </w:div>
    <w:div w:id="1870796094">
      <w:bodyDiv w:val="1"/>
      <w:marLeft w:val="0"/>
      <w:marRight w:val="0"/>
      <w:marTop w:val="0"/>
      <w:marBottom w:val="0"/>
      <w:divBdr>
        <w:top w:val="none" w:sz="0" w:space="0" w:color="auto"/>
        <w:left w:val="none" w:sz="0" w:space="0" w:color="auto"/>
        <w:bottom w:val="none" w:sz="0" w:space="0" w:color="auto"/>
        <w:right w:val="none" w:sz="0" w:space="0" w:color="auto"/>
      </w:divBdr>
      <w:divsChild>
        <w:div w:id="1892426390">
          <w:marLeft w:val="0"/>
          <w:marRight w:val="0"/>
          <w:marTop w:val="0"/>
          <w:marBottom w:val="0"/>
          <w:divBdr>
            <w:top w:val="none" w:sz="0" w:space="0" w:color="auto"/>
            <w:left w:val="none" w:sz="0" w:space="0" w:color="auto"/>
            <w:bottom w:val="none" w:sz="0" w:space="0" w:color="auto"/>
            <w:right w:val="none" w:sz="0" w:space="0" w:color="auto"/>
          </w:divBdr>
        </w:div>
        <w:div w:id="1905334454">
          <w:marLeft w:val="0"/>
          <w:marRight w:val="0"/>
          <w:marTop w:val="0"/>
          <w:marBottom w:val="0"/>
          <w:divBdr>
            <w:top w:val="none" w:sz="0" w:space="0" w:color="auto"/>
            <w:left w:val="none" w:sz="0" w:space="0" w:color="auto"/>
            <w:bottom w:val="none" w:sz="0" w:space="0" w:color="auto"/>
            <w:right w:val="none" w:sz="0" w:space="0" w:color="auto"/>
          </w:divBdr>
        </w:div>
        <w:div w:id="1353535254">
          <w:marLeft w:val="0"/>
          <w:marRight w:val="0"/>
          <w:marTop w:val="0"/>
          <w:marBottom w:val="0"/>
          <w:divBdr>
            <w:top w:val="none" w:sz="0" w:space="0" w:color="auto"/>
            <w:left w:val="none" w:sz="0" w:space="0" w:color="auto"/>
            <w:bottom w:val="none" w:sz="0" w:space="0" w:color="auto"/>
            <w:right w:val="none" w:sz="0" w:space="0" w:color="auto"/>
          </w:divBdr>
          <w:divsChild>
            <w:div w:id="176769600">
              <w:marLeft w:val="0"/>
              <w:marRight w:val="0"/>
              <w:marTop w:val="0"/>
              <w:marBottom w:val="0"/>
              <w:divBdr>
                <w:top w:val="none" w:sz="0" w:space="0" w:color="auto"/>
                <w:left w:val="none" w:sz="0" w:space="0" w:color="auto"/>
                <w:bottom w:val="none" w:sz="0" w:space="0" w:color="auto"/>
                <w:right w:val="none" w:sz="0" w:space="0" w:color="auto"/>
              </w:divBdr>
            </w:div>
            <w:div w:id="306512801">
              <w:marLeft w:val="0"/>
              <w:marRight w:val="0"/>
              <w:marTop w:val="0"/>
              <w:marBottom w:val="0"/>
              <w:divBdr>
                <w:top w:val="none" w:sz="0" w:space="0" w:color="auto"/>
                <w:left w:val="none" w:sz="0" w:space="0" w:color="auto"/>
                <w:bottom w:val="none" w:sz="0" w:space="0" w:color="auto"/>
                <w:right w:val="none" w:sz="0" w:space="0" w:color="auto"/>
              </w:divBdr>
            </w:div>
            <w:div w:id="1090346847">
              <w:marLeft w:val="0"/>
              <w:marRight w:val="0"/>
              <w:marTop w:val="0"/>
              <w:marBottom w:val="0"/>
              <w:divBdr>
                <w:top w:val="none" w:sz="0" w:space="0" w:color="auto"/>
                <w:left w:val="none" w:sz="0" w:space="0" w:color="auto"/>
                <w:bottom w:val="none" w:sz="0" w:space="0" w:color="auto"/>
                <w:right w:val="none" w:sz="0" w:space="0" w:color="auto"/>
              </w:divBdr>
            </w:div>
            <w:div w:id="1404529556">
              <w:marLeft w:val="0"/>
              <w:marRight w:val="0"/>
              <w:marTop w:val="0"/>
              <w:marBottom w:val="0"/>
              <w:divBdr>
                <w:top w:val="none" w:sz="0" w:space="0" w:color="auto"/>
                <w:left w:val="none" w:sz="0" w:space="0" w:color="auto"/>
                <w:bottom w:val="none" w:sz="0" w:space="0" w:color="auto"/>
                <w:right w:val="none" w:sz="0" w:space="0" w:color="auto"/>
              </w:divBdr>
            </w:div>
            <w:div w:id="1868325006">
              <w:marLeft w:val="0"/>
              <w:marRight w:val="0"/>
              <w:marTop w:val="0"/>
              <w:marBottom w:val="0"/>
              <w:divBdr>
                <w:top w:val="none" w:sz="0" w:space="0" w:color="auto"/>
                <w:left w:val="none" w:sz="0" w:space="0" w:color="auto"/>
                <w:bottom w:val="none" w:sz="0" w:space="0" w:color="auto"/>
                <w:right w:val="none" w:sz="0" w:space="0" w:color="auto"/>
              </w:divBdr>
              <w:divsChild>
                <w:div w:id="1173840064">
                  <w:marLeft w:val="0"/>
                  <w:marRight w:val="0"/>
                  <w:marTop w:val="0"/>
                  <w:marBottom w:val="0"/>
                  <w:divBdr>
                    <w:top w:val="none" w:sz="0" w:space="0" w:color="auto"/>
                    <w:left w:val="none" w:sz="0" w:space="0" w:color="auto"/>
                    <w:bottom w:val="none" w:sz="0" w:space="0" w:color="auto"/>
                    <w:right w:val="none" w:sz="0" w:space="0" w:color="auto"/>
                  </w:divBdr>
                </w:div>
                <w:div w:id="1201817814">
                  <w:marLeft w:val="0"/>
                  <w:marRight w:val="0"/>
                  <w:marTop w:val="0"/>
                  <w:marBottom w:val="0"/>
                  <w:divBdr>
                    <w:top w:val="none" w:sz="0" w:space="0" w:color="auto"/>
                    <w:left w:val="none" w:sz="0" w:space="0" w:color="auto"/>
                    <w:bottom w:val="none" w:sz="0" w:space="0" w:color="auto"/>
                    <w:right w:val="none" w:sz="0" w:space="0" w:color="auto"/>
                  </w:divBdr>
                </w:div>
                <w:div w:id="123936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74467">
          <w:marLeft w:val="0"/>
          <w:marRight w:val="0"/>
          <w:marTop w:val="0"/>
          <w:marBottom w:val="0"/>
          <w:divBdr>
            <w:top w:val="none" w:sz="0" w:space="0" w:color="auto"/>
            <w:left w:val="none" w:sz="0" w:space="0" w:color="auto"/>
            <w:bottom w:val="none" w:sz="0" w:space="0" w:color="auto"/>
            <w:right w:val="none" w:sz="0" w:space="0" w:color="auto"/>
          </w:divBdr>
          <w:divsChild>
            <w:div w:id="535235039">
              <w:marLeft w:val="0"/>
              <w:marRight w:val="0"/>
              <w:marTop w:val="0"/>
              <w:marBottom w:val="0"/>
              <w:divBdr>
                <w:top w:val="none" w:sz="0" w:space="0" w:color="auto"/>
                <w:left w:val="none" w:sz="0" w:space="0" w:color="auto"/>
                <w:bottom w:val="none" w:sz="0" w:space="0" w:color="auto"/>
                <w:right w:val="none" w:sz="0" w:space="0" w:color="auto"/>
              </w:divBdr>
            </w:div>
          </w:divsChild>
        </w:div>
        <w:div w:id="1774281518">
          <w:marLeft w:val="0"/>
          <w:marRight w:val="0"/>
          <w:marTop w:val="0"/>
          <w:marBottom w:val="0"/>
          <w:divBdr>
            <w:top w:val="none" w:sz="0" w:space="0" w:color="auto"/>
            <w:left w:val="none" w:sz="0" w:space="0" w:color="auto"/>
            <w:bottom w:val="none" w:sz="0" w:space="0" w:color="auto"/>
            <w:right w:val="none" w:sz="0" w:space="0" w:color="auto"/>
          </w:divBdr>
        </w:div>
      </w:divsChild>
    </w:div>
    <w:div w:id="1916821798">
      <w:bodyDiv w:val="1"/>
      <w:marLeft w:val="0"/>
      <w:marRight w:val="0"/>
      <w:marTop w:val="0"/>
      <w:marBottom w:val="0"/>
      <w:divBdr>
        <w:top w:val="none" w:sz="0" w:space="0" w:color="auto"/>
        <w:left w:val="none" w:sz="0" w:space="0" w:color="auto"/>
        <w:bottom w:val="none" w:sz="0" w:space="0" w:color="auto"/>
        <w:right w:val="none" w:sz="0" w:space="0" w:color="auto"/>
      </w:divBdr>
    </w:div>
    <w:div w:id="1937326111">
      <w:bodyDiv w:val="1"/>
      <w:marLeft w:val="0"/>
      <w:marRight w:val="0"/>
      <w:marTop w:val="0"/>
      <w:marBottom w:val="0"/>
      <w:divBdr>
        <w:top w:val="none" w:sz="0" w:space="0" w:color="auto"/>
        <w:left w:val="none" w:sz="0" w:space="0" w:color="auto"/>
        <w:bottom w:val="none" w:sz="0" w:space="0" w:color="auto"/>
        <w:right w:val="none" w:sz="0" w:space="0" w:color="auto"/>
      </w:divBdr>
    </w:div>
    <w:div w:id="1944996504">
      <w:bodyDiv w:val="1"/>
      <w:marLeft w:val="0"/>
      <w:marRight w:val="0"/>
      <w:marTop w:val="0"/>
      <w:marBottom w:val="0"/>
      <w:divBdr>
        <w:top w:val="none" w:sz="0" w:space="0" w:color="auto"/>
        <w:left w:val="none" w:sz="0" w:space="0" w:color="auto"/>
        <w:bottom w:val="none" w:sz="0" w:space="0" w:color="auto"/>
        <w:right w:val="none" w:sz="0" w:space="0" w:color="auto"/>
      </w:divBdr>
    </w:div>
    <w:div w:id="1964462997">
      <w:bodyDiv w:val="1"/>
      <w:marLeft w:val="0"/>
      <w:marRight w:val="0"/>
      <w:marTop w:val="0"/>
      <w:marBottom w:val="0"/>
      <w:divBdr>
        <w:top w:val="none" w:sz="0" w:space="0" w:color="auto"/>
        <w:left w:val="none" w:sz="0" w:space="0" w:color="auto"/>
        <w:bottom w:val="none" w:sz="0" w:space="0" w:color="auto"/>
        <w:right w:val="none" w:sz="0" w:space="0" w:color="auto"/>
      </w:divBdr>
      <w:divsChild>
        <w:div w:id="1548371332">
          <w:marLeft w:val="0"/>
          <w:marRight w:val="0"/>
          <w:marTop w:val="0"/>
          <w:marBottom w:val="0"/>
          <w:divBdr>
            <w:top w:val="none" w:sz="0" w:space="0" w:color="auto"/>
            <w:left w:val="none" w:sz="0" w:space="0" w:color="auto"/>
            <w:bottom w:val="none" w:sz="0" w:space="0" w:color="auto"/>
            <w:right w:val="none" w:sz="0" w:space="0" w:color="auto"/>
          </w:divBdr>
          <w:divsChild>
            <w:div w:id="951404768">
              <w:marLeft w:val="0"/>
              <w:marRight w:val="0"/>
              <w:marTop w:val="0"/>
              <w:marBottom w:val="0"/>
              <w:divBdr>
                <w:top w:val="none" w:sz="0" w:space="0" w:color="auto"/>
                <w:left w:val="none" w:sz="0" w:space="0" w:color="auto"/>
                <w:bottom w:val="none" w:sz="0" w:space="0" w:color="auto"/>
                <w:right w:val="none" w:sz="0" w:space="0" w:color="auto"/>
              </w:divBdr>
              <w:divsChild>
                <w:div w:id="484277932">
                  <w:marLeft w:val="0"/>
                  <w:marRight w:val="0"/>
                  <w:marTop w:val="0"/>
                  <w:marBottom w:val="0"/>
                  <w:divBdr>
                    <w:top w:val="none" w:sz="0" w:space="0" w:color="auto"/>
                    <w:left w:val="none" w:sz="0" w:space="0" w:color="auto"/>
                    <w:bottom w:val="none" w:sz="0" w:space="0" w:color="auto"/>
                    <w:right w:val="none" w:sz="0" w:space="0" w:color="auto"/>
                  </w:divBdr>
                  <w:divsChild>
                    <w:div w:id="133314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373801">
      <w:bodyDiv w:val="1"/>
      <w:marLeft w:val="0"/>
      <w:marRight w:val="0"/>
      <w:marTop w:val="0"/>
      <w:marBottom w:val="0"/>
      <w:divBdr>
        <w:top w:val="none" w:sz="0" w:space="0" w:color="auto"/>
        <w:left w:val="none" w:sz="0" w:space="0" w:color="auto"/>
        <w:bottom w:val="none" w:sz="0" w:space="0" w:color="auto"/>
        <w:right w:val="none" w:sz="0" w:space="0" w:color="auto"/>
      </w:divBdr>
    </w:div>
    <w:div w:id="2043246377">
      <w:bodyDiv w:val="1"/>
      <w:marLeft w:val="0"/>
      <w:marRight w:val="0"/>
      <w:marTop w:val="0"/>
      <w:marBottom w:val="0"/>
      <w:divBdr>
        <w:top w:val="none" w:sz="0" w:space="0" w:color="auto"/>
        <w:left w:val="none" w:sz="0" w:space="0" w:color="auto"/>
        <w:bottom w:val="none" w:sz="0" w:space="0" w:color="auto"/>
        <w:right w:val="none" w:sz="0" w:space="0" w:color="auto"/>
      </w:divBdr>
      <w:divsChild>
        <w:div w:id="1052119888">
          <w:marLeft w:val="0"/>
          <w:marRight w:val="0"/>
          <w:marTop w:val="0"/>
          <w:marBottom w:val="0"/>
          <w:divBdr>
            <w:top w:val="none" w:sz="0" w:space="0" w:color="auto"/>
            <w:left w:val="none" w:sz="0" w:space="0" w:color="auto"/>
            <w:bottom w:val="none" w:sz="0" w:space="0" w:color="auto"/>
            <w:right w:val="none" w:sz="0" w:space="0" w:color="auto"/>
          </w:divBdr>
          <w:divsChild>
            <w:div w:id="153254725">
              <w:marLeft w:val="0"/>
              <w:marRight w:val="0"/>
              <w:marTop w:val="0"/>
              <w:marBottom w:val="0"/>
              <w:divBdr>
                <w:top w:val="none" w:sz="0" w:space="0" w:color="auto"/>
                <w:left w:val="none" w:sz="0" w:space="0" w:color="auto"/>
                <w:bottom w:val="none" w:sz="0" w:space="0" w:color="auto"/>
                <w:right w:val="none" w:sz="0" w:space="0" w:color="auto"/>
              </w:divBdr>
              <w:divsChild>
                <w:div w:id="172648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727232">
      <w:bodyDiv w:val="1"/>
      <w:marLeft w:val="0"/>
      <w:marRight w:val="0"/>
      <w:marTop w:val="0"/>
      <w:marBottom w:val="0"/>
      <w:divBdr>
        <w:top w:val="none" w:sz="0" w:space="0" w:color="auto"/>
        <w:left w:val="none" w:sz="0" w:space="0" w:color="auto"/>
        <w:bottom w:val="none" w:sz="0" w:space="0" w:color="auto"/>
        <w:right w:val="none" w:sz="0" w:space="0" w:color="auto"/>
      </w:divBdr>
    </w:div>
    <w:div w:id="2109690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3AA56C-E1D9-E949-9CC8-1EB26DFB44A5}">
  <ds:schemaRefs>
    <ds:schemaRef ds:uri="http://schemas.openxmlformats.org/officeDocument/2006/bibliography"/>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3F0D93D6-04F6-426B-A9B5-869CEDF749DF}">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828E3366-8303-4425-ACBB-3212F0211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1</TotalTime>
  <Pages>12</Pages>
  <Words>4434</Words>
  <Characters>24391</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28768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Andres Santiago Moreno Palomino</cp:lastModifiedBy>
  <cp:revision>4</cp:revision>
  <dcterms:created xsi:type="dcterms:W3CDTF">2021-05-10T17:29:00Z</dcterms:created>
  <dcterms:modified xsi:type="dcterms:W3CDTF">2021-05-10T17:35:00Z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