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9D3A9" w14:textId="5BF41C2A" w:rsidR="00DE5124" w:rsidRPr="005A4E9E" w:rsidRDefault="00DE5124" w:rsidP="00DE5124">
      <w:pPr>
        <w:jc w:val="right"/>
        <w:rPr>
          <w:rFonts w:ascii="Arial" w:hAnsi="Arial" w:cs="Arial"/>
          <w:b/>
          <w:sz w:val="16"/>
          <w:szCs w:val="16"/>
          <w:lang w:eastAsia="es-ES"/>
        </w:rPr>
      </w:pPr>
      <w:bookmarkStart w:id="0" w:name="_Hlk29548183"/>
      <w:bookmarkStart w:id="1" w:name="_Hlk28946138"/>
      <w:bookmarkStart w:id="2" w:name="_Hlk84864444"/>
      <w:r w:rsidRPr="005A4E9E">
        <w:rPr>
          <w:rFonts w:ascii="Arial" w:hAnsi="Arial" w:cs="Arial"/>
          <w:b/>
          <w:sz w:val="16"/>
          <w:szCs w:val="16"/>
          <w:lang w:eastAsia="es-ES"/>
        </w:rPr>
        <w:t>CCE-DES-FM-17</w:t>
      </w:r>
      <w:bookmarkEnd w:id="0"/>
      <w:bookmarkEnd w:id="1"/>
    </w:p>
    <w:p w14:paraId="36DCAA96" w14:textId="77777777" w:rsidR="00DB06D2" w:rsidRPr="005A4E9E" w:rsidRDefault="00DB06D2" w:rsidP="00DE5124">
      <w:pPr>
        <w:jc w:val="right"/>
        <w:rPr>
          <w:rFonts w:ascii="Arial" w:hAnsi="Arial" w:cs="Arial"/>
          <w:b/>
          <w:sz w:val="16"/>
          <w:szCs w:val="16"/>
          <w:lang w:eastAsia="es-ES"/>
        </w:rPr>
      </w:pPr>
    </w:p>
    <w:p w14:paraId="41AE6394" w14:textId="5201A90B" w:rsidR="008F6ABB" w:rsidRPr="005A4E9E" w:rsidRDefault="008F6ABB" w:rsidP="00801108">
      <w:pPr>
        <w:jc w:val="both"/>
        <w:rPr>
          <w:rFonts w:ascii="Arial" w:eastAsia="Calibri" w:hAnsi="Arial" w:cs="Arial"/>
          <w:sz w:val="22"/>
          <w:lang w:val="es-ES_tradnl"/>
        </w:rPr>
      </w:pPr>
      <w:r w:rsidRPr="005A4E9E">
        <w:rPr>
          <w:rFonts w:ascii="Arial" w:eastAsia="Calibri" w:hAnsi="Arial" w:cs="Arial"/>
          <w:b/>
          <w:sz w:val="22"/>
          <w:lang w:val="es-ES_tradnl"/>
        </w:rPr>
        <w:t xml:space="preserve">PRINCIPIO DE SELECCIÓN OBJETIVA </w:t>
      </w:r>
      <w:bookmarkStart w:id="3" w:name="_Hlk39676694"/>
      <w:r w:rsidR="00B40EDA" w:rsidRPr="005A4E9E">
        <w:rPr>
          <w:rFonts w:ascii="Arial" w:eastAsia="Calibri" w:hAnsi="Arial" w:cs="Arial"/>
          <w:b/>
          <w:sz w:val="22"/>
        </w:rPr>
        <w:t>–</w:t>
      </w:r>
      <w:bookmarkEnd w:id="3"/>
      <w:r w:rsidRPr="005A4E9E">
        <w:rPr>
          <w:rFonts w:ascii="Arial" w:eastAsia="Calibri" w:hAnsi="Arial" w:cs="Arial"/>
          <w:b/>
          <w:sz w:val="22"/>
          <w:lang w:val="es-ES_tradnl"/>
        </w:rPr>
        <w:t xml:space="preserve"> </w:t>
      </w:r>
      <w:r w:rsidR="00A5144E" w:rsidRPr="005A4E9E">
        <w:rPr>
          <w:rFonts w:ascii="Arial" w:eastAsia="Calibri" w:hAnsi="Arial" w:cs="Arial"/>
          <w:b/>
          <w:sz w:val="22"/>
          <w:lang w:val="es-ES_tradnl"/>
        </w:rPr>
        <w:t>Rechazo de ofertas</w:t>
      </w:r>
      <w:r w:rsidRPr="005A4E9E">
        <w:rPr>
          <w:rFonts w:ascii="Arial" w:eastAsia="Calibri" w:hAnsi="Arial" w:cs="Arial"/>
          <w:b/>
          <w:sz w:val="22"/>
          <w:lang w:val="es-ES_tradnl"/>
        </w:rPr>
        <w:t xml:space="preserve"> </w:t>
      </w:r>
      <w:r w:rsidR="00B40EDA" w:rsidRPr="005A4E9E">
        <w:rPr>
          <w:rFonts w:ascii="Arial" w:eastAsia="Calibri" w:hAnsi="Arial" w:cs="Arial"/>
          <w:b/>
          <w:sz w:val="22"/>
        </w:rPr>
        <w:t>–</w:t>
      </w:r>
      <w:r w:rsidRPr="005A4E9E">
        <w:rPr>
          <w:rFonts w:ascii="Arial" w:eastAsia="Calibri" w:hAnsi="Arial" w:cs="Arial"/>
          <w:b/>
          <w:sz w:val="22"/>
          <w:lang w:val="es-ES_tradnl"/>
        </w:rPr>
        <w:t xml:space="preserve"> </w:t>
      </w:r>
      <w:r w:rsidR="00A5144E" w:rsidRPr="005A4E9E">
        <w:rPr>
          <w:rFonts w:ascii="Arial" w:eastAsia="Calibri" w:hAnsi="Arial" w:cs="Arial"/>
          <w:b/>
          <w:sz w:val="22"/>
          <w:lang w:val="es-ES_tradnl"/>
        </w:rPr>
        <w:t>Subsanabilidad</w:t>
      </w:r>
    </w:p>
    <w:p w14:paraId="5A2F04D3" w14:textId="77777777" w:rsidR="008F6ABB" w:rsidRPr="005A4E9E" w:rsidRDefault="008F6ABB" w:rsidP="00801108">
      <w:pPr>
        <w:jc w:val="both"/>
        <w:rPr>
          <w:rFonts w:ascii="Arial" w:eastAsia="Calibri" w:hAnsi="Arial" w:cs="Arial"/>
          <w:sz w:val="20"/>
          <w:szCs w:val="20"/>
          <w:lang w:val="es-ES_tradnl"/>
        </w:rPr>
      </w:pPr>
    </w:p>
    <w:p w14:paraId="76B6C72E" w14:textId="2F6A1CDD" w:rsidR="00A5144E" w:rsidRDefault="00A5144E" w:rsidP="00801108">
      <w:pPr>
        <w:jc w:val="both"/>
        <w:rPr>
          <w:rFonts w:ascii="Arial" w:eastAsia="Calibri" w:hAnsi="Arial" w:cs="Arial"/>
          <w:sz w:val="20"/>
          <w:szCs w:val="20"/>
          <w:lang w:val="es-ES"/>
        </w:rPr>
      </w:pPr>
      <w:r w:rsidRPr="005A4E9E">
        <w:rPr>
          <w:rFonts w:ascii="Arial" w:eastAsia="Calibri" w:hAnsi="Arial" w:cs="Arial"/>
          <w:sz w:val="20"/>
          <w:szCs w:val="20"/>
          <w:lang w:val="es-ES"/>
        </w:rPr>
        <w:t>[</w:t>
      </w:r>
      <w:r w:rsidR="00EB302B" w:rsidRPr="005A4E9E">
        <w:rPr>
          <w:rFonts w:ascii="Arial" w:eastAsia="Calibri" w:hAnsi="Arial" w:cs="Arial"/>
          <w:sz w:val="20"/>
          <w:szCs w:val="20"/>
          <w:lang w:val="es-ES"/>
        </w:rPr>
        <w:t>…</w:t>
      </w:r>
      <w:r w:rsidRPr="005A4E9E">
        <w:rPr>
          <w:rFonts w:ascii="Arial" w:eastAsia="Calibri" w:hAnsi="Arial" w:cs="Arial"/>
          <w:sz w:val="20"/>
          <w:szCs w:val="20"/>
          <w:lang w:val="es-ES"/>
        </w:rPr>
        <w:t>]</w:t>
      </w:r>
      <w:r w:rsidR="00EB302B" w:rsidRPr="005A4E9E">
        <w:rPr>
          <w:rFonts w:ascii="Arial" w:eastAsia="Calibri" w:hAnsi="Arial" w:cs="Arial"/>
          <w:sz w:val="20"/>
          <w:szCs w:val="20"/>
          <w:lang w:val="es-ES"/>
        </w:rPr>
        <w:t xml:space="preserve"> </w:t>
      </w:r>
      <w:r w:rsidR="00640B06" w:rsidRPr="00640B06">
        <w:rPr>
          <w:rFonts w:ascii="Arial" w:eastAsia="Calibri" w:hAnsi="Arial" w:cs="Arial"/>
          <w:sz w:val="20"/>
          <w:szCs w:val="20"/>
          <w:lang w:val="es-ES"/>
        </w:rPr>
        <w:t>para garantizar el principio de selección objetiva, también es necesario que las entidades estatales se abstengan de rechazar las ofertas, por el incumplimiento de requisitos meramente formales, sacrificando la favorabilidad que podría representar la oferta que adolezca de estos defectos, si se permitiese su corrección. En otras palabras, es consustancial a la selección objetiva la obligación que tienen las entidades estatales de posibilitar la subsanación de los requisitos de participación, bajo las condiciones indicadas en la ley, antes de tomar la decisión de rechazar las propuestas que hayan omitido la observancia de los requisitos habilitantes; decisión que, por regla general –salvo en los casos específicos previstos en la ley, como el de la imposibilidad de subsanar la no entrega de la garantía de seriedad de la oferta o de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p>
    <w:p w14:paraId="14E22480" w14:textId="77777777" w:rsidR="00640B06" w:rsidRPr="005A4E9E" w:rsidRDefault="00640B06" w:rsidP="00801108">
      <w:pPr>
        <w:jc w:val="both"/>
        <w:rPr>
          <w:rFonts w:ascii="Arial" w:eastAsia="Calibri" w:hAnsi="Arial" w:cs="Arial"/>
          <w:sz w:val="20"/>
          <w:szCs w:val="20"/>
          <w:lang w:val="es-ES_tradnl"/>
        </w:rPr>
      </w:pPr>
    </w:p>
    <w:p w14:paraId="2EEE31BA" w14:textId="3AC804CF" w:rsidR="009F7B0A" w:rsidRPr="005A4E9E" w:rsidRDefault="009F7B0A" w:rsidP="00801108">
      <w:pPr>
        <w:jc w:val="both"/>
        <w:rPr>
          <w:rFonts w:ascii="Arial" w:eastAsia="Calibri" w:hAnsi="Arial" w:cs="Arial"/>
          <w:b/>
          <w:bCs/>
          <w:sz w:val="22"/>
          <w:lang w:val="es-ES_tradnl"/>
        </w:rPr>
      </w:pPr>
      <w:r w:rsidRPr="005A4E9E">
        <w:rPr>
          <w:rFonts w:ascii="Arial" w:eastAsia="Calibri" w:hAnsi="Arial" w:cs="Arial"/>
          <w:b/>
          <w:bCs/>
          <w:sz w:val="22"/>
          <w:lang w:val="es-ES_tradnl"/>
        </w:rPr>
        <w:t xml:space="preserve">SUBASTA </w:t>
      </w:r>
      <w:r w:rsidR="00ED7D3C" w:rsidRPr="005A4E9E">
        <w:rPr>
          <w:rFonts w:ascii="Arial" w:eastAsia="Calibri" w:hAnsi="Arial" w:cs="Arial"/>
          <w:b/>
          <w:bCs/>
          <w:sz w:val="22"/>
          <w:lang w:val="es-ES_tradnl"/>
        </w:rPr>
        <w:t xml:space="preserve">INVERSA </w:t>
      </w:r>
      <w:r w:rsidR="00B40EDA" w:rsidRPr="005A4E9E">
        <w:rPr>
          <w:rFonts w:ascii="Arial" w:eastAsia="Calibri" w:hAnsi="Arial" w:cs="Arial"/>
          <w:b/>
          <w:sz w:val="22"/>
        </w:rPr>
        <w:t>–</w:t>
      </w:r>
      <w:r w:rsidRPr="005A4E9E">
        <w:rPr>
          <w:rFonts w:ascii="Arial" w:eastAsia="Calibri" w:hAnsi="Arial" w:cs="Arial"/>
          <w:b/>
          <w:bCs/>
          <w:sz w:val="22"/>
          <w:lang w:val="es-ES_tradnl"/>
        </w:rPr>
        <w:t xml:space="preserve"> Regla de subsanabilidad </w:t>
      </w:r>
    </w:p>
    <w:p w14:paraId="31626472" w14:textId="5A6306C8" w:rsidR="003144A3" w:rsidRPr="005A4E9E" w:rsidRDefault="003144A3" w:rsidP="00801108">
      <w:pPr>
        <w:jc w:val="both"/>
        <w:rPr>
          <w:rFonts w:ascii="Arial" w:hAnsi="Arial" w:cs="Arial"/>
          <w:b/>
          <w:bCs/>
          <w:sz w:val="20"/>
          <w:szCs w:val="20"/>
          <w:lang w:val="es-ES_tradnl"/>
        </w:rPr>
      </w:pPr>
    </w:p>
    <w:p w14:paraId="0886EA23" w14:textId="77777777" w:rsidR="00C31EA8" w:rsidRPr="00C31EA8" w:rsidRDefault="00C31EA8" w:rsidP="00C31EA8">
      <w:pPr>
        <w:jc w:val="both"/>
        <w:rPr>
          <w:rFonts w:ascii="Arial" w:hAnsi="Arial" w:cs="Arial"/>
          <w:sz w:val="20"/>
          <w:szCs w:val="20"/>
        </w:rPr>
      </w:pPr>
      <w:r w:rsidRPr="00C31EA8">
        <w:rPr>
          <w:rFonts w:ascii="Arial" w:hAnsi="Arial" w:cs="Arial"/>
          <w:sz w:val="20"/>
          <w:szCs w:val="20"/>
        </w:rPr>
        <w:t xml:space="preserve">Tratándose de los procedimientos de selección abreviada para la adquisición de bienes y servicios de características técnicas uniformes mediante subasta inversa, el artículo 2.2.1.2.1.2.2 del Decreto 1082 de 2015Dicha norma establece que en los pliegos de condiciones de estos procedimientos se debe indicar: a) la fecha y hora de inicio de la subasta; b) la periodicidad de los lances; y c) el margen mínimo para mejorar la oferta durante la subasta inversa . Así mismo el Decreto 1082 de 2015, contempla la posibilidad de que las entidades realicen procesos de subasta de manera presencial o electrónica, precisando que para este último evento el pliego de condiciones deberá establecer el sistema que utilizará y los mecanismos de seguridad para el intercambio de mensaje de datos .  </w:t>
      </w:r>
    </w:p>
    <w:p w14:paraId="6CCEA68D" w14:textId="1B166884" w:rsidR="00961AEE" w:rsidRDefault="00C31EA8" w:rsidP="00C31EA8">
      <w:pPr>
        <w:jc w:val="both"/>
        <w:rPr>
          <w:rFonts w:ascii="Arial" w:hAnsi="Arial" w:cs="Arial"/>
          <w:sz w:val="20"/>
          <w:szCs w:val="20"/>
        </w:rPr>
      </w:pPr>
      <w:r w:rsidRPr="00C31EA8">
        <w:rPr>
          <w:rFonts w:ascii="Arial" w:hAnsi="Arial" w:cs="Arial"/>
          <w:sz w:val="20"/>
          <w:szCs w:val="20"/>
        </w:rPr>
        <w:t>Ahora bien, como se indicó en el acápite anterior, la regla general respecto a la oportunidad para subsanar tiene como excepción, entre otras cosas, el término especial establecido en los procesos de selección abreviada mediante subasta inversa</w:t>
      </w:r>
      <w:r w:rsidR="00977EB9">
        <w:rPr>
          <w:rFonts w:ascii="Arial" w:hAnsi="Arial" w:cs="Arial"/>
          <w:sz w:val="20"/>
          <w:szCs w:val="20"/>
        </w:rPr>
        <w:t xml:space="preserve"> […] </w:t>
      </w:r>
      <w:r w:rsidRPr="00C31EA8">
        <w:rPr>
          <w:rFonts w:ascii="Arial" w:hAnsi="Arial" w:cs="Arial"/>
          <w:sz w:val="20"/>
          <w:szCs w:val="20"/>
        </w:rPr>
        <w:t>Tal como se expresó en los conceptos C-267 y C-283 del 5 de mayo de 2020, si se analiza la norma transcrita, no es difícil llegar a la conclusión relativa a que esta contiene una regla muy parecida respecto a la oportunidad para subsanar en los procesos de subasta, a la contenida en la parte final del inciso primero del artículo 5 de la Ley 1150 de 2007, antes de ser modificada por la Ley 1882 de 2018, siendo en esencia la misma, con la precisión adicional respecto de los documentos susceptibles de subsanación. Esta regla cosiste en la fijación del momento previo al inicio de la audiencia de subasta, como el tiempo límite para que se solicite la subsanación de los documentos faltantes hasta entonces no presentados por los proponentes.</w:t>
      </w:r>
    </w:p>
    <w:p w14:paraId="526AF229" w14:textId="77777777" w:rsidR="00C31EA8" w:rsidRPr="005A4E9E" w:rsidRDefault="00C31EA8" w:rsidP="00C31EA8">
      <w:pPr>
        <w:jc w:val="both"/>
        <w:rPr>
          <w:rFonts w:ascii="Arial" w:hAnsi="Arial" w:cs="Arial"/>
          <w:sz w:val="20"/>
          <w:szCs w:val="20"/>
          <w:lang w:val="es-ES_tradnl"/>
        </w:rPr>
      </w:pPr>
    </w:p>
    <w:p w14:paraId="7F63F767" w14:textId="6F9C4E17" w:rsidR="00E85CAC" w:rsidRPr="005A4E9E" w:rsidRDefault="00E85CAC" w:rsidP="00E85CAC">
      <w:pPr>
        <w:jc w:val="both"/>
        <w:rPr>
          <w:rFonts w:ascii="Arial" w:eastAsia="Calibri" w:hAnsi="Arial" w:cs="Arial"/>
          <w:b/>
          <w:bCs/>
          <w:sz w:val="22"/>
          <w:lang w:val="es-ES_tradnl"/>
        </w:rPr>
      </w:pPr>
      <w:bookmarkStart w:id="4" w:name="_Hlk44409926"/>
      <w:r w:rsidRPr="005A4E9E">
        <w:rPr>
          <w:rFonts w:ascii="Arial" w:eastAsia="Calibri" w:hAnsi="Arial" w:cs="Arial"/>
          <w:b/>
          <w:bCs/>
          <w:sz w:val="22"/>
          <w:lang w:val="es-ES_tradnl"/>
        </w:rPr>
        <w:t xml:space="preserve">SUBASTA INVERSA </w:t>
      </w:r>
      <w:r w:rsidRPr="005A4E9E">
        <w:rPr>
          <w:rFonts w:ascii="Arial" w:eastAsia="Calibri" w:hAnsi="Arial" w:cs="Arial"/>
          <w:b/>
          <w:sz w:val="22"/>
        </w:rPr>
        <w:t>–</w:t>
      </w:r>
      <w:r w:rsidRPr="005A4E9E">
        <w:rPr>
          <w:rFonts w:ascii="Arial" w:eastAsia="Calibri" w:hAnsi="Arial" w:cs="Arial"/>
          <w:b/>
          <w:bCs/>
          <w:sz w:val="22"/>
          <w:lang w:val="es-ES_tradnl"/>
        </w:rPr>
        <w:t xml:space="preserve"> REGLA DE SUBSANABILIDAD </w:t>
      </w:r>
      <w:r>
        <w:rPr>
          <w:rFonts w:ascii="Arial" w:eastAsia="Calibri" w:hAnsi="Arial" w:cs="Arial"/>
          <w:b/>
          <w:bCs/>
          <w:sz w:val="22"/>
          <w:lang w:val="es-ES_tradnl"/>
        </w:rPr>
        <w:t xml:space="preserve">– </w:t>
      </w:r>
      <w:r w:rsidR="001630A6">
        <w:rPr>
          <w:rFonts w:ascii="Arial" w:eastAsia="Calibri" w:hAnsi="Arial" w:cs="Arial"/>
          <w:b/>
          <w:bCs/>
          <w:sz w:val="22"/>
          <w:lang w:val="es-ES_tradnl"/>
        </w:rPr>
        <w:t>Tiempo</w:t>
      </w:r>
      <w:r>
        <w:rPr>
          <w:rFonts w:ascii="Arial" w:eastAsia="Calibri" w:hAnsi="Arial" w:cs="Arial"/>
          <w:b/>
          <w:bCs/>
          <w:sz w:val="22"/>
          <w:lang w:val="es-ES_tradnl"/>
        </w:rPr>
        <w:t xml:space="preserve"> límite – Alcance normativa</w:t>
      </w:r>
    </w:p>
    <w:p w14:paraId="4B52012B" w14:textId="77777777" w:rsidR="005A4E9E" w:rsidRPr="00E85CAC" w:rsidRDefault="005A4E9E" w:rsidP="002F1133">
      <w:pPr>
        <w:autoSpaceDE w:val="0"/>
        <w:autoSpaceDN w:val="0"/>
        <w:adjustRightInd w:val="0"/>
        <w:jc w:val="both"/>
        <w:rPr>
          <w:rFonts w:ascii="Arial" w:hAnsi="Arial" w:cs="Arial"/>
          <w:color w:val="000000"/>
          <w:sz w:val="22"/>
          <w:lang w:val="es-CO"/>
        </w:rPr>
      </w:pPr>
    </w:p>
    <w:p w14:paraId="3085AB02" w14:textId="77CC6236" w:rsidR="002F1133" w:rsidRDefault="002F1133" w:rsidP="002F1133">
      <w:pPr>
        <w:autoSpaceDE w:val="0"/>
        <w:autoSpaceDN w:val="0"/>
        <w:adjustRightInd w:val="0"/>
        <w:jc w:val="both"/>
        <w:rPr>
          <w:rFonts w:ascii="Arial" w:hAnsi="Arial" w:cs="Arial"/>
          <w:color w:val="000000"/>
          <w:sz w:val="20"/>
          <w:szCs w:val="20"/>
          <w:lang w:val="es-CO"/>
        </w:rPr>
      </w:pPr>
      <w:r w:rsidRPr="002F1133">
        <w:rPr>
          <w:rFonts w:ascii="Arial" w:hAnsi="Arial" w:cs="Arial"/>
          <w:color w:val="000000"/>
          <w:sz w:val="20"/>
          <w:szCs w:val="20"/>
          <w:lang w:val="es-CO"/>
        </w:rPr>
        <w:t xml:space="preserve">En ese orden de ideas, extendiendo las anteriores consideraciones a la regla de subsanabilidad consagrada en el parágrafo 4 del artículo 5 de la Ley 1150 de 2007 –adicionado por la Ley 1882 de 2018–, dada su identidad con la regulación del parágrafo 1 del artículo 5 de la ley 1150 de 2007 original –antes de ser modificada por la Ley 1882 de 2018– el inicio de la subasta es el momento hasta el cual la entidad cuenta con la facultad para requerir la subsanación de los documentos referentes a la futura contratación o a los proponentes, no necesarios para la comparación de las propuestas. Para el ejercicio de tal facultad, las entidades de manera ex ante podrán establecer dentro del pliego de condiciones el periodo dentro del cual los participantes del proceso de selección </w:t>
      </w:r>
      <w:r w:rsidRPr="002F1133">
        <w:rPr>
          <w:rFonts w:ascii="Arial" w:hAnsi="Arial" w:cs="Arial"/>
          <w:color w:val="000000"/>
          <w:sz w:val="20"/>
          <w:szCs w:val="20"/>
          <w:lang w:val="es-CO"/>
        </w:rPr>
        <w:lastRenderedPageBreak/>
        <w:t xml:space="preserve">podrán subsanar los documentos que requiera la entidad, o en su defecto, requerir por separado a cada proponente para que subsanen los respectivos documentos, fijándoles un término razonable, el cual en todo caso no podrá exceder el momento previo al inicio de la audiencia de subasta.   </w:t>
      </w:r>
    </w:p>
    <w:p w14:paraId="76E0A83A" w14:textId="77777777" w:rsidR="00257C4A" w:rsidRPr="002F1133" w:rsidRDefault="00257C4A" w:rsidP="002F1133">
      <w:pPr>
        <w:autoSpaceDE w:val="0"/>
        <w:autoSpaceDN w:val="0"/>
        <w:adjustRightInd w:val="0"/>
        <w:jc w:val="both"/>
        <w:rPr>
          <w:rFonts w:ascii="Arial" w:hAnsi="Arial" w:cs="Arial"/>
          <w:color w:val="000000"/>
          <w:sz w:val="20"/>
          <w:szCs w:val="20"/>
          <w:lang w:val="es-CO"/>
        </w:rPr>
      </w:pPr>
    </w:p>
    <w:p w14:paraId="2BDF1BB9" w14:textId="77777777" w:rsidR="002F1133" w:rsidRDefault="002F1133" w:rsidP="002F1133">
      <w:pPr>
        <w:autoSpaceDE w:val="0"/>
        <w:autoSpaceDN w:val="0"/>
        <w:adjustRightInd w:val="0"/>
        <w:jc w:val="both"/>
        <w:rPr>
          <w:rFonts w:ascii="Arial" w:hAnsi="Arial" w:cs="Arial"/>
          <w:color w:val="000000"/>
          <w:sz w:val="20"/>
          <w:szCs w:val="20"/>
          <w:lang w:val="es-CO"/>
        </w:rPr>
      </w:pPr>
      <w:r w:rsidRPr="002F1133">
        <w:rPr>
          <w:rFonts w:ascii="Arial" w:hAnsi="Arial" w:cs="Arial"/>
          <w:color w:val="000000"/>
          <w:sz w:val="20"/>
          <w:szCs w:val="20"/>
          <w:lang w:val="es-CO"/>
        </w:rPr>
        <w:t xml:space="preserve">De esta manera, el parágrafo analizado permite a las entidades solicitar a los oferentes que subsanen los documentos referentes a la futura contratación no necesarios para la comparación de las propuestas, hasta el momento previo a la realización a la subasta a la que hace referencia el artículo 2.2.1.2.1.2.2 del Decreto 1082 de 2015, momento que, además, deberá estar señalado en el pliego de condiciones, independientemente de que la entidad opte para desarrollar la audiencia de manera presencial o través del algún mecanismos electrónico. En defecto de lo anterior, las entidades también podrán requerir por separado o conjuntamente a cada proponente para que subsanen los respectivos documentos, fijándoles un término razonable, el cual en todo caso no podrá exceder el momento previo al inicio de la audiencia de subasta, por lo que será anterior a ella.    </w:t>
      </w:r>
    </w:p>
    <w:p w14:paraId="4CECF5B4" w14:textId="77777777" w:rsidR="002F1133" w:rsidRDefault="002F1133" w:rsidP="002F1133">
      <w:pPr>
        <w:autoSpaceDE w:val="0"/>
        <w:autoSpaceDN w:val="0"/>
        <w:adjustRightInd w:val="0"/>
        <w:rPr>
          <w:rFonts w:ascii="Arial" w:hAnsi="Arial" w:cs="Arial"/>
          <w:color w:val="000000"/>
          <w:sz w:val="20"/>
          <w:szCs w:val="20"/>
          <w:lang w:val="es-CO"/>
        </w:rPr>
      </w:pPr>
    </w:p>
    <w:p w14:paraId="61FA099F" w14:textId="3F104392" w:rsidR="000D6359" w:rsidRDefault="005A4E9E" w:rsidP="002F1133">
      <w:pPr>
        <w:autoSpaceDE w:val="0"/>
        <w:autoSpaceDN w:val="0"/>
        <w:adjustRightInd w:val="0"/>
        <w:rPr>
          <w:rFonts w:ascii="Arial" w:hAnsi="Arial" w:cs="Arial"/>
          <w:color w:val="000000"/>
          <w:sz w:val="22"/>
          <w:lang w:val="es-CO"/>
        </w:rPr>
      </w:pPr>
      <w:r w:rsidRPr="005A4E9E">
        <w:rPr>
          <w:rFonts w:ascii="Arial" w:hAnsi="Arial" w:cs="Arial"/>
          <w:color w:val="000000"/>
          <w:sz w:val="22"/>
          <w:lang w:val="es-CO"/>
        </w:rPr>
        <w:t>Bogotá D.C</w:t>
      </w:r>
      <w:r w:rsidR="00DB59DD">
        <w:rPr>
          <w:rFonts w:ascii="Arial" w:hAnsi="Arial" w:cs="Arial"/>
          <w:color w:val="000000"/>
          <w:sz w:val="22"/>
          <w:lang w:val="es-CO"/>
        </w:rPr>
        <w:t xml:space="preserve">, 11 de octubre de 2021 </w:t>
      </w:r>
    </w:p>
    <w:p w14:paraId="6DFD02AA" w14:textId="1E5C30AA" w:rsidR="00DB59DD" w:rsidRDefault="00DB59DD" w:rsidP="002F1133">
      <w:pPr>
        <w:autoSpaceDE w:val="0"/>
        <w:autoSpaceDN w:val="0"/>
        <w:adjustRightInd w:val="0"/>
        <w:rPr>
          <w:rFonts w:ascii="Arial" w:hAnsi="Arial" w:cs="Arial"/>
          <w:color w:val="000000"/>
          <w:sz w:val="22"/>
          <w:lang w:val="es-CO"/>
        </w:rPr>
      </w:pPr>
    </w:p>
    <w:p w14:paraId="51C3BBCE" w14:textId="40EF41FF" w:rsidR="00DB59DD" w:rsidRPr="005A4E9E" w:rsidRDefault="00DB59DD" w:rsidP="00DB59DD">
      <w:pPr>
        <w:autoSpaceDE w:val="0"/>
        <w:autoSpaceDN w:val="0"/>
        <w:adjustRightInd w:val="0"/>
        <w:jc w:val="right"/>
        <w:rPr>
          <w:rFonts w:ascii="Arial" w:eastAsia="Calibri" w:hAnsi="Arial" w:cs="Arial"/>
          <w:sz w:val="22"/>
        </w:rPr>
      </w:pPr>
      <w:r>
        <w:rPr>
          <w:noProof/>
        </w:rPr>
        <w:drawing>
          <wp:inline distT="0" distB="0" distL="0" distR="0" wp14:anchorId="35C399D8" wp14:editId="2BF1D4E1">
            <wp:extent cx="2495550" cy="742950"/>
            <wp:effectExtent l="0" t="0" r="0" b="0"/>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pic:nvPicPr>
                  <pic:blipFill>
                    <a:blip r:embed="rId11"/>
                    <a:stretch>
                      <a:fillRect/>
                    </a:stretch>
                  </pic:blipFill>
                  <pic:spPr>
                    <a:xfrm>
                      <a:off x="0" y="0"/>
                      <a:ext cx="2495550" cy="742950"/>
                    </a:xfrm>
                    <a:prstGeom prst="rect">
                      <a:avLst/>
                    </a:prstGeom>
                  </pic:spPr>
                </pic:pic>
              </a:graphicData>
            </a:graphic>
          </wp:inline>
        </w:drawing>
      </w:r>
    </w:p>
    <w:p w14:paraId="105769E9" w14:textId="568BD6CA" w:rsidR="005A4E9E" w:rsidRDefault="005A4E9E" w:rsidP="00B10353">
      <w:pPr>
        <w:rPr>
          <w:rFonts w:ascii="Arial" w:eastAsia="Calibri" w:hAnsi="Arial" w:cs="Arial"/>
          <w:sz w:val="22"/>
        </w:rPr>
      </w:pPr>
    </w:p>
    <w:p w14:paraId="5AC0BD9E" w14:textId="77777777" w:rsidR="0094613B" w:rsidRDefault="0094613B" w:rsidP="0094613B">
      <w:pPr>
        <w:pStyle w:val="Textoindependiente"/>
        <w:spacing w:before="0" w:beforeAutospacing="0" w:after="0" w:afterAutospacing="0"/>
        <w:rPr>
          <w:rFonts w:ascii="Arial" w:hAnsi="Arial" w:cs="Arial"/>
          <w:bCs/>
          <w:sz w:val="20"/>
        </w:rPr>
      </w:pPr>
      <w:r>
        <w:rPr>
          <w:rFonts w:ascii="Arial" w:hAnsi="Arial" w:cs="Arial"/>
          <w:bCs/>
          <w:sz w:val="20"/>
        </w:rPr>
        <w:t xml:space="preserve">Señora </w:t>
      </w:r>
    </w:p>
    <w:p w14:paraId="2F373AF4" w14:textId="77777777" w:rsidR="0094613B" w:rsidRDefault="0094613B" w:rsidP="0094613B">
      <w:pPr>
        <w:pStyle w:val="Textoindependiente"/>
        <w:spacing w:before="0" w:beforeAutospacing="0" w:after="0" w:afterAutospacing="0"/>
        <w:rPr>
          <w:rFonts w:ascii="Arial" w:hAnsi="Arial" w:cs="Arial"/>
          <w:b/>
          <w:sz w:val="20"/>
        </w:rPr>
      </w:pPr>
      <w:r>
        <w:rPr>
          <w:rFonts w:ascii="Arial" w:hAnsi="Arial" w:cs="Arial"/>
          <w:b/>
          <w:sz w:val="20"/>
        </w:rPr>
        <w:t xml:space="preserve">BRENDA VIVIANA JIMÉNEZ DÍAZ </w:t>
      </w:r>
    </w:p>
    <w:p w14:paraId="6E9E9C21" w14:textId="1068DFA8" w:rsidR="0094613B" w:rsidRPr="00CA1DFC" w:rsidRDefault="0094613B" w:rsidP="00CA1DFC">
      <w:pPr>
        <w:pStyle w:val="Textoindependiente"/>
        <w:spacing w:before="0" w:beforeAutospacing="0" w:after="0" w:afterAutospacing="0"/>
        <w:rPr>
          <w:rFonts w:ascii="Arial" w:hAnsi="Arial" w:cs="Arial"/>
          <w:bCs/>
          <w:sz w:val="20"/>
        </w:rPr>
      </w:pPr>
      <w:r>
        <w:rPr>
          <w:rFonts w:ascii="Arial" w:hAnsi="Arial" w:cs="Arial"/>
          <w:bCs/>
          <w:sz w:val="20"/>
        </w:rPr>
        <w:t>Ciudad.</w:t>
      </w:r>
    </w:p>
    <w:p w14:paraId="55D8A1C9" w14:textId="77777777" w:rsidR="0094613B" w:rsidRDefault="0094613B" w:rsidP="0094613B">
      <w:pPr>
        <w:pStyle w:val="Textoindependiente"/>
        <w:spacing w:before="11"/>
        <w:jc w:val="center"/>
        <w:rPr>
          <w:rFonts w:ascii="Arial" w:eastAsiaTheme="majorEastAsia" w:hAnsi="Arial" w:cs="Arial"/>
          <w:b/>
          <w:bCs/>
          <w:lang w:val="es-MX"/>
        </w:rPr>
      </w:pPr>
      <w:r w:rsidRPr="00F302CB">
        <w:rPr>
          <w:rFonts w:ascii="Arial" w:eastAsiaTheme="majorEastAsia" w:hAnsi="Arial" w:cs="Arial"/>
          <w:b/>
          <w:bCs/>
          <w:lang w:val="es-MX"/>
        </w:rPr>
        <w:t>Concepto C – 568 de 2021</w:t>
      </w:r>
    </w:p>
    <w:p w14:paraId="30DE8200" w14:textId="77777777" w:rsidR="000D6359" w:rsidRPr="005A4E9E" w:rsidRDefault="000D6359" w:rsidP="00B10353">
      <w:pPr>
        <w:rPr>
          <w:rFonts w:ascii="Arial" w:eastAsia="Calibri" w:hAnsi="Arial" w:cs="Arial"/>
          <w:sz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746528" w:rsidRPr="005A4E9E" w14:paraId="73DD4E85" w14:textId="77777777" w:rsidTr="00B10353">
        <w:tc>
          <w:tcPr>
            <w:tcW w:w="2689" w:type="dxa"/>
            <w:hideMark/>
          </w:tcPr>
          <w:p w14:paraId="4A921A3A" w14:textId="77777777" w:rsidR="00BA22A9" w:rsidRPr="005A4E9E" w:rsidRDefault="00BA22A9" w:rsidP="00BA22A9">
            <w:pPr>
              <w:rPr>
                <w:rFonts w:ascii="Arial" w:eastAsia="Calibri" w:hAnsi="Arial" w:cs="Arial"/>
                <w:sz w:val="22"/>
              </w:rPr>
            </w:pPr>
            <w:r w:rsidRPr="005A4E9E">
              <w:rPr>
                <w:rFonts w:ascii="Arial" w:eastAsia="Calibri" w:hAnsi="Arial" w:cs="Arial"/>
                <w:b/>
                <w:sz w:val="22"/>
              </w:rPr>
              <w:t>Temas:</w:t>
            </w:r>
            <w:r w:rsidRPr="005A4E9E">
              <w:rPr>
                <w:rFonts w:ascii="Arial" w:eastAsia="Calibri" w:hAnsi="Arial" w:cs="Arial"/>
                <w:sz w:val="22"/>
              </w:rPr>
              <w:t xml:space="preserve">              </w:t>
            </w:r>
          </w:p>
        </w:tc>
        <w:tc>
          <w:tcPr>
            <w:tcW w:w="6237" w:type="dxa"/>
            <w:hideMark/>
          </w:tcPr>
          <w:p w14:paraId="6204F950" w14:textId="332ADC1D" w:rsidR="00BA22A9" w:rsidRPr="00CC0DC4" w:rsidRDefault="00CC0DC4" w:rsidP="00E85CAC">
            <w:pPr>
              <w:jc w:val="both"/>
              <w:rPr>
                <w:rFonts w:ascii="Arial" w:eastAsia="Calibri" w:hAnsi="Arial" w:cs="Arial"/>
                <w:sz w:val="22"/>
              </w:rPr>
            </w:pPr>
            <w:r w:rsidRPr="00CC0DC4">
              <w:rPr>
                <w:rFonts w:ascii="Arial" w:eastAsia="Calibri" w:hAnsi="Arial" w:cs="Arial"/>
                <w:sz w:val="22"/>
              </w:rPr>
              <w:t>PRINCIPIO DE SELECCIÓN OBJETIVA – Rechazo de ofertas – Subsanabilidad</w:t>
            </w:r>
            <w:r>
              <w:rPr>
                <w:rFonts w:ascii="Arial" w:eastAsia="Calibri" w:hAnsi="Arial" w:cs="Arial"/>
                <w:sz w:val="22"/>
              </w:rPr>
              <w:t xml:space="preserve"> / </w:t>
            </w:r>
            <w:r w:rsidRPr="00CC0DC4">
              <w:rPr>
                <w:rFonts w:ascii="Arial" w:eastAsia="Calibri" w:hAnsi="Arial" w:cs="Arial"/>
                <w:sz w:val="22"/>
              </w:rPr>
              <w:t>SUBASTA INVERSA – Regla de</w:t>
            </w:r>
            <w:r>
              <w:rPr>
                <w:rFonts w:ascii="Arial" w:eastAsia="Calibri" w:hAnsi="Arial" w:cs="Arial"/>
                <w:sz w:val="22"/>
              </w:rPr>
              <w:t xml:space="preserve"> </w:t>
            </w:r>
            <w:r w:rsidRPr="00CC0DC4">
              <w:rPr>
                <w:rFonts w:ascii="Arial" w:eastAsia="Calibri" w:hAnsi="Arial" w:cs="Arial"/>
                <w:sz w:val="22"/>
              </w:rPr>
              <w:t xml:space="preserve">subsanabilidad </w:t>
            </w:r>
            <w:r>
              <w:rPr>
                <w:rFonts w:ascii="Arial" w:eastAsia="Calibri" w:hAnsi="Arial" w:cs="Arial"/>
                <w:sz w:val="22"/>
              </w:rPr>
              <w:t xml:space="preserve">/ </w:t>
            </w:r>
            <w:r w:rsidR="00A43FA8" w:rsidRPr="005A4E9E">
              <w:rPr>
                <w:rFonts w:ascii="Arial" w:eastAsia="Calibri" w:hAnsi="Arial" w:cs="Arial"/>
                <w:sz w:val="22"/>
              </w:rPr>
              <w:t xml:space="preserve">SUBASTA </w:t>
            </w:r>
            <w:r w:rsidR="00ED7D3C" w:rsidRPr="005A4E9E">
              <w:rPr>
                <w:rFonts w:ascii="Arial" w:eastAsia="Calibri" w:hAnsi="Arial" w:cs="Arial"/>
                <w:sz w:val="22"/>
              </w:rPr>
              <w:t>INVERSA</w:t>
            </w:r>
            <w:r w:rsidR="00A43FA8" w:rsidRPr="005A4E9E">
              <w:rPr>
                <w:rFonts w:ascii="Arial" w:eastAsia="Calibri" w:hAnsi="Arial" w:cs="Arial"/>
                <w:sz w:val="22"/>
              </w:rPr>
              <w:t xml:space="preserve">— Regla de </w:t>
            </w:r>
            <w:r w:rsidR="00CA1DFC">
              <w:rPr>
                <w:rFonts w:ascii="Arial" w:eastAsia="Calibri" w:hAnsi="Arial" w:cs="Arial"/>
                <w:sz w:val="22"/>
              </w:rPr>
              <w:t>Subsanabilidad</w:t>
            </w:r>
            <w:r w:rsidR="00E85CAC">
              <w:rPr>
                <w:rFonts w:ascii="Arial" w:eastAsia="Calibri" w:hAnsi="Arial" w:cs="Arial"/>
                <w:sz w:val="22"/>
              </w:rPr>
              <w:t xml:space="preserve"> / </w:t>
            </w:r>
            <w:r w:rsidR="00E85CAC" w:rsidRPr="00E85CAC">
              <w:rPr>
                <w:rFonts w:ascii="Arial" w:eastAsia="Calibri" w:hAnsi="Arial" w:cs="Arial"/>
                <w:sz w:val="22"/>
              </w:rPr>
              <w:t xml:space="preserve">SUBASTA INVERSA – REGLA DE SUBSANABILIDAD – </w:t>
            </w:r>
            <w:r w:rsidR="001630A6">
              <w:rPr>
                <w:rFonts w:ascii="Arial" w:eastAsia="Calibri" w:hAnsi="Arial" w:cs="Arial"/>
                <w:sz w:val="22"/>
              </w:rPr>
              <w:t>Tiem</w:t>
            </w:r>
            <w:r w:rsidR="0086551F">
              <w:rPr>
                <w:rFonts w:ascii="Arial" w:eastAsia="Calibri" w:hAnsi="Arial" w:cs="Arial"/>
                <w:sz w:val="22"/>
              </w:rPr>
              <w:t>po</w:t>
            </w:r>
            <w:r w:rsidR="00E85CAC" w:rsidRPr="00E85CAC">
              <w:rPr>
                <w:rFonts w:ascii="Arial" w:eastAsia="Calibri" w:hAnsi="Arial" w:cs="Arial"/>
                <w:sz w:val="22"/>
              </w:rPr>
              <w:t xml:space="preserve"> límite – Alcance normativa</w:t>
            </w:r>
            <w:r w:rsidR="00CA1DFC">
              <w:rPr>
                <w:rFonts w:ascii="Arial" w:eastAsia="Calibri" w:hAnsi="Arial" w:cs="Arial"/>
                <w:sz w:val="22"/>
              </w:rPr>
              <w:t xml:space="preserve"> </w:t>
            </w:r>
          </w:p>
        </w:tc>
      </w:tr>
      <w:tr w:rsidR="00A43FA8" w:rsidRPr="005A4E9E" w14:paraId="53A30614" w14:textId="77777777" w:rsidTr="00C313BC">
        <w:trPr>
          <w:trHeight w:val="225"/>
        </w:trPr>
        <w:tc>
          <w:tcPr>
            <w:tcW w:w="2689" w:type="dxa"/>
          </w:tcPr>
          <w:p w14:paraId="0C1A4A11" w14:textId="77777777" w:rsidR="00BA22A9" w:rsidRPr="005A4E9E" w:rsidRDefault="00BA22A9" w:rsidP="00CA1DFC">
            <w:pPr>
              <w:rPr>
                <w:rFonts w:ascii="Arial" w:eastAsia="Calibri" w:hAnsi="Arial" w:cs="Arial"/>
                <w:b/>
                <w:sz w:val="22"/>
              </w:rPr>
            </w:pPr>
            <w:r w:rsidRPr="005A4E9E">
              <w:rPr>
                <w:rFonts w:ascii="Arial" w:eastAsia="Calibri" w:hAnsi="Arial" w:cs="Arial"/>
                <w:b/>
                <w:sz w:val="22"/>
              </w:rPr>
              <w:t>Radicación:</w:t>
            </w:r>
            <w:r w:rsidRPr="005A4E9E">
              <w:rPr>
                <w:rFonts w:ascii="Arial" w:eastAsia="Calibri" w:hAnsi="Arial" w:cs="Arial"/>
                <w:sz w:val="22"/>
              </w:rPr>
              <w:t xml:space="preserve">                              </w:t>
            </w:r>
          </w:p>
        </w:tc>
        <w:tc>
          <w:tcPr>
            <w:tcW w:w="6237" w:type="dxa"/>
          </w:tcPr>
          <w:p w14:paraId="67982A7E" w14:textId="49534F88" w:rsidR="00BA22A9" w:rsidRPr="005A4E9E" w:rsidRDefault="00BA22A9" w:rsidP="00CA1DFC">
            <w:pPr>
              <w:jc w:val="both"/>
              <w:rPr>
                <w:rFonts w:ascii="Arial" w:eastAsia="Calibri" w:hAnsi="Arial" w:cs="Arial"/>
                <w:sz w:val="22"/>
              </w:rPr>
            </w:pPr>
            <w:r w:rsidRPr="005A4E9E">
              <w:rPr>
                <w:rFonts w:ascii="Arial" w:eastAsia="Calibri" w:hAnsi="Arial" w:cs="Arial"/>
                <w:sz w:val="22"/>
              </w:rPr>
              <w:t xml:space="preserve">Respuesta consulta </w:t>
            </w:r>
            <w:r w:rsidR="0094613B" w:rsidRPr="00A37E71">
              <w:rPr>
                <w:rFonts w:ascii="Arial" w:hAnsi="Arial" w:cs="Arial"/>
                <w:sz w:val="22"/>
              </w:rPr>
              <w:t>P20210831007850</w:t>
            </w:r>
          </w:p>
        </w:tc>
      </w:tr>
    </w:tbl>
    <w:p w14:paraId="21F7A77D" w14:textId="77777777" w:rsidR="0094613B" w:rsidRPr="00CA1DFC" w:rsidRDefault="0094613B" w:rsidP="00E85CAC">
      <w:pPr>
        <w:pStyle w:val="Textoindependiente"/>
        <w:spacing w:line="276" w:lineRule="auto"/>
        <w:ind w:right="49"/>
        <w:rPr>
          <w:rFonts w:ascii="Arial" w:hAnsi="Arial" w:cs="Arial"/>
          <w:sz w:val="22"/>
          <w:szCs w:val="22"/>
        </w:rPr>
      </w:pPr>
      <w:r w:rsidRPr="00CA1DFC">
        <w:rPr>
          <w:rFonts w:ascii="Arial" w:hAnsi="Arial" w:cs="Arial"/>
          <w:sz w:val="22"/>
          <w:szCs w:val="22"/>
        </w:rPr>
        <w:t>Estimada</w:t>
      </w:r>
      <w:r w:rsidRPr="00CA1DFC">
        <w:rPr>
          <w:rFonts w:ascii="Arial" w:hAnsi="Arial" w:cs="Arial"/>
          <w:spacing w:val="-5"/>
          <w:sz w:val="22"/>
          <w:szCs w:val="22"/>
        </w:rPr>
        <w:t xml:space="preserve"> </w:t>
      </w:r>
      <w:r w:rsidRPr="00CA1DFC">
        <w:rPr>
          <w:rFonts w:ascii="Arial" w:hAnsi="Arial" w:cs="Arial"/>
          <w:sz w:val="22"/>
          <w:szCs w:val="22"/>
        </w:rPr>
        <w:t>señora Jiménez:</w:t>
      </w:r>
    </w:p>
    <w:p w14:paraId="3A8B4C8F" w14:textId="77777777" w:rsidR="0094613B" w:rsidRPr="00CA1DFC" w:rsidRDefault="0094613B" w:rsidP="00E85CAC">
      <w:pPr>
        <w:pStyle w:val="Textoindependiente"/>
        <w:spacing w:line="276" w:lineRule="auto"/>
        <w:ind w:right="49"/>
        <w:jc w:val="both"/>
        <w:rPr>
          <w:rFonts w:ascii="Arial" w:hAnsi="Arial" w:cs="Arial"/>
          <w:sz w:val="22"/>
          <w:szCs w:val="22"/>
        </w:rPr>
      </w:pPr>
      <w:r w:rsidRPr="00CA1DFC">
        <w:rPr>
          <w:rFonts w:ascii="Arial" w:hAnsi="Arial" w:cs="Arial"/>
          <w:sz w:val="22"/>
          <w:szCs w:val="22"/>
        </w:rPr>
        <w:t>En ejercicio de la competencia otorgada por los artículos 11, numeral 8º, y 3º, numeral</w:t>
      </w:r>
      <w:r w:rsidRPr="00CA1DFC">
        <w:rPr>
          <w:rFonts w:ascii="Arial" w:hAnsi="Arial" w:cs="Arial"/>
          <w:spacing w:val="1"/>
          <w:sz w:val="22"/>
          <w:szCs w:val="22"/>
        </w:rPr>
        <w:t xml:space="preserve"> </w:t>
      </w:r>
      <w:r w:rsidRPr="00CA1DFC">
        <w:rPr>
          <w:rFonts w:ascii="Arial" w:hAnsi="Arial" w:cs="Arial"/>
          <w:sz w:val="22"/>
          <w:szCs w:val="22"/>
        </w:rPr>
        <w:t>5º, del Decreto Ley 4170 de 2011, la Agencia Nacional de Contratación Pública −</w:t>
      </w:r>
      <w:r w:rsidRPr="00CA1DFC">
        <w:rPr>
          <w:rFonts w:ascii="Arial" w:hAnsi="Arial" w:cs="Arial"/>
          <w:spacing w:val="1"/>
          <w:sz w:val="22"/>
          <w:szCs w:val="22"/>
        </w:rPr>
        <w:t xml:space="preserve"> </w:t>
      </w:r>
      <w:r w:rsidRPr="00CA1DFC">
        <w:rPr>
          <w:rFonts w:ascii="Arial" w:hAnsi="Arial" w:cs="Arial"/>
          <w:sz w:val="22"/>
          <w:szCs w:val="22"/>
        </w:rPr>
        <w:t>Colombia</w:t>
      </w:r>
      <w:r w:rsidRPr="00CA1DFC">
        <w:rPr>
          <w:rFonts w:ascii="Arial" w:hAnsi="Arial" w:cs="Arial"/>
          <w:spacing w:val="-2"/>
          <w:sz w:val="22"/>
          <w:szCs w:val="22"/>
        </w:rPr>
        <w:t xml:space="preserve"> </w:t>
      </w:r>
      <w:r w:rsidRPr="00CA1DFC">
        <w:rPr>
          <w:rFonts w:ascii="Arial" w:hAnsi="Arial" w:cs="Arial"/>
          <w:sz w:val="22"/>
          <w:szCs w:val="22"/>
        </w:rPr>
        <w:t>Compra</w:t>
      </w:r>
      <w:r w:rsidRPr="00CA1DFC">
        <w:rPr>
          <w:rFonts w:ascii="Arial" w:hAnsi="Arial" w:cs="Arial"/>
          <w:spacing w:val="-2"/>
          <w:sz w:val="22"/>
          <w:szCs w:val="22"/>
        </w:rPr>
        <w:t xml:space="preserve"> </w:t>
      </w:r>
      <w:r w:rsidRPr="00CA1DFC">
        <w:rPr>
          <w:rFonts w:ascii="Arial" w:hAnsi="Arial" w:cs="Arial"/>
          <w:sz w:val="22"/>
          <w:szCs w:val="22"/>
        </w:rPr>
        <w:t>Eficiente</w:t>
      </w:r>
      <w:r w:rsidRPr="00CA1DFC">
        <w:rPr>
          <w:rFonts w:ascii="Arial" w:hAnsi="Arial" w:cs="Arial"/>
          <w:spacing w:val="-2"/>
          <w:sz w:val="22"/>
          <w:szCs w:val="22"/>
        </w:rPr>
        <w:t xml:space="preserve"> </w:t>
      </w:r>
      <w:r w:rsidRPr="00CA1DFC">
        <w:rPr>
          <w:rFonts w:ascii="Arial" w:hAnsi="Arial" w:cs="Arial"/>
          <w:sz w:val="22"/>
          <w:szCs w:val="22"/>
        </w:rPr>
        <w:t>responde</w:t>
      </w:r>
      <w:r w:rsidRPr="00CA1DFC">
        <w:rPr>
          <w:rFonts w:ascii="Arial" w:hAnsi="Arial" w:cs="Arial"/>
          <w:spacing w:val="-2"/>
          <w:sz w:val="22"/>
          <w:szCs w:val="22"/>
        </w:rPr>
        <w:t xml:space="preserve"> </w:t>
      </w:r>
      <w:r w:rsidRPr="00CA1DFC">
        <w:rPr>
          <w:rFonts w:ascii="Arial" w:hAnsi="Arial" w:cs="Arial"/>
          <w:sz w:val="22"/>
          <w:szCs w:val="22"/>
        </w:rPr>
        <w:t>su</w:t>
      </w:r>
      <w:r w:rsidRPr="00CA1DFC">
        <w:rPr>
          <w:rFonts w:ascii="Arial" w:hAnsi="Arial" w:cs="Arial"/>
          <w:spacing w:val="4"/>
          <w:sz w:val="22"/>
          <w:szCs w:val="22"/>
        </w:rPr>
        <w:t xml:space="preserve"> </w:t>
      </w:r>
      <w:r w:rsidRPr="00CA1DFC">
        <w:rPr>
          <w:rFonts w:ascii="Arial" w:hAnsi="Arial" w:cs="Arial"/>
          <w:sz w:val="22"/>
          <w:szCs w:val="22"/>
        </w:rPr>
        <w:t>consulta</w:t>
      </w:r>
      <w:r w:rsidRPr="00CA1DFC">
        <w:rPr>
          <w:rFonts w:ascii="Arial" w:hAnsi="Arial" w:cs="Arial"/>
          <w:spacing w:val="-2"/>
          <w:sz w:val="22"/>
          <w:szCs w:val="22"/>
        </w:rPr>
        <w:t xml:space="preserve"> </w:t>
      </w:r>
      <w:r w:rsidRPr="00CA1DFC">
        <w:rPr>
          <w:rFonts w:ascii="Arial" w:hAnsi="Arial" w:cs="Arial"/>
          <w:sz w:val="22"/>
          <w:szCs w:val="22"/>
        </w:rPr>
        <w:t>del</w:t>
      </w:r>
      <w:r w:rsidRPr="00CA1DFC">
        <w:rPr>
          <w:rFonts w:ascii="Arial" w:hAnsi="Arial" w:cs="Arial"/>
          <w:spacing w:val="-2"/>
          <w:sz w:val="22"/>
          <w:szCs w:val="22"/>
        </w:rPr>
        <w:t xml:space="preserve"> </w:t>
      </w:r>
      <w:r w:rsidRPr="00CA1DFC">
        <w:rPr>
          <w:rFonts w:ascii="Arial" w:hAnsi="Arial" w:cs="Arial"/>
          <w:sz w:val="22"/>
          <w:szCs w:val="22"/>
        </w:rPr>
        <w:t>30</w:t>
      </w:r>
      <w:r w:rsidRPr="00CA1DFC">
        <w:rPr>
          <w:rFonts w:ascii="Arial" w:hAnsi="Arial" w:cs="Arial"/>
          <w:spacing w:val="-2"/>
          <w:sz w:val="22"/>
          <w:szCs w:val="22"/>
        </w:rPr>
        <w:t xml:space="preserve"> </w:t>
      </w:r>
      <w:r w:rsidRPr="00CA1DFC">
        <w:rPr>
          <w:rFonts w:ascii="Arial" w:hAnsi="Arial" w:cs="Arial"/>
          <w:sz w:val="22"/>
          <w:szCs w:val="22"/>
        </w:rPr>
        <w:t>de</w:t>
      </w:r>
      <w:r w:rsidRPr="00CA1DFC">
        <w:rPr>
          <w:rFonts w:ascii="Arial" w:hAnsi="Arial" w:cs="Arial"/>
          <w:spacing w:val="-1"/>
          <w:sz w:val="22"/>
          <w:szCs w:val="22"/>
        </w:rPr>
        <w:t xml:space="preserve"> </w:t>
      </w:r>
      <w:r w:rsidRPr="00CA1DFC">
        <w:rPr>
          <w:rFonts w:ascii="Arial" w:hAnsi="Arial" w:cs="Arial"/>
          <w:sz w:val="22"/>
          <w:szCs w:val="22"/>
        </w:rPr>
        <w:t>agosto de 2021.</w:t>
      </w:r>
    </w:p>
    <w:p w14:paraId="238E9792" w14:textId="77777777" w:rsidR="00BA22A9" w:rsidRPr="00CA1DFC" w:rsidRDefault="00BA22A9" w:rsidP="006B4A03">
      <w:pPr>
        <w:pStyle w:val="Prrafodelista"/>
        <w:numPr>
          <w:ilvl w:val="0"/>
          <w:numId w:val="8"/>
        </w:numPr>
        <w:tabs>
          <w:tab w:val="left" w:pos="284"/>
        </w:tabs>
        <w:spacing w:line="276" w:lineRule="auto"/>
        <w:ind w:left="0" w:firstLine="0"/>
        <w:rPr>
          <w:rFonts w:ascii="Arial" w:eastAsia="Calibri" w:hAnsi="Arial" w:cs="Arial"/>
          <w:b/>
          <w:sz w:val="22"/>
        </w:rPr>
      </w:pPr>
      <w:r w:rsidRPr="00CA1DFC">
        <w:rPr>
          <w:rFonts w:ascii="Arial" w:eastAsia="Calibri" w:hAnsi="Arial" w:cs="Arial"/>
          <w:b/>
          <w:sz w:val="22"/>
        </w:rPr>
        <w:t>Problemas planteados</w:t>
      </w:r>
    </w:p>
    <w:p w14:paraId="514D0685" w14:textId="77777777" w:rsidR="0094613B" w:rsidRPr="00CA1DFC" w:rsidRDefault="0094613B" w:rsidP="0094613B">
      <w:pPr>
        <w:pStyle w:val="Textoindependiente"/>
        <w:spacing w:before="0" w:beforeAutospacing="0" w:after="0" w:afterAutospacing="0"/>
        <w:ind w:right="49"/>
        <w:jc w:val="both"/>
        <w:rPr>
          <w:rFonts w:ascii="Arial" w:hAnsi="Arial" w:cs="Arial"/>
          <w:sz w:val="22"/>
          <w:szCs w:val="22"/>
        </w:rPr>
      </w:pPr>
    </w:p>
    <w:p w14:paraId="3A37EBE0" w14:textId="328661A5" w:rsidR="0094613B" w:rsidRPr="00CA1DFC" w:rsidRDefault="0094613B" w:rsidP="00E85CAC">
      <w:pPr>
        <w:pStyle w:val="Textoindependiente"/>
        <w:spacing w:before="0" w:beforeAutospacing="0" w:after="0" w:afterAutospacing="0" w:line="276" w:lineRule="auto"/>
        <w:ind w:right="49"/>
        <w:jc w:val="both"/>
        <w:rPr>
          <w:rFonts w:ascii="Arial" w:hAnsi="Arial" w:cs="Arial"/>
          <w:color w:val="000000"/>
          <w:sz w:val="22"/>
          <w:szCs w:val="22"/>
        </w:rPr>
      </w:pPr>
      <w:r w:rsidRPr="00CA1DFC">
        <w:rPr>
          <w:rFonts w:ascii="Arial" w:hAnsi="Arial" w:cs="Arial"/>
          <w:sz w:val="22"/>
          <w:szCs w:val="22"/>
        </w:rPr>
        <w:t>Teniendo en cuenta lo dispuesto por el artículo 5 de la Ley 1882 de 2018, usted realiza las siguientes preguntas:</w:t>
      </w:r>
      <w:r w:rsidRPr="00CA1DFC">
        <w:rPr>
          <w:rFonts w:ascii="Arial" w:hAnsi="Arial" w:cs="Arial"/>
          <w:spacing w:val="-4"/>
          <w:sz w:val="22"/>
          <w:szCs w:val="22"/>
        </w:rPr>
        <w:t xml:space="preserve"> </w:t>
      </w:r>
      <w:r w:rsidRPr="00CA1DFC">
        <w:rPr>
          <w:rFonts w:ascii="Arial" w:hAnsi="Arial" w:cs="Arial"/>
          <w:sz w:val="22"/>
          <w:szCs w:val="22"/>
        </w:rPr>
        <w:t xml:space="preserve">«[…] la </w:t>
      </w:r>
      <w:r w:rsidRPr="00CA1DFC">
        <w:rPr>
          <w:rFonts w:ascii="Arial" w:hAnsi="Arial" w:cs="Arial"/>
          <w:color w:val="000000"/>
          <w:sz w:val="22"/>
          <w:szCs w:val="22"/>
        </w:rPr>
        <w:t>expresión "</w:t>
      </w:r>
      <w:r w:rsidRPr="00CA1DFC">
        <w:rPr>
          <w:rFonts w:ascii="Arial" w:hAnsi="Arial" w:cs="Arial"/>
          <w:i/>
          <w:iCs/>
          <w:color w:val="000000"/>
          <w:sz w:val="22"/>
          <w:szCs w:val="22"/>
        </w:rPr>
        <w:t xml:space="preserve">deberán ser solicitados por las entidades estatales y deberán ser entregados por los proponentes hasta el término de traslado del informe de </w:t>
      </w:r>
      <w:r w:rsidRPr="00CA1DFC">
        <w:rPr>
          <w:rFonts w:ascii="Arial" w:hAnsi="Arial" w:cs="Arial"/>
          <w:i/>
          <w:iCs/>
          <w:color w:val="000000"/>
          <w:sz w:val="22"/>
          <w:szCs w:val="22"/>
        </w:rPr>
        <w:lastRenderedPageBreak/>
        <w:t>evaluación que corresponda a cada modalidad de selección, salvo lo dispuesto para el proceso de Mínima cuantía y para el proceso de selección a través del sistema de subasta</w:t>
      </w:r>
      <w:r w:rsidRPr="00CA1DFC">
        <w:rPr>
          <w:rFonts w:ascii="Arial" w:hAnsi="Arial" w:cs="Arial"/>
          <w:color w:val="000000"/>
          <w:sz w:val="22"/>
          <w:szCs w:val="22"/>
        </w:rPr>
        <w:t>" debe entenderse como que, únicamente es la entidad la que puede requerir documentos subsanatorios hasta antes de la realización de la subasta, o por el contrario, puede el oferente allegarlos hasta este plazo, habiendo sido requeridos en el informe de evaluación preliminar y aun cuando la entidad haya indicado como plazo máximo el traslado de la evaluación. Igualmente, […] precisar si pueden las entidades estatales señalar como término máximo para subsanar las ofertas, en la modalidad de subasta inversa, el traslado de la evaluación o esta disposición sería violatoria de la norma arriba indicada. Para finalizar, agradezco por favor dilucidar si, en una subasta inversa el oferente puede, antes de la realización de la subasta, aclarar una subsanación mal realizada, o solamente tiene una oportunidad para subsanar aun cuando la apertura de sobres no se haya llevado a cabo</w:t>
      </w:r>
      <w:r w:rsidRPr="00CA1DFC">
        <w:rPr>
          <w:rFonts w:ascii="Arial" w:hAnsi="Arial" w:cs="Arial"/>
          <w:sz w:val="22"/>
          <w:szCs w:val="22"/>
        </w:rPr>
        <w:t>».</w:t>
      </w:r>
    </w:p>
    <w:p w14:paraId="3D0CC089" w14:textId="77777777" w:rsidR="0018523C" w:rsidRPr="005A4E9E" w:rsidRDefault="0018523C" w:rsidP="0094613B">
      <w:pPr>
        <w:spacing w:line="276" w:lineRule="auto"/>
        <w:ind w:right="709"/>
        <w:jc w:val="both"/>
        <w:rPr>
          <w:rFonts w:ascii="Arial" w:eastAsia="Calibri" w:hAnsi="Arial" w:cs="Arial"/>
          <w:sz w:val="21"/>
          <w:szCs w:val="21"/>
        </w:rPr>
      </w:pPr>
    </w:p>
    <w:p w14:paraId="6D620AD0" w14:textId="77777777" w:rsidR="00BA22A9" w:rsidRPr="005A4E9E" w:rsidRDefault="00BA22A9" w:rsidP="00BA22A9">
      <w:pPr>
        <w:pStyle w:val="Prrafodelista"/>
        <w:numPr>
          <w:ilvl w:val="0"/>
          <w:numId w:val="8"/>
        </w:numPr>
        <w:tabs>
          <w:tab w:val="left" w:pos="284"/>
        </w:tabs>
        <w:spacing w:line="276" w:lineRule="auto"/>
        <w:ind w:left="0" w:firstLine="0"/>
        <w:rPr>
          <w:rFonts w:ascii="Arial" w:eastAsia="Calibri" w:hAnsi="Arial" w:cs="Arial"/>
          <w:b/>
          <w:sz w:val="22"/>
        </w:rPr>
      </w:pPr>
      <w:r w:rsidRPr="005A4E9E">
        <w:rPr>
          <w:rFonts w:ascii="Arial" w:eastAsia="Calibri" w:hAnsi="Arial" w:cs="Arial"/>
          <w:b/>
          <w:sz w:val="22"/>
        </w:rPr>
        <w:t>Consideraciones</w:t>
      </w:r>
    </w:p>
    <w:p w14:paraId="272943D1" w14:textId="0DF4364C" w:rsidR="00484856" w:rsidRPr="005A4E9E" w:rsidRDefault="00484856" w:rsidP="00B10353">
      <w:pPr>
        <w:spacing w:line="276" w:lineRule="auto"/>
        <w:jc w:val="both"/>
        <w:rPr>
          <w:rFonts w:ascii="Arial" w:eastAsia="Calibri" w:hAnsi="Arial" w:cs="Arial"/>
          <w:sz w:val="22"/>
        </w:rPr>
      </w:pPr>
    </w:p>
    <w:p w14:paraId="02D60E6A" w14:textId="343085A3" w:rsidR="00A90C55" w:rsidRPr="005A4E9E" w:rsidRDefault="00504CFE" w:rsidP="005B4DC8">
      <w:pPr>
        <w:spacing w:line="276" w:lineRule="auto"/>
        <w:jc w:val="both"/>
        <w:rPr>
          <w:rFonts w:ascii="Arial" w:eastAsia="Calibri" w:hAnsi="Arial" w:cs="Arial"/>
          <w:sz w:val="22"/>
          <w:lang w:val="es-ES_tradnl"/>
        </w:rPr>
      </w:pPr>
      <w:r w:rsidRPr="005A4E9E">
        <w:rPr>
          <w:rFonts w:ascii="Arial" w:hAnsi="Arial" w:cs="Arial"/>
          <w:sz w:val="22"/>
        </w:rPr>
        <w:t xml:space="preserve">Para responder </w:t>
      </w:r>
      <w:r w:rsidR="005B4DC8" w:rsidRPr="005A4E9E">
        <w:rPr>
          <w:rFonts w:ascii="Arial" w:hAnsi="Arial" w:cs="Arial"/>
          <w:sz w:val="22"/>
        </w:rPr>
        <w:t>los</w:t>
      </w:r>
      <w:r w:rsidRPr="005A4E9E">
        <w:rPr>
          <w:rFonts w:ascii="Arial" w:hAnsi="Arial" w:cs="Arial"/>
          <w:sz w:val="22"/>
        </w:rPr>
        <w:t xml:space="preserve"> interrogante</w:t>
      </w:r>
      <w:r w:rsidR="005B4DC8" w:rsidRPr="005A4E9E">
        <w:rPr>
          <w:rFonts w:ascii="Arial" w:hAnsi="Arial" w:cs="Arial"/>
          <w:sz w:val="22"/>
        </w:rPr>
        <w:t>s</w:t>
      </w:r>
      <w:r w:rsidR="00702675" w:rsidRPr="005A4E9E">
        <w:rPr>
          <w:rFonts w:ascii="Arial" w:hAnsi="Arial" w:cs="Arial"/>
          <w:sz w:val="22"/>
        </w:rPr>
        <w:t xml:space="preserve"> s</w:t>
      </w:r>
      <w:r w:rsidRPr="005A4E9E">
        <w:rPr>
          <w:rFonts w:ascii="Arial" w:hAnsi="Arial" w:cs="Arial"/>
          <w:sz w:val="22"/>
        </w:rPr>
        <w:t xml:space="preserve">e </w:t>
      </w:r>
      <w:r w:rsidR="00731CBB" w:rsidRPr="005A4E9E">
        <w:rPr>
          <w:rFonts w:ascii="Arial" w:hAnsi="Arial" w:cs="Arial"/>
          <w:sz w:val="22"/>
        </w:rPr>
        <w:t>realizarán</w:t>
      </w:r>
      <w:r w:rsidRPr="005A4E9E">
        <w:rPr>
          <w:rFonts w:ascii="Arial" w:hAnsi="Arial" w:cs="Arial"/>
          <w:sz w:val="22"/>
        </w:rPr>
        <w:t xml:space="preserve"> algunas consideraciones en torno a</w:t>
      </w:r>
      <w:r w:rsidR="001A6036" w:rsidRPr="005A4E9E">
        <w:rPr>
          <w:rFonts w:ascii="Arial" w:hAnsi="Arial" w:cs="Arial"/>
          <w:sz w:val="22"/>
        </w:rPr>
        <w:t>:</w:t>
      </w:r>
      <w:r w:rsidRPr="005A4E9E">
        <w:rPr>
          <w:rFonts w:ascii="Arial" w:hAnsi="Arial" w:cs="Arial"/>
          <w:sz w:val="22"/>
        </w:rPr>
        <w:t xml:space="preserve"> </w:t>
      </w:r>
      <w:r w:rsidR="007B2571" w:rsidRPr="005A4E9E">
        <w:rPr>
          <w:rFonts w:ascii="Arial" w:hAnsi="Arial" w:cs="Arial"/>
          <w:sz w:val="22"/>
        </w:rPr>
        <w:t>i)</w:t>
      </w:r>
      <w:r w:rsidR="007027E7" w:rsidRPr="005A4E9E">
        <w:rPr>
          <w:rFonts w:ascii="Arial" w:hAnsi="Arial" w:cs="Arial"/>
          <w:sz w:val="22"/>
        </w:rPr>
        <w:t xml:space="preserve"> </w:t>
      </w:r>
      <w:r w:rsidR="005B4DC8" w:rsidRPr="005A4E9E">
        <w:rPr>
          <w:rFonts w:ascii="Arial" w:hAnsi="Arial" w:cs="Arial"/>
          <w:sz w:val="22"/>
        </w:rPr>
        <w:t>el principio de selección objetiva en la contratación estatal</w:t>
      </w:r>
      <w:r w:rsidR="00C227EF" w:rsidRPr="005A4E9E">
        <w:rPr>
          <w:rFonts w:ascii="Arial" w:hAnsi="Arial" w:cs="Arial"/>
          <w:sz w:val="22"/>
        </w:rPr>
        <w:t>; ii)</w:t>
      </w:r>
      <w:r w:rsidR="00E67609" w:rsidRPr="005A4E9E">
        <w:rPr>
          <w:rFonts w:ascii="Arial" w:hAnsi="Arial" w:cs="Arial"/>
          <w:sz w:val="22"/>
        </w:rPr>
        <w:t xml:space="preserve"> </w:t>
      </w:r>
      <w:r w:rsidR="00666303" w:rsidRPr="005A4E9E">
        <w:rPr>
          <w:rFonts w:ascii="Arial" w:eastAsia="Calibri" w:hAnsi="Arial" w:cs="Arial"/>
          <w:sz w:val="22"/>
          <w:lang w:val="es-ES_tradnl"/>
        </w:rPr>
        <w:t>el alcance de la regla de la subsanabilidad</w:t>
      </w:r>
      <w:r w:rsidR="00DC63AA" w:rsidRPr="005A4E9E">
        <w:rPr>
          <w:rFonts w:ascii="Arial" w:eastAsia="Calibri" w:hAnsi="Arial" w:cs="Arial"/>
          <w:sz w:val="22"/>
          <w:lang w:val="es-ES_tradnl"/>
        </w:rPr>
        <w:t>;</w:t>
      </w:r>
      <w:r w:rsidR="00060FA9" w:rsidRPr="005A4E9E">
        <w:rPr>
          <w:rFonts w:ascii="Arial" w:eastAsia="Calibri" w:hAnsi="Arial" w:cs="Arial"/>
          <w:sz w:val="22"/>
          <w:lang w:val="es-ES_tradnl"/>
        </w:rPr>
        <w:t xml:space="preserve"> </w:t>
      </w:r>
      <w:r w:rsidR="0094613B">
        <w:rPr>
          <w:rFonts w:ascii="Arial" w:eastAsia="Calibri" w:hAnsi="Arial" w:cs="Arial"/>
          <w:sz w:val="22"/>
          <w:lang w:val="es-ES_tradnl"/>
        </w:rPr>
        <w:t xml:space="preserve">y, </w:t>
      </w:r>
      <w:r w:rsidR="00060FA9" w:rsidRPr="005A4E9E">
        <w:rPr>
          <w:rFonts w:ascii="Arial" w:eastAsia="Calibri" w:hAnsi="Arial" w:cs="Arial"/>
          <w:sz w:val="22"/>
          <w:lang w:val="es-ES_tradnl"/>
        </w:rPr>
        <w:t xml:space="preserve">iii) </w:t>
      </w:r>
      <w:r w:rsidR="005B4DC8" w:rsidRPr="005A4E9E">
        <w:rPr>
          <w:rFonts w:ascii="Arial" w:eastAsia="Calibri" w:hAnsi="Arial" w:cs="Arial"/>
          <w:sz w:val="22"/>
          <w:lang w:val="es-ES_tradnl"/>
        </w:rPr>
        <w:t xml:space="preserve">la regla de </w:t>
      </w:r>
      <w:r w:rsidR="00060FA9" w:rsidRPr="005A4E9E">
        <w:rPr>
          <w:rFonts w:ascii="Arial" w:eastAsia="Calibri" w:hAnsi="Arial" w:cs="Arial"/>
          <w:sz w:val="22"/>
          <w:lang w:val="es-ES_tradnl"/>
        </w:rPr>
        <w:t>subsanabilidad en procedimientos de subasta</w:t>
      </w:r>
      <w:r w:rsidR="005B4DC8" w:rsidRPr="005A4E9E">
        <w:rPr>
          <w:rFonts w:ascii="Arial" w:eastAsia="Calibri" w:hAnsi="Arial" w:cs="Arial"/>
          <w:sz w:val="22"/>
          <w:lang w:val="es-ES_tradnl"/>
        </w:rPr>
        <w:t xml:space="preserve"> inversa</w:t>
      </w:r>
      <w:r w:rsidR="0094613B">
        <w:rPr>
          <w:rFonts w:ascii="Arial" w:eastAsia="Calibri" w:hAnsi="Arial" w:cs="Arial"/>
          <w:sz w:val="22"/>
          <w:lang w:val="es-ES_tradnl"/>
        </w:rPr>
        <w:t>.</w:t>
      </w:r>
      <w:r w:rsidR="00F443D6" w:rsidRPr="005A4E9E">
        <w:rPr>
          <w:rFonts w:ascii="Arial" w:eastAsia="Calibri" w:hAnsi="Arial" w:cs="Arial"/>
          <w:sz w:val="22"/>
          <w:lang w:val="es-ES_tradnl"/>
        </w:rPr>
        <w:t xml:space="preserve"> </w:t>
      </w:r>
    </w:p>
    <w:p w14:paraId="4DA33E7E" w14:textId="77777777" w:rsidR="008F6ABB" w:rsidRPr="005A4E9E" w:rsidRDefault="008F6ABB" w:rsidP="00A90C55">
      <w:pPr>
        <w:spacing w:line="276" w:lineRule="auto"/>
        <w:jc w:val="both"/>
        <w:rPr>
          <w:rFonts w:ascii="Arial" w:eastAsia="Calibri" w:hAnsi="Arial" w:cs="Arial"/>
          <w:sz w:val="22"/>
          <w:lang w:val="es-ES_tradnl"/>
        </w:rPr>
      </w:pPr>
    </w:p>
    <w:p w14:paraId="6789CF2D" w14:textId="70EF2ADB" w:rsidR="00A90C55" w:rsidRPr="005A4E9E" w:rsidRDefault="00A90C55" w:rsidP="00A90C55">
      <w:pPr>
        <w:spacing w:line="276" w:lineRule="auto"/>
        <w:jc w:val="both"/>
        <w:rPr>
          <w:rFonts w:ascii="Arial" w:eastAsia="Calibri" w:hAnsi="Arial" w:cs="Arial"/>
          <w:b/>
          <w:bCs/>
          <w:sz w:val="22"/>
          <w:lang w:val="es-ES_tradnl"/>
        </w:rPr>
      </w:pPr>
      <w:r w:rsidRPr="005A4E9E">
        <w:rPr>
          <w:rFonts w:ascii="Arial" w:eastAsia="Calibri" w:hAnsi="Arial" w:cs="Arial"/>
          <w:b/>
          <w:bCs/>
          <w:sz w:val="22"/>
          <w:lang w:val="es-ES_tradnl"/>
        </w:rPr>
        <w:t xml:space="preserve">2.1. </w:t>
      </w:r>
      <w:bookmarkStart w:id="5" w:name="_Hlk41921892"/>
      <w:r w:rsidRPr="005A4E9E">
        <w:rPr>
          <w:rFonts w:ascii="Arial" w:eastAsia="Calibri" w:hAnsi="Arial" w:cs="Arial"/>
          <w:b/>
          <w:bCs/>
          <w:sz w:val="22"/>
          <w:lang w:val="es-ES_tradnl"/>
        </w:rPr>
        <w:t>Principio de selección objetiva en la contratación estatal</w:t>
      </w:r>
      <w:bookmarkEnd w:id="5"/>
    </w:p>
    <w:p w14:paraId="224C01A1" w14:textId="58E750E2" w:rsidR="005B4DC8" w:rsidRPr="005A4E9E" w:rsidRDefault="005B4DC8" w:rsidP="00A90C55">
      <w:pPr>
        <w:spacing w:line="276" w:lineRule="auto"/>
        <w:jc w:val="both"/>
        <w:rPr>
          <w:rFonts w:ascii="Arial" w:eastAsia="Calibri" w:hAnsi="Arial" w:cs="Arial"/>
          <w:b/>
          <w:bCs/>
          <w:sz w:val="22"/>
          <w:lang w:val="es-ES_tradnl"/>
        </w:rPr>
      </w:pPr>
    </w:p>
    <w:p w14:paraId="3D16CE4F" w14:textId="685CD50D" w:rsidR="005B4DC8" w:rsidRPr="005A4E9E" w:rsidRDefault="008C566B" w:rsidP="005B4DC8">
      <w:pPr>
        <w:spacing w:after="120" w:line="276" w:lineRule="auto"/>
        <w:jc w:val="both"/>
        <w:rPr>
          <w:rFonts w:ascii="Arial" w:eastAsia="Calibri" w:hAnsi="Arial" w:cs="Arial"/>
          <w:sz w:val="22"/>
          <w:lang w:val="es-ES_tradnl"/>
        </w:rPr>
      </w:pPr>
      <w:r>
        <w:rPr>
          <w:rFonts w:ascii="Arial" w:eastAsia="Calibri" w:hAnsi="Arial" w:cs="Arial"/>
          <w:sz w:val="22"/>
          <w:lang w:val="es-ES_tradnl"/>
        </w:rPr>
        <w:t>Para responder los interrogantes de la peticionaria, s</w:t>
      </w:r>
      <w:r w:rsidR="005B4DC8" w:rsidRPr="005A4E9E">
        <w:rPr>
          <w:rFonts w:ascii="Arial" w:eastAsia="Calibri" w:hAnsi="Arial" w:cs="Arial"/>
          <w:sz w:val="22"/>
          <w:lang w:val="es-ES_tradnl"/>
        </w:rPr>
        <w:t>e ratificará la tesis expuesta en los conceptos con radicado No. 4201913000006471 del 28 de octubre de 2019, 4201912000006711 del 12 de noviembre de 2019, 4201912000006496 del 15 de noviembre de 2019, CU – 060 de 16 de enero de 2020, C – 082 de 27 de enero de 2020, C – 127 de 12 de febrero de 2020. La tesis expuesta fue la siguiente:</w:t>
      </w:r>
    </w:p>
    <w:p w14:paraId="561327BA" w14:textId="77777777" w:rsidR="00A90C55" w:rsidRPr="005A4E9E" w:rsidRDefault="00A90C55" w:rsidP="005B4DC8">
      <w:pPr>
        <w:spacing w:line="276" w:lineRule="auto"/>
        <w:ind w:firstLine="708"/>
        <w:jc w:val="both"/>
        <w:rPr>
          <w:rFonts w:ascii="Arial" w:eastAsia="Calibri" w:hAnsi="Arial" w:cs="Arial"/>
          <w:sz w:val="22"/>
          <w:lang w:val="es-ES_tradnl"/>
        </w:rPr>
      </w:pPr>
      <w:r w:rsidRPr="005A4E9E">
        <w:rPr>
          <w:rFonts w:ascii="Arial" w:eastAsia="Calibri" w:hAnsi="Arial" w:cs="Arial"/>
          <w:sz w:val="22"/>
          <w:lang w:val="es-ES_tradnl"/>
        </w:rPr>
        <w:t xml:space="preserve">Uno de los principios transversales de los procedimientos de selección es el de </w:t>
      </w:r>
      <w:r w:rsidRPr="005A4E9E">
        <w:rPr>
          <w:rFonts w:ascii="Arial" w:eastAsia="Calibri" w:hAnsi="Arial" w:cs="Arial"/>
          <w:i/>
          <w:iCs/>
          <w:sz w:val="22"/>
          <w:lang w:val="es-ES_tradnl"/>
        </w:rPr>
        <w:t>selección objetiva</w:t>
      </w:r>
      <w:r w:rsidRPr="005A4E9E">
        <w:rPr>
          <w:rFonts w:ascii="Arial" w:eastAsia="Calibri" w:hAnsi="Arial" w:cs="Arial"/>
          <w:sz w:val="22"/>
          <w:lang w:val="es-ES_tradnl"/>
        </w:rPr>
        <w:t xml:space="preserve">. Se trata del postulado que exige que la escogencia de la oferta ganadora se debe fundamentar en factores objetivos, de carácter técnico, jurídico y financiero, y no en criterios subjetivos, como el afecto, la amistad, el ánimo de ayuda, el interés personal, etc. </w:t>
      </w:r>
    </w:p>
    <w:p w14:paraId="37E7E742" w14:textId="4C6632F5" w:rsidR="00A90C55" w:rsidRPr="005A4E9E" w:rsidRDefault="00A90C55" w:rsidP="00E85CAC">
      <w:pPr>
        <w:tabs>
          <w:tab w:val="left" w:pos="5954"/>
        </w:tabs>
        <w:spacing w:before="120" w:line="276" w:lineRule="auto"/>
        <w:ind w:firstLine="708"/>
        <w:jc w:val="both"/>
        <w:rPr>
          <w:rFonts w:ascii="Arial" w:eastAsia="Calibri" w:hAnsi="Arial" w:cs="Arial"/>
          <w:sz w:val="22"/>
          <w:lang w:val="es-ES_tradnl"/>
        </w:rPr>
      </w:pPr>
      <w:r w:rsidRPr="005A4E9E">
        <w:rPr>
          <w:rFonts w:ascii="Arial" w:eastAsia="Calibri" w:hAnsi="Arial" w:cs="Arial"/>
          <w:sz w:val="22"/>
          <w:lang w:val="es-ES_tradnl"/>
        </w:rPr>
        <w:t>Si bien dentro de la historia de la contratación pública en Colombia, se vislumbran antecedentes normativos que consagraban dicho principio</w:t>
      </w:r>
      <w:r w:rsidRPr="005A4E9E">
        <w:rPr>
          <w:rStyle w:val="Refdenotaalpie"/>
          <w:rFonts w:ascii="Arial" w:eastAsia="Calibri" w:hAnsi="Arial" w:cs="Arial"/>
          <w:sz w:val="22"/>
          <w:lang w:val="es-ES_tradnl"/>
        </w:rPr>
        <w:footnoteReference w:id="1"/>
      </w:r>
      <w:r w:rsidRPr="005A4E9E">
        <w:rPr>
          <w:rFonts w:ascii="Arial" w:eastAsia="Calibri" w:hAnsi="Arial" w:cs="Arial"/>
          <w:sz w:val="22"/>
          <w:lang w:val="es-ES_tradnl"/>
        </w:rPr>
        <w:t xml:space="preserve">, en la actualidad la disposición </w:t>
      </w:r>
      <w:r w:rsidRPr="005A4E9E">
        <w:rPr>
          <w:rFonts w:ascii="Arial" w:eastAsia="Calibri" w:hAnsi="Arial" w:cs="Arial"/>
          <w:sz w:val="22"/>
          <w:lang w:val="es-ES_tradnl"/>
        </w:rPr>
        <w:lastRenderedPageBreak/>
        <w:t xml:space="preserve">legal que lo prevé de manera más clara y contundente es el artículo 5 de la Ley 1150 de 2007, modificado por el artículo 88 de la Ley 1474 de 2011 y por el artículo 5 de la Ley 1882 de 2018; enunciado normativo </w:t>
      </w:r>
      <w:r w:rsidR="00413C50">
        <w:rPr>
          <w:rFonts w:ascii="Arial" w:eastAsia="Calibri" w:hAnsi="Arial" w:cs="Arial"/>
          <w:sz w:val="22"/>
          <w:lang w:val="es-ES_tradnl"/>
        </w:rPr>
        <w:t>que establece</w:t>
      </w:r>
      <w:r w:rsidRPr="005A4E9E">
        <w:rPr>
          <w:rFonts w:ascii="Arial" w:eastAsia="Calibri" w:hAnsi="Arial" w:cs="Arial"/>
          <w:sz w:val="22"/>
          <w:lang w:val="es-ES_tradnl"/>
        </w:rPr>
        <w:t>:</w:t>
      </w:r>
    </w:p>
    <w:p w14:paraId="569F9CE7" w14:textId="77777777" w:rsidR="00A90C55" w:rsidRPr="005A4E9E" w:rsidRDefault="00A90C55" w:rsidP="00A90C55">
      <w:pPr>
        <w:spacing w:line="276" w:lineRule="auto"/>
        <w:jc w:val="both"/>
        <w:rPr>
          <w:rFonts w:ascii="Arial" w:eastAsia="Calibri" w:hAnsi="Arial" w:cs="Arial"/>
          <w:sz w:val="22"/>
          <w:lang w:val="es-ES_tradnl"/>
        </w:rPr>
      </w:pPr>
    </w:p>
    <w:p w14:paraId="44532029" w14:textId="3BDA982D" w:rsidR="00A90C55" w:rsidRPr="005A4E9E" w:rsidRDefault="008F6ABB" w:rsidP="00A90C55">
      <w:pPr>
        <w:ind w:left="709" w:right="709"/>
        <w:jc w:val="both"/>
        <w:rPr>
          <w:rFonts w:ascii="Arial" w:eastAsia="Calibri" w:hAnsi="Arial" w:cs="Arial"/>
          <w:sz w:val="21"/>
          <w:szCs w:val="21"/>
          <w:lang w:val="es-ES_tradnl"/>
        </w:rPr>
      </w:pPr>
      <w:r w:rsidRPr="005A4E9E">
        <w:rPr>
          <w:rFonts w:ascii="Arial" w:eastAsia="Calibri" w:hAnsi="Arial" w:cs="Arial"/>
          <w:sz w:val="21"/>
          <w:szCs w:val="21"/>
          <w:lang w:val="es-ES_tradnl"/>
        </w:rPr>
        <w:t>Artículo</w:t>
      </w:r>
      <w:r w:rsidR="00A90C55" w:rsidRPr="005A4E9E">
        <w:rPr>
          <w:rFonts w:ascii="Arial" w:eastAsia="Calibri" w:hAnsi="Arial" w:cs="Arial"/>
          <w:sz w:val="21"/>
          <w:szCs w:val="21"/>
          <w:lang w:val="es-ES_tradnl"/>
        </w:rPr>
        <w:t xml:space="preserve"> 5o. </w:t>
      </w:r>
      <w:r w:rsidRPr="005A4E9E">
        <w:rPr>
          <w:rFonts w:ascii="Arial" w:eastAsia="Calibri" w:hAnsi="Arial" w:cs="Arial"/>
          <w:sz w:val="21"/>
          <w:szCs w:val="21"/>
          <w:lang w:val="es-ES_tradnl"/>
        </w:rPr>
        <w:t xml:space="preserve">De la selección objetiva. </w:t>
      </w:r>
      <w:r w:rsidR="00A90C55" w:rsidRPr="005A4E9E">
        <w:rPr>
          <w:rFonts w:ascii="Arial" w:eastAsia="Calibri" w:hAnsi="Arial" w:cs="Arial"/>
          <w:sz w:val="21"/>
          <w:szCs w:val="21"/>
          <w:lang w:val="es-ES_tradnl"/>
        </w:rPr>
        <w:t>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4405A15B" w14:textId="77777777" w:rsidR="00A90C55" w:rsidRPr="005A4E9E" w:rsidRDefault="00A90C55" w:rsidP="00A90C55">
      <w:pPr>
        <w:ind w:left="709" w:right="709"/>
        <w:jc w:val="both"/>
        <w:rPr>
          <w:rFonts w:ascii="Arial" w:eastAsia="Calibri" w:hAnsi="Arial" w:cs="Arial"/>
          <w:sz w:val="21"/>
          <w:szCs w:val="21"/>
          <w:lang w:val="es-ES_tradnl"/>
        </w:rPr>
      </w:pPr>
    </w:p>
    <w:p w14:paraId="270BFF72" w14:textId="77777777" w:rsidR="00A90C55" w:rsidRPr="005A4E9E" w:rsidRDefault="00A90C55" w:rsidP="00A90C55">
      <w:pPr>
        <w:ind w:left="709" w:right="709"/>
        <w:jc w:val="both"/>
        <w:rPr>
          <w:rFonts w:ascii="Arial" w:eastAsia="Calibri" w:hAnsi="Arial" w:cs="Arial"/>
          <w:sz w:val="21"/>
          <w:szCs w:val="21"/>
          <w:lang w:val="es-ES_tradnl"/>
        </w:rPr>
      </w:pPr>
      <w:r w:rsidRPr="005A4E9E">
        <w:rPr>
          <w:rFonts w:ascii="Arial" w:eastAsia="Calibri" w:hAnsi="Arial" w:cs="Arial"/>
          <w:sz w:val="21"/>
          <w:szCs w:val="21"/>
          <w:lang w:val="es-ES_tradnl"/>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125374A9" w14:textId="77777777" w:rsidR="00A90C55" w:rsidRPr="005A4E9E" w:rsidRDefault="00A90C55" w:rsidP="00A90C55">
      <w:pPr>
        <w:ind w:left="709" w:right="709"/>
        <w:jc w:val="both"/>
        <w:rPr>
          <w:rFonts w:ascii="Arial" w:eastAsia="Calibri" w:hAnsi="Arial" w:cs="Arial"/>
          <w:sz w:val="21"/>
          <w:szCs w:val="21"/>
          <w:lang w:val="es-ES_tradnl"/>
        </w:rPr>
      </w:pPr>
    </w:p>
    <w:p w14:paraId="26AF2C5F" w14:textId="77777777" w:rsidR="00A90C55" w:rsidRPr="005A4E9E" w:rsidRDefault="00A90C55" w:rsidP="00A90C55">
      <w:pPr>
        <w:ind w:left="709" w:right="709"/>
        <w:jc w:val="both"/>
        <w:rPr>
          <w:rFonts w:ascii="Arial" w:eastAsia="Calibri" w:hAnsi="Arial" w:cs="Arial"/>
          <w:sz w:val="21"/>
          <w:szCs w:val="21"/>
          <w:lang w:val="es-ES_tradnl"/>
        </w:rPr>
      </w:pPr>
      <w:r w:rsidRPr="005A4E9E">
        <w:rPr>
          <w:rFonts w:ascii="Arial" w:eastAsia="Calibri" w:hAnsi="Arial" w:cs="Arial"/>
          <w:sz w:val="21"/>
          <w:szCs w:val="21"/>
          <w:lang w:val="es-ES_tradnl"/>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2945FC19" w14:textId="77777777" w:rsidR="00A90C55" w:rsidRPr="005A4E9E" w:rsidRDefault="00A90C55" w:rsidP="00A90C55">
      <w:pPr>
        <w:ind w:left="709" w:right="709"/>
        <w:jc w:val="both"/>
        <w:rPr>
          <w:rFonts w:ascii="Arial" w:eastAsia="Calibri" w:hAnsi="Arial" w:cs="Arial"/>
          <w:sz w:val="21"/>
          <w:szCs w:val="21"/>
          <w:lang w:val="es-ES_tradnl"/>
        </w:rPr>
      </w:pPr>
    </w:p>
    <w:p w14:paraId="7CE51EC6" w14:textId="77777777" w:rsidR="00A90C55" w:rsidRPr="005A4E9E" w:rsidRDefault="00A90C55" w:rsidP="00A90C55">
      <w:pPr>
        <w:ind w:left="709" w:right="709"/>
        <w:jc w:val="both"/>
        <w:rPr>
          <w:rFonts w:ascii="Arial" w:eastAsia="Calibri" w:hAnsi="Arial" w:cs="Arial"/>
          <w:sz w:val="21"/>
          <w:szCs w:val="21"/>
          <w:lang w:val="es-ES_tradnl"/>
        </w:rPr>
      </w:pPr>
      <w:r w:rsidRPr="005A4E9E">
        <w:rPr>
          <w:rFonts w:ascii="Arial" w:eastAsia="Calibri" w:hAnsi="Arial" w:cs="Arial"/>
          <w:sz w:val="21"/>
          <w:szCs w:val="21"/>
          <w:lang w:val="es-ES_tradnl"/>
        </w:rPr>
        <w:t>En los procesos de selección en los que se tenga en cuenta los factores técnicos y económicos, la oferta más ventajosa será la que resulte de aplicar alguna de las siguientes alternativas:</w:t>
      </w:r>
    </w:p>
    <w:p w14:paraId="7CDA8E02" w14:textId="77777777" w:rsidR="00A90C55" w:rsidRPr="005A4E9E" w:rsidRDefault="00A90C55" w:rsidP="00A90C55">
      <w:pPr>
        <w:ind w:left="709" w:right="709"/>
        <w:jc w:val="both"/>
        <w:rPr>
          <w:rFonts w:ascii="Arial" w:eastAsia="Calibri" w:hAnsi="Arial" w:cs="Arial"/>
          <w:sz w:val="21"/>
          <w:szCs w:val="21"/>
          <w:lang w:val="es-ES_tradnl"/>
        </w:rPr>
      </w:pPr>
    </w:p>
    <w:p w14:paraId="6786DB22" w14:textId="77777777" w:rsidR="00A90C55" w:rsidRPr="005A4E9E" w:rsidRDefault="00A90C55" w:rsidP="00A90C55">
      <w:pPr>
        <w:ind w:left="709" w:right="709"/>
        <w:jc w:val="both"/>
        <w:rPr>
          <w:rFonts w:ascii="Arial" w:eastAsia="Calibri" w:hAnsi="Arial" w:cs="Arial"/>
          <w:sz w:val="21"/>
          <w:szCs w:val="21"/>
          <w:lang w:val="es-ES_tradnl"/>
        </w:rPr>
      </w:pPr>
      <w:r w:rsidRPr="005A4E9E">
        <w:rPr>
          <w:rFonts w:ascii="Arial" w:eastAsia="Calibri" w:hAnsi="Arial" w:cs="Arial"/>
          <w:sz w:val="21"/>
          <w:szCs w:val="21"/>
          <w:lang w:val="es-ES_tradnl"/>
        </w:rPr>
        <w:t>a) La ponderación de los elementos de calidad y precio soportados en puntajes o fórmulas señaladas en el pliego de condiciones; o</w:t>
      </w:r>
    </w:p>
    <w:p w14:paraId="3B91A3A8" w14:textId="77777777" w:rsidR="00A90C55" w:rsidRPr="005A4E9E" w:rsidRDefault="00A90C55" w:rsidP="00A90C55">
      <w:pPr>
        <w:ind w:left="709" w:right="709"/>
        <w:jc w:val="both"/>
        <w:rPr>
          <w:rFonts w:ascii="Arial" w:eastAsia="Calibri" w:hAnsi="Arial" w:cs="Arial"/>
          <w:sz w:val="21"/>
          <w:szCs w:val="21"/>
          <w:lang w:val="es-ES_tradnl"/>
        </w:rPr>
      </w:pPr>
    </w:p>
    <w:p w14:paraId="5D404AFB" w14:textId="77777777" w:rsidR="00A90C55" w:rsidRPr="005A4E9E" w:rsidRDefault="00A90C55" w:rsidP="00A90C55">
      <w:pPr>
        <w:ind w:left="709" w:right="709"/>
        <w:jc w:val="both"/>
        <w:rPr>
          <w:rFonts w:ascii="Arial" w:eastAsia="Calibri" w:hAnsi="Arial" w:cs="Arial"/>
          <w:sz w:val="21"/>
          <w:szCs w:val="21"/>
          <w:lang w:val="es-ES_tradnl"/>
        </w:rPr>
      </w:pPr>
      <w:r w:rsidRPr="005A4E9E">
        <w:rPr>
          <w:rFonts w:ascii="Arial" w:eastAsia="Calibri" w:hAnsi="Arial" w:cs="Arial"/>
          <w:sz w:val="21"/>
          <w:szCs w:val="21"/>
          <w:lang w:val="es-ES_tradnl"/>
        </w:rPr>
        <w:t>b) La ponderación de los elementos de calidad y precio que representen la mejor relación de costo-beneficio para la entidad.</w:t>
      </w:r>
    </w:p>
    <w:p w14:paraId="06896F0E" w14:textId="77777777" w:rsidR="00A90C55" w:rsidRPr="005A4E9E" w:rsidRDefault="00A90C55" w:rsidP="00A90C55">
      <w:pPr>
        <w:ind w:left="709" w:right="709"/>
        <w:jc w:val="both"/>
        <w:rPr>
          <w:rFonts w:ascii="Arial" w:eastAsia="Calibri" w:hAnsi="Arial" w:cs="Arial"/>
          <w:sz w:val="21"/>
          <w:szCs w:val="21"/>
          <w:lang w:val="es-ES_tradnl"/>
        </w:rPr>
      </w:pPr>
    </w:p>
    <w:p w14:paraId="617626D4" w14:textId="77777777" w:rsidR="00A90C55" w:rsidRPr="005A4E9E" w:rsidRDefault="00A90C55" w:rsidP="00A90C55">
      <w:pPr>
        <w:ind w:left="709" w:right="709"/>
        <w:jc w:val="both"/>
        <w:rPr>
          <w:rFonts w:ascii="Arial" w:eastAsia="Calibri" w:hAnsi="Arial" w:cs="Arial"/>
          <w:sz w:val="21"/>
          <w:szCs w:val="21"/>
          <w:lang w:val="es-ES_tradnl"/>
        </w:rPr>
      </w:pPr>
      <w:r w:rsidRPr="005A4E9E">
        <w:rPr>
          <w:rFonts w:ascii="Arial" w:eastAsia="Calibri" w:hAnsi="Arial" w:cs="Arial"/>
          <w:sz w:val="21"/>
          <w:szCs w:val="21"/>
          <w:lang w:val="es-ES_tradnl"/>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p>
    <w:p w14:paraId="0CBC7C71" w14:textId="77777777" w:rsidR="00A90C55" w:rsidRPr="005A4E9E" w:rsidRDefault="00A90C55" w:rsidP="00A90C55">
      <w:pPr>
        <w:ind w:left="709" w:right="709"/>
        <w:jc w:val="both"/>
        <w:rPr>
          <w:rFonts w:ascii="Arial" w:eastAsia="Calibri" w:hAnsi="Arial" w:cs="Arial"/>
          <w:sz w:val="21"/>
          <w:szCs w:val="21"/>
          <w:lang w:val="es-ES_tradnl"/>
        </w:rPr>
      </w:pPr>
    </w:p>
    <w:p w14:paraId="35FEC455" w14:textId="77777777" w:rsidR="00A90C55" w:rsidRPr="005A4E9E" w:rsidRDefault="00A90C55" w:rsidP="00A90C55">
      <w:pPr>
        <w:ind w:left="709" w:right="709"/>
        <w:jc w:val="both"/>
        <w:rPr>
          <w:rFonts w:ascii="Arial" w:eastAsia="Calibri" w:hAnsi="Arial" w:cs="Arial"/>
          <w:sz w:val="21"/>
          <w:szCs w:val="21"/>
          <w:lang w:val="es-ES_tradnl"/>
        </w:rPr>
      </w:pPr>
      <w:r w:rsidRPr="005A4E9E">
        <w:rPr>
          <w:rFonts w:ascii="Arial" w:eastAsia="Calibri" w:hAnsi="Arial" w:cs="Arial"/>
          <w:sz w:val="21"/>
          <w:szCs w:val="21"/>
          <w:lang w:val="es-ES_tradnl"/>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14:paraId="09BEBD16" w14:textId="77777777" w:rsidR="00A90C55" w:rsidRPr="005A4E9E" w:rsidRDefault="00A90C55" w:rsidP="00A90C55">
      <w:pPr>
        <w:ind w:left="709" w:right="709"/>
        <w:jc w:val="both"/>
        <w:rPr>
          <w:rFonts w:ascii="Arial" w:eastAsia="Calibri" w:hAnsi="Arial" w:cs="Arial"/>
          <w:sz w:val="21"/>
          <w:szCs w:val="21"/>
          <w:lang w:val="es-ES_tradnl"/>
        </w:rPr>
      </w:pPr>
    </w:p>
    <w:p w14:paraId="75689E0D" w14:textId="77777777" w:rsidR="00A90C55" w:rsidRPr="005A4E9E" w:rsidRDefault="00A90C55" w:rsidP="00A90C55">
      <w:pPr>
        <w:ind w:left="709" w:right="709"/>
        <w:jc w:val="both"/>
        <w:rPr>
          <w:rFonts w:ascii="Arial" w:eastAsia="Calibri" w:hAnsi="Arial" w:cs="Arial"/>
          <w:sz w:val="21"/>
          <w:szCs w:val="21"/>
          <w:lang w:val="es-ES_tradnl"/>
        </w:rPr>
      </w:pPr>
      <w:r w:rsidRPr="005A4E9E">
        <w:rPr>
          <w:rFonts w:ascii="Arial" w:eastAsia="Calibri" w:hAnsi="Arial" w:cs="Arial"/>
          <w:sz w:val="21"/>
          <w:szCs w:val="21"/>
          <w:lang w:val="es-ES_tradnl"/>
        </w:rPr>
        <w:t>En ningún caso se podrá incluir el precio, como factor de escogencia para la selección de consultores.</w:t>
      </w:r>
    </w:p>
    <w:p w14:paraId="4984473E" w14:textId="77777777" w:rsidR="00A90C55" w:rsidRPr="005A4E9E" w:rsidRDefault="00A90C55" w:rsidP="00A90C55">
      <w:pPr>
        <w:ind w:left="709" w:right="709"/>
        <w:jc w:val="both"/>
        <w:rPr>
          <w:rFonts w:ascii="Arial" w:eastAsia="Calibri" w:hAnsi="Arial" w:cs="Arial"/>
          <w:sz w:val="21"/>
          <w:szCs w:val="21"/>
          <w:lang w:val="es-ES_tradnl"/>
        </w:rPr>
      </w:pPr>
    </w:p>
    <w:p w14:paraId="72ADEC5D" w14:textId="77777777" w:rsidR="00A90C55" w:rsidRPr="005A4E9E" w:rsidRDefault="00A90C55" w:rsidP="00A90C55">
      <w:pPr>
        <w:ind w:left="709" w:right="709"/>
        <w:jc w:val="both"/>
        <w:rPr>
          <w:rFonts w:ascii="Arial" w:eastAsia="Calibri" w:hAnsi="Arial" w:cs="Arial"/>
          <w:sz w:val="21"/>
          <w:szCs w:val="21"/>
          <w:lang w:val="es-ES_tradnl"/>
        </w:rPr>
      </w:pPr>
      <w:r w:rsidRPr="005A4E9E">
        <w:rPr>
          <w:rFonts w:ascii="Arial" w:eastAsia="Calibri" w:hAnsi="Arial" w:cs="Arial"/>
          <w:sz w:val="21"/>
          <w:szCs w:val="21"/>
          <w:lang w:val="es-ES_tradnl"/>
        </w:rPr>
        <w:t>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p>
    <w:p w14:paraId="155199A2" w14:textId="77777777" w:rsidR="00A90C55" w:rsidRPr="005A4E9E" w:rsidRDefault="00A90C55" w:rsidP="00A90C55">
      <w:pPr>
        <w:ind w:left="709" w:right="709"/>
        <w:jc w:val="both"/>
        <w:rPr>
          <w:rFonts w:ascii="Arial" w:eastAsia="Calibri" w:hAnsi="Arial" w:cs="Arial"/>
          <w:sz w:val="21"/>
          <w:szCs w:val="21"/>
          <w:lang w:val="es-ES_tradnl"/>
        </w:rPr>
      </w:pPr>
    </w:p>
    <w:p w14:paraId="767F9A6A" w14:textId="77777777" w:rsidR="00A90C55" w:rsidRPr="005A4E9E" w:rsidRDefault="00A90C55" w:rsidP="00A90C55">
      <w:pPr>
        <w:ind w:left="709" w:right="709"/>
        <w:jc w:val="both"/>
        <w:rPr>
          <w:rFonts w:ascii="Arial" w:eastAsia="Calibri" w:hAnsi="Arial" w:cs="Arial"/>
          <w:sz w:val="21"/>
          <w:szCs w:val="21"/>
          <w:lang w:val="es-ES_tradnl"/>
        </w:rPr>
      </w:pPr>
      <w:r w:rsidRPr="005A4E9E">
        <w:rPr>
          <w:rFonts w:ascii="Arial" w:eastAsia="Calibri" w:hAnsi="Arial" w:cs="Arial"/>
          <w:sz w:val="21"/>
          <w:szCs w:val="21"/>
          <w:lang w:val="es-ES_tradnl"/>
        </w:rPr>
        <w:t>Durante el término otorgado para subsanar las ofertas, los proponentes no podrán acreditar circunstancias ocurridas con posterioridad al cierre del proceso.</w:t>
      </w:r>
    </w:p>
    <w:p w14:paraId="1853C80D" w14:textId="77777777" w:rsidR="00A90C55" w:rsidRPr="005A4E9E" w:rsidRDefault="00A90C55" w:rsidP="00A90C55">
      <w:pPr>
        <w:ind w:left="709" w:right="709"/>
        <w:jc w:val="both"/>
        <w:rPr>
          <w:rFonts w:ascii="Arial" w:eastAsia="Calibri" w:hAnsi="Arial" w:cs="Arial"/>
          <w:sz w:val="21"/>
          <w:szCs w:val="21"/>
          <w:lang w:val="es-ES_tradnl"/>
        </w:rPr>
      </w:pPr>
    </w:p>
    <w:p w14:paraId="612E51CB" w14:textId="77777777" w:rsidR="00A90C55" w:rsidRPr="005A4E9E" w:rsidRDefault="00A90C55" w:rsidP="00A90C55">
      <w:pPr>
        <w:ind w:left="709" w:right="709"/>
        <w:jc w:val="both"/>
        <w:rPr>
          <w:rFonts w:ascii="Arial" w:eastAsia="Calibri" w:hAnsi="Arial" w:cs="Arial"/>
          <w:sz w:val="21"/>
          <w:szCs w:val="21"/>
          <w:lang w:val="es-ES_tradnl"/>
        </w:rPr>
      </w:pPr>
      <w:r w:rsidRPr="005A4E9E">
        <w:rPr>
          <w:rFonts w:ascii="Arial" w:eastAsia="Calibri" w:hAnsi="Arial" w:cs="Arial"/>
          <w:sz w:val="21"/>
          <w:szCs w:val="21"/>
          <w:lang w:val="es-ES_tradnl"/>
        </w:rPr>
        <w:t>PARÁGRAFO 2o. Las certificaciones de sistemas de gestión de calidad no serán objeto de calificación, ni podrán establecerse como documento habilitante para participar en licitaciones o concursos.</w:t>
      </w:r>
    </w:p>
    <w:p w14:paraId="4904C5FE" w14:textId="77777777" w:rsidR="00A90C55" w:rsidRPr="005A4E9E" w:rsidRDefault="00A90C55" w:rsidP="00A90C55">
      <w:pPr>
        <w:ind w:left="709" w:right="709"/>
        <w:jc w:val="both"/>
        <w:rPr>
          <w:rFonts w:ascii="Arial" w:eastAsia="Calibri" w:hAnsi="Arial" w:cs="Arial"/>
          <w:sz w:val="21"/>
          <w:szCs w:val="21"/>
          <w:lang w:val="es-ES_tradnl"/>
        </w:rPr>
      </w:pPr>
    </w:p>
    <w:p w14:paraId="572C74AB" w14:textId="77777777" w:rsidR="00A90C55" w:rsidRPr="005A4E9E" w:rsidRDefault="00A90C55" w:rsidP="00A90C55">
      <w:pPr>
        <w:ind w:left="709" w:right="709"/>
        <w:jc w:val="both"/>
        <w:rPr>
          <w:rFonts w:ascii="Arial" w:eastAsia="Calibri" w:hAnsi="Arial" w:cs="Arial"/>
          <w:sz w:val="21"/>
          <w:szCs w:val="21"/>
          <w:lang w:val="es-ES_tradnl"/>
        </w:rPr>
      </w:pPr>
      <w:r w:rsidRPr="005A4E9E">
        <w:rPr>
          <w:rFonts w:ascii="Arial" w:eastAsia="Calibri" w:hAnsi="Arial" w:cs="Arial"/>
          <w:sz w:val="21"/>
          <w:szCs w:val="21"/>
          <w:lang w:val="es-ES_tradnl"/>
        </w:rPr>
        <w:t>PARÁGRAFO 3o. &lt;Parágrafo adicionado por el artículo 5 de la Ley 1882 de 2018. El nuevo texto es el siguiente:&gt; La no entrega de la garantía de seriedad junto con la propuesta no será subsanable y será causal de rechazo de la misma.</w:t>
      </w:r>
    </w:p>
    <w:p w14:paraId="5F84A454" w14:textId="77777777" w:rsidR="00A90C55" w:rsidRPr="005A4E9E" w:rsidRDefault="00A90C55" w:rsidP="00A90C55">
      <w:pPr>
        <w:ind w:left="709" w:right="709"/>
        <w:jc w:val="both"/>
        <w:rPr>
          <w:rFonts w:ascii="Arial" w:eastAsia="Calibri" w:hAnsi="Arial" w:cs="Arial"/>
          <w:sz w:val="21"/>
          <w:szCs w:val="21"/>
          <w:lang w:val="es-ES_tradnl"/>
        </w:rPr>
      </w:pPr>
    </w:p>
    <w:p w14:paraId="7EA10D0B" w14:textId="77777777" w:rsidR="00A90C55" w:rsidRPr="005A4E9E" w:rsidRDefault="00A90C55" w:rsidP="00A90C55">
      <w:pPr>
        <w:ind w:left="709" w:right="709"/>
        <w:jc w:val="both"/>
        <w:rPr>
          <w:rFonts w:ascii="Arial" w:eastAsia="Calibri" w:hAnsi="Arial" w:cs="Arial"/>
          <w:sz w:val="21"/>
          <w:szCs w:val="21"/>
          <w:lang w:val="es-ES_tradnl"/>
        </w:rPr>
      </w:pPr>
      <w:r w:rsidRPr="005A4E9E">
        <w:rPr>
          <w:rFonts w:ascii="Arial" w:eastAsia="Calibri" w:hAnsi="Arial" w:cs="Arial"/>
          <w:sz w:val="21"/>
          <w:szCs w:val="21"/>
          <w:lang w:val="es-ES_tradnl"/>
        </w:rPr>
        <w:t xml:space="preserve">PARÁGRAFO 4o. &lt;Parágrafo adicionado por el artículo 5 de la Ley 1882 de 2018. El nuevo texto es el siguiente:&gt; En aquellos procesos de selección en los </w:t>
      </w:r>
      <w:r w:rsidRPr="005A4E9E">
        <w:rPr>
          <w:rFonts w:ascii="Arial" w:eastAsia="Calibri" w:hAnsi="Arial" w:cs="Arial"/>
          <w:sz w:val="21"/>
          <w:szCs w:val="21"/>
          <w:lang w:val="es-ES_tradnl"/>
        </w:rPr>
        <w:lastRenderedPageBreak/>
        <w:t>que se utilice el mecanismo de subasta, los documentos referentes a la futura contratación o al proponente, no necesarios para la comparación de las propuestas, deberán ser solicitados hasta el momento previo a su realización.</w:t>
      </w:r>
    </w:p>
    <w:p w14:paraId="037E59BC" w14:textId="77777777" w:rsidR="00A90C55" w:rsidRPr="005A4E9E" w:rsidRDefault="00A90C55" w:rsidP="00A90C55">
      <w:pPr>
        <w:ind w:left="709" w:right="709"/>
        <w:jc w:val="both"/>
        <w:rPr>
          <w:rFonts w:ascii="Arial" w:eastAsia="Calibri" w:hAnsi="Arial" w:cs="Arial"/>
          <w:sz w:val="21"/>
          <w:szCs w:val="21"/>
          <w:lang w:val="es-ES_tradnl"/>
        </w:rPr>
      </w:pPr>
    </w:p>
    <w:p w14:paraId="214522CB" w14:textId="77777777" w:rsidR="00A90C55" w:rsidRPr="005A4E9E" w:rsidRDefault="00A90C55" w:rsidP="00A90C55">
      <w:pPr>
        <w:ind w:left="709" w:right="709"/>
        <w:jc w:val="both"/>
        <w:rPr>
          <w:rFonts w:ascii="Arial" w:eastAsia="Calibri" w:hAnsi="Arial" w:cs="Arial"/>
          <w:sz w:val="22"/>
          <w:lang w:val="es-ES_tradnl"/>
        </w:rPr>
      </w:pPr>
      <w:r w:rsidRPr="005A4E9E">
        <w:rPr>
          <w:rFonts w:ascii="Arial" w:eastAsia="Calibri" w:hAnsi="Arial" w:cs="Arial"/>
          <w:sz w:val="21"/>
          <w:szCs w:val="21"/>
          <w:lang w:val="es-ES_tradnl"/>
        </w:rPr>
        <w:t>PARÁGRAFO 5o. &lt;Parágrafo adicionado por el artículo 5 de la Ley 1882 de 2018. El nuevo texto es el siguiente:&gt; En los procesos de contratación, las entidades estatales deberán aceptar la experiencia adquirida por los proponentes a través de la ejecución de contratos con particulares.</w:t>
      </w:r>
      <w:r w:rsidRPr="005A4E9E">
        <w:rPr>
          <w:rFonts w:ascii="Arial" w:eastAsia="Calibri" w:hAnsi="Arial" w:cs="Arial"/>
          <w:sz w:val="22"/>
          <w:lang w:val="es-ES_tradnl"/>
        </w:rPr>
        <w:t xml:space="preserve"> </w:t>
      </w:r>
    </w:p>
    <w:p w14:paraId="745480A3" w14:textId="77777777" w:rsidR="00A90C55" w:rsidRPr="005A4E9E" w:rsidRDefault="00A90C55" w:rsidP="00A90C55">
      <w:pPr>
        <w:spacing w:line="276" w:lineRule="auto"/>
        <w:jc w:val="both"/>
        <w:rPr>
          <w:rFonts w:ascii="Arial" w:eastAsia="Calibri" w:hAnsi="Arial" w:cs="Arial"/>
          <w:sz w:val="22"/>
          <w:lang w:val="es-ES_tradnl"/>
        </w:rPr>
      </w:pPr>
    </w:p>
    <w:p w14:paraId="68D7E493" w14:textId="77777777" w:rsidR="00A90C55" w:rsidRPr="005A4E9E" w:rsidRDefault="00A90C55" w:rsidP="00A90C55">
      <w:pPr>
        <w:spacing w:line="276" w:lineRule="auto"/>
        <w:ind w:firstLine="709"/>
        <w:jc w:val="both"/>
        <w:rPr>
          <w:rFonts w:ascii="Arial" w:eastAsia="Calibri" w:hAnsi="Arial" w:cs="Arial"/>
          <w:sz w:val="22"/>
          <w:lang w:val="es-ES_tradnl"/>
        </w:rPr>
      </w:pPr>
      <w:r w:rsidRPr="005A4E9E">
        <w:rPr>
          <w:rFonts w:ascii="Arial" w:eastAsia="Calibri" w:hAnsi="Arial" w:cs="Arial"/>
          <w:sz w:val="22"/>
          <w:lang w:val="es-ES_tradnl"/>
        </w:rPr>
        <w:t xml:space="preserve">Así mismo, la Ley 80 de 1993 se refiere a la </w:t>
      </w:r>
      <w:r w:rsidRPr="005A4E9E">
        <w:rPr>
          <w:rFonts w:ascii="Arial" w:eastAsia="Calibri" w:hAnsi="Arial" w:cs="Arial"/>
          <w:i/>
          <w:iCs/>
          <w:sz w:val="22"/>
          <w:lang w:val="es-ES_tradnl"/>
        </w:rPr>
        <w:t>selección objetiva</w:t>
      </w:r>
      <w:r w:rsidRPr="005A4E9E">
        <w:rPr>
          <w:rFonts w:ascii="Arial" w:eastAsia="Calibri" w:hAnsi="Arial" w:cs="Arial"/>
          <w:sz w:val="22"/>
          <w:lang w:val="es-ES_tradnl"/>
        </w:rPr>
        <w:t xml:space="preserve"> en varios apartados, como: i) el primer inciso del artículo 21, que obliga a las entidades estatales a tener en cuenta la selección objetiva, al garantizar la participación de los oferentes de bienes y servicios de origen nacional, ii) el artículo 24, numeral 5º, literal a), que manda que en los pliegos de condiciones se indiquen «[…] los requisitos objetivos necesarios para participar en el correspondiente proceso de selección», iii) el artículo 24, numeral 5º, literal b), que establece que en los pliegos de condiciones se deben definir «[…] reglas objetivas, justas, claras y completas que permitan la confección de ofrecimientos de la misma índole, aseguren una escogencia objetiva y eviten la declaratoria de desierta de la licitación», iv) el artículo 24, numeral 8º, según el cual «Las autoridades no actuarán con desviación o abuso de poder y ejercerán sus competencias exclusivamente para los fines previstos en la ley. Igualmente, les será prohibido eludir los procedimientos de selección objetiva y los demás requisitos previstos en el presente estatuto», v) el segundo inciso del parágrafo 3º del artículo 24, que exige tener en cuenta la selección objetiva de la entidad veedora para el procedimiento de venta de bienes de las entidades estatales por el sistema de martillo; vi) el numeral 18 del artículo 25, el cual señala que «La declaratoria de desierta de la licitación únicamente procederá por motivos o causas que impidan la escogencia objetiva», vii) el numeral 2 del artículo 30, que dispone que «La entidad interesada elaborará los correspondientes pliegos de condiciones, […], en los cuales se detallarán especialmente los aspectos relativos al objeto del contrato, su regulación jurídica, los derechos y obligaciones de las partes, la determinación y ponderación de los factores objetivos de selección y todas las demás circunstancias de tiempo, modo y lugar que se consideren necesarias para garantizar reglas objetivas, claras y completas», viii) el inciso final del artículo 38, que obliga a las entidades estatales que tengan como objeto la prestación de servicios y actividades de telecomunicaciones a respetar el principio de selección objetiva, y ix) el segundo inciso del artículo 76, que ordena cumplir también con dicho principio a las entidades que tengan por objeto la exploración, explotación y comercialización de recursos naturales renovables y no renovables. </w:t>
      </w:r>
    </w:p>
    <w:p w14:paraId="3D68C2E1" w14:textId="77777777" w:rsidR="00A90C55" w:rsidRPr="005A4E9E" w:rsidRDefault="00A90C55" w:rsidP="00A90C55">
      <w:pPr>
        <w:spacing w:before="120" w:after="120" w:line="276" w:lineRule="auto"/>
        <w:ind w:firstLine="709"/>
        <w:jc w:val="both"/>
        <w:rPr>
          <w:rFonts w:ascii="Arial" w:eastAsia="Calibri" w:hAnsi="Arial" w:cs="Arial"/>
          <w:sz w:val="22"/>
          <w:lang w:val="es-ES_tradnl"/>
        </w:rPr>
      </w:pPr>
      <w:r w:rsidRPr="005A4E9E">
        <w:rPr>
          <w:rFonts w:ascii="Arial" w:eastAsia="Calibri" w:hAnsi="Arial" w:cs="Arial"/>
          <w:sz w:val="22"/>
          <w:lang w:val="es-ES_tradnl"/>
        </w:rPr>
        <w:t xml:space="preserve">Por su parte, a nivel reglamentario, el Decreto 1082 de 2015 también hace referencia a la selección objetiva como postulado esencial al interior de los procedimientos de selección. Así se infiere de enunciados como: i) el numeral 4º del artículo 2.2.1.1.2.1.3., que indica que dentro de la información del pliego de condiciones se deben definir «Las </w:t>
      </w:r>
      <w:r w:rsidRPr="005A4E9E">
        <w:rPr>
          <w:rFonts w:ascii="Arial" w:eastAsia="Calibri" w:hAnsi="Arial" w:cs="Arial"/>
          <w:sz w:val="22"/>
          <w:lang w:val="es-ES_tradnl"/>
        </w:rPr>
        <w:lastRenderedPageBreak/>
        <w:t>condiciones de costo y/o calidad que la Entidad Estatal debe tener en cuenta para la selección objetiva, de acuerdo con la modalidad de selección del contratista»; ii) el numeral 8º del artículo 2.2.1.2.1.3.13., que establece como obligación del jurado calificador en los concurso de méritos para la selección de consultores de diseño, planos, anteproyectos y proyectos arquitectónicos, «Manifestar a la Entidad Estatal promotora la declaratoria de desierto el concurso de arquitectura, en caso que se presente el impedimento de la escogencia objetiva de que trata el numeral 18 del artículo 25 de la Ley 80 de 1993»; o iii) el numeral 7º del artículo 2.2.1.2.6.1.3., que consagra, como obligación de la Agencia de Contratación Pública – Colombia Compra Eficiente, fijar en los documentos tipo «[…] alternativas para la ponderación de los elementos de calidad con el fin de que la entidad estatal contratante seleccione la opción adecuada para evaluar las condiciones técnicas de manera objetiva de acuerdo con el objeto de la contratación».</w:t>
      </w:r>
    </w:p>
    <w:p w14:paraId="770905A8" w14:textId="77777777" w:rsidR="00A90C55" w:rsidRPr="005A4E9E" w:rsidRDefault="00A90C55" w:rsidP="00A90C55">
      <w:pPr>
        <w:spacing w:before="120" w:after="120" w:line="276" w:lineRule="auto"/>
        <w:ind w:firstLine="709"/>
        <w:jc w:val="both"/>
        <w:rPr>
          <w:rFonts w:ascii="Arial" w:eastAsia="Calibri" w:hAnsi="Arial" w:cs="Arial"/>
          <w:sz w:val="22"/>
          <w:lang w:val="es-ES_tradnl"/>
        </w:rPr>
      </w:pPr>
      <w:r w:rsidRPr="005A4E9E">
        <w:rPr>
          <w:rFonts w:ascii="Arial" w:eastAsia="Calibri" w:hAnsi="Arial" w:cs="Arial"/>
          <w:sz w:val="22"/>
          <w:lang w:val="es-ES_tradnl"/>
        </w:rPr>
        <w:t>La jurisprudencia también ha reconocido la preponderancia de este deber en la etapa precontractual, indicando que su garantía es imprescindible para satisfacer adecuadamente las necesidades de la sociedad a través del contrato. A este respecto, la Sección Tercera del Consejo de Estado ha dicho que «la selección de contratistas, para cumplir con el requisito de objetividad, debe caracterizarse por: 1. Ausencia total de subjetividad; 2. Estar determinada por la comparación de distintos factores, establecidos con anterioridad por la Administración en el pliego de condiciones; 3. Estar determinada la forma como los factores de selección serán evaluados y el valor que corresponde a cada uno de ellos en el pliego de condiciones y 4. Estar determinada la adjudicación y celebración del negocio jurídico por un análisis, comparación y evaluación objetiva de las propuestas presentadas»</w:t>
      </w:r>
      <w:r w:rsidRPr="005A4E9E">
        <w:rPr>
          <w:rStyle w:val="Refdenotaalpie"/>
          <w:rFonts w:ascii="Arial" w:eastAsia="Calibri" w:hAnsi="Arial" w:cs="Arial"/>
          <w:sz w:val="22"/>
          <w:lang w:val="es-ES_tradnl"/>
        </w:rPr>
        <w:footnoteReference w:id="2"/>
      </w:r>
      <w:r w:rsidRPr="005A4E9E">
        <w:rPr>
          <w:rFonts w:ascii="Arial" w:eastAsia="Calibri" w:hAnsi="Arial" w:cs="Arial"/>
          <w:sz w:val="22"/>
          <w:lang w:val="es-ES_tradnl"/>
        </w:rPr>
        <w:t>. Igualmente, ha señalado que «el principio de escogencia o selección objetiva de los contratistas fundamenta uno de los principales deberes de todos los responsables de la contratación estatal en el derecho colombiano, cual es el de mantener intacta la institucionalidad por encima de los intereses personales, individuales o subjetivos cuando se trate de escoger al contratista, al margen del procedimiento utilizado, con miras a evitar el actuar arbitrario, abusivo o violatorio de norma superior (numeral 8, art. 24, ley 80) por parte de los servidores públicos»</w:t>
      </w:r>
      <w:r w:rsidRPr="005A4E9E">
        <w:rPr>
          <w:rStyle w:val="Refdenotaalpie"/>
          <w:rFonts w:ascii="Arial" w:eastAsia="Calibri" w:hAnsi="Arial" w:cs="Arial"/>
          <w:sz w:val="22"/>
          <w:lang w:val="es-ES_tradnl"/>
        </w:rPr>
        <w:footnoteReference w:id="3"/>
      </w:r>
      <w:r w:rsidRPr="005A4E9E">
        <w:rPr>
          <w:rFonts w:ascii="Arial" w:eastAsia="Calibri" w:hAnsi="Arial" w:cs="Arial"/>
          <w:sz w:val="22"/>
          <w:lang w:val="es-ES_tradnl"/>
        </w:rPr>
        <w:t>.</w:t>
      </w:r>
    </w:p>
    <w:p w14:paraId="30D83558" w14:textId="67F837A4" w:rsidR="00A90C55" w:rsidRDefault="00A90C55" w:rsidP="00E85CAC">
      <w:pPr>
        <w:spacing w:before="120" w:line="276" w:lineRule="auto"/>
        <w:ind w:firstLine="709"/>
        <w:jc w:val="both"/>
        <w:rPr>
          <w:rFonts w:ascii="Arial" w:eastAsia="Calibri" w:hAnsi="Arial" w:cs="Arial"/>
          <w:sz w:val="22"/>
          <w:lang w:val="es-ES_tradnl"/>
        </w:rPr>
      </w:pPr>
      <w:r w:rsidRPr="005A4E9E">
        <w:rPr>
          <w:rFonts w:ascii="Arial" w:eastAsia="Calibri" w:hAnsi="Arial" w:cs="Arial"/>
          <w:sz w:val="22"/>
          <w:lang w:val="es-ES_tradnl"/>
        </w:rPr>
        <w:t xml:space="preserve">Ahora bien, para garantizar el principio de selección objetiva, también es necesario que las entidades estatales se abstengan de rechazar las ofertas, por el incumplimiento de requisitos meramente formales, sacrificando la favorabilidad que podría representar la oferta que adolezca de estos defectos, si se permitiese su corrección. En otras palabras, es consustancial a la selección objetiva la obligación que tienen las entidades estatales de posibilitar la subsanación de los requisitos de participación, bajo las condiciones indicadas </w:t>
      </w:r>
      <w:r w:rsidRPr="005A4E9E">
        <w:rPr>
          <w:rFonts w:ascii="Arial" w:eastAsia="Calibri" w:hAnsi="Arial" w:cs="Arial"/>
          <w:sz w:val="22"/>
          <w:lang w:val="es-ES_tradnl"/>
        </w:rPr>
        <w:lastRenderedPageBreak/>
        <w:t>en la ley, antes de tomar la decisión de rechazar las propuestas que hayan omitido la observancia de los requisitos habilitantes; decisión que, por regla general –salvo en los casos específicos previstos en la ley, como el de la imposibilidad de subsanar la no entrega de la garantía de seriedad de la oferta o de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p>
    <w:p w14:paraId="387B8D95" w14:textId="77777777" w:rsidR="00413C50" w:rsidRPr="005A4E9E" w:rsidRDefault="00413C50" w:rsidP="00E85CAC">
      <w:pPr>
        <w:spacing w:line="276" w:lineRule="auto"/>
        <w:ind w:firstLine="709"/>
        <w:jc w:val="both"/>
        <w:rPr>
          <w:rFonts w:ascii="Arial" w:eastAsia="Calibri" w:hAnsi="Arial" w:cs="Arial"/>
          <w:sz w:val="22"/>
          <w:lang w:val="es-ES_tradnl"/>
        </w:rPr>
      </w:pPr>
    </w:p>
    <w:p w14:paraId="7183426A" w14:textId="0DB45656" w:rsidR="00A90C55" w:rsidRPr="005A4E9E" w:rsidRDefault="00A90C55" w:rsidP="004403EF">
      <w:pPr>
        <w:spacing w:line="276" w:lineRule="auto"/>
        <w:jc w:val="both"/>
        <w:rPr>
          <w:rFonts w:ascii="Arial" w:eastAsia="Calibri" w:hAnsi="Arial" w:cs="Arial"/>
          <w:b/>
          <w:bCs/>
          <w:sz w:val="22"/>
          <w:lang w:val="es-ES_tradnl"/>
        </w:rPr>
      </w:pPr>
      <w:r w:rsidRPr="005A4E9E">
        <w:rPr>
          <w:rFonts w:ascii="Arial" w:eastAsia="Calibri" w:hAnsi="Arial" w:cs="Arial"/>
          <w:b/>
          <w:bCs/>
          <w:sz w:val="22"/>
          <w:lang w:val="es-ES_tradnl"/>
        </w:rPr>
        <w:t xml:space="preserve">2.2. Alcance de la regla de la subsanabilidad de las ofertas </w:t>
      </w:r>
    </w:p>
    <w:p w14:paraId="5397C75B" w14:textId="77777777" w:rsidR="00A90C55" w:rsidRPr="005A4E9E" w:rsidRDefault="00A90C55" w:rsidP="00A90C55">
      <w:pPr>
        <w:spacing w:line="276" w:lineRule="auto"/>
        <w:jc w:val="both"/>
        <w:rPr>
          <w:rFonts w:ascii="Arial" w:eastAsia="Calibri" w:hAnsi="Arial" w:cs="Arial"/>
          <w:sz w:val="22"/>
          <w:lang w:val="es-ES_tradnl"/>
        </w:rPr>
      </w:pPr>
    </w:p>
    <w:p w14:paraId="637EB788" w14:textId="643DC859" w:rsidR="00B56B4F" w:rsidRPr="005A4E9E" w:rsidRDefault="00B56B4F" w:rsidP="008F6ABB">
      <w:pPr>
        <w:spacing w:after="120" w:line="276" w:lineRule="auto"/>
        <w:jc w:val="both"/>
        <w:rPr>
          <w:rFonts w:ascii="Arial" w:hAnsi="Arial" w:cs="Arial"/>
          <w:sz w:val="22"/>
          <w:lang w:val="es-ES_tradnl"/>
        </w:rPr>
      </w:pPr>
      <w:r w:rsidRPr="005A4E9E">
        <w:rPr>
          <w:rFonts w:ascii="Arial" w:hAnsi="Arial" w:cs="Arial"/>
          <w:sz w:val="22"/>
          <w:lang w:val="es-ES_tradnl"/>
        </w:rPr>
        <w:t xml:space="preserve">Esta Subdirección se ha pronunciado en diversas oportunidades acerca del alcance de la regla de la subsanabilidad, contenida actualmente en el artículo 5 de la Ley 1150 de 2007. Al respecto, la postura que se reitera en el presente concepto es la siguiente: por regla general, i) la falta de entrega o ii) los defectos, de los requisitos habilitantes, son subsanables. La excepción se encuentra en los casos, previstos en la ley, que limitan la subsanabilidad, es decir, en la prohibición de permitir la entrega de la garantía de seriedad de la oferta que no fue aportada con la propuesta y de valer la acreditación de circunstancias ocurridas con posterioridad al cierre del proceso. </w:t>
      </w:r>
    </w:p>
    <w:p w14:paraId="00C7C8CD" w14:textId="4E291942" w:rsidR="00A90C55" w:rsidRPr="005A4E9E" w:rsidRDefault="00B56B4F" w:rsidP="008F6ABB">
      <w:pPr>
        <w:spacing w:before="120" w:after="120" w:line="276" w:lineRule="auto"/>
        <w:ind w:firstLine="708"/>
        <w:jc w:val="both"/>
        <w:rPr>
          <w:rFonts w:ascii="Arial" w:hAnsi="Arial" w:cs="Arial"/>
          <w:sz w:val="22"/>
          <w:lang w:val="es-ES_tradnl"/>
        </w:rPr>
      </w:pPr>
      <w:r w:rsidRPr="005A4E9E">
        <w:rPr>
          <w:rFonts w:ascii="Arial" w:hAnsi="Arial" w:cs="Arial"/>
          <w:sz w:val="22"/>
          <w:lang w:val="es-ES_tradnl"/>
        </w:rPr>
        <w:t xml:space="preserve">En efecto, la Agencia Nacional de Contratación Pública – Colombia Compra Eficiente, </w:t>
      </w:r>
      <w:r w:rsidR="00962706" w:rsidRPr="005A4E9E">
        <w:rPr>
          <w:rFonts w:ascii="Arial" w:hAnsi="Arial" w:cs="Arial"/>
          <w:sz w:val="22"/>
          <w:lang w:val="es-ES_tradnl"/>
        </w:rPr>
        <w:t xml:space="preserve">en el concepto CU — 060 de 16 de enero de 2020, unificó </w:t>
      </w:r>
      <w:r w:rsidR="00A90C55" w:rsidRPr="005A4E9E">
        <w:rPr>
          <w:rFonts w:ascii="Arial" w:hAnsi="Arial" w:cs="Arial"/>
          <w:sz w:val="22"/>
          <w:lang w:val="es-ES_tradnl"/>
        </w:rPr>
        <w:t xml:space="preserve">el concepto de </w:t>
      </w:r>
      <w:r w:rsidR="00962706" w:rsidRPr="005A4E9E">
        <w:rPr>
          <w:rFonts w:ascii="Arial" w:hAnsi="Arial" w:cs="Arial"/>
          <w:sz w:val="22"/>
          <w:lang w:val="es-ES_tradnl"/>
        </w:rPr>
        <w:t xml:space="preserve">la Agencia Nacional de Contratación Pública – Colombia Compra Eficiente </w:t>
      </w:r>
      <w:r w:rsidR="00A90C55" w:rsidRPr="005A4E9E">
        <w:rPr>
          <w:rFonts w:ascii="Arial" w:hAnsi="Arial" w:cs="Arial"/>
          <w:sz w:val="22"/>
          <w:lang w:val="es-ES_tradnl"/>
        </w:rPr>
        <w:t>en torno al alcance de la regla de la subsanabilidad, contenida actualmente en el artículo 5 de la Ley 1150 de 2007</w:t>
      </w:r>
      <w:r w:rsidR="00962706" w:rsidRPr="005A4E9E">
        <w:rPr>
          <w:rFonts w:ascii="Arial" w:hAnsi="Arial" w:cs="Arial"/>
          <w:sz w:val="22"/>
          <w:lang w:val="es-ES_tradnl"/>
        </w:rPr>
        <w:t xml:space="preserve">. En dicho concepto se unificó la </w:t>
      </w:r>
      <w:r w:rsidR="00962706" w:rsidRPr="005A4E9E">
        <w:rPr>
          <w:rFonts w:ascii="Arial" w:eastAsia="Calibri" w:hAnsi="Arial" w:cs="Arial"/>
          <w:sz w:val="22"/>
          <w:lang w:val="es-ES_tradnl"/>
        </w:rPr>
        <w:t xml:space="preserve">tesis expuesta en los conceptos con radicado No. 4201913000006471 del 28 de octubre de 2019, 4201912000006711 del 12 de noviembre de 2019 y 4201912000006496 del 15 de noviembre de 2019, la cual fue reiterada en los conceptos </w:t>
      </w:r>
      <w:r w:rsidR="00962706" w:rsidRPr="005A4E9E">
        <w:rPr>
          <w:rFonts w:ascii="Arial" w:eastAsia="Calibri" w:hAnsi="Arial" w:cs="Arial"/>
          <w:sz w:val="22"/>
        </w:rPr>
        <w:t>C</w:t>
      </w:r>
      <w:r w:rsidR="0094613B">
        <w:rPr>
          <w:rFonts w:ascii="Arial" w:eastAsia="Calibri" w:hAnsi="Arial" w:cs="Arial"/>
          <w:sz w:val="22"/>
        </w:rPr>
        <w:t>-</w:t>
      </w:r>
      <w:r w:rsidR="00962706" w:rsidRPr="005A4E9E">
        <w:rPr>
          <w:rFonts w:ascii="Arial" w:eastAsia="Calibri" w:hAnsi="Arial" w:cs="Arial"/>
          <w:sz w:val="22"/>
        </w:rPr>
        <w:t>082 de 27 de enero de 2020 y C</w:t>
      </w:r>
      <w:r w:rsidR="0094613B">
        <w:rPr>
          <w:rFonts w:ascii="Arial" w:eastAsia="Calibri" w:hAnsi="Arial" w:cs="Arial"/>
          <w:sz w:val="22"/>
        </w:rPr>
        <w:t>-</w:t>
      </w:r>
      <w:r w:rsidR="00962706" w:rsidRPr="005A4E9E">
        <w:rPr>
          <w:rFonts w:ascii="Arial" w:eastAsia="Calibri" w:hAnsi="Arial" w:cs="Arial"/>
          <w:sz w:val="22"/>
        </w:rPr>
        <w:t>127 de 12 de febrero de 2020</w:t>
      </w:r>
      <w:r w:rsidR="0094613B">
        <w:rPr>
          <w:rFonts w:ascii="Arial" w:eastAsia="Calibri" w:hAnsi="Arial" w:cs="Arial"/>
          <w:sz w:val="22"/>
        </w:rPr>
        <w:t xml:space="preserve">, </w:t>
      </w:r>
      <w:r w:rsidR="0094613B" w:rsidRPr="0094613B">
        <w:rPr>
          <w:rFonts w:ascii="Arial" w:eastAsia="Calibri" w:hAnsi="Arial" w:cs="Arial"/>
          <w:sz w:val="22"/>
        </w:rPr>
        <w:t>C−044 de 24 de marzo de 2020, C–013 de 28 de abril de 2020, C−307 de 21 de mayo de 2020, C−372 de 30 de junio de 2020, C−410 de 26 de junio de 2020, C−481 de 27 julio de 2020, C−420 de 28 de julio de 2020, C-730 de 14 de diciembre de 2020, C–779 de 18 de enero de 2020, C-</w:t>
      </w:r>
      <w:r w:rsidR="0094613B">
        <w:rPr>
          <w:rFonts w:ascii="Arial" w:eastAsia="Calibri" w:hAnsi="Arial" w:cs="Arial"/>
          <w:sz w:val="22"/>
        </w:rPr>
        <w:t>0</w:t>
      </w:r>
      <w:r w:rsidR="0094613B" w:rsidRPr="0094613B">
        <w:rPr>
          <w:rFonts w:ascii="Arial" w:eastAsia="Calibri" w:hAnsi="Arial" w:cs="Arial"/>
          <w:sz w:val="22"/>
        </w:rPr>
        <w:t xml:space="preserve">77 de 14 de enero de 2021, C-010 de 16 de febrero de 2021 y C-250 del 2 de junio de 2021. </w:t>
      </w:r>
      <w:r w:rsidR="00A90C55" w:rsidRPr="005A4E9E">
        <w:rPr>
          <w:rFonts w:ascii="Arial" w:hAnsi="Arial" w:cs="Arial"/>
          <w:sz w:val="22"/>
          <w:lang w:val="es-ES_tradnl"/>
        </w:rPr>
        <w:t xml:space="preserve"> </w:t>
      </w:r>
      <w:r w:rsidR="00962706" w:rsidRPr="005A4E9E">
        <w:rPr>
          <w:rFonts w:ascii="Arial" w:hAnsi="Arial" w:cs="Arial"/>
          <w:sz w:val="22"/>
          <w:lang w:val="es-ES_tradnl"/>
        </w:rPr>
        <w:t xml:space="preserve">De la tesis desarrollada se </w:t>
      </w:r>
      <w:r w:rsidRPr="005A4E9E">
        <w:rPr>
          <w:rFonts w:ascii="Arial" w:hAnsi="Arial" w:cs="Arial"/>
          <w:sz w:val="22"/>
          <w:lang w:val="es-ES_tradnl"/>
        </w:rPr>
        <w:t>tomarán</w:t>
      </w:r>
      <w:r w:rsidR="00962706" w:rsidRPr="005A4E9E">
        <w:rPr>
          <w:rFonts w:ascii="Arial" w:hAnsi="Arial" w:cs="Arial"/>
          <w:sz w:val="22"/>
          <w:lang w:val="es-ES_tradnl"/>
        </w:rPr>
        <w:t xml:space="preserve"> algunas consideraciones para ilustrar el alcance de la regla de subsanabilidad en procesos de selección en los que se use el mecanismo de subasta</w:t>
      </w:r>
      <w:r w:rsidRPr="005A4E9E">
        <w:rPr>
          <w:rFonts w:ascii="Arial" w:hAnsi="Arial" w:cs="Arial"/>
          <w:sz w:val="22"/>
          <w:lang w:val="es-ES_tradnl"/>
        </w:rPr>
        <w:t>.</w:t>
      </w:r>
    </w:p>
    <w:p w14:paraId="406797D2" w14:textId="77777777" w:rsidR="00B56B4F" w:rsidRPr="005A4E9E" w:rsidRDefault="00B56B4F" w:rsidP="008F6ABB">
      <w:pPr>
        <w:spacing w:before="120" w:after="120" w:line="276" w:lineRule="auto"/>
        <w:ind w:firstLine="709"/>
        <w:jc w:val="both"/>
        <w:rPr>
          <w:rFonts w:ascii="Arial" w:hAnsi="Arial" w:cs="Arial"/>
          <w:sz w:val="22"/>
          <w:lang w:val="es-ES_tradnl"/>
        </w:rPr>
      </w:pPr>
      <w:r w:rsidRPr="005A4E9E">
        <w:rPr>
          <w:rFonts w:ascii="Arial" w:hAnsi="Arial" w:cs="Arial"/>
          <w:sz w:val="22"/>
          <w:lang w:val="es-ES_tradnl"/>
        </w:rPr>
        <w:t xml:space="preserve">La posibilidad de enmendar, corregir o subsanar los errores en los que se incurre en los documentos contentivos de la oferta es un tema que ha tenido diferentes momentos o etapas en el ordenamiento jurídico colombiano. </w:t>
      </w:r>
    </w:p>
    <w:p w14:paraId="61383645" w14:textId="77777777" w:rsidR="00B56B4F" w:rsidRPr="005A4E9E" w:rsidRDefault="00B56B4F" w:rsidP="008F6ABB">
      <w:pPr>
        <w:spacing w:before="120" w:after="120" w:line="276" w:lineRule="auto"/>
        <w:ind w:firstLine="709"/>
        <w:jc w:val="both"/>
        <w:rPr>
          <w:rFonts w:ascii="Arial" w:hAnsi="Arial" w:cs="Arial"/>
          <w:sz w:val="22"/>
          <w:lang w:val="es-ES_tradnl"/>
        </w:rPr>
      </w:pPr>
      <w:r w:rsidRPr="005A4E9E">
        <w:rPr>
          <w:rFonts w:ascii="Arial" w:hAnsi="Arial" w:cs="Arial"/>
          <w:sz w:val="22"/>
          <w:lang w:val="es-ES_tradnl"/>
        </w:rPr>
        <w:t xml:space="preserve">En un </w:t>
      </w:r>
      <w:r w:rsidRPr="005A4E9E">
        <w:rPr>
          <w:rFonts w:ascii="Arial" w:hAnsi="Arial" w:cs="Arial"/>
          <w:i/>
          <w:sz w:val="22"/>
          <w:lang w:val="es-ES_tradnl"/>
        </w:rPr>
        <w:t>primer momento</w:t>
      </w:r>
      <w:r w:rsidRPr="005A4E9E">
        <w:rPr>
          <w:rFonts w:ascii="Arial" w:hAnsi="Arial" w:cs="Arial"/>
          <w:sz w:val="22"/>
          <w:lang w:val="es-ES_tradnl"/>
        </w:rPr>
        <w:t xml:space="preserve">, antes de la entrada en vigencia de la Constitución Política de 1991, el régimen jurídico de la subsanabilidad de las ofertas estaba compuesto por el </w:t>
      </w:r>
      <w:r w:rsidRPr="005A4E9E">
        <w:rPr>
          <w:rFonts w:ascii="Arial" w:hAnsi="Arial" w:cs="Arial"/>
          <w:sz w:val="22"/>
          <w:lang w:val="es-ES_tradnl"/>
        </w:rPr>
        <w:lastRenderedPageBreak/>
        <w:t xml:space="preserve">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026ECF73" w14:textId="07BDB5AD" w:rsidR="00B56B4F" w:rsidRPr="005A4E9E" w:rsidRDefault="00B56B4F" w:rsidP="00E85CAC">
      <w:pPr>
        <w:spacing w:before="120" w:after="120" w:line="276" w:lineRule="auto"/>
        <w:ind w:firstLine="709"/>
        <w:jc w:val="both"/>
        <w:rPr>
          <w:rFonts w:ascii="Arial" w:hAnsi="Arial" w:cs="Arial"/>
          <w:sz w:val="22"/>
          <w:lang w:val="es-ES_tradnl"/>
        </w:rPr>
      </w:pPr>
      <w:r w:rsidRPr="005A4E9E">
        <w:rPr>
          <w:rFonts w:ascii="Arial" w:hAnsi="Arial" w:cs="Arial"/>
          <w:sz w:val="22"/>
          <w:lang w:val="es-ES_tradnl"/>
        </w:rPr>
        <w:t xml:space="preserve">En un </w:t>
      </w:r>
      <w:r w:rsidRPr="005A4E9E">
        <w:rPr>
          <w:rFonts w:ascii="Arial" w:hAnsi="Arial" w:cs="Arial"/>
          <w:i/>
          <w:sz w:val="22"/>
          <w:lang w:val="es-ES_tradnl"/>
        </w:rPr>
        <w:t>segundo momento</w:t>
      </w:r>
      <w:r w:rsidRPr="005A4E9E">
        <w:rPr>
          <w:rFonts w:ascii="Arial" w:hAnsi="Arial" w:cs="Arial"/>
          <w:sz w:val="22"/>
          <w:lang w:val="es-ES_tradnl"/>
        </w:rPr>
        <w:t xml:space="preserve"> se expidió la Ley 80 de 1993, bajo el nuevo paradigma que supuso la Constitución de 1991, particularmente en la forma como se relaciona lo formal y lo sustancial en las actuaciones judiciales y administrativas. Este cambio ideológico quedó consignado en el artículo 228, que introdujo un principio de supremacía o prevalencia del derecho sustancial sobre lo procedimental.</w:t>
      </w:r>
      <w:r w:rsidR="00413C50">
        <w:rPr>
          <w:rFonts w:ascii="Arial" w:hAnsi="Arial" w:cs="Arial"/>
          <w:sz w:val="22"/>
          <w:lang w:val="es-ES_tradnl"/>
        </w:rPr>
        <w:t xml:space="preserve"> </w:t>
      </w:r>
      <w:r w:rsidRPr="005A4E9E">
        <w:rPr>
          <w:rFonts w:ascii="Arial" w:hAnsi="Arial" w:cs="Arial"/>
          <w:sz w:val="22"/>
          <w:lang w:val="es-ES_tradnl"/>
        </w:rPr>
        <w:t xml:space="preserve">En este nuevo escenario constitucional, el numeral 15 del artículo 25 de la Ley 80 de 1993 dispuso lo siguiente: </w:t>
      </w:r>
    </w:p>
    <w:p w14:paraId="0EA010AA" w14:textId="77777777" w:rsidR="00B56B4F" w:rsidRPr="005A4E9E" w:rsidRDefault="00B56B4F" w:rsidP="00A5144E">
      <w:pPr>
        <w:spacing w:before="120" w:after="120"/>
        <w:ind w:left="709" w:right="709"/>
        <w:jc w:val="both"/>
        <w:rPr>
          <w:rFonts w:ascii="Arial" w:hAnsi="Arial" w:cs="Arial"/>
          <w:sz w:val="21"/>
          <w:szCs w:val="21"/>
          <w:lang w:val="es-ES_tradnl"/>
        </w:rPr>
      </w:pPr>
      <w:r w:rsidRPr="005A4E9E">
        <w:rPr>
          <w:rFonts w:ascii="Arial" w:hAnsi="Arial" w:cs="Arial"/>
          <w:sz w:val="21"/>
          <w:szCs w:val="21"/>
          <w:lang w:val="es-ES_tradnl"/>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38754B9C" w14:textId="77777777" w:rsidR="00B56B4F" w:rsidRPr="005A4E9E" w:rsidRDefault="00B56B4F" w:rsidP="00A5144E">
      <w:pPr>
        <w:spacing w:before="120"/>
        <w:ind w:left="709" w:right="709"/>
        <w:jc w:val="both"/>
        <w:rPr>
          <w:rFonts w:ascii="Arial" w:hAnsi="Arial" w:cs="Arial"/>
          <w:sz w:val="21"/>
          <w:szCs w:val="21"/>
          <w:lang w:val="es-ES_tradnl"/>
        </w:rPr>
      </w:pPr>
      <w:r w:rsidRPr="005A4E9E">
        <w:rPr>
          <w:rFonts w:ascii="Arial" w:hAnsi="Arial" w:cs="Arial"/>
          <w:sz w:val="21"/>
          <w:szCs w:val="21"/>
          <w:lang w:val="es-ES_tradnl"/>
        </w:rPr>
        <w:t xml:space="preserve">La ausencia de requisitos o la falta de documentos referentes a la futura contratación o al proponente, no necesarios para la comparación de propuestas, no servirá de título suficiente para el rechazo de los ofrecimientos hechos. </w:t>
      </w:r>
    </w:p>
    <w:p w14:paraId="09836AB6" w14:textId="77777777" w:rsidR="008F6ABB" w:rsidRPr="005A4E9E" w:rsidRDefault="008F6ABB" w:rsidP="008F6ABB">
      <w:pPr>
        <w:spacing w:line="276" w:lineRule="auto"/>
        <w:ind w:firstLine="709"/>
        <w:jc w:val="both"/>
        <w:rPr>
          <w:rFonts w:ascii="Arial" w:hAnsi="Arial" w:cs="Arial"/>
          <w:sz w:val="22"/>
          <w:lang w:val="es-ES_tradnl"/>
        </w:rPr>
      </w:pPr>
    </w:p>
    <w:p w14:paraId="38B5AFC3" w14:textId="3586A562" w:rsidR="00B56B4F" w:rsidRPr="005A4E9E" w:rsidRDefault="00B56B4F" w:rsidP="008F6ABB">
      <w:pPr>
        <w:spacing w:after="120" w:line="276" w:lineRule="auto"/>
        <w:ind w:firstLine="709"/>
        <w:jc w:val="both"/>
        <w:rPr>
          <w:rFonts w:ascii="Arial" w:hAnsi="Arial" w:cs="Arial"/>
          <w:sz w:val="22"/>
          <w:lang w:val="es-ES_tradnl"/>
        </w:rPr>
      </w:pPr>
      <w:r w:rsidRPr="005A4E9E">
        <w:rPr>
          <w:rFonts w:ascii="Arial" w:hAnsi="Arial" w:cs="Arial"/>
          <w:sz w:val="22"/>
          <w:lang w:val="es-ES_tradnl"/>
        </w:rPr>
        <w:t xml:space="preserve">Bajo el amparo de esta norma, el régimen jurídico de subsanabilidad de las ofertas sufre un cambio fundamental, pues ya no era posible rechazar las ofertas por falta de requisitos o documentos que no fueran «necesarios para la comparación de propuestas».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2D24AE13" w14:textId="77777777" w:rsidR="00B56B4F" w:rsidRPr="005A4E9E" w:rsidRDefault="00B56B4F" w:rsidP="008F6ABB">
      <w:pPr>
        <w:spacing w:before="120" w:after="120" w:line="276" w:lineRule="auto"/>
        <w:ind w:firstLine="709"/>
        <w:jc w:val="both"/>
        <w:rPr>
          <w:rFonts w:ascii="Arial" w:hAnsi="Arial" w:cs="Arial"/>
          <w:sz w:val="22"/>
          <w:lang w:val="es-ES_tradnl"/>
        </w:rPr>
      </w:pPr>
      <w:r w:rsidRPr="005A4E9E">
        <w:rPr>
          <w:rFonts w:ascii="Arial" w:hAnsi="Arial" w:cs="Arial"/>
          <w:sz w:val="22"/>
          <w:lang w:val="es-ES_tradnl"/>
        </w:rPr>
        <w:t>Esta norma debía leerse en conjunto con otras de la Ley 80 de 1993, particularmente con el artículo 30.7</w:t>
      </w:r>
      <w:r w:rsidRPr="005A4E9E">
        <w:rPr>
          <w:rStyle w:val="Refdenotaalpie"/>
          <w:rFonts w:ascii="Arial" w:hAnsi="Arial" w:cs="Arial"/>
          <w:sz w:val="22"/>
          <w:lang w:val="es-ES_tradnl"/>
        </w:rPr>
        <w:footnoteReference w:id="4"/>
      </w:r>
      <w:r w:rsidRPr="005A4E9E">
        <w:rPr>
          <w:rFonts w:ascii="Arial" w:hAnsi="Arial" w:cs="Arial"/>
          <w:sz w:val="22"/>
          <w:lang w:val="es-ES_tradnl"/>
        </w:rPr>
        <w:t>, que ordena a la entidad señalar un plazo razonable para evaluar las propuestas y para pedir a los proponentes, de ser necesario, que aclaren o expliquen aspectos que ofrezcan dudas y resulten indispensables para llevar a cabo la evaluación; y con el artículo 30.8</w:t>
      </w:r>
      <w:r w:rsidRPr="005A4E9E">
        <w:rPr>
          <w:rStyle w:val="Refdenotaalpie"/>
          <w:rFonts w:ascii="Arial" w:hAnsi="Arial" w:cs="Arial"/>
          <w:sz w:val="22"/>
          <w:lang w:val="es-ES_tradnl"/>
        </w:rPr>
        <w:footnoteReference w:id="5"/>
      </w:r>
      <w:r w:rsidRPr="005A4E9E">
        <w:rPr>
          <w:rFonts w:ascii="Arial" w:hAnsi="Arial" w:cs="Arial"/>
          <w:sz w:val="22"/>
          <w:lang w:val="es-ES_tradnl"/>
        </w:rPr>
        <w:t xml:space="preserve">, que consagró el término de 5 días hábiles para que los oferentes </w:t>
      </w:r>
      <w:r w:rsidRPr="005A4E9E">
        <w:rPr>
          <w:rFonts w:ascii="Arial" w:hAnsi="Arial" w:cs="Arial"/>
          <w:sz w:val="22"/>
          <w:lang w:val="es-ES_tradnl"/>
        </w:rPr>
        <w:lastRenderedPageBreak/>
        <w:t xml:space="preserve">presenten observaciones al informe de evaluación de las propuestas, sin que sea posible completar, adicionar, modificar o mejorar su oferta.  </w:t>
      </w:r>
    </w:p>
    <w:p w14:paraId="7336C765" w14:textId="77777777" w:rsidR="00B56B4F" w:rsidRPr="005A4E9E" w:rsidRDefault="00B56B4F" w:rsidP="008F6ABB">
      <w:pPr>
        <w:spacing w:before="120" w:after="120" w:line="276" w:lineRule="auto"/>
        <w:ind w:firstLine="709"/>
        <w:jc w:val="both"/>
        <w:rPr>
          <w:rFonts w:ascii="Arial" w:hAnsi="Arial" w:cs="Arial"/>
          <w:sz w:val="22"/>
          <w:lang w:val="es-ES_tradnl"/>
        </w:rPr>
      </w:pPr>
      <w:r w:rsidRPr="005A4E9E">
        <w:rPr>
          <w:rFonts w:ascii="Arial" w:hAnsi="Arial" w:cs="Arial"/>
          <w:sz w:val="22"/>
          <w:lang w:val="es-ES_tradnl"/>
        </w:rPr>
        <w:t xml:space="preserve">A partir de la lectura integrada de estas tres normas debía concluirse que con la Ley 80 de 1993 era posible subsanar las propuestas, y la omisión o el error en algún aspecto de la misma no podía llevar a su rechazo, sin antes verificar que lo omitido fuera un aspecto necesario para la comparación. </w:t>
      </w:r>
    </w:p>
    <w:p w14:paraId="178C6C40" w14:textId="77777777" w:rsidR="00B56B4F" w:rsidRPr="005A4E9E" w:rsidRDefault="00B56B4F" w:rsidP="008F6ABB">
      <w:pPr>
        <w:spacing w:line="276" w:lineRule="auto"/>
        <w:ind w:firstLine="709"/>
        <w:jc w:val="both"/>
        <w:rPr>
          <w:rFonts w:ascii="Arial" w:hAnsi="Arial" w:cs="Arial"/>
          <w:sz w:val="22"/>
          <w:lang w:val="es-ES_tradnl"/>
        </w:rPr>
      </w:pPr>
      <w:r w:rsidRPr="005A4E9E">
        <w:rPr>
          <w:rFonts w:ascii="Arial" w:hAnsi="Arial" w:cs="Arial"/>
          <w:sz w:val="22"/>
          <w:lang w:val="es-ES_tradnl"/>
        </w:rPr>
        <w:t xml:space="preserve">En un </w:t>
      </w:r>
      <w:r w:rsidRPr="005A4E9E">
        <w:rPr>
          <w:rFonts w:ascii="Arial" w:hAnsi="Arial" w:cs="Arial"/>
          <w:i/>
          <w:sz w:val="22"/>
          <w:lang w:val="es-ES_tradnl"/>
        </w:rPr>
        <w:t>tercer momento</w:t>
      </w:r>
      <w:r w:rsidRPr="005A4E9E">
        <w:rPr>
          <w:rFonts w:ascii="Arial" w:hAnsi="Arial" w:cs="Arial"/>
          <w:sz w:val="22"/>
          <w:lang w:val="es-ES_tradnl"/>
        </w:rPr>
        <w:t xml:space="preserve">, y siguiendo la línea trazada por la Ley 80 de 1993, el legislador expidió la Ley 1150 de 2007, que, en el parágrafo 1º del artículo 5, determinó lo siguiente: </w:t>
      </w:r>
    </w:p>
    <w:p w14:paraId="01217ECA" w14:textId="77777777" w:rsidR="00B56B4F" w:rsidRPr="005A4E9E" w:rsidRDefault="00B56B4F" w:rsidP="008F6ABB">
      <w:pPr>
        <w:spacing w:line="276" w:lineRule="auto"/>
        <w:jc w:val="both"/>
        <w:rPr>
          <w:rFonts w:ascii="Arial" w:hAnsi="Arial" w:cs="Arial"/>
          <w:sz w:val="22"/>
          <w:lang w:val="es-ES_tradnl"/>
        </w:rPr>
      </w:pPr>
    </w:p>
    <w:p w14:paraId="7D09ACF3" w14:textId="77777777" w:rsidR="00B56B4F" w:rsidRPr="005A4E9E" w:rsidRDefault="00B56B4F" w:rsidP="00A5144E">
      <w:pPr>
        <w:ind w:left="709" w:right="709"/>
        <w:jc w:val="both"/>
        <w:rPr>
          <w:rFonts w:ascii="Arial" w:hAnsi="Arial" w:cs="Arial"/>
          <w:sz w:val="21"/>
          <w:szCs w:val="21"/>
          <w:lang w:val="es-ES_tradnl"/>
        </w:rPr>
      </w:pPr>
      <w:r w:rsidRPr="005A4E9E">
        <w:rPr>
          <w:rFonts w:ascii="Arial" w:hAnsi="Arial" w:cs="Arial"/>
          <w:sz w:val="21"/>
          <w:szCs w:val="21"/>
          <w:lang w:val="es-ES_tradnl"/>
        </w:rPr>
        <w:t>Parágrafo 1°. La ausencia de requisitos o la falta de documentos referentes a la futura contratación o al proponente, no necesarios para la comparación de las propuestas no servirán de título suficiente para el rechazo de los ofrecimientos hechos. En consecuencia</w:t>
      </w:r>
      <w:r w:rsidRPr="005A4E9E">
        <w:rPr>
          <w:rFonts w:ascii="Arial" w:hAnsi="Arial" w:cs="Arial"/>
          <w:b/>
          <w:sz w:val="21"/>
          <w:szCs w:val="21"/>
          <w:lang w:val="es-ES_tradnl"/>
        </w:rPr>
        <w:t xml:space="preserve">, </w:t>
      </w:r>
      <w:r w:rsidRPr="005A4E9E">
        <w:rPr>
          <w:rFonts w:ascii="Arial" w:hAnsi="Arial" w:cs="Arial"/>
          <w:sz w:val="21"/>
          <w:szCs w:val="21"/>
          <w:lang w:val="es-ES_tradnl"/>
        </w:rPr>
        <w:t xml:space="preserve">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deberán ser solicitados hasta el momento previo a su realización. </w:t>
      </w:r>
    </w:p>
    <w:p w14:paraId="773CCE80" w14:textId="77777777" w:rsidR="00B56B4F" w:rsidRPr="005A4E9E" w:rsidRDefault="00B56B4F" w:rsidP="00A5144E">
      <w:pPr>
        <w:spacing w:line="276" w:lineRule="auto"/>
        <w:jc w:val="both"/>
        <w:rPr>
          <w:rFonts w:ascii="Arial" w:hAnsi="Arial" w:cs="Arial"/>
          <w:b/>
          <w:sz w:val="22"/>
          <w:lang w:val="es-ES_tradnl"/>
        </w:rPr>
      </w:pPr>
    </w:p>
    <w:p w14:paraId="72CB035A" w14:textId="77777777" w:rsidR="00B56B4F" w:rsidRPr="005A4E9E" w:rsidRDefault="00B56B4F" w:rsidP="00E85CAC">
      <w:pPr>
        <w:spacing w:after="120" w:line="276" w:lineRule="auto"/>
        <w:ind w:firstLine="709"/>
        <w:jc w:val="both"/>
        <w:rPr>
          <w:rFonts w:ascii="Arial" w:hAnsi="Arial" w:cs="Arial"/>
          <w:sz w:val="22"/>
          <w:lang w:val="es-ES_tradnl"/>
        </w:rPr>
      </w:pPr>
      <w:r w:rsidRPr="005A4E9E">
        <w:rPr>
          <w:rFonts w:ascii="Arial" w:hAnsi="Arial" w:cs="Arial"/>
          <w:sz w:val="22"/>
          <w:lang w:val="es-ES_tradnl"/>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w:t>
      </w:r>
    </w:p>
    <w:p w14:paraId="714C8176" w14:textId="77777777" w:rsidR="00B56B4F" w:rsidRPr="005A4E9E" w:rsidRDefault="00B56B4F" w:rsidP="008F6ABB">
      <w:pPr>
        <w:spacing w:before="120" w:after="120" w:line="276" w:lineRule="auto"/>
        <w:ind w:firstLine="709"/>
        <w:jc w:val="both"/>
        <w:rPr>
          <w:rFonts w:ascii="Arial" w:hAnsi="Arial" w:cs="Arial"/>
          <w:sz w:val="22"/>
          <w:lang w:val="es-ES_tradnl"/>
        </w:rPr>
      </w:pPr>
      <w:r w:rsidRPr="005A4E9E">
        <w:rPr>
          <w:rFonts w:ascii="Arial" w:hAnsi="Arial" w:cs="Arial"/>
          <w:sz w:val="22"/>
          <w:lang w:val="es-ES_tradnl"/>
        </w:rPr>
        <w:t xml:space="preserve">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w:t>
      </w:r>
    </w:p>
    <w:p w14:paraId="1F0F901E" w14:textId="13EF6B11" w:rsidR="00B56B4F" w:rsidRPr="005A4E9E" w:rsidRDefault="00413C50" w:rsidP="008F6ABB">
      <w:pPr>
        <w:spacing w:before="120" w:after="120" w:line="276" w:lineRule="auto"/>
        <w:ind w:firstLine="709"/>
        <w:jc w:val="both"/>
        <w:rPr>
          <w:rFonts w:ascii="Arial" w:hAnsi="Arial" w:cs="Arial"/>
          <w:sz w:val="22"/>
          <w:lang w:val="es-ES_tradnl"/>
        </w:rPr>
      </w:pPr>
      <w:r>
        <w:rPr>
          <w:rFonts w:ascii="Arial" w:hAnsi="Arial" w:cs="Arial"/>
          <w:sz w:val="22"/>
          <w:lang w:val="es-ES_tradnl"/>
        </w:rPr>
        <w:t>Si la Administración</w:t>
      </w:r>
      <w:r w:rsidR="00B56B4F" w:rsidRPr="005A4E9E">
        <w:rPr>
          <w:rFonts w:ascii="Arial" w:hAnsi="Arial" w:cs="Arial"/>
          <w:sz w:val="22"/>
          <w:lang w:val="es-ES_tradnl"/>
        </w:rPr>
        <w:t xml:space="preserve"> encuentra que lo omitido por el proponente es un aspecto que otorga puntaje, no es posible subsanarlo; pero, si lo omitido no otorga puntaje, la Administración debe requerir al proponente para que lo subsane.  </w:t>
      </w:r>
    </w:p>
    <w:p w14:paraId="3318994E" w14:textId="77777777" w:rsidR="00B56B4F" w:rsidRPr="005A4E9E" w:rsidRDefault="00B56B4F" w:rsidP="008F6ABB">
      <w:pPr>
        <w:spacing w:before="120" w:line="276" w:lineRule="auto"/>
        <w:ind w:firstLine="709"/>
        <w:jc w:val="both"/>
        <w:rPr>
          <w:rFonts w:ascii="Arial" w:hAnsi="Arial" w:cs="Arial"/>
          <w:sz w:val="22"/>
          <w:lang w:val="es-ES_tradnl"/>
        </w:rPr>
      </w:pPr>
      <w:r w:rsidRPr="005A4E9E">
        <w:rPr>
          <w:rFonts w:ascii="Arial" w:hAnsi="Arial" w:cs="Arial"/>
          <w:sz w:val="22"/>
          <w:lang w:val="es-ES_tradnl"/>
        </w:rPr>
        <w:t xml:space="preserve">El artículo 5 de la Ley 1150 de 2007, además de consagrar un criterio más claro, y, de paso, reducir la discrecionalidad de la Administración, fijó un ámbito temporal para la subsanación de las ofertas: «en cualquier momento, hasta la adjudicación».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51BE06F9" w14:textId="77777777" w:rsidR="00B56B4F" w:rsidRPr="005A4E9E" w:rsidRDefault="00B56B4F" w:rsidP="008F6ABB">
      <w:pPr>
        <w:spacing w:line="276" w:lineRule="auto"/>
        <w:jc w:val="both"/>
        <w:rPr>
          <w:rFonts w:ascii="Arial" w:hAnsi="Arial" w:cs="Arial"/>
          <w:sz w:val="22"/>
          <w:lang w:val="es-ES_tradnl"/>
        </w:rPr>
      </w:pPr>
    </w:p>
    <w:p w14:paraId="4F8E89B6" w14:textId="19BADC56" w:rsidR="008F6ABB" w:rsidRPr="0094613B" w:rsidRDefault="00B56B4F" w:rsidP="0094613B">
      <w:pPr>
        <w:ind w:left="709" w:right="709"/>
        <w:jc w:val="both"/>
        <w:rPr>
          <w:rFonts w:ascii="Arial" w:hAnsi="Arial" w:cs="Arial"/>
          <w:sz w:val="21"/>
          <w:szCs w:val="21"/>
          <w:lang w:val="es-ES_tradnl"/>
        </w:rPr>
      </w:pPr>
      <w:r w:rsidRPr="005A4E9E">
        <w:rPr>
          <w:rFonts w:ascii="Arial" w:hAnsi="Arial" w:cs="Arial"/>
          <w:sz w:val="21"/>
          <w:szCs w:val="21"/>
          <w:lang w:val="es-ES_tradnl"/>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sidRPr="005A4E9E">
        <w:rPr>
          <w:rStyle w:val="Refdenotaalpie"/>
          <w:rFonts w:ascii="Arial" w:hAnsi="Arial" w:cs="Arial"/>
          <w:sz w:val="21"/>
          <w:szCs w:val="21"/>
          <w:lang w:val="es-ES_tradnl"/>
        </w:rPr>
        <w:footnoteReference w:id="6"/>
      </w:r>
      <w:r w:rsidRPr="005A4E9E">
        <w:rPr>
          <w:rFonts w:ascii="Arial" w:hAnsi="Arial" w:cs="Arial"/>
          <w:sz w:val="21"/>
          <w:szCs w:val="21"/>
          <w:lang w:val="es-ES_tradnl"/>
        </w:rPr>
        <w:t>.</w:t>
      </w:r>
    </w:p>
    <w:p w14:paraId="66E31081" w14:textId="62EB2E03" w:rsidR="00C65C9D" w:rsidRPr="005A4E9E" w:rsidRDefault="00B56B4F" w:rsidP="008F6ABB">
      <w:pPr>
        <w:pStyle w:val="Textoindependiente"/>
        <w:tabs>
          <w:tab w:val="left" w:pos="284"/>
        </w:tabs>
        <w:spacing w:before="120" w:beforeAutospacing="0" w:after="120" w:afterAutospacing="0" w:line="276" w:lineRule="auto"/>
        <w:ind w:firstLine="709"/>
        <w:jc w:val="both"/>
        <w:rPr>
          <w:rFonts w:ascii="Arial" w:eastAsiaTheme="minorHAnsi" w:hAnsi="Arial" w:cs="Arial"/>
          <w:sz w:val="22"/>
          <w:szCs w:val="22"/>
          <w:lang w:val="es-ES_tradnl" w:eastAsia="en-US"/>
        </w:rPr>
      </w:pPr>
      <w:r w:rsidRPr="005A4E9E">
        <w:rPr>
          <w:rFonts w:ascii="Arial" w:eastAsiaTheme="minorHAnsi" w:hAnsi="Arial" w:cs="Arial"/>
          <w:sz w:val="22"/>
          <w:szCs w:val="22"/>
          <w:lang w:val="es-ES_tradnl" w:eastAsia="en-US"/>
        </w:rPr>
        <w:t xml:space="preserve">Esa interpretación fue compartida por la </w:t>
      </w:r>
      <w:r w:rsidRPr="005A4E9E">
        <w:rPr>
          <w:rFonts w:ascii="Arial" w:hAnsi="Arial" w:cs="Arial"/>
          <w:sz w:val="22"/>
          <w:szCs w:val="22"/>
          <w:lang w:val="es-ES_tradnl"/>
        </w:rPr>
        <w:t>Agencia Nacional de Contratación Pública – Colombia Compra Eficiente</w:t>
      </w:r>
      <w:r w:rsidRPr="005A4E9E">
        <w:rPr>
          <w:rFonts w:ascii="Arial" w:eastAsiaTheme="minorHAnsi" w:hAnsi="Arial" w:cs="Arial"/>
          <w:sz w:val="22"/>
          <w:szCs w:val="22"/>
          <w:lang w:val="es-ES_tradnl" w:eastAsia="en-US"/>
        </w:rPr>
        <w:t>, pues en la Circular Externa Única se precisó que si durante un proceso de contratación hay proponentes que no acreditaron en sus ofertas requisitos que no afectan la asignación de puntaje o la comparación de las mismas, la entidad estatal deberá indicarlo en el informe de evaluación y advertir que la correspondiente oferta no será evaluada hasta que se subsane.</w:t>
      </w:r>
    </w:p>
    <w:p w14:paraId="32473841" w14:textId="735103D3" w:rsidR="00B56B4F" w:rsidRPr="005A4E9E" w:rsidRDefault="00213338" w:rsidP="00A5144E">
      <w:pPr>
        <w:pStyle w:val="Textoindependiente"/>
        <w:tabs>
          <w:tab w:val="left" w:pos="284"/>
        </w:tabs>
        <w:spacing w:before="120" w:beforeAutospacing="0" w:after="0" w:afterAutospacing="0" w:line="276" w:lineRule="auto"/>
        <w:ind w:firstLine="709"/>
        <w:jc w:val="both"/>
        <w:rPr>
          <w:rFonts w:ascii="Arial" w:eastAsiaTheme="minorHAnsi" w:hAnsi="Arial" w:cs="Arial"/>
          <w:sz w:val="22"/>
          <w:szCs w:val="22"/>
          <w:lang w:val="es-ES_tradnl" w:eastAsia="en-US"/>
        </w:rPr>
      </w:pPr>
      <w:r>
        <w:rPr>
          <w:rFonts w:ascii="Arial" w:hAnsi="Arial" w:cs="Arial"/>
          <w:sz w:val="22"/>
          <w:szCs w:val="22"/>
          <w:lang w:val="es-ES_tradnl"/>
        </w:rPr>
        <w:t>Finalmente, e</w:t>
      </w:r>
      <w:r w:rsidR="00B56B4F" w:rsidRPr="005A4E9E">
        <w:rPr>
          <w:rFonts w:ascii="Arial" w:hAnsi="Arial" w:cs="Arial"/>
          <w:sz w:val="22"/>
          <w:szCs w:val="22"/>
          <w:lang w:val="es-ES_tradnl"/>
        </w:rPr>
        <w:t xml:space="preserve">n un </w:t>
      </w:r>
      <w:r w:rsidR="00B56B4F" w:rsidRPr="005A4E9E">
        <w:rPr>
          <w:rFonts w:ascii="Arial" w:hAnsi="Arial" w:cs="Arial"/>
          <w:i/>
          <w:sz w:val="22"/>
          <w:szCs w:val="22"/>
          <w:lang w:val="es-ES_tradnl"/>
        </w:rPr>
        <w:t>cuarto momento</w:t>
      </w:r>
      <w:r w:rsidR="00B56B4F" w:rsidRPr="005A4E9E">
        <w:rPr>
          <w:rFonts w:ascii="Arial" w:hAnsi="Arial" w:cs="Arial"/>
          <w:sz w:val="22"/>
          <w:szCs w:val="22"/>
          <w:lang w:val="es-ES_tradnl"/>
        </w:rPr>
        <w:t>, el legislador expidió la Ley 1882 de 2018, con la finalidad de introducir cambios y ajustes para fortalecer la contratación pública. El artículo 5 modificó el parágrafo 1º</w:t>
      </w:r>
      <w:r w:rsidR="008003EA" w:rsidRPr="005A4E9E">
        <w:rPr>
          <w:rFonts w:ascii="Arial" w:hAnsi="Arial" w:cs="Arial"/>
          <w:sz w:val="22"/>
          <w:szCs w:val="22"/>
          <w:lang w:val="es-ES_tradnl"/>
        </w:rPr>
        <w:t xml:space="preserve"> y adicionó algunos otros, entre ellos el 4°</w:t>
      </w:r>
      <w:r w:rsidR="00B56B4F" w:rsidRPr="005A4E9E">
        <w:rPr>
          <w:rFonts w:ascii="Arial" w:hAnsi="Arial" w:cs="Arial"/>
          <w:sz w:val="22"/>
          <w:szCs w:val="22"/>
          <w:lang w:val="es-ES_tradnl"/>
        </w:rPr>
        <w:t xml:space="preserve"> del artículo 5 de la Ley 1150 de 2007: </w:t>
      </w:r>
    </w:p>
    <w:p w14:paraId="225C2E30" w14:textId="2D295428" w:rsidR="00B56B4F" w:rsidRPr="005A4E9E" w:rsidRDefault="00B56B4F" w:rsidP="00A5144E">
      <w:pPr>
        <w:spacing w:before="120" w:after="120"/>
        <w:ind w:left="709" w:right="709"/>
        <w:jc w:val="both"/>
        <w:rPr>
          <w:rFonts w:ascii="Arial" w:hAnsi="Arial" w:cs="Arial"/>
          <w:sz w:val="21"/>
          <w:szCs w:val="21"/>
          <w:lang w:val="es-ES_tradnl"/>
        </w:rPr>
      </w:pPr>
      <w:r w:rsidRPr="005A4E9E">
        <w:rPr>
          <w:rFonts w:ascii="Arial" w:hAnsi="Arial" w:cs="Arial"/>
          <w:sz w:val="21"/>
          <w:szCs w:val="21"/>
          <w:lang w:val="es-ES_tradnl"/>
        </w:rPr>
        <w:t xml:space="preserve">Artículo 5°. De la selección objetiva. </w:t>
      </w:r>
    </w:p>
    <w:p w14:paraId="45649F42" w14:textId="49F82CD2" w:rsidR="00B56B4F" w:rsidRPr="005A4E9E" w:rsidRDefault="00A26BFD" w:rsidP="00A5144E">
      <w:pPr>
        <w:spacing w:before="120" w:after="120"/>
        <w:ind w:left="709" w:right="709"/>
        <w:jc w:val="both"/>
        <w:rPr>
          <w:rFonts w:ascii="Arial" w:hAnsi="Arial" w:cs="Arial"/>
          <w:sz w:val="21"/>
          <w:szCs w:val="21"/>
          <w:lang w:val="es-ES_tradnl"/>
        </w:rPr>
      </w:pPr>
      <w:r w:rsidRPr="005A4E9E">
        <w:rPr>
          <w:rFonts w:ascii="Arial" w:hAnsi="Arial" w:cs="Arial"/>
          <w:sz w:val="21"/>
          <w:szCs w:val="21"/>
          <w:lang w:val="es-ES_tradnl"/>
        </w:rPr>
        <w:t>[.</w:t>
      </w:r>
      <w:r w:rsidR="00B56B4F" w:rsidRPr="005A4E9E">
        <w:rPr>
          <w:rFonts w:ascii="Arial" w:hAnsi="Arial" w:cs="Arial"/>
          <w:sz w:val="21"/>
          <w:szCs w:val="21"/>
          <w:lang w:val="es-ES_tradnl"/>
        </w:rPr>
        <w:t xml:space="preserve">.. </w:t>
      </w:r>
      <w:r w:rsidRPr="005A4E9E">
        <w:rPr>
          <w:rFonts w:ascii="Arial" w:hAnsi="Arial" w:cs="Arial"/>
          <w:sz w:val="21"/>
          <w:szCs w:val="21"/>
          <w:lang w:val="es-ES_tradnl"/>
        </w:rPr>
        <w:t>]</w:t>
      </w:r>
    </w:p>
    <w:p w14:paraId="30533DEF" w14:textId="30A37D2D" w:rsidR="00B56B4F" w:rsidRPr="0094613B" w:rsidRDefault="00B56B4F" w:rsidP="0094613B">
      <w:pPr>
        <w:ind w:left="709" w:right="709"/>
        <w:jc w:val="both"/>
        <w:rPr>
          <w:rFonts w:ascii="Arial" w:hAnsi="Arial" w:cs="Arial"/>
          <w:sz w:val="21"/>
          <w:szCs w:val="21"/>
          <w:lang w:val="es-ES_tradnl"/>
        </w:rPr>
      </w:pPr>
      <w:r w:rsidRPr="005A4E9E">
        <w:rPr>
          <w:rFonts w:ascii="Arial" w:hAnsi="Arial" w:cs="Arial"/>
          <w:sz w:val="21"/>
          <w:szCs w:val="21"/>
          <w:lang w:val="es-ES_tradnl"/>
        </w:rPr>
        <w:t xml:space="preserve">Parágrafo 1º.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047BB925" w14:textId="060CB496" w:rsidR="00B56B4F" w:rsidRPr="005A4E9E" w:rsidRDefault="00B56B4F" w:rsidP="008F6ABB">
      <w:pPr>
        <w:spacing w:before="120" w:after="120" w:line="276" w:lineRule="auto"/>
        <w:ind w:firstLine="709"/>
        <w:jc w:val="both"/>
        <w:rPr>
          <w:rFonts w:ascii="Arial" w:hAnsi="Arial" w:cs="Arial"/>
          <w:sz w:val="22"/>
          <w:lang w:val="es-ES_tradnl"/>
        </w:rPr>
      </w:pPr>
      <w:r w:rsidRPr="005A4E9E">
        <w:rPr>
          <w:rFonts w:ascii="Arial" w:hAnsi="Arial" w:cs="Arial"/>
          <w:sz w:val="22"/>
          <w:lang w:val="es-ES_tradnl"/>
        </w:rPr>
        <w:t xml:space="preserve">Como puede observarse, esta norma: i) mantiene el criterio de la Ley 80 de 1993, relativo a que todo lo que no sea necesario para la comparación de propuestas no es título suficiente para su rechazo; ii) mantiene el criterio aclaratorio de la Ley 1150 de 2007, según </w:t>
      </w:r>
      <w:r w:rsidRPr="005A4E9E">
        <w:rPr>
          <w:rFonts w:ascii="Arial" w:hAnsi="Arial" w:cs="Arial"/>
          <w:sz w:val="22"/>
          <w:lang w:val="es-ES_tradnl"/>
        </w:rPr>
        <w:lastRenderedPageBreak/>
        <w:t xml:space="preserve">el cual todo lo que no afecte la asignación de puntaje puede subsanarse y, iii) introduce modificaciones en relación con </w:t>
      </w:r>
      <w:r w:rsidR="00213338">
        <w:rPr>
          <w:rFonts w:ascii="Arial" w:hAnsi="Arial" w:cs="Arial"/>
          <w:sz w:val="22"/>
          <w:lang w:val="es-ES_tradnl"/>
        </w:rPr>
        <w:t>algunos</w:t>
      </w:r>
      <w:r w:rsidR="00213338" w:rsidRPr="005A4E9E">
        <w:rPr>
          <w:rFonts w:ascii="Arial" w:hAnsi="Arial" w:cs="Arial"/>
          <w:sz w:val="22"/>
          <w:lang w:val="es-ES_tradnl"/>
        </w:rPr>
        <w:t xml:space="preserve"> </w:t>
      </w:r>
      <w:r w:rsidRPr="005A4E9E">
        <w:rPr>
          <w:rFonts w:ascii="Arial" w:hAnsi="Arial" w:cs="Arial"/>
          <w:sz w:val="22"/>
          <w:lang w:val="es-ES_tradnl"/>
        </w:rPr>
        <w:t xml:space="preserve">aspectos que se analizarán a continuación. </w:t>
      </w:r>
    </w:p>
    <w:p w14:paraId="197A6037" w14:textId="77777777" w:rsidR="00B56B4F" w:rsidRPr="005A4E9E" w:rsidRDefault="00B56B4F" w:rsidP="008F6ABB">
      <w:pPr>
        <w:spacing w:before="120" w:after="120" w:line="276" w:lineRule="auto"/>
        <w:ind w:firstLine="709"/>
        <w:jc w:val="both"/>
        <w:rPr>
          <w:rFonts w:ascii="Arial" w:hAnsi="Arial" w:cs="Arial"/>
          <w:sz w:val="22"/>
          <w:lang w:val="es-ES_tradnl"/>
        </w:rPr>
      </w:pPr>
      <w:r w:rsidRPr="00E85CAC">
        <w:rPr>
          <w:rFonts w:ascii="Arial" w:hAnsi="Arial" w:cs="Arial"/>
          <w:i/>
          <w:iCs/>
          <w:sz w:val="22"/>
          <w:lang w:val="es-ES_tradnl"/>
        </w:rPr>
        <w:t>El primero</w:t>
      </w:r>
      <w:r w:rsidRPr="005A4E9E">
        <w:rPr>
          <w:rFonts w:ascii="Arial" w:hAnsi="Arial" w:cs="Arial"/>
          <w:sz w:val="22"/>
          <w:lang w:val="es-ES_tradnl"/>
        </w:rPr>
        <w:t xml:space="preserve">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w:t>
      </w:r>
      <w:r w:rsidRPr="00E85CAC">
        <w:rPr>
          <w:rFonts w:ascii="Arial" w:hAnsi="Arial" w:cs="Arial"/>
          <w:sz w:val="22"/>
          <w:lang w:val="es-ES_tradnl"/>
        </w:rPr>
        <w:t xml:space="preserve">La excepción es que el anterior límite no aplica para los procesos de mínima cuantía y para el proceso </w:t>
      </w:r>
      <w:r w:rsidRPr="00E85CAC">
        <w:rPr>
          <w:rFonts w:ascii="Arial" w:eastAsia="Calibri" w:hAnsi="Arial" w:cs="Arial"/>
          <w:sz w:val="22"/>
          <w:lang w:val="es-ES_tradnl"/>
        </w:rPr>
        <w:t>de selección a través del sistema de subasta</w:t>
      </w:r>
      <w:r w:rsidRPr="00E85CAC">
        <w:rPr>
          <w:rStyle w:val="Refdenotaalpie"/>
          <w:rFonts w:ascii="Arial" w:eastAsia="Calibri" w:hAnsi="Arial" w:cs="Arial"/>
          <w:sz w:val="22"/>
          <w:lang w:val="es-ES_tradnl"/>
        </w:rPr>
        <w:footnoteReference w:id="7"/>
      </w:r>
      <w:r w:rsidRPr="00E85CAC">
        <w:rPr>
          <w:rFonts w:ascii="Arial" w:eastAsia="Calibri" w:hAnsi="Arial" w:cs="Arial"/>
          <w:sz w:val="22"/>
          <w:lang w:val="es-ES_tradnl"/>
        </w:rPr>
        <w:t>; en el último los documentos o requisitos subsanables pueden y deben solicitarse hasta el momento previo a su realización.</w:t>
      </w:r>
      <w:r w:rsidRPr="005A4E9E">
        <w:rPr>
          <w:rFonts w:ascii="Arial" w:eastAsia="Calibri" w:hAnsi="Arial" w:cs="Arial"/>
          <w:sz w:val="22"/>
          <w:lang w:val="es-ES_tradnl"/>
        </w:rPr>
        <w:t xml:space="preserve">  </w:t>
      </w:r>
    </w:p>
    <w:p w14:paraId="06C9D20F" w14:textId="77777777" w:rsidR="00B56B4F" w:rsidRPr="005A4E9E" w:rsidRDefault="00B56B4F" w:rsidP="008F6ABB">
      <w:pPr>
        <w:spacing w:before="120" w:after="120" w:line="276" w:lineRule="auto"/>
        <w:ind w:firstLine="709"/>
        <w:jc w:val="both"/>
        <w:rPr>
          <w:rFonts w:ascii="Arial" w:hAnsi="Arial" w:cs="Arial"/>
          <w:sz w:val="22"/>
          <w:lang w:val="es-ES_tradnl"/>
        </w:rPr>
      </w:pPr>
      <w:r w:rsidRPr="005A4E9E">
        <w:rPr>
          <w:rFonts w:ascii="Arial" w:eastAsia="Calibri" w:hAnsi="Arial" w:cs="Arial"/>
          <w:sz w:val="22"/>
          <w:lang w:val="es-ES_tradnl"/>
        </w:rPr>
        <w:t xml:space="preserve">Frente a la regla general, la norma fijó un límite final para que la Administración y los oferentes subsanen los requisitos o documentos que puedan y deban ser subsanados, pero nada impide, y la norma no lo hace, que la Administración requiera al proponente antes de publicar el informe de evaluación. </w:t>
      </w:r>
    </w:p>
    <w:p w14:paraId="078C4625" w14:textId="77777777" w:rsidR="00B56B4F" w:rsidRPr="005A4E9E" w:rsidRDefault="00B56B4F" w:rsidP="008F6ABB">
      <w:pPr>
        <w:spacing w:before="120" w:after="120" w:line="276" w:lineRule="auto"/>
        <w:ind w:firstLine="709"/>
        <w:jc w:val="both"/>
        <w:rPr>
          <w:rFonts w:ascii="Arial" w:hAnsi="Arial" w:cs="Arial"/>
          <w:sz w:val="22"/>
          <w:lang w:val="es-ES_tradnl"/>
        </w:rPr>
      </w:pPr>
      <w:r w:rsidRPr="005A4E9E">
        <w:rPr>
          <w:rFonts w:ascii="Arial" w:eastAsia="Calibri" w:hAnsi="Arial" w:cs="Arial"/>
          <w:sz w:val="22"/>
          <w:lang w:val="es-ES_tradnl"/>
        </w:rPr>
        <w:t>En efecto, la redacción de la norma permite que la Administración solicite a los oferentes subsanar y que estos lo hagan hasta antes del término del traslado del informe de evaluación: «</w:t>
      </w:r>
      <w:r w:rsidRPr="005A4E9E">
        <w:rPr>
          <w:rFonts w:ascii="Arial" w:hAnsi="Arial" w:cs="Arial"/>
          <w:sz w:val="22"/>
          <w:lang w:val="es-ES_tradnl"/>
        </w:rPr>
        <w:t xml:space="preserve">deberán ser solicitados por las entidades estatales y deberán ser entregados por los proponentes hasta el término de traslado del informe de evaluación que corresponda a cada modalidad de selección». </w:t>
      </w:r>
    </w:p>
    <w:p w14:paraId="2B6BB1DD" w14:textId="77777777" w:rsidR="00B56B4F" w:rsidRPr="005A4E9E" w:rsidRDefault="00B56B4F" w:rsidP="008F6ABB">
      <w:pPr>
        <w:spacing w:before="120" w:after="120" w:line="276" w:lineRule="auto"/>
        <w:ind w:firstLine="709"/>
        <w:jc w:val="both"/>
        <w:rPr>
          <w:rFonts w:ascii="Arial" w:hAnsi="Arial" w:cs="Arial"/>
          <w:sz w:val="22"/>
          <w:lang w:val="es-ES_tradnl"/>
        </w:rPr>
      </w:pPr>
      <w:r w:rsidRPr="005A4E9E">
        <w:rPr>
          <w:rFonts w:ascii="Arial" w:hAnsi="Arial" w:cs="Arial"/>
          <w:sz w:val="22"/>
          <w:lang w:val="es-ES_tradnl"/>
        </w:rPr>
        <w:t xml:space="preserve">No obstante, de la lectura de este aparte podrían, en la práctica, darse dos interpretaciones que dan lugar a dos formas de proceder en los procesos de selección, en lo que a la subsanabilidad de las ofertas se refiere. Primera, que la posibilidad para subsanar de los oferentes es el término del traslado del informe de evaluación, ya que es en este documento donde la Administración consigna los requisitos o documentos omitidos que los oferentes deben subsanar, so pena de rechazo; segunda, que el término del traslado del informe de evaluación es el </w:t>
      </w:r>
      <w:r w:rsidRPr="00E85CAC">
        <w:rPr>
          <w:rFonts w:ascii="Arial" w:hAnsi="Arial" w:cs="Arial"/>
          <w:i/>
          <w:iCs/>
          <w:sz w:val="22"/>
          <w:lang w:val="es-ES_tradnl"/>
        </w:rPr>
        <w:t>límite</w:t>
      </w:r>
      <w:r w:rsidRPr="005A4E9E">
        <w:rPr>
          <w:rFonts w:ascii="Arial" w:hAnsi="Arial" w:cs="Arial"/>
          <w:sz w:val="22"/>
          <w:lang w:val="es-ES_tradnl"/>
        </w:rPr>
        <w:t xml:space="preserve"> para la subsanación de ofertas, pero no el único momento para hacerlo. </w:t>
      </w:r>
    </w:p>
    <w:p w14:paraId="5D933C82" w14:textId="77777777" w:rsidR="00B56B4F" w:rsidRPr="005A4E9E" w:rsidRDefault="00B56B4F" w:rsidP="008F6ABB">
      <w:pPr>
        <w:spacing w:before="120" w:after="120" w:line="276" w:lineRule="auto"/>
        <w:ind w:firstLine="709"/>
        <w:jc w:val="both"/>
        <w:rPr>
          <w:rFonts w:ascii="Arial" w:hAnsi="Arial" w:cs="Arial"/>
          <w:sz w:val="22"/>
          <w:lang w:val="es-ES_tradnl"/>
        </w:rPr>
      </w:pPr>
      <w:r w:rsidRPr="005A4E9E">
        <w:rPr>
          <w:rFonts w:ascii="Arial" w:hAnsi="Arial" w:cs="Arial"/>
          <w:sz w:val="22"/>
          <w:lang w:val="es-ES_tradnl"/>
        </w:rPr>
        <w:t xml:space="preserve">De acuerdo con la primera interpretación, el informe de evaluación se convierte en la oportunidad que adopta la Administración para decirles a los oferentes qué documentos o requisitos omitieron y deben subsanar y, consecuentemente, el término del traslado es la oportunidad del proponente para cumplir con lo solicitado.  </w:t>
      </w:r>
    </w:p>
    <w:p w14:paraId="74851D2B" w14:textId="1ACFBC6D" w:rsidR="00B56B4F" w:rsidRPr="005A4E9E" w:rsidRDefault="00B56B4F" w:rsidP="008F6ABB">
      <w:pPr>
        <w:spacing w:before="120" w:after="120" w:line="276" w:lineRule="auto"/>
        <w:ind w:firstLine="709"/>
        <w:jc w:val="both"/>
        <w:rPr>
          <w:rFonts w:ascii="Arial" w:hAnsi="Arial" w:cs="Arial"/>
          <w:sz w:val="22"/>
          <w:lang w:val="es-ES_tradnl"/>
        </w:rPr>
      </w:pPr>
      <w:r w:rsidRPr="005A4E9E">
        <w:rPr>
          <w:rFonts w:ascii="Arial" w:hAnsi="Arial" w:cs="Arial"/>
          <w:sz w:val="22"/>
          <w:lang w:val="es-ES_tradnl"/>
        </w:rPr>
        <w:t xml:space="preserve">La segunda interpretación permitiría que la Administración requiera al oferente durante el proceso de evaluación de las propuestas, tan pronto advierta que hace falta un documento o requisito que se puede subsanar. En este caso, el proceso de subsanación </w:t>
      </w:r>
      <w:r w:rsidR="00213338">
        <w:rPr>
          <w:rFonts w:ascii="Arial" w:hAnsi="Arial" w:cs="Arial"/>
          <w:sz w:val="22"/>
          <w:lang w:val="es-ES_tradnl"/>
        </w:rPr>
        <w:lastRenderedPageBreak/>
        <w:t>se podría realizar</w:t>
      </w:r>
      <w:r w:rsidRPr="005A4E9E">
        <w:rPr>
          <w:rFonts w:ascii="Arial" w:hAnsi="Arial" w:cs="Arial"/>
          <w:sz w:val="22"/>
          <w:lang w:val="es-ES_tradnl"/>
        </w:rPr>
        <w:t xml:space="preserve"> con anterioridad a la publicación del informe de evaluación, de manera que, una vez se publique el informe ya se encuentren subsanadas las propuestas, sin perjuicio del término límite que concedió la ley.</w:t>
      </w:r>
    </w:p>
    <w:p w14:paraId="31BCE193" w14:textId="77777777" w:rsidR="00B56B4F" w:rsidRPr="005A4E9E" w:rsidRDefault="00B56B4F" w:rsidP="008F6ABB">
      <w:pPr>
        <w:spacing w:before="120" w:after="120" w:line="276" w:lineRule="auto"/>
        <w:ind w:firstLine="709"/>
        <w:jc w:val="both"/>
        <w:rPr>
          <w:rFonts w:ascii="Arial" w:hAnsi="Arial" w:cs="Arial"/>
          <w:sz w:val="22"/>
          <w:lang w:val="es-ES_tradnl"/>
        </w:rPr>
      </w:pPr>
      <w:r w:rsidRPr="005A4E9E">
        <w:rPr>
          <w:rFonts w:ascii="Arial" w:hAnsi="Arial" w:cs="Arial"/>
          <w:sz w:val="22"/>
          <w:lang w:val="es-ES_tradnl"/>
        </w:rPr>
        <w:t xml:space="preserve">En criterio de esta Subdirección, la segunda interpretación es la más ajustada a la norma, pero, además, es la más conveniente para el desarrollo del proceso de selección, porque garantiza que el informe de evaluación presente una comparación de propuestas más depurada y el término de traslado para observaciones al mismo sea una oportunidad en la que se planteen aspectos sustanciales o de fondo a la evaluación, teniendo en cuenta que ya las propuestas estarán consolidadas en lo formal. Subsanar antes del informe de evaluación ofrece mayor seguridad y certeza al proceso de selección, a la Administración y a los oferentes. </w:t>
      </w:r>
    </w:p>
    <w:p w14:paraId="36268E0F" w14:textId="327AB795" w:rsidR="00B56B4F" w:rsidRPr="005A4E9E" w:rsidRDefault="00B56B4F" w:rsidP="008F6ABB">
      <w:pPr>
        <w:spacing w:before="120" w:after="120" w:line="276" w:lineRule="auto"/>
        <w:ind w:firstLine="709"/>
        <w:jc w:val="both"/>
        <w:rPr>
          <w:rFonts w:ascii="Arial" w:hAnsi="Arial" w:cs="Arial"/>
          <w:sz w:val="22"/>
          <w:lang w:val="es-ES_tradnl"/>
        </w:rPr>
      </w:pPr>
      <w:r w:rsidRPr="005A4E9E">
        <w:rPr>
          <w:rFonts w:ascii="Arial" w:hAnsi="Arial" w:cs="Arial"/>
          <w:sz w:val="22"/>
          <w:lang w:val="es-ES_tradnl"/>
        </w:rPr>
        <w:t xml:space="preserve">Así pues, 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w:t>
      </w:r>
      <w:r w:rsidR="00213338">
        <w:rPr>
          <w:rFonts w:ascii="Arial" w:hAnsi="Arial" w:cs="Arial"/>
          <w:sz w:val="22"/>
          <w:lang w:val="es-ES_tradnl"/>
        </w:rPr>
        <w:t>Lo anterior, se aclara, sin desconocer el límite que establece la norma para que los oferentes, sin perjuicio de que lo hagan antes, cuenten hasta el término de traslado del informe de evaluación con la posibilidad de presentar la información solicitada.</w:t>
      </w:r>
    </w:p>
    <w:p w14:paraId="00249E22" w14:textId="2E7C6137" w:rsidR="00B56B4F" w:rsidRPr="005A4E9E" w:rsidRDefault="00B56B4F" w:rsidP="008F6ABB">
      <w:pPr>
        <w:spacing w:before="120" w:after="120" w:line="276" w:lineRule="auto"/>
        <w:ind w:firstLine="709"/>
        <w:jc w:val="both"/>
        <w:rPr>
          <w:rFonts w:ascii="Arial" w:hAnsi="Arial" w:cs="Arial"/>
          <w:sz w:val="22"/>
          <w:lang w:val="es-ES_tradnl"/>
        </w:rPr>
      </w:pPr>
      <w:r w:rsidRPr="005A4E9E">
        <w:rPr>
          <w:rFonts w:ascii="Arial" w:eastAsia="Calibri" w:hAnsi="Arial" w:cs="Arial"/>
          <w:sz w:val="22"/>
          <w:lang w:val="es-ES_tradnl"/>
        </w:rPr>
        <w:t xml:space="preserve">De otro lado, </w:t>
      </w:r>
      <w:r w:rsidRPr="00E85CAC">
        <w:rPr>
          <w:rFonts w:ascii="Arial" w:eastAsia="Calibri" w:hAnsi="Arial" w:cs="Arial"/>
          <w:i/>
          <w:iCs/>
          <w:sz w:val="22"/>
          <w:lang w:val="es-ES_tradnl"/>
        </w:rPr>
        <w:t>el segundo</w:t>
      </w:r>
      <w:r w:rsidRPr="005A4E9E">
        <w:rPr>
          <w:rFonts w:ascii="Arial" w:eastAsia="Calibri" w:hAnsi="Arial" w:cs="Arial"/>
          <w:sz w:val="22"/>
          <w:lang w:val="es-ES_tradnl"/>
        </w:rPr>
        <w:t xml:space="preserve"> cambio importante de la Ley 1882 de 2018 fue la introducción de un criterio material, directamente relacionado con los aspectos subsanables: «</w:t>
      </w:r>
      <w:r w:rsidRPr="005A4E9E">
        <w:rPr>
          <w:rFonts w:ascii="Arial" w:hAnsi="Arial" w:cs="Arial"/>
          <w:sz w:val="22"/>
          <w:lang w:val="es-ES_tradnl"/>
        </w:rPr>
        <w:t xml:space="preserve">los proponentes no podrán acreditar circunstancias ocurridas con posterioridad al cierre del proceso». Lo anterior ofrece dos aspectos que merecen clarificación; primero, qué debe entenderse por circunstancias ocurridas con posterioridad; y segundo, qué es </w:t>
      </w:r>
      <w:r w:rsidRPr="004403EF">
        <w:rPr>
          <w:rFonts w:ascii="Arial" w:hAnsi="Arial" w:cs="Arial"/>
          <w:sz w:val="22"/>
          <w:lang w:val="es-ES_tradnl"/>
        </w:rPr>
        <w:t xml:space="preserve">el </w:t>
      </w:r>
      <w:r w:rsidRPr="00C47541">
        <w:rPr>
          <w:rFonts w:ascii="Arial" w:hAnsi="Arial" w:cs="Arial"/>
          <w:sz w:val="22"/>
          <w:lang w:val="es-ES_tradnl"/>
        </w:rPr>
        <w:t>cierre del proceso.</w:t>
      </w:r>
      <w:r w:rsidRPr="005A4E9E">
        <w:rPr>
          <w:rFonts w:ascii="Arial" w:hAnsi="Arial" w:cs="Arial"/>
          <w:sz w:val="22"/>
          <w:lang w:val="es-ES_tradnl"/>
        </w:rPr>
        <w:t xml:space="preserve"> </w:t>
      </w:r>
    </w:p>
    <w:p w14:paraId="17D3392C" w14:textId="77777777" w:rsidR="00B56B4F" w:rsidRPr="005A4E9E" w:rsidRDefault="00B56B4F" w:rsidP="008F6ABB">
      <w:pPr>
        <w:spacing w:before="120" w:after="120" w:line="276" w:lineRule="auto"/>
        <w:ind w:firstLine="709"/>
        <w:jc w:val="both"/>
        <w:rPr>
          <w:rFonts w:ascii="Arial" w:hAnsi="Arial" w:cs="Arial"/>
          <w:sz w:val="22"/>
          <w:lang w:val="es-ES_tradnl"/>
        </w:rPr>
      </w:pPr>
      <w:r w:rsidRPr="005A4E9E">
        <w:rPr>
          <w:rFonts w:ascii="Arial" w:hAnsi="Arial" w:cs="Arial"/>
          <w:sz w:val="22"/>
          <w:lang w:val="es-ES_tradnl"/>
        </w:rPr>
        <w:t>La Sala de Consulta y Servicio Civil del Consejo de Estado ya había tenido la oportunidad de precisar estas expresiones, a propósito de un concepto en el que se refirió al artículo 10 del derogado Decreto 2474 de 2008</w:t>
      </w:r>
      <w:r w:rsidRPr="005A4E9E">
        <w:rPr>
          <w:rStyle w:val="Refdenotaalpie"/>
          <w:rFonts w:ascii="Arial" w:hAnsi="Arial" w:cs="Arial"/>
          <w:sz w:val="22"/>
          <w:lang w:val="es-ES_tradnl"/>
        </w:rPr>
        <w:footnoteReference w:id="8"/>
      </w:r>
      <w:r w:rsidRPr="005A4E9E">
        <w:rPr>
          <w:rFonts w:ascii="Arial" w:hAnsi="Arial" w:cs="Arial"/>
          <w:sz w:val="22"/>
          <w:lang w:val="es-ES_tradnl"/>
        </w:rPr>
        <w:t xml:space="preserve">, que había determinado que en ningún </w:t>
      </w:r>
      <w:r w:rsidRPr="005A4E9E">
        <w:rPr>
          <w:rFonts w:ascii="Arial" w:hAnsi="Arial" w:cs="Arial"/>
          <w:sz w:val="22"/>
          <w:lang w:val="es-ES_tradnl"/>
        </w:rPr>
        <w:lastRenderedPageBreak/>
        <w:t>caso la entidad podía permitir que se acreditaran circunstancias ocurridas con posterioridad al cierre del proceso. El Consejo de Estado precisó que por cierre del proceso debe entenderse el vencimiento del plazo para la presentación de las ofertas y que lo subsanable son las circunstancias que ocurrieron con anterioridad a esa fecha</w:t>
      </w:r>
      <w:r w:rsidRPr="005A4E9E">
        <w:rPr>
          <w:rStyle w:val="Refdenotaalpie"/>
          <w:rFonts w:ascii="Arial" w:hAnsi="Arial" w:cs="Arial"/>
          <w:sz w:val="22"/>
          <w:lang w:val="es-ES_tradnl"/>
        </w:rPr>
        <w:footnoteReference w:id="9"/>
      </w:r>
      <w:r w:rsidRPr="005A4E9E">
        <w:rPr>
          <w:rFonts w:ascii="Arial" w:hAnsi="Arial" w:cs="Arial"/>
          <w:sz w:val="22"/>
          <w:lang w:val="es-ES_tradnl"/>
        </w:rPr>
        <w:t>.</w:t>
      </w:r>
    </w:p>
    <w:p w14:paraId="1D451704" w14:textId="77777777" w:rsidR="00B56B4F" w:rsidRPr="005A4E9E" w:rsidRDefault="00B56B4F" w:rsidP="008F6ABB">
      <w:pPr>
        <w:spacing w:before="120" w:after="120" w:line="276" w:lineRule="auto"/>
        <w:ind w:firstLine="709"/>
        <w:jc w:val="both"/>
        <w:rPr>
          <w:rFonts w:ascii="Arial" w:eastAsia="Calibri" w:hAnsi="Arial" w:cs="Arial"/>
          <w:sz w:val="22"/>
          <w:lang w:val="es-ES_tradnl"/>
        </w:rPr>
      </w:pPr>
      <w:r w:rsidRPr="005A4E9E">
        <w:rPr>
          <w:rFonts w:ascii="Arial" w:eastAsia="Calibri" w:hAnsi="Arial" w:cs="Arial"/>
          <w:sz w:val="22"/>
          <w:lang w:val="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7E90C7FA" w14:textId="74AA369F" w:rsidR="00B56B4F" w:rsidRPr="005A4E9E" w:rsidRDefault="00B56B4F" w:rsidP="008F6ABB">
      <w:pPr>
        <w:spacing w:before="120" w:after="120" w:line="276" w:lineRule="auto"/>
        <w:ind w:firstLine="709"/>
        <w:jc w:val="both"/>
        <w:rPr>
          <w:rFonts w:ascii="Arial" w:eastAsia="Calibri" w:hAnsi="Arial" w:cs="Arial"/>
          <w:sz w:val="22"/>
          <w:lang w:val="es-ES_tradnl"/>
        </w:rPr>
      </w:pPr>
      <w:r w:rsidRPr="005A4E9E">
        <w:rPr>
          <w:rFonts w:ascii="Arial" w:eastAsia="Calibri" w:hAnsi="Arial" w:cs="Arial"/>
          <w:sz w:val="22"/>
          <w:lang w:val="es-ES_tradnl"/>
        </w:rPr>
        <w:t xml:space="preserve">Un mejor entendimiento del significado de la expresión «circunstancias ocurridas con posterioridad al cierre del proceso» lleva necesariamente a distinguir entre la prueba de un hecho y el hecho mismo. En el caso de la subsanabilidad de las ofertas, una cosa es el requisito habilitante o el elemento de la propuesta y otra su prueba. Lo que prohíbe la norma es que se subsanen requisitos que no estaban </w:t>
      </w:r>
      <w:r w:rsidR="00213338">
        <w:rPr>
          <w:rFonts w:ascii="Arial" w:eastAsia="Calibri" w:hAnsi="Arial" w:cs="Arial"/>
          <w:sz w:val="22"/>
          <w:lang w:val="es-ES_tradnl"/>
        </w:rPr>
        <w:t xml:space="preserve">materialmente </w:t>
      </w:r>
      <w:r w:rsidRPr="005A4E9E">
        <w:rPr>
          <w:rFonts w:ascii="Arial" w:eastAsia="Calibri" w:hAnsi="Arial" w:cs="Arial"/>
          <w:sz w:val="22"/>
          <w:lang w:val="es-ES_tradnl"/>
        </w:rPr>
        <w:t xml:space="preserve">cumplidos al momento </w:t>
      </w:r>
      <w:r w:rsidRPr="005A4E9E">
        <w:rPr>
          <w:rFonts w:ascii="Arial" w:eastAsia="Calibri" w:hAnsi="Arial" w:cs="Arial"/>
          <w:sz w:val="22"/>
          <w:lang w:val="es-ES_tradnl"/>
        </w:rPr>
        <w:lastRenderedPageBreak/>
        <w:t xml:space="preserve">de presentación de la oferta, o en palabras de la ley, que se acrediten hechos que ocurrieron después del cierre del proceso. </w:t>
      </w:r>
    </w:p>
    <w:p w14:paraId="1354B7D6" w14:textId="78697010" w:rsidR="00B56B4F" w:rsidRPr="005A4E9E" w:rsidRDefault="00B56B4F" w:rsidP="008F6ABB">
      <w:pPr>
        <w:spacing w:before="120" w:after="120" w:line="276" w:lineRule="auto"/>
        <w:ind w:firstLine="709"/>
        <w:jc w:val="both"/>
        <w:rPr>
          <w:rFonts w:ascii="Arial" w:eastAsia="Calibri" w:hAnsi="Arial" w:cs="Arial"/>
          <w:sz w:val="22"/>
          <w:lang w:val="es-ES_tradnl"/>
        </w:rPr>
      </w:pPr>
      <w:r w:rsidRPr="005A4E9E">
        <w:rPr>
          <w:rFonts w:ascii="Arial" w:eastAsia="Calibri" w:hAnsi="Arial" w:cs="Arial"/>
          <w:sz w:val="22"/>
          <w:lang w:val="es-ES_tradnl"/>
        </w:rPr>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ii) si un oferente presentó la propuesta sin allegar la autorización al representante legal, por parte de la junta directiva de la sociedad, el certificado, aunque sea posterior, debe dar cuenta de que el hecho que pretende acreditar </w:t>
      </w:r>
      <w:r w:rsidR="00213338">
        <w:rPr>
          <w:rFonts w:ascii="Arial" w:eastAsia="Calibri" w:hAnsi="Arial" w:cs="Arial"/>
          <w:sz w:val="22"/>
          <w:lang w:val="es-ES_tradnl"/>
        </w:rPr>
        <w:t>–</w:t>
      </w:r>
      <w:r w:rsidRPr="005A4E9E">
        <w:rPr>
          <w:rFonts w:ascii="Arial" w:eastAsia="Calibri" w:hAnsi="Arial" w:cs="Arial"/>
          <w:sz w:val="22"/>
          <w:lang w:val="es-ES_tradnl"/>
        </w:rPr>
        <w:t>la autorización de la junta</w:t>
      </w:r>
      <w:r w:rsidR="00213338">
        <w:rPr>
          <w:rFonts w:ascii="Arial" w:eastAsia="Calibri" w:hAnsi="Arial" w:cs="Arial"/>
          <w:sz w:val="22"/>
          <w:lang w:val="es-ES_tradnl"/>
        </w:rPr>
        <w:t>–</w:t>
      </w:r>
      <w:r w:rsidRPr="005A4E9E">
        <w:rPr>
          <w:rFonts w:ascii="Arial" w:eastAsia="Calibri" w:hAnsi="Arial" w:cs="Arial"/>
          <w:sz w:val="22"/>
          <w:lang w:val="es-ES_tradnl"/>
        </w:rPr>
        <w:t xml:space="preserve"> ocurrió antes del vencimiento del término para ofertar</w:t>
      </w:r>
      <w:r w:rsidRPr="005A4E9E">
        <w:rPr>
          <w:rStyle w:val="Refdenotaalpie"/>
          <w:rFonts w:ascii="Arial" w:eastAsia="Calibri" w:hAnsi="Arial" w:cs="Arial"/>
          <w:sz w:val="22"/>
          <w:lang w:val="es-ES_tradnl"/>
        </w:rPr>
        <w:footnoteReference w:id="10"/>
      </w:r>
      <w:r w:rsidRPr="005A4E9E">
        <w:rPr>
          <w:rFonts w:ascii="Arial" w:eastAsia="Calibri" w:hAnsi="Arial" w:cs="Arial"/>
          <w:sz w:val="22"/>
          <w:lang w:val="es-ES_tradnl"/>
        </w:rPr>
        <w:t>; iii) si un oferente no anexó el Certificado de existencia y representación legal, el documento aportado con posterioridad debe dar cuenta de que la sociedad exist</w:t>
      </w:r>
      <w:r w:rsidR="00213338">
        <w:rPr>
          <w:rFonts w:ascii="Arial" w:eastAsia="Calibri" w:hAnsi="Arial" w:cs="Arial"/>
          <w:sz w:val="22"/>
          <w:lang w:val="es-ES_tradnl"/>
        </w:rPr>
        <w:t>ía</w:t>
      </w:r>
      <w:r w:rsidRPr="005A4E9E">
        <w:rPr>
          <w:rFonts w:ascii="Arial" w:eastAsia="Calibri" w:hAnsi="Arial" w:cs="Arial"/>
          <w:sz w:val="22"/>
          <w:lang w:val="es-ES_tradnl"/>
        </w:rPr>
        <w:t xml:space="preserve"> antes del cierre del proceso</w:t>
      </w:r>
      <w:r w:rsidRPr="005A4E9E">
        <w:rPr>
          <w:rStyle w:val="Refdenotaalpie"/>
          <w:rFonts w:ascii="Arial" w:eastAsia="Calibri" w:hAnsi="Arial" w:cs="Arial"/>
          <w:sz w:val="22"/>
          <w:lang w:val="es-ES_tradnl"/>
        </w:rPr>
        <w:footnoteReference w:id="11"/>
      </w:r>
      <w:r w:rsidRPr="005A4E9E">
        <w:rPr>
          <w:rFonts w:ascii="Arial" w:eastAsia="Calibri" w:hAnsi="Arial" w:cs="Arial"/>
          <w:sz w:val="22"/>
          <w:lang w:val="es-ES_tradnl"/>
        </w:rPr>
        <w:t xml:space="preserve">; iv) si un oferente olvidó adjuntar un certificado que demuestra un título universitario, el documento, aunque tenga fecha posterior al cierre del proceso, debe acreditar que el título académico se obtuvo con anterioridad al cierre del proceso; v) si un oferente no allegó un certificado de experiencia, el documento que subsana </w:t>
      </w:r>
      <w:r w:rsidR="00213338">
        <w:rPr>
          <w:rFonts w:ascii="Arial" w:eastAsia="Calibri" w:hAnsi="Arial" w:cs="Arial"/>
          <w:sz w:val="22"/>
          <w:lang w:val="es-ES_tradnl"/>
        </w:rPr>
        <w:t>–</w:t>
      </w:r>
      <w:r w:rsidRPr="005A4E9E">
        <w:rPr>
          <w:rFonts w:ascii="Arial" w:eastAsia="Calibri" w:hAnsi="Arial" w:cs="Arial"/>
          <w:sz w:val="22"/>
          <w:lang w:val="es-ES_tradnl"/>
        </w:rPr>
        <w:t>sin importar que tenga fecha posterior</w:t>
      </w:r>
      <w:r w:rsidR="00213338">
        <w:rPr>
          <w:rFonts w:ascii="Arial" w:eastAsia="Calibri" w:hAnsi="Arial" w:cs="Arial"/>
          <w:sz w:val="22"/>
          <w:lang w:val="es-ES_tradnl"/>
        </w:rPr>
        <w:t>–</w:t>
      </w:r>
      <w:r w:rsidRPr="005A4E9E">
        <w:rPr>
          <w:rFonts w:ascii="Arial" w:eastAsia="Calibri" w:hAnsi="Arial" w:cs="Arial"/>
          <w:sz w:val="22"/>
          <w:lang w:val="es-ES_tradnl"/>
        </w:rPr>
        <w:t xml:space="preserve"> debe demostrar que la experiencia que se pretende hacer valer se obtuvo antes de vencerse el término para presentar ofertas y vi) si el oferente olvidó firmar la propuesta o presentar una copia de ella, puede subsanar sin que con ello se entienda que acreditó una circunstancia ocurrida con posterioridad al cierre del proceso. </w:t>
      </w:r>
    </w:p>
    <w:p w14:paraId="61B3F053" w14:textId="29F76DB2" w:rsidR="00B56B4F" w:rsidRPr="005A4E9E" w:rsidRDefault="00B56B4F" w:rsidP="008F6ABB">
      <w:pPr>
        <w:spacing w:before="120" w:after="120" w:line="276" w:lineRule="auto"/>
        <w:ind w:firstLine="709"/>
        <w:jc w:val="both"/>
        <w:rPr>
          <w:rFonts w:ascii="Arial" w:eastAsia="Calibri" w:hAnsi="Arial" w:cs="Arial"/>
          <w:sz w:val="22"/>
          <w:lang w:val="es-ES_tradnl"/>
        </w:rPr>
      </w:pPr>
      <w:r w:rsidRPr="005A4E9E">
        <w:rPr>
          <w:rFonts w:ascii="Arial" w:eastAsia="Calibri" w:hAnsi="Arial" w:cs="Arial"/>
          <w:sz w:val="22"/>
          <w:lang w:val="es-ES_tradnl"/>
        </w:rPr>
        <w:t xml:space="preserve">Lo anterior quiere decir que no es la prueba </w:t>
      </w:r>
      <w:r w:rsidR="00213338">
        <w:rPr>
          <w:rFonts w:ascii="Arial" w:eastAsia="Calibri" w:hAnsi="Arial" w:cs="Arial"/>
          <w:sz w:val="22"/>
          <w:lang w:val="es-ES_tradnl"/>
        </w:rPr>
        <w:t>–</w:t>
      </w:r>
      <w:r w:rsidRPr="005A4E9E">
        <w:rPr>
          <w:rFonts w:ascii="Arial" w:eastAsia="Calibri" w:hAnsi="Arial" w:cs="Arial"/>
          <w:sz w:val="22"/>
          <w:lang w:val="es-ES_tradnl"/>
        </w:rPr>
        <w:t>usualmente un documento</w:t>
      </w:r>
      <w:r w:rsidR="00213338">
        <w:rPr>
          <w:rFonts w:ascii="Arial" w:eastAsia="Calibri" w:hAnsi="Arial" w:cs="Arial"/>
          <w:sz w:val="22"/>
          <w:lang w:val="es-ES_tradnl"/>
        </w:rPr>
        <w:t>–</w:t>
      </w:r>
      <w:r w:rsidRPr="005A4E9E">
        <w:rPr>
          <w:rFonts w:ascii="Arial" w:eastAsia="Calibri" w:hAnsi="Arial" w:cs="Arial"/>
          <w:sz w:val="22"/>
          <w:lang w:val="es-ES_tradnl"/>
        </w:rPr>
        <w:t xml:space="preserve"> lo que debe ser anterior al cierre del proceso, sino el hecho que ella acredita, es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ello que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5A4E9E">
        <w:rPr>
          <w:rFonts w:ascii="Arial" w:eastAsia="Calibri" w:hAnsi="Arial" w:cs="Arial"/>
          <w:sz w:val="22"/>
          <w:vertAlign w:val="superscript"/>
          <w:lang w:val="es-ES_tradnl"/>
        </w:rPr>
        <w:footnoteReference w:id="12"/>
      </w:r>
      <w:r w:rsidRPr="005A4E9E">
        <w:rPr>
          <w:rFonts w:ascii="Arial" w:eastAsia="Calibri" w:hAnsi="Arial" w:cs="Arial"/>
          <w:sz w:val="22"/>
          <w:lang w:val="es-ES_tradnl"/>
        </w:rPr>
        <w:t xml:space="preserve">. </w:t>
      </w:r>
    </w:p>
    <w:p w14:paraId="77B148A6" w14:textId="1554F966" w:rsidR="00B56B4F" w:rsidRPr="005A4E9E" w:rsidRDefault="00B56B4F" w:rsidP="00A5144E">
      <w:pPr>
        <w:spacing w:before="120" w:line="276" w:lineRule="auto"/>
        <w:ind w:firstLine="709"/>
        <w:jc w:val="both"/>
        <w:rPr>
          <w:rFonts w:ascii="Arial" w:eastAsia="Calibri" w:hAnsi="Arial" w:cs="Arial"/>
          <w:sz w:val="22"/>
          <w:lang w:val="es-ES_tradnl"/>
        </w:rPr>
      </w:pPr>
      <w:r w:rsidRPr="005A4E9E">
        <w:rPr>
          <w:rFonts w:ascii="Arial" w:eastAsia="Calibri" w:hAnsi="Arial" w:cs="Arial"/>
          <w:sz w:val="22"/>
          <w:lang w:val="es-ES_tradnl"/>
        </w:rPr>
        <w:t>Visto lo anterior, una vez verificada la ausencia de requisitos y/o documentos de la oferta, para efectos de saber si se puede</w:t>
      </w:r>
      <w:r w:rsidR="00213338">
        <w:rPr>
          <w:rFonts w:ascii="Arial" w:eastAsia="Calibri" w:hAnsi="Arial" w:cs="Arial"/>
          <w:sz w:val="22"/>
          <w:lang w:val="es-ES_tradnl"/>
        </w:rPr>
        <w:t>n</w:t>
      </w:r>
      <w:r w:rsidRPr="005A4E9E">
        <w:rPr>
          <w:rFonts w:ascii="Arial" w:eastAsia="Calibri" w:hAnsi="Arial" w:cs="Arial"/>
          <w:sz w:val="22"/>
          <w:lang w:val="es-ES_tradnl"/>
        </w:rPr>
        <w:t xml:space="preserve"> subsanar, la Administración se debe preguntar, </w:t>
      </w:r>
      <w:r w:rsidRPr="005A4E9E">
        <w:rPr>
          <w:rFonts w:ascii="Arial" w:eastAsia="Calibri" w:hAnsi="Arial" w:cs="Arial"/>
          <w:sz w:val="22"/>
          <w:lang w:val="es-ES_tradnl"/>
        </w:rPr>
        <w:lastRenderedPageBreak/>
        <w:t xml:space="preserve">en primer lugar, si lo que hace falta es un </w:t>
      </w:r>
      <w:r w:rsidR="00213338">
        <w:rPr>
          <w:rFonts w:ascii="Arial" w:eastAsia="Calibri" w:hAnsi="Arial" w:cs="Arial"/>
          <w:sz w:val="22"/>
          <w:lang w:val="es-ES_tradnl"/>
        </w:rPr>
        <w:t xml:space="preserve">documento </w:t>
      </w:r>
      <w:r w:rsidRPr="005A4E9E">
        <w:rPr>
          <w:rFonts w:ascii="Arial" w:eastAsia="Calibri" w:hAnsi="Arial" w:cs="Arial"/>
          <w:sz w:val="22"/>
          <w:lang w:val="es-ES_tradnl"/>
        </w:rPr>
        <w:t xml:space="preserve">que </w:t>
      </w:r>
      <w:r w:rsidR="00B53E3E">
        <w:rPr>
          <w:rFonts w:ascii="Arial" w:eastAsia="Calibri" w:hAnsi="Arial" w:cs="Arial"/>
          <w:sz w:val="22"/>
          <w:lang w:val="es-ES_tradnl"/>
        </w:rPr>
        <w:t>afecte la asignación de puntaje</w:t>
      </w:r>
      <w:r w:rsidRPr="005A4E9E">
        <w:rPr>
          <w:rFonts w:ascii="Arial" w:eastAsia="Calibri" w:hAnsi="Arial" w:cs="Arial"/>
          <w:sz w:val="22"/>
          <w:lang w:val="es-ES_tradnl"/>
        </w:rPr>
        <w:t xml:space="preserv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w:t>
      </w:r>
      <w:r w:rsidR="00B53E3E">
        <w:rPr>
          <w:rFonts w:ascii="Arial" w:eastAsia="Calibri" w:hAnsi="Arial" w:cs="Arial"/>
          <w:sz w:val="22"/>
          <w:lang w:val="es-ES_tradnl"/>
        </w:rPr>
        <w:t>afecte la asignación de</w:t>
      </w:r>
      <w:r w:rsidR="00B53E3E" w:rsidRPr="005A4E9E">
        <w:rPr>
          <w:rFonts w:ascii="Arial" w:eastAsia="Calibri" w:hAnsi="Arial" w:cs="Arial"/>
          <w:sz w:val="22"/>
          <w:lang w:val="es-ES_tradnl"/>
        </w:rPr>
        <w:t xml:space="preserve"> </w:t>
      </w:r>
      <w:r w:rsidRPr="005A4E9E">
        <w:rPr>
          <w:rFonts w:ascii="Arial" w:eastAsia="Calibri" w:hAnsi="Arial" w:cs="Arial"/>
          <w:sz w:val="22"/>
          <w:lang w:val="es-ES_tradnl"/>
        </w:rPr>
        <w:t xml:space="preserve">puntaje y la respuesta al segundo interrogante debe dar cuenta de que lo omitido sea la prueba de una circunstancia o hecho que ocurrió con anterioridad al cierre del proceso. </w:t>
      </w:r>
    </w:p>
    <w:p w14:paraId="06D73153" w14:textId="77777777" w:rsidR="00057B34" w:rsidRPr="005A4E9E" w:rsidRDefault="00057B34" w:rsidP="00A5144E">
      <w:pPr>
        <w:spacing w:line="276" w:lineRule="auto"/>
        <w:ind w:firstLine="709"/>
        <w:jc w:val="both"/>
        <w:rPr>
          <w:rFonts w:ascii="Arial" w:eastAsia="Calibri" w:hAnsi="Arial" w:cs="Arial"/>
          <w:sz w:val="22"/>
          <w:lang w:val="es-ES_tradnl"/>
        </w:rPr>
      </w:pPr>
    </w:p>
    <w:p w14:paraId="5B837C44" w14:textId="60654760" w:rsidR="009F7B0A" w:rsidRPr="005A4E9E" w:rsidRDefault="009F7B0A" w:rsidP="00A5144E">
      <w:pPr>
        <w:spacing w:line="276" w:lineRule="auto"/>
        <w:jc w:val="both"/>
        <w:rPr>
          <w:rFonts w:ascii="Arial" w:eastAsia="Calibri" w:hAnsi="Arial" w:cs="Arial"/>
          <w:b/>
          <w:bCs/>
          <w:sz w:val="22"/>
          <w:lang w:val="es-ES_tradnl"/>
        </w:rPr>
      </w:pPr>
      <w:r w:rsidRPr="005A4E9E">
        <w:rPr>
          <w:rFonts w:ascii="Arial" w:eastAsia="Calibri" w:hAnsi="Arial" w:cs="Arial"/>
          <w:b/>
          <w:bCs/>
          <w:sz w:val="22"/>
          <w:lang w:val="es-ES_tradnl"/>
        </w:rPr>
        <w:t xml:space="preserve">2.3. </w:t>
      </w:r>
      <w:r w:rsidR="00C37652" w:rsidRPr="005A4E9E">
        <w:rPr>
          <w:rFonts w:ascii="Arial" w:eastAsia="Calibri" w:hAnsi="Arial" w:cs="Arial"/>
          <w:b/>
          <w:bCs/>
          <w:sz w:val="22"/>
          <w:lang w:val="es-ES_tradnl"/>
        </w:rPr>
        <w:t>La r</w:t>
      </w:r>
      <w:r w:rsidR="005B4DC8" w:rsidRPr="005A4E9E">
        <w:rPr>
          <w:rFonts w:ascii="Arial" w:eastAsia="Calibri" w:hAnsi="Arial" w:cs="Arial"/>
          <w:b/>
          <w:bCs/>
          <w:sz w:val="22"/>
          <w:lang w:val="es-ES_tradnl"/>
        </w:rPr>
        <w:t>egla de s</w:t>
      </w:r>
      <w:r w:rsidRPr="005A4E9E">
        <w:rPr>
          <w:rFonts w:ascii="Arial" w:eastAsia="Calibri" w:hAnsi="Arial" w:cs="Arial"/>
          <w:b/>
          <w:bCs/>
          <w:sz w:val="22"/>
          <w:lang w:val="es-ES_tradnl"/>
        </w:rPr>
        <w:t xml:space="preserve">ubsanabilidad en procedimientos </w:t>
      </w:r>
      <w:r w:rsidR="00C47541">
        <w:rPr>
          <w:rFonts w:ascii="Arial" w:eastAsia="Calibri" w:hAnsi="Arial" w:cs="Arial"/>
          <w:b/>
          <w:bCs/>
          <w:sz w:val="22"/>
          <w:lang w:val="es-ES_tradnl"/>
        </w:rPr>
        <w:t>en que se utilice el mecanismo de</w:t>
      </w:r>
      <w:r w:rsidR="00C47541" w:rsidRPr="005A4E9E">
        <w:rPr>
          <w:rFonts w:ascii="Arial" w:eastAsia="Calibri" w:hAnsi="Arial" w:cs="Arial"/>
          <w:b/>
          <w:bCs/>
          <w:sz w:val="22"/>
          <w:lang w:val="es-ES_tradnl"/>
        </w:rPr>
        <w:t xml:space="preserve"> </w:t>
      </w:r>
      <w:r w:rsidRPr="005A4E9E">
        <w:rPr>
          <w:rFonts w:ascii="Arial" w:eastAsia="Calibri" w:hAnsi="Arial" w:cs="Arial"/>
          <w:b/>
          <w:bCs/>
          <w:sz w:val="22"/>
          <w:lang w:val="es-ES_tradnl"/>
        </w:rPr>
        <w:t>subasta</w:t>
      </w:r>
    </w:p>
    <w:p w14:paraId="502A8A69" w14:textId="77777777" w:rsidR="00617F1D" w:rsidRPr="005A4E9E" w:rsidRDefault="00617F1D" w:rsidP="00A5144E">
      <w:pPr>
        <w:spacing w:line="276" w:lineRule="auto"/>
        <w:jc w:val="both"/>
        <w:rPr>
          <w:rFonts w:ascii="Arial" w:eastAsia="Calibri" w:hAnsi="Arial" w:cs="Arial"/>
          <w:sz w:val="22"/>
          <w:lang w:val="es-ES_tradnl"/>
        </w:rPr>
      </w:pPr>
    </w:p>
    <w:p w14:paraId="2AFA9A3C" w14:textId="6226930F" w:rsidR="009F7B0A" w:rsidRDefault="009F7B0A" w:rsidP="00A5144E">
      <w:pPr>
        <w:spacing w:after="120" w:line="276" w:lineRule="auto"/>
        <w:jc w:val="both"/>
        <w:rPr>
          <w:rFonts w:ascii="Arial" w:eastAsia="Calibri" w:hAnsi="Arial" w:cs="Arial"/>
          <w:sz w:val="22"/>
          <w:lang w:val="es-ES_tradnl"/>
        </w:rPr>
      </w:pPr>
      <w:r w:rsidRPr="005A4E9E">
        <w:rPr>
          <w:rFonts w:ascii="Arial" w:eastAsia="Calibri" w:hAnsi="Arial" w:cs="Arial"/>
          <w:sz w:val="22"/>
          <w:lang w:val="es-ES_tradnl"/>
        </w:rPr>
        <w:t>La subasta es un mecanismo para la adjudicación de contratos previsto en el artículo 2 de la Ley 1150 de 2007, aplicable a las modalidades de licitación pública, selección abreviada y enajenación de bienes del Estado</w:t>
      </w:r>
      <w:r w:rsidRPr="005A4E9E">
        <w:rPr>
          <w:rFonts w:ascii="Arial" w:eastAsia="Calibri" w:hAnsi="Arial" w:cs="Arial"/>
          <w:sz w:val="22"/>
          <w:vertAlign w:val="superscript"/>
          <w:lang w:val="es-ES_tradnl"/>
        </w:rPr>
        <w:footnoteReference w:id="13"/>
      </w:r>
      <w:r w:rsidR="00C47541">
        <w:rPr>
          <w:rFonts w:ascii="Arial" w:eastAsia="Calibri" w:hAnsi="Arial" w:cs="Arial"/>
          <w:sz w:val="22"/>
          <w:lang w:val="es-ES_tradnl"/>
        </w:rPr>
        <w:t>, aunque su utilización es más común en los procedimientos de selección abreviada mediante subasta inversa</w:t>
      </w:r>
      <w:r w:rsidRPr="005A4E9E">
        <w:rPr>
          <w:rFonts w:ascii="Arial" w:eastAsia="Calibri" w:hAnsi="Arial" w:cs="Arial"/>
          <w:sz w:val="22"/>
          <w:lang w:val="es-ES_tradnl"/>
        </w:rPr>
        <w:t xml:space="preserve">. </w:t>
      </w:r>
    </w:p>
    <w:p w14:paraId="1058CEC7" w14:textId="3FCB15F5" w:rsidR="00A26BFD" w:rsidRPr="005A4E9E" w:rsidRDefault="00A43FA8" w:rsidP="008F6ABB">
      <w:pPr>
        <w:spacing w:before="120" w:after="120" w:line="276" w:lineRule="auto"/>
        <w:ind w:firstLine="709"/>
        <w:jc w:val="both"/>
        <w:rPr>
          <w:rFonts w:ascii="Arial" w:eastAsia="Calibri" w:hAnsi="Arial" w:cs="Arial"/>
          <w:sz w:val="22"/>
          <w:lang w:val="es-ES_tradnl"/>
        </w:rPr>
      </w:pPr>
      <w:r w:rsidRPr="005A4E9E">
        <w:rPr>
          <w:rFonts w:ascii="Arial" w:eastAsia="Calibri" w:hAnsi="Arial" w:cs="Arial"/>
          <w:sz w:val="22"/>
        </w:rPr>
        <w:lastRenderedPageBreak/>
        <w:t>E</w:t>
      </w:r>
      <w:r w:rsidR="00A155F8" w:rsidRPr="005A4E9E">
        <w:rPr>
          <w:rFonts w:ascii="Arial" w:eastAsia="Calibri" w:hAnsi="Arial" w:cs="Arial"/>
          <w:sz w:val="22"/>
          <w:lang w:val="es-ES_tradnl"/>
        </w:rPr>
        <w:t>n lo que respecta a</w:t>
      </w:r>
      <w:r w:rsidR="00304EC8" w:rsidRPr="005A4E9E">
        <w:rPr>
          <w:rFonts w:ascii="Arial" w:eastAsia="Calibri" w:hAnsi="Arial" w:cs="Arial"/>
          <w:sz w:val="22"/>
          <w:lang w:val="es-ES_tradnl"/>
        </w:rPr>
        <w:t xml:space="preserve"> la subsanabilidad en procesos de selección en </w:t>
      </w:r>
      <w:r w:rsidR="00EB53C4" w:rsidRPr="005A4E9E">
        <w:rPr>
          <w:rFonts w:ascii="Arial" w:eastAsia="Calibri" w:hAnsi="Arial" w:cs="Arial"/>
          <w:sz w:val="22"/>
          <w:lang w:val="es-ES_tradnl"/>
        </w:rPr>
        <w:t xml:space="preserve">los </w:t>
      </w:r>
      <w:r w:rsidR="00304EC8" w:rsidRPr="005A4E9E">
        <w:rPr>
          <w:rFonts w:ascii="Arial" w:eastAsia="Calibri" w:hAnsi="Arial" w:cs="Arial"/>
          <w:sz w:val="22"/>
          <w:lang w:val="es-ES_tradnl"/>
        </w:rPr>
        <w:t>que se utilice el mecanismo de subasta previsto en el a</w:t>
      </w:r>
      <w:r w:rsidR="00A26BFD" w:rsidRPr="005A4E9E">
        <w:rPr>
          <w:rFonts w:ascii="Arial" w:eastAsia="Calibri" w:hAnsi="Arial" w:cs="Arial"/>
          <w:sz w:val="22"/>
          <w:lang w:val="es-ES_tradnl"/>
        </w:rPr>
        <w:t xml:space="preserve">rtículo 2 de la Ley 1150 de 2007, para las modalidades </w:t>
      </w:r>
      <w:r w:rsidR="00A155F8" w:rsidRPr="005A4E9E">
        <w:rPr>
          <w:rFonts w:ascii="Arial" w:eastAsia="Calibri" w:hAnsi="Arial" w:cs="Arial"/>
          <w:sz w:val="22"/>
          <w:lang w:val="es-ES_tradnl"/>
        </w:rPr>
        <w:t xml:space="preserve">de </w:t>
      </w:r>
      <w:r w:rsidR="00A26BFD" w:rsidRPr="005A4E9E">
        <w:rPr>
          <w:rFonts w:ascii="Arial" w:eastAsia="Calibri" w:hAnsi="Arial" w:cs="Arial"/>
          <w:sz w:val="22"/>
          <w:lang w:val="es-ES_tradnl"/>
        </w:rPr>
        <w:t xml:space="preserve">escogencia </w:t>
      </w:r>
      <w:r w:rsidR="00304EC8" w:rsidRPr="005A4E9E">
        <w:rPr>
          <w:rFonts w:ascii="Arial" w:eastAsia="Calibri" w:hAnsi="Arial" w:cs="Arial"/>
          <w:sz w:val="22"/>
          <w:lang w:val="es-ES_tradnl"/>
        </w:rPr>
        <w:t>de licitación pública</w:t>
      </w:r>
      <w:r w:rsidR="00A26BFD" w:rsidRPr="005A4E9E">
        <w:rPr>
          <w:rFonts w:ascii="Arial" w:eastAsia="Calibri" w:hAnsi="Arial" w:cs="Arial"/>
          <w:sz w:val="22"/>
          <w:lang w:val="es-ES_tradnl"/>
        </w:rPr>
        <w:t xml:space="preserve"> y selección abreviada para la adquisición o suministro de bienes y servicios de características técnicas uniformes y de común utilización, así como para enajenación de bienes del estado</w:t>
      </w:r>
      <w:r w:rsidR="00A155F8" w:rsidRPr="005A4E9E">
        <w:rPr>
          <w:rFonts w:ascii="Arial" w:eastAsia="Calibri" w:hAnsi="Arial" w:cs="Arial"/>
          <w:sz w:val="22"/>
          <w:lang w:val="es-ES_tradnl"/>
        </w:rPr>
        <w:t xml:space="preserve">, </w:t>
      </w:r>
      <w:r w:rsidR="00A26BFD" w:rsidRPr="005A4E9E">
        <w:rPr>
          <w:rFonts w:ascii="Arial" w:eastAsia="Calibri" w:hAnsi="Arial" w:cs="Arial"/>
          <w:sz w:val="22"/>
          <w:lang w:val="es-ES_tradnl"/>
        </w:rPr>
        <w:t xml:space="preserve">el parágrafo 1 del artículo 5 </w:t>
      </w:r>
      <w:r w:rsidR="00ED54D6" w:rsidRPr="005A4E9E">
        <w:rPr>
          <w:rFonts w:ascii="Arial" w:eastAsia="Calibri" w:hAnsi="Arial" w:cs="Arial"/>
          <w:i/>
          <w:iCs/>
          <w:sz w:val="22"/>
          <w:lang w:val="es-ES_tradnl"/>
        </w:rPr>
        <w:t>i</w:t>
      </w:r>
      <w:r w:rsidR="00A26BFD" w:rsidRPr="005A4E9E">
        <w:rPr>
          <w:rFonts w:ascii="Arial" w:eastAsia="Calibri" w:hAnsi="Arial" w:cs="Arial"/>
          <w:i/>
          <w:iCs/>
          <w:sz w:val="22"/>
          <w:lang w:val="es-ES_tradnl"/>
        </w:rPr>
        <w:t>b</w:t>
      </w:r>
      <w:r w:rsidR="00ED54D6" w:rsidRPr="005A4E9E">
        <w:rPr>
          <w:rFonts w:ascii="Arial" w:eastAsia="Calibri" w:hAnsi="Arial" w:cs="Arial"/>
          <w:i/>
          <w:iCs/>
          <w:sz w:val="22"/>
          <w:lang w:val="es-ES_tradnl"/>
        </w:rPr>
        <w:t>í</w:t>
      </w:r>
      <w:r w:rsidR="00A26BFD" w:rsidRPr="005A4E9E">
        <w:rPr>
          <w:rFonts w:ascii="Arial" w:eastAsia="Calibri" w:hAnsi="Arial" w:cs="Arial"/>
          <w:i/>
          <w:iCs/>
          <w:sz w:val="22"/>
          <w:lang w:val="es-ES_tradnl"/>
        </w:rPr>
        <w:t xml:space="preserve">dem </w:t>
      </w:r>
      <w:r w:rsidR="00A26BFD" w:rsidRPr="005A4E9E">
        <w:rPr>
          <w:rFonts w:ascii="Arial" w:eastAsia="Calibri" w:hAnsi="Arial" w:cs="Arial"/>
          <w:sz w:val="22"/>
          <w:lang w:val="es-ES_tradnl"/>
        </w:rPr>
        <w:t>consagra una excepción a</w:t>
      </w:r>
      <w:r w:rsidR="00EB53C4" w:rsidRPr="005A4E9E">
        <w:rPr>
          <w:rFonts w:ascii="Arial" w:eastAsia="Calibri" w:hAnsi="Arial" w:cs="Arial"/>
          <w:sz w:val="22"/>
          <w:lang w:val="es-ES_tradnl"/>
        </w:rPr>
        <w:t>l término general</w:t>
      </w:r>
      <w:r w:rsidR="00A26BFD" w:rsidRPr="005A4E9E">
        <w:rPr>
          <w:rFonts w:ascii="Arial" w:eastAsia="Calibri" w:hAnsi="Arial" w:cs="Arial"/>
          <w:sz w:val="22"/>
          <w:lang w:val="es-ES_tradnl"/>
        </w:rPr>
        <w:t xml:space="preserve"> de subsanabilidad antes explicad</w:t>
      </w:r>
      <w:r w:rsidR="00EB53C4" w:rsidRPr="005A4E9E">
        <w:rPr>
          <w:rFonts w:ascii="Arial" w:eastAsia="Calibri" w:hAnsi="Arial" w:cs="Arial"/>
          <w:sz w:val="22"/>
          <w:lang w:val="es-ES_tradnl"/>
        </w:rPr>
        <w:t>o</w:t>
      </w:r>
      <w:r w:rsidR="00A26BFD" w:rsidRPr="005A4E9E">
        <w:rPr>
          <w:rFonts w:ascii="Arial" w:eastAsia="Calibri" w:hAnsi="Arial" w:cs="Arial"/>
          <w:sz w:val="22"/>
          <w:lang w:val="es-ES_tradnl"/>
        </w:rPr>
        <w:t xml:space="preserve">, la cual es desarrollada por el parágrafo </w:t>
      </w:r>
      <w:r w:rsidR="00ED54D6" w:rsidRPr="005A4E9E">
        <w:rPr>
          <w:rFonts w:ascii="Arial" w:eastAsia="Calibri" w:hAnsi="Arial" w:cs="Arial"/>
          <w:sz w:val="22"/>
          <w:lang w:val="es-ES_tradnl"/>
        </w:rPr>
        <w:t>4</w:t>
      </w:r>
      <w:r w:rsidR="00A26BFD" w:rsidRPr="005A4E9E">
        <w:rPr>
          <w:rFonts w:ascii="Arial" w:eastAsia="Calibri" w:hAnsi="Arial" w:cs="Arial"/>
          <w:sz w:val="22"/>
          <w:lang w:val="es-ES_tradnl"/>
        </w:rPr>
        <w:t>° adicionado por la Ley 1882 de 2018, en los siguientes términos:</w:t>
      </w:r>
      <w:r w:rsidR="00ED54D6" w:rsidRPr="005A4E9E">
        <w:rPr>
          <w:rFonts w:ascii="Arial" w:eastAsia="Calibri" w:hAnsi="Arial" w:cs="Arial"/>
          <w:sz w:val="22"/>
          <w:lang w:val="es-ES_tradnl"/>
        </w:rPr>
        <w:t xml:space="preserve"> «</w:t>
      </w:r>
      <w:r w:rsidR="00A26BFD" w:rsidRPr="005A4E9E">
        <w:rPr>
          <w:rFonts w:ascii="Arial" w:eastAsia="Calibri" w:hAnsi="Arial" w:cs="Arial"/>
          <w:sz w:val="22"/>
          <w:lang w:val="es-ES_tradnl"/>
        </w:rPr>
        <w:t>Parágrafo 4o.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00ED54D6" w:rsidRPr="005A4E9E">
        <w:rPr>
          <w:rFonts w:ascii="Arial" w:eastAsia="Calibri" w:hAnsi="Arial" w:cs="Arial"/>
          <w:sz w:val="22"/>
          <w:lang w:val="es-ES_tradnl"/>
        </w:rPr>
        <w:t>».</w:t>
      </w:r>
    </w:p>
    <w:p w14:paraId="339FF747" w14:textId="65D54026" w:rsidR="0000562F" w:rsidRPr="005A4E9E" w:rsidRDefault="00ED54D6" w:rsidP="008F6ABB">
      <w:pPr>
        <w:spacing w:before="120" w:after="120" w:line="276" w:lineRule="auto"/>
        <w:ind w:firstLine="709"/>
        <w:jc w:val="both"/>
        <w:rPr>
          <w:rFonts w:ascii="Arial" w:eastAsia="Calibri" w:hAnsi="Arial" w:cs="Arial"/>
          <w:sz w:val="22"/>
          <w:lang w:val="es-ES_tradnl"/>
        </w:rPr>
      </w:pPr>
      <w:r w:rsidRPr="005A4E9E">
        <w:rPr>
          <w:rFonts w:ascii="Arial" w:eastAsia="Calibri" w:hAnsi="Arial" w:cs="Arial"/>
          <w:sz w:val="22"/>
          <w:lang w:val="es-ES_tradnl"/>
        </w:rPr>
        <w:t xml:space="preserve">El procedimiento </w:t>
      </w:r>
      <w:r w:rsidR="0000562F" w:rsidRPr="005A4E9E">
        <w:rPr>
          <w:rFonts w:ascii="Arial" w:eastAsia="Calibri" w:hAnsi="Arial" w:cs="Arial"/>
          <w:sz w:val="22"/>
          <w:lang w:val="es-ES_tradnl"/>
        </w:rPr>
        <w:t>aplicable al mecanismo de subasta inversa</w:t>
      </w:r>
      <w:r w:rsidR="00C47541">
        <w:rPr>
          <w:rFonts w:ascii="Arial" w:eastAsia="Calibri" w:hAnsi="Arial" w:cs="Arial"/>
          <w:sz w:val="22"/>
          <w:lang w:val="es-ES_tradnl"/>
        </w:rPr>
        <w:t xml:space="preserve">, en los procedimientos de selección abreviada </w:t>
      </w:r>
      <w:r w:rsidR="00C47541" w:rsidRPr="00C47541">
        <w:rPr>
          <w:rFonts w:ascii="Arial" w:eastAsia="Calibri" w:hAnsi="Arial" w:cs="Arial"/>
          <w:sz w:val="22"/>
          <w:lang w:val="es-ES_tradnl"/>
        </w:rPr>
        <w:t xml:space="preserve">para la adquisición de </w:t>
      </w:r>
      <w:r w:rsidR="00C47541">
        <w:rPr>
          <w:rFonts w:ascii="Arial" w:eastAsia="Calibri" w:hAnsi="Arial" w:cs="Arial"/>
          <w:sz w:val="22"/>
          <w:lang w:val="es-ES_tradnl"/>
        </w:rPr>
        <w:t>b</w:t>
      </w:r>
      <w:r w:rsidR="00C47541" w:rsidRPr="00C47541">
        <w:rPr>
          <w:rFonts w:ascii="Arial" w:eastAsia="Calibri" w:hAnsi="Arial" w:cs="Arial"/>
          <w:sz w:val="22"/>
          <w:lang w:val="es-ES_tradnl"/>
        </w:rPr>
        <w:t xml:space="preserve">ienes y </w:t>
      </w:r>
      <w:r w:rsidR="00C47541">
        <w:rPr>
          <w:rFonts w:ascii="Arial" w:eastAsia="Calibri" w:hAnsi="Arial" w:cs="Arial"/>
          <w:sz w:val="22"/>
          <w:lang w:val="es-ES_tradnl"/>
        </w:rPr>
        <w:t>s</w:t>
      </w:r>
      <w:r w:rsidR="00C47541" w:rsidRPr="00C47541">
        <w:rPr>
          <w:rFonts w:ascii="Arial" w:eastAsia="Calibri" w:hAnsi="Arial" w:cs="Arial"/>
          <w:sz w:val="22"/>
          <w:lang w:val="es-ES_tradnl"/>
        </w:rPr>
        <w:t xml:space="preserve">ervicios de </w:t>
      </w:r>
      <w:r w:rsidR="00C47541">
        <w:rPr>
          <w:rFonts w:ascii="Arial" w:eastAsia="Calibri" w:hAnsi="Arial" w:cs="Arial"/>
          <w:sz w:val="22"/>
          <w:lang w:val="es-ES_tradnl"/>
        </w:rPr>
        <w:t>c</w:t>
      </w:r>
      <w:r w:rsidR="00C47541" w:rsidRPr="00C47541">
        <w:rPr>
          <w:rFonts w:ascii="Arial" w:eastAsia="Calibri" w:hAnsi="Arial" w:cs="Arial"/>
          <w:sz w:val="22"/>
          <w:lang w:val="es-ES_tradnl"/>
        </w:rPr>
        <w:t xml:space="preserve">aracterísticas </w:t>
      </w:r>
      <w:r w:rsidR="00C47541">
        <w:rPr>
          <w:rFonts w:ascii="Arial" w:eastAsia="Calibri" w:hAnsi="Arial" w:cs="Arial"/>
          <w:sz w:val="22"/>
          <w:lang w:val="es-ES_tradnl"/>
        </w:rPr>
        <w:t>t</w:t>
      </w:r>
      <w:r w:rsidR="00C47541" w:rsidRPr="00C47541">
        <w:rPr>
          <w:rFonts w:ascii="Arial" w:eastAsia="Calibri" w:hAnsi="Arial" w:cs="Arial"/>
          <w:sz w:val="22"/>
          <w:lang w:val="es-ES_tradnl"/>
        </w:rPr>
        <w:t xml:space="preserve">écnicas </w:t>
      </w:r>
      <w:r w:rsidR="00C47541">
        <w:rPr>
          <w:rFonts w:ascii="Arial" w:eastAsia="Calibri" w:hAnsi="Arial" w:cs="Arial"/>
          <w:sz w:val="22"/>
          <w:lang w:val="es-ES_tradnl"/>
        </w:rPr>
        <w:t>u</w:t>
      </w:r>
      <w:r w:rsidR="00C47541" w:rsidRPr="00C47541">
        <w:rPr>
          <w:rFonts w:ascii="Arial" w:eastAsia="Calibri" w:hAnsi="Arial" w:cs="Arial"/>
          <w:sz w:val="22"/>
          <w:lang w:val="es-ES_tradnl"/>
        </w:rPr>
        <w:t>niformes</w:t>
      </w:r>
      <w:r w:rsidR="00C47541">
        <w:rPr>
          <w:rFonts w:ascii="Arial" w:eastAsia="Calibri" w:hAnsi="Arial" w:cs="Arial"/>
          <w:sz w:val="22"/>
          <w:lang w:val="es-ES_tradnl"/>
        </w:rPr>
        <w:t xml:space="preserve">, </w:t>
      </w:r>
      <w:r w:rsidR="0000562F" w:rsidRPr="005A4E9E">
        <w:rPr>
          <w:rFonts w:ascii="Arial" w:eastAsia="Calibri" w:hAnsi="Arial" w:cs="Arial"/>
          <w:sz w:val="22"/>
          <w:lang w:val="es-ES_tradnl"/>
        </w:rPr>
        <w:t xml:space="preserve">se encuentra regulado </w:t>
      </w:r>
      <w:r w:rsidR="00C47541">
        <w:rPr>
          <w:rFonts w:ascii="Arial" w:eastAsia="Calibri" w:hAnsi="Arial" w:cs="Arial"/>
          <w:sz w:val="22"/>
          <w:lang w:val="es-ES_tradnl"/>
        </w:rPr>
        <w:t>en</w:t>
      </w:r>
      <w:r w:rsidR="00C47541" w:rsidRPr="005A4E9E">
        <w:rPr>
          <w:rFonts w:ascii="Arial" w:eastAsia="Calibri" w:hAnsi="Arial" w:cs="Arial"/>
          <w:sz w:val="22"/>
          <w:lang w:val="es-ES_tradnl"/>
        </w:rPr>
        <w:t xml:space="preserve"> </w:t>
      </w:r>
      <w:r w:rsidR="0000562F" w:rsidRPr="005A4E9E">
        <w:rPr>
          <w:rFonts w:ascii="Arial" w:eastAsia="Calibri" w:hAnsi="Arial" w:cs="Arial"/>
          <w:sz w:val="22"/>
          <w:lang w:val="es-ES_tradnl"/>
        </w:rPr>
        <w:t>el artículo 2.2.1.2.1.2.2 del Decreto 1082 de 2015, el cual también es aplicable a procedimientos en los que se</w:t>
      </w:r>
      <w:r w:rsidR="0000562F" w:rsidRPr="005A4E9E">
        <w:rPr>
          <w:rFonts w:ascii="Arial" w:hAnsi="Arial" w:cs="Arial"/>
          <w:sz w:val="22"/>
        </w:rPr>
        <w:t xml:space="preserve"> enajenen bienes del Estado con el mecanismo de subasta pública</w:t>
      </w:r>
      <w:r w:rsidR="00D643A3" w:rsidRPr="005A4E9E">
        <w:rPr>
          <w:rFonts w:ascii="Arial" w:hAnsi="Arial" w:cs="Arial"/>
          <w:sz w:val="22"/>
        </w:rPr>
        <w:t>,</w:t>
      </w:r>
      <w:r w:rsidR="0000562F" w:rsidRPr="005A4E9E">
        <w:rPr>
          <w:rFonts w:ascii="Arial" w:hAnsi="Arial" w:cs="Arial"/>
          <w:sz w:val="22"/>
        </w:rPr>
        <w:t xml:space="preserve"> de conformidad con el artículo 2.2.1.2.2.2.2, con la particularidad de que </w:t>
      </w:r>
      <w:r w:rsidR="00C47541">
        <w:rPr>
          <w:rFonts w:ascii="Arial" w:hAnsi="Arial" w:cs="Arial"/>
          <w:sz w:val="22"/>
        </w:rPr>
        <w:t xml:space="preserve">en estos últimos procesos </w:t>
      </w:r>
      <w:r w:rsidR="0000562F" w:rsidRPr="005A4E9E">
        <w:rPr>
          <w:rFonts w:ascii="Arial" w:hAnsi="Arial" w:cs="Arial"/>
          <w:sz w:val="22"/>
        </w:rPr>
        <w:t xml:space="preserve">el respectivo bien deberá ser adjudicado al oferente que haya ofrecido el mayor valor a pagar por los bienes objeto de enajenación y el </w:t>
      </w:r>
      <w:r w:rsidR="00D643A3" w:rsidRPr="005A4E9E">
        <w:rPr>
          <w:rFonts w:ascii="Arial" w:hAnsi="Arial" w:cs="Arial"/>
          <w:sz w:val="22"/>
        </w:rPr>
        <w:t>m</w:t>
      </w:r>
      <w:r w:rsidR="0000562F" w:rsidRPr="005A4E9E">
        <w:rPr>
          <w:rFonts w:ascii="Arial" w:hAnsi="Arial" w:cs="Arial"/>
          <w:sz w:val="22"/>
        </w:rPr>
        <w:t xml:space="preserve">argen </w:t>
      </w:r>
      <w:r w:rsidR="00D643A3" w:rsidRPr="005A4E9E">
        <w:rPr>
          <w:rFonts w:ascii="Arial" w:hAnsi="Arial" w:cs="Arial"/>
          <w:sz w:val="22"/>
        </w:rPr>
        <w:t>m</w:t>
      </w:r>
      <w:r w:rsidR="0000562F" w:rsidRPr="005A4E9E">
        <w:rPr>
          <w:rFonts w:ascii="Arial" w:hAnsi="Arial" w:cs="Arial"/>
          <w:sz w:val="22"/>
        </w:rPr>
        <w:t>ínimo debe ser al alza, a diferencia de la subasta inversa.  </w:t>
      </w:r>
    </w:p>
    <w:p w14:paraId="03C7F28E" w14:textId="410ACBF2" w:rsidR="00ED54D6" w:rsidRPr="005A4E9E" w:rsidRDefault="0000562F" w:rsidP="008F6ABB">
      <w:pPr>
        <w:spacing w:before="120" w:after="120" w:line="276" w:lineRule="auto"/>
        <w:ind w:firstLine="709"/>
        <w:jc w:val="both"/>
        <w:rPr>
          <w:rFonts w:ascii="Arial" w:eastAsia="Calibri" w:hAnsi="Arial" w:cs="Arial"/>
          <w:sz w:val="22"/>
        </w:rPr>
      </w:pPr>
      <w:r w:rsidRPr="005A4E9E">
        <w:rPr>
          <w:rFonts w:ascii="Arial" w:eastAsia="Calibri" w:hAnsi="Arial" w:cs="Arial"/>
          <w:sz w:val="22"/>
          <w:lang w:val="es-ES_tradnl"/>
        </w:rPr>
        <w:t xml:space="preserve"> </w:t>
      </w:r>
      <w:r w:rsidR="00C47541">
        <w:rPr>
          <w:rFonts w:ascii="Arial" w:eastAsia="Calibri" w:hAnsi="Arial" w:cs="Arial"/>
          <w:sz w:val="22"/>
          <w:lang w:val="es-ES_tradnl"/>
        </w:rPr>
        <w:t xml:space="preserve">Tratándose de los procedimientos de selección abreviada </w:t>
      </w:r>
      <w:r w:rsidR="00C47541" w:rsidRPr="00C47541">
        <w:rPr>
          <w:rFonts w:ascii="Arial" w:eastAsia="Calibri" w:hAnsi="Arial" w:cs="Arial"/>
          <w:sz w:val="22"/>
          <w:lang w:val="es-ES_tradnl"/>
        </w:rPr>
        <w:t xml:space="preserve">para la adquisición de </w:t>
      </w:r>
      <w:r w:rsidR="00C47541">
        <w:rPr>
          <w:rFonts w:ascii="Arial" w:eastAsia="Calibri" w:hAnsi="Arial" w:cs="Arial"/>
          <w:sz w:val="22"/>
          <w:lang w:val="es-ES_tradnl"/>
        </w:rPr>
        <w:t>b</w:t>
      </w:r>
      <w:r w:rsidR="00C47541" w:rsidRPr="00C47541">
        <w:rPr>
          <w:rFonts w:ascii="Arial" w:eastAsia="Calibri" w:hAnsi="Arial" w:cs="Arial"/>
          <w:sz w:val="22"/>
          <w:lang w:val="es-ES_tradnl"/>
        </w:rPr>
        <w:t xml:space="preserve">ienes y </w:t>
      </w:r>
      <w:r w:rsidR="00C47541">
        <w:rPr>
          <w:rFonts w:ascii="Arial" w:eastAsia="Calibri" w:hAnsi="Arial" w:cs="Arial"/>
          <w:sz w:val="22"/>
          <w:lang w:val="es-ES_tradnl"/>
        </w:rPr>
        <w:t>s</w:t>
      </w:r>
      <w:r w:rsidR="00C47541" w:rsidRPr="00C47541">
        <w:rPr>
          <w:rFonts w:ascii="Arial" w:eastAsia="Calibri" w:hAnsi="Arial" w:cs="Arial"/>
          <w:sz w:val="22"/>
          <w:lang w:val="es-ES_tradnl"/>
        </w:rPr>
        <w:t xml:space="preserve">ervicios de </w:t>
      </w:r>
      <w:r w:rsidR="00C47541">
        <w:rPr>
          <w:rFonts w:ascii="Arial" w:eastAsia="Calibri" w:hAnsi="Arial" w:cs="Arial"/>
          <w:sz w:val="22"/>
          <w:lang w:val="es-ES_tradnl"/>
        </w:rPr>
        <w:t>c</w:t>
      </w:r>
      <w:r w:rsidR="00C47541" w:rsidRPr="00C47541">
        <w:rPr>
          <w:rFonts w:ascii="Arial" w:eastAsia="Calibri" w:hAnsi="Arial" w:cs="Arial"/>
          <w:sz w:val="22"/>
          <w:lang w:val="es-ES_tradnl"/>
        </w:rPr>
        <w:t xml:space="preserve">aracterísticas </w:t>
      </w:r>
      <w:r w:rsidR="00C47541">
        <w:rPr>
          <w:rFonts w:ascii="Arial" w:eastAsia="Calibri" w:hAnsi="Arial" w:cs="Arial"/>
          <w:sz w:val="22"/>
          <w:lang w:val="es-ES_tradnl"/>
        </w:rPr>
        <w:t>t</w:t>
      </w:r>
      <w:r w:rsidR="00C47541" w:rsidRPr="00C47541">
        <w:rPr>
          <w:rFonts w:ascii="Arial" w:eastAsia="Calibri" w:hAnsi="Arial" w:cs="Arial"/>
          <w:sz w:val="22"/>
          <w:lang w:val="es-ES_tradnl"/>
        </w:rPr>
        <w:t xml:space="preserve">écnicas </w:t>
      </w:r>
      <w:r w:rsidR="00C47541">
        <w:rPr>
          <w:rFonts w:ascii="Arial" w:eastAsia="Calibri" w:hAnsi="Arial" w:cs="Arial"/>
          <w:sz w:val="22"/>
          <w:lang w:val="es-ES_tradnl"/>
        </w:rPr>
        <w:t>u</w:t>
      </w:r>
      <w:r w:rsidR="00C47541" w:rsidRPr="00C47541">
        <w:rPr>
          <w:rFonts w:ascii="Arial" w:eastAsia="Calibri" w:hAnsi="Arial" w:cs="Arial"/>
          <w:sz w:val="22"/>
          <w:lang w:val="es-ES_tradnl"/>
        </w:rPr>
        <w:t>niformes</w:t>
      </w:r>
      <w:r w:rsidR="00C47541" w:rsidRPr="005A4E9E">
        <w:rPr>
          <w:rFonts w:ascii="Arial" w:eastAsia="Calibri" w:hAnsi="Arial" w:cs="Arial"/>
          <w:sz w:val="22"/>
          <w:lang w:val="es-ES_tradnl"/>
        </w:rPr>
        <w:t xml:space="preserve"> </w:t>
      </w:r>
      <w:r w:rsidR="00C47541">
        <w:rPr>
          <w:rFonts w:ascii="Arial" w:eastAsia="Calibri" w:hAnsi="Arial" w:cs="Arial"/>
          <w:sz w:val="22"/>
          <w:lang w:val="es-ES_tradnl"/>
        </w:rPr>
        <w:t xml:space="preserve">mediante subasta inversa, el </w:t>
      </w:r>
      <w:r w:rsidR="00C47541" w:rsidRPr="005A4E9E">
        <w:rPr>
          <w:rFonts w:ascii="Arial" w:eastAsia="Calibri" w:hAnsi="Arial" w:cs="Arial"/>
          <w:sz w:val="22"/>
          <w:lang w:val="es-ES_tradnl"/>
        </w:rPr>
        <w:t>artículo 2.2.1.2.1.2.2 del Decreto 1082 de 2015</w:t>
      </w:r>
      <w:r w:rsidRPr="005A4E9E">
        <w:rPr>
          <w:rFonts w:ascii="Arial" w:eastAsia="Calibri" w:hAnsi="Arial" w:cs="Arial"/>
          <w:sz w:val="22"/>
          <w:lang w:val="es-ES_tradnl"/>
        </w:rPr>
        <w:t xml:space="preserve"> estable</w:t>
      </w:r>
      <w:r w:rsidR="00EF21B8" w:rsidRPr="005A4E9E">
        <w:rPr>
          <w:rFonts w:ascii="Arial" w:eastAsia="Calibri" w:hAnsi="Arial" w:cs="Arial"/>
          <w:sz w:val="22"/>
          <w:lang w:val="es-ES_tradnl"/>
        </w:rPr>
        <w:t>ce</w:t>
      </w:r>
      <w:r w:rsidRPr="005A4E9E">
        <w:rPr>
          <w:rFonts w:ascii="Arial" w:eastAsia="Calibri" w:hAnsi="Arial" w:cs="Arial"/>
          <w:sz w:val="22"/>
          <w:lang w:val="es-ES_tradnl"/>
        </w:rPr>
        <w:t xml:space="preserve"> que en l</w:t>
      </w:r>
      <w:r w:rsidRPr="005A4E9E">
        <w:rPr>
          <w:rFonts w:ascii="Arial" w:eastAsia="Calibri" w:hAnsi="Arial" w:cs="Arial"/>
          <w:sz w:val="22"/>
        </w:rPr>
        <w:t>os pliegos de condiciones</w:t>
      </w:r>
      <w:r w:rsidR="00EF21B8" w:rsidRPr="005A4E9E">
        <w:rPr>
          <w:rFonts w:ascii="Arial" w:eastAsia="Calibri" w:hAnsi="Arial" w:cs="Arial"/>
          <w:sz w:val="22"/>
        </w:rPr>
        <w:t xml:space="preserve"> de estos procedimientos se debe</w:t>
      </w:r>
      <w:r w:rsidRPr="005A4E9E">
        <w:rPr>
          <w:rFonts w:ascii="Arial" w:eastAsia="Calibri" w:hAnsi="Arial" w:cs="Arial"/>
          <w:sz w:val="22"/>
        </w:rPr>
        <w:t xml:space="preserve"> indicar: a) la fecha y hora de inicio de la subasta; b) la periodicidad de los </w:t>
      </w:r>
      <w:r w:rsidR="00D643A3" w:rsidRPr="005A4E9E">
        <w:rPr>
          <w:rFonts w:ascii="Arial" w:eastAsia="Calibri" w:hAnsi="Arial" w:cs="Arial"/>
          <w:sz w:val="22"/>
        </w:rPr>
        <w:t>l</w:t>
      </w:r>
      <w:r w:rsidRPr="005A4E9E">
        <w:rPr>
          <w:rFonts w:ascii="Arial" w:eastAsia="Calibri" w:hAnsi="Arial" w:cs="Arial"/>
          <w:sz w:val="22"/>
        </w:rPr>
        <w:t xml:space="preserve">ances; y c) el </w:t>
      </w:r>
      <w:r w:rsidR="00D643A3" w:rsidRPr="005A4E9E">
        <w:rPr>
          <w:rFonts w:ascii="Arial" w:eastAsia="Calibri" w:hAnsi="Arial" w:cs="Arial"/>
          <w:sz w:val="22"/>
        </w:rPr>
        <w:t>m</w:t>
      </w:r>
      <w:r w:rsidRPr="005A4E9E">
        <w:rPr>
          <w:rFonts w:ascii="Arial" w:eastAsia="Calibri" w:hAnsi="Arial" w:cs="Arial"/>
          <w:sz w:val="22"/>
        </w:rPr>
        <w:t xml:space="preserve">argen </w:t>
      </w:r>
      <w:r w:rsidR="00D643A3" w:rsidRPr="005A4E9E">
        <w:rPr>
          <w:rFonts w:ascii="Arial" w:eastAsia="Calibri" w:hAnsi="Arial" w:cs="Arial"/>
          <w:sz w:val="22"/>
        </w:rPr>
        <w:t>m</w:t>
      </w:r>
      <w:r w:rsidRPr="005A4E9E">
        <w:rPr>
          <w:rFonts w:ascii="Arial" w:eastAsia="Calibri" w:hAnsi="Arial" w:cs="Arial"/>
          <w:sz w:val="22"/>
        </w:rPr>
        <w:t>ínimo para mejorar la oferta durante la subasta inversa</w:t>
      </w:r>
      <w:r w:rsidR="00EF21B8" w:rsidRPr="005A4E9E">
        <w:rPr>
          <w:rFonts w:ascii="Arial" w:eastAsia="Calibri" w:hAnsi="Arial" w:cs="Arial"/>
          <w:sz w:val="22"/>
          <w:vertAlign w:val="superscript"/>
          <w:lang w:val="es-ES_tradnl"/>
        </w:rPr>
        <w:footnoteReference w:id="14"/>
      </w:r>
      <w:r w:rsidR="00EF21B8" w:rsidRPr="005A4E9E">
        <w:rPr>
          <w:rFonts w:ascii="Arial" w:eastAsia="Calibri" w:hAnsi="Arial" w:cs="Arial"/>
          <w:sz w:val="22"/>
        </w:rPr>
        <w:t xml:space="preserve">. Así mismo el Decreto 1082 de 2015, contempla la posibilidad de que las entidades </w:t>
      </w:r>
      <w:r w:rsidR="00EF21B8" w:rsidRPr="005A4E9E">
        <w:rPr>
          <w:rFonts w:ascii="Arial" w:eastAsia="Calibri" w:hAnsi="Arial" w:cs="Arial"/>
          <w:sz w:val="22"/>
        </w:rPr>
        <w:lastRenderedPageBreak/>
        <w:t>realicen procesos de subasta de manera presencial o electrónica, precisando que para este último evento el pliego de condiciones deberá establecer el sistema que utilizará y los mecanismos de seguridad para el intercambio de mensaje de datos</w:t>
      </w:r>
      <w:r w:rsidR="00EF21B8" w:rsidRPr="005A4E9E">
        <w:rPr>
          <w:rStyle w:val="Refdenotaalpie"/>
          <w:rFonts w:ascii="Arial" w:eastAsia="Calibri" w:hAnsi="Arial" w:cs="Arial"/>
          <w:sz w:val="22"/>
        </w:rPr>
        <w:footnoteReference w:id="15"/>
      </w:r>
      <w:r w:rsidR="00EF21B8" w:rsidRPr="005A4E9E">
        <w:rPr>
          <w:rFonts w:ascii="Arial" w:eastAsia="Calibri" w:hAnsi="Arial" w:cs="Arial"/>
          <w:sz w:val="22"/>
        </w:rPr>
        <w:t xml:space="preserve">.  </w:t>
      </w:r>
    </w:p>
    <w:p w14:paraId="2C3F3E62" w14:textId="118A92E8" w:rsidR="00CB4391" w:rsidRDefault="00CB4391" w:rsidP="00CB4391">
      <w:pPr>
        <w:spacing w:before="120" w:after="120" w:line="276" w:lineRule="auto"/>
        <w:ind w:firstLine="709"/>
        <w:jc w:val="both"/>
        <w:rPr>
          <w:rFonts w:ascii="Arial" w:hAnsi="Arial" w:cs="Arial"/>
          <w:sz w:val="22"/>
          <w:lang w:val="es-ES_tradnl"/>
        </w:rPr>
      </w:pPr>
      <w:r>
        <w:rPr>
          <w:rFonts w:ascii="Arial" w:hAnsi="Arial" w:cs="Arial"/>
          <w:sz w:val="22"/>
          <w:lang w:val="es-ES_tradnl"/>
        </w:rPr>
        <w:t xml:space="preserve">Ahora bien, como se indicó en el acápite anterior, </w:t>
      </w:r>
      <w:r w:rsidRPr="003010BD">
        <w:rPr>
          <w:rFonts w:ascii="Arial" w:hAnsi="Arial" w:cs="Arial"/>
          <w:sz w:val="22"/>
          <w:lang w:val="es-ES_tradnl"/>
        </w:rPr>
        <w:t xml:space="preserve">la regla general respecto a la oportunidad para subsanar tiene como excepción, entre otras cosas, el término especial establecido en los procesos de selección abreviada mediante subasta inversa, para la cual el artículo 5 de la Ley 1882 de 2018, adicionó el parágrafo 4 al artículo 5 de la Ley 1150 de 2007, en donde se precisa esta regla en los siguientes términos:  </w:t>
      </w:r>
    </w:p>
    <w:p w14:paraId="11491058" w14:textId="77777777" w:rsidR="00CB4391" w:rsidRDefault="00CB4391" w:rsidP="00CB4391">
      <w:pPr>
        <w:spacing w:line="276" w:lineRule="auto"/>
        <w:ind w:left="709" w:right="709"/>
        <w:jc w:val="both"/>
        <w:rPr>
          <w:rStyle w:val="Textoennegrita"/>
          <w:rFonts w:ascii="Arial" w:hAnsi="Arial" w:cs="Arial"/>
          <w:color w:val="000000"/>
          <w:sz w:val="21"/>
          <w:szCs w:val="21"/>
        </w:rPr>
      </w:pPr>
    </w:p>
    <w:p w14:paraId="3B04B22C" w14:textId="258CCCEA" w:rsidR="00CB4391" w:rsidRDefault="00CB4391" w:rsidP="00CB4391">
      <w:pPr>
        <w:ind w:left="709" w:right="709"/>
        <w:jc w:val="both"/>
        <w:rPr>
          <w:rFonts w:ascii="Arial" w:hAnsi="Arial" w:cs="Arial"/>
          <w:color w:val="000000"/>
          <w:sz w:val="21"/>
          <w:szCs w:val="21"/>
        </w:rPr>
      </w:pPr>
      <w:r w:rsidRPr="00073864">
        <w:rPr>
          <w:rStyle w:val="Textoennegrita"/>
          <w:rFonts w:ascii="Arial" w:hAnsi="Arial" w:cs="Arial"/>
          <w:b w:val="0"/>
          <w:bCs w:val="0"/>
          <w:color w:val="000000"/>
          <w:sz w:val="21"/>
          <w:szCs w:val="21"/>
        </w:rPr>
        <w:t>Parágrafo 4°.</w:t>
      </w:r>
      <w:r w:rsidRPr="00714773">
        <w:rPr>
          <w:rStyle w:val="Textoennegrita"/>
          <w:rFonts w:ascii="Arial" w:hAnsi="Arial" w:cs="Arial"/>
          <w:color w:val="000000"/>
          <w:sz w:val="21"/>
          <w:szCs w:val="21"/>
        </w:rPr>
        <w:t> </w:t>
      </w:r>
      <w:r w:rsidRPr="00714773">
        <w:rPr>
          <w:rFonts w:ascii="Arial" w:hAnsi="Arial" w:cs="Arial"/>
          <w:color w:val="000000"/>
          <w:sz w:val="21"/>
          <w:szCs w:val="21"/>
        </w:rPr>
        <w:t xml:space="preserve">En aquellos procesos de selección en los que se utilice el mecanismo de subasta, los documentos referentes a la futura contratación o al proponente, no necesarios para la comparación de las propuestas, </w:t>
      </w:r>
      <w:r w:rsidRPr="00E85CAC">
        <w:rPr>
          <w:rFonts w:ascii="Arial" w:hAnsi="Arial" w:cs="Arial"/>
          <w:i/>
          <w:iCs/>
          <w:color w:val="000000"/>
          <w:sz w:val="21"/>
          <w:szCs w:val="21"/>
        </w:rPr>
        <w:t>deberán ser solicitados</w:t>
      </w:r>
      <w:r w:rsidRPr="00714773">
        <w:rPr>
          <w:rFonts w:ascii="Arial" w:hAnsi="Arial" w:cs="Arial"/>
          <w:color w:val="000000"/>
          <w:sz w:val="21"/>
          <w:szCs w:val="21"/>
        </w:rPr>
        <w:t xml:space="preserve"> hasta el momento previo a su realización</w:t>
      </w:r>
      <w:r>
        <w:rPr>
          <w:rFonts w:ascii="Arial" w:hAnsi="Arial" w:cs="Arial"/>
          <w:color w:val="000000"/>
          <w:sz w:val="21"/>
          <w:szCs w:val="21"/>
        </w:rPr>
        <w:t xml:space="preserve"> (Cursiva fuera de texto)</w:t>
      </w:r>
      <w:r w:rsidRPr="00714773">
        <w:rPr>
          <w:rFonts w:ascii="Arial" w:hAnsi="Arial" w:cs="Arial"/>
          <w:color w:val="000000"/>
          <w:sz w:val="21"/>
          <w:szCs w:val="21"/>
        </w:rPr>
        <w:t>. </w:t>
      </w:r>
    </w:p>
    <w:p w14:paraId="3E341049" w14:textId="77777777" w:rsidR="00CB4391" w:rsidRDefault="00CB4391" w:rsidP="00CB4391">
      <w:pPr>
        <w:spacing w:line="276" w:lineRule="auto"/>
        <w:ind w:left="709" w:right="709"/>
        <w:jc w:val="both"/>
        <w:rPr>
          <w:rFonts w:ascii="Arial" w:hAnsi="Arial" w:cs="Arial"/>
          <w:color w:val="000000"/>
          <w:sz w:val="21"/>
          <w:szCs w:val="21"/>
        </w:rPr>
      </w:pPr>
    </w:p>
    <w:p w14:paraId="6E61933D" w14:textId="3899A9E9" w:rsidR="00CB4391" w:rsidRDefault="00CB4391" w:rsidP="00CB4391">
      <w:pPr>
        <w:spacing w:after="120" w:line="276" w:lineRule="auto"/>
        <w:ind w:right="51"/>
        <w:jc w:val="both"/>
        <w:rPr>
          <w:rFonts w:ascii="Arial" w:hAnsi="Arial" w:cs="Arial"/>
          <w:color w:val="000000"/>
          <w:sz w:val="22"/>
        </w:rPr>
      </w:pPr>
      <w:r>
        <w:rPr>
          <w:rFonts w:ascii="Arial" w:hAnsi="Arial" w:cs="Arial"/>
          <w:color w:val="000000"/>
          <w:sz w:val="22"/>
        </w:rPr>
        <w:tab/>
        <w:t xml:space="preserve">Tal como se expresó en los conceptos C-267 y C-283 del 5 de mayo de 2020, si se analiza la norma transcrita, no es difícil llegar a la conclusión relativa a que esta contiene una regla muy parecida respecto a la </w:t>
      </w:r>
      <w:r w:rsidR="00454F78">
        <w:rPr>
          <w:rFonts w:ascii="Arial" w:hAnsi="Arial" w:cs="Arial"/>
          <w:color w:val="000000"/>
          <w:sz w:val="22"/>
        </w:rPr>
        <w:t>oportunidad para subsanar</w:t>
      </w:r>
      <w:r>
        <w:rPr>
          <w:rFonts w:ascii="Arial" w:hAnsi="Arial" w:cs="Arial"/>
          <w:color w:val="000000"/>
          <w:sz w:val="22"/>
        </w:rPr>
        <w:t xml:space="preserve"> en </w:t>
      </w:r>
      <w:r w:rsidR="00454F78">
        <w:rPr>
          <w:rFonts w:ascii="Arial" w:hAnsi="Arial" w:cs="Arial"/>
          <w:color w:val="000000"/>
          <w:sz w:val="22"/>
        </w:rPr>
        <w:t xml:space="preserve">los </w:t>
      </w:r>
      <w:r>
        <w:rPr>
          <w:rFonts w:ascii="Arial" w:hAnsi="Arial" w:cs="Arial"/>
          <w:color w:val="000000"/>
          <w:sz w:val="22"/>
        </w:rPr>
        <w:t xml:space="preserve">procesos de subasta, a la contenida en la parte final del inciso primero del artículo 5 de la Ley 1150 de 2007, antes de ser modificada por la Ley 1882 de 2018, siendo en esencia la misma, con la precisión adicional respecto de los documentos susceptibles de subsanación. Esta regla cosiste en la fijación del momento previo al inicio de la audiencia de subasta, como el </w:t>
      </w:r>
      <w:r>
        <w:rPr>
          <w:rFonts w:ascii="Arial" w:hAnsi="Arial" w:cs="Arial"/>
          <w:color w:val="000000"/>
          <w:sz w:val="22"/>
        </w:rPr>
        <w:lastRenderedPageBreak/>
        <w:t xml:space="preserve">tiempo límite para que se solicite la subsanación de los documentos faltantes hasta entonces no presentados por los proponentes. </w:t>
      </w:r>
    </w:p>
    <w:p w14:paraId="305A7962" w14:textId="4E8CC15E" w:rsidR="00CB4391" w:rsidRDefault="00CB4391" w:rsidP="00CB4391">
      <w:pPr>
        <w:spacing w:line="276" w:lineRule="auto"/>
        <w:ind w:right="49"/>
        <w:jc w:val="both"/>
        <w:rPr>
          <w:rFonts w:ascii="Arial" w:hAnsi="Arial" w:cs="Arial"/>
          <w:color w:val="000000"/>
          <w:sz w:val="22"/>
        </w:rPr>
      </w:pPr>
      <w:r>
        <w:rPr>
          <w:rFonts w:ascii="Arial" w:hAnsi="Arial" w:cs="Arial"/>
          <w:color w:val="000000"/>
          <w:sz w:val="22"/>
        </w:rPr>
        <w:tab/>
      </w:r>
      <w:r w:rsidR="00454F78">
        <w:rPr>
          <w:rFonts w:ascii="Arial" w:hAnsi="Arial" w:cs="Arial"/>
          <w:color w:val="000000"/>
          <w:sz w:val="22"/>
        </w:rPr>
        <w:t>De esta manera</w:t>
      </w:r>
      <w:r>
        <w:rPr>
          <w:rFonts w:ascii="Arial" w:hAnsi="Arial" w:cs="Arial"/>
          <w:color w:val="000000"/>
          <w:sz w:val="22"/>
        </w:rPr>
        <w:t xml:space="preserve">, a juicio de esta Subdirección, lo que supone dicha regulación no es que los proponentes tengan la facultad de presentar </w:t>
      </w:r>
      <w:r w:rsidRPr="00DA49EE">
        <w:rPr>
          <w:rFonts w:ascii="Arial" w:hAnsi="Arial" w:cs="Arial"/>
          <w:color w:val="000000"/>
          <w:sz w:val="22"/>
        </w:rPr>
        <w:t>los documentos referentes a la futura contratación no necesarios para la comparación de las propuestas</w:t>
      </w:r>
      <w:r>
        <w:rPr>
          <w:rFonts w:ascii="Arial" w:hAnsi="Arial" w:cs="Arial"/>
          <w:color w:val="000000"/>
          <w:sz w:val="22"/>
        </w:rPr>
        <w:t xml:space="preserve"> en cualquier momento anterior al inicio de la subasta, o que estén habilitados para retener tal documentación hasta dicho momento, ya lo que hace el parágrafo 4° </w:t>
      </w:r>
      <w:r w:rsidRPr="00DA49EE">
        <w:rPr>
          <w:rFonts w:ascii="Arial" w:hAnsi="Arial" w:cs="Arial"/>
          <w:i/>
          <w:iCs/>
          <w:color w:val="000000"/>
          <w:sz w:val="22"/>
        </w:rPr>
        <w:t>Ibídem</w:t>
      </w:r>
      <w:r>
        <w:rPr>
          <w:rFonts w:ascii="Arial" w:hAnsi="Arial" w:cs="Arial"/>
          <w:i/>
          <w:iCs/>
          <w:color w:val="000000"/>
          <w:sz w:val="22"/>
        </w:rPr>
        <w:t xml:space="preserve"> </w:t>
      </w:r>
      <w:r>
        <w:rPr>
          <w:rFonts w:ascii="Arial" w:hAnsi="Arial" w:cs="Arial"/>
          <w:color w:val="000000"/>
          <w:sz w:val="22"/>
        </w:rPr>
        <w:t>es fijar el momento hasta el cual las respectivas entidades pueden requerir a los proponentes la subsanación de los documentos faltantes. Lo anterior, fue aclarado por la Sección Tercera del Consejo de Estado en vigencia del texto original del parágrafo 1 de la Ley 1150 de 2007, respecto de la regla general de subsanabilidad, que fijaba la adjudicación como momento límite para subsanar, mediante consideraciones que se extienden a la regla de subasta, en los siguientes términos:</w:t>
      </w:r>
    </w:p>
    <w:p w14:paraId="19EF5F93" w14:textId="77777777" w:rsidR="00CB4391" w:rsidRDefault="00CB4391" w:rsidP="00CB4391">
      <w:pPr>
        <w:spacing w:line="276" w:lineRule="auto"/>
        <w:ind w:right="49"/>
        <w:jc w:val="both"/>
        <w:rPr>
          <w:rFonts w:ascii="Arial" w:hAnsi="Arial" w:cs="Arial"/>
          <w:color w:val="000000"/>
          <w:sz w:val="22"/>
        </w:rPr>
      </w:pPr>
    </w:p>
    <w:p w14:paraId="0F323C02" w14:textId="77777777" w:rsidR="00CB4391" w:rsidRDefault="00CB4391" w:rsidP="00CB4391">
      <w:pPr>
        <w:tabs>
          <w:tab w:val="left" w:pos="426"/>
          <w:tab w:val="left" w:pos="709"/>
          <w:tab w:val="left" w:pos="1368"/>
          <w:tab w:val="left" w:pos="1416"/>
          <w:tab w:val="left" w:pos="2832"/>
          <w:tab w:val="left" w:pos="3540"/>
          <w:tab w:val="left" w:pos="4956"/>
          <w:tab w:val="left" w:pos="5664"/>
          <w:tab w:val="left" w:pos="6372"/>
          <w:tab w:val="left" w:pos="7080"/>
          <w:tab w:val="left" w:pos="8379"/>
          <w:tab w:val="left" w:pos="8760"/>
        </w:tabs>
        <w:suppressAutoHyphens/>
        <w:overflowPunct w:val="0"/>
        <w:autoSpaceDE w:val="0"/>
        <w:autoSpaceDN w:val="0"/>
        <w:adjustRightInd w:val="0"/>
        <w:ind w:left="709" w:right="709"/>
        <w:jc w:val="both"/>
        <w:rPr>
          <w:rFonts w:ascii="Arial" w:hAnsi="Arial" w:cs="Arial"/>
          <w:sz w:val="21"/>
          <w:szCs w:val="21"/>
          <w:lang w:val="es-ES"/>
        </w:rPr>
      </w:pPr>
      <w:r>
        <w:rPr>
          <w:rFonts w:ascii="Arial" w:hAnsi="Arial" w:cs="Arial"/>
          <w:sz w:val="21"/>
          <w:szCs w:val="21"/>
        </w:rPr>
        <w:t>[S]i bien es obligación de la entidad permitir que se aclaren, expliquen o subsanen los defectos de las ofertas susceptibles de esa oportunidad, y por ende es un derecho de los participantes que se lo soliciten, se trata de una oportunidad temporalmente limitada, cuyo término define la administración, y es preclusivo para subsanar o aclarar; y si el proponente no corrige o explica dentro del estricto plazo conferido […]</w:t>
      </w:r>
    </w:p>
    <w:p w14:paraId="1534D5A5" w14:textId="77777777" w:rsidR="00CB4391" w:rsidRDefault="00CB4391" w:rsidP="00CB4391">
      <w:pPr>
        <w:tabs>
          <w:tab w:val="left" w:pos="426"/>
          <w:tab w:val="left" w:pos="709"/>
          <w:tab w:val="left" w:pos="1368"/>
          <w:tab w:val="left" w:pos="1416"/>
          <w:tab w:val="left" w:pos="2832"/>
          <w:tab w:val="left" w:pos="3540"/>
          <w:tab w:val="left" w:pos="4956"/>
          <w:tab w:val="left" w:pos="5664"/>
          <w:tab w:val="left" w:pos="6372"/>
          <w:tab w:val="left" w:pos="7080"/>
          <w:tab w:val="left" w:pos="8379"/>
          <w:tab w:val="left" w:pos="8760"/>
        </w:tabs>
        <w:suppressAutoHyphens/>
        <w:overflowPunct w:val="0"/>
        <w:autoSpaceDE w:val="0"/>
        <w:autoSpaceDN w:val="0"/>
        <w:adjustRightInd w:val="0"/>
        <w:ind w:left="709" w:right="709"/>
        <w:jc w:val="both"/>
        <w:rPr>
          <w:rFonts w:ascii="Arial" w:hAnsi="Arial" w:cs="Arial"/>
          <w:sz w:val="21"/>
          <w:szCs w:val="21"/>
        </w:rPr>
      </w:pPr>
    </w:p>
    <w:p w14:paraId="26F4E845" w14:textId="77777777" w:rsidR="00CB4391" w:rsidRDefault="00CB4391" w:rsidP="00CB4391">
      <w:pPr>
        <w:tabs>
          <w:tab w:val="left" w:pos="426"/>
          <w:tab w:val="left" w:pos="709"/>
          <w:tab w:val="left" w:pos="1368"/>
          <w:tab w:val="left" w:pos="1416"/>
          <w:tab w:val="left" w:pos="2832"/>
          <w:tab w:val="left" w:pos="3540"/>
          <w:tab w:val="left" w:pos="4956"/>
          <w:tab w:val="left" w:pos="5664"/>
          <w:tab w:val="left" w:pos="6372"/>
          <w:tab w:val="left" w:pos="7080"/>
          <w:tab w:val="left" w:pos="8379"/>
          <w:tab w:val="left" w:pos="8760"/>
        </w:tabs>
        <w:suppressAutoHyphens/>
        <w:overflowPunct w:val="0"/>
        <w:autoSpaceDE w:val="0"/>
        <w:autoSpaceDN w:val="0"/>
        <w:adjustRightInd w:val="0"/>
        <w:ind w:left="709" w:right="709"/>
        <w:jc w:val="both"/>
        <w:rPr>
          <w:rFonts w:ascii="Arial" w:hAnsi="Arial" w:cs="Arial"/>
          <w:sz w:val="21"/>
          <w:szCs w:val="21"/>
        </w:rPr>
      </w:pPr>
      <w:r>
        <w:rPr>
          <w:rFonts w:ascii="Arial" w:hAnsi="Arial" w:cs="Arial"/>
          <w:sz w:val="21"/>
          <w:szCs w:val="21"/>
        </w:rPr>
        <w:t xml:space="preserve">De la anterior manera se ponderan adecuadamente el </w:t>
      </w:r>
      <w:r>
        <w:rPr>
          <w:rFonts w:ascii="Arial" w:hAnsi="Arial" w:cs="Arial"/>
          <w:i/>
          <w:sz w:val="21"/>
          <w:szCs w:val="21"/>
        </w:rPr>
        <w:t>derecho</w:t>
      </w:r>
      <w:r>
        <w:rPr>
          <w:rFonts w:ascii="Arial" w:hAnsi="Arial" w:cs="Arial"/>
          <w:sz w:val="21"/>
          <w:szCs w:val="21"/>
        </w:rPr>
        <w:t xml:space="preserve"> del proponente a subsanar, corregir y aclarar; con el </w:t>
      </w:r>
      <w:r>
        <w:rPr>
          <w:rFonts w:ascii="Arial" w:hAnsi="Arial" w:cs="Arial"/>
          <w:i/>
          <w:sz w:val="21"/>
          <w:szCs w:val="21"/>
        </w:rPr>
        <w:t>derecho-deber</w:t>
      </w:r>
      <w:r>
        <w:rPr>
          <w:rFonts w:ascii="Arial" w:hAnsi="Arial" w:cs="Arial"/>
          <w:sz w:val="21"/>
          <w:szCs w:val="21"/>
        </w:rPr>
        <w:t xml:space="preserve"> que tiene la administración de avanzar y concluir el procedimiento de selección –principios de eficiencia, economía y celeridad de la actuación administrativa-, que no se puede estancar ni quedar en vilo de las respuestas extemporáneas que entregue el oferente. </w:t>
      </w:r>
    </w:p>
    <w:p w14:paraId="1C7F63EE" w14:textId="77777777" w:rsidR="00CB4391" w:rsidRDefault="00CB4391" w:rsidP="00CB4391">
      <w:pPr>
        <w:tabs>
          <w:tab w:val="left" w:pos="426"/>
          <w:tab w:val="left" w:pos="709"/>
          <w:tab w:val="left" w:pos="1368"/>
          <w:tab w:val="left" w:pos="1416"/>
          <w:tab w:val="left" w:pos="2832"/>
          <w:tab w:val="left" w:pos="3540"/>
          <w:tab w:val="left" w:pos="4956"/>
          <w:tab w:val="left" w:pos="5664"/>
          <w:tab w:val="left" w:pos="6372"/>
          <w:tab w:val="left" w:pos="7080"/>
          <w:tab w:val="left" w:pos="8379"/>
          <w:tab w:val="left" w:pos="8760"/>
        </w:tabs>
        <w:suppressAutoHyphens/>
        <w:overflowPunct w:val="0"/>
        <w:autoSpaceDE w:val="0"/>
        <w:autoSpaceDN w:val="0"/>
        <w:adjustRightInd w:val="0"/>
        <w:ind w:left="709" w:right="709"/>
        <w:jc w:val="both"/>
        <w:rPr>
          <w:rFonts w:ascii="Arial" w:hAnsi="Arial" w:cs="Arial"/>
          <w:sz w:val="21"/>
          <w:szCs w:val="21"/>
        </w:rPr>
      </w:pPr>
    </w:p>
    <w:p w14:paraId="5E29522A" w14:textId="77777777" w:rsidR="00CB4391" w:rsidRDefault="00CB4391" w:rsidP="00CB4391">
      <w:pPr>
        <w:tabs>
          <w:tab w:val="left" w:pos="426"/>
          <w:tab w:val="left" w:pos="709"/>
          <w:tab w:val="left" w:pos="1368"/>
          <w:tab w:val="left" w:pos="1416"/>
          <w:tab w:val="left" w:pos="2832"/>
          <w:tab w:val="left" w:pos="3540"/>
          <w:tab w:val="left" w:pos="4956"/>
          <w:tab w:val="left" w:pos="5664"/>
          <w:tab w:val="left" w:pos="6372"/>
          <w:tab w:val="left" w:pos="7080"/>
          <w:tab w:val="left" w:pos="8379"/>
          <w:tab w:val="left" w:pos="8760"/>
        </w:tabs>
        <w:suppressAutoHyphens/>
        <w:overflowPunct w:val="0"/>
        <w:autoSpaceDE w:val="0"/>
        <w:autoSpaceDN w:val="0"/>
        <w:adjustRightInd w:val="0"/>
        <w:ind w:left="709" w:right="709"/>
        <w:jc w:val="both"/>
        <w:rPr>
          <w:rFonts w:ascii="Arial" w:hAnsi="Arial" w:cs="Arial"/>
          <w:sz w:val="21"/>
          <w:szCs w:val="21"/>
        </w:rPr>
      </w:pPr>
      <w:r>
        <w:rPr>
          <w:rFonts w:ascii="Arial" w:hAnsi="Arial" w:cs="Arial"/>
          <w:sz w:val="21"/>
          <w:szCs w:val="21"/>
        </w:rPr>
        <w:t xml:space="preserve">En consecuencia, el proponente debe acogerse al tiempo que le otorga la administración para subsanar o aclarar la oferta, lapso que la entidad no puede extender más allá de la adjudicación. No se trata, entonces, de que el oferente tenga la posibilidad de entregar la información solicitada </w:t>
      </w:r>
      <w:r>
        <w:rPr>
          <w:rFonts w:ascii="Arial" w:hAnsi="Arial" w:cs="Arial"/>
          <w:i/>
          <w:sz w:val="21"/>
          <w:szCs w:val="21"/>
        </w:rPr>
        <w:t>a más tardar hasta la adjudicación</w:t>
      </w:r>
      <w:r>
        <w:rPr>
          <w:rFonts w:ascii="Arial" w:hAnsi="Arial" w:cs="Arial"/>
          <w:sz w:val="21"/>
          <w:szCs w:val="21"/>
        </w:rPr>
        <w:t xml:space="preserve">; es la entidad quien tiene, </w:t>
      </w:r>
      <w:r>
        <w:rPr>
          <w:rFonts w:ascii="Arial" w:hAnsi="Arial" w:cs="Arial"/>
          <w:i/>
          <w:sz w:val="21"/>
          <w:szCs w:val="21"/>
        </w:rPr>
        <w:t>a más tardar hasta la adjudicación,</w:t>
      </w:r>
      <w:r>
        <w:rPr>
          <w:rFonts w:ascii="Arial" w:hAnsi="Arial" w:cs="Arial"/>
          <w:sz w:val="21"/>
          <w:szCs w:val="21"/>
        </w:rPr>
        <w:t xml:space="preserve"> la posibilidad de </w:t>
      </w:r>
      <w:r>
        <w:rPr>
          <w:rFonts w:ascii="Arial" w:hAnsi="Arial" w:cs="Arial"/>
          <w:i/>
          <w:sz w:val="21"/>
          <w:szCs w:val="21"/>
        </w:rPr>
        <w:t>pedir</w:t>
      </w:r>
      <w:r>
        <w:rPr>
          <w:rFonts w:ascii="Arial" w:hAnsi="Arial" w:cs="Arial"/>
          <w:sz w:val="21"/>
          <w:szCs w:val="21"/>
        </w:rPr>
        <w:t xml:space="preserve"> a los oferentes que aclaren o subsanen</w:t>
      </w:r>
      <w:r>
        <w:rPr>
          <w:rFonts w:ascii="Arial" w:hAnsi="Arial" w:cs="Arial"/>
          <w:i/>
          <w:sz w:val="21"/>
          <w:szCs w:val="21"/>
        </w:rPr>
        <w:t>.</w:t>
      </w:r>
      <w:r>
        <w:rPr>
          <w:rFonts w:ascii="Arial" w:hAnsi="Arial" w:cs="Arial"/>
          <w:sz w:val="21"/>
          <w:szCs w:val="21"/>
        </w:rPr>
        <w:t xml:space="preserve"> De esta manera, el oferente requerido no puede controlar y menos manipular el proceso de selección reteniendo maliciosamente la información solicitada –por ejemplo, la póliza, la acreditación de experiencia adicional, la autorización para contratar, etc.- hasta cuando decida caprichosamente entregarla –sin exceder el día de la adjudicación-. Por el contrario, la entidad es quien pone el término para aportar la aclaración o para subsanar, perdiendo definitivamente el oferente la oportunidad de hacerlo si no se ajusta al plazo preciso que se le concede […]</w:t>
      </w:r>
    </w:p>
    <w:p w14:paraId="7241F1A4" w14:textId="77777777" w:rsidR="00CB4391" w:rsidRDefault="00CB4391" w:rsidP="00CB4391">
      <w:pPr>
        <w:tabs>
          <w:tab w:val="left" w:pos="426"/>
          <w:tab w:val="left" w:pos="709"/>
          <w:tab w:val="left" w:pos="1368"/>
          <w:tab w:val="left" w:pos="1416"/>
          <w:tab w:val="left" w:pos="2832"/>
          <w:tab w:val="left" w:pos="3540"/>
          <w:tab w:val="left" w:pos="4956"/>
          <w:tab w:val="left" w:pos="5664"/>
          <w:tab w:val="left" w:pos="6372"/>
          <w:tab w:val="left" w:pos="7080"/>
          <w:tab w:val="left" w:pos="8379"/>
          <w:tab w:val="left" w:pos="8760"/>
        </w:tabs>
        <w:suppressAutoHyphens/>
        <w:overflowPunct w:val="0"/>
        <w:autoSpaceDE w:val="0"/>
        <w:autoSpaceDN w:val="0"/>
        <w:adjustRightInd w:val="0"/>
        <w:ind w:left="709" w:right="709"/>
        <w:jc w:val="both"/>
        <w:rPr>
          <w:rFonts w:ascii="Arial" w:hAnsi="Arial" w:cs="Arial"/>
          <w:sz w:val="21"/>
          <w:szCs w:val="21"/>
        </w:rPr>
      </w:pPr>
    </w:p>
    <w:p w14:paraId="66E01F5B" w14:textId="77777777" w:rsidR="00CB4391" w:rsidRDefault="00CB4391" w:rsidP="00CB4391">
      <w:pPr>
        <w:tabs>
          <w:tab w:val="left" w:pos="426"/>
          <w:tab w:val="left" w:pos="709"/>
          <w:tab w:val="left" w:pos="1368"/>
          <w:tab w:val="left" w:pos="1416"/>
          <w:tab w:val="left" w:pos="2832"/>
          <w:tab w:val="left" w:pos="3540"/>
          <w:tab w:val="left" w:pos="4956"/>
          <w:tab w:val="left" w:pos="5664"/>
          <w:tab w:val="left" w:pos="6372"/>
          <w:tab w:val="left" w:pos="7080"/>
          <w:tab w:val="left" w:pos="8379"/>
          <w:tab w:val="left" w:pos="8760"/>
        </w:tabs>
        <w:suppressAutoHyphens/>
        <w:overflowPunct w:val="0"/>
        <w:autoSpaceDE w:val="0"/>
        <w:autoSpaceDN w:val="0"/>
        <w:adjustRightInd w:val="0"/>
        <w:ind w:left="709" w:right="709"/>
        <w:jc w:val="both"/>
        <w:rPr>
          <w:rFonts w:ascii="Arial" w:hAnsi="Arial" w:cs="Arial"/>
          <w:sz w:val="21"/>
          <w:szCs w:val="21"/>
        </w:rPr>
      </w:pPr>
      <w:r>
        <w:rPr>
          <w:rFonts w:ascii="Arial" w:hAnsi="Arial" w:cs="Arial"/>
          <w:sz w:val="21"/>
          <w:szCs w:val="21"/>
        </w:rPr>
        <w:t xml:space="preserve">En todo caso, el término para hacer las correcciones debe ser razonable, para que el proponente adecúe o explique su propuesta, pues aunque la entidad </w:t>
      </w:r>
      <w:r>
        <w:rPr>
          <w:rFonts w:ascii="Arial" w:hAnsi="Arial" w:cs="Arial"/>
          <w:sz w:val="21"/>
          <w:szCs w:val="21"/>
        </w:rPr>
        <w:lastRenderedPageBreak/>
        <w:t>cuenta con un margen alto de discrecionalidad para fijarlo, la administración no puede hacerlo irrazonablemente</w:t>
      </w:r>
      <w:r>
        <w:rPr>
          <w:rStyle w:val="Refdenotaalpie"/>
          <w:rFonts w:ascii="Arial" w:hAnsi="Arial" w:cs="Arial"/>
          <w:sz w:val="21"/>
          <w:szCs w:val="21"/>
        </w:rPr>
        <w:footnoteReference w:id="16"/>
      </w:r>
      <w:r>
        <w:rPr>
          <w:rFonts w:ascii="Arial" w:hAnsi="Arial" w:cs="Arial"/>
          <w:sz w:val="21"/>
          <w:szCs w:val="21"/>
        </w:rPr>
        <w:t xml:space="preserve">. </w:t>
      </w:r>
    </w:p>
    <w:p w14:paraId="3F1FCCC9" w14:textId="77777777" w:rsidR="00CB4391" w:rsidRDefault="00CB4391" w:rsidP="00CB4391">
      <w:pPr>
        <w:ind w:right="49"/>
        <w:jc w:val="both"/>
        <w:rPr>
          <w:rFonts w:ascii="Arial" w:hAnsi="Arial" w:cs="Arial"/>
          <w:color w:val="000000"/>
          <w:sz w:val="22"/>
        </w:rPr>
      </w:pPr>
    </w:p>
    <w:p w14:paraId="420015FC" w14:textId="5B0392FB" w:rsidR="00CB4391" w:rsidRDefault="00CB4391" w:rsidP="00CB4391">
      <w:pPr>
        <w:spacing w:line="276" w:lineRule="auto"/>
        <w:ind w:right="49"/>
        <w:jc w:val="both"/>
        <w:rPr>
          <w:rFonts w:ascii="Arial" w:hAnsi="Arial" w:cs="Arial"/>
          <w:color w:val="000000"/>
          <w:sz w:val="22"/>
        </w:rPr>
      </w:pPr>
      <w:r>
        <w:rPr>
          <w:rFonts w:ascii="Arial" w:hAnsi="Arial" w:cs="Arial"/>
          <w:color w:val="000000"/>
          <w:sz w:val="22"/>
        </w:rPr>
        <w:tab/>
        <w:t xml:space="preserve">En ese orden de ideas, extendiendo las anteriores consideraciones a la regla de subsanabilidad consagrada </w:t>
      </w:r>
      <w:r w:rsidR="00454F78">
        <w:rPr>
          <w:rFonts w:ascii="Arial" w:hAnsi="Arial" w:cs="Arial"/>
          <w:color w:val="000000"/>
          <w:sz w:val="22"/>
        </w:rPr>
        <w:t xml:space="preserve">en </w:t>
      </w:r>
      <w:r>
        <w:rPr>
          <w:rFonts w:ascii="Arial" w:hAnsi="Arial" w:cs="Arial"/>
          <w:color w:val="000000"/>
          <w:sz w:val="22"/>
        </w:rPr>
        <w:t>el parágrafo 4 de</w:t>
      </w:r>
      <w:r w:rsidR="00454F78">
        <w:rPr>
          <w:rFonts w:ascii="Arial" w:hAnsi="Arial" w:cs="Arial"/>
          <w:color w:val="000000"/>
          <w:sz w:val="22"/>
        </w:rPr>
        <w:t>l artículo 5 de</w:t>
      </w:r>
      <w:r>
        <w:rPr>
          <w:rFonts w:ascii="Arial" w:hAnsi="Arial" w:cs="Arial"/>
          <w:color w:val="000000"/>
          <w:sz w:val="22"/>
        </w:rPr>
        <w:t xml:space="preserve"> la Ley 1150 de 2007</w:t>
      </w:r>
      <w:r w:rsidR="00F55B7B">
        <w:rPr>
          <w:rFonts w:ascii="Arial" w:hAnsi="Arial" w:cs="Arial"/>
          <w:color w:val="000000"/>
          <w:sz w:val="22"/>
        </w:rPr>
        <w:t xml:space="preserve"> –adicionado por la Ley 1882 de 2018–</w:t>
      </w:r>
      <w:r>
        <w:rPr>
          <w:rFonts w:ascii="Arial" w:hAnsi="Arial" w:cs="Arial"/>
          <w:color w:val="000000"/>
          <w:sz w:val="22"/>
        </w:rPr>
        <w:t xml:space="preserve">, </w:t>
      </w:r>
      <w:r w:rsidR="00454F78">
        <w:rPr>
          <w:rFonts w:ascii="Arial" w:hAnsi="Arial" w:cs="Arial"/>
          <w:color w:val="000000"/>
          <w:sz w:val="22"/>
        </w:rPr>
        <w:t xml:space="preserve">dada su identidad con la regulación </w:t>
      </w:r>
      <w:r w:rsidR="00F55B7B">
        <w:rPr>
          <w:rFonts w:ascii="Arial" w:hAnsi="Arial" w:cs="Arial"/>
          <w:color w:val="000000"/>
          <w:sz w:val="22"/>
        </w:rPr>
        <w:t xml:space="preserve">del parágrafo 1 del artículo 5 de la ley 1150 de 2007 original –antes de ser modificada por la Ley 1882 de 2018– </w:t>
      </w:r>
      <w:r>
        <w:rPr>
          <w:rFonts w:ascii="Arial" w:hAnsi="Arial" w:cs="Arial"/>
          <w:color w:val="000000"/>
          <w:sz w:val="22"/>
        </w:rPr>
        <w:t xml:space="preserve">el inicio de la subasta es el momento hasta el cual la entidad cuenta con la facultad para requerir la subsanación de los documentos </w:t>
      </w:r>
      <w:r w:rsidRPr="00AF48F2">
        <w:rPr>
          <w:rFonts w:ascii="Arial" w:hAnsi="Arial" w:cs="Arial"/>
          <w:color w:val="000000"/>
          <w:sz w:val="22"/>
        </w:rPr>
        <w:t>referentes a la futura contratación o a</w:t>
      </w:r>
      <w:r>
        <w:rPr>
          <w:rFonts w:ascii="Arial" w:hAnsi="Arial" w:cs="Arial"/>
          <w:color w:val="000000"/>
          <w:sz w:val="22"/>
        </w:rPr>
        <w:t xml:space="preserve"> </w:t>
      </w:r>
      <w:r w:rsidRPr="00AF48F2">
        <w:rPr>
          <w:rFonts w:ascii="Arial" w:hAnsi="Arial" w:cs="Arial"/>
          <w:color w:val="000000"/>
          <w:sz w:val="22"/>
        </w:rPr>
        <w:t>l</w:t>
      </w:r>
      <w:r>
        <w:rPr>
          <w:rFonts w:ascii="Arial" w:hAnsi="Arial" w:cs="Arial"/>
          <w:color w:val="000000"/>
          <w:sz w:val="22"/>
        </w:rPr>
        <w:t>os</w:t>
      </w:r>
      <w:r w:rsidRPr="00AF48F2">
        <w:rPr>
          <w:rFonts w:ascii="Arial" w:hAnsi="Arial" w:cs="Arial"/>
          <w:color w:val="000000"/>
          <w:sz w:val="22"/>
        </w:rPr>
        <w:t xml:space="preserve"> proponente</w:t>
      </w:r>
      <w:r>
        <w:rPr>
          <w:rFonts w:ascii="Arial" w:hAnsi="Arial" w:cs="Arial"/>
          <w:color w:val="000000"/>
          <w:sz w:val="22"/>
        </w:rPr>
        <w:t>s</w:t>
      </w:r>
      <w:r w:rsidRPr="00AF48F2">
        <w:rPr>
          <w:rFonts w:ascii="Arial" w:hAnsi="Arial" w:cs="Arial"/>
          <w:color w:val="000000"/>
          <w:sz w:val="22"/>
        </w:rPr>
        <w:t>, no necesarios para la comparación de las propuestas</w:t>
      </w:r>
      <w:r>
        <w:rPr>
          <w:rFonts w:ascii="Arial" w:hAnsi="Arial" w:cs="Arial"/>
          <w:color w:val="000000"/>
          <w:sz w:val="22"/>
        </w:rPr>
        <w:t xml:space="preserve">. Para el ejercicio de tal facultad, las entidades de manera </w:t>
      </w:r>
      <w:r w:rsidRPr="00AF48F2">
        <w:rPr>
          <w:rFonts w:ascii="Arial" w:hAnsi="Arial" w:cs="Arial"/>
          <w:i/>
          <w:iCs/>
          <w:color w:val="000000"/>
          <w:sz w:val="22"/>
        </w:rPr>
        <w:t>ex ante</w:t>
      </w:r>
      <w:r>
        <w:rPr>
          <w:rFonts w:ascii="Arial" w:hAnsi="Arial" w:cs="Arial"/>
          <w:i/>
          <w:iCs/>
          <w:color w:val="000000"/>
          <w:sz w:val="22"/>
        </w:rPr>
        <w:t xml:space="preserve"> </w:t>
      </w:r>
      <w:r>
        <w:rPr>
          <w:rFonts w:ascii="Arial" w:hAnsi="Arial" w:cs="Arial"/>
          <w:color w:val="000000"/>
          <w:sz w:val="22"/>
        </w:rPr>
        <w:t xml:space="preserve">podrán establecer dentro del pliego de condiciones </w:t>
      </w:r>
      <w:r w:rsidR="004403EF">
        <w:rPr>
          <w:rFonts w:ascii="Arial" w:hAnsi="Arial" w:cs="Arial"/>
          <w:color w:val="000000"/>
          <w:sz w:val="22"/>
        </w:rPr>
        <w:t>el</w:t>
      </w:r>
      <w:r>
        <w:rPr>
          <w:rFonts w:ascii="Arial" w:hAnsi="Arial" w:cs="Arial"/>
          <w:color w:val="000000"/>
          <w:sz w:val="22"/>
        </w:rPr>
        <w:t xml:space="preserve"> periodo dentro del cual los participantes del proceso de selección podrán </w:t>
      </w:r>
      <w:r w:rsidR="00F55B7B">
        <w:rPr>
          <w:rFonts w:ascii="Arial" w:hAnsi="Arial" w:cs="Arial"/>
          <w:color w:val="000000"/>
          <w:sz w:val="22"/>
        </w:rPr>
        <w:t>subsanar los documentos que requiera la entidad</w:t>
      </w:r>
      <w:r>
        <w:rPr>
          <w:rFonts w:ascii="Arial" w:hAnsi="Arial" w:cs="Arial"/>
          <w:color w:val="000000"/>
          <w:sz w:val="22"/>
        </w:rPr>
        <w:t xml:space="preserve">, o en su defecto, requerir por separado a cada proponente para que subsanen los respectivos documentos, fijándoles un término razonable, el cual en todo caso no podrá exceder el momento previo al inicio de la audiencia de subasta.   </w:t>
      </w:r>
    </w:p>
    <w:p w14:paraId="0739EBD5" w14:textId="319E3065" w:rsidR="00315CA7" w:rsidRPr="005A4E9E" w:rsidRDefault="00CB4391" w:rsidP="00315CA7">
      <w:pPr>
        <w:spacing w:before="120" w:line="276" w:lineRule="auto"/>
        <w:ind w:firstLine="709"/>
        <w:jc w:val="both"/>
        <w:rPr>
          <w:rFonts w:ascii="Arial" w:eastAsia="Calibri" w:hAnsi="Arial" w:cs="Arial"/>
          <w:sz w:val="22"/>
          <w:lang w:val="es-ES_tradnl"/>
        </w:rPr>
      </w:pPr>
      <w:r>
        <w:rPr>
          <w:rFonts w:ascii="Arial" w:eastAsia="Calibri" w:hAnsi="Arial" w:cs="Arial"/>
          <w:sz w:val="22"/>
          <w:lang w:val="es-ES_tradnl"/>
        </w:rPr>
        <w:t>De esta manera, el parágrafo analizado</w:t>
      </w:r>
      <w:r w:rsidR="00315CA7" w:rsidRPr="005A4E9E">
        <w:rPr>
          <w:rFonts w:ascii="Arial" w:eastAsia="Calibri" w:hAnsi="Arial" w:cs="Arial"/>
          <w:sz w:val="22"/>
        </w:rPr>
        <w:t xml:space="preserve"> permite a las entidades </w:t>
      </w:r>
      <w:r w:rsidR="00315CA7" w:rsidRPr="00E85CAC">
        <w:rPr>
          <w:rFonts w:ascii="Arial" w:eastAsia="Calibri" w:hAnsi="Arial" w:cs="Arial"/>
          <w:i/>
          <w:iCs/>
          <w:sz w:val="22"/>
        </w:rPr>
        <w:t>solicitar</w:t>
      </w:r>
      <w:r w:rsidR="00315CA7" w:rsidRPr="005A4E9E">
        <w:rPr>
          <w:rFonts w:ascii="Arial" w:eastAsia="Calibri" w:hAnsi="Arial" w:cs="Arial"/>
          <w:sz w:val="22"/>
        </w:rPr>
        <w:t xml:space="preserve"> a los oferentes que subsanen los documentos referentes a la futura contratación no necesarios para la comparación de las propuestas, hasta el momento previo a la realización </w:t>
      </w:r>
      <w:r w:rsidR="008539C0">
        <w:rPr>
          <w:rFonts w:ascii="Arial" w:eastAsia="Calibri" w:hAnsi="Arial" w:cs="Arial"/>
          <w:sz w:val="22"/>
        </w:rPr>
        <w:t>a la subasta a</w:t>
      </w:r>
      <w:r w:rsidR="00315CA7" w:rsidRPr="005A4E9E">
        <w:rPr>
          <w:rFonts w:ascii="Arial" w:eastAsia="Calibri" w:hAnsi="Arial" w:cs="Arial"/>
          <w:sz w:val="22"/>
        </w:rPr>
        <w:t xml:space="preserve"> la que hace referencia el artículo </w:t>
      </w:r>
      <w:r w:rsidR="00315CA7" w:rsidRPr="005A4E9E">
        <w:rPr>
          <w:rFonts w:ascii="Arial" w:eastAsia="Calibri" w:hAnsi="Arial" w:cs="Arial"/>
          <w:sz w:val="22"/>
          <w:lang w:val="es-ES_tradnl"/>
        </w:rPr>
        <w:t xml:space="preserve">2.2.1.2.1.2.2 del Decreto 1082 de 2015, momento que, además, deberá estar señalado en el pliego de condiciones, independientemente de que la entidad opte para desarrollar la audiencia de manera presencial o través del algún mecanismos electrónico. En defecto de lo anterior, las entidades también podrán </w:t>
      </w:r>
      <w:r w:rsidR="00315CA7" w:rsidRPr="005A4E9E">
        <w:rPr>
          <w:rFonts w:ascii="Arial" w:eastAsia="Calibri" w:hAnsi="Arial" w:cs="Arial"/>
          <w:sz w:val="22"/>
        </w:rPr>
        <w:t xml:space="preserve">requerir por separado o conjuntamente a cada proponente para que subsanen los respectivos documentos, fijándoles un término razonable, el cual en todo caso no podrá exceder el momento previo al inicio de la audiencia de subasta, por lo que será anterior a ella.   </w:t>
      </w:r>
      <w:r w:rsidR="00315CA7" w:rsidRPr="005A4E9E">
        <w:rPr>
          <w:rFonts w:ascii="Arial" w:eastAsia="Calibri" w:hAnsi="Arial" w:cs="Arial"/>
          <w:sz w:val="22"/>
          <w:lang w:val="es-ES_tradnl"/>
        </w:rPr>
        <w:t xml:space="preserve"> </w:t>
      </w:r>
    </w:p>
    <w:p w14:paraId="5B6E27A5" w14:textId="0A66DF83" w:rsidR="00315CA7" w:rsidRPr="005A4E9E" w:rsidRDefault="00315CA7" w:rsidP="00315CA7">
      <w:pPr>
        <w:spacing w:before="120" w:line="276" w:lineRule="auto"/>
        <w:ind w:firstLine="709"/>
        <w:jc w:val="both"/>
        <w:rPr>
          <w:rFonts w:ascii="Arial" w:eastAsia="Calibri" w:hAnsi="Arial" w:cs="Arial"/>
          <w:sz w:val="22"/>
          <w:lang w:val="es-ES_tradnl"/>
        </w:rPr>
      </w:pPr>
      <w:r w:rsidRPr="005A4E9E">
        <w:rPr>
          <w:rFonts w:ascii="Arial" w:eastAsia="Calibri" w:hAnsi="Arial" w:cs="Arial"/>
          <w:sz w:val="22"/>
          <w:lang w:val="es-ES_tradnl"/>
        </w:rPr>
        <w:t xml:space="preserve">Ahora, no debe perderse de vista que para este tipo de procedimientos también serán aplicables los criterios desarrollados </w:t>
      </w:r>
      <w:r w:rsidR="00CB4391">
        <w:rPr>
          <w:rFonts w:ascii="Arial" w:eastAsia="Calibri" w:hAnsi="Arial" w:cs="Arial"/>
          <w:sz w:val="22"/>
          <w:lang w:val="es-ES_tradnl"/>
        </w:rPr>
        <w:t xml:space="preserve">en el numeral anterior de este concepto, </w:t>
      </w:r>
      <w:r w:rsidRPr="005A4E9E">
        <w:rPr>
          <w:rFonts w:ascii="Arial" w:eastAsia="Calibri" w:hAnsi="Arial" w:cs="Arial"/>
          <w:sz w:val="22"/>
          <w:lang w:val="es-ES_tradnl"/>
        </w:rPr>
        <w:t xml:space="preserve">para determinar si los documentos faltantes son susceptibles </w:t>
      </w:r>
      <w:r w:rsidR="00CB4391">
        <w:rPr>
          <w:rFonts w:ascii="Arial" w:eastAsia="Calibri" w:hAnsi="Arial" w:cs="Arial"/>
          <w:sz w:val="22"/>
          <w:lang w:val="es-ES_tradnl"/>
        </w:rPr>
        <w:t xml:space="preserve">o no </w:t>
      </w:r>
      <w:r w:rsidRPr="005A4E9E">
        <w:rPr>
          <w:rFonts w:ascii="Arial" w:eastAsia="Calibri" w:hAnsi="Arial" w:cs="Arial"/>
          <w:sz w:val="22"/>
          <w:lang w:val="es-ES_tradnl"/>
        </w:rPr>
        <w:t xml:space="preserve">de subsanación, </w:t>
      </w:r>
      <w:r w:rsidR="00CB4391">
        <w:rPr>
          <w:rFonts w:ascii="Arial" w:eastAsia="Calibri" w:hAnsi="Arial" w:cs="Arial"/>
          <w:sz w:val="22"/>
          <w:lang w:val="es-ES_tradnl"/>
        </w:rPr>
        <w:t>en el entendido de si inciden o no en la asignación de puntaje y</w:t>
      </w:r>
      <w:r w:rsidRPr="005A4E9E">
        <w:rPr>
          <w:rFonts w:ascii="Arial" w:eastAsia="Calibri" w:hAnsi="Arial" w:cs="Arial"/>
          <w:sz w:val="22"/>
          <w:lang w:val="es-ES_tradnl"/>
        </w:rPr>
        <w:t xml:space="preserve"> si </w:t>
      </w:r>
      <w:r w:rsidR="00CB4391">
        <w:rPr>
          <w:rFonts w:ascii="Arial" w:eastAsia="Calibri" w:hAnsi="Arial" w:cs="Arial"/>
          <w:sz w:val="22"/>
          <w:lang w:val="es-ES_tradnl"/>
        </w:rPr>
        <w:t xml:space="preserve">se relacionan </w:t>
      </w:r>
      <w:r w:rsidRPr="005A4E9E">
        <w:rPr>
          <w:rFonts w:ascii="Arial" w:eastAsia="Calibri" w:hAnsi="Arial" w:cs="Arial"/>
          <w:sz w:val="22"/>
          <w:lang w:val="es-ES_tradnl"/>
        </w:rPr>
        <w:t xml:space="preserve">con el cumplimiento de un requisito que constituye una circunstancia ocurrida con anterioridad o con posterioridad al cierre del proceso. </w:t>
      </w:r>
    </w:p>
    <w:p w14:paraId="1C704341" w14:textId="77A83F06" w:rsidR="00315CA7" w:rsidRPr="005A4E9E" w:rsidRDefault="00315CA7" w:rsidP="00315CA7">
      <w:pPr>
        <w:spacing w:before="120" w:line="276" w:lineRule="auto"/>
        <w:ind w:firstLine="709"/>
        <w:jc w:val="both"/>
        <w:rPr>
          <w:rFonts w:ascii="Arial" w:eastAsia="Calibri" w:hAnsi="Arial" w:cs="Arial"/>
          <w:sz w:val="22"/>
          <w:lang w:val="es-ES_tradnl"/>
        </w:rPr>
      </w:pPr>
      <w:r w:rsidRPr="005A4E9E">
        <w:rPr>
          <w:rFonts w:ascii="Arial" w:eastAsia="Calibri" w:hAnsi="Arial" w:cs="Arial"/>
          <w:sz w:val="22"/>
          <w:lang w:val="es-ES_tradnl"/>
        </w:rPr>
        <w:t xml:space="preserve">Conforme a lo anterior, </w:t>
      </w:r>
      <w:r w:rsidR="008539C0">
        <w:rPr>
          <w:rFonts w:ascii="Arial" w:eastAsia="Calibri" w:hAnsi="Arial" w:cs="Arial"/>
          <w:sz w:val="22"/>
          <w:lang w:val="es-ES_tradnl"/>
        </w:rPr>
        <w:t xml:space="preserve">en criterio de esta Subdirección, </w:t>
      </w:r>
      <w:r w:rsidRPr="005A4E9E">
        <w:rPr>
          <w:rFonts w:ascii="Arial" w:eastAsia="Calibri" w:hAnsi="Arial" w:cs="Arial"/>
          <w:sz w:val="22"/>
          <w:lang w:val="es-ES_tradnl"/>
        </w:rPr>
        <w:t xml:space="preserve">a pesar de que no existe un término legal </w:t>
      </w:r>
      <w:r w:rsidR="008539C0">
        <w:rPr>
          <w:rFonts w:ascii="Arial" w:eastAsia="Calibri" w:hAnsi="Arial" w:cs="Arial"/>
          <w:sz w:val="22"/>
          <w:lang w:val="es-ES_tradnl"/>
        </w:rPr>
        <w:t xml:space="preserve">preciso </w:t>
      </w:r>
      <w:r w:rsidRPr="005A4E9E">
        <w:rPr>
          <w:rFonts w:ascii="Arial" w:eastAsia="Calibri" w:hAnsi="Arial" w:cs="Arial"/>
          <w:sz w:val="22"/>
          <w:lang w:val="es-ES_tradnl"/>
        </w:rPr>
        <w:t>para que los proponentes</w:t>
      </w:r>
      <w:r w:rsidR="00C26B49" w:rsidRPr="005A4E9E">
        <w:rPr>
          <w:rFonts w:ascii="Arial" w:eastAsia="Calibri" w:hAnsi="Arial" w:cs="Arial"/>
          <w:sz w:val="22"/>
          <w:lang w:val="es-ES_tradnl"/>
        </w:rPr>
        <w:t xml:space="preserve"> </w:t>
      </w:r>
      <w:r w:rsidRPr="005A4E9E">
        <w:rPr>
          <w:rFonts w:ascii="Arial" w:eastAsia="Calibri" w:hAnsi="Arial" w:cs="Arial"/>
          <w:sz w:val="22"/>
          <w:lang w:val="es-ES_tradnl"/>
        </w:rPr>
        <w:t xml:space="preserve">subsanen los documentos mediante los cuales </w:t>
      </w:r>
      <w:r w:rsidR="00C26B49" w:rsidRPr="005A4E9E">
        <w:rPr>
          <w:rFonts w:ascii="Arial" w:eastAsia="Calibri" w:hAnsi="Arial" w:cs="Arial"/>
          <w:sz w:val="22"/>
          <w:lang w:val="es-ES_tradnl"/>
        </w:rPr>
        <w:t xml:space="preserve">deben acreditar el cumplimiento de los requisitos </w:t>
      </w:r>
      <w:r w:rsidR="00B77F12" w:rsidRPr="005A4E9E">
        <w:rPr>
          <w:rFonts w:ascii="Arial" w:eastAsia="Calibri" w:hAnsi="Arial" w:cs="Arial"/>
          <w:sz w:val="22"/>
          <w:lang w:val="es-ES_tradnl"/>
        </w:rPr>
        <w:t xml:space="preserve">exigidos </w:t>
      </w:r>
      <w:r w:rsidR="00C26B49" w:rsidRPr="005A4E9E">
        <w:rPr>
          <w:rFonts w:ascii="Arial" w:eastAsia="Calibri" w:hAnsi="Arial" w:cs="Arial"/>
          <w:sz w:val="22"/>
          <w:lang w:val="es-ES_tradnl"/>
        </w:rPr>
        <w:t xml:space="preserve">para participar en </w:t>
      </w:r>
      <w:r w:rsidR="00C26B49" w:rsidRPr="005A4E9E">
        <w:rPr>
          <w:rFonts w:ascii="Arial" w:eastAsia="Calibri" w:hAnsi="Arial" w:cs="Arial"/>
          <w:sz w:val="22"/>
          <w:lang w:val="es-ES_tradnl"/>
        </w:rPr>
        <w:lastRenderedPageBreak/>
        <w:t xml:space="preserve">procedimientos </w:t>
      </w:r>
      <w:r w:rsidR="00CB4391">
        <w:rPr>
          <w:rFonts w:ascii="Arial" w:eastAsia="Calibri" w:hAnsi="Arial" w:cs="Arial"/>
          <w:sz w:val="22"/>
          <w:lang w:val="es-ES_tradnl"/>
        </w:rPr>
        <w:t>en que se haga uso del mecanismo de subasta</w:t>
      </w:r>
      <w:r w:rsidR="00C26B49" w:rsidRPr="005A4E9E">
        <w:rPr>
          <w:rFonts w:ascii="Arial" w:eastAsia="Calibri" w:hAnsi="Arial" w:cs="Arial"/>
          <w:sz w:val="22"/>
          <w:lang w:val="es-ES_tradnl"/>
        </w:rPr>
        <w:t xml:space="preserve">, el parágrafo 4° del artículo 5 de la Ley 1150 de 2007 establece una regla que permite a las entidades </w:t>
      </w:r>
      <w:r w:rsidR="00C26B49" w:rsidRPr="00E85CAC">
        <w:rPr>
          <w:rFonts w:ascii="Arial" w:eastAsia="Calibri" w:hAnsi="Arial" w:cs="Arial"/>
          <w:i/>
          <w:iCs/>
          <w:sz w:val="22"/>
          <w:lang w:val="es-ES_tradnl"/>
        </w:rPr>
        <w:t>solicitar</w:t>
      </w:r>
      <w:r w:rsidR="00C26B49" w:rsidRPr="005A4E9E">
        <w:rPr>
          <w:rFonts w:ascii="Arial" w:eastAsia="Calibri" w:hAnsi="Arial" w:cs="Arial"/>
          <w:sz w:val="22"/>
          <w:lang w:val="es-ES_tradnl"/>
        </w:rPr>
        <w:t xml:space="preserve"> las correspondientes subsanaciones, </w:t>
      </w:r>
      <w:r w:rsidR="008539C0">
        <w:rPr>
          <w:rFonts w:ascii="Arial" w:eastAsia="Calibri" w:hAnsi="Arial" w:cs="Arial"/>
          <w:sz w:val="22"/>
          <w:lang w:val="es-ES_tradnl"/>
        </w:rPr>
        <w:t>dotándolas</w:t>
      </w:r>
      <w:r w:rsidR="00C26B49" w:rsidRPr="005A4E9E">
        <w:rPr>
          <w:rFonts w:ascii="Arial" w:eastAsia="Calibri" w:hAnsi="Arial" w:cs="Arial"/>
          <w:sz w:val="22"/>
          <w:lang w:val="es-ES_tradnl"/>
        </w:rPr>
        <w:t xml:space="preserve"> de cierto margen de discrecionalidad para determinar el término o momento espec</w:t>
      </w:r>
      <w:r w:rsidR="00B42C9D" w:rsidRPr="005A4E9E">
        <w:rPr>
          <w:rFonts w:ascii="Arial" w:eastAsia="Calibri" w:hAnsi="Arial" w:cs="Arial"/>
          <w:sz w:val="22"/>
          <w:lang w:val="es-ES_tradnl"/>
        </w:rPr>
        <w:t>í</w:t>
      </w:r>
      <w:r w:rsidR="00C26B49" w:rsidRPr="005A4E9E">
        <w:rPr>
          <w:rFonts w:ascii="Arial" w:eastAsia="Calibri" w:hAnsi="Arial" w:cs="Arial"/>
          <w:sz w:val="22"/>
          <w:lang w:val="es-ES_tradnl"/>
        </w:rPr>
        <w:t xml:space="preserve">fico dentro del que deberá tener lugar la subsanación, </w:t>
      </w:r>
      <w:r w:rsidR="00454F78">
        <w:rPr>
          <w:rFonts w:ascii="Arial" w:eastAsia="Calibri" w:hAnsi="Arial" w:cs="Arial"/>
          <w:sz w:val="22"/>
          <w:lang w:val="es-ES_tradnl"/>
        </w:rPr>
        <w:t>oportunidad</w:t>
      </w:r>
      <w:r w:rsidR="008539C0">
        <w:rPr>
          <w:rFonts w:ascii="Arial" w:eastAsia="Calibri" w:hAnsi="Arial" w:cs="Arial"/>
          <w:sz w:val="22"/>
          <w:lang w:val="es-ES_tradnl"/>
        </w:rPr>
        <w:t xml:space="preserve"> que deberá establecer la entidad sin que exceda al momento</w:t>
      </w:r>
      <w:r w:rsidR="00C26B49" w:rsidRPr="005A4E9E">
        <w:rPr>
          <w:rFonts w:ascii="Arial" w:eastAsia="Calibri" w:hAnsi="Arial" w:cs="Arial"/>
          <w:sz w:val="22"/>
          <w:lang w:val="es-ES_tradnl"/>
        </w:rPr>
        <w:t xml:space="preserve"> previo al inicio de la audiencia de subasta. </w:t>
      </w:r>
    </w:p>
    <w:p w14:paraId="7ACC463A" w14:textId="01E3B46B" w:rsidR="00D56DF2" w:rsidRPr="005A4E9E" w:rsidRDefault="00D56DF2" w:rsidP="005B4DC8">
      <w:pPr>
        <w:spacing w:line="276" w:lineRule="auto"/>
        <w:jc w:val="both"/>
        <w:rPr>
          <w:rFonts w:ascii="Arial" w:eastAsia="Calibri" w:hAnsi="Arial" w:cs="Arial"/>
          <w:sz w:val="22"/>
          <w:lang w:val="es-ES_tradnl"/>
        </w:rPr>
      </w:pPr>
    </w:p>
    <w:p w14:paraId="1F35E48F" w14:textId="77777777" w:rsidR="00BA22A9" w:rsidRPr="005A4E9E" w:rsidRDefault="00BA22A9" w:rsidP="00BA22A9">
      <w:pPr>
        <w:pStyle w:val="Prrafodelista"/>
        <w:numPr>
          <w:ilvl w:val="0"/>
          <w:numId w:val="8"/>
        </w:numPr>
        <w:tabs>
          <w:tab w:val="left" w:pos="284"/>
        </w:tabs>
        <w:spacing w:line="276" w:lineRule="auto"/>
        <w:ind w:left="0" w:firstLine="0"/>
        <w:rPr>
          <w:rFonts w:ascii="Arial" w:eastAsia="Calibri" w:hAnsi="Arial" w:cs="Arial"/>
          <w:b/>
          <w:sz w:val="22"/>
        </w:rPr>
      </w:pPr>
      <w:r w:rsidRPr="005A4E9E">
        <w:rPr>
          <w:rFonts w:ascii="Arial" w:eastAsia="Calibri" w:hAnsi="Arial" w:cs="Arial"/>
          <w:b/>
          <w:sz w:val="22"/>
        </w:rPr>
        <w:t>Respuesta</w:t>
      </w:r>
    </w:p>
    <w:p w14:paraId="718E0C0D" w14:textId="77777777" w:rsidR="00BA22A9" w:rsidRPr="005A4E9E" w:rsidRDefault="00BA22A9" w:rsidP="00B10353">
      <w:pPr>
        <w:spacing w:line="276" w:lineRule="auto"/>
        <w:jc w:val="both"/>
        <w:rPr>
          <w:rFonts w:ascii="Arial" w:eastAsia="Calibri" w:hAnsi="Arial" w:cs="Arial"/>
          <w:sz w:val="22"/>
        </w:rPr>
      </w:pPr>
    </w:p>
    <w:p w14:paraId="1C260313" w14:textId="27DEC5CC" w:rsidR="00A577FF" w:rsidRPr="005A4E9E" w:rsidRDefault="0094613B" w:rsidP="0094613B">
      <w:pPr>
        <w:ind w:left="709" w:right="709"/>
        <w:jc w:val="both"/>
        <w:rPr>
          <w:rFonts w:ascii="Arial" w:eastAsia="Calibri" w:hAnsi="Arial" w:cs="Arial"/>
          <w:sz w:val="21"/>
          <w:szCs w:val="21"/>
          <w:lang w:val="es-CO"/>
        </w:rPr>
      </w:pPr>
      <w:r w:rsidRPr="0094613B">
        <w:rPr>
          <w:rFonts w:ascii="Arial" w:eastAsia="Calibri" w:hAnsi="Arial" w:cs="Arial"/>
          <w:sz w:val="21"/>
          <w:szCs w:val="21"/>
          <w:lang w:val="es-CO"/>
        </w:rPr>
        <w:t>Teniendo en cuenta lo dispuesto por el artículo 5 de la Ley 1882 de 2018, usted realiza las siguientes preguntas: « […] la expresión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debe entenderse como que, únicamente es la entidad la que puede requerir documentos subsanatorios hasta antes de la realización de la subasta, o por el contrario, puede el oferente allegarlos hasta este plazo, habiendo sido requeridos en el informe de evaluación preliminar y aun cuando la entidad haya indicado como plazo máximo el traslado de la evaluación. Igualmente, […] precisar si pueden las entidades estatales señalar como término máximo para subsanar las ofertas, en la modalidad de subasta inversa, el traslado de la evaluación o esta disposición sería violatoria de la norma arriba indicada. Para finalizar, agradezco por favor dilucidar si, en una subasta inversa el oferente puede, antes de la realización de la subasta, aclarar una subsanación mal realizada, o solamente tiene una oportunidad para subsanar aun cuando la apertura de sobres no se haya llevado a cabo».</w:t>
      </w:r>
    </w:p>
    <w:p w14:paraId="05A2A7E4" w14:textId="77777777" w:rsidR="0094613B" w:rsidRPr="00CA1DFC" w:rsidRDefault="0094613B" w:rsidP="00E85CAC">
      <w:pPr>
        <w:pStyle w:val="Textoindependiente"/>
        <w:spacing w:before="120" w:beforeAutospacing="0" w:after="120" w:afterAutospacing="0" w:line="276" w:lineRule="auto"/>
        <w:jc w:val="both"/>
        <w:rPr>
          <w:rFonts w:ascii="Arial" w:hAnsi="Arial" w:cs="Arial"/>
          <w:color w:val="0C0C0C"/>
          <w:sz w:val="22"/>
          <w:szCs w:val="22"/>
        </w:rPr>
      </w:pPr>
      <w:r w:rsidRPr="00CA1DFC">
        <w:rPr>
          <w:rFonts w:ascii="Arial" w:hAnsi="Arial" w:cs="Arial"/>
          <w:color w:val="0C0C0C"/>
          <w:sz w:val="22"/>
          <w:szCs w:val="22"/>
        </w:rPr>
        <w:t>En lo que respecta a la subsanabilidad en procesos de selección en los que se</w:t>
      </w:r>
      <w:r w:rsidRPr="00CA1DFC">
        <w:rPr>
          <w:rFonts w:ascii="Arial" w:hAnsi="Arial" w:cs="Arial"/>
          <w:color w:val="0C0C0C"/>
          <w:spacing w:val="1"/>
          <w:sz w:val="22"/>
          <w:szCs w:val="22"/>
        </w:rPr>
        <w:t xml:space="preserve"> </w:t>
      </w:r>
      <w:r w:rsidRPr="00CA1DFC">
        <w:rPr>
          <w:rFonts w:ascii="Arial" w:hAnsi="Arial" w:cs="Arial"/>
          <w:color w:val="0C0C0C"/>
          <w:sz w:val="22"/>
          <w:szCs w:val="22"/>
        </w:rPr>
        <w:t xml:space="preserve">utilice el mecanismo de subasta, el parágrafo 1 del artículo 5 </w:t>
      </w:r>
      <w:r w:rsidRPr="00CA1DFC">
        <w:rPr>
          <w:rFonts w:ascii="Arial" w:hAnsi="Arial" w:cs="Arial"/>
          <w:i/>
          <w:color w:val="0C0C0C"/>
          <w:sz w:val="22"/>
          <w:szCs w:val="22"/>
        </w:rPr>
        <w:t xml:space="preserve">ibídem </w:t>
      </w:r>
      <w:r w:rsidRPr="00CA1DFC">
        <w:rPr>
          <w:rFonts w:ascii="Arial" w:hAnsi="Arial" w:cs="Arial"/>
          <w:color w:val="0C0C0C"/>
          <w:sz w:val="22"/>
          <w:szCs w:val="22"/>
        </w:rPr>
        <w:t>consagra una</w:t>
      </w:r>
      <w:r w:rsidRPr="00CA1DFC">
        <w:rPr>
          <w:rFonts w:ascii="Arial" w:hAnsi="Arial" w:cs="Arial"/>
          <w:color w:val="0C0C0C"/>
          <w:spacing w:val="1"/>
          <w:sz w:val="22"/>
          <w:szCs w:val="22"/>
        </w:rPr>
        <w:t xml:space="preserve"> </w:t>
      </w:r>
      <w:r w:rsidRPr="00CA1DFC">
        <w:rPr>
          <w:rFonts w:ascii="Arial" w:hAnsi="Arial" w:cs="Arial"/>
          <w:color w:val="0C0C0C"/>
          <w:sz w:val="22"/>
          <w:szCs w:val="22"/>
        </w:rPr>
        <w:t>excepción al término general de subsanabilidad explicado. Al respecto, el</w:t>
      </w:r>
      <w:r w:rsidRPr="00CA1DFC">
        <w:rPr>
          <w:rFonts w:ascii="Arial" w:hAnsi="Arial" w:cs="Arial"/>
          <w:color w:val="0C0C0C"/>
          <w:spacing w:val="1"/>
          <w:sz w:val="22"/>
          <w:szCs w:val="22"/>
        </w:rPr>
        <w:t xml:space="preserve"> </w:t>
      </w:r>
      <w:r w:rsidRPr="00CA1DFC">
        <w:rPr>
          <w:rFonts w:ascii="Arial" w:hAnsi="Arial" w:cs="Arial"/>
          <w:color w:val="0C0C0C"/>
          <w:sz w:val="22"/>
          <w:szCs w:val="22"/>
        </w:rPr>
        <w:t>parágrafo</w:t>
      </w:r>
      <w:r w:rsidRPr="00CA1DFC">
        <w:rPr>
          <w:rFonts w:ascii="Arial" w:hAnsi="Arial" w:cs="Arial"/>
          <w:color w:val="0C0C0C"/>
          <w:spacing w:val="-4"/>
          <w:sz w:val="22"/>
          <w:szCs w:val="22"/>
        </w:rPr>
        <w:t xml:space="preserve"> </w:t>
      </w:r>
      <w:r w:rsidRPr="00CA1DFC">
        <w:rPr>
          <w:rFonts w:ascii="Arial" w:hAnsi="Arial" w:cs="Arial"/>
          <w:color w:val="0C0C0C"/>
          <w:sz w:val="22"/>
          <w:szCs w:val="22"/>
        </w:rPr>
        <w:t>4</w:t>
      </w:r>
      <w:r w:rsidRPr="00CA1DFC">
        <w:rPr>
          <w:rFonts w:ascii="Arial" w:hAnsi="Arial" w:cs="Arial"/>
          <w:color w:val="0C0C0C"/>
          <w:spacing w:val="-5"/>
          <w:sz w:val="22"/>
          <w:szCs w:val="22"/>
        </w:rPr>
        <w:t xml:space="preserve"> </w:t>
      </w:r>
      <w:r w:rsidRPr="00CA1DFC">
        <w:rPr>
          <w:rFonts w:ascii="Arial" w:hAnsi="Arial" w:cs="Arial"/>
          <w:color w:val="0C0C0C"/>
          <w:sz w:val="22"/>
          <w:szCs w:val="22"/>
        </w:rPr>
        <w:t>del</w:t>
      </w:r>
      <w:r w:rsidRPr="00CA1DFC">
        <w:rPr>
          <w:rFonts w:ascii="Arial" w:hAnsi="Arial" w:cs="Arial"/>
          <w:color w:val="0C0C0C"/>
          <w:spacing w:val="-5"/>
          <w:sz w:val="22"/>
          <w:szCs w:val="22"/>
        </w:rPr>
        <w:t xml:space="preserve"> </w:t>
      </w:r>
      <w:r w:rsidRPr="00CA1DFC">
        <w:rPr>
          <w:rFonts w:ascii="Arial" w:hAnsi="Arial" w:cs="Arial"/>
          <w:color w:val="0C0C0C"/>
          <w:sz w:val="22"/>
          <w:szCs w:val="22"/>
        </w:rPr>
        <w:t>artículo</w:t>
      </w:r>
      <w:r w:rsidRPr="00CA1DFC">
        <w:rPr>
          <w:rFonts w:ascii="Arial" w:hAnsi="Arial" w:cs="Arial"/>
          <w:color w:val="0C0C0C"/>
          <w:spacing w:val="-4"/>
          <w:sz w:val="22"/>
          <w:szCs w:val="22"/>
        </w:rPr>
        <w:t xml:space="preserve"> </w:t>
      </w:r>
      <w:r w:rsidRPr="00CA1DFC">
        <w:rPr>
          <w:rFonts w:ascii="Arial" w:hAnsi="Arial" w:cs="Arial"/>
          <w:color w:val="0C0C0C"/>
          <w:sz w:val="22"/>
          <w:szCs w:val="22"/>
        </w:rPr>
        <w:t>5</w:t>
      </w:r>
      <w:r w:rsidRPr="00CA1DFC">
        <w:rPr>
          <w:rFonts w:ascii="Arial" w:hAnsi="Arial" w:cs="Arial"/>
          <w:color w:val="0C0C0C"/>
          <w:spacing w:val="-4"/>
          <w:sz w:val="22"/>
          <w:szCs w:val="22"/>
        </w:rPr>
        <w:t xml:space="preserve"> </w:t>
      </w:r>
      <w:r w:rsidRPr="00CA1DFC">
        <w:rPr>
          <w:rFonts w:ascii="Arial" w:hAnsi="Arial" w:cs="Arial"/>
          <w:color w:val="0C0C0C"/>
          <w:sz w:val="22"/>
          <w:szCs w:val="22"/>
        </w:rPr>
        <w:t>de</w:t>
      </w:r>
      <w:r w:rsidRPr="00CA1DFC">
        <w:rPr>
          <w:rFonts w:ascii="Arial" w:hAnsi="Arial" w:cs="Arial"/>
          <w:color w:val="0C0C0C"/>
          <w:spacing w:val="-5"/>
          <w:sz w:val="22"/>
          <w:szCs w:val="22"/>
        </w:rPr>
        <w:t xml:space="preserve"> </w:t>
      </w:r>
      <w:r w:rsidRPr="00CA1DFC">
        <w:rPr>
          <w:rFonts w:ascii="Arial" w:hAnsi="Arial" w:cs="Arial"/>
          <w:color w:val="0C0C0C"/>
          <w:sz w:val="22"/>
          <w:szCs w:val="22"/>
        </w:rPr>
        <w:t>la</w:t>
      </w:r>
      <w:r w:rsidRPr="00CA1DFC">
        <w:rPr>
          <w:rFonts w:ascii="Arial" w:hAnsi="Arial" w:cs="Arial"/>
          <w:color w:val="0C0C0C"/>
          <w:spacing w:val="-5"/>
          <w:sz w:val="22"/>
          <w:szCs w:val="22"/>
        </w:rPr>
        <w:t xml:space="preserve"> </w:t>
      </w:r>
      <w:r w:rsidRPr="00CA1DFC">
        <w:rPr>
          <w:rFonts w:ascii="Arial" w:hAnsi="Arial" w:cs="Arial"/>
          <w:color w:val="0C0C0C"/>
          <w:sz w:val="22"/>
          <w:szCs w:val="22"/>
        </w:rPr>
        <w:t>Ley</w:t>
      </w:r>
      <w:r w:rsidRPr="00CA1DFC">
        <w:rPr>
          <w:rFonts w:ascii="Arial" w:hAnsi="Arial" w:cs="Arial"/>
          <w:color w:val="0C0C0C"/>
          <w:spacing w:val="-5"/>
          <w:sz w:val="22"/>
          <w:szCs w:val="22"/>
        </w:rPr>
        <w:t xml:space="preserve"> </w:t>
      </w:r>
      <w:r w:rsidRPr="00CA1DFC">
        <w:rPr>
          <w:rFonts w:ascii="Arial" w:hAnsi="Arial" w:cs="Arial"/>
          <w:color w:val="0C0C0C"/>
          <w:sz w:val="22"/>
          <w:szCs w:val="22"/>
        </w:rPr>
        <w:t>1150</w:t>
      </w:r>
      <w:r w:rsidRPr="00CA1DFC">
        <w:rPr>
          <w:rFonts w:ascii="Arial" w:hAnsi="Arial" w:cs="Arial"/>
          <w:color w:val="0C0C0C"/>
          <w:spacing w:val="-4"/>
          <w:sz w:val="22"/>
          <w:szCs w:val="22"/>
        </w:rPr>
        <w:t xml:space="preserve"> </w:t>
      </w:r>
      <w:r w:rsidRPr="00CA1DFC">
        <w:rPr>
          <w:rFonts w:ascii="Arial" w:hAnsi="Arial" w:cs="Arial"/>
          <w:color w:val="0C0C0C"/>
          <w:sz w:val="22"/>
          <w:szCs w:val="22"/>
        </w:rPr>
        <w:t>de</w:t>
      </w:r>
      <w:r w:rsidRPr="00CA1DFC">
        <w:rPr>
          <w:rFonts w:ascii="Arial" w:hAnsi="Arial" w:cs="Arial"/>
          <w:color w:val="0C0C0C"/>
          <w:spacing w:val="-5"/>
          <w:sz w:val="22"/>
          <w:szCs w:val="22"/>
        </w:rPr>
        <w:t xml:space="preserve"> </w:t>
      </w:r>
      <w:r w:rsidRPr="00CA1DFC">
        <w:rPr>
          <w:rFonts w:ascii="Arial" w:hAnsi="Arial" w:cs="Arial"/>
          <w:color w:val="0C0C0C"/>
          <w:sz w:val="22"/>
          <w:szCs w:val="22"/>
        </w:rPr>
        <w:t>2007,</w:t>
      </w:r>
      <w:r w:rsidRPr="00CA1DFC">
        <w:rPr>
          <w:rFonts w:ascii="Arial" w:hAnsi="Arial" w:cs="Arial"/>
          <w:color w:val="0C0C0C"/>
          <w:spacing w:val="-5"/>
          <w:sz w:val="22"/>
          <w:szCs w:val="22"/>
        </w:rPr>
        <w:t xml:space="preserve"> </w:t>
      </w:r>
      <w:r w:rsidRPr="00CA1DFC">
        <w:rPr>
          <w:rFonts w:ascii="Arial" w:hAnsi="Arial" w:cs="Arial"/>
          <w:color w:val="0C0C0C"/>
          <w:sz w:val="22"/>
          <w:szCs w:val="22"/>
        </w:rPr>
        <w:t>adicionado</w:t>
      </w:r>
      <w:r w:rsidRPr="00CA1DFC">
        <w:rPr>
          <w:rFonts w:ascii="Arial" w:hAnsi="Arial" w:cs="Arial"/>
          <w:color w:val="0C0C0C"/>
          <w:spacing w:val="-4"/>
          <w:sz w:val="22"/>
          <w:szCs w:val="22"/>
        </w:rPr>
        <w:t xml:space="preserve"> </w:t>
      </w:r>
      <w:r w:rsidRPr="00CA1DFC">
        <w:rPr>
          <w:rFonts w:ascii="Arial" w:hAnsi="Arial" w:cs="Arial"/>
          <w:color w:val="0C0C0C"/>
          <w:sz w:val="22"/>
          <w:szCs w:val="22"/>
        </w:rPr>
        <w:t>por</w:t>
      </w:r>
      <w:r w:rsidRPr="00CA1DFC">
        <w:rPr>
          <w:rFonts w:ascii="Arial" w:hAnsi="Arial" w:cs="Arial"/>
          <w:color w:val="0C0C0C"/>
          <w:spacing w:val="-5"/>
          <w:sz w:val="22"/>
          <w:szCs w:val="22"/>
        </w:rPr>
        <w:t xml:space="preserve"> </w:t>
      </w:r>
      <w:r w:rsidRPr="00CA1DFC">
        <w:rPr>
          <w:rFonts w:ascii="Arial" w:hAnsi="Arial" w:cs="Arial"/>
          <w:color w:val="0C0C0C"/>
          <w:sz w:val="22"/>
          <w:szCs w:val="22"/>
        </w:rPr>
        <w:t>el</w:t>
      </w:r>
      <w:r w:rsidRPr="00CA1DFC">
        <w:rPr>
          <w:rFonts w:ascii="Arial" w:hAnsi="Arial" w:cs="Arial"/>
          <w:color w:val="0C0C0C"/>
          <w:spacing w:val="-4"/>
          <w:sz w:val="22"/>
          <w:szCs w:val="22"/>
        </w:rPr>
        <w:t xml:space="preserve"> </w:t>
      </w:r>
      <w:r w:rsidRPr="00CA1DFC">
        <w:rPr>
          <w:rFonts w:ascii="Arial" w:hAnsi="Arial" w:cs="Arial"/>
          <w:color w:val="0C0C0C"/>
          <w:sz w:val="22"/>
          <w:szCs w:val="22"/>
        </w:rPr>
        <w:t>artículo</w:t>
      </w:r>
      <w:r w:rsidRPr="00CA1DFC">
        <w:rPr>
          <w:rFonts w:ascii="Arial" w:hAnsi="Arial" w:cs="Arial"/>
          <w:color w:val="0C0C0C"/>
          <w:spacing w:val="-4"/>
          <w:sz w:val="22"/>
          <w:szCs w:val="22"/>
        </w:rPr>
        <w:t xml:space="preserve"> </w:t>
      </w:r>
      <w:r w:rsidRPr="00CA1DFC">
        <w:rPr>
          <w:rFonts w:ascii="Arial" w:hAnsi="Arial" w:cs="Arial"/>
          <w:color w:val="0C0C0C"/>
          <w:sz w:val="22"/>
          <w:szCs w:val="22"/>
        </w:rPr>
        <w:t>5</w:t>
      </w:r>
      <w:r w:rsidRPr="00CA1DFC">
        <w:rPr>
          <w:rFonts w:ascii="Arial" w:hAnsi="Arial" w:cs="Arial"/>
          <w:color w:val="0C0C0C"/>
          <w:spacing w:val="-5"/>
          <w:sz w:val="22"/>
          <w:szCs w:val="22"/>
        </w:rPr>
        <w:t xml:space="preserve"> </w:t>
      </w:r>
      <w:r w:rsidRPr="00CA1DFC">
        <w:rPr>
          <w:rFonts w:ascii="Arial" w:hAnsi="Arial" w:cs="Arial"/>
          <w:color w:val="0C0C0C"/>
          <w:sz w:val="22"/>
          <w:szCs w:val="22"/>
        </w:rPr>
        <w:t>de</w:t>
      </w:r>
      <w:r w:rsidRPr="00CA1DFC">
        <w:rPr>
          <w:rFonts w:ascii="Arial" w:hAnsi="Arial" w:cs="Arial"/>
          <w:color w:val="0C0C0C"/>
          <w:spacing w:val="-5"/>
          <w:sz w:val="22"/>
          <w:szCs w:val="22"/>
        </w:rPr>
        <w:t xml:space="preserve"> </w:t>
      </w:r>
      <w:r w:rsidRPr="00CA1DFC">
        <w:rPr>
          <w:rFonts w:ascii="Arial" w:hAnsi="Arial" w:cs="Arial"/>
          <w:color w:val="0C0C0C"/>
          <w:sz w:val="22"/>
          <w:szCs w:val="22"/>
        </w:rPr>
        <w:t>la</w:t>
      </w:r>
      <w:r w:rsidRPr="00CA1DFC">
        <w:rPr>
          <w:rFonts w:ascii="Arial" w:hAnsi="Arial" w:cs="Arial"/>
          <w:color w:val="0C0C0C"/>
          <w:spacing w:val="-4"/>
          <w:sz w:val="22"/>
          <w:szCs w:val="22"/>
        </w:rPr>
        <w:t xml:space="preserve"> </w:t>
      </w:r>
      <w:r w:rsidRPr="00CA1DFC">
        <w:rPr>
          <w:rFonts w:ascii="Arial" w:hAnsi="Arial" w:cs="Arial"/>
          <w:color w:val="0C0C0C"/>
          <w:sz w:val="22"/>
          <w:szCs w:val="22"/>
        </w:rPr>
        <w:t>Ley</w:t>
      </w:r>
      <w:r w:rsidRPr="00CA1DFC">
        <w:rPr>
          <w:rFonts w:ascii="Arial" w:hAnsi="Arial" w:cs="Arial"/>
          <w:color w:val="0C0C0C"/>
          <w:spacing w:val="1"/>
          <w:sz w:val="22"/>
          <w:szCs w:val="22"/>
        </w:rPr>
        <w:t xml:space="preserve"> </w:t>
      </w:r>
      <w:r w:rsidRPr="00CA1DFC">
        <w:rPr>
          <w:rFonts w:ascii="Arial" w:hAnsi="Arial" w:cs="Arial"/>
          <w:color w:val="0C0C0C"/>
          <w:sz w:val="22"/>
          <w:szCs w:val="22"/>
        </w:rPr>
        <w:t>1882 de 2018, dispone que «En aquellos procesos de selección en los que se utilice el</w:t>
      </w:r>
      <w:r w:rsidRPr="00CA1DFC">
        <w:rPr>
          <w:rFonts w:ascii="Arial" w:hAnsi="Arial" w:cs="Arial"/>
          <w:color w:val="0C0C0C"/>
          <w:spacing w:val="-59"/>
          <w:sz w:val="22"/>
          <w:szCs w:val="22"/>
        </w:rPr>
        <w:t xml:space="preserve"> </w:t>
      </w:r>
      <w:r w:rsidRPr="00CA1DFC">
        <w:rPr>
          <w:rFonts w:ascii="Arial" w:hAnsi="Arial" w:cs="Arial"/>
          <w:color w:val="0C0C0C"/>
          <w:sz w:val="22"/>
          <w:szCs w:val="22"/>
        </w:rPr>
        <w:t>mecanismo</w:t>
      </w:r>
      <w:r w:rsidRPr="00CA1DFC">
        <w:rPr>
          <w:rFonts w:ascii="Arial" w:hAnsi="Arial" w:cs="Arial"/>
          <w:color w:val="0C0C0C"/>
          <w:spacing w:val="1"/>
          <w:sz w:val="22"/>
          <w:szCs w:val="22"/>
        </w:rPr>
        <w:t xml:space="preserve"> </w:t>
      </w:r>
      <w:r w:rsidRPr="00CA1DFC">
        <w:rPr>
          <w:rFonts w:ascii="Arial" w:hAnsi="Arial" w:cs="Arial"/>
          <w:color w:val="0C0C0C"/>
          <w:sz w:val="22"/>
          <w:szCs w:val="22"/>
        </w:rPr>
        <w:t>de</w:t>
      </w:r>
      <w:r w:rsidRPr="00CA1DFC">
        <w:rPr>
          <w:rFonts w:ascii="Arial" w:hAnsi="Arial" w:cs="Arial"/>
          <w:color w:val="0C0C0C"/>
          <w:spacing w:val="1"/>
          <w:sz w:val="22"/>
          <w:szCs w:val="22"/>
        </w:rPr>
        <w:t xml:space="preserve"> </w:t>
      </w:r>
      <w:r w:rsidRPr="00CA1DFC">
        <w:rPr>
          <w:rFonts w:ascii="Arial" w:hAnsi="Arial" w:cs="Arial"/>
          <w:color w:val="0C0C0C"/>
          <w:sz w:val="22"/>
          <w:szCs w:val="22"/>
        </w:rPr>
        <w:t>subasta,</w:t>
      </w:r>
      <w:r w:rsidRPr="00CA1DFC">
        <w:rPr>
          <w:rFonts w:ascii="Arial" w:hAnsi="Arial" w:cs="Arial"/>
          <w:color w:val="0C0C0C"/>
          <w:spacing w:val="1"/>
          <w:sz w:val="22"/>
          <w:szCs w:val="22"/>
        </w:rPr>
        <w:t xml:space="preserve"> </w:t>
      </w:r>
      <w:r w:rsidRPr="00CA1DFC">
        <w:rPr>
          <w:rFonts w:ascii="Arial" w:hAnsi="Arial" w:cs="Arial"/>
          <w:color w:val="0C0C0C"/>
          <w:sz w:val="22"/>
          <w:szCs w:val="22"/>
        </w:rPr>
        <w:t>los</w:t>
      </w:r>
      <w:r w:rsidRPr="00CA1DFC">
        <w:rPr>
          <w:rFonts w:ascii="Arial" w:hAnsi="Arial" w:cs="Arial"/>
          <w:color w:val="0C0C0C"/>
          <w:spacing w:val="1"/>
          <w:sz w:val="22"/>
          <w:szCs w:val="22"/>
        </w:rPr>
        <w:t xml:space="preserve"> </w:t>
      </w:r>
      <w:r w:rsidRPr="00CA1DFC">
        <w:rPr>
          <w:rFonts w:ascii="Arial" w:hAnsi="Arial" w:cs="Arial"/>
          <w:color w:val="0C0C0C"/>
          <w:sz w:val="22"/>
          <w:szCs w:val="22"/>
        </w:rPr>
        <w:t>documentos</w:t>
      </w:r>
      <w:r w:rsidRPr="00CA1DFC">
        <w:rPr>
          <w:rFonts w:ascii="Arial" w:hAnsi="Arial" w:cs="Arial"/>
          <w:color w:val="0C0C0C"/>
          <w:spacing w:val="1"/>
          <w:sz w:val="22"/>
          <w:szCs w:val="22"/>
        </w:rPr>
        <w:t xml:space="preserve"> </w:t>
      </w:r>
      <w:r w:rsidRPr="00CA1DFC">
        <w:rPr>
          <w:rFonts w:ascii="Arial" w:hAnsi="Arial" w:cs="Arial"/>
          <w:color w:val="0C0C0C"/>
          <w:sz w:val="22"/>
          <w:szCs w:val="22"/>
        </w:rPr>
        <w:t>referentes</w:t>
      </w:r>
      <w:r w:rsidRPr="00CA1DFC">
        <w:rPr>
          <w:rFonts w:ascii="Arial" w:hAnsi="Arial" w:cs="Arial"/>
          <w:color w:val="0C0C0C"/>
          <w:spacing w:val="1"/>
          <w:sz w:val="22"/>
          <w:szCs w:val="22"/>
        </w:rPr>
        <w:t xml:space="preserve"> </w:t>
      </w:r>
      <w:r w:rsidRPr="00CA1DFC">
        <w:rPr>
          <w:rFonts w:ascii="Arial" w:hAnsi="Arial" w:cs="Arial"/>
          <w:color w:val="0C0C0C"/>
          <w:sz w:val="22"/>
          <w:szCs w:val="22"/>
        </w:rPr>
        <w:t>a</w:t>
      </w:r>
      <w:r w:rsidRPr="00CA1DFC">
        <w:rPr>
          <w:rFonts w:ascii="Arial" w:hAnsi="Arial" w:cs="Arial"/>
          <w:color w:val="0C0C0C"/>
          <w:spacing w:val="1"/>
          <w:sz w:val="22"/>
          <w:szCs w:val="22"/>
        </w:rPr>
        <w:t xml:space="preserve"> </w:t>
      </w:r>
      <w:r w:rsidRPr="00CA1DFC">
        <w:rPr>
          <w:rFonts w:ascii="Arial" w:hAnsi="Arial" w:cs="Arial"/>
          <w:color w:val="0C0C0C"/>
          <w:sz w:val="22"/>
          <w:szCs w:val="22"/>
        </w:rPr>
        <w:t>la</w:t>
      </w:r>
      <w:r w:rsidRPr="00CA1DFC">
        <w:rPr>
          <w:rFonts w:ascii="Arial" w:hAnsi="Arial" w:cs="Arial"/>
          <w:color w:val="0C0C0C"/>
          <w:spacing w:val="1"/>
          <w:sz w:val="22"/>
          <w:szCs w:val="22"/>
        </w:rPr>
        <w:t xml:space="preserve"> </w:t>
      </w:r>
      <w:r w:rsidRPr="00CA1DFC">
        <w:rPr>
          <w:rFonts w:ascii="Arial" w:hAnsi="Arial" w:cs="Arial"/>
          <w:color w:val="0C0C0C"/>
          <w:sz w:val="22"/>
          <w:szCs w:val="22"/>
        </w:rPr>
        <w:t>futura</w:t>
      </w:r>
      <w:r w:rsidRPr="00CA1DFC">
        <w:rPr>
          <w:rFonts w:ascii="Arial" w:hAnsi="Arial" w:cs="Arial"/>
          <w:color w:val="0C0C0C"/>
          <w:spacing w:val="1"/>
          <w:sz w:val="22"/>
          <w:szCs w:val="22"/>
        </w:rPr>
        <w:t xml:space="preserve"> </w:t>
      </w:r>
      <w:r w:rsidRPr="00CA1DFC">
        <w:rPr>
          <w:rFonts w:ascii="Arial" w:hAnsi="Arial" w:cs="Arial"/>
          <w:color w:val="0C0C0C"/>
          <w:sz w:val="22"/>
          <w:szCs w:val="22"/>
        </w:rPr>
        <w:t>contratación</w:t>
      </w:r>
      <w:r w:rsidRPr="00CA1DFC">
        <w:rPr>
          <w:rFonts w:ascii="Arial" w:hAnsi="Arial" w:cs="Arial"/>
          <w:color w:val="0C0C0C"/>
          <w:spacing w:val="1"/>
          <w:sz w:val="22"/>
          <w:szCs w:val="22"/>
        </w:rPr>
        <w:t xml:space="preserve"> </w:t>
      </w:r>
      <w:r w:rsidRPr="00CA1DFC">
        <w:rPr>
          <w:rFonts w:ascii="Arial" w:hAnsi="Arial" w:cs="Arial"/>
          <w:color w:val="0C0C0C"/>
          <w:sz w:val="22"/>
          <w:szCs w:val="22"/>
        </w:rPr>
        <w:t>o</w:t>
      </w:r>
      <w:r w:rsidRPr="00CA1DFC">
        <w:rPr>
          <w:rFonts w:ascii="Arial" w:hAnsi="Arial" w:cs="Arial"/>
          <w:color w:val="0C0C0C"/>
          <w:spacing w:val="1"/>
          <w:sz w:val="22"/>
          <w:szCs w:val="22"/>
        </w:rPr>
        <w:t xml:space="preserve"> </w:t>
      </w:r>
      <w:r w:rsidRPr="00CA1DFC">
        <w:rPr>
          <w:rFonts w:ascii="Arial" w:hAnsi="Arial" w:cs="Arial"/>
          <w:color w:val="0C0C0C"/>
          <w:sz w:val="22"/>
          <w:szCs w:val="22"/>
        </w:rPr>
        <w:t>al</w:t>
      </w:r>
      <w:r w:rsidRPr="00CA1DFC">
        <w:rPr>
          <w:rFonts w:ascii="Arial" w:hAnsi="Arial" w:cs="Arial"/>
          <w:color w:val="0C0C0C"/>
          <w:spacing w:val="1"/>
          <w:sz w:val="22"/>
          <w:szCs w:val="22"/>
        </w:rPr>
        <w:t xml:space="preserve"> </w:t>
      </w:r>
      <w:r w:rsidRPr="00CA1DFC">
        <w:rPr>
          <w:rFonts w:ascii="Arial" w:hAnsi="Arial" w:cs="Arial"/>
          <w:color w:val="0C0C0C"/>
          <w:sz w:val="22"/>
          <w:szCs w:val="22"/>
        </w:rPr>
        <w:t>proponente,</w:t>
      </w:r>
      <w:r w:rsidRPr="00CA1DFC">
        <w:rPr>
          <w:rFonts w:ascii="Arial" w:hAnsi="Arial" w:cs="Arial"/>
          <w:color w:val="0C0C0C"/>
          <w:spacing w:val="1"/>
          <w:sz w:val="22"/>
          <w:szCs w:val="22"/>
        </w:rPr>
        <w:t xml:space="preserve"> </w:t>
      </w:r>
      <w:r w:rsidRPr="00CA1DFC">
        <w:rPr>
          <w:rFonts w:ascii="Arial" w:hAnsi="Arial" w:cs="Arial"/>
          <w:color w:val="0C0C0C"/>
          <w:sz w:val="22"/>
          <w:szCs w:val="22"/>
        </w:rPr>
        <w:t>no</w:t>
      </w:r>
      <w:r w:rsidRPr="00CA1DFC">
        <w:rPr>
          <w:rFonts w:ascii="Arial" w:hAnsi="Arial" w:cs="Arial"/>
          <w:color w:val="0C0C0C"/>
          <w:spacing w:val="1"/>
          <w:sz w:val="22"/>
          <w:szCs w:val="22"/>
        </w:rPr>
        <w:t xml:space="preserve"> </w:t>
      </w:r>
      <w:r w:rsidRPr="00CA1DFC">
        <w:rPr>
          <w:rFonts w:ascii="Arial" w:hAnsi="Arial" w:cs="Arial"/>
          <w:color w:val="0C0C0C"/>
          <w:sz w:val="22"/>
          <w:szCs w:val="22"/>
        </w:rPr>
        <w:t>necesarios</w:t>
      </w:r>
      <w:r w:rsidRPr="00CA1DFC">
        <w:rPr>
          <w:rFonts w:ascii="Arial" w:hAnsi="Arial" w:cs="Arial"/>
          <w:color w:val="0C0C0C"/>
          <w:spacing w:val="1"/>
          <w:sz w:val="22"/>
          <w:szCs w:val="22"/>
        </w:rPr>
        <w:t xml:space="preserve"> </w:t>
      </w:r>
      <w:r w:rsidRPr="00CA1DFC">
        <w:rPr>
          <w:rFonts w:ascii="Arial" w:hAnsi="Arial" w:cs="Arial"/>
          <w:color w:val="0C0C0C"/>
          <w:sz w:val="22"/>
          <w:szCs w:val="22"/>
        </w:rPr>
        <w:t>para</w:t>
      </w:r>
      <w:r w:rsidRPr="00CA1DFC">
        <w:rPr>
          <w:rFonts w:ascii="Arial" w:hAnsi="Arial" w:cs="Arial"/>
          <w:color w:val="0C0C0C"/>
          <w:spacing w:val="1"/>
          <w:sz w:val="22"/>
          <w:szCs w:val="22"/>
        </w:rPr>
        <w:t xml:space="preserve"> </w:t>
      </w:r>
      <w:r w:rsidRPr="00CA1DFC">
        <w:rPr>
          <w:rFonts w:ascii="Arial" w:hAnsi="Arial" w:cs="Arial"/>
          <w:color w:val="0C0C0C"/>
          <w:sz w:val="22"/>
          <w:szCs w:val="22"/>
        </w:rPr>
        <w:t>la</w:t>
      </w:r>
      <w:r w:rsidRPr="00CA1DFC">
        <w:rPr>
          <w:rFonts w:ascii="Arial" w:hAnsi="Arial" w:cs="Arial"/>
          <w:color w:val="0C0C0C"/>
          <w:spacing w:val="1"/>
          <w:sz w:val="22"/>
          <w:szCs w:val="22"/>
        </w:rPr>
        <w:t xml:space="preserve"> </w:t>
      </w:r>
      <w:r w:rsidRPr="00CA1DFC">
        <w:rPr>
          <w:rFonts w:ascii="Arial" w:hAnsi="Arial" w:cs="Arial"/>
          <w:color w:val="0C0C0C"/>
          <w:sz w:val="22"/>
          <w:szCs w:val="22"/>
        </w:rPr>
        <w:t>comparación</w:t>
      </w:r>
      <w:r w:rsidRPr="00CA1DFC">
        <w:rPr>
          <w:rFonts w:ascii="Arial" w:hAnsi="Arial" w:cs="Arial"/>
          <w:color w:val="0C0C0C"/>
          <w:spacing w:val="1"/>
          <w:sz w:val="22"/>
          <w:szCs w:val="22"/>
        </w:rPr>
        <w:t xml:space="preserve"> </w:t>
      </w:r>
      <w:r w:rsidRPr="00CA1DFC">
        <w:rPr>
          <w:rFonts w:ascii="Arial" w:hAnsi="Arial" w:cs="Arial"/>
          <w:color w:val="0C0C0C"/>
          <w:sz w:val="22"/>
          <w:szCs w:val="22"/>
        </w:rPr>
        <w:t>de</w:t>
      </w:r>
      <w:r w:rsidRPr="00CA1DFC">
        <w:rPr>
          <w:rFonts w:ascii="Arial" w:hAnsi="Arial" w:cs="Arial"/>
          <w:color w:val="0C0C0C"/>
          <w:spacing w:val="1"/>
          <w:sz w:val="22"/>
          <w:szCs w:val="22"/>
        </w:rPr>
        <w:t xml:space="preserve"> </w:t>
      </w:r>
      <w:r w:rsidRPr="00CA1DFC">
        <w:rPr>
          <w:rFonts w:ascii="Arial" w:hAnsi="Arial" w:cs="Arial"/>
          <w:color w:val="0C0C0C"/>
          <w:sz w:val="22"/>
          <w:szCs w:val="22"/>
        </w:rPr>
        <w:t>las</w:t>
      </w:r>
      <w:r w:rsidRPr="00CA1DFC">
        <w:rPr>
          <w:rFonts w:ascii="Arial" w:hAnsi="Arial" w:cs="Arial"/>
          <w:color w:val="0C0C0C"/>
          <w:spacing w:val="1"/>
          <w:sz w:val="22"/>
          <w:szCs w:val="22"/>
        </w:rPr>
        <w:t xml:space="preserve"> </w:t>
      </w:r>
      <w:r w:rsidRPr="00CA1DFC">
        <w:rPr>
          <w:rFonts w:ascii="Arial" w:hAnsi="Arial" w:cs="Arial"/>
          <w:color w:val="0C0C0C"/>
          <w:sz w:val="22"/>
          <w:szCs w:val="22"/>
        </w:rPr>
        <w:t>propuestas,</w:t>
      </w:r>
      <w:r w:rsidRPr="00CA1DFC">
        <w:rPr>
          <w:rFonts w:ascii="Arial" w:hAnsi="Arial" w:cs="Arial"/>
          <w:color w:val="0C0C0C"/>
          <w:spacing w:val="1"/>
          <w:sz w:val="22"/>
          <w:szCs w:val="22"/>
        </w:rPr>
        <w:t xml:space="preserve"> </w:t>
      </w:r>
      <w:r w:rsidRPr="00CA1DFC">
        <w:rPr>
          <w:rFonts w:ascii="Arial" w:hAnsi="Arial" w:cs="Arial"/>
          <w:color w:val="0C0C0C"/>
          <w:sz w:val="22"/>
          <w:szCs w:val="22"/>
        </w:rPr>
        <w:t>deberán</w:t>
      </w:r>
      <w:r w:rsidRPr="00CA1DFC">
        <w:rPr>
          <w:rFonts w:ascii="Arial" w:hAnsi="Arial" w:cs="Arial"/>
          <w:color w:val="0C0C0C"/>
          <w:spacing w:val="1"/>
          <w:sz w:val="22"/>
          <w:szCs w:val="22"/>
        </w:rPr>
        <w:t xml:space="preserve"> </w:t>
      </w:r>
      <w:r w:rsidRPr="00CA1DFC">
        <w:rPr>
          <w:rFonts w:ascii="Arial" w:hAnsi="Arial" w:cs="Arial"/>
          <w:color w:val="0C0C0C"/>
          <w:sz w:val="22"/>
          <w:szCs w:val="22"/>
        </w:rPr>
        <w:t>ser</w:t>
      </w:r>
      <w:r w:rsidRPr="00CA1DFC">
        <w:rPr>
          <w:rFonts w:ascii="Arial" w:hAnsi="Arial" w:cs="Arial"/>
          <w:color w:val="0C0C0C"/>
          <w:spacing w:val="1"/>
          <w:sz w:val="22"/>
          <w:szCs w:val="22"/>
        </w:rPr>
        <w:t xml:space="preserve"> </w:t>
      </w:r>
      <w:r w:rsidRPr="00CA1DFC">
        <w:rPr>
          <w:rFonts w:ascii="Arial" w:hAnsi="Arial" w:cs="Arial"/>
          <w:color w:val="0C0C0C"/>
          <w:sz w:val="22"/>
          <w:szCs w:val="22"/>
        </w:rPr>
        <w:t>solicitados</w:t>
      </w:r>
      <w:r w:rsidRPr="00CA1DFC">
        <w:rPr>
          <w:rFonts w:ascii="Arial" w:hAnsi="Arial" w:cs="Arial"/>
          <w:color w:val="0C0C0C"/>
          <w:spacing w:val="-2"/>
          <w:sz w:val="22"/>
          <w:szCs w:val="22"/>
        </w:rPr>
        <w:t xml:space="preserve"> </w:t>
      </w:r>
      <w:r w:rsidRPr="00CA1DFC">
        <w:rPr>
          <w:rFonts w:ascii="Arial" w:hAnsi="Arial" w:cs="Arial"/>
          <w:color w:val="0C0C0C"/>
          <w:sz w:val="22"/>
          <w:szCs w:val="22"/>
        </w:rPr>
        <w:t>hasta</w:t>
      </w:r>
      <w:r w:rsidRPr="00CA1DFC">
        <w:rPr>
          <w:rFonts w:ascii="Arial" w:hAnsi="Arial" w:cs="Arial"/>
          <w:color w:val="0C0C0C"/>
          <w:spacing w:val="-1"/>
          <w:sz w:val="22"/>
          <w:szCs w:val="22"/>
        </w:rPr>
        <w:t xml:space="preserve"> </w:t>
      </w:r>
      <w:r w:rsidRPr="00CA1DFC">
        <w:rPr>
          <w:rFonts w:ascii="Arial" w:hAnsi="Arial" w:cs="Arial"/>
          <w:color w:val="0C0C0C"/>
          <w:sz w:val="22"/>
          <w:szCs w:val="22"/>
        </w:rPr>
        <w:t>el</w:t>
      </w:r>
      <w:r w:rsidRPr="00CA1DFC">
        <w:rPr>
          <w:rFonts w:ascii="Arial" w:hAnsi="Arial" w:cs="Arial"/>
          <w:color w:val="0C0C0C"/>
          <w:spacing w:val="-1"/>
          <w:sz w:val="22"/>
          <w:szCs w:val="22"/>
        </w:rPr>
        <w:t xml:space="preserve"> </w:t>
      </w:r>
      <w:r w:rsidRPr="00CA1DFC">
        <w:rPr>
          <w:rFonts w:ascii="Arial" w:hAnsi="Arial" w:cs="Arial"/>
          <w:color w:val="0C0C0C"/>
          <w:sz w:val="22"/>
          <w:szCs w:val="22"/>
        </w:rPr>
        <w:t>momento</w:t>
      </w:r>
      <w:r w:rsidRPr="00CA1DFC">
        <w:rPr>
          <w:rFonts w:ascii="Arial" w:hAnsi="Arial" w:cs="Arial"/>
          <w:color w:val="0C0C0C"/>
          <w:spacing w:val="-1"/>
          <w:sz w:val="22"/>
          <w:szCs w:val="22"/>
        </w:rPr>
        <w:t xml:space="preserve"> </w:t>
      </w:r>
      <w:r w:rsidRPr="00CA1DFC">
        <w:rPr>
          <w:rFonts w:ascii="Arial" w:hAnsi="Arial" w:cs="Arial"/>
          <w:color w:val="0C0C0C"/>
          <w:sz w:val="22"/>
          <w:szCs w:val="22"/>
        </w:rPr>
        <w:t>previo</w:t>
      </w:r>
      <w:r w:rsidRPr="00CA1DFC">
        <w:rPr>
          <w:rFonts w:ascii="Arial" w:hAnsi="Arial" w:cs="Arial"/>
          <w:color w:val="0C0C0C"/>
          <w:spacing w:val="-1"/>
          <w:sz w:val="22"/>
          <w:szCs w:val="22"/>
        </w:rPr>
        <w:t xml:space="preserve"> </w:t>
      </w:r>
      <w:r w:rsidRPr="00CA1DFC">
        <w:rPr>
          <w:rFonts w:ascii="Arial" w:hAnsi="Arial" w:cs="Arial"/>
          <w:color w:val="0C0C0C"/>
          <w:sz w:val="22"/>
          <w:szCs w:val="22"/>
        </w:rPr>
        <w:t>a</w:t>
      </w:r>
      <w:r w:rsidRPr="00CA1DFC">
        <w:rPr>
          <w:rFonts w:ascii="Arial" w:hAnsi="Arial" w:cs="Arial"/>
          <w:color w:val="0C0C0C"/>
          <w:spacing w:val="-1"/>
          <w:sz w:val="22"/>
          <w:szCs w:val="22"/>
        </w:rPr>
        <w:t xml:space="preserve"> </w:t>
      </w:r>
      <w:r w:rsidRPr="00CA1DFC">
        <w:rPr>
          <w:rFonts w:ascii="Arial" w:hAnsi="Arial" w:cs="Arial"/>
          <w:color w:val="0C0C0C"/>
          <w:sz w:val="22"/>
          <w:szCs w:val="22"/>
        </w:rPr>
        <w:t>su</w:t>
      </w:r>
      <w:r w:rsidRPr="00CA1DFC">
        <w:rPr>
          <w:rFonts w:ascii="Arial" w:hAnsi="Arial" w:cs="Arial"/>
          <w:color w:val="0C0C0C"/>
          <w:spacing w:val="-2"/>
          <w:sz w:val="22"/>
          <w:szCs w:val="22"/>
        </w:rPr>
        <w:t xml:space="preserve"> </w:t>
      </w:r>
      <w:r w:rsidRPr="00CA1DFC">
        <w:rPr>
          <w:rFonts w:ascii="Arial" w:hAnsi="Arial" w:cs="Arial"/>
          <w:color w:val="0C0C0C"/>
          <w:sz w:val="22"/>
          <w:szCs w:val="22"/>
        </w:rPr>
        <w:t>realización».</w:t>
      </w:r>
    </w:p>
    <w:p w14:paraId="61BD3210" w14:textId="231F7978" w:rsidR="0094613B" w:rsidRPr="00CA1DFC" w:rsidRDefault="0094613B" w:rsidP="00E85CAC">
      <w:pPr>
        <w:pStyle w:val="Textoindependiente"/>
        <w:spacing w:before="120" w:beforeAutospacing="0" w:after="120" w:afterAutospacing="0" w:line="276" w:lineRule="auto"/>
        <w:ind w:firstLine="608"/>
        <w:jc w:val="both"/>
        <w:rPr>
          <w:rFonts w:ascii="Arial" w:hAnsi="Arial" w:cs="Arial"/>
          <w:sz w:val="22"/>
          <w:szCs w:val="22"/>
        </w:rPr>
      </w:pPr>
      <w:r w:rsidRPr="00CA1DFC">
        <w:rPr>
          <w:rFonts w:ascii="Arial" w:hAnsi="Arial" w:cs="Arial"/>
          <w:sz w:val="22"/>
          <w:szCs w:val="22"/>
        </w:rPr>
        <w:t>Al</w:t>
      </w:r>
      <w:r w:rsidRPr="00CA1DFC">
        <w:rPr>
          <w:rFonts w:ascii="Arial" w:hAnsi="Arial" w:cs="Arial"/>
          <w:spacing w:val="-13"/>
          <w:sz w:val="22"/>
          <w:szCs w:val="22"/>
        </w:rPr>
        <w:t xml:space="preserve"> </w:t>
      </w:r>
      <w:r w:rsidRPr="00CA1DFC">
        <w:rPr>
          <w:rFonts w:ascii="Arial" w:hAnsi="Arial" w:cs="Arial"/>
          <w:sz w:val="22"/>
          <w:szCs w:val="22"/>
        </w:rPr>
        <w:t>respecto,</w:t>
      </w:r>
      <w:r w:rsidRPr="00CA1DFC">
        <w:rPr>
          <w:rFonts w:ascii="Arial" w:hAnsi="Arial" w:cs="Arial"/>
          <w:spacing w:val="-12"/>
          <w:sz w:val="22"/>
          <w:szCs w:val="22"/>
        </w:rPr>
        <w:t xml:space="preserve"> </w:t>
      </w:r>
      <w:r w:rsidRPr="00CA1DFC">
        <w:rPr>
          <w:rFonts w:ascii="Arial" w:hAnsi="Arial" w:cs="Arial"/>
          <w:sz w:val="22"/>
          <w:szCs w:val="22"/>
        </w:rPr>
        <w:t>es</w:t>
      </w:r>
      <w:r w:rsidRPr="00CA1DFC">
        <w:rPr>
          <w:rFonts w:ascii="Arial" w:hAnsi="Arial" w:cs="Arial"/>
          <w:spacing w:val="-12"/>
          <w:sz w:val="22"/>
          <w:szCs w:val="22"/>
        </w:rPr>
        <w:t xml:space="preserve"> </w:t>
      </w:r>
      <w:r w:rsidRPr="00CA1DFC">
        <w:rPr>
          <w:rFonts w:ascii="Arial" w:hAnsi="Arial" w:cs="Arial"/>
          <w:sz w:val="22"/>
          <w:szCs w:val="22"/>
        </w:rPr>
        <w:t>necesario</w:t>
      </w:r>
      <w:r w:rsidRPr="00CA1DFC">
        <w:rPr>
          <w:rFonts w:ascii="Arial" w:hAnsi="Arial" w:cs="Arial"/>
          <w:spacing w:val="-13"/>
          <w:sz w:val="22"/>
          <w:szCs w:val="22"/>
        </w:rPr>
        <w:t xml:space="preserve"> </w:t>
      </w:r>
      <w:r w:rsidRPr="00CA1DFC">
        <w:rPr>
          <w:rFonts w:ascii="Arial" w:hAnsi="Arial" w:cs="Arial"/>
          <w:sz w:val="22"/>
          <w:szCs w:val="22"/>
        </w:rPr>
        <w:t>precisar</w:t>
      </w:r>
      <w:r w:rsidRPr="00CA1DFC">
        <w:rPr>
          <w:rFonts w:ascii="Arial" w:hAnsi="Arial" w:cs="Arial"/>
          <w:spacing w:val="-12"/>
          <w:sz w:val="22"/>
          <w:szCs w:val="22"/>
        </w:rPr>
        <w:t xml:space="preserve"> </w:t>
      </w:r>
      <w:r w:rsidRPr="00CA1DFC">
        <w:rPr>
          <w:rFonts w:ascii="Arial" w:hAnsi="Arial" w:cs="Arial"/>
          <w:sz w:val="22"/>
          <w:szCs w:val="22"/>
        </w:rPr>
        <w:t>que</w:t>
      </w:r>
      <w:r w:rsidRPr="00CA1DFC">
        <w:rPr>
          <w:rFonts w:ascii="Arial" w:hAnsi="Arial" w:cs="Arial"/>
          <w:spacing w:val="-12"/>
          <w:sz w:val="22"/>
          <w:szCs w:val="22"/>
        </w:rPr>
        <w:t xml:space="preserve"> </w:t>
      </w:r>
      <w:r w:rsidRPr="00CA1DFC">
        <w:rPr>
          <w:rFonts w:ascii="Arial" w:hAnsi="Arial" w:cs="Arial"/>
          <w:sz w:val="22"/>
          <w:szCs w:val="22"/>
        </w:rPr>
        <w:t>lo</w:t>
      </w:r>
      <w:r w:rsidRPr="00CA1DFC">
        <w:rPr>
          <w:rFonts w:ascii="Arial" w:hAnsi="Arial" w:cs="Arial"/>
          <w:spacing w:val="-12"/>
          <w:sz w:val="22"/>
          <w:szCs w:val="22"/>
        </w:rPr>
        <w:t xml:space="preserve"> </w:t>
      </w:r>
      <w:r w:rsidRPr="00CA1DFC">
        <w:rPr>
          <w:rFonts w:ascii="Arial" w:hAnsi="Arial" w:cs="Arial"/>
          <w:sz w:val="22"/>
          <w:szCs w:val="22"/>
        </w:rPr>
        <w:t>que</w:t>
      </w:r>
      <w:r w:rsidRPr="00CA1DFC">
        <w:rPr>
          <w:rFonts w:ascii="Arial" w:hAnsi="Arial" w:cs="Arial"/>
          <w:spacing w:val="-13"/>
          <w:sz w:val="22"/>
          <w:szCs w:val="22"/>
        </w:rPr>
        <w:t xml:space="preserve"> </w:t>
      </w:r>
      <w:r w:rsidRPr="00CA1DFC">
        <w:rPr>
          <w:rFonts w:ascii="Arial" w:hAnsi="Arial" w:cs="Arial"/>
          <w:sz w:val="22"/>
          <w:szCs w:val="22"/>
        </w:rPr>
        <w:t>supone</w:t>
      </w:r>
      <w:r w:rsidRPr="00CA1DFC">
        <w:rPr>
          <w:rFonts w:ascii="Arial" w:hAnsi="Arial" w:cs="Arial"/>
          <w:spacing w:val="-12"/>
          <w:sz w:val="22"/>
          <w:szCs w:val="22"/>
        </w:rPr>
        <w:t xml:space="preserve"> </w:t>
      </w:r>
      <w:r w:rsidRPr="00CA1DFC">
        <w:rPr>
          <w:rFonts w:ascii="Arial" w:hAnsi="Arial" w:cs="Arial"/>
          <w:sz w:val="22"/>
          <w:szCs w:val="22"/>
        </w:rPr>
        <w:t>dicha</w:t>
      </w:r>
      <w:r w:rsidRPr="00CA1DFC">
        <w:rPr>
          <w:rFonts w:ascii="Arial" w:hAnsi="Arial" w:cs="Arial"/>
          <w:spacing w:val="-12"/>
          <w:sz w:val="22"/>
          <w:szCs w:val="22"/>
        </w:rPr>
        <w:t xml:space="preserve"> </w:t>
      </w:r>
      <w:r w:rsidRPr="00CA1DFC">
        <w:rPr>
          <w:rFonts w:ascii="Arial" w:hAnsi="Arial" w:cs="Arial"/>
          <w:sz w:val="22"/>
          <w:szCs w:val="22"/>
        </w:rPr>
        <w:t>regulación</w:t>
      </w:r>
      <w:r w:rsidRPr="00CA1DFC">
        <w:rPr>
          <w:rFonts w:ascii="Arial" w:hAnsi="Arial" w:cs="Arial"/>
          <w:spacing w:val="-12"/>
          <w:sz w:val="22"/>
          <w:szCs w:val="22"/>
        </w:rPr>
        <w:t xml:space="preserve"> </w:t>
      </w:r>
      <w:r w:rsidRPr="00CA1DFC">
        <w:rPr>
          <w:rFonts w:ascii="Arial" w:hAnsi="Arial" w:cs="Arial"/>
          <w:sz w:val="22"/>
          <w:szCs w:val="22"/>
        </w:rPr>
        <w:t>no</w:t>
      </w:r>
      <w:r w:rsidRPr="00CA1DFC">
        <w:rPr>
          <w:rFonts w:ascii="Arial" w:hAnsi="Arial" w:cs="Arial"/>
          <w:spacing w:val="-13"/>
          <w:sz w:val="22"/>
          <w:szCs w:val="22"/>
        </w:rPr>
        <w:t xml:space="preserve"> </w:t>
      </w:r>
      <w:r w:rsidRPr="00CA1DFC">
        <w:rPr>
          <w:rFonts w:ascii="Arial" w:hAnsi="Arial" w:cs="Arial"/>
          <w:sz w:val="22"/>
          <w:szCs w:val="22"/>
        </w:rPr>
        <w:t>es</w:t>
      </w:r>
      <w:r w:rsidRPr="00CA1DFC">
        <w:rPr>
          <w:rFonts w:ascii="Arial" w:hAnsi="Arial" w:cs="Arial"/>
          <w:spacing w:val="-12"/>
          <w:sz w:val="22"/>
          <w:szCs w:val="22"/>
        </w:rPr>
        <w:t xml:space="preserve"> </w:t>
      </w:r>
      <w:r w:rsidRPr="00CA1DFC">
        <w:rPr>
          <w:rFonts w:ascii="Arial" w:hAnsi="Arial" w:cs="Arial"/>
          <w:sz w:val="22"/>
          <w:szCs w:val="22"/>
        </w:rPr>
        <w:t>que los proponentes tengan la facultad de presentar los documentos referentes a la futura</w:t>
      </w:r>
      <w:r w:rsidRPr="00CA1DFC">
        <w:rPr>
          <w:rFonts w:ascii="Arial" w:hAnsi="Arial" w:cs="Arial"/>
          <w:spacing w:val="1"/>
          <w:sz w:val="22"/>
          <w:szCs w:val="22"/>
        </w:rPr>
        <w:t xml:space="preserve"> </w:t>
      </w:r>
      <w:r w:rsidRPr="00CA1DFC">
        <w:rPr>
          <w:rFonts w:ascii="Arial" w:hAnsi="Arial" w:cs="Arial"/>
          <w:sz w:val="22"/>
          <w:szCs w:val="22"/>
        </w:rPr>
        <w:t>contratación</w:t>
      </w:r>
      <w:r w:rsidRPr="00CA1DFC">
        <w:rPr>
          <w:rFonts w:ascii="Arial" w:hAnsi="Arial" w:cs="Arial"/>
          <w:spacing w:val="1"/>
          <w:sz w:val="22"/>
          <w:szCs w:val="22"/>
        </w:rPr>
        <w:t xml:space="preserve"> </w:t>
      </w:r>
      <w:r w:rsidRPr="00CA1DFC">
        <w:rPr>
          <w:rFonts w:ascii="Arial" w:hAnsi="Arial" w:cs="Arial"/>
          <w:sz w:val="22"/>
          <w:szCs w:val="22"/>
        </w:rPr>
        <w:t>no</w:t>
      </w:r>
      <w:r w:rsidRPr="00CA1DFC">
        <w:rPr>
          <w:rFonts w:ascii="Arial" w:hAnsi="Arial" w:cs="Arial"/>
          <w:spacing w:val="1"/>
          <w:sz w:val="22"/>
          <w:szCs w:val="22"/>
        </w:rPr>
        <w:t xml:space="preserve"> </w:t>
      </w:r>
      <w:r w:rsidRPr="00CA1DFC">
        <w:rPr>
          <w:rFonts w:ascii="Arial" w:hAnsi="Arial" w:cs="Arial"/>
          <w:sz w:val="22"/>
          <w:szCs w:val="22"/>
        </w:rPr>
        <w:t>necesarios</w:t>
      </w:r>
      <w:r w:rsidRPr="00CA1DFC">
        <w:rPr>
          <w:rFonts w:ascii="Arial" w:hAnsi="Arial" w:cs="Arial"/>
          <w:spacing w:val="1"/>
          <w:sz w:val="22"/>
          <w:szCs w:val="22"/>
        </w:rPr>
        <w:t xml:space="preserve"> </w:t>
      </w:r>
      <w:r w:rsidRPr="00CA1DFC">
        <w:rPr>
          <w:rFonts w:ascii="Arial" w:hAnsi="Arial" w:cs="Arial"/>
          <w:sz w:val="22"/>
          <w:szCs w:val="22"/>
        </w:rPr>
        <w:t>para</w:t>
      </w:r>
      <w:r w:rsidRPr="00CA1DFC">
        <w:rPr>
          <w:rFonts w:ascii="Arial" w:hAnsi="Arial" w:cs="Arial"/>
          <w:spacing w:val="1"/>
          <w:sz w:val="22"/>
          <w:szCs w:val="22"/>
        </w:rPr>
        <w:t xml:space="preserve"> </w:t>
      </w:r>
      <w:r w:rsidRPr="00CA1DFC">
        <w:rPr>
          <w:rFonts w:ascii="Arial" w:hAnsi="Arial" w:cs="Arial"/>
          <w:sz w:val="22"/>
          <w:szCs w:val="22"/>
        </w:rPr>
        <w:t>la</w:t>
      </w:r>
      <w:r w:rsidRPr="00CA1DFC">
        <w:rPr>
          <w:rFonts w:ascii="Arial" w:hAnsi="Arial" w:cs="Arial"/>
          <w:spacing w:val="1"/>
          <w:sz w:val="22"/>
          <w:szCs w:val="22"/>
        </w:rPr>
        <w:t xml:space="preserve"> </w:t>
      </w:r>
      <w:r w:rsidRPr="00CA1DFC">
        <w:rPr>
          <w:rFonts w:ascii="Arial" w:hAnsi="Arial" w:cs="Arial"/>
          <w:sz w:val="22"/>
          <w:szCs w:val="22"/>
        </w:rPr>
        <w:t>comparación</w:t>
      </w:r>
      <w:r w:rsidRPr="00CA1DFC">
        <w:rPr>
          <w:rFonts w:ascii="Arial" w:hAnsi="Arial" w:cs="Arial"/>
          <w:spacing w:val="1"/>
          <w:sz w:val="22"/>
          <w:szCs w:val="22"/>
        </w:rPr>
        <w:t xml:space="preserve"> </w:t>
      </w:r>
      <w:r w:rsidRPr="00CA1DFC">
        <w:rPr>
          <w:rFonts w:ascii="Arial" w:hAnsi="Arial" w:cs="Arial"/>
          <w:sz w:val="22"/>
          <w:szCs w:val="22"/>
        </w:rPr>
        <w:t>de</w:t>
      </w:r>
      <w:r w:rsidRPr="00CA1DFC">
        <w:rPr>
          <w:rFonts w:ascii="Arial" w:hAnsi="Arial" w:cs="Arial"/>
          <w:spacing w:val="1"/>
          <w:sz w:val="22"/>
          <w:szCs w:val="22"/>
        </w:rPr>
        <w:t xml:space="preserve"> </w:t>
      </w:r>
      <w:r w:rsidRPr="00CA1DFC">
        <w:rPr>
          <w:rFonts w:ascii="Arial" w:hAnsi="Arial" w:cs="Arial"/>
          <w:sz w:val="22"/>
          <w:szCs w:val="22"/>
        </w:rPr>
        <w:t>las</w:t>
      </w:r>
      <w:r w:rsidRPr="00CA1DFC">
        <w:rPr>
          <w:rFonts w:ascii="Arial" w:hAnsi="Arial" w:cs="Arial"/>
          <w:spacing w:val="1"/>
          <w:sz w:val="22"/>
          <w:szCs w:val="22"/>
        </w:rPr>
        <w:t xml:space="preserve"> </w:t>
      </w:r>
      <w:r w:rsidRPr="00CA1DFC">
        <w:rPr>
          <w:rFonts w:ascii="Arial" w:hAnsi="Arial" w:cs="Arial"/>
          <w:sz w:val="22"/>
          <w:szCs w:val="22"/>
        </w:rPr>
        <w:t>propuestas</w:t>
      </w:r>
      <w:r w:rsidRPr="00CA1DFC">
        <w:rPr>
          <w:rFonts w:ascii="Arial" w:hAnsi="Arial" w:cs="Arial"/>
          <w:spacing w:val="1"/>
          <w:sz w:val="22"/>
          <w:szCs w:val="22"/>
        </w:rPr>
        <w:t xml:space="preserve"> </w:t>
      </w:r>
      <w:r w:rsidRPr="00CA1DFC">
        <w:rPr>
          <w:rFonts w:ascii="Arial" w:hAnsi="Arial" w:cs="Arial"/>
          <w:sz w:val="22"/>
          <w:szCs w:val="22"/>
        </w:rPr>
        <w:t>en</w:t>
      </w:r>
      <w:r w:rsidRPr="00CA1DFC">
        <w:rPr>
          <w:rFonts w:ascii="Arial" w:hAnsi="Arial" w:cs="Arial"/>
          <w:spacing w:val="1"/>
          <w:sz w:val="22"/>
          <w:szCs w:val="22"/>
        </w:rPr>
        <w:t xml:space="preserve"> </w:t>
      </w:r>
      <w:r w:rsidRPr="00CA1DFC">
        <w:rPr>
          <w:rFonts w:ascii="Arial" w:hAnsi="Arial" w:cs="Arial"/>
          <w:sz w:val="22"/>
          <w:szCs w:val="22"/>
        </w:rPr>
        <w:t>cualquier</w:t>
      </w:r>
      <w:r w:rsidRPr="00CA1DFC">
        <w:rPr>
          <w:rFonts w:ascii="Arial" w:hAnsi="Arial" w:cs="Arial"/>
          <w:spacing w:val="1"/>
          <w:sz w:val="22"/>
          <w:szCs w:val="22"/>
        </w:rPr>
        <w:t xml:space="preserve"> </w:t>
      </w:r>
      <w:r w:rsidRPr="00CA1DFC">
        <w:rPr>
          <w:rFonts w:ascii="Arial" w:hAnsi="Arial" w:cs="Arial"/>
          <w:sz w:val="22"/>
          <w:szCs w:val="22"/>
        </w:rPr>
        <w:t>momento anterior al inicio de la subasta, o que estén habilitados para retener tal</w:t>
      </w:r>
      <w:r w:rsidRPr="00CA1DFC">
        <w:rPr>
          <w:rFonts w:ascii="Arial" w:hAnsi="Arial" w:cs="Arial"/>
          <w:spacing w:val="1"/>
          <w:sz w:val="22"/>
          <w:szCs w:val="22"/>
        </w:rPr>
        <w:t xml:space="preserve"> </w:t>
      </w:r>
      <w:r w:rsidRPr="00CA1DFC">
        <w:rPr>
          <w:rFonts w:ascii="Arial" w:hAnsi="Arial" w:cs="Arial"/>
          <w:sz w:val="22"/>
          <w:szCs w:val="22"/>
        </w:rPr>
        <w:t xml:space="preserve">documentación hasta dicho momento. Lo que hace el parágrafo 4° </w:t>
      </w:r>
      <w:r w:rsidRPr="00CA1DFC">
        <w:rPr>
          <w:rFonts w:ascii="Arial" w:hAnsi="Arial" w:cs="Arial"/>
          <w:i/>
          <w:sz w:val="22"/>
          <w:szCs w:val="22"/>
        </w:rPr>
        <w:t xml:space="preserve">Ibídem </w:t>
      </w:r>
      <w:r w:rsidRPr="00CA1DFC">
        <w:rPr>
          <w:rFonts w:ascii="Arial" w:hAnsi="Arial" w:cs="Arial"/>
          <w:sz w:val="22"/>
          <w:szCs w:val="22"/>
        </w:rPr>
        <w:t>es fijar el</w:t>
      </w:r>
      <w:r w:rsidRPr="00CA1DFC">
        <w:rPr>
          <w:rFonts w:ascii="Arial" w:hAnsi="Arial" w:cs="Arial"/>
          <w:spacing w:val="1"/>
          <w:sz w:val="22"/>
          <w:szCs w:val="22"/>
        </w:rPr>
        <w:t xml:space="preserve"> </w:t>
      </w:r>
      <w:r w:rsidRPr="00CA1DFC">
        <w:rPr>
          <w:rFonts w:ascii="Arial" w:hAnsi="Arial" w:cs="Arial"/>
          <w:sz w:val="22"/>
          <w:szCs w:val="22"/>
        </w:rPr>
        <w:t xml:space="preserve">momento hasta el cual las respectivas entidades pueden requerir a los proponentes la </w:t>
      </w:r>
      <w:r w:rsidRPr="00CA1DFC">
        <w:rPr>
          <w:rFonts w:ascii="Arial" w:hAnsi="Arial" w:cs="Arial"/>
          <w:spacing w:val="-59"/>
          <w:sz w:val="22"/>
          <w:szCs w:val="22"/>
        </w:rPr>
        <w:t xml:space="preserve"> </w:t>
      </w:r>
      <w:r w:rsidRPr="00CA1DFC">
        <w:rPr>
          <w:rFonts w:ascii="Arial" w:hAnsi="Arial" w:cs="Arial"/>
          <w:sz w:val="22"/>
          <w:szCs w:val="22"/>
        </w:rPr>
        <w:t xml:space="preserve">subsanación de los documentos faltantes, y definirles el momento de presentación, término que es de obligatorio cumplimiento para los proponentes. </w:t>
      </w:r>
    </w:p>
    <w:p w14:paraId="31708289" w14:textId="1580515C" w:rsidR="0094613B" w:rsidRPr="00CA1DFC" w:rsidRDefault="004403EF" w:rsidP="00E85CAC">
      <w:pPr>
        <w:pStyle w:val="Textoindependiente"/>
        <w:spacing w:before="120" w:beforeAutospacing="0" w:after="120" w:afterAutospacing="0" w:line="276" w:lineRule="auto"/>
        <w:ind w:firstLine="608"/>
        <w:jc w:val="both"/>
        <w:rPr>
          <w:rFonts w:ascii="Arial" w:eastAsia="Calibri" w:hAnsi="Arial" w:cs="Arial"/>
          <w:sz w:val="22"/>
          <w:szCs w:val="22"/>
        </w:rPr>
      </w:pPr>
      <w:r>
        <w:rPr>
          <w:rFonts w:ascii="Arial" w:eastAsia="Calibri" w:hAnsi="Arial" w:cs="Arial"/>
          <w:sz w:val="22"/>
          <w:szCs w:val="22"/>
        </w:rPr>
        <w:lastRenderedPageBreak/>
        <w:t>De esta manera, l</w:t>
      </w:r>
      <w:r w:rsidR="00A577FF" w:rsidRPr="00CA1DFC">
        <w:rPr>
          <w:rFonts w:ascii="Arial" w:eastAsia="Calibri" w:hAnsi="Arial" w:cs="Arial"/>
          <w:sz w:val="22"/>
          <w:szCs w:val="22"/>
        </w:rPr>
        <w:t xml:space="preserve">a Ley 1150 de 2007 no </w:t>
      </w:r>
      <w:r w:rsidR="005E5034" w:rsidRPr="00CA1DFC">
        <w:rPr>
          <w:rFonts w:ascii="Arial" w:eastAsia="Calibri" w:hAnsi="Arial" w:cs="Arial"/>
          <w:sz w:val="22"/>
          <w:szCs w:val="22"/>
        </w:rPr>
        <w:t>consagra</w:t>
      </w:r>
      <w:r w:rsidR="00A577FF" w:rsidRPr="00CA1DFC">
        <w:rPr>
          <w:rFonts w:ascii="Arial" w:eastAsia="Calibri" w:hAnsi="Arial" w:cs="Arial"/>
          <w:sz w:val="22"/>
          <w:szCs w:val="22"/>
        </w:rPr>
        <w:t xml:space="preserve"> un término específico para que los oferentes subsanen los documentos mediante los cuales acreditan el cumplimiento de los requisitos necesarios para participar en procesos en los que se use el mecanismo de subasta. Sin embargo, el parágrafo 4° del artículo 5 de la Ley 1150 de 2007 establece que las entidades </w:t>
      </w:r>
      <w:r>
        <w:rPr>
          <w:rFonts w:ascii="Arial" w:eastAsia="Calibri" w:hAnsi="Arial" w:cs="Arial"/>
          <w:sz w:val="22"/>
          <w:szCs w:val="22"/>
        </w:rPr>
        <w:t>deberán</w:t>
      </w:r>
      <w:r w:rsidRPr="00CA1DFC">
        <w:rPr>
          <w:rFonts w:ascii="Arial" w:eastAsia="Calibri" w:hAnsi="Arial" w:cs="Arial"/>
          <w:sz w:val="22"/>
          <w:szCs w:val="22"/>
        </w:rPr>
        <w:t xml:space="preserve"> </w:t>
      </w:r>
      <w:r w:rsidR="00A577FF" w:rsidRPr="00CA1DFC">
        <w:rPr>
          <w:rFonts w:ascii="Arial" w:eastAsia="Calibri" w:hAnsi="Arial" w:cs="Arial"/>
          <w:sz w:val="22"/>
          <w:szCs w:val="22"/>
        </w:rPr>
        <w:t xml:space="preserve">solicitar la subsanación de tales requisitos hasta antes del inicio de la subasta, razón por la que </w:t>
      </w:r>
      <w:r w:rsidR="00961AEE" w:rsidRPr="00CA1DFC">
        <w:rPr>
          <w:rFonts w:ascii="Arial" w:eastAsia="Calibri" w:hAnsi="Arial" w:cs="Arial"/>
          <w:sz w:val="22"/>
          <w:szCs w:val="22"/>
        </w:rPr>
        <w:t>estas</w:t>
      </w:r>
      <w:r w:rsidR="00A577FF" w:rsidRPr="00CA1DFC">
        <w:rPr>
          <w:rFonts w:ascii="Arial" w:eastAsia="Calibri" w:hAnsi="Arial" w:cs="Arial"/>
          <w:sz w:val="22"/>
          <w:szCs w:val="22"/>
        </w:rPr>
        <w:t xml:space="preserve"> deberán permitir </w:t>
      </w:r>
      <w:r w:rsidR="005E5034" w:rsidRPr="00CA1DFC">
        <w:rPr>
          <w:rFonts w:ascii="Arial" w:eastAsia="Calibri" w:hAnsi="Arial" w:cs="Arial"/>
          <w:sz w:val="22"/>
          <w:szCs w:val="22"/>
        </w:rPr>
        <w:t>a</w:t>
      </w:r>
      <w:r w:rsidR="00A577FF" w:rsidRPr="00CA1DFC">
        <w:rPr>
          <w:rFonts w:ascii="Arial" w:eastAsia="Calibri" w:hAnsi="Arial" w:cs="Arial"/>
          <w:sz w:val="22"/>
          <w:szCs w:val="22"/>
        </w:rPr>
        <w:t xml:space="preserve"> los proponentes subsanar los documentos que correspondan, para lo cual </w:t>
      </w:r>
      <w:r>
        <w:rPr>
          <w:rFonts w:ascii="Arial" w:eastAsia="Calibri" w:hAnsi="Arial" w:cs="Arial"/>
          <w:sz w:val="22"/>
          <w:szCs w:val="22"/>
        </w:rPr>
        <w:t>podrán</w:t>
      </w:r>
      <w:r w:rsidRPr="00CA1DFC">
        <w:rPr>
          <w:rFonts w:ascii="Arial" w:eastAsia="Calibri" w:hAnsi="Arial" w:cs="Arial"/>
          <w:sz w:val="22"/>
          <w:szCs w:val="22"/>
        </w:rPr>
        <w:t xml:space="preserve"> </w:t>
      </w:r>
      <w:r w:rsidR="00A577FF" w:rsidRPr="00CA1DFC">
        <w:rPr>
          <w:rFonts w:ascii="Arial" w:eastAsia="Calibri" w:hAnsi="Arial" w:cs="Arial"/>
          <w:sz w:val="22"/>
          <w:szCs w:val="22"/>
        </w:rPr>
        <w:t xml:space="preserve">fijar en el pliego de condiciones un término para que tengan lugar las subsanaciones, o </w:t>
      </w:r>
      <w:r>
        <w:rPr>
          <w:rFonts w:ascii="Arial" w:eastAsia="Calibri" w:hAnsi="Arial" w:cs="Arial"/>
          <w:sz w:val="22"/>
          <w:szCs w:val="22"/>
        </w:rPr>
        <w:t xml:space="preserve">fijarlo al </w:t>
      </w:r>
      <w:r w:rsidR="00A577FF" w:rsidRPr="00CA1DFC">
        <w:rPr>
          <w:rFonts w:ascii="Arial" w:eastAsia="Calibri" w:hAnsi="Arial" w:cs="Arial"/>
          <w:sz w:val="22"/>
          <w:szCs w:val="22"/>
        </w:rPr>
        <w:t xml:space="preserve">solicitar </w:t>
      </w:r>
      <w:r w:rsidR="005E5034" w:rsidRPr="00CA1DFC">
        <w:rPr>
          <w:rFonts w:ascii="Arial" w:eastAsia="Calibri" w:hAnsi="Arial" w:cs="Arial"/>
          <w:sz w:val="22"/>
          <w:szCs w:val="22"/>
        </w:rPr>
        <w:t>a los proponentes la realización de las mismas, lo que en todo caso deberá ocurrir antes del inicio de la subasta.</w:t>
      </w:r>
    </w:p>
    <w:p w14:paraId="7953A637" w14:textId="7227072B" w:rsidR="0094613B" w:rsidRPr="00CA1DFC" w:rsidRDefault="0094613B" w:rsidP="00E85CAC">
      <w:pPr>
        <w:pStyle w:val="Textoindependiente"/>
        <w:spacing w:before="120" w:beforeAutospacing="0" w:after="120" w:afterAutospacing="0" w:line="276" w:lineRule="auto"/>
        <w:ind w:firstLine="608"/>
        <w:jc w:val="both"/>
        <w:rPr>
          <w:rFonts w:ascii="Arial" w:hAnsi="Arial" w:cs="Arial"/>
          <w:color w:val="0C0C0C"/>
          <w:sz w:val="22"/>
          <w:szCs w:val="22"/>
        </w:rPr>
      </w:pPr>
      <w:r w:rsidRPr="00CA1DFC">
        <w:rPr>
          <w:rFonts w:ascii="Arial" w:eastAsia="Calibri" w:hAnsi="Arial" w:cs="Arial"/>
          <w:sz w:val="22"/>
          <w:szCs w:val="22"/>
          <w:lang w:val="es-ES_tradnl"/>
        </w:rPr>
        <w:t xml:space="preserve">Conforme a lo anterior, a pesar de que no existe un término legal para que los proponentes subsanen los documentos mediante los cuales deben acreditar el cumplimiento de los requisitos exigidos para participar en procedimientos </w:t>
      </w:r>
      <w:r w:rsidR="004403EF">
        <w:rPr>
          <w:rFonts w:ascii="Arial" w:eastAsia="Calibri" w:hAnsi="Arial" w:cs="Arial"/>
          <w:sz w:val="22"/>
          <w:szCs w:val="22"/>
          <w:lang w:val="es-ES_tradnl"/>
        </w:rPr>
        <w:t>en que se utilice el mecanismo de</w:t>
      </w:r>
      <w:r w:rsidRPr="00CA1DFC">
        <w:rPr>
          <w:rFonts w:ascii="Arial" w:eastAsia="Calibri" w:hAnsi="Arial" w:cs="Arial"/>
          <w:sz w:val="22"/>
          <w:szCs w:val="22"/>
          <w:lang w:val="es-ES_tradnl"/>
        </w:rPr>
        <w:t xml:space="preserve"> subasta, el parágrafo 4° del artículo 5 de la Ley 1150 de 2007 establece una regla que permite a las entidades solicitar las correspondientes subsanaciones, dotando a estas de cierto margen de discrecionalidad para determinar el término o momento específico dentro del que deberá tener lugar la subsanación, que en todo caso deberá ser previo al inicio de la audiencia de subasta. </w:t>
      </w:r>
    </w:p>
    <w:p w14:paraId="5530735D" w14:textId="77777777" w:rsidR="008B0FC4" w:rsidRPr="005A4E9E" w:rsidRDefault="008B0FC4" w:rsidP="008B0FC4">
      <w:pPr>
        <w:spacing w:line="276" w:lineRule="auto"/>
        <w:jc w:val="both"/>
        <w:rPr>
          <w:rFonts w:ascii="Arial" w:eastAsia="Calibri" w:hAnsi="Arial" w:cs="Arial"/>
          <w:sz w:val="22"/>
        </w:rPr>
      </w:pPr>
    </w:p>
    <w:p w14:paraId="12038E8E" w14:textId="0A2A1DA7" w:rsidR="00BA22A9" w:rsidRPr="005A4E9E" w:rsidRDefault="00BA22A9" w:rsidP="00E85CAC">
      <w:pPr>
        <w:spacing w:line="276" w:lineRule="auto"/>
        <w:jc w:val="both"/>
        <w:rPr>
          <w:rFonts w:ascii="Arial" w:eastAsia="Calibri" w:hAnsi="Arial" w:cs="Arial"/>
          <w:sz w:val="22"/>
        </w:rPr>
      </w:pPr>
      <w:r w:rsidRPr="005A4E9E">
        <w:rPr>
          <w:rFonts w:ascii="Arial" w:eastAsia="Calibri" w:hAnsi="Arial" w:cs="Arial"/>
          <w:sz w:val="22"/>
        </w:rPr>
        <w:t>Este concepto tiene el alcance previsto en el artículo 28 del Código de Procedimiento Administrativo y de lo Contencioso Administrativo.</w:t>
      </w:r>
    </w:p>
    <w:p w14:paraId="2BF2D084" w14:textId="2DC0E3E9" w:rsidR="00B0012B" w:rsidRPr="008A08BE" w:rsidRDefault="009D5015" w:rsidP="00B0012B">
      <w:pPr>
        <w:pStyle w:val="Textoindependiente"/>
        <w:ind w:left="100"/>
        <w:rPr>
          <w:rFonts w:ascii="Arial" w:hAnsi="Arial" w:cs="Arial"/>
        </w:rPr>
      </w:pPr>
      <w:r w:rsidRPr="005A4E9E">
        <w:rPr>
          <w:rFonts w:ascii="Arial" w:eastAsia="Calibri" w:hAnsi="Arial" w:cs="Arial"/>
          <w:noProof/>
          <w:sz w:val="22"/>
          <w:lang w:val="en-US"/>
        </w:rPr>
        <mc:AlternateContent>
          <mc:Choice Requires="wps">
            <w:drawing>
              <wp:anchor distT="0" distB="0" distL="114300" distR="114300" simplePos="0" relativeHeight="251659264" behindDoc="0" locked="0" layoutInCell="1" allowOverlap="1" wp14:anchorId="1E0127D7" wp14:editId="587B3028">
                <wp:simplePos x="0" y="0"/>
                <wp:positionH relativeFrom="page">
                  <wp:posOffset>1514475</wp:posOffset>
                </wp:positionH>
                <wp:positionV relativeFrom="paragraph">
                  <wp:posOffset>-664</wp:posOffset>
                </wp:positionV>
                <wp:extent cx="4686300" cy="0"/>
                <wp:effectExtent l="0" t="0" r="19050" b="19050"/>
                <wp:wrapNone/>
                <wp:docPr id="5" name="Conector recto 5"/>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w:pict w14:anchorId="322E07D7">
              <v:line id="Conector recto 5" style="position:absolute;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 o:spid="_x0000_s1026" strokecolor="#dbdbdb" from="119.25pt,-.05pt" to="488.25pt,-.05pt" w14:anchorId="158E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">
                <w10:wrap anchorx="page"/>
              </v:line>
            </w:pict>
          </mc:Fallback>
        </mc:AlternateContent>
      </w:r>
      <w:r w:rsidR="00B0012B" w:rsidRPr="008A08BE">
        <w:rPr>
          <w:rFonts w:ascii="Arial" w:hAnsi="Arial" w:cs="Arial"/>
        </w:rPr>
        <w:t>Atentamente,</w:t>
      </w:r>
    </w:p>
    <w:p w14:paraId="1D3632FE" w14:textId="52F6A003" w:rsidR="00B0012B" w:rsidRPr="008A08BE" w:rsidRDefault="00C23351" w:rsidP="00E85CAC">
      <w:pPr>
        <w:pStyle w:val="Textoindependiente"/>
        <w:ind w:left="100"/>
        <w:jc w:val="center"/>
        <w:rPr>
          <w:rFonts w:ascii="Arial" w:hAnsi="Arial" w:cs="Arial"/>
        </w:rPr>
      </w:pPr>
      <w:r>
        <w:rPr>
          <w:rFonts w:ascii="Arial" w:hAnsi="Arial" w:cs="Arial"/>
          <w:noProof/>
        </w:rPr>
        <w:drawing>
          <wp:inline distT="0" distB="0" distL="0" distR="0" wp14:anchorId="4961A10E" wp14:editId="26E8FB1F">
            <wp:extent cx="3125470" cy="998220"/>
            <wp:effectExtent l="0" t="0" r="0" b="0"/>
            <wp:docPr id="4" name="Imagen 4"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Texto, Carta&#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25470" cy="998220"/>
                    </a:xfrm>
                    <a:prstGeom prst="rect">
                      <a:avLst/>
                    </a:prstGeom>
                    <a:noFill/>
                    <a:ln>
                      <a:noFill/>
                    </a:ln>
                  </pic:spPr>
                </pic:pic>
              </a:graphicData>
            </a:graphic>
          </wp:inline>
        </w:drawing>
      </w:r>
    </w:p>
    <w:p w14:paraId="434F0859" w14:textId="5E4AEB70" w:rsidR="00B0012B" w:rsidRPr="008A08BE" w:rsidRDefault="00B0012B" w:rsidP="00B0012B">
      <w:pPr>
        <w:jc w:val="center"/>
        <w:rPr>
          <w:rFonts w:ascii="Arial" w:eastAsia="Times New Roman" w:hAnsi="Arial" w:cs="Arial"/>
          <w:sz w:val="18"/>
          <w:szCs w:val="20"/>
          <w:lang w:eastAsia="es-CO"/>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B0012B" w:rsidRPr="008A08BE" w14:paraId="6255EE8B" w14:textId="77777777" w:rsidTr="005B7C98">
        <w:trPr>
          <w:trHeight w:val="315"/>
        </w:trPr>
        <w:tc>
          <w:tcPr>
            <w:tcW w:w="812" w:type="dxa"/>
            <w:vAlign w:val="center"/>
            <w:hideMark/>
          </w:tcPr>
          <w:p w14:paraId="0238CFD0" w14:textId="77777777" w:rsidR="00B0012B" w:rsidRPr="008A08BE" w:rsidRDefault="00B0012B" w:rsidP="005B7C98">
            <w:pPr>
              <w:rPr>
                <w:rFonts w:ascii="Arial" w:eastAsia="Times New Roman" w:hAnsi="Arial" w:cs="Arial"/>
                <w:sz w:val="16"/>
                <w:szCs w:val="16"/>
                <w:lang w:eastAsia="es-ES"/>
              </w:rPr>
            </w:pPr>
            <w:r w:rsidRPr="008A08BE">
              <w:rPr>
                <w:rFonts w:ascii="Arial" w:eastAsia="Times New Roman" w:hAnsi="Arial" w:cs="Arial"/>
                <w:sz w:val="16"/>
                <w:szCs w:val="16"/>
                <w:lang w:eastAsia="es-ES"/>
              </w:rPr>
              <w:t>Elaboró:</w:t>
            </w:r>
          </w:p>
        </w:tc>
        <w:tc>
          <w:tcPr>
            <w:tcW w:w="4413" w:type="dxa"/>
            <w:tcBorders>
              <w:top w:val="nil"/>
              <w:left w:val="nil"/>
              <w:bottom w:val="dotted" w:sz="4" w:space="0" w:color="7F7F7F" w:themeColor="text1" w:themeTint="80"/>
              <w:right w:val="nil"/>
            </w:tcBorders>
            <w:vAlign w:val="center"/>
            <w:hideMark/>
          </w:tcPr>
          <w:p w14:paraId="58891855" w14:textId="77777777" w:rsidR="00B0012B" w:rsidRPr="008A08BE" w:rsidRDefault="00B0012B" w:rsidP="005B7C98">
            <w:pPr>
              <w:rPr>
                <w:rFonts w:ascii="Arial" w:eastAsia="Times New Roman" w:hAnsi="Arial" w:cs="Arial"/>
                <w:sz w:val="16"/>
                <w:szCs w:val="16"/>
                <w:lang w:eastAsia="es-ES"/>
              </w:rPr>
            </w:pPr>
            <w:r w:rsidRPr="008A08BE">
              <w:rPr>
                <w:rFonts w:ascii="Arial" w:eastAsia="Times New Roman" w:hAnsi="Arial" w:cs="Arial"/>
                <w:sz w:val="16"/>
                <w:szCs w:val="16"/>
                <w:lang w:eastAsia="es-ES"/>
              </w:rPr>
              <w:t>Nathalia Urrego Jiménez</w:t>
            </w:r>
          </w:p>
          <w:p w14:paraId="1E775072" w14:textId="77777777" w:rsidR="00B0012B" w:rsidRPr="008A08BE" w:rsidRDefault="00B0012B" w:rsidP="005B7C98">
            <w:pPr>
              <w:rPr>
                <w:rFonts w:ascii="Arial" w:eastAsia="Times New Roman" w:hAnsi="Arial" w:cs="Arial"/>
                <w:sz w:val="16"/>
                <w:szCs w:val="16"/>
                <w:lang w:eastAsia="es-ES"/>
              </w:rPr>
            </w:pPr>
            <w:r w:rsidRPr="008A08BE">
              <w:rPr>
                <w:rFonts w:ascii="Arial" w:eastAsia="Times New Roman" w:hAnsi="Arial" w:cs="Arial"/>
                <w:sz w:val="16"/>
                <w:szCs w:val="16"/>
                <w:lang w:eastAsia="es-ES"/>
              </w:rPr>
              <w:t>Contratista de la Subdirección de Gestión Contractual</w:t>
            </w:r>
          </w:p>
        </w:tc>
      </w:tr>
      <w:tr w:rsidR="00B0012B" w:rsidRPr="008A08BE" w14:paraId="5CC13E7A" w14:textId="77777777" w:rsidTr="005B7C98">
        <w:trPr>
          <w:trHeight w:val="330"/>
        </w:trPr>
        <w:tc>
          <w:tcPr>
            <w:tcW w:w="812" w:type="dxa"/>
            <w:vAlign w:val="center"/>
            <w:hideMark/>
          </w:tcPr>
          <w:p w14:paraId="15AD2F21" w14:textId="77777777" w:rsidR="00B0012B" w:rsidRPr="008A08BE" w:rsidRDefault="00B0012B" w:rsidP="005B7C98">
            <w:pPr>
              <w:rPr>
                <w:rFonts w:ascii="Arial" w:eastAsia="Times New Roman" w:hAnsi="Arial" w:cs="Arial"/>
                <w:sz w:val="16"/>
                <w:szCs w:val="16"/>
                <w:lang w:eastAsia="es-ES"/>
              </w:rPr>
            </w:pPr>
            <w:r w:rsidRPr="008A08BE">
              <w:rPr>
                <w:rFonts w:ascii="Arial" w:eastAsia="Times New Roman" w:hAnsi="Arial" w:cs="Arial"/>
                <w:sz w:val="16"/>
                <w:szCs w:val="16"/>
                <w:lang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2FF5B64B" w14:textId="77777777" w:rsidR="00B0012B" w:rsidRPr="008A08BE" w:rsidRDefault="00B0012B" w:rsidP="005B7C98">
            <w:pPr>
              <w:rPr>
                <w:rFonts w:ascii="Arial" w:hAnsi="Arial" w:cs="Arial"/>
                <w:color w:val="000000" w:themeColor="text1"/>
                <w:sz w:val="16"/>
                <w:szCs w:val="16"/>
                <w:lang w:val="es-ES_tradnl" w:eastAsia="es-ES"/>
              </w:rPr>
            </w:pPr>
            <w:r w:rsidRPr="008A08BE">
              <w:rPr>
                <w:rFonts w:ascii="Arial" w:hAnsi="Arial" w:cs="Arial"/>
                <w:color w:val="000000" w:themeColor="text1"/>
                <w:sz w:val="16"/>
                <w:szCs w:val="16"/>
                <w:lang w:val="es-ES_tradnl" w:eastAsia="es-ES"/>
              </w:rPr>
              <w:t>Sebastián Ramírez Grisales</w:t>
            </w:r>
          </w:p>
          <w:p w14:paraId="005F22A8" w14:textId="77777777" w:rsidR="00B0012B" w:rsidRPr="008A08BE" w:rsidRDefault="00B0012B" w:rsidP="005B7C98">
            <w:pPr>
              <w:rPr>
                <w:rFonts w:ascii="Arial" w:eastAsia="Times New Roman" w:hAnsi="Arial" w:cs="Arial"/>
                <w:sz w:val="16"/>
                <w:szCs w:val="16"/>
                <w:lang w:eastAsia="es-ES"/>
              </w:rPr>
            </w:pPr>
            <w:r w:rsidRPr="008A08BE">
              <w:rPr>
                <w:rFonts w:ascii="Arial" w:hAnsi="Arial" w:cs="Arial"/>
                <w:color w:val="000000" w:themeColor="text1"/>
                <w:sz w:val="16"/>
                <w:szCs w:val="16"/>
                <w:lang w:eastAsia="es-ES"/>
              </w:rPr>
              <w:t>Gestor T1-15 de la Subdirección de Gestión Contractual</w:t>
            </w:r>
          </w:p>
        </w:tc>
      </w:tr>
      <w:tr w:rsidR="00B0012B" w:rsidRPr="008A08BE" w14:paraId="6E012222" w14:textId="77777777" w:rsidTr="005B7C98">
        <w:trPr>
          <w:trHeight w:val="300"/>
        </w:trPr>
        <w:tc>
          <w:tcPr>
            <w:tcW w:w="812" w:type="dxa"/>
            <w:vAlign w:val="center"/>
            <w:hideMark/>
          </w:tcPr>
          <w:p w14:paraId="7C86B80B" w14:textId="77777777" w:rsidR="00B0012B" w:rsidRPr="008A08BE" w:rsidRDefault="00B0012B" w:rsidP="005B7C98">
            <w:pPr>
              <w:rPr>
                <w:rFonts w:ascii="Arial" w:eastAsia="Times New Roman" w:hAnsi="Arial" w:cs="Arial"/>
                <w:sz w:val="16"/>
                <w:szCs w:val="16"/>
                <w:lang w:eastAsia="es-ES"/>
              </w:rPr>
            </w:pPr>
            <w:r w:rsidRPr="008A08BE">
              <w:rPr>
                <w:rFonts w:ascii="Arial" w:eastAsia="Times New Roman" w:hAnsi="Arial" w:cs="Arial"/>
                <w:sz w:val="16"/>
                <w:szCs w:val="16"/>
                <w:lang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0CE9F32D" w14:textId="77777777" w:rsidR="005200EA" w:rsidRPr="00293C53" w:rsidRDefault="005200EA" w:rsidP="005200EA">
            <w:pPr>
              <w:jc w:val="both"/>
              <w:textAlignment w:val="baseline"/>
              <w:rPr>
                <w:rFonts w:ascii="Segoe UI" w:hAnsi="Segoe UI" w:cs="Segoe UI"/>
                <w:sz w:val="16"/>
                <w:szCs w:val="16"/>
                <w:lang w:eastAsia="es-CO"/>
              </w:rPr>
            </w:pPr>
            <w:r w:rsidRPr="00293C53">
              <w:rPr>
                <w:rFonts w:ascii="Arial" w:hAnsi="Arial" w:cs="Arial"/>
                <w:sz w:val="16"/>
                <w:szCs w:val="16"/>
                <w:lang w:eastAsia="es-CO"/>
              </w:rPr>
              <w:t>Juan David Marín López</w:t>
            </w:r>
          </w:p>
          <w:p w14:paraId="1DC37235" w14:textId="7A2FBEB7" w:rsidR="00B0012B" w:rsidRPr="008A08BE" w:rsidRDefault="005200EA" w:rsidP="005B7C98">
            <w:pPr>
              <w:rPr>
                <w:rFonts w:ascii="Arial" w:eastAsia="Times New Roman" w:hAnsi="Arial" w:cs="Arial"/>
                <w:sz w:val="16"/>
                <w:szCs w:val="16"/>
                <w:lang w:eastAsia="es-ES"/>
              </w:rPr>
            </w:pPr>
            <w:r w:rsidRPr="00293C53">
              <w:rPr>
                <w:rFonts w:ascii="Arial" w:hAnsi="Arial" w:cs="Arial"/>
                <w:sz w:val="16"/>
                <w:szCs w:val="16"/>
                <w:lang w:eastAsia="es-CO"/>
              </w:rPr>
              <w:t>Subdirector de Gestión Contractual ANCP -CCE (E)</w:t>
            </w:r>
          </w:p>
        </w:tc>
      </w:tr>
    </w:tbl>
    <w:p w14:paraId="3C876C1C" w14:textId="77777777" w:rsidR="00B0012B" w:rsidRPr="008A08BE" w:rsidRDefault="00B0012B" w:rsidP="00B0012B">
      <w:pPr>
        <w:rPr>
          <w:rFonts w:ascii="Arial" w:eastAsia="Times New Roman" w:hAnsi="Arial" w:cs="Arial"/>
          <w:color w:val="FF0000"/>
          <w:sz w:val="16"/>
          <w:szCs w:val="16"/>
          <w:lang w:eastAsia="es-ES"/>
        </w:rPr>
      </w:pPr>
    </w:p>
    <w:p w14:paraId="324B4E75" w14:textId="77777777" w:rsidR="00B0012B" w:rsidRPr="008A08BE" w:rsidRDefault="00B0012B" w:rsidP="00B0012B">
      <w:pPr>
        <w:rPr>
          <w:rFonts w:ascii="Arial" w:hAnsi="Arial" w:cs="Arial"/>
          <w:lang w:eastAsia="es-ES"/>
        </w:rPr>
      </w:pPr>
    </w:p>
    <w:p w14:paraId="0E0DA1A5" w14:textId="77777777" w:rsidR="00B0012B" w:rsidRPr="008A08BE" w:rsidRDefault="00B0012B" w:rsidP="00B0012B">
      <w:pPr>
        <w:rPr>
          <w:rFonts w:ascii="Arial" w:hAnsi="Arial" w:cs="Arial"/>
          <w:lang w:eastAsia="es-ES"/>
        </w:rPr>
      </w:pPr>
    </w:p>
    <w:p w14:paraId="3BFEE0D4" w14:textId="77777777" w:rsidR="00B0012B" w:rsidRPr="008A08BE" w:rsidRDefault="00B0012B" w:rsidP="00B0012B">
      <w:pPr>
        <w:rPr>
          <w:rFonts w:ascii="Arial" w:hAnsi="Arial" w:cs="Arial"/>
          <w:lang w:eastAsia="es-ES"/>
        </w:rPr>
      </w:pPr>
    </w:p>
    <w:p w14:paraId="3C03ED19" w14:textId="77777777" w:rsidR="00B0012B" w:rsidRPr="008A08BE" w:rsidRDefault="00B0012B" w:rsidP="00B0012B">
      <w:pPr>
        <w:jc w:val="center"/>
        <w:rPr>
          <w:rFonts w:ascii="Arial" w:eastAsia="Times New Roman" w:hAnsi="Arial" w:cs="Arial"/>
          <w:lang w:eastAsia="es-ES"/>
        </w:rPr>
      </w:pPr>
    </w:p>
    <w:bookmarkEnd w:id="2"/>
    <w:bookmarkEnd w:id="4"/>
    <w:p w14:paraId="0F12EF82" w14:textId="7DABA7E1" w:rsidR="00BA22A9" w:rsidRPr="005A4E9E" w:rsidRDefault="00BA22A9" w:rsidP="00B10353">
      <w:pPr>
        <w:spacing w:line="276" w:lineRule="auto"/>
        <w:jc w:val="both"/>
        <w:rPr>
          <w:rFonts w:ascii="Arial" w:eastAsia="Times New Roman" w:hAnsi="Arial" w:cs="Arial"/>
          <w:sz w:val="22"/>
          <w:lang w:eastAsia="es-CO"/>
        </w:rPr>
      </w:pPr>
    </w:p>
    <w:sectPr w:rsidR="00BA22A9" w:rsidRPr="005A4E9E" w:rsidSect="00015765">
      <w:headerReference w:type="default" r:id="rId13"/>
      <w:footerReference w:type="default" r:id="rId14"/>
      <w:pgSz w:w="12240" w:h="15840"/>
      <w:pgMar w:top="1928" w:right="1701" w:bottom="1361"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EFD2A" w14:textId="77777777" w:rsidR="00C61D4E" w:rsidRDefault="00C61D4E">
      <w:r>
        <w:separator/>
      </w:r>
    </w:p>
  </w:endnote>
  <w:endnote w:type="continuationSeparator" w:id="0">
    <w:p w14:paraId="422432D7" w14:textId="77777777" w:rsidR="00C61D4E" w:rsidRDefault="00C61D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02A34" w14:textId="77777777" w:rsidR="00E00827" w:rsidRDefault="00E00827" w:rsidP="00322937">
    <w:pPr>
      <w:pStyle w:val="Sinespaciado"/>
      <w:jc w:val="right"/>
      <w:rPr>
        <w:rFonts w:ascii="Arial" w:hAnsi="Arial" w:cs="Arial"/>
        <w:sz w:val="18"/>
        <w:szCs w:val="18"/>
      </w:rPr>
    </w:pPr>
  </w:p>
  <w:p w14:paraId="7A3785F3" w14:textId="78A44D57" w:rsidR="00E00827" w:rsidRPr="008217B7" w:rsidRDefault="00E00827"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E32AA6">
      <w:rPr>
        <w:rFonts w:ascii="Arial" w:hAnsi="Arial" w:cs="Arial"/>
        <w:b/>
        <w:bCs/>
        <w:noProof/>
        <w:color w:val="7F7F7F" w:themeColor="text1" w:themeTint="80"/>
        <w:sz w:val="16"/>
        <w:szCs w:val="16"/>
      </w:rPr>
      <w:t>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E32AA6">
      <w:rPr>
        <w:rFonts w:ascii="Arial" w:hAnsi="Arial" w:cs="Arial"/>
        <w:b/>
        <w:bCs/>
        <w:noProof/>
        <w:color w:val="7F7F7F" w:themeColor="text1" w:themeTint="80"/>
        <w:sz w:val="16"/>
        <w:szCs w:val="16"/>
      </w:rPr>
      <w:t>29</w:t>
    </w:r>
    <w:r w:rsidRPr="00084B97">
      <w:rPr>
        <w:rFonts w:ascii="Arial" w:hAnsi="Arial" w:cs="Arial"/>
        <w:b/>
        <w:bCs/>
        <w:color w:val="7F7F7F" w:themeColor="text1" w:themeTint="80"/>
        <w:sz w:val="16"/>
        <w:szCs w:val="16"/>
      </w:rPr>
      <w:fldChar w:fldCharType="end"/>
    </w:r>
  </w:p>
  <w:p w14:paraId="48FC6A04" w14:textId="5FD1A7C9" w:rsidR="00E00827" w:rsidRDefault="1EB26971" w:rsidP="00322937">
    <w:pPr>
      <w:pStyle w:val="Piedepgina"/>
      <w:jc w:val="center"/>
      <w:rPr>
        <w:lang w:val="es-ES"/>
      </w:rPr>
    </w:pPr>
    <w:r>
      <w:rPr>
        <w:noProof/>
        <w:lang w:val="en-US"/>
      </w:rPr>
      <w:drawing>
        <wp:inline distT="0" distB="0" distL="0" distR="0" wp14:anchorId="608B196D" wp14:editId="315E5420">
          <wp:extent cx="3700130" cy="519139"/>
          <wp:effectExtent l="0" t="0" r="0" b="0"/>
          <wp:docPr id="133807311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5D0E988C" w14:textId="77777777" w:rsidR="00E00827" w:rsidRDefault="00E00827" w:rsidP="007B0854">
    <w:pPr>
      <w:pStyle w:val="Piedepgina"/>
      <w:jc w:val="center"/>
      <w:rPr>
        <w:lang w:val="es-ES"/>
      </w:rPr>
    </w:pPr>
  </w:p>
  <w:p w14:paraId="6C0EFC49" w14:textId="77777777" w:rsidR="00E00827" w:rsidRPr="007B0854" w:rsidRDefault="00E00827"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D595C" w14:textId="77777777" w:rsidR="00C61D4E" w:rsidRDefault="00C61D4E">
      <w:r>
        <w:separator/>
      </w:r>
    </w:p>
  </w:footnote>
  <w:footnote w:type="continuationSeparator" w:id="0">
    <w:p w14:paraId="03D2153C" w14:textId="77777777" w:rsidR="00C61D4E" w:rsidRDefault="00C61D4E">
      <w:r>
        <w:continuationSeparator/>
      </w:r>
    </w:p>
  </w:footnote>
  <w:footnote w:id="1">
    <w:p w14:paraId="678FA4FC" w14:textId="77777777" w:rsidR="00E00827" w:rsidRPr="00454F78" w:rsidRDefault="00E00827" w:rsidP="00F70A57">
      <w:pPr>
        <w:pStyle w:val="Textonotapie"/>
        <w:ind w:firstLine="709"/>
        <w:jc w:val="both"/>
        <w:rPr>
          <w:rFonts w:ascii="Arial" w:hAnsi="Arial" w:cs="Arial"/>
          <w:color w:val="000000" w:themeColor="text1"/>
          <w:sz w:val="19"/>
          <w:szCs w:val="19"/>
          <w:lang w:val="es-ES"/>
        </w:rPr>
      </w:pPr>
      <w:r w:rsidRPr="00454F78">
        <w:rPr>
          <w:rStyle w:val="Refdenotaalpie"/>
          <w:rFonts w:ascii="Arial" w:hAnsi="Arial" w:cs="Arial"/>
          <w:color w:val="000000" w:themeColor="text1"/>
          <w:sz w:val="19"/>
          <w:szCs w:val="19"/>
        </w:rPr>
        <w:footnoteRef/>
      </w:r>
      <w:r w:rsidRPr="00454F78">
        <w:rPr>
          <w:rFonts w:ascii="Arial" w:hAnsi="Arial" w:cs="Arial"/>
          <w:color w:val="000000" w:themeColor="text1"/>
          <w:sz w:val="19"/>
          <w:szCs w:val="19"/>
        </w:rPr>
        <w:t xml:space="preserve"> </w:t>
      </w:r>
      <w:r w:rsidRPr="00454F78">
        <w:rPr>
          <w:rFonts w:ascii="Arial" w:hAnsi="Arial" w:cs="Arial"/>
          <w:color w:val="000000" w:themeColor="text1"/>
          <w:sz w:val="19"/>
          <w:szCs w:val="19"/>
          <w:lang w:val="es-ES"/>
        </w:rPr>
        <w:t>Al respecto, conviene recordar el artículo 29 de la Ley 80 de 1993, derogado por el artículo 32 de la Ley 1150 de 2007, que establecía: «La selección de contratistas será objetiva.</w:t>
      </w:r>
    </w:p>
    <w:p w14:paraId="0CB93AC1" w14:textId="77777777" w:rsidR="00E00827" w:rsidRPr="00454F78" w:rsidRDefault="00E00827" w:rsidP="00F70A57">
      <w:pPr>
        <w:pStyle w:val="Textonotapie"/>
        <w:ind w:firstLine="709"/>
        <w:jc w:val="both"/>
        <w:rPr>
          <w:rFonts w:ascii="Arial" w:hAnsi="Arial" w:cs="Arial"/>
          <w:color w:val="000000" w:themeColor="text1"/>
          <w:sz w:val="19"/>
          <w:szCs w:val="19"/>
          <w:lang w:val="es-ES"/>
        </w:rPr>
      </w:pPr>
      <w:r w:rsidRPr="00454F78">
        <w:rPr>
          <w:rFonts w:ascii="Arial" w:hAnsi="Arial" w:cs="Arial"/>
          <w:color w:val="000000" w:themeColor="text1"/>
          <w:sz w:val="19"/>
          <w:szCs w:val="19"/>
          <w:lang w:val="es-ES"/>
        </w:rPr>
        <w:t>»Es objetiva la selección en la cual la escogencia se hace al ofrecimiento más favorable a la entidad y a los fines que ella busca, sin tener en consideración factores de afecto o de interés y, en general, cualquier clase de motivación subjetiva.</w:t>
      </w:r>
    </w:p>
    <w:p w14:paraId="390FC479" w14:textId="77777777" w:rsidR="00E00827" w:rsidRPr="00454F78" w:rsidRDefault="00E00827" w:rsidP="00F70A57">
      <w:pPr>
        <w:pStyle w:val="Textonotapie"/>
        <w:ind w:firstLine="709"/>
        <w:jc w:val="both"/>
        <w:rPr>
          <w:rFonts w:ascii="Arial" w:hAnsi="Arial" w:cs="Arial"/>
          <w:color w:val="000000" w:themeColor="text1"/>
          <w:sz w:val="19"/>
          <w:szCs w:val="19"/>
          <w:lang w:val="es-ES"/>
        </w:rPr>
      </w:pPr>
      <w:r w:rsidRPr="00454F78">
        <w:rPr>
          <w:rFonts w:ascii="Arial" w:hAnsi="Arial" w:cs="Arial"/>
          <w:color w:val="000000" w:themeColor="text1"/>
          <w:sz w:val="19"/>
          <w:szCs w:val="19"/>
          <w:lang w:val="es-ES"/>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2CF11EF0" w14:textId="77777777" w:rsidR="00E00827" w:rsidRPr="00454F78" w:rsidRDefault="00E00827" w:rsidP="00F70A57">
      <w:pPr>
        <w:pStyle w:val="Textonotapie"/>
        <w:ind w:firstLine="709"/>
        <w:jc w:val="both"/>
        <w:rPr>
          <w:rFonts w:ascii="Arial" w:hAnsi="Arial" w:cs="Arial"/>
          <w:color w:val="000000" w:themeColor="text1"/>
          <w:sz w:val="19"/>
          <w:szCs w:val="19"/>
          <w:lang w:val="es-ES"/>
        </w:rPr>
      </w:pPr>
      <w:r w:rsidRPr="00454F78">
        <w:rPr>
          <w:rFonts w:ascii="Arial" w:hAnsi="Arial" w:cs="Arial"/>
          <w:color w:val="000000" w:themeColor="text1"/>
          <w:sz w:val="19"/>
          <w:szCs w:val="19"/>
          <w:lang w:val="es-ES"/>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393CB3E1" w14:textId="77777777" w:rsidR="00E00827" w:rsidRPr="00454F78" w:rsidRDefault="00E00827" w:rsidP="00F70A57">
      <w:pPr>
        <w:pStyle w:val="Textonotapie"/>
        <w:ind w:firstLine="709"/>
        <w:jc w:val="both"/>
        <w:rPr>
          <w:rFonts w:ascii="Arial" w:hAnsi="Arial" w:cs="Arial"/>
          <w:color w:val="000000" w:themeColor="text1"/>
          <w:sz w:val="19"/>
          <w:szCs w:val="19"/>
          <w:lang w:val="es-ES"/>
        </w:rPr>
      </w:pPr>
      <w:r w:rsidRPr="00454F78">
        <w:rPr>
          <w:rFonts w:ascii="Arial" w:hAnsi="Arial" w:cs="Arial"/>
          <w:color w:val="000000" w:themeColor="text1"/>
          <w:sz w:val="19"/>
          <w:szCs w:val="19"/>
          <w:lang w:val="es-ES"/>
        </w:rPr>
        <w:t>»En caso de comparación de propuestas nacionales y extranjeras, se incluirán los costos necesarios para la entrega del producto terminado en el lugar de su utilización».</w:t>
      </w:r>
    </w:p>
  </w:footnote>
  <w:footnote w:id="2">
    <w:p w14:paraId="68CD9EA5" w14:textId="77777777" w:rsidR="00E00827" w:rsidRPr="00454F78" w:rsidRDefault="00E00827" w:rsidP="00F70A57">
      <w:pPr>
        <w:pStyle w:val="Textonotapie"/>
        <w:ind w:firstLine="709"/>
        <w:jc w:val="both"/>
        <w:rPr>
          <w:rFonts w:ascii="Arial" w:hAnsi="Arial" w:cs="Arial"/>
          <w:color w:val="000000" w:themeColor="text1"/>
          <w:sz w:val="19"/>
          <w:szCs w:val="19"/>
          <w:lang w:val="es-ES"/>
        </w:rPr>
      </w:pPr>
      <w:r w:rsidRPr="00454F78">
        <w:rPr>
          <w:rStyle w:val="Refdenotaalpie"/>
          <w:rFonts w:ascii="Arial" w:hAnsi="Arial" w:cs="Arial"/>
          <w:color w:val="000000" w:themeColor="text1"/>
          <w:sz w:val="19"/>
          <w:szCs w:val="19"/>
        </w:rPr>
        <w:footnoteRef/>
      </w:r>
      <w:r w:rsidRPr="00454F78">
        <w:rPr>
          <w:rFonts w:ascii="Arial" w:hAnsi="Arial" w:cs="Arial"/>
          <w:color w:val="000000" w:themeColor="text1"/>
          <w:sz w:val="19"/>
          <w:szCs w:val="19"/>
        </w:rPr>
        <w:t xml:space="preserve"> Consejo de Estado. Sección Tercera. Subsección A. Sentencia del 25 de octubre de 2019. Exp. 39.945. Consejera Ponente: María Adriana Marín.</w:t>
      </w:r>
    </w:p>
  </w:footnote>
  <w:footnote w:id="3">
    <w:p w14:paraId="35C0280E" w14:textId="77777777" w:rsidR="00E00827" w:rsidRPr="00454F78" w:rsidRDefault="00E00827" w:rsidP="00F70A57">
      <w:pPr>
        <w:pStyle w:val="Textonotapie"/>
        <w:ind w:firstLine="709"/>
        <w:jc w:val="both"/>
        <w:rPr>
          <w:rFonts w:ascii="Arial" w:hAnsi="Arial" w:cs="Arial"/>
          <w:color w:val="000000" w:themeColor="text1"/>
          <w:sz w:val="19"/>
          <w:szCs w:val="19"/>
        </w:rPr>
      </w:pPr>
    </w:p>
    <w:p w14:paraId="334C0CF7" w14:textId="23DECF37" w:rsidR="00E00827" w:rsidRPr="00454F78" w:rsidRDefault="00E00827" w:rsidP="00F70A57">
      <w:pPr>
        <w:pStyle w:val="Textonotapie"/>
        <w:ind w:firstLine="709"/>
        <w:jc w:val="both"/>
        <w:rPr>
          <w:rFonts w:ascii="Arial" w:hAnsi="Arial" w:cs="Arial"/>
          <w:color w:val="000000" w:themeColor="text1"/>
          <w:sz w:val="19"/>
          <w:szCs w:val="19"/>
          <w:lang w:val="es-ES"/>
        </w:rPr>
      </w:pPr>
      <w:r w:rsidRPr="00454F78">
        <w:rPr>
          <w:rStyle w:val="Refdenotaalpie"/>
          <w:rFonts w:ascii="Arial" w:hAnsi="Arial" w:cs="Arial"/>
          <w:color w:val="000000" w:themeColor="text1"/>
          <w:sz w:val="19"/>
          <w:szCs w:val="19"/>
        </w:rPr>
        <w:footnoteRef/>
      </w:r>
      <w:r w:rsidRPr="00454F78">
        <w:rPr>
          <w:rStyle w:val="Refdenotaalpie"/>
          <w:rFonts w:ascii="Arial" w:hAnsi="Arial" w:cs="Arial"/>
          <w:color w:val="000000" w:themeColor="text1"/>
          <w:sz w:val="19"/>
          <w:szCs w:val="19"/>
        </w:rPr>
        <w:t xml:space="preserve"> </w:t>
      </w:r>
      <w:r w:rsidRPr="00454F78">
        <w:rPr>
          <w:rFonts w:ascii="Arial" w:hAnsi="Arial" w:cs="Arial"/>
          <w:color w:val="000000" w:themeColor="text1"/>
          <w:sz w:val="19"/>
          <w:szCs w:val="19"/>
        </w:rPr>
        <w:t>Consejo de Estado. Sección Tercera. Subsección A. Sentencia del 5 de julio de 2018. Exp. 37.834. Consejero Ponente: Carlos Alberto Zambrano Barrera.</w:t>
      </w:r>
    </w:p>
  </w:footnote>
  <w:footnote w:id="4">
    <w:p w14:paraId="134FB559" w14:textId="77777777" w:rsidR="00E00827" w:rsidRPr="00454F78" w:rsidRDefault="00E00827" w:rsidP="00F70A57">
      <w:pPr>
        <w:pStyle w:val="Textonotapie"/>
        <w:ind w:firstLine="709"/>
        <w:jc w:val="both"/>
        <w:rPr>
          <w:rFonts w:ascii="Arial" w:hAnsi="Arial" w:cs="Arial"/>
          <w:color w:val="000000" w:themeColor="text1"/>
          <w:sz w:val="19"/>
          <w:szCs w:val="19"/>
        </w:rPr>
      </w:pPr>
      <w:r w:rsidRPr="00454F78">
        <w:rPr>
          <w:rStyle w:val="Refdenotaalpie"/>
          <w:rFonts w:ascii="Arial" w:hAnsi="Arial" w:cs="Arial"/>
          <w:color w:val="000000" w:themeColor="text1"/>
          <w:sz w:val="19"/>
          <w:szCs w:val="19"/>
        </w:rPr>
        <w:footnoteRef/>
      </w:r>
      <w:r w:rsidRPr="00454F78">
        <w:rPr>
          <w:rFonts w:ascii="Arial" w:hAnsi="Arial" w:cs="Arial"/>
          <w:color w:val="000000" w:themeColor="text1"/>
          <w:sz w:val="19"/>
          <w:szCs w:val="19"/>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73ECC4D0" w14:textId="77777777" w:rsidR="00E00827" w:rsidRPr="00454F78" w:rsidRDefault="00E00827" w:rsidP="00F70A57">
      <w:pPr>
        <w:pStyle w:val="Textonotapie"/>
        <w:ind w:firstLine="709"/>
        <w:jc w:val="both"/>
        <w:rPr>
          <w:rFonts w:ascii="Arial" w:hAnsi="Arial" w:cs="Arial"/>
          <w:color w:val="000000" w:themeColor="text1"/>
          <w:sz w:val="19"/>
          <w:szCs w:val="19"/>
        </w:rPr>
      </w:pPr>
    </w:p>
  </w:footnote>
  <w:footnote w:id="5">
    <w:p w14:paraId="5D474337" w14:textId="77777777" w:rsidR="00E00827" w:rsidRPr="00454F78" w:rsidRDefault="00E00827" w:rsidP="00F70A57">
      <w:pPr>
        <w:pStyle w:val="Textonotapie"/>
        <w:ind w:firstLine="709"/>
        <w:jc w:val="both"/>
        <w:rPr>
          <w:rFonts w:ascii="Arial" w:hAnsi="Arial" w:cs="Arial"/>
          <w:color w:val="000000" w:themeColor="text1"/>
          <w:sz w:val="19"/>
          <w:szCs w:val="19"/>
        </w:rPr>
      </w:pPr>
      <w:r w:rsidRPr="00454F78">
        <w:rPr>
          <w:rStyle w:val="Refdenotaalpie"/>
          <w:rFonts w:ascii="Arial" w:hAnsi="Arial" w:cs="Arial"/>
          <w:color w:val="000000" w:themeColor="text1"/>
          <w:sz w:val="19"/>
          <w:szCs w:val="19"/>
        </w:rPr>
        <w:footnoteRef/>
      </w:r>
      <w:r w:rsidRPr="00454F78">
        <w:rPr>
          <w:rFonts w:ascii="Arial" w:hAnsi="Arial" w:cs="Arial"/>
          <w:color w:val="000000" w:themeColor="text1"/>
          <w:sz w:val="19"/>
          <w:szCs w:val="19"/>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6">
    <w:p w14:paraId="11EA854D" w14:textId="77777777" w:rsidR="00E00827" w:rsidRPr="00454F78" w:rsidRDefault="00E00827" w:rsidP="00F70A57">
      <w:pPr>
        <w:pStyle w:val="Textonotapie"/>
        <w:ind w:firstLine="709"/>
        <w:jc w:val="both"/>
        <w:rPr>
          <w:rFonts w:ascii="Arial" w:hAnsi="Arial" w:cs="Arial"/>
          <w:color w:val="000000" w:themeColor="text1"/>
          <w:sz w:val="19"/>
          <w:szCs w:val="19"/>
        </w:rPr>
      </w:pPr>
      <w:r w:rsidRPr="00454F78">
        <w:rPr>
          <w:rStyle w:val="Refdenotaalpie"/>
          <w:rFonts w:ascii="Arial" w:hAnsi="Arial" w:cs="Arial"/>
          <w:color w:val="000000" w:themeColor="text1"/>
          <w:sz w:val="19"/>
          <w:szCs w:val="19"/>
        </w:rPr>
        <w:footnoteRef/>
      </w:r>
      <w:r w:rsidRPr="00454F78">
        <w:rPr>
          <w:rFonts w:ascii="Arial" w:hAnsi="Arial" w:cs="Arial"/>
          <w:color w:val="000000" w:themeColor="text1"/>
          <w:sz w:val="19"/>
          <w:szCs w:val="19"/>
        </w:rPr>
        <w:t xml:space="preserve"> Consejo de Estado. Sección Tercera. Subsección C. Sentencia del 26 de febrero de 2014. Expediente: 25.804. Consejero Ponente: Enrique Gil Botero.</w:t>
      </w:r>
    </w:p>
  </w:footnote>
  <w:footnote w:id="7">
    <w:p w14:paraId="6D089929" w14:textId="6AFEFC41" w:rsidR="00E00827" w:rsidRPr="00454F78" w:rsidRDefault="00E00827" w:rsidP="00F70A57">
      <w:pPr>
        <w:pStyle w:val="Textonotapie"/>
        <w:ind w:firstLine="709"/>
        <w:jc w:val="both"/>
        <w:rPr>
          <w:rFonts w:ascii="Arial" w:hAnsi="Arial" w:cs="Arial"/>
          <w:color w:val="000000" w:themeColor="text1"/>
          <w:sz w:val="19"/>
          <w:szCs w:val="19"/>
        </w:rPr>
      </w:pPr>
      <w:r w:rsidRPr="00454F78">
        <w:rPr>
          <w:rStyle w:val="Refdenotaalpie"/>
          <w:rFonts w:ascii="Arial" w:hAnsi="Arial" w:cs="Arial"/>
          <w:color w:val="000000" w:themeColor="text1"/>
          <w:sz w:val="19"/>
          <w:szCs w:val="19"/>
        </w:rPr>
        <w:footnoteRef/>
      </w:r>
      <w:r w:rsidRPr="00454F78">
        <w:rPr>
          <w:rStyle w:val="Refdenotaalpie"/>
          <w:rFonts w:ascii="Arial" w:hAnsi="Arial" w:cs="Arial"/>
          <w:color w:val="000000" w:themeColor="text1"/>
          <w:sz w:val="19"/>
          <w:szCs w:val="19"/>
        </w:rPr>
        <w:t xml:space="preserve"> </w:t>
      </w:r>
      <w:r w:rsidRPr="00454F78">
        <w:rPr>
          <w:rFonts w:ascii="Arial" w:hAnsi="Arial" w:cs="Arial"/>
          <w:color w:val="000000" w:themeColor="text1"/>
          <w:sz w:val="19"/>
          <w:szCs w:val="19"/>
        </w:rPr>
        <w:t>Ley 1150 de 2007, artículo 5, parágrafo 4°: «En aquellos procesos de selección en los que se utilice el mecanismo de subasta, los documentos referentes a la futura contratación o a proponente, no necesarios para la comparación de las propuestas, deberán se</w:t>
      </w:r>
      <w:r w:rsidR="005B259B">
        <w:rPr>
          <w:rFonts w:ascii="Arial" w:hAnsi="Arial" w:cs="Arial"/>
          <w:color w:val="000000" w:themeColor="text1"/>
          <w:sz w:val="19"/>
          <w:szCs w:val="19"/>
        </w:rPr>
        <w:t>r</w:t>
      </w:r>
      <w:r w:rsidRPr="00454F78">
        <w:rPr>
          <w:rFonts w:ascii="Arial" w:hAnsi="Arial" w:cs="Arial"/>
          <w:color w:val="000000" w:themeColor="text1"/>
          <w:sz w:val="19"/>
          <w:szCs w:val="19"/>
        </w:rPr>
        <w:t xml:space="preserve"> solicitados hasta el momento previo a su realización».</w:t>
      </w:r>
    </w:p>
  </w:footnote>
  <w:footnote w:id="8">
    <w:p w14:paraId="7DE8B0F4" w14:textId="77777777" w:rsidR="00E00827" w:rsidRPr="004403EF" w:rsidRDefault="00E00827" w:rsidP="00F70A57">
      <w:pPr>
        <w:ind w:firstLine="709"/>
        <w:jc w:val="both"/>
        <w:rPr>
          <w:rFonts w:ascii="Arial" w:hAnsi="Arial" w:cs="Arial"/>
          <w:color w:val="000000" w:themeColor="text1"/>
          <w:sz w:val="19"/>
          <w:szCs w:val="19"/>
        </w:rPr>
      </w:pPr>
      <w:r w:rsidRPr="00454F78">
        <w:rPr>
          <w:rStyle w:val="Refdenotaalpie"/>
          <w:rFonts w:ascii="Arial" w:hAnsi="Arial" w:cs="Arial"/>
          <w:color w:val="000000" w:themeColor="text1"/>
          <w:sz w:val="19"/>
          <w:szCs w:val="19"/>
        </w:rPr>
        <w:footnoteRef/>
      </w:r>
      <w:r w:rsidRPr="00454F78">
        <w:rPr>
          <w:rFonts w:ascii="Arial" w:hAnsi="Arial" w:cs="Arial"/>
          <w:color w:val="000000" w:themeColor="text1"/>
          <w:sz w:val="19"/>
          <w:szCs w:val="19"/>
        </w:rPr>
        <w:t xml:space="preserve"> Decreto 2474 de 2008 (DEROGADO). «ART. 10. Reglas de subsanabilidad. En todo proceso de selección de contratistas primará lo sustancial sobre lo formal. En consecuencia no podrá rechazarse una propuesta por la ausencia de requisitos o la falta de documentos que verifiquen las condiciones del proponente o soporten el contenido de la oferta, y que no constituyan los factores de escogencia establecidos por la entidad en el pliego de condiciones, de conformidad con lo previsto en los numerales 2º, 3º y 4º del artículo 5º de la </w:t>
      </w:r>
      <w:hyperlink r:id="rId1" w:tooltip="Haga clic para abrir TODA la Ley 1150 de 2007" w:history="1">
        <w:r w:rsidRPr="00454F78">
          <w:rPr>
            <w:rFonts w:ascii="Arial" w:hAnsi="Arial" w:cs="Arial"/>
            <w:color w:val="000000" w:themeColor="text1"/>
            <w:sz w:val="19"/>
            <w:szCs w:val="19"/>
          </w:rPr>
          <w:t>Ley 1150 de 2007</w:t>
        </w:r>
      </w:hyperlink>
      <w:r w:rsidRPr="004403EF">
        <w:rPr>
          <w:rFonts w:ascii="Arial" w:hAnsi="Arial" w:cs="Arial"/>
          <w:color w:val="000000" w:themeColor="text1"/>
          <w:sz w:val="19"/>
          <w:szCs w:val="19"/>
        </w:rPr>
        <w:t> y en el presente decreto.</w:t>
      </w:r>
    </w:p>
    <w:p w14:paraId="62D9729B" w14:textId="77777777" w:rsidR="00E00827" w:rsidRPr="00454F78" w:rsidRDefault="00E00827" w:rsidP="00F70A57">
      <w:pPr>
        <w:ind w:firstLine="709"/>
        <w:jc w:val="both"/>
        <w:rPr>
          <w:rFonts w:ascii="Arial" w:hAnsi="Arial" w:cs="Arial"/>
          <w:color w:val="000000" w:themeColor="text1"/>
          <w:sz w:val="19"/>
          <w:szCs w:val="19"/>
        </w:rPr>
      </w:pPr>
      <w:r w:rsidRPr="00454F78">
        <w:rPr>
          <w:rFonts w:ascii="Arial" w:hAnsi="Arial" w:cs="Arial"/>
          <w:color w:val="000000" w:themeColor="text1"/>
          <w:sz w:val="19"/>
          <w:szCs w:val="19"/>
        </w:rPr>
        <w:t>»Tales requisitos o documentos podrán ser requeridos por la entidad en condiciones de igualdad para todos los proponentes hasta la adjudicación, o hasta el momento en que la entidad lo establezca en los pliegos de condiciones, sin que tal previsión haga nugatorio el principio contemplado en el inciso anterior.</w:t>
      </w:r>
    </w:p>
    <w:p w14:paraId="4B0E88C9" w14:textId="77777777" w:rsidR="00E00827" w:rsidRPr="00454F78" w:rsidRDefault="00E00827" w:rsidP="00F70A57">
      <w:pPr>
        <w:ind w:firstLine="709"/>
        <w:jc w:val="both"/>
        <w:rPr>
          <w:rFonts w:ascii="Arial" w:hAnsi="Arial" w:cs="Arial"/>
          <w:color w:val="000000" w:themeColor="text1"/>
          <w:sz w:val="19"/>
          <w:szCs w:val="19"/>
        </w:rPr>
      </w:pPr>
      <w:r w:rsidRPr="00454F78">
        <w:rPr>
          <w:rFonts w:ascii="Arial" w:hAnsi="Arial" w:cs="Arial"/>
          <w:color w:val="000000" w:themeColor="text1"/>
          <w:sz w:val="19"/>
          <w:szCs w:val="19"/>
        </w:rPr>
        <w:t>»Será rechazada la oferta del proponente que dentro del término previsto en el pliego o en la solicitud, no responda al requerimiento que le haga la entidad para subsanarla.</w:t>
      </w:r>
    </w:p>
    <w:p w14:paraId="07A2771E" w14:textId="77777777" w:rsidR="00E00827" w:rsidRPr="00454F78" w:rsidRDefault="00E00827" w:rsidP="00F70A57">
      <w:pPr>
        <w:ind w:firstLine="709"/>
        <w:jc w:val="both"/>
        <w:rPr>
          <w:rFonts w:ascii="Arial" w:hAnsi="Arial" w:cs="Arial"/>
          <w:color w:val="000000" w:themeColor="text1"/>
          <w:sz w:val="19"/>
          <w:szCs w:val="19"/>
        </w:rPr>
      </w:pPr>
      <w:r w:rsidRPr="00454F78">
        <w:rPr>
          <w:rFonts w:ascii="Arial" w:hAnsi="Arial" w:cs="Arial"/>
          <w:color w:val="000000" w:themeColor="text1"/>
          <w:sz w:val="19"/>
          <w:szCs w:val="19"/>
        </w:rPr>
        <w:t>»Cuando se utilice el mecanismo de subasta esta posibilidad deberá ejercerse hasta el momento previo a su realización, de conformidad con el artículo 22 del presente decreto.</w:t>
      </w:r>
    </w:p>
    <w:p w14:paraId="7EC0632E" w14:textId="77777777" w:rsidR="00E00827" w:rsidRPr="00454F78" w:rsidRDefault="00E00827" w:rsidP="00F70A57">
      <w:pPr>
        <w:ind w:firstLine="709"/>
        <w:jc w:val="both"/>
        <w:rPr>
          <w:rFonts w:ascii="Arial" w:hAnsi="Arial" w:cs="Arial"/>
          <w:color w:val="000000" w:themeColor="text1"/>
          <w:sz w:val="19"/>
          <w:szCs w:val="19"/>
        </w:rPr>
      </w:pPr>
      <w:r w:rsidRPr="00454F78">
        <w:rPr>
          <w:rFonts w:ascii="Arial" w:hAnsi="Arial" w:cs="Arial"/>
          <w:color w:val="000000" w:themeColor="text1"/>
          <w:sz w:val="19"/>
          <w:szCs w:val="19"/>
        </w:rPr>
        <w:t>»En ningún caso la entidad podrá señalar taxativamente los requisitos o documentos subsanables o no subsanables en el pliego de condiciones, ni permitir que se subsane la falta de capacidad para presentar la oferta, ni que se acrediten circunstancias ocurridas con posterioridad al cierre del proceso».</w:t>
      </w:r>
    </w:p>
    <w:p w14:paraId="35A9DF23" w14:textId="77777777" w:rsidR="00E00827" w:rsidRPr="00454F78" w:rsidRDefault="00E00827" w:rsidP="00F70A57">
      <w:pPr>
        <w:ind w:firstLine="709"/>
        <w:jc w:val="both"/>
        <w:rPr>
          <w:rFonts w:ascii="Arial" w:hAnsi="Arial" w:cs="Arial"/>
          <w:color w:val="000000" w:themeColor="text1"/>
          <w:sz w:val="19"/>
          <w:szCs w:val="19"/>
        </w:rPr>
      </w:pPr>
      <w:r w:rsidRPr="00454F78">
        <w:rPr>
          <w:rFonts w:ascii="Arial" w:hAnsi="Arial" w:cs="Arial"/>
          <w:color w:val="000000" w:themeColor="text1"/>
          <w:sz w:val="19"/>
          <w:szCs w:val="19"/>
        </w:rPr>
        <w:t xml:space="preserve"> </w:t>
      </w:r>
    </w:p>
  </w:footnote>
  <w:footnote w:id="9">
    <w:p w14:paraId="50E20C45" w14:textId="77777777" w:rsidR="00E00827" w:rsidRPr="00454F78" w:rsidRDefault="00E00827" w:rsidP="00F70A57">
      <w:pPr>
        <w:pStyle w:val="Textonotapie"/>
        <w:ind w:firstLine="709"/>
        <w:jc w:val="both"/>
        <w:rPr>
          <w:rFonts w:ascii="Arial" w:hAnsi="Arial" w:cs="Arial"/>
          <w:color w:val="000000" w:themeColor="text1"/>
          <w:sz w:val="19"/>
          <w:szCs w:val="19"/>
        </w:rPr>
      </w:pPr>
      <w:r w:rsidRPr="004403EF">
        <w:rPr>
          <w:rStyle w:val="Refdenotaalpie"/>
          <w:rFonts w:ascii="Arial" w:hAnsi="Arial" w:cs="Arial"/>
          <w:color w:val="000000" w:themeColor="text1"/>
          <w:sz w:val="19"/>
          <w:szCs w:val="19"/>
        </w:rPr>
        <w:footnoteRef/>
      </w:r>
      <w:r w:rsidRPr="004403EF">
        <w:rPr>
          <w:rFonts w:ascii="Arial" w:hAnsi="Arial" w:cs="Arial"/>
          <w:color w:val="000000" w:themeColor="text1"/>
          <w:sz w:val="19"/>
          <w:szCs w:val="19"/>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w:t>
      </w:r>
      <w:r w:rsidRPr="00454F78">
        <w:rPr>
          <w:rFonts w:ascii="Arial" w:hAnsi="Arial" w:cs="Arial"/>
          <w:color w:val="000000" w:themeColor="text1"/>
          <w:sz w:val="19"/>
          <w:szCs w:val="19"/>
        </w:rPr>
        <w:t>o es, del vencimiento del plazo para presentar ofertas.</w:t>
      </w:r>
    </w:p>
    <w:p w14:paraId="0AFD82A5" w14:textId="366C492F" w:rsidR="00E00827" w:rsidRPr="00454F78" w:rsidRDefault="00E00827" w:rsidP="00F70A57">
      <w:pPr>
        <w:pStyle w:val="Textonotapie"/>
        <w:ind w:firstLine="709"/>
        <w:jc w:val="both"/>
        <w:rPr>
          <w:rFonts w:ascii="Arial" w:hAnsi="Arial" w:cs="Arial"/>
          <w:color w:val="000000" w:themeColor="text1"/>
          <w:sz w:val="19"/>
          <w:szCs w:val="19"/>
        </w:rPr>
      </w:pPr>
      <w:r w:rsidRPr="00454F78">
        <w:rPr>
          <w:rFonts w:ascii="Arial" w:hAnsi="Arial" w:cs="Arial"/>
          <w:color w:val="000000" w:themeColor="text1"/>
          <w:sz w:val="19"/>
          <w:szCs w:val="19"/>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73406E2E" w14:textId="77777777" w:rsidR="00E00827" w:rsidRPr="00454F78" w:rsidRDefault="00E00827" w:rsidP="00F70A57">
      <w:pPr>
        <w:pStyle w:val="Textonotapie"/>
        <w:ind w:firstLine="709"/>
        <w:jc w:val="both"/>
        <w:rPr>
          <w:rFonts w:ascii="Arial" w:hAnsi="Arial" w:cs="Arial"/>
          <w:color w:val="000000" w:themeColor="text1"/>
          <w:sz w:val="19"/>
          <w:szCs w:val="19"/>
        </w:rPr>
      </w:pPr>
    </w:p>
  </w:footnote>
  <w:footnote w:id="10">
    <w:p w14:paraId="3A89A3AC" w14:textId="77777777" w:rsidR="00E00827" w:rsidRPr="00454F78" w:rsidRDefault="00E00827" w:rsidP="00F70A57">
      <w:pPr>
        <w:pStyle w:val="Textonotapie"/>
        <w:ind w:firstLine="709"/>
        <w:jc w:val="both"/>
        <w:rPr>
          <w:rFonts w:ascii="Arial" w:hAnsi="Arial" w:cs="Arial"/>
          <w:color w:val="000000" w:themeColor="text1"/>
          <w:sz w:val="19"/>
          <w:szCs w:val="19"/>
        </w:rPr>
      </w:pPr>
      <w:r w:rsidRPr="004403EF">
        <w:rPr>
          <w:rStyle w:val="Refdenotaalpie"/>
          <w:rFonts w:ascii="Arial" w:hAnsi="Arial" w:cs="Arial"/>
          <w:color w:val="000000" w:themeColor="text1"/>
          <w:sz w:val="19"/>
          <w:szCs w:val="19"/>
        </w:rPr>
        <w:footnoteRef/>
      </w:r>
      <w:r w:rsidRPr="004403EF">
        <w:rPr>
          <w:rFonts w:ascii="Arial" w:hAnsi="Arial" w:cs="Arial"/>
          <w:color w:val="000000" w:themeColor="text1"/>
          <w:sz w:val="19"/>
          <w:szCs w:val="19"/>
        </w:rPr>
        <w:t xml:space="preserve"> Ver Consejo de Estado, Sección Tercera, Subsección C. Sentencia del 26 de febrero de 2011. C.P. Jaime Orlando Santofimio. Rad. 36.408.  </w:t>
      </w:r>
    </w:p>
    <w:p w14:paraId="4D58CC02" w14:textId="77777777" w:rsidR="00E00827" w:rsidRPr="00454F78" w:rsidRDefault="00E00827" w:rsidP="00F70A57">
      <w:pPr>
        <w:pStyle w:val="Textonotapie"/>
        <w:ind w:firstLine="709"/>
        <w:jc w:val="both"/>
        <w:rPr>
          <w:rFonts w:ascii="Arial" w:hAnsi="Arial" w:cs="Arial"/>
          <w:color w:val="000000" w:themeColor="text1"/>
          <w:sz w:val="19"/>
          <w:szCs w:val="19"/>
        </w:rPr>
      </w:pPr>
    </w:p>
  </w:footnote>
  <w:footnote w:id="11">
    <w:p w14:paraId="6297505A" w14:textId="0F2571B3" w:rsidR="00E00827" w:rsidRPr="00454F78" w:rsidRDefault="00E00827" w:rsidP="00F70A57">
      <w:pPr>
        <w:pStyle w:val="Textonotapie"/>
        <w:ind w:firstLine="709"/>
        <w:jc w:val="both"/>
        <w:rPr>
          <w:rFonts w:ascii="Arial" w:hAnsi="Arial" w:cs="Arial"/>
          <w:color w:val="000000" w:themeColor="text1"/>
          <w:sz w:val="19"/>
          <w:szCs w:val="19"/>
        </w:rPr>
      </w:pPr>
      <w:r w:rsidRPr="004403EF">
        <w:rPr>
          <w:rStyle w:val="Refdenotaalpie"/>
          <w:rFonts w:ascii="Arial" w:hAnsi="Arial" w:cs="Arial"/>
          <w:color w:val="000000" w:themeColor="text1"/>
          <w:sz w:val="19"/>
          <w:szCs w:val="19"/>
        </w:rPr>
        <w:footnoteRef/>
      </w:r>
      <w:r w:rsidRPr="004403EF">
        <w:rPr>
          <w:rFonts w:ascii="Arial" w:hAnsi="Arial" w:cs="Arial"/>
          <w:color w:val="000000" w:themeColor="text1"/>
          <w:sz w:val="19"/>
          <w:szCs w:val="19"/>
        </w:rPr>
        <w:t xml:space="preserve"> Ver Consejo de Estado, Sección Tercera, Subsección C. Sentencia del 26 de febrero de 2014. C.P. Enrique Gil Botero. Rad. 25.804.  </w:t>
      </w:r>
    </w:p>
    <w:p w14:paraId="2A87ABA2" w14:textId="77777777" w:rsidR="00E00827" w:rsidRPr="00454F78" w:rsidRDefault="00E00827" w:rsidP="00F70A57">
      <w:pPr>
        <w:pStyle w:val="Textonotapie"/>
        <w:ind w:firstLine="709"/>
        <w:jc w:val="both"/>
        <w:rPr>
          <w:rFonts w:ascii="Arial" w:hAnsi="Arial" w:cs="Arial"/>
          <w:color w:val="000000" w:themeColor="text1"/>
          <w:sz w:val="19"/>
          <w:szCs w:val="19"/>
        </w:rPr>
      </w:pPr>
    </w:p>
  </w:footnote>
  <w:footnote w:id="12">
    <w:p w14:paraId="61F26E8D" w14:textId="77777777" w:rsidR="00E00827" w:rsidRPr="00454F78" w:rsidRDefault="00E00827" w:rsidP="00F70A57">
      <w:pPr>
        <w:pStyle w:val="Textonotapie"/>
        <w:ind w:firstLine="709"/>
        <w:jc w:val="both"/>
        <w:rPr>
          <w:rFonts w:ascii="Arial" w:hAnsi="Arial" w:cs="Arial"/>
          <w:color w:val="000000" w:themeColor="text1"/>
          <w:sz w:val="19"/>
          <w:szCs w:val="19"/>
        </w:rPr>
      </w:pPr>
      <w:r w:rsidRPr="004403EF">
        <w:rPr>
          <w:rStyle w:val="Refdenotaalpie"/>
          <w:rFonts w:ascii="Arial" w:hAnsi="Arial" w:cs="Arial"/>
          <w:color w:val="000000" w:themeColor="text1"/>
          <w:sz w:val="19"/>
          <w:szCs w:val="19"/>
        </w:rPr>
        <w:footnoteRef/>
      </w:r>
      <w:r w:rsidRPr="004403EF">
        <w:rPr>
          <w:rFonts w:ascii="Arial" w:hAnsi="Arial" w:cs="Arial"/>
          <w:color w:val="000000" w:themeColor="text1"/>
          <w:sz w:val="19"/>
          <w:szCs w:val="19"/>
        </w:rPr>
        <w:t xml:space="preserve"> Consejo de Estado. Sala de Consulta y Servicio Civil. Concepto del 20 de mayo de 2010. Expediente: 1992. Consejero Ponente: Enrique José Arboleda Perdomo.</w:t>
      </w:r>
    </w:p>
    <w:p w14:paraId="2C87F99B" w14:textId="77777777" w:rsidR="00E00827" w:rsidRPr="00454F78" w:rsidRDefault="00E00827" w:rsidP="00F70A57">
      <w:pPr>
        <w:pStyle w:val="Textonotapie"/>
        <w:ind w:firstLine="709"/>
        <w:jc w:val="both"/>
        <w:rPr>
          <w:rFonts w:ascii="Arial" w:hAnsi="Arial" w:cs="Arial"/>
          <w:color w:val="000000" w:themeColor="text1"/>
          <w:sz w:val="19"/>
          <w:szCs w:val="19"/>
        </w:rPr>
      </w:pPr>
    </w:p>
  </w:footnote>
  <w:footnote w:id="13">
    <w:p w14:paraId="00E48D17" w14:textId="77777777" w:rsidR="00E00827" w:rsidRPr="00454F78" w:rsidRDefault="00E00827" w:rsidP="009F7B0A">
      <w:pPr>
        <w:pStyle w:val="Textonotapie"/>
        <w:ind w:firstLine="708"/>
        <w:jc w:val="both"/>
        <w:rPr>
          <w:rFonts w:ascii="Arial" w:hAnsi="Arial" w:cs="Arial"/>
          <w:color w:val="000000" w:themeColor="text1"/>
          <w:sz w:val="19"/>
          <w:szCs w:val="19"/>
          <w:lang w:val="es-CO"/>
        </w:rPr>
      </w:pPr>
      <w:r w:rsidRPr="004403EF">
        <w:rPr>
          <w:rStyle w:val="Refdenotaalpie"/>
          <w:rFonts w:ascii="Arial" w:hAnsi="Arial" w:cs="Arial"/>
          <w:color w:val="000000" w:themeColor="text1"/>
          <w:sz w:val="19"/>
          <w:szCs w:val="19"/>
        </w:rPr>
        <w:footnoteRef/>
      </w:r>
      <w:r w:rsidRPr="004403EF">
        <w:rPr>
          <w:rFonts w:ascii="Arial" w:hAnsi="Arial" w:cs="Arial"/>
          <w:color w:val="000000" w:themeColor="text1"/>
          <w:sz w:val="19"/>
          <w:szCs w:val="19"/>
        </w:rPr>
        <w:t xml:space="preserve"> Ley 1150 de 2007 </w:t>
      </w:r>
      <w:r w:rsidRPr="004403EF">
        <w:rPr>
          <w:rFonts w:ascii="Arial" w:hAnsi="Arial" w:cs="Arial"/>
          <w:color w:val="000000" w:themeColor="text1"/>
          <w:sz w:val="19"/>
          <w:szCs w:val="19"/>
          <w:lang w:val="es-CO"/>
        </w:rPr>
        <w:t>«Artículo 2o. De las modalidades de selección. La escogencia del contratista se efectuará con arreglo a las modalidades de selección de licitac</w:t>
      </w:r>
      <w:r w:rsidRPr="00454F78">
        <w:rPr>
          <w:rFonts w:ascii="Arial" w:hAnsi="Arial" w:cs="Arial"/>
          <w:color w:val="000000" w:themeColor="text1"/>
          <w:sz w:val="19"/>
          <w:szCs w:val="19"/>
          <w:lang w:val="es-CO"/>
        </w:rPr>
        <w:t>ión pública, selección abreviada, concurso de méritos y contratación directa, con base en las siguientes reglas:</w:t>
      </w:r>
    </w:p>
    <w:p w14:paraId="5B0560EE" w14:textId="77777777" w:rsidR="00E00827" w:rsidRPr="00454F78" w:rsidRDefault="00E00827" w:rsidP="009F7B0A">
      <w:pPr>
        <w:pStyle w:val="Textonotapie"/>
        <w:ind w:firstLine="708"/>
        <w:jc w:val="both"/>
        <w:rPr>
          <w:rFonts w:ascii="Arial" w:hAnsi="Arial" w:cs="Arial"/>
          <w:color w:val="000000" w:themeColor="text1"/>
          <w:sz w:val="19"/>
          <w:szCs w:val="19"/>
          <w:lang w:val="es-CO"/>
        </w:rPr>
      </w:pPr>
      <w:r w:rsidRPr="00454F78">
        <w:rPr>
          <w:rFonts w:ascii="Arial" w:hAnsi="Arial" w:cs="Arial"/>
          <w:color w:val="000000" w:themeColor="text1"/>
          <w:sz w:val="19"/>
          <w:szCs w:val="19"/>
          <w:lang w:val="es-CO"/>
        </w:rPr>
        <w:t>»1. Licitación pública. La escogencia del contratista se efectuará por regla general a través de licitación pública, con las excepciones que se señalan en los numerales 2, 3 y 4 del presente artículo.</w:t>
      </w:r>
    </w:p>
    <w:p w14:paraId="78645F6D" w14:textId="77777777" w:rsidR="00E00827" w:rsidRPr="00454F78" w:rsidRDefault="00E00827" w:rsidP="009F7B0A">
      <w:pPr>
        <w:pStyle w:val="Textonotapie"/>
        <w:ind w:firstLine="708"/>
        <w:jc w:val="both"/>
        <w:rPr>
          <w:rFonts w:ascii="Arial" w:hAnsi="Arial" w:cs="Arial"/>
          <w:color w:val="000000" w:themeColor="text1"/>
          <w:sz w:val="19"/>
          <w:szCs w:val="19"/>
          <w:lang w:val="es-CO"/>
        </w:rPr>
      </w:pPr>
      <w:r w:rsidRPr="00454F78">
        <w:rPr>
          <w:rFonts w:ascii="Arial" w:hAnsi="Arial" w:cs="Arial"/>
          <w:color w:val="000000" w:themeColor="text1"/>
          <w:sz w:val="19"/>
          <w:szCs w:val="19"/>
          <w:lang w:val="es-CO"/>
        </w:rPr>
        <w:t>Cuando la entidad estatal así lo determine, la oferta en un proceso de la licitación pública podrá ser presentada total o parcialmente de manera dinámica mediante subasta inversa, en las condiciones que fije el reglamento.</w:t>
      </w:r>
    </w:p>
    <w:p w14:paraId="3DADE384" w14:textId="77777777" w:rsidR="00E00827" w:rsidRPr="00454F78" w:rsidRDefault="00E00827" w:rsidP="009F7B0A">
      <w:pPr>
        <w:pStyle w:val="Textonotapie"/>
        <w:ind w:firstLine="708"/>
        <w:jc w:val="both"/>
        <w:rPr>
          <w:rFonts w:ascii="Arial" w:hAnsi="Arial" w:cs="Arial"/>
          <w:color w:val="000000" w:themeColor="text1"/>
          <w:sz w:val="19"/>
          <w:szCs w:val="19"/>
          <w:lang w:val="es-CO"/>
        </w:rPr>
      </w:pPr>
      <w:r w:rsidRPr="00454F78">
        <w:rPr>
          <w:rFonts w:ascii="Arial" w:hAnsi="Arial" w:cs="Arial"/>
          <w:color w:val="000000" w:themeColor="text1"/>
          <w:sz w:val="19"/>
          <w:szCs w:val="19"/>
          <w:lang w:val="es-CO"/>
        </w:rPr>
        <w:t>»2. Selección abreviada. La Selección abreviada corresponde a la modalidad de selección objetiva prevista para aquellos casos en que por las características del objeto a contratar, las circunstancias de la contratación o la cuantía o destinación del bien, obra o servicio, puedan adelantarse procesos simplificados para garantizar la eficiencia de la gestión contractual.</w:t>
      </w:r>
    </w:p>
    <w:p w14:paraId="52FE0FCD" w14:textId="77777777" w:rsidR="00E00827" w:rsidRPr="00454F78" w:rsidRDefault="00E00827" w:rsidP="009F7B0A">
      <w:pPr>
        <w:pStyle w:val="Textonotapie"/>
        <w:ind w:firstLine="708"/>
        <w:jc w:val="both"/>
        <w:rPr>
          <w:rFonts w:ascii="Arial" w:hAnsi="Arial" w:cs="Arial"/>
          <w:color w:val="000000" w:themeColor="text1"/>
          <w:sz w:val="19"/>
          <w:szCs w:val="19"/>
          <w:lang w:val="es-CO"/>
        </w:rPr>
      </w:pPr>
      <w:r w:rsidRPr="00454F78">
        <w:rPr>
          <w:rFonts w:ascii="Arial" w:hAnsi="Arial" w:cs="Arial"/>
          <w:color w:val="000000" w:themeColor="text1"/>
          <w:sz w:val="19"/>
          <w:szCs w:val="19"/>
          <w:lang w:val="es-CO"/>
        </w:rPr>
        <w:t>»El Gobierno Nacional reglamentará la materia.</w:t>
      </w:r>
    </w:p>
    <w:p w14:paraId="77B104EF" w14:textId="77777777" w:rsidR="00E00827" w:rsidRPr="00454F78" w:rsidRDefault="00E00827" w:rsidP="009F7B0A">
      <w:pPr>
        <w:pStyle w:val="Textonotapie"/>
        <w:ind w:firstLine="708"/>
        <w:jc w:val="both"/>
        <w:rPr>
          <w:rFonts w:ascii="Arial" w:hAnsi="Arial" w:cs="Arial"/>
          <w:color w:val="000000" w:themeColor="text1"/>
          <w:sz w:val="19"/>
          <w:szCs w:val="19"/>
          <w:lang w:val="es-CO"/>
        </w:rPr>
      </w:pPr>
      <w:r w:rsidRPr="00454F78">
        <w:rPr>
          <w:rFonts w:ascii="Arial" w:hAnsi="Arial" w:cs="Arial"/>
          <w:color w:val="000000" w:themeColor="text1"/>
          <w:sz w:val="19"/>
          <w:szCs w:val="19"/>
          <w:lang w:val="es-CO"/>
        </w:rPr>
        <w:t>»Serán causales de selección abreviada las siguientes:</w:t>
      </w:r>
    </w:p>
    <w:p w14:paraId="5D174061" w14:textId="77777777" w:rsidR="00E00827" w:rsidRPr="00454F78" w:rsidRDefault="00E00827" w:rsidP="009F7B0A">
      <w:pPr>
        <w:pStyle w:val="Textonotapie"/>
        <w:ind w:firstLine="708"/>
        <w:jc w:val="both"/>
        <w:rPr>
          <w:rFonts w:ascii="Arial" w:hAnsi="Arial" w:cs="Arial"/>
          <w:color w:val="000000" w:themeColor="text1"/>
          <w:sz w:val="19"/>
          <w:szCs w:val="19"/>
          <w:lang w:val="es-CO"/>
        </w:rPr>
      </w:pPr>
      <w:r w:rsidRPr="00454F78">
        <w:rPr>
          <w:rFonts w:ascii="Arial" w:hAnsi="Arial" w:cs="Arial"/>
          <w:color w:val="000000" w:themeColor="text1"/>
          <w:sz w:val="19"/>
          <w:szCs w:val="19"/>
          <w:lang w:val="es-CO"/>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600DB74E" w14:textId="77777777" w:rsidR="00E00827" w:rsidRPr="00454F78" w:rsidRDefault="00E00827" w:rsidP="009F7B0A">
      <w:pPr>
        <w:pStyle w:val="Textonotapie"/>
        <w:ind w:firstLine="705"/>
        <w:jc w:val="both"/>
        <w:rPr>
          <w:rFonts w:ascii="Arial" w:hAnsi="Arial" w:cs="Arial"/>
          <w:color w:val="000000" w:themeColor="text1"/>
          <w:sz w:val="19"/>
          <w:szCs w:val="19"/>
          <w:lang w:val="es-CO"/>
        </w:rPr>
      </w:pPr>
      <w:r w:rsidRPr="00454F78">
        <w:rPr>
          <w:rFonts w:ascii="Arial" w:hAnsi="Arial" w:cs="Arial"/>
          <w:color w:val="000000" w:themeColor="text1"/>
          <w:sz w:val="19"/>
          <w:szCs w:val="19"/>
          <w:lang w:val="es-CO"/>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093E2506" w14:textId="77777777" w:rsidR="00E00827" w:rsidRPr="00454F78" w:rsidRDefault="00E00827" w:rsidP="009F7B0A">
      <w:pPr>
        <w:pStyle w:val="Textonotapie"/>
        <w:ind w:left="705"/>
        <w:jc w:val="both"/>
        <w:rPr>
          <w:rFonts w:ascii="Arial" w:hAnsi="Arial" w:cs="Arial"/>
          <w:color w:val="000000" w:themeColor="text1"/>
          <w:sz w:val="19"/>
          <w:szCs w:val="19"/>
          <w:lang w:val="es-CO"/>
        </w:rPr>
      </w:pPr>
      <w:r w:rsidRPr="00454F78">
        <w:rPr>
          <w:rFonts w:ascii="Arial" w:hAnsi="Arial" w:cs="Arial"/>
          <w:color w:val="000000" w:themeColor="text1"/>
          <w:sz w:val="19"/>
          <w:szCs w:val="19"/>
          <w:lang w:val="es-CO"/>
        </w:rPr>
        <w:t>[…]</w:t>
      </w:r>
    </w:p>
    <w:p w14:paraId="301F0A0F" w14:textId="77777777" w:rsidR="00E00827" w:rsidRPr="00454F78" w:rsidRDefault="00E00827" w:rsidP="009F7B0A">
      <w:pPr>
        <w:pStyle w:val="Textonotapie"/>
        <w:ind w:firstLine="708"/>
        <w:jc w:val="both"/>
        <w:rPr>
          <w:rFonts w:ascii="Arial" w:hAnsi="Arial" w:cs="Arial"/>
          <w:color w:val="000000" w:themeColor="text1"/>
          <w:sz w:val="19"/>
          <w:szCs w:val="19"/>
          <w:lang w:val="es-CO"/>
        </w:rPr>
      </w:pPr>
      <w:r w:rsidRPr="00454F78">
        <w:rPr>
          <w:rFonts w:ascii="Arial" w:hAnsi="Arial" w:cs="Arial"/>
          <w:color w:val="000000" w:themeColor="text1"/>
          <w:sz w:val="19"/>
          <w:szCs w:val="19"/>
          <w:lang w:val="es-CO"/>
        </w:rPr>
        <w:t>»e) La enajenación de bienes del Estado, con excepción de aquellos a que se refiere la Ley 226 de 1995.</w:t>
      </w:r>
    </w:p>
    <w:p w14:paraId="31D1A1BD" w14:textId="77777777" w:rsidR="00E00827" w:rsidRPr="00454F78" w:rsidRDefault="00E00827" w:rsidP="009F7B0A">
      <w:pPr>
        <w:pStyle w:val="Textonotapie"/>
        <w:ind w:firstLine="708"/>
        <w:jc w:val="both"/>
        <w:rPr>
          <w:rFonts w:ascii="Arial" w:hAnsi="Arial" w:cs="Arial"/>
          <w:color w:val="000000" w:themeColor="text1"/>
          <w:sz w:val="19"/>
          <w:szCs w:val="19"/>
          <w:lang w:val="es-CO"/>
        </w:rPr>
      </w:pPr>
      <w:r w:rsidRPr="00454F78">
        <w:rPr>
          <w:rFonts w:ascii="Arial" w:hAnsi="Arial" w:cs="Arial"/>
          <w:color w:val="000000" w:themeColor="text1"/>
          <w:sz w:val="19"/>
          <w:szCs w:val="19"/>
          <w:lang w:val="es-CO"/>
        </w:rPr>
        <w:t>»En los procesos de enajenación de los bienes del Estado se podrán utilizar instrumentos de subasta y en general de todos aquellos mecanismos autorizados por el derecho privado, siempre y cuando en desarrollo del proceso de enajenación se garantice la transparencia, la eficiencia y la selección objetiva.</w:t>
      </w:r>
    </w:p>
    <w:p w14:paraId="5236A3A7" w14:textId="77777777" w:rsidR="00E00827" w:rsidRPr="00454F78" w:rsidRDefault="00E00827" w:rsidP="009F7B0A">
      <w:pPr>
        <w:pStyle w:val="Textonotapie"/>
        <w:ind w:firstLine="708"/>
        <w:jc w:val="both"/>
        <w:rPr>
          <w:rFonts w:ascii="Arial" w:hAnsi="Arial" w:cs="Arial"/>
          <w:color w:val="000000" w:themeColor="text1"/>
          <w:sz w:val="19"/>
          <w:szCs w:val="19"/>
          <w:lang w:val="es-CO"/>
        </w:rPr>
      </w:pPr>
      <w:r w:rsidRPr="00454F78">
        <w:rPr>
          <w:rFonts w:ascii="Arial" w:hAnsi="Arial" w:cs="Arial"/>
          <w:color w:val="000000" w:themeColor="text1"/>
          <w:sz w:val="19"/>
          <w:szCs w:val="19"/>
          <w:lang w:val="es-CO"/>
        </w:rPr>
        <w:t>»[…]</w:t>
      </w:r>
    </w:p>
    <w:p w14:paraId="15312F43" w14:textId="77777777" w:rsidR="00E00827" w:rsidRPr="00454F78" w:rsidRDefault="00E00827" w:rsidP="009F7B0A">
      <w:pPr>
        <w:pStyle w:val="Textonotapie"/>
        <w:ind w:firstLine="708"/>
        <w:jc w:val="both"/>
        <w:rPr>
          <w:rFonts w:ascii="Arial" w:hAnsi="Arial" w:cs="Arial"/>
          <w:color w:val="000000" w:themeColor="text1"/>
          <w:sz w:val="19"/>
          <w:szCs w:val="19"/>
          <w:lang w:val="es-CO"/>
        </w:rPr>
      </w:pPr>
      <w:r w:rsidRPr="00454F78">
        <w:rPr>
          <w:rFonts w:ascii="Arial" w:hAnsi="Arial" w:cs="Arial"/>
          <w:color w:val="000000" w:themeColor="text1"/>
          <w:sz w:val="19"/>
          <w:szCs w:val="19"/>
          <w:lang w:val="es-CO"/>
        </w:rPr>
        <w:t>»Las reglas y procedimientos que deberán atender la administración y los promotores y la publicidad del proceso deberán garantizar la libre concurrencia y oportunidad de quienes participen en el mismo.</w:t>
      </w:r>
    </w:p>
    <w:p w14:paraId="1AEEDEE8" w14:textId="77777777" w:rsidR="00E00827" w:rsidRPr="00454F78" w:rsidRDefault="00E00827" w:rsidP="009F7B0A">
      <w:pPr>
        <w:pStyle w:val="Textonotapie"/>
        <w:ind w:firstLine="708"/>
        <w:jc w:val="both"/>
        <w:rPr>
          <w:rFonts w:ascii="Arial" w:hAnsi="Arial" w:cs="Arial"/>
          <w:color w:val="000000" w:themeColor="text1"/>
          <w:sz w:val="19"/>
          <w:szCs w:val="19"/>
          <w:lang w:val="es-CO"/>
        </w:rPr>
      </w:pPr>
      <w:r w:rsidRPr="00454F78">
        <w:rPr>
          <w:rFonts w:ascii="Arial" w:hAnsi="Arial" w:cs="Arial"/>
          <w:color w:val="000000" w:themeColor="text1"/>
          <w:sz w:val="19"/>
          <w:szCs w:val="19"/>
          <w:lang w:val="es-CO"/>
        </w:rPr>
        <w:t>»Los bienes serán enajenados a través de venta directa en sobre cerrado o en pública subasta. La adjudicación para la venta directa deberá hacerse en audiencia pública, en donde se conozcan las ofertas iniciales y se efectúe un segundo ofrecimiento, frente al cual se adjudicará el bien a quien oferte el mejor precio. En la subasta pública, de acuerdo con el reglamento definido para su realización, el bien será adjudicado al mejor postor.</w:t>
      </w:r>
    </w:p>
    <w:p w14:paraId="58EA1B48" w14:textId="77777777" w:rsidR="00E00827" w:rsidRPr="00454F78" w:rsidRDefault="00E00827" w:rsidP="009F7B0A">
      <w:pPr>
        <w:pStyle w:val="Textonotapie"/>
        <w:ind w:firstLine="708"/>
        <w:jc w:val="both"/>
        <w:rPr>
          <w:rFonts w:ascii="Arial" w:hAnsi="Arial" w:cs="Arial"/>
          <w:color w:val="000000" w:themeColor="text1"/>
          <w:sz w:val="19"/>
          <w:szCs w:val="19"/>
          <w:lang w:val="es-CO"/>
        </w:rPr>
      </w:pPr>
      <w:r w:rsidRPr="00454F78">
        <w:rPr>
          <w:rFonts w:ascii="Arial" w:hAnsi="Arial" w:cs="Arial"/>
          <w:color w:val="000000" w:themeColor="text1"/>
          <w:sz w:val="19"/>
          <w:szCs w:val="19"/>
          <w:lang w:val="es-CO"/>
        </w:rPr>
        <w:t>»La venta implica la publicación previa de los bienes en un diario de amplia circulación nacional, con la determinación del precio base. El interesado en adquirir bienes deberá consignar al menos el 20% del valor base de venta para participar en la oferta; […]».</w:t>
      </w:r>
    </w:p>
  </w:footnote>
  <w:footnote w:id="14">
    <w:p w14:paraId="44388853" w14:textId="77777777" w:rsidR="00E00827" w:rsidRPr="00454F78" w:rsidRDefault="00E00827" w:rsidP="00F70A57">
      <w:pPr>
        <w:pStyle w:val="NormalWeb"/>
        <w:spacing w:before="0" w:beforeAutospacing="0" w:after="0" w:afterAutospacing="0"/>
        <w:ind w:firstLine="708"/>
        <w:jc w:val="both"/>
        <w:rPr>
          <w:rFonts w:ascii="Arial" w:hAnsi="Arial" w:cs="Arial"/>
          <w:color w:val="000000" w:themeColor="text1"/>
          <w:sz w:val="19"/>
          <w:szCs w:val="19"/>
        </w:rPr>
      </w:pPr>
      <w:r w:rsidRPr="004403EF">
        <w:rPr>
          <w:rStyle w:val="Refdenotaalpie"/>
          <w:rFonts w:ascii="Arial" w:hAnsi="Arial" w:cs="Arial"/>
          <w:color w:val="000000" w:themeColor="text1"/>
          <w:sz w:val="19"/>
          <w:szCs w:val="19"/>
        </w:rPr>
        <w:footnoteRef/>
      </w:r>
      <w:r w:rsidRPr="004403EF">
        <w:rPr>
          <w:rFonts w:ascii="Arial" w:hAnsi="Arial" w:cs="Arial"/>
          <w:color w:val="000000" w:themeColor="text1"/>
          <w:sz w:val="19"/>
          <w:szCs w:val="19"/>
        </w:rPr>
        <w:t xml:space="preserve"> </w:t>
      </w:r>
      <w:r w:rsidRPr="004403EF">
        <w:rPr>
          <w:rFonts w:ascii="Arial" w:hAnsi="Arial" w:cs="Arial"/>
          <w:b/>
          <w:bCs/>
          <w:color w:val="000000" w:themeColor="text1"/>
          <w:sz w:val="19"/>
          <w:szCs w:val="19"/>
        </w:rPr>
        <w:t>«</w:t>
      </w:r>
      <w:r w:rsidRPr="00454F78">
        <w:rPr>
          <w:rStyle w:val="Textoennegrita"/>
          <w:rFonts w:ascii="Arial" w:hAnsi="Arial" w:cs="Arial"/>
          <w:b w:val="0"/>
          <w:bCs w:val="0"/>
          <w:color w:val="000000" w:themeColor="text1"/>
          <w:sz w:val="19"/>
          <w:szCs w:val="19"/>
        </w:rPr>
        <w:t>Artículo 2.2.1.2.1.2.2. </w:t>
      </w:r>
      <w:r w:rsidRPr="00454F78">
        <w:rPr>
          <w:rStyle w:val="nfasis"/>
          <w:rFonts w:ascii="Arial" w:hAnsi="Arial" w:cs="Arial"/>
          <w:i w:val="0"/>
          <w:iCs w:val="0"/>
          <w:color w:val="000000" w:themeColor="text1"/>
          <w:sz w:val="19"/>
          <w:szCs w:val="19"/>
        </w:rPr>
        <w:t>Procedimiento para la subasta inversa</w:t>
      </w:r>
      <w:r w:rsidRPr="00454F78">
        <w:rPr>
          <w:rStyle w:val="nfasis"/>
          <w:rFonts w:ascii="Arial" w:hAnsi="Arial" w:cs="Arial"/>
          <w:color w:val="000000" w:themeColor="text1"/>
          <w:sz w:val="19"/>
          <w:szCs w:val="19"/>
        </w:rPr>
        <w:t>.</w:t>
      </w:r>
      <w:r w:rsidRPr="00454F78">
        <w:rPr>
          <w:rStyle w:val="nfasis"/>
          <w:rFonts w:ascii="Arial" w:hAnsi="Arial" w:cs="Arial"/>
          <w:b/>
          <w:bCs/>
          <w:color w:val="000000" w:themeColor="text1"/>
          <w:sz w:val="19"/>
          <w:szCs w:val="19"/>
        </w:rPr>
        <w:t> </w:t>
      </w:r>
      <w:r w:rsidRPr="00454F78">
        <w:rPr>
          <w:rFonts w:ascii="Arial" w:hAnsi="Arial" w:cs="Arial"/>
          <w:color w:val="000000" w:themeColor="text1"/>
          <w:sz w:val="19"/>
          <w:szCs w:val="19"/>
        </w:rPr>
        <w:t>Además de las reglas generales previstas en la ley y en el presente título, las siguientes reglas son aplicables a la subasta inversa: </w:t>
      </w:r>
    </w:p>
    <w:p w14:paraId="47D2A5EE" w14:textId="03E47C6A" w:rsidR="00E00827" w:rsidRPr="00454F78" w:rsidRDefault="00E00827" w:rsidP="00F70A57">
      <w:pPr>
        <w:pStyle w:val="NormalWeb"/>
        <w:spacing w:before="0" w:beforeAutospacing="0" w:after="0" w:afterAutospacing="0"/>
        <w:jc w:val="both"/>
        <w:rPr>
          <w:rFonts w:ascii="Arial" w:hAnsi="Arial" w:cs="Arial"/>
          <w:color w:val="000000" w:themeColor="text1"/>
          <w:sz w:val="19"/>
          <w:szCs w:val="19"/>
        </w:rPr>
      </w:pPr>
      <w:r w:rsidRPr="00454F78">
        <w:rPr>
          <w:rFonts w:ascii="Arial" w:hAnsi="Arial" w:cs="Arial"/>
          <w:color w:val="000000" w:themeColor="text1"/>
          <w:sz w:val="19"/>
          <w:szCs w:val="19"/>
        </w:rPr>
        <w:t>  </w:t>
      </w:r>
      <w:r w:rsidRPr="00454F78">
        <w:rPr>
          <w:rFonts w:ascii="Arial" w:hAnsi="Arial" w:cs="Arial"/>
          <w:color w:val="000000" w:themeColor="text1"/>
          <w:sz w:val="19"/>
          <w:szCs w:val="19"/>
        </w:rPr>
        <w:tab/>
        <w:t>»1. Los pliegos de condiciones deben indicar: a) la fecha y hora de inicio de la subasta; b) la periodicidad de los Lances; y c) el Margen Mínimo para mejorar la oferta durante la subasta inversa. </w:t>
      </w:r>
    </w:p>
    <w:p w14:paraId="773463C4" w14:textId="6F859C96" w:rsidR="00E00827" w:rsidRPr="00454F78" w:rsidRDefault="00E00827" w:rsidP="00F70A57">
      <w:pPr>
        <w:pStyle w:val="NormalWeb"/>
        <w:spacing w:before="0" w:beforeAutospacing="0" w:after="0" w:afterAutospacing="0"/>
        <w:jc w:val="both"/>
        <w:rPr>
          <w:rFonts w:ascii="Arial" w:hAnsi="Arial" w:cs="Arial"/>
          <w:color w:val="000000" w:themeColor="text1"/>
          <w:sz w:val="19"/>
          <w:szCs w:val="19"/>
        </w:rPr>
      </w:pPr>
      <w:r w:rsidRPr="00454F78">
        <w:rPr>
          <w:rFonts w:ascii="Arial" w:hAnsi="Arial" w:cs="Arial"/>
          <w:color w:val="000000" w:themeColor="text1"/>
          <w:sz w:val="19"/>
          <w:szCs w:val="19"/>
        </w:rPr>
        <w:t>  </w:t>
      </w:r>
      <w:r w:rsidRPr="00454F78">
        <w:rPr>
          <w:rFonts w:ascii="Arial" w:hAnsi="Arial" w:cs="Arial"/>
          <w:color w:val="000000" w:themeColor="text1"/>
          <w:sz w:val="19"/>
          <w:szCs w:val="19"/>
        </w:rPr>
        <w:tab/>
        <w:t>»2. La oferta debe contener dos partes, la primera en la cual el interesado acredite su capacidad de participar en el Proceso de Contratación y acredite el cumplimiento de la ficha técnica; y la segunda parte debe contener el precio inicial propuesto por el oferente. </w:t>
      </w:r>
    </w:p>
    <w:p w14:paraId="2FE43AE8" w14:textId="73D51B87" w:rsidR="00E00827" w:rsidRPr="00454F78" w:rsidRDefault="00E00827" w:rsidP="00F70A57">
      <w:pPr>
        <w:pStyle w:val="NormalWeb"/>
        <w:spacing w:before="0" w:beforeAutospacing="0" w:after="0" w:afterAutospacing="0"/>
        <w:jc w:val="both"/>
        <w:rPr>
          <w:rFonts w:ascii="Arial" w:hAnsi="Arial" w:cs="Arial"/>
          <w:color w:val="000000" w:themeColor="text1"/>
          <w:sz w:val="19"/>
          <w:szCs w:val="19"/>
        </w:rPr>
      </w:pPr>
      <w:r w:rsidRPr="00454F78">
        <w:rPr>
          <w:rFonts w:ascii="Arial" w:hAnsi="Arial" w:cs="Arial"/>
          <w:color w:val="000000" w:themeColor="text1"/>
          <w:sz w:val="19"/>
          <w:szCs w:val="19"/>
        </w:rPr>
        <w:t>  </w:t>
      </w:r>
      <w:r w:rsidRPr="00454F78">
        <w:rPr>
          <w:rFonts w:ascii="Arial" w:hAnsi="Arial" w:cs="Arial"/>
          <w:color w:val="000000" w:themeColor="text1"/>
          <w:sz w:val="19"/>
          <w:szCs w:val="19"/>
        </w:rPr>
        <w:tab/>
        <w:t>»3. La Entidad Estatal debe publicar un informe de habilitación de los oferentes, en el cual debe indicar si los bienes o servicios ofrecidos por el interesado cumplen con la ficha técnica y si el oferente se encuentra habilitado. </w:t>
      </w:r>
    </w:p>
    <w:p w14:paraId="61B4B4EA" w14:textId="518DFFC1" w:rsidR="00E00827" w:rsidRPr="00454F78" w:rsidRDefault="00E00827" w:rsidP="00F70A57">
      <w:pPr>
        <w:pStyle w:val="NormalWeb"/>
        <w:spacing w:before="0" w:beforeAutospacing="0" w:after="0" w:afterAutospacing="0"/>
        <w:jc w:val="both"/>
        <w:rPr>
          <w:rFonts w:ascii="Arial" w:hAnsi="Arial" w:cs="Arial"/>
          <w:color w:val="000000" w:themeColor="text1"/>
          <w:sz w:val="19"/>
          <w:szCs w:val="19"/>
        </w:rPr>
      </w:pPr>
      <w:r w:rsidRPr="00454F78">
        <w:rPr>
          <w:rFonts w:ascii="Arial" w:hAnsi="Arial" w:cs="Arial"/>
          <w:color w:val="000000" w:themeColor="text1"/>
          <w:sz w:val="19"/>
          <w:szCs w:val="19"/>
        </w:rPr>
        <w:t>  </w:t>
      </w:r>
      <w:r w:rsidRPr="00454F78">
        <w:rPr>
          <w:rFonts w:ascii="Arial" w:hAnsi="Arial" w:cs="Arial"/>
          <w:color w:val="000000" w:themeColor="text1"/>
          <w:sz w:val="19"/>
          <w:szCs w:val="19"/>
        </w:rPr>
        <w:tab/>
        <w:t>»4. Hay subasta inversa siempre que haya como mínimo dos oferentes habilitados cuyos bienes o servicios cumplen con la ficha técnica. </w:t>
      </w:r>
    </w:p>
    <w:p w14:paraId="6C8D5EA8" w14:textId="4F9976BD" w:rsidR="00E00827" w:rsidRPr="00454F78" w:rsidRDefault="00E00827" w:rsidP="00F70A57">
      <w:pPr>
        <w:pStyle w:val="NormalWeb"/>
        <w:spacing w:before="0" w:beforeAutospacing="0" w:after="0" w:afterAutospacing="0"/>
        <w:jc w:val="both"/>
        <w:rPr>
          <w:rFonts w:ascii="Arial" w:hAnsi="Arial" w:cs="Arial"/>
          <w:color w:val="000000" w:themeColor="text1"/>
          <w:sz w:val="19"/>
          <w:szCs w:val="19"/>
        </w:rPr>
      </w:pPr>
      <w:r w:rsidRPr="00454F78">
        <w:rPr>
          <w:rFonts w:ascii="Arial" w:hAnsi="Arial" w:cs="Arial"/>
          <w:color w:val="000000" w:themeColor="text1"/>
          <w:sz w:val="19"/>
          <w:szCs w:val="19"/>
        </w:rPr>
        <w:t>  </w:t>
      </w:r>
      <w:r w:rsidRPr="00454F78">
        <w:rPr>
          <w:rFonts w:ascii="Arial" w:hAnsi="Arial" w:cs="Arial"/>
          <w:color w:val="000000" w:themeColor="text1"/>
          <w:sz w:val="19"/>
          <w:szCs w:val="19"/>
        </w:rPr>
        <w:tab/>
        <w:t>»5. Si en el Proceso de Contratación se presenta un único oferente cuyos bienes o servicios cumplen con la ficha técnica y está habilitado, la Entidad Estatal puede adjudicarle el contrato al único oferente si el valor de la oferta es igual o inferior a la disponibilidad presupuestal para el contrato, caso en el cual no hay lugar a la subasta inversa. </w:t>
      </w:r>
    </w:p>
    <w:p w14:paraId="06753138" w14:textId="4D6D1284" w:rsidR="00E00827" w:rsidRPr="00454F78" w:rsidRDefault="00E00827" w:rsidP="00F70A57">
      <w:pPr>
        <w:pStyle w:val="NormalWeb"/>
        <w:spacing w:before="0" w:beforeAutospacing="0" w:after="0" w:afterAutospacing="0"/>
        <w:jc w:val="both"/>
        <w:rPr>
          <w:rFonts w:ascii="Arial" w:hAnsi="Arial" w:cs="Arial"/>
          <w:color w:val="000000" w:themeColor="text1"/>
          <w:sz w:val="19"/>
          <w:szCs w:val="19"/>
        </w:rPr>
      </w:pPr>
      <w:r w:rsidRPr="00454F78">
        <w:rPr>
          <w:rFonts w:ascii="Arial" w:hAnsi="Arial" w:cs="Arial"/>
          <w:color w:val="000000" w:themeColor="text1"/>
          <w:sz w:val="19"/>
          <w:szCs w:val="19"/>
        </w:rPr>
        <w:t>  </w:t>
      </w:r>
      <w:r w:rsidRPr="00454F78">
        <w:rPr>
          <w:rFonts w:ascii="Arial" w:hAnsi="Arial" w:cs="Arial"/>
          <w:color w:val="000000" w:themeColor="text1"/>
          <w:sz w:val="19"/>
          <w:szCs w:val="19"/>
        </w:rPr>
        <w:tab/>
        <w:t>»6. La subasta debe iniciar con el precio más bajo indicado por los oferentes y en consecuencia, solamente serán válidos los Lances efectuados durante la subasta inversa en los cuales la oferta sea mejorada en por lo menos el Margen Mínimo establecido. </w:t>
      </w:r>
    </w:p>
    <w:p w14:paraId="58EDF142" w14:textId="6C6C3455" w:rsidR="00E00827" w:rsidRPr="00454F78" w:rsidRDefault="00E00827" w:rsidP="00F70A57">
      <w:pPr>
        <w:pStyle w:val="NormalWeb"/>
        <w:spacing w:before="0" w:beforeAutospacing="0" w:after="0" w:afterAutospacing="0"/>
        <w:jc w:val="both"/>
        <w:rPr>
          <w:rFonts w:ascii="Arial" w:hAnsi="Arial" w:cs="Arial"/>
          <w:color w:val="000000" w:themeColor="text1"/>
          <w:sz w:val="19"/>
          <w:szCs w:val="19"/>
        </w:rPr>
      </w:pPr>
      <w:r w:rsidRPr="00454F78">
        <w:rPr>
          <w:rFonts w:ascii="Arial" w:hAnsi="Arial" w:cs="Arial"/>
          <w:color w:val="000000" w:themeColor="text1"/>
          <w:sz w:val="19"/>
          <w:szCs w:val="19"/>
        </w:rPr>
        <w:t>  </w:t>
      </w:r>
      <w:r w:rsidRPr="00454F78">
        <w:rPr>
          <w:rFonts w:ascii="Arial" w:hAnsi="Arial" w:cs="Arial"/>
          <w:color w:val="000000" w:themeColor="text1"/>
          <w:sz w:val="19"/>
          <w:szCs w:val="19"/>
        </w:rPr>
        <w:tab/>
        <w:t>»7. Si los oferentes no presentan Lances durante la subasta, la Entidad Estatal debe adjudicar el contrato al oferente que haya presentado el precio inicial más bajo. </w:t>
      </w:r>
    </w:p>
    <w:p w14:paraId="3B4D487E" w14:textId="0E208DAE" w:rsidR="00E00827" w:rsidRPr="00454F78" w:rsidRDefault="00E00827" w:rsidP="00F70A57">
      <w:pPr>
        <w:pStyle w:val="NormalWeb"/>
        <w:spacing w:before="0" w:beforeAutospacing="0" w:after="0" w:afterAutospacing="0"/>
        <w:jc w:val="both"/>
        <w:rPr>
          <w:rFonts w:ascii="Arial" w:hAnsi="Arial" w:cs="Arial"/>
          <w:color w:val="000000" w:themeColor="text1"/>
          <w:sz w:val="19"/>
          <w:szCs w:val="19"/>
        </w:rPr>
      </w:pPr>
      <w:r w:rsidRPr="00454F78">
        <w:rPr>
          <w:rFonts w:ascii="Arial" w:hAnsi="Arial" w:cs="Arial"/>
          <w:color w:val="000000" w:themeColor="text1"/>
          <w:sz w:val="19"/>
          <w:szCs w:val="19"/>
        </w:rPr>
        <w:t>  </w:t>
      </w:r>
      <w:r w:rsidRPr="00454F78">
        <w:rPr>
          <w:rFonts w:ascii="Arial" w:hAnsi="Arial" w:cs="Arial"/>
          <w:color w:val="000000" w:themeColor="text1"/>
          <w:sz w:val="19"/>
          <w:szCs w:val="19"/>
        </w:rPr>
        <w:tab/>
        <w:t>»8. Al terminar la presentación de cada Lance, la Entidad Estatal debe informar el valor del Lance más bajo. </w:t>
      </w:r>
    </w:p>
    <w:p w14:paraId="1EE2E99C" w14:textId="11E7F5CD" w:rsidR="00E00827" w:rsidRPr="00454F78" w:rsidRDefault="00E00827" w:rsidP="00F70A57">
      <w:pPr>
        <w:pStyle w:val="NormalWeb"/>
        <w:spacing w:before="0" w:beforeAutospacing="0" w:after="0" w:afterAutospacing="0"/>
        <w:jc w:val="both"/>
        <w:rPr>
          <w:rFonts w:ascii="Arial" w:hAnsi="Arial" w:cs="Arial"/>
          <w:color w:val="000000" w:themeColor="text1"/>
          <w:sz w:val="19"/>
          <w:szCs w:val="19"/>
        </w:rPr>
      </w:pPr>
      <w:r w:rsidRPr="00454F78">
        <w:rPr>
          <w:rFonts w:ascii="Arial" w:hAnsi="Arial" w:cs="Arial"/>
          <w:color w:val="000000" w:themeColor="text1"/>
          <w:sz w:val="19"/>
          <w:szCs w:val="19"/>
        </w:rPr>
        <w:t>  </w:t>
      </w:r>
      <w:r w:rsidRPr="00454F78">
        <w:rPr>
          <w:rFonts w:ascii="Arial" w:hAnsi="Arial" w:cs="Arial"/>
          <w:color w:val="000000" w:themeColor="text1"/>
          <w:sz w:val="19"/>
          <w:szCs w:val="19"/>
        </w:rPr>
        <w:tab/>
        <w:t>»9. Si al terminar la subasta inversa hay empate, la Entidad Estatal debe seleccionar al oferente que presentó el menor precio inicial. En caso de persistir el empate la Entidad Estatal debe aplicar las reglas del numeral 1 al 5 del artículo 2.2.1.1.2.2.9 del presente decreto». </w:t>
      </w:r>
    </w:p>
    <w:p w14:paraId="0228C55D" w14:textId="77777777" w:rsidR="00E00827" w:rsidRPr="00454F78" w:rsidRDefault="00E00827" w:rsidP="00F70A57">
      <w:pPr>
        <w:pStyle w:val="Textonotapie"/>
        <w:jc w:val="both"/>
        <w:rPr>
          <w:rFonts w:ascii="Arial" w:hAnsi="Arial" w:cs="Arial"/>
          <w:color w:val="000000" w:themeColor="text1"/>
          <w:sz w:val="19"/>
          <w:szCs w:val="19"/>
          <w:lang w:val="es-CO"/>
        </w:rPr>
      </w:pPr>
    </w:p>
  </w:footnote>
  <w:footnote w:id="15">
    <w:p w14:paraId="11D746FC" w14:textId="50EA9141" w:rsidR="00E00827" w:rsidRPr="00454F78" w:rsidRDefault="00E00827" w:rsidP="00F70A57">
      <w:pPr>
        <w:pStyle w:val="Textonotapie"/>
        <w:ind w:firstLine="708"/>
        <w:jc w:val="both"/>
        <w:rPr>
          <w:rFonts w:ascii="Arial" w:hAnsi="Arial" w:cs="Arial"/>
          <w:color w:val="000000" w:themeColor="text1"/>
          <w:sz w:val="19"/>
          <w:szCs w:val="19"/>
        </w:rPr>
      </w:pPr>
      <w:r w:rsidRPr="004403EF">
        <w:rPr>
          <w:rStyle w:val="Refdenotaalpie"/>
          <w:rFonts w:ascii="Arial" w:hAnsi="Arial" w:cs="Arial"/>
          <w:color w:val="000000" w:themeColor="text1"/>
          <w:sz w:val="19"/>
          <w:szCs w:val="19"/>
        </w:rPr>
        <w:footnoteRef/>
      </w:r>
      <w:r w:rsidRPr="004403EF">
        <w:rPr>
          <w:rFonts w:ascii="Arial" w:hAnsi="Arial" w:cs="Arial"/>
          <w:color w:val="000000" w:themeColor="text1"/>
          <w:sz w:val="19"/>
          <w:szCs w:val="19"/>
        </w:rPr>
        <w:t xml:space="preserve"> «Artículo 2.2.1.2.1.2.5. Subasta inversa electrónica o presencial. La Entidad Estatal puede escoger si adelanta la subasta inversa electrónica o presencialmente. </w:t>
      </w:r>
    </w:p>
    <w:p w14:paraId="74911240" w14:textId="6FFF95F2" w:rsidR="00E00827" w:rsidRPr="00454F78" w:rsidRDefault="00E00827" w:rsidP="00F70A57">
      <w:pPr>
        <w:pStyle w:val="Textonotapie"/>
        <w:jc w:val="both"/>
        <w:rPr>
          <w:rFonts w:ascii="Arial" w:hAnsi="Arial" w:cs="Arial"/>
          <w:color w:val="000000" w:themeColor="text1"/>
          <w:sz w:val="19"/>
          <w:szCs w:val="19"/>
          <w:lang w:val="es-CO"/>
        </w:rPr>
      </w:pPr>
      <w:r w:rsidRPr="00454F78">
        <w:rPr>
          <w:rFonts w:ascii="Arial" w:hAnsi="Arial" w:cs="Arial"/>
          <w:color w:val="000000" w:themeColor="text1"/>
          <w:sz w:val="19"/>
          <w:szCs w:val="19"/>
        </w:rPr>
        <w:t xml:space="preserve">  </w:t>
      </w:r>
      <w:r w:rsidRPr="00454F78">
        <w:rPr>
          <w:rFonts w:ascii="Arial" w:hAnsi="Arial" w:cs="Arial"/>
          <w:color w:val="000000" w:themeColor="text1"/>
          <w:sz w:val="19"/>
          <w:szCs w:val="19"/>
        </w:rPr>
        <w:tab/>
        <w:t>»Si la Entidad Estatal decide adelantar la subasta electrónicamente debe fijar en los pliegos de condiciones el sistema que utilizará para la subasta inversa y los mecanismos de seguridad para el intercambio de mensajes de datos».</w:t>
      </w:r>
    </w:p>
  </w:footnote>
  <w:footnote w:id="16">
    <w:p w14:paraId="18582BA8" w14:textId="77777777" w:rsidR="00CB4391" w:rsidRPr="00E85CAC" w:rsidRDefault="00CB4391" w:rsidP="00CB4391">
      <w:pPr>
        <w:pStyle w:val="Textonotapie"/>
        <w:ind w:firstLine="708"/>
        <w:jc w:val="both"/>
        <w:rPr>
          <w:rFonts w:ascii="Arial" w:hAnsi="Arial" w:cs="Arial"/>
          <w:sz w:val="19"/>
          <w:szCs w:val="19"/>
        </w:rPr>
      </w:pPr>
      <w:r w:rsidRPr="00E85CAC">
        <w:rPr>
          <w:rStyle w:val="Refdenotaalpie"/>
          <w:rFonts w:ascii="Arial" w:hAnsi="Arial" w:cs="Arial"/>
          <w:sz w:val="19"/>
          <w:szCs w:val="19"/>
        </w:rPr>
        <w:footnoteRef/>
      </w:r>
      <w:r w:rsidRPr="00E85CAC">
        <w:rPr>
          <w:rFonts w:ascii="Arial" w:hAnsi="Arial" w:cs="Arial"/>
          <w:sz w:val="19"/>
          <w:szCs w:val="19"/>
        </w:rPr>
        <w:t xml:space="preserve"> Consejo de Estado. Sección Tercera. Sentencia de 12 de noviembre de 2014. C.P. Enrique Gil Botero. Exp. 27.986. </w:t>
      </w:r>
    </w:p>
    <w:p w14:paraId="098F8DF9" w14:textId="77777777" w:rsidR="00CB4391" w:rsidRPr="00E85CAC" w:rsidRDefault="00CB4391" w:rsidP="00CB4391">
      <w:pPr>
        <w:pStyle w:val="Textonotapie"/>
        <w:ind w:left="708" w:firstLine="1"/>
        <w:rPr>
          <w:rFonts w:ascii="Arial" w:hAnsi="Arial" w:cs="Arial"/>
          <w:sz w:val="19"/>
          <w:szCs w:val="19"/>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1A2BB94C" w:rsidR="00E00827" w:rsidRDefault="00E00827">
    <w:pPr>
      <w:pStyle w:val="Encabezado"/>
    </w:pPr>
    <w:r>
      <w:rPr>
        <w:noProof/>
        <w:lang w:val="en-US"/>
      </w:rPr>
      <w:drawing>
        <wp:anchor distT="0" distB="0" distL="114300" distR="114300" simplePos="0" relativeHeight="251661312"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1AF6C7A8"/>
    <w:lvl w:ilvl="0">
      <w:start w:val="1"/>
      <w:numFmt w:val="decimal"/>
      <w:lvlText w:val="%1."/>
      <w:lvlJc w:val="left"/>
      <w:pPr>
        <w:ind w:left="6601" w:hanging="360"/>
      </w:pPr>
      <w:rPr>
        <w:b/>
        <w:color w:val="4E4D4D"/>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DC73F5C"/>
    <w:multiLevelType w:val="multilevel"/>
    <w:tmpl w:val="AA5C0016"/>
    <w:lvl w:ilvl="0">
      <w:start w:val="1"/>
      <w:numFmt w:val="decimal"/>
      <w:lvlText w:val="%1."/>
      <w:lvlJc w:val="left"/>
      <w:pPr>
        <w:ind w:left="36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0C61FCE"/>
    <w:multiLevelType w:val="hybridMultilevel"/>
    <w:tmpl w:val="B9265A48"/>
    <w:lvl w:ilvl="0" w:tplc="AD5882F0">
      <w:start w:val="14"/>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4704319"/>
    <w:multiLevelType w:val="hybridMultilevel"/>
    <w:tmpl w:val="5CF46284"/>
    <w:lvl w:ilvl="0" w:tplc="58981ED0">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E063A23"/>
    <w:multiLevelType w:val="hybridMultilevel"/>
    <w:tmpl w:val="EEE66F06"/>
    <w:lvl w:ilvl="0" w:tplc="76A89634">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7" w15:restartNumberingAfterBreak="0">
    <w:nsid w:val="4762497B"/>
    <w:multiLevelType w:val="hybridMultilevel"/>
    <w:tmpl w:val="9528AFFC"/>
    <w:lvl w:ilvl="0" w:tplc="6E94BFEE">
      <w:start w:val="1"/>
      <w:numFmt w:val="lowerRoman"/>
      <w:lvlText w:val="%1)"/>
      <w:lvlJc w:val="left"/>
      <w:pPr>
        <w:ind w:left="1800" w:hanging="720"/>
      </w:pPr>
      <w:rPr>
        <w:rFonts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8"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0"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5D7D5B46"/>
    <w:multiLevelType w:val="hybridMultilevel"/>
    <w:tmpl w:val="CD1EA26C"/>
    <w:lvl w:ilvl="0" w:tplc="44107A50">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2" w15:restartNumberingAfterBreak="0">
    <w:nsid w:val="627C75E4"/>
    <w:multiLevelType w:val="hybridMultilevel"/>
    <w:tmpl w:val="124C736E"/>
    <w:lvl w:ilvl="0" w:tplc="54B64B8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4" w15:restartNumberingAfterBreak="0">
    <w:nsid w:val="71BC7ED6"/>
    <w:multiLevelType w:val="hybridMultilevel"/>
    <w:tmpl w:val="F6E67F0C"/>
    <w:lvl w:ilvl="0" w:tplc="0964B51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79410817"/>
    <w:multiLevelType w:val="hybridMultilevel"/>
    <w:tmpl w:val="124C736E"/>
    <w:lvl w:ilvl="0" w:tplc="54B64B8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7C440DC2"/>
    <w:multiLevelType w:val="hybridMultilevel"/>
    <w:tmpl w:val="8CBEB672"/>
    <w:lvl w:ilvl="0" w:tplc="B72230D8">
      <w:start w:val="1"/>
      <w:numFmt w:val="lowerRoman"/>
      <w:lvlText w:val="%1)"/>
      <w:lvlJc w:val="left"/>
      <w:pPr>
        <w:ind w:left="1425" w:hanging="720"/>
      </w:pPr>
      <w:rPr>
        <w:rFonts w:ascii="Arial" w:eastAsia="Calibri" w:hAnsi="Arial" w:cs="Arial"/>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num w:numId="1">
    <w:abstractNumId w:val="5"/>
  </w:num>
  <w:num w:numId="2">
    <w:abstractNumId w:val="4"/>
  </w:num>
  <w:num w:numId="3">
    <w:abstractNumId w:val="8"/>
  </w:num>
  <w:num w:numId="4">
    <w:abstractNumId w:val="9"/>
  </w:num>
  <w:num w:numId="5">
    <w:abstractNumId w:val="13"/>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
  </w:num>
  <w:num w:numId="9">
    <w:abstractNumId w:val="16"/>
  </w:num>
  <w:num w:numId="10">
    <w:abstractNumId w:val="2"/>
  </w:num>
  <w:num w:numId="11">
    <w:abstractNumId w:val="6"/>
  </w:num>
  <w:num w:numId="12">
    <w:abstractNumId w:val="14"/>
  </w:num>
  <w:num w:numId="13">
    <w:abstractNumId w:val="7"/>
  </w:num>
  <w:num w:numId="14">
    <w:abstractNumId w:val="12"/>
  </w:num>
  <w:num w:numId="15">
    <w:abstractNumId w:val="15"/>
  </w:num>
  <w:num w:numId="16">
    <w:abstractNumId w:val="3"/>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42A"/>
    <w:rsid w:val="000020D3"/>
    <w:rsid w:val="00002C6B"/>
    <w:rsid w:val="00003F7C"/>
    <w:rsid w:val="000048CA"/>
    <w:rsid w:val="00004DBF"/>
    <w:rsid w:val="00004F00"/>
    <w:rsid w:val="0000562F"/>
    <w:rsid w:val="0000655E"/>
    <w:rsid w:val="000078A0"/>
    <w:rsid w:val="00007D2A"/>
    <w:rsid w:val="0001127D"/>
    <w:rsid w:val="0001254D"/>
    <w:rsid w:val="000130DF"/>
    <w:rsid w:val="00013780"/>
    <w:rsid w:val="000142C6"/>
    <w:rsid w:val="000142E3"/>
    <w:rsid w:val="0001453F"/>
    <w:rsid w:val="0001500A"/>
    <w:rsid w:val="000152E6"/>
    <w:rsid w:val="000155B8"/>
    <w:rsid w:val="00015765"/>
    <w:rsid w:val="00015A08"/>
    <w:rsid w:val="000161CF"/>
    <w:rsid w:val="000164A5"/>
    <w:rsid w:val="000173E0"/>
    <w:rsid w:val="0001751A"/>
    <w:rsid w:val="00017D43"/>
    <w:rsid w:val="00017ED8"/>
    <w:rsid w:val="00020D91"/>
    <w:rsid w:val="00020F00"/>
    <w:rsid w:val="00021744"/>
    <w:rsid w:val="00022AB6"/>
    <w:rsid w:val="000230F6"/>
    <w:rsid w:val="00023516"/>
    <w:rsid w:val="0002419B"/>
    <w:rsid w:val="0002473E"/>
    <w:rsid w:val="00024F08"/>
    <w:rsid w:val="00025437"/>
    <w:rsid w:val="0002698E"/>
    <w:rsid w:val="00026ED4"/>
    <w:rsid w:val="00027148"/>
    <w:rsid w:val="00030433"/>
    <w:rsid w:val="000311E0"/>
    <w:rsid w:val="000318B0"/>
    <w:rsid w:val="000330B0"/>
    <w:rsid w:val="00033870"/>
    <w:rsid w:val="000339C2"/>
    <w:rsid w:val="00035138"/>
    <w:rsid w:val="00037BB7"/>
    <w:rsid w:val="00040F8F"/>
    <w:rsid w:val="00041ECA"/>
    <w:rsid w:val="00041EFC"/>
    <w:rsid w:val="00041F59"/>
    <w:rsid w:val="00042092"/>
    <w:rsid w:val="00042CFF"/>
    <w:rsid w:val="00042F27"/>
    <w:rsid w:val="00043143"/>
    <w:rsid w:val="00043878"/>
    <w:rsid w:val="00043FC3"/>
    <w:rsid w:val="000459D0"/>
    <w:rsid w:val="00046036"/>
    <w:rsid w:val="00047723"/>
    <w:rsid w:val="000478A9"/>
    <w:rsid w:val="00050838"/>
    <w:rsid w:val="00050CEE"/>
    <w:rsid w:val="00050E0F"/>
    <w:rsid w:val="000518AA"/>
    <w:rsid w:val="000519C1"/>
    <w:rsid w:val="00052533"/>
    <w:rsid w:val="00052A34"/>
    <w:rsid w:val="00052FE5"/>
    <w:rsid w:val="0005313E"/>
    <w:rsid w:val="00053583"/>
    <w:rsid w:val="00054590"/>
    <w:rsid w:val="00054B19"/>
    <w:rsid w:val="00054E33"/>
    <w:rsid w:val="00055DFA"/>
    <w:rsid w:val="000562F0"/>
    <w:rsid w:val="00057B34"/>
    <w:rsid w:val="00060FA9"/>
    <w:rsid w:val="0006116C"/>
    <w:rsid w:val="000611E8"/>
    <w:rsid w:val="0006194B"/>
    <w:rsid w:val="00061AC0"/>
    <w:rsid w:val="00062739"/>
    <w:rsid w:val="00062CC1"/>
    <w:rsid w:val="00063ED3"/>
    <w:rsid w:val="00064538"/>
    <w:rsid w:val="000656E6"/>
    <w:rsid w:val="00065A0E"/>
    <w:rsid w:val="00065B67"/>
    <w:rsid w:val="000663AB"/>
    <w:rsid w:val="00066E28"/>
    <w:rsid w:val="00067D96"/>
    <w:rsid w:val="00071C0D"/>
    <w:rsid w:val="00071D50"/>
    <w:rsid w:val="0007231A"/>
    <w:rsid w:val="00073203"/>
    <w:rsid w:val="00073431"/>
    <w:rsid w:val="0007374F"/>
    <w:rsid w:val="00073EE0"/>
    <w:rsid w:val="00075739"/>
    <w:rsid w:val="00075F2C"/>
    <w:rsid w:val="000771D5"/>
    <w:rsid w:val="0007786B"/>
    <w:rsid w:val="0007792B"/>
    <w:rsid w:val="00080157"/>
    <w:rsid w:val="00080692"/>
    <w:rsid w:val="0008096C"/>
    <w:rsid w:val="000816EA"/>
    <w:rsid w:val="00082A48"/>
    <w:rsid w:val="00082EFF"/>
    <w:rsid w:val="00084B97"/>
    <w:rsid w:val="0008657D"/>
    <w:rsid w:val="00086AFA"/>
    <w:rsid w:val="00086C22"/>
    <w:rsid w:val="00086F0C"/>
    <w:rsid w:val="00087316"/>
    <w:rsid w:val="000917AE"/>
    <w:rsid w:val="00091B9F"/>
    <w:rsid w:val="000921B4"/>
    <w:rsid w:val="0009238E"/>
    <w:rsid w:val="00092788"/>
    <w:rsid w:val="000927C2"/>
    <w:rsid w:val="0009281E"/>
    <w:rsid w:val="00092B13"/>
    <w:rsid w:val="000938EA"/>
    <w:rsid w:val="0009391B"/>
    <w:rsid w:val="000942EB"/>
    <w:rsid w:val="00095722"/>
    <w:rsid w:val="0009735A"/>
    <w:rsid w:val="00097C6C"/>
    <w:rsid w:val="000A0439"/>
    <w:rsid w:val="000A064C"/>
    <w:rsid w:val="000A09D2"/>
    <w:rsid w:val="000A2BAB"/>
    <w:rsid w:val="000A3C4E"/>
    <w:rsid w:val="000A3CBD"/>
    <w:rsid w:val="000A426B"/>
    <w:rsid w:val="000A4AAE"/>
    <w:rsid w:val="000A502E"/>
    <w:rsid w:val="000A511D"/>
    <w:rsid w:val="000A5BD3"/>
    <w:rsid w:val="000A6122"/>
    <w:rsid w:val="000A628F"/>
    <w:rsid w:val="000A66F3"/>
    <w:rsid w:val="000A7B03"/>
    <w:rsid w:val="000B0465"/>
    <w:rsid w:val="000B0FB0"/>
    <w:rsid w:val="000B103F"/>
    <w:rsid w:val="000B258E"/>
    <w:rsid w:val="000B2850"/>
    <w:rsid w:val="000B2CB3"/>
    <w:rsid w:val="000B359C"/>
    <w:rsid w:val="000B38BD"/>
    <w:rsid w:val="000B41A7"/>
    <w:rsid w:val="000B49DF"/>
    <w:rsid w:val="000B4D45"/>
    <w:rsid w:val="000B5E82"/>
    <w:rsid w:val="000B626B"/>
    <w:rsid w:val="000B70B5"/>
    <w:rsid w:val="000B7851"/>
    <w:rsid w:val="000B7F0E"/>
    <w:rsid w:val="000C1102"/>
    <w:rsid w:val="000C1707"/>
    <w:rsid w:val="000C1873"/>
    <w:rsid w:val="000C190D"/>
    <w:rsid w:val="000C26DF"/>
    <w:rsid w:val="000C44C9"/>
    <w:rsid w:val="000C4AA1"/>
    <w:rsid w:val="000C60BB"/>
    <w:rsid w:val="000C6BC4"/>
    <w:rsid w:val="000C6E4B"/>
    <w:rsid w:val="000C739C"/>
    <w:rsid w:val="000C73C7"/>
    <w:rsid w:val="000C7A3B"/>
    <w:rsid w:val="000D0ACC"/>
    <w:rsid w:val="000D22FB"/>
    <w:rsid w:val="000D30A6"/>
    <w:rsid w:val="000D343E"/>
    <w:rsid w:val="000D4370"/>
    <w:rsid w:val="000D479C"/>
    <w:rsid w:val="000D4C50"/>
    <w:rsid w:val="000D5B32"/>
    <w:rsid w:val="000D6318"/>
    <w:rsid w:val="000D6359"/>
    <w:rsid w:val="000D65F5"/>
    <w:rsid w:val="000D6AFB"/>
    <w:rsid w:val="000E0A73"/>
    <w:rsid w:val="000E0D1E"/>
    <w:rsid w:val="000E14F6"/>
    <w:rsid w:val="000E15ED"/>
    <w:rsid w:val="000E3937"/>
    <w:rsid w:val="000E43A0"/>
    <w:rsid w:val="000E4D78"/>
    <w:rsid w:val="000E4DFD"/>
    <w:rsid w:val="000E4F7B"/>
    <w:rsid w:val="000F0697"/>
    <w:rsid w:val="000F07CE"/>
    <w:rsid w:val="000F09BB"/>
    <w:rsid w:val="000F0D68"/>
    <w:rsid w:val="000F0F07"/>
    <w:rsid w:val="000F14E8"/>
    <w:rsid w:val="000F2436"/>
    <w:rsid w:val="000F7072"/>
    <w:rsid w:val="0010274B"/>
    <w:rsid w:val="00102E6B"/>
    <w:rsid w:val="00103915"/>
    <w:rsid w:val="001039BF"/>
    <w:rsid w:val="00103A69"/>
    <w:rsid w:val="00104161"/>
    <w:rsid w:val="001054A2"/>
    <w:rsid w:val="0010664D"/>
    <w:rsid w:val="00107A30"/>
    <w:rsid w:val="0011003B"/>
    <w:rsid w:val="001104F6"/>
    <w:rsid w:val="00110B2E"/>
    <w:rsid w:val="001111DD"/>
    <w:rsid w:val="00111CD1"/>
    <w:rsid w:val="00113B52"/>
    <w:rsid w:val="00115B65"/>
    <w:rsid w:val="00115FC9"/>
    <w:rsid w:val="00116DD5"/>
    <w:rsid w:val="00117502"/>
    <w:rsid w:val="00117513"/>
    <w:rsid w:val="00120422"/>
    <w:rsid w:val="0012068A"/>
    <w:rsid w:val="00121B07"/>
    <w:rsid w:val="001221CB"/>
    <w:rsid w:val="00122B23"/>
    <w:rsid w:val="00125559"/>
    <w:rsid w:val="00126752"/>
    <w:rsid w:val="00126BB4"/>
    <w:rsid w:val="00126E35"/>
    <w:rsid w:val="001273A7"/>
    <w:rsid w:val="00130DC6"/>
    <w:rsid w:val="00131ABE"/>
    <w:rsid w:val="0013213A"/>
    <w:rsid w:val="0013442F"/>
    <w:rsid w:val="00134F34"/>
    <w:rsid w:val="0013525C"/>
    <w:rsid w:val="0013543D"/>
    <w:rsid w:val="001356ED"/>
    <w:rsid w:val="0013612A"/>
    <w:rsid w:val="00137D19"/>
    <w:rsid w:val="00137FFA"/>
    <w:rsid w:val="001436C6"/>
    <w:rsid w:val="00143855"/>
    <w:rsid w:val="001444AE"/>
    <w:rsid w:val="0014671C"/>
    <w:rsid w:val="001470D6"/>
    <w:rsid w:val="00150664"/>
    <w:rsid w:val="001513DE"/>
    <w:rsid w:val="001519CE"/>
    <w:rsid w:val="0015261D"/>
    <w:rsid w:val="00152F23"/>
    <w:rsid w:val="00152F4E"/>
    <w:rsid w:val="0015312F"/>
    <w:rsid w:val="00156953"/>
    <w:rsid w:val="00156B65"/>
    <w:rsid w:val="0015752F"/>
    <w:rsid w:val="00160334"/>
    <w:rsid w:val="00160D40"/>
    <w:rsid w:val="0016229B"/>
    <w:rsid w:val="001630A6"/>
    <w:rsid w:val="00163A2E"/>
    <w:rsid w:val="00163BA4"/>
    <w:rsid w:val="0016431F"/>
    <w:rsid w:val="00165B9C"/>
    <w:rsid w:val="00166859"/>
    <w:rsid w:val="0017053E"/>
    <w:rsid w:val="0017092C"/>
    <w:rsid w:val="00170B6D"/>
    <w:rsid w:val="00170D41"/>
    <w:rsid w:val="00171201"/>
    <w:rsid w:val="00171527"/>
    <w:rsid w:val="00171EA0"/>
    <w:rsid w:val="00172946"/>
    <w:rsid w:val="001741B2"/>
    <w:rsid w:val="00174E00"/>
    <w:rsid w:val="001752C6"/>
    <w:rsid w:val="0017578E"/>
    <w:rsid w:val="0017651B"/>
    <w:rsid w:val="0017669C"/>
    <w:rsid w:val="00177618"/>
    <w:rsid w:val="0018028E"/>
    <w:rsid w:val="00180CAE"/>
    <w:rsid w:val="00181312"/>
    <w:rsid w:val="00181B42"/>
    <w:rsid w:val="00181CA0"/>
    <w:rsid w:val="0018230E"/>
    <w:rsid w:val="00184602"/>
    <w:rsid w:val="0018523C"/>
    <w:rsid w:val="001868F6"/>
    <w:rsid w:val="00186FD1"/>
    <w:rsid w:val="00187267"/>
    <w:rsid w:val="001876F7"/>
    <w:rsid w:val="0019180F"/>
    <w:rsid w:val="00192833"/>
    <w:rsid w:val="00193107"/>
    <w:rsid w:val="001945BB"/>
    <w:rsid w:val="00194762"/>
    <w:rsid w:val="00195D3C"/>
    <w:rsid w:val="00195EB8"/>
    <w:rsid w:val="00195F16"/>
    <w:rsid w:val="00196172"/>
    <w:rsid w:val="00196F5B"/>
    <w:rsid w:val="001A0C18"/>
    <w:rsid w:val="001A1BA8"/>
    <w:rsid w:val="001A21C4"/>
    <w:rsid w:val="001A23EA"/>
    <w:rsid w:val="001A284A"/>
    <w:rsid w:val="001A29B7"/>
    <w:rsid w:val="001A3705"/>
    <w:rsid w:val="001A3E11"/>
    <w:rsid w:val="001A50BF"/>
    <w:rsid w:val="001A5222"/>
    <w:rsid w:val="001A59AC"/>
    <w:rsid w:val="001A5BD9"/>
    <w:rsid w:val="001A6036"/>
    <w:rsid w:val="001A650A"/>
    <w:rsid w:val="001A6CA1"/>
    <w:rsid w:val="001A7116"/>
    <w:rsid w:val="001B0444"/>
    <w:rsid w:val="001B0B4F"/>
    <w:rsid w:val="001B1203"/>
    <w:rsid w:val="001B34CF"/>
    <w:rsid w:val="001B39D9"/>
    <w:rsid w:val="001B4048"/>
    <w:rsid w:val="001B5CE7"/>
    <w:rsid w:val="001B6278"/>
    <w:rsid w:val="001B666C"/>
    <w:rsid w:val="001B6906"/>
    <w:rsid w:val="001B731D"/>
    <w:rsid w:val="001B7466"/>
    <w:rsid w:val="001B7F08"/>
    <w:rsid w:val="001C1F9C"/>
    <w:rsid w:val="001C4350"/>
    <w:rsid w:val="001C4593"/>
    <w:rsid w:val="001C4DED"/>
    <w:rsid w:val="001C61C0"/>
    <w:rsid w:val="001C62A1"/>
    <w:rsid w:val="001C79BB"/>
    <w:rsid w:val="001D0FF9"/>
    <w:rsid w:val="001D17D9"/>
    <w:rsid w:val="001D262B"/>
    <w:rsid w:val="001D3276"/>
    <w:rsid w:val="001D32CB"/>
    <w:rsid w:val="001D3846"/>
    <w:rsid w:val="001D46FE"/>
    <w:rsid w:val="001D4AE9"/>
    <w:rsid w:val="001D5813"/>
    <w:rsid w:val="001D60D3"/>
    <w:rsid w:val="001D69DD"/>
    <w:rsid w:val="001E0375"/>
    <w:rsid w:val="001E04E7"/>
    <w:rsid w:val="001E10A7"/>
    <w:rsid w:val="001E175B"/>
    <w:rsid w:val="001E1C24"/>
    <w:rsid w:val="001E26AB"/>
    <w:rsid w:val="001E2B0B"/>
    <w:rsid w:val="001E69F5"/>
    <w:rsid w:val="001E7D67"/>
    <w:rsid w:val="001F04AC"/>
    <w:rsid w:val="001F140C"/>
    <w:rsid w:val="001F1E12"/>
    <w:rsid w:val="001F4453"/>
    <w:rsid w:val="001F4D79"/>
    <w:rsid w:val="001F4E27"/>
    <w:rsid w:val="001F569D"/>
    <w:rsid w:val="001F5C1B"/>
    <w:rsid w:val="001F67A4"/>
    <w:rsid w:val="001F73AD"/>
    <w:rsid w:val="001F744E"/>
    <w:rsid w:val="00202718"/>
    <w:rsid w:val="002031C1"/>
    <w:rsid w:val="00203D28"/>
    <w:rsid w:val="00204DB3"/>
    <w:rsid w:val="00205BD8"/>
    <w:rsid w:val="0020632A"/>
    <w:rsid w:val="00206AE9"/>
    <w:rsid w:val="002072DF"/>
    <w:rsid w:val="00210605"/>
    <w:rsid w:val="002110EB"/>
    <w:rsid w:val="00211338"/>
    <w:rsid w:val="0021180F"/>
    <w:rsid w:val="00211BB0"/>
    <w:rsid w:val="00212888"/>
    <w:rsid w:val="00213338"/>
    <w:rsid w:val="002139DE"/>
    <w:rsid w:val="00213A09"/>
    <w:rsid w:val="00215255"/>
    <w:rsid w:val="00216F80"/>
    <w:rsid w:val="0021710C"/>
    <w:rsid w:val="0022149D"/>
    <w:rsid w:val="0022247B"/>
    <w:rsid w:val="002225BB"/>
    <w:rsid w:val="002238F9"/>
    <w:rsid w:val="00224F1E"/>
    <w:rsid w:val="0022670B"/>
    <w:rsid w:val="0022729A"/>
    <w:rsid w:val="002275F8"/>
    <w:rsid w:val="00230B9D"/>
    <w:rsid w:val="00231C7B"/>
    <w:rsid w:val="00232698"/>
    <w:rsid w:val="00233F1C"/>
    <w:rsid w:val="00234645"/>
    <w:rsid w:val="002346BA"/>
    <w:rsid w:val="00234B84"/>
    <w:rsid w:val="00234D59"/>
    <w:rsid w:val="00236B42"/>
    <w:rsid w:val="00236C3C"/>
    <w:rsid w:val="00236CEB"/>
    <w:rsid w:val="00240C53"/>
    <w:rsid w:val="00240E16"/>
    <w:rsid w:val="00240E19"/>
    <w:rsid w:val="00241AEF"/>
    <w:rsid w:val="00243870"/>
    <w:rsid w:val="00244521"/>
    <w:rsid w:val="00244BBC"/>
    <w:rsid w:val="00244C0A"/>
    <w:rsid w:val="0024563E"/>
    <w:rsid w:val="0024773C"/>
    <w:rsid w:val="002500DF"/>
    <w:rsid w:val="002509AC"/>
    <w:rsid w:val="00250C91"/>
    <w:rsid w:val="00251635"/>
    <w:rsid w:val="002525B1"/>
    <w:rsid w:val="00253BD6"/>
    <w:rsid w:val="0025459E"/>
    <w:rsid w:val="0025479C"/>
    <w:rsid w:val="00256AE4"/>
    <w:rsid w:val="00257321"/>
    <w:rsid w:val="0025759C"/>
    <w:rsid w:val="00257984"/>
    <w:rsid w:val="00257B3B"/>
    <w:rsid w:val="00257C4A"/>
    <w:rsid w:val="00260154"/>
    <w:rsid w:val="0026261D"/>
    <w:rsid w:val="0026265B"/>
    <w:rsid w:val="002626B4"/>
    <w:rsid w:val="0026284F"/>
    <w:rsid w:val="0026593D"/>
    <w:rsid w:val="00265A81"/>
    <w:rsid w:val="00265F17"/>
    <w:rsid w:val="00266B26"/>
    <w:rsid w:val="00266F3B"/>
    <w:rsid w:val="002678A0"/>
    <w:rsid w:val="00267B8E"/>
    <w:rsid w:val="00270EAA"/>
    <w:rsid w:val="00271891"/>
    <w:rsid w:val="0027322D"/>
    <w:rsid w:val="00273832"/>
    <w:rsid w:val="00273978"/>
    <w:rsid w:val="00273AAE"/>
    <w:rsid w:val="002740C5"/>
    <w:rsid w:val="002758CB"/>
    <w:rsid w:val="00275E80"/>
    <w:rsid w:val="00277DDC"/>
    <w:rsid w:val="00280DF5"/>
    <w:rsid w:val="00282FE2"/>
    <w:rsid w:val="00283532"/>
    <w:rsid w:val="00284184"/>
    <w:rsid w:val="0028487F"/>
    <w:rsid w:val="00286186"/>
    <w:rsid w:val="00286B7A"/>
    <w:rsid w:val="00287C56"/>
    <w:rsid w:val="00291A19"/>
    <w:rsid w:val="00291A2C"/>
    <w:rsid w:val="002924CD"/>
    <w:rsid w:val="00292579"/>
    <w:rsid w:val="00292E93"/>
    <w:rsid w:val="0029342E"/>
    <w:rsid w:val="00293FA8"/>
    <w:rsid w:val="0029401E"/>
    <w:rsid w:val="002941B8"/>
    <w:rsid w:val="00295308"/>
    <w:rsid w:val="00295E32"/>
    <w:rsid w:val="00295E57"/>
    <w:rsid w:val="00296460"/>
    <w:rsid w:val="00296463"/>
    <w:rsid w:val="002969BC"/>
    <w:rsid w:val="00297C23"/>
    <w:rsid w:val="002A0043"/>
    <w:rsid w:val="002A0D45"/>
    <w:rsid w:val="002A2269"/>
    <w:rsid w:val="002A23F7"/>
    <w:rsid w:val="002A5C49"/>
    <w:rsid w:val="002A6616"/>
    <w:rsid w:val="002A6AC7"/>
    <w:rsid w:val="002B0068"/>
    <w:rsid w:val="002B0C19"/>
    <w:rsid w:val="002B1137"/>
    <w:rsid w:val="002B1235"/>
    <w:rsid w:val="002B16D4"/>
    <w:rsid w:val="002B1D91"/>
    <w:rsid w:val="002B26D6"/>
    <w:rsid w:val="002B2E33"/>
    <w:rsid w:val="002B353D"/>
    <w:rsid w:val="002B53B8"/>
    <w:rsid w:val="002B56A6"/>
    <w:rsid w:val="002B5A46"/>
    <w:rsid w:val="002B690C"/>
    <w:rsid w:val="002B69EA"/>
    <w:rsid w:val="002B763B"/>
    <w:rsid w:val="002B7CAF"/>
    <w:rsid w:val="002C00F3"/>
    <w:rsid w:val="002C0F45"/>
    <w:rsid w:val="002C119D"/>
    <w:rsid w:val="002C1446"/>
    <w:rsid w:val="002C1B67"/>
    <w:rsid w:val="002C1D5F"/>
    <w:rsid w:val="002C2452"/>
    <w:rsid w:val="002C24D5"/>
    <w:rsid w:val="002C2C00"/>
    <w:rsid w:val="002C3900"/>
    <w:rsid w:val="002C4C0C"/>
    <w:rsid w:val="002C65CE"/>
    <w:rsid w:val="002C66CD"/>
    <w:rsid w:val="002C6E18"/>
    <w:rsid w:val="002D0829"/>
    <w:rsid w:val="002D1383"/>
    <w:rsid w:val="002D1632"/>
    <w:rsid w:val="002D1C0C"/>
    <w:rsid w:val="002D3F19"/>
    <w:rsid w:val="002D522E"/>
    <w:rsid w:val="002D569D"/>
    <w:rsid w:val="002D5F6B"/>
    <w:rsid w:val="002D61A0"/>
    <w:rsid w:val="002D67DC"/>
    <w:rsid w:val="002D79E9"/>
    <w:rsid w:val="002E00E3"/>
    <w:rsid w:val="002E066B"/>
    <w:rsid w:val="002E0960"/>
    <w:rsid w:val="002E18B5"/>
    <w:rsid w:val="002E385F"/>
    <w:rsid w:val="002E3BE9"/>
    <w:rsid w:val="002E56E8"/>
    <w:rsid w:val="002E6EB8"/>
    <w:rsid w:val="002E7165"/>
    <w:rsid w:val="002F0029"/>
    <w:rsid w:val="002F0294"/>
    <w:rsid w:val="002F1133"/>
    <w:rsid w:val="002F1553"/>
    <w:rsid w:val="002F1759"/>
    <w:rsid w:val="002F2B2E"/>
    <w:rsid w:val="002F2BDD"/>
    <w:rsid w:val="002F2F1D"/>
    <w:rsid w:val="002F3CE9"/>
    <w:rsid w:val="002F4849"/>
    <w:rsid w:val="002F4F42"/>
    <w:rsid w:val="002F605B"/>
    <w:rsid w:val="002F6B43"/>
    <w:rsid w:val="002F7BEF"/>
    <w:rsid w:val="002F7F83"/>
    <w:rsid w:val="0030041A"/>
    <w:rsid w:val="003033BA"/>
    <w:rsid w:val="00303F20"/>
    <w:rsid w:val="003042AA"/>
    <w:rsid w:val="003049D5"/>
    <w:rsid w:val="00304EC8"/>
    <w:rsid w:val="003057B2"/>
    <w:rsid w:val="0030664E"/>
    <w:rsid w:val="00307459"/>
    <w:rsid w:val="00310F6E"/>
    <w:rsid w:val="00312877"/>
    <w:rsid w:val="00313382"/>
    <w:rsid w:val="003138FF"/>
    <w:rsid w:val="0031396A"/>
    <w:rsid w:val="00313A60"/>
    <w:rsid w:val="003144A3"/>
    <w:rsid w:val="00315CA7"/>
    <w:rsid w:val="00317691"/>
    <w:rsid w:val="0032017B"/>
    <w:rsid w:val="003204D3"/>
    <w:rsid w:val="00320603"/>
    <w:rsid w:val="0032206C"/>
    <w:rsid w:val="00322271"/>
    <w:rsid w:val="00322937"/>
    <w:rsid w:val="00322BA2"/>
    <w:rsid w:val="0032311F"/>
    <w:rsid w:val="0032519A"/>
    <w:rsid w:val="003252D8"/>
    <w:rsid w:val="003259F0"/>
    <w:rsid w:val="00325A3A"/>
    <w:rsid w:val="00327BDD"/>
    <w:rsid w:val="00332005"/>
    <w:rsid w:val="003323C9"/>
    <w:rsid w:val="00332516"/>
    <w:rsid w:val="00332D62"/>
    <w:rsid w:val="00333368"/>
    <w:rsid w:val="003333FB"/>
    <w:rsid w:val="003334E7"/>
    <w:rsid w:val="00334999"/>
    <w:rsid w:val="003349A5"/>
    <w:rsid w:val="00334B47"/>
    <w:rsid w:val="00334F9D"/>
    <w:rsid w:val="00335168"/>
    <w:rsid w:val="00335F0E"/>
    <w:rsid w:val="0033606D"/>
    <w:rsid w:val="00336712"/>
    <w:rsid w:val="00336897"/>
    <w:rsid w:val="00337545"/>
    <w:rsid w:val="00337945"/>
    <w:rsid w:val="0034177C"/>
    <w:rsid w:val="0034268A"/>
    <w:rsid w:val="0034444F"/>
    <w:rsid w:val="00345134"/>
    <w:rsid w:val="00346096"/>
    <w:rsid w:val="0034680A"/>
    <w:rsid w:val="00346BD3"/>
    <w:rsid w:val="0034748E"/>
    <w:rsid w:val="003474FD"/>
    <w:rsid w:val="0035006A"/>
    <w:rsid w:val="0035171F"/>
    <w:rsid w:val="00351925"/>
    <w:rsid w:val="00351EAD"/>
    <w:rsid w:val="00352C84"/>
    <w:rsid w:val="00353147"/>
    <w:rsid w:val="00353DD5"/>
    <w:rsid w:val="0035431C"/>
    <w:rsid w:val="00354482"/>
    <w:rsid w:val="00354D4B"/>
    <w:rsid w:val="0035533F"/>
    <w:rsid w:val="00355B83"/>
    <w:rsid w:val="003564A6"/>
    <w:rsid w:val="0035653A"/>
    <w:rsid w:val="0035753D"/>
    <w:rsid w:val="0036037E"/>
    <w:rsid w:val="00362275"/>
    <w:rsid w:val="00362B65"/>
    <w:rsid w:val="00362E84"/>
    <w:rsid w:val="003630DA"/>
    <w:rsid w:val="003649DE"/>
    <w:rsid w:val="0036505D"/>
    <w:rsid w:val="003658F8"/>
    <w:rsid w:val="00365E12"/>
    <w:rsid w:val="003662A4"/>
    <w:rsid w:val="00366C70"/>
    <w:rsid w:val="00366CC3"/>
    <w:rsid w:val="00372A00"/>
    <w:rsid w:val="00372FA7"/>
    <w:rsid w:val="003731A5"/>
    <w:rsid w:val="003735D3"/>
    <w:rsid w:val="0037412D"/>
    <w:rsid w:val="00374467"/>
    <w:rsid w:val="00375331"/>
    <w:rsid w:val="00377431"/>
    <w:rsid w:val="0038037B"/>
    <w:rsid w:val="0038198E"/>
    <w:rsid w:val="003828E4"/>
    <w:rsid w:val="00384C21"/>
    <w:rsid w:val="00384E46"/>
    <w:rsid w:val="003851F6"/>
    <w:rsid w:val="003852EA"/>
    <w:rsid w:val="00386456"/>
    <w:rsid w:val="0038689A"/>
    <w:rsid w:val="00387205"/>
    <w:rsid w:val="003879DA"/>
    <w:rsid w:val="00391570"/>
    <w:rsid w:val="003928BA"/>
    <w:rsid w:val="00392CD0"/>
    <w:rsid w:val="003939E7"/>
    <w:rsid w:val="00393A5C"/>
    <w:rsid w:val="0039449D"/>
    <w:rsid w:val="003945DE"/>
    <w:rsid w:val="00395814"/>
    <w:rsid w:val="0039653A"/>
    <w:rsid w:val="003966C8"/>
    <w:rsid w:val="0039686B"/>
    <w:rsid w:val="00397723"/>
    <w:rsid w:val="00397C22"/>
    <w:rsid w:val="003A0069"/>
    <w:rsid w:val="003A0878"/>
    <w:rsid w:val="003A14F0"/>
    <w:rsid w:val="003A1700"/>
    <w:rsid w:val="003A24C2"/>
    <w:rsid w:val="003A317B"/>
    <w:rsid w:val="003A39E3"/>
    <w:rsid w:val="003A4BFE"/>
    <w:rsid w:val="003A4C50"/>
    <w:rsid w:val="003A581E"/>
    <w:rsid w:val="003A61EC"/>
    <w:rsid w:val="003A64BF"/>
    <w:rsid w:val="003A6C1F"/>
    <w:rsid w:val="003A70A2"/>
    <w:rsid w:val="003A78E0"/>
    <w:rsid w:val="003B0348"/>
    <w:rsid w:val="003B1B0F"/>
    <w:rsid w:val="003B2884"/>
    <w:rsid w:val="003B309D"/>
    <w:rsid w:val="003B3206"/>
    <w:rsid w:val="003B39DA"/>
    <w:rsid w:val="003B4371"/>
    <w:rsid w:val="003B4C76"/>
    <w:rsid w:val="003B4DDA"/>
    <w:rsid w:val="003B50BD"/>
    <w:rsid w:val="003B51CB"/>
    <w:rsid w:val="003B5432"/>
    <w:rsid w:val="003B608E"/>
    <w:rsid w:val="003B67A2"/>
    <w:rsid w:val="003B6DC7"/>
    <w:rsid w:val="003B71D8"/>
    <w:rsid w:val="003B74FA"/>
    <w:rsid w:val="003C22CA"/>
    <w:rsid w:val="003C26D5"/>
    <w:rsid w:val="003C3690"/>
    <w:rsid w:val="003C3A6B"/>
    <w:rsid w:val="003C426A"/>
    <w:rsid w:val="003C4422"/>
    <w:rsid w:val="003C6131"/>
    <w:rsid w:val="003C7A5F"/>
    <w:rsid w:val="003C7DAE"/>
    <w:rsid w:val="003D00A4"/>
    <w:rsid w:val="003D3093"/>
    <w:rsid w:val="003D3C2E"/>
    <w:rsid w:val="003D3E2D"/>
    <w:rsid w:val="003D4456"/>
    <w:rsid w:val="003D4467"/>
    <w:rsid w:val="003D543C"/>
    <w:rsid w:val="003E001D"/>
    <w:rsid w:val="003E14BA"/>
    <w:rsid w:val="003E23EA"/>
    <w:rsid w:val="003E3695"/>
    <w:rsid w:val="003E3BC4"/>
    <w:rsid w:val="003E4C6C"/>
    <w:rsid w:val="003E657C"/>
    <w:rsid w:val="003E7355"/>
    <w:rsid w:val="003E73F1"/>
    <w:rsid w:val="003E7F15"/>
    <w:rsid w:val="003F084D"/>
    <w:rsid w:val="003F0BB9"/>
    <w:rsid w:val="003F0F09"/>
    <w:rsid w:val="003F1E6F"/>
    <w:rsid w:val="003F2C90"/>
    <w:rsid w:val="003F3B9D"/>
    <w:rsid w:val="003F4472"/>
    <w:rsid w:val="003F4886"/>
    <w:rsid w:val="003F4FAC"/>
    <w:rsid w:val="003F5A0D"/>
    <w:rsid w:val="003F5D87"/>
    <w:rsid w:val="003F5F0D"/>
    <w:rsid w:val="003F7F27"/>
    <w:rsid w:val="004007D7"/>
    <w:rsid w:val="0040111B"/>
    <w:rsid w:val="00401511"/>
    <w:rsid w:val="004015AE"/>
    <w:rsid w:val="00404D7A"/>
    <w:rsid w:val="00404F7E"/>
    <w:rsid w:val="0040503E"/>
    <w:rsid w:val="00406553"/>
    <w:rsid w:val="00407A8A"/>
    <w:rsid w:val="00407EFE"/>
    <w:rsid w:val="004110C1"/>
    <w:rsid w:val="00411FA4"/>
    <w:rsid w:val="00412F7D"/>
    <w:rsid w:val="00413C50"/>
    <w:rsid w:val="00413E4A"/>
    <w:rsid w:val="0041629E"/>
    <w:rsid w:val="00416CE1"/>
    <w:rsid w:val="00416F9D"/>
    <w:rsid w:val="00423AD3"/>
    <w:rsid w:val="00423F9F"/>
    <w:rsid w:val="00425CA8"/>
    <w:rsid w:val="00426DF2"/>
    <w:rsid w:val="00430285"/>
    <w:rsid w:val="00431738"/>
    <w:rsid w:val="00432555"/>
    <w:rsid w:val="0043379B"/>
    <w:rsid w:val="0043379F"/>
    <w:rsid w:val="00436487"/>
    <w:rsid w:val="00436701"/>
    <w:rsid w:val="0043673A"/>
    <w:rsid w:val="00436CF2"/>
    <w:rsid w:val="00436EE1"/>
    <w:rsid w:val="004403EF"/>
    <w:rsid w:val="0044094B"/>
    <w:rsid w:val="00441949"/>
    <w:rsid w:val="00441E6D"/>
    <w:rsid w:val="0044219E"/>
    <w:rsid w:val="0044228D"/>
    <w:rsid w:val="004422D6"/>
    <w:rsid w:val="00446012"/>
    <w:rsid w:val="00446133"/>
    <w:rsid w:val="004464EA"/>
    <w:rsid w:val="00447189"/>
    <w:rsid w:val="00447914"/>
    <w:rsid w:val="004502C6"/>
    <w:rsid w:val="00450374"/>
    <w:rsid w:val="004503CA"/>
    <w:rsid w:val="00450793"/>
    <w:rsid w:val="004508FF"/>
    <w:rsid w:val="0045122B"/>
    <w:rsid w:val="00451785"/>
    <w:rsid w:val="00451BC2"/>
    <w:rsid w:val="00451F4F"/>
    <w:rsid w:val="0045222D"/>
    <w:rsid w:val="00452602"/>
    <w:rsid w:val="004526D3"/>
    <w:rsid w:val="00452A0D"/>
    <w:rsid w:val="0045437C"/>
    <w:rsid w:val="00454F78"/>
    <w:rsid w:val="004558DD"/>
    <w:rsid w:val="004568C7"/>
    <w:rsid w:val="00457115"/>
    <w:rsid w:val="00457A81"/>
    <w:rsid w:val="00457BC1"/>
    <w:rsid w:val="00460729"/>
    <w:rsid w:val="004613DB"/>
    <w:rsid w:val="004616A9"/>
    <w:rsid w:val="004617CF"/>
    <w:rsid w:val="004625D0"/>
    <w:rsid w:val="00462C5C"/>
    <w:rsid w:val="00463469"/>
    <w:rsid w:val="00463CBF"/>
    <w:rsid w:val="00464836"/>
    <w:rsid w:val="00464867"/>
    <w:rsid w:val="00464BE7"/>
    <w:rsid w:val="004651EF"/>
    <w:rsid w:val="00466DD2"/>
    <w:rsid w:val="0047017D"/>
    <w:rsid w:val="004705A2"/>
    <w:rsid w:val="004709D9"/>
    <w:rsid w:val="00470D26"/>
    <w:rsid w:val="0047137B"/>
    <w:rsid w:val="00471772"/>
    <w:rsid w:val="00471F23"/>
    <w:rsid w:val="00472E62"/>
    <w:rsid w:val="0047438D"/>
    <w:rsid w:val="00476670"/>
    <w:rsid w:val="004772DA"/>
    <w:rsid w:val="004772E9"/>
    <w:rsid w:val="00477ABF"/>
    <w:rsid w:val="00481F31"/>
    <w:rsid w:val="00482235"/>
    <w:rsid w:val="004823D1"/>
    <w:rsid w:val="00484856"/>
    <w:rsid w:val="00484A3A"/>
    <w:rsid w:val="00484B0A"/>
    <w:rsid w:val="004858BC"/>
    <w:rsid w:val="004866BF"/>
    <w:rsid w:val="00486E19"/>
    <w:rsid w:val="00487936"/>
    <w:rsid w:val="004902ED"/>
    <w:rsid w:val="00491BA4"/>
    <w:rsid w:val="00491F1C"/>
    <w:rsid w:val="0049241A"/>
    <w:rsid w:val="004926EF"/>
    <w:rsid w:val="00493E5B"/>
    <w:rsid w:val="0049440E"/>
    <w:rsid w:val="00494646"/>
    <w:rsid w:val="004A06D8"/>
    <w:rsid w:val="004A0D1E"/>
    <w:rsid w:val="004A1030"/>
    <w:rsid w:val="004A194E"/>
    <w:rsid w:val="004A1C01"/>
    <w:rsid w:val="004A1D82"/>
    <w:rsid w:val="004A2579"/>
    <w:rsid w:val="004A26B5"/>
    <w:rsid w:val="004A2777"/>
    <w:rsid w:val="004A34D2"/>
    <w:rsid w:val="004A396E"/>
    <w:rsid w:val="004A3E56"/>
    <w:rsid w:val="004A41C5"/>
    <w:rsid w:val="004A627A"/>
    <w:rsid w:val="004A7062"/>
    <w:rsid w:val="004B0381"/>
    <w:rsid w:val="004B0502"/>
    <w:rsid w:val="004B09FE"/>
    <w:rsid w:val="004B0C80"/>
    <w:rsid w:val="004B0EF1"/>
    <w:rsid w:val="004B323E"/>
    <w:rsid w:val="004B4965"/>
    <w:rsid w:val="004B680F"/>
    <w:rsid w:val="004B708C"/>
    <w:rsid w:val="004B72C6"/>
    <w:rsid w:val="004B7962"/>
    <w:rsid w:val="004C0F66"/>
    <w:rsid w:val="004C2076"/>
    <w:rsid w:val="004C32B5"/>
    <w:rsid w:val="004C4DAC"/>
    <w:rsid w:val="004C54DA"/>
    <w:rsid w:val="004C58D0"/>
    <w:rsid w:val="004C5E8A"/>
    <w:rsid w:val="004C6A5A"/>
    <w:rsid w:val="004C72F9"/>
    <w:rsid w:val="004C7664"/>
    <w:rsid w:val="004C7D8B"/>
    <w:rsid w:val="004D12A4"/>
    <w:rsid w:val="004D1B34"/>
    <w:rsid w:val="004D1E36"/>
    <w:rsid w:val="004D22F5"/>
    <w:rsid w:val="004D2C56"/>
    <w:rsid w:val="004D4CD7"/>
    <w:rsid w:val="004D6024"/>
    <w:rsid w:val="004D6B1A"/>
    <w:rsid w:val="004D7167"/>
    <w:rsid w:val="004D7247"/>
    <w:rsid w:val="004E1522"/>
    <w:rsid w:val="004E1AFE"/>
    <w:rsid w:val="004E1D7D"/>
    <w:rsid w:val="004E2121"/>
    <w:rsid w:val="004E24B4"/>
    <w:rsid w:val="004E376E"/>
    <w:rsid w:val="004E3CCA"/>
    <w:rsid w:val="004E4412"/>
    <w:rsid w:val="004E74C0"/>
    <w:rsid w:val="004F0D23"/>
    <w:rsid w:val="004F1329"/>
    <w:rsid w:val="004F24B3"/>
    <w:rsid w:val="004F262A"/>
    <w:rsid w:val="004F2B88"/>
    <w:rsid w:val="004F5FFC"/>
    <w:rsid w:val="004F71B4"/>
    <w:rsid w:val="004F74A8"/>
    <w:rsid w:val="004F7652"/>
    <w:rsid w:val="004F778C"/>
    <w:rsid w:val="0050096C"/>
    <w:rsid w:val="00500B28"/>
    <w:rsid w:val="00500E46"/>
    <w:rsid w:val="005010D1"/>
    <w:rsid w:val="0050147A"/>
    <w:rsid w:val="00502027"/>
    <w:rsid w:val="005022F4"/>
    <w:rsid w:val="005030EA"/>
    <w:rsid w:val="0050382F"/>
    <w:rsid w:val="0050395A"/>
    <w:rsid w:val="00503C30"/>
    <w:rsid w:val="00504CFE"/>
    <w:rsid w:val="005056EE"/>
    <w:rsid w:val="0050666F"/>
    <w:rsid w:val="0051074C"/>
    <w:rsid w:val="00510814"/>
    <w:rsid w:val="00510D99"/>
    <w:rsid w:val="00510FCA"/>
    <w:rsid w:val="00511E1C"/>
    <w:rsid w:val="0051256D"/>
    <w:rsid w:val="00512F6A"/>
    <w:rsid w:val="00513A64"/>
    <w:rsid w:val="00513AF2"/>
    <w:rsid w:val="00514118"/>
    <w:rsid w:val="00514281"/>
    <w:rsid w:val="0051450C"/>
    <w:rsid w:val="005148D7"/>
    <w:rsid w:val="005158B4"/>
    <w:rsid w:val="0051637C"/>
    <w:rsid w:val="005174FC"/>
    <w:rsid w:val="00517B77"/>
    <w:rsid w:val="005200EA"/>
    <w:rsid w:val="00521105"/>
    <w:rsid w:val="00524F09"/>
    <w:rsid w:val="0052547D"/>
    <w:rsid w:val="005278E6"/>
    <w:rsid w:val="00527B56"/>
    <w:rsid w:val="00527FB0"/>
    <w:rsid w:val="005310DF"/>
    <w:rsid w:val="00531103"/>
    <w:rsid w:val="005317FA"/>
    <w:rsid w:val="00531BFC"/>
    <w:rsid w:val="0053299A"/>
    <w:rsid w:val="0053339B"/>
    <w:rsid w:val="00533C19"/>
    <w:rsid w:val="005355A1"/>
    <w:rsid w:val="00537521"/>
    <w:rsid w:val="00540751"/>
    <w:rsid w:val="00540A4F"/>
    <w:rsid w:val="00541058"/>
    <w:rsid w:val="00541E29"/>
    <w:rsid w:val="00541F5C"/>
    <w:rsid w:val="00542157"/>
    <w:rsid w:val="005440DB"/>
    <w:rsid w:val="0054413A"/>
    <w:rsid w:val="005443DD"/>
    <w:rsid w:val="00544C5B"/>
    <w:rsid w:val="00544EF8"/>
    <w:rsid w:val="00546363"/>
    <w:rsid w:val="005472FD"/>
    <w:rsid w:val="00547D27"/>
    <w:rsid w:val="00554B18"/>
    <w:rsid w:val="005564CA"/>
    <w:rsid w:val="005570A8"/>
    <w:rsid w:val="0055743D"/>
    <w:rsid w:val="00557C62"/>
    <w:rsid w:val="00557FDD"/>
    <w:rsid w:val="0056055D"/>
    <w:rsid w:val="00560C72"/>
    <w:rsid w:val="0056182B"/>
    <w:rsid w:val="0056283E"/>
    <w:rsid w:val="00563A5C"/>
    <w:rsid w:val="00564FC2"/>
    <w:rsid w:val="00565877"/>
    <w:rsid w:val="00567928"/>
    <w:rsid w:val="00570CFA"/>
    <w:rsid w:val="00571FD6"/>
    <w:rsid w:val="00572591"/>
    <w:rsid w:val="005728F1"/>
    <w:rsid w:val="00572C3A"/>
    <w:rsid w:val="00572F5F"/>
    <w:rsid w:val="00573D5D"/>
    <w:rsid w:val="00574143"/>
    <w:rsid w:val="00574BA4"/>
    <w:rsid w:val="00574E90"/>
    <w:rsid w:val="005756AA"/>
    <w:rsid w:val="00576BBB"/>
    <w:rsid w:val="005771A5"/>
    <w:rsid w:val="00580B03"/>
    <w:rsid w:val="005821CF"/>
    <w:rsid w:val="00583A09"/>
    <w:rsid w:val="00583C2D"/>
    <w:rsid w:val="00584771"/>
    <w:rsid w:val="00584BC5"/>
    <w:rsid w:val="00584E0C"/>
    <w:rsid w:val="005852BA"/>
    <w:rsid w:val="00586E4D"/>
    <w:rsid w:val="00590516"/>
    <w:rsid w:val="005907A9"/>
    <w:rsid w:val="005909ED"/>
    <w:rsid w:val="00590E4F"/>
    <w:rsid w:val="005912A0"/>
    <w:rsid w:val="005924EF"/>
    <w:rsid w:val="005957C8"/>
    <w:rsid w:val="005958F3"/>
    <w:rsid w:val="00595D86"/>
    <w:rsid w:val="00596DE4"/>
    <w:rsid w:val="00597883"/>
    <w:rsid w:val="00597DAB"/>
    <w:rsid w:val="005A1976"/>
    <w:rsid w:val="005A1A73"/>
    <w:rsid w:val="005A1AA6"/>
    <w:rsid w:val="005A220D"/>
    <w:rsid w:val="005A2C83"/>
    <w:rsid w:val="005A2FD9"/>
    <w:rsid w:val="005A38D8"/>
    <w:rsid w:val="005A4E9E"/>
    <w:rsid w:val="005A4FFA"/>
    <w:rsid w:val="005A555D"/>
    <w:rsid w:val="005A61F1"/>
    <w:rsid w:val="005A7850"/>
    <w:rsid w:val="005A7A24"/>
    <w:rsid w:val="005A7FAA"/>
    <w:rsid w:val="005B0D75"/>
    <w:rsid w:val="005B15CA"/>
    <w:rsid w:val="005B1993"/>
    <w:rsid w:val="005B259B"/>
    <w:rsid w:val="005B3CD8"/>
    <w:rsid w:val="005B4756"/>
    <w:rsid w:val="005B4DC8"/>
    <w:rsid w:val="005B5AD6"/>
    <w:rsid w:val="005B5B57"/>
    <w:rsid w:val="005B6879"/>
    <w:rsid w:val="005B6C05"/>
    <w:rsid w:val="005C0AE8"/>
    <w:rsid w:val="005C162D"/>
    <w:rsid w:val="005C2779"/>
    <w:rsid w:val="005C2EF4"/>
    <w:rsid w:val="005C3A6A"/>
    <w:rsid w:val="005C3EA4"/>
    <w:rsid w:val="005C4AB8"/>
    <w:rsid w:val="005C4B97"/>
    <w:rsid w:val="005C5EB0"/>
    <w:rsid w:val="005C7600"/>
    <w:rsid w:val="005C79A2"/>
    <w:rsid w:val="005C7AED"/>
    <w:rsid w:val="005D0D7F"/>
    <w:rsid w:val="005D10F1"/>
    <w:rsid w:val="005D1FEF"/>
    <w:rsid w:val="005D2539"/>
    <w:rsid w:val="005D263C"/>
    <w:rsid w:val="005D2D9B"/>
    <w:rsid w:val="005D3438"/>
    <w:rsid w:val="005D4C4C"/>
    <w:rsid w:val="005D4CC1"/>
    <w:rsid w:val="005D50AA"/>
    <w:rsid w:val="005D51FA"/>
    <w:rsid w:val="005D5542"/>
    <w:rsid w:val="005D6977"/>
    <w:rsid w:val="005D6CAC"/>
    <w:rsid w:val="005D791B"/>
    <w:rsid w:val="005E0888"/>
    <w:rsid w:val="005E3D00"/>
    <w:rsid w:val="005E5034"/>
    <w:rsid w:val="005E529C"/>
    <w:rsid w:val="005E5B57"/>
    <w:rsid w:val="005E6118"/>
    <w:rsid w:val="005E640D"/>
    <w:rsid w:val="005E7395"/>
    <w:rsid w:val="005F197B"/>
    <w:rsid w:val="005F1B4D"/>
    <w:rsid w:val="005F1F78"/>
    <w:rsid w:val="005F2102"/>
    <w:rsid w:val="005F26E3"/>
    <w:rsid w:val="005F3AEA"/>
    <w:rsid w:val="005F48AA"/>
    <w:rsid w:val="005F48C8"/>
    <w:rsid w:val="005F4FAB"/>
    <w:rsid w:val="005F6740"/>
    <w:rsid w:val="005F67B3"/>
    <w:rsid w:val="00600C3F"/>
    <w:rsid w:val="0060167D"/>
    <w:rsid w:val="00602939"/>
    <w:rsid w:val="006032CA"/>
    <w:rsid w:val="00604809"/>
    <w:rsid w:val="00604CF2"/>
    <w:rsid w:val="00604E35"/>
    <w:rsid w:val="006053B5"/>
    <w:rsid w:val="00606400"/>
    <w:rsid w:val="00606CC8"/>
    <w:rsid w:val="00606D1C"/>
    <w:rsid w:val="00606EAE"/>
    <w:rsid w:val="006072D1"/>
    <w:rsid w:val="00607888"/>
    <w:rsid w:val="00610361"/>
    <w:rsid w:val="0061081B"/>
    <w:rsid w:val="00610943"/>
    <w:rsid w:val="006118C9"/>
    <w:rsid w:val="0061304B"/>
    <w:rsid w:val="00613442"/>
    <w:rsid w:val="00613CA4"/>
    <w:rsid w:val="00614817"/>
    <w:rsid w:val="00614AAB"/>
    <w:rsid w:val="006158F0"/>
    <w:rsid w:val="006164D2"/>
    <w:rsid w:val="00617C35"/>
    <w:rsid w:val="00617F1D"/>
    <w:rsid w:val="006208FE"/>
    <w:rsid w:val="00621165"/>
    <w:rsid w:val="00621A78"/>
    <w:rsid w:val="00622F73"/>
    <w:rsid w:val="00623168"/>
    <w:rsid w:val="00623B77"/>
    <w:rsid w:val="00624C50"/>
    <w:rsid w:val="00625F19"/>
    <w:rsid w:val="00627BEE"/>
    <w:rsid w:val="00630258"/>
    <w:rsid w:val="00630A35"/>
    <w:rsid w:val="00630B32"/>
    <w:rsid w:val="00630FDF"/>
    <w:rsid w:val="006313F4"/>
    <w:rsid w:val="006317D9"/>
    <w:rsid w:val="00632269"/>
    <w:rsid w:val="0063261F"/>
    <w:rsid w:val="006338A8"/>
    <w:rsid w:val="00633DBF"/>
    <w:rsid w:val="00633E03"/>
    <w:rsid w:val="00633EC0"/>
    <w:rsid w:val="00634350"/>
    <w:rsid w:val="006350E6"/>
    <w:rsid w:val="0064058D"/>
    <w:rsid w:val="00640B06"/>
    <w:rsid w:val="006441E9"/>
    <w:rsid w:val="00644ADC"/>
    <w:rsid w:val="006453C1"/>
    <w:rsid w:val="00645CF8"/>
    <w:rsid w:val="006464BC"/>
    <w:rsid w:val="0064734D"/>
    <w:rsid w:val="00647C3A"/>
    <w:rsid w:val="00650FDB"/>
    <w:rsid w:val="0065118A"/>
    <w:rsid w:val="0065154D"/>
    <w:rsid w:val="00651659"/>
    <w:rsid w:val="00654AD5"/>
    <w:rsid w:val="00655371"/>
    <w:rsid w:val="00655552"/>
    <w:rsid w:val="00656997"/>
    <w:rsid w:val="00656BD3"/>
    <w:rsid w:val="00656C7D"/>
    <w:rsid w:val="006609AB"/>
    <w:rsid w:val="006613B1"/>
    <w:rsid w:val="00663314"/>
    <w:rsid w:val="0066452D"/>
    <w:rsid w:val="00664556"/>
    <w:rsid w:val="00664EBA"/>
    <w:rsid w:val="00665553"/>
    <w:rsid w:val="006660FA"/>
    <w:rsid w:val="00666303"/>
    <w:rsid w:val="0066696D"/>
    <w:rsid w:val="006676AA"/>
    <w:rsid w:val="00670AFD"/>
    <w:rsid w:val="006715BC"/>
    <w:rsid w:val="00672379"/>
    <w:rsid w:val="006726C7"/>
    <w:rsid w:val="006732EF"/>
    <w:rsid w:val="006745D9"/>
    <w:rsid w:val="00675DAA"/>
    <w:rsid w:val="0067671D"/>
    <w:rsid w:val="0067719F"/>
    <w:rsid w:val="00677428"/>
    <w:rsid w:val="00680ACA"/>
    <w:rsid w:val="00680CD0"/>
    <w:rsid w:val="00680EE3"/>
    <w:rsid w:val="006811A6"/>
    <w:rsid w:val="00681957"/>
    <w:rsid w:val="0068678E"/>
    <w:rsid w:val="00690195"/>
    <w:rsid w:val="006905C1"/>
    <w:rsid w:val="006905D6"/>
    <w:rsid w:val="00691277"/>
    <w:rsid w:val="00693363"/>
    <w:rsid w:val="00693EB0"/>
    <w:rsid w:val="00694390"/>
    <w:rsid w:val="00694523"/>
    <w:rsid w:val="00695596"/>
    <w:rsid w:val="00695B23"/>
    <w:rsid w:val="00696669"/>
    <w:rsid w:val="006966AB"/>
    <w:rsid w:val="0069763C"/>
    <w:rsid w:val="00697665"/>
    <w:rsid w:val="006A0BB2"/>
    <w:rsid w:val="006A0BC3"/>
    <w:rsid w:val="006A0F37"/>
    <w:rsid w:val="006A14C3"/>
    <w:rsid w:val="006A1B54"/>
    <w:rsid w:val="006A490E"/>
    <w:rsid w:val="006A4CD0"/>
    <w:rsid w:val="006A667D"/>
    <w:rsid w:val="006A6C98"/>
    <w:rsid w:val="006A6CF5"/>
    <w:rsid w:val="006A7CB5"/>
    <w:rsid w:val="006A7FD0"/>
    <w:rsid w:val="006B02DD"/>
    <w:rsid w:val="006B0A01"/>
    <w:rsid w:val="006B2D2D"/>
    <w:rsid w:val="006B340F"/>
    <w:rsid w:val="006B419C"/>
    <w:rsid w:val="006B4A03"/>
    <w:rsid w:val="006B4BC9"/>
    <w:rsid w:val="006B5469"/>
    <w:rsid w:val="006B5E52"/>
    <w:rsid w:val="006B6D5F"/>
    <w:rsid w:val="006B7C79"/>
    <w:rsid w:val="006C02B8"/>
    <w:rsid w:val="006C12D6"/>
    <w:rsid w:val="006C16C4"/>
    <w:rsid w:val="006C1A9B"/>
    <w:rsid w:val="006C3315"/>
    <w:rsid w:val="006C34C1"/>
    <w:rsid w:val="006C40B0"/>
    <w:rsid w:val="006C4865"/>
    <w:rsid w:val="006C4FB6"/>
    <w:rsid w:val="006C55B0"/>
    <w:rsid w:val="006C59F1"/>
    <w:rsid w:val="006C5CBB"/>
    <w:rsid w:val="006C5FF8"/>
    <w:rsid w:val="006C717A"/>
    <w:rsid w:val="006D05F7"/>
    <w:rsid w:val="006D0944"/>
    <w:rsid w:val="006D1A6C"/>
    <w:rsid w:val="006D316E"/>
    <w:rsid w:val="006D391A"/>
    <w:rsid w:val="006D4D3E"/>
    <w:rsid w:val="006D50BE"/>
    <w:rsid w:val="006D524B"/>
    <w:rsid w:val="006D6BBC"/>
    <w:rsid w:val="006D7687"/>
    <w:rsid w:val="006E0572"/>
    <w:rsid w:val="006E178E"/>
    <w:rsid w:val="006E321E"/>
    <w:rsid w:val="006E3401"/>
    <w:rsid w:val="006E3C68"/>
    <w:rsid w:val="006E4184"/>
    <w:rsid w:val="006E4ED6"/>
    <w:rsid w:val="006E5518"/>
    <w:rsid w:val="006E691B"/>
    <w:rsid w:val="006E7BD4"/>
    <w:rsid w:val="006F0339"/>
    <w:rsid w:val="006F1C0D"/>
    <w:rsid w:val="006F2A0F"/>
    <w:rsid w:val="006F2C91"/>
    <w:rsid w:val="006F3DDD"/>
    <w:rsid w:val="006F5452"/>
    <w:rsid w:val="006F77C0"/>
    <w:rsid w:val="006F7B98"/>
    <w:rsid w:val="00700094"/>
    <w:rsid w:val="0070018D"/>
    <w:rsid w:val="00700C40"/>
    <w:rsid w:val="00702675"/>
    <w:rsid w:val="007027E7"/>
    <w:rsid w:val="00702B8B"/>
    <w:rsid w:val="00703A0F"/>
    <w:rsid w:val="00703B28"/>
    <w:rsid w:val="00705631"/>
    <w:rsid w:val="00705C24"/>
    <w:rsid w:val="0070611C"/>
    <w:rsid w:val="007065A8"/>
    <w:rsid w:val="00706A51"/>
    <w:rsid w:val="00710305"/>
    <w:rsid w:val="0071288C"/>
    <w:rsid w:val="007132FB"/>
    <w:rsid w:val="0071348C"/>
    <w:rsid w:val="0071390D"/>
    <w:rsid w:val="00714530"/>
    <w:rsid w:val="00714B3E"/>
    <w:rsid w:val="00715E83"/>
    <w:rsid w:val="00715EAA"/>
    <w:rsid w:val="00717566"/>
    <w:rsid w:val="00720281"/>
    <w:rsid w:val="00720AC5"/>
    <w:rsid w:val="0072169F"/>
    <w:rsid w:val="00721B75"/>
    <w:rsid w:val="0072307E"/>
    <w:rsid w:val="00723A7A"/>
    <w:rsid w:val="00723ABB"/>
    <w:rsid w:val="007240C9"/>
    <w:rsid w:val="00724AFD"/>
    <w:rsid w:val="00726A61"/>
    <w:rsid w:val="00726E84"/>
    <w:rsid w:val="0072749F"/>
    <w:rsid w:val="00727520"/>
    <w:rsid w:val="00727F26"/>
    <w:rsid w:val="00730618"/>
    <w:rsid w:val="00731222"/>
    <w:rsid w:val="00731CBB"/>
    <w:rsid w:val="0073322B"/>
    <w:rsid w:val="00733F5A"/>
    <w:rsid w:val="00734286"/>
    <w:rsid w:val="007346C5"/>
    <w:rsid w:val="00734F7F"/>
    <w:rsid w:val="00735685"/>
    <w:rsid w:val="00735C4B"/>
    <w:rsid w:val="00736DE3"/>
    <w:rsid w:val="0073748A"/>
    <w:rsid w:val="00737765"/>
    <w:rsid w:val="00740500"/>
    <w:rsid w:val="007407BE"/>
    <w:rsid w:val="00741A2C"/>
    <w:rsid w:val="00742A69"/>
    <w:rsid w:val="00742DD2"/>
    <w:rsid w:val="0074303C"/>
    <w:rsid w:val="00746528"/>
    <w:rsid w:val="0074669E"/>
    <w:rsid w:val="00746E08"/>
    <w:rsid w:val="007479F8"/>
    <w:rsid w:val="00747C96"/>
    <w:rsid w:val="0075094E"/>
    <w:rsid w:val="007509D3"/>
    <w:rsid w:val="00751421"/>
    <w:rsid w:val="00751E94"/>
    <w:rsid w:val="007522E8"/>
    <w:rsid w:val="007526B2"/>
    <w:rsid w:val="007559ED"/>
    <w:rsid w:val="0075604B"/>
    <w:rsid w:val="0075647A"/>
    <w:rsid w:val="00756A3D"/>
    <w:rsid w:val="00757208"/>
    <w:rsid w:val="007575E7"/>
    <w:rsid w:val="00760526"/>
    <w:rsid w:val="00762634"/>
    <w:rsid w:val="00762AEC"/>
    <w:rsid w:val="00763266"/>
    <w:rsid w:val="007634AD"/>
    <w:rsid w:val="00764D4E"/>
    <w:rsid w:val="00764E67"/>
    <w:rsid w:val="00765694"/>
    <w:rsid w:val="00765B48"/>
    <w:rsid w:val="00767F50"/>
    <w:rsid w:val="00770CEE"/>
    <w:rsid w:val="00770F51"/>
    <w:rsid w:val="0077377C"/>
    <w:rsid w:val="0077470A"/>
    <w:rsid w:val="00775007"/>
    <w:rsid w:val="007759E8"/>
    <w:rsid w:val="00776709"/>
    <w:rsid w:val="00780DA3"/>
    <w:rsid w:val="0078122E"/>
    <w:rsid w:val="00781331"/>
    <w:rsid w:val="00782053"/>
    <w:rsid w:val="00782878"/>
    <w:rsid w:val="00783027"/>
    <w:rsid w:val="007839BF"/>
    <w:rsid w:val="007843B6"/>
    <w:rsid w:val="00785913"/>
    <w:rsid w:val="00786353"/>
    <w:rsid w:val="007866FF"/>
    <w:rsid w:val="00786CB0"/>
    <w:rsid w:val="00786E20"/>
    <w:rsid w:val="00787DC5"/>
    <w:rsid w:val="0079028F"/>
    <w:rsid w:val="00790AC4"/>
    <w:rsid w:val="00791E28"/>
    <w:rsid w:val="007934AE"/>
    <w:rsid w:val="0079381B"/>
    <w:rsid w:val="00793EC8"/>
    <w:rsid w:val="00794171"/>
    <w:rsid w:val="00795647"/>
    <w:rsid w:val="007963B2"/>
    <w:rsid w:val="007A05B2"/>
    <w:rsid w:val="007A07E4"/>
    <w:rsid w:val="007A179D"/>
    <w:rsid w:val="007A2465"/>
    <w:rsid w:val="007A3612"/>
    <w:rsid w:val="007A3911"/>
    <w:rsid w:val="007A399C"/>
    <w:rsid w:val="007A3D08"/>
    <w:rsid w:val="007A5307"/>
    <w:rsid w:val="007A53EF"/>
    <w:rsid w:val="007A6DE0"/>
    <w:rsid w:val="007A7761"/>
    <w:rsid w:val="007B0854"/>
    <w:rsid w:val="007B204E"/>
    <w:rsid w:val="007B2571"/>
    <w:rsid w:val="007B3524"/>
    <w:rsid w:val="007B3CCE"/>
    <w:rsid w:val="007B4540"/>
    <w:rsid w:val="007B495B"/>
    <w:rsid w:val="007B5414"/>
    <w:rsid w:val="007B58F4"/>
    <w:rsid w:val="007B6EA2"/>
    <w:rsid w:val="007B7CED"/>
    <w:rsid w:val="007C097B"/>
    <w:rsid w:val="007C256E"/>
    <w:rsid w:val="007C3FAF"/>
    <w:rsid w:val="007C4C04"/>
    <w:rsid w:val="007C552A"/>
    <w:rsid w:val="007C58D2"/>
    <w:rsid w:val="007C5D1C"/>
    <w:rsid w:val="007C643C"/>
    <w:rsid w:val="007C72EC"/>
    <w:rsid w:val="007C755B"/>
    <w:rsid w:val="007D0056"/>
    <w:rsid w:val="007D02FD"/>
    <w:rsid w:val="007D0313"/>
    <w:rsid w:val="007D0FED"/>
    <w:rsid w:val="007D2D49"/>
    <w:rsid w:val="007D2E15"/>
    <w:rsid w:val="007D2FC7"/>
    <w:rsid w:val="007D319C"/>
    <w:rsid w:val="007D543F"/>
    <w:rsid w:val="007D5A5A"/>
    <w:rsid w:val="007D6000"/>
    <w:rsid w:val="007D6AEE"/>
    <w:rsid w:val="007D74F0"/>
    <w:rsid w:val="007D7AA4"/>
    <w:rsid w:val="007E0393"/>
    <w:rsid w:val="007E043C"/>
    <w:rsid w:val="007E04BB"/>
    <w:rsid w:val="007E0C2B"/>
    <w:rsid w:val="007E2D42"/>
    <w:rsid w:val="007E33FB"/>
    <w:rsid w:val="007E392D"/>
    <w:rsid w:val="007E4FB0"/>
    <w:rsid w:val="007E5073"/>
    <w:rsid w:val="007E5253"/>
    <w:rsid w:val="007E61BB"/>
    <w:rsid w:val="007E6773"/>
    <w:rsid w:val="007E758C"/>
    <w:rsid w:val="007F0CE8"/>
    <w:rsid w:val="007F12AC"/>
    <w:rsid w:val="007F1C03"/>
    <w:rsid w:val="007F2386"/>
    <w:rsid w:val="007F316B"/>
    <w:rsid w:val="007F3369"/>
    <w:rsid w:val="007F3386"/>
    <w:rsid w:val="007F5252"/>
    <w:rsid w:val="007F6728"/>
    <w:rsid w:val="007F6B46"/>
    <w:rsid w:val="007F6B96"/>
    <w:rsid w:val="007F6BC0"/>
    <w:rsid w:val="007F72CB"/>
    <w:rsid w:val="007F737B"/>
    <w:rsid w:val="00800380"/>
    <w:rsid w:val="008003EA"/>
    <w:rsid w:val="008007F7"/>
    <w:rsid w:val="00800CB0"/>
    <w:rsid w:val="00801108"/>
    <w:rsid w:val="00802BF5"/>
    <w:rsid w:val="00802FA2"/>
    <w:rsid w:val="008035BB"/>
    <w:rsid w:val="0080413E"/>
    <w:rsid w:val="00805134"/>
    <w:rsid w:val="00805341"/>
    <w:rsid w:val="00805892"/>
    <w:rsid w:val="00805C47"/>
    <w:rsid w:val="00805E3B"/>
    <w:rsid w:val="0080720B"/>
    <w:rsid w:val="00807754"/>
    <w:rsid w:val="00807D70"/>
    <w:rsid w:val="00807F70"/>
    <w:rsid w:val="0081079D"/>
    <w:rsid w:val="00810E94"/>
    <w:rsid w:val="00811198"/>
    <w:rsid w:val="00812889"/>
    <w:rsid w:val="008128E6"/>
    <w:rsid w:val="00812CF7"/>
    <w:rsid w:val="0081319D"/>
    <w:rsid w:val="00815C43"/>
    <w:rsid w:val="008161A0"/>
    <w:rsid w:val="0081775B"/>
    <w:rsid w:val="00817A08"/>
    <w:rsid w:val="00820AAA"/>
    <w:rsid w:val="00820B4A"/>
    <w:rsid w:val="008217B7"/>
    <w:rsid w:val="00821A69"/>
    <w:rsid w:val="00822939"/>
    <w:rsid w:val="00822CEC"/>
    <w:rsid w:val="008236D2"/>
    <w:rsid w:val="0082471E"/>
    <w:rsid w:val="00824BA7"/>
    <w:rsid w:val="008255B9"/>
    <w:rsid w:val="0082606C"/>
    <w:rsid w:val="0083119B"/>
    <w:rsid w:val="008317CC"/>
    <w:rsid w:val="008325CA"/>
    <w:rsid w:val="00833494"/>
    <w:rsid w:val="0083389E"/>
    <w:rsid w:val="00833D10"/>
    <w:rsid w:val="00836AC5"/>
    <w:rsid w:val="00836EAB"/>
    <w:rsid w:val="0084011C"/>
    <w:rsid w:val="00840625"/>
    <w:rsid w:val="0084146C"/>
    <w:rsid w:val="008415E3"/>
    <w:rsid w:val="008434CF"/>
    <w:rsid w:val="00843A94"/>
    <w:rsid w:val="00843B34"/>
    <w:rsid w:val="00844611"/>
    <w:rsid w:val="00845FC8"/>
    <w:rsid w:val="00846721"/>
    <w:rsid w:val="008502CC"/>
    <w:rsid w:val="008502F9"/>
    <w:rsid w:val="0085092D"/>
    <w:rsid w:val="00850F79"/>
    <w:rsid w:val="0085136E"/>
    <w:rsid w:val="00851933"/>
    <w:rsid w:val="008539C0"/>
    <w:rsid w:val="00853B4B"/>
    <w:rsid w:val="00853CE7"/>
    <w:rsid w:val="00854029"/>
    <w:rsid w:val="00854370"/>
    <w:rsid w:val="008548AC"/>
    <w:rsid w:val="00855F56"/>
    <w:rsid w:val="00856420"/>
    <w:rsid w:val="008605DD"/>
    <w:rsid w:val="00861CBE"/>
    <w:rsid w:val="008629DE"/>
    <w:rsid w:val="008639DC"/>
    <w:rsid w:val="00863B45"/>
    <w:rsid w:val="00864F2E"/>
    <w:rsid w:val="0086551F"/>
    <w:rsid w:val="00866D4C"/>
    <w:rsid w:val="00867267"/>
    <w:rsid w:val="0086772B"/>
    <w:rsid w:val="00867FA2"/>
    <w:rsid w:val="00870445"/>
    <w:rsid w:val="00870F97"/>
    <w:rsid w:val="0087139E"/>
    <w:rsid w:val="0087255F"/>
    <w:rsid w:val="00872B3B"/>
    <w:rsid w:val="0087326A"/>
    <w:rsid w:val="008741CF"/>
    <w:rsid w:val="00874D55"/>
    <w:rsid w:val="00875469"/>
    <w:rsid w:val="0087549E"/>
    <w:rsid w:val="00877050"/>
    <w:rsid w:val="00877A16"/>
    <w:rsid w:val="00877D34"/>
    <w:rsid w:val="00880023"/>
    <w:rsid w:val="008800ED"/>
    <w:rsid w:val="008807A6"/>
    <w:rsid w:val="00880C7D"/>
    <w:rsid w:val="0088138E"/>
    <w:rsid w:val="008820EF"/>
    <w:rsid w:val="0088288B"/>
    <w:rsid w:val="0088292E"/>
    <w:rsid w:val="00883014"/>
    <w:rsid w:val="0088373F"/>
    <w:rsid w:val="00883844"/>
    <w:rsid w:val="00884185"/>
    <w:rsid w:val="00884680"/>
    <w:rsid w:val="008847A7"/>
    <w:rsid w:val="00890A55"/>
    <w:rsid w:val="00890A9A"/>
    <w:rsid w:val="00891993"/>
    <w:rsid w:val="00891DEC"/>
    <w:rsid w:val="00894248"/>
    <w:rsid w:val="008948DF"/>
    <w:rsid w:val="00894E41"/>
    <w:rsid w:val="00895565"/>
    <w:rsid w:val="00895A22"/>
    <w:rsid w:val="00896B8A"/>
    <w:rsid w:val="0089774F"/>
    <w:rsid w:val="008977E5"/>
    <w:rsid w:val="00897CFE"/>
    <w:rsid w:val="008A0392"/>
    <w:rsid w:val="008A0D56"/>
    <w:rsid w:val="008A113A"/>
    <w:rsid w:val="008A22FB"/>
    <w:rsid w:val="008A24D7"/>
    <w:rsid w:val="008A265E"/>
    <w:rsid w:val="008A2781"/>
    <w:rsid w:val="008A36B6"/>
    <w:rsid w:val="008A4788"/>
    <w:rsid w:val="008A5F52"/>
    <w:rsid w:val="008A66DC"/>
    <w:rsid w:val="008A6EB9"/>
    <w:rsid w:val="008A7F4C"/>
    <w:rsid w:val="008B0FC4"/>
    <w:rsid w:val="008B1B8A"/>
    <w:rsid w:val="008B2228"/>
    <w:rsid w:val="008B2CF7"/>
    <w:rsid w:val="008B365E"/>
    <w:rsid w:val="008B406C"/>
    <w:rsid w:val="008B423D"/>
    <w:rsid w:val="008B63FA"/>
    <w:rsid w:val="008B6CE8"/>
    <w:rsid w:val="008B721F"/>
    <w:rsid w:val="008B7830"/>
    <w:rsid w:val="008B7AE1"/>
    <w:rsid w:val="008C0576"/>
    <w:rsid w:val="008C0E1F"/>
    <w:rsid w:val="008C1250"/>
    <w:rsid w:val="008C193F"/>
    <w:rsid w:val="008C33B6"/>
    <w:rsid w:val="008C566B"/>
    <w:rsid w:val="008C66F3"/>
    <w:rsid w:val="008C73D8"/>
    <w:rsid w:val="008C75C7"/>
    <w:rsid w:val="008C7FE6"/>
    <w:rsid w:val="008D294A"/>
    <w:rsid w:val="008D47C2"/>
    <w:rsid w:val="008D53A2"/>
    <w:rsid w:val="008D5A5E"/>
    <w:rsid w:val="008D6624"/>
    <w:rsid w:val="008D672C"/>
    <w:rsid w:val="008D6EC1"/>
    <w:rsid w:val="008D7089"/>
    <w:rsid w:val="008E023A"/>
    <w:rsid w:val="008E0826"/>
    <w:rsid w:val="008E11F9"/>
    <w:rsid w:val="008E121F"/>
    <w:rsid w:val="008E1A00"/>
    <w:rsid w:val="008E1C15"/>
    <w:rsid w:val="008E365E"/>
    <w:rsid w:val="008E3A2A"/>
    <w:rsid w:val="008E52A4"/>
    <w:rsid w:val="008E6DCC"/>
    <w:rsid w:val="008E705D"/>
    <w:rsid w:val="008E70DB"/>
    <w:rsid w:val="008E7BB9"/>
    <w:rsid w:val="008F0098"/>
    <w:rsid w:val="008F08FE"/>
    <w:rsid w:val="008F1E12"/>
    <w:rsid w:val="008F25EF"/>
    <w:rsid w:val="008F331A"/>
    <w:rsid w:val="008F3623"/>
    <w:rsid w:val="008F4074"/>
    <w:rsid w:val="008F534C"/>
    <w:rsid w:val="008F538E"/>
    <w:rsid w:val="008F5BE0"/>
    <w:rsid w:val="008F5BFC"/>
    <w:rsid w:val="008F6ABB"/>
    <w:rsid w:val="008F717D"/>
    <w:rsid w:val="00900586"/>
    <w:rsid w:val="00900D56"/>
    <w:rsid w:val="00900F3C"/>
    <w:rsid w:val="009016FC"/>
    <w:rsid w:val="0090174A"/>
    <w:rsid w:val="00901EDA"/>
    <w:rsid w:val="00901F3D"/>
    <w:rsid w:val="009022C1"/>
    <w:rsid w:val="00902D39"/>
    <w:rsid w:val="00903CBC"/>
    <w:rsid w:val="009047C5"/>
    <w:rsid w:val="00904DDB"/>
    <w:rsid w:val="00904E06"/>
    <w:rsid w:val="00905B35"/>
    <w:rsid w:val="00906935"/>
    <w:rsid w:val="00906D3F"/>
    <w:rsid w:val="009101A5"/>
    <w:rsid w:val="00910AAA"/>
    <w:rsid w:val="00910B8D"/>
    <w:rsid w:val="00911B7F"/>
    <w:rsid w:val="00912A37"/>
    <w:rsid w:val="00912D3F"/>
    <w:rsid w:val="00912F8B"/>
    <w:rsid w:val="00914687"/>
    <w:rsid w:val="00916046"/>
    <w:rsid w:val="009161B3"/>
    <w:rsid w:val="009167D7"/>
    <w:rsid w:val="00916BC7"/>
    <w:rsid w:val="009201F3"/>
    <w:rsid w:val="009209D7"/>
    <w:rsid w:val="0092194E"/>
    <w:rsid w:val="0092226D"/>
    <w:rsid w:val="00923BC1"/>
    <w:rsid w:val="009242FF"/>
    <w:rsid w:val="0092483A"/>
    <w:rsid w:val="00925E4F"/>
    <w:rsid w:val="00927679"/>
    <w:rsid w:val="00930062"/>
    <w:rsid w:val="00934A68"/>
    <w:rsid w:val="00934C73"/>
    <w:rsid w:val="00935C90"/>
    <w:rsid w:val="009371C8"/>
    <w:rsid w:val="009403A7"/>
    <w:rsid w:val="00940C04"/>
    <w:rsid w:val="009415ED"/>
    <w:rsid w:val="009420E0"/>
    <w:rsid w:val="00942F3F"/>
    <w:rsid w:val="00944F0D"/>
    <w:rsid w:val="00944F8A"/>
    <w:rsid w:val="0094508D"/>
    <w:rsid w:val="00945684"/>
    <w:rsid w:val="0094613B"/>
    <w:rsid w:val="00946596"/>
    <w:rsid w:val="00946F67"/>
    <w:rsid w:val="00947A1C"/>
    <w:rsid w:val="00947A56"/>
    <w:rsid w:val="00950059"/>
    <w:rsid w:val="0095044E"/>
    <w:rsid w:val="00951D95"/>
    <w:rsid w:val="009525B7"/>
    <w:rsid w:val="009528AE"/>
    <w:rsid w:val="009530E8"/>
    <w:rsid w:val="0095335C"/>
    <w:rsid w:val="00953647"/>
    <w:rsid w:val="0095385A"/>
    <w:rsid w:val="00954553"/>
    <w:rsid w:val="00954EA8"/>
    <w:rsid w:val="00955930"/>
    <w:rsid w:val="00955B7F"/>
    <w:rsid w:val="009578E8"/>
    <w:rsid w:val="00960168"/>
    <w:rsid w:val="009602A1"/>
    <w:rsid w:val="00961252"/>
    <w:rsid w:val="00961AEE"/>
    <w:rsid w:val="00962706"/>
    <w:rsid w:val="0096275E"/>
    <w:rsid w:val="009646C1"/>
    <w:rsid w:val="00964E57"/>
    <w:rsid w:val="009650ED"/>
    <w:rsid w:val="009651B8"/>
    <w:rsid w:val="00966AFD"/>
    <w:rsid w:val="00966E63"/>
    <w:rsid w:val="009673D9"/>
    <w:rsid w:val="00970386"/>
    <w:rsid w:val="00970B51"/>
    <w:rsid w:val="00971CDC"/>
    <w:rsid w:val="00973B5E"/>
    <w:rsid w:val="00973D37"/>
    <w:rsid w:val="00975E8B"/>
    <w:rsid w:val="00975EC6"/>
    <w:rsid w:val="009764E0"/>
    <w:rsid w:val="00976599"/>
    <w:rsid w:val="009779D4"/>
    <w:rsid w:val="00977C8E"/>
    <w:rsid w:val="00977EB9"/>
    <w:rsid w:val="00980899"/>
    <w:rsid w:val="00980FE9"/>
    <w:rsid w:val="00981341"/>
    <w:rsid w:val="00981AEC"/>
    <w:rsid w:val="009836D0"/>
    <w:rsid w:val="0098580C"/>
    <w:rsid w:val="009865B6"/>
    <w:rsid w:val="0098671F"/>
    <w:rsid w:val="00987147"/>
    <w:rsid w:val="00987301"/>
    <w:rsid w:val="00990126"/>
    <w:rsid w:val="00990AEE"/>
    <w:rsid w:val="00990BFE"/>
    <w:rsid w:val="009910EF"/>
    <w:rsid w:val="00992F84"/>
    <w:rsid w:val="00993FD7"/>
    <w:rsid w:val="009945BB"/>
    <w:rsid w:val="009947DB"/>
    <w:rsid w:val="00995357"/>
    <w:rsid w:val="00995F97"/>
    <w:rsid w:val="0099782E"/>
    <w:rsid w:val="009978AB"/>
    <w:rsid w:val="00997E39"/>
    <w:rsid w:val="009A0CF4"/>
    <w:rsid w:val="009A0D5E"/>
    <w:rsid w:val="009A0E6F"/>
    <w:rsid w:val="009A13B5"/>
    <w:rsid w:val="009A1EDC"/>
    <w:rsid w:val="009A2449"/>
    <w:rsid w:val="009A25A3"/>
    <w:rsid w:val="009A3949"/>
    <w:rsid w:val="009A5A98"/>
    <w:rsid w:val="009A5D65"/>
    <w:rsid w:val="009A5F34"/>
    <w:rsid w:val="009A6C8E"/>
    <w:rsid w:val="009A77E3"/>
    <w:rsid w:val="009B0C2E"/>
    <w:rsid w:val="009B18FD"/>
    <w:rsid w:val="009B2874"/>
    <w:rsid w:val="009B2EFC"/>
    <w:rsid w:val="009B3329"/>
    <w:rsid w:val="009C117E"/>
    <w:rsid w:val="009C1D7D"/>
    <w:rsid w:val="009C4ADA"/>
    <w:rsid w:val="009C50EC"/>
    <w:rsid w:val="009C5F58"/>
    <w:rsid w:val="009C75FC"/>
    <w:rsid w:val="009C7E94"/>
    <w:rsid w:val="009D01FA"/>
    <w:rsid w:val="009D1D2F"/>
    <w:rsid w:val="009D38B3"/>
    <w:rsid w:val="009D4730"/>
    <w:rsid w:val="009D5015"/>
    <w:rsid w:val="009D5269"/>
    <w:rsid w:val="009D62C3"/>
    <w:rsid w:val="009D68DA"/>
    <w:rsid w:val="009E1D2D"/>
    <w:rsid w:val="009E405A"/>
    <w:rsid w:val="009E4B65"/>
    <w:rsid w:val="009E4C76"/>
    <w:rsid w:val="009E4EDE"/>
    <w:rsid w:val="009E6031"/>
    <w:rsid w:val="009E680D"/>
    <w:rsid w:val="009E721A"/>
    <w:rsid w:val="009E754A"/>
    <w:rsid w:val="009F0250"/>
    <w:rsid w:val="009F0BD0"/>
    <w:rsid w:val="009F228F"/>
    <w:rsid w:val="009F2950"/>
    <w:rsid w:val="009F2B05"/>
    <w:rsid w:val="009F4A5A"/>
    <w:rsid w:val="009F5299"/>
    <w:rsid w:val="009F59C2"/>
    <w:rsid w:val="009F70B9"/>
    <w:rsid w:val="009F739F"/>
    <w:rsid w:val="009F74DF"/>
    <w:rsid w:val="009F7B0A"/>
    <w:rsid w:val="00A0089B"/>
    <w:rsid w:val="00A01EAA"/>
    <w:rsid w:val="00A02035"/>
    <w:rsid w:val="00A02AD6"/>
    <w:rsid w:val="00A03AEC"/>
    <w:rsid w:val="00A04EE8"/>
    <w:rsid w:val="00A054E0"/>
    <w:rsid w:val="00A06104"/>
    <w:rsid w:val="00A11AF8"/>
    <w:rsid w:val="00A11E7B"/>
    <w:rsid w:val="00A131B4"/>
    <w:rsid w:val="00A13947"/>
    <w:rsid w:val="00A14083"/>
    <w:rsid w:val="00A147D1"/>
    <w:rsid w:val="00A14C37"/>
    <w:rsid w:val="00A155F8"/>
    <w:rsid w:val="00A16471"/>
    <w:rsid w:val="00A16841"/>
    <w:rsid w:val="00A16A18"/>
    <w:rsid w:val="00A211E3"/>
    <w:rsid w:val="00A219D9"/>
    <w:rsid w:val="00A22FBC"/>
    <w:rsid w:val="00A24560"/>
    <w:rsid w:val="00A24CAD"/>
    <w:rsid w:val="00A26277"/>
    <w:rsid w:val="00A26BFD"/>
    <w:rsid w:val="00A271B8"/>
    <w:rsid w:val="00A27651"/>
    <w:rsid w:val="00A27EDB"/>
    <w:rsid w:val="00A30168"/>
    <w:rsid w:val="00A322B4"/>
    <w:rsid w:val="00A335ED"/>
    <w:rsid w:val="00A33991"/>
    <w:rsid w:val="00A34538"/>
    <w:rsid w:val="00A34560"/>
    <w:rsid w:val="00A35D44"/>
    <w:rsid w:val="00A36775"/>
    <w:rsid w:val="00A36F25"/>
    <w:rsid w:val="00A37FB6"/>
    <w:rsid w:val="00A410E2"/>
    <w:rsid w:val="00A41B6C"/>
    <w:rsid w:val="00A42001"/>
    <w:rsid w:val="00A43175"/>
    <w:rsid w:val="00A4320E"/>
    <w:rsid w:val="00A43FA8"/>
    <w:rsid w:val="00A44B90"/>
    <w:rsid w:val="00A457F7"/>
    <w:rsid w:val="00A45ACF"/>
    <w:rsid w:val="00A47045"/>
    <w:rsid w:val="00A5091A"/>
    <w:rsid w:val="00A5131D"/>
    <w:rsid w:val="00A5144E"/>
    <w:rsid w:val="00A51711"/>
    <w:rsid w:val="00A52C97"/>
    <w:rsid w:val="00A52D0B"/>
    <w:rsid w:val="00A52E90"/>
    <w:rsid w:val="00A53286"/>
    <w:rsid w:val="00A541CC"/>
    <w:rsid w:val="00A54E33"/>
    <w:rsid w:val="00A575B0"/>
    <w:rsid w:val="00A577FF"/>
    <w:rsid w:val="00A57EB8"/>
    <w:rsid w:val="00A610B8"/>
    <w:rsid w:val="00A6162B"/>
    <w:rsid w:val="00A619B9"/>
    <w:rsid w:val="00A62496"/>
    <w:rsid w:val="00A64056"/>
    <w:rsid w:val="00A64B27"/>
    <w:rsid w:val="00A65D14"/>
    <w:rsid w:val="00A67017"/>
    <w:rsid w:val="00A7024A"/>
    <w:rsid w:val="00A705DE"/>
    <w:rsid w:val="00A7084E"/>
    <w:rsid w:val="00A70E24"/>
    <w:rsid w:val="00A714F9"/>
    <w:rsid w:val="00A73795"/>
    <w:rsid w:val="00A73C36"/>
    <w:rsid w:val="00A73FD1"/>
    <w:rsid w:val="00A74CAD"/>
    <w:rsid w:val="00A75CEF"/>
    <w:rsid w:val="00A7717F"/>
    <w:rsid w:val="00A775B0"/>
    <w:rsid w:val="00A77BDA"/>
    <w:rsid w:val="00A82ECC"/>
    <w:rsid w:val="00A83510"/>
    <w:rsid w:val="00A83E3E"/>
    <w:rsid w:val="00A8551A"/>
    <w:rsid w:val="00A85C29"/>
    <w:rsid w:val="00A8664A"/>
    <w:rsid w:val="00A8666B"/>
    <w:rsid w:val="00A86AC1"/>
    <w:rsid w:val="00A86E40"/>
    <w:rsid w:val="00A872AE"/>
    <w:rsid w:val="00A87369"/>
    <w:rsid w:val="00A878FD"/>
    <w:rsid w:val="00A907E5"/>
    <w:rsid w:val="00A90C55"/>
    <w:rsid w:val="00A91139"/>
    <w:rsid w:val="00A91717"/>
    <w:rsid w:val="00A920EF"/>
    <w:rsid w:val="00A921D6"/>
    <w:rsid w:val="00A923D7"/>
    <w:rsid w:val="00A9483A"/>
    <w:rsid w:val="00A956BC"/>
    <w:rsid w:val="00A962F0"/>
    <w:rsid w:val="00A96C55"/>
    <w:rsid w:val="00A97447"/>
    <w:rsid w:val="00A975FF"/>
    <w:rsid w:val="00AA0462"/>
    <w:rsid w:val="00AA08E7"/>
    <w:rsid w:val="00AA0BF6"/>
    <w:rsid w:val="00AA1836"/>
    <w:rsid w:val="00AA292E"/>
    <w:rsid w:val="00AA29F7"/>
    <w:rsid w:val="00AA304E"/>
    <w:rsid w:val="00AA3312"/>
    <w:rsid w:val="00AA3615"/>
    <w:rsid w:val="00AA3648"/>
    <w:rsid w:val="00AA3E1F"/>
    <w:rsid w:val="00AA442B"/>
    <w:rsid w:val="00AA44AF"/>
    <w:rsid w:val="00AA669D"/>
    <w:rsid w:val="00AA7234"/>
    <w:rsid w:val="00AA7C55"/>
    <w:rsid w:val="00AB1F97"/>
    <w:rsid w:val="00AB1FB9"/>
    <w:rsid w:val="00AB3860"/>
    <w:rsid w:val="00AB4107"/>
    <w:rsid w:val="00AB4260"/>
    <w:rsid w:val="00AB509E"/>
    <w:rsid w:val="00AB5620"/>
    <w:rsid w:val="00AB5E69"/>
    <w:rsid w:val="00AB5F26"/>
    <w:rsid w:val="00AB6124"/>
    <w:rsid w:val="00AB70AD"/>
    <w:rsid w:val="00AB7289"/>
    <w:rsid w:val="00AB7572"/>
    <w:rsid w:val="00AB788C"/>
    <w:rsid w:val="00AB7CAA"/>
    <w:rsid w:val="00AC08D3"/>
    <w:rsid w:val="00AC15D9"/>
    <w:rsid w:val="00AC2143"/>
    <w:rsid w:val="00AC28A7"/>
    <w:rsid w:val="00AC2D4C"/>
    <w:rsid w:val="00AC2FC3"/>
    <w:rsid w:val="00AC3C8A"/>
    <w:rsid w:val="00AC3E67"/>
    <w:rsid w:val="00AC48F1"/>
    <w:rsid w:val="00AC52D9"/>
    <w:rsid w:val="00AC56ED"/>
    <w:rsid w:val="00AC621D"/>
    <w:rsid w:val="00AC702B"/>
    <w:rsid w:val="00AD0A12"/>
    <w:rsid w:val="00AD1929"/>
    <w:rsid w:val="00AD3665"/>
    <w:rsid w:val="00AD37FA"/>
    <w:rsid w:val="00AD4542"/>
    <w:rsid w:val="00AD580B"/>
    <w:rsid w:val="00AD665A"/>
    <w:rsid w:val="00AD6FF9"/>
    <w:rsid w:val="00AD77F3"/>
    <w:rsid w:val="00AD7B8F"/>
    <w:rsid w:val="00AD7F28"/>
    <w:rsid w:val="00AE020D"/>
    <w:rsid w:val="00AE08DA"/>
    <w:rsid w:val="00AE13FC"/>
    <w:rsid w:val="00AE1AA0"/>
    <w:rsid w:val="00AE3F3A"/>
    <w:rsid w:val="00AE4236"/>
    <w:rsid w:val="00AE47F2"/>
    <w:rsid w:val="00AE5421"/>
    <w:rsid w:val="00AE5765"/>
    <w:rsid w:val="00AE5C0E"/>
    <w:rsid w:val="00AE6C4D"/>
    <w:rsid w:val="00AE7AE2"/>
    <w:rsid w:val="00AF04FE"/>
    <w:rsid w:val="00AF051E"/>
    <w:rsid w:val="00AF14AC"/>
    <w:rsid w:val="00AF1BDF"/>
    <w:rsid w:val="00AF2089"/>
    <w:rsid w:val="00AF2347"/>
    <w:rsid w:val="00AF2EDF"/>
    <w:rsid w:val="00AF3EEF"/>
    <w:rsid w:val="00AF5AE0"/>
    <w:rsid w:val="00AF6FB3"/>
    <w:rsid w:val="00AF7517"/>
    <w:rsid w:val="00B0012B"/>
    <w:rsid w:val="00B0190E"/>
    <w:rsid w:val="00B025C2"/>
    <w:rsid w:val="00B041C7"/>
    <w:rsid w:val="00B04E78"/>
    <w:rsid w:val="00B071E7"/>
    <w:rsid w:val="00B07667"/>
    <w:rsid w:val="00B07C17"/>
    <w:rsid w:val="00B07D90"/>
    <w:rsid w:val="00B10353"/>
    <w:rsid w:val="00B1150B"/>
    <w:rsid w:val="00B11581"/>
    <w:rsid w:val="00B11815"/>
    <w:rsid w:val="00B11BEF"/>
    <w:rsid w:val="00B12932"/>
    <w:rsid w:val="00B12F85"/>
    <w:rsid w:val="00B13EC0"/>
    <w:rsid w:val="00B1405A"/>
    <w:rsid w:val="00B14E2C"/>
    <w:rsid w:val="00B15AE0"/>
    <w:rsid w:val="00B162E7"/>
    <w:rsid w:val="00B162ED"/>
    <w:rsid w:val="00B165CF"/>
    <w:rsid w:val="00B17153"/>
    <w:rsid w:val="00B174C3"/>
    <w:rsid w:val="00B176A4"/>
    <w:rsid w:val="00B179C7"/>
    <w:rsid w:val="00B17C4E"/>
    <w:rsid w:val="00B218AC"/>
    <w:rsid w:val="00B22E22"/>
    <w:rsid w:val="00B23305"/>
    <w:rsid w:val="00B23548"/>
    <w:rsid w:val="00B23E57"/>
    <w:rsid w:val="00B2403A"/>
    <w:rsid w:val="00B243DF"/>
    <w:rsid w:val="00B26965"/>
    <w:rsid w:val="00B270CF"/>
    <w:rsid w:val="00B27C1A"/>
    <w:rsid w:val="00B305CD"/>
    <w:rsid w:val="00B306B1"/>
    <w:rsid w:val="00B30B5D"/>
    <w:rsid w:val="00B30DAD"/>
    <w:rsid w:val="00B30EEA"/>
    <w:rsid w:val="00B3111A"/>
    <w:rsid w:val="00B313D5"/>
    <w:rsid w:val="00B31FB3"/>
    <w:rsid w:val="00B3203C"/>
    <w:rsid w:val="00B32C12"/>
    <w:rsid w:val="00B3327E"/>
    <w:rsid w:val="00B33898"/>
    <w:rsid w:val="00B33F01"/>
    <w:rsid w:val="00B3580D"/>
    <w:rsid w:val="00B363DE"/>
    <w:rsid w:val="00B36F3E"/>
    <w:rsid w:val="00B37A62"/>
    <w:rsid w:val="00B37FB6"/>
    <w:rsid w:val="00B40230"/>
    <w:rsid w:val="00B40EDA"/>
    <w:rsid w:val="00B42327"/>
    <w:rsid w:val="00B4236B"/>
    <w:rsid w:val="00B42C9D"/>
    <w:rsid w:val="00B43546"/>
    <w:rsid w:val="00B43603"/>
    <w:rsid w:val="00B445F5"/>
    <w:rsid w:val="00B4532B"/>
    <w:rsid w:val="00B46EB2"/>
    <w:rsid w:val="00B473D9"/>
    <w:rsid w:val="00B47BB9"/>
    <w:rsid w:val="00B47D1A"/>
    <w:rsid w:val="00B51F23"/>
    <w:rsid w:val="00B52581"/>
    <w:rsid w:val="00B525CB"/>
    <w:rsid w:val="00B52E18"/>
    <w:rsid w:val="00B53385"/>
    <w:rsid w:val="00B537CB"/>
    <w:rsid w:val="00B53868"/>
    <w:rsid w:val="00B53E3E"/>
    <w:rsid w:val="00B5535C"/>
    <w:rsid w:val="00B5621C"/>
    <w:rsid w:val="00B56B4F"/>
    <w:rsid w:val="00B5777D"/>
    <w:rsid w:val="00B57868"/>
    <w:rsid w:val="00B61183"/>
    <w:rsid w:val="00B61C7A"/>
    <w:rsid w:val="00B63872"/>
    <w:rsid w:val="00B63CB2"/>
    <w:rsid w:val="00B643CE"/>
    <w:rsid w:val="00B6452D"/>
    <w:rsid w:val="00B64811"/>
    <w:rsid w:val="00B64DEB"/>
    <w:rsid w:val="00B64EDB"/>
    <w:rsid w:val="00B66A26"/>
    <w:rsid w:val="00B66A9E"/>
    <w:rsid w:val="00B6750E"/>
    <w:rsid w:val="00B67669"/>
    <w:rsid w:val="00B676FB"/>
    <w:rsid w:val="00B679A1"/>
    <w:rsid w:val="00B67B81"/>
    <w:rsid w:val="00B7273F"/>
    <w:rsid w:val="00B7315F"/>
    <w:rsid w:val="00B740B1"/>
    <w:rsid w:val="00B744EF"/>
    <w:rsid w:val="00B7453A"/>
    <w:rsid w:val="00B75CDE"/>
    <w:rsid w:val="00B7700A"/>
    <w:rsid w:val="00B774FD"/>
    <w:rsid w:val="00B77F12"/>
    <w:rsid w:val="00B80451"/>
    <w:rsid w:val="00B822A7"/>
    <w:rsid w:val="00B85762"/>
    <w:rsid w:val="00B8638A"/>
    <w:rsid w:val="00B87D98"/>
    <w:rsid w:val="00B9068D"/>
    <w:rsid w:val="00B90BE1"/>
    <w:rsid w:val="00B91B8E"/>
    <w:rsid w:val="00B936F3"/>
    <w:rsid w:val="00B94EDD"/>
    <w:rsid w:val="00B96F29"/>
    <w:rsid w:val="00BA010A"/>
    <w:rsid w:val="00BA0355"/>
    <w:rsid w:val="00BA0FCE"/>
    <w:rsid w:val="00BA129F"/>
    <w:rsid w:val="00BA1474"/>
    <w:rsid w:val="00BA1AB9"/>
    <w:rsid w:val="00BA22A9"/>
    <w:rsid w:val="00BA2829"/>
    <w:rsid w:val="00BA369B"/>
    <w:rsid w:val="00BA36EE"/>
    <w:rsid w:val="00BA4319"/>
    <w:rsid w:val="00BA47FF"/>
    <w:rsid w:val="00BA4ECD"/>
    <w:rsid w:val="00BA6268"/>
    <w:rsid w:val="00BA6769"/>
    <w:rsid w:val="00BA6CAD"/>
    <w:rsid w:val="00BA6E6A"/>
    <w:rsid w:val="00BA75DE"/>
    <w:rsid w:val="00BB00EC"/>
    <w:rsid w:val="00BB061D"/>
    <w:rsid w:val="00BB07A4"/>
    <w:rsid w:val="00BB17F0"/>
    <w:rsid w:val="00BB18AE"/>
    <w:rsid w:val="00BB21F4"/>
    <w:rsid w:val="00BB2914"/>
    <w:rsid w:val="00BB29E9"/>
    <w:rsid w:val="00BB331F"/>
    <w:rsid w:val="00BB4E71"/>
    <w:rsid w:val="00BB5D66"/>
    <w:rsid w:val="00BB6307"/>
    <w:rsid w:val="00BB63FA"/>
    <w:rsid w:val="00BB658E"/>
    <w:rsid w:val="00BB7EE5"/>
    <w:rsid w:val="00BC03B3"/>
    <w:rsid w:val="00BC0CD1"/>
    <w:rsid w:val="00BC143E"/>
    <w:rsid w:val="00BC1A00"/>
    <w:rsid w:val="00BC1BFF"/>
    <w:rsid w:val="00BC25CD"/>
    <w:rsid w:val="00BC294A"/>
    <w:rsid w:val="00BC2EB7"/>
    <w:rsid w:val="00BC3513"/>
    <w:rsid w:val="00BC3633"/>
    <w:rsid w:val="00BD0148"/>
    <w:rsid w:val="00BD0442"/>
    <w:rsid w:val="00BD1EDA"/>
    <w:rsid w:val="00BD22F7"/>
    <w:rsid w:val="00BD247A"/>
    <w:rsid w:val="00BD25A7"/>
    <w:rsid w:val="00BD57DB"/>
    <w:rsid w:val="00BD5A8C"/>
    <w:rsid w:val="00BD5F83"/>
    <w:rsid w:val="00BD66F4"/>
    <w:rsid w:val="00BD75B7"/>
    <w:rsid w:val="00BD78FE"/>
    <w:rsid w:val="00BE0628"/>
    <w:rsid w:val="00BE2416"/>
    <w:rsid w:val="00BE3274"/>
    <w:rsid w:val="00BE35B3"/>
    <w:rsid w:val="00BE404A"/>
    <w:rsid w:val="00BE43C9"/>
    <w:rsid w:val="00BE5BCB"/>
    <w:rsid w:val="00BE5D41"/>
    <w:rsid w:val="00BE5F24"/>
    <w:rsid w:val="00BE62B7"/>
    <w:rsid w:val="00BE6C2C"/>
    <w:rsid w:val="00BE7664"/>
    <w:rsid w:val="00BF04BA"/>
    <w:rsid w:val="00BF17D3"/>
    <w:rsid w:val="00BF188A"/>
    <w:rsid w:val="00BF2833"/>
    <w:rsid w:val="00BF4219"/>
    <w:rsid w:val="00BF5623"/>
    <w:rsid w:val="00BF5CBC"/>
    <w:rsid w:val="00BF7DB0"/>
    <w:rsid w:val="00C005FF"/>
    <w:rsid w:val="00C00969"/>
    <w:rsid w:val="00C00BB1"/>
    <w:rsid w:val="00C01378"/>
    <w:rsid w:val="00C03ACB"/>
    <w:rsid w:val="00C03EFE"/>
    <w:rsid w:val="00C07794"/>
    <w:rsid w:val="00C07F62"/>
    <w:rsid w:val="00C113FE"/>
    <w:rsid w:val="00C11A27"/>
    <w:rsid w:val="00C1281E"/>
    <w:rsid w:val="00C149B0"/>
    <w:rsid w:val="00C15753"/>
    <w:rsid w:val="00C16697"/>
    <w:rsid w:val="00C17545"/>
    <w:rsid w:val="00C2134D"/>
    <w:rsid w:val="00C227EF"/>
    <w:rsid w:val="00C22BD5"/>
    <w:rsid w:val="00C23351"/>
    <w:rsid w:val="00C24368"/>
    <w:rsid w:val="00C251F9"/>
    <w:rsid w:val="00C252EE"/>
    <w:rsid w:val="00C25D13"/>
    <w:rsid w:val="00C260FC"/>
    <w:rsid w:val="00C26B49"/>
    <w:rsid w:val="00C30364"/>
    <w:rsid w:val="00C30E74"/>
    <w:rsid w:val="00C313BC"/>
    <w:rsid w:val="00C31EA8"/>
    <w:rsid w:val="00C3362A"/>
    <w:rsid w:val="00C33983"/>
    <w:rsid w:val="00C34032"/>
    <w:rsid w:val="00C37652"/>
    <w:rsid w:val="00C40657"/>
    <w:rsid w:val="00C407B5"/>
    <w:rsid w:val="00C431CD"/>
    <w:rsid w:val="00C435A3"/>
    <w:rsid w:val="00C43CE3"/>
    <w:rsid w:val="00C440B0"/>
    <w:rsid w:val="00C45E88"/>
    <w:rsid w:val="00C47541"/>
    <w:rsid w:val="00C47864"/>
    <w:rsid w:val="00C47AAC"/>
    <w:rsid w:val="00C500EE"/>
    <w:rsid w:val="00C50145"/>
    <w:rsid w:val="00C53019"/>
    <w:rsid w:val="00C546B8"/>
    <w:rsid w:val="00C55BA5"/>
    <w:rsid w:val="00C57C56"/>
    <w:rsid w:val="00C57E7A"/>
    <w:rsid w:val="00C607AA"/>
    <w:rsid w:val="00C61766"/>
    <w:rsid w:val="00C61D4E"/>
    <w:rsid w:val="00C636CC"/>
    <w:rsid w:val="00C63B28"/>
    <w:rsid w:val="00C643F8"/>
    <w:rsid w:val="00C64A18"/>
    <w:rsid w:val="00C65237"/>
    <w:rsid w:val="00C653FB"/>
    <w:rsid w:val="00C65C9D"/>
    <w:rsid w:val="00C65E43"/>
    <w:rsid w:val="00C6620B"/>
    <w:rsid w:val="00C6688A"/>
    <w:rsid w:val="00C6755C"/>
    <w:rsid w:val="00C718C1"/>
    <w:rsid w:val="00C73E8A"/>
    <w:rsid w:val="00C8034E"/>
    <w:rsid w:val="00C80665"/>
    <w:rsid w:val="00C80741"/>
    <w:rsid w:val="00C81223"/>
    <w:rsid w:val="00C82114"/>
    <w:rsid w:val="00C82E66"/>
    <w:rsid w:val="00C84E96"/>
    <w:rsid w:val="00C854BD"/>
    <w:rsid w:val="00C87152"/>
    <w:rsid w:val="00C87C7E"/>
    <w:rsid w:val="00C91051"/>
    <w:rsid w:val="00C917EA"/>
    <w:rsid w:val="00C91A60"/>
    <w:rsid w:val="00C9247E"/>
    <w:rsid w:val="00C940BE"/>
    <w:rsid w:val="00C95E8B"/>
    <w:rsid w:val="00C9605A"/>
    <w:rsid w:val="00C964EC"/>
    <w:rsid w:val="00C966DA"/>
    <w:rsid w:val="00C96CF7"/>
    <w:rsid w:val="00C9701D"/>
    <w:rsid w:val="00CA0620"/>
    <w:rsid w:val="00CA1BB7"/>
    <w:rsid w:val="00CA1DFC"/>
    <w:rsid w:val="00CA2ADB"/>
    <w:rsid w:val="00CA30D7"/>
    <w:rsid w:val="00CA3113"/>
    <w:rsid w:val="00CA3A50"/>
    <w:rsid w:val="00CA3BB4"/>
    <w:rsid w:val="00CA4180"/>
    <w:rsid w:val="00CA4715"/>
    <w:rsid w:val="00CA74A2"/>
    <w:rsid w:val="00CA7C99"/>
    <w:rsid w:val="00CB0879"/>
    <w:rsid w:val="00CB1BDC"/>
    <w:rsid w:val="00CB2348"/>
    <w:rsid w:val="00CB4162"/>
    <w:rsid w:val="00CB4391"/>
    <w:rsid w:val="00CB68F4"/>
    <w:rsid w:val="00CB7E83"/>
    <w:rsid w:val="00CC00CD"/>
    <w:rsid w:val="00CC0920"/>
    <w:rsid w:val="00CC0DC4"/>
    <w:rsid w:val="00CC1043"/>
    <w:rsid w:val="00CC1419"/>
    <w:rsid w:val="00CC16C3"/>
    <w:rsid w:val="00CC1E8E"/>
    <w:rsid w:val="00CC1EAA"/>
    <w:rsid w:val="00CC2B3E"/>
    <w:rsid w:val="00CC40FC"/>
    <w:rsid w:val="00CC438C"/>
    <w:rsid w:val="00CC45BF"/>
    <w:rsid w:val="00CC589F"/>
    <w:rsid w:val="00CC5E7D"/>
    <w:rsid w:val="00CC5FAA"/>
    <w:rsid w:val="00CC650B"/>
    <w:rsid w:val="00CC6B88"/>
    <w:rsid w:val="00CD0F52"/>
    <w:rsid w:val="00CD1F6D"/>
    <w:rsid w:val="00CD21D2"/>
    <w:rsid w:val="00CD2693"/>
    <w:rsid w:val="00CD281A"/>
    <w:rsid w:val="00CD32E6"/>
    <w:rsid w:val="00CD34CF"/>
    <w:rsid w:val="00CD3FD2"/>
    <w:rsid w:val="00CD5E4E"/>
    <w:rsid w:val="00CD6030"/>
    <w:rsid w:val="00CD657A"/>
    <w:rsid w:val="00CD6FDA"/>
    <w:rsid w:val="00CD7D7E"/>
    <w:rsid w:val="00CE0121"/>
    <w:rsid w:val="00CE0956"/>
    <w:rsid w:val="00CE0A8E"/>
    <w:rsid w:val="00CE21E7"/>
    <w:rsid w:val="00CE2CF1"/>
    <w:rsid w:val="00CE3BB4"/>
    <w:rsid w:val="00CE3CCF"/>
    <w:rsid w:val="00CE3DEC"/>
    <w:rsid w:val="00CE4775"/>
    <w:rsid w:val="00CE4C12"/>
    <w:rsid w:val="00CE4EFE"/>
    <w:rsid w:val="00CE5BBD"/>
    <w:rsid w:val="00CE5EB6"/>
    <w:rsid w:val="00CE5EFE"/>
    <w:rsid w:val="00CE7183"/>
    <w:rsid w:val="00CE776A"/>
    <w:rsid w:val="00CE79D0"/>
    <w:rsid w:val="00CF0724"/>
    <w:rsid w:val="00CF1774"/>
    <w:rsid w:val="00CF27F8"/>
    <w:rsid w:val="00CF2DCA"/>
    <w:rsid w:val="00CF33F3"/>
    <w:rsid w:val="00CF5C30"/>
    <w:rsid w:val="00CF5DBF"/>
    <w:rsid w:val="00CF74E8"/>
    <w:rsid w:val="00CF760B"/>
    <w:rsid w:val="00D00C29"/>
    <w:rsid w:val="00D01760"/>
    <w:rsid w:val="00D02423"/>
    <w:rsid w:val="00D02462"/>
    <w:rsid w:val="00D02736"/>
    <w:rsid w:val="00D03FDC"/>
    <w:rsid w:val="00D04ADE"/>
    <w:rsid w:val="00D054B8"/>
    <w:rsid w:val="00D07B71"/>
    <w:rsid w:val="00D07D4A"/>
    <w:rsid w:val="00D07FC4"/>
    <w:rsid w:val="00D100F4"/>
    <w:rsid w:val="00D10F1C"/>
    <w:rsid w:val="00D11160"/>
    <w:rsid w:val="00D1196A"/>
    <w:rsid w:val="00D11CEB"/>
    <w:rsid w:val="00D11DF5"/>
    <w:rsid w:val="00D12D94"/>
    <w:rsid w:val="00D133FD"/>
    <w:rsid w:val="00D13892"/>
    <w:rsid w:val="00D144D7"/>
    <w:rsid w:val="00D14BBA"/>
    <w:rsid w:val="00D166EF"/>
    <w:rsid w:val="00D16E39"/>
    <w:rsid w:val="00D177B2"/>
    <w:rsid w:val="00D17F09"/>
    <w:rsid w:val="00D21017"/>
    <w:rsid w:val="00D21334"/>
    <w:rsid w:val="00D2185D"/>
    <w:rsid w:val="00D21C7E"/>
    <w:rsid w:val="00D21FE3"/>
    <w:rsid w:val="00D220DA"/>
    <w:rsid w:val="00D221E1"/>
    <w:rsid w:val="00D223B6"/>
    <w:rsid w:val="00D225E6"/>
    <w:rsid w:val="00D22A24"/>
    <w:rsid w:val="00D23713"/>
    <w:rsid w:val="00D2522E"/>
    <w:rsid w:val="00D25709"/>
    <w:rsid w:val="00D267A0"/>
    <w:rsid w:val="00D27895"/>
    <w:rsid w:val="00D310A9"/>
    <w:rsid w:val="00D31281"/>
    <w:rsid w:val="00D318B7"/>
    <w:rsid w:val="00D31D48"/>
    <w:rsid w:val="00D331A2"/>
    <w:rsid w:val="00D334D9"/>
    <w:rsid w:val="00D3476C"/>
    <w:rsid w:val="00D34F4B"/>
    <w:rsid w:val="00D35039"/>
    <w:rsid w:val="00D3511E"/>
    <w:rsid w:val="00D369EF"/>
    <w:rsid w:val="00D373B8"/>
    <w:rsid w:val="00D37524"/>
    <w:rsid w:val="00D37619"/>
    <w:rsid w:val="00D37A35"/>
    <w:rsid w:val="00D40007"/>
    <w:rsid w:val="00D40DF8"/>
    <w:rsid w:val="00D427FB"/>
    <w:rsid w:val="00D42868"/>
    <w:rsid w:val="00D43481"/>
    <w:rsid w:val="00D436D7"/>
    <w:rsid w:val="00D4505E"/>
    <w:rsid w:val="00D4544E"/>
    <w:rsid w:val="00D461FA"/>
    <w:rsid w:val="00D46FBE"/>
    <w:rsid w:val="00D50767"/>
    <w:rsid w:val="00D514F0"/>
    <w:rsid w:val="00D55DB3"/>
    <w:rsid w:val="00D56875"/>
    <w:rsid w:val="00D56DF2"/>
    <w:rsid w:val="00D60327"/>
    <w:rsid w:val="00D60BFB"/>
    <w:rsid w:val="00D61A5A"/>
    <w:rsid w:val="00D61ACF"/>
    <w:rsid w:val="00D61C81"/>
    <w:rsid w:val="00D643A3"/>
    <w:rsid w:val="00D65156"/>
    <w:rsid w:val="00D6550B"/>
    <w:rsid w:val="00D6637B"/>
    <w:rsid w:val="00D66605"/>
    <w:rsid w:val="00D67081"/>
    <w:rsid w:val="00D67B67"/>
    <w:rsid w:val="00D67ED5"/>
    <w:rsid w:val="00D702F9"/>
    <w:rsid w:val="00D7064D"/>
    <w:rsid w:val="00D71B8E"/>
    <w:rsid w:val="00D71FCE"/>
    <w:rsid w:val="00D72332"/>
    <w:rsid w:val="00D72E9D"/>
    <w:rsid w:val="00D7355B"/>
    <w:rsid w:val="00D7365B"/>
    <w:rsid w:val="00D737D8"/>
    <w:rsid w:val="00D74178"/>
    <w:rsid w:val="00D744C2"/>
    <w:rsid w:val="00D7509A"/>
    <w:rsid w:val="00D762D6"/>
    <w:rsid w:val="00D77217"/>
    <w:rsid w:val="00D77451"/>
    <w:rsid w:val="00D8267F"/>
    <w:rsid w:val="00D82C7C"/>
    <w:rsid w:val="00D82CE5"/>
    <w:rsid w:val="00D83799"/>
    <w:rsid w:val="00D83F17"/>
    <w:rsid w:val="00D850E6"/>
    <w:rsid w:val="00D861D6"/>
    <w:rsid w:val="00D86DC5"/>
    <w:rsid w:val="00D9148F"/>
    <w:rsid w:val="00D92BBB"/>
    <w:rsid w:val="00D944DD"/>
    <w:rsid w:val="00D960C0"/>
    <w:rsid w:val="00D96E7C"/>
    <w:rsid w:val="00D96F6F"/>
    <w:rsid w:val="00DA0BD3"/>
    <w:rsid w:val="00DA1356"/>
    <w:rsid w:val="00DA18BE"/>
    <w:rsid w:val="00DA1D25"/>
    <w:rsid w:val="00DA218C"/>
    <w:rsid w:val="00DA2A01"/>
    <w:rsid w:val="00DA2B96"/>
    <w:rsid w:val="00DA41D6"/>
    <w:rsid w:val="00DA5AB1"/>
    <w:rsid w:val="00DA5B8A"/>
    <w:rsid w:val="00DA6356"/>
    <w:rsid w:val="00DA64FE"/>
    <w:rsid w:val="00DA6BA3"/>
    <w:rsid w:val="00DA7509"/>
    <w:rsid w:val="00DA77E7"/>
    <w:rsid w:val="00DB033E"/>
    <w:rsid w:val="00DB06D2"/>
    <w:rsid w:val="00DB172C"/>
    <w:rsid w:val="00DB1AE2"/>
    <w:rsid w:val="00DB2C59"/>
    <w:rsid w:val="00DB3B0B"/>
    <w:rsid w:val="00DB40E0"/>
    <w:rsid w:val="00DB45AB"/>
    <w:rsid w:val="00DB47B5"/>
    <w:rsid w:val="00DB52FA"/>
    <w:rsid w:val="00DB59DD"/>
    <w:rsid w:val="00DB5D13"/>
    <w:rsid w:val="00DB618D"/>
    <w:rsid w:val="00DB68B9"/>
    <w:rsid w:val="00DB75D6"/>
    <w:rsid w:val="00DB763A"/>
    <w:rsid w:val="00DB7B8E"/>
    <w:rsid w:val="00DB7CD8"/>
    <w:rsid w:val="00DC056E"/>
    <w:rsid w:val="00DC056F"/>
    <w:rsid w:val="00DC0BB4"/>
    <w:rsid w:val="00DC144C"/>
    <w:rsid w:val="00DC1DCA"/>
    <w:rsid w:val="00DC2A15"/>
    <w:rsid w:val="00DC3CAC"/>
    <w:rsid w:val="00DC3D1E"/>
    <w:rsid w:val="00DC4048"/>
    <w:rsid w:val="00DC5E43"/>
    <w:rsid w:val="00DC5F0C"/>
    <w:rsid w:val="00DC62A3"/>
    <w:rsid w:val="00DC62E5"/>
    <w:rsid w:val="00DC63AA"/>
    <w:rsid w:val="00DC67B0"/>
    <w:rsid w:val="00DC681B"/>
    <w:rsid w:val="00DC7F2E"/>
    <w:rsid w:val="00DD0A21"/>
    <w:rsid w:val="00DD14A5"/>
    <w:rsid w:val="00DD1DD9"/>
    <w:rsid w:val="00DD2D43"/>
    <w:rsid w:val="00DD4882"/>
    <w:rsid w:val="00DD51BC"/>
    <w:rsid w:val="00DD5670"/>
    <w:rsid w:val="00DD5955"/>
    <w:rsid w:val="00DD734A"/>
    <w:rsid w:val="00DD735D"/>
    <w:rsid w:val="00DE0938"/>
    <w:rsid w:val="00DE1016"/>
    <w:rsid w:val="00DE1175"/>
    <w:rsid w:val="00DE182A"/>
    <w:rsid w:val="00DE1B6D"/>
    <w:rsid w:val="00DE257C"/>
    <w:rsid w:val="00DE2690"/>
    <w:rsid w:val="00DE2F1D"/>
    <w:rsid w:val="00DE3119"/>
    <w:rsid w:val="00DE39B3"/>
    <w:rsid w:val="00DE3C78"/>
    <w:rsid w:val="00DE3D72"/>
    <w:rsid w:val="00DE41CD"/>
    <w:rsid w:val="00DE43DA"/>
    <w:rsid w:val="00DE5124"/>
    <w:rsid w:val="00DE5D06"/>
    <w:rsid w:val="00DE7692"/>
    <w:rsid w:val="00DE770A"/>
    <w:rsid w:val="00DF05E1"/>
    <w:rsid w:val="00DF1AF7"/>
    <w:rsid w:val="00DF236B"/>
    <w:rsid w:val="00DF35ED"/>
    <w:rsid w:val="00DF3701"/>
    <w:rsid w:val="00DF395B"/>
    <w:rsid w:val="00DF5138"/>
    <w:rsid w:val="00DF6159"/>
    <w:rsid w:val="00DF6328"/>
    <w:rsid w:val="00DF6566"/>
    <w:rsid w:val="00DF7A6C"/>
    <w:rsid w:val="00DF7F96"/>
    <w:rsid w:val="00E00827"/>
    <w:rsid w:val="00E026BB"/>
    <w:rsid w:val="00E060C4"/>
    <w:rsid w:val="00E06860"/>
    <w:rsid w:val="00E10178"/>
    <w:rsid w:val="00E1071A"/>
    <w:rsid w:val="00E125D0"/>
    <w:rsid w:val="00E13306"/>
    <w:rsid w:val="00E13AB8"/>
    <w:rsid w:val="00E13BC5"/>
    <w:rsid w:val="00E13F51"/>
    <w:rsid w:val="00E14E0D"/>
    <w:rsid w:val="00E14E3E"/>
    <w:rsid w:val="00E152E0"/>
    <w:rsid w:val="00E164E5"/>
    <w:rsid w:val="00E170F8"/>
    <w:rsid w:val="00E17401"/>
    <w:rsid w:val="00E20C03"/>
    <w:rsid w:val="00E2184C"/>
    <w:rsid w:val="00E21A8B"/>
    <w:rsid w:val="00E21FD3"/>
    <w:rsid w:val="00E2279C"/>
    <w:rsid w:val="00E231C8"/>
    <w:rsid w:val="00E23217"/>
    <w:rsid w:val="00E23B63"/>
    <w:rsid w:val="00E23C67"/>
    <w:rsid w:val="00E24218"/>
    <w:rsid w:val="00E24AB7"/>
    <w:rsid w:val="00E24CC0"/>
    <w:rsid w:val="00E25706"/>
    <w:rsid w:val="00E25CB3"/>
    <w:rsid w:val="00E27C20"/>
    <w:rsid w:val="00E304DC"/>
    <w:rsid w:val="00E30AE3"/>
    <w:rsid w:val="00E30EFF"/>
    <w:rsid w:val="00E311BA"/>
    <w:rsid w:val="00E314E6"/>
    <w:rsid w:val="00E31A9F"/>
    <w:rsid w:val="00E31D3A"/>
    <w:rsid w:val="00E32180"/>
    <w:rsid w:val="00E32AA6"/>
    <w:rsid w:val="00E32C94"/>
    <w:rsid w:val="00E32E87"/>
    <w:rsid w:val="00E33260"/>
    <w:rsid w:val="00E33A7D"/>
    <w:rsid w:val="00E33B62"/>
    <w:rsid w:val="00E35C0F"/>
    <w:rsid w:val="00E36C74"/>
    <w:rsid w:val="00E36ED1"/>
    <w:rsid w:val="00E37230"/>
    <w:rsid w:val="00E377D9"/>
    <w:rsid w:val="00E377FA"/>
    <w:rsid w:val="00E379FD"/>
    <w:rsid w:val="00E4143A"/>
    <w:rsid w:val="00E435F2"/>
    <w:rsid w:val="00E437AB"/>
    <w:rsid w:val="00E4422A"/>
    <w:rsid w:val="00E44938"/>
    <w:rsid w:val="00E44E85"/>
    <w:rsid w:val="00E45C4E"/>
    <w:rsid w:val="00E472CA"/>
    <w:rsid w:val="00E508D3"/>
    <w:rsid w:val="00E52850"/>
    <w:rsid w:val="00E52CEF"/>
    <w:rsid w:val="00E52FCE"/>
    <w:rsid w:val="00E53BEB"/>
    <w:rsid w:val="00E549E9"/>
    <w:rsid w:val="00E609BD"/>
    <w:rsid w:val="00E6136C"/>
    <w:rsid w:val="00E61D16"/>
    <w:rsid w:val="00E622FB"/>
    <w:rsid w:val="00E62F4F"/>
    <w:rsid w:val="00E631D8"/>
    <w:rsid w:val="00E63AE5"/>
    <w:rsid w:val="00E63CDB"/>
    <w:rsid w:val="00E63D0C"/>
    <w:rsid w:val="00E66B9A"/>
    <w:rsid w:val="00E6749B"/>
    <w:rsid w:val="00E67609"/>
    <w:rsid w:val="00E71A84"/>
    <w:rsid w:val="00E72B16"/>
    <w:rsid w:val="00E72FF7"/>
    <w:rsid w:val="00E737E5"/>
    <w:rsid w:val="00E74705"/>
    <w:rsid w:val="00E76729"/>
    <w:rsid w:val="00E7782E"/>
    <w:rsid w:val="00E77D59"/>
    <w:rsid w:val="00E814AA"/>
    <w:rsid w:val="00E81A62"/>
    <w:rsid w:val="00E81A75"/>
    <w:rsid w:val="00E830A2"/>
    <w:rsid w:val="00E8343C"/>
    <w:rsid w:val="00E84207"/>
    <w:rsid w:val="00E85CAC"/>
    <w:rsid w:val="00E85D4E"/>
    <w:rsid w:val="00E85ECA"/>
    <w:rsid w:val="00E867F4"/>
    <w:rsid w:val="00E86D96"/>
    <w:rsid w:val="00E913A1"/>
    <w:rsid w:val="00E91EDD"/>
    <w:rsid w:val="00E92A74"/>
    <w:rsid w:val="00E92F57"/>
    <w:rsid w:val="00E940F1"/>
    <w:rsid w:val="00E947C0"/>
    <w:rsid w:val="00E94CE5"/>
    <w:rsid w:val="00E954A3"/>
    <w:rsid w:val="00E95FB7"/>
    <w:rsid w:val="00E96C64"/>
    <w:rsid w:val="00E97541"/>
    <w:rsid w:val="00E97BC5"/>
    <w:rsid w:val="00EA0203"/>
    <w:rsid w:val="00EA1421"/>
    <w:rsid w:val="00EA22A5"/>
    <w:rsid w:val="00EA3271"/>
    <w:rsid w:val="00EA40A3"/>
    <w:rsid w:val="00EA4CA9"/>
    <w:rsid w:val="00EA5137"/>
    <w:rsid w:val="00EA572E"/>
    <w:rsid w:val="00EA5C4C"/>
    <w:rsid w:val="00EA63D2"/>
    <w:rsid w:val="00EA666F"/>
    <w:rsid w:val="00EB0DE5"/>
    <w:rsid w:val="00EB27F2"/>
    <w:rsid w:val="00EB302B"/>
    <w:rsid w:val="00EB340D"/>
    <w:rsid w:val="00EB53C4"/>
    <w:rsid w:val="00EB5921"/>
    <w:rsid w:val="00EB5CEA"/>
    <w:rsid w:val="00EB7A25"/>
    <w:rsid w:val="00EC628B"/>
    <w:rsid w:val="00EC7EFE"/>
    <w:rsid w:val="00ED068F"/>
    <w:rsid w:val="00ED149A"/>
    <w:rsid w:val="00ED1A52"/>
    <w:rsid w:val="00ED2BE0"/>
    <w:rsid w:val="00ED30B0"/>
    <w:rsid w:val="00ED41B2"/>
    <w:rsid w:val="00ED52D1"/>
    <w:rsid w:val="00ED54D6"/>
    <w:rsid w:val="00ED5626"/>
    <w:rsid w:val="00ED60DF"/>
    <w:rsid w:val="00ED7D3C"/>
    <w:rsid w:val="00EE00DA"/>
    <w:rsid w:val="00EE044A"/>
    <w:rsid w:val="00EE1009"/>
    <w:rsid w:val="00EE14A5"/>
    <w:rsid w:val="00EE22BA"/>
    <w:rsid w:val="00EE2774"/>
    <w:rsid w:val="00EE2F7B"/>
    <w:rsid w:val="00EE4B65"/>
    <w:rsid w:val="00EE4C00"/>
    <w:rsid w:val="00EE55B9"/>
    <w:rsid w:val="00EE59B5"/>
    <w:rsid w:val="00EE5A06"/>
    <w:rsid w:val="00EE5D43"/>
    <w:rsid w:val="00EF000D"/>
    <w:rsid w:val="00EF0F3E"/>
    <w:rsid w:val="00EF14B9"/>
    <w:rsid w:val="00EF21B8"/>
    <w:rsid w:val="00EF23ED"/>
    <w:rsid w:val="00EF35C2"/>
    <w:rsid w:val="00EF5227"/>
    <w:rsid w:val="00EF52E7"/>
    <w:rsid w:val="00EF57D2"/>
    <w:rsid w:val="00EF61CE"/>
    <w:rsid w:val="00EF6427"/>
    <w:rsid w:val="00EF7152"/>
    <w:rsid w:val="00EF7CD9"/>
    <w:rsid w:val="00F00E98"/>
    <w:rsid w:val="00F01A5F"/>
    <w:rsid w:val="00F02556"/>
    <w:rsid w:val="00F02C21"/>
    <w:rsid w:val="00F02F6D"/>
    <w:rsid w:val="00F048BC"/>
    <w:rsid w:val="00F04E37"/>
    <w:rsid w:val="00F05E93"/>
    <w:rsid w:val="00F05F36"/>
    <w:rsid w:val="00F068F4"/>
    <w:rsid w:val="00F07626"/>
    <w:rsid w:val="00F078DF"/>
    <w:rsid w:val="00F107DE"/>
    <w:rsid w:val="00F10CAD"/>
    <w:rsid w:val="00F10ED2"/>
    <w:rsid w:val="00F119DE"/>
    <w:rsid w:val="00F12855"/>
    <w:rsid w:val="00F12E8C"/>
    <w:rsid w:val="00F13209"/>
    <w:rsid w:val="00F1320C"/>
    <w:rsid w:val="00F1332C"/>
    <w:rsid w:val="00F13633"/>
    <w:rsid w:val="00F1486A"/>
    <w:rsid w:val="00F15490"/>
    <w:rsid w:val="00F1555A"/>
    <w:rsid w:val="00F16446"/>
    <w:rsid w:val="00F1773B"/>
    <w:rsid w:val="00F17886"/>
    <w:rsid w:val="00F20068"/>
    <w:rsid w:val="00F206D5"/>
    <w:rsid w:val="00F20726"/>
    <w:rsid w:val="00F22404"/>
    <w:rsid w:val="00F22646"/>
    <w:rsid w:val="00F22D50"/>
    <w:rsid w:val="00F22D7A"/>
    <w:rsid w:val="00F23493"/>
    <w:rsid w:val="00F246D6"/>
    <w:rsid w:val="00F249B4"/>
    <w:rsid w:val="00F249B5"/>
    <w:rsid w:val="00F254CC"/>
    <w:rsid w:val="00F25ED5"/>
    <w:rsid w:val="00F260BA"/>
    <w:rsid w:val="00F267EE"/>
    <w:rsid w:val="00F270A5"/>
    <w:rsid w:val="00F303EC"/>
    <w:rsid w:val="00F316F5"/>
    <w:rsid w:val="00F31A1D"/>
    <w:rsid w:val="00F324C0"/>
    <w:rsid w:val="00F3472E"/>
    <w:rsid w:val="00F357E7"/>
    <w:rsid w:val="00F3693B"/>
    <w:rsid w:val="00F36BB5"/>
    <w:rsid w:val="00F37157"/>
    <w:rsid w:val="00F372D2"/>
    <w:rsid w:val="00F402FD"/>
    <w:rsid w:val="00F40599"/>
    <w:rsid w:val="00F4094F"/>
    <w:rsid w:val="00F42B15"/>
    <w:rsid w:val="00F430A9"/>
    <w:rsid w:val="00F43C2D"/>
    <w:rsid w:val="00F43C80"/>
    <w:rsid w:val="00F442F0"/>
    <w:rsid w:val="00F44379"/>
    <w:rsid w:val="00F443D6"/>
    <w:rsid w:val="00F45A81"/>
    <w:rsid w:val="00F45E12"/>
    <w:rsid w:val="00F460D4"/>
    <w:rsid w:val="00F47665"/>
    <w:rsid w:val="00F5172B"/>
    <w:rsid w:val="00F52F83"/>
    <w:rsid w:val="00F5311E"/>
    <w:rsid w:val="00F5386C"/>
    <w:rsid w:val="00F53BE5"/>
    <w:rsid w:val="00F54939"/>
    <w:rsid w:val="00F552A6"/>
    <w:rsid w:val="00F5536F"/>
    <w:rsid w:val="00F555BE"/>
    <w:rsid w:val="00F5587E"/>
    <w:rsid w:val="00F55B6E"/>
    <w:rsid w:val="00F55B7B"/>
    <w:rsid w:val="00F56AE4"/>
    <w:rsid w:val="00F56CA8"/>
    <w:rsid w:val="00F56CB7"/>
    <w:rsid w:val="00F60C30"/>
    <w:rsid w:val="00F61336"/>
    <w:rsid w:val="00F62306"/>
    <w:rsid w:val="00F62861"/>
    <w:rsid w:val="00F62E7E"/>
    <w:rsid w:val="00F631BE"/>
    <w:rsid w:val="00F64EB8"/>
    <w:rsid w:val="00F65686"/>
    <w:rsid w:val="00F65850"/>
    <w:rsid w:val="00F675BE"/>
    <w:rsid w:val="00F70A57"/>
    <w:rsid w:val="00F7112F"/>
    <w:rsid w:val="00F712ED"/>
    <w:rsid w:val="00F716B8"/>
    <w:rsid w:val="00F717B7"/>
    <w:rsid w:val="00F72A15"/>
    <w:rsid w:val="00F72F33"/>
    <w:rsid w:val="00F737DB"/>
    <w:rsid w:val="00F7412B"/>
    <w:rsid w:val="00F7432F"/>
    <w:rsid w:val="00F745A5"/>
    <w:rsid w:val="00F762C6"/>
    <w:rsid w:val="00F80305"/>
    <w:rsid w:val="00F8048F"/>
    <w:rsid w:val="00F82893"/>
    <w:rsid w:val="00F83838"/>
    <w:rsid w:val="00F83FF2"/>
    <w:rsid w:val="00F842D9"/>
    <w:rsid w:val="00F84691"/>
    <w:rsid w:val="00F84899"/>
    <w:rsid w:val="00F859F0"/>
    <w:rsid w:val="00F87254"/>
    <w:rsid w:val="00F87C3E"/>
    <w:rsid w:val="00F915D0"/>
    <w:rsid w:val="00F91C32"/>
    <w:rsid w:val="00F91F95"/>
    <w:rsid w:val="00F925F7"/>
    <w:rsid w:val="00F9299C"/>
    <w:rsid w:val="00F92AB5"/>
    <w:rsid w:val="00F952F9"/>
    <w:rsid w:val="00F961C4"/>
    <w:rsid w:val="00F962BF"/>
    <w:rsid w:val="00F96794"/>
    <w:rsid w:val="00F967BB"/>
    <w:rsid w:val="00F971E7"/>
    <w:rsid w:val="00FA0BAC"/>
    <w:rsid w:val="00FA120E"/>
    <w:rsid w:val="00FA121E"/>
    <w:rsid w:val="00FA14DE"/>
    <w:rsid w:val="00FA19B8"/>
    <w:rsid w:val="00FA3AEE"/>
    <w:rsid w:val="00FA3B3B"/>
    <w:rsid w:val="00FA3E29"/>
    <w:rsid w:val="00FA4333"/>
    <w:rsid w:val="00FA4BFC"/>
    <w:rsid w:val="00FA508A"/>
    <w:rsid w:val="00FA553E"/>
    <w:rsid w:val="00FA61F3"/>
    <w:rsid w:val="00FA6D8A"/>
    <w:rsid w:val="00FB01E5"/>
    <w:rsid w:val="00FB0675"/>
    <w:rsid w:val="00FB2CA4"/>
    <w:rsid w:val="00FB33BA"/>
    <w:rsid w:val="00FB364B"/>
    <w:rsid w:val="00FB56C6"/>
    <w:rsid w:val="00FB5D8C"/>
    <w:rsid w:val="00FB6646"/>
    <w:rsid w:val="00FB6D91"/>
    <w:rsid w:val="00FB7032"/>
    <w:rsid w:val="00FB781F"/>
    <w:rsid w:val="00FC0041"/>
    <w:rsid w:val="00FC075A"/>
    <w:rsid w:val="00FC133A"/>
    <w:rsid w:val="00FC1A07"/>
    <w:rsid w:val="00FC2A34"/>
    <w:rsid w:val="00FC4C3C"/>
    <w:rsid w:val="00FC4FE8"/>
    <w:rsid w:val="00FC7795"/>
    <w:rsid w:val="00FC7C78"/>
    <w:rsid w:val="00FD0EF2"/>
    <w:rsid w:val="00FD101F"/>
    <w:rsid w:val="00FD1137"/>
    <w:rsid w:val="00FD3419"/>
    <w:rsid w:val="00FD365C"/>
    <w:rsid w:val="00FD458C"/>
    <w:rsid w:val="00FD4943"/>
    <w:rsid w:val="00FD4B00"/>
    <w:rsid w:val="00FD5759"/>
    <w:rsid w:val="00FD63FB"/>
    <w:rsid w:val="00FD699E"/>
    <w:rsid w:val="00FD6A5D"/>
    <w:rsid w:val="00FD7F5B"/>
    <w:rsid w:val="00FE08A6"/>
    <w:rsid w:val="00FE0E65"/>
    <w:rsid w:val="00FE100D"/>
    <w:rsid w:val="00FE141E"/>
    <w:rsid w:val="00FE1B89"/>
    <w:rsid w:val="00FE3617"/>
    <w:rsid w:val="00FE3CA5"/>
    <w:rsid w:val="00FE42ED"/>
    <w:rsid w:val="00FE68CC"/>
    <w:rsid w:val="00FE6B6C"/>
    <w:rsid w:val="00FE7785"/>
    <w:rsid w:val="00FE7983"/>
    <w:rsid w:val="00FF216D"/>
    <w:rsid w:val="00FF286F"/>
    <w:rsid w:val="00FF29F6"/>
    <w:rsid w:val="00FF343B"/>
    <w:rsid w:val="00FF4081"/>
    <w:rsid w:val="00FF435B"/>
    <w:rsid w:val="00FF479C"/>
    <w:rsid w:val="00FF543C"/>
    <w:rsid w:val="00FF5A12"/>
    <w:rsid w:val="00FF660C"/>
    <w:rsid w:val="00FF6E90"/>
    <w:rsid w:val="00FF755E"/>
    <w:rsid w:val="074C2AD6"/>
    <w:rsid w:val="0B1F6D6C"/>
    <w:rsid w:val="1347E4A4"/>
    <w:rsid w:val="1EB26971"/>
    <w:rsid w:val="2AEA3E2A"/>
    <w:rsid w:val="42CA2299"/>
    <w:rsid w:val="43BBE174"/>
    <w:rsid w:val="7F620054"/>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538"/>
    <w:pPr>
      <w:spacing w:after="0" w:line="240" w:lineRule="auto"/>
    </w:pPr>
    <w:rPr>
      <w:sz w:val="24"/>
      <w:lang w:val="es-MX"/>
    </w:rPr>
  </w:style>
  <w:style w:type="paragraph" w:styleId="Ttulo2">
    <w:name w:val="heading 2"/>
    <w:basedOn w:val="Normal"/>
    <w:next w:val="Normal"/>
    <w:link w:val="Ttulo2Car"/>
    <w:unhideWhenUsed/>
    <w:qFormat/>
    <w:rsid w:val="003852EA"/>
    <w:pPr>
      <w:keepNext/>
      <w:jc w:val="both"/>
      <w:outlineLvl w:val="1"/>
    </w:pPr>
    <w:rPr>
      <w:rFonts w:ascii="Century Gothic" w:eastAsia="Times New Roman" w:hAnsi="Century Gothic" w:cs="Arial"/>
      <w:b/>
      <w:sz w:val="22"/>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hAnsi="Tahoma" w:cs="Tahoma"/>
      <w:sz w:val="16"/>
      <w:szCs w:val="16"/>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rPr>
      <w:sz w:val="20"/>
      <w:szCs w:val="20"/>
    </w:rPr>
  </w:style>
  <w:style w:type="character" w:customStyle="1" w:styleId="TextocomentarioCar">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uiPriority w:val="99"/>
    <w:unhideWhenUsed/>
    <w:rsid w:val="00122B23"/>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uiPriority w:val="1"/>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
    <w:basedOn w:val="Normal"/>
    <w:link w:val="TextonotapieCar"/>
    <w:uiPriority w:val="99"/>
    <w:unhideWhenUsed/>
    <w:qFormat/>
    <w:rsid w:val="007B0854"/>
    <w:rPr>
      <w:sz w:val="20"/>
      <w:szCs w:val="20"/>
    </w:rPr>
  </w:style>
  <w:style w:type="character" w:customStyle="1" w:styleId="TextonotapieCar1">
    <w:name w:val="Texto nota pie Car1"/>
    <w:aliases w:val="Footnote Text Char Char Char Char Car,Footnote Text Cha Car,Footnote Text Char Char Char Car,FA Fußnotentext Car,FA Fuﬂnotentext Car,texto de nota al p Car"/>
    <w:basedOn w:val="Fuentedeprrafopredeter"/>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eastAsia="Times New Roman"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Footnote symbol,Footnote,Ref. de nota al pie2,Pie de pagina"/>
    <w:basedOn w:val="Fuentedeprrafopredeter"/>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013780"/>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A22A9"/>
    <w:pPr>
      <w:autoSpaceDE w:val="0"/>
      <w:autoSpaceDN w:val="0"/>
      <w:adjustRightInd w:val="0"/>
      <w:spacing w:after="0" w:line="240" w:lineRule="auto"/>
    </w:pPr>
    <w:rPr>
      <w:rFonts w:ascii="Arial" w:hAnsi="Arial" w:cs="Arial"/>
      <w:color w:val="000000"/>
      <w:sz w:val="24"/>
      <w:szCs w:val="24"/>
    </w:rPr>
  </w:style>
  <w:style w:type="character" w:styleId="Textoennegrita">
    <w:name w:val="Strong"/>
    <w:basedOn w:val="Fuentedeprrafopredeter"/>
    <w:uiPriority w:val="22"/>
    <w:qFormat/>
    <w:rsid w:val="00B9068D"/>
    <w:rPr>
      <w:b/>
      <w:bCs/>
    </w:rPr>
  </w:style>
  <w:style w:type="character" w:styleId="nfasis">
    <w:name w:val="Emphasis"/>
    <w:basedOn w:val="Fuentedeprrafopredeter"/>
    <w:uiPriority w:val="20"/>
    <w:qFormat/>
    <w:rsid w:val="00B9068D"/>
    <w:rPr>
      <w:i/>
      <w:iCs/>
    </w:rPr>
  </w:style>
  <w:style w:type="character" w:styleId="Textodelmarcadordeposicin">
    <w:name w:val="Placeholder Text"/>
    <w:basedOn w:val="Fuentedeprrafopredeter"/>
    <w:uiPriority w:val="99"/>
    <w:semiHidden/>
    <w:rsid w:val="00E24218"/>
    <w:rPr>
      <w:color w:val="808080"/>
    </w:rPr>
  </w:style>
  <w:style w:type="character" w:customStyle="1" w:styleId="Mencinsinresolver1">
    <w:name w:val="Mención sin resolver1"/>
    <w:basedOn w:val="Fuentedeprrafopredeter"/>
    <w:uiPriority w:val="99"/>
    <w:semiHidden/>
    <w:unhideWhenUsed/>
    <w:rsid w:val="007E61BB"/>
    <w:rPr>
      <w:color w:val="605E5C"/>
      <w:shd w:val="clear" w:color="auto" w:fill="E1DFDD"/>
    </w:rPr>
  </w:style>
  <w:style w:type="paragraph" w:customStyle="1" w:styleId="textocaja">
    <w:name w:val="textocaja"/>
    <w:basedOn w:val="Normal"/>
    <w:rsid w:val="006726C7"/>
    <w:pPr>
      <w:spacing w:before="100" w:beforeAutospacing="1" w:after="100" w:afterAutospacing="1"/>
      <w:jc w:val="both"/>
    </w:pPr>
    <w:rPr>
      <w:rFonts w:ascii="Georgia" w:eastAsia="Times New Roman" w:hAnsi="Georgia" w:cs="Times New Roman"/>
      <w:sz w:val="22"/>
      <w:lang w:val="es-CO" w:eastAsia="es-CO"/>
    </w:rPr>
  </w:style>
  <w:style w:type="paragraph" w:styleId="Textoindependiente">
    <w:name w:val="Body Text"/>
    <w:basedOn w:val="Normal"/>
    <w:link w:val="TextoindependienteCar"/>
    <w:uiPriority w:val="99"/>
    <w:unhideWhenUsed/>
    <w:rsid w:val="00F02556"/>
    <w:pPr>
      <w:spacing w:before="100" w:beforeAutospacing="1" w:after="100" w:afterAutospacing="1"/>
    </w:pPr>
    <w:rPr>
      <w:rFonts w:ascii="Times New Roman" w:eastAsia="Times New Roman" w:hAnsi="Times New Roman" w:cs="Times New Roman"/>
      <w:szCs w:val="24"/>
      <w:lang w:val="es-CO" w:eastAsia="es-CO"/>
    </w:rPr>
  </w:style>
  <w:style w:type="character" w:customStyle="1" w:styleId="TextoindependienteCar">
    <w:name w:val="Texto independiente Car"/>
    <w:basedOn w:val="Fuentedeprrafopredeter"/>
    <w:link w:val="Textoindependiente"/>
    <w:uiPriority w:val="99"/>
    <w:rsid w:val="00F02556"/>
    <w:rPr>
      <w:rFonts w:ascii="Times New Roman" w:eastAsia="Times New Roman" w:hAnsi="Times New Roman" w:cs="Times New Roman"/>
      <w:sz w:val="24"/>
      <w:szCs w:val="24"/>
      <w:lang w:eastAsia="es-CO"/>
    </w:rPr>
  </w:style>
  <w:style w:type="character" w:customStyle="1" w:styleId="Ttulo2Car">
    <w:name w:val="Título 2 Car"/>
    <w:basedOn w:val="Fuentedeprrafopredeter"/>
    <w:link w:val="Ttulo2"/>
    <w:rsid w:val="003852EA"/>
    <w:rPr>
      <w:rFonts w:ascii="Century Gothic" w:eastAsia="Times New Roman" w:hAnsi="Century Gothic" w:cs="Arial"/>
      <w:b/>
      <w:lang w:val="es-ES" w:eastAsia="es-ES"/>
    </w:rPr>
  </w:style>
  <w:style w:type="character" w:customStyle="1" w:styleId="nacep">
    <w:name w:val="n_acep"/>
    <w:basedOn w:val="Fuentedeprrafopredeter"/>
    <w:rsid w:val="001436C6"/>
  </w:style>
  <w:style w:type="character" w:customStyle="1" w:styleId="u">
    <w:name w:val="u"/>
    <w:basedOn w:val="Fuentedeprrafopredeter"/>
    <w:rsid w:val="000508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98662">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4835325">
      <w:bodyDiv w:val="1"/>
      <w:marLeft w:val="0"/>
      <w:marRight w:val="0"/>
      <w:marTop w:val="0"/>
      <w:marBottom w:val="0"/>
      <w:divBdr>
        <w:top w:val="none" w:sz="0" w:space="0" w:color="auto"/>
        <w:left w:val="none" w:sz="0" w:space="0" w:color="auto"/>
        <w:bottom w:val="none" w:sz="0" w:space="0" w:color="auto"/>
        <w:right w:val="none" w:sz="0" w:space="0" w:color="auto"/>
      </w:divBdr>
    </w:div>
    <w:div w:id="74859803">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246116411">
      <w:bodyDiv w:val="1"/>
      <w:marLeft w:val="0"/>
      <w:marRight w:val="0"/>
      <w:marTop w:val="0"/>
      <w:marBottom w:val="0"/>
      <w:divBdr>
        <w:top w:val="none" w:sz="0" w:space="0" w:color="auto"/>
        <w:left w:val="none" w:sz="0" w:space="0" w:color="auto"/>
        <w:bottom w:val="none" w:sz="0" w:space="0" w:color="auto"/>
        <w:right w:val="none" w:sz="0" w:space="0" w:color="auto"/>
      </w:divBdr>
    </w:div>
    <w:div w:id="263342648">
      <w:bodyDiv w:val="1"/>
      <w:marLeft w:val="0"/>
      <w:marRight w:val="0"/>
      <w:marTop w:val="0"/>
      <w:marBottom w:val="0"/>
      <w:divBdr>
        <w:top w:val="none" w:sz="0" w:space="0" w:color="auto"/>
        <w:left w:val="none" w:sz="0" w:space="0" w:color="auto"/>
        <w:bottom w:val="none" w:sz="0" w:space="0" w:color="auto"/>
        <w:right w:val="none" w:sz="0" w:space="0" w:color="auto"/>
      </w:divBdr>
    </w:div>
    <w:div w:id="265843300">
      <w:bodyDiv w:val="1"/>
      <w:marLeft w:val="0"/>
      <w:marRight w:val="0"/>
      <w:marTop w:val="0"/>
      <w:marBottom w:val="0"/>
      <w:divBdr>
        <w:top w:val="none" w:sz="0" w:space="0" w:color="auto"/>
        <w:left w:val="none" w:sz="0" w:space="0" w:color="auto"/>
        <w:bottom w:val="none" w:sz="0" w:space="0" w:color="auto"/>
        <w:right w:val="none" w:sz="0" w:space="0" w:color="auto"/>
      </w:divBdr>
    </w:div>
    <w:div w:id="276451897">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313341538">
      <w:bodyDiv w:val="1"/>
      <w:marLeft w:val="0"/>
      <w:marRight w:val="0"/>
      <w:marTop w:val="0"/>
      <w:marBottom w:val="0"/>
      <w:divBdr>
        <w:top w:val="none" w:sz="0" w:space="0" w:color="auto"/>
        <w:left w:val="none" w:sz="0" w:space="0" w:color="auto"/>
        <w:bottom w:val="none" w:sz="0" w:space="0" w:color="auto"/>
        <w:right w:val="none" w:sz="0" w:space="0" w:color="auto"/>
      </w:divBdr>
    </w:div>
    <w:div w:id="422992938">
      <w:bodyDiv w:val="1"/>
      <w:marLeft w:val="0"/>
      <w:marRight w:val="0"/>
      <w:marTop w:val="0"/>
      <w:marBottom w:val="0"/>
      <w:divBdr>
        <w:top w:val="none" w:sz="0" w:space="0" w:color="auto"/>
        <w:left w:val="none" w:sz="0" w:space="0" w:color="auto"/>
        <w:bottom w:val="none" w:sz="0" w:space="0" w:color="auto"/>
        <w:right w:val="none" w:sz="0" w:space="0" w:color="auto"/>
      </w:divBdr>
    </w:div>
    <w:div w:id="497505712">
      <w:bodyDiv w:val="1"/>
      <w:marLeft w:val="0"/>
      <w:marRight w:val="0"/>
      <w:marTop w:val="0"/>
      <w:marBottom w:val="0"/>
      <w:divBdr>
        <w:top w:val="none" w:sz="0" w:space="0" w:color="auto"/>
        <w:left w:val="none" w:sz="0" w:space="0" w:color="auto"/>
        <w:bottom w:val="none" w:sz="0" w:space="0" w:color="auto"/>
        <w:right w:val="none" w:sz="0" w:space="0" w:color="auto"/>
      </w:divBdr>
    </w:div>
    <w:div w:id="502742086">
      <w:bodyDiv w:val="1"/>
      <w:marLeft w:val="0"/>
      <w:marRight w:val="0"/>
      <w:marTop w:val="0"/>
      <w:marBottom w:val="0"/>
      <w:divBdr>
        <w:top w:val="none" w:sz="0" w:space="0" w:color="auto"/>
        <w:left w:val="none" w:sz="0" w:space="0" w:color="auto"/>
        <w:bottom w:val="none" w:sz="0" w:space="0" w:color="auto"/>
        <w:right w:val="none" w:sz="0" w:space="0" w:color="auto"/>
      </w:divBdr>
    </w:div>
    <w:div w:id="507796221">
      <w:bodyDiv w:val="1"/>
      <w:marLeft w:val="0"/>
      <w:marRight w:val="0"/>
      <w:marTop w:val="0"/>
      <w:marBottom w:val="0"/>
      <w:divBdr>
        <w:top w:val="none" w:sz="0" w:space="0" w:color="auto"/>
        <w:left w:val="none" w:sz="0" w:space="0" w:color="auto"/>
        <w:bottom w:val="none" w:sz="0" w:space="0" w:color="auto"/>
        <w:right w:val="none" w:sz="0" w:space="0" w:color="auto"/>
      </w:divBdr>
    </w:div>
    <w:div w:id="529994347">
      <w:bodyDiv w:val="1"/>
      <w:marLeft w:val="0"/>
      <w:marRight w:val="0"/>
      <w:marTop w:val="0"/>
      <w:marBottom w:val="0"/>
      <w:divBdr>
        <w:top w:val="none" w:sz="0" w:space="0" w:color="auto"/>
        <w:left w:val="none" w:sz="0" w:space="0" w:color="auto"/>
        <w:bottom w:val="none" w:sz="0" w:space="0" w:color="auto"/>
        <w:right w:val="none" w:sz="0" w:space="0" w:color="auto"/>
      </w:divBdr>
    </w:div>
    <w:div w:id="533346310">
      <w:bodyDiv w:val="1"/>
      <w:marLeft w:val="0"/>
      <w:marRight w:val="0"/>
      <w:marTop w:val="0"/>
      <w:marBottom w:val="0"/>
      <w:divBdr>
        <w:top w:val="none" w:sz="0" w:space="0" w:color="auto"/>
        <w:left w:val="none" w:sz="0" w:space="0" w:color="auto"/>
        <w:bottom w:val="none" w:sz="0" w:space="0" w:color="auto"/>
        <w:right w:val="none" w:sz="0" w:space="0" w:color="auto"/>
      </w:divBdr>
    </w:div>
    <w:div w:id="611329338">
      <w:bodyDiv w:val="1"/>
      <w:marLeft w:val="0"/>
      <w:marRight w:val="0"/>
      <w:marTop w:val="0"/>
      <w:marBottom w:val="0"/>
      <w:divBdr>
        <w:top w:val="none" w:sz="0" w:space="0" w:color="auto"/>
        <w:left w:val="none" w:sz="0" w:space="0" w:color="auto"/>
        <w:bottom w:val="none" w:sz="0" w:space="0" w:color="auto"/>
        <w:right w:val="none" w:sz="0" w:space="0" w:color="auto"/>
      </w:divBdr>
    </w:div>
    <w:div w:id="665206259">
      <w:bodyDiv w:val="1"/>
      <w:marLeft w:val="0"/>
      <w:marRight w:val="0"/>
      <w:marTop w:val="0"/>
      <w:marBottom w:val="0"/>
      <w:divBdr>
        <w:top w:val="none" w:sz="0" w:space="0" w:color="auto"/>
        <w:left w:val="none" w:sz="0" w:space="0" w:color="auto"/>
        <w:bottom w:val="none" w:sz="0" w:space="0" w:color="auto"/>
        <w:right w:val="none" w:sz="0" w:space="0" w:color="auto"/>
      </w:divBdr>
    </w:div>
    <w:div w:id="800271304">
      <w:bodyDiv w:val="1"/>
      <w:marLeft w:val="0"/>
      <w:marRight w:val="0"/>
      <w:marTop w:val="0"/>
      <w:marBottom w:val="0"/>
      <w:divBdr>
        <w:top w:val="none" w:sz="0" w:space="0" w:color="auto"/>
        <w:left w:val="none" w:sz="0" w:space="0" w:color="auto"/>
        <w:bottom w:val="none" w:sz="0" w:space="0" w:color="auto"/>
        <w:right w:val="none" w:sz="0" w:space="0" w:color="auto"/>
      </w:divBdr>
    </w:div>
    <w:div w:id="864951089">
      <w:bodyDiv w:val="1"/>
      <w:marLeft w:val="0"/>
      <w:marRight w:val="0"/>
      <w:marTop w:val="0"/>
      <w:marBottom w:val="0"/>
      <w:divBdr>
        <w:top w:val="none" w:sz="0" w:space="0" w:color="auto"/>
        <w:left w:val="none" w:sz="0" w:space="0" w:color="auto"/>
        <w:bottom w:val="none" w:sz="0" w:space="0" w:color="auto"/>
        <w:right w:val="none" w:sz="0" w:space="0" w:color="auto"/>
      </w:divBdr>
    </w:div>
    <w:div w:id="866063594">
      <w:bodyDiv w:val="1"/>
      <w:marLeft w:val="0"/>
      <w:marRight w:val="0"/>
      <w:marTop w:val="0"/>
      <w:marBottom w:val="0"/>
      <w:divBdr>
        <w:top w:val="none" w:sz="0" w:space="0" w:color="auto"/>
        <w:left w:val="none" w:sz="0" w:space="0" w:color="auto"/>
        <w:bottom w:val="none" w:sz="0" w:space="0" w:color="auto"/>
        <w:right w:val="none" w:sz="0" w:space="0" w:color="auto"/>
      </w:divBdr>
    </w:div>
    <w:div w:id="910194243">
      <w:bodyDiv w:val="1"/>
      <w:marLeft w:val="0"/>
      <w:marRight w:val="0"/>
      <w:marTop w:val="0"/>
      <w:marBottom w:val="0"/>
      <w:divBdr>
        <w:top w:val="none" w:sz="0" w:space="0" w:color="auto"/>
        <w:left w:val="none" w:sz="0" w:space="0" w:color="auto"/>
        <w:bottom w:val="none" w:sz="0" w:space="0" w:color="auto"/>
        <w:right w:val="none" w:sz="0" w:space="0" w:color="auto"/>
      </w:divBdr>
    </w:div>
    <w:div w:id="932587630">
      <w:bodyDiv w:val="1"/>
      <w:marLeft w:val="0"/>
      <w:marRight w:val="0"/>
      <w:marTop w:val="0"/>
      <w:marBottom w:val="0"/>
      <w:divBdr>
        <w:top w:val="none" w:sz="0" w:space="0" w:color="auto"/>
        <w:left w:val="none" w:sz="0" w:space="0" w:color="auto"/>
        <w:bottom w:val="none" w:sz="0" w:space="0" w:color="auto"/>
        <w:right w:val="none" w:sz="0" w:space="0" w:color="auto"/>
      </w:divBdr>
    </w:div>
    <w:div w:id="938833628">
      <w:bodyDiv w:val="1"/>
      <w:marLeft w:val="0"/>
      <w:marRight w:val="0"/>
      <w:marTop w:val="0"/>
      <w:marBottom w:val="0"/>
      <w:divBdr>
        <w:top w:val="none" w:sz="0" w:space="0" w:color="auto"/>
        <w:left w:val="none" w:sz="0" w:space="0" w:color="auto"/>
        <w:bottom w:val="none" w:sz="0" w:space="0" w:color="auto"/>
        <w:right w:val="none" w:sz="0" w:space="0" w:color="auto"/>
      </w:divBdr>
      <w:divsChild>
        <w:div w:id="1461878712">
          <w:marLeft w:val="0"/>
          <w:marRight w:val="0"/>
          <w:marTop w:val="0"/>
          <w:marBottom w:val="0"/>
          <w:divBdr>
            <w:top w:val="none" w:sz="0" w:space="0" w:color="auto"/>
            <w:left w:val="none" w:sz="0" w:space="0" w:color="auto"/>
            <w:bottom w:val="none" w:sz="0" w:space="0" w:color="auto"/>
            <w:right w:val="none" w:sz="0" w:space="0" w:color="auto"/>
          </w:divBdr>
          <w:divsChild>
            <w:div w:id="1491286849">
              <w:marLeft w:val="0"/>
              <w:marRight w:val="0"/>
              <w:marTop w:val="0"/>
              <w:marBottom w:val="0"/>
              <w:divBdr>
                <w:top w:val="none" w:sz="0" w:space="0" w:color="auto"/>
                <w:left w:val="none" w:sz="0" w:space="0" w:color="auto"/>
                <w:bottom w:val="none" w:sz="0" w:space="0" w:color="auto"/>
                <w:right w:val="none" w:sz="0" w:space="0" w:color="auto"/>
              </w:divBdr>
            </w:div>
          </w:divsChild>
        </w:div>
        <w:div w:id="752750107">
          <w:marLeft w:val="0"/>
          <w:marRight w:val="0"/>
          <w:marTop w:val="0"/>
          <w:marBottom w:val="0"/>
          <w:divBdr>
            <w:top w:val="none" w:sz="0" w:space="0" w:color="auto"/>
            <w:left w:val="none" w:sz="0" w:space="0" w:color="auto"/>
            <w:bottom w:val="none" w:sz="0" w:space="0" w:color="auto"/>
            <w:right w:val="none" w:sz="0" w:space="0" w:color="auto"/>
          </w:divBdr>
          <w:divsChild>
            <w:div w:id="172887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667858">
      <w:bodyDiv w:val="1"/>
      <w:marLeft w:val="0"/>
      <w:marRight w:val="0"/>
      <w:marTop w:val="0"/>
      <w:marBottom w:val="0"/>
      <w:divBdr>
        <w:top w:val="none" w:sz="0" w:space="0" w:color="auto"/>
        <w:left w:val="none" w:sz="0" w:space="0" w:color="auto"/>
        <w:bottom w:val="none" w:sz="0" w:space="0" w:color="auto"/>
        <w:right w:val="none" w:sz="0" w:space="0" w:color="auto"/>
      </w:divBdr>
    </w:div>
    <w:div w:id="1022705072">
      <w:bodyDiv w:val="1"/>
      <w:marLeft w:val="0"/>
      <w:marRight w:val="0"/>
      <w:marTop w:val="0"/>
      <w:marBottom w:val="0"/>
      <w:divBdr>
        <w:top w:val="none" w:sz="0" w:space="0" w:color="auto"/>
        <w:left w:val="none" w:sz="0" w:space="0" w:color="auto"/>
        <w:bottom w:val="none" w:sz="0" w:space="0" w:color="auto"/>
        <w:right w:val="none" w:sz="0" w:space="0" w:color="auto"/>
      </w:divBdr>
    </w:div>
    <w:div w:id="1043210650">
      <w:bodyDiv w:val="1"/>
      <w:marLeft w:val="0"/>
      <w:marRight w:val="0"/>
      <w:marTop w:val="0"/>
      <w:marBottom w:val="0"/>
      <w:divBdr>
        <w:top w:val="none" w:sz="0" w:space="0" w:color="auto"/>
        <w:left w:val="none" w:sz="0" w:space="0" w:color="auto"/>
        <w:bottom w:val="none" w:sz="0" w:space="0" w:color="auto"/>
        <w:right w:val="none" w:sz="0" w:space="0" w:color="auto"/>
      </w:divBdr>
    </w:div>
    <w:div w:id="1194270620">
      <w:bodyDiv w:val="1"/>
      <w:marLeft w:val="0"/>
      <w:marRight w:val="0"/>
      <w:marTop w:val="0"/>
      <w:marBottom w:val="0"/>
      <w:divBdr>
        <w:top w:val="none" w:sz="0" w:space="0" w:color="auto"/>
        <w:left w:val="none" w:sz="0" w:space="0" w:color="auto"/>
        <w:bottom w:val="none" w:sz="0" w:space="0" w:color="auto"/>
        <w:right w:val="none" w:sz="0" w:space="0" w:color="auto"/>
      </w:divBdr>
    </w:div>
    <w:div w:id="1203790537">
      <w:bodyDiv w:val="1"/>
      <w:marLeft w:val="0"/>
      <w:marRight w:val="0"/>
      <w:marTop w:val="0"/>
      <w:marBottom w:val="0"/>
      <w:divBdr>
        <w:top w:val="none" w:sz="0" w:space="0" w:color="auto"/>
        <w:left w:val="none" w:sz="0" w:space="0" w:color="auto"/>
        <w:bottom w:val="none" w:sz="0" w:space="0" w:color="auto"/>
        <w:right w:val="none" w:sz="0" w:space="0" w:color="auto"/>
      </w:divBdr>
    </w:div>
    <w:div w:id="122240695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391883079">
      <w:bodyDiv w:val="1"/>
      <w:marLeft w:val="0"/>
      <w:marRight w:val="0"/>
      <w:marTop w:val="0"/>
      <w:marBottom w:val="0"/>
      <w:divBdr>
        <w:top w:val="none" w:sz="0" w:space="0" w:color="auto"/>
        <w:left w:val="none" w:sz="0" w:space="0" w:color="auto"/>
        <w:bottom w:val="none" w:sz="0" w:space="0" w:color="auto"/>
        <w:right w:val="none" w:sz="0" w:space="0" w:color="auto"/>
      </w:divBdr>
    </w:div>
    <w:div w:id="1442795265">
      <w:bodyDiv w:val="1"/>
      <w:marLeft w:val="0"/>
      <w:marRight w:val="0"/>
      <w:marTop w:val="0"/>
      <w:marBottom w:val="0"/>
      <w:divBdr>
        <w:top w:val="none" w:sz="0" w:space="0" w:color="auto"/>
        <w:left w:val="none" w:sz="0" w:space="0" w:color="auto"/>
        <w:bottom w:val="none" w:sz="0" w:space="0" w:color="auto"/>
        <w:right w:val="none" w:sz="0" w:space="0" w:color="auto"/>
      </w:divBdr>
    </w:div>
    <w:div w:id="1571689379">
      <w:bodyDiv w:val="1"/>
      <w:marLeft w:val="0"/>
      <w:marRight w:val="0"/>
      <w:marTop w:val="0"/>
      <w:marBottom w:val="0"/>
      <w:divBdr>
        <w:top w:val="none" w:sz="0" w:space="0" w:color="auto"/>
        <w:left w:val="none" w:sz="0" w:space="0" w:color="auto"/>
        <w:bottom w:val="none" w:sz="0" w:space="0" w:color="auto"/>
        <w:right w:val="none" w:sz="0" w:space="0" w:color="auto"/>
      </w:divBdr>
    </w:div>
    <w:div w:id="1583639110">
      <w:bodyDiv w:val="1"/>
      <w:marLeft w:val="0"/>
      <w:marRight w:val="0"/>
      <w:marTop w:val="0"/>
      <w:marBottom w:val="0"/>
      <w:divBdr>
        <w:top w:val="none" w:sz="0" w:space="0" w:color="auto"/>
        <w:left w:val="none" w:sz="0" w:space="0" w:color="auto"/>
        <w:bottom w:val="none" w:sz="0" w:space="0" w:color="auto"/>
        <w:right w:val="none" w:sz="0" w:space="0" w:color="auto"/>
      </w:divBdr>
    </w:div>
    <w:div w:id="1620137380">
      <w:bodyDiv w:val="1"/>
      <w:marLeft w:val="0"/>
      <w:marRight w:val="0"/>
      <w:marTop w:val="0"/>
      <w:marBottom w:val="0"/>
      <w:divBdr>
        <w:top w:val="none" w:sz="0" w:space="0" w:color="auto"/>
        <w:left w:val="none" w:sz="0" w:space="0" w:color="auto"/>
        <w:bottom w:val="none" w:sz="0" w:space="0" w:color="auto"/>
        <w:right w:val="none" w:sz="0" w:space="0" w:color="auto"/>
      </w:divBdr>
    </w:div>
    <w:div w:id="1624069791">
      <w:bodyDiv w:val="1"/>
      <w:marLeft w:val="0"/>
      <w:marRight w:val="0"/>
      <w:marTop w:val="0"/>
      <w:marBottom w:val="0"/>
      <w:divBdr>
        <w:top w:val="none" w:sz="0" w:space="0" w:color="auto"/>
        <w:left w:val="none" w:sz="0" w:space="0" w:color="auto"/>
        <w:bottom w:val="none" w:sz="0" w:space="0" w:color="auto"/>
        <w:right w:val="none" w:sz="0" w:space="0" w:color="auto"/>
      </w:divBdr>
    </w:div>
    <w:div w:id="1697383940">
      <w:bodyDiv w:val="1"/>
      <w:marLeft w:val="0"/>
      <w:marRight w:val="0"/>
      <w:marTop w:val="0"/>
      <w:marBottom w:val="0"/>
      <w:divBdr>
        <w:top w:val="none" w:sz="0" w:space="0" w:color="auto"/>
        <w:left w:val="none" w:sz="0" w:space="0" w:color="auto"/>
        <w:bottom w:val="none" w:sz="0" w:space="0" w:color="auto"/>
        <w:right w:val="none" w:sz="0" w:space="0" w:color="auto"/>
      </w:divBdr>
    </w:div>
    <w:div w:id="1713915516">
      <w:bodyDiv w:val="1"/>
      <w:marLeft w:val="0"/>
      <w:marRight w:val="0"/>
      <w:marTop w:val="0"/>
      <w:marBottom w:val="0"/>
      <w:divBdr>
        <w:top w:val="none" w:sz="0" w:space="0" w:color="auto"/>
        <w:left w:val="none" w:sz="0" w:space="0" w:color="auto"/>
        <w:bottom w:val="none" w:sz="0" w:space="0" w:color="auto"/>
        <w:right w:val="none" w:sz="0" w:space="0" w:color="auto"/>
      </w:divBdr>
    </w:div>
    <w:div w:id="1724866852">
      <w:bodyDiv w:val="1"/>
      <w:marLeft w:val="0"/>
      <w:marRight w:val="0"/>
      <w:marTop w:val="0"/>
      <w:marBottom w:val="0"/>
      <w:divBdr>
        <w:top w:val="none" w:sz="0" w:space="0" w:color="auto"/>
        <w:left w:val="none" w:sz="0" w:space="0" w:color="auto"/>
        <w:bottom w:val="none" w:sz="0" w:space="0" w:color="auto"/>
        <w:right w:val="none" w:sz="0" w:space="0" w:color="auto"/>
      </w:divBdr>
    </w:div>
    <w:div w:id="1821995934">
      <w:bodyDiv w:val="1"/>
      <w:marLeft w:val="0"/>
      <w:marRight w:val="0"/>
      <w:marTop w:val="0"/>
      <w:marBottom w:val="0"/>
      <w:divBdr>
        <w:top w:val="none" w:sz="0" w:space="0" w:color="auto"/>
        <w:left w:val="none" w:sz="0" w:space="0" w:color="auto"/>
        <w:bottom w:val="none" w:sz="0" w:space="0" w:color="auto"/>
        <w:right w:val="none" w:sz="0" w:space="0" w:color="auto"/>
      </w:divBdr>
    </w:div>
    <w:div w:id="1997493031">
      <w:bodyDiv w:val="1"/>
      <w:marLeft w:val="0"/>
      <w:marRight w:val="0"/>
      <w:marTop w:val="0"/>
      <w:marBottom w:val="0"/>
      <w:divBdr>
        <w:top w:val="none" w:sz="0" w:space="0" w:color="auto"/>
        <w:left w:val="none" w:sz="0" w:space="0" w:color="auto"/>
        <w:bottom w:val="none" w:sz="0" w:space="0" w:color="auto"/>
        <w:right w:val="none" w:sz="0" w:space="0" w:color="auto"/>
      </w:divBdr>
    </w:div>
    <w:div w:id="2030905743">
      <w:bodyDiv w:val="1"/>
      <w:marLeft w:val="0"/>
      <w:marRight w:val="0"/>
      <w:marTop w:val="0"/>
      <w:marBottom w:val="0"/>
      <w:divBdr>
        <w:top w:val="none" w:sz="0" w:space="0" w:color="auto"/>
        <w:left w:val="none" w:sz="0" w:space="0" w:color="auto"/>
        <w:bottom w:val="none" w:sz="0" w:space="0" w:color="auto"/>
        <w:right w:val="none" w:sz="0" w:space="0" w:color="auto"/>
      </w:divBdr>
    </w:div>
    <w:div w:id="2114087025">
      <w:bodyDiv w:val="1"/>
      <w:marLeft w:val="0"/>
      <w:marRight w:val="0"/>
      <w:marTop w:val="0"/>
      <w:marBottom w:val="0"/>
      <w:divBdr>
        <w:top w:val="none" w:sz="0" w:space="0" w:color="auto"/>
        <w:left w:val="none" w:sz="0" w:space="0" w:color="auto"/>
        <w:bottom w:val="none" w:sz="0" w:space="0" w:color="auto"/>
        <w:right w:val="none" w:sz="0" w:space="0" w:color="auto"/>
      </w:divBdr>
    </w:div>
    <w:div w:id="2115712201">
      <w:bodyDiv w:val="1"/>
      <w:marLeft w:val="0"/>
      <w:marRight w:val="0"/>
      <w:marTop w:val="0"/>
      <w:marBottom w:val="0"/>
      <w:divBdr>
        <w:top w:val="none" w:sz="0" w:space="0" w:color="auto"/>
        <w:left w:val="none" w:sz="0" w:space="0" w:color="auto"/>
        <w:bottom w:val="none" w:sz="0" w:space="0" w:color="auto"/>
        <w:right w:val="none" w:sz="0" w:space="0" w:color="auto"/>
      </w:divBdr>
    </w:div>
    <w:div w:id="2127656506">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9373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www.lexbase.biz/lexbase/normas/leyes/2007/L1150de2007.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A3A6EDF5-9A06-4E14-A15A-2F478443E046}">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614999BC-70C4-4ADC-BA80-5E4FC1BBAD4D}">
  <ds:schemaRefs>
    <ds:schemaRef ds:uri="http://schemas.openxmlformats.org/officeDocument/2006/bibliography"/>
  </ds:schemaRefs>
</ds:datastoreItem>
</file>

<file path=customXml/itemProps4.xml><?xml version="1.0" encoding="utf-8"?>
<ds:datastoreItem xmlns:ds="http://schemas.openxmlformats.org/officeDocument/2006/customXml" ds:itemID="{E26CA4AC-E74A-4CBE-B729-4F11810D6150}"/>
</file>

<file path=docProps/app.xml><?xml version="1.0" encoding="utf-8"?>
<Properties xmlns="http://schemas.openxmlformats.org/officeDocument/2006/extended-properties" xmlns:vt="http://schemas.openxmlformats.org/officeDocument/2006/docPropsVTypes">
  <Template>Respuesta a consultas</Template>
  <TotalTime>19</TotalTime>
  <Pages>22</Pages>
  <Words>8597</Words>
  <Characters>47289</Characters>
  <Application>Microsoft Office Word</Application>
  <DocSecurity>0</DocSecurity>
  <Lines>394</Lines>
  <Paragraphs>111</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55775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CCE</cp:lastModifiedBy>
  <cp:revision>12</cp:revision>
  <cp:lastPrinted>2020-01-30T15:05:00Z</cp:lastPrinted>
  <dcterms:created xsi:type="dcterms:W3CDTF">2021-10-11T22:29:00Z</dcterms:created>
  <dcterms:modified xsi:type="dcterms:W3CDTF">2021-12-14T15:06:00Z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