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A0D0F5" w14:textId="79DBDD34" w:rsidR="00D9457C" w:rsidRPr="00A32529" w:rsidRDefault="00904CD9" w:rsidP="00FE0395">
      <w:pPr>
        <w:spacing w:after="0" w:line="240" w:lineRule="auto"/>
        <w:jc w:val="right"/>
        <w:rPr>
          <w:rFonts w:ascii="Arial" w:eastAsia="Calibri" w:hAnsi="Arial" w:cs="Arial"/>
          <w:b/>
          <w:bCs/>
          <w:sz w:val="20"/>
          <w:szCs w:val="20"/>
          <w:lang w:val="es-CO"/>
        </w:rPr>
      </w:pPr>
      <w:bookmarkStart w:id="0" w:name="_Hlk29890381"/>
      <w:bookmarkEnd w:id="0"/>
      <w:r w:rsidRPr="00A32529">
        <w:rPr>
          <w:rFonts w:ascii="Arial" w:eastAsia="Times New Roman" w:hAnsi="Arial" w:cs="Arial"/>
          <w:b/>
          <w:bCs/>
          <w:sz w:val="20"/>
          <w:szCs w:val="20"/>
          <w:lang w:val="es-CO" w:eastAsia="es-ES"/>
        </w:rPr>
        <w:t>CCE-DES-FM-17</w:t>
      </w:r>
    </w:p>
    <w:p w14:paraId="3B922040" w14:textId="77777777" w:rsidR="00FE0395" w:rsidRDefault="00FE0395" w:rsidP="00FE0395">
      <w:pPr>
        <w:spacing w:after="0" w:line="240" w:lineRule="auto"/>
        <w:rPr>
          <w:rFonts w:ascii="Arial" w:eastAsia="Calibri" w:hAnsi="Arial" w:cs="Arial"/>
          <w:b/>
          <w:sz w:val="22"/>
        </w:rPr>
      </w:pPr>
    </w:p>
    <w:p w14:paraId="77009C38" w14:textId="7AB20EB7" w:rsidR="00432C5F" w:rsidRPr="002D0C62" w:rsidRDefault="00432C5F" w:rsidP="009273B1">
      <w:pPr>
        <w:spacing w:after="0" w:line="240" w:lineRule="auto"/>
        <w:rPr>
          <w:rFonts w:ascii="Arial" w:eastAsia="Calibri" w:hAnsi="Arial" w:cs="Arial"/>
          <w:b/>
          <w:sz w:val="22"/>
        </w:rPr>
      </w:pPr>
      <w:r w:rsidRPr="00BD3639">
        <w:rPr>
          <w:rFonts w:ascii="Arial" w:eastAsia="Calibri" w:hAnsi="Arial" w:cs="Arial"/>
          <w:b/>
          <w:sz w:val="22"/>
        </w:rPr>
        <w:t xml:space="preserve">LEY DE GARANTÍAS ELECTORALES ─ </w:t>
      </w:r>
      <w:r w:rsidR="007130EA" w:rsidRPr="00BD3639">
        <w:rPr>
          <w:rFonts w:ascii="Arial" w:eastAsia="Calibri" w:hAnsi="Arial" w:cs="Arial"/>
          <w:b/>
          <w:sz w:val="22"/>
        </w:rPr>
        <w:t xml:space="preserve">Definición – </w:t>
      </w:r>
      <w:r w:rsidRPr="00BD3639">
        <w:rPr>
          <w:rFonts w:ascii="Arial" w:eastAsia="Calibri" w:hAnsi="Arial" w:cs="Arial"/>
          <w:b/>
          <w:sz w:val="22"/>
        </w:rPr>
        <w:t xml:space="preserve">Finalidad </w:t>
      </w:r>
    </w:p>
    <w:p w14:paraId="6FEC1D00" w14:textId="77777777" w:rsidR="00FE0395" w:rsidRPr="00462726" w:rsidRDefault="00FE0395">
      <w:pPr>
        <w:spacing w:after="0" w:line="240" w:lineRule="auto"/>
        <w:rPr>
          <w:rFonts w:ascii="Arial" w:eastAsia="Calibri" w:hAnsi="Arial" w:cs="Arial"/>
          <w:b/>
          <w:sz w:val="22"/>
        </w:rPr>
      </w:pPr>
    </w:p>
    <w:p w14:paraId="5F872A57" w14:textId="4A1334D6" w:rsidR="00B346CC" w:rsidRDefault="002A55BF">
      <w:pPr>
        <w:spacing w:after="0" w:line="240" w:lineRule="auto"/>
        <w:rPr>
          <w:rFonts w:ascii="Arial" w:eastAsia="Calibri" w:hAnsi="Arial" w:cs="Arial"/>
          <w:sz w:val="20"/>
          <w:szCs w:val="20"/>
        </w:rPr>
      </w:pPr>
      <w:r w:rsidRPr="00BD3639">
        <w:rPr>
          <w:rFonts w:ascii="Arial" w:eastAsia="Calibri" w:hAnsi="Arial" w:cs="Arial"/>
          <w:sz w:val="20"/>
          <w:szCs w:val="20"/>
        </w:rPr>
        <w:t>L</w:t>
      </w:r>
      <w:r w:rsidR="00B346CC" w:rsidRPr="00BD3639">
        <w:rPr>
          <w:rFonts w:ascii="Arial" w:eastAsia="Calibri" w:hAnsi="Arial" w:cs="Arial"/>
          <w:sz w:val="20"/>
          <w:szCs w:val="20"/>
        </w:rPr>
        <w:t>a Ley 996 de 2005 se suma al andamiaje de orden constitucional y legal que se ha ocupado de evitar la injerencia inadecuada de intereses particulares en el ejercicio de la función pública, respecto a su finalidad, en la Gaceta</w:t>
      </w:r>
      <w:r w:rsidR="00802D30" w:rsidRPr="00BD3639">
        <w:rPr>
          <w:rFonts w:ascii="Arial" w:eastAsia="Calibri" w:hAnsi="Arial" w:cs="Arial"/>
          <w:sz w:val="20"/>
          <w:szCs w:val="20"/>
        </w:rPr>
        <w:t xml:space="preserve"> del Congreso de la República</w:t>
      </w:r>
      <w:r w:rsidR="00B346CC" w:rsidRPr="00BD3639">
        <w:rPr>
          <w:rFonts w:ascii="Arial" w:eastAsia="Calibri" w:hAnsi="Arial" w:cs="Arial"/>
          <w:sz w:val="20"/>
          <w:szCs w:val="20"/>
        </w:rPr>
        <w:t xml:space="preserve"> No. 71 del 2005 se observa que tiene como propósito evitar cua</w:t>
      </w:r>
      <w:r w:rsidR="00C01713" w:rsidRPr="00BD3639">
        <w:rPr>
          <w:rFonts w:ascii="Arial" w:eastAsia="Calibri" w:hAnsi="Arial" w:cs="Arial"/>
          <w:sz w:val="20"/>
          <w:szCs w:val="20"/>
        </w:rPr>
        <w:t>lquier tipo de arbitrariedad,</w:t>
      </w:r>
      <w:r w:rsidR="00B346CC" w:rsidRPr="00BD3639">
        <w:rPr>
          <w:rFonts w:ascii="Arial" w:eastAsia="Calibri" w:hAnsi="Arial" w:cs="Arial"/>
          <w:sz w:val="20"/>
          <w:szCs w:val="20"/>
        </w:rPr>
        <w:t xml:space="preserve"> ventaja</w:t>
      </w:r>
      <w:r w:rsidR="00C01713" w:rsidRPr="00BD3639">
        <w:rPr>
          <w:rFonts w:ascii="Arial" w:eastAsia="Calibri" w:hAnsi="Arial" w:cs="Arial"/>
          <w:sz w:val="20"/>
          <w:szCs w:val="20"/>
        </w:rPr>
        <w:t xml:space="preserve"> injustificada, </w:t>
      </w:r>
      <w:r w:rsidR="00B346CC" w:rsidRPr="00BD3639">
        <w:rPr>
          <w:rFonts w:ascii="Arial" w:eastAsia="Calibri" w:hAnsi="Arial" w:cs="Arial"/>
          <w:sz w:val="20"/>
          <w:szCs w:val="20"/>
        </w:rPr>
        <w:t xml:space="preserve"> uso irregular de los recursos del Estado en las campañas o falta de garantías en la elección presidencial,  introduciendo en el ordenamiento jurídico limitaciones para realizar nombramientos, postulaciones, contrataciones o cualquier otro tipo de actividad que implique destinación de recursos públicos bajo el devenir propio de las entidades estatales.</w:t>
      </w:r>
    </w:p>
    <w:p w14:paraId="37AB5460" w14:textId="77777777" w:rsidR="00081E50" w:rsidRPr="003D2137" w:rsidRDefault="00081E50">
      <w:pPr>
        <w:spacing w:after="0" w:line="240" w:lineRule="auto"/>
        <w:rPr>
          <w:rFonts w:ascii="Arial" w:eastAsia="Calibri" w:hAnsi="Arial" w:cs="Arial"/>
          <w:sz w:val="22"/>
        </w:rPr>
      </w:pPr>
    </w:p>
    <w:p w14:paraId="5DF6B8B8" w14:textId="73F031F0" w:rsidR="00081E50" w:rsidRPr="003D2137" w:rsidRDefault="00081E50">
      <w:pPr>
        <w:spacing w:after="0" w:line="240" w:lineRule="auto"/>
        <w:rPr>
          <w:rFonts w:ascii="Arial" w:eastAsia="Calibri" w:hAnsi="Arial" w:cs="Arial"/>
          <w:b/>
          <w:sz w:val="22"/>
        </w:rPr>
      </w:pPr>
      <w:r w:rsidRPr="003D2137">
        <w:rPr>
          <w:rFonts w:ascii="Arial" w:eastAsia="Calibri" w:hAnsi="Arial" w:cs="Arial"/>
          <w:b/>
          <w:sz w:val="22"/>
        </w:rPr>
        <w:t xml:space="preserve">LEY DE GARANTÍAS ‒ Restricciones para elecciones </w:t>
      </w:r>
      <w:r w:rsidR="009273B1">
        <w:rPr>
          <w:rFonts w:ascii="Arial" w:eastAsia="Calibri" w:hAnsi="Arial" w:cs="Arial"/>
          <w:b/>
          <w:sz w:val="22"/>
        </w:rPr>
        <w:t>–</w:t>
      </w:r>
      <w:r w:rsidRPr="003D2137">
        <w:rPr>
          <w:rFonts w:ascii="Arial" w:eastAsia="Calibri" w:hAnsi="Arial" w:cs="Arial"/>
          <w:b/>
          <w:sz w:val="22"/>
        </w:rPr>
        <w:t xml:space="preserve"> </w:t>
      </w:r>
      <w:r w:rsidR="009273B1">
        <w:rPr>
          <w:rFonts w:ascii="Arial" w:eastAsia="Calibri" w:hAnsi="Arial" w:cs="Arial"/>
          <w:b/>
          <w:sz w:val="22"/>
        </w:rPr>
        <w:t>P</w:t>
      </w:r>
      <w:r w:rsidRPr="003D2137">
        <w:rPr>
          <w:rFonts w:ascii="Arial" w:eastAsia="Calibri" w:hAnsi="Arial" w:cs="Arial"/>
          <w:b/>
          <w:sz w:val="22"/>
        </w:rPr>
        <w:t>residenciales</w:t>
      </w:r>
      <w:r w:rsidR="009273B1">
        <w:rPr>
          <w:rFonts w:ascii="Arial" w:eastAsia="Calibri" w:hAnsi="Arial" w:cs="Arial"/>
          <w:b/>
          <w:sz w:val="22"/>
        </w:rPr>
        <w:t xml:space="preserve"> </w:t>
      </w:r>
      <w:r w:rsidRPr="003D2137">
        <w:rPr>
          <w:rFonts w:ascii="Arial" w:eastAsia="Calibri" w:hAnsi="Arial" w:cs="Arial"/>
          <w:b/>
          <w:sz w:val="22"/>
        </w:rPr>
        <w:t xml:space="preserve">– </w:t>
      </w:r>
      <w:r w:rsidR="009273B1">
        <w:rPr>
          <w:rFonts w:ascii="Arial" w:eastAsia="Times New Roman" w:hAnsi="Arial" w:cs="Arial"/>
          <w:b/>
          <w:bCs/>
          <w:color w:val="000000"/>
          <w:sz w:val="22"/>
          <w:lang w:eastAsia="es-CO"/>
        </w:rPr>
        <w:t>C</w:t>
      </w:r>
      <w:r w:rsidRPr="003D2137">
        <w:rPr>
          <w:rFonts w:ascii="Arial" w:eastAsia="Times New Roman" w:hAnsi="Arial" w:cs="Arial"/>
          <w:b/>
          <w:bCs/>
          <w:color w:val="000000"/>
          <w:sz w:val="22"/>
          <w:lang w:eastAsia="es-CO"/>
        </w:rPr>
        <w:t xml:space="preserve">argos de elección popular  </w:t>
      </w:r>
    </w:p>
    <w:p w14:paraId="5D1956F7" w14:textId="77777777" w:rsidR="00081E50" w:rsidRPr="003E15E5" w:rsidRDefault="00081E50">
      <w:pPr>
        <w:spacing w:after="0" w:line="240" w:lineRule="auto"/>
        <w:rPr>
          <w:rFonts w:ascii="Arial" w:eastAsia="Calibri" w:hAnsi="Arial" w:cs="Arial"/>
          <w:bCs/>
          <w:sz w:val="20"/>
          <w:szCs w:val="20"/>
        </w:rPr>
      </w:pPr>
    </w:p>
    <w:p w14:paraId="5A4DBC7E" w14:textId="198FA2B5" w:rsidR="00081E50" w:rsidRPr="00081E50" w:rsidRDefault="00081E50">
      <w:pPr>
        <w:spacing w:after="0" w:line="240" w:lineRule="auto"/>
        <w:rPr>
          <w:rFonts w:ascii="Arial" w:eastAsia="Times New Roman" w:hAnsi="Arial" w:cs="Arial"/>
          <w:bCs/>
          <w:color w:val="000000"/>
          <w:sz w:val="20"/>
          <w:szCs w:val="20"/>
          <w:lang w:eastAsia="es-CO"/>
        </w:rPr>
      </w:pPr>
      <w:r w:rsidRPr="003E15E5">
        <w:rPr>
          <w:rFonts w:ascii="Arial" w:eastAsia="Calibri" w:hAnsi="Arial" w:cs="Arial"/>
          <w:bCs/>
          <w:sz w:val="20"/>
          <w:szCs w:val="20"/>
        </w:rPr>
        <w:t xml:space="preserve">En cuanto a la restricción especial para las elecciones presidenciales, queda prohibida la contratación directa por parte de todos los entes del Estado, salvo las excepciones legales existentes, así lo señala </w:t>
      </w:r>
      <w:r w:rsidR="006D5176" w:rsidRPr="003E15E5">
        <w:rPr>
          <w:rFonts w:ascii="Arial" w:eastAsia="Calibri" w:hAnsi="Arial" w:cs="Arial"/>
          <w:bCs/>
          <w:sz w:val="20"/>
          <w:szCs w:val="20"/>
        </w:rPr>
        <w:t>el artículo</w:t>
      </w:r>
      <w:r w:rsidRPr="003E15E5">
        <w:rPr>
          <w:rFonts w:ascii="Arial" w:eastAsia="Calibri" w:hAnsi="Arial" w:cs="Arial"/>
          <w:bCs/>
          <w:sz w:val="20"/>
          <w:szCs w:val="20"/>
        </w:rPr>
        <w:t xml:space="preserve"> 33 de la Ley 996 de 2005</w:t>
      </w:r>
      <w:r w:rsidR="00B24E87">
        <w:rPr>
          <w:rFonts w:ascii="Arial" w:eastAsia="Calibri" w:hAnsi="Arial" w:cs="Arial"/>
          <w:bCs/>
          <w:sz w:val="20"/>
          <w:szCs w:val="20"/>
        </w:rPr>
        <w:t>. A</w:t>
      </w:r>
      <w:r w:rsidRPr="003E15E5">
        <w:rPr>
          <w:rFonts w:ascii="Arial" w:eastAsia="Calibri" w:hAnsi="Arial" w:cs="Arial"/>
          <w:bCs/>
          <w:sz w:val="20"/>
          <w:szCs w:val="20"/>
        </w:rPr>
        <w:t xml:space="preserve"> dicha prohibición se </w:t>
      </w:r>
      <w:r w:rsidRPr="003E15E5">
        <w:rPr>
          <w:rFonts w:ascii="Arial" w:eastAsia="Times New Roman" w:hAnsi="Arial" w:cs="Arial"/>
          <w:bCs/>
          <w:color w:val="000000"/>
          <w:sz w:val="20"/>
          <w:szCs w:val="20"/>
          <w:lang w:eastAsia="es-CO"/>
        </w:rPr>
        <w:t xml:space="preserve">suman las previstas para los comicios a cargos de elección popular, </w:t>
      </w:r>
      <w:r w:rsidR="00B24E87">
        <w:rPr>
          <w:rFonts w:ascii="Arial" w:eastAsia="Times New Roman" w:hAnsi="Arial" w:cs="Arial"/>
          <w:bCs/>
          <w:color w:val="000000"/>
          <w:sz w:val="20"/>
          <w:szCs w:val="20"/>
          <w:lang w:eastAsia="es-CO"/>
        </w:rPr>
        <w:t>consagradas en</w:t>
      </w:r>
      <w:r w:rsidRPr="00081E50">
        <w:rPr>
          <w:rFonts w:ascii="Arial" w:eastAsia="Times New Roman" w:hAnsi="Arial" w:cs="Arial"/>
          <w:bCs/>
          <w:color w:val="000000"/>
          <w:sz w:val="20"/>
          <w:szCs w:val="20"/>
          <w:lang w:eastAsia="es-CO"/>
        </w:rPr>
        <w:t xml:space="preserve"> el parágrafo del artículo 38 </w:t>
      </w:r>
      <w:proofErr w:type="spellStart"/>
      <w:r w:rsidR="00B24E87">
        <w:rPr>
          <w:rFonts w:ascii="Arial" w:eastAsia="Times New Roman" w:hAnsi="Arial" w:cs="Arial"/>
          <w:bCs/>
          <w:color w:val="000000"/>
          <w:sz w:val="20"/>
          <w:szCs w:val="20"/>
          <w:lang w:eastAsia="es-CO"/>
        </w:rPr>
        <w:t>ibídem</w:t>
      </w:r>
      <w:proofErr w:type="spellEnd"/>
      <w:r w:rsidR="00B24E87">
        <w:rPr>
          <w:rFonts w:ascii="Arial" w:eastAsia="Times New Roman" w:hAnsi="Arial" w:cs="Arial"/>
          <w:bCs/>
          <w:color w:val="000000"/>
          <w:sz w:val="20"/>
          <w:szCs w:val="20"/>
          <w:lang w:eastAsia="es-CO"/>
        </w:rPr>
        <w:t>, que</w:t>
      </w:r>
      <w:r w:rsidRPr="00081E50">
        <w:rPr>
          <w:rFonts w:ascii="Arial" w:eastAsia="Times New Roman" w:hAnsi="Arial" w:cs="Arial"/>
          <w:bCs/>
          <w:color w:val="000000"/>
          <w:sz w:val="20"/>
          <w:szCs w:val="20"/>
          <w:lang w:eastAsia="es-CO"/>
        </w:rPr>
        <w:t xml:space="preserve"> establece la prohibición para gobernadores, alcaldes, secretarios, gerentes y directores de entidades de orden municipal, departamental o distrital, para celebrar convenios o contratos interadministrativos para la ejecución de recursos públicos</w:t>
      </w:r>
      <w:r w:rsidR="00B70169">
        <w:rPr>
          <w:rFonts w:ascii="Arial" w:eastAsia="Times New Roman" w:hAnsi="Arial" w:cs="Arial"/>
          <w:bCs/>
          <w:color w:val="000000"/>
          <w:sz w:val="20"/>
          <w:szCs w:val="20"/>
          <w:lang w:eastAsia="es-CO"/>
        </w:rPr>
        <w:t>.</w:t>
      </w:r>
    </w:p>
    <w:p w14:paraId="7345109A" w14:textId="77777777" w:rsidR="00081E50" w:rsidRPr="00081E50" w:rsidRDefault="00081E50">
      <w:pPr>
        <w:spacing w:after="0" w:line="240" w:lineRule="auto"/>
        <w:rPr>
          <w:rFonts w:ascii="Arial" w:eastAsia="Times New Roman" w:hAnsi="Arial" w:cs="Arial"/>
          <w:bCs/>
          <w:color w:val="000000"/>
          <w:sz w:val="20"/>
          <w:szCs w:val="20"/>
          <w:lang w:eastAsia="es-CO"/>
        </w:rPr>
      </w:pPr>
    </w:p>
    <w:p w14:paraId="3B9AD430" w14:textId="3661A9C9" w:rsidR="00081E50" w:rsidRPr="00081E50" w:rsidRDefault="00081E50">
      <w:pPr>
        <w:spacing w:after="0" w:line="240" w:lineRule="auto"/>
        <w:rPr>
          <w:rFonts w:ascii="Arial" w:eastAsia="Calibri" w:hAnsi="Arial" w:cs="Arial"/>
          <w:bCs/>
          <w:sz w:val="20"/>
          <w:szCs w:val="20"/>
        </w:rPr>
      </w:pPr>
      <w:r w:rsidRPr="00081E50">
        <w:rPr>
          <w:rFonts w:ascii="Arial" w:eastAsia="Calibri" w:hAnsi="Arial" w:cs="Arial"/>
          <w:bCs/>
          <w:sz w:val="20"/>
          <w:szCs w:val="20"/>
        </w:rPr>
        <w:t>En ambos casos la Ley se aplicará durante los cuatro (4) meses anteriores a las elecciones</w:t>
      </w:r>
      <w:r w:rsidR="00B24E87">
        <w:rPr>
          <w:rFonts w:ascii="Arial" w:eastAsia="Calibri" w:hAnsi="Arial" w:cs="Arial"/>
          <w:bCs/>
          <w:sz w:val="20"/>
          <w:szCs w:val="20"/>
        </w:rPr>
        <w:t>,</w:t>
      </w:r>
      <w:r w:rsidRPr="00081E50">
        <w:rPr>
          <w:rFonts w:ascii="Arial" w:eastAsia="Calibri" w:hAnsi="Arial" w:cs="Arial"/>
          <w:bCs/>
          <w:sz w:val="20"/>
          <w:szCs w:val="20"/>
        </w:rPr>
        <w:t xml:space="preserve"> y en </w:t>
      </w:r>
      <w:r w:rsidR="00B24E87">
        <w:rPr>
          <w:rFonts w:ascii="Arial" w:eastAsia="Calibri" w:hAnsi="Arial" w:cs="Arial"/>
          <w:bCs/>
          <w:sz w:val="20"/>
          <w:szCs w:val="20"/>
        </w:rPr>
        <w:t>los comicios presidenciales,</w:t>
      </w:r>
      <w:r w:rsidRPr="00081E50">
        <w:rPr>
          <w:rFonts w:ascii="Arial" w:eastAsia="Calibri" w:hAnsi="Arial" w:cs="Arial"/>
          <w:bCs/>
          <w:sz w:val="20"/>
          <w:szCs w:val="20"/>
        </w:rPr>
        <w:t xml:space="preserve"> hasta la realización de la elección en la segunda vuelta, coincidiendo con la delimitación temporal señalada para la campaña política.</w:t>
      </w:r>
    </w:p>
    <w:p w14:paraId="42D0C3DC" w14:textId="77777777" w:rsidR="00081E50" w:rsidRDefault="00081E50">
      <w:pPr>
        <w:spacing w:after="0" w:line="240" w:lineRule="auto"/>
        <w:rPr>
          <w:rFonts w:ascii="Arial" w:eastAsia="Calibri" w:hAnsi="Arial" w:cs="Arial"/>
          <w:sz w:val="20"/>
          <w:szCs w:val="20"/>
        </w:rPr>
      </w:pPr>
    </w:p>
    <w:p w14:paraId="73B00DC8" w14:textId="5EF05AC0" w:rsidR="002A1B62" w:rsidRPr="002A1B62" w:rsidRDefault="0024781B">
      <w:pPr>
        <w:spacing w:after="0" w:line="240" w:lineRule="auto"/>
        <w:rPr>
          <w:rFonts w:ascii="Arial" w:eastAsia="Calibri" w:hAnsi="Arial" w:cs="Arial"/>
          <w:b/>
          <w:sz w:val="22"/>
        </w:rPr>
      </w:pPr>
      <w:r>
        <w:rPr>
          <w:rFonts w:ascii="Arial" w:eastAsia="Calibri" w:hAnsi="Arial" w:cs="Arial"/>
          <w:b/>
          <w:sz w:val="22"/>
        </w:rPr>
        <w:t>E</w:t>
      </w:r>
      <w:r w:rsidRPr="002A1B62">
        <w:rPr>
          <w:rFonts w:ascii="Arial" w:eastAsia="Calibri" w:hAnsi="Arial" w:cs="Arial"/>
          <w:b/>
          <w:sz w:val="22"/>
        </w:rPr>
        <w:t xml:space="preserve">MERGENCIA SANITARIA </w:t>
      </w:r>
      <w:r>
        <w:rPr>
          <w:rFonts w:ascii="Arial" w:eastAsia="Calibri" w:hAnsi="Arial" w:cs="Arial"/>
          <w:b/>
          <w:sz w:val="22"/>
        </w:rPr>
        <w:t>–</w:t>
      </w:r>
      <w:r w:rsidRPr="0024781B">
        <w:rPr>
          <w:rFonts w:ascii="Arial" w:eastAsia="Calibri" w:hAnsi="Arial" w:cs="Arial"/>
          <w:b/>
          <w:sz w:val="22"/>
        </w:rPr>
        <w:t xml:space="preserve"> </w:t>
      </w:r>
      <w:r w:rsidRPr="002A1B62">
        <w:rPr>
          <w:rFonts w:ascii="Arial" w:eastAsia="Calibri" w:hAnsi="Arial" w:cs="Arial"/>
          <w:b/>
          <w:sz w:val="22"/>
        </w:rPr>
        <w:t>COVID-19</w:t>
      </w:r>
      <w:r>
        <w:rPr>
          <w:rFonts w:ascii="Arial" w:eastAsia="Calibri" w:hAnsi="Arial" w:cs="Arial"/>
          <w:b/>
          <w:sz w:val="22"/>
        </w:rPr>
        <w:t xml:space="preserve"> –</w:t>
      </w:r>
      <w:r w:rsidR="002A1B62" w:rsidRPr="002A1B62">
        <w:rPr>
          <w:rFonts w:ascii="Arial" w:eastAsia="Calibri" w:hAnsi="Arial" w:cs="Arial"/>
          <w:b/>
          <w:sz w:val="22"/>
        </w:rPr>
        <w:t xml:space="preserve"> </w:t>
      </w:r>
      <w:r w:rsidR="009273B1">
        <w:rPr>
          <w:rFonts w:ascii="Arial" w:eastAsia="Calibri" w:hAnsi="Arial" w:cs="Arial"/>
          <w:b/>
          <w:sz w:val="22"/>
        </w:rPr>
        <w:t>E</w:t>
      </w:r>
      <w:r w:rsidR="002A1B62" w:rsidRPr="002A1B62">
        <w:rPr>
          <w:rFonts w:ascii="Arial" w:eastAsia="Calibri" w:hAnsi="Arial" w:cs="Arial"/>
          <w:b/>
          <w:sz w:val="22"/>
        </w:rPr>
        <w:t xml:space="preserve">mergencia económica social y ecológica </w:t>
      </w:r>
      <w:proofErr w:type="gramStart"/>
      <w:r w:rsidR="009273B1">
        <w:rPr>
          <w:rFonts w:ascii="Arial" w:eastAsia="Calibri" w:hAnsi="Arial" w:cs="Arial"/>
          <w:b/>
          <w:sz w:val="22"/>
        </w:rPr>
        <w:t>–</w:t>
      </w:r>
      <w:r w:rsidR="002A1B62" w:rsidRPr="002A1B62">
        <w:rPr>
          <w:rFonts w:ascii="Arial" w:eastAsia="Calibri" w:hAnsi="Arial" w:cs="Arial"/>
          <w:b/>
          <w:sz w:val="22"/>
        </w:rPr>
        <w:t xml:space="preserve">  </w:t>
      </w:r>
      <w:r>
        <w:rPr>
          <w:rFonts w:ascii="Arial" w:eastAsia="Calibri" w:hAnsi="Arial" w:cs="Arial"/>
          <w:b/>
          <w:sz w:val="22"/>
        </w:rPr>
        <w:t>Normativa</w:t>
      </w:r>
      <w:proofErr w:type="gramEnd"/>
    </w:p>
    <w:p w14:paraId="377450DE" w14:textId="77777777" w:rsidR="002A1B62" w:rsidRPr="00081E50" w:rsidRDefault="002A1B62">
      <w:pPr>
        <w:spacing w:after="0" w:line="240" w:lineRule="auto"/>
        <w:rPr>
          <w:rFonts w:ascii="Arial" w:eastAsia="Calibri" w:hAnsi="Arial" w:cs="Arial"/>
          <w:sz w:val="20"/>
          <w:szCs w:val="20"/>
        </w:rPr>
      </w:pPr>
    </w:p>
    <w:p w14:paraId="5A81C030" w14:textId="4EC4C8D2" w:rsidR="00444D60" w:rsidRPr="001E1D30" w:rsidRDefault="002A1B62">
      <w:pPr>
        <w:pStyle w:val="Textoindependiente"/>
        <w:spacing w:after="0" w:line="240" w:lineRule="auto"/>
        <w:rPr>
          <w:sz w:val="20"/>
          <w:szCs w:val="20"/>
          <w:lang w:val="es-MX"/>
        </w:rPr>
      </w:pPr>
      <w:r w:rsidRPr="001E1D30">
        <w:rPr>
          <w:sz w:val="20"/>
          <w:szCs w:val="20"/>
          <w:lang w:val="es-MX"/>
        </w:rPr>
        <w:t xml:space="preserve">Teniendo en cuenta la difícil situación mundial en materia de salud, causada por la pandemia del virus COVID-19, declarada así por la Organización Mundial de la Salud (OMS) el 11 de marzo de 2020, con antelación y durante la presencia del virus en el territorio nacional,  el gobierno nacional y otras autoridades han expedido normas destinadas a prevenir el contagio o, por lo menos, a disminuir la velocidad y el incremento del brote, que iniciaron con la declaratoria del estado de emergencia económica, social y ecológica, mediante los  Decretos Legislativos 417  y 637 de 2020, dicho estado de excepción tuvo vigencia hasta el 4 de junio de 2020. Posteriormente, se declaró la emergencia sanitaria como medida administrativa para mitigar y atender la situación actual, mediante la Resolución 385 del 2020, para regir entre el 12 de marzo y el 30 de mayo de </w:t>
      </w:r>
      <w:proofErr w:type="gramStart"/>
      <w:r w:rsidRPr="001E1D30">
        <w:rPr>
          <w:sz w:val="20"/>
          <w:szCs w:val="20"/>
          <w:lang w:val="es-MX"/>
        </w:rPr>
        <w:t xml:space="preserve">2020, </w:t>
      </w:r>
      <w:r w:rsidR="00076771">
        <w:rPr>
          <w:sz w:val="20"/>
          <w:szCs w:val="20"/>
          <w:lang w:val="es-MX"/>
        </w:rPr>
        <w:t xml:space="preserve"> y</w:t>
      </w:r>
      <w:proofErr w:type="gramEnd"/>
      <w:r w:rsidR="00076771">
        <w:rPr>
          <w:sz w:val="20"/>
          <w:szCs w:val="20"/>
          <w:lang w:val="es-MX"/>
        </w:rPr>
        <w:t xml:space="preserve"> </w:t>
      </w:r>
      <w:r w:rsidR="00076771" w:rsidRPr="00076771">
        <w:rPr>
          <w:sz w:val="20"/>
          <w:szCs w:val="20"/>
          <w:lang w:val="es-MX"/>
        </w:rPr>
        <w:t xml:space="preserve">se ha venido prorrogando ininterrumpidamente mediante diferentes actos administrativos. En </w:t>
      </w:r>
      <w:proofErr w:type="gramStart"/>
      <w:r w:rsidR="00076771" w:rsidRPr="00076771">
        <w:rPr>
          <w:sz w:val="20"/>
          <w:szCs w:val="20"/>
          <w:lang w:val="es-MX"/>
        </w:rPr>
        <w:t>efecto,  el</w:t>
      </w:r>
      <w:proofErr w:type="gramEnd"/>
      <w:r w:rsidR="00076771" w:rsidRPr="00076771">
        <w:rPr>
          <w:sz w:val="20"/>
          <w:szCs w:val="20"/>
          <w:lang w:val="es-MX"/>
        </w:rPr>
        <w:t xml:space="preserve"> 26 de mayo de 2021 se expidió la Resolución 738 «Por la cual se prorroga la emergencia sanitaria por el nuevo coronavirus COVID-19, declarada mediante Resolución 385 de 2020 y prorrogada por las Resoluciones 844, 1462 y 2230 de 2020 y 222 de 2021», mediante las cuales se extendió la emergencia sanitaria hasta el 31 de agosto de 2021. De lo anterior se desprende que aún nos encontramos ante un estado de emergencia sanitaria.</w:t>
      </w:r>
    </w:p>
    <w:p w14:paraId="05EED0FA" w14:textId="77777777" w:rsidR="00444D60" w:rsidRPr="001E1D30" w:rsidRDefault="00444D60">
      <w:pPr>
        <w:pStyle w:val="Textoindependiente"/>
        <w:spacing w:after="0" w:line="240" w:lineRule="auto"/>
        <w:rPr>
          <w:sz w:val="20"/>
          <w:szCs w:val="20"/>
          <w:lang w:val="es-MX"/>
        </w:rPr>
      </w:pPr>
    </w:p>
    <w:p w14:paraId="07A77F0C" w14:textId="69A85151" w:rsidR="00444D60" w:rsidRDefault="00444D60">
      <w:pPr>
        <w:pStyle w:val="Textoindependiente"/>
        <w:spacing w:after="0" w:line="240" w:lineRule="auto"/>
        <w:rPr>
          <w:rFonts w:eastAsia="Calibri"/>
          <w:b/>
          <w:bCs/>
        </w:rPr>
      </w:pPr>
      <w:r w:rsidRPr="00444D60">
        <w:rPr>
          <w:rFonts w:eastAsia="Calibri"/>
          <w:b/>
          <w:bCs/>
        </w:rPr>
        <w:t xml:space="preserve">CONTRATACIÓN PÚBLICA – </w:t>
      </w:r>
      <w:r w:rsidR="009273B1">
        <w:rPr>
          <w:rFonts w:eastAsia="Calibri"/>
          <w:b/>
          <w:bCs/>
        </w:rPr>
        <w:t>E</w:t>
      </w:r>
      <w:r w:rsidRPr="00444D60">
        <w:rPr>
          <w:rFonts w:eastAsia="Calibri"/>
          <w:b/>
          <w:bCs/>
        </w:rPr>
        <w:t xml:space="preserve">mergencia sanitaria – COVID 19 – </w:t>
      </w:r>
      <w:r w:rsidR="009273B1">
        <w:rPr>
          <w:rFonts w:eastAsia="Calibri"/>
          <w:b/>
          <w:bCs/>
        </w:rPr>
        <w:t>U</w:t>
      </w:r>
      <w:r w:rsidRPr="00444D60">
        <w:rPr>
          <w:rFonts w:eastAsia="Calibri"/>
          <w:b/>
          <w:bCs/>
        </w:rPr>
        <w:t>rgencia manifiesta</w:t>
      </w:r>
      <w:r w:rsidR="00462726" w:rsidRPr="00462726">
        <w:rPr>
          <w:rFonts w:eastAsia="Calibri"/>
          <w:b/>
          <w:bCs/>
        </w:rPr>
        <w:t xml:space="preserve"> no faculta la contratación ilimitada o arbitraria  </w:t>
      </w:r>
    </w:p>
    <w:p w14:paraId="2A38E85E" w14:textId="77777777" w:rsidR="00FB7E8B" w:rsidRPr="00444D60" w:rsidRDefault="00FB7E8B">
      <w:pPr>
        <w:pStyle w:val="Textoindependiente"/>
        <w:spacing w:after="0" w:line="240" w:lineRule="auto"/>
        <w:rPr>
          <w:lang w:val="es-MX"/>
        </w:rPr>
      </w:pPr>
    </w:p>
    <w:p w14:paraId="11C33812" w14:textId="71041837" w:rsidR="00FB7E8B" w:rsidRDefault="00FB7E8B" w:rsidP="00FE32A0">
      <w:pPr>
        <w:spacing w:line="240" w:lineRule="auto"/>
        <w:rPr>
          <w:rFonts w:ascii="Arial" w:eastAsia="Calibri" w:hAnsi="Arial" w:cs="Arial"/>
          <w:sz w:val="20"/>
          <w:szCs w:val="20"/>
          <w:highlight w:val="yellow"/>
          <w:lang w:val="es-CO"/>
        </w:rPr>
      </w:pPr>
      <w:r w:rsidRPr="00FB7E8B">
        <w:rPr>
          <w:rFonts w:ascii="Arial" w:eastAsia="Calibri" w:hAnsi="Arial" w:cs="Arial"/>
          <w:sz w:val="20"/>
          <w:szCs w:val="20"/>
          <w:lang w:val="es-CO"/>
        </w:rPr>
        <w:t xml:space="preserve">La urgencia manifiesta es una de las causales que permiten acudir a la modalidad de selección de contratación directa, de conformidad con el literal a), numeral 4 del artículo 2 de la Ley 1150 de 2007, en armonía con el artículo 42 </w:t>
      </w:r>
      <w:proofErr w:type="gramStart"/>
      <w:r w:rsidRPr="00FB7E8B">
        <w:rPr>
          <w:rFonts w:ascii="Arial" w:eastAsia="Calibri" w:hAnsi="Arial" w:cs="Arial"/>
          <w:sz w:val="20"/>
          <w:szCs w:val="20"/>
          <w:lang w:val="es-CO"/>
        </w:rPr>
        <w:t>y  siguientes</w:t>
      </w:r>
      <w:proofErr w:type="gramEnd"/>
      <w:r w:rsidRPr="00FB7E8B">
        <w:rPr>
          <w:rFonts w:ascii="Arial" w:eastAsia="Calibri" w:hAnsi="Arial" w:cs="Arial"/>
          <w:sz w:val="20"/>
          <w:szCs w:val="20"/>
          <w:lang w:val="es-CO"/>
        </w:rPr>
        <w:t xml:space="preserve"> de la Ley 80 de 1993. El artículo 7 del Decreto 537 de 2020  alude a la contratación motivada en urgencia manifiesta y faculta  a las entidades para contratar de manera directa los bienes y servicios para prevenir, contener y mitigar los efectos de la Pandemia del coronavirus COVID-19.</w:t>
      </w:r>
      <w:r w:rsidR="003F32DB">
        <w:rPr>
          <w:rFonts w:ascii="Arial" w:eastAsia="Calibri" w:hAnsi="Arial" w:cs="Arial"/>
          <w:sz w:val="20"/>
          <w:szCs w:val="20"/>
          <w:lang w:val="es-CO"/>
        </w:rPr>
        <w:t xml:space="preserve"> </w:t>
      </w:r>
      <w:r w:rsidRPr="00FB7E8B">
        <w:rPr>
          <w:rFonts w:ascii="Arial" w:eastAsia="Calibri" w:hAnsi="Arial" w:cs="Arial"/>
          <w:sz w:val="20"/>
          <w:szCs w:val="20"/>
          <w:lang w:val="es-CO"/>
        </w:rPr>
        <w:t>No obstante, la norma transcrita no faculta la contratación por la causal de urgencia manifiesta para la adquisición de cualquier bien o servicio, sino que circunscribe el ejercicio de tal competencia al «[…] suministro de bienes, la prestación de servicios o la ejecución de obras en el inmediato futuro, con el objetivo de prevenir, contener y mitigar los efectos de la Pandemia del coronavirus COVID-19, así como para realizar las labores necesarias para optimizar el flujo de los recursos al interior del sistema de salud», en consecuencia no admite un uso arbitrario.</w:t>
      </w:r>
    </w:p>
    <w:p w14:paraId="38F1D172" w14:textId="45FD64B7" w:rsidR="009167D0" w:rsidRPr="00462897" w:rsidRDefault="009167D0" w:rsidP="00FE32A0">
      <w:pPr>
        <w:spacing w:line="240" w:lineRule="auto"/>
        <w:rPr>
          <w:rFonts w:ascii="Arial" w:eastAsia="Calibri" w:hAnsi="Arial" w:cs="Arial"/>
          <w:b/>
          <w:sz w:val="22"/>
          <w:lang w:val="es-CO"/>
        </w:rPr>
      </w:pPr>
      <w:r w:rsidRPr="00462897">
        <w:rPr>
          <w:rFonts w:ascii="Arial" w:eastAsia="Calibri" w:hAnsi="Arial" w:cs="Arial"/>
          <w:b/>
          <w:sz w:val="22"/>
          <w:lang w:val="es-CO"/>
        </w:rPr>
        <w:t xml:space="preserve">MANUAL DE CONTRATACIÓN – </w:t>
      </w:r>
      <w:r w:rsidR="009273B1">
        <w:rPr>
          <w:rFonts w:ascii="Arial" w:eastAsia="Calibri" w:hAnsi="Arial" w:cs="Arial"/>
          <w:b/>
          <w:sz w:val="22"/>
          <w:lang w:val="es-CO"/>
        </w:rPr>
        <w:t>C</w:t>
      </w:r>
      <w:r>
        <w:rPr>
          <w:rFonts w:ascii="Arial" w:eastAsia="Calibri" w:hAnsi="Arial" w:cs="Arial"/>
          <w:b/>
          <w:sz w:val="22"/>
          <w:lang w:val="es-CO"/>
        </w:rPr>
        <w:t xml:space="preserve">ontenido </w:t>
      </w:r>
      <w:r w:rsidR="009273B1">
        <w:rPr>
          <w:rFonts w:ascii="Arial" w:eastAsia="Calibri" w:hAnsi="Arial" w:cs="Arial"/>
          <w:b/>
          <w:sz w:val="22"/>
          <w:lang w:val="es-CO"/>
        </w:rPr>
        <w:t>–</w:t>
      </w:r>
      <w:r>
        <w:rPr>
          <w:rFonts w:ascii="Arial" w:eastAsia="Calibri" w:hAnsi="Arial" w:cs="Arial"/>
          <w:b/>
          <w:sz w:val="22"/>
          <w:lang w:val="es-CO"/>
        </w:rPr>
        <w:t xml:space="preserve"> </w:t>
      </w:r>
      <w:r w:rsidR="009273B1">
        <w:rPr>
          <w:rFonts w:ascii="Arial" w:eastAsia="Calibri" w:hAnsi="Arial" w:cs="Arial"/>
          <w:b/>
          <w:sz w:val="22"/>
          <w:lang w:val="es-CO"/>
        </w:rPr>
        <w:t>A</w:t>
      </w:r>
      <w:r w:rsidRPr="009167D0">
        <w:rPr>
          <w:rFonts w:ascii="Arial" w:eastAsia="Calibri" w:hAnsi="Arial" w:cs="Arial"/>
          <w:b/>
          <w:sz w:val="22"/>
          <w:lang w:val="es-CO"/>
        </w:rPr>
        <w:t>plicación de las restr</w:t>
      </w:r>
      <w:r>
        <w:rPr>
          <w:rFonts w:ascii="Arial" w:eastAsia="Calibri" w:hAnsi="Arial" w:cs="Arial"/>
          <w:b/>
          <w:sz w:val="22"/>
          <w:lang w:val="es-CO"/>
        </w:rPr>
        <w:t xml:space="preserve">icciones de la Ley 996 de 2005 </w:t>
      </w:r>
    </w:p>
    <w:p w14:paraId="787F84CE" w14:textId="2F69A4F7" w:rsidR="009273B1" w:rsidRDefault="001F3A3A">
      <w:pPr>
        <w:rPr>
          <w:rFonts w:ascii="Arial" w:eastAsia="Calibri" w:hAnsi="Arial" w:cs="Arial"/>
          <w:sz w:val="22"/>
        </w:rPr>
      </w:pPr>
      <w:r w:rsidRPr="001F3A3A">
        <w:rPr>
          <w:rFonts w:ascii="Arial" w:eastAsia="Calibri" w:hAnsi="Arial" w:cs="Arial"/>
          <w:sz w:val="20"/>
          <w:szCs w:val="20"/>
          <w:lang w:val="es-CO"/>
        </w:rPr>
        <w:t xml:space="preserve">El artículo 2.2.1.2.5.3.  del Decreto 1082 de 2015 establece que las entidades estatales deben contar con un manual de contratación y que este debe cumplir con los lineamientos que señale Colombia Compra Eficiente. En ejercicio de la potestad emanada del citado precepto, la Agencia Nacional de Contratación Pública – Colombia Compra Eficiente emitió los «Lineamientos Generales para la Expedición de Manuales de Contratación», </w:t>
      </w:r>
      <w:r>
        <w:rPr>
          <w:rFonts w:ascii="Arial" w:eastAsia="Calibri" w:hAnsi="Arial" w:cs="Arial"/>
          <w:sz w:val="20"/>
          <w:szCs w:val="20"/>
          <w:lang w:val="es-CO"/>
        </w:rPr>
        <w:t xml:space="preserve">estableciendo </w:t>
      </w:r>
      <w:r w:rsidR="00B368CE">
        <w:rPr>
          <w:rFonts w:ascii="Arial" w:eastAsia="Calibri" w:hAnsi="Arial" w:cs="Arial"/>
          <w:sz w:val="20"/>
          <w:szCs w:val="20"/>
          <w:lang w:val="es-CO"/>
        </w:rPr>
        <w:t xml:space="preserve">en </w:t>
      </w:r>
      <w:r w:rsidRPr="001F3A3A">
        <w:rPr>
          <w:rFonts w:ascii="Arial" w:eastAsia="Calibri" w:hAnsi="Arial" w:cs="Arial"/>
          <w:sz w:val="20"/>
          <w:szCs w:val="20"/>
          <w:lang w:val="es-CO"/>
        </w:rPr>
        <w:t>el literal D</w:t>
      </w:r>
      <w:r>
        <w:rPr>
          <w:rFonts w:ascii="Arial" w:eastAsia="Calibri" w:hAnsi="Arial" w:cs="Arial"/>
          <w:sz w:val="20"/>
          <w:szCs w:val="20"/>
          <w:lang w:val="es-CO"/>
        </w:rPr>
        <w:t xml:space="preserve"> que</w:t>
      </w:r>
      <w:r w:rsidRPr="001F3A3A">
        <w:rPr>
          <w:rFonts w:ascii="Arial" w:eastAsia="Calibri" w:hAnsi="Arial" w:cs="Arial"/>
          <w:sz w:val="20"/>
          <w:szCs w:val="20"/>
          <w:lang w:val="es-CO"/>
        </w:rPr>
        <w:t xml:space="preserve"> </w:t>
      </w:r>
      <w:r>
        <w:rPr>
          <w:rFonts w:ascii="Arial" w:eastAsia="Calibri" w:hAnsi="Arial" w:cs="Arial"/>
          <w:sz w:val="20"/>
          <w:szCs w:val="20"/>
          <w:lang w:val="es-CO"/>
        </w:rPr>
        <w:t xml:space="preserve">las </w:t>
      </w:r>
      <w:r w:rsidRPr="001F3A3A">
        <w:rPr>
          <w:rFonts w:ascii="Arial" w:eastAsia="Calibri" w:hAnsi="Arial" w:cs="Arial"/>
          <w:sz w:val="20"/>
          <w:szCs w:val="20"/>
          <w:lang w:val="es-CO"/>
        </w:rPr>
        <w:t>entidades estatales  con un régimen especial de contratación</w:t>
      </w:r>
      <w:r w:rsidR="00B368CE">
        <w:rPr>
          <w:rFonts w:ascii="Arial" w:eastAsia="Calibri" w:hAnsi="Arial" w:cs="Arial"/>
          <w:sz w:val="20"/>
          <w:szCs w:val="20"/>
          <w:lang w:val="es-CO"/>
        </w:rPr>
        <w:t xml:space="preserve"> </w:t>
      </w:r>
      <w:r>
        <w:rPr>
          <w:rFonts w:ascii="Arial" w:eastAsia="Calibri" w:hAnsi="Arial" w:cs="Arial"/>
          <w:sz w:val="20"/>
          <w:szCs w:val="20"/>
          <w:lang w:val="es-CO"/>
        </w:rPr>
        <w:t xml:space="preserve">deben </w:t>
      </w:r>
      <w:r w:rsidRPr="001F3A3A">
        <w:rPr>
          <w:rFonts w:ascii="Arial" w:eastAsia="Calibri" w:hAnsi="Arial" w:cs="Arial"/>
          <w:sz w:val="20"/>
          <w:szCs w:val="20"/>
          <w:lang w:val="es-CO"/>
        </w:rPr>
        <w:t>incluir una descripción de: «[…] los Procedimientos para la aplicación de las restricciones de la Ley 996 de 2005 y los demás aspectos que garanticen el cumplimiento de los principios y objetivos del sistema de compras y contratación pública […]». En tal sentido, el manual de contratación debe cumplir con la exigencia anterior.</w:t>
      </w:r>
      <w:r w:rsidR="009273B1">
        <w:rPr>
          <w:rFonts w:ascii="Arial" w:eastAsia="Calibri" w:hAnsi="Arial" w:cs="Arial"/>
          <w:sz w:val="22"/>
        </w:rPr>
        <w:br w:type="page"/>
      </w:r>
    </w:p>
    <w:p w14:paraId="5A12F7E7" w14:textId="75285A03" w:rsidR="00E72371" w:rsidRDefault="00E72371" w:rsidP="00E72371">
      <w:pPr>
        <w:jc w:val="right"/>
        <w:rPr>
          <w:rFonts w:ascii="Arial" w:eastAsia="Calibri" w:hAnsi="Arial" w:cs="Arial"/>
          <w:sz w:val="22"/>
        </w:rPr>
      </w:pPr>
      <w:r>
        <w:rPr>
          <w:noProof/>
        </w:rPr>
        <w:lastRenderedPageBreak/>
        <w:drawing>
          <wp:inline distT="0" distB="0" distL="0" distR="0" wp14:anchorId="28122884" wp14:editId="5BA91A81">
            <wp:extent cx="2505075" cy="695325"/>
            <wp:effectExtent l="0" t="0" r="9525" b="952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505075" cy="695325"/>
                    </a:xfrm>
                    <a:prstGeom prst="rect">
                      <a:avLst/>
                    </a:prstGeom>
                  </pic:spPr>
                </pic:pic>
              </a:graphicData>
            </a:graphic>
          </wp:inline>
        </w:drawing>
      </w:r>
    </w:p>
    <w:p w14:paraId="0C422C45" w14:textId="29FC06E8" w:rsidR="00E72371" w:rsidRPr="006C604A" w:rsidRDefault="006C604A" w:rsidP="006C604A">
      <w:pPr>
        <w:jc w:val="right"/>
        <w:rPr>
          <w:rFonts w:ascii="Arial" w:eastAsia="Calibri" w:hAnsi="Arial" w:cs="Arial"/>
          <w:sz w:val="22"/>
        </w:rPr>
      </w:pPr>
      <w:r w:rsidRPr="006C604A">
        <w:rPr>
          <w:rFonts w:ascii="Arial" w:hAnsi="Arial" w:cs="Arial"/>
          <w:sz w:val="22"/>
        </w:rPr>
        <w:t>CCE-DES-FM-17</w:t>
      </w:r>
    </w:p>
    <w:p w14:paraId="2B86DE84" w14:textId="2880B6D9" w:rsidR="00E72371" w:rsidRPr="006C604A" w:rsidRDefault="006C604A" w:rsidP="00D12124">
      <w:pPr>
        <w:rPr>
          <w:rFonts w:ascii="Arial" w:eastAsia="Calibri" w:hAnsi="Arial" w:cs="Arial"/>
          <w:sz w:val="22"/>
        </w:rPr>
      </w:pPr>
      <w:r w:rsidRPr="006C604A">
        <w:rPr>
          <w:rFonts w:ascii="Arial" w:hAnsi="Arial" w:cs="Arial"/>
          <w:sz w:val="22"/>
        </w:rPr>
        <w:t xml:space="preserve">Bogotá D.C., 02 </w:t>
      </w:r>
      <w:proofErr w:type="gramStart"/>
      <w:r w:rsidRPr="006C604A">
        <w:rPr>
          <w:rFonts w:ascii="Arial" w:hAnsi="Arial" w:cs="Arial"/>
          <w:sz w:val="22"/>
        </w:rPr>
        <w:t>Junio</w:t>
      </w:r>
      <w:proofErr w:type="gramEnd"/>
      <w:r w:rsidRPr="006C604A">
        <w:rPr>
          <w:rFonts w:ascii="Arial" w:hAnsi="Arial" w:cs="Arial"/>
          <w:sz w:val="22"/>
        </w:rPr>
        <w:t xml:space="preserve"> 2021</w:t>
      </w:r>
    </w:p>
    <w:p w14:paraId="535DD622" w14:textId="77777777" w:rsidR="00FE0395" w:rsidRPr="0088473D" w:rsidRDefault="00FE0395" w:rsidP="00FE0395">
      <w:pPr>
        <w:tabs>
          <w:tab w:val="left" w:pos="3374"/>
        </w:tabs>
        <w:spacing w:after="0"/>
        <w:rPr>
          <w:rFonts w:ascii="Arial" w:eastAsia="Calibri" w:hAnsi="Arial" w:cs="Arial"/>
          <w:noProof/>
          <w:lang w:val="es-ES_tradnl"/>
        </w:rPr>
      </w:pPr>
    </w:p>
    <w:p w14:paraId="32503595" w14:textId="0D4C8B7D" w:rsidR="00904CD9" w:rsidRPr="002D5D70" w:rsidRDefault="00904CD9" w:rsidP="00FE0395">
      <w:pPr>
        <w:spacing w:after="0" w:line="240" w:lineRule="auto"/>
        <w:rPr>
          <w:rFonts w:ascii="Arial" w:eastAsia="Calibri" w:hAnsi="Arial" w:cs="Arial"/>
          <w:sz w:val="22"/>
          <w:lang w:val="es-CO"/>
        </w:rPr>
      </w:pPr>
      <w:r w:rsidRPr="002D5D70">
        <w:rPr>
          <w:rFonts w:ascii="Arial" w:eastAsia="Calibri" w:hAnsi="Arial" w:cs="Arial"/>
          <w:sz w:val="22"/>
          <w:lang w:val="es-CO"/>
        </w:rPr>
        <w:t>Señor</w:t>
      </w:r>
    </w:p>
    <w:p w14:paraId="2A99D125" w14:textId="77777777" w:rsidR="00645CE0" w:rsidRDefault="00645CE0" w:rsidP="00FE0395">
      <w:pPr>
        <w:spacing w:after="0" w:line="240" w:lineRule="auto"/>
        <w:rPr>
          <w:rFonts w:ascii="Arial" w:eastAsia="Calibri" w:hAnsi="Arial" w:cs="Arial"/>
          <w:b/>
          <w:sz w:val="22"/>
          <w:lang w:val="es-CO"/>
        </w:rPr>
      </w:pPr>
      <w:r w:rsidRPr="00645CE0">
        <w:rPr>
          <w:rFonts w:ascii="Arial" w:eastAsia="Calibri" w:hAnsi="Arial" w:cs="Arial"/>
          <w:b/>
          <w:sz w:val="22"/>
          <w:lang w:val="es-CO"/>
        </w:rPr>
        <w:t xml:space="preserve">Franklin Tomas Coral Delgado </w:t>
      </w:r>
    </w:p>
    <w:p w14:paraId="6E60E433" w14:textId="69F93222" w:rsidR="00904CD9" w:rsidRPr="002D5D70" w:rsidRDefault="00086C08" w:rsidP="00FE0395">
      <w:pPr>
        <w:spacing w:after="0" w:line="240" w:lineRule="auto"/>
        <w:rPr>
          <w:rFonts w:ascii="Arial" w:eastAsia="Calibri" w:hAnsi="Arial" w:cs="Arial"/>
          <w:sz w:val="22"/>
          <w:lang w:val="es-CO"/>
        </w:rPr>
      </w:pPr>
      <w:r w:rsidRPr="002D5D70">
        <w:rPr>
          <w:rFonts w:ascii="Arial" w:eastAsia="Calibri" w:hAnsi="Arial" w:cs="Arial"/>
          <w:sz w:val="22"/>
          <w:lang w:val="es-CO"/>
        </w:rPr>
        <w:t>Medellín, Antioquia</w:t>
      </w:r>
    </w:p>
    <w:p w14:paraId="2AAF63C0" w14:textId="25929218" w:rsidR="00901CD9" w:rsidRDefault="00901CD9" w:rsidP="00901CD9">
      <w:pPr>
        <w:spacing w:after="0" w:line="240" w:lineRule="auto"/>
        <w:rPr>
          <w:rFonts w:ascii="Arial" w:eastAsia="Times New Roman" w:hAnsi="Arial" w:cs="Arial"/>
          <w:sz w:val="22"/>
          <w:lang w:eastAsia="es-CO"/>
        </w:rPr>
      </w:pPr>
      <w:r>
        <w:rPr>
          <w:rFonts w:ascii="Arial" w:eastAsia="Times New Roman" w:hAnsi="Arial" w:cs="Arial"/>
          <w:sz w:val="22"/>
          <w:lang w:eastAsia="es-CO"/>
        </w:rPr>
        <w:t>jianri8</w:t>
      </w:r>
      <w:r w:rsidRPr="002D5D70">
        <w:rPr>
          <w:rFonts w:ascii="Arial" w:eastAsia="Times New Roman" w:hAnsi="Arial" w:cs="Arial"/>
          <w:sz w:val="22"/>
          <w:lang w:eastAsia="es-CO"/>
        </w:rPr>
        <w:t>@</w:t>
      </w:r>
      <w:r>
        <w:rPr>
          <w:rFonts w:ascii="Arial" w:eastAsia="Times New Roman" w:hAnsi="Arial" w:cs="Arial"/>
          <w:sz w:val="22"/>
          <w:lang w:eastAsia="es-CO"/>
        </w:rPr>
        <w:t>hot</w:t>
      </w:r>
      <w:r w:rsidRPr="002D5D70">
        <w:rPr>
          <w:rFonts w:ascii="Arial" w:eastAsia="Times New Roman" w:hAnsi="Arial" w:cs="Arial"/>
          <w:sz w:val="22"/>
          <w:lang w:eastAsia="es-CO"/>
        </w:rPr>
        <w:t>mail.com</w:t>
      </w:r>
    </w:p>
    <w:p w14:paraId="6377CEDE" w14:textId="77777777" w:rsidR="00901CD9" w:rsidRPr="002D5D70" w:rsidRDefault="00901CD9" w:rsidP="00901CD9">
      <w:pPr>
        <w:spacing w:after="0" w:line="240" w:lineRule="auto"/>
        <w:rPr>
          <w:rFonts w:ascii="Arial" w:eastAsia="Times New Roman" w:hAnsi="Arial" w:cs="Arial"/>
          <w:color w:val="000000"/>
          <w:sz w:val="22"/>
          <w:lang w:eastAsia="es-CO"/>
        </w:rPr>
      </w:pPr>
    </w:p>
    <w:p w14:paraId="44D4BC65" w14:textId="77777777" w:rsidR="002D5D70" w:rsidRPr="002D5D70" w:rsidRDefault="002D5D70" w:rsidP="00FE0395">
      <w:pPr>
        <w:spacing w:after="0" w:line="240" w:lineRule="auto"/>
        <w:rPr>
          <w:rFonts w:ascii="Arial" w:eastAsia="Calibri" w:hAnsi="Arial" w:cs="Arial"/>
          <w:sz w:val="22"/>
          <w:lang w:val="es-CO"/>
        </w:rPr>
      </w:pPr>
    </w:p>
    <w:p w14:paraId="52B37521" w14:textId="53C68731" w:rsidR="00904CD9" w:rsidRDefault="00904CD9" w:rsidP="00FE0395">
      <w:pPr>
        <w:spacing w:after="0" w:line="240" w:lineRule="auto"/>
        <w:rPr>
          <w:rFonts w:ascii="Arial" w:hAnsi="Arial" w:cs="Arial"/>
          <w:sz w:val="22"/>
          <w:lang w:val="es-CO"/>
        </w:rPr>
      </w:pPr>
      <w:r w:rsidRPr="002D5D70">
        <w:rPr>
          <w:rFonts w:ascii="Arial" w:eastAsia="Calibri" w:hAnsi="Arial" w:cs="Arial"/>
          <w:sz w:val="22"/>
          <w:lang w:val="es-CO"/>
        </w:rPr>
        <w:t xml:space="preserve">                                            </w:t>
      </w:r>
      <w:r w:rsidRPr="00B12C69">
        <w:rPr>
          <w:rFonts w:ascii="Arial" w:eastAsia="Calibri" w:hAnsi="Arial" w:cs="Arial"/>
          <w:b/>
          <w:sz w:val="22"/>
          <w:lang w:val="es-CO"/>
        </w:rPr>
        <w:t xml:space="preserve">Concepto C – </w:t>
      </w:r>
      <w:r w:rsidR="009273B1">
        <w:rPr>
          <w:rFonts w:ascii="Arial" w:eastAsia="Calibri" w:hAnsi="Arial" w:cs="Arial"/>
          <w:b/>
          <w:sz w:val="22"/>
          <w:lang w:val="es-CO"/>
        </w:rPr>
        <w:t>259</w:t>
      </w:r>
      <w:r w:rsidR="00285D82" w:rsidRPr="00B12C69">
        <w:rPr>
          <w:rFonts w:ascii="Arial" w:eastAsia="Calibri" w:hAnsi="Arial" w:cs="Arial"/>
          <w:b/>
          <w:sz w:val="22"/>
          <w:lang w:val="es-CO"/>
        </w:rPr>
        <w:t xml:space="preserve"> de 2021</w:t>
      </w:r>
      <w:r w:rsidR="00B346CC" w:rsidRPr="00B12C69">
        <w:rPr>
          <w:rFonts w:ascii="Arial" w:hAnsi="Arial" w:cs="Arial"/>
          <w:sz w:val="22"/>
          <w:lang w:val="es-CO"/>
        </w:rPr>
        <w:t xml:space="preserve"> </w:t>
      </w:r>
    </w:p>
    <w:p w14:paraId="6316E3D6" w14:textId="77777777" w:rsidR="00FE0395" w:rsidRPr="002D5D70" w:rsidRDefault="00FE0395" w:rsidP="00FE0395">
      <w:pPr>
        <w:spacing w:after="0" w:line="240" w:lineRule="auto"/>
        <w:rPr>
          <w:rFonts w:ascii="Arial" w:eastAsia="Calibri" w:hAnsi="Arial" w:cs="Arial"/>
          <w:b/>
          <w:sz w:val="22"/>
          <w:highlight w:val="yellow"/>
          <w:lang w:val="es-CO"/>
        </w:rPr>
      </w:pPr>
    </w:p>
    <w:tbl>
      <w:tblPr>
        <w:tblStyle w:val="Tablaconcuadrcula1"/>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FE0395" w:rsidRPr="00FE0395" w14:paraId="1701BC3D" w14:textId="77777777" w:rsidTr="008615B3">
        <w:trPr>
          <w:trHeight w:val="1038"/>
        </w:trPr>
        <w:tc>
          <w:tcPr>
            <w:tcW w:w="2689" w:type="dxa"/>
            <w:hideMark/>
          </w:tcPr>
          <w:p w14:paraId="69F7D7B9" w14:textId="77777777" w:rsidR="00FE0395" w:rsidRPr="00FE0395" w:rsidRDefault="00FE0395" w:rsidP="008A3FB9">
            <w:pPr>
              <w:ind w:left="720"/>
              <w:contextualSpacing/>
              <w:rPr>
                <w:rFonts w:ascii="Arial" w:eastAsia="Calibri" w:hAnsi="Arial" w:cs="Arial"/>
                <w:noProof/>
                <w:sz w:val="22"/>
                <w:lang w:val="es-ES_tradnl"/>
              </w:rPr>
            </w:pPr>
            <w:r w:rsidRPr="00FE0395">
              <w:rPr>
                <w:rFonts w:ascii="Arial" w:eastAsia="Calibri" w:hAnsi="Arial" w:cs="Arial"/>
                <w:b/>
                <w:noProof/>
                <w:sz w:val="22"/>
                <w:lang w:val="es-ES_tradnl"/>
              </w:rPr>
              <w:t>Temas:</w:t>
            </w:r>
            <w:r w:rsidRPr="00FE0395">
              <w:rPr>
                <w:rFonts w:ascii="Arial" w:eastAsia="Calibri" w:hAnsi="Arial" w:cs="Arial"/>
                <w:noProof/>
                <w:sz w:val="22"/>
                <w:lang w:val="es-ES_tradnl"/>
              </w:rPr>
              <w:t xml:space="preserve">        </w:t>
            </w:r>
          </w:p>
        </w:tc>
        <w:tc>
          <w:tcPr>
            <w:tcW w:w="6237" w:type="dxa"/>
            <w:hideMark/>
          </w:tcPr>
          <w:p w14:paraId="5D907E1C" w14:textId="1AC2E8E1" w:rsidR="00FE0395" w:rsidRPr="00613035" w:rsidRDefault="0024781B" w:rsidP="008615B3">
            <w:pPr>
              <w:spacing w:after="120"/>
              <w:contextualSpacing/>
              <w:jc w:val="both"/>
              <w:rPr>
                <w:rFonts w:ascii="Arial" w:eastAsia="Calibri" w:hAnsi="Arial" w:cs="Arial"/>
                <w:bCs/>
                <w:sz w:val="22"/>
              </w:rPr>
            </w:pPr>
            <w:r w:rsidRPr="00FE32A0">
              <w:rPr>
                <w:rFonts w:ascii="Arial" w:eastAsia="Calibri" w:hAnsi="Arial" w:cs="Arial"/>
                <w:bCs/>
                <w:sz w:val="22"/>
              </w:rPr>
              <w:t xml:space="preserve">LEY DE GARANTÍAS ELECTORALES ─ Definición – Finalidad / LEY DE GARANTÍAS ‒ Restricciones para elecciones – Presidenciales – </w:t>
            </w:r>
            <w:r w:rsidRPr="00FE32A0">
              <w:rPr>
                <w:rFonts w:ascii="Arial" w:eastAsia="Times New Roman" w:hAnsi="Arial" w:cs="Arial"/>
                <w:bCs/>
                <w:color w:val="000000"/>
                <w:sz w:val="22"/>
                <w:lang w:eastAsia="es-CO"/>
              </w:rPr>
              <w:t>Cargos de elección popular /</w:t>
            </w:r>
            <w:r w:rsidR="009B2854" w:rsidRPr="00FE32A0">
              <w:rPr>
                <w:rFonts w:ascii="Arial" w:eastAsia="Times New Roman" w:hAnsi="Arial" w:cs="Arial"/>
                <w:bCs/>
                <w:color w:val="000000"/>
                <w:sz w:val="22"/>
                <w:lang w:eastAsia="es-CO"/>
              </w:rPr>
              <w:t xml:space="preserve"> </w:t>
            </w:r>
            <w:r w:rsidR="009B2854" w:rsidRPr="00FE32A0">
              <w:rPr>
                <w:rFonts w:ascii="Arial" w:eastAsia="Calibri" w:hAnsi="Arial" w:cs="Arial"/>
                <w:bCs/>
                <w:sz w:val="22"/>
              </w:rPr>
              <w:t xml:space="preserve">EMERGENCIA SANITARIA – COVID-19 – Emergencia económica social y ecológica </w:t>
            </w:r>
            <w:proofErr w:type="gramStart"/>
            <w:r w:rsidR="009B2854" w:rsidRPr="00FE32A0">
              <w:rPr>
                <w:rFonts w:ascii="Arial" w:eastAsia="Calibri" w:hAnsi="Arial" w:cs="Arial"/>
                <w:bCs/>
                <w:sz w:val="22"/>
              </w:rPr>
              <w:t>–  Normativa</w:t>
            </w:r>
            <w:proofErr w:type="gramEnd"/>
            <w:r w:rsidR="009B2854" w:rsidRPr="00FE32A0">
              <w:rPr>
                <w:rFonts w:ascii="Arial" w:eastAsia="Calibri" w:hAnsi="Arial" w:cs="Arial"/>
                <w:bCs/>
                <w:sz w:val="22"/>
              </w:rPr>
              <w:t xml:space="preserve"> / CONTRATACIÓN PÚBLICA – Emergencia sanitaria – COVID 19 – Urgencia manifiesta</w:t>
            </w:r>
            <w:r w:rsidR="003429E9">
              <w:rPr>
                <w:rFonts w:ascii="Arial" w:eastAsia="Calibri" w:hAnsi="Arial" w:cs="Arial"/>
                <w:bCs/>
                <w:sz w:val="22"/>
              </w:rPr>
              <w:t xml:space="preserve"> </w:t>
            </w:r>
            <w:r w:rsidR="003429E9" w:rsidRPr="003429E9">
              <w:rPr>
                <w:rFonts w:ascii="Arial" w:eastAsia="Calibri" w:hAnsi="Arial" w:cs="Arial"/>
                <w:bCs/>
                <w:sz w:val="22"/>
              </w:rPr>
              <w:t xml:space="preserve">no faculta la contratación ilimitada o arbitraria  </w:t>
            </w:r>
            <w:r w:rsidR="009B2854" w:rsidRPr="00FE32A0">
              <w:rPr>
                <w:rFonts w:ascii="Arial" w:eastAsia="Calibri" w:hAnsi="Arial" w:cs="Arial"/>
                <w:bCs/>
                <w:sz w:val="22"/>
                <w:lang w:val="es-CO"/>
              </w:rPr>
              <w:t>/ MANUAL DE CONTRATACIÓN – Contenido – Aplicación de las restricciones de la Ley 996 de 2005</w:t>
            </w:r>
          </w:p>
          <w:p w14:paraId="6ABDB916" w14:textId="77777777" w:rsidR="0024781B" w:rsidRDefault="0024781B" w:rsidP="008615B3">
            <w:pPr>
              <w:spacing w:after="120"/>
              <w:contextualSpacing/>
              <w:jc w:val="both"/>
              <w:rPr>
                <w:rFonts w:ascii="Arial" w:eastAsia="Calibri" w:hAnsi="Arial" w:cs="Arial"/>
                <w:sz w:val="22"/>
              </w:rPr>
            </w:pPr>
          </w:p>
          <w:p w14:paraId="641BBBD5" w14:textId="5AB7F074" w:rsidR="008615B3" w:rsidRPr="00FE0395" w:rsidRDefault="008615B3" w:rsidP="008615B3">
            <w:pPr>
              <w:spacing w:after="120"/>
              <w:contextualSpacing/>
              <w:jc w:val="both"/>
              <w:rPr>
                <w:rFonts w:ascii="Arial" w:eastAsia="Calibri" w:hAnsi="Arial" w:cs="Arial"/>
                <w:b/>
                <w:sz w:val="22"/>
              </w:rPr>
            </w:pPr>
          </w:p>
        </w:tc>
      </w:tr>
      <w:tr w:rsidR="00FE0395" w:rsidRPr="00FE0395" w14:paraId="4074FCE6" w14:textId="77777777" w:rsidTr="008615B3">
        <w:tc>
          <w:tcPr>
            <w:tcW w:w="2689" w:type="dxa"/>
          </w:tcPr>
          <w:p w14:paraId="389F2C2E" w14:textId="77777777" w:rsidR="00FE0395" w:rsidRPr="00FE0395" w:rsidRDefault="00FE0395" w:rsidP="008A3FB9">
            <w:pPr>
              <w:ind w:left="720"/>
              <w:contextualSpacing/>
              <w:rPr>
                <w:rFonts w:ascii="Arial" w:eastAsia="Calibri" w:hAnsi="Arial" w:cs="Arial"/>
                <w:b/>
                <w:noProof/>
                <w:sz w:val="22"/>
                <w:lang w:val="es-ES_tradnl"/>
              </w:rPr>
            </w:pPr>
            <w:r w:rsidRPr="00FE0395">
              <w:rPr>
                <w:rFonts w:ascii="Arial" w:eastAsia="Calibri" w:hAnsi="Arial" w:cs="Arial"/>
                <w:b/>
                <w:noProof/>
                <w:sz w:val="22"/>
                <w:lang w:val="es-ES_tradnl"/>
              </w:rPr>
              <w:t>Radicación:</w:t>
            </w:r>
            <w:r w:rsidRPr="00FE0395">
              <w:rPr>
                <w:rFonts w:ascii="Arial" w:eastAsia="Calibri" w:hAnsi="Arial" w:cs="Arial"/>
                <w:noProof/>
                <w:sz w:val="22"/>
                <w:lang w:val="es-ES_tradnl"/>
              </w:rPr>
              <w:t xml:space="preserve">                              </w:t>
            </w:r>
          </w:p>
        </w:tc>
        <w:tc>
          <w:tcPr>
            <w:tcW w:w="6237" w:type="dxa"/>
          </w:tcPr>
          <w:p w14:paraId="4D6EA725" w14:textId="04CC370A" w:rsidR="00FE0395" w:rsidRPr="00FE0395" w:rsidRDefault="00FE0395" w:rsidP="00FE0395">
            <w:pPr>
              <w:spacing w:after="200" w:line="276" w:lineRule="auto"/>
              <w:contextualSpacing/>
              <w:jc w:val="both"/>
              <w:rPr>
                <w:rFonts w:ascii="Arial" w:eastAsia="Calibri" w:hAnsi="Arial" w:cs="Arial"/>
                <w:noProof/>
                <w:sz w:val="22"/>
                <w:lang w:val="es-ES_tradnl"/>
              </w:rPr>
            </w:pPr>
            <w:r w:rsidRPr="00FE0395">
              <w:rPr>
                <w:rFonts w:ascii="Arial" w:eastAsia="Calibri" w:hAnsi="Arial" w:cs="Arial"/>
                <w:noProof/>
                <w:sz w:val="22"/>
                <w:lang w:val="es-ES_tradnl"/>
              </w:rPr>
              <w:t xml:space="preserve">Respuesta a consulta </w:t>
            </w:r>
            <w:r w:rsidR="00645CE0" w:rsidRPr="00645CE0">
              <w:rPr>
                <w:rFonts w:ascii="Arial" w:eastAsia="Calibri" w:hAnsi="Arial" w:cs="Arial"/>
                <w:noProof/>
                <w:sz w:val="22"/>
                <w:lang w:val="es-ES_tradnl"/>
              </w:rPr>
              <w:t>P20210421003325</w:t>
            </w:r>
          </w:p>
          <w:p w14:paraId="290F0664" w14:textId="77777777" w:rsidR="00FE0395" w:rsidRPr="00FE0395" w:rsidRDefault="00FE0395" w:rsidP="00FE0395">
            <w:pPr>
              <w:ind w:left="720"/>
              <w:contextualSpacing/>
              <w:jc w:val="both"/>
              <w:rPr>
                <w:rFonts w:ascii="Arial" w:eastAsia="Calibri" w:hAnsi="Arial" w:cs="Arial"/>
                <w:noProof/>
                <w:sz w:val="22"/>
                <w:lang w:val="es-ES_tradnl"/>
              </w:rPr>
            </w:pPr>
          </w:p>
        </w:tc>
      </w:tr>
    </w:tbl>
    <w:p w14:paraId="0CB3D4D0" w14:textId="77777777" w:rsidR="00FE0395" w:rsidRPr="00FE0395" w:rsidRDefault="00FE0395" w:rsidP="00FE0395">
      <w:pPr>
        <w:spacing w:after="0" w:line="240" w:lineRule="auto"/>
        <w:rPr>
          <w:rFonts w:ascii="Arial" w:eastAsia="Calibri" w:hAnsi="Arial" w:cs="Arial"/>
          <w:sz w:val="22"/>
          <w:highlight w:val="yellow"/>
          <w:lang w:val="es-CO"/>
        </w:rPr>
      </w:pPr>
    </w:p>
    <w:p w14:paraId="0ADE9D41" w14:textId="7919FE2E" w:rsidR="00990612" w:rsidRPr="002D5D70" w:rsidRDefault="00990612" w:rsidP="00FE0395">
      <w:pPr>
        <w:spacing w:after="0" w:line="240" w:lineRule="auto"/>
        <w:rPr>
          <w:rFonts w:ascii="Arial" w:eastAsia="Calibri" w:hAnsi="Arial" w:cs="Arial"/>
          <w:sz w:val="22"/>
          <w:lang w:val="es-CO"/>
        </w:rPr>
      </w:pPr>
      <w:r w:rsidRPr="002D5D70">
        <w:rPr>
          <w:rFonts w:ascii="Arial" w:eastAsia="Calibri" w:hAnsi="Arial" w:cs="Arial"/>
          <w:sz w:val="22"/>
          <w:lang w:val="es-CO"/>
        </w:rPr>
        <w:t>Estimad</w:t>
      </w:r>
      <w:r w:rsidR="00901CD9">
        <w:rPr>
          <w:rFonts w:ascii="Arial" w:eastAsia="Calibri" w:hAnsi="Arial" w:cs="Arial"/>
          <w:sz w:val="22"/>
          <w:lang w:val="es-CO"/>
        </w:rPr>
        <w:t>o</w:t>
      </w:r>
      <w:r w:rsidRPr="002D5D70">
        <w:rPr>
          <w:rFonts w:ascii="Arial" w:eastAsia="Calibri" w:hAnsi="Arial" w:cs="Arial"/>
          <w:sz w:val="22"/>
          <w:lang w:val="es-CO"/>
        </w:rPr>
        <w:t xml:space="preserve"> señor </w:t>
      </w:r>
      <w:r w:rsidR="00486B4B" w:rsidRPr="00486B4B">
        <w:rPr>
          <w:rFonts w:ascii="Arial" w:eastAsia="Calibri" w:hAnsi="Arial" w:cs="Arial"/>
          <w:sz w:val="22"/>
          <w:lang w:val="es-CO"/>
        </w:rPr>
        <w:t>Coral Delgado</w:t>
      </w:r>
      <w:r w:rsidRPr="002D5D70">
        <w:rPr>
          <w:rFonts w:ascii="Arial" w:eastAsia="Calibri" w:hAnsi="Arial" w:cs="Arial"/>
          <w:sz w:val="22"/>
          <w:lang w:val="es-CO"/>
        </w:rPr>
        <w:t>:</w:t>
      </w:r>
    </w:p>
    <w:p w14:paraId="19436ABB" w14:textId="77777777" w:rsidR="00990612" w:rsidRPr="002D5D70" w:rsidRDefault="00990612" w:rsidP="00FE0395">
      <w:pPr>
        <w:spacing w:after="0" w:line="240" w:lineRule="auto"/>
        <w:rPr>
          <w:rFonts w:ascii="Arial" w:eastAsia="Calibri" w:hAnsi="Arial" w:cs="Arial"/>
          <w:sz w:val="22"/>
          <w:lang w:val="es-CO"/>
        </w:rPr>
      </w:pPr>
    </w:p>
    <w:p w14:paraId="4A62508A" w14:textId="6BE0B8D4" w:rsidR="00990612" w:rsidRPr="002D5D70" w:rsidRDefault="00990612" w:rsidP="005A114C">
      <w:pPr>
        <w:spacing w:after="0"/>
        <w:ind w:right="51"/>
        <w:rPr>
          <w:rFonts w:ascii="Arial" w:eastAsia="Calibri" w:hAnsi="Arial" w:cs="Arial"/>
          <w:sz w:val="22"/>
          <w:lang w:val="es-CO"/>
        </w:rPr>
      </w:pPr>
      <w:r w:rsidRPr="002D5D70">
        <w:rPr>
          <w:rFonts w:ascii="Arial" w:eastAsia="Calibri" w:hAnsi="Arial" w:cs="Arial"/>
          <w:sz w:val="22"/>
          <w:lang w:val="es-CO"/>
        </w:rPr>
        <w:t>En ejercicio de la competencia otorgada por el numeral 8 del artículo 11 y el numeral 5 del artículo 3 del Decreto Ley 4170 de 2011, la Agencia Nacional de Contratación Pública – Colombia Compra Eficiente</w:t>
      </w:r>
      <w:r w:rsidR="00E37E82" w:rsidRPr="002D5D70">
        <w:rPr>
          <w:rFonts w:ascii="Arial" w:eastAsia="Calibri" w:hAnsi="Arial" w:cs="Arial"/>
          <w:sz w:val="22"/>
          <w:lang w:val="es-CO"/>
        </w:rPr>
        <w:t xml:space="preserve"> </w:t>
      </w:r>
      <w:proofErr w:type="gramStart"/>
      <w:r w:rsidR="00E37E82" w:rsidRPr="002D5D70">
        <w:rPr>
          <w:rFonts w:ascii="Arial" w:eastAsia="Calibri" w:hAnsi="Arial" w:cs="Arial"/>
          <w:sz w:val="22"/>
          <w:lang w:val="es-CO"/>
        </w:rPr>
        <w:t xml:space="preserve">– </w:t>
      </w:r>
      <w:r w:rsidRPr="002D5D70">
        <w:rPr>
          <w:rFonts w:ascii="Arial" w:eastAsia="Calibri" w:hAnsi="Arial" w:cs="Arial"/>
          <w:sz w:val="22"/>
          <w:lang w:val="es-CO"/>
        </w:rPr>
        <w:t xml:space="preserve"> responde</w:t>
      </w:r>
      <w:proofErr w:type="gramEnd"/>
      <w:r w:rsidRPr="002D5D70">
        <w:rPr>
          <w:rFonts w:ascii="Arial" w:eastAsia="Calibri" w:hAnsi="Arial" w:cs="Arial"/>
          <w:sz w:val="22"/>
          <w:lang w:val="es-CO"/>
        </w:rPr>
        <w:t xml:space="preserve"> la consulta realizada el </w:t>
      </w:r>
      <w:r w:rsidR="006C6A9E">
        <w:rPr>
          <w:rFonts w:ascii="Arial" w:eastAsia="Calibri" w:hAnsi="Arial" w:cs="Arial"/>
          <w:sz w:val="22"/>
          <w:lang w:val="es-CO"/>
        </w:rPr>
        <w:t>2</w:t>
      </w:r>
      <w:r w:rsidR="00E3568A">
        <w:rPr>
          <w:rFonts w:ascii="Arial" w:eastAsia="Calibri" w:hAnsi="Arial" w:cs="Arial"/>
          <w:sz w:val="22"/>
          <w:lang w:val="es-CO"/>
        </w:rPr>
        <w:t xml:space="preserve">2 de abril </w:t>
      </w:r>
      <w:r w:rsidRPr="002D5D70">
        <w:rPr>
          <w:rFonts w:ascii="Arial" w:eastAsia="Calibri" w:hAnsi="Arial" w:cs="Arial"/>
          <w:sz w:val="22"/>
          <w:lang w:val="es-CO"/>
        </w:rPr>
        <w:t>de 202</w:t>
      </w:r>
      <w:r w:rsidR="00570BD6" w:rsidRPr="002D5D70">
        <w:rPr>
          <w:rFonts w:ascii="Arial" w:eastAsia="Calibri" w:hAnsi="Arial" w:cs="Arial"/>
          <w:sz w:val="22"/>
          <w:lang w:val="es-CO"/>
        </w:rPr>
        <w:t>1</w:t>
      </w:r>
      <w:r w:rsidRPr="002D5D70">
        <w:rPr>
          <w:rFonts w:ascii="Arial" w:eastAsia="Calibri" w:hAnsi="Arial" w:cs="Arial"/>
          <w:sz w:val="22"/>
          <w:lang w:val="es-CO"/>
        </w:rPr>
        <w:t xml:space="preserve">. </w:t>
      </w:r>
    </w:p>
    <w:p w14:paraId="38B89859" w14:textId="77777777" w:rsidR="00990612" w:rsidRPr="002D5D70" w:rsidRDefault="00990612" w:rsidP="005A114C">
      <w:pPr>
        <w:spacing w:after="0"/>
        <w:rPr>
          <w:rFonts w:ascii="Arial" w:eastAsia="Calibri" w:hAnsi="Arial" w:cs="Arial"/>
          <w:sz w:val="22"/>
          <w:lang w:val="es-CO"/>
        </w:rPr>
      </w:pPr>
    </w:p>
    <w:p w14:paraId="3B0D1063" w14:textId="09E51B12" w:rsidR="005A114C" w:rsidRDefault="00990612" w:rsidP="005A114C">
      <w:pPr>
        <w:pStyle w:val="Prrafodelista"/>
        <w:numPr>
          <w:ilvl w:val="0"/>
          <w:numId w:val="6"/>
        </w:numPr>
        <w:tabs>
          <w:tab w:val="left" w:pos="284"/>
        </w:tabs>
        <w:spacing w:after="0"/>
        <w:ind w:left="0" w:firstLine="0"/>
        <w:rPr>
          <w:rFonts w:ascii="Arial" w:eastAsia="Calibri" w:hAnsi="Arial" w:cs="Arial"/>
          <w:b/>
          <w:sz w:val="22"/>
          <w:lang w:val="es-CO"/>
        </w:rPr>
      </w:pPr>
      <w:r w:rsidRPr="005A114C">
        <w:rPr>
          <w:rFonts w:ascii="Arial" w:eastAsia="Calibri" w:hAnsi="Arial" w:cs="Arial"/>
          <w:b/>
          <w:sz w:val="22"/>
          <w:lang w:val="es-CO"/>
        </w:rPr>
        <w:t xml:space="preserve">Problemas planteados </w:t>
      </w:r>
    </w:p>
    <w:p w14:paraId="2FBDB7F6" w14:textId="77777777" w:rsidR="005A114C" w:rsidRDefault="005A114C" w:rsidP="005A114C">
      <w:pPr>
        <w:pStyle w:val="Prrafodelista"/>
        <w:tabs>
          <w:tab w:val="left" w:pos="284"/>
        </w:tabs>
        <w:spacing w:after="0"/>
        <w:ind w:left="0"/>
        <w:rPr>
          <w:rFonts w:ascii="Arial" w:eastAsia="Calibri" w:hAnsi="Arial" w:cs="Arial"/>
          <w:b/>
          <w:sz w:val="22"/>
          <w:lang w:val="es-CO"/>
        </w:rPr>
      </w:pPr>
    </w:p>
    <w:p w14:paraId="70E66300" w14:textId="6E7CCD44" w:rsidR="00CE170E" w:rsidRDefault="006B7576" w:rsidP="00535A7F">
      <w:pPr>
        <w:tabs>
          <w:tab w:val="left" w:pos="426"/>
        </w:tabs>
        <w:spacing w:after="0"/>
        <w:rPr>
          <w:rFonts w:ascii="Arial" w:eastAsia="Calibri" w:hAnsi="Arial" w:cs="Arial"/>
          <w:sz w:val="22"/>
        </w:rPr>
      </w:pPr>
      <w:r w:rsidRPr="00535A7F">
        <w:rPr>
          <w:rFonts w:ascii="Arial" w:eastAsia="Calibri" w:hAnsi="Arial" w:cs="Arial"/>
          <w:sz w:val="22"/>
          <w:lang w:val="es-CO"/>
        </w:rPr>
        <w:t>Usted plantea la</w:t>
      </w:r>
      <w:r w:rsidR="00562D14" w:rsidRPr="00535A7F">
        <w:rPr>
          <w:rFonts w:ascii="Arial" w:eastAsia="Calibri" w:hAnsi="Arial" w:cs="Arial"/>
          <w:sz w:val="22"/>
          <w:lang w:val="es-CO"/>
        </w:rPr>
        <w:t xml:space="preserve">s siguientes preguntas: </w:t>
      </w:r>
      <w:bookmarkStart w:id="1" w:name="_Hlk58917991"/>
      <w:bookmarkStart w:id="2" w:name="_Hlk56103000"/>
      <w:proofErr w:type="gramStart"/>
      <w:r w:rsidR="00990612" w:rsidRPr="00535A7F">
        <w:rPr>
          <w:rFonts w:ascii="Arial" w:eastAsia="Calibri" w:hAnsi="Arial" w:cs="Arial"/>
          <w:sz w:val="22"/>
          <w:lang w:val="es-CO"/>
        </w:rPr>
        <w:t>«</w:t>
      </w:r>
      <w:r w:rsidR="00F118E5" w:rsidRPr="00F118E5">
        <w:rPr>
          <w:rFonts w:ascii="Arial" w:eastAsia="Times New Roman" w:hAnsi="Arial" w:cs="Arial"/>
          <w:color w:val="000000"/>
          <w:sz w:val="22"/>
          <w:shd w:val="clear" w:color="auto" w:fill="FFFFFF"/>
          <w:lang w:eastAsia="es-CO"/>
        </w:rPr>
        <w:t xml:space="preserve"> [</w:t>
      </w:r>
      <w:proofErr w:type="gramEnd"/>
      <w:r w:rsidR="00F118E5" w:rsidRPr="00F118E5">
        <w:rPr>
          <w:rFonts w:ascii="Arial" w:eastAsia="Times New Roman" w:hAnsi="Arial" w:cs="Arial"/>
          <w:color w:val="000000"/>
          <w:sz w:val="22"/>
          <w:shd w:val="clear" w:color="auto" w:fill="FFFFFF"/>
          <w:lang w:eastAsia="es-CO"/>
        </w:rPr>
        <w:t xml:space="preserve">…] la ley de garantías, también aplica para las entidades hospitalarias, teniendo en </w:t>
      </w:r>
      <w:proofErr w:type="spellStart"/>
      <w:r w:rsidR="00F118E5" w:rsidRPr="00F118E5">
        <w:rPr>
          <w:rFonts w:ascii="Arial" w:eastAsia="Times New Roman" w:hAnsi="Arial" w:cs="Arial"/>
          <w:color w:val="000000"/>
          <w:sz w:val="22"/>
          <w:shd w:val="clear" w:color="auto" w:fill="FFFFFF"/>
          <w:lang w:eastAsia="es-CO"/>
        </w:rPr>
        <w:t>cu</w:t>
      </w:r>
      <w:proofErr w:type="spellEnd"/>
      <w:r w:rsidR="00F118E5" w:rsidRPr="00F118E5">
        <w:rPr>
          <w:rFonts w:ascii="Arial" w:eastAsia="Times New Roman" w:hAnsi="Arial" w:cs="Arial"/>
          <w:color w:val="000000"/>
          <w:sz w:val="22"/>
          <w:shd w:val="clear" w:color="auto" w:fill="FFFFFF"/>
          <w:lang w:eastAsia="es-CO"/>
        </w:rPr>
        <w:t>[e]</w:t>
      </w:r>
      <w:proofErr w:type="spellStart"/>
      <w:r w:rsidR="00F118E5" w:rsidRPr="00F118E5">
        <w:rPr>
          <w:rFonts w:ascii="Arial" w:eastAsia="Times New Roman" w:hAnsi="Arial" w:cs="Arial"/>
          <w:color w:val="000000"/>
          <w:sz w:val="22"/>
          <w:shd w:val="clear" w:color="auto" w:fill="FFFFFF"/>
          <w:lang w:eastAsia="es-CO"/>
        </w:rPr>
        <w:t>nta</w:t>
      </w:r>
      <w:proofErr w:type="spellEnd"/>
      <w:r w:rsidR="00F118E5" w:rsidRPr="00F118E5">
        <w:rPr>
          <w:rFonts w:ascii="Arial" w:eastAsia="Times New Roman" w:hAnsi="Arial" w:cs="Arial"/>
          <w:color w:val="000000"/>
          <w:sz w:val="22"/>
          <w:shd w:val="clear" w:color="auto" w:fill="FFFFFF"/>
          <w:lang w:eastAsia="es-CO"/>
        </w:rPr>
        <w:t xml:space="preserve"> la crisis sanitaria que atraviesa nuestro país. Y de no aplicar [la] ley de garantías cuál sería su fundamento jurídico. Como también </w:t>
      </w:r>
      <w:r w:rsidR="00F118E5" w:rsidRPr="00F118E5">
        <w:rPr>
          <w:rFonts w:ascii="Arial" w:eastAsia="Times New Roman" w:hAnsi="Arial" w:cs="Arial"/>
          <w:color w:val="000000"/>
          <w:sz w:val="22"/>
          <w:shd w:val="clear" w:color="auto" w:fill="FFFFFF"/>
          <w:lang w:eastAsia="es-CO"/>
        </w:rPr>
        <w:lastRenderedPageBreak/>
        <w:t xml:space="preserve">solicito […] si </w:t>
      </w:r>
      <w:proofErr w:type="gramStart"/>
      <w:r w:rsidR="00F118E5" w:rsidRPr="00F118E5">
        <w:rPr>
          <w:rFonts w:ascii="Arial" w:eastAsia="Times New Roman" w:hAnsi="Arial" w:cs="Arial"/>
          <w:color w:val="000000"/>
          <w:sz w:val="22"/>
          <w:shd w:val="clear" w:color="auto" w:fill="FFFFFF"/>
          <w:lang w:eastAsia="es-CO"/>
        </w:rPr>
        <w:t>dentro de los mal</w:t>
      </w:r>
      <w:proofErr w:type="gramEnd"/>
      <w:r w:rsidR="00F118E5" w:rsidRPr="00F118E5">
        <w:rPr>
          <w:rFonts w:ascii="Arial" w:eastAsia="Times New Roman" w:hAnsi="Arial" w:cs="Arial"/>
          <w:color w:val="000000"/>
          <w:sz w:val="22"/>
          <w:shd w:val="clear" w:color="auto" w:fill="FFFFFF"/>
          <w:lang w:eastAsia="es-CO"/>
        </w:rPr>
        <w:t xml:space="preserve"> de contratación debe tener un acápite de la forma de contratar cuando entre e</w:t>
      </w:r>
      <w:r w:rsidR="002F5098">
        <w:rPr>
          <w:rFonts w:ascii="Arial" w:eastAsia="Times New Roman" w:hAnsi="Arial" w:cs="Arial"/>
          <w:color w:val="000000"/>
          <w:sz w:val="22"/>
          <w:shd w:val="clear" w:color="auto" w:fill="FFFFFF"/>
          <w:lang w:eastAsia="es-CO"/>
        </w:rPr>
        <w:t>n vigencia la ley de garantías»</w:t>
      </w:r>
      <w:r w:rsidR="00CE170E" w:rsidRPr="00535A7F">
        <w:rPr>
          <w:rFonts w:ascii="Arial" w:eastAsia="Calibri" w:hAnsi="Arial" w:cs="Arial"/>
          <w:sz w:val="22"/>
        </w:rPr>
        <w:t>.</w:t>
      </w:r>
    </w:p>
    <w:p w14:paraId="0D6CC038" w14:textId="77777777" w:rsidR="00392E7E" w:rsidRDefault="00392E7E" w:rsidP="00535A7F">
      <w:pPr>
        <w:tabs>
          <w:tab w:val="left" w:pos="426"/>
        </w:tabs>
        <w:spacing w:after="0"/>
        <w:rPr>
          <w:rFonts w:ascii="Arial" w:eastAsia="Calibri" w:hAnsi="Arial" w:cs="Arial"/>
          <w:sz w:val="22"/>
        </w:rPr>
      </w:pPr>
    </w:p>
    <w:bookmarkEnd w:id="1"/>
    <w:bookmarkEnd w:id="2"/>
    <w:p w14:paraId="4CC8DC72" w14:textId="77777777" w:rsidR="00990612" w:rsidRPr="00392E7E" w:rsidRDefault="00990612" w:rsidP="005A114C">
      <w:pPr>
        <w:pStyle w:val="Prrafodelista"/>
        <w:numPr>
          <w:ilvl w:val="0"/>
          <w:numId w:val="6"/>
        </w:numPr>
        <w:tabs>
          <w:tab w:val="left" w:pos="426"/>
        </w:tabs>
        <w:spacing w:after="120"/>
        <w:ind w:left="284" w:hanging="284"/>
        <w:rPr>
          <w:rFonts w:ascii="Arial" w:eastAsia="Calibri" w:hAnsi="Arial" w:cs="Arial"/>
          <w:b/>
          <w:sz w:val="22"/>
          <w:lang w:val="es-CO"/>
        </w:rPr>
      </w:pPr>
      <w:r w:rsidRPr="00392E7E">
        <w:rPr>
          <w:rFonts w:ascii="Arial" w:eastAsia="Calibri" w:hAnsi="Arial" w:cs="Arial"/>
          <w:b/>
          <w:sz w:val="22"/>
          <w:lang w:val="es-CO"/>
        </w:rPr>
        <w:t>Consideraciones</w:t>
      </w:r>
    </w:p>
    <w:p w14:paraId="08F918EF" w14:textId="3A4009B0" w:rsidR="0012687C" w:rsidRPr="002D5D70" w:rsidRDefault="0075455D" w:rsidP="0012687C">
      <w:pPr>
        <w:tabs>
          <w:tab w:val="left" w:pos="426"/>
        </w:tabs>
        <w:spacing w:after="120"/>
        <w:rPr>
          <w:rFonts w:ascii="Arial" w:eastAsia="Calibri" w:hAnsi="Arial" w:cs="Arial"/>
          <w:bCs/>
          <w:sz w:val="22"/>
          <w:lang w:val="es-CO"/>
        </w:rPr>
      </w:pPr>
      <w:r w:rsidRPr="00392E7E">
        <w:rPr>
          <w:rFonts w:ascii="Arial" w:eastAsia="Calibri" w:hAnsi="Arial" w:cs="Arial"/>
          <w:bCs/>
          <w:sz w:val="22"/>
          <w:lang w:val="es-CO"/>
        </w:rPr>
        <w:t xml:space="preserve">Con el propósito de </w:t>
      </w:r>
      <w:r w:rsidR="00990612" w:rsidRPr="00392E7E">
        <w:rPr>
          <w:rFonts w:ascii="Arial" w:eastAsia="Calibri" w:hAnsi="Arial" w:cs="Arial"/>
          <w:bCs/>
          <w:sz w:val="22"/>
          <w:lang w:val="es-CO"/>
        </w:rPr>
        <w:t xml:space="preserve">resolver la consulta se analizará: i) </w:t>
      </w:r>
      <w:r w:rsidR="006D4EC2" w:rsidRPr="00392E7E">
        <w:rPr>
          <w:rFonts w:ascii="Arial" w:eastAsia="Calibri" w:hAnsi="Arial" w:cs="Arial"/>
          <w:bCs/>
          <w:sz w:val="22"/>
          <w:lang w:val="es-CO"/>
        </w:rPr>
        <w:t xml:space="preserve">definición y finalidad de la Ley de Garantías Electorales; </w:t>
      </w:r>
      <w:proofErr w:type="spellStart"/>
      <w:r w:rsidR="006D4EC2" w:rsidRPr="00392E7E">
        <w:rPr>
          <w:rFonts w:ascii="Arial" w:eastAsia="Calibri" w:hAnsi="Arial" w:cs="Arial"/>
          <w:bCs/>
          <w:sz w:val="22"/>
          <w:lang w:val="es-CO"/>
        </w:rPr>
        <w:t>ii</w:t>
      </w:r>
      <w:proofErr w:type="spellEnd"/>
      <w:r w:rsidR="006D4EC2" w:rsidRPr="00392E7E">
        <w:rPr>
          <w:rFonts w:ascii="Arial" w:eastAsia="Calibri" w:hAnsi="Arial" w:cs="Arial"/>
          <w:bCs/>
          <w:sz w:val="22"/>
          <w:lang w:val="es-CO"/>
        </w:rPr>
        <w:t>)</w:t>
      </w:r>
      <w:r w:rsidR="00EB7836" w:rsidRPr="00392E7E">
        <w:rPr>
          <w:rFonts w:ascii="Arial" w:eastAsia="Calibri" w:hAnsi="Arial" w:cs="Arial"/>
          <w:bCs/>
          <w:sz w:val="22"/>
          <w:lang w:val="es-CO"/>
        </w:rPr>
        <w:t xml:space="preserve"> </w:t>
      </w:r>
      <w:r w:rsidR="00392E7E" w:rsidRPr="00392E7E">
        <w:rPr>
          <w:rFonts w:ascii="Arial" w:eastAsia="Calibri" w:hAnsi="Arial" w:cs="Arial"/>
          <w:bCs/>
          <w:sz w:val="22"/>
          <w:lang w:val="es-CO"/>
        </w:rPr>
        <w:t>d</w:t>
      </w:r>
      <w:r w:rsidR="003767EE" w:rsidRPr="00392E7E">
        <w:rPr>
          <w:rFonts w:ascii="Arial" w:eastAsia="Calibri" w:hAnsi="Arial" w:cs="Arial"/>
          <w:bCs/>
          <w:sz w:val="22"/>
          <w:lang w:val="es-CO"/>
        </w:rPr>
        <w:t>eterminación de las</w:t>
      </w:r>
      <w:r w:rsidR="00EB7836" w:rsidRPr="00392E7E">
        <w:rPr>
          <w:rFonts w:ascii="Arial" w:eastAsia="Calibri" w:hAnsi="Arial" w:cs="Arial"/>
          <w:bCs/>
          <w:sz w:val="22"/>
          <w:lang w:val="es-CO"/>
        </w:rPr>
        <w:t xml:space="preserve"> restricciones</w:t>
      </w:r>
      <w:r w:rsidR="00392E7E" w:rsidRPr="00392E7E">
        <w:rPr>
          <w:rFonts w:ascii="Arial" w:eastAsia="Calibri" w:hAnsi="Arial" w:cs="Arial"/>
          <w:bCs/>
          <w:sz w:val="22"/>
          <w:lang w:val="es-CO"/>
        </w:rPr>
        <w:t xml:space="preserve"> según el tipo de elecciones</w:t>
      </w:r>
      <w:r w:rsidR="002A55BF">
        <w:rPr>
          <w:rFonts w:ascii="Arial" w:eastAsia="Calibri" w:hAnsi="Arial" w:cs="Arial"/>
          <w:bCs/>
          <w:sz w:val="22"/>
          <w:lang w:val="es-CO"/>
        </w:rPr>
        <w:t xml:space="preserve"> y excepciones a las mismas</w:t>
      </w:r>
      <w:r w:rsidR="00392E7E" w:rsidRPr="00392E7E">
        <w:rPr>
          <w:rFonts w:ascii="Arial" w:eastAsia="Calibri" w:hAnsi="Arial" w:cs="Arial"/>
          <w:bCs/>
          <w:sz w:val="22"/>
          <w:lang w:val="es-CO"/>
        </w:rPr>
        <w:t xml:space="preserve">; </w:t>
      </w:r>
      <w:proofErr w:type="spellStart"/>
      <w:r w:rsidR="003767EE" w:rsidRPr="00392E7E">
        <w:rPr>
          <w:rFonts w:ascii="Arial" w:eastAsia="Calibri" w:hAnsi="Arial" w:cs="Arial"/>
          <w:bCs/>
          <w:sz w:val="22"/>
          <w:lang w:val="es-CO"/>
        </w:rPr>
        <w:t>iii</w:t>
      </w:r>
      <w:proofErr w:type="spellEnd"/>
      <w:r w:rsidR="003767EE" w:rsidRPr="00392E7E">
        <w:rPr>
          <w:rFonts w:ascii="Arial" w:eastAsia="Calibri" w:hAnsi="Arial" w:cs="Arial"/>
          <w:bCs/>
          <w:sz w:val="22"/>
          <w:lang w:val="es-CO"/>
        </w:rPr>
        <w:t>)</w:t>
      </w:r>
      <w:r w:rsidR="00392E7E" w:rsidRPr="00392E7E">
        <w:rPr>
          <w:rFonts w:ascii="Arial" w:eastAsia="Calibri" w:hAnsi="Arial" w:cs="Arial"/>
          <w:bCs/>
          <w:sz w:val="22"/>
          <w:lang w:val="es-CO"/>
        </w:rPr>
        <w:t xml:space="preserve"> </w:t>
      </w:r>
      <w:r w:rsidR="00142ED4" w:rsidRPr="00142ED4">
        <w:rPr>
          <w:rFonts w:ascii="Arial" w:eastAsia="Calibri" w:hAnsi="Arial" w:cs="Arial"/>
          <w:bCs/>
          <w:sz w:val="22"/>
          <w:lang w:val="es-CO"/>
        </w:rPr>
        <w:t>disposiciones expedidas para mitigar los efectos de la pandemia en el marco de la «emergencia económica social y ecológica» y de la «emergencia sanitaria» ocasionadas por el COVID-19</w:t>
      </w:r>
      <w:r w:rsidR="00405BEB">
        <w:rPr>
          <w:rFonts w:ascii="Arial" w:eastAsia="Calibri" w:hAnsi="Arial" w:cs="Arial"/>
          <w:bCs/>
          <w:sz w:val="22"/>
          <w:lang w:val="es-CO"/>
        </w:rPr>
        <w:t xml:space="preserve">; </w:t>
      </w:r>
      <w:proofErr w:type="spellStart"/>
      <w:r w:rsidR="00405BEB">
        <w:rPr>
          <w:rFonts w:ascii="Arial" w:eastAsia="Calibri" w:hAnsi="Arial" w:cs="Arial"/>
          <w:bCs/>
          <w:sz w:val="22"/>
          <w:lang w:val="es-CO"/>
        </w:rPr>
        <w:t>iv</w:t>
      </w:r>
      <w:proofErr w:type="spellEnd"/>
      <w:r w:rsidR="00405BEB">
        <w:rPr>
          <w:rFonts w:ascii="Arial" w:eastAsia="Calibri" w:hAnsi="Arial" w:cs="Arial"/>
          <w:bCs/>
          <w:sz w:val="22"/>
          <w:lang w:val="es-CO"/>
        </w:rPr>
        <w:t>) c</w:t>
      </w:r>
      <w:r w:rsidR="00405BEB" w:rsidRPr="00405BEB">
        <w:rPr>
          <w:rFonts w:ascii="Arial" w:eastAsia="Calibri" w:hAnsi="Arial" w:cs="Arial"/>
          <w:bCs/>
          <w:sz w:val="22"/>
          <w:lang w:val="es-CO"/>
        </w:rPr>
        <w:t xml:space="preserve">ontratación </w:t>
      </w:r>
      <w:r w:rsidR="00405BEB">
        <w:rPr>
          <w:rFonts w:ascii="Arial" w:eastAsia="Calibri" w:hAnsi="Arial" w:cs="Arial"/>
          <w:bCs/>
          <w:sz w:val="22"/>
          <w:lang w:val="es-CO"/>
        </w:rPr>
        <w:t xml:space="preserve">pública en el contexto </w:t>
      </w:r>
      <w:r w:rsidR="00405BEB" w:rsidRPr="00405BEB">
        <w:rPr>
          <w:rFonts w:ascii="Arial" w:eastAsia="Calibri" w:hAnsi="Arial" w:cs="Arial"/>
          <w:bCs/>
          <w:sz w:val="22"/>
          <w:lang w:val="es-CO"/>
        </w:rPr>
        <w:t xml:space="preserve">de la «emergencia sanitaria» ocasionada por el COVID-19 </w:t>
      </w:r>
      <w:r w:rsidR="00405BEB">
        <w:rPr>
          <w:rFonts w:ascii="Arial" w:eastAsia="Calibri" w:hAnsi="Arial" w:cs="Arial"/>
          <w:bCs/>
          <w:sz w:val="22"/>
          <w:lang w:val="es-CO"/>
        </w:rPr>
        <w:t>– urgencia manifiesta e instrumentos de agregación de demanda; v)</w:t>
      </w:r>
      <w:r w:rsidR="00EF298E">
        <w:rPr>
          <w:rFonts w:ascii="Arial" w:eastAsia="Calibri" w:hAnsi="Arial" w:cs="Arial"/>
          <w:bCs/>
          <w:sz w:val="22"/>
          <w:lang w:val="es-CO"/>
        </w:rPr>
        <w:t xml:space="preserve"> </w:t>
      </w:r>
      <w:r w:rsidR="009B4F07">
        <w:rPr>
          <w:rFonts w:ascii="Arial" w:eastAsia="Calibri" w:hAnsi="Arial" w:cs="Arial"/>
          <w:bCs/>
          <w:sz w:val="22"/>
          <w:lang w:val="es-CO"/>
        </w:rPr>
        <w:t>n</w:t>
      </w:r>
      <w:r w:rsidR="00EF298E">
        <w:rPr>
          <w:rFonts w:ascii="Arial" w:eastAsia="Calibri" w:hAnsi="Arial" w:cs="Arial"/>
          <w:bCs/>
          <w:sz w:val="22"/>
          <w:lang w:val="es-CO"/>
        </w:rPr>
        <w:t>aturaleza y f</w:t>
      </w:r>
      <w:r w:rsidR="00363A1E">
        <w:rPr>
          <w:rFonts w:ascii="Arial" w:eastAsia="Calibri" w:hAnsi="Arial" w:cs="Arial"/>
          <w:bCs/>
          <w:sz w:val="22"/>
          <w:lang w:val="es-CO"/>
        </w:rPr>
        <w:t xml:space="preserve">inalidad </w:t>
      </w:r>
      <w:r w:rsidR="00EF298E">
        <w:rPr>
          <w:rFonts w:ascii="Arial" w:eastAsia="Calibri" w:hAnsi="Arial" w:cs="Arial"/>
          <w:bCs/>
          <w:sz w:val="22"/>
          <w:lang w:val="es-CO"/>
        </w:rPr>
        <w:t>de los manuales de contratación de las entidades estatales</w:t>
      </w:r>
      <w:r w:rsidR="009B4F07">
        <w:rPr>
          <w:rFonts w:ascii="Arial" w:eastAsia="Calibri" w:hAnsi="Arial" w:cs="Arial"/>
          <w:bCs/>
          <w:sz w:val="22"/>
          <w:lang w:val="es-CO"/>
        </w:rPr>
        <w:t xml:space="preserve"> y vi) contenido de los manuales de contratación</w:t>
      </w:r>
      <w:r w:rsidR="009A3BE0">
        <w:rPr>
          <w:rFonts w:ascii="Arial" w:eastAsia="Calibri" w:hAnsi="Arial" w:cs="Arial"/>
          <w:bCs/>
          <w:sz w:val="22"/>
          <w:lang w:val="es-CO"/>
        </w:rPr>
        <w:t>.</w:t>
      </w:r>
      <w:r w:rsidR="009B4F07">
        <w:rPr>
          <w:rFonts w:ascii="Arial" w:eastAsia="Calibri" w:hAnsi="Arial" w:cs="Arial"/>
          <w:bCs/>
          <w:sz w:val="22"/>
          <w:lang w:val="es-CO"/>
        </w:rPr>
        <w:t xml:space="preserve"> </w:t>
      </w:r>
    </w:p>
    <w:p w14:paraId="1B0A4F73" w14:textId="51EC2950" w:rsidR="008F39BD" w:rsidRDefault="008F39BD" w:rsidP="0012687C">
      <w:pPr>
        <w:tabs>
          <w:tab w:val="left" w:pos="426"/>
        </w:tabs>
        <w:ind w:firstLine="709"/>
        <w:rPr>
          <w:rFonts w:ascii="Arial" w:hAnsi="Arial" w:cs="Arial"/>
          <w:color w:val="000000" w:themeColor="text1"/>
          <w:sz w:val="22"/>
          <w:lang w:val="es-ES_tradnl"/>
        </w:rPr>
      </w:pPr>
      <w:r w:rsidRPr="002D5D70">
        <w:rPr>
          <w:rFonts w:ascii="Arial" w:eastAsia="Calibri" w:hAnsi="Arial" w:cs="Arial"/>
          <w:color w:val="000000" w:themeColor="text1"/>
          <w:sz w:val="22"/>
          <w:lang w:val="es-ES_tradnl"/>
        </w:rPr>
        <w:t>L</w:t>
      </w:r>
      <w:r w:rsidRPr="002D5D70">
        <w:rPr>
          <w:rFonts w:ascii="Arial" w:hAnsi="Arial" w:cs="Arial"/>
          <w:color w:val="000000" w:themeColor="text1"/>
          <w:sz w:val="22"/>
          <w:lang w:val="es-ES_tradnl"/>
        </w:rPr>
        <w:t xml:space="preserve">a Agencia Nacional de Contratación Pública ― Colombia Compra Eficiente </w:t>
      </w:r>
      <w:r w:rsidR="00A56A79" w:rsidRPr="002D5D70">
        <w:rPr>
          <w:rFonts w:ascii="Arial" w:hAnsi="Arial" w:cs="Arial"/>
          <w:color w:val="000000" w:themeColor="text1"/>
          <w:sz w:val="22"/>
          <w:lang w:val="es-ES_tradnl"/>
        </w:rPr>
        <w:t>ha impartido lineamientos sobre la</w:t>
      </w:r>
      <w:r w:rsidRPr="002D5D70">
        <w:rPr>
          <w:rFonts w:ascii="Arial" w:hAnsi="Arial" w:cs="Arial"/>
          <w:color w:val="000000" w:themeColor="text1"/>
          <w:sz w:val="22"/>
          <w:lang w:val="es-ES_tradnl"/>
        </w:rPr>
        <w:t xml:space="preserve"> </w:t>
      </w:r>
      <w:r w:rsidR="00D05E28" w:rsidRPr="002D5D70">
        <w:rPr>
          <w:rFonts w:ascii="Arial" w:hAnsi="Arial" w:cs="Arial"/>
          <w:color w:val="000000" w:themeColor="text1"/>
          <w:sz w:val="22"/>
          <w:lang w:val="es-ES_tradnl"/>
        </w:rPr>
        <w:t>aplicación de la Ley 996 de 2005</w:t>
      </w:r>
      <w:r w:rsidR="00A56A79" w:rsidRPr="002D5D70">
        <w:rPr>
          <w:rFonts w:ascii="Arial" w:hAnsi="Arial" w:cs="Arial"/>
          <w:color w:val="000000" w:themeColor="text1"/>
          <w:sz w:val="22"/>
          <w:lang w:val="es-ES_tradnl"/>
        </w:rPr>
        <w:t xml:space="preserve"> y también se ha pronunciado</w:t>
      </w:r>
      <w:r w:rsidRPr="002D5D70">
        <w:rPr>
          <w:rFonts w:ascii="Arial" w:hAnsi="Arial" w:cs="Arial"/>
          <w:color w:val="000000" w:themeColor="text1"/>
          <w:sz w:val="22"/>
          <w:lang w:val="es-ES_tradnl"/>
        </w:rPr>
        <w:t xml:space="preserve"> </w:t>
      </w:r>
      <w:r w:rsidR="00735A39" w:rsidRPr="002D5D70">
        <w:rPr>
          <w:rFonts w:ascii="Arial" w:hAnsi="Arial" w:cs="Arial"/>
          <w:color w:val="000000" w:themeColor="text1"/>
          <w:sz w:val="22"/>
          <w:lang w:val="es-ES_tradnl"/>
        </w:rPr>
        <w:t xml:space="preserve">al respecto </w:t>
      </w:r>
      <w:r w:rsidRPr="002D5D70">
        <w:rPr>
          <w:rFonts w:ascii="Arial" w:hAnsi="Arial" w:cs="Arial"/>
          <w:color w:val="000000" w:themeColor="text1"/>
          <w:sz w:val="22"/>
          <w:lang w:val="es-ES_tradnl"/>
        </w:rPr>
        <w:t>en los conceptos con radicados:</w:t>
      </w:r>
      <w:r w:rsidR="003767EE" w:rsidRPr="002D5D70">
        <w:rPr>
          <w:rFonts w:ascii="Arial" w:hAnsi="Arial" w:cs="Arial"/>
          <w:color w:val="000000" w:themeColor="text1"/>
          <w:sz w:val="22"/>
          <w:lang w:val="es-ES_tradnl"/>
        </w:rPr>
        <w:t xml:space="preserve"> </w:t>
      </w:r>
      <w:r w:rsidR="004D1653" w:rsidRPr="002D5D70">
        <w:rPr>
          <w:rFonts w:ascii="Arial" w:hAnsi="Arial" w:cs="Arial"/>
          <w:color w:val="000000" w:themeColor="text1"/>
          <w:sz w:val="22"/>
          <w:lang w:val="es-ES_tradnl"/>
        </w:rPr>
        <w:t xml:space="preserve">4201912000004632 del 6 de agosto de 2019, </w:t>
      </w:r>
      <w:r w:rsidR="00A56A79" w:rsidRPr="002D5D70">
        <w:rPr>
          <w:rFonts w:ascii="Arial" w:hAnsi="Arial" w:cs="Arial"/>
          <w:color w:val="000000" w:themeColor="text1"/>
          <w:sz w:val="22"/>
          <w:lang w:val="es-ES_tradnl"/>
        </w:rPr>
        <w:t>2201913000005655 del 8 de agosto de 2019,</w:t>
      </w:r>
      <w:r w:rsidR="00735A39" w:rsidRPr="002D5D70">
        <w:rPr>
          <w:rFonts w:ascii="Arial" w:hAnsi="Arial" w:cs="Arial"/>
          <w:color w:val="000000" w:themeColor="text1"/>
          <w:sz w:val="22"/>
          <w:lang w:val="es-ES_tradnl"/>
        </w:rPr>
        <w:t xml:space="preserve"> </w:t>
      </w:r>
      <w:r w:rsidR="003767EE" w:rsidRPr="002D5D70">
        <w:rPr>
          <w:rFonts w:ascii="Arial" w:hAnsi="Arial" w:cs="Arial"/>
          <w:color w:val="000000" w:themeColor="text1"/>
          <w:sz w:val="22"/>
          <w:lang w:val="es-ES_tradnl"/>
        </w:rPr>
        <w:t>2201913000006283 del 27 de agosto de 2019</w:t>
      </w:r>
      <w:r w:rsidR="00D047D3" w:rsidRPr="002D5D70">
        <w:rPr>
          <w:rFonts w:ascii="Arial" w:hAnsi="Arial" w:cs="Arial"/>
          <w:color w:val="000000" w:themeColor="text1"/>
          <w:sz w:val="22"/>
          <w:lang w:val="es-ES_tradnl"/>
        </w:rPr>
        <w:t>, 2201913000006521  del 3 de septiembre de 2019,</w:t>
      </w:r>
      <w:r w:rsidR="00AD2E44" w:rsidRPr="002D5D70">
        <w:rPr>
          <w:rFonts w:ascii="Arial" w:hAnsi="Arial" w:cs="Arial"/>
          <w:color w:val="000000" w:themeColor="text1"/>
          <w:sz w:val="22"/>
          <w:lang w:val="es-ES_tradnl"/>
        </w:rPr>
        <w:t xml:space="preserve"> </w:t>
      </w:r>
      <w:r w:rsidR="00D047D3" w:rsidRPr="002D5D70">
        <w:rPr>
          <w:rFonts w:ascii="Arial" w:hAnsi="Arial" w:cs="Arial"/>
          <w:color w:val="000000" w:themeColor="text1"/>
          <w:sz w:val="22"/>
          <w:lang w:val="es-ES_tradnl"/>
        </w:rPr>
        <w:t xml:space="preserve"> </w:t>
      </w:r>
      <w:r w:rsidR="00AD2E44" w:rsidRPr="002D5D70">
        <w:rPr>
          <w:rFonts w:ascii="Arial" w:hAnsi="Arial" w:cs="Arial"/>
          <w:color w:val="000000" w:themeColor="text1"/>
          <w:sz w:val="22"/>
          <w:lang w:val="es-ES_tradnl"/>
        </w:rPr>
        <w:t xml:space="preserve">2201913000006634 del 6 de septiembre de 2019, </w:t>
      </w:r>
      <w:r w:rsidR="004F5F6A" w:rsidRPr="002D5D70">
        <w:rPr>
          <w:rFonts w:ascii="Arial" w:hAnsi="Arial" w:cs="Arial"/>
          <w:color w:val="000000" w:themeColor="text1"/>
          <w:sz w:val="22"/>
          <w:lang w:val="es-ES_tradnl"/>
        </w:rPr>
        <w:t xml:space="preserve">2201913000006639 del 9 de septiembre de 2019, </w:t>
      </w:r>
      <w:r w:rsidR="003528F0" w:rsidRPr="002D5D70">
        <w:rPr>
          <w:rFonts w:ascii="Arial" w:hAnsi="Arial" w:cs="Arial"/>
          <w:sz w:val="22"/>
        </w:rPr>
        <w:t xml:space="preserve">2201913000007430 del 7 de octubre de 2019, </w:t>
      </w:r>
      <w:r w:rsidR="00C8219B" w:rsidRPr="002D5D70">
        <w:rPr>
          <w:rFonts w:ascii="Arial" w:hAnsi="Arial" w:cs="Arial"/>
          <w:color w:val="000000" w:themeColor="text1"/>
          <w:sz w:val="22"/>
          <w:lang w:val="es-ES_tradnl"/>
        </w:rPr>
        <w:t xml:space="preserve">2201913000007565 del 10 </w:t>
      </w:r>
      <w:r w:rsidR="00C8219B" w:rsidRPr="00815027">
        <w:rPr>
          <w:rFonts w:ascii="Arial" w:hAnsi="Arial" w:cs="Arial"/>
          <w:color w:val="000000" w:themeColor="text1"/>
          <w:sz w:val="22"/>
          <w:lang w:val="es-ES_tradnl"/>
        </w:rPr>
        <w:t xml:space="preserve">de octubre de 2019, </w:t>
      </w:r>
      <w:r w:rsidR="00D63081" w:rsidRPr="00815027">
        <w:rPr>
          <w:rFonts w:ascii="Arial" w:hAnsi="Arial" w:cs="Arial"/>
          <w:color w:val="000000" w:themeColor="text1"/>
          <w:sz w:val="22"/>
          <w:lang w:val="es-ES_tradnl"/>
        </w:rPr>
        <w:t>2201913000008259 del 6 de noviembre de 2019.</w:t>
      </w:r>
      <w:r w:rsidR="00543C0B">
        <w:rPr>
          <w:rFonts w:ascii="Arial" w:hAnsi="Arial" w:cs="Arial"/>
          <w:color w:val="000000" w:themeColor="text1"/>
          <w:sz w:val="22"/>
          <w:lang w:val="es-ES_tradnl"/>
        </w:rPr>
        <w:t xml:space="preserve"> Respecto a las </w:t>
      </w:r>
      <w:r w:rsidR="006661E2" w:rsidRPr="001C64F9">
        <w:rPr>
          <w:rFonts w:ascii="Arial" w:hAnsi="Arial" w:cs="Arial"/>
          <w:noProof/>
          <w:color w:val="000000" w:themeColor="text1"/>
          <w:sz w:val="22"/>
          <w:lang w:val="es-ES_tradnl"/>
        </w:rPr>
        <w:t xml:space="preserve">disposiciones expedidas </w:t>
      </w:r>
      <w:r w:rsidR="004E1873">
        <w:rPr>
          <w:rFonts w:ascii="Arial" w:hAnsi="Arial" w:cs="Arial"/>
          <w:noProof/>
          <w:color w:val="000000" w:themeColor="text1"/>
          <w:sz w:val="22"/>
          <w:lang w:val="es-ES_tradnl"/>
        </w:rPr>
        <w:t xml:space="preserve">y herramientas </w:t>
      </w:r>
      <w:r w:rsidR="006661E2" w:rsidRPr="001C64F9">
        <w:rPr>
          <w:rFonts w:ascii="Arial" w:hAnsi="Arial" w:cs="Arial"/>
          <w:noProof/>
          <w:color w:val="000000" w:themeColor="text1"/>
          <w:sz w:val="22"/>
          <w:lang w:val="es-ES_tradnl"/>
        </w:rPr>
        <w:t xml:space="preserve">para mitigar los efectos de la pandemia en el ámbito de la contratación estatal, </w:t>
      </w:r>
      <w:r w:rsidR="00543C0B">
        <w:rPr>
          <w:rFonts w:ascii="Arial" w:hAnsi="Arial" w:cs="Arial"/>
          <w:noProof/>
          <w:color w:val="000000" w:themeColor="text1"/>
          <w:sz w:val="22"/>
          <w:lang w:val="es-ES_tradnl"/>
        </w:rPr>
        <w:t xml:space="preserve">la entidad expidió los conceptos: </w:t>
      </w:r>
      <w:r w:rsidR="006661E2" w:rsidRPr="001C64F9">
        <w:rPr>
          <w:rFonts w:ascii="Arial" w:hAnsi="Arial" w:cs="Arial"/>
          <w:noProof/>
          <w:color w:val="000000" w:themeColor="text1"/>
          <w:sz w:val="22"/>
          <w:lang w:val="es-ES_tradnl"/>
        </w:rPr>
        <w:t>C-005, C-006</w:t>
      </w:r>
      <w:r w:rsidR="00CB6280">
        <w:rPr>
          <w:rFonts w:ascii="Arial" w:hAnsi="Arial" w:cs="Arial"/>
          <w:noProof/>
          <w:color w:val="000000" w:themeColor="text1"/>
          <w:sz w:val="22"/>
          <w:lang w:val="es-ES_tradnl"/>
        </w:rPr>
        <w:t xml:space="preserve">, </w:t>
      </w:r>
      <w:r w:rsidR="00CB6280" w:rsidRPr="001C64F9">
        <w:rPr>
          <w:rFonts w:ascii="Arial" w:hAnsi="Arial" w:cs="Arial"/>
          <w:noProof/>
          <w:color w:val="000000" w:themeColor="text1"/>
          <w:sz w:val="22"/>
          <w:lang w:val="es-ES_tradnl"/>
        </w:rPr>
        <w:t xml:space="preserve">C-018 </w:t>
      </w:r>
      <w:r w:rsidR="006661E2" w:rsidRPr="001C64F9">
        <w:rPr>
          <w:rFonts w:ascii="Arial" w:hAnsi="Arial" w:cs="Arial"/>
          <w:noProof/>
          <w:color w:val="000000" w:themeColor="text1"/>
          <w:sz w:val="22"/>
          <w:lang w:val="es-ES_tradnl"/>
        </w:rPr>
        <w:t xml:space="preserve">y </w:t>
      </w:r>
      <w:r w:rsidR="00CB6280">
        <w:rPr>
          <w:rFonts w:ascii="Arial" w:hAnsi="Arial" w:cs="Arial"/>
          <w:noProof/>
          <w:color w:val="000000" w:themeColor="text1"/>
          <w:sz w:val="22"/>
          <w:lang w:val="es-ES_tradnl"/>
        </w:rPr>
        <w:t>C-138</w:t>
      </w:r>
      <w:r w:rsidR="00CB6280" w:rsidRPr="001C64F9">
        <w:rPr>
          <w:rFonts w:ascii="Arial" w:hAnsi="Arial" w:cs="Arial"/>
          <w:noProof/>
          <w:color w:val="000000" w:themeColor="text1"/>
          <w:sz w:val="22"/>
          <w:lang w:val="es-ES_tradnl"/>
        </w:rPr>
        <w:t xml:space="preserve"> </w:t>
      </w:r>
      <w:r w:rsidR="006661E2" w:rsidRPr="001C64F9">
        <w:rPr>
          <w:rFonts w:ascii="Arial" w:hAnsi="Arial" w:cs="Arial"/>
          <w:noProof/>
          <w:color w:val="000000" w:themeColor="text1"/>
          <w:sz w:val="22"/>
          <w:lang w:val="es-ES_tradnl"/>
        </w:rPr>
        <w:t xml:space="preserve">del 11 de mayo de 2020; </w:t>
      </w:r>
      <w:r w:rsidR="00CB6280" w:rsidRPr="001C64F9">
        <w:rPr>
          <w:rFonts w:ascii="Arial" w:hAnsi="Arial" w:cs="Arial"/>
          <w:noProof/>
          <w:color w:val="000000" w:themeColor="text1"/>
          <w:sz w:val="22"/>
          <w:lang w:val="es-ES_tradnl"/>
        </w:rPr>
        <w:t>C-053</w:t>
      </w:r>
      <w:r w:rsidR="00CB6280">
        <w:rPr>
          <w:rFonts w:ascii="Arial" w:hAnsi="Arial" w:cs="Arial"/>
          <w:noProof/>
          <w:color w:val="000000" w:themeColor="text1"/>
          <w:sz w:val="22"/>
          <w:lang w:val="es-ES_tradnl"/>
        </w:rPr>
        <w:t xml:space="preserve">, C-175, </w:t>
      </w:r>
      <w:r w:rsidR="006661E2" w:rsidRPr="001C64F9">
        <w:rPr>
          <w:rFonts w:ascii="Arial" w:hAnsi="Arial" w:cs="Arial"/>
          <w:noProof/>
          <w:color w:val="000000" w:themeColor="text1"/>
          <w:sz w:val="22"/>
          <w:lang w:val="es-ES_tradnl"/>
        </w:rPr>
        <w:t>C-255, C-282,</w:t>
      </w:r>
      <w:r w:rsidR="006661E2">
        <w:rPr>
          <w:rFonts w:ascii="Arial" w:hAnsi="Arial" w:cs="Arial"/>
          <w:noProof/>
          <w:color w:val="000000" w:themeColor="text1"/>
          <w:sz w:val="22"/>
          <w:lang w:val="es-ES_tradnl"/>
        </w:rPr>
        <w:t xml:space="preserve"> C-293 </w:t>
      </w:r>
      <w:r w:rsidR="00CB6280">
        <w:rPr>
          <w:rFonts w:ascii="Arial" w:hAnsi="Arial" w:cs="Arial"/>
          <w:noProof/>
          <w:color w:val="000000" w:themeColor="text1"/>
          <w:sz w:val="22"/>
          <w:lang w:val="es-ES_tradnl"/>
        </w:rPr>
        <w:t xml:space="preserve">y C-320 </w:t>
      </w:r>
      <w:r w:rsidR="006661E2">
        <w:rPr>
          <w:rFonts w:ascii="Arial" w:hAnsi="Arial" w:cs="Arial"/>
          <w:noProof/>
          <w:color w:val="000000" w:themeColor="text1"/>
          <w:sz w:val="22"/>
          <w:lang w:val="es-ES_tradnl"/>
        </w:rPr>
        <w:t xml:space="preserve">del 12 de mayo de 2020, </w:t>
      </w:r>
      <w:r w:rsidR="006661E2" w:rsidRPr="001C64F9">
        <w:rPr>
          <w:rFonts w:ascii="Arial" w:hAnsi="Arial" w:cs="Arial"/>
          <w:noProof/>
          <w:color w:val="000000" w:themeColor="text1"/>
          <w:sz w:val="22"/>
          <w:lang w:val="es-ES_tradnl"/>
        </w:rPr>
        <w:t>C-345 del 13 de mayo de 2020</w:t>
      </w:r>
      <w:r w:rsidR="006661E2">
        <w:rPr>
          <w:rFonts w:ascii="Arial" w:hAnsi="Arial" w:cs="Arial"/>
          <w:noProof/>
          <w:color w:val="000000" w:themeColor="text1"/>
          <w:sz w:val="22"/>
          <w:lang w:val="es-ES_tradnl"/>
        </w:rPr>
        <w:t>,</w:t>
      </w:r>
      <w:r w:rsidR="00CB6280">
        <w:rPr>
          <w:rFonts w:ascii="Arial" w:hAnsi="Arial" w:cs="Arial"/>
          <w:noProof/>
          <w:color w:val="000000" w:themeColor="text1"/>
          <w:sz w:val="22"/>
          <w:lang w:val="es-ES_tradnl"/>
        </w:rPr>
        <w:t xml:space="preserve"> </w:t>
      </w:r>
      <w:r w:rsidR="00CB6280" w:rsidRPr="00754FD8">
        <w:rPr>
          <w:rFonts w:ascii="Arial" w:hAnsi="Arial" w:cs="Arial"/>
          <w:noProof/>
          <w:color w:val="000000" w:themeColor="text1"/>
          <w:sz w:val="22"/>
          <w:lang w:val="es-ES_tradnl"/>
        </w:rPr>
        <w:t>C-305, C-308 y C-318, del 28 de mayo de 2020</w:t>
      </w:r>
      <w:r w:rsidR="00CB6280">
        <w:rPr>
          <w:rFonts w:ascii="Arial" w:hAnsi="Arial" w:cs="Arial"/>
          <w:noProof/>
          <w:color w:val="000000" w:themeColor="text1"/>
          <w:sz w:val="22"/>
          <w:lang w:val="es-ES_tradnl"/>
        </w:rPr>
        <w:t xml:space="preserve">, </w:t>
      </w:r>
      <w:r w:rsidR="00CB6280" w:rsidRPr="00754FD8">
        <w:rPr>
          <w:rFonts w:ascii="Arial" w:hAnsi="Arial" w:cs="Arial"/>
          <w:noProof/>
          <w:color w:val="000000" w:themeColor="text1"/>
          <w:sz w:val="22"/>
          <w:lang w:val="es-ES_tradnl"/>
        </w:rPr>
        <w:t>C-452 del 28 de julio de 2020</w:t>
      </w:r>
      <w:r w:rsidR="00CB6280">
        <w:rPr>
          <w:rFonts w:ascii="Arial" w:hAnsi="Arial" w:cs="Arial"/>
          <w:noProof/>
          <w:color w:val="000000" w:themeColor="text1"/>
          <w:sz w:val="22"/>
          <w:lang w:val="es-ES_tradnl"/>
        </w:rPr>
        <w:t>,</w:t>
      </w:r>
      <w:r w:rsidR="006661E2">
        <w:rPr>
          <w:rFonts w:ascii="Arial" w:hAnsi="Arial" w:cs="Arial"/>
          <w:noProof/>
          <w:color w:val="000000" w:themeColor="text1"/>
          <w:sz w:val="22"/>
          <w:lang w:val="es-ES_tradnl"/>
        </w:rPr>
        <w:t xml:space="preserve"> </w:t>
      </w:r>
      <w:r w:rsidR="003605C7" w:rsidRPr="003605C7">
        <w:rPr>
          <w:rFonts w:ascii="Arial" w:hAnsi="Arial" w:cs="Arial"/>
          <w:noProof/>
          <w:color w:val="000000" w:themeColor="text1"/>
          <w:sz w:val="22"/>
          <w:lang w:val="es-ES_tradnl"/>
        </w:rPr>
        <w:t>C-495 del 30 de julio de 2020,</w:t>
      </w:r>
      <w:r w:rsidR="003605C7">
        <w:rPr>
          <w:rFonts w:ascii="Arial" w:hAnsi="Arial" w:cs="Arial"/>
          <w:noProof/>
          <w:color w:val="000000" w:themeColor="text1"/>
          <w:sz w:val="22"/>
          <w:lang w:val="es-ES_tradnl"/>
        </w:rPr>
        <w:t xml:space="preserve"> C-493 del 31 de julio de 2020,</w:t>
      </w:r>
      <w:r w:rsidR="003605C7" w:rsidRPr="003605C7">
        <w:rPr>
          <w:rFonts w:ascii="Arial" w:hAnsi="Arial" w:cs="Arial"/>
          <w:noProof/>
          <w:color w:val="000000" w:themeColor="text1"/>
          <w:sz w:val="22"/>
          <w:lang w:val="es-ES_tradnl"/>
        </w:rPr>
        <w:t xml:space="preserve"> C-526 del 11 de agosto de 2020</w:t>
      </w:r>
      <w:r w:rsidR="003605C7">
        <w:rPr>
          <w:rFonts w:ascii="Arial" w:hAnsi="Arial" w:cs="Arial"/>
          <w:noProof/>
          <w:color w:val="000000" w:themeColor="text1"/>
          <w:sz w:val="22"/>
          <w:lang w:val="es-ES_tradnl"/>
        </w:rPr>
        <w:t xml:space="preserve">, </w:t>
      </w:r>
      <w:r w:rsidR="00C70193">
        <w:rPr>
          <w:rFonts w:ascii="Arial" w:hAnsi="Arial" w:cs="Arial"/>
          <w:color w:val="000000" w:themeColor="text1"/>
          <w:sz w:val="22"/>
          <w:lang w:val="es-ES_tradnl"/>
        </w:rPr>
        <w:t>C-027 del 1 de marzo de 2021</w:t>
      </w:r>
      <w:r w:rsidR="005D4693">
        <w:rPr>
          <w:rFonts w:ascii="Arial" w:hAnsi="Arial" w:cs="Arial"/>
          <w:color w:val="000000" w:themeColor="text1"/>
          <w:sz w:val="22"/>
          <w:lang w:val="es-ES_tradnl"/>
        </w:rPr>
        <w:t>, C-063 del 10 de marzo de 2021,</w:t>
      </w:r>
      <w:r w:rsidR="00543C0B">
        <w:rPr>
          <w:rFonts w:ascii="Arial" w:hAnsi="Arial" w:cs="Arial"/>
          <w:color w:val="000000" w:themeColor="text1"/>
          <w:sz w:val="22"/>
          <w:lang w:val="es-ES_tradnl"/>
        </w:rPr>
        <w:t xml:space="preserve"> entre otros</w:t>
      </w:r>
      <w:r w:rsidR="004E1873">
        <w:rPr>
          <w:rFonts w:ascii="Arial" w:hAnsi="Arial" w:cs="Arial"/>
          <w:color w:val="000000" w:themeColor="text1"/>
          <w:sz w:val="22"/>
          <w:lang w:val="es-ES_tradnl"/>
        </w:rPr>
        <w:t xml:space="preserve">. En cuanto a la definición y contenido de los manuales de contratación, se pronunció </w:t>
      </w:r>
      <w:r w:rsidR="00E83F77">
        <w:rPr>
          <w:rFonts w:ascii="Arial" w:hAnsi="Arial" w:cs="Arial"/>
          <w:color w:val="000000" w:themeColor="text1"/>
          <w:sz w:val="22"/>
          <w:lang w:val="es-ES_tradnl"/>
        </w:rPr>
        <w:t>en los</w:t>
      </w:r>
      <w:r w:rsidR="004E1873">
        <w:rPr>
          <w:rFonts w:ascii="Arial" w:hAnsi="Arial" w:cs="Arial"/>
          <w:color w:val="000000" w:themeColor="text1"/>
          <w:sz w:val="22"/>
          <w:lang w:val="es-ES_tradnl"/>
        </w:rPr>
        <w:t xml:space="preserve"> concepto</w:t>
      </w:r>
      <w:r w:rsidR="00E83F77">
        <w:rPr>
          <w:rFonts w:ascii="Arial" w:hAnsi="Arial" w:cs="Arial"/>
          <w:color w:val="000000" w:themeColor="text1"/>
          <w:sz w:val="22"/>
          <w:lang w:val="es-ES_tradnl"/>
        </w:rPr>
        <w:t>s</w:t>
      </w:r>
      <w:r w:rsidR="004E1873">
        <w:rPr>
          <w:rFonts w:ascii="Arial" w:hAnsi="Arial" w:cs="Arial"/>
          <w:color w:val="000000" w:themeColor="text1"/>
          <w:sz w:val="22"/>
          <w:lang w:val="es-ES_tradnl"/>
        </w:rPr>
        <w:t xml:space="preserve"> </w:t>
      </w:r>
      <w:r w:rsidR="00E83F77">
        <w:rPr>
          <w:rFonts w:ascii="Arial" w:hAnsi="Arial" w:cs="Arial"/>
          <w:color w:val="000000" w:themeColor="text1"/>
          <w:sz w:val="22"/>
          <w:lang w:val="es-ES_tradnl"/>
        </w:rPr>
        <w:t xml:space="preserve">C – 362 del 3 de julio de 2020, </w:t>
      </w:r>
      <w:r w:rsidR="004E1873">
        <w:rPr>
          <w:rFonts w:ascii="Arial" w:hAnsi="Arial" w:cs="Arial"/>
          <w:color w:val="000000" w:themeColor="text1"/>
          <w:sz w:val="22"/>
          <w:lang w:val="es-ES_tradnl"/>
        </w:rPr>
        <w:t xml:space="preserve">C – 014 </w:t>
      </w:r>
      <w:r w:rsidR="004349E0">
        <w:rPr>
          <w:rFonts w:ascii="Arial" w:hAnsi="Arial" w:cs="Arial"/>
          <w:color w:val="000000" w:themeColor="text1"/>
          <w:sz w:val="22"/>
          <w:lang w:val="es-ES_tradnl"/>
        </w:rPr>
        <w:t>del 10 de febrero de 2021</w:t>
      </w:r>
      <w:r w:rsidR="00E83F77">
        <w:rPr>
          <w:rFonts w:ascii="Arial" w:hAnsi="Arial" w:cs="Arial"/>
          <w:color w:val="000000" w:themeColor="text1"/>
          <w:sz w:val="22"/>
          <w:lang w:val="es-ES_tradnl"/>
        </w:rPr>
        <w:t>, C – 062 del 15 de marzo de 2021</w:t>
      </w:r>
      <w:r w:rsidR="0003690D">
        <w:rPr>
          <w:rFonts w:ascii="Arial" w:hAnsi="Arial" w:cs="Arial"/>
          <w:color w:val="000000" w:themeColor="text1"/>
          <w:sz w:val="22"/>
          <w:lang w:val="es-ES_tradnl"/>
        </w:rPr>
        <w:t>.</w:t>
      </w:r>
      <w:r w:rsidR="00815027">
        <w:rPr>
          <w:rFonts w:ascii="Arial" w:hAnsi="Arial" w:cs="Arial"/>
          <w:color w:val="000000" w:themeColor="text1"/>
          <w:sz w:val="22"/>
          <w:lang w:val="es-ES_tradnl"/>
        </w:rPr>
        <w:t xml:space="preserve"> </w:t>
      </w:r>
      <w:r w:rsidR="00D05E28" w:rsidRPr="00815027">
        <w:rPr>
          <w:rFonts w:ascii="Arial" w:hAnsi="Arial" w:cs="Arial"/>
          <w:color w:val="000000" w:themeColor="text1"/>
          <w:sz w:val="22"/>
          <w:lang w:val="es-ES_tradnl"/>
        </w:rPr>
        <w:t>La</w:t>
      </w:r>
      <w:r w:rsidR="00C01713" w:rsidRPr="00815027">
        <w:rPr>
          <w:rFonts w:ascii="Arial" w:hAnsi="Arial" w:cs="Arial"/>
          <w:color w:val="000000" w:themeColor="text1"/>
          <w:sz w:val="22"/>
          <w:lang w:val="es-ES_tradnl"/>
        </w:rPr>
        <w:t>s</w:t>
      </w:r>
      <w:r w:rsidRPr="00815027">
        <w:rPr>
          <w:rFonts w:ascii="Arial" w:hAnsi="Arial" w:cs="Arial"/>
          <w:color w:val="000000" w:themeColor="text1"/>
          <w:sz w:val="22"/>
          <w:lang w:val="es-ES_tradnl"/>
        </w:rPr>
        <w:t xml:space="preserve"> tesis desarrollada</w:t>
      </w:r>
      <w:r w:rsidR="00C01713" w:rsidRPr="00815027">
        <w:rPr>
          <w:rFonts w:ascii="Arial" w:hAnsi="Arial" w:cs="Arial"/>
          <w:color w:val="000000" w:themeColor="text1"/>
          <w:sz w:val="22"/>
          <w:lang w:val="es-ES_tradnl"/>
        </w:rPr>
        <w:t>s</w:t>
      </w:r>
      <w:r w:rsidRPr="00815027">
        <w:rPr>
          <w:rFonts w:ascii="Arial" w:hAnsi="Arial" w:cs="Arial"/>
          <w:color w:val="000000" w:themeColor="text1"/>
          <w:sz w:val="22"/>
          <w:lang w:val="es-ES_tradnl"/>
        </w:rPr>
        <w:t xml:space="preserve"> en estos conceptos </w:t>
      </w:r>
      <w:r w:rsidR="00D05E28" w:rsidRPr="00815027">
        <w:rPr>
          <w:rFonts w:ascii="Arial" w:hAnsi="Arial" w:cs="Arial"/>
          <w:color w:val="000000" w:themeColor="text1"/>
          <w:sz w:val="22"/>
          <w:lang w:val="es-ES_tradnl"/>
        </w:rPr>
        <w:t>se complementará</w:t>
      </w:r>
      <w:r w:rsidR="00C16340" w:rsidRPr="00815027">
        <w:rPr>
          <w:rFonts w:ascii="Arial" w:hAnsi="Arial" w:cs="Arial"/>
          <w:color w:val="000000" w:themeColor="text1"/>
          <w:sz w:val="22"/>
          <w:lang w:val="es-ES_tradnl"/>
        </w:rPr>
        <w:t>n</w:t>
      </w:r>
      <w:r w:rsidRPr="00815027">
        <w:rPr>
          <w:rFonts w:ascii="Arial" w:hAnsi="Arial" w:cs="Arial"/>
          <w:color w:val="000000" w:themeColor="text1"/>
          <w:sz w:val="22"/>
          <w:lang w:val="es-ES_tradnl"/>
        </w:rPr>
        <w:t xml:space="preserve"> </w:t>
      </w:r>
      <w:r w:rsidR="00815027">
        <w:rPr>
          <w:rFonts w:ascii="Arial" w:hAnsi="Arial" w:cs="Arial"/>
          <w:color w:val="000000" w:themeColor="text1"/>
          <w:sz w:val="22"/>
          <w:lang w:val="es-ES_tradnl"/>
        </w:rPr>
        <w:t xml:space="preserve">y actualizan a continuación </w:t>
      </w:r>
      <w:r w:rsidRPr="00815027">
        <w:rPr>
          <w:rFonts w:ascii="Arial" w:hAnsi="Arial" w:cs="Arial"/>
          <w:color w:val="000000" w:themeColor="text1"/>
          <w:sz w:val="22"/>
          <w:lang w:val="es-ES_tradnl"/>
        </w:rPr>
        <w:t xml:space="preserve">con </w:t>
      </w:r>
      <w:r w:rsidR="00D05E28" w:rsidRPr="00815027">
        <w:rPr>
          <w:rFonts w:ascii="Arial" w:hAnsi="Arial" w:cs="Arial"/>
          <w:color w:val="000000" w:themeColor="text1"/>
          <w:sz w:val="22"/>
          <w:lang w:val="es-ES_tradnl"/>
        </w:rPr>
        <w:t>la respuesta a</w:t>
      </w:r>
      <w:r w:rsidRPr="00815027">
        <w:rPr>
          <w:rFonts w:ascii="Arial" w:hAnsi="Arial" w:cs="Arial"/>
          <w:color w:val="000000" w:themeColor="text1"/>
          <w:sz w:val="22"/>
          <w:lang w:val="es-ES_tradnl"/>
        </w:rPr>
        <w:t xml:space="preserve"> la consulta objeto de análisis</w:t>
      </w:r>
      <w:r w:rsidR="00577EF5" w:rsidRPr="00815027">
        <w:rPr>
          <w:rFonts w:ascii="Arial" w:hAnsi="Arial" w:cs="Arial"/>
          <w:color w:val="000000" w:themeColor="text1"/>
          <w:sz w:val="22"/>
          <w:lang w:val="es-ES_tradnl"/>
        </w:rPr>
        <w:t>.</w:t>
      </w:r>
    </w:p>
    <w:p w14:paraId="3F6AE1E9" w14:textId="5D8142AE" w:rsidR="00A8268C" w:rsidRPr="002D5D70" w:rsidRDefault="00577EF5" w:rsidP="0012687C">
      <w:pPr>
        <w:tabs>
          <w:tab w:val="left" w:pos="426"/>
        </w:tabs>
        <w:rPr>
          <w:rFonts w:ascii="Arial" w:eastAsia="Calibri" w:hAnsi="Arial" w:cs="Arial"/>
          <w:b/>
          <w:bCs/>
          <w:sz w:val="22"/>
          <w:lang w:val="es-CO"/>
        </w:rPr>
      </w:pPr>
      <w:r>
        <w:rPr>
          <w:rFonts w:ascii="Arial" w:eastAsia="Calibri" w:hAnsi="Arial" w:cs="Arial"/>
          <w:b/>
          <w:bCs/>
          <w:sz w:val="22"/>
          <w:lang w:val="es-CO"/>
        </w:rPr>
        <w:t>2.1 D</w:t>
      </w:r>
      <w:r w:rsidR="00EB7836" w:rsidRPr="002D5D70">
        <w:rPr>
          <w:rFonts w:ascii="Arial" w:eastAsia="Calibri" w:hAnsi="Arial" w:cs="Arial"/>
          <w:b/>
          <w:bCs/>
          <w:sz w:val="22"/>
          <w:lang w:val="es-CO"/>
        </w:rPr>
        <w:t>efinición y finalidad de la Ley de Garantías Electorales</w:t>
      </w:r>
    </w:p>
    <w:p w14:paraId="489BD8A1" w14:textId="64B82B5D" w:rsidR="00B51689" w:rsidRPr="002D5D70" w:rsidRDefault="00A8268C" w:rsidP="00FE32A0">
      <w:pPr>
        <w:tabs>
          <w:tab w:val="left" w:pos="426"/>
        </w:tabs>
        <w:spacing w:after="120"/>
        <w:rPr>
          <w:rFonts w:ascii="Arial" w:eastAsia="Calibri" w:hAnsi="Arial" w:cs="Arial"/>
          <w:bCs/>
          <w:sz w:val="22"/>
          <w:lang w:val="es-CO"/>
        </w:rPr>
      </w:pPr>
      <w:r w:rsidRPr="002D5D70">
        <w:rPr>
          <w:rFonts w:ascii="Arial" w:eastAsia="Calibri" w:hAnsi="Arial" w:cs="Arial"/>
          <w:bCs/>
          <w:sz w:val="22"/>
          <w:lang w:val="es-CO"/>
        </w:rPr>
        <w:t>El ordenamiento jurídico colombiano</w:t>
      </w:r>
      <w:r w:rsidR="009604AE" w:rsidRPr="002D5D70">
        <w:rPr>
          <w:rFonts w:ascii="Arial" w:eastAsia="Calibri" w:hAnsi="Arial" w:cs="Arial"/>
          <w:bCs/>
          <w:sz w:val="22"/>
          <w:lang w:val="es-CO"/>
        </w:rPr>
        <w:t xml:space="preserve"> </w:t>
      </w:r>
      <w:r w:rsidR="00B51689" w:rsidRPr="002D5D70">
        <w:rPr>
          <w:rFonts w:ascii="Arial" w:eastAsia="Calibri" w:hAnsi="Arial" w:cs="Arial"/>
          <w:bCs/>
          <w:sz w:val="22"/>
          <w:lang w:val="es-CO"/>
        </w:rPr>
        <w:t xml:space="preserve">contempla previsiones claras para evitar </w:t>
      </w:r>
      <w:r w:rsidR="00E008F1" w:rsidRPr="002D5D70">
        <w:rPr>
          <w:rFonts w:ascii="Arial" w:eastAsia="Calibri" w:hAnsi="Arial" w:cs="Arial"/>
          <w:bCs/>
          <w:sz w:val="22"/>
          <w:lang w:val="es-CO"/>
        </w:rPr>
        <w:t>la obtención de</w:t>
      </w:r>
      <w:r w:rsidR="00B51689" w:rsidRPr="002D5D70">
        <w:rPr>
          <w:rFonts w:ascii="Arial" w:eastAsia="Calibri" w:hAnsi="Arial" w:cs="Arial"/>
          <w:bCs/>
          <w:sz w:val="22"/>
          <w:lang w:val="es-CO"/>
        </w:rPr>
        <w:t xml:space="preserve"> </w:t>
      </w:r>
      <w:r w:rsidR="00E008F1" w:rsidRPr="002D5D70">
        <w:rPr>
          <w:rFonts w:ascii="Arial" w:eastAsia="Calibri" w:hAnsi="Arial" w:cs="Arial"/>
          <w:bCs/>
          <w:sz w:val="22"/>
          <w:lang w:val="es-CO"/>
        </w:rPr>
        <w:t>beneficios</w:t>
      </w:r>
      <w:r w:rsidR="00B51689" w:rsidRPr="002D5D70">
        <w:rPr>
          <w:rFonts w:ascii="Arial" w:eastAsia="Calibri" w:hAnsi="Arial" w:cs="Arial"/>
          <w:bCs/>
          <w:sz w:val="22"/>
          <w:lang w:val="es-CO"/>
        </w:rPr>
        <w:t xml:space="preserve"> </w:t>
      </w:r>
      <w:r w:rsidR="00E008F1" w:rsidRPr="002D5D70">
        <w:rPr>
          <w:rFonts w:ascii="Arial" w:eastAsia="Calibri" w:hAnsi="Arial" w:cs="Arial"/>
          <w:bCs/>
          <w:sz w:val="22"/>
          <w:lang w:val="es-CO"/>
        </w:rPr>
        <w:t>personales</w:t>
      </w:r>
      <w:r w:rsidR="00B51689" w:rsidRPr="002D5D70">
        <w:rPr>
          <w:rFonts w:ascii="Arial" w:eastAsia="Calibri" w:hAnsi="Arial" w:cs="Arial"/>
          <w:bCs/>
          <w:sz w:val="22"/>
          <w:lang w:val="es-CO"/>
        </w:rPr>
        <w:t xml:space="preserve"> en asuntos propios de la administración pública, </w:t>
      </w:r>
      <w:r w:rsidR="00B51689" w:rsidRPr="00FE32A0">
        <w:rPr>
          <w:rFonts w:ascii="Arial" w:eastAsia="Calibri" w:hAnsi="Arial" w:cs="Arial"/>
          <w:bCs/>
          <w:i/>
          <w:iCs/>
          <w:sz w:val="22"/>
          <w:lang w:val="es-CO"/>
        </w:rPr>
        <w:t>verbi gracia</w:t>
      </w:r>
      <w:r w:rsidR="00B51689" w:rsidRPr="002D5D70">
        <w:rPr>
          <w:rFonts w:ascii="Arial" w:eastAsia="Calibri" w:hAnsi="Arial" w:cs="Arial"/>
          <w:bCs/>
          <w:sz w:val="22"/>
          <w:lang w:val="es-CO"/>
        </w:rPr>
        <w:t xml:space="preserve">, el artículo 127 de la Constitución Política </w:t>
      </w:r>
      <w:r w:rsidR="00E008F1" w:rsidRPr="002D5D70">
        <w:rPr>
          <w:rFonts w:ascii="Arial" w:eastAsia="Calibri" w:hAnsi="Arial" w:cs="Arial"/>
          <w:bCs/>
          <w:sz w:val="22"/>
          <w:lang w:val="es-CO"/>
        </w:rPr>
        <w:t xml:space="preserve">establece una prohibición contractual a </w:t>
      </w:r>
      <w:r w:rsidR="00E008F1" w:rsidRPr="002D5D70">
        <w:rPr>
          <w:rFonts w:ascii="Arial" w:eastAsia="Calibri" w:hAnsi="Arial" w:cs="Arial"/>
          <w:bCs/>
          <w:sz w:val="22"/>
          <w:lang w:val="es-CO"/>
        </w:rPr>
        <w:lastRenderedPageBreak/>
        <w:t>los servidores</w:t>
      </w:r>
      <w:r w:rsidR="00B51689" w:rsidRPr="002D5D70">
        <w:rPr>
          <w:rFonts w:ascii="Arial" w:eastAsia="Calibri" w:hAnsi="Arial" w:cs="Arial"/>
          <w:bCs/>
          <w:sz w:val="22"/>
          <w:lang w:val="es-CO"/>
        </w:rPr>
        <w:t xml:space="preserve"> públicos y en cuanto a aspectos políticos establece restricciones a ciertos empleados del Estado, incluso en época no electoral</w:t>
      </w:r>
      <w:r w:rsidR="00E008F1" w:rsidRPr="002D5D70">
        <w:rPr>
          <w:rStyle w:val="Refdenotaalpie"/>
          <w:rFonts w:ascii="Arial" w:eastAsia="Calibri" w:hAnsi="Arial" w:cs="Arial"/>
          <w:bCs/>
          <w:sz w:val="22"/>
          <w:lang w:val="es-CO"/>
        </w:rPr>
        <w:footnoteReference w:id="1"/>
      </w:r>
      <w:r w:rsidR="00B51689" w:rsidRPr="002D5D70">
        <w:rPr>
          <w:rFonts w:ascii="Arial" w:eastAsia="Calibri" w:hAnsi="Arial" w:cs="Arial"/>
          <w:bCs/>
          <w:sz w:val="22"/>
          <w:lang w:val="es-CO"/>
        </w:rPr>
        <w:t xml:space="preserve">. </w:t>
      </w:r>
    </w:p>
    <w:p w14:paraId="2A229386" w14:textId="2825F77D" w:rsidR="00930831" w:rsidRPr="002D5D70" w:rsidRDefault="004E0D32" w:rsidP="00FE32A0">
      <w:pPr>
        <w:tabs>
          <w:tab w:val="left" w:pos="426"/>
        </w:tabs>
        <w:spacing w:after="120"/>
        <w:rPr>
          <w:rFonts w:ascii="Arial" w:eastAsia="Times New Roman" w:hAnsi="Arial" w:cs="Arial"/>
          <w:bCs/>
          <w:color w:val="000000"/>
          <w:sz w:val="22"/>
          <w:lang w:eastAsia="es-CO"/>
        </w:rPr>
      </w:pPr>
      <w:r>
        <w:rPr>
          <w:rFonts w:ascii="Arial" w:eastAsia="Times New Roman" w:hAnsi="Arial" w:cs="Arial"/>
          <w:bCs/>
          <w:color w:val="000000"/>
          <w:sz w:val="22"/>
          <w:lang w:val="es-CO" w:eastAsia="es-CO"/>
        </w:rPr>
        <w:tab/>
      </w:r>
      <w:r>
        <w:rPr>
          <w:rFonts w:ascii="Arial" w:eastAsia="Times New Roman" w:hAnsi="Arial" w:cs="Arial"/>
          <w:bCs/>
          <w:color w:val="000000"/>
          <w:sz w:val="22"/>
          <w:lang w:val="es-CO" w:eastAsia="es-CO"/>
        </w:rPr>
        <w:tab/>
      </w:r>
      <w:r w:rsidR="00847B6B" w:rsidRPr="002D5D70">
        <w:rPr>
          <w:rFonts w:ascii="Arial" w:eastAsia="Times New Roman" w:hAnsi="Arial" w:cs="Arial"/>
          <w:bCs/>
          <w:color w:val="000000"/>
          <w:sz w:val="22"/>
          <w:lang w:val="es-CO" w:eastAsia="es-CO"/>
        </w:rPr>
        <w:t>En el mismo sentido</w:t>
      </w:r>
      <w:r w:rsidR="003833D7" w:rsidRPr="002D5D70">
        <w:rPr>
          <w:rFonts w:ascii="Arial" w:eastAsia="Times New Roman" w:hAnsi="Arial" w:cs="Arial"/>
          <w:bCs/>
          <w:color w:val="000000"/>
          <w:sz w:val="22"/>
          <w:lang w:eastAsia="es-CO"/>
        </w:rPr>
        <w:t>, l</w:t>
      </w:r>
      <w:r w:rsidR="00A8268C" w:rsidRPr="002D5D70">
        <w:rPr>
          <w:rFonts w:ascii="Arial" w:eastAsia="Times New Roman" w:hAnsi="Arial" w:cs="Arial"/>
          <w:bCs/>
          <w:color w:val="000000"/>
          <w:sz w:val="22"/>
          <w:lang w:eastAsia="es-CO"/>
        </w:rPr>
        <w:t>a Ley 996 de 2005 se suma al andamiaje de orden constitucional y legal que se ha ocupado de evitar la injerencia inadecuada de intereses particulares en el ejercicio de la función pública</w:t>
      </w:r>
      <w:r w:rsidR="00D63081" w:rsidRPr="002D5D70">
        <w:rPr>
          <w:rFonts w:ascii="Arial" w:eastAsia="Times New Roman" w:hAnsi="Arial" w:cs="Arial"/>
          <w:bCs/>
          <w:color w:val="000000"/>
          <w:sz w:val="22"/>
          <w:lang w:eastAsia="es-CO"/>
        </w:rPr>
        <w:t xml:space="preserve">, respecto a su finalidad, </w:t>
      </w:r>
      <w:r w:rsidR="00B346CC" w:rsidRPr="002D5D70">
        <w:rPr>
          <w:rFonts w:ascii="Arial" w:eastAsia="Times New Roman" w:hAnsi="Arial" w:cs="Arial"/>
          <w:bCs/>
          <w:color w:val="000000"/>
          <w:sz w:val="22"/>
          <w:lang w:eastAsia="es-CO"/>
        </w:rPr>
        <w:t>en la</w:t>
      </w:r>
      <w:r w:rsidR="00BD4104" w:rsidRPr="002D5D70">
        <w:rPr>
          <w:rFonts w:ascii="Arial" w:eastAsia="Times New Roman" w:hAnsi="Arial" w:cs="Arial"/>
          <w:bCs/>
          <w:color w:val="000000"/>
          <w:sz w:val="22"/>
          <w:lang w:eastAsia="es-CO"/>
        </w:rPr>
        <w:t xml:space="preserve"> Gaceta</w:t>
      </w:r>
      <w:r w:rsidR="00C5659C">
        <w:rPr>
          <w:rFonts w:ascii="Arial" w:eastAsia="Times New Roman" w:hAnsi="Arial" w:cs="Arial"/>
          <w:bCs/>
          <w:color w:val="000000"/>
          <w:sz w:val="22"/>
          <w:lang w:eastAsia="es-CO"/>
        </w:rPr>
        <w:t xml:space="preserve"> del Congreso</w:t>
      </w:r>
      <w:r w:rsidR="00BD4104" w:rsidRPr="002D5D70">
        <w:rPr>
          <w:rFonts w:ascii="Arial" w:eastAsia="Times New Roman" w:hAnsi="Arial" w:cs="Arial"/>
          <w:bCs/>
          <w:color w:val="000000"/>
          <w:sz w:val="22"/>
          <w:lang w:eastAsia="es-CO"/>
        </w:rPr>
        <w:t xml:space="preserve"> </w:t>
      </w:r>
      <w:r w:rsidR="001B59D6">
        <w:rPr>
          <w:rFonts w:ascii="Arial" w:eastAsia="Times New Roman" w:hAnsi="Arial" w:cs="Arial"/>
          <w:bCs/>
          <w:color w:val="000000"/>
          <w:sz w:val="22"/>
          <w:lang w:eastAsia="es-CO"/>
        </w:rPr>
        <w:t xml:space="preserve">de la República </w:t>
      </w:r>
      <w:r w:rsidR="00BD4104" w:rsidRPr="002D5D70">
        <w:rPr>
          <w:rFonts w:ascii="Arial" w:eastAsia="Times New Roman" w:hAnsi="Arial" w:cs="Arial"/>
          <w:bCs/>
          <w:color w:val="000000"/>
          <w:sz w:val="22"/>
          <w:lang w:eastAsia="es-CO"/>
        </w:rPr>
        <w:t>No. 71 del 2005</w:t>
      </w:r>
      <w:r w:rsidR="00B346CC" w:rsidRPr="002D5D70">
        <w:rPr>
          <w:rFonts w:ascii="Arial" w:eastAsia="Times New Roman" w:hAnsi="Arial" w:cs="Arial"/>
          <w:bCs/>
          <w:color w:val="000000"/>
          <w:sz w:val="22"/>
          <w:lang w:eastAsia="es-CO"/>
        </w:rPr>
        <w:t xml:space="preserve"> se observa que</w:t>
      </w:r>
      <w:r w:rsidR="00BD4104" w:rsidRPr="002D5D70">
        <w:rPr>
          <w:rFonts w:ascii="Arial" w:eastAsia="Times New Roman" w:hAnsi="Arial" w:cs="Arial"/>
          <w:bCs/>
          <w:color w:val="000000"/>
          <w:sz w:val="22"/>
          <w:lang w:eastAsia="es-CO"/>
        </w:rPr>
        <w:t xml:space="preserve"> tiene como propósito evitar cualquier tipo de arbitrariedad, de ventaja injustificada, de uso irregular de los recursos del Estado en las campañas o falta de garantías en la elección presidencial, </w:t>
      </w:r>
      <w:r w:rsidR="00A8268C" w:rsidRPr="002D5D70">
        <w:rPr>
          <w:rFonts w:ascii="Arial" w:eastAsia="Times New Roman" w:hAnsi="Arial" w:cs="Arial"/>
          <w:bCs/>
          <w:color w:val="000000"/>
          <w:sz w:val="22"/>
          <w:lang w:eastAsia="es-CO"/>
        </w:rPr>
        <w:t xml:space="preserve"> introduciendo en el ordenamiento jurídico limitaciones para realizar nombramientos, postulaciones, contrataciones o cualquier otro tipo de actividad que implique destinación de recursos públicos bajo el devenir propio de las entidades estatales</w:t>
      </w:r>
      <w:r w:rsidR="00D63081" w:rsidRPr="002D5D70">
        <w:rPr>
          <w:rFonts w:ascii="Arial" w:eastAsia="Times New Roman" w:hAnsi="Arial" w:cs="Arial"/>
          <w:bCs/>
          <w:color w:val="000000"/>
          <w:sz w:val="22"/>
          <w:lang w:eastAsia="es-CO"/>
        </w:rPr>
        <w:t>.</w:t>
      </w:r>
      <w:r w:rsidR="000B680C" w:rsidRPr="000B680C">
        <w:rPr>
          <w:rFonts w:ascii="Arial" w:eastAsia="Calibri" w:hAnsi="Arial" w:cs="Arial"/>
          <w:noProof/>
          <w:sz w:val="22"/>
          <w:lang w:val="es-ES_tradnl"/>
        </w:rPr>
        <w:t xml:space="preserve"> </w:t>
      </w:r>
      <w:r w:rsidR="00847B6B" w:rsidRPr="002D5D70">
        <w:rPr>
          <w:rFonts w:ascii="Arial" w:eastAsia="Times New Roman" w:hAnsi="Arial" w:cs="Arial"/>
          <w:bCs/>
          <w:color w:val="000000"/>
          <w:sz w:val="22"/>
          <w:lang w:eastAsia="es-CO"/>
        </w:rPr>
        <w:t xml:space="preserve">En </w:t>
      </w:r>
      <w:r w:rsidR="00EB7836" w:rsidRPr="002D5D70">
        <w:rPr>
          <w:rFonts w:ascii="Arial" w:eastAsia="Times New Roman" w:hAnsi="Arial" w:cs="Arial"/>
          <w:bCs/>
          <w:color w:val="000000"/>
          <w:sz w:val="22"/>
          <w:lang w:eastAsia="es-CO"/>
        </w:rPr>
        <w:t xml:space="preserve">armonía con lo anterior, </w:t>
      </w:r>
      <w:r w:rsidR="00847B6B" w:rsidRPr="002D5D70">
        <w:rPr>
          <w:rFonts w:ascii="Arial" w:eastAsia="Times New Roman" w:hAnsi="Arial" w:cs="Arial"/>
          <w:bCs/>
          <w:color w:val="000000"/>
          <w:sz w:val="22"/>
          <w:lang w:eastAsia="es-CO"/>
        </w:rPr>
        <w:t>l</w:t>
      </w:r>
      <w:r w:rsidR="00930831" w:rsidRPr="002D5D70">
        <w:rPr>
          <w:rFonts w:ascii="Arial" w:eastAsia="Times New Roman" w:hAnsi="Arial" w:cs="Arial"/>
          <w:bCs/>
          <w:color w:val="000000"/>
          <w:sz w:val="22"/>
          <w:lang w:eastAsia="es-CO"/>
        </w:rPr>
        <w:t>a Corte Constitucional ha abordado la definición y señalado los propósitos de una ley de garantías, así:</w:t>
      </w:r>
    </w:p>
    <w:p w14:paraId="2AE4C60A" w14:textId="77777777" w:rsidR="000B680C" w:rsidRPr="000B680C" w:rsidRDefault="000B680C" w:rsidP="000B680C">
      <w:pPr>
        <w:spacing w:after="0" w:line="240" w:lineRule="auto"/>
        <w:ind w:right="709"/>
        <w:rPr>
          <w:rFonts w:ascii="Arial" w:eastAsia="Times New Roman" w:hAnsi="Arial" w:cs="Arial"/>
          <w:sz w:val="21"/>
          <w:szCs w:val="21"/>
          <w:lang w:val="es-ES" w:eastAsia="es-CO"/>
        </w:rPr>
      </w:pPr>
    </w:p>
    <w:p w14:paraId="1EC4C745" w14:textId="734BA5A0" w:rsidR="00930831" w:rsidRPr="0047358F" w:rsidRDefault="000B680C" w:rsidP="00890C2D">
      <w:pPr>
        <w:spacing w:after="0" w:line="240" w:lineRule="auto"/>
        <w:ind w:left="709" w:right="709"/>
        <w:rPr>
          <w:rFonts w:ascii="Arial" w:eastAsia="Times New Roman" w:hAnsi="Arial" w:cs="Arial"/>
          <w:bCs/>
          <w:color w:val="000000"/>
          <w:sz w:val="21"/>
          <w:szCs w:val="21"/>
          <w:lang w:eastAsia="es-CO"/>
        </w:rPr>
      </w:pPr>
      <w:r w:rsidRPr="000B680C">
        <w:rPr>
          <w:rFonts w:ascii="Arial" w:eastAsia="Times New Roman" w:hAnsi="Arial" w:cs="Arial"/>
          <w:sz w:val="21"/>
          <w:szCs w:val="21"/>
          <w:lang w:val="es-ES" w:eastAsia="es-CO"/>
        </w:rPr>
        <w:t>[…]</w:t>
      </w:r>
      <w:r w:rsidR="006D5176">
        <w:rPr>
          <w:rFonts w:ascii="Arial" w:eastAsia="Times New Roman" w:hAnsi="Arial" w:cs="Arial"/>
          <w:sz w:val="21"/>
          <w:szCs w:val="21"/>
          <w:lang w:val="es-ES" w:eastAsia="es-CO"/>
        </w:rPr>
        <w:t xml:space="preserve"> </w:t>
      </w:r>
      <w:r w:rsidR="00930831" w:rsidRPr="0047358F">
        <w:rPr>
          <w:rFonts w:ascii="Arial" w:eastAsia="Times New Roman" w:hAnsi="Arial" w:cs="Arial"/>
          <w:bCs/>
          <w:color w:val="000000"/>
          <w:sz w:val="21"/>
          <w:szCs w:val="21"/>
          <w:lang w:eastAsia="es-CO"/>
        </w:rPr>
        <w:t>la definición de reglas claras que permitan acceder a los canales de expresión democrática de manera efectiva e igualitaria. El objetivo de una ley de garantías es definir esas reglas.</w:t>
      </w:r>
    </w:p>
    <w:p w14:paraId="7E1D73A9" w14:textId="77777777" w:rsidR="00930831" w:rsidRPr="0047358F" w:rsidRDefault="00930831" w:rsidP="00890C2D">
      <w:pPr>
        <w:spacing w:after="0" w:line="240" w:lineRule="auto"/>
        <w:ind w:left="709" w:right="709"/>
        <w:rPr>
          <w:rFonts w:ascii="Arial" w:eastAsia="Times New Roman" w:hAnsi="Arial" w:cs="Arial"/>
          <w:bCs/>
          <w:color w:val="000000"/>
          <w:sz w:val="21"/>
          <w:szCs w:val="21"/>
          <w:lang w:eastAsia="es-CO"/>
        </w:rPr>
      </w:pPr>
      <w:r w:rsidRPr="0047358F">
        <w:rPr>
          <w:rFonts w:ascii="Arial" w:eastAsia="Times New Roman" w:hAnsi="Arial" w:cs="Arial"/>
          <w:bCs/>
          <w:color w:val="000000"/>
          <w:sz w:val="21"/>
          <w:szCs w:val="21"/>
          <w:lang w:eastAsia="es-CO"/>
        </w:rPr>
        <w:t xml:space="preserve">[…] </w:t>
      </w:r>
    </w:p>
    <w:p w14:paraId="4AEB132E" w14:textId="6FE7B21F" w:rsidR="00930831" w:rsidRDefault="00930831" w:rsidP="00890C2D">
      <w:pPr>
        <w:spacing w:after="0" w:line="240" w:lineRule="auto"/>
        <w:ind w:left="709" w:right="709"/>
        <w:rPr>
          <w:rFonts w:ascii="Arial" w:eastAsia="Times New Roman" w:hAnsi="Arial" w:cs="Arial"/>
          <w:bCs/>
          <w:color w:val="000000"/>
          <w:sz w:val="21"/>
          <w:szCs w:val="21"/>
          <w:lang w:eastAsia="es-CO"/>
        </w:rPr>
      </w:pPr>
      <w:r w:rsidRPr="0047358F">
        <w:rPr>
          <w:rFonts w:ascii="Arial" w:eastAsia="Times New Roman" w:hAnsi="Arial" w:cs="Arial"/>
          <w:bCs/>
          <w:color w:val="000000"/>
          <w:sz w:val="21"/>
          <w:szCs w:val="21"/>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w:t>
      </w:r>
      <w:r w:rsidR="00EB7836" w:rsidRPr="0047358F">
        <w:rPr>
          <w:rFonts w:ascii="Arial" w:eastAsia="Times New Roman" w:hAnsi="Arial" w:cs="Arial"/>
          <w:bCs/>
          <w:color w:val="000000"/>
          <w:sz w:val="21"/>
          <w:szCs w:val="21"/>
          <w:lang w:eastAsia="es-CO"/>
        </w:rPr>
        <w:t>ómico de los que se lo disputan</w:t>
      </w:r>
      <w:r w:rsidRPr="0047358F">
        <w:rPr>
          <w:rFonts w:ascii="Arial" w:eastAsia="Times New Roman" w:hAnsi="Arial" w:cs="Arial"/>
          <w:bCs/>
          <w:color w:val="000000"/>
          <w:sz w:val="21"/>
          <w:szCs w:val="21"/>
          <w:lang w:eastAsia="es-CO"/>
        </w:rPr>
        <w:t>.</w:t>
      </w:r>
    </w:p>
    <w:p w14:paraId="0512AD18" w14:textId="77777777" w:rsidR="00535A7F" w:rsidRPr="0047358F" w:rsidRDefault="00535A7F" w:rsidP="00890C2D">
      <w:pPr>
        <w:spacing w:after="0" w:line="240" w:lineRule="auto"/>
        <w:ind w:left="709" w:right="709"/>
        <w:rPr>
          <w:rFonts w:ascii="Arial" w:eastAsia="Times New Roman" w:hAnsi="Arial" w:cs="Arial"/>
          <w:bCs/>
          <w:color w:val="000000"/>
          <w:sz w:val="21"/>
          <w:szCs w:val="21"/>
          <w:lang w:eastAsia="es-CO"/>
        </w:rPr>
      </w:pPr>
    </w:p>
    <w:p w14:paraId="10D1BAF5" w14:textId="539440E3" w:rsidR="004E0D32" w:rsidRDefault="004E0D32" w:rsidP="004E0D32">
      <w:pPr>
        <w:spacing w:after="120"/>
        <w:ind w:firstLine="709"/>
        <w:rPr>
          <w:rFonts w:ascii="Arial" w:eastAsia="Times New Roman" w:hAnsi="Arial" w:cs="Arial"/>
          <w:bCs/>
          <w:color w:val="000000"/>
          <w:sz w:val="22"/>
          <w:lang w:eastAsia="es-CO"/>
        </w:rPr>
      </w:pPr>
      <w:r w:rsidRPr="002D5D70">
        <w:rPr>
          <w:rFonts w:ascii="Arial" w:eastAsia="Times New Roman" w:hAnsi="Arial" w:cs="Arial"/>
          <w:bCs/>
          <w:color w:val="000000"/>
          <w:sz w:val="22"/>
          <w:lang w:eastAsia="es-CO"/>
        </w:rPr>
        <w:t xml:space="preserve">Siguiendo </w:t>
      </w:r>
      <w:r w:rsidR="00921A5A">
        <w:rPr>
          <w:rFonts w:ascii="Arial" w:eastAsia="Times New Roman" w:hAnsi="Arial" w:cs="Arial"/>
          <w:bCs/>
          <w:color w:val="000000"/>
          <w:sz w:val="22"/>
          <w:lang w:eastAsia="es-CO"/>
        </w:rPr>
        <w:t>l</w:t>
      </w:r>
      <w:r w:rsidR="006B389C">
        <w:rPr>
          <w:rFonts w:ascii="Arial" w:eastAsia="Times New Roman" w:hAnsi="Arial" w:cs="Arial"/>
          <w:bCs/>
          <w:color w:val="000000"/>
          <w:sz w:val="22"/>
          <w:lang w:eastAsia="es-CO"/>
        </w:rPr>
        <w:t>a</w:t>
      </w:r>
      <w:r w:rsidR="00921A5A">
        <w:rPr>
          <w:rFonts w:ascii="Arial" w:eastAsia="Times New Roman" w:hAnsi="Arial" w:cs="Arial"/>
          <w:bCs/>
          <w:color w:val="000000"/>
          <w:sz w:val="22"/>
          <w:lang w:eastAsia="es-CO"/>
        </w:rPr>
        <w:t xml:space="preserve"> finalidad mencionad</w:t>
      </w:r>
      <w:r w:rsidR="006B389C">
        <w:rPr>
          <w:rFonts w:ascii="Arial" w:eastAsia="Times New Roman" w:hAnsi="Arial" w:cs="Arial"/>
          <w:bCs/>
          <w:color w:val="000000"/>
          <w:sz w:val="22"/>
          <w:lang w:eastAsia="es-CO"/>
        </w:rPr>
        <w:t>a</w:t>
      </w:r>
      <w:r w:rsidRPr="002D5D70">
        <w:rPr>
          <w:rFonts w:ascii="Arial" w:eastAsia="Times New Roman" w:hAnsi="Arial" w:cs="Arial"/>
          <w:bCs/>
          <w:color w:val="000000"/>
          <w:sz w:val="22"/>
          <w:lang w:eastAsia="es-CO"/>
        </w:rPr>
        <w:t xml:space="preserve">, la Ley de Garantías Electorales </w:t>
      </w:r>
      <w:r>
        <w:rPr>
          <w:rFonts w:ascii="Arial" w:eastAsia="Times New Roman" w:hAnsi="Arial" w:cs="Arial"/>
          <w:bCs/>
          <w:color w:val="000000"/>
          <w:sz w:val="22"/>
          <w:lang w:eastAsia="es-CO"/>
        </w:rPr>
        <w:t>establece</w:t>
      </w:r>
      <w:r w:rsidRPr="002D5D70">
        <w:rPr>
          <w:rFonts w:ascii="Arial" w:eastAsia="Times New Roman" w:hAnsi="Arial" w:cs="Arial"/>
          <w:bCs/>
          <w:color w:val="000000"/>
          <w:sz w:val="22"/>
          <w:lang w:eastAsia="es-CO"/>
        </w:rPr>
        <w:t xml:space="preserve"> el marco jurídico para el desarrollo de las elecciones, procurando condiciones de igualdad y </w:t>
      </w:r>
      <w:r w:rsidRPr="002D5D70">
        <w:rPr>
          <w:rFonts w:ascii="Arial" w:eastAsia="Times New Roman" w:hAnsi="Arial" w:cs="Arial"/>
          <w:bCs/>
          <w:color w:val="000000"/>
          <w:sz w:val="22"/>
          <w:lang w:eastAsia="es-CO"/>
        </w:rPr>
        <w:lastRenderedPageBreak/>
        <w:t>transparencia para los aspirantes y paralelamente se incluyen restricciones en el actuar de los servidores públicos, evitando interferencias en la contienda electoral, así como la posible desviación de recursos públicos en aspiraciones electorales.</w:t>
      </w:r>
    </w:p>
    <w:p w14:paraId="7592456D" w14:textId="5383C968" w:rsidR="000D457E" w:rsidRDefault="004E0D32" w:rsidP="003C432C">
      <w:pPr>
        <w:spacing w:after="0"/>
        <w:ind w:firstLine="709"/>
        <w:rPr>
          <w:rFonts w:ascii="Arial" w:eastAsia="Times New Roman" w:hAnsi="Arial" w:cs="Arial"/>
          <w:bCs/>
          <w:color w:val="000000"/>
          <w:sz w:val="22"/>
          <w:lang w:eastAsia="es-CO"/>
        </w:rPr>
      </w:pPr>
      <w:r>
        <w:rPr>
          <w:rFonts w:ascii="Arial" w:eastAsia="Times New Roman" w:hAnsi="Arial" w:cs="Arial"/>
          <w:bCs/>
          <w:color w:val="000000"/>
          <w:sz w:val="22"/>
          <w:lang w:eastAsia="es-CO"/>
        </w:rPr>
        <w:t>De otra parte, varias de las disposiciones de la Ley 996 de 2005, al contener normas prohibitivas, no admiten una interpretación amplia, sino que deben interpretarse restrictivamente. En efecto, lo anterior fue indicado por la Sala de Consulta y Servicio Civil del Consejo de Estado al analizar la referida ley, precisando lo siguiente:</w:t>
      </w:r>
    </w:p>
    <w:p w14:paraId="2ED9437B" w14:textId="77777777" w:rsidR="009B7190" w:rsidRDefault="009B7190" w:rsidP="003C432C">
      <w:pPr>
        <w:spacing w:after="0"/>
        <w:ind w:firstLine="709"/>
        <w:rPr>
          <w:rFonts w:ascii="Arial" w:eastAsia="Times New Roman" w:hAnsi="Arial" w:cs="Arial"/>
          <w:bCs/>
          <w:color w:val="000000"/>
          <w:sz w:val="22"/>
          <w:lang w:eastAsia="es-CO"/>
        </w:rPr>
      </w:pPr>
    </w:p>
    <w:p w14:paraId="63944E08" w14:textId="73C81FFD" w:rsidR="000D457E" w:rsidRPr="001F55B5" w:rsidRDefault="000D457E" w:rsidP="001F55B5">
      <w:pPr>
        <w:spacing w:after="0" w:line="240" w:lineRule="auto"/>
        <w:ind w:left="709" w:right="709"/>
        <w:rPr>
          <w:rFonts w:ascii="Arial" w:eastAsia="Times New Roman" w:hAnsi="Arial" w:cs="Arial"/>
          <w:bCs/>
          <w:color w:val="000000"/>
          <w:sz w:val="21"/>
          <w:szCs w:val="21"/>
          <w:lang w:eastAsia="es-CO"/>
        </w:rPr>
      </w:pPr>
      <w:r w:rsidRPr="001F55B5">
        <w:rPr>
          <w:rFonts w:ascii="Arial" w:eastAsia="Times New Roman" w:hAnsi="Arial" w:cs="Arial"/>
          <w:bCs/>
          <w:color w:val="000000"/>
          <w:sz w:val="21"/>
          <w:szCs w:val="21"/>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1F55B5">
        <w:rPr>
          <w:rFonts w:ascii="Arial" w:eastAsia="Times New Roman" w:hAnsi="Arial" w:cs="Arial"/>
          <w:bCs/>
          <w:color w:val="000000"/>
          <w:sz w:val="21"/>
          <w:szCs w:val="21"/>
          <w:lang w:eastAsia="es-CO"/>
        </w:rPr>
        <w:t>legis</w:t>
      </w:r>
      <w:proofErr w:type="spellEnd"/>
      <w:r w:rsidRPr="001F55B5">
        <w:rPr>
          <w:rFonts w:ascii="Arial" w:eastAsia="Times New Roman" w:hAnsi="Arial" w:cs="Arial"/>
          <w:bCs/>
          <w:color w:val="000000"/>
          <w:sz w:val="21"/>
          <w:szCs w:val="21"/>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5F802D56" w14:textId="000DDCB9" w:rsidR="000D457E" w:rsidRPr="001F55B5" w:rsidRDefault="000D457E" w:rsidP="001F55B5">
      <w:pPr>
        <w:spacing w:after="0" w:line="240" w:lineRule="auto"/>
        <w:ind w:left="709" w:right="709" w:firstLine="709"/>
        <w:rPr>
          <w:rFonts w:ascii="Arial" w:eastAsia="Times New Roman" w:hAnsi="Arial" w:cs="Arial"/>
          <w:bCs/>
          <w:color w:val="000000"/>
          <w:sz w:val="21"/>
          <w:szCs w:val="21"/>
          <w:lang w:eastAsia="es-CO"/>
        </w:rPr>
      </w:pPr>
    </w:p>
    <w:p w14:paraId="3BC36AE9" w14:textId="49837A28" w:rsidR="00883662" w:rsidRDefault="000D457E" w:rsidP="001F55B5">
      <w:pPr>
        <w:spacing w:after="0" w:line="240" w:lineRule="auto"/>
        <w:ind w:left="709" w:right="709"/>
        <w:rPr>
          <w:rFonts w:ascii="Arial" w:eastAsia="Times New Roman" w:hAnsi="Arial" w:cs="Arial"/>
          <w:bCs/>
          <w:color w:val="000000"/>
          <w:sz w:val="21"/>
          <w:szCs w:val="21"/>
          <w:lang w:eastAsia="es-CO"/>
        </w:rPr>
      </w:pPr>
      <w:r w:rsidRPr="001F55B5">
        <w:rPr>
          <w:rFonts w:ascii="Arial" w:eastAsia="Times New Roman" w:hAnsi="Arial" w:cs="Arial"/>
          <w:bCs/>
          <w:color w:val="000000"/>
          <w:sz w:val="21"/>
          <w:szCs w:val="21"/>
          <w:lang w:eastAsia="es-CO"/>
        </w:rPr>
        <w:t>La jurisprudencia de la Corte Constitucional</w:t>
      </w:r>
      <w:r w:rsidR="001F55B5" w:rsidRPr="001F55B5">
        <w:rPr>
          <w:rStyle w:val="Refdenotaalpie"/>
          <w:rFonts w:ascii="Arial" w:eastAsia="Times New Roman" w:hAnsi="Arial" w:cs="Arial"/>
          <w:bCs/>
          <w:color w:val="000000"/>
          <w:sz w:val="21"/>
          <w:szCs w:val="21"/>
          <w:lang w:eastAsia="es-CO"/>
        </w:rPr>
        <w:footnoteReference w:id="2"/>
      </w:r>
      <w:r w:rsidRPr="001F55B5">
        <w:rPr>
          <w:rFonts w:ascii="Arial" w:eastAsia="Times New Roman" w:hAnsi="Arial" w:cs="Arial"/>
          <w:bCs/>
          <w:color w:val="000000"/>
          <w:sz w:val="21"/>
          <w:szCs w:val="21"/>
          <w:lang w:eastAsia="es-CO"/>
        </w:rPr>
        <w:t> y del Consejo de Estado</w:t>
      </w:r>
      <w:r w:rsidR="001F55B5" w:rsidRPr="001F55B5">
        <w:rPr>
          <w:rStyle w:val="Refdenotaalpie"/>
          <w:rFonts w:ascii="Arial" w:eastAsia="Times New Roman" w:hAnsi="Arial" w:cs="Arial"/>
          <w:bCs/>
          <w:color w:val="000000"/>
          <w:sz w:val="21"/>
          <w:szCs w:val="21"/>
          <w:lang w:eastAsia="es-CO"/>
        </w:rPr>
        <w:footnoteReference w:id="3"/>
      </w:r>
      <w:r w:rsidRPr="001F55B5">
        <w:rPr>
          <w:rFonts w:ascii="Arial" w:eastAsia="Times New Roman" w:hAnsi="Arial" w:cs="Arial"/>
          <w:bCs/>
          <w:color w:val="000000"/>
          <w:sz w:val="21"/>
          <w:szCs w:val="21"/>
          <w:lang w:eastAsia="es-CO"/>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w:t>
      </w:r>
      <w:r w:rsidR="00296D38" w:rsidRPr="001F55B5">
        <w:rPr>
          <w:rFonts w:ascii="Arial" w:eastAsia="Times New Roman" w:hAnsi="Arial" w:cs="Arial"/>
          <w:bCs/>
          <w:color w:val="000000"/>
          <w:sz w:val="21"/>
          <w:szCs w:val="21"/>
          <w:lang w:eastAsia="es-CO"/>
        </w:rPr>
        <w:t>intérprete</w:t>
      </w:r>
      <w:r w:rsidRPr="001F55B5">
        <w:rPr>
          <w:rFonts w:ascii="Arial" w:eastAsia="Times New Roman" w:hAnsi="Arial" w:cs="Arial"/>
          <w:bCs/>
          <w:color w:val="000000"/>
          <w:sz w:val="21"/>
          <w:szCs w:val="21"/>
          <w:lang w:eastAsia="es-CO"/>
        </w:rPr>
        <w:t xml:space="preserv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00883662">
        <w:rPr>
          <w:rStyle w:val="Refdenotaalpie"/>
          <w:rFonts w:ascii="Arial" w:eastAsia="Times New Roman" w:hAnsi="Arial" w:cs="Arial"/>
          <w:bCs/>
          <w:color w:val="000000"/>
          <w:sz w:val="22"/>
          <w:lang w:eastAsia="es-CO"/>
        </w:rPr>
        <w:footnoteReference w:id="4"/>
      </w:r>
    </w:p>
    <w:p w14:paraId="53F22C05" w14:textId="41225180" w:rsidR="004E0D32" w:rsidRDefault="004E0D32" w:rsidP="00FE32A0">
      <w:pPr>
        <w:spacing w:after="0" w:line="240" w:lineRule="auto"/>
        <w:rPr>
          <w:rFonts w:ascii="Arial" w:eastAsia="Times New Roman" w:hAnsi="Arial" w:cs="Arial"/>
          <w:bCs/>
          <w:color w:val="000000"/>
          <w:sz w:val="21"/>
          <w:szCs w:val="21"/>
          <w:lang w:eastAsia="es-CO"/>
        </w:rPr>
      </w:pPr>
    </w:p>
    <w:p w14:paraId="5C9D6394" w14:textId="15D5FC66" w:rsidR="004E0D32" w:rsidRPr="002D5D70" w:rsidRDefault="004E0D32" w:rsidP="00FE32A0">
      <w:pPr>
        <w:spacing w:after="0"/>
        <w:ind w:firstLine="708"/>
        <w:rPr>
          <w:rFonts w:ascii="Arial" w:eastAsia="Times New Roman" w:hAnsi="Arial" w:cs="Arial"/>
          <w:bCs/>
          <w:color w:val="000000"/>
          <w:sz w:val="22"/>
          <w:lang w:eastAsia="es-CO"/>
        </w:rPr>
      </w:pPr>
      <w:r>
        <w:rPr>
          <w:rFonts w:ascii="Arial" w:eastAsia="Times New Roman" w:hAnsi="Arial" w:cs="Arial"/>
          <w:bCs/>
          <w:color w:val="000000"/>
          <w:sz w:val="22"/>
          <w:lang w:eastAsia="es-CO"/>
        </w:rPr>
        <w:t xml:space="preserve">En tal sentido, las restricciones a la libertad contractual establecidas en la Ley 996 de 2005 deben interpretarse de forma restrictiva, conforme al pronunciamiento anterior </w:t>
      </w:r>
      <w:r>
        <w:rPr>
          <w:rFonts w:ascii="Arial" w:eastAsia="Times New Roman" w:hAnsi="Arial" w:cs="Arial"/>
          <w:bCs/>
          <w:color w:val="000000"/>
          <w:sz w:val="22"/>
          <w:lang w:eastAsia="es-CO"/>
        </w:rPr>
        <w:lastRenderedPageBreak/>
        <w:t>que se apoya en jurisprudencia de la Corte Constitucional y del Consejo de Estado.</w:t>
      </w:r>
      <w:r w:rsidR="00952949">
        <w:rPr>
          <w:rFonts w:ascii="Arial" w:eastAsia="Times New Roman" w:hAnsi="Arial" w:cs="Arial"/>
          <w:bCs/>
          <w:color w:val="000000"/>
          <w:sz w:val="22"/>
          <w:lang w:eastAsia="es-CO"/>
        </w:rPr>
        <w:t xml:space="preserve"> Ahora se analizarán las restricciones aplicables según cada tipo de elecciones.</w:t>
      </w:r>
    </w:p>
    <w:p w14:paraId="1E362307" w14:textId="77777777" w:rsidR="003C432C" w:rsidRDefault="003C432C" w:rsidP="003C432C">
      <w:pPr>
        <w:spacing w:after="0"/>
        <w:rPr>
          <w:rFonts w:ascii="Arial" w:eastAsia="Calibri" w:hAnsi="Arial" w:cs="Arial"/>
          <w:b/>
          <w:bCs/>
          <w:sz w:val="22"/>
          <w:lang w:val="es-CO"/>
        </w:rPr>
      </w:pPr>
    </w:p>
    <w:p w14:paraId="54CF1F26" w14:textId="42DD3595" w:rsidR="00930831" w:rsidRPr="002D5D70" w:rsidRDefault="00387F0A" w:rsidP="00A8268C">
      <w:pPr>
        <w:rPr>
          <w:rFonts w:ascii="Arial" w:eastAsia="Times New Roman" w:hAnsi="Arial" w:cs="Arial"/>
          <w:b/>
          <w:bCs/>
          <w:color w:val="000000"/>
          <w:sz w:val="22"/>
          <w:lang w:eastAsia="es-CO"/>
        </w:rPr>
      </w:pPr>
      <w:r>
        <w:rPr>
          <w:rFonts w:ascii="Arial" w:eastAsia="Calibri" w:hAnsi="Arial" w:cs="Arial"/>
          <w:b/>
          <w:bCs/>
          <w:sz w:val="22"/>
          <w:lang w:val="es-CO"/>
        </w:rPr>
        <w:t>2.2</w:t>
      </w:r>
      <w:r w:rsidR="00D63081" w:rsidRPr="002D5D70">
        <w:rPr>
          <w:rFonts w:ascii="Arial" w:eastAsia="Calibri" w:hAnsi="Arial" w:cs="Arial"/>
          <w:b/>
          <w:bCs/>
          <w:sz w:val="22"/>
          <w:lang w:val="es-CO"/>
        </w:rPr>
        <w:t xml:space="preserve"> Determinación de las restricciones según el tipo de elecciones</w:t>
      </w:r>
      <w:r w:rsidR="00CB2786">
        <w:rPr>
          <w:rFonts w:ascii="Arial" w:eastAsia="Calibri" w:hAnsi="Arial" w:cs="Arial"/>
          <w:b/>
          <w:bCs/>
          <w:sz w:val="22"/>
          <w:lang w:val="es-CO"/>
        </w:rPr>
        <w:t xml:space="preserve"> y excepciones a las mismas</w:t>
      </w:r>
    </w:p>
    <w:p w14:paraId="06C27B2D" w14:textId="77777777" w:rsidR="003C432C" w:rsidRDefault="00C0300E" w:rsidP="003C432C">
      <w:pPr>
        <w:rPr>
          <w:rFonts w:ascii="Arial" w:eastAsia="Times New Roman" w:hAnsi="Arial" w:cs="Arial"/>
          <w:bCs/>
          <w:color w:val="000000"/>
          <w:sz w:val="22"/>
          <w:lang w:eastAsia="es-CO"/>
        </w:rPr>
      </w:pPr>
      <w:r w:rsidRPr="002D5D70">
        <w:rPr>
          <w:rFonts w:ascii="Arial" w:eastAsia="Times New Roman" w:hAnsi="Arial" w:cs="Arial"/>
          <w:bCs/>
          <w:color w:val="000000"/>
          <w:sz w:val="22"/>
          <w:lang w:eastAsia="es-CO"/>
        </w:rPr>
        <w:t xml:space="preserve">La Ley 996 de </w:t>
      </w:r>
      <w:proofErr w:type="gramStart"/>
      <w:r w:rsidRPr="002D5D70">
        <w:rPr>
          <w:rFonts w:ascii="Arial" w:eastAsia="Times New Roman" w:hAnsi="Arial" w:cs="Arial"/>
          <w:bCs/>
          <w:color w:val="000000"/>
          <w:sz w:val="22"/>
          <w:lang w:eastAsia="es-CO"/>
        </w:rPr>
        <w:t>2005  hace</w:t>
      </w:r>
      <w:proofErr w:type="gramEnd"/>
      <w:r w:rsidRPr="002D5D70">
        <w:rPr>
          <w:rFonts w:ascii="Arial" w:eastAsia="Times New Roman" w:hAnsi="Arial" w:cs="Arial"/>
          <w:bCs/>
          <w:color w:val="000000"/>
          <w:sz w:val="22"/>
          <w:lang w:eastAsia="es-CO"/>
        </w:rPr>
        <w:t xml:space="preserve"> referencia a las elecciones presidenciales concretamente</w:t>
      </w:r>
      <w:r w:rsidR="004E4A6B">
        <w:rPr>
          <w:rFonts w:ascii="Arial" w:eastAsia="Times New Roman" w:hAnsi="Arial" w:cs="Arial"/>
          <w:bCs/>
          <w:color w:val="000000"/>
          <w:sz w:val="22"/>
          <w:lang w:eastAsia="es-CO"/>
        </w:rPr>
        <w:t>,</w:t>
      </w:r>
      <w:r w:rsidRPr="002D5D70">
        <w:rPr>
          <w:rFonts w:ascii="Arial" w:eastAsia="Times New Roman" w:hAnsi="Arial" w:cs="Arial"/>
          <w:bCs/>
          <w:color w:val="000000"/>
          <w:sz w:val="22"/>
          <w:lang w:eastAsia="es-CO"/>
        </w:rPr>
        <w:t xml:space="preserve"> y en forma general a las que se realizan para acceder a cargos de elección popular,</w:t>
      </w:r>
      <w:r w:rsidR="002E74C9">
        <w:rPr>
          <w:rFonts w:ascii="Arial" w:eastAsia="Times New Roman" w:hAnsi="Arial" w:cs="Arial"/>
          <w:bCs/>
          <w:color w:val="000000"/>
          <w:sz w:val="22"/>
          <w:lang w:eastAsia="es-CO"/>
        </w:rPr>
        <w:t xml:space="preserve"> esta diferenciación ha sido también objeto de análisis por el Consejo de Estado, que ha precisado:</w:t>
      </w:r>
    </w:p>
    <w:p w14:paraId="0A1C3FE3" w14:textId="6DFC308E" w:rsidR="002E74C9" w:rsidRPr="00DC4962" w:rsidRDefault="00E42F9D" w:rsidP="0047358F">
      <w:pPr>
        <w:spacing w:after="0" w:line="240" w:lineRule="auto"/>
        <w:ind w:firstLine="708"/>
        <w:rPr>
          <w:rFonts w:ascii="Arial" w:eastAsia="Times New Roman" w:hAnsi="Arial" w:cs="Arial"/>
          <w:bCs/>
          <w:color w:val="000000"/>
          <w:sz w:val="21"/>
          <w:szCs w:val="21"/>
          <w:lang w:eastAsia="es-CO"/>
        </w:rPr>
      </w:pPr>
      <w:r w:rsidRPr="00DC4962">
        <w:rPr>
          <w:rFonts w:ascii="Arial" w:eastAsia="Times New Roman" w:hAnsi="Arial" w:cs="Arial"/>
          <w:bCs/>
          <w:color w:val="000000"/>
          <w:sz w:val="21"/>
          <w:szCs w:val="21"/>
          <w:lang w:eastAsia="es-CO"/>
        </w:rPr>
        <w:t>[…]</w:t>
      </w:r>
    </w:p>
    <w:p w14:paraId="3235884F" w14:textId="103B03B9" w:rsidR="002E74C9" w:rsidRPr="00DC4962" w:rsidRDefault="00296D38" w:rsidP="0047358F">
      <w:pPr>
        <w:spacing w:after="0" w:line="240" w:lineRule="auto"/>
        <w:ind w:left="709" w:right="709"/>
        <w:rPr>
          <w:rFonts w:ascii="Arial" w:eastAsia="Times New Roman" w:hAnsi="Arial" w:cs="Arial"/>
          <w:bCs/>
          <w:color w:val="000000"/>
          <w:sz w:val="21"/>
          <w:szCs w:val="21"/>
          <w:lang w:eastAsia="es-CO"/>
        </w:rPr>
      </w:pPr>
      <w:r w:rsidRPr="00DC4962">
        <w:rPr>
          <w:rFonts w:ascii="Arial" w:eastAsia="Times New Roman" w:hAnsi="Arial" w:cs="Arial"/>
          <w:bCs/>
          <w:color w:val="000000"/>
          <w:sz w:val="21"/>
          <w:szCs w:val="21"/>
          <w:lang w:eastAsia="es-CO"/>
        </w:rPr>
        <w:t>La</w:t>
      </w:r>
      <w:r w:rsidR="002E74C9" w:rsidRPr="00DC4962">
        <w:rPr>
          <w:rFonts w:ascii="Arial" w:eastAsia="Times New Roman" w:hAnsi="Arial" w:cs="Arial"/>
          <w:bCs/>
          <w:color w:val="000000"/>
          <w:sz w:val="21"/>
          <w:szCs w:val="21"/>
          <w:lang w:eastAsia="es-CO"/>
        </w:rPr>
        <w:t xml:space="preserve"> ley 996 de 2005 es el instrumento jurídico garantizador de las condiciones de igualdad y equidad entre los candidatos y en razón de ello, procede su aplicación en todos los procesos electorales para cargos de elección popular, advirtiendo que contiene regulaciones y prohibiciones sobre dos tipos de campañas electorales: la presidencial y las que se adelanten para la provisión de los demás cargos de elección popular nacionales y </w:t>
      </w:r>
      <w:r w:rsidRPr="00DC4962">
        <w:rPr>
          <w:rFonts w:ascii="Arial" w:eastAsia="Times New Roman" w:hAnsi="Arial" w:cs="Arial"/>
          <w:bCs/>
          <w:color w:val="000000"/>
          <w:sz w:val="21"/>
          <w:szCs w:val="21"/>
          <w:lang w:eastAsia="es-CO"/>
        </w:rPr>
        <w:t>territoriales [</w:t>
      </w:r>
      <w:r w:rsidR="00E42F9D" w:rsidRPr="00DC4962">
        <w:rPr>
          <w:rFonts w:ascii="Arial" w:eastAsia="Times New Roman" w:hAnsi="Arial" w:cs="Arial"/>
          <w:bCs/>
          <w:color w:val="000000"/>
          <w:sz w:val="21"/>
          <w:szCs w:val="21"/>
          <w:lang w:eastAsia="es-CO"/>
        </w:rPr>
        <w:t>…]</w:t>
      </w:r>
      <w:r w:rsidR="00E42F9D" w:rsidRPr="00DC4962">
        <w:rPr>
          <w:rStyle w:val="Refdenotaalpie"/>
          <w:rFonts w:ascii="Arial" w:eastAsia="Times New Roman" w:hAnsi="Arial" w:cs="Arial"/>
          <w:bCs/>
          <w:color w:val="000000"/>
          <w:sz w:val="21"/>
          <w:szCs w:val="21"/>
          <w:lang w:eastAsia="es-CO"/>
        </w:rPr>
        <w:footnoteReference w:id="5"/>
      </w:r>
    </w:p>
    <w:p w14:paraId="4ABB03DC" w14:textId="77777777" w:rsidR="002E74C9" w:rsidRDefault="002E74C9" w:rsidP="0047358F">
      <w:pPr>
        <w:spacing w:after="0"/>
        <w:rPr>
          <w:rFonts w:ascii="Arial" w:eastAsia="Times New Roman" w:hAnsi="Arial" w:cs="Arial"/>
          <w:bCs/>
          <w:color w:val="000000"/>
          <w:sz w:val="22"/>
          <w:lang w:eastAsia="es-CO"/>
        </w:rPr>
      </w:pPr>
    </w:p>
    <w:p w14:paraId="54B58E37" w14:textId="01D28123" w:rsidR="00930831" w:rsidRDefault="00E42F9D" w:rsidP="00FE32A0">
      <w:pPr>
        <w:spacing w:after="0"/>
        <w:ind w:firstLine="708"/>
        <w:rPr>
          <w:rFonts w:ascii="Arial" w:eastAsia="Times New Roman" w:hAnsi="Arial" w:cs="Arial"/>
          <w:bCs/>
          <w:color w:val="000000"/>
          <w:sz w:val="22"/>
          <w:lang w:eastAsia="es-CO"/>
        </w:rPr>
      </w:pPr>
      <w:r>
        <w:rPr>
          <w:rFonts w:ascii="Arial" w:eastAsia="Times New Roman" w:hAnsi="Arial" w:cs="Arial"/>
          <w:bCs/>
          <w:color w:val="000000"/>
          <w:sz w:val="22"/>
          <w:lang w:eastAsia="es-CO"/>
        </w:rPr>
        <w:t>Por lo anterior, es</w:t>
      </w:r>
      <w:r w:rsidR="00C0300E" w:rsidRPr="002D5D70">
        <w:rPr>
          <w:rFonts w:ascii="Arial" w:eastAsia="Times New Roman" w:hAnsi="Arial" w:cs="Arial"/>
          <w:bCs/>
          <w:color w:val="000000"/>
          <w:sz w:val="22"/>
          <w:lang w:eastAsia="es-CO"/>
        </w:rPr>
        <w:t xml:space="preserve"> importante analizar las restricciones aplicables </w:t>
      </w:r>
      <w:r w:rsidR="009B646F">
        <w:rPr>
          <w:rFonts w:ascii="Arial" w:eastAsia="Times New Roman" w:hAnsi="Arial" w:cs="Arial"/>
          <w:bCs/>
          <w:color w:val="000000"/>
          <w:sz w:val="22"/>
          <w:lang w:eastAsia="es-CO"/>
        </w:rPr>
        <w:t>a cada una de estas elecciones, pues presentan importantes diferencias, contando cada una con un fundamento jurídico diferente.</w:t>
      </w:r>
      <w:r w:rsidR="00C0300E" w:rsidRPr="002D5D70">
        <w:rPr>
          <w:rFonts w:ascii="Arial" w:eastAsia="Times New Roman" w:hAnsi="Arial" w:cs="Arial"/>
          <w:bCs/>
          <w:color w:val="000000"/>
          <w:sz w:val="22"/>
          <w:lang w:eastAsia="es-CO"/>
        </w:rPr>
        <w:t xml:space="preserve"> </w:t>
      </w:r>
      <w:r w:rsidR="00A02CEE">
        <w:rPr>
          <w:rFonts w:ascii="Arial" w:eastAsia="Times New Roman" w:hAnsi="Arial" w:cs="Arial"/>
          <w:bCs/>
          <w:color w:val="000000"/>
          <w:sz w:val="22"/>
          <w:lang w:eastAsia="es-CO"/>
        </w:rPr>
        <w:t xml:space="preserve">En tal sentido, en primer </w:t>
      </w:r>
      <w:proofErr w:type="gramStart"/>
      <w:r w:rsidR="00A02CEE">
        <w:rPr>
          <w:rFonts w:ascii="Arial" w:eastAsia="Times New Roman" w:hAnsi="Arial" w:cs="Arial"/>
          <w:bCs/>
          <w:color w:val="000000"/>
          <w:sz w:val="22"/>
          <w:lang w:eastAsia="es-CO"/>
        </w:rPr>
        <w:t>lugar</w:t>
      </w:r>
      <w:proofErr w:type="gramEnd"/>
      <w:r w:rsidR="00A02CEE">
        <w:rPr>
          <w:rFonts w:ascii="Arial" w:eastAsia="Times New Roman" w:hAnsi="Arial" w:cs="Arial"/>
          <w:bCs/>
          <w:color w:val="000000"/>
          <w:sz w:val="22"/>
          <w:lang w:eastAsia="es-CO"/>
        </w:rPr>
        <w:t xml:space="preserve"> se analizarán las restricciones aplicables frente a las elecciones presidenciales y posteriormente </w:t>
      </w:r>
      <w:r w:rsidR="00A02CEE" w:rsidRPr="00A02CEE">
        <w:rPr>
          <w:rFonts w:ascii="Arial" w:eastAsia="Times New Roman" w:hAnsi="Arial" w:cs="Arial"/>
          <w:bCs/>
          <w:color w:val="000000"/>
          <w:sz w:val="22"/>
          <w:lang w:eastAsia="es-CO"/>
        </w:rPr>
        <w:t>frente a los comicios a cargos de elección popular</w:t>
      </w:r>
      <w:r w:rsidR="00A02CEE">
        <w:rPr>
          <w:rFonts w:ascii="Arial" w:eastAsia="Times New Roman" w:hAnsi="Arial" w:cs="Arial"/>
          <w:bCs/>
          <w:color w:val="000000"/>
          <w:sz w:val="22"/>
          <w:lang w:eastAsia="es-CO"/>
        </w:rPr>
        <w:t>.</w:t>
      </w:r>
    </w:p>
    <w:p w14:paraId="3815CC75" w14:textId="77777777" w:rsidR="0047358F" w:rsidRDefault="0047358F" w:rsidP="0047358F">
      <w:pPr>
        <w:spacing w:after="0"/>
        <w:rPr>
          <w:rFonts w:ascii="Arial" w:eastAsia="Times New Roman" w:hAnsi="Arial" w:cs="Arial"/>
          <w:bCs/>
          <w:color w:val="000000"/>
          <w:sz w:val="22"/>
          <w:lang w:eastAsia="es-CO"/>
        </w:rPr>
      </w:pPr>
    </w:p>
    <w:p w14:paraId="2908C52E" w14:textId="220F7FAD" w:rsidR="00681A07" w:rsidRDefault="00387F0A" w:rsidP="0047358F">
      <w:pPr>
        <w:spacing w:after="0"/>
        <w:rPr>
          <w:rFonts w:ascii="Arial" w:eastAsia="Times New Roman" w:hAnsi="Arial" w:cs="Arial"/>
          <w:b/>
          <w:bCs/>
          <w:color w:val="000000"/>
          <w:sz w:val="22"/>
          <w:lang w:eastAsia="es-CO"/>
        </w:rPr>
      </w:pPr>
      <w:r>
        <w:rPr>
          <w:rFonts w:ascii="Arial" w:eastAsia="Times New Roman" w:hAnsi="Arial" w:cs="Arial"/>
          <w:b/>
          <w:bCs/>
          <w:color w:val="000000"/>
          <w:sz w:val="22"/>
          <w:lang w:eastAsia="es-CO"/>
        </w:rPr>
        <w:t>2.2</w:t>
      </w:r>
      <w:r w:rsidR="00681A07" w:rsidRPr="002D5D70">
        <w:rPr>
          <w:rFonts w:ascii="Arial" w:eastAsia="Times New Roman" w:hAnsi="Arial" w:cs="Arial"/>
          <w:b/>
          <w:bCs/>
          <w:color w:val="000000"/>
          <w:sz w:val="22"/>
          <w:lang w:eastAsia="es-CO"/>
        </w:rPr>
        <w:t xml:space="preserve">.1 Restricciones en elecciones presidenciales </w:t>
      </w:r>
    </w:p>
    <w:p w14:paraId="14372CE0" w14:textId="77777777" w:rsidR="0047358F" w:rsidRPr="002D5D70" w:rsidRDefault="0047358F" w:rsidP="0047358F">
      <w:pPr>
        <w:spacing w:after="0"/>
        <w:rPr>
          <w:rFonts w:ascii="Arial" w:eastAsia="Times New Roman" w:hAnsi="Arial" w:cs="Arial"/>
          <w:b/>
          <w:bCs/>
          <w:color w:val="000000"/>
          <w:sz w:val="22"/>
          <w:lang w:eastAsia="es-CO"/>
        </w:rPr>
      </w:pPr>
    </w:p>
    <w:p w14:paraId="5D07C8D0" w14:textId="6BD01873" w:rsidR="00964C6F" w:rsidRDefault="00C0300E" w:rsidP="00090D35">
      <w:pPr>
        <w:rPr>
          <w:rFonts w:ascii="Arial" w:eastAsia="Times New Roman" w:hAnsi="Arial" w:cs="Arial"/>
          <w:bCs/>
          <w:color w:val="000000"/>
          <w:sz w:val="22"/>
          <w:lang w:eastAsia="es-CO"/>
        </w:rPr>
      </w:pPr>
      <w:r w:rsidRPr="002D5D70">
        <w:rPr>
          <w:rFonts w:ascii="Arial" w:eastAsia="Times New Roman" w:hAnsi="Arial" w:cs="Arial"/>
          <w:bCs/>
          <w:color w:val="000000"/>
          <w:sz w:val="22"/>
          <w:lang w:eastAsia="es-CO"/>
        </w:rPr>
        <w:t>Para</w:t>
      </w:r>
      <w:r w:rsidR="00A8268C" w:rsidRPr="002D5D70">
        <w:rPr>
          <w:rFonts w:ascii="Arial" w:eastAsia="Times New Roman" w:hAnsi="Arial" w:cs="Arial"/>
          <w:bCs/>
          <w:color w:val="000000"/>
          <w:sz w:val="22"/>
          <w:lang w:eastAsia="es-CO"/>
        </w:rPr>
        <w:t xml:space="preserve"> las elecciones a la Presidencia de la República</w:t>
      </w:r>
      <w:r w:rsidR="00710422">
        <w:rPr>
          <w:rFonts w:ascii="Arial" w:eastAsia="Times New Roman" w:hAnsi="Arial" w:cs="Arial"/>
          <w:bCs/>
          <w:color w:val="000000"/>
          <w:sz w:val="22"/>
          <w:lang w:eastAsia="es-CO"/>
        </w:rPr>
        <w:t>,</w:t>
      </w:r>
      <w:r w:rsidR="00A8268C" w:rsidRPr="002D5D70">
        <w:rPr>
          <w:rFonts w:ascii="Arial" w:eastAsia="Times New Roman" w:hAnsi="Arial" w:cs="Arial"/>
          <w:bCs/>
          <w:color w:val="000000"/>
          <w:sz w:val="22"/>
          <w:lang w:eastAsia="es-CO"/>
        </w:rPr>
        <w:t xml:space="preserve"> la Ley </w:t>
      </w:r>
      <w:r w:rsidR="00710422">
        <w:rPr>
          <w:rFonts w:ascii="Arial" w:eastAsia="Times New Roman" w:hAnsi="Arial" w:cs="Arial"/>
          <w:bCs/>
          <w:color w:val="000000"/>
          <w:sz w:val="22"/>
          <w:lang w:eastAsia="es-CO"/>
        </w:rPr>
        <w:t>996 de 2005</w:t>
      </w:r>
      <w:r w:rsidR="00090D35">
        <w:rPr>
          <w:rFonts w:ascii="Arial" w:eastAsia="Times New Roman" w:hAnsi="Arial" w:cs="Arial"/>
          <w:bCs/>
          <w:color w:val="000000"/>
          <w:sz w:val="22"/>
          <w:lang w:eastAsia="es-CO"/>
        </w:rPr>
        <w:t xml:space="preserve"> prohíbe </w:t>
      </w:r>
      <w:r w:rsidR="00B101EE" w:rsidRPr="002D5D70">
        <w:rPr>
          <w:rFonts w:ascii="Arial" w:eastAsia="Times New Roman" w:hAnsi="Arial" w:cs="Arial"/>
          <w:bCs/>
          <w:color w:val="000000"/>
          <w:sz w:val="22"/>
          <w:lang w:eastAsia="es-CO"/>
        </w:rPr>
        <w:t>la contratación directa por parte de todos los entes del Estado</w:t>
      </w:r>
      <w:r w:rsidR="00B822EF">
        <w:rPr>
          <w:rFonts w:ascii="Arial" w:eastAsia="Times New Roman" w:hAnsi="Arial" w:cs="Arial"/>
          <w:bCs/>
          <w:color w:val="000000"/>
          <w:sz w:val="22"/>
          <w:lang w:eastAsia="es-CO"/>
        </w:rPr>
        <w:t>.</w:t>
      </w:r>
      <w:r w:rsidR="00B101EE" w:rsidRPr="002D5D70">
        <w:rPr>
          <w:rFonts w:ascii="Arial" w:eastAsia="Times New Roman" w:hAnsi="Arial" w:cs="Arial"/>
          <w:bCs/>
          <w:color w:val="000000"/>
          <w:sz w:val="22"/>
          <w:lang w:eastAsia="es-CO"/>
        </w:rPr>
        <w:t xml:space="preserve"> </w:t>
      </w:r>
      <w:r w:rsidR="00B822EF">
        <w:rPr>
          <w:rFonts w:ascii="Arial" w:eastAsia="Times New Roman" w:hAnsi="Arial" w:cs="Arial"/>
          <w:bCs/>
          <w:color w:val="000000"/>
          <w:sz w:val="22"/>
          <w:lang w:eastAsia="es-CO"/>
        </w:rPr>
        <w:t>A</w:t>
      </w:r>
      <w:r w:rsidR="00B101EE" w:rsidRPr="002D5D70">
        <w:rPr>
          <w:rFonts w:ascii="Arial" w:eastAsia="Times New Roman" w:hAnsi="Arial" w:cs="Arial"/>
          <w:bCs/>
          <w:color w:val="000000"/>
          <w:sz w:val="22"/>
          <w:lang w:eastAsia="es-CO"/>
        </w:rPr>
        <w:t xml:space="preserve">sí lo señala </w:t>
      </w:r>
      <w:r w:rsidR="00710422">
        <w:rPr>
          <w:rFonts w:ascii="Arial" w:eastAsia="Times New Roman" w:hAnsi="Arial" w:cs="Arial"/>
          <w:bCs/>
          <w:color w:val="000000"/>
          <w:sz w:val="22"/>
          <w:lang w:eastAsia="es-CO"/>
        </w:rPr>
        <w:t xml:space="preserve">su </w:t>
      </w:r>
      <w:r w:rsidR="00B101EE" w:rsidRPr="002D5D70">
        <w:rPr>
          <w:rFonts w:ascii="Arial" w:eastAsia="Times New Roman" w:hAnsi="Arial" w:cs="Arial"/>
          <w:bCs/>
          <w:color w:val="000000"/>
          <w:sz w:val="22"/>
          <w:lang w:eastAsia="es-CO"/>
        </w:rPr>
        <w:t>artículo 33, limitación que se aplica</w:t>
      </w:r>
      <w:r w:rsidR="001B2F7F" w:rsidRPr="002D5D70">
        <w:rPr>
          <w:rFonts w:ascii="Arial" w:eastAsia="Times New Roman" w:hAnsi="Arial" w:cs="Arial"/>
          <w:bCs/>
          <w:color w:val="000000"/>
          <w:sz w:val="22"/>
          <w:lang w:eastAsia="es-CO"/>
        </w:rPr>
        <w:t xml:space="preserve"> durante los cuatro (4) meses anteriores a la elección presidencial y hasta la realización de la elección en la segunda vuelta, coincidiendo con la delimitación temporal señalada para la campaña política</w:t>
      </w:r>
      <w:r w:rsidR="00964C6F" w:rsidRPr="002D5D70">
        <w:rPr>
          <w:rFonts w:ascii="Arial" w:eastAsia="Times New Roman" w:hAnsi="Arial" w:cs="Arial"/>
          <w:bCs/>
          <w:color w:val="000000"/>
          <w:sz w:val="22"/>
          <w:lang w:eastAsia="es-CO"/>
        </w:rPr>
        <w:t>.</w:t>
      </w:r>
      <w:r w:rsidR="007F5DAA">
        <w:rPr>
          <w:rFonts w:ascii="Arial" w:eastAsia="Times New Roman" w:hAnsi="Arial" w:cs="Arial"/>
          <w:bCs/>
          <w:color w:val="000000"/>
          <w:sz w:val="22"/>
          <w:lang w:eastAsia="es-CO"/>
        </w:rPr>
        <w:t xml:space="preserve"> La norma también señala las excepciones a la prohibición, en los siguientes términos: </w:t>
      </w:r>
      <w:r w:rsidR="00710422" w:rsidRPr="00710422">
        <w:rPr>
          <w:rFonts w:ascii="Arial" w:eastAsia="Times New Roman" w:hAnsi="Arial" w:cs="Arial"/>
          <w:bCs/>
          <w:color w:val="000000"/>
          <w:sz w:val="22"/>
          <w:lang w:eastAsia="es-CO"/>
        </w:rPr>
        <w:t xml:space="preserve"> </w:t>
      </w:r>
    </w:p>
    <w:p w14:paraId="66FE0BDE" w14:textId="3E4D61ED" w:rsidR="007F5DAA" w:rsidRDefault="007F5DAA" w:rsidP="003F667F">
      <w:pPr>
        <w:spacing w:after="0" w:line="240" w:lineRule="auto"/>
        <w:ind w:left="709" w:right="709"/>
        <w:rPr>
          <w:rFonts w:ascii="Arial" w:eastAsia="Times New Roman" w:hAnsi="Arial" w:cs="Arial"/>
          <w:bCs/>
          <w:color w:val="000000"/>
          <w:sz w:val="21"/>
          <w:szCs w:val="21"/>
          <w:lang w:eastAsia="es-CO"/>
        </w:rPr>
      </w:pPr>
      <w:r w:rsidRPr="003F667F">
        <w:rPr>
          <w:rFonts w:ascii="Arial" w:eastAsia="Times New Roman" w:hAnsi="Arial" w:cs="Arial"/>
          <w:bCs/>
          <w:color w:val="000000"/>
          <w:sz w:val="21"/>
          <w:szCs w:val="21"/>
          <w:lang w:eastAsia="es-CO"/>
        </w:rPr>
        <w:t xml:space="preserve">«[…] </w:t>
      </w:r>
      <w:r w:rsidR="00710422" w:rsidRPr="003F667F">
        <w:rPr>
          <w:rFonts w:ascii="Arial" w:eastAsia="Times New Roman" w:hAnsi="Arial" w:cs="Arial"/>
          <w:bCs/>
          <w:color w:val="000000"/>
          <w:sz w:val="21"/>
          <w:szCs w:val="21"/>
          <w:lang w:eastAsia="es-CO"/>
        </w:rPr>
        <w:t xml:space="preserve">Queda exceptuado lo referente a la defensa y seguridad del Estado, los contratos de crédito público, </w:t>
      </w:r>
      <w:r w:rsidR="00710422" w:rsidRPr="003F667F">
        <w:rPr>
          <w:rFonts w:ascii="Arial" w:eastAsia="Times New Roman" w:hAnsi="Arial" w:cs="Arial"/>
          <w:bCs/>
          <w:i/>
          <w:color w:val="000000"/>
          <w:sz w:val="21"/>
          <w:szCs w:val="21"/>
          <w:lang w:eastAsia="es-CO"/>
        </w:rPr>
        <w:t>los requeridos para cubrir las emergencias</w:t>
      </w:r>
      <w:r w:rsidR="00710422" w:rsidRPr="003F667F">
        <w:rPr>
          <w:rFonts w:ascii="Arial" w:eastAsia="Times New Roman" w:hAnsi="Arial" w:cs="Arial"/>
          <w:bCs/>
          <w:color w:val="000000"/>
          <w:sz w:val="21"/>
          <w:szCs w:val="21"/>
          <w:lang w:eastAsia="es-CO"/>
        </w:rPr>
        <w:t xml:space="preserve"> educativas, </w:t>
      </w:r>
      <w:r w:rsidR="00710422" w:rsidRPr="003F667F">
        <w:rPr>
          <w:rFonts w:ascii="Arial" w:eastAsia="Times New Roman" w:hAnsi="Arial" w:cs="Arial"/>
          <w:bCs/>
          <w:i/>
          <w:color w:val="000000"/>
          <w:sz w:val="21"/>
          <w:szCs w:val="21"/>
          <w:lang w:eastAsia="es-CO"/>
        </w:rPr>
        <w:t>sanitarias</w:t>
      </w:r>
      <w:r w:rsidR="00710422" w:rsidRPr="003F667F">
        <w:rPr>
          <w:rFonts w:ascii="Arial" w:eastAsia="Times New Roman" w:hAnsi="Arial" w:cs="Arial"/>
          <w:bCs/>
          <w:color w:val="000000"/>
          <w:sz w:val="21"/>
          <w:szCs w:val="21"/>
          <w:lang w:eastAsia="es-CO"/>
        </w:rPr>
        <w:t xml:space="preserve"> y desastres, así como también los utilizados para la reconstrucción de vías, puentes, carreteras, infraestructura energética y de </w:t>
      </w:r>
      <w:r w:rsidR="00710422" w:rsidRPr="003F667F">
        <w:rPr>
          <w:rFonts w:ascii="Arial" w:eastAsia="Times New Roman" w:hAnsi="Arial" w:cs="Arial"/>
          <w:bCs/>
          <w:color w:val="000000"/>
          <w:sz w:val="21"/>
          <w:szCs w:val="21"/>
          <w:lang w:eastAsia="es-CO"/>
        </w:rPr>
        <w:lastRenderedPageBreak/>
        <w:t xml:space="preserve">comunicaciones, en caso de que hayan sido objeto de atentados, acciones terroristas, desastres naturales o casos de fuerza mayor, </w:t>
      </w:r>
      <w:r w:rsidR="00710422" w:rsidRPr="003F667F">
        <w:rPr>
          <w:rFonts w:ascii="Arial" w:eastAsia="Times New Roman" w:hAnsi="Arial" w:cs="Arial"/>
          <w:bCs/>
          <w:i/>
          <w:color w:val="000000"/>
          <w:sz w:val="21"/>
          <w:szCs w:val="21"/>
          <w:lang w:eastAsia="es-CO"/>
        </w:rPr>
        <w:t>y los que deban realizar las entidades sanitarias y hospitalarias</w:t>
      </w:r>
      <w:r w:rsidR="00710422" w:rsidRPr="003F667F">
        <w:rPr>
          <w:rFonts w:ascii="Arial" w:eastAsia="Times New Roman" w:hAnsi="Arial" w:cs="Arial"/>
          <w:bCs/>
          <w:color w:val="000000"/>
          <w:sz w:val="21"/>
          <w:szCs w:val="21"/>
          <w:lang w:eastAsia="es-CO"/>
        </w:rPr>
        <w:t>».</w:t>
      </w:r>
      <w:r w:rsidRPr="003F667F">
        <w:rPr>
          <w:rFonts w:ascii="Arial" w:eastAsia="Times New Roman" w:hAnsi="Arial" w:cs="Arial"/>
          <w:bCs/>
          <w:color w:val="000000"/>
          <w:sz w:val="21"/>
          <w:szCs w:val="21"/>
          <w:lang w:eastAsia="es-CO"/>
        </w:rPr>
        <w:t xml:space="preserve"> </w:t>
      </w:r>
      <w:r w:rsidR="00B822EF">
        <w:rPr>
          <w:rFonts w:ascii="Arial" w:eastAsia="Times New Roman" w:hAnsi="Arial" w:cs="Arial"/>
          <w:bCs/>
          <w:color w:val="000000"/>
          <w:sz w:val="22"/>
          <w:lang w:eastAsia="es-CO"/>
        </w:rPr>
        <w:t>(</w:t>
      </w:r>
      <w:r w:rsidRPr="003F667F">
        <w:rPr>
          <w:rFonts w:ascii="Arial" w:eastAsia="Times New Roman" w:hAnsi="Arial" w:cs="Arial"/>
          <w:bCs/>
          <w:color w:val="000000"/>
          <w:sz w:val="22"/>
          <w:lang w:eastAsia="es-CO"/>
        </w:rPr>
        <w:t>Cursiva fuera de texto</w:t>
      </w:r>
      <w:r w:rsidR="00B822EF">
        <w:rPr>
          <w:rFonts w:ascii="Arial" w:eastAsia="Times New Roman" w:hAnsi="Arial" w:cs="Arial"/>
          <w:bCs/>
          <w:color w:val="000000"/>
          <w:sz w:val="22"/>
          <w:lang w:eastAsia="es-CO"/>
        </w:rPr>
        <w:t>)</w:t>
      </w:r>
    </w:p>
    <w:p w14:paraId="36FFFBF0" w14:textId="77777777" w:rsidR="003F667F" w:rsidRPr="003F667F" w:rsidRDefault="003F667F" w:rsidP="003F667F">
      <w:pPr>
        <w:spacing w:after="0" w:line="240" w:lineRule="auto"/>
        <w:ind w:left="709" w:right="709"/>
        <w:rPr>
          <w:rFonts w:ascii="Arial" w:eastAsia="Times New Roman" w:hAnsi="Arial" w:cs="Arial"/>
          <w:bCs/>
          <w:color w:val="000000"/>
          <w:sz w:val="21"/>
          <w:szCs w:val="21"/>
          <w:lang w:eastAsia="es-CO"/>
        </w:rPr>
      </w:pPr>
    </w:p>
    <w:p w14:paraId="28C02E98" w14:textId="4232BCB3" w:rsidR="009C4DAD" w:rsidRPr="009C4DAD" w:rsidRDefault="00B37F90" w:rsidP="00090D35">
      <w:pPr>
        <w:pStyle w:val="Textoindependiente"/>
        <w:spacing w:after="120"/>
        <w:ind w:firstLine="709"/>
      </w:pPr>
      <w:r>
        <w:t xml:space="preserve">Por su parte, el </w:t>
      </w:r>
      <w:r w:rsidR="00964C6F" w:rsidRPr="002D5D70">
        <w:t>artículo 2</w:t>
      </w:r>
      <w:r>
        <w:t>, numeral 4</w:t>
      </w:r>
      <w:r w:rsidR="00964C6F" w:rsidRPr="002D5D70">
        <w:t xml:space="preserve"> de la Ley 1150 de 2007</w:t>
      </w:r>
      <w:r>
        <w:t>,</w:t>
      </w:r>
      <w:r w:rsidR="00964C6F" w:rsidRPr="002D5D70">
        <w:t xml:space="preserve"> establece</w:t>
      </w:r>
      <w:r>
        <w:t xml:space="preserve"> las </w:t>
      </w:r>
      <w:r w:rsidRPr="002D5D70">
        <w:t>causales específicas</w:t>
      </w:r>
      <w:r>
        <w:t xml:space="preserve"> y de</w:t>
      </w:r>
      <w:r w:rsidRPr="002D5D70">
        <w:t xml:space="preserve"> aplicación restrictiva</w:t>
      </w:r>
      <w:r>
        <w:t xml:space="preserve"> para la escogencia del contratista a través de la modalidad de selección de contratación directa</w:t>
      </w:r>
      <w:r w:rsidR="00964C6F" w:rsidRPr="002D5D70">
        <w:rPr>
          <w:rStyle w:val="Refdenotaalpie"/>
        </w:rPr>
        <w:footnoteReference w:id="6"/>
      </w:r>
      <w:r w:rsidR="00964C6F" w:rsidRPr="002D5D70">
        <w:t xml:space="preserve">, </w:t>
      </w:r>
      <w:r>
        <w:t xml:space="preserve">en su orden: </w:t>
      </w:r>
      <w:r w:rsidR="00964C6F" w:rsidRPr="002D5D70">
        <w:t xml:space="preserve">i) la urgencia manifiesta; </w:t>
      </w:r>
      <w:proofErr w:type="spellStart"/>
      <w:r w:rsidR="00964C6F" w:rsidRPr="002D5D70">
        <w:t>ii</w:t>
      </w:r>
      <w:proofErr w:type="spellEnd"/>
      <w:r w:rsidR="00964C6F" w:rsidRPr="002D5D70">
        <w:t xml:space="preserve">) la contratación entre entidades estatales; </w:t>
      </w:r>
      <w:proofErr w:type="spellStart"/>
      <w:r w:rsidR="00964C6F" w:rsidRPr="002D5D70">
        <w:t>iii</w:t>
      </w:r>
      <w:proofErr w:type="spellEnd"/>
      <w:r w:rsidR="00964C6F" w:rsidRPr="002D5D70">
        <w:t>) cuando no exista pluralidad de oferentes</w:t>
      </w:r>
      <w:r w:rsidR="00964C6F" w:rsidRPr="002D5D70">
        <w:rPr>
          <w:rStyle w:val="Refdenotaalpie"/>
        </w:rPr>
        <w:footnoteReference w:id="7"/>
      </w:r>
      <w:r w:rsidR="00964C6F" w:rsidRPr="002D5D70">
        <w:t xml:space="preserve">; </w:t>
      </w:r>
      <w:proofErr w:type="spellStart"/>
      <w:r w:rsidR="00964C6F" w:rsidRPr="002D5D70">
        <w:t>iv</w:t>
      </w:r>
      <w:proofErr w:type="spellEnd"/>
      <w:r w:rsidR="00964C6F" w:rsidRPr="002D5D70">
        <w:t>) contratos de prestación de servicios profesionales y de apoyo a la gestión</w:t>
      </w:r>
      <w:r w:rsidR="00964C6F" w:rsidRPr="002D5D70">
        <w:rPr>
          <w:rStyle w:val="Refdenotaalpie"/>
        </w:rPr>
        <w:footnoteReference w:id="8"/>
      </w:r>
      <w:r w:rsidR="00964C6F" w:rsidRPr="002D5D70">
        <w:t xml:space="preserve">; v) contratos para la ejecución de contratos artísticos que sólo pueden encomendarse a determinadas personas naturales; vi) adquisición y arrendamiento de bienes inmuebles; </w:t>
      </w:r>
      <w:proofErr w:type="spellStart"/>
      <w:r w:rsidR="00964C6F" w:rsidRPr="002D5D70">
        <w:t>vii</w:t>
      </w:r>
      <w:proofErr w:type="spellEnd"/>
      <w:r w:rsidR="00964C6F" w:rsidRPr="002D5D70">
        <w:t xml:space="preserve">) contratos de empréstitos; </w:t>
      </w:r>
      <w:proofErr w:type="spellStart"/>
      <w:r w:rsidR="00964C6F" w:rsidRPr="002D5D70">
        <w:t>viii</w:t>
      </w:r>
      <w:proofErr w:type="spellEnd"/>
      <w:r w:rsidR="00964C6F" w:rsidRPr="002D5D70">
        <w:t xml:space="preserve">) contratación de bienes y servicios del sector defensa que requieran reserva; </w:t>
      </w:r>
      <w:proofErr w:type="spellStart"/>
      <w:r w:rsidR="00964C6F" w:rsidRPr="002D5D70">
        <w:t>ix</w:t>
      </w:r>
      <w:proofErr w:type="spellEnd"/>
      <w:r w:rsidR="00964C6F" w:rsidRPr="002D5D70">
        <w:t>) contratos para el desarrollo de actividades científicas y tecnológicas; y x) contratos de encargo fiduciario que celebren las entidades territoriales cuando inicien el acuerdo de reestructuración de pasivos.</w:t>
      </w:r>
      <w:r w:rsidR="009C4DAD" w:rsidRPr="009C4DAD">
        <w:rPr>
          <w:rFonts w:eastAsia="Calibri"/>
        </w:rPr>
        <w:t xml:space="preserve"> </w:t>
      </w:r>
    </w:p>
    <w:p w14:paraId="352E21A8" w14:textId="395ECB7E" w:rsidR="00D521EA" w:rsidRPr="001024CE" w:rsidRDefault="00880626" w:rsidP="009C4DAD">
      <w:pPr>
        <w:pStyle w:val="Textoindependiente"/>
        <w:spacing w:after="0"/>
        <w:ind w:firstLine="709"/>
        <w:rPr>
          <w:rFonts w:eastAsia="Calibri"/>
          <w:color w:val="000000" w:themeColor="text1"/>
          <w:lang w:val="es-ES_tradnl"/>
        </w:rPr>
      </w:pPr>
      <w:r>
        <w:rPr>
          <w:rFonts w:eastAsia="Calibri"/>
          <w:color w:val="000000" w:themeColor="text1"/>
          <w:lang w:val="es-ES_tradnl"/>
        </w:rPr>
        <w:t>Así las cosas</w:t>
      </w:r>
      <w:r w:rsidR="00E43A2C" w:rsidRPr="001024CE">
        <w:rPr>
          <w:rFonts w:eastAsia="Calibri"/>
          <w:color w:val="000000" w:themeColor="text1"/>
          <w:lang w:val="es-ES_tradnl"/>
        </w:rPr>
        <w:t>, existe</w:t>
      </w:r>
      <w:r w:rsidR="00D521EA" w:rsidRPr="001024CE">
        <w:rPr>
          <w:rFonts w:eastAsia="Calibri"/>
          <w:color w:val="000000" w:themeColor="text1"/>
          <w:lang w:val="es-ES_tradnl"/>
        </w:rPr>
        <w:t xml:space="preserve"> una diferencia fundamental con otras modalidades de selección, y es que en la contratación directa no se otorga puntaje a las ofertas para ponderarlas y elegir el ofrecimiento más favorable, ya que la entidad recibe solo una. Lo anterior es complementado por el Consejo de Estado, al definir la contratación directa: </w:t>
      </w:r>
    </w:p>
    <w:p w14:paraId="3906A81C" w14:textId="77777777" w:rsidR="009C4DAD" w:rsidRDefault="009C4DAD" w:rsidP="009C4DAD">
      <w:pPr>
        <w:spacing w:after="0" w:line="240" w:lineRule="auto"/>
        <w:ind w:left="709" w:right="709"/>
        <w:rPr>
          <w:rFonts w:ascii="Arial" w:hAnsi="Arial" w:cs="Arial"/>
          <w:color w:val="000000" w:themeColor="text1"/>
          <w:sz w:val="21"/>
          <w:szCs w:val="21"/>
          <w:lang w:val="es-ES_tradnl"/>
        </w:rPr>
      </w:pPr>
    </w:p>
    <w:p w14:paraId="0B23F770" w14:textId="3301925B" w:rsidR="00D521EA" w:rsidRPr="009C4DAD" w:rsidRDefault="009C4DAD" w:rsidP="009C4DAD">
      <w:pPr>
        <w:spacing w:after="0" w:line="240" w:lineRule="auto"/>
        <w:ind w:left="709" w:right="709"/>
        <w:rPr>
          <w:rFonts w:ascii="Arial" w:hAnsi="Arial" w:cs="Arial"/>
          <w:color w:val="000000" w:themeColor="text1"/>
          <w:sz w:val="21"/>
          <w:szCs w:val="21"/>
          <w:lang w:val="es-ES_tradnl"/>
        </w:rPr>
      </w:pPr>
      <w:r>
        <w:rPr>
          <w:rFonts w:ascii="Arial" w:hAnsi="Arial" w:cs="Arial"/>
          <w:color w:val="000000" w:themeColor="text1"/>
          <w:sz w:val="21"/>
          <w:szCs w:val="21"/>
          <w:lang w:val="es-ES_tradnl"/>
        </w:rPr>
        <w:t>[…]</w:t>
      </w:r>
      <w:r w:rsidR="0005241F">
        <w:rPr>
          <w:rFonts w:ascii="Arial" w:hAnsi="Arial" w:cs="Arial"/>
          <w:color w:val="000000" w:themeColor="text1"/>
          <w:sz w:val="21"/>
          <w:szCs w:val="21"/>
          <w:lang w:val="es-ES_tradnl"/>
        </w:rPr>
        <w:t xml:space="preserve"> </w:t>
      </w:r>
      <w:r w:rsidR="00D521EA" w:rsidRPr="009C4DAD">
        <w:rPr>
          <w:rFonts w:ascii="Arial" w:hAnsi="Arial" w:cs="Arial"/>
          <w:color w:val="000000" w:themeColor="text1"/>
          <w:sz w:val="21"/>
          <w:szCs w:val="21"/>
          <w:lang w:val="es-ES_tradnl"/>
        </w:rPr>
        <w:t xml:space="preserve">Se define la expresión contratación directa entendida como cualquier mecanismo de escogencia del contratista en el que se prescinde de la licitación o concurso, sin que se tenga en cuenta por el legislador estatutario el régimen de contratación aplicable, ya sea contenido en el Estatuto General de </w:t>
      </w:r>
      <w:r w:rsidR="00D521EA" w:rsidRPr="009C4DAD">
        <w:rPr>
          <w:rFonts w:ascii="Arial" w:hAnsi="Arial" w:cs="Arial"/>
          <w:color w:val="000000" w:themeColor="text1"/>
          <w:sz w:val="21"/>
          <w:szCs w:val="21"/>
          <w:lang w:val="es-ES_tradnl"/>
        </w:rPr>
        <w:lastRenderedPageBreak/>
        <w:t>Contratación de la Administración Pública - ley 80 de 1993 -, o uno especial en razón del objeto del contrato o del órgano que contrata. Para los efectos de la ley de garantías, y dada su finalidad, el enunciado «contratación directa» es sinónimo de cualquier sistema diferente de la licitación pública, y no del procedimiento especial regulado por la ley 80 de 1993</w:t>
      </w:r>
      <w:r w:rsidR="00D521EA" w:rsidRPr="009C4DAD">
        <w:rPr>
          <w:rStyle w:val="Refdenotaalpie"/>
          <w:rFonts w:ascii="Arial" w:hAnsi="Arial" w:cs="Arial"/>
          <w:color w:val="000000" w:themeColor="text1"/>
          <w:sz w:val="21"/>
          <w:szCs w:val="21"/>
          <w:lang w:val="es-ES_tradnl"/>
        </w:rPr>
        <w:footnoteReference w:id="9"/>
      </w:r>
      <w:r w:rsidR="00D521EA" w:rsidRPr="009C4DAD">
        <w:rPr>
          <w:rFonts w:ascii="Arial" w:hAnsi="Arial" w:cs="Arial"/>
          <w:color w:val="000000" w:themeColor="text1"/>
          <w:sz w:val="21"/>
          <w:szCs w:val="21"/>
          <w:lang w:val="es-ES_tradnl"/>
        </w:rPr>
        <w:t>.</w:t>
      </w:r>
    </w:p>
    <w:p w14:paraId="5512258A" w14:textId="77777777" w:rsidR="00964C6F" w:rsidRPr="009C4DAD" w:rsidRDefault="00964C6F" w:rsidP="009C4DAD">
      <w:pPr>
        <w:pStyle w:val="Textoindependiente"/>
        <w:spacing w:after="0" w:line="240" w:lineRule="auto"/>
        <w:ind w:left="709" w:right="709" w:firstLine="709"/>
        <w:rPr>
          <w:sz w:val="21"/>
          <w:szCs w:val="21"/>
        </w:rPr>
      </w:pPr>
    </w:p>
    <w:p w14:paraId="386FCE11" w14:textId="5E587FB4" w:rsidR="00321A13" w:rsidRDefault="00321A13" w:rsidP="00FE32A0">
      <w:pPr>
        <w:spacing w:after="120"/>
        <w:ind w:firstLine="709"/>
        <w:rPr>
          <w:rFonts w:ascii="Arial" w:eastAsia="Times New Roman" w:hAnsi="Arial" w:cs="Arial"/>
          <w:bCs/>
          <w:color w:val="000000"/>
          <w:sz w:val="22"/>
          <w:lang w:eastAsia="es-CO"/>
        </w:rPr>
      </w:pPr>
      <w:r>
        <w:rPr>
          <w:rFonts w:ascii="Arial" w:eastAsia="Times New Roman" w:hAnsi="Arial" w:cs="Arial"/>
          <w:bCs/>
          <w:color w:val="000000"/>
          <w:sz w:val="22"/>
          <w:lang w:eastAsia="es-CO"/>
        </w:rPr>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w:t>
      </w:r>
      <w:r w:rsidR="00CC101A">
        <w:rPr>
          <w:rFonts w:ascii="Arial" w:eastAsia="Times New Roman" w:hAnsi="Arial" w:cs="Arial"/>
          <w:bCs/>
          <w:color w:val="000000"/>
          <w:sz w:val="22"/>
          <w:lang w:eastAsia="es-CO"/>
        </w:rPr>
        <w:t>, sino también</w:t>
      </w:r>
      <w:r w:rsidR="0005241F">
        <w:rPr>
          <w:rFonts w:ascii="Arial" w:eastAsia="Times New Roman" w:hAnsi="Arial" w:cs="Arial"/>
          <w:bCs/>
          <w:color w:val="000000"/>
          <w:sz w:val="22"/>
          <w:lang w:eastAsia="es-CO"/>
        </w:rPr>
        <w:t xml:space="preserve"> frente a las entidades que tengan un régimen especial de </w:t>
      </w:r>
      <w:proofErr w:type="spellStart"/>
      <w:r w:rsidR="0005241F">
        <w:rPr>
          <w:rFonts w:ascii="Arial" w:eastAsia="Times New Roman" w:hAnsi="Arial" w:cs="Arial"/>
          <w:bCs/>
          <w:color w:val="000000"/>
          <w:sz w:val="22"/>
          <w:lang w:eastAsia="es-CO"/>
        </w:rPr>
        <w:t>contraación</w:t>
      </w:r>
      <w:proofErr w:type="spellEnd"/>
      <w:r>
        <w:rPr>
          <w:rFonts w:ascii="Arial" w:eastAsia="Times New Roman" w:hAnsi="Arial" w:cs="Arial"/>
          <w:bCs/>
          <w:color w:val="000000"/>
          <w:sz w:val="22"/>
          <w:lang w:eastAsia="es-CO"/>
        </w:rPr>
        <w:t xml:space="preserve">. No obstante, cabe aclarar que el pronunciamiento anterior se profirió antes de expedirse la Ley 1150 de 2007, de manera que </w:t>
      </w:r>
      <w:r w:rsidRPr="00FE32A0">
        <w:rPr>
          <w:rFonts w:ascii="Arial" w:eastAsia="Times New Roman" w:hAnsi="Arial" w:cs="Arial"/>
          <w:bCs/>
          <w:color w:val="000000"/>
          <w:sz w:val="22"/>
          <w:lang w:eastAsia="es-CO"/>
        </w:rPr>
        <w:t>con la expedición de esta ley, la Corporación comenzó a delimitar con mayor precisión el término de «contratación directa», por el cual entendió, para efectos de la prohibición o restricción temporal contenida en la Ley de Garantías Electorales, a «[…] cualquier sistema de selección o procedimiento de contratación utilizado por las entidades estatales que no incluya la convocatoria pública, en alguna de sus etapas, ni permita la participación de una pluralidad de oferentes»</w:t>
      </w:r>
      <w:r w:rsidRPr="00FE32A0">
        <w:rPr>
          <w:rFonts w:ascii="Arial" w:eastAsia="Times New Roman" w:hAnsi="Arial" w:cs="Arial"/>
          <w:bCs/>
          <w:color w:val="000000"/>
          <w:sz w:val="22"/>
          <w:lang w:eastAsia="es-CO"/>
        </w:rPr>
        <w:footnoteReference w:id="10"/>
      </w:r>
      <w:r w:rsidRPr="00FE32A0">
        <w:rPr>
          <w:rFonts w:ascii="Arial" w:eastAsia="Times New Roman" w:hAnsi="Arial" w:cs="Arial"/>
          <w:bCs/>
          <w:color w:val="000000"/>
          <w:sz w:val="22"/>
          <w:lang w:eastAsia="es-CO"/>
        </w:rPr>
        <w:t>.</w:t>
      </w:r>
      <w:r w:rsidR="0005241F">
        <w:rPr>
          <w:rFonts w:ascii="Arial" w:eastAsia="Times New Roman" w:hAnsi="Arial" w:cs="Arial"/>
          <w:bCs/>
          <w:color w:val="000000"/>
          <w:sz w:val="22"/>
          <w:lang w:eastAsia="es-CO"/>
        </w:rPr>
        <w:t xml:space="preserve"> </w:t>
      </w:r>
      <w:r w:rsidR="00883D39">
        <w:rPr>
          <w:rFonts w:ascii="Arial" w:eastAsia="Times New Roman" w:hAnsi="Arial" w:cs="Arial"/>
          <w:bCs/>
          <w:color w:val="000000"/>
          <w:sz w:val="22"/>
          <w:lang w:eastAsia="es-CO"/>
        </w:rPr>
        <w:t>De lo anterior se despende que</w:t>
      </w:r>
      <w:r w:rsidR="0005241F">
        <w:rPr>
          <w:rFonts w:ascii="Arial" w:eastAsia="Times New Roman" w:hAnsi="Arial" w:cs="Arial"/>
          <w:bCs/>
          <w:color w:val="000000"/>
          <w:sz w:val="22"/>
          <w:lang w:eastAsia="es-CO"/>
        </w:rPr>
        <w:t xml:space="preserve"> la restricción aplica, sin perjuicio de las excepciones establecidas en la misma ley, para celebrar cualquier contrato de forma directa, esto es, sin que exista un proceso competitivo.</w:t>
      </w:r>
    </w:p>
    <w:p w14:paraId="11F22FAA" w14:textId="285CA8EB" w:rsidR="001B2F7F" w:rsidRDefault="00AE53EB" w:rsidP="009C4DAD">
      <w:pPr>
        <w:spacing w:after="0"/>
        <w:ind w:firstLine="709"/>
        <w:rPr>
          <w:rFonts w:ascii="Arial" w:eastAsia="Times New Roman" w:hAnsi="Arial" w:cs="Arial"/>
          <w:bCs/>
          <w:color w:val="000000"/>
          <w:sz w:val="22"/>
          <w:lang w:eastAsia="es-CO"/>
        </w:rPr>
      </w:pPr>
      <w:r>
        <w:rPr>
          <w:rFonts w:ascii="Arial" w:eastAsia="Times New Roman" w:hAnsi="Arial" w:cs="Arial"/>
          <w:bCs/>
          <w:color w:val="000000"/>
          <w:sz w:val="22"/>
          <w:lang w:eastAsia="es-CO"/>
        </w:rPr>
        <w:t>P</w:t>
      </w:r>
      <w:r w:rsidR="0091237C" w:rsidRPr="002D5D70">
        <w:rPr>
          <w:rFonts w:ascii="Arial" w:eastAsia="Times New Roman" w:hAnsi="Arial" w:cs="Arial"/>
          <w:bCs/>
          <w:color w:val="000000"/>
          <w:sz w:val="22"/>
          <w:lang w:eastAsia="es-CO"/>
        </w:rPr>
        <w:t>ara efectos de las elecciones presidenciales</w:t>
      </w:r>
      <w:r>
        <w:rPr>
          <w:rFonts w:ascii="Arial" w:eastAsia="Times New Roman" w:hAnsi="Arial" w:cs="Arial"/>
          <w:bCs/>
          <w:color w:val="000000"/>
          <w:sz w:val="22"/>
          <w:lang w:eastAsia="es-CO"/>
        </w:rPr>
        <w:t>,</w:t>
      </w:r>
      <w:r w:rsidR="0091237C" w:rsidRPr="002D5D70">
        <w:rPr>
          <w:rFonts w:ascii="Arial" w:eastAsia="Times New Roman" w:hAnsi="Arial" w:cs="Arial"/>
          <w:bCs/>
          <w:color w:val="000000"/>
          <w:sz w:val="22"/>
          <w:lang w:eastAsia="es-CO"/>
        </w:rPr>
        <w:t xml:space="preserve"> a la prohibición de la contratación directa se sumarán</w:t>
      </w:r>
      <w:r w:rsidR="003A529D">
        <w:rPr>
          <w:rFonts w:ascii="Arial" w:eastAsia="Times New Roman" w:hAnsi="Arial" w:cs="Arial"/>
          <w:bCs/>
          <w:color w:val="000000"/>
          <w:sz w:val="22"/>
          <w:lang w:eastAsia="es-CO"/>
        </w:rPr>
        <w:t xml:space="preserve"> las restricciones que</w:t>
      </w:r>
      <w:r>
        <w:rPr>
          <w:rFonts w:ascii="Arial" w:eastAsia="Times New Roman" w:hAnsi="Arial" w:cs="Arial"/>
          <w:bCs/>
          <w:color w:val="000000"/>
          <w:sz w:val="22"/>
          <w:lang w:eastAsia="es-CO"/>
        </w:rPr>
        <w:t xml:space="preserve"> prevé</w:t>
      </w:r>
      <w:r w:rsidR="0022678E" w:rsidRPr="002D5D70">
        <w:rPr>
          <w:rFonts w:ascii="Arial" w:eastAsia="Times New Roman" w:hAnsi="Arial" w:cs="Arial"/>
          <w:bCs/>
          <w:color w:val="000000"/>
          <w:sz w:val="22"/>
          <w:lang w:eastAsia="es-CO"/>
        </w:rPr>
        <w:t xml:space="preserve"> </w:t>
      </w:r>
      <w:r>
        <w:rPr>
          <w:rFonts w:ascii="Arial" w:eastAsia="Times New Roman" w:hAnsi="Arial" w:cs="Arial"/>
          <w:bCs/>
          <w:color w:val="000000"/>
          <w:sz w:val="22"/>
          <w:lang w:eastAsia="es-CO"/>
        </w:rPr>
        <w:t>la Ley de Garant</w:t>
      </w:r>
      <w:r w:rsidR="00756C0F">
        <w:rPr>
          <w:rFonts w:ascii="Arial" w:eastAsia="Times New Roman" w:hAnsi="Arial" w:cs="Arial"/>
          <w:bCs/>
          <w:color w:val="000000"/>
          <w:sz w:val="22"/>
          <w:lang w:eastAsia="es-CO"/>
        </w:rPr>
        <w:t>ías para</w:t>
      </w:r>
      <w:r w:rsidR="0022678E" w:rsidRPr="002D5D70">
        <w:rPr>
          <w:rFonts w:ascii="Arial" w:eastAsia="Times New Roman" w:hAnsi="Arial" w:cs="Arial"/>
          <w:bCs/>
          <w:color w:val="000000"/>
          <w:sz w:val="22"/>
          <w:lang w:eastAsia="es-CO"/>
        </w:rPr>
        <w:t xml:space="preserve"> </w:t>
      </w:r>
      <w:r w:rsidR="0076744F" w:rsidRPr="002D5D70">
        <w:rPr>
          <w:rFonts w:ascii="Arial" w:eastAsia="Times New Roman" w:hAnsi="Arial" w:cs="Arial"/>
          <w:bCs/>
          <w:color w:val="000000"/>
          <w:sz w:val="22"/>
          <w:lang w:eastAsia="es-CO"/>
        </w:rPr>
        <w:t>los comicios</w:t>
      </w:r>
      <w:r w:rsidR="00B360BE" w:rsidRPr="002D5D70">
        <w:rPr>
          <w:rFonts w:ascii="Arial" w:eastAsia="Times New Roman" w:hAnsi="Arial" w:cs="Arial"/>
          <w:bCs/>
          <w:color w:val="000000"/>
          <w:sz w:val="22"/>
          <w:lang w:eastAsia="es-CO"/>
        </w:rPr>
        <w:t xml:space="preserve"> </w:t>
      </w:r>
      <w:r w:rsidR="00756C0F">
        <w:rPr>
          <w:rFonts w:ascii="Arial" w:eastAsia="Times New Roman" w:hAnsi="Arial" w:cs="Arial"/>
          <w:bCs/>
          <w:color w:val="000000"/>
          <w:sz w:val="22"/>
          <w:lang w:eastAsia="es-CO"/>
        </w:rPr>
        <w:t xml:space="preserve">que definen el acceso </w:t>
      </w:r>
      <w:r w:rsidR="00B360BE" w:rsidRPr="002D5D70">
        <w:rPr>
          <w:rFonts w:ascii="Arial" w:eastAsia="Times New Roman" w:hAnsi="Arial" w:cs="Arial"/>
          <w:bCs/>
          <w:color w:val="000000"/>
          <w:sz w:val="22"/>
          <w:lang w:eastAsia="es-CO"/>
        </w:rPr>
        <w:t>a</w:t>
      </w:r>
      <w:r w:rsidR="0022678E" w:rsidRPr="002D5D70">
        <w:rPr>
          <w:rFonts w:ascii="Arial" w:eastAsia="Times New Roman" w:hAnsi="Arial" w:cs="Arial"/>
          <w:bCs/>
          <w:color w:val="000000"/>
          <w:sz w:val="22"/>
          <w:lang w:eastAsia="es-CO"/>
        </w:rPr>
        <w:t xml:space="preserve"> cargos de elección popula</w:t>
      </w:r>
      <w:r w:rsidR="009831AC">
        <w:rPr>
          <w:rFonts w:ascii="Arial" w:eastAsia="Times New Roman" w:hAnsi="Arial" w:cs="Arial"/>
          <w:bCs/>
          <w:color w:val="000000"/>
          <w:sz w:val="22"/>
          <w:lang w:eastAsia="es-CO"/>
        </w:rPr>
        <w:t>r, como se desarrolla a continuación.</w:t>
      </w:r>
    </w:p>
    <w:p w14:paraId="4AE0A23F" w14:textId="77777777" w:rsidR="00FB58AF" w:rsidRPr="002D5D70" w:rsidRDefault="00FB58AF" w:rsidP="009C4DAD">
      <w:pPr>
        <w:spacing w:after="0"/>
        <w:rPr>
          <w:rFonts w:ascii="Arial" w:eastAsia="Times New Roman" w:hAnsi="Arial" w:cs="Arial"/>
          <w:bCs/>
          <w:color w:val="000000"/>
          <w:sz w:val="22"/>
          <w:lang w:eastAsia="es-CO"/>
        </w:rPr>
      </w:pPr>
    </w:p>
    <w:p w14:paraId="26BD23AE" w14:textId="2CEC9108" w:rsidR="00FB58AF" w:rsidRPr="009C4DAD" w:rsidRDefault="00387F0A" w:rsidP="009C4DAD">
      <w:pPr>
        <w:rPr>
          <w:rFonts w:ascii="Arial" w:eastAsia="Times New Roman" w:hAnsi="Arial" w:cs="Arial"/>
          <w:b/>
          <w:bCs/>
          <w:color w:val="000000"/>
          <w:sz w:val="22"/>
          <w:lang w:eastAsia="es-CO"/>
        </w:rPr>
      </w:pPr>
      <w:r>
        <w:rPr>
          <w:rFonts w:ascii="Arial" w:eastAsia="Times New Roman" w:hAnsi="Arial" w:cs="Arial"/>
          <w:b/>
          <w:bCs/>
          <w:color w:val="000000"/>
          <w:sz w:val="22"/>
          <w:lang w:eastAsia="es-CO"/>
        </w:rPr>
        <w:t>2.2</w:t>
      </w:r>
      <w:r w:rsidR="00964C6F" w:rsidRPr="002D5D70">
        <w:rPr>
          <w:rFonts w:ascii="Arial" w:eastAsia="Times New Roman" w:hAnsi="Arial" w:cs="Arial"/>
          <w:b/>
          <w:bCs/>
          <w:color w:val="000000"/>
          <w:sz w:val="22"/>
          <w:lang w:eastAsia="es-CO"/>
        </w:rPr>
        <w:t>.2</w:t>
      </w:r>
      <w:r w:rsidR="00681A07" w:rsidRPr="002D5D70">
        <w:rPr>
          <w:rFonts w:ascii="Arial" w:eastAsia="Times New Roman" w:hAnsi="Arial" w:cs="Arial"/>
          <w:b/>
          <w:bCs/>
          <w:color w:val="000000"/>
          <w:sz w:val="22"/>
          <w:lang w:eastAsia="es-CO"/>
        </w:rPr>
        <w:t xml:space="preserve"> Restricciones </w:t>
      </w:r>
      <w:r w:rsidR="00161DA2">
        <w:rPr>
          <w:rFonts w:ascii="Arial" w:eastAsia="Times New Roman" w:hAnsi="Arial" w:cs="Arial"/>
          <w:b/>
          <w:bCs/>
          <w:color w:val="000000"/>
          <w:sz w:val="22"/>
          <w:lang w:eastAsia="es-CO"/>
        </w:rPr>
        <w:t>frente a los comicios</w:t>
      </w:r>
      <w:r w:rsidR="0000682D" w:rsidRPr="002D5D70">
        <w:rPr>
          <w:rFonts w:ascii="Arial" w:eastAsia="Times New Roman" w:hAnsi="Arial" w:cs="Arial"/>
          <w:b/>
          <w:bCs/>
          <w:color w:val="000000"/>
          <w:sz w:val="22"/>
          <w:lang w:eastAsia="es-CO"/>
        </w:rPr>
        <w:t xml:space="preserve"> </w:t>
      </w:r>
      <w:r w:rsidR="00681A07" w:rsidRPr="002D5D70">
        <w:rPr>
          <w:rFonts w:ascii="Arial" w:eastAsia="Times New Roman" w:hAnsi="Arial" w:cs="Arial"/>
          <w:b/>
          <w:bCs/>
          <w:color w:val="000000"/>
          <w:sz w:val="22"/>
          <w:lang w:eastAsia="es-CO"/>
        </w:rPr>
        <w:t xml:space="preserve">a cargos de elección popular </w:t>
      </w:r>
    </w:p>
    <w:p w14:paraId="6D86B2EA" w14:textId="77777777" w:rsidR="00681A07" w:rsidRPr="008612BF" w:rsidRDefault="00681A07" w:rsidP="00681A07">
      <w:pPr>
        <w:tabs>
          <w:tab w:val="left" w:pos="426"/>
        </w:tabs>
        <w:rPr>
          <w:rFonts w:ascii="Arial" w:eastAsia="Calibri" w:hAnsi="Arial" w:cs="Arial"/>
          <w:bCs/>
          <w:sz w:val="22"/>
          <w:lang w:val="es-CO"/>
        </w:rPr>
      </w:pPr>
      <w:r w:rsidRPr="002D5D70">
        <w:rPr>
          <w:rFonts w:ascii="Arial" w:eastAsia="Calibri" w:hAnsi="Arial" w:cs="Arial"/>
          <w:bCs/>
          <w:sz w:val="22"/>
          <w:lang w:val="es-CO"/>
        </w:rPr>
        <w:t xml:space="preserve">El parágrafo del artículo 38 de la Ley 996 de 2005 establece la prohibición para gobernadores, alcaldes, secretarios, gerentes y directores de entidades de orden municipal, departamental o </w:t>
      </w:r>
      <w:r w:rsidRPr="008612BF">
        <w:rPr>
          <w:rFonts w:ascii="Arial" w:eastAsia="Calibri" w:hAnsi="Arial" w:cs="Arial"/>
          <w:bCs/>
          <w:sz w:val="22"/>
          <w:lang w:val="es-CO"/>
        </w:rPr>
        <w:t>distrital, para celebrar convenios o contratos interadministrativos para la ejecución de recursos públicos dentro de los cuatro (4) meses anteriores a cualquier elección, en los siguientes términos:</w:t>
      </w:r>
    </w:p>
    <w:p w14:paraId="57F5A990" w14:textId="29E77FD4" w:rsidR="00681A07" w:rsidRPr="00A32529" w:rsidRDefault="009C4DAD" w:rsidP="009C4DAD">
      <w:pPr>
        <w:tabs>
          <w:tab w:val="left" w:pos="426"/>
        </w:tabs>
        <w:spacing w:after="0" w:line="240" w:lineRule="auto"/>
        <w:ind w:right="709"/>
        <w:rPr>
          <w:rFonts w:ascii="Arial" w:eastAsia="Calibri" w:hAnsi="Arial" w:cs="Arial"/>
          <w:bCs/>
          <w:sz w:val="21"/>
          <w:szCs w:val="21"/>
          <w:lang w:val="es-CO"/>
        </w:rPr>
      </w:pPr>
      <w:r>
        <w:rPr>
          <w:rFonts w:ascii="Arial" w:eastAsia="Calibri" w:hAnsi="Arial" w:cs="Arial"/>
          <w:bCs/>
          <w:sz w:val="22"/>
          <w:lang w:val="es-CO"/>
        </w:rPr>
        <w:tab/>
      </w:r>
      <w:r>
        <w:rPr>
          <w:rFonts w:ascii="Arial" w:eastAsia="Calibri" w:hAnsi="Arial" w:cs="Arial"/>
          <w:bCs/>
          <w:sz w:val="22"/>
          <w:lang w:val="es-CO"/>
        </w:rPr>
        <w:tab/>
      </w:r>
      <w:r w:rsidR="00681A07" w:rsidRPr="00A32529">
        <w:rPr>
          <w:rFonts w:ascii="Arial" w:eastAsia="Calibri" w:hAnsi="Arial" w:cs="Arial"/>
          <w:bCs/>
          <w:sz w:val="21"/>
          <w:szCs w:val="21"/>
          <w:lang w:val="es-CO"/>
        </w:rPr>
        <w:t>[…]</w:t>
      </w:r>
    </w:p>
    <w:p w14:paraId="1713B667" w14:textId="05C905E2" w:rsidR="00681A07" w:rsidRPr="00A32529" w:rsidRDefault="00681A07" w:rsidP="009C4DAD">
      <w:pPr>
        <w:tabs>
          <w:tab w:val="left" w:pos="426"/>
        </w:tabs>
        <w:spacing w:after="0" w:line="240" w:lineRule="auto"/>
        <w:ind w:left="709" w:right="709" w:firstLine="1"/>
        <w:rPr>
          <w:rFonts w:ascii="Arial" w:eastAsia="Calibri" w:hAnsi="Arial" w:cs="Arial"/>
          <w:bCs/>
          <w:sz w:val="21"/>
          <w:szCs w:val="21"/>
          <w:lang w:val="es-CO"/>
        </w:rPr>
      </w:pPr>
      <w:r w:rsidRPr="00A32529">
        <w:rPr>
          <w:rFonts w:ascii="Arial" w:eastAsia="Calibri" w:hAnsi="Arial" w:cs="Arial"/>
          <w:bCs/>
          <w:sz w:val="21"/>
          <w:szCs w:val="21"/>
          <w:lang w:val="es-CO"/>
        </w:rPr>
        <w:t xml:space="preserve">Gobernadores, Alcaldes Municipales y/o Distritales, Secretarios, Gerentes y directores de Entidades Descentralizadas del orden Municipal, Departamental o Distrital, dentro de los cuatro (4) meses anteriores a las elecciones, no </w:t>
      </w:r>
      <w:r w:rsidRPr="00A32529">
        <w:rPr>
          <w:rFonts w:ascii="Arial" w:eastAsia="Calibri" w:hAnsi="Arial" w:cs="Arial"/>
          <w:bCs/>
          <w:sz w:val="21"/>
          <w:szCs w:val="21"/>
          <w:lang w:val="es-CO"/>
        </w:rPr>
        <w:lastRenderedPageBreak/>
        <w:t>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en las que participen los candidatos a cargos de elección popular. Tampoco podrán hacerlo cuando parti</w:t>
      </w:r>
      <w:r w:rsidR="009C4DAD" w:rsidRPr="00A32529">
        <w:rPr>
          <w:rFonts w:ascii="Arial" w:eastAsia="Calibri" w:hAnsi="Arial" w:cs="Arial"/>
          <w:bCs/>
          <w:sz w:val="21"/>
          <w:szCs w:val="21"/>
          <w:lang w:val="es-CO"/>
        </w:rPr>
        <w:t>cipen voceros de los candidatos</w:t>
      </w:r>
      <w:r w:rsidRPr="00A32529">
        <w:rPr>
          <w:rFonts w:ascii="Arial" w:eastAsia="Calibri" w:hAnsi="Arial" w:cs="Arial"/>
          <w:bCs/>
          <w:sz w:val="21"/>
          <w:szCs w:val="21"/>
          <w:lang w:val="es-CO"/>
        </w:rPr>
        <w:t>.</w:t>
      </w:r>
    </w:p>
    <w:p w14:paraId="1651D04A" w14:textId="77777777" w:rsidR="009C4DAD" w:rsidRDefault="009C4DAD" w:rsidP="009C4DAD">
      <w:pPr>
        <w:tabs>
          <w:tab w:val="left" w:pos="426"/>
        </w:tabs>
        <w:spacing w:after="0"/>
        <w:ind w:firstLine="709"/>
        <w:rPr>
          <w:rFonts w:ascii="Arial" w:eastAsia="Calibri" w:hAnsi="Arial" w:cs="Arial"/>
          <w:bCs/>
          <w:sz w:val="22"/>
          <w:lang w:val="es-CO"/>
        </w:rPr>
      </w:pPr>
    </w:p>
    <w:p w14:paraId="1AC95AA5" w14:textId="181FAF25" w:rsidR="00681A07" w:rsidRDefault="00681A07" w:rsidP="00374753">
      <w:pPr>
        <w:tabs>
          <w:tab w:val="left" w:pos="426"/>
        </w:tabs>
        <w:spacing w:after="120"/>
        <w:ind w:firstLine="709"/>
        <w:rPr>
          <w:rFonts w:ascii="Arial" w:eastAsia="Calibri" w:hAnsi="Arial" w:cs="Arial"/>
          <w:bCs/>
          <w:sz w:val="22"/>
          <w:lang w:val="es-CO"/>
        </w:rPr>
      </w:pPr>
      <w:r w:rsidRPr="008612BF">
        <w:rPr>
          <w:rFonts w:ascii="Arial" w:eastAsia="Calibri" w:hAnsi="Arial" w:cs="Arial"/>
          <w:bCs/>
          <w:sz w:val="22"/>
          <w:lang w:val="es-CO"/>
        </w:rPr>
        <w:t>Ahora bien, un contrato o una convención es un acuerdo de voluntades entre dos o más partes generador de obligaciones, sean estas de dar, hacer o no hacer algo. Dicho acuerdo es ley para los extremos de la relación contractual, por lo que solo podrá ser invalidado por su consentimi</w:t>
      </w:r>
      <w:r w:rsidR="009C4DAD">
        <w:rPr>
          <w:rFonts w:ascii="Arial" w:eastAsia="Calibri" w:hAnsi="Arial" w:cs="Arial"/>
          <w:bCs/>
          <w:sz w:val="22"/>
          <w:lang w:val="es-CO"/>
        </w:rPr>
        <w:t>ento mutuo o por causas legales</w:t>
      </w:r>
      <w:r w:rsidRPr="008612BF">
        <w:rPr>
          <w:rFonts w:ascii="Arial" w:eastAsia="Calibri" w:hAnsi="Arial" w:cs="Arial"/>
          <w:bCs/>
          <w:sz w:val="22"/>
          <w:lang w:val="es-CO"/>
        </w:rPr>
        <w:t>.</w:t>
      </w:r>
    </w:p>
    <w:p w14:paraId="2C9A2F31" w14:textId="77777777" w:rsidR="00374753" w:rsidRDefault="00681A07" w:rsidP="00374753">
      <w:pPr>
        <w:tabs>
          <w:tab w:val="left" w:pos="426"/>
        </w:tabs>
        <w:spacing w:after="120"/>
        <w:ind w:firstLine="709"/>
        <w:rPr>
          <w:rFonts w:ascii="Arial" w:eastAsia="Calibri" w:hAnsi="Arial" w:cs="Arial"/>
          <w:bCs/>
          <w:sz w:val="22"/>
          <w:lang w:val="es-CO"/>
        </w:rPr>
      </w:pPr>
      <w:r w:rsidRPr="008612BF">
        <w:rPr>
          <w:rFonts w:ascii="Arial" w:eastAsia="Calibri" w:hAnsi="Arial" w:cs="Arial"/>
          <w:bCs/>
          <w:sz w:val="22"/>
          <w:lang w:val="es-CO"/>
        </w:rPr>
        <w:t>Los contratos que celebren las entidades estatales en virtud de la Ley 80 de 1993 se rigen por las disposiciones civiles y comerciales salvo lo expresamente allí regulado, y en armonía con lo previsto en el Código Civil, el Estatuto General de Contratación de la Administración Pública define la noción de contrato estatal indicando que es cualquier acto jurídico generador de obligaciones que celebren las entidades estatales a las que dicha Ley se refiere, previstos en el derecho privado o derivados del ejercicio de la autonomía de la voluntad.</w:t>
      </w:r>
    </w:p>
    <w:p w14:paraId="24C3F65E" w14:textId="77777777" w:rsidR="00374753" w:rsidRDefault="00681A07" w:rsidP="00374753">
      <w:pPr>
        <w:tabs>
          <w:tab w:val="left" w:pos="426"/>
        </w:tabs>
        <w:spacing w:after="120"/>
        <w:ind w:firstLine="709"/>
        <w:rPr>
          <w:rFonts w:ascii="Arial" w:eastAsia="Calibri" w:hAnsi="Arial" w:cs="Arial"/>
          <w:bCs/>
          <w:sz w:val="22"/>
          <w:lang w:val="es-CO"/>
        </w:rPr>
      </w:pPr>
      <w:r w:rsidRPr="008612BF">
        <w:rPr>
          <w:rFonts w:ascii="Arial" w:eastAsia="Calibri" w:hAnsi="Arial" w:cs="Arial"/>
          <w:bCs/>
          <w:sz w:val="22"/>
          <w:lang w:val="es-CO"/>
        </w:rPr>
        <w:t>Además de lo anterior, la Ley 80 de 1993 también facultó de manera expresa a las entidades estatales para celebrar contratos y los demás acuerdos que permitan la autonomía de la voluntad y requieran el cumplimiento de los fines estatales, así como la continua y eficiente pr</w:t>
      </w:r>
      <w:r w:rsidR="00374753">
        <w:rPr>
          <w:rFonts w:ascii="Arial" w:eastAsia="Calibri" w:hAnsi="Arial" w:cs="Arial"/>
          <w:bCs/>
          <w:sz w:val="22"/>
          <w:lang w:val="es-CO"/>
        </w:rPr>
        <w:t>estación de servicios públicos.</w:t>
      </w:r>
    </w:p>
    <w:p w14:paraId="2BBAAADC" w14:textId="77777777" w:rsidR="00374753" w:rsidRDefault="00681A07" w:rsidP="00374753">
      <w:pPr>
        <w:tabs>
          <w:tab w:val="left" w:pos="426"/>
        </w:tabs>
        <w:spacing w:after="120"/>
        <w:ind w:firstLine="709"/>
        <w:rPr>
          <w:rFonts w:ascii="Arial" w:eastAsia="Calibri" w:hAnsi="Arial" w:cs="Arial"/>
          <w:bCs/>
          <w:sz w:val="22"/>
          <w:lang w:val="es-CO"/>
        </w:rPr>
      </w:pPr>
      <w:r w:rsidRPr="008612BF">
        <w:rPr>
          <w:rFonts w:ascii="Arial" w:eastAsia="Calibri" w:hAnsi="Arial" w:cs="Arial"/>
          <w:bCs/>
          <w:sz w:val="22"/>
          <w:lang w:val="es-CO"/>
        </w:rPr>
        <w:t>Lo anterior quiere decir que las entidades estatales que se rigen por la Ley 80 de 1993, en virtud de la autonomía de la voluntad, pueden celebrar todos los acuerdos, denomínese contrato, convención, convenio, etc., que requieran para la materialización de sus objetivos misionales y consecuentemente los fines estatales. Entre otras cosas, porque de acuerdo con la Constitución Política la función administrativa está al servicio de los intereses generales, y para ello las autoridades administrativas tienen la obligación de coordinar sus actuaciones con la finalidad de lograr el adecuado cumpli</w:t>
      </w:r>
      <w:r w:rsidR="00374753">
        <w:rPr>
          <w:rFonts w:ascii="Arial" w:eastAsia="Calibri" w:hAnsi="Arial" w:cs="Arial"/>
          <w:bCs/>
          <w:sz w:val="22"/>
          <w:lang w:val="es-CO"/>
        </w:rPr>
        <w:t>miento de los fines del Estado.</w:t>
      </w:r>
    </w:p>
    <w:p w14:paraId="2B0811BF" w14:textId="60BBADF5" w:rsidR="00374753" w:rsidRDefault="007928FC" w:rsidP="00374753">
      <w:pPr>
        <w:tabs>
          <w:tab w:val="left" w:pos="426"/>
        </w:tabs>
        <w:spacing w:after="120"/>
        <w:ind w:firstLine="709"/>
        <w:rPr>
          <w:rFonts w:ascii="Arial" w:eastAsia="Calibri" w:hAnsi="Arial" w:cs="Arial"/>
          <w:bCs/>
          <w:sz w:val="22"/>
          <w:lang w:val="es-CO"/>
        </w:rPr>
      </w:pPr>
      <w:r>
        <w:rPr>
          <w:rFonts w:ascii="Arial" w:eastAsia="Calibri" w:hAnsi="Arial" w:cs="Arial"/>
          <w:bCs/>
          <w:sz w:val="22"/>
          <w:lang w:val="es-CO"/>
        </w:rPr>
        <w:t>Considerando la prohibición de que trata el artículo 38 de la Ley 996 de 2005, conviene precisar que l</w:t>
      </w:r>
      <w:r w:rsidR="00681A07" w:rsidRPr="008612BF">
        <w:rPr>
          <w:rFonts w:ascii="Arial" w:eastAsia="Calibri" w:hAnsi="Arial" w:cs="Arial"/>
          <w:bCs/>
          <w:sz w:val="22"/>
          <w:lang w:val="es-CO"/>
        </w:rPr>
        <w:t>a tipología de contrato interadministrativo fue creada en la Ley 80 de 1993, y aunque no la definió ni la desarrolló, el Decreto 1082 de 2015 califica a los contratos o contratos interadministrativos como aquella contrata</w:t>
      </w:r>
      <w:r w:rsidR="00374753">
        <w:rPr>
          <w:rFonts w:ascii="Arial" w:eastAsia="Calibri" w:hAnsi="Arial" w:cs="Arial"/>
          <w:bCs/>
          <w:sz w:val="22"/>
          <w:lang w:val="es-CO"/>
        </w:rPr>
        <w:t>ción entre entidades estatales.</w:t>
      </w:r>
    </w:p>
    <w:p w14:paraId="618A1FEC" w14:textId="4BEFA04A" w:rsidR="00374753" w:rsidRDefault="00681A07" w:rsidP="00374753">
      <w:pPr>
        <w:tabs>
          <w:tab w:val="left" w:pos="426"/>
        </w:tabs>
        <w:spacing w:after="120"/>
        <w:ind w:firstLine="709"/>
        <w:rPr>
          <w:rFonts w:ascii="Arial" w:eastAsia="Calibri" w:hAnsi="Arial" w:cs="Arial"/>
          <w:bCs/>
          <w:sz w:val="22"/>
          <w:lang w:val="es-CO"/>
        </w:rPr>
      </w:pPr>
      <w:r w:rsidRPr="008612BF">
        <w:rPr>
          <w:rFonts w:ascii="Arial" w:eastAsia="Calibri" w:hAnsi="Arial" w:cs="Arial"/>
          <w:bCs/>
          <w:sz w:val="22"/>
          <w:lang w:val="es-CO"/>
        </w:rPr>
        <w:t xml:space="preserve">De acuerdo con lo anterior, el contrato o convenio interadministrativo es aquel acuerdo en el que concurre la voluntad de dos o más personas jurídicas de derecho público con la finalidad de cumplir, en el marco de sus objetivos misionales y sus competencias, con los fines del Estado. Es decir que, los contratos o convenios </w:t>
      </w:r>
      <w:r w:rsidRPr="008612BF">
        <w:rPr>
          <w:rFonts w:ascii="Arial" w:eastAsia="Calibri" w:hAnsi="Arial" w:cs="Arial"/>
          <w:bCs/>
          <w:sz w:val="22"/>
          <w:lang w:val="es-CO"/>
        </w:rPr>
        <w:lastRenderedPageBreak/>
        <w:t xml:space="preserve">interadministrativos nominados en la Ley 80 de 1993 están </w:t>
      </w:r>
      <w:r w:rsidR="00296D38" w:rsidRPr="008612BF">
        <w:rPr>
          <w:rFonts w:ascii="Arial" w:eastAsia="Calibri" w:hAnsi="Arial" w:cs="Arial"/>
          <w:bCs/>
          <w:sz w:val="22"/>
          <w:lang w:val="es-CO"/>
        </w:rPr>
        <w:t>determinados por</w:t>
      </w:r>
      <w:r w:rsidRPr="008612BF">
        <w:rPr>
          <w:rFonts w:ascii="Arial" w:eastAsia="Calibri" w:hAnsi="Arial" w:cs="Arial"/>
          <w:bCs/>
          <w:sz w:val="22"/>
          <w:lang w:val="es-CO"/>
        </w:rPr>
        <w:t xml:space="preserve"> un criterio orgánico, pues es necesario que los extremos de la relación contractual sean entidades estatales.</w:t>
      </w:r>
    </w:p>
    <w:p w14:paraId="59B3A5DA" w14:textId="12A97E7C" w:rsidR="002F51E1" w:rsidRPr="00374753" w:rsidRDefault="002F51E1" w:rsidP="00374753">
      <w:pPr>
        <w:tabs>
          <w:tab w:val="left" w:pos="426"/>
        </w:tabs>
        <w:spacing w:after="120"/>
        <w:ind w:firstLine="709"/>
        <w:rPr>
          <w:rFonts w:ascii="Arial" w:eastAsia="Calibri" w:hAnsi="Arial" w:cs="Arial"/>
          <w:bCs/>
          <w:sz w:val="22"/>
          <w:lang w:val="es-CO"/>
        </w:rPr>
      </w:pPr>
      <w:r w:rsidRPr="00374753">
        <w:rPr>
          <w:rFonts w:ascii="Arial" w:hAnsi="Arial" w:cs="Arial"/>
          <w:color w:val="000000" w:themeColor="text1"/>
          <w:sz w:val="22"/>
        </w:rPr>
        <w:t xml:space="preserve">Frente a este </w:t>
      </w:r>
      <w:r w:rsidR="001052AF">
        <w:rPr>
          <w:rFonts w:ascii="Arial" w:hAnsi="Arial" w:cs="Arial"/>
          <w:color w:val="000000" w:themeColor="text1"/>
          <w:sz w:val="22"/>
        </w:rPr>
        <w:t>aspecto</w:t>
      </w:r>
      <w:r w:rsidRPr="00374753">
        <w:rPr>
          <w:rFonts w:ascii="Arial" w:hAnsi="Arial" w:cs="Arial"/>
          <w:color w:val="000000" w:themeColor="text1"/>
          <w:sz w:val="22"/>
        </w:rPr>
        <w:t xml:space="preserve">, la Corte Constitucional, en la Sentencia C–671 del 28 de octubre 2015, en </w:t>
      </w:r>
      <w:r w:rsidR="00B42CC0">
        <w:rPr>
          <w:rFonts w:ascii="Arial" w:hAnsi="Arial" w:cs="Arial"/>
          <w:color w:val="000000" w:themeColor="text1"/>
          <w:sz w:val="22"/>
        </w:rPr>
        <w:t xml:space="preserve">desarrollo del </w:t>
      </w:r>
      <w:r w:rsidRPr="00374753">
        <w:rPr>
          <w:rFonts w:ascii="Arial" w:hAnsi="Arial" w:cs="Arial"/>
          <w:color w:val="000000" w:themeColor="text1"/>
          <w:sz w:val="22"/>
        </w:rPr>
        <w:t>control automático de constitucionalidad del Decreto legislativo 1773 de 2015, “Por el cual se autoriza la celebración de convenios administrativos para la ejecución de recursos públicos por parte de algunas entidades territoriales”, se pronunció respecto de la naturaleza de los convenios interadministrativos en relación con la Ley de Garantías, indicando</w:t>
      </w:r>
      <w:r w:rsidRPr="00374753">
        <w:rPr>
          <w:rFonts w:ascii="Arial" w:hAnsi="Arial" w:cs="Arial"/>
          <w:color w:val="000000" w:themeColor="text1"/>
          <w:spacing w:val="-15"/>
          <w:sz w:val="22"/>
        </w:rPr>
        <w:t xml:space="preserve"> </w:t>
      </w:r>
      <w:r w:rsidRPr="00374753">
        <w:rPr>
          <w:rFonts w:ascii="Arial" w:hAnsi="Arial" w:cs="Arial"/>
          <w:color w:val="000000" w:themeColor="text1"/>
          <w:sz w:val="22"/>
        </w:rPr>
        <w:t>que:</w:t>
      </w:r>
    </w:p>
    <w:p w14:paraId="5BEE92BB" w14:textId="249954B1" w:rsidR="002F51E1" w:rsidRPr="00374753" w:rsidRDefault="00374753" w:rsidP="007928FC">
      <w:pPr>
        <w:pStyle w:val="Textoindependiente"/>
        <w:spacing w:before="11" w:after="0" w:line="240" w:lineRule="auto"/>
        <w:ind w:left="709" w:right="709"/>
        <w:rPr>
          <w:color w:val="000000" w:themeColor="text1"/>
          <w:sz w:val="21"/>
          <w:szCs w:val="21"/>
        </w:rPr>
      </w:pPr>
      <w:r>
        <w:rPr>
          <w:color w:val="000000" w:themeColor="text1"/>
          <w:sz w:val="21"/>
          <w:szCs w:val="21"/>
        </w:rPr>
        <w:t>[…]</w:t>
      </w:r>
    </w:p>
    <w:p w14:paraId="6A7FF768" w14:textId="77777777" w:rsidR="002F51E1" w:rsidRDefault="002F51E1" w:rsidP="007928FC">
      <w:pPr>
        <w:pStyle w:val="Textoindependiente"/>
        <w:spacing w:after="0" w:line="240" w:lineRule="auto"/>
        <w:ind w:left="709" w:right="709"/>
        <w:rPr>
          <w:color w:val="000000" w:themeColor="text1"/>
          <w:sz w:val="21"/>
          <w:szCs w:val="21"/>
        </w:rPr>
      </w:pPr>
      <w:r w:rsidRPr="00374753">
        <w:rPr>
          <w:color w:val="000000" w:themeColor="text1"/>
          <w:sz w:val="21"/>
          <w:szCs w:val="21"/>
        </w:rPr>
        <w:t>Lo que hace interadministrativo a un contrato o convenio no es el procedimiento de selección aplicable, sino la calidad de los sujetos contratantes, esto es que las dos partes de la relación jurídica contractual formen parte de la administración</w:t>
      </w:r>
      <w:r w:rsidRPr="00374753">
        <w:rPr>
          <w:color w:val="000000" w:themeColor="text1"/>
          <w:spacing w:val="-2"/>
          <w:sz w:val="21"/>
          <w:szCs w:val="21"/>
        </w:rPr>
        <w:t xml:space="preserve"> </w:t>
      </w:r>
      <w:r w:rsidRPr="00374753">
        <w:rPr>
          <w:color w:val="000000" w:themeColor="text1"/>
          <w:sz w:val="21"/>
          <w:szCs w:val="21"/>
        </w:rPr>
        <w:t>pública.</w:t>
      </w:r>
    </w:p>
    <w:p w14:paraId="2ABC6B58" w14:textId="77777777" w:rsidR="00374753" w:rsidRPr="00374753" w:rsidRDefault="00374753" w:rsidP="00374753">
      <w:pPr>
        <w:pStyle w:val="Textoindependiente"/>
        <w:spacing w:after="0"/>
        <w:ind w:left="709" w:right="709"/>
        <w:rPr>
          <w:color w:val="000000" w:themeColor="text1"/>
          <w:sz w:val="21"/>
          <w:szCs w:val="21"/>
        </w:rPr>
      </w:pPr>
    </w:p>
    <w:p w14:paraId="2F153FDD" w14:textId="664D9095" w:rsidR="000709A5" w:rsidRPr="00FE32A0" w:rsidRDefault="00681A07" w:rsidP="000709A5">
      <w:pPr>
        <w:tabs>
          <w:tab w:val="left" w:pos="426"/>
        </w:tabs>
        <w:spacing w:after="0"/>
        <w:ind w:firstLine="709"/>
        <w:rPr>
          <w:rFonts w:ascii="Arial" w:eastAsia="Calibri" w:hAnsi="Arial" w:cs="Arial"/>
          <w:bCs/>
          <w:sz w:val="22"/>
          <w:lang w:val="es-CO"/>
        </w:rPr>
      </w:pPr>
      <w:r w:rsidRPr="00374753">
        <w:rPr>
          <w:rFonts w:ascii="Arial" w:eastAsia="Calibri" w:hAnsi="Arial" w:cs="Arial"/>
          <w:bCs/>
          <w:sz w:val="22"/>
          <w:lang w:val="es-CO"/>
        </w:rPr>
        <w:t>Si bien los contratos y convenios interadministrativos están previstos en la Ley 80 de 1993, y en la Ley 1150 de 2007 y en el Decreto en el 1082 de 2015, no quiere decir que solo puedan celebrarse entre entidades estatales que apliquen el régimen de contratación allí previsto, pues una entidad estatal de Ley 80 de 1993 bien puede celebrar esta clase de convenios con una entidad estatal de régimen especial y no por ello dejará de ser un contrato o convenio interadministrativo, caso en el cual su ejecución estará sometida a la Ley 80 de 1993</w:t>
      </w:r>
      <w:r w:rsidR="001052AF" w:rsidRPr="00FE32A0">
        <w:rPr>
          <w:rFonts w:ascii="Arial" w:eastAsia="Calibri" w:hAnsi="Arial" w:cs="Arial"/>
          <w:bCs/>
          <w:sz w:val="22"/>
          <w:lang w:val="es-CO"/>
        </w:rPr>
        <w:t xml:space="preserve">. En este sentido, </w:t>
      </w:r>
      <w:r w:rsidR="001052AF">
        <w:rPr>
          <w:rFonts w:ascii="Arial" w:eastAsia="Calibri" w:hAnsi="Arial" w:cs="Arial"/>
          <w:bCs/>
          <w:sz w:val="22"/>
          <w:lang w:val="es-CO"/>
        </w:rPr>
        <w:t>debe entenderse por contrato o convenio interadministrativo, aquel celebrado entre dos entidades públicas.</w:t>
      </w:r>
    </w:p>
    <w:p w14:paraId="26C889D4" w14:textId="77777777" w:rsidR="00CF2BA2" w:rsidRDefault="00CF2BA2" w:rsidP="00CF248C">
      <w:pPr>
        <w:tabs>
          <w:tab w:val="left" w:pos="426"/>
        </w:tabs>
        <w:spacing w:after="0" w:line="240" w:lineRule="auto"/>
      </w:pPr>
    </w:p>
    <w:p w14:paraId="246F327A" w14:textId="2155205F" w:rsidR="00CF2BA2" w:rsidRPr="00CF2BA2" w:rsidRDefault="00387F0A" w:rsidP="00CF2BA2">
      <w:pPr>
        <w:spacing w:after="0"/>
        <w:rPr>
          <w:rFonts w:ascii="Arial" w:eastAsia="Calibri" w:hAnsi="Arial" w:cs="Arial"/>
          <w:noProof/>
          <w:color w:val="000000" w:themeColor="text1"/>
          <w:sz w:val="22"/>
          <w:lang w:val="es-ES_tradnl"/>
        </w:rPr>
      </w:pPr>
      <w:r>
        <w:rPr>
          <w:rFonts w:ascii="Arial" w:eastAsia="Calibri" w:hAnsi="Arial" w:cs="Arial"/>
          <w:b/>
          <w:noProof/>
          <w:color w:val="000000" w:themeColor="text1"/>
          <w:sz w:val="22"/>
          <w:lang w:val="es-ES_tradnl"/>
        </w:rPr>
        <w:t xml:space="preserve">2.3 </w:t>
      </w:r>
      <w:r w:rsidR="00CF2BA2" w:rsidRPr="00CF2BA2">
        <w:rPr>
          <w:rFonts w:ascii="Arial" w:eastAsia="Calibri" w:hAnsi="Arial" w:cs="Arial"/>
          <w:b/>
          <w:noProof/>
          <w:color w:val="000000" w:themeColor="text1"/>
          <w:sz w:val="22"/>
          <w:lang w:val="es-ES_tradnl"/>
        </w:rPr>
        <w:t xml:space="preserve"> Disposiciones expedidas para mitigar los efectos de la pandemia en el marco de la «emergencia económica social y ecológica» y de la «emergencia sanitaria» ocasionadas por el COVID-19</w:t>
      </w:r>
    </w:p>
    <w:p w14:paraId="58F0433E" w14:textId="77777777" w:rsidR="00CF2BA2" w:rsidRPr="00CF2BA2" w:rsidRDefault="00CF2BA2" w:rsidP="00CF2BA2">
      <w:pPr>
        <w:spacing w:after="0"/>
        <w:contextualSpacing/>
        <w:rPr>
          <w:rFonts w:ascii="Arial" w:hAnsi="Arial" w:cs="Arial"/>
          <w:noProof/>
          <w:color w:val="000000" w:themeColor="text1"/>
          <w:sz w:val="22"/>
          <w:lang w:val="es-ES_tradnl"/>
        </w:rPr>
      </w:pPr>
    </w:p>
    <w:p w14:paraId="145081F6" w14:textId="2EE16516" w:rsidR="00CF2BA2" w:rsidRPr="00CF2BA2" w:rsidRDefault="00CF2BA2" w:rsidP="00CF2BA2">
      <w:pPr>
        <w:spacing w:after="120"/>
        <w:rPr>
          <w:rFonts w:ascii="Arial" w:hAnsi="Arial" w:cs="Arial"/>
          <w:noProof/>
          <w:color w:val="000000" w:themeColor="text1"/>
          <w:sz w:val="22"/>
          <w:lang w:val="es-ES_tradnl"/>
        </w:rPr>
      </w:pPr>
      <w:r w:rsidRPr="00CF2BA2">
        <w:rPr>
          <w:rFonts w:ascii="Arial" w:hAnsi="Arial" w:cs="Arial"/>
          <w:noProof/>
          <w:color w:val="000000" w:themeColor="text1"/>
          <w:sz w:val="22"/>
          <w:lang w:val="es-ES_tradnl"/>
        </w:rPr>
        <w:t xml:space="preserve">El mundo –y particularmente Colombia– atraviesa una situación </w:t>
      </w:r>
      <w:r w:rsidR="00CB6280">
        <w:rPr>
          <w:rFonts w:ascii="Arial" w:hAnsi="Arial" w:cs="Arial"/>
          <w:noProof/>
          <w:color w:val="000000" w:themeColor="text1"/>
          <w:sz w:val="22"/>
          <w:lang w:val="es-ES_tradnl"/>
        </w:rPr>
        <w:t>difícil</w:t>
      </w:r>
      <w:r w:rsidRPr="00CF2BA2">
        <w:rPr>
          <w:rFonts w:ascii="Arial" w:hAnsi="Arial" w:cs="Arial"/>
          <w:noProof/>
          <w:color w:val="000000" w:themeColor="text1"/>
          <w:sz w:val="22"/>
          <w:lang w:val="es-ES_tradnl"/>
        </w:rPr>
        <w:t xml:space="preserve"> en materia de salud, causada por la pandemia del virus COVID-19, declarada así por la Organización Mundial de la Salud (OMS) el 11 de marzo de 2020</w:t>
      </w:r>
      <w:r w:rsidRPr="00CF2BA2">
        <w:rPr>
          <w:rFonts w:ascii="Arial" w:hAnsi="Arial" w:cs="Arial"/>
          <w:noProof/>
          <w:color w:val="000000" w:themeColor="text1"/>
          <w:sz w:val="22"/>
          <w:vertAlign w:val="superscript"/>
          <w:lang w:val="es-ES_tradnl"/>
        </w:rPr>
        <w:footnoteReference w:id="11"/>
      </w:r>
      <w:r w:rsidRPr="00CF2BA2">
        <w:rPr>
          <w:rFonts w:ascii="Arial" w:hAnsi="Arial" w:cs="Arial"/>
          <w:noProof/>
          <w:color w:val="000000" w:themeColor="text1"/>
          <w:sz w:val="22"/>
          <w:lang w:val="es-ES_tradnl"/>
        </w:rPr>
        <w:t>.</w:t>
      </w:r>
      <w:r w:rsidRPr="00CF2BA2">
        <w:rPr>
          <w:rFonts w:ascii="Arial" w:eastAsia="Calibri" w:hAnsi="Arial" w:cs="Arial"/>
          <w:noProof/>
          <w:color w:val="000000" w:themeColor="text1"/>
          <w:sz w:val="22"/>
          <w:lang w:val="es-ES_tradnl"/>
        </w:rPr>
        <w:t xml:space="preserve"> Desde</w:t>
      </w:r>
      <w:r w:rsidRPr="00CF2BA2">
        <w:rPr>
          <w:rFonts w:ascii="Arial" w:hAnsi="Arial" w:cs="Arial"/>
          <w:noProof/>
          <w:color w:val="000000" w:themeColor="text1"/>
          <w:sz w:val="22"/>
          <w:lang w:val="es-ES_tradnl"/>
        </w:rPr>
        <w:t xml:space="preserve"> que se </w:t>
      </w:r>
      <w:r w:rsidR="00D46F16">
        <w:rPr>
          <w:rFonts w:ascii="Arial" w:hAnsi="Arial" w:cs="Arial"/>
          <w:noProof/>
          <w:color w:val="000000" w:themeColor="text1"/>
          <w:sz w:val="22"/>
          <w:lang w:val="es-ES_tradnl"/>
        </w:rPr>
        <w:t>evidenció</w:t>
      </w:r>
      <w:r w:rsidRPr="00CF2BA2">
        <w:rPr>
          <w:rFonts w:ascii="Arial" w:hAnsi="Arial" w:cs="Arial"/>
          <w:noProof/>
          <w:color w:val="000000" w:themeColor="text1"/>
          <w:sz w:val="22"/>
          <w:lang w:val="es-ES_tradnl"/>
        </w:rPr>
        <w:t xml:space="preserve"> la posibilidad de que el virus llegar</w:t>
      </w:r>
      <w:r w:rsidR="00CB6280">
        <w:rPr>
          <w:rFonts w:ascii="Arial" w:hAnsi="Arial" w:cs="Arial"/>
          <w:noProof/>
          <w:color w:val="000000" w:themeColor="text1"/>
          <w:sz w:val="22"/>
          <w:lang w:val="es-ES_tradnl"/>
        </w:rPr>
        <w:t>í</w:t>
      </w:r>
      <w:r w:rsidRPr="00CF2BA2">
        <w:rPr>
          <w:rFonts w:ascii="Arial" w:hAnsi="Arial" w:cs="Arial"/>
          <w:noProof/>
          <w:color w:val="000000" w:themeColor="text1"/>
          <w:sz w:val="22"/>
          <w:lang w:val="es-ES_tradnl"/>
        </w:rPr>
        <w:t>a al país, el gobierno nacional inició un plan de preparación para atender la contingencia. El 6 de marzo se conoció el primer caso de COVID-19 en Colombia, razón por la cual el Ministerio de Salud declaró la terminación de la fase de preparación y activó la fase de contención en el territorio nacional</w:t>
      </w:r>
      <w:r w:rsidRPr="00CF2BA2">
        <w:rPr>
          <w:rFonts w:ascii="Arial" w:hAnsi="Arial" w:cs="Arial"/>
          <w:noProof/>
          <w:color w:val="000000" w:themeColor="text1"/>
          <w:sz w:val="22"/>
          <w:vertAlign w:val="superscript"/>
          <w:lang w:val="es-ES_tradnl"/>
        </w:rPr>
        <w:footnoteReference w:id="12"/>
      </w:r>
      <w:r w:rsidRPr="00CF2BA2">
        <w:rPr>
          <w:rFonts w:ascii="Arial" w:hAnsi="Arial" w:cs="Arial"/>
          <w:noProof/>
          <w:color w:val="000000" w:themeColor="text1"/>
          <w:sz w:val="22"/>
          <w:lang w:val="es-ES_tradnl"/>
        </w:rPr>
        <w:t xml:space="preserve">. A partir de </w:t>
      </w:r>
      <w:r w:rsidRPr="00CF2BA2">
        <w:rPr>
          <w:rFonts w:ascii="Arial" w:hAnsi="Arial" w:cs="Arial"/>
          <w:noProof/>
          <w:color w:val="000000" w:themeColor="text1"/>
          <w:sz w:val="22"/>
          <w:lang w:val="es-ES_tradnl"/>
        </w:rPr>
        <w:lastRenderedPageBreak/>
        <w:t>esa fecha, el Ministerio</w:t>
      </w:r>
      <w:r w:rsidR="00CB6280">
        <w:rPr>
          <w:rFonts w:ascii="Arial" w:hAnsi="Arial" w:cs="Arial"/>
          <w:noProof/>
          <w:color w:val="000000" w:themeColor="text1"/>
          <w:sz w:val="22"/>
          <w:lang w:val="es-ES_tradnl"/>
        </w:rPr>
        <w:t xml:space="preserve"> de Salud</w:t>
      </w:r>
      <w:r w:rsidRPr="00CF2BA2">
        <w:rPr>
          <w:rFonts w:ascii="Arial" w:hAnsi="Arial" w:cs="Arial"/>
          <w:noProof/>
          <w:color w:val="000000" w:themeColor="text1"/>
          <w:sz w:val="22"/>
          <w:lang w:val="es-ES_tradnl"/>
        </w:rPr>
        <w:t xml:space="preserve">, y otras autoridades, han expedido muchos actos administrativos que establecen directrices para las autoridades y los particulares, orientados a prevenir el contagio o, por lo menos, a disminuir la velocidad y el incremento del brote. </w:t>
      </w:r>
    </w:p>
    <w:p w14:paraId="6F966513" w14:textId="48B08623" w:rsidR="00CF2BA2" w:rsidRPr="00CF2BA2" w:rsidRDefault="00CF2BA2" w:rsidP="00CF2BA2">
      <w:pPr>
        <w:spacing w:before="120" w:after="120"/>
        <w:ind w:firstLine="709"/>
        <w:rPr>
          <w:rFonts w:ascii="Arial" w:eastAsia="Calibri" w:hAnsi="Arial" w:cs="Arial"/>
          <w:noProof/>
          <w:color w:val="000000" w:themeColor="text1"/>
          <w:sz w:val="22"/>
          <w:lang w:val="es-ES_tradnl"/>
        </w:rPr>
      </w:pPr>
      <w:r w:rsidRPr="00CF2BA2">
        <w:rPr>
          <w:rFonts w:ascii="Arial" w:eastAsia="Calibri" w:hAnsi="Arial" w:cs="Arial"/>
          <w:noProof/>
          <w:color w:val="000000" w:themeColor="text1"/>
          <w:sz w:val="22"/>
          <w:lang w:val="es-ES_tradnl"/>
        </w:rPr>
        <w:t>El 17 de marzo de 2020, el presidente de la república decretó el Estado de emergencia económica, social y ecológica mediante el Decreto Legislativo 417 de 2020, con fundamento en el artículo 215 de la Constitución</w:t>
      </w:r>
      <w:r w:rsidRPr="00CF2BA2">
        <w:rPr>
          <w:rFonts w:ascii="Arial" w:eastAsia="Calibri" w:hAnsi="Arial" w:cs="Arial"/>
          <w:noProof/>
          <w:color w:val="000000" w:themeColor="text1"/>
          <w:sz w:val="22"/>
          <w:vertAlign w:val="superscript"/>
          <w:lang w:val="es-ES_tradnl"/>
        </w:rPr>
        <w:footnoteReference w:id="13"/>
      </w:r>
      <w:r w:rsidRPr="00CF2BA2">
        <w:rPr>
          <w:rFonts w:ascii="Arial" w:eastAsia="Calibri" w:hAnsi="Arial" w:cs="Arial"/>
          <w:noProof/>
          <w:color w:val="000000" w:themeColor="text1"/>
          <w:sz w:val="22"/>
          <w:lang w:val="es-ES_tradnl"/>
        </w:rPr>
        <w:t xml:space="preserve">. Este primer estado de excepción estuvo vigente por treinta (30) días calendario. Posteriormente se ordenó un segundo estado de emergencia económica, social y ecológica, </w:t>
      </w:r>
      <w:r w:rsidR="00E22647">
        <w:rPr>
          <w:rFonts w:ascii="Arial" w:eastAsia="Calibri" w:hAnsi="Arial" w:cs="Arial"/>
          <w:noProof/>
          <w:color w:val="000000" w:themeColor="text1"/>
          <w:sz w:val="22"/>
          <w:lang w:val="es-ES_tradnl"/>
        </w:rPr>
        <w:t xml:space="preserve">mediante </w:t>
      </w:r>
      <w:r w:rsidRPr="00CF2BA2">
        <w:rPr>
          <w:rFonts w:ascii="Arial" w:eastAsia="Calibri" w:hAnsi="Arial" w:cs="Arial"/>
          <w:noProof/>
          <w:color w:val="000000" w:themeColor="text1"/>
          <w:sz w:val="22"/>
          <w:lang w:val="es-ES_tradnl"/>
        </w:rPr>
        <w:t>el Decreto Legislativo 637 del 6 de mayo de 2020, el cual rigió por otros treinta (30) días calendario. E</w:t>
      </w:r>
      <w:r w:rsidR="00CB6280">
        <w:rPr>
          <w:rFonts w:ascii="Arial" w:eastAsia="Calibri" w:hAnsi="Arial" w:cs="Arial"/>
          <w:noProof/>
          <w:color w:val="000000" w:themeColor="text1"/>
          <w:sz w:val="22"/>
          <w:lang w:val="es-ES_tradnl"/>
        </w:rPr>
        <w:t xml:space="preserve">n consecuencia, </w:t>
      </w:r>
      <w:r w:rsidRPr="00CF2BA2">
        <w:rPr>
          <w:rFonts w:ascii="Arial" w:eastAsia="Calibri" w:hAnsi="Arial" w:cs="Arial"/>
          <w:noProof/>
          <w:color w:val="000000" w:themeColor="text1"/>
          <w:sz w:val="22"/>
          <w:lang w:val="es-ES_tradnl"/>
        </w:rPr>
        <w:t>el estado de excepción mencionado tuvo vigencia hasta el 4 de junio de 2020.</w:t>
      </w:r>
    </w:p>
    <w:p w14:paraId="4802DE56" w14:textId="05D226CB" w:rsidR="00CF2BA2" w:rsidRPr="00E44ADD" w:rsidRDefault="00CB6280" w:rsidP="00E44ADD">
      <w:pPr>
        <w:spacing w:before="120" w:after="120"/>
        <w:ind w:firstLine="709"/>
        <w:rPr>
          <w:rFonts w:ascii="Arial" w:eastAsia="Calibri" w:hAnsi="Arial" w:cs="Arial"/>
          <w:bCs/>
          <w:noProof/>
          <w:color w:val="000000" w:themeColor="text1"/>
          <w:sz w:val="22"/>
          <w:lang w:val="es-ES_tradnl"/>
        </w:rPr>
      </w:pPr>
      <w:r>
        <w:rPr>
          <w:rFonts w:ascii="Arial" w:eastAsia="Calibri" w:hAnsi="Arial" w:cs="Arial"/>
          <w:noProof/>
          <w:color w:val="000000" w:themeColor="text1"/>
          <w:sz w:val="22"/>
          <w:lang w:val="es-ES_tradnl"/>
        </w:rPr>
        <w:t>De otra parte</w:t>
      </w:r>
      <w:r w:rsidR="00CF2BA2" w:rsidRPr="00CF2BA2">
        <w:rPr>
          <w:rFonts w:ascii="Arial" w:eastAsia="Calibri" w:hAnsi="Arial" w:cs="Arial"/>
          <w:noProof/>
          <w:color w:val="000000" w:themeColor="text1"/>
          <w:sz w:val="22"/>
          <w:lang w:val="es-ES_tradnl"/>
        </w:rPr>
        <w:t xml:space="preserve">, </w:t>
      </w:r>
      <w:r>
        <w:rPr>
          <w:rFonts w:ascii="Arial" w:eastAsia="Calibri" w:hAnsi="Arial" w:cs="Arial"/>
          <w:noProof/>
          <w:color w:val="000000" w:themeColor="text1"/>
          <w:sz w:val="22"/>
          <w:lang w:val="es-ES_tradnl"/>
        </w:rPr>
        <w:t>conviene diferenciar</w:t>
      </w:r>
      <w:r w:rsidR="00CF2BA2" w:rsidRPr="00CF2BA2">
        <w:rPr>
          <w:rFonts w:ascii="Arial" w:eastAsia="Calibri" w:hAnsi="Arial" w:cs="Arial"/>
          <w:noProof/>
          <w:color w:val="000000" w:themeColor="text1"/>
          <w:sz w:val="22"/>
          <w:lang w:val="es-ES_tradnl"/>
        </w:rPr>
        <w:t xml:space="preserve"> el </w:t>
      </w:r>
      <w:r w:rsidR="00CF2BA2" w:rsidRPr="00CF2BA2">
        <w:rPr>
          <w:rFonts w:ascii="Arial" w:eastAsia="Calibri" w:hAnsi="Arial" w:cs="Arial"/>
          <w:i/>
          <w:iCs/>
          <w:noProof/>
          <w:color w:val="000000" w:themeColor="text1"/>
          <w:sz w:val="22"/>
          <w:lang w:val="es-ES_tradnl"/>
        </w:rPr>
        <w:t>estado de emergencia económica, social y ecológica</w:t>
      </w:r>
      <w:r w:rsidR="00CF2BA2" w:rsidRPr="00CF2BA2">
        <w:rPr>
          <w:rFonts w:ascii="Arial" w:eastAsia="Calibri" w:hAnsi="Arial" w:cs="Arial"/>
          <w:noProof/>
          <w:color w:val="000000" w:themeColor="text1"/>
          <w:sz w:val="22"/>
          <w:lang w:val="es-ES_tradnl"/>
        </w:rPr>
        <w:t xml:space="preserve"> que rigió por dos períodos</w:t>
      </w:r>
      <w:r w:rsidR="00787D16">
        <w:rPr>
          <w:rFonts w:ascii="Arial" w:eastAsia="Calibri" w:hAnsi="Arial" w:cs="Arial"/>
          <w:noProof/>
          <w:color w:val="000000" w:themeColor="text1"/>
          <w:sz w:val="22"/>
          <w:lang w:val="es-ES_tradnl"/>
        </w:rPr>
        <w:t xml:space="preserve"> finalizado </w:t>
      </w:r>
      <w:r w:rsidR="00CF2BA2" w:rsidRPr="00CF2BA2">
        <w:rPr>
          <w:rFonts w:ascii="Arial" w:eastAsia="Calibri" w:hAnsi="Arial" w:cs="Arial"/>
          <w:noProof/>
          <w:color w:val="000000" w:themeColor="text1"/>
          <w:sz w:val="22"/>
          <w:lang w:val="es-ES_tradnl"/>
        </w:rPr>
        <w:t xml:space="preserve"> en el año 2020, con el </w:t>
      </w:r>
      <w:r w:rsidR="00CF2BA2" w:rsidRPr="00CF2BA2">
        <w:rPr>
          <w:rFonts w:ascii="Arial" w:eastAsia="Calibri" w:hAnsi="Arial" w:cs="Arial"/>
          <w:i/>
          <w:iCs/>
          <w:noProof/>
          <w:color w:val="000000" w:themeColor="text1"/>
          <w:sz w:val="22"/>
          <w:lang w:val="es-ES_tradnl"/>
        </w:rPr>
        <w:t>estado de emergencia sanitaria</w:t>
      </w:r>
      <w:r w:rsidR="00CF2BA2" w:rsidRPr="00CF2BA2">
        <w:rPr>
          <w:rFonts w:ascii="Arial" w:eastAsia="Calibri" w:hAnsi="Arial" w:cs="Arial"/>
          <w:noProof/>
          <w:color w:val="000000" w:themeColor="text1"/>
          <w:sz w:val="22"/>
          <w:lang w:val="es-ES_tradnl"/>
        </w:rPr>
        <w:t xml:space="preserve"> que aún continúa. En efecto, la emergencia sanitaria </w:t>
      </w:r>
      <w:r w:rsidR="001207BD">
        <w:rPr>
          <w:rFonts w:ascii="Arial" w:eastAsia="Calibri" w:hAnsi="Arial" w:cs="Arial"/>
          <w:noProof/>
          <w:color w:val="000000" w:themeColor="text1"/>
          <w:sz w:val="22"/>
          <w:lang w:val="es-ES_tradnl"/>
        </w:rPr>
        <w:t>como</w:t>
      </w:r>
      <w:r w:rsidR="00CF2BA2" w:rsidRPr="00CF2BA2">
        <w:rPr>
          <w:rFonts w:ascii="Arial" w:eastAsia="Calibri" w:hAnsi="Arial" w:cs="Arial"/>
          <w:noProof/>
          <w:color w:val="000000" w:themeColor="text1"/>
          <w:sz w:val="22"/>
          <w:lang w:val="es-ES_tradnl"/>
        </w:rPr>
        <w:t xml:space="preserve"> medida administrativa para mitigar y atender una situación, fue </w:t>
      </w:r>
      <w:r w:rsidR="00CF2BA2" w:rsidRPr="00CF2BA2">
        <w:rPr>
          <w:rFonts w:ascii="Arial" w:eastAsia="Calibri" w:hAnsi="Arial" w:cs="Arial"/>
          <w:bCs/>
          <w:noProof/>
          <w:color w:val="000000" w:themeColor="text1"/>
          <w:sz w:val="22"/>
          <w:lang w:val="es-ES_tradnl"/>
        </w:rPr>
        <w:t xml:space="preserve">declarada </w:t>
      </w:r>
      <w:r w:rsidR="001207BD">
        <w:rPr>
          <w:rFonts w:ascii="Arial" w:eastAsia="Calibri" w:hAnsi="Arial" w:cs="Arial"/>
          <w:bCs/>
          <w:noProof/>
          <w:color w:val="000000" w:themeColor="text1"/>
          <w:sz w:val="22"/>
          <w:lang w:val="es-ES_tradnl"/>
        </w:rPr>
        <w:t>mediante</w:t>
      </w:r>
      <w:r w:rsidR="00CF2BA2" w:rsidRPr="00CF2BA2">
        <w:rPr>
          <w:rFonts w:ascii="Arial" w:eastAsia="Calibri" w:hAnsi="Arial" w:cs="Arial"/>
          <w:bCs/>
          <w:noProof/>
          <w:color w:val="000000" w:themeColor="text1"/>
          <w:sz w:val="22"/>
          <w:lang w:val="es-ES_tradnl"/>
        </w:rPr>
        <w:t xml:space="preserve"> la Resolución 385 del 2020, expedida por el Ministerio de Salud, </w:t>
      </w:r>
      <w:r w:rsidR="002047AF">
        <w:rPr>
          <w:rFonts w:ascii="Arial" w:eastAsia="Calibri" w:hAnsi="Arial" w:cs="Arial"/>
          <w:bCs/>
          <w:noProof/>
          <w:color w:val="000000" w:themeColor="text1"/>
          <w:sz w:val="22"/>
          <w:lang w:val="es-ES_tradnl"/>
        </w:rPr>
        <w:t>y rigió</w:t>
      </w:r>
      <w:r w:rsidR="00CF2BA2" w:rsidRPr="00CF2BA2">
        <w:rPr>
          <w:rFonts w:ascii="Arial" w:eastAsia="Calibri" w:hAnsi="Arial" w:cs="Arial"/>
          <w:bCs/>
          <w:noProof/>
          <w:color w:val="000000" w:themeColor="text1"/>
          <w:sz w:val="22"/>
          <w:lang w:val="es-ES_tradnl"/>
        </w:rPr>
        <w:t xml:space="preserve"> entre el 12 de marzo y el 30 d</w:t>
      </w:r>
      <w:r w:rsidR="00F77829">
        <w:rPr>
          <w:rFonts w:ascii="Arial" w:eastAsia="Calibri" w:hAnsi="Arial" w:cs="Arial"/>
          <w:bCs/>
          <w:noProof/>
          <w:color w:val="000000" w:themeColor="text1"/>
          <w:sz w:val="22"/>
          <w:lang w:val="es-ES_tradnl"/>
        </w:rPr>
        <w:t>e mayo de 2020 –obsérvese que la</w:t>
      </w:r>
      <w:r w:rsidR="00CF2BA2" w:rsidRPr="00CF2BA2">
        <w:rPr>
          <w:rFonts w:ascii="Arial" w:eastAsia="Calibri" w:hAnsi="Arial" w:cs="Arial"/>
          <w:bCs/>
          <w:noProof/>
          <w:color w:val="000000" w:themeColor="text1"/>
          <w:sz w:val="22"/>
          <w:lang w:val="es-ES_tradnl"/>
        </w:rPr>
        <w:t xml:space="preserve"> emergencia sanitaria se declaró antes de que se dec</w:t>
      </w:r>
      <w:r w:rsidR="00EF1F79">
        <w:rPr>
          <w:rFonts w:ascii="Arial" w:eastAsia="Calibri" w:hAnsi="Arial" w:cs="Arial"/>
          <w:bCs/>
          <w:noProof/>
          <w:color w:val="000000" w:themeColor="text1"/>
          <w:sz w:val="22"/>
          <w:lang w:val="es-ES_tradnl"/>
        </w:rPr>
        <w:t>retara el estado de excepción–, y se ha</w:t>
      </w:r>
      <w:r w:rsidR="00CF2BA2" w:rsidRPr="00CF2BA2">
        <w:rPr>
          <w:rFonts w:ascii="Arial" w:eastAsia="Calibri" w:hAnsi="Arial" w:cs="Arial"/>
          <w:bCs/>
          <w:noProof/>
          <w:color w:val="000000" w:themeColor="text1"/>
          <w:sz w:val="22"/>
          <w:lang w:val="es-ES_tradnl"/>
        </w:rPr>
        <w:t xml:space="preserve"> </w:t>
      </w:r>
      <w:r w:rsidR="00E44ADD">
        <w:rPr>
          <w:rFonts w:ascii="Arial" w:eastAsia="Calibri" w:hAnsi="Arial" w:cs="Arial"/>
          <w:bCs/>
          <w:noProof/>
          <w:color w:val="000000" w:themeColor="text1"/>
          <w:sz w:val="22"/>
          <w:lang w:val="es-ES_tradnl"/>
        </w:rPr>
        <w:t xml:space="preserve">venido </w:t>
      </w:r>
      <w:r w:rsidR="007015C6">
        <w:rPr>
          <w:rFonts w:ascii="Arial" w:eastAsia="Calibri" w:hAnsi="Arial" w:cs="Arial"/>
          <w:bCs/>
          <w:noProof/>
          <w:color w:val="000000" w:themeColor="text1"/>
          <w:sz w:val="22"/>
          <w:lang w:val="es-ES_tradnl"/>
        </w:rPr>
        <w:t>prorroga</w:t>
      </w:r>
      <w:r w:rsidR="00354B64">
        <w:rPr>
          <w:rFonts w:ascii="Arial" w:eastAsia="Calibri" w:hAnsi="Arial" w:cs="Arial"/>
          <w:bCs/>
          <w:noProof/>
          <w:color w:val="000000" w:themeColor="text1"/>
          <w:sz w:val="22"/>
          <w:lang w:val="es-ES_tradnl"/>
        </w:rPr>
        <w:t>n</w:t>
      </w:r>
      <w:r w:rsidR="007015C6">
        <w:rPr>
          <w:rFonts w:ascii="Arial" w:eastAsia="Calibri" w:hAnsi="Arial" w:cs="Arial"/>
          <w:bCs/>
          <w:noProof/>
          <w:color w:val="000000" w:themeColor="text1"/>
          <w:sz w:val="22"/>
          <w:lang w:val="es-ES_tradnl"/>
        </w:rPr>
        <w:t>do</w:t>
      </w:r>
      <w:r w:rsidR="00E44ADD">
        <w:rPr>
          <w:rFonts w:ascii="Arial" w:eastAsia="Calibri" w:hAnsi="Arial" w:cs="Arial"/>
          <w:bCs/>
          <w:noProof/>
          <w:color w:val="000000" w:themeColor="text1"/>
          <w:sz w:val="22"/>
          <w:lang w:val="es-ES_tradnl"/>
        </w:rPr>
        <w:t xml:space="preserve"> </w:t>
      </w:r>
      <w:r w:rsidR="002F043A">
        <w:rPr>
          <w:rFonts w:ascii="Arial" w:eastAsia="Calibri" w:hAnsi="Arial" w:cs="Arial"/>
          <w:bCs/>
          <w:noProof/>
          <w:color w:val="000000" w:themeColor="text1"/>
          <w:sz w:val="22"/>
          <w:lang w:val="es-ES_tradnl"/>
        </w:rPr>
        <w:t>ininterrumpidamente</w:t>
      </w:r>
      <w:r w:rsidR="007015C6">
        <w:rPr>
          <w:rFonts w:ascii="Arial" w:eastAsia="Calibri" w:hAnsi="Arial" w:cs="Arial"/>
          <w:bCs/>
          <w:noProof/>
          <w:color w:val="000000" w:themeColor="text1"/>
          <w:sz w:val="22"/>
          <w:lang w:val="es-ES_tradnl"/>
        </w:rPr>
        <w:t xml:space="preserve"> </w:t>
      </w:r>
      <w:r w:rsidR="00CF2BA2" w:rsidRPr="00CF2BA2">
        <w:rPr>
          <w:rFonts w:ascii="Arial" w:eastAsia="Calibri" w:hAnsi="Arial" w:cs="Arial"/>
          <w:bCs/>
          <w:noProof/>
          <w:color w:val="000000" w:themeColor="text1"/>
          <w:sz w:val="22"/>
          <w:lang w:val="es-ES_tradnl"/>
        </w:rPr>
        <w:t>mediante</w:t>
      </w:r>
      <w:r w:rsidR="00E44ADD">
        <w:rPr>
          <w:rFonts w:ascii="Arial" w:eastAsia="Calibri" w:hAnsi="Arial" w:cs="Arial"/>
          <w:bCs/>
          <w:noProof/>
          <w:color w:val="000000" w:themeColor="text1"/>
          <w:sz w:val="22"/>
          <w:lang w:val="es-ES_tradnl"/>
        </w:rPr>
        <w:t xml:space="preserve"> diferentes actos administrativos</w:t>
      </w:r>
      <w:r w:rsidR="002F043A">
        <w:rPr>
          <w:rFonts w:ascii="Arial" w:eastAsia="Calibri" w:hAnsi="Arial" w:cs="Arial"/>
          <w:bCs/>
          <w:noProof/>
          <w:color w:val="000000" w:themeColor="text1"/>
          <w:sz w:val="22"/>
          <w:lang w:val="es-ES_tradnl"/>
        </w:rPr>
        <w:t>. En efecto, el 26 de mayo de 2021 se expidió la Resolución 738 «</w:t>
      </w:r>
      <w:r w:rsidR="002F043A" w:rsidRPr="002F043A">
        <w:rPr>
          <w:rFonts w:ascii="Arial" w:eastAsia="Calibri" w:hAnsi="Arial" w:cs="Arial"/>
          <w:bCs/>
          <w:noProof/>
          <w:color w:val="000000" w:themeColor="text1"/>
          <w:sz w:val="22"/>
          <w:lang w:val="es-ES_tradnl"/>
        </w:rPr>
        <w:t>Por la cual se prorroga la emergencia sanitaria por el nuevo coronavirus COVID-19, declarada mediante Resolución 385 de 2020 y prorrogada por las Resoluciones 844, 1462 y 2230 de 2020 y 222 de 2021</w:t>
      </w:r>
      <w:r w:rsidR="002F043A">
        <w:rPr>
          <w:rFonts w:ascii="Arial" w:eastAsia="Calibri" w:hAnsi="Arial" w:cs="Arial"/>
          <w:bCs/>
          <w:noProof/>
          <w:color w:val="000000" w:themeColor="text1"/>
          <w:sz w:val="22"/>
          <w:lang w:val="es-ES_tradnl"/>
        </w:rPr>
        <w:t xml:space="preserve">», mediante </w:t>
      </w:r>
      <w:r w:rsidR="003F15C6">
        <w:rPr>
          <w:rFonts w:ascii="Arial" w:eastAsia="Calibri" w:hAnsi="Arial" w:cs="Arial"/>
          <w:bCs/>
          <w:noProof/>
          <w:color w:val="000000" w:themeColor="text1"/>
          <w:sz w:val="22"/>
          <w:lang w:val="es-ES_tradnl"/>
        </w:rPr>
        <w:t>las cuales se</w:t>
      </w:r>
      <w:r w:rsidR="002F043A">
        <w:rPr>
          <w:rFonts w:ascii="Arial" w:eastAsia="Calibri" w:hAnsi="Arial" w:cs="Arial"/>
          <w:bCs/>
          <w:noProof/>
          <w:color w:val="000000" w:themeColor="text1"/>
          <w:sz w:val="22"/>
          <w:lang w:val="es-ES_tradnl"/>
        </w:rPr>
        <w:t xml:space="preserve"> </w:t>
      </w:r>
      <w:r w:rsidR="003F15C6">
        <w:rPr>
          <w:rFonts w:ascii="Arial" w:eastAsia="Calibri" w:hAnsi="Arial" w:cs="Arial"/>
          <w:bCs/>
          <w:noProof/>
          <w:color w:val="000000" w:themeColor="text1"/>
          <w:sz w:val="22"/>
          <w:lang w:val="es-ES_tradnl"/>
        </w:rPr>
        <w:t xml:space="preserve"> </w:t>
      </w:r>
      <w:r w:rsidR="002F043A">
        <w:rPr>
          <w:rFonts w:ascii="Arial" w:eastAsia="Calibri" w:hAnsi="Arial" w:cs="Arial"/>
          <w:bCs/>
          <w:noProof/>
          <w:color w:val="000000" w:themeColor="text1"/>
          <w:sz w:val="22"/>
          <w:lang w:val="es-ES_tradnl"/>
        </w:rPr>
        <w:t>extiend</w:t>
      </w:r>
      <w:r w:rsidR="003F15C6">
        <w:rPr>
          <w:rFonts w:ascii="Arial" w:eastAsia="Calibri" w:hAnsi="Arial" w:cs="Arial"/>
          <w:bCs/>
          <w:noProof/>
          <w:color w:val="000000" w:themeColor="text1"/>
          <w:sz w:val="22"/>
          <w:lang w:val="es-ES_tradnl"/>
        </w:rPr>
        <w:t>ió</w:t>
      </w:r>
      <w:r w:rsidR="002F043A">
        <w:rPr>
          <w:rFonts w:ascii="Arial" w:eastAsia="Calibri" w:hAnsi="Arial" w:cs="Arial"/>
          <w:bCs/>
          <w:noProof/>
          <w:color w:val="000000" w:themeColor="text1"/>
          <w:sz w:val="22"/>
          <w:lang w:val="es-ES_tradnl"/>
        </w:rPr>
        <w:t xml:space="preserve"> la emergencia sanitaria hasta el 31 de agosto de 2021. </w:t>
      </w:r>
      <w:r w:rsidR="00A50173">
        <w:rPr>
          <w:rFonts w:ascii="Arial" w:eastAsia="Calibri" w:hAnsi="Arial" w:cs="Arial"/>
          <w:bCs/>
          <w:noProof/>
          <w:color w:val="000000" w:themeColor="text1"/>
          <w:sz w:val="22"/>
          <w:lang w:val="es-ES_tradnl"/>
        </w:rPr>
        <w:t>De lo anterior se desprende que</w:t>
      </w:r>
      <w:r w:rsidR="00CF2BA2" w:rsidRPr="00CF2BA2">
        <w:rPr>
          <w:rFonts w:ascii="Arial" w:eastAsia="Calibri" w:hAnsi="Arial" w:cs="Arial"/>
          <w:bCs/>
          <w:noProof/>
          <w:color w:val="000000" w:themeColor="text1"/>
          <w:sz w:val="22"/>
          <w:lang w:val="es-ES_tradnl"/>
        </w:rPr>
        <w:t xml:space="preserve"> </w:t>
      </w:r>
      <w:r w:rsidR="00EF1F79">
        <w:rPr>
          <w:rFonts w:ascii="Arial" w:eastAsia="Calibri" w:hAnsi="Arial" w:cs="Arial"/>
          <w:bCs/>
          <w:noProof/>
          <w:color w:val="000000" w:themeColor="text1"/>
          <w:sz w:val="22"/>
          <w:lang w:val="es-ES_tradnl"/>
        </w:rPr>
        <w:t xml:space="preserve">aún </w:t>
      </w:r>
      <w:r w:rsidR="00CF2BA2" w:rsidRPr="00CF2BA2">
        <w:rPr>
          <w:rFonts w:ascii="Arial" w:eastAsia="Calibri" w:hAnsi="Arial" w:cs="Arial"/>
          <w:bCs/>
          <w:noProof/>
          <w:color w:val="000000" w:themeColor="text1"/>
          <w:sz w:val="22"/>
          <w:lang w:val="es-ES_tradnl"/>
        </w:rPr>
        <w:t xml:space="preserve">nos </w:t>
      </w:r>
      <w:r w:rsidR="002D5E5A">
        <w:rPr>
          <w:rFonts w:ascii="Arial" w:eastAsia="Calibri" w:hAnsi="Arial" w:cs="Arial"/>
          <w:bCs/>
          <w:noProof/>
          <w:color w:val="000000" w:themeColor="text1"/>
          <w:sz w:val="22"/>
          <w:lang w:val="es-ES_tradnl"/>
        </w:rPr>
        <w:t>encontramos</w:t>
      </w:r>
      <w:r w:rsidR="00CF2BA2" w:rsidRPr="00CF2BA2">
        <w:rPr>
          <w:rFonts w:ascii="Arial" w:eastAsia="Calibri" w:hAnsi="Arial" w:cs="Arial"/>
          <w:bCs/>
          <w:noProof/>
          <w:color w:val="000000" w:themeColor="text1"/>
          <w:sz w:val="22"/>
          <w:lang w:val="es-ES_tradnl"/>
        </w:rPr>
        <w:t xml:space="preserve"> ante un estado de emergencia sanitaria</w:t>
      </w:r>
      <w:r w:rsidR="00EA2F09">
        <w:rPr>
          <w:rFonts w:ascii="Arial" w:eastAsia="Calibri" w:hAnsi="Arial" w:cs="Arial"/>
          <w:bCs/>
          <w:noProof/>
          <w:color w:val="000000" w:themeColor="text1"/>
          <w:sz w:val="22"/>
          <w:lang w:val="es-ES_tradnl"/>
        </w:rPr>
        <w:t>.</w:t>
      </w:r>
      <w:r w:rsidR="00CF2BA2" w:rsidRPr="00CF2BA2">
        <w:rPr>
          <w:rFonts w:ascii="Arial" w:eastAsia="Calibri" w:hAnsi="Arial" w:cs="Arial"/>
          <w:bCs/>
          <w:noProof/>
          <w:color w:val="000000" w:themeColor="text1"/>
          <w:sz w:val="22"/>
          <w:lang w:val="es-ES_tradnl"/>
        </w:rPr>
        <w:t xml:space="preserve"> </w:t>
      </w:r>
    </w:p>
    <w:p w14:paraId="3FA951A0" w14:textId="3933AFC7" w:rsidR="00621A0D" w:rsidRDefault="005A422C" w:rsidP="004047D0">
      <w:pPr>
        <w:spacing w:after="0"/>
        <w:ind w:firstLine="709"/>
        <w:rPr>
          <w:rFonts w:ascii="Arial" w:eastAsia="Calibri" w:hAnsi="Arial" w:cs="Arial"/>
          <w:noProof/>
          <w:color w:val="000000" w:themeColor="text1"/>
          <w:sz w:val="22"/>
          <w:lang w:val="es-ES_tradnl"/>
        </w:rPr>
      </w:pPr>
      <w:r>
        <w:rPr>
          <w:rFonts w:ascii="Arial" w:eastAsia="Calibri" w:hAnsi="Arial" w:cs="Arial"/>
          <w:noProof/>
          <w:color w:val="000000" w:themeColor="text1"/>
          <w:sz w:val="22"/>
          <w:lang w:val="es-ES_tradnl"/>
        </w:rPr>
        <w:t>En cuanto a</w:t>
      </w:r>
      <w:r w:rsidR="00CF2BA2" w:rsidRPr="00CF2BA2">
        <w:rPr>
          <w:rFonts w:ascii="Arial" w:eastAsia="Calibri" w:hAnsi="Arial" w:cs="Arial"/>
          <w:noProof/>
          <w:color w:val="000000" w:themeColor="text1"/>
          <w:sz w:val="22"/>
          <w:lang w:val="es-ES_tradnl"/>
        </w:rPr>
        <w:t xml:space="preserve"> </w:t>
      </w:r>
      <w:r w:rsidR="009D4609">
        <w:rPr>
          <w:rFonts w:ascii="Arial" w:eastAsia="Calibri" w:hAnsi="Arial" w:cs="Arial"/>
          <w:noProof/>
          <w:color w:val="000000" w:themeColor="text1"/>
          <w:sz w:val="22"/>
          <w:lang w:val="es-ES_tradnl"/>
        </w:rPr>
        <w:t xml:space="preserve">la normativa expedida con ocasión de pandemia, </w:t>
      </w:r>
      <w:r w:rsidR="009D4609" w:rsidRPr="00CF2BA2">
        <w:rPr>
          <w:rFonts w:ascii="Arial" w:eastAsia="Calibri" w:hAnsi="Arial" w:cs="Arial"/>
          <w:noProof/>
          <w:color w:val="000000" w:themeColor="text1"/>
          <w:sz w:val="22"/>
          <w:lang w:val="es-ES_tradnl"/>
        </w:rPr>
        <w:t>para evitar el aumento de los contagios y permitir que se continúen cumpliendo los fines del Estado social de derecho a través de la actividad contractual</w:t>
      </w:r>
      <w:r w:rsidR="00CF2BA2" w:rsidRPr="00CF2BA2">
        <w:rPr>
          <w:rFonts w:ascii="Arial" w:eastAsia="Calibri" w:hAnsi="Arial" w:cs="Arial"/>
          <w:noProof/>
          <w:color w:val="000000" w:themeColor="text1"/>
          <w:sz w:val="22"/>
          <w:lang w:val="es-ES_tradnl"/>
        </w:rPr>
        <w:t xml:space="preserve">, </w:t>
      </w:r>
      <w:r w:rsidR="00812DEC">
        <w:rPr>
          <w:rFonts w:ascii="Arial" w:eastAsia="Calibri" w:hAnsi="Arial" w:cs="Arial"/>
          <w:noProof/>
          <w:color w:val="000000" w:themeColor="text1"/>
          <w:sz w:val="22"/>
          <w:lang w:val="es-ES_tradnl"/>
        </w:rPr>
        <w:t>se destaca la</w:t>
      </w:r>
      <w:r w:rsidR="00B13009">
        <w:rPr>
          <w:rFonts w:ascii="Arial" w:eastAsia="Calibri" w:hAnsi="Arial" w:cs="Arial"/>
          <w:noProof/>
          <w:color w:val="000000" w:themeColor="text1"/>
          <w:sz w:val="22"/>
          <w:lang w:val="es-ES_tradnl"/>
        </w:rPr>
        <w:t xml:space="preserve"> contenida</w:t>
      </w:r>
      <w:r w:rsidR="00CF2BA2" w:rsidRPr="00CF2BA2">
        <w:rPr>
          <w:rFonts w:ascii="Arial" w:eastAsia="Calibri" w:hAnsi="Arial" w:cs="Arial"/>
          <w:noProof/>
          <w:color w:val="000000" w:themeColor="text1"/>
          <w:sz w:val="22"/>
          <w:lang w:val="es-ES_tradnl"/>
        </w:rPr>
        <w:t xml:space="preserve"> en los Decretos 440 del 20 de marzo de 2020 y 537 del 12 de abril </w:t>
      </w:r>
      <w:r w:rsidR="00B13009">
        <w:rPr>
          <w:rFonts w:ascii="Arial" w:eastAsia="Calibri" w:hAnsi="Arial" w:cs="Arial"/>
          <w:noProof/>
          <w:color w:val="000000" w:themeColor="text1"/>
          <w:sz w:val="22"/>
          <w:lang w:val="es-ES_tradnl"/>
        </w:rPr>
        <w:t>de la misma anualidad</w:t>
      </w:r>
      <w:r w:rsidR="00CF2BA2" w:rsidRPr="00CF2BA2">
        <w:rPr>
          <w:rFonts w:ascii="Arial" w:eastAsia="Calibri" w:hAnsi="Arial" w:cs="Arial"/>
          <w:noProof/>
          <w:color w:val="000000" w:themeColor="text1"/>
          <w:sz w:val="22"/>
          <w:lang w:val="es-ES_tradnl"/>
        </w:rPr>
        <w:t>,</w:t>
      </w:r>
      <w:r w:rsidR="004E20F8">
        <w:rPr>
          <w:rFonts w:ascii="Arial" w:eastAsia="Calibri" w:hAnsi="Arial" w:cs="Arial"/>
          <w:noProof/>
          <w:color w:val="000000" w:themeColor="text1"/>
          <w:sz w:val="22"/>
          <w:lang w:val="es-ES_tradnl"/>
        </w:rPr>
        <w:t xml:space="preserve"> </w:t>
      </w:r>
      <w:r w:rsidR="00B13009">
        <w:rPr>
          <w:rFonts w:ascii="Arial" w:eastAsia="Calibri" w:hAnsi="Arial" w:cs="Arial"/>
          <w:noProof/>
          <w:color w:val="000000" w:themeColor="text1"/>
          <w:sz w:val="22"/>
          <w:lang w:val="es-ES_tradnl"/>
        </w:rPr>
        <w:t xml:space="preserve">sobre </w:t>
      </w:r>
      <w:r w:rsidR="004E20F8">
        <w:rPr>
          <w:rFonts w:ascii="Arial" w:eastAsia="Calibri" w:hAnsi="Arial" w:cs="Arial"/>
          <w:noProof/>
          <w:color w:val="000000" w:themeColor="text1"/>
          <w:sz w:val="22"/>
          <w:lang w:val="es-ES_tradnl"/>
        </w:rPr>
        <w:t>este último</w:t>
      </w:r>
      <w:r w:rsidR="00B13009">
        <w:rPr>
          <w:rFonts w:ascii="Arial" w:eastAsia="Calibri" w:hAnsi="Arial" w:cs="Arial"/>
          <w:noProof/>
          <w:color w:val="000000" w:themeColor="text1"/>
          <w:sz w:val="22"/>
          <w:lang w:val="es-ES_tradnl"/>
        </w:rPr>
        <w:t>, conviene precisar que</w:t>
      </w:r>
      <w:r w:rsidR="004E20F8">
        <w:rPr>
          <w:rFonts w:ascii="Arial" w:eastAsia="Calibri" w:hAnsi="Arial" w:cs="Arial"/>
          <w:bCs/>
          <w:sz w:val="22"/>
          <w:lang w:val="es-CO"/>
        </w:rPr>
        <w:t xml:space="preserve"> es</w:t>
      </w:r>
      <w:r w:rsidR="004E2BBF">
        <w:rPr>
          <w:rFonts w:ascii="Arial" w:eastAsia="Calibri" w:hAnsi="Arial" w:cs="Arial"/>
          <w:bCs/>
          <w:sz w:val="22"/>
          <w:lang w:val="es-CO"/>
        </w:rPr>
        <w:t>tará</w:t>
      </w:r>
      <w:r w:rsidR="00CF2BA2" w:rsidRPr="00CF2BA2">
        <w:rPr>
          <w:rFonts w:ascii="Arial" w:eastAsia="Calibri" w:hAnsi="Arial" w:cs="Arial"/>
          <w:bCs/>
          <w:sz w:val="22"/>
          <w:lang w:val="es-CO"/>
        </w:rPr>
        <w:t xml:space="preserve"> vigente mientras se mantenga la Emergencia Sanitaria declarada por el Ministerio de Salud y Protección Social, con ocasión de la </w:t>
      </w:r>
      <w:r w:rsidR="00CF2BA2" w:rsidRPr="00CF2BA2">
        <w:rPr>
          <w:rFonts w:ascii="Arial" w:eastAsia="Calibri" w:hAnsi="Arial" w:cs="Arial"/>
          <w:bCs/>
          <w:sz w:val="22"/>
          <w:lang w:val="es-CO"/>
        </w:rPr>
        <w:lastRenderedPageBreak/>
        <w:t>pandemia derivada del Coronavirus COVID-19</w:t>
      </w:r>
      <w:r w:rsidR="001A5059">
        <w:rPr>
          <w:rStyle w:val="Refdenotaalpie"/>
          <w:rFonts w:ascii="Arial" w:eastAsia="Calibri" w:hAnsi="Arial" w:cs="Arial"/>
          <w:bCs/>
          <w:sz w:val="22"/>
          <w:lang w:val="es-CO"/>
        </w:rPr>
        <w:footnoteReference w:id="14"/>
      </w:r>
      <w:r w:rsidR="00B13009">
        <w:rPr>
          <w:rFonts w:ascii="Arial" w:eastAsia="Calibri" w:hAnsi="Arial" w:cs="Arial"/>
          <w:bCs/>
          <w:sz w:val="22"/>
          <w:lang w:val="es-CO"/>
        </w:rPr>
        <w:t>; de igual forma, se</w:t>
      </w:r>
      <w:r w:rsidR="002B690D">
        <w:rPr>
          <w:rFonts w:ascii="Arial" w:eastAsia="Calibri" w:hAnsi="Arial" w:cs="Arial"/>
          <w:noProof/>
          <w:color w:val="000000" w:themeColor="text1"/>
          <w:sz w:val="22"/>
          <w:lang w:val="es-ES_tradnl"/>
        </w:rPr>
        <w:t xml:space="preserve"> </w:t>
      </w:r>
      <w:r w:rsidR="00CF2BA2" w:rsidRPr="00CF2BA2">
        <w:rPr>
          <w:rFonts w:ascii="Arial" w:eastAsia="Calibri" w:hAnsi="Arial" w:cs="Arial"/>
          <w:noProof/>
          <w:color w:val="000000" w:themeColor="text1"/>
          <w:sz w:val="22"/>
          <w:lang w:val="es-ES_tradnl"/>
        </w:rPr>
        <w:t>expidió el Decreto 499 del 31 de marzo de 2020, reiterado en el Decreto 544 del 13 de abril de 2020, por los cuales se adoptan medidas en materia de contratación estatal para la adquisición en el mercado internacional de dispositivos médicos y elementos de protección personal</w:t>
      </w:r>
      <w:r w:rsidR="00B04C92">
        <w:rPr>
          <w:rFonts w:ascii="Arial" w:eastAsia="Calibri" w:hAnsi="Arial" w:cs="Arial"/>
          <w:noProof/>
          <w:color w:val="000000" w:themeColor="text1"/>
          <w:sz w:val="22"/>
          <w:lang w:val="es-ES_tradnl"/>
        </w:rPr>
        <w:t xml:space="preserve">; </w:t>
      </w:r>
      <w:r w:rsidR="00506501">
        <w:rPr>
          <w:rFonts w:ascii="Arial" w:eastAsia="Calibri" w:hAnsi="Arial" w:cs="Arial"/>
          <w:noProof/>
          <w:color w:val="000000" w:themeColor="text1"/>
          <w:sz w:val="22"/>
          <w:lang w:val="es-ES_tradnl"/>
        </w:rPr>
        <w:t>de otra</w:t>
      </w:r>
      <w:r w:rsidR="00B04C92">
        <w:rPr>
          <w:rFonts w:ascii="Arial" w:eastAsia="Calibri" w:hAnsi="Arial" w:cs="Arial"/>
          <w:noProof/>
          <w:color w:val="000000" w:themeColor="text1"/>
          <w:sz w:val="22"/>
          <w:lang w:val="es-ES_tradnl"/>
        </w:rPr>
        <w:t xml:space="preserve"> parte, </w:t>
      </w:r>
      <w:r w:rsidR="00506501">
        <w:rPr>
          <w:rFonts w:ascii="Arial" w:eastAsia="Calibri" w:hAnsi="Arial" w:cs="Arial"/>
          <w:noProof/>
          <w:color w:val="000000" w:themeColor="text1"/>
          <w:sz w:val="22"/>
          <w:lang w:val="es-ES_tradnl"/>
        </w:rPr>
        <w:t xml:space="preserve">mediante </w:t>
      </w:r>
      <w:r w:rsidR="00B04C92">
        <w:rPr>
          <w:rFonts w:ascii="Arial" w:eastAsia="Calibri" w:hAnsi="Arial" w:cs="Arial"/>
          <w:noProof/>
          <w:color w:val="000000" w:themeColor="text1"/>
          <w:sz w:val="22"/>
          <w:lang w:val="es-ES_tradnl"/>
        </w:rPr>
        <w:t>el</w:t>
      </w:r>
      <w:r w:rsidR="00CF2BA2" w:rsidRPr="00CF2BA2">
        <w:rPr>
          <w:rFonts w:ascii="Arial" w:eastAsia="Calibri" w:hAnsi="Arial" w:cs="Arial"/>
          <w:noProof/>
          <w:color w:val="000000" w:themeColor="text1"/>
          <w:sz w:val="22"/>
          <w:lang w:val="es-ES_tradnl"/>
        </w:rPr>
        <w:t xml:space="preserve"> Decreto 491 del 28 de marzo de 2020, </w:t>
      </w:r>
      <w:r w:rsidR="00506501">
        <w:rPr>
          <w:rFonts w:ascii="Arial" w:eastAsia="Calibri" w:hAnsi="Arial" w:cs="Arial"/>
          <w:noProof/>
          <w:color w:val="000000" w:themeColor="text1"/>
          <w:sz w:val="22"/>
          <w:lang w:val="es-ES_tradnl"/>
        </w:rPr>
        <w:t xml:space="preserve">se incluyeron </w:t>
      </w:r>
      <w:r w:rsidR="00CF2BA2" w:rsidRPr="00CF2BA2">
        <w:rPr>
          <w:rFonts w:ascii="Arial" w:eastAsia="Calibri" w:hAnsi="Arial" w:cs="Arial"/>
          <w:noProof/>
          <w:color w:val="000000" w:themeColor="text1"/>
          <w:sz w:val="22"/>
          <w:lang w:val="es-ES_tradnl"/>
        </w:rPr>
        <w:t>algunas disposiciones adicionales relevantes para la contratación estatal</w:t>
      </w:r>
      <w:r w:rsidR="00743DB1">
        <w:rPr>
          <w:rFonts w:ascii="Arial" w:eastAsia="Calibri" w:hAnsi="Arial" w:cs="Arial"/>
          <w:noProof/>
          <w:color w:val="000000" w:themeColor="text1"/>
          <w:sz w:val="22"/>
          <w:lang w:val="es-ES_tradnl"/>
        </w:rPr>
        <w:t xml:space="preserve">. </w:t>
      </w:r>
    </w:p>
    <w:p w14:paraId="5B3086FB" w14:textId="77777777" w:rsidR="00621A0D" w:rsidRDefault="00621A0D" w:rsidP="004047D0">
      <w:pPr>
        <w:spacing w:after="0"/>
        <w:ind w:firstLine="709"/>
        <w:rPr>
          <w:rFonts w:ascii="Arial" w:eastAsia="Calibri" w:hAnsi="Arial" w:cs="Arial"/>
          <w:noProof/>
          <w:color w:val="000000" w:themeColor="text1"/>
          <w:sz w:val="22"/>
          <w:lang w:val="es-ES_tradnl"/>
        </w:rPr>
      </w:pPr>
    </w:p>
    <w:p w14:paraId="35E0201F" w14:textId="3F632FE0" w:rsidR="00DB7729" w:rsidRDefault="00743DB1" w:rsidP="004047D0">
      <w:pPr>
        <w:spacing w:after="0"/>
        <w:ind w:firstLine="709"/>
        <w:rPr>
          <w:rFonts w:ascii="Arial" w:hAnsi="Arial" w:cs="Arial"/>
          <w:sz w:val="22"/>
        </w:rPr>
      </w:pPr>
      <w:r>
        <w:rPr>
          <w:rFonts w:ascii="Arial" w:eastAsia="Calibri" w:hAnsi="Arial" w:cs="Arial"/>
          <w:noProof/>
          <w:color w:val="000000" w:themeColor="text1"/>
          <w:sz w:val="22"/>
          <w:lang w:val="es-ES_tradnl"/>
        </w:rPr>
        <w:t xml:space="preserve">Finalmente, </w:t>
      </w:r>
      <w:r w:rsidR="00B92E85">
        <w:rPr>
          <w:rFonts w:ascii="Arial" w:eastAsia="Calibri" w:hAnsi="Arial" w:cs="Arial"/>
          <w:noProof/>
          <w:color w:val="000000" w:themeColor="text1"/>
          <w:sz w:val="22"/>
          <w:lang w:val="es-ES_tradnl"/>
        </w:rPr>
        <w:t xml:space="preserve">este año por medio del Decreto </w:t>
      </w:r>
      <w:r w:rsidR="00B92E85" w:rsidRPr="00B92E85">
        <w:rPr>
          <w:rFonts w:ascii="Arial" w:eastAsia="Calibri" w:hAnsi="Arial" w:cs="Arial"/>
          <w:noProof/>
          <w:color w:val="000000" w:themeColor="text1"/>
          <w:sz w:val="22"/>
          <w:lang w:val="es-ES_tradnl"/>
        </w:rPr>
        <w:t>109 del  29 de enero</w:t>
      </w:r>
      <w:r w:rsidR="00B92E85">
        <w:rPr>
          <w:rFonts w:ascii="Arial" w:eastAsia="Calibri" w:hAnsi="Arial" w:cs="Arial"/>
          <w:noProof/>
          <w:color w:val="000000" w:themeColor="text1"/>
          <w:sz w:val="22"/>
          <w:lang w:val="es-ES_tradnl"/>
        </w:rPr>
        <w:t xml:space="preserve"> de 2021</w:t>
      </w:r>
      <w:r w:rsidR="00B92E85" w:rsidRPr="00B92E85">
        <w:rPr>
          <w:rFonts w:ascii="Arial" w:eastAsia="Calibri" w:hAnsi="Arial" w:cs="Arial"/>
          <w:noProof/>
          <w:color w:val="000000" w:themeColor="text1"/>
          <w:sz w:val="22"/>
          <w:lang w:val="es-ES_tradnl"/>
        </w:rPr>
        <w:t>,</w:t>
      </w:r>
      <w:r w:rsidR="00AD7E2E">
        <w:rPr>
          <w:rFonts w:ascii="Arial" w:eastAsia="Calibri" w:hAnsi="Arial" w:cs="Arial"/>
          <w:noProof/>
          <w:color w:val="000000" w:themeColor="text1"/>
          <w:sz w:val="22"/>
          <w:lang w:val="es-ES_tradnl"/>
        </w:rPr>
        <w:t xml:space="preserve"> modificado parcialmente por el Decreto 404 del 16 de abril de 2021,</w:t>
      </w:r>
      <w:r w:rsidR="00B92E85" w:rsidRPr="00B92E85">
        <w:rPr>
          <w:rFonts w:ascii="Arial" w:eastAsia="Calibri" w:hAnsi="Arial" w:cs="Arial"/>
          <w:noProof/>
          <w:color w:val="000000" w:themeColor="text1"/>
          <w:sz w:val="22"/>
          <w:lang w:val="es-ES_tradnl"/>
        </w:rPr>
        <w:t xml:space="preserve"> </w:t>
      </w:r>
      <w:r w:rsidR="00B92E85">
        <w:rPr>
          <w:rFonts w:ascii="Arial" w:eastAsia="Calibri" w:hAnsi="Arial" w:cs="Arial"/>
          <w:noProof/>
          <w:color w:val="000000" w:themeColor="text1"/>
          <w:sz w:val="22"/>
          <w:lang w:val="es-ES_tradnl"/>
        </w:rPr>
        <w:t xml:space="preserve">se </w:t>
      </w:r>
      <w:r w:rsidR="00B92E85" w:rsidRPr="00B92E85">
        <w:rPr>
          <w:rFonts w:ascii="Arial" w:eastAsia="Calibri" w:hAnsi="Arial" w:cs="Arial"/>
          <w:noProof/>
          <w:color w:val="000000" w:themeColor="text1"/>
          <w:sz w:val="22"/>
          <w:lang w:val="es-ES_tradnl"/>
        </w:rPr>
        <w:t xml:space="preserve">adoptó el Plan Nacional de Vacunación contra el COVID </w:t>
      </w:r>
      <w:r w:rsidR="00B92E85">
        <w:rPr>
          <w:rFonts w:ascii="Arial" w:eastAsia="Calibri" w:hAnsi="Arial" w:cs="Arial"/>
          <w:noProof/>
          <w:color w:val="000000" w:themeColor="text1"/>
          <w:sz w:val="22"/>
          <w:lang w:val="es-ES_tradnl"/>
        </w:rPr>
        <w:t>–</w:t>
      </w:r>
      <w:r w:rsidR="00B92E85" w:rsidRPr="00B92E85">
        <w:rPr>
          <w:rFonts w:ascii="Arial" w:eastAsia="Calibri" w:hAnsi="Arial" w:cs="Arial"/>
          <w:noProof/>
          <w:color w:val="000000" w:themeColor="text1"/>
          <w:sz w:val="22"/>
          <w:lang w:val="es-ES_tradnl"/>
        </w:rPr>
        <w:t xml:space="preserve"> 1</w:t>
      </w:r>
      <w:r w:rsidR="00B92E85">
        <w:rPr>
          <w:rFonts w:ascii="Arial" w:eastAsia="Calibri" w:hAnsi="Arial" w:cs="Arial"/>
          <w:noProof/>
          <w:color w:val="000000" w:themeColor="text1"/>
          <w:sz w:val="22"/>
          <w:lang w:val="es-ES_tradnl"/>
        </w:rPr>
        <w:t xml:space="preserve">9, señalando en los  artículos 20, numeral 20.1 y </w:t>
      </w:r>
      <w:r w:rsidR="002B690D">
        <w:rPr>
          <w:rFonts w:ascii="Arial" w:eastAsia="Calibri" w:hAnsi="Arial" w:cs="Arial"/>
          <w:noProof/>
          <w:color w:val="000000" w:themeColor="text1"/>
          <w:sz w:val="22"/>
          <w:lang w:val="es-ES_tradnl"/>
        </w:rPr>
        <w:t>21, numeral 21.1,</w:t>
      </w:r>
      <w:r w:rsidR="002B690D" w:rsidRPr="002B690D">
        <w:rPr>
          <w:rFonts w:ascii="Arial" w:eastAsia="Calibri" w:hAnsi="Arial" w:cs="Arial"/>
          <w:noProof/>
          <w:color w:val="000000" w:themeColor="text1"/>
          <w:sz w:val="22"/>
          <w:lang w:val="es-ES_tradnl"/>
        </w:rPr>
        <w:t xml:space="preserve"> </w:t>
      </w:r>
      <w:r w:rsidR="002B690D">
        <w:rPr>
          <w:rFonts w:ascii="Arial" w:eastAsia="Calibri" w:hAnsi="Arial" w:cs="Arial"/>
          <w:noProof/>
          <w:color w:val="000000" w:themeColor="text1"/>
          <w:sz w:val="22"/>
          <w:lang w:val="es-ES_tradnl"/>
        </w:rPr>
        <w:t>entre las  responsabilidades</w:t>
      </w:r>
      <w:r w:rsidR="002B690D" w:rsidRPr="00B92E85">
        <w:rPr>
          <w:rFonts w:ascii="Arial" w:hAnsi="Arial" w:cs="Arial"/>
          <w:sz w:val="22"/>
        </w:rPr>
        <w:t xml:space="preserve"> </w:t>
      </w:r>
      <w:r w:rsidR="002B690D">
        <w:rPr>
          <w:rFonts w:ascii="Arial" w:hAnsi="Arial" w:cs="Arial"/>
          <w:sz w:val="22"/>
        </w:rPr>
        <w:t>tanto para las</w:t>
      </w:r>
      <w:r w:rsidR="002B690D" w:rsidRPr="00B92E85">
        <w:rPr>
          <w:rFonts w:ascii="Arial" w:hAnsi="Arial" w:cs="Arial"/>
          <w:sz w:val="22"/>
        </w:rPr>
        <w:t xml:space="preserve"> entidades territoriales depa</w:t>
      </w:r>
      <w:r w:rsidR="002B690D">
        <w:rPr>
          <w:rFonts w:ascii="Arial" w:hAnsi="Arial" w:cs="Arial"/>
          <w:sz w:val="22"/>
        </w:rPr>
        <w:t>rtamentales y distritales, como para</w:t>
      </w:r>
      <w:r w:rsidR="002B690D" w:rsidRPr="002B690D">
        <w:rPr>
          <w:rFonts w:ascii="Arial" w:hAnsi="Arial" w:cs="Arial"/>
          <w:sz w:val="22"/>
        </w:rPr>
        <w:t xml:space="preserve"> </w:t>
      </w:r>
      <w:r w:rsidR="002B690D" w:rsidRPr="00B92E85">
        <w:rPr>
          <w:rFonts w:ascii="Arial" w:hAnsi="Arial" w:cs="Arial"/>
          <w:sz w:val="22"/>
        </w:rPr>
        <w:t xml:space="preserve">las </w:t>
      </w:r>
      <w:r w:rsidR="002B690D">
        <w:rPr>
          <w:rFonts w:ascii="Arial" w:hAnsi="Arial" w:cs="Arial"/>
          <w:sz w:val="22"/>
        </w:rPr>
        <w:t>municipales, respectivamente, g</w:t>
      </w:r>
      <w:r w:rsidR="002B690D" w:rsidRPr="00B92E85">
        <w:rPr>
          <w:rFonts w:ascii="Arial" w:hAnsi="Arial" w:cs="Arial"/>
          <w:sz w:val="22"/>
        </w:rPr>
        <w:t>arantizar la contratación del talento humano para la gestión y operación del Plan Nacional de Vacunación contra el COVID-19, que incluye manejo de insumos, red de frio, sistema de información y acompañamiento técnico</w:t>
      </w:r>
      <w:r>
        <w:rPr>
          <w:rFonts w:ascii="Arial" w:hAnsi="Arial" w:cs="Arial"/>
          <w:sz w:val="22"/>
        </w:rPr>
        <w:t>;</w:t>
      </w:r>
      <w:r w:rsidR="002B690D">
        <w:rPr>
          <w:rFonts w:ascii="Arial" w:hAnsi="Arial" w:cs="Arial"/>
          <w:sz w:val="22"/>
        </w:rPr>
        <w:t xml:space="preserve"> adicionalmente, en el artículo 20, numeral 20.15, para las primeras, agregó la responsabilidad de </w:t>
      </w:r>
      <w:r w:rsidR="00B92E85">
        <w:rPr>
          <w:rFonts w:ascii="Arial" w:hAnsi="Arial" w:cs="Arial"/>
          <w:sz w:val="22"/>
        </w:rPr>
        <w:t>contar</w:t>
      </w:r>
      <w:r w:rsidR="00B92E85" w:rsidRPr="00B92E85">
        <w:rPr>
          <w:rFonts w:ascii="Arial" w:hAnsi="Arial" w:cs="Arial"/>
          <w:sz w:val="22"/>
        </w:rPr>
        <w:t xml:space="preserve"> con un contrato de mantenimiento anual preventivo y correctivo del centro de acopio</w:t>
      </w:r>
      <w:r w:rsidR="002B690D">
        <w:rPr>
          <w:rFonts w:ascii="Arial" w:hAnsi="Arial" w:cs="Arial"/>
          <w:sz w:val="22"/>
        </w:rPr>
        <w:t>.</w:t>
      </w:r>
    </w:p>
    <w:p w14:paraId="76DBB3F2" w14:textId="77777777" w:rsidR="004047D0" w:rsidRDefault="004047D0" w:rsidP="004047D0">
      <w:pPr>
        <w:spacing w:after="0" w:line="240" w:lineRule="auto"/>
        <w:rPr>
          <w:rFonts w:ascii="Arial" w:hAnsi="Arial" w:cs="Arial"/>
          <w:b/>
          <w:sz w:val="22"/>
        </w:rPr>
      </w:pPr>
    </w:p>
    <w:p w14:paraId="380927FA" w14:textId="6F132D5A" w:rsidR="00B92E85" w:rsidRDefault="00DB7729" w:rsidP="004047D0">
      <w:pPr>
        <w:spacing w:after="0" w:line="240" w:lineRule="auto"/>
        <w:rPr>
          <w:rFonts w:ascii="Arial" w:hAnsi="Arial" w:cs="Arial"/>
          <w:b/>
          <w:sz w:val="22"/>
        </w:rPr>
      </w:pPr>
      <w:r w:rsidRPr="00DB7729">
        <w:rPr>
          <w:rFonts w:ascii="Arial" w:hAnsi="Arial" w:cs="Arial"/>
          <w:b/>
          <w:sz w:val="22"/>
        </w:rPr>
        <w:t xml:space="preserve">2.4 Contratación </w:t>
      </w:r>
      <w:r w:rsidR="0054711B">
        <w:rPr>
          <w:rFonts w:ascii="Arial" w:hAnsi="Arial" w:cs="Arial"/>
          <w:b/>
          <w:sz w:val="22"/>
        </w:rPr>
        <w:t>en el contexto</w:t>
      </w:r>
      <w:r w:rsidRPr="00DB7729">
        <w:rPr>
          <w:rFonts w:ascii="Arial" w:hAnsi="Arial" w:cs="Arial"/>
          <w:b/>
          <w:sz w:val="22"/>
        </w:rPr>
        <w:t xml:space="preserve"> de la </w:t>
      </w:r>
      <w:r w:rsidRPr="00CF2BA2">
        <w:rPr>
          <w:rFonts w:ascii="Arial" w:eastAsia="Calibri" w:hAnsi="Arial" w:cs="Arial"/>
          <w:b/>
          <w:noProof/>
          <w:color w:val="000000" w:themeColor="text1"/>
          <w:sz w:val="22"/>
          <w:lang w:val="es-ES_tradnl"/>
        </w:rPr>
        <w:t>«e</w:t>
      </w:r>
      <w:r w:rsidR="00B47785">
        <w:rPr>
          <w:rFonts w:ascii="Arial" w:eastAsia="Calibri" w:hAnsi="Arial" w:cs="Arial"/>
          <w:b/>
          <w:noProof/>
          <w:color w:val="000000" w:themeColor="text1"/>
          <w:sz w:val="22"/>
          <w:lang w:val="es-ES_tradnl"/>
        </w:rPr>
        <w:t>mergencia sanitaria» ocasionada</w:t>
      </w:r>
      <w:r w:rsidRPr="00CF2BA2">
        <w:rPr>
          <w:rFonts w:ascii="Arial" w:eastAsia="Calibri" w:hAnsi="Arial" w:cs="Arial"/>
          <w:b/>
          <w:noProof/>
          <w:color w:val="000000" w:themeColor="text1"/>
          <w:sz w:val="22"/>
          <w:lang w:val="es-ES_tradnl"/>
        </w:rPr>
        <w:t xml:space="preserve"> por el COVID-19</w:t>
      </w:r>
      <w:r w:rsidR="000551B3">
        <w:rPr>
          <w:rFonts w:ascii="Arial" w:hAnsi="Arial" w:cs="Arial"/>
          <w:b/>
          <w:sz w:val="22"/>
        </w:rPr>
        <w:t xml:space="preserve">. </w:t>
      </w:r>
      <w:r w:rsidR="000551B3" w:rsidRPr="00B47785">
        <w:rPr>
          <w:rFonts w:ascii="Arial" w:eastAsia="Calibri" w:hAnsi="Arial" w:cs="Arial"/>
          <w:b/>
          <w:color w:val="000000"/>
          <w:sz w:val="22"/>
          <w:lang w:val="es-ES_tradnl"/>
        </w:rPr>
        <w:t>La</w:t>
      </w:r>
      <w:r w:rsidR="000551B3">
        <w:rPr>
          <w:rFonts w:ascii="Arial" w:eastAsia="Calibri" w:hAnsi="Arial" w:cs="Arial"/>
          <w:b/>
          <w:color w:val="000000"/>
          <w:sz w:val="22"/>
          <w:lang w:val="es-ES_tradnl"/>
        </w:rPr>
        <w:t xml:space="preserve"> urgencia manifiesta no faculta la contratación</w:t>
      </w:r>
      <w:r w:rsidR="000551B3" w:rsidRPr="00B47785">
        <w:rPr>
          <w:rFonts w:ascii="Arial" w:eastAsia="Calibri" w:hAnsi="Arial" w:cs="Arial"/>
          <w:b/>
          <w:color w:val="000000"/>
          <w:sz w:val="22"/>
          <w:lang w:val="es-ES_tradnl"/>
        </w:rPr>
        <w:t xml:space="preserve"> ilimitada o arbitraria</w:t>
      </w:r>
    </w:p>
    <w:p w14:paraId="219E50B3" w14:textId="77777777" w:rsidR="004047D0" w:rsidRPr="00DB7729" w:rsidRDefault="004047D0" w:rsidP="004047D0">
      <w:pPr>
        <w:spacing w:after="0" w:line="240" w:lineRule="auto"/>
        <w:rPr>
          <w:rFonts w:ascii="Arial" w:eastAsia="Calibri" w:hAnsi="Arial" w:cs="Arial"/>
          <w:b/>
          <w:noProof/>
          <w:color w:val="000000" w:themeColor="text1"/>
          <w:sz w:val="22"/>
          <w:lang w:val="es-ES_tradnl"/>
        </w:rPr>
      </w:pPr>
    </w:p>
    <w:p w14:paraId="2475C3E2" w14:textId="5297B4A6" w:rsidR="00DB7729" w:rsidRDefault="00DB7729" w:rsidP="004047D0">
      <w:pPr>
        <w:spacing w:after="120"/>
        <w:rPr>
          <w:rFonts w:ascii="Arial" w:eastAsia="Calibri" w:hAnsi="Arial" w:cs="Arial"/>
          <w:color w:val="000000"/>
          <w:sz w:val="22"/>
          <w:lang w:val="es-ES_tradnl"/>
        </w:rPr>
      </w:pPr>
      <w:r>
        <w:rPr>
          <w:rFonts w:ascii="Arial" w:eastAsia="Calibri" w:hAnsi="Arial" w:cs="Arial"/>
          <w:color w:val="000000"/>
          <w:sz w:val="22"/>
          <w:lang w:val="es-ES_tradnl"/>
        </w:rPr>
        <w:t xml:space="preserve">Como se mencionó anteriormente, el artículo 11 del </w:t>
      </w:r>
      <w:r w:rsidRPr="00754FD8">
        <w:rPr>
          <w:rFonts w:ascii="Arial" w:eastAsia="Calibri" w:hAnsi="Arial" w:cs="Arial"/>
          <w:color w:val="000000"/>
          <w:sz w:val="22"/>
          <w:lang w:val="es-ES_tradnl"/>
        </w:rPr>
        <w:t>Decreto 537 de 2020</w:t>
      </w:r>
      <w:r>
        <w:rPr>
          <w:rFonts w:ascii="Arial" w:eastAsia="Calibri" w:hAnsi="Arial" w:cs="Arial"/>
          <w:color w:val="000000"/>
          <w:sz w:val="22"/>
          <w:lang w:val="es-ES_tradnl"/>
        </w:rPr>
        <w:t>, supedita su vigencia a la existencia de la emergencia sanitaria, así:</w:t>
      </w:r>
      <w:r w:rsidRPr="00754FD8">
        <w:rPr>
          <w:rFonts w:ascii="Arial" w:eastAsia="Calibri" w:hAnsi="Arial" w:cs="Arial"/>
          <w:color w:val="000000"/>
          <w:sz w:val="22"/>
          <w:lang w:val="es-ES_tradnl"/>
        </w:rPr>
        <w:t xml:space="preserve"> «</w:t>
      </w:r>
      <w:r w:rsidRPr="00754FD8">
        <w:rPr>
          <w:rFonts w:ascii="Arial" w:hAnsi="Arial" w:cs="Arial"/>
          <w:sz w:val="22"/>
          <w:lang w:val="es-ES_tradnl"/>
        </w:rPr>
        <w:t xml:space="preserve">[…] </w:t>
      </w:r>
      <w:r w:rsidRPr="00754FD8">
        <w:rPr>
          <w:rFonts w:ascii="Arial" w:eastAsia="Calibri" w:hAnsi="Arial" w:cs="Arial"/>
          <w:color w:val="000000"/>
          <w:sz w:val="22"/>
          <w:lang w:val="es-ES_tradnl"/>
        </w:rPr>
        <w:t>rige a partir del 16 de abril de 2020 y estará vigente mientras se mantenga la Emergencia Sanitaria declarada por el Ministerio de Salud y Protección Social, con ocasión de la pandemia derivada del Coronavirus COVID-19»</w:t>
      </w:r>
      <w:r>
        <w:rPr>
          <w:rFonts w:ascii="Arial" w:eastAsia="Calibri" w:hAnsi="Arial" w:cs="Arial"/>
          <w:color w:val="000000"/>
          <w:sz w:val="22"/>
          <w:lang w:val="es-ES_tradnl"/>
        </w:rPr>
        <w:t xml:space="preserve">, </w:t>
      </w:r>
      <w:r w:rsidR="004047D0">
        <w:rPr>
          <w:rFonts w:ascii="Arial" w:eastAsia="Calibri" w:hAnsi="Arial" w:cs="Arial"/>
          <w:color w:val="000000"/>
          <w:sz w:val="22"/>
          <w:lang w:val="es-ES_tradnl"/>
        </w:rPr>
        <w:t xml:space="preserve">y </w:t>
      </w:r>
      <w:r>
        <w:rPr>
          <w:rFonts w:ascii="Arial" w:eastAsia="Calibri" w:hAnsi="Arial" w:cs="Arial"/>
          <w:color w:val="000000"/>
          <w:sz w:val="22"/>
          <w:lang w:val="es-ES_tradnl"/>
        </w:rPr>
        <w:t xml:space="preserve">junto con </w:t>
      </w:r>
      <w:r w:rsidRPr="00754FD8">
        <w:rPr>
          <w:rFonts w:ascii="Arial" w:eastAsia="Calibri" w:hAnsi="Arial" w:cs="Arial"/>
          <w:color w:val="000000"/>
          <w:sz w:val="22"/>
          <w:lang w:val="es-ES_tradnl"/>
        </w:rPr>
        <w:t xml:space="preserve">la Resolución </w:t>
      </w:r>
      <w:r w:rsidR="006819FF">
        <w:rPr>
          <w:rFonts w:ascii="Arial" w:eastAsia="Calibri" w:hAnsi="Arial" w:cs="Arial"/>
          <w:color w:val="000000"/>
          <w:sz w:val="22"/>
          <w:lang w:val="es-ES_tradnl"/>
        </w:rPr>
        <w:t>738</w:t>
      </w:r>
      <w:r w:rsidR="006819FF" w:rsidRPr="00754FD8">
        <w:rPr>
          <w:rFonts w:ascii="Arial" w:eastAsia="Calibri" w:hAnsi="Arial" w:cs="Arial"/>
          <w:color w:val="000000"/>
          <w:sz w:val="22"/>
          <w:lang w:val="es-ES_tradnl"/>
        </w:rPr>
        <w:t xml:space="preserve"> </w:t>
      </w:r>
      <w:r w:rsidRPr="00754FD8">
        <w:rPr>
          <w:rFonts w:ascii="Arial" w:eastAsia="Calibri" w:hAnsi="Arial" w:cs="Arial"/>
          <w:color w:val="000000"/>
          <w:sz w:val="22"/>
          <w:lang w:val="es-ES_tradnl"/>
        </w:rPr>
        <w:t xml:space="preserve">de 2021, expedida por el Ministerio de Salud y Protección Social, que prorrogó hasta el 31 de </w:t>
      </w:r>
      <w:r w:rsidR="006819FF">
        <w:rPr>
          <w:rFonts w:ascii="Arial" w:eastAsia="Calibri" w:hAnsi="Arial" w:cs="Arial"/>
          <w:color w:val="000000"/>
          <w:sz w:val="22"/>
          <w:lang w:val="es-ES_tradnl"/>
        </w:rPr>
        <w:t>agosto</w:t>
      </w:r>
      <w:r w:rsidR="006819FF" w:rsidRPr="00754FD8">
        <w:rPr>
          <w:rFonts w:ascii="Arial" w:eastAsia="Calibri" w:hAnsi="Arial" w:cs="Arial"/>
          <w:color w:val="000000"/>
          <w:sz w:val="22"/>
          <w:lang w:val="es-ES_tradnl"/>
        </w:rPr>
        <w:t xml:space="preserve"> </w:t>
      </w:r>
      <w:r w:rsidRPr="00754FD8">
        <w:rPr>
          <w:rFonts w:ascii="Arial" w:eastAsia="Calibri" w:hAnsi="Arial" w:cs="Arial"/>
          <w:color w:val="000000"/>
          <w:sz w:val="22"/>
          <w:lang w:val="es-ES_tradnl"/>
        </w:rPr>
        <w:t>de 2021 la emergencia sanitaria,</w:t>
      </w:r>
      <w:r>
        <w:rPr>
          <w:rFonts w:ascii="Arial" w:eastAsia="Calibri" w:hAnsi="Arial" w:cs="Arial"/>
          <w:color w:val="000000"/>
          <w:sz w:val="22"/>
          <w:lang w:val="es-ES_tradnl"/>
        </w:rPr>
        <w:t xml:space="preserve"> son disposiciones actualmente vigentes y fundamentales dentro de la emergencia actual.</w:t>
      </w:r>
    </w:p>
    <w:p w14:paraId="394E8B89" w14:textId="1F242160" w:rsidR="008A3FB9" w:rsidRDefault="000113E6" w:rsidP="00FE32A0">
      <w:pPr>
        <w:spacing w:after="0"/>
        <w:ind w:firstLine="708"/>
        <w:rPr>
          <w:rFonts w:ascii="Arial" w:eastAsia="Calibri" w:hAnsi="Arial" w:cs="Arial"/>
          <w:color w:val="000000"/>
          <w:sz w:val="22"/>
          <w:lang w:val="es-ES_tradnl"/>
        </w:rPr>
      </w:pPr>
      <w:r>
        <w:rPr>
          <w:rFonts w:ascii="Arial" w:eastAsia="Calibri" w:hAnsi="Arial" w:cs="Arial"/>
          <w:color w:val="000000"/>
          <w:sz w:val="22"/>
          <w:lang w:val="es-ES_tradnl"/>
        </w:rPr>
        <w:t>Como se mencionó con anterioridad, l</w:t>
      </w:r>
      <w:r w:rsidR="00BE2B53">
        <w:rPr>
          <w:rFonts w:ascii="Arial" w:eastAsia="Calibri" w:hAnsi="Arial" w:cs="Arial"/>
          <w:color w:val="000000"/>
          <w:sz w:val="22"/>
          <w:lang w:val="es-ES_tradnl"/>
        </w:rPr>
        <w:t>a urgencia manifiesta</w:t>
      </w:r>
      <w:r w:rsidR="00BE2B53" w:rsidRPr="00BE2B53">
        <w:rPr>
          <w:rFonts w:ascii="Arial" w:eastAsia="Calibri" w:hAnsi="Arial" w:cs="Arial"/>
          <w:color w:val="000000"/>
          <w:sz w:val="22"/>
          <w:lang w:val="es-ES_tradnl"/>
        </w:rPr>
        <w:t xml:space="preserve"> es una</w:t>
      </w:r>
      <w:r w:rsidR="006F510F">
        <w:rPr>
          <w:rFonts w:ascii="Arial" w:eastAsia="Calibri" w:hAnsi="Arial" w:cs="Arial"/>
          <w:color w:val="000000"/>
          <w:sz w:val="22"/>
          <w:lang w:val="es-ES_tradnl"/>
        </w:rPr>
        <w:t xml:space="preserve"> de las</w:t>
      </w:r>
      <w:r w:rsidR="00BE2B53" w:rsidRPr="00BE2B53">
        <w:rPr>
          <w:rFonts w:ascii="Arial" w:eastAsia="Calibri" w:hAnsi="Arial" w:cs="Arial"/>
          <w:color w:val="000000"/>
          <w:sz w:val="22"/>
          <w:lang w:val="es-ES_tradnl"/>
        </w:rPr>
        <w:t xml:space="preserve"> causal</w:t>
      </w:r>
      <w:r w:rsidR="00BE2B53">
        <w:rPr>
          <w:rFonts w:ascii="Arial" w:eastAsia="Calibri" w:hAnsi="Arial" w:cs="Arial"/>
          <w:color w:val="000000"/>
          <w:sz w:val="22"/>
          <w:lang w:val="es-ES_tradnl"/>
        </w:rPr>
        <w:t>es que permiten acudir a</w:t>
      </w:r>
      <w:r w:rsidR="00BE2B53" w:rsidRPr="00BE2B53">
        <w:rPr>
          <w:rFonts w:ascii="Arial" w:eastAsia="Calibri" w:hAnsi="Arial" w:cs="Arial"/>
          <w:color w:val="000000"/>
          <w:sz w:val="22"/>
          <w:lang w:val="es-ES_tradnl"/>
        </w:rPr>
        <w:t xml:space="preserve"> la modalidad de sel</w:t>
      </w:r>
      <w:r w:rsidR="00BE2B53">
        <w:rPr>
          <w:rFonts w:ascii="Arial" w:eastAsia="Calibri" w:hAnsi="Arial" w:cs="Arial"/>
          <w:color w:val="000000"/>
          <w:sz w:val="22"/>
          <w:lang w:val="es-ES_tradnl"/>
        </w:rPr>
        <w:t>ección de contratación directa</w:t>
      </w:r>
      <w:r w:rsidR="00BE2B53" w:rsidRPr="00BE2B53">
        <w:rPr>
          <w:rFonts w:ascii="Arial" w:eastAsia="Calibri" w:hAnsi="Arial" w:cs="Arial"/>
          <w:color w:val="000000"/>
          <w:sz w:val="22"/>
          <w:lang w:val="es-ES_tradnl"/>
        </w:rPr>
        <w:t xml:space="preserve">, </w:t>
      </w:r>
      <w:r w:rsidR="00BE2B53">
        <w:rPr>
          <w:rFonts w:ascii="Arial" w:eastAsia="Calibri" w:hAnsi="Arial" w:cs="Arial"/>
          <w:color w:val="000000"/>
          <w:sz w:val="22"/>
          <w:lang w:val="es-ES_tradnl"/>
        </w:rPr>
        <w:t>de conformidad con</w:t>
      </w:r>
      <w:r w:rsidR="00BE2B53" w:rsidRPr="00BE2B53">
        <w:rPr>
          <w:rFonts w:ascii="Arial" w:eastAsia="Calibri" w:hAnsi="Arial" w:cs="Arial"/>
          <w:color w:val="000000"/>
          <w:sz w:val="22"/>
          <w:lang w:val="es-ES_tradnl"/>
        </w:rPr>
        <w:t xml:space="preserve"> el literal a), numeral 4 del artículo 2</w:t>
      </w:r>
      <w:r w:rsidR="00BE2B53">
        <w:rPr>
          <w:rFonts w:ascii="Arial" w:eastAsia="Calibri" w:hAnsi="Arial" w:cs="Arial"/>
          <w:color w:val="000000"/>
          <w:sz w:val="22"/>
          <w:lang w:val="es-ES_tradnl"/>
        </w:rPr>
        <w:t xml:space="preserve"> de la Ley 1150 de 2007, en armonía con el artículo 42 </w:t>
      </w:r>
      <w:proofErr w:type="gramStart"/>
      <w:r w:rsidR="00BE2B53">
        <w:rPr>
          <w:rFonts w:ascii="Arial" w:eastAsia="Calibri" w:hAnsi="Arial" w:cs="Arial"/>
          <w:color w:val="000000"/>
          <w:sz w:val="22"/>
          <w:lang w:val="es-ES_tradnl"/>
        </w:rPr>
        <w:t xml:space="preserve">y </w:t>
      </w:r>
      <w:r w:rsidR="00BE2B53" w:rsidRPr="00BE2B53">
        <w:rPr>
          <w:rFonts w:ascii="Arial" w:eastAsia="Calibri" w:hAnsi="Arial" w:cs="Arial"/>
          <w:color w:val="000000"/>
          <w:sz w:val="22"/>
          <w:lang w:val="es-ES_tradnl"/>
        </w:rPr>
        <w:t xml:space="preserve"> siguientes</w:t>
      </w:r>
      <w:proofErr w:type="gramEnd"/>
      <w:r w:rsidR="00BE2B53" w:rsidRPr="00BE2B53">
        <w:rPr>
          <w:rFonts w:ascii="Arial" w:eastAsia="Calibri" w:hAnsi="Arial" w:cs="Arial"/>
          <w:color w:val="000000"/>
          <w:sz w:val="22"/>
          <w:lang w:val="es-ES_tradnl"/>
        </w:rPr>
        <w:t xml:space="preserve"> de la Ley 8</w:t>
      </w:r>
      <w:r w:rsidR="00BE2B53">
        <w:rPr>
          <w:rFonts w:ascii="Arial" w:eastAsia="Calibri" w:hAnsi="Arial" w:cs="Arial"/>
          <w:color w:val="000000"/>
          <w:sz w:val="22"/>
          <w:lang w:val="es-ES_tradnl"/>
        </w:rPr>
        <w:t xml:space="preserve">0 de 1993. </w:t>
      </w:r>
      <w:r w:rsidR="000831E9">
        <w:rPr>
          <w:rFonts w:ascii="Arial" w:eastAsia="Calibri" w:hAnsi="Arial" w:cs="Arial"/>
          <w:color w:val="000000"/>
          <w:sz w:val="22"/>
          <w:lang w:val="es-ES_tradnl"/>
        </w:rPr>
        <w:t>Por su parte, e</w:t>
      </w:r>
      <w:r w:rsidR="008A3FB9">
        <w:rPr>
          <w:rFonts w:ascii="Arial" w:eastAsia="Calibri" w:hAnsi="Arial" w:cs="Arial"/>
          <w:color w:val="000000"/>
          <w:sz w:val="22"/>
          <w:lang w:val="es-ES_tradnl"/>
        </w:rPr>
        <w:t xml:space="preserve">l artículo </w:t>
      </w:r>
      <w:r w:rsidR="00A4608A" w:rsidRPr="00754FD8">
        <w:rPr>
          <w:rFonts w:ascii="Arial" w:eastAsia="Calibri" w:hAnsi="Arial" w:cs="Arial"/>
          <w:color w:val="000000"/>
          <w:sz w:val="22"/>
          <w:lang w:val="es-ES_tradnl"/>
        </w:rPr>
        <w:t xml:space="preserve">7 </w:t>
      </w:r>
      <w:r w:rsidR="00A4608A">
        <w:rPr>
          <w:rFonts w:ascii="Arial" w:eastAsia="Calibri" w:hAnsi="Arial" w:cs="Arial"/>
          <w:color w:val="000000"/>
          <w:sz w:val="22"/>
          <w:lang w:val="es-ES_tradnl"/>
        </w:rPr>
        <w:t>del</w:t>
      </w:r>
      <w:r w:rsidR="00DB7729" w:rsidRPr="00754FD8">
        <w:rPr>
          <w:rFonts w:ascii="Arial" w:eastAsia="Calibri" w:hAnsi="Arial" w:cs="Arial"/>
          <w:color w:val="000000"/>
          <w:sz w:val="22"/>
          <w:lang w:val="es-ES_tradnl"/>
        </w:rPr>
        <w:t xml:space="preserve"> Decreto 537 de </w:t>
      </w:r>
      <w:proofErr w:type="gramStart"/>
      <w:r w:rsidR="00DB7729" w:rsidRPr="00754FD8">
        <w:rPr>
          <w:rFonts w:ascii="Arial" w:eastAsia="Calibri" w:hAnsi="Arial" w:cs="Arial"/>
          <w:color w:val="000000"/>
          <w:sz w:val="22"/>
          <w:lang w:val="es-ES_tradnl"/>
        </w:rPr>
        <w:t xml:space="preserve">2020 </w:t>
      </w:r>
      <w:r w:rsidR="008A3FB9">
        <w:rPr>
          <w:rFonts w:ascii="Arial" w:eastAsia="Calibri" w:hAnsi="Arial" w:cs="Arial"/>
          <w:color w:val="000000"/>
          <w:sz w:val="22"/>
          <w:lang w:val="es-ES_tradnl"/>
        </w:rPr>
        <w:t xml:space="preserve"> alude</w:t>
      </w:r>
      <w:proofErr w:type="gramEnd"/>
      <w:r w:rsidR="008A3FB9">
        <w:rPr>
          <w:rFonts w:ascii="Arial" w:eastAsia="Calibri" w:hAnsi="Arial" w:cs="Arial"/>
          <w:color w:val="000000"/>
          <w:sz w:val="22"/>
          <w:lang w:val="es-ES_tradnl"/>
        </w:rPr>
        <w:t xml:space="preserve"> a la contrat</w:t>
      </w:r>
      <w:r w:rsidR="002D4756">
        <w:rPr>
          <w:rFonts w:ascii="Arial" w:eastAsia="Calibri" w:hAnsi="Arial" w:cs="Arial"/>
          <w:color w:val="000000"/>
          <w:sz w:val="22"/>
          <w:lang w:val="es-ES_tradnl"/>
        </w:rPr>
        <w:t>a</w:t>
      </w:r>
      <w:r w:rsidR="008A3FB9">
        <w:rPr>
          <w:rFonts w:ascii="Arial" w:eastAsia="Calibri" w:hAnsi="Arial" w:cs="Arial"/>
          <w:color w:val="000000"/>
          <w:sz w:val="22"/>
          <w:lang w:val="es-ES_tradnl"/>
        </w:rPr>
        <w:t xml:space="preserve">ción </w:t>
      </w:r>
      <w:r w:rsidR="00B60D86">
        <w:rPr>
          <w:rFonts w:ascii="Arial" w:eastAsia="Calibri" w:hAnsi="Arial" w:cs="Arial"/>
          <w:color w:val="000000"/>
          <w:sz w:val="22"/>
          <w:lang w:val="es-ES_tradnl"/>
        </w:rPr>
        <w:t>motivada en</w:t>
      </w:r>
      <w:r w:rsidR="008A3FB9">
        <w:rPr>
          <w:rFonts w:ascii="Arial" w:eastAsia="Calibri" w:hAnsi="Arial" w:cs="Arial"/>
          <w:color w:val="000000"/>
          <w:sz w:val="22"/>
          <w:lang w:val="es-ES_tradnl"/>
        </w:rPr>
        <w:t xml:space="preserve"> urgencia</w:t>
      </w:r>
      <w:r w:rsidR="00BE2B53">
        <w:rPr>
          <w:rFonts w:ascii="Arial" w:eastAsia="Calibri" w:hAnsi="Arial" w:cs="Arial"/>
          <w:color w:val="000000"/>
          <w:sz w:val="22"/>
          <w:lang w:val="es-ES_tradnl"/>
        </w:rPr>
        <w:t xml:space="preserve"> manifiesta</w:t>
      </w:r>
      <w:r w:rsidR="008A3FB9">
        <w:rPr>
          <w:rFonts w:ascii="Arial" w:eastAsia="Calibri" w:hAnsi="Arial" w:cs="Arial"/>
          <w:color w:val="000000"/>
          <w:sz w:val="22"/>
          <w:lang w:val="es-ES_tradnl"/>
        </w:rPr>
        <w:t xml:space="preserve"> y faculta  a l</w:t>
      </w:r>
      <w:r w:rsidR="008A3FB9" w:rsidRPr="008A3FB9">
        <w:rPr>
          <w:rFonts w:ascii="Arial" w:eastAsia="Calibri" w:hAnsi="Arial" w:cs="Arial"/>
          <w:color w:val="000000"/>
          <w:sz w:val="22"/>
          <w:lang w:val="es-ES_tradnl"/>
        </w:rPr>
        <w:t xml:space="preserve">as entidades </w:t>
      </w:r>
      <w:r w:rsidR="008A3FB9">
        <w:rPr>
          <w:rFonts w:ascii="Arial" w:eastAsia="Calibri" w:hAnsi="Arial" w:cs="Arial"/>
          <w:color w:val="000000"/>
          <w:sz w:val="22"/>
          <w:lang w:val="es-ES_tradnl"/>
        </w:rPr>
        <w:t xml:space="preserve">para </w:t>
      </w:r>
      <w:r w:rsidR="008A3FB9" w:rsidRPr="008A3FB9">
        <w:rPr>
          <w:rFonts w:ascii="Arial" w:eastAsia="Calibri" w:hAnsi="Arial" w:cs="Arial"/>
          <w:color w:val="000000"/>
          <w:sz w:val="22"/>
          <w:lang w:val="es-ES_tradnl"/>
        </w:rPr>
        <w:t xml:space="preserve">contratar de manera directa los bienes y servicios </w:t>
      </w:r>
      <w:r w:rsidR="008A3FB9">
        <w:rPr>
          <w:rFonts w:ascii="Arial" w:eastAsia="Calibri" w:hAnsi="Arial" w:cs="Arial"/>
          <w:color w:val="000000"/>
          <w:sz w:val="22"/>
          <w:lang w:val="es-ES_tradnl"/>
        </w:rPr>
        <w:t>para</w:t>
      </w:r>
      <w:r w:rsidR="008A3FB9" w:rsidRPr="008A3FB9">
        <w:rPr>
          <w:rFonts w:ascii="Arial" w:eastAsia="Calibri" w:hAnsi="Arial" w:cs="Arial"/>
          <w:color w:val="000000"/>
          <w:sz w:val="22"/>
          <w:lang w:val="es-ES_tradnl"/>
        </w:rPr>
        <w:t xml:space="preserve"> prevenir, contener y mitigar los efectos de la Pandemia del coronavirus COVID-19</w:t>
      </w:r>
      <w:r w:rsidR="008A3FB9">
        <w:rPr>
          <w:rFonts w:ascii="Arial" w:eastAsia="Calibri" w:hAnsi="Arial" w:cs="Arial"/>
          <w:color w:val="000000"/>
          <w:sz w:val="22"/>
          <w:lang w:val="es-ES_tradnl"/>
        </w:rPr>
        <w:t>, así:</w:t>
      </w:r>
    </w:p>
    <w:p w14:paraId="61904E2C" w14:textId="77777777" w:rsidR="008A3FB9" w:rsidRDefault="008A3FB9" w:rsidP="00B47785">
      <w:pPr>
        <w:spacing w:after="0"/>
        <w:rPr>
          <w:rFonts w:ascii="Arial" w:eastAsia="Calibri" w:hAnsi="Arial" w:cs="Arial"/>
          <w:color w:val="000000"/>
          <w:sz w:val="22"/>
          <w:lang w:val="es-ES_tradnl"/>
        </w:rPr>
      </w:pPr>
    </w:p>
    <w:p w14:paraId="203EA188" w14:textId="77777777" w:rsidR="008A3FB9" w:rsidRPr="008A3FB9" w:rsidRDefault="008A3FB9" w:rsidP="008A3FB9">
      <w:pPr>
        <w:spacing w:after="0" w:line="240" w:lineRule="auto"/>
        <w:ind w:left="709" w:right="709"/>
        <w:rPr>
          <w:rFonts w:ascii="Arial" w:eastAsia="Calibri" w:hAnsi="Arial" w:cs="Arial"/>
          <w:sz w:val="21"/>
          <w:szCs w:val="21"/>
          <w:lang w:val="es-ES_tradnl" w:eastAsia="es-ES_tradnl"/>
        </w:rPr>
      </w:pPr>
      <w:r w:rsidRPr="008A3FB9">
        <w:rPr>
          <w:rFonts w:ascii="Arial" w:eastAsia="Calibri" w:hAnsi="Arial" w:cs="Arial"/>
          <w:sz w:val="21"/>
          <w:szCs w:val="21"/>
          <w:lang w:val="es-ES_tradnl" w:eastAsia="es-ES_tradnl"/>
        </w:rPr>
        <w:lastRenderedPageBreak/>
        <w:t>Con ocasión de la declaratoria de estado de Emergencia Sanitaria declarada por el Ministerio de Salud y de Protección Social y en los términos del artículo 42 de la Ley 80 de 1993, se entiende comprobado el hecho que da lugar a declarar la urgencia manifiesta por parte de las entidades estatales, para la contratación directa del suministro de bienes, la prestación de servicios o la ejecución de obras en el inmediato futuro, con el objetivo de prevenir, contener y mitigar los efectos de la Pandemia del coronavirus COVID-19, así como para realizar las labores necesarias para optimizar el flujo de los recursos al interior del sistema de salud. Las actuaciones contractuales adelantadas con fundamento en la urgencia manifiesta se regirán por la normatividad vigente.</w:t>
      </w:r>
    </w:p>
    <w:p w14:paraId="1DC79914" w14:textId="77777777" w:rsidR="008A3FB9" w:rsidRPr="008A3FB9" w:rsidRDefault="008A3FB9" w:rsidP="008A3FB9">
      <w:pPr>
        <w:spacing w:after="0" w:line="240" w:lineRule="auto"/>
        <w:ind w:left="709" w:right="709"/>
        <w:rPr>
          <w:rFonts w:ascii="Arial" w:eastAsia="Calibri" w:hAnsi="Arial" w:cs="Arial"/>
          <w:sz w:val="21"/>
          <w:szCs w:val="21"/>
          <w:lang w:val="es-ES_tradnl" w:eastAsia="es-ES_tradnl"/>
        </w:rPr>
      </w:pPr>
    </w:p>
    <w:p w14:paraId="0D48505D" w14:textId="77777777" w:rsidR="008A3FB9" w:rsidRPr="008A3FB9" w:rsidRDefault="008A3FB9" w:rsidP="008A3FB9">
      <w:pPr>
        <w:spacing w:after="0" w:line="240" w:lineRule="auto"/>
        <w:ind w:left="709" w:right="709"/>
        <w:rPr>
          <w:rFonts w:ascii="Arial" w:eastAsia="Calibri" w:hAnsi="Arial" w:cs="Arial"/>
          <w:sz w:val="21"/>
          <w:szCs w:val="21"/>
          <w:lang w:val="es-ES_tradnl" w:eastAsia="es-ES_tradnl"/>
        </w:rPr>
      </w:pPr>
      <w:r w:rsidRPr="008A3FB9">
        <w:rPr>
          <w:rFonts w:ascii="Arial" w:eastAsia="Calibri" w:hAnsi="Arial" w:cs="Arial"/>
          <w:sz w:val="21"/>
          <w:szCs w:val="21"/>
          <w:lang w:val="es-ES_tradnl" w:eastAsia="es-ES_tradnl"/>
        </w:rPr>
        <w:t>Las entidades excluidas de la Ley 80 de 1993 podrán contratar de manera directa los bienes y servicios enunciados en el inciso anterior.</w:t>
      </w:r>
    </w:p>
    <w:p w14:paraId="2DB42F7C" w14:textId="77777777" w:rsidR="008A3FB9" w:rsidRDefault="008A3FB9" w:rsidP="00B47785">
      <w:pPr>
        <w:spacing w:after="0"/>
        <w:rPr>
          <w:rFonts w:ascii="Arial" w:eastAsia="Calibri" w:hAnsi="Arial" w:cs="Arial"/>
          <w:color w:val="000000"/>
          <w:sz w:val="22"/>
          <w:lang w:val="es-ES_tradnl"/>
        </w:rPr>
      </w:pPr>
    </w:p>
    <w:p w14:paraId="2A107ABD" w14:textId="1E402FCD" w:rsidR="008A3FB9" w:rsidRPr="008A3FB9" w:rsidRDefault="008A3FB9" w:rsidP="00525153">
      <w:pPr>
        <w:spacing w:after="0"/>
        <w:ind w:firstLine="709"/>
        <w:rPr>
          <w:rFonts w:ascii="Arial" w:eastAsia="Calibri" w:hAnsi="Arial" w:cs="Arial"/>
          <w:sz w:val="22"/>
          <w:szCs w:val="24"/>
          <w:lang w:val="es-ES_tradnl" w:eastAsia="es-ES_tradnl"/>
        </w:rPr>
      </w:pPr>
      <w:r>
        <w:rPr>
          <w:rFonts w:ascii="Arial" w:eastAsia="Calibri" w:hAnsi="Arial" w:cs="Arial"/>
          <w:color w:val="000000"/>
          <w:sz w:val="22"/>
          <w:lang w:val="es-ES_tradnl"/>
        </w:rPr>
        <w:t xml:space="preserve">No obstante, la norma transcrita no faculta </w:t>
      </w:r>
      <w:r w:rsidRPr="008A3FB9">
        <w:rPr>
          <w:rFonts w:ascii="Arial" w:eastAsia="Calibri" w:hAnsi="Arial" w:cs="Arial"/>
          <w:sz w:val="22"/>
          <w:szCs w:val="24"/>
          <w:lang w:val="es-ES_tradnl" w:eastAsia="es-ES_tradnl"/>
        </w:rPr>
        <w:t xml:space="preserve">la contratación por la causal de urgencia manifiesta para la adquisición de </w:t>
      </w:r>
      <w:r w:rsidRPr="008A3FB9">
        <w:rPr>
          <w:rFonts w:ascii="Arial" w:eastAsia="Calibri" w:hAnsi="Arial" w:cs="Arial"/>
          <w:i/>
          <w:iCs/>
          <w:sz w:val="22"/>
          <w:szCs w:val="24"/>
          <w:lang w:val="es-ES_tradnl" w:eastAsia="es-ES_tradnl"/>
        </w:rPr>
        <w:t>cualquier</w:t>
      </w:r>
      <w:r w:rsidRPr="008A3FB9">
        <w:rPr>
          <w:rFonts w:ascii="Arial" w:eastAsia="Calibri" w:hAnsi="Arial" w:cs="Arial"/>
          <w:sz w:val="22"/>
          <w:szCs w:val="24"/>
          <w:lang w:val="es-ES_tradnl" w:eastAsia="es-ES_tradnl"/>
        </w:rPr>
        <w:t xml:space="preserve"> bien o servicio, sino que circunscribe el ejercicio de tal competencia al «[…] suministro de bienes, la prestación de servicios o la ejecución de obras en el inmediato futuro, con el objetivo de prevenir, contener y mitigar los efectos de la Pandemia del coronavirus COVID-19, así como para realizar las labores necesarias para optimizar el flujo de los recursos al interior del sistema de salud». Esta aclaración reviste importancia, porque mal podría considerarse que el artículo 7 del Decreto 537 de 2020 autoriza </w:t>
      </w:r>
      <w:r w:rsidR="00D851F9">
        <w:rPr>
          <w:rFonts w:ascii="Arial" w:eastAsia="Calibri" w:hAnsi="Arial" w:cs="Arial"/>
          <w:sz w:val="22"/>
          <w:szCs w:val="24"/>
          <w:lang w:val="es-ES_tradnl" w:eastAsia="es-ES_tradnl"/>
        </w:rPr>
        <w:t xml:space="preserve">para </w:t>
      </w:r>
      <w:r w:rsidRPr="008A3FB9">
        <w:rPr>
          <w:rFonts w:ascii="Arial" w:eastAsia="Calibri" w:hAnsi="Arial" w:cs="Arial"/>
          <w:sz w:val="22"/>
          <w:szCs w:val="24"/>
          <w:lang w:val="es-ES_tradnl" w:eastAsia="es-ES_tradnl"/>
        </w:rPr>
        <w:t xml:space="preserve">que cualquier circunstancia </w:t>
      </w:r>
      <w:r w:rsidR="00D851F9">
        <w:rPr>
          <w:rFonts w:ascii="Arial" w:eastAsia="Calibri" w:hAnsi="Arial" w:cs="Arial"/>
          <w:sz w:val="22"/>
          <w:szCs w:val="24"/>
          <w:lang w:val="es-ES_tradnl" w:eastAsia="es-ES_tradnl"/>
        </w:rPr>
        <w:t>acaecida durante</w:t>
      </w:r>
      <w:r w:rsidRPr="008A3FB9">
        <w:rPr>
          <w:rFonts w:ascii="Arial" w:eastAsia="Calibri" w:hAnsi="Arial" w:cs="Arial"/>
          <w:sz w:val="22"/>
          <w:szCs w:val="24"/>
          <w:lang w:val="es-ES_tradnl" w:eastAsia="es-ES_tradnl"/>
        </w:rPr>
        <w:t xml:space="preserve"> la pandemia </w:t>
      </w:r>
      <w:r w:rsidR="00D851F9">
        <w:rPr>
          <w:rFonts w:ascii="Arial" w:eastAsia="Calibri" w:hAnsi="Arial" w:cs="Arial"/>
          <w:sz w:val="22"/>
          <w:szCs w:val="24"/>
          <w:lang w:val="es-ES_tradnl" w:eastAsia="es-ES_tradnl"/>
        </w:rPr>
        <w:t>pueda ser entendida como</w:t>
      </w:r>
      <w:r w:rsidRPr="008A3FB9">
        <w:rPr>
          <w:rFonts w:ascii="Arial" w:eastAsia="Calibri" w:hAnsi="Arial" w:cs="Arial"/>
          <w:sz w:val="22"/>
          <w:szCs w:val="24"/>
          <w:lang w:val="es-ES_tradnl" w:eastAsia="es-ES_tradnl"/>
        </w:rPr>
        <w:t xml:space="preserve"> una urgencia manifiesta que habilite la contratación </w:t>
      </w:r>
      <w:r w:rsidR="00D851F9">
        <w:rPr>
          <w:rFonts w:ascii="Arial" w:eastAsia="Calibri" w:hAnsi="Arial" w:cs="Arial"/>
          <w:sz w:val="22"/>
          <w:szCs w:val="24"/>
          <w:lang w:val="es-ES_tradnl" w:eastAsia="es-ES_tradnl"/>
        </w:rPr>
        <w:t>de</w:t>
      </w:r>
      <w:r w:rsidRPr="008A3FB9">
        <w:rPr>
          <w:rFonts w:ascii="Arial" w:eastAsia="Calibri" w:hAnsi="Arial" w:cs="Arial"/>
          <w:sz w:val="22"/>
          <w:szCs w:val="24"/>
          <w:lang w:val="es-ES_tradnl" w:eastAsia="es-ES_tradnl"/>
        </w:rPr>
        <w:t xml:space="preserve"> cualquier bien o servicio.</w:t>
      </w:r>
    </w:p>
    <w:p w14:paraId="55417D39" w14:textId="225B126F" w:rsidR="008A3FB9" w:rsidRPr="008A3FB9" w:rsidRDefault="008A3FB9" w:rsidP="008A3FB9">
      <w:pPr>
        <w:spacing w:before="120" w:after="0"/>
        <w:ind w:firstLine="709"/>
        <w:rPr>
          <w:rFonts w:ascii="Arial" w:eastAsia="Calibri" w:hAnsi="Arial" w:cs="Arial"/>
          <w:sz w:val="22"/>
          <w:szCs w:val="24"/>
          <w:lang w:val="es-ES_tradnl" w:eastAsia="es-ES_tradnl"/>
        </w:rPr>
      </w:pPr>
      <w:r w:rsidRPr="008A3FB9">
        <w:rPr>
          <w:rFonts w:ascii="Arial" w:eastAsia="Calibri" w:hAnsi="Arial" w:cs="Arial"/>
          <w:sz w:val="22"/>
          <w:szCs w:val="24"/>
          <w:lang w:val="es-ES_tradnl" w:eastAsia="es-ES_tradnl"/>
        </w:rPr>
        <w:t xml:space="preserve">Tampoco puede entenderse que dicho Decreto Legislativo haya modificado la regulación de la urgencia manifiesta contemplada en los artículos 42 y 43 de la Ley 80 de 1993. Esta se mantiene incólume, </w:t>
      </w:r>
      <w:r w:rsidR="00166CD8">
        <w:rPr>
          <w:rFonts w:ascii="Arial" w:eastAsia="Calibri" w:hAnsi="Arial" w:cs="Arial"/>
          <w:sz w:val="22"/>
          <w:szCs w:val="24"/>
          <w:lang w:val="es-ES_tradnl" w:eastAsia="es-ES_tradnl"/>
        </w:rPr>
        <w:t>y</w:t>
      </w:r>
      <w:r w:rsidRPr="008A3FB9">
        <w:rPr>
          <w:rFonts w:ascii="Arial" w:eastAsia="Calibri" w:hAnsi="Arial" w:cs="Arial"/>
          <w:sz w:val="22"/>
          <w:szCs w:val="24"/>
          <w:lang w:val="es-ES_tradnl" w:eastAsia="es-ES_tradnl"/>
        </w:rPr>
        <w:t xml:space="preserve"> el mismo artículo 7 del Decreto 537 de 2020 </w:t>
      </w:r>
      <w:r w:rsidR="00A95B9D">
        <w:rPr>
          <w:rFonts w:ascii="Arial" w:eastAsia="Calibri" w:hAnsi="Arial" w:cs="Arial"/>
          <w:sz w:val="22"/>
          <w:szCs w:val="24"/>
          <w:lang w:val="es-ES_tradnl" w:eastAsia="es-ES_tradnl"/>
        </w:rPr>
        <w:t>precisa</w:t>
      </w:r>
      <w:r w:rsidRPr="008A3FB9">
        <w:rPr>
          <w:rFonts w:ascii="Arial" w:eastAsia="Calibri" w:hAnsi="Arial" w:cs="Arial"/>
          <w:sz w:val="22"/>
          <w:szCs w:val="24"/>
          <w:lang w:val="es-ES_tradnl" w:eastAsia="es-ES_tradnl"/>
        </w:rPr>
        <w:t xml:space="preserve"> que la contratación se debe efectuar según la normativa sobre urgencia manifiesta que se encuentra vigente. </w:t>
      </w:r>
      <w:r w:rsidR="009538BA">
        <w:rPr>
          <w:rFonts w:ascii="Arial" w:eastAsia="Calibri" w:hAnsi="Arial" w:cs="Arial"/>
          <w:sz w:val="22"/>
          <w:szCs w:val="24"/>
          <w:lang w:val="es-ES_tradnl" w:eastAsia="es-ES_tradnl"/>
        </w:rPr>
        <w:t>Al respecto,</w:t>
      </w:r>
      <w:r w:rsidRPr="008A3FB9">
        <w:rPr>
          <w:rFonts w:ascii="Arial" w:eastAsia="Calibri" w:hAnsi="Arial" w:cs="Arial"/>
          <w:sz w:val="22"/>
          <w:szCs w:val="24"/>
          <w:lang w:val="es-ES_tradnl" w:eastAsia="es-ES_tradnl"/>
        </w:rPr>
        <w:t xml:space="preserve"> la Corte Constitucional, en la Sentencia C-181 de 2020</w:t>
      </w:r>
      <w:r w:rsidRPr="008A3FB9">
        <w:rPr>
          <w:rFonts w:ascii="Arial" w:eastAsia="Calibri" w:hAnsi="Arial" w:cs="Arial"/>
          <w:sz w:val="22"/>
          <w:szCs w:val="24"/>
          <w:vertAlign w:val="superscript"/>
          <w:lang w:val="es-ES_tradnl" w:eastAsia="es-ES_tradnl"/>
        </w:rPr>
        <w:footnoteReference w:id="15"/>
      </w:r>
      <w:r w:rsidRPr="008A3FB9">
        <w:rPr>
          <w:rFonts w:ascii="Arial" w:eastAsia="Calibri" w:hAnsi="Arial" w:cs="Arial"/>
          <w:sz w:val="22"/>
          <w:szCs w:val="24"/>
          <w:lang w:val="es-ES_tradnl" w:eastAsia="es-ES_tradnl"/>
        </w:rPr>
        <w:t>, que declaró exequible el Decreto Legislativo 537 de 2020, indicó lo siguiente:</w:t>
      </w:r>
    </w:p>
    <w:p w14:paraId="4C6DE85F" w14:textId="77777777" w:rsidR="008A3FB9" w:rsidRPr="008A3FB9" w:rsidRDefault="008A3FB9" w:rsidP="008A3FB9">
      <w:pPr>
        <w:spacing w:after="0" w:line="240" w:lineRule="auto"/>
        <w:ind w:left="709" w:right="709"/>
        <w:rPr>
          <w:rFonts w:ascii="Arial" w:eastAsia="Calibri" w:hAnsi="Arial" w:cs="Arial"/>
          <w:sz w:val="21"/>
          <w:szCs w:val="21"/>
          <w:lang w:val="es-ES_tradnl" w:eastAsia="es-ES_tradnl"/>
        </w:rPr>
      </w:pPr>
    </w:p>
    <w:p w14:paraId="2F78573C" w14:textId="77777777" w:rsidR="008A3FB9" w:rsidRPr="008A3FB9" w:rsidRDefault="008A3FB9" w:rsidP="008A3FB9">
      <w:pPr>
        <w:spacing w:after="0" w:line="240" w:lineRule="auto"/>
        <w:ind w:left="709" w:right="709"/>
        <w:rPr>
          <w:rFonts w:ascii="Arial" w:eastAsia="Calibri" w:hAnsi="Arial" w:cs="Arial"/>
          <w:sz w:val="21"/>
          <w:szCs w:val="21"/>
          <w:lang w:val="es-ES_tradnl" w:eastAsia="es-ES_tradnl"/>
        </w:rPr>
      </w:pPr>
      <w:r w:rsidRPr="008A3FB9">
        <w:rPr>
          <w:rFonts w:ascii="Arial" w:eastAsia="Calibri" w:hAnsi="Arial" w:cs="Arial"/>
          <w:sz w:val="21"/>
          <w:szCs w:val="21"/>
          <w:lang w:val="es-ES_tradnl" w:eastAsia="es-ES_tradnl"/>
        </w:rPr>
        <w:t xml:space="preserve">En particular, en lo que respecta al art. 7, que tiene por comprobado el hecho que da lugar a declarar la urgencia manifiesta por parte de las entidades estatales, para la contratación directa del suministro de bienes, la prestación de servicios o la ejecución de obras en el inmediato futuro, con el objetivo de prevenir, contener y mitigar los efectos de la pandemia del Covid-19, debe resaltarse que los órganos correspondientes  conservan todas las competencias dispuestas en el ordenamiento jurídico para controlar las contrataciones realizadas en virtud de esta medida. En otros términos, la </w:t>
      </w:r>
      <w:r w:rsidRPr="008A3FB9">
        <w:rPr>
          <w:rFonts w:ascii="Arial" w:eastAsia="Calibri" w:hAnsi="Arial" w:cs="Arial"/>
          <w:sz w:val="21"/>
          <w:szCs w:val="21"/>
          <w:lang w:val="es-ES_tradnl" w:eastAsia="es-ES_tradnl"/>
        </w:rPr>
        <w:lastRenderedPageBreak/>
        <w:t>disposición bajo estudio no implica, de ninguna manera, una facultad ilimitada y arbitraria.</w:t>
      </w:r>
    </w:p>
    <w:p w14:paraId="3403C7ED" w14:textId="77777777" w:rsidR="008A3FB9" w:rsidRPr="008A3FB9" w:rsidRDefault="008A3FB9" w:rsidP="008A3FB9">
      <w:pPr>
        <w:spacing w:after="0" w:line="240" w:lineRule="auto"/>
        <w:ind w:left="709" w:right="709"/>
        <w:rPr>
          <w:rFonts w:ascii="Arial" w:eastAsia="Calibri" w:hAnsi="Arial" w:cs="Arial"/>
          <w:sz w:val="21"/>
          <w:szCs w:val="21"/>
          <w:lang w:val="es-ES_tradnl" w:eastAsia="es-ES_tradnl"/>
        </w:rPr>
      </w:pPr>
      <w:r w:rsidRPr="008A3FB9">
        <w:rPr>
          <w:rFonts w:ascii="Arial" w:eastAsia="Calibri" w:hAnsi="Arial" w:cs="Arial"/>
          <w:sz w:val="21"/>
          <w:szCs w:val="21"/>
          <w:lang w:val="es-ES_tradnl" w:eastAsia="es-ES_tradnl"/>
        </w:rPr>
        <w:t>[…]</w:t>
      </w:r>
    </w:p>
    <w:p w14:paraId="421FA01F" w14:textId="77777777" w:rsidR="008A3FB9" w:rsidRPr="008A3FB9" w:rsidRDefault="008A3FB9" w:rsidP="008A3FB9">
      <w:pPr>
        <w:spacing w:after="0" w:line="240" w:lineRule="auto"/>
        <w:ind w:left="709" w:right="709"/>
        <w:rPr>
          <w:rFonts w:ascii="Arial" w:eastAsia="Calibri" w:hAnsi="Arial" w:cs="Arial"/>
          <w:sz w:val="21"/>
          <w:szCs w:val="21"/>
          <w:lang w:val="es-ES_tradnl" w:eastAsia="es-ES_tradnl"/>
        </w:rPr>
      </w:pPr>
      <w:r w:rsidRPr="008A3FB9">
        <w:rPr>
          <w:rFonts w:ascii="Arial" w:eastAsia="Calibri" w:hAnsi="Arial" w:cs="Arial"/>
          <w:sz w:val="21"/>
          <w:szCs w:val="21"/>
          <w:lang w:val="es-ES_tradnl" w:eastAsia="es-ES_tradnl"/>
        </w:rPr>
        <w:t>La Sala estima necesario precisar que esta medida no exime a las entidades estatales de dar cumplimiento a las demás motivaciones y actuaciones requeridas a fin de cumplir con los deberes de selección objetiva y planeación; los principios de legalidad, transparencia, responsabilidad, entre otros. Por su parte, es claro que los órganos de control conservan plenamente sus competencias para investigar y sancionar las conductas de los servidores públicos que utilicen indebidamente o atenten contra el patrimonio público en el uso de las facultades de contratación de urgencia.</w:t>
      </w:r>
    </w:p>
    <w:p w14:paraId="524E9236" w14:textId="77777777" w:rsidR="008A3FB9" w:rsidRPr="008A3FB9" w:rsidRDefault="008A3FB9" w:rsidP="008A3FB9">
      <w:pPr>
        <w:spacing w:after="0"/>
        <w:rPr>
          <w:rFonts w:ascii="Arial" w:eastAsia="Calibri" w:hAnsi="Arial" w:cs="Arial"/>
          <w:sz w:val="22"/>
          <w:szCs w:val="24"/>
          <w:lang w:val="es-ES_tradnl" w:eastAsia="es-ES_tradnl"/>
        </w:rPr>
      </w:pPr>
    </w:p>
    <w:p w14:paraId="201C8519" w14:textId="33696D4F" w:rsidR="008A3FB9" w:rsidRPr="008A3FB9" w:rsidRDefault="008A3FB9" w:rsidP="00663A19">
      <w:pPr>
        <w:spacing w:after="0"/>
        <w:ind w:firstLine="709"/>
        <w:rPr>
          <w:rFonts w:ascii="Arial" w:eastAsia="Calibri" w:hAnsi="Arial" w:cs="Arial"/>
          <w:sz w:val="22"/>
          <w:szCs w:val="24"/>
          <w:lang w:val="es-ES_tradnl" w:eastAsia="es-ES_tradnl"/>
        </w:rPr>
      </w:pPr>
      <w:r w:rsidRPr="008A3FB9">
        <w:rPr>
          <w:rFonts w:ascii="Arial" w:eastAsia="Calibri" w:hAnsi="Arial" w:cs="Arial"/>
          <w:sz w:val="22"/>
          <w:szCs w:val="24"/>
          <w:lang w:val="es-ES_tradnl" w:eastAsia="es-ES_tradnl"/>
        </w:rPr>
        <w:t>Sobre las reglas que deben cumplirse para la declaratoria de urgencia manifiesta y su interpretación restrictiva, conviene recordar lo indicado por la Agencia Nacional de Contratación Pública – Colombia Compra Eficiente en el concepto C-333 del 19 de mayo de 2020. En dicha oportunidad se indicó que el elemento común en los eventos de urgencia manifiesta previstos en el artículo 42 de la Ley 80 de 1993 –y esto también puede predicarse de los señalados en el artículo 7 del Decreto 537 de 2020– es que exigen atender la contingencia de manera pronta, mediante la ejecución de obras, la prestación de servicios o el suministro de bienes. Por tanto, lo que permite catalogar un supuesto fáctico como urgente, en forma manifiesta, es que demanda actuaciones del Estado que no dan espera para mantener la regularidad del servicio, e impiden acudir a los procedimientos de selección ordinarios, es decir, a la licitación pública, la selección abreviada, el concurso de méritos y la contratación de mínima cuantía</w:t>
      </w:r>
      <w:r w:rsidRPr="008A3FB9">
        <w:rPr>
          <w:rFonts w:ascii="Arial" w:eastAsia="Calibri" w:hAnsi="Arial" w:cs="Arial"/>
          <w:sz w:val="21"/>
          <w:szCs w:val="21"/>
          <w:vertAlign w:val="superscript"/>
          <w:lang w:val="es-ES_tradnl" w:eastAsia="es-ES_tradnl"/>
        </w:rPr>
        <w:footnoteReference w:id="16"/>
      </w:r>
      <w:r w:rsidRPr="008A3FB9">
        <w:rPr>
          <w:rFonts w:ascii="Arial" w:eastAsia="Calibri" w:hAnsi="Arial" w:cs="Arial"/>
          <w:sz w:val="21"/>
          <w:szCs w:val="21"/>
          <w:lang w:val="es-ES_tradnl" w:eastAsia="es-ES_tradnl"/>
        </w:rPr>
        <w:t>.</w:t>
      </w:r>
    </w:p>
    <w:p w14:paraId="012AC43C" w14:textId="77777777" w:rsidR="008A3FB9" w:rsidRPr="008A3FB9" w:rsidRDefault="008A3FB9" w:rsidP="008A3FB9">
      <w:pPr>
        <w:spacing w:before="120" w:after="0"/>
        <w:ind w:firstLine="708"/>
        <w:rPr>
          <w:rFonts w:ascii="Arial" w:eastAsia="Calibri" w:hAnsi="Arial" w:cs="Arial"/>
          <w:sz w:val="22"/>
          <w:szCs w:val="24"/>
          <w:lang w:val="es-ES_tradnl" w:eastAsia="es-ES_tradnl"/>
        </w:rPr>
      </w:pPr>
      <w:r w:rsidRPr="008A3FB9">
        <w:rPr>
          <w:rFonts w:ascii="Arial" w:eastAsia="Calibri" w:hAnsi="Arial" w:cs="Arial"/>
          <w:sz w:val="22"/>
          <w:szCs w:val="24"/>
          <w:lang w:val="es-ES_tradnl" w:eastAsia="es-ES_tradnl"/>
        </w:rPr>
        <w:t xml:space="preserve">Cuando se configure alguna de dichas situaciones, el artículo 42 de la Ley 80 de 1993 exige declarar formalmente la «urgencia manifiesta», «mediante acto administrativo motivado», es decir, a través de una manifestación unilateral de voluntad razonablemente justificada, proferida por el jefe o representante legal de cada entidad –o quien sea el titular de la competencia–, según lo establecido en los artículos 11 y 12 de la misma Ley. </w:t>
      </w:r>
    </w:p>
    <w:p w14:paraId="60B6F575" w14:textId="77777777" w:rsidR="008A3FB9" w:rsidRPr="008A3FB9" w:rsidRDefault="008A3FB9" w:rsidP="008A3FB9">
      <w:pPr>
        <w:spacing w:before="120" w:after="0"/>
        <w:ind w:firstLine="708"/>
        <w:rPr>
          <w:rFonts w:ascii="Arial" w:eastAsia="Calibri" w:hAnsi="Arial" w:cs="Arial"/>
          <w:sz w:val="22"/>
          <w:szCs w:val="24"/>
          <w:lang w:val="es-ES_tradnl" w:eastAsia="es-ES_tradnl"/>
        </w:rPr>
      </w:pPr>
      <w:r w:rsidRPr="008A3FB9">
        <w:rPr>
          <w:rFonts w:ascii="Arial" w:eastAsia="Calibri" w:hAnsi="Arial" w:cs="Arial"/>
          <w:sz w:val="22"/>
          <w:szCs w:val="24"/>
          <w:lang w:val="es-ES_tradnl" w:eastAsia="es-ES_tradnl"/>
        </w:rPr>
        <w:lastRenderedPageBreak/>
        <w:t>Adicionalmente, no es necesario realizar estudios previos, como lo dispone el artículo 2.2.1.2.1.4.2. del Decreto 1082 de 2015: «Si la causal de contratación directa es la urgencia manifiesta, el acto administrativo que la declare hará las veces del acto administrativo de justificación, y en este caso la Entidad Estatal no está obligada a elaborar estudios y documentos previos».</w:t>
      </w:r>
    </w:p>
    <w:p w14:paraId="65F3642B" w14:textId="77777777" w:rsidR="008A3FB9" w:rsidRPr="008A3FB9" w:rsidRDefault="008A3FB9" w:rsidP="008A3FB9">
      <w:pPr>
        <w:spacing w:before="120" w:after="0"/>
        <w:ind w:firstLine="708"/>
        <w:rPr>
          <w:rFonts w:ascii="Arial" w:eastAsia="Calibri" w:hAnsi="Arial" w:cs="Arial"/>
          <w:sz w:val="22"/>
          <w:szCs w:val="24"/>
          <w:lang w:val="es-ES_tradnl" w:eastAsia="es-ES_tradnl"/>
        </w:rPr>
      </w:pPr>
      <w:r w:rsidRPr="008A3FB9">
        <w:rPr>
          <w:rFonts w:ascii="Arial" w:eastAsia="Calibri" w:hAnsi="Arial" w:cs="Arial"/>
          <w:sz w:val="22"/>
          <w:szCs w:val="24"/>
          <w:lang w:val="es-ES_tradnl" w:eastAsia="es-ES_tradnl"/>
        </w:rPr>
        <w:t>Expedido el acto administrativo, la entidad estatal debe realizar todos los trámites internos necesarios para contratar, entre ellos la disposición de los recursos. En tal sentido, el tercer inciso del artículo 42 de la Ley 80 señala que «Con el fin de atender las necesidades y los gastos propios de la urgencia manifiesta, se podrán hacer los traslados presupuestales internos que se requieran dentro del presupuesto del organismo o entidad estatal correspondiente». Este inciso fue declarado condicionalmente exequible por la Corte Constitucional, en la Sentencia C-772 de 1998, «[…] bajo el entendimiento de que los traslados presupuestales internos a que se refiere dicha norma, se efectúen afectando exclusivamente el anexo del decreto de liquidación del Presupuesto»</w:t>
      </w:r>
      <w:r w:rsidRPr="008A3FB9">
        <w:rPr>
          <w:rFonts w:ascii="Arial" w:eastAsia="Calibri" w:hAnsi="Arial" w:cs="Arial"/>
          <w:sz w:val="22"/>
          <w:szCs w:val="24"/>
          <w:vertAlign w:val="superscript"/>
          <w:lang w:val="es-ES_tradnl" w:eastAsia="es-ES_tradnl"/>
        </w:rPr>
        <w:footnoteReference w:id="17"/>
      </w:r>
      <w:r w:rsidRPr="008A3FB9">
        <w:rPr>
          <w:rFonts w:ascii="Arial" w:eastAsia="Calibri" w:hAnsi="Arial" w:cs="Arial"/>
          <w:sz w:val="22"/>
          <w:szCs w:val="24"/>
          <w:lang w:val="es-ES_tradnl" w:eastAsia="es-ES_tradnl"/>
        </w:rPr>
        <w:t xml:space="preserve">. </w:t>
      </w:r>
    </w:p>
    <w:p w14:paraId="65A6583A" w14:textId="7537AAE8" w:rsidR="008A3FB9" w:rsidRDefault="008A3FB9" w:rsidP="00FA6177">
      <w:pPr>
        <w:spacing w:before="120" w:after="0"/>
        <w:ind w:firstLine="708"/>
        <w:rPr>
          <w:rFonts w:ascii="Arial" w:eastAsia="Calibri" w:hAnsi="Arial" w:cs="Arial"/>
          <w:color w:val="000000"/>
          <w:sz w:val="22"/>
          <w:lang w:val="es-ES_tradnl"/>
        </w:rPr>
      </w:pPr>
      <w:r w:rsidRPr="008A3FB9">
        <w:rPr>
          <w:rFonts w:ascii="Arial" w:eastAsia="Calibri" w:hAnsi="Arial" w:cs="Arial"/>
          <w:sz w:val="22"/>
          <w:szCs w:val="24"/>
          <w:lang w:val="es-ES_tradnl" w:eastAsia="es-ES_tradnl"/>
        </w:rPr>
        <w:t>Declarada la urgencia manifiesta, a</w:t>
      </w:r>
      <w:r w:rsidR="00FA6177">
        <w:rPr>
          <w:rFonts w:ascii="Arial" w:eastAsia="Calibri" w:hAnsi="Arial" w:cs="Arial"/>
          <w:sz w:val="22"/>
          <w:szCs w:val="24"/>
          <w:lang w:val="es-ES_tradnl" w:eastAsia="es-ES_tradnl"/>
        </w:rPr>
        <w:t xml:space="preserve"> través del acto administrativo, </w:t>
      </w:r>
      <w:r w:rsidRPr="008A3FB9">
        <w:rPr>
          <w:rFonts w:ascii="Arial" w:eastAsia="Calibri" w:hAnsi="Arial" w:cs="Arial"/>
          <w:sz w:val="22"/>
          <w:szCs w:val="24"/>
          <w:lang w:val="es-ES_tradnl" w:eastAsia="es-ES_tradnl"/>
        </w:rPr>
        <w:t>y celebrado el contrato correspondiente, se debe cumplir la exigencia del artículo 43 de la Ley 80 de 1993. La finalidad de este procedimiento es que la autoridad que ejerce el control fiscal –la Contraloría General de la República, las contralorías departamentales, distritales y municipales, o la Auditoría General de la República, según el caso– revise si son ciertas las razones aducidas por el representante legal de la entidad para declarar la urgencia manifiesta, si tales motivos son constitutivos de urgencia y si la gestión presup</w:t>
      </w:r>
      <w:r w:rsidR="00FA6177">
        <w:rPr>
          <w:rFonts w:ascii="Arial" w:eastAsia="Calibri" w:hAnsi="Arial" w:cs="Arial"/>
          <w:sz w:val="22"/>
          <w:szCs w:val="24"/>
          <w:lang w:val="es-ES_tradnl" w:eastAsia="es-ES_tradnl"/>
        </w:rPr>
        <w:t>uestal adoptada fue la indicada, conforme al marco jurídico que regula la urgencia manifiesta y que se mantiene durante la emergencia sanitaria actual.</w:t>
      </w:r>
    </w:p>
    <w:p w14:paraId="463DF636" w14:textId="77777777" w:rsidR="00CF2BA2" w:rsidRPr="00CF2BA2" w:rsidRDefault="00CF2BA2" w:rsidP="00890C2D">
      <w:pPr>
        <w:tabs>
          <w:tab w:val="left" w:pos="426"/>
        </w:tabs>
        <w:spacing w:after="0" w:line="240" w:lineRule="auto"/>
        <w:rPr>
          <w:lang w:val="es-ES_tradnl"/>
        </w:rPr>
      </w:pPr>
    </w:p>
    <w:p w14:paraId="45C082BF" w14:textId="57075417" w:rsidR="009A3BE0" w:rsidRDefault="00133CD5" w:rsidP="00FE32A0">
      <w:pPr>
        <w:tabs>
          <w:tab w:val="left" w:pos="0"/>
        </w:tabs>
        <w:spacing w:after="0"/>
        <w:rPr>
          <w:rFonts w:ascii="Arial" w:eastAsia="Calibri" w:hAnsi="Arial" w:cs="Arial"/>
          <w:b/>
          <w:color w:val="000000" w:themeColor="text1"/>
          <w:sz w:val="22"/>
          <w:szCs w:val="24"/>
          <w:lang w:val="es-ES_tradnl" w:eastAsia="es-ES_tradnl"/>
        </w:rPr>
      </w:pPr>
      <w:r>
        <w:rPr>
          <w:rFonts w:ascii="Arial" w:eastAsia="Calibri" w:hAnsi="Arial" w:cs="Arial"/>
          <w:b/>
          <w:color w:val="000000" w:themeColor="text1"/>
          <w:sz w:val="22"/>
          <w:szCs w:val="24"/>
          <w:lang w:val="es-ES_tradnl" w:eastAsia="es-ES_tradnl"/>
        </w:rPr>
        <w:t>2.</w:t>
      </w:r>
      <w:r w:rsidR="00EA3683">
        <w:rPr>
          <w:rFonts w:ascii="Arial" w:eastAsia="Calibri" w:hAnsi="Arial" w:cs="Arial"/>
          <w:b/>
          <w:color w:val="000000" w:themeColor="text1"/>
          <w:sz w:val="22"/>
          <w:szCs w:val="24"/>
          <w:lang w:val="es-ES_tradnl" w:eastAsia="es-ES_tradnl"/>
        </w:rPr>
        <w:t>5</w:t>
      </w:r>
      <w:r w:rsidR="009A3BE0" w:rsidRPr="009A3BE0">
        <w:rPr>
          <w:rFonts w:ascii="Arial" w:eastAsia="Calibri" w:hAnsi="Arial" w:cs="Arial"/>
          <w:b/>
          <w:color w:val="000000" w:themeColor="text1"/>
          <w:sz w:val="22"/>
          <w:szCs w:val="24"/>
          <w:lang w:val="es-ES_tradnl" w:eastAsia="es-ES_tradnl"/>
        </w:rPr>
        <w:t>. Contenido de los manuales de contratación</w:t>
      </w:r>
    </w:p>
    <w:p w14:paraId="42883706" w14:textId="77777777" w:rsidR="00C02FEB" w:rsidRDefault="00C02FEB" w:rsidP="00C02FEB">
      <w:pPr>
        <w:tabs>
          <w:tab w:val="left" w:pos="0"/>
        </w:tabs>
        <w:spacing w:after="0" w:line="240" w:lineRule="auto"/>
        <w:rPr>
          <w:rFonts w:ascii="Arial" w:eastAsia="Calibri" w:hAnsi="Arial" w:cs="Arial"/>
          <w:b/>
          <w:color w:val="000000" w:themeColor="text1"/>
          <w:sz w:val="22"/>
          <w:szCs w:val="24"/>
          <w:lang w:val="es-ES_tradnl" w:eastAsia="es-ES_tradnl"/>
        </w:rPr>
      </w:pPr>
    </w:p>
    <w:p w14:paraId="4114ACAD" w14:textId="78FD4D55" w:rsidR="00DD3460" w:rsidRDefault="00C02FEB" w:rsidP="00FE32A0">
      <w:pPr>
        <w:tabs>
          <w:tab w:val="left" w:pos="0"/>
        </w:tabs>
        <w:spacing w:after="120"/>
        <w:rPr>
          <w:rFonts w:ascii="Arial" w:eastAsia="Calibri" w:hAnsi="Arial" w:cs="Arial"/>
          <w:color w:val="000000" w:themeColor="text1"/>
          <w:sz w:val="22"/>
          <w:lang w:val="es-ES_tradnl"/>
        </w:rPr>
      </w:pPr>
      <w:r>
        <w:rPr>
          <w:rFonts w:ascii="Arial" w:eastAsia="Calibri" w:hAnsi="Arial" w:cs="Arial"/>
          <w:color w:val="000000" w:themeColor="text1"/>
          <w:sz w:val="22"/>
          <w:szCs w:val="24"/>
          <w:lang w:val="es-ES_tradnl" w:eastAsia="es-ES_tradnl"/>
        </w:rPr>
        <w:t>El artículo</w:t>
      </w:r>
      <w:r w:rsidRPr="009405BB">
        <w:rPr>
          <w:rFonts w:ascii="Arial" w:eastAsia="Calibri" w:hAnsi="Arial" w:cs="Arial"/>
          <w:color w:val="000000" w:themeColor="text1"/>
          <w:sz w:val="22"/>
          <w:szCs w:val="24"/>
          <w:lang w:val="es-ES_tradnl" w:eastAsia="es-ES_tradnl"/>
        </w:rPr>
        <w:t xml:space="preserve"> 2.2.1.2.5.3. </w:t>
      </w:r>
      <w:r>
        <w:rPr>
          <w:rFonts w:ascii="Arial" w:eastAsia="Calibri" w:hAnsi="Arial" w:cs="Arial"/>
          <w:color w:val="000000" w:themeColor="text1"/>
          <w:sz w:val="22"/>
          <w:szCs w:val="24"/>
          <w:lang w:val="es-ES_tradnl" w:eastAsia="es-ES_tradnl"/>
        </w:rPr>
        <w:t xml:space="preserve"> del Decreto 1082 de 2015 establece que las entidades estatales deben contar c</w:t>
      </w:r>
      <w:r w:rsidRPr="009405BB">
        <w:rPr>
          <w:rFonts w:ascii="Arial" w:eastAsia="Calibri" w:hAnsi="Arial" w:cs="Arial"/>
          <w:color w:val="000000" w:themeColor="text1"/>
          <w:sz w:val="22"/>
          <w:szCs w:val="24"/>
          <w:lang w:val="es-ES_tradnl" w:eastAsia="es-ES_tradnl"/>
        </w:rPr>
        <w:t xml:space="preserve">on un </w:t>
      </w:r>
      <w:proofErr w:type="gramStart"/>
      <w:r w:rsidRPr="009405BB">
        <w:rPr>
          <w:rFonts w:ascii="Arial" w:eastAsia="Calibri" w:hAnsi="Arial" w:cs="Arial"/>
          <w:color w:val="000000" w:themeColor="text1"/>
          <w:sz w:val="22"/>
          <w:szCs w:val="24"/>
          <w:lang w:val="es-ES_tradnl" w:eastAsia="es-ES_tradnl"/>
        </w:rPr>
        <w:t xml:space="preserve">manual </w:t>
      </w:r>
      <w:r>
        <w:rPr>
          <w:rFonts w:ascii="Arial" w:eastAsia="Calibri" w:hAnsi="Arial" w:cs="Arial"/>
          <w:color w:val="000000" w:themeColor="text1"/>
          <w:sz w:val="22"/>
          <w:szCs w:val="24"/>
          <w:lang w:val="es-ES_tradnl" w:eastAsia="es-ES_tradnl"/>
        </w:rPr>
        <w:t xml:space="preserve"> de</w:t>
      </w:r>
      <w:proofErr w:type="gramEnd"/>
      <w:r>
        <w:rPr>
          <w:rFonts w:ascii="Arial" w:eastAsia="Calibri" w:hAnsi="Arial" w:cs="Arial"/>
          <w:color w:val="000000" w:themeColor="text1"/>
          <w:sz w:val="22"/>
          <w:szCs w:val="24"/>
          <w:lang w:val="es-ES_tradnl" w:eastAsia="es-ES_tradnl"/>
        </w:rPr>
        <w:t xml:space="preserve"> contratación y que este debe</w:t>
      </w:r>
      <w:r w:rsidRPr="009405BB">
        <w:rPr>
          <w:rFonts w:ascii="Arial" w:eastAsia="Calibri" w:hAnsi="Arial" w:cs="Arial"/>
          <w:color w:val="000000" w:themeColor="text1"/>
          <w:sz w:val="22"/>
          <w:szCs w:val="24"/>
          <w:lang w:val="es-ES_tradnl" w:eastAsia="es-ES_tradnl"/>
        </w:rPr>
        <w:t xml:space="preserve"> cumplir con los lineamientos que señale Colombia Compra Efici</w:t>
      </w:r>
      <w:r>
        <w:rPr>
          <w:rFonts w:ascii="Arial" w:eastAsia="Calibri" w:hAnsi="Arial" w:cs="Arial"/>
          <w:color w:val="000000" w:themeColor="text1"/>
          <w:sz w:val="22"/>
          <w:szCs w:val="24"/>
          <w:lang w:val="es-ES_tradnl" w:eastAsia="es-ES_tradnl"/>
        </w:rPr>
        <w:t>ente.</w:t>
      </w:r>
      <w:r w:rsidR="006F23C2">
        <w:rPr>
          <w:rFonts w:ascii="Arial" w:eastAsia="Calibri" w:hAnsi="Arial" w:cs="Arial"/>
          <w:color w:val="000000" w:themeColor="text1"/>
          <w:sz w:val="22"/>
          <w:szCs w:val="24"/>
          <w:lang w:val="es-ES_tradnl" w:eastAsia="es-ES_tradnl"/>
        </w:rPr>
        <w:t xml:space="preserve"> </w:t>
      </w:r>
      <w:r w:rsidRPr="00C02FEB">
        <w:rPr>
          <w:rFonts w:ascii="Arial" w:eastAsia="Calibri" w:hAnsi="Arial" w:cs="Arial"/>
          <w:color w:val="000000" w:themeColor="text1"/>
          <w:sz w:val="22"/>
          <w:lang w:val="es-ES_tradnl"/>
        </w:rPr>
        <w:t xml:space="preserve">En ejercicio de la potestad emanada del citado precepto, la Agencia Nacional de Contratación Pública </w:t>
      </w:r>
      <w:r w:rsidR="00C921B1">
        <w:rPr>
          <w:rFonts w:ascii="Arial" w:eastAsia="Calibri" w:hAnsi="Arial" w:cs="Arial"/>
          <w:color w:val="000000" w:themeColor="text1"/>
          <w:sz w:val="22"/>
          <w:lang w:val="es-ES_tradnl"/>
        </w:rPr>
        <w:t>–</w:t>
      </w:r>
      <w:r w:rsidRPr="00C02FEB">
        <w:rPr>
          <w:rFonts w:ascii="Arial" w:eastAsia="Calibri" w:hAnsi="Arial" w:cs="Arial"/>
          <w:color w:val="000000" w:themeColor="text1"/>
          <w:sz w:val="22"/>
          <w:lang w:val="es-ES_tradnl"/>
        </w:rPr>
        <w:t xml:space="preserve"> Colombia Compra Eficiente emitió los</w:t>
      </w:r>
      <w:r w:rsidR="006F23C2">
        <w:rPr>
          <w:rFonts w:ascii="Arial" w:eastAsia="Calibri" w:hAnsi="Arial" w:cs="Arial"/>
          <w:color w:val="000000" w:themeColor="text1"/>
          <w:sz w:val="22"/>
          <w:lang w:val="es-ES_tradnl"/>
        </w:rPr>
        <w:t xml:space="preserve"> </w:t>
      </w:r>
      <w:r w:rsidR="00C921B1">
        <w:rPr>
          <w:rFonts w:ascii="Arial" w:eastAsia="Calibri" w:hAnsi="Arial" w:cs="Arial"/>
          <w:color w:val="000000" w:themeColor="text1"/>
          <w:sz w:val="22"/>
          <w:lang w:val="es-ES_tradnl"/>
        </w:rPr>
        <w:t>«</w:t>
      </w:r>
      <w:r w:rsidRPr="00C02FEB">
        <w:rPr>
          <w:rFonts w:ascii="Arial" w:eastAsia="Calibri" w:hAnsi="Arial" w:cs="Arial"/>
          <w:color w:val="000000" w:themeColor="text1"/>
          <w:sz w:val="22"/>
          <w:lang w:val="es-ES_tradnl"/>
        </w:rPr>
        <w:t>Lineamientos Generales para la Expedición de Manuales de Contratación</w:t>
      </w:r>
      <w:r w:rsidR="00C921B1">
        <w:rPr>
          <w:rFonts w:ascii="Arial" w:eastAsia="Calibri" w:hAnsi="Arial" w:cs="Arial"/>
          <w:color w:val="000000" w:themeColor="text1"/>
          <w:sz w:val="22"/>
          <w:lang w:val="es-ES_tradnl"/>
        </w:rPr>
        <w:t>»</w:t>
      </w:r>
      <w:r>
        <w:rPr>
          <w:rFonts w:ascii="Arial" w:eastAsia="Calibri" w:hAnsi="Arial" w:cs="Arial"/>
          <w:color w:val="000000" w:themeColor="text1"/>
          <w:sz w:val="22"/>
          <w:lang w:val="es-ES_tradnl"/>
        </w:rPr>
        <w:t>, precisando en el literal C</w:t>
      </w:r>
      <w:r w:rsidR="00DD3460">
        <w:rPr>
          <w:rFonts w:ascii="Arial" w:eastAsia="Calibri" w:hAnsi="Arial" w:cs="Arial"/>
          <w:color w:val="000000" w:themeColor="text1"/>
          <w:sz w:val="22"/>
          <w:lang w:val="es-ES_tradnl"/>
        </w:rPr>
        <w:t>:</w:t>
      </w:r>
      <w:r>
        <w:rPr>
          <w:rFonts w:ascii="Arial" w:eastAsia="Calibri" w:hAnsi="Arial" w:cs="Arial"/>
          <w:color w:val="000000" w:themeColor="text1"/>
          <w:sz w:val="22"/>
          <w:lang w:val="es-ES_tradnl"/>
        </w:rPr>
        <w:t xml:space="preserve">  «</w:t>
      </w:r>
      <w:r w:rsidRPr="00C02FEB">
        <w:rPr>
          <w:rFonts w:ascii="Arial" w:eastAsia="Calibri" w:hAnsi="Arial" w:cs="Arial"/>
          <w:color w:val="000000" w:themeColor="text1"/>
          <w:sz w:val="22"/>
          <w:lang w:val="es-ES_tradnl"/>
        </w:rPr>
        <w:t>¿Qué debe contener el Manual de Contratación de una Entidad Estatal?»,</w:t>
      </w:r>
      <w:r w:rsidR="00DD3460">
        <w:rPr>
          <w:rFonts w:ascii="Arial" w:eastAsia="Calibri" w:hAnsi="Arial" w:cs="Arial"/>
          <w:color w:val="000000" w:themeColor="text1"/>
          <w:sz w:val="22"/>
          <w:lang w:val="es-ES_tradnl"/>
        </w:rPr>
        <w:t xml:space="preserve"> indicando que</w:t>
      </w:r>
      <w:r w:rsidRPr="00C02FEB">
        <w:rPr>
          <w:rFonts w:ascii="Arial" w:eastAsia="Calibri" w:hAnsi="Arial" w:cs="Arial"/>
          <w:color w:val="000000" w:themeColor="text1"/>
          <w:sz w:val="22"/>
          <w:lang w:val="es-ES_tradnl"/>
        </w:rPr>
        <w:t xml:space="preserve"> deberá </w:t>
      </w:r>
      <w:r w:rsidR="00DD3460">
        <w:rPr>
          <w:rFonts w:ascii="Arial" w:eastAsia="Calibri" w:hAnsi="Arial" w:cs="Arial"/>
          <w:color w:val="000000" w:themeColor="text1"/>
          <w:sz w:val="22"/>
          <w:lang w:val="es-ES_tradnl"/>
        </w:rPr>
        <w:t>inclui</w:t>
      </w:r>
      <w:r w:rsidRPr="00C02FEB">
        <w:rPr>
          <w:rFonts w:ascii="Arial" w:eastAsia="Calibri" w:hAnsi="Arial" w:cs="Arial"/>
          <w:color w:val="000000" w:themeColor="text1"/>
          <w:sz w:val="22"/>
          <w:lang w:val="es-ES_tradnl"/>
        </w:rPr>
        <w:t>r «La información y las buenas prácticas de su Gestión Contractual, tales como: Las normas sobre desempeño transparente de la Gestión Contractual; adecuada planeación; las prácticas anticorrupción […]».</w:t>
      </w:r>
    </w:p>
    <w:p w14:paraId="15B66FFB" w14:textId="3934F52C" w:rsidR="00DD3460" w:rsidRDefault="00890C2D" w:rsidP="00DD3460">
      <w:pPr>
        <w:tabs>
          <w:tab w:val="left" w:pos="0"/>
        </w:tabs>
        <w:spacing w:after="120"/>
        <w:ind w:firstLine="709"/>
        <w:rPr>
          <w:rFonts w:ascii="Arial" w:eastAsia="Calibri" w:hAnsi="Arial" w:cs="Arial"/>
          <w:color w:val="000000" w:themeColor="text1"/>
          <w:sz w:val="22"/>
          <w:lang w:val="es-ES_tradnl"/>
        </w:rPr>
      </w:pPr>
      <w:r>
        <w:rPr>
          <w:rFonts w:ascii="Arial" w:eastAsia="Calibri" w:hAnsi="Arial" w:cs="Arial"/>
          <w:color w:val="000000"/>
          <w:sz w:val="22"/>
          <w:lang w:val="es-CO"/>
        </w:rPr>
        <w:lastRenderedPageBreak/>
        <w:t>Respecto</w:t>
      </w:r>
      <w:r w:rsidR="00C02FEB">
        <w:rPr>
          <w:rFonts w:ascii="Arial" w:eastAsia="Calibri" w:hAnsi="Arial" w:cs="Arial"/>
          <w:color w:val="000000"/>
          <w:sz w:val="22"/>
          <w:lang w:val="es-CO"/>
        </w:rPr>
        <w:t xml:space="preserve"> al contenido de los manuales de contratación de las entidades </w:t>
      </w:r>
      <w:proofErr w:type="gramStart"/>
      <w:r w:rsidR="00C02FEB">
        <w:rPr>
          <w:rFonts w:ascii="Arial" w:eastAsia="Calibri" w:hAnsi="Arial" w:cs="Arial"/>
          <w:color w:val="000000"/>
          <w:sz w:val="22"/>
          <w:lang w:val="es-CO"/>
        </w:rPr>
        <w:t>estatales  con</w:t>
      </w:r>
      <w:proofErr w:type="gramEnd"/>
      <w:r w:rsidR="00C02FEB">
        <w:rPr>
          <w:rFonts w:ascii="Arial" w:eastAsia="Calibri" w:hAnsi="Arial" w:cs="Arial"/>
          <w:color w:val="000000"/>
          <w:sz w:val="22"/>
          <w:lang w:val="es-CO"/>
        </w:rPr>
        <w:t xml:space="preserve"> un régimen especial de contratación, el literal D </w:t>
      </w:r>
      <w:proofErr w:type="spellStart"/>
      <w:r w:rsidR="00DD3460">
        <w:rPr>
          <w:rFonts w:ascii="Arial" w:eastAsia="Calibri" w:hAnsi="Arial" w:cs="Arial"/>
          <w:color w:val="000000"/>
          <w:sz w:val="22"/>
          <w:lang w:val="es-CO"/>
        </w:rPr>
        <w:t>ibídem</w:t>
      </w:r>
      <w:proofErr w:type="spellEnd"/>
      <w:r w:rsidR="00DD3460">
        <w:rPr>
          <w:rFonts w:ascii="Arial" w:eastAsia="Calibri" w:hAnsi="Arial" w:cs="Arial"/>
          <w:color w:val="000000"/>
          <w:sz w:val="22"/>
          <w:lang w:val="es-CO"/>
        </w:rPr>
        <w:t xml:space="preserve">, </w:t>
      </w:r>
      <w:r w:rsidR="00C02FEB">
        <w:rPr>
          <w:rFonts w:ascii="Arial" w:eastAsia="Calibri" w:hAnsi="Arial" w:cs="Arial"/>
          <w:color w:val="000000"/>
          <w:sz w:val="22"/>
          <w:lang w:val="es-CO"/>
        </w:rPr>
        <w:t>expresamente señaló entre otros aspectos, el deber de incluir una descripción de: «</w:t>
      </w:r>
      <w:r w:rsidR="00C02FEB">
        <w:rPr>
          <w:rFonts w:ascii="Arial" w:eastAsia="Calibri" w:hAnsi="Arial" w:cs="Arial"/>
          <w:color w:val="000000"/>
          <w:sz w:val="22"/>
        </w:rPr>
        <w:t>[…]</w:t>
      </w:r>
      <w:r w:rsidR="00C02FEB" w:rsidRPr="000D1A40">
        <w:rPr>
          <w:rFonts w:ascii="Arial" w:eastAsia="Calibri" w:hAnsi="Arial" w:cs="Arial"/>
          <w:color w:val="000000"/>
          <w:sz w:val="22"/>
        </w:rPr>
        <w:t xml:space="preserve"> los Procedimientos para la aplicación de las restricciones de la Ley 996 de 2005 y los demás aspectos que garanticen el cumplimiento de los principios y objetivos del sistema de compras y contratación pública </w:t>
      </w:r>
      <w:r w:rsidR="00C02FEB">
        <w:rPr>
          <w:rFonts w:ascii="Arial" w:eastAsia="Calibri" w:hAnsi="Arial" w:cs="Arial"/>
          <w:color w:val="000000"/>
          <w:sz w:val="22"/>
        </w:rPr>
        <w:t>[…]»</w:t>
      </w:r>
      <w:r w:rsidR="004556FA">
        <w:rPr>
          <w:rFonts w:ascii="Arial" w:eastAsia="Calibri" w:hAnsi="Arial" w:cs="Arial"/>
          <w:color w:val="000000"/>
          <w:sz w:val="22"/>
        </w:rPr>
        <w:t>.</w:t>
      </w:r>
    </w:p>
    <w:p w14:paraId="7D195146" w14:textId="3FAE6E41" w:rsidR="009A3BE0" w:rsidRPr="00DD3460" w:rsidRDefault="00DD3460" w:rsidP="00DD3460">
      <w:pPr>
        <w:tabs>
          <w:tab w:val="left" w:pos="0"/>
        </w:tabs>
        <w:spacing w:after="120"/>
        <w:ind w:firstLine="709"/>
        <w:rPr>
          <w:rFonts w:ascii="Arial" w:eastAsia="Calibri" w:hAnsi="Arial" w:cs="Arial"/>
          <w:color w:val="000000" w:themeColor="text1"/>
          <w:sz w:val="22"/>
          <w:lang w:val="es-ES_tradnl"/>
        </w:rPr>
      </w:pPr>
      <w:r>
        <w:rPr>
          <w:rFonts w:ascii="Arial" w:eastAsia="Calibri" w:hAnsi="Arial" w:cs="Arial"/>
          <w:color w:val="000000" w:themeColor="text1"/>
          <w:sz w:val="22"/>
          <w:lang w:val="es-ES_tradnl"/>
        </w:rPr>
        <w:t>Aunado a lo anterior,</w:t>
      </w:r>
      <w:r w:rsidR="00C02FEB">
        <w:rPr>
          <w:rFonts w:ascii="Arial" w:eastAsia="Calibri" w:hAnsi="Arial" w:cs="Arial"/>
          <w:color w:val="000000" w:themeColor="text1"/>
          <w:sz w:val="22"/>
          <w:lang w:val="es-ES_tradnl"/>
        </w:rPr>
        <w:t xml:space="preserve"> </w:t>
      </w:r>
      <w:r>
        <w:rPr>
          <w:rFonts w:ascii="Arial" w:eastAsia="Calibri" w:hAnsi="Arial" w:cs="Arial"/>
          <w:color w:val="000000" w:themeColor="text1"/>
          <w:sz w:val="22"/>
          <w:lang w:val="es-ES_tradnl"/>
        </w:rPr>
        <w:t>y como lo ha efectuado la entidad en pronunciamientos ante</w:t>
      </w:r>
      <w:r w:rsidR="000724C8">
        <w:rPr>
          <w:rFonts w:ascii="Arial" w:eastAsia="Calibri" w:hAnsi="Arial" w:cs="Arial"/>
          <w:color w:val="000000" w:themeColor="text1"/>
          <w:sz w:val="22"/>
          <w:lang w:val="es-ES_tradnl"/>
        </w:rPr>
        <w:t>r</w:t>
      </w:r>
      <w:r>
        <w:rPr>
          <w:rFonts w:ascii="Arial" w:eastAsia="Calibri" w:hAnsi="Arial" w:cs="Arial"/>
          <w:color w:val="000000" w:themeColor="text1"/>
          <w:sz w:val="22"/>
          <w:lang w:val="es-ES_tradnl"/>
        </w:rPr>
        <w:t>iores, conviene</w:t>
      </w:r>
      <w:r w:rsidR="00C02FEB">
        <w:rPr>
          <w:rFonts w:ascii="Arial" w:eastAsia="Calibri" w:hAnsi="Arial" w:cs="Arial"/>
          <w:color w:val="000000" w:themeColor="text1"/>
          <w:sz w:val="22"/>
          <w:lang w:val="es-ES_tradnl"/>
        </w:rPr>
        <w:t xml:space="preserve"> </w:t>
      </w:r>
      <w:r>
        <w:rPr>
          <w:rFonts w:ascii="Arial" w:eastAsia="Calibri" w:hAnsi="Arial" w:cs="Arial"/>
          <w:color w:val="000000" w:themeColor="text1"/>
          <w:sz w:val="22"/>
          <w:lang w:val="es-ES_tradnl"/>
        </w:rPr>
        <w:t>reiterar</w:t>
      </w:r>
      <w:r w:rsidR="00C02FEB">
        <w:rPr>
          <w:rFonts w:ascii="Arial" w:eastAsia="Calibri" w:hAnsi="Arial" w:cs="Arial"/>
          <w:color w:val="000000" w:themeColor="text1"/>
          <w:sz w:val="22"/>
          <w:lang w:val="es-ES_tradnl"/>
        </w:rPr>
        <w:t xml:space="preserve"> que </w:t>
      </w:r>
      <w:r w:rsidR="009A3BE0">
        <w:rPr>
          <w:rFonts w:ascii="Arial" w:eastAsia="Calibri" w:hAnsi="Arial" w:cs="Arial"/>
          <w:color w:val="000000" w:themeColor="text1"/>
          <w:sz w:val="22"/>
          <w:lang w:val="es-ES_tradnl"/>
        </w:rPr>
        <w:t>existen ciertos contenidos determinados por el ordenamiento que no pueden ser modificados por los manuales internos, por tratarse de asuntos con reserva de ley. En este sentido, estos reglamentos internos de las entidades con régimen especial no pueden crear causales de inhabilidad o incompatibilidad, crear nuevos supuestos de conflictos de interés, prescribir requisitos de perfeccionamiento, tipologías contractuales, limitar la capacidad contractual establecida en la ley. En efecto, estos contenidos no pueden ser regulados o modificados por los manuales de contratación, ya que se trata de aspectos con reserva de ley o con congelación en el rango de nivel legal, por lo que un acto administrativo no podría alterarlos.</w:t>
      </w:r>
    </w:p>
    <w:p w14:paraId="4F4FE1DD" w14:textId="77777777" w:rsidR="009A3BE0" w:rsidRDefault="009A3BE0" w:rsidP="009A3BE0">
      <w:pPr>
        <w:spacing w:after="120"/>
        <w:ind w:firstLine="709"/>
        <w:rPr>
          <w:rFonts w:ascii="Arial" w:eastAsia="Calibri" w:hAnsi="Arial" w:cs="Arial"/>
          <w:color w:val="000000" w:themeColor="text1"/>
          <w:sz w:val="22"/>
          <w:lang w:val="es-ES_tradnl"/>
        </w:rPr>
      </w:pPr>
      <w:r>
        <w:rPr>
          <w:rFonts w:ascii="Arial" w:eastAsia="Calibri" w:hAnsi="Arial" w:cs="Arial"/>
          <w:color w:val="000000" w:themeColor="text1"/>
          <w:sz w:val="22"/>
          <w:lang w:val="es-ES_tradnl"/>
        </w:rPr>
        <w:t>Sin perjuicio de lo anterior, existen múltiples contenidos que pueden ser objeto de regulación en el manual de contratación, por hacer parte del ámbito de configuración en desarrollo de su autonomía contractual que no riñe con la ley, como sería la definición de requisitos de ejecución del contrato, la definición de si cierta actuación de la actividad contractual la debe realizar cierta dependencia de la entidad, establecer límites en cuanto a posibilidad de realizar adiciones, detallar los trámites internos que se surten al interior de la entidad y demás aspectos que hagan parte de su ámbito de configuración, por ser desarrollo de su autonomía en la configuración de su actividad contractual, que no desconocen los requisitos o parámetros establecidos en la Constitución o la ley.</w:t>
      </w:r>
    </w:p>
    <w:p w14:paraId="4698C9A8" w14:textId="77777777" w:rsidR="009A3BE0" w:rsidRDefault="009A3BE0" w:rsidP="005E53F5">
      <w:pPr>
        <w:spacing w:after="0"/>
        <w:ind w:firstLine="709"/>
        <w:rPr>
          <w:rFonts w:ascii="Arial" w:eastAsia="Calibri" w:hAnsi="Arial" w:cs="Arial"/>
          <w:color w:val="000000" w:themeColor="text1"/>
          <w:sz w:val="22"/>
          <w:lang w:val="es-ES_tradnl"/>
        </w:rPr>
      </w:pPr>
      <w:r>
        <w:rPr>
          <w:rFonts w:ascii="Arial" w:eastAsia="Calibri" w:hAnsi="Arial" w:cs="Arial"/>
          <w:color w:val="000000" w:themeColor="text1"/>
          <w:sz w:val="22"/>
          <w:lang w:val="es-ES_tradnl"/>
        </w:rPr>
        <w:t xml:space="preserve">Las reglas establecidas en los manuales o reglamentos internos de contratación son muy importantes, toda vez que las entidades se obligan a cumplir su contenido. Además, tratándose de un acto administrativo, concretamente de un reglamento, le aplican los atributos propios de estos tipos de actos, entre otras cosas, la presunción de legalidad y la regla de </w:t>
      </w:r>
      <w:r>
        <w:rPr>
          <w:rFonts w:ascii="Arial" w:eastAsia="Calibri" w:hAnsi="Arial" w:cs="Arial"/>
          <w:i/>
          <w:iCs/>
          <w:color w:val="000000" w:themeColor="text1"/>
          <w:sz w:val="22"/>
          <w:lang w:val="es-ES_tradnl"/>
        </w:rPr>
        <w:t>inderogabilidad singular del reglamento</w:t>
      </w:r>
      <w:r>
        <w:rPr>
          <w:rStyle w:val="Refdenotaalpie"/>
          <w:rFonts w:ascii="Arial" w:eastAsia="Calibri" w:hAnsi="Arial" w:cs="Arial"/>
          <w:i/>
          <w:iCs/>
          <w:color w:val="000000" w:themeColor="text1"/>
          <w:sz w:val="22"/>
          <w:lang w:val="es-ES_tradnl"/>
        </w:rPr>
        <w:footnoteReference w:id="18"/>
      </w:r>
      <w:r>
        <w:rPr>
          <w:rFonts w:ascii="Arial" w:eastAsia="Calibri" w:hAnsi="Arial" w:cs="Arial"/>
          <w:color w:val="000000" w:themeColor="text1"/>
          <w:sz w:val="22"/>
          <w:lang w:val="es-ES_tradnl"/>
        </w:rPr>
        <w:t xml:space="preserve">. En tal sentido, su </w:t>
      </w:r>
      <w:r>
        <w:rPr>
          <w:rFonts w:ascii="Arial" w:eastAsia="Calibri" w:hAnsi="Arial" w:cs="Arial"/>
          <w:color w:val="000000" w:themeColor="text1"/>
          <w:sz w:val="22"/>
          <w:lang w:val="es-ES_tradnl"/>
        </w:rPr>
        <w:lastRenderedPageBreak/>
        <w:t>contenido vincula a la propia entidad que lo expidió y no puede desconocerlo a su capricho en casos específicos; sin perjuicio de la posibilidad de expedir un nuevo manual o de modificar el existente.</w:t>
      </w:r>
    </w:p>
    <w:p w14:paraId="52D34CB7" w14:textId="77777777" w:rsidR="005E53F5" w:rsidRDefault="005E53F5" w:rsidP="005E53F5">
      <w:pPr>
        <w:spacing w:after="0"/>
        <w:ind w:firstLine="709"/>
        <w:rPr>
          <w:rFonts w:ascii="Arial" w:eastAsia="Calibri" w:hAnsi="Arial" w:cs="Arial"/>
          <w:color w:val="000000" w:themeColor="text1"/>
          <w:sz w:val="22"/>
          <w:lang w:val="es-ES_tradnl"/>
        </w:rPr>
      </w:pPr>
    </w:p>
    <w:p w14:paraId="70E52E7E" w14:textId="149662D9" w:rsidR="0078165F" w:rsidRPr="0078165F" w:rsidRDefault="0078165F" w:rsidP="00893180">
      <w:pPr>
        <w:pStyle w:val="Prrafodelista"/>
        <w:numPr>
          <w:ilvl w:val="0"/>
          <w:numId w:val="6"/>
        </w:numPr>
        <w:tabs>
          <w:tab w:val="left" w:pos="284"/>
        </w:tabs>
        <w:spacing w:after="0"/>
        <w:ind w:left="0" w:firstLine="0"/>
        <w:rPr>
          <w:rFonts w:ascii="Arial" w:eastAsia="Calibri" w:hAnsi="Arial" w:cs="Arial"/>
          <w:sz w:val="22"/>
          <w:lang w:val="es-CO"/>
        </w:rPr>
      </w:pPr>
      <w:r w:rsidRPr="0078165F">
        <w:rPr>
          <w:rFonts w:ascii="Arial" w:eastAsia="Calibri" w:hAnsi="Arial" w:cs="Arial"/>
          <w:b/>
          <w:sz w:val="22"/>
          <w:lang w:val="es-CO"/>
        </w:rPr>
        <w:t>Respuesta</w:t>
      </w:r>
      <w:r w:rsidR="009C446F">
        <w:rPr>
          <w:rFonts w:ascii="Arial" w:eastAsia="Calibri" w:hAnsi="Arial" w:cs="Arial"/>
          <w:b/>
          <w:sz w:val="22"/>
          <w:lang w:val="es-CO"/>
        </w:rPr>
        <w:t>s</w:t>
      </w:r>
    </w:p>
    <w:p w14:paraId="0E731697" w14:textId="77777777" w:rsidR="0078165F" w:rsidRPr="0078165F" w:rsidRDefault="0078165F" w:rsidP="0078165F">
      <w:pPr>
        <w:pStyle w:val="Prrafodelista"/>
        <w:tabs>
          <w:tab w:val="left" w:pos="284"/>
        </w:tabs>
        <w:spacing w:after="0"/>
        <w:ind w:left="0"/>
        <w:rPr>
          <w:rFonts w:ascii="Arial" w:eastAsia="Calibri" w:hAnsi="Arial" w:cs="Arial"/>
          <w:sz w:val="22"/>
          <w:lang w:val="es-CO"/>
        </w:rPr>
      </w:pPr>
    </w:p>
    <w:p w14:paraId="7329891F" w14:textId="44F1E414" w:rsidR="007D751F" w:rsidRPr="007D751F" w:rsidRDefault="00296D38" w:rsidP="007D751F">
      <w:pPr>
        <w:spacing w:line="240" w:lineRule="auto"/>
        <w:ind w:left="709" w:right="709"/>
        <w:rPr>
          <w:rFonts w:ascii="Arial" w:hAnsi="Arial" w:cs="Arial"/>
          <w:sz w:val="21"/>
          <w:szCs w:val="21"/>
        </w:rPr>
      </w:pPr>
      <w:r w:rsidRPr="0078165F">
        <w:rPr>
          <w:rFonts w:ascii="Arial" w:eastAsia="Calibri" w:hAnsi="Arial" w:cs="Arial"/>
          <w:sz w:val="21"/>
          <w:szCs w:val="21"/>
          <w:lang w:val="es-CO"/>
        </w:rPr>
        <w:t>«[</w:t>
      </w:r>
      <w:r w:rsidR="00554515" w:rsidRPr="0078165F">
        <w:rPr>
          <w:rFonts w:ascii="Arial" w:eastAsia="Calibri" w:hAnsi="Arial" w:cs="Arial"/>
          <w:sz w:val="21"/>
          <w:szCs w:val="21"/>
          <w:lang w:val="es-CO"/>
        </w:rPr>
        <w:t>…</w:t>
      </w:r>
      <w:r w:rsidRPr="0078165F">
        <w:rPr>
          <w:rFonts w:ascii="Arial" w:eastAsia="Calibri" w:hAnsi="Arial" w:cs="Arial"/>
          <w:sz w:val="21"/>
          <w:szCs w:val="21"/>
          <w:lang w:val="es-CO"/>
        </w:rPr>
        <w:t>]</w:t>
      </w:r>
      <w:r w:rsidR="00F27A52">
        <w:rPr>
          <w:rFonts w:ascii="Arial" w:hAnsi="Arial" w:cs="Arial"/>
          <w:sz w:val="21"/>
          <w:szCs w:val="21"/>
        </w:rPr>
        <w:t xml:space="preserve"> </w:t>
      </w:r>
      <w:r w:rsidR="007D751F" w:rsidRPr="007D751F">
        <w:rPr>
          <w:rFonts w:ascii="Arial" w:hAnsi="Arial" w:cs="Arial"/>
          <w:sz w:val="21"/>
          <w:szCs w:val="21"/>
        </w:rPr>
        <w:t xml:space="preserve">la ley de garantías, también aplica para las entidades hospitalarias, teniendo en </w:t>
      </w:r>
      <w:proofErr w:type="spellStart"/>
      <w:r w:rsidR="007D751F" w:rsidRPr="007D751F">
        <w:rPr>
          <w:rFonts w:ascii="Arial" w:hAnsi="Arial" w:cs="Arial"/>
          <w:sz w:val="21"/>
          <w:szCs w:val="21"/>
        </w:rPr>
        <w:t>cu</w:t>
      </w:r>
      <w:proofErr w:type="spellEnd"/>
      <w:r w:rsidR="007D751F" w:rsidRPr="007D751F">
        <w:rPr>
          <w:rFonts w:ascii="Arial" w:hAnsi="Arial" w:cs="Arial"/>
          <w:sz w:val="21"/>
          <w:szCs w:val="21"/>
        </w:rPr>
        <w:t>[e]</w:t>
      </w:r>
      <w:proofErr w:type="spellStart"/>
      <w:r w:rsidR="007D751F" w:rsidRPr="007D751F">
        <w:rPr>
          <w:rFonts w:ascii="Arial" w:hAnsi="Arial" w:cs="Arial"/>
          <w:sz w:val="21"/>
          <w:szCs w:val="21"/>
        </w:rPr>
        <w:t>nta</w:t>
      </w:r>
      <w:proofErr w:type="spellEnd"/>
      <w:r w:rsidR="007D751F" w:rsidRPr="007D751F">
        <w:rPr>
          <w:rFonts w:ascii="Arial" w:hAnsi="Arial" w:cs="Arial"/>
          <w:sz w:val="21"/>
          <w:szCs w:val="21"/>
        </w:rPr>
        <w:t xml:space="preserve"> la crisis sanitaria que atraviesa nuestro país. Y de no aplicar [la] ley de garantías cuá</w:t>
      </w:r>
      <w:r w:rsidR="007D751F">
        <w:rPr>
          <w:rFonts w:ascii="Arial" w:hAnsi="Arial" w:cs="Arial"/>
          <w:sz w:val="21"/>
          <w:szCs w:val="21"/>
        </w:rPr>
        <w:t>l sería su fundamento jurídico.</w:t>
      </w:r>
      <w:r w:rsidR="007D751F" w:rsidRPr="007D751F">
        <w:rPr>
          <w:rFonts w:ascii="Arial" w:hAnsi="Arial" w:cs="Arial"/>
          <w:sz w:val="21"/>
          <w:szCs w:val="21"/>
        </w:rPr>
        <w:t>».</w:t>
      </w:r>
    </w:p>
    <w:p w14:paraId="2D0A4A07" w14:textId="77777777" w:rsidR="007F73EA" w:rsidRDefault="007611DB" w:rsidP="00FE32A0">
      <w:pPr>
        <w:spacing w:after="120"/>
        <w:rPr>
          <w:rFonts w:ascii="Arial" w:hAnsi="Arial" w:cs="Arial"/>
          <w:sz w:val="22"/>
        </w:rPr>
      </w:pPr>
      <w:bookmarkStart w:id="3" w:name="_Hlk57650395"/>
      <w:r w:rsidRPr="007611DB">
        <w:rPr>
          <w:rFonts w:ascii="Arial" w:eastAsia="Calibri" w:hAnsi="Arial" w:cs="Arial"/>
          <w:bCs/>
          <w:color w:val="000000" w:themeColor="text1"/>
          <w:sz w:val="22"/>
          <w:lang w:val="es-ES_tradnl"/>
        </w:rPr>
        <w:t xml:space="preserve">De </w:t>
      </w:r>
      <w:r w:rsidR="00990612" w:rsidRPr="002D5D70">
        <w:rPr>
          <w:rFonts w:ascii="Arial" w:eastAsia="Calibri" w:hAnsi="Arial" w:cs="Arial"/>
          <w:sz w:val="22"/>
          <w:lang w:val="es-CO"/>
        </w:rPr>
        <w:t>acuerdo con las consider</w:t>
      </w:r>
      <w:r w:rsidR="005E53F5">
        <w:rPr>
          <w:rFonts w:ascii="Arial" w:eastAsia="Calibri" w:hAnsi="Arial" w:cs="Arial"/>
          <w:sz w:val="22"/>
          <w:lang w:val="es-CO"/>
        </w:rPr>
        <w:t>aciones del presente concepto, y concretamente acudiendo a lo señalado en</w:t>
      </w:r>
      <w:r w:rsidR="00990612" w:rsidRPr="002D5D70">
        <w:rPr>
          <w:rFonts w:ascii="Arial" w:eastAsia="Calibri" w:hAnsi="Arial" w:cs="Arial"/>
          <w:sz w:val="22"/>
          <w:lang w:val="es-CO"/>
        </w:rPr>
        <w:t xml:space="preserve"> </w:t>
      </w:r>
      <w:r w:rsidR="005E53F5" w:rsidRPr="005E53F5">
        <w:rPr>
          <w:rFonts w:ascii="Arial" w:eastAsia="Calibri" w:hAnsi="Arial" w:cs="Arial"/>
          <w:sz w:val="22"/>
          <w:lang w:val="es-CO"/>
        </w:rPr>
        <w:t>el artículo 33 de la Ley 996 de 2005, que prohíbe la contratación directa por parte de todos los entes del Estado, cuatro (4) meses anteriores a la elección presidencial y hasta la realización de la elección en la segu</w:t>
      </w:r>
      <w:r w:rsidR="005E53F5">
        <w:rPr>
          <w:rFonts w:ascii="Arial" w:eastAsia="Calibri" w:hAnsi="Arial" w:cs="Arial"/>
          <w:sz w:val="22"/>
          <w:lang w:val="es-CO"/>
        </w:rPr>
        <w:t xml:space="preserve">nda vuelta, si fuere el caso, y </w:t>
      </w:r>
      <w:r w:rsidR="005E53F5" w:rsidRPr="005E53F5">
        <w:rPr>
          <w:rFonts w:ascii="Arial" w:eastAsia="Calibri" w:hAnsi="Arial" w:cs="Arial"/>
          <w:sz w:val="22"/>
          <w:lang w:val="es-CO"/>
        </w:rPr>
        <w:t xml:space="preserve">a la vez contempla excepciones a </w:t>
      </w:r>
      <w:r w:rsidR="005E53F5">
        <w:rPr>
          <w:rFonts w:ascii="Arial" w:eastAsia="Calibri" w:hAnsi="Arial" w:cs="Arial"/>
          <w:sz w:val="22"/>
          <w:lang w:val="es-CO"/>
        </w:rPr>
        <w:t xml:space="preserve">esta limitación </w:t>
      </w:r>
      <w:r w:rsidR="005E53F5" w:rsidRPr="00BF3E9C">
        <w:rPr>
          <w:rFonts w:ascii="Arial" w:hAnsi="Arial" w:cs="Arial"/>
          <w:sz w:val="22"/>
        </w:rPr>
        <w:t>cuando el objeto a contratar se refiera a</w:t>
      </w:r>
      <w:r w:rsidR="004417C6">
        <w:rPr>
          <w:rFonts w:ascii="Arial" w:hAnsi="Arial" w:cs="Arial"/>
          <w:sz w:val="22"/>
        </w:rPr>
        <w:t>:</w:t>
      </w:r>
      <w:r w:rsidR="005E53F5" w:rsidRPr="00BF3E9C">
        <w:rPr>
          <w:rFonts w:ascii="Arial" w:hAnsi="Arial" w:cs="Arial"/>
          <w:sz w:val="22"/>
        </w:rPr>
        <w:t xml:space="preserve">  </w:t>
      </w:r>
      <w:r w:rsidR="005E53F5">
        <w:rPr>
          <w:rFonts w:ascii="Arial" w:hAnsi="Arial" w:cs="Arial"/>
          <w:sz w:val="22"/>
        </w:rPr>
        <w:t>«</w:t>
      </w:r>
      <w:r w:rsidR="005E53F5" w:rsidRPr="00BF3E9C">
        <w:rPr>
          <w:rFonts w:ascii="Arial" w:hAnsi="Arial" w:cs="Arial"/>
          <w:sz w:val="22"/>
        </w:rPr>
        <w:t xml:space="preserve">la  defensa y seguridad del Estado, los contratos de crédito público, </w:t>
      </w:r>
      <w:r w:rsidR="005E53F5" w:rsidRPr="00FE32A0">
        <w:rPr>
          <w:rFonts w:ascii="Arial" w:hAnsi="Arial" w:cs="Arial"/>
          <w:i/>
          <w:iCs/>
          <w:sz w:val="22"/>
        </w:rPr>
        <w:t>los requeridos para cubrir las emergencias</w:t>
      </w:r>
      <w:r w:rsidR="005E53F5" w:rsidRPr="00BF3E9C">
        <w:rPr>
          <w:rFonts w:ascii="Arial" w:hAnsi="Arial" w:cs="Arial"/>
          <w:sz w:val="22"/>
        </w:rPr>
        <w:t xml:space="preserve"> educativas, </w:t>
      </w:r>
      <w:r w:rsidR="005E53F5" w:rsidRPr="00FE32A0">
        <w:rPr>
          <w:rFonts w:ascii="Arial" w:hAnsi="Arial" w:cs="Arial"/>
          <w:i/>
          <w:iCs/>
          <w:sz w:val="22"/>
        </w:rPr>
        <w:t>sanitarias</w:t>
      </w:r>
      <w:r w:rsidR="005E53F5" w:rsidRPr="00BF3E9C">
        <w:rPr>
          <w:rFonts w:ascii="Arial" w:hAnsi="Arial" w:cs="Arial"/>
          <w:sz w:val="22"/>
        </w:rPr>
        <w:t xml:space="preserve"> y desastres, los utilizados para la reconstrucción de vías, puentes, carreteras, infraestructura energética y de comunicaciones, en caso de que hayan sido objeto de atentados, acciones terroristas, desastres naturales o casos de fuerza mayor, </w:t>
      </w:r>
      <w:r w:rsidR="005E53F5" w:rsidRPr="00FE32A0">
        <w:rPr>
          <w:rFonts w:ascii="Arial" w:hAnsi="Arial" w:cs="Arial"/>
          <w:i/>
          <w:iCs/>
          <w:sz w:val="22"/>
        </w:rPr>
        <w:t>y los que deban realizar las entidades sanitarias y hospitalarias</w:t>
      </w:r>
      <w:r w:rsidR="005E53F5">
        <w:rPr>
          <w:rFonts w:ascii="Arial" w:hAnsi="Arial" w:cs="Arial"/>
          <w:sz w:val="22"/>
        </w:rPr>
        <w:t>»</w:t>
      </w:r>
      <w:r w:rsidR="005E53F5" w:rsidRPr="00BF3E9C">
        <w:rPr>
          <w:rFonts w:ascii="Arial" w:hAnsi="Arial" w:cs="Arial"/>
          <w:sz w:val="22"/>
        </w:rPr>
        <w:t>.</w:t>
      </w:r>
      <w:r w:rsidR="005E53F5">
        <w:rPr>
          <w:rFonts w:ascii="Arial" w:hAnsi="Arial" w:cs="Arial"/>
          <w:sz w:val="22"/>
        </w:rPr>
        <w:t xml:space="preserve"> </w:t>
      </w:r>
    </w:p>
    <w:p w14:paraId="656BD743" w14:textId="457FA073" w:rsidR="004417C6" w:rsidRDefault="007F73EA" w:rsidP="00FE32A0">
      <w:pPr>
        <w:spacing w:after="120"/>
        <w:ind w:firstLine="709"/>
        <w:rPr>
          <w:rFonts w:ascii="Arial" w:eastAsia="Calibri" w:hAnsi="Arial" w:cs="Arial"/>
          <w:color w:val="000000" w:themeColor="text1"/>
          <w:sz w:val="22"/>
          <w:lang w:val="es-ES_tradnl"/>
        </w:rPr>
      </w:pPr>
      <w:r>
        <w:rPr>
          <w:rFonts w:ascii="Arial" w:eastAsia="Calibri" w:hAnsi="Arial" w:cs="Arial"/>
          <w:color w:val="000000" w:themeColor="text1"/>
          <w:sz w:val="22"/>
          <w:lang w:val="es-ES_tradnl"/>
        </w:rPr>
        <w:t>Lo anterior, a</w:t>
      </w:r>
      <w:r w:rsidR="005E53F5">
        <w:rPr>
          <w:rFonts w:ascii="Arial" w:eastAsia="Calibri" w:hAnsi="Arial" w:cs="Arial"/>
          <w:color w:val="000000" w:themeColor="text1"/>
          <w:sz w:val="22"/>
          <w:lang w:val="es-ES_tradnl"/>
        </w:rPr>
        <w:t>unado</w:t>
      </w:r>
      <w:r w:rsidR="005E53F5" w:rsidRPr="005E53F5">
        <w:rPr>
          <w:rFonts w:ascii="Arial" w:eastAsia="Calibri" w:hAnsi="Arial" w:cs="Arial"/>
          <w:color w:val="000000" w:themeColor="text1"/>
          <w:sz w:val="22"/>
          <w:lang w:val="es-ES_tradnl"/>
        </w:rPr>
        <w:t xml:space="preserve"> a la difícil situación mundial por causa de la pandemia actual,</w:t>
      </w:r>
      <w:r w:rsidR="004417C6">
        <w:rPr>
          <w:rFonts w:ascii="Arial" w:eastAsia="Calibri" w:hAnsi="Arial" w:cs="Arial"/>
          <w:color w:val="000000" w:themeColor="text1"/>
          <w:sz w:val="22"/>
          <w:lang w:val="es-ES_tradnl"/>
        </w:rPr>
        <w:t xml:space="preserve"> frente a la cual los objetivos estratégicos del gobierno nacional están encaminados a salvar vidas y proteger la salud de la población, a través de diferentes mecanismos, dentro de los que se encuentran la expedición de </w:t>
      </w:r>
      <w:r w:rsidR="005E53F5" w:rsidRPr="005E53F5">
        <w:rPr>
          <w:rFonts w:ascii="Arial" w:eastAsia="Calibri" w:hAnsi="Arial" w:cs="Arial"/>
          <w:color w:val="000000" w:themeColor="text1"/>
          <w:sz w:val="22"/>
          <w:lang w:val="es-ES_tradnl"/>
        </w:rPr>
        <w:t xml:space="preserve">un ordenamiento jurídico que habilita y facilita la adquisición de bienes y servicios tendientes a atender y combatir la emergencia sanitaria por parte de las entidades públicas, </w:t>
      </w:r>
      <w:r w:rsidR="004417C6">
        <w:rPr>
          <w:rFonts w:ascii="Arial" w:eastAsia="Calibri" w:hAnsi="Arial" w:cs="Arial"/>
          <w:color w:val="000000" w:themeColor="text1"/>
          <w:sz w:val="22"/>
          <w:lang w:val="es-ES_tradnl"/>
        </w:rPr>
        <w:t xml:space="preserve">no sería aplicable </w:t>
      </w:r>
      <w:r w:rsidR="004556FA">
        <w:rPr>
          <w:rFonts w:ascii="Arial" w:eastAsia="Calibri" w:hAnsi="Arial" w:cs="Arial"/>
          <w:color w:val="000000" w:themeColor="text1"/>
          <w:sz w:val="22"/>
          <w:lang w:val="es-ES_tradnl"/>
        </w:rPr>
        <w:t>la restricción del artículo 33 de la Ley de Garantía</w:t>
      </w:r>
      <w:r w:rsidR="004417C6">
        <w:rPr>
          <w:rFonts w:ascii="Arial" w:eastAsia="Calibri" w:hAnsi="Arial" w:cs="Arial"/>
          <w:color w:val="000000" w:themeColor="text1"/>
          <w:sz w:val="22"/>
          <w:lang w:val="es-ES_tradnl"/>
        </w:rPr>
        <w:t xml:space="preserve"> en los casos y a las enti</w:t>
      </w:r>
      <w:r w:rsidR="00B2492F">
        <w:rPr>
          <w:rFonts w:ascii="Arial" w:eastAsia="Calibri" w:hAnsi="Arial" w:cs="Arial"/>
          <w:color w:val="000000" w:themeColor="text1"/>
          <w:sz w:val="22"/>
          <w:lang w:val="es-ES_tradnl"/>
        </w:rPr>
        <w:t xml:space="preserve">dades particularmente referidas, dentro </w:t>
      </w:r>
      <w:r w:rsidR="00A11B6B">
        <w:rPr>
          <w:rFonts w:ascii="Arial" w:eastAsia="Calibri" w:hAnsi="Arial" w:cs="Arial"/>
          <w:color w:val="000000" w:themeColor="text1"/>
          <w:sz w:val="22"/>
          <w:lang w:val="es-ES_tradnl"/>
        </w:rPr>
        <w:t>d</w:t>
      </w:r>
      <w:r w:rsidR="00B2492F">
        <w:rPr>
          <w:rFonts w:ascii="Arial" w:eastAsia="Calibri" w:hAnsi="Arial" w:cs="Arial"/>
          <w:color w:val="000000" w:themeColor="text1"/>
          <w:sz w:val="22"/>
          <w:lang w:val="es-ES_tradnl"/>
        </w:rPr>
        <w:t>e las que se encuentran las hospitalarias.</w:t>
      </w:r>
    </w:p>
    <w:p w14:paraId="45FC07E2" w14:textId="3BBC9197" w:rsidR="004556FA" w:rsidRDefault="004556FA" w:rsidP="00FE32A0">
      <w:pPr>
        <w:spacing w:after="0"/>
        <w:ind w:firstLine="708"/>
        <w:rPr>
          <w:rFonts w:ascii="Arial" w:eastAsia="Calibri" w:hAnsi="Arial" w:cs="Arial"/>
          <w:color w:val="000000" w:themeColor="text1"/>
          <w:sz w:val="22"/>
          <w:lang w:val="es-ES_tradnl"/>
        </w:rPr>
      </w:pPr>
      <w:r>
        <w:rPr>
          <w:rFonts w:ascii="Arial" w:eastAsia="Calibri" w:hAnsi="Arial" w:cs="Arial"/>
          <w:color w:val="000000" w:themeColor="text1"/>
          <w:sz w:val="22"/>
          <w:lang w:val="es-ES_tradnl"/>
        </w:rPr>
        <w:t xml:space="preserve">Lo anterior, sin perjuicio de la aplicación de la restricción desarrollada en relación con el parágrafo del artículo 38 de la Ley 996 de 2005, en los términos desarrollados anteriormente. </w:t>
      </w:r>
    </w:p>
    <w:bookmarkEnd w:id="3"/>
    <w:p w14:paraId="0A8091FB" w14:textId="7A33C91A" w:rsidR="007D751F" w:rsidRDefault="007D751F" w:rsidP="007D751F">
      <w:pPr>
        <w:tabs>
          <w:tab w:val="left" w:pos="0"/>
        </w:tabs>
        <w:spacing w:after="0" w:line="240" w:lineRule="auto"/>
        <w:ind w:left="709" w:right="709"/>
        <w:rPr>
          <w:rFonts w:ascii="Arial" w:hAnsi="Arial" w:cs="Arial"/>
          <w:sz w:val="21"/>
          <w:szCs w:val="21"/>
        </w:rPr>
      </w:pPr>
      <w:r>
        <w:rPr>
          <w:rFonts w:ascii="Arial" w:hAnsi="Arial" w:cs="Arial"/>
          <w:sz w:val="21"/>
          <w:szCs w:val="21"/>
        </w:rPr>
        <w:lastRenderedPageBreak/>
        <w:t>«[…]</w:t>
      </w:r>
      <w:r w:rsidRPr="007D751F">
        <w:rPr>
          <w:rFonts w:ascii="Arial" w:hAnsi="Arial" w:cs="Arial"/>
          <w:sz w:val="21"/>
          <w:szCs w:val="21"/>
        </w:rPr>
        <w:t xml:space="preserve">dentro de los mal </w:t>
      </w:r>
      <w:r w:rsidR="009D52B5">
        <w:rPr>
          <w:rFonts w:ascii="Arial" w:hAnsi="Arial" w:cs="Arial"/>
          <w:sz w:val="21"/>
          <w:szCs w:val="21"/>
        </w:rPr>
        <w:t xml:space="preserve">(sic) </w:t>
      </w:r>
      <w:r w:rsidRPr="007D751F">
        <w:rPr>
          <w:rFonts w:ascii="Arial" w:hAnsi="Arial" w:cs="Arial"/>
          <w:sz w:val="21"/>
          <w:szCs w:val="21"/>
        </w:rPr>
        <w:t xml:space="preserve">de contratación debe tener un acápite de la forma de contratar cuando entre en vigencia la ley de </w:t>
      </w:r>
      <w:proofErr w:type="gramStart"/>
      <w:r w:rsidRPr="007D751F">
        <w:rPr>
          <w:rFonts w:ascii="Arial" w:hAnsi="Arial" w:cs="Arial"/>
          <w:sz w:val="21"/>
          <w:szCs w:val="21"/>
        </w:rPr>
        <w:t>garantías[</w:t>
      </w:r>
      <w:proofErr w:type="gramEnd"/>
      <w:r w:rsidRPr="007D751F">
        <w:rPr>
          <w:rFonts w:ascii="Arial" w:hAnsi="Arial" w:cs="Arial"/>
          <w:sz w:val="21"/>
          <w:szCs w:val="21"/>
        </w:rPr>
        <w:t>…]</w:t>
      </w:r>
      <w:r>
        <w:rPr>
          <w:rFonts w:ascii="Arial" w:hAnsi="Arial" w:cs="Arial"/>
          <w:sz w:val="21"/>
          <w:szCs w:val="21"/>
        </w:rPr>
        <w:t>»</w:t>
      </w:r>
    </w:p>
    <w:p w14:paraId="380F4F9D" w14:textId="77777777" w:rsidR="0061397F" w:rsidRDefault="0061397F" w:rsidP="007D751F">
      <w:pPr>
        <w:tabs>
          <w:tab w:val="left" w:pos="0"/>
        </w:tabs>
        <w:spacing w:after="0" w:line="240" w:lineRule="auto"/>
        <w:ind w:left="709" w:right="709"/>
        <w:rPr>
          <w:rFonts w:ascii="Arial" w:hAnsi="Arial" w:cs="Arial"/>
          <w:color w:val="000000" w:themeColor="text1"/>
          <w:sz w:val="21"/>
          <w:szCs w:val="21"/>
          <w:lang w:val="es-ES_tradnl"/>
        </w:rPr>
      </w:pPr>
    </w:p>
    <w:p w14:paraId="2CF0D27C" w14:textId="513431E1" w:rsidR="006F23C2" w:rsidRDefault="004556FA" w:rsidP="006F23C2">
      <w:pPr>
        <w:tabs>
          <w:tab w:val="left" w:pos="0"/>
        </w:tabs>
        <w:spacing w:after="120"/>
        <w:rPr>
          <w:rFonts w:ascii="Arial" w:eastAsia="Calibri" w:hAnsi="Arial" w:cs="Arial"/>
          <w:color w:val="000000" w:themeColor="text1"/>
          <w:sz w:val="22"/>
          <w:lang w:val="es-ES_tradnl"/>
        </w:rPr>
      </w:pPr>
      <w:r>
        <w:rPr>
          <w:rFonts w:ascii="Arial" w:eastAsia="Calibri" w:hAnsi="Arial" w:cs="Arial"/>
          <w:color w:val="000000" w:themeColor="text1"/>
          <w:sz w:val="22"/>
          <w:szCs w:val="24"/>
          <w:lang w:val="es-ES_tradnl" w:eastAsia="es-ES_tradnl"/>
        </w:rPr>
        <w:tab/>
      </w:r>
      <w:r w:rsidR="006F23C2">
        <w:rPr>
          <w:rFonts w:ascii="Arial" w:eastAsia="Calibri" w:hAnsi="Arial" w:cs="Arial"/>
          <w:color w:val="000000" w:themeColor="text1"/>
          <w:sz w:val="22"/>
          <w:szCs w:val="24"/>
          <w:lang w:val="es-ES_tradnl" w:eastAsia="es-ES_tradnl"/>
        </w:rPr>
        <w:t>El artículo</w:t>
      </w:r>
      <w:r w:rsidR="006F23C2" w:rsidRPr="009405BB">
        <w:rPr>
          <w:rFonts w:ascii="Arial" w:eastAsia="Calibri" w:hAnsi="Arial" w:cs="Arial"/>
          <w:color w:val="000000" w:themeColor="text1"/>
          <w:sz w:val="22"/>
          <w:szCs w:val="24"/>
          <w:lang w:val="es-ES_tradnl" w:eastAsia="es-ES_tradnl"/>
        </w:rPr>
        <w:t xml:space="preserve"> 2.2.1.2.5.3. </w:t>
      </w:r>
      <w:r w:rsidR="006F23C2">
        <w:rPr>
          <w:rFonts w:ascii="Arial" w:eastAsia="Calibri" w:hAnsi="Arial" w:cs="Arial"/>
          <w:color w:val="000000" w:themeColor="text1"/>
          <w:sz w:val="22"/>
          <w:szCs w:val="24"/>
          <w:lang w:val="es-ES_tradnl" w:eastAsia="es-ES_tradnl"/>
        </w:rPr>
        <w:t xml:space="preserve"> del Decreto 1082 de 2015 establece que las entidades estatales deben contar c</w:t>
      </w:r>
      <w:r w:rsidR="006F23C2" w:rsidRPr="009405BB">
        <w:rPr>
          <w:rFonts w:ascii="Arial" w:eastAsia="Calibri" w:hAnsi="Arial" w:cs="Arial"/>
          <w:color w:val="000000" w:themeColor="text1"/>
          <w:sz w:val="22"/>
          <w:szCs w:val="24"/>
          <w:lang w:val="es-ES_tradnl" w:eastAsia="es-ES_tradnl"/>
        </w:rPr>
        <w:t>on un manual</w:t>
      </w:r>
      <w:r w:rsidR="006F23C2">
        <w:rPr>
          <w:rFonts w:ascii="Arial" w:eastAsia="Calibri" w:hAnsi="Arial" w:cs="Arial"/>
          <w:color w:val="000000" w:themeColor="text1"/>
          <w:sz w:val="22"/>
          <w:szCs w:val="24"/>
          <w:lang w:val="es-ES_tradnl" w:eastAsia="es-ES_tradnl"/>
        </w:rPr>
        <w:t xml:space="preserve"> de contratación y que este debe</w:t>
      </w:r>
      <w:r w:rsidR="006F23C2" w:rsidRPr="009405BB">
        <w:rPr>
          <w:rFonts w:ascii="Arial" w:eastAsia="Calibri" w:hAnsi="Arial" w:cs="Arial"/>
          <w:color w:val="000000" w:themeColor="text1"/>
          <w:sz w:val="22"/>
          <w:szCs w:val="24"/>
          <w:lang w:val="es-ES_tradnl" w:eastAsia="es-ES_tradnl"/>
        </w:rPr>
        <w:t xml:space="preserve"> cumplir con los lineamientos que señale Colombia Compra Efici</w:t>
      </w:r>
      <w:r w:rsidR="006F23C2">
        <w:rPr>
          <w:rFonts w:ascii="Arial" w:eastAsia="Calibri" w:hAnsi="Arial" w:cs="Arial"/>
          <w:color w:val="000000" w:themeColor="text1"/>
          <w:sz w:val="22"/>
          <w:szCs w:val="24"/>
          <w:lang w:val="es-ES_tradnl" w:eastAsia="es-ES_tradnl"/>
        </w:rPr>
        <w:t xml:space="preserve">ente. </w:t>
      </w:r>
      <w:r w:rsidR="006F23C2" w:rsidRPr="00C02FEB">
        <w:rPr>
          <w:rFonts w:ascii="Arial" w:eastAsia="Calibri" w:hAnsi="Arial" w:cs="Arial"/>
          <w:color w:val="000000" w:themeColor="text1"/>
          <w:sz w:val="22"/>
          <w:lang w:val="es-ES_tradnl"/>
        </w:rPr>
        <w:t xml:space="preserve">En ejercicio de la potestad emanada del citado precepto, la Agencia Nacional de Contratación Pública </w:t>
      </w:r>
      <w:r w:rsidR="006F23C2">
        <w:rPr>
          <w:rFonts w:ascii="Arial" w:eastAsia="Calibri" w:hAnsi="Arial" w:cs="Arial"/>
          <w:color w:val="000000" w:themeColor="text1"/>
          <w:sz w:val="22"/>
          <w:lang w:val="es-ES_tradnl"/>
        </w:rPr>
        <w:t>–</w:t>
      </w:r>
      <w:r w:rsidR="006F23C2" w:rsidRPr="00C02FEB">
        <w:rPr>
          <w:rFonts w:ascii="Arial" w:eastAsia="Calibri" w:hAnsi="Arial" w:cs="Arial"/>
          <w:color w:val="000000" w:themeColor="text1"/>
          <w:sz w:val="22"/>
          <w:lang w:val="es-ES_tradnl"/>
        </w:rPr>
        <w:t xml:space="preserve"> Colombia Compra Eficiente emitió los</w:t>
      </w:r>
      <w:r w:rsidR="006F23C2">
        <w:rPr>
          <w:rFonts w:ascii="Arial" w:eastAsia="Calibri" w:hAnsi="Arial" w:cs="Arial"/>
          <w:color w:val="000000" w:themeColor="text1"/>
          <w:sz w:val="22"/>
          <w:lang w:val="es-ES_tradnl"/>
        </w:rPr>
        <w:t xml:space="preserve"> «</w:t>
      </w:r>
      <w:r w:rsidR="006F23C2" w:rsidRPr="00C02FEB">
        <w:rPr>
          <w:rFonts w:ascii="Arial" w:eastAsia="Calibri" w:hAnsi="Arial" w:cs="Arial"/>
          <w:color w:val="000000" w:themeColor="text1"/>
          <w:sz w:val="22"/>
          <w:lang w:val="es-ES_tradnl"/>
        </w:rPr>
        <w:t>Lineamientos Generales para la Expedición de Manuales de Contratación</w:t>
      </w:r>
      <w:r w:rsidR="006F23C2">
        <w:rPr>
          <w:rFonts w:ascii="Arial" w:eastAsia="Calibri" w:hAnsi="Arial" w:cs="Arial"/>
          <w:color w:val="000000" w:themeColor="text1"/>
          <w:sz w:val="22"/>
          <w:lang w:val="es-ES_tradnl"/>
        </w:rPr>
        <w:t>», precisando en el literal C:  «</w:t>
      </w:r>
      <w:r w:rsidR="006F23C2" w:rsidRPr="00C02FEB">
        <w:rPr>
          <w:rFonts w:ascii="Arial" w:eastAsia="Calibri" w:hAnsi="Arial" w:cs="Arial"/>
          <w:color w:val="000000" w:themeColor="text1"/>
          <w:sz w:val="22"/>
          <w:lang w:val="es-ES_tradnl"/>
        </w:rPr>
        <w:t>¿Qué debe contener el Manual de Contratación de una Entidad Estatal?»,</w:t>
      </w:r>
      <w:r w:rsidR="006F23C2">
        <w:rPr>
          <w:rFonts w:ascii="Arial" w:eastAsia="Calibri" w:hAnsi="Arial" w:cs="Arial"/>
          <w:color w:val="000000" w:themeColor="text1"/>
          <w:sz w:val="22"/>
          <w:lang w:val="es-ES_tradnl"/>
        </w:rPr>
        <w:t xml:space="preserve"> indicando que</w:t>
      </w:r>
      <w:r w:rsidR="006F23C2" w:rsidRPr="00C02FEB">
        <w:rPr>
          <w:rFonts w:ascii="Arial" w:eastAsia="Calibri" w:hAnsi="Arial" w:cs="Arial"/>
          <w:color w:val="000000" w:themeColor="text1"/>
          <w:sz w:val="22"/>
          <w:lang w:val="es-ES_tradnl"/>
        </w:rPr>
        <w:t xml:space="preserve"> deberá </w:t>
      </w:r>
      <w:r w:rsidR="006F23C2">
        <w:rPr>
          <w:rFonts w:ascii="Arial" w:eastAsia="Calibri" w:hAnsi="Arial" w:cs="Arial"/>
          <w:color w:val="000000" w:themeColor="text1"/>
          <w:sz w:val="22"/>
          <w:lang w:val="es-ES_tradnl"/>
        </w:rPr>
        <w:t>inclui</w:t>
      </w:r>
      <w:r w:rsidR="006F23C2" w:rsidRPr="00C02FEB">
        <w:rPr>
          <w:rFonts w:ascii="Arial" w:eastAsia="Calibri" w:hAnsi="Arial" w:cs="Arial"/>
          <w:color w:val="000000" w:themeColor="text1"/>
          <w:sz w:val="22"/>
          <w:lang w:val="es-ES_tradnl"/>
        </w:rPr>
        <w:t>r «La información y las buenas prácticas de su Gestión Contractual, tales como: Las normas sobre desempeño transparente de la Gestión Contractual; adecuada planeación; las prácticas anticorrupción […]».</w:t>
      </w:r>
    </w:p>
    <w:p w14:paraId="2DC7AA20" w14:textId="4D0EF0AE" w:rsidR="006F23C2" w:rsidRDefault="006F23C2" w:rsidP="006F23C2">
      <w:pPr>
        <w:tabs>
          <w:tab w:val="left" w:pos="0"/>
        </w:tabs>
        <w:spacing w:after="120"/>
        <w:ind w:firstLine="709"/>
        <w:rPr>
          <w:rFonts w:ascii="Arial" w:eastAsia="Calibri" w:hAnsi="Arial" w:cs="Arial"/>
          <w:color w:val="000000" w:themeColor="text1"/>
          <w:sz w:val="22"/>
          <w:lang w:val="es-ES_tradnl"/>
        </w:rPr>
      </w:pPr>
      <w:r>
        <w:rPr>
          <w:rFonts w:ascii="Arial" w:eastAsia="Calibri" w:hAnsi="Arial" w:cs="Arial"/>
          <w:color w:val="000000"/>
          <w:sz w:val="22"/>
          <w:lang w:val="es-CO"/>
        </w:rPr>
        <w:t xml:space="preserve">Respecto al contenido de los manuales de contratación de las entidades </w:t>
      </w:r>
      <w:proofErr w:type="gramStart"/>
      <w:r>
        <w:rPr>
          <w:rFonts w:ascii="Arial" w:eastAsia="Calibri" w:hAnsi="Arial" w:cs="Arial"/>
          <w:color w:val="000000"/>
          <w:sz w:val="22"/>
          <w:lang w:val="es-CO"/>
        </w:rPr>
        <w:t>estatales  con</w:t>
      </w:r>
      <w:proofErr w:type="gramEnd"/>
      <w:r>
        <w:rPr>
          <w:rFonts w:ascii="Arial" w:eastAsia="Calibri" w:hAnsi="Arial" w:cs="Arial"/>
          <w:color w:val="000000"/>
          <w:sz w:val="22"/>
          <w:lang w:val="es-CO"/>
        </w:rPr>
        <w:t xml:space="preserve"> un régimen especial de contratación, el literal D ibídem, expresamente señaló entre otros aspectos, el deber de incluir una descripción de: «</w:t>
      </w:r>
      <w:r>
        <w:rPr>
          <w:rFonts w:ascii="Arial" w:eastAsia="Calibri" w:hAnsi="Arial" w:cs="Arial"/>
          <w:color w:val="000000"/>
          <w:sz w:val="22"/>
        </w:rPr>
        <w:t>[…]</w:t>
      </w:r>
      <w:r w:rsidRPr="000D1A40">
        <w:rPr>
          <w:rFonts w:ascii="Arial" w:eastAsia="Calibri" w:hAnsi="Arial" w:cs="Arial"/>
          <w:color w:val="000000"/>
          <w:sz w:val="22"/>
        </w:rPr>
        <w:t xml:space="preserve"> los Procedimientos para la aplicación de las restricciones de la Ley 996 de 2005 y los demás aspectos que garanticen el cumplimiento de los principios y objetivos del sistema de compras y contratación pública </w:t>
      </w:r>
      <w:r>
        <w:rPr>
          <w:rFonts w:ascii="Arial" w:eastAsia="Calibri" w:hAnsi="Arial" w:cs="Arial"/>
          <w:color w:val="000000"/>
          <w:sz w:val="22"/>
        </w:rPr>
        <w:t>[…]». En tal sentido, el manual de contratación debe cumplir con la exigencia anterior.</w:t>
      </w:r>
    </w:p>
    <w:p w14:paraId="77B23C1F" w14:textId="4E1DC777" w:rsidR="002B5357" w:rsidRDefault="0061397F" w:rsidP="004556FA">
      <w:pPr>
        <w:spacing w:after="120"/>
        <w:ind w:firstLine="708"/>
        <w:rPr>
          <w:rFonts w:ascii="Arial" w:eastAsia="Calibri" w:hAnsi="Arial" w:cs="Arial"/>
          <w:sz w:val="22"/>
          <w:lang w:val="es-CO"/>
        </w:rPr>
      </w:pPr>
      <w:r w:rsidRPr="0061397F">
        <w:rPr>
          <w:rFonts w:ascii="Arial" w:eastAsia="Calibri" w:hAnsi="Arial" w:cs="Arial"/>
          <w:sz w:val="22"/>
          <w:lang w:val="es-CO"/>
        </w:rPr>
        <w:t xml:space="preserve">Finalmente, se precisa que </w:t>
      </w:r>
      <w:r w:rsidR="00797659">
        <w:rPr>
          <w:rFonts w:ascii="Arial" w:eastAsia="Calibri" w:hAnsi="Arial" w:cs="Arial"/>
          <w:sz w:val="22"/>
          <w:lang w:val="es-CO"/>
        </w:rPr>
        <w:t>para</w:t>
      </w:r>
      <w:r w:rsidRPr="0061397F">
        <w:rPr>
          <w:rFonts w:ascii="Arial" w:eastAsia="Calibri" w:hAnsi="Arial" w:cs="Arial"/>
          <w:sz w:val="22"/>
          <w:lang w:val="es-CO"/>
        </w:rPr>
        <w:t xml:space="preserve"> emitir una respuesta integral a la consulta se interpretó como </w:t>
      </w:r>
      <w:r w:rsidR="009D52B5">
        <w:rPr>
          <w:rFonts w:ascii="Arial" w:eastAsia="Calibri" w:hAnsi="Arial" w:cs="Arial"/>
          <w:sz w:val="22"/>
          <w:lang w:val="es-CO"/>
        </w:rPr>
        <w:t>«</w:t>
      </w:r>
      <w:r w:rsidRPr="0061397F">
        <w:rPr>
          <w:rFonts w:ascii="Arial" w:eastAsia="Calibri" w:hAnsi="Arial" w:cs="Arial"/>
          <w:sz w:val="22"/>
          <w:lang w:val="es-CO"/>
        </w:rPr>
        <w:t>Manual de Contratación</w:t>
      </w:r>
      <w:r w:rsidR="009D52B5">
        <w:rPr>
          <w:rFonts w:ascii="Arial" w:eastAsia="Calibri" w:hAnsi="Arial" w:cs="Arial"/>
          <w:sz w:val="22"/>
          <w:lang w:val="es-CO"/>
        </w:rPr>
        <w:t>»</w:t>
      </w:r>
      <w:r w:rsidRPr="0061397F">
        <w:rPr>
          <w:rFonts w:ascii="Arial" w:eastAsia="Calibri" w:hAnsi="Arial" w:cs="Arial"/>
          <w:sz w:val="22"/>
          <w:lang w:val="es-CO"/>
        </w:rPr>
        <w:t xml:space="preserve"> la expresión </w:t>
      </w:r>
      <w:r w:rsidR="009D52B5">
        <w:rPr>
          <w:rFonts w:ascii="Arial" w:eastAsia="Calibri" w:hAnsi="Arial" w:cs="Arial"/>
          <w:sz w:val="22"/>
          <w:lang w:val="es-CO"/>
        </w:rPr>
        <w:t>«</w:t>
      </w:r>
      <w:r w:rsidRPr="0061397F">
        <w:rPr>
          <w:rFonts w:ascii="Arial" w:eastAsia="Calibri" w:hAnsi="Arial" w:cs="Arial"/>
          <w:sz w:val="22"/>
          <w:lang w:val="es-CO"/>
        </w:rPr>
        <w:t>mal de contratación</w:t>
      </w:r>
      <w:r w:rsidR="009D52B5">
        <w:rPr>
          <w:rFonts w:ascii="Arial" w:eastAsia="Calibri" w:hAnsi="Arial" w:cs="Arial"/>
          <w:sz w:val="22"/>
          <w:lang w:val="es-CO"/>
        </w:rPr>
        <w:t>»</w:t>
      </w:r>
      <w:r w:rsidRPr="0061397F">
        <w:rPr>
          <w:rFonts w:ascii="Arial" w:eastAsia="Calibri" w:hAnsi="Arial" w:cs="Arial"/>
          <w:sz w:val="22"/>
          <w:lang w:val="es-CO"/>
        </w:rPr>
        <w:t xml:space="preserve"> </w:t>
      </w:r>
      <w:r w:rsidR="009D52B5">
        <w:rPr>
          <w:rFonts w:ascii="Arial" w:eastAsia="Calibri" w:hAnsi="Arial" w:cs="Arial"/>
          <w:sz w:val="22"/>
          <w:lang w:val="es-CO"/>
        </w:rPr>
        <w:t>utilizada en la petición</w:t>
      </w:r>
      <w:r w:rsidRPr="0061397F">
        <w:rPr>
          <w:rFonts w:ascii="Arial" w:eastAsia="Calibri" w:hAnsi="Arial" w:cs="Arial"/>
          <w:sz w:val="22"/>
          <w:lang w:val="es-CO"/>
        </w:rPr>
        <w:t xml:space="preserve">, y a partir de este supuesto la entidad se pronunció. </w:t>
      </w:r>
    </w:p>
    <w:p w14:paraId="00CE8453" w14:textId="0BB9561E" w:rsidR="00904CD9" w:rsidRPr="002D5D70" w:rsidRDefault="00990612" w:rsidP="0061397F">
      <w:pPr>
        <w:spacing w:after="120"/>
        <w:rPr>
          <w:rFonts w:ascii="Arial" w:eastAsia="Calibri" w:hAnsi="Arial" w:cs="Arial"/>
          <w:sz w:val="22"/>
          <w:lang w:val="es-CO"/>
        </w:rPr>
      </w:pPr>
      <w:r w:rsidRPr="002D5D70">
        <w:rPr>
          <w:rFonts w:ascii="Arial" w:eastAsia="Calibri" w:hAnsi="Arial" w:cs="Arial"/>
          <w:sz w:val="22"/>
          <w:lang w:val="es-CO"/>
        </w:rPr>
        <w:t>Este concepto tiene el alcance previsto en el artículo 28 del Código de Procedimiento Administrativo y de lo Contencioso Administrativo.</w:t>
      </w:r>
    </w:p>
    <w:p w14:paraId="45FDD70C" w14:textId="2464704A" w:rsidR="00904CD9" w:rsidRPr="00A02DEF" w:rsidRDefault="00904CD9" w:rsidP="00904CD9">
      <w:pPr>
        <w:rPr>
          <w:rFonts w:ascii="Arial" w:eastAsia="Times New Roman" w:hAnsi="Arial" w:cs="Arial"/>
          <w:sz w:val="22"/>
          <w:lang w:val="es-CO" w:eastAsia="es-CO"/>
        </w:rPr>
      </w:pPr>
      <w:r w:rsidRPr="00A02DEF">
        <w:rPr>
          <w:rFonts w:ascii="Arial" w:hAnsi="Arial" w:cs="Arial"/>
          <w:noProof/>
          <w:lang w:val="es-CO" w:eastAsia="es-CO"/>
        </w:rPr>
        <mc:AlternateContent>
          <mc:Choice Requires="wps">
            <w:drawing>
              <wp:anchor distT="0" distB="0" distL="114300" distR="114300" simplePos="0" relativeHeight="251659264" behindDoc="0" locked="0" layoutInCell="1" allowOverlap="1" wp14:anchorId="188B94D4" wp14:editId="3DD9561E">
                <wp:simplePos x="0" y="0"/>
                <wp:positionH relativeFrom="page">
                  <wp:posOffset>1514475</wp:posOffset>
                </wp:positionH>
                <wp:positionV relativeFrom="paragraph">
                  <wp:posOffset>10160</wp:posOffset>
                </wp:positionV>
                <wp:extent cx="4686300" cy="0"/>
                <wp:effectExtent l="0" t="0" r="0" b="0"/>
                <wp:wrapNone/>
                <wp:docPr id="2" name="Conector recto 2"/>
                <wp:cNvGraphicFramePr/>
                <a:graphic xmlns:a="http://schemas.openxmlformats.org/drawingml/2006/main">
                  <a:graphicData uri="http://schemas.microsoft.com/office/word/2010/wordprocessingShape">
                    <wps:wsp>
                      <wps:cNvCnPr/>
                      <wps:spPr>
                        <a:xfrm>
                          <a:off x="0" y="0"/>
                          <a:ext cx="4686300" cy="0"/>
                        </a:xfrm>
                        <a:prstGeom prst="line">
                          <a:avLst/>
                        </a:prstGeom>
                        <a:noFill/>
                        <a:ln w="9525" cap="flat" cmpd="sng" algn="ctr">
                          <a:solidFill>
                            <a:srgbClr val="DBDBDB"/>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339D4992" id="Conector recto 2"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page" from="119.25pt,.8pt" to="488.2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cHotgEAAFkDAAAOAAAAZHJzL2Uyb0RvYy54bWysU9uO0zAQfUfiHyy/02QDWy1R05Votbwg&#10;qAR8wNRxEku+acY07d8zdrNlgTeEItkznvGZOceTzePZWXHSSCb4Tt6taim0V6E3fuzk929Pbx6k&#10;oAS+Bxu87uRFk3zcvn61mWOrmzAF22sUDOKpnWMnp5RiW1WkJu2AViFqz8EhoIPELo5VjzAzurNV&#10;U9frag7YRwxKE/Hp/hqU24I/DFqlL8NAOgnbSe4tlRXLesxrtd1AOyLEyailDfiHLhwYz0VvUHtI&#10;IH6g+QvKGYWBwpBWKrgqDINRunBgNnf1H2y+ThB14cLiULzJRP8PVn0+HVCYvpONFB4cP9GOH0ql&#10;gALzJpqs0Ryp5dSdP+DiUTxgJnwe0OWdqYhz0fVy01Wfk1B8+G79sH5bs/zqOVb9uhiR0kcdnMhG&#10;J63xmTK0cPpEiYtx6nNKPvbhyVhbns16MXfy/X1zz8jAwzNYSGy6yHTIj1KAHXkqVcKCSMGaPt/O&#10;OITjcWdRnIAnY/8hf5koV/stLZfeA03XvBJa0qzPMLrM2NJpVumqS7aOob8Uuars8fsV9GXW8oC8&#10;9Nl++UdsfwIAAP//AwBQSwMEFAAGAAgAAAAhANBIUp7ZAAAABwEAAA8AAABkcnMvZG93bnJldi54&#10;bWxMjsFOg0AURfcm/sPkmbizg9ViiwwNMXZtxMZ0OTCvgDJvkBko/r3PbnR5cm/uPel2tp2YcPCt&#10;IwW3iwgEUuVMS7WC/dvuZg3CB01Gd45QwTd62GaXF6lOjDvRK05FqAWPkE+0giaEPpHSVw1a7Reu&#10;R+Ls6AarA+NQSzPoE4/bTi6jKJZWt8QPje7xqcHqsxitgnF/2JUfhd+8UH4/9W3+vPp6j5S6vprz&#10;RxAB5/BXhl99VoeMnUo3kvGiU7C8W6+4ykEMgvPNQ8xcnllmqfzvn/0AAAD//wMAUEsBAi0AFAAG&#10;AAgAAAAhALaDOJL+AAAA4QEAABMAAAAAAAAAAAAAAAAAAAAAAFtDb250ZW50X1R5cGVzXS54bWxQ&#10;SwECLQAUAAYACAAAACEAOP0h/9YAAACUAQAACwAAAAAAAAAAAAAAAAAvAQAAX3JlbHMvLnJlbHNQ&#10;SwECLQAUAAYACAAAACEA+anB6LYBAABZAwAADgAAAAAAAAAAAAAAAAAuAgAAZHJzL2Uyb0RvYy54&#10;bWxQSwECLQAUAAYACAAAACEA0EhSntkAAAAHAQAADwAAAAAAAAAAAAAAAAAQBAAAZHJzL2Rvd25y&#10;ZXYueG1sUEsFBgAAAAAEAAQA8wAAABYFAAAAAA==&#10;" strokecolor="#dbdbdb">
                <w10:wrap anchorx="page"/>
              </v:line>
            </w:pict>
          </mc:Fallback>
        </mc:AlternateContent>
      </w:r>
      <w:r w:rsidRPr="00A02DEF">
        <w:rPr>
          <w:rFonts w:ascii="Arial" w:eastAsia="Times New Roman" w:hAnsi="Arial" w:cs="Arial"/>
          <w:sz w:val="22"/>
          <w:lang w:val="es-CO" w:eastAsia="es-CO"/>
        </w:rPr>
        <w:t>Atentamente,</w:t>
      </w:r>
    </w:p>
    <w:p w14:paraId="609C4887" w14:textId="596805C3" w:rsidR="00904CD9" w:rsidRPr="00A02DEF" w:rsidRDefault="006C604A" w:rsidP="00904CD9">
      <w:pPr>
        <w:jc w:val="center"/>
        <w:rPr>
          <w:rFonts w:ascii="Arial" w:eastAsia="Times New Roman" w:hAnsi="Arial" w:cs="Arial"/>
          <w:sz w:val="22"/>
          <w:lang w:val="es-CO" w:eastAsia="es-CO"/>
        </w:rPr>
      </w:pPr>
      <w:r w:rsidRPr="00E97533">
        <w:rPr>
          <w:rFonts w:ascii="Arial" w:hAnsi="Arial" w:cs="Arial"/>
          <w:noProof/>
          <w:sz w:val="18"/>
          <w:szCs w:val="18"/>
        </w:rPr>
        <w:drawing>
          <wp:inline distT="0" distB="0" distL="0" distR="0" wp14:anchorId="06B1F238" wp14:editId="6E0235ED">
            <wp:extent cx="2562216" cy="913765"/>
            <wp:effectExtent l="0" t="0" r="0" b="63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611799" cy="931448"/>
                    </a:xfrm>
                    <a:prstGeom prst="rect">
                      <a:avLst/>
                    </a:prstGeom>
                  </pic:spPr>
                </pic:pic>
              </a:graphicData>
            </a:graphic>
          </wp:inline>
        </w:drawing>
      </w:r>
      <w:r w:rsidR="00904CD9" w:rsidRPr="00A02DEF">
        <w:rPr>
          <w:rFonts w:ascii="Arial" w:hAnsi="Arial" w:cs="Arial"/>
          <w:noProof/>
          <w:lang w:val="es-CO"/>
        </w:rPr>
        <w:t xml:space="preserve"> </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FE0E9C" w:rsidRPr="00781A1B" w14:paraId="7A6A91A1" w14:textId="77777777" w:rsidTr="008A3FB9">
        <w:trPr>
          <w:trHeight w:val="315"/>
        </w:trPr>
        <w:tc>
          <w:tcPr>
            <w:tcW w:w="812" w:type="dxa"/>
            <w:vAlign w:val="center"/>
            <w:hideMark/>
          </w:tcPr>
          <w:p w14:paraId="56F58FD0" w14:textId="77777777" w:rsidR="00FE0E9C" w:rsidRPr="00781A1B" w:rsidRDefault="00FE0E9C" w:rsidP="008A3FB9">
            <w:pPr>
              <w:rPr>
                <w:rFonts w:ascii="Arial" w:eastAsia="Times New Roman" w:hAnsi="Arial" w:cs="Arial"/>
                <w:color w:val="000000" w:themeColor="text1"/>
                <w:sz w:val="16"/>
                <w:szCs w:val="16"/>
                <w:lang w:val="es-ES_tradnl" w:eastAsia="es-ES"/>
              </w:rPr>
            </w:pPr>
            <w:r w:rsidRPr="00781A1B">
              <w:rPr>
                <w:rFonts w:ascii="Arial" w:eastAsia="Times New Roman" w:hAnsi="Arial" w:cs="Arial"/>
                <w:color w:val="000000" w:themeColor="text1"/>
                <w:sz w:val="16"/>
                <w:szCs w:val="16"/>
                <w:lang w:val="es-ES_tradnl" w:eastAsia="es-ES"/>
              </w:rPr>
              <w:t>Elaboró:</w:t>
            </w:r>
          </w:p>
        </w:tc>
        <w:tc>
          <w:tcPr>
            <w:tcW w:w="4413" w:type="dxa"/>
            <w:tcBorders>
              <w:top w:val="nil"/>
              <w:left w:val="nil"/>
              <w:bottom w:val="dotted" w:sz="4" w:space="0" w:color="7F7F7F" w:themeColor="text1" w:themeTint="80"/>
              <w:right w:val="nil"/>
            </w:tcBorders>
            <w:vAlign w:val="center"/>
            <w:hideMark/>
          </w:tcPr>
          <w:p w14:paraId="259AF3AF" w14:textId="77777777" w:rsidR="00FE0E9C" w:rsidRPr="00781A1B" w:rsidRDefault="00FE0E9C" w:rsidP="008A3FB9">
            <w:pPr>
              <w:rPr>
                <w:rFonts w:ascii="Arial" w:eastAsia="Times New Roman" w:hAnsi="Arial" w:cs="Arial"/>
                <w:color w:val="000000" w:themeColor="text1"/>
                <w:sz w:val="16"/>
                <w:szCs w:val="16"/>
                <w:lang w:val="es-ES_tradnl" w:eastAsia="es-ES"/>
              </w:rPr>
            </w:pPr>
            <w:r w:rsidRPr="007452E0">
              <w:rPr>
                <w:rFonts w:ascii="Arial" w:eastAsia="Times New Roman" w:hAnsi="Arial" w:cs="Arial"/>
                <w:sz w:val="16"/>
                <w:szCs w:val="16"/>
                <w:lang w:eastAsia="es-CO"/>
              </w:rPr>
              <w:t>Alfredo Benavides Zarate</w:t>
            </w:r>
          </w:p>
          <w:p w14:paraId="4483413D" w14:textId="77777777" w:rsidR="00FE0E9C" w:rsidRPr="00781A1B" w:rsidRDefault="00FE0E9C" w:rsidP="008A3FB9">
            <w:pPr>
              <w:rPr>
                <w:rFonts w:ascii="Arial" w:eastAsia="Times New Roman" w:hAnsi="Arial" w:cs="Arial"/>
                <w:color w:val="000000" w:themeColor="text1"/>
                <w:sz w:val="16"/>
                <w:szCs w:val="16"/>
                <w:lang w:val="es-ES_tradnl" w:eastAsia="es-ES"/>
              </w:rPr>
            </w:pPr>
            <w:r>
              <w:rPr>
                <w:rFonts w:ascii="Arial" w:eastAsia="Times New Roman" w:hAnsi="Arial" w:cs="Arial"/>
                <w:color w:val="000000" w:themeColor="text1"/>
                <w:sz w:val="16"/>
                <w:szCs w:val="16"/>
                <w:lang w:val="es-ES_tradnl" w:eastAsia="es-ES"/>
              </w:rPr>
              <w:t xml:space="preserve">Contratista de la </w:t>
            </w:r>
            <w:r w:rsidRPr="00781A1B">
              <w:rPr>
                <w:rFonts w:ascii="Arial" w:eastAsia="Times New Roman" w:hAnsi="Arial" w:cs="Arial"/>
                <w:color w:val="000000" w:themeColor="text1"/>
                <w:sz w:val="16"/>
                <w:szCs w:val="16"/>
                <w:lang w:val="es-ES_tradnl" w:eastAsia="es-ES"/>
              </w:rPr>
              <w:t>Subdirección de Gestión Contractual</w:t>
            </w:r>
          </w:p>
        </w:tc>
      </w:tr>
      <w:tr w:rsidR="00FE0E9C" w:rsidRPr="00781A1B" w14:paraId="07771A78" w14:textId="77777777" w:rsidTr="008A3FB9">
        <w:trPr>
          <w:trHeight w:val="330"/>
        </w:trPr>
        <w:tc>
          <w:tcPr>
            <w:tcW w:w="812" w:type="dxa"/>
            <w:vAlign w:val="center"/>
            <w:hideMark/>
          </w:tcPr>
          <w:p w14:paraId="6561D0D6" w14:textId="77777777" w:rsidR="00FE0E9C" w:rsidRPr="00781A1B" w:rsidRDefault="00FE0E9C" w:rsidP="008A3FB9">
            <w:pPr>
              <w:rPr>
                <w:rFonts w:ascii="Arial" w:eastAsia="Times New Roman" w:hAnsi="Arial" w:cs="Arial"/>
                <w:color w:val="000000" w:themeColor="text1"/>
                <w:sz w:val="16"/>
                <w:szCs w:val="16"/>
                <w:lang w:val="es-ES_tradnl" w:eastAsia="es-ES"/>
              </w:rPr>
            </w:pPr>
            <w:r w:rsidRPr="00781A1B">
              <w:rPr>
                <w:rFonts w:ascii="Arial" w:eastAsia="Times New Roman" w:hAnsi="Arial" w:cs="Arial"/>
                <w:color w:val="000000" w:themeColor="text1"/>
                <w:sz w:val="16"/>
                <w:szCs w:val="16"/>
                <w:lang w:val="es-ES_tradnl" w:eastAsia="es-ES"/>
              </w:rPr>
              <w:t>Revisó: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74958B9D" w14:textId="77777777" w:rsidR="00FE0E9C" w:rsidRPr="00781A1B" w:rsidRDefault="00FE0E9C" w:rsidP="008A3FB9">
            <w:pPr>
              <w:rPr>
                <w:rFonts w:ascii="Arial" w:eastAsia="Times New Roman" w:hAnsi="Arial" w:cs="Arial"/>
                <w:color w:val="000000" w:themeColor="text1"/>
                <w:sz w:val="16"/>
                <w:szCs w:val="16"/>
                <w:lang w:val="es-ES_tradnl" w:eastAsia="es-ES"/>
              </w:rPr>
            </w:pPr>
            <w:r>
              <w:rPr>
                <w:rFonts w:ascii="Arial" w:eastAsia="Times New Roman" w:hAnsi="Arial" w:cs="Arial"/>
                <w:color w:val="000000" w:themeColor="text1"/>
                <w:sz w:val="16"/>
                <w:szCs w:val="16"/>
                <w:lang w:val="es-ES_tradnl" w:eastAsia="es-ES"/>
              </w:rPr>
              <w:t>Sebastián Ramírez Grisales</w:t>
            </w:r>
          </w:p>
          <w:p w14:paraId="2819F920" w14:textId="77777777" w:rsidR="00FE0E9C" w:rsidRPr="00781A1B" w:rsidRDefault="00FE0E9C" w:rsidP="008A3FB9">
            <w:pPr>
              <w:rPr>
                <w:rFonts w:ascii="Arial" w:eastAsia="Times New Roman" w:hAnsi="Arial" w:cs="Arial"/>
                <w:color w:val="000000" w:themeColor="text1"/>
                <w:sz w:val="16"/>
                <w:szCs w:val="16"/>
                <w:lang w:val="es-ES_tradnl" w:eastAsia="es-ES"/>
              </w:rPr>
            </w:pPr>
            <w:r>
              <w:rPr>
                <w:rFonts w:ascii="Arial" w:eastAsia="Times New Roman" w:hAnsi="Arial" w:cs="Arial"/>
                <w:color w:val="000000" w:themeColor="text1"/>
                <w:sz w:val="16"/>
                <w:szCs w:val="16"/>
                <w:lang w:val="es-ES_tradnl" w:eastAsia="es-ES"/>
              </w:rPr>
              <w:t xml:space="preserve">Gestor T1 – Grado 15 </w:t>
            </w:r>
            <w:r w:rsidRPr="00781A1B">
              <w:rPr>
                <w:rFonts w:ascii="Arial" w:eastAsia="Times New Roman" w:hAnsi="Arial" w:cs="Arial"/>
                <w:color w:val="000000" w:themeColor="text1"/>
                <w:sz w:val="16"/>
                <w:szCs w:val="16"/>
                <w:lang w:val="es-ES_tradnl" w:eastAsia="es-ES"/>
              </w:rPr>
              <w:t>Subdirección de Gestión Contractual</w:t>
            </w:r>
          </w:p>
        </w:tc>
      </w:tr>
      <w:tr w:rsidR="00FE0E9C" w:rsidRPr="00781A1B" w14:paraId="5699AAB8" w14:textId="77777777" w:rsidTr="008A3FB9">
        <w:trPr>
          <w:trHeight w:val="300"/>
        </w:trPr>
        <w:tc>
          <w:tcPr>
            <w:tcW w:w="812" w:type="dxa"/>
            <w:vAlign w:val="center"/>
            <w:hideMark/>
          </w:tcPr>
          <w:p w14:paraId="7F3F18E6" w14:textId="77777777" w:rsidR="00FE0E9C" w:rsidRPr="00781A1B" w:rsidRDefault="00FE0E9C" w:rsidP="008A3FB9">
            <w:pPr>
              <w:rPr>
                <w:rFonts w:ascii="Arial" w:eastAsia="Times New Roman" w:hAnsi="Arial" w:cs="Arial"/>
                <w:color w:val="000000" w:themeColor="text1"/>
                <w:sz w:val="16"/>
                <w:szCs w:val="16"/>
                <w:lang w:val="es-ES_tradnl" w:eastAsia="es-ES"/>
              </w:rPr>
            </w:pPr>
            <w:r w:rsidRPr="00781A1B">
              <w:rPr>
                <w:rFonts w:ascii="Arial" w:eastAsia="Times New Roman" w:hAnsi="Arial" w:cs="Arial"/>
                <w:color w:val="000000" w:themeColor="text1"/>
                <w:sz w:val="16"/>
                <w:szCs w:val="16"/>
                <w:lang w:val="es-ES_tradnl"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32AB2F4F" w14:textId="77777777" w:rsidR="00FE0E9C" w:rsidRPr="00781A1B" w:rsidRDefault="00FE0E9C" w:rsidP="008A3FB9">
            <w:pPr>
              <w:rPr>
                <w:rFonts w:ascii="Arial" w:eastAsia="Times New Roman" w:hAnsi="Arial" w:cs="Arial"/>
                <w:color w:val="000000" w:themeColor="text1"/>
                <w:sz w:val="16"/>
                <w:szCs w:val="16"/>
                <w:lang w:val="es-ES_tradnl" w:eastAsia="es-ES"/>
              </w:rPr>
            </w:pPr>
            <w:r>
              <w:rPr>
                <w:rFonts w:ascii="Arial" w:eastAsia="Times New Roman" w:hAnsi="Arial" w:cs="Arial"/>
                <w:color w:val="000000" w:themeColor="text1"/>
                <w:sz w:val="16"/>
                <w:szCs w:val="16"/>
                <w:lang w:val="es-ES_tradnl" w:eastAsia="es-ES"/>
              </w:rPr>
              <w:t>Jorge Augusto Tirado Navarro</w:t>
            </w:r>
          </w:p>
          <w:p w14:paraId="6C42B7FF" w14:textId="77777777" w:rsidR="00FE0E9C" w:rsidRPr="00781A1B" w:rsidRDefault="00FE0E9C" w:rsidP="008A3FB9">
            <w:pPr>
              <w:rPr>
                <w:rFonts w:ascii="Arial" w:eastAsia="Times New Roman" w:hAnsi="Arial" w:cs="Arial"/>
                <w:color w:val="000000" w:themeColor="text1"/>
                <w:sz w:val="16"/>
                <w:szCs w:val="16"/>
                <w:lang w:val="es-ES_tradnl" w:eastAsia="es-ES"/>
              </w:rPr>
            </w:pPr>
            <w:r w:rsidRPr="00781A1B">
              <w:rPr>
                <w:rFonts w:ascii="Arial" w:eastAsia="Times New Roman" w:hAnsi="Arial" w:cs="Arial"/>
                <w:color w:val="000000" w:themeColor="text1"/>
                <w:sz w:val="16"/>
                <w:szCs w:val="16"/>
                <w:lang w:val="es-ES_tradnl" w:eastAsia="es-ES"/>
              </w:rPr>
              <w:t xml:space="preserve">Subdirector </w:t>
            </w:r>
            <w:r>
              <w:rPr>
                <w:rFonts w:ascii="Arial" w:eastAsia="Times New Roman" w:hAnsi="Arial" w:cs="Arial"/>
                <w:color w:val="000000" w:themeColor="text1"/>
                <w:sz w:val="16"/>
                <w:szCs w:val="16"/>
                <w:lang w:val="es-ES_tradnl" w:eastAsia="es-ES"/>
              </w:rPr>
              <w:t>Gestión Contractual ANCP – CCE</w:t>
            </w:r>
          </w:p>
        </w:tc>
      </w:tr>
    </w:tbl>
    <w:p w14:paraId="7EBF297E" w14:textId="77777777" w:rsidR="007B0854" w:rsidRPr="00A02DEF" w:rsidRDefault="007B0854" w:rsidP="006C604A">
      <w:pPr>
        <w:rPr>
          <w:rFonts w:ascii="Arial" w:hAnsi="Arial" w:cs="Arial"/>
        </w:rPr>
      </w:pPr>
    </w:p>
    <w:sectPr w:rsidR="007B0854" w:rsidRPr="00A02DEF" w:rsidSect="005264AF">
      <w:headerReference w:type="default" r:id="rId13"/>
      <w:footerReference w:type="default" r:id="rId14"/>
      <w:pgSz w:w="12240" w:h="15840"/>
      <w:pgMar w:top="411" w:right="1750" w:bottom="1276"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F83B3F" w14:textId="77777777" w:rsidR="00424A5D" w:rsidRDefault="00424A5D">
      <w:r>
        <w:separator/>
      </w:r>
    </w:p>
  </w:endnote>
  <w:endnote w:type="continuationSeparator" w:id="0">
    <w:p w14:paraId="2FCD731F" w14:textId="77777777" w:rsidR="00424A5D" w:rsidRDefault="00424A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546881" w14:textId="77777777" w:rsidR="00EA3683" w:rsidRDefault="00EA3683" w:rsidP="00EA3683">
    <w:pPr>
      <w:pStyle w:val="Sinespaciado"/>
      <w:jc w:val="right"/>
      <w:rPr>
        <w:rFonts w:ascii="Arial" w:hAnsi="Arial" w:cs="Arial"/>
        <w:sz w:val="18"/>
        <w:szCs w:val="18"/>
      </w:rPr>
    </w:pPr>
  </w:p>
  <w:p w14:paraId="0C3A0398" w14:textId="77777777" w:rsidR="00EA3683" w:rsidRDefault="00EA3683" w:rsidP="00EA3683">
    <w:pPr>
      <w:pStyle w:val="Sinespaciado"/>
      <w:jc w:val="right"/>
      <w:rPr>
        <w:rFonts w:ascii="Arial" w:hAnsi="Arial" w:cs="Arial"/>
        <w:sz w:val="18"/>
        <w:szCs w:val="18"/>
      </w:rPr>
    </w:pPr>
  </w:p>
  <w:p w14:paraId="28A892D2" w14:textId="77777777" w:rsidR="00EA3683" w:rsidRPr="008217B7" w:rsidRDefault="00EA3683" w:rsidP="00EA3683">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sidR="00AE110F">
      <w:rPr>
        <w:rFonts w:ascii="Arial" w:hAnsi="Arial" w:cs="Arial"/>
        <w:b/>
        <w:bCs/>
        <w:noProof/>
        <w:color w:val="7F7F7F" w:themeColor="text1" w:themeTint="80"/>
        <w:sz w:val="16"/>
        <w:szCs w:val="16"/>
      </w:rPr>
      <w:t>1</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sidR="00AE110F">
      <w:rPr>
        <w:rFonts w:ascii="Arial" w:hAnsi="Arial" w:cs="Arial"/>
        <w:b/>
        <w:bCs/>
        <w:noProof/>
        <w:color w:val="7F7F7F" w:themeColor="text1" w:themeTint="80"/>
        <w:sz w:val="16"/>
        <w:szCs w:val="16"/>
      </w:rPr>
      <w:t>39</w:t>
    </w:r>
    <w:r w:rsidRPr="00084B97">
      <w:rPr>
        <w:rFonts w:ascii="Arial" w:hAnsi="Arial" w:cs="Arial"/>
        <w:b/>
        <w:bCs/>
        <w:color w:val="7F7F7F" w:themeColor="text1" w:themeTint="80"/>
        <w:sz w:val="16"/>
        <w:szCs w:val="16"/>
      </w:rPr>
      <w:fldChar w:fldCharType="end"/>
    </w:r>
  </w:p>
  <w:p w14:paraId="66154965" w14:textId="77777777" w:rsidR="00EA3683" w:rsidRDefault="00EA3683" w:rsidP="00EA3683">
    <w:pPr>
      <w:pStyle w:val="Piedepgina"/>
      <w:jc w:val="center"/>
      <w:rPr>
        <w:lang w:val="es-ES"/>
      </w:rPr>
    </w:pPr>
    <w:r>
      <w:rPr>
        <w:noProof/>
        <w:lang w:val="es-CO" w:eastAsia="es-CO"/>
      </w:rPr>
      <w:drawing>
        <wp:inline distT="0" distB="0" distL="0" distR="0" wp14:anchorId="59AD8FFE" wp14:editId="7279D71E">
          <wp:extent cx="3700130" cy="519139"/>
          <wp:effectExtent l="0" t="0" r="0" b="0"/>
          <wp:docPr id="9" name="Imagen 9"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9" descr="Text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3779589" cy="530287"/>
                  </a:xfrm>
                  <a:prstGeom prst="rect">
                    <a:avLst/>
                  </a:prstGeom>
                </pic:spPr>
              </pic:pic>
            </a:graphicData>
          </a:graphic>
        </wp:inline>
      </w:drawing>
    </w:r>
  </w:p>
  <w:p w14:paraId="645768A8" w14:textId="77777777" w:rsidR="008A3FB9" w:rsidRPr="007B0854" w:rsidRDefault="008A3FB9" w:rsidP="00A5235A">
    <w:pPr>
      <w:pStyle w:val="Piedepgina"/>
      <w:spacing w:line="120" w:lineRule="auto"/>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8A861C" w14:textId="77777777" w:rsidR="00424A5D" w:rsidRDefault="00424A5D">
      <w:r>
        <w:separator/>
      </w:r>
    </w:p>
  </w:footnote>
  <w:footnote w:type="continuationSeparator" w:id="0">
    <w:p w14:paraId="4398E639" w14:textId="77777777" w:rsidR="00424A5D" w:rsidRDefault="00424A5D">
      <w:r>
        <w:continuationSeparator/>
      </w:r>
    </w:p>
  </w:footnote>
  <w:footnote w:id="1">
    <w:p w14:paraId="4DEAC599" w14:textId="5881580C" w:rsidR="008A3FB9" w:rsidRPr="00321A13" w:rsidRDefault="008A3FB9" w:rsidP="005264AF">
      <w:pPr>
        <w:pStyle w:val="Textonotapie"/>
        <w:spacing w:after="0" w:line="240" w:lineRule="auto"/>
        <w:ind w:firstLine="709"/>
        <w:rPr>
          <w:rFonts w:ascii="Arial" w:hAnsi="Arial" w:cs="Arial"/>
          <w:sz w:val="19"/>
          <w:szCs w:val="19"/>
        </w:rPr>
      </w:pPr>
      <w:r w:rsidRPr="00321A13">
        <w:rPr>
          <w:rStyle w:val="Refdenotaalpie"/>
          <w:rFonts w:ascii="Arial" w:hAnsi="Arial" w:cs="Arial"/>
          <w:sz w:val="19"/>
          <w:szCs w:val="19"/>
        </w:rPr>
        <w:footnoteRef/>
      </w:r>
      <w:r w:rsidRPr="00321A13">
        <w:rPr>
          <w:rFonts w:ascii="Arial" w:hAnsi="Arial" w:cs="Arial"/>
          <w:sz w:val="19"/>
          <w:szCs w:val="19"/>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1066378B" w14:textId="48045EEB" w:rsidR="008A3FB9" w:rsidRPr="00321A13" w:rsidRDefault="008A3FB9" w:rsidP="005264AF">
      <w:pPr>
        <w:pStyle w:val="Textonotapie"/>
        <w:tabs>
          <w:tab w:val="left" w:pos="0"/>
        </w:tabs>
        <w:spacing w:after="0" w:line="240" w:lineRule="auto"/>
        <w:ind w:firstLine="709"/>
        <w:rPr>
          <w:rFonts w:ascii="Arial" w:hAnsi="Arial" w:cs="Arial"/>
          <w:sz w:val="19"/>
          <w:szCs w:val="19"/>
        </w:rPr>
      </w:pPr>
      <w:r w:rsidRPr="00321A13">
        <w:rPr>
          <w:rFonts w:ascii="Arial" w:hAnsi="Arial" w:cs="Arial"/>
          <w:sz w:val="19"/>
          <w:szCs w:val="19"/>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4525A19C" w14:textId="77777777" w:rsidR="008A3FB9" w:rsidRPr="00321A13" w:rsidRDefault="008A3FB9" w:rsidP="005264AF">
      <w:pPr>
        <w:pStyle w:val="Textonotapie"/>
        <w:spacing w:after="0" w:line="240" w:lineRule="auto"/>
        <w:ind w:firstLine="709"/>
        <w:rPr>
          <w:rFonts w:ascii="Arial" w:hAnsi="Arial" w:cs="Arial"/>
          <w:sz w:val="19"/>
          <w:szCs w:val="19"/>
        </w:rPr>
      </w:pPr>
    </w:p>
  </w:footnote>
  <w:footnote w:id="2">
    <w:p w14:paraId="063490B9" w14:textId="18C41A83" w:rsidR="008A3FB9" w:rsidRPr="00321A13" w:rsidRDefault="008A3FB9">
      <w:pPr>
        <w:pStyle w:val="Textonotapie"/>
        <w:spacing w:after="0" w:line="240" w:lineRule="auto"/>
        <w:ind w:firstLine="709"/>
        <w:rPr>
          <w:rFonts w:ascii="Arial" w:hAnsi="Arial" w:cs="Arial"/>
          <w:sz w:val="19"/>
          <w:szCs w:val="19"/>
        </w:rPr>
      </w:pPr>
      <w:r w:rsidRPr="00321A13">
        <w:rPr>
          <w:rStyle w:val="Refdenotaalpie"/>
          <w:rFonts w:ascii="Arial" w:hAnsi="Arial" w:cs="Arial"/>
          <w:sz w:val="19"/>
          <w:szCs w:val="19"/>
        </w:rPr>
        <w:footnoteRef/>
      </w:r>
      <w:r w:rsidRPr="00321A13">
        <w:rPr>
          <w:rFonts w:ascii="Arial" w:hAnsi="Arial" w:cs="Arial"/>
          <w:sz w:val="19"/>
          <w:szCs w:val="19"/>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3639D155" w14:textId="77777777" w:rsidR="009B646F" w:rsidRPr="00321A13" w:rsidRDefault="009B646F" w:rsidP="00FE32A0">
      <w:pPr>
        <w:pStyle w:val="Textonotapie"/>
        <w:spacing w:after="0" w:line="240" w:lineRule="auto"/>
        <w:ind w:firstLine="709"/>
        <w:rPr>
          <w:rFonts w:ascii="Arial" w:hAnsi="Arial" w:cs="Arial"/>
          <w:sz w:val="19"/>
          <w:szCs w:val="19"/>
          <w:lang w:val="es-CO"/>
        </w:rPr>
      </w:pPr>
    </w:p>
  </w:footnote>
  <w:footnote w:id="3">
    <w:p w14:paraId="07A67B7A" w14:textId="63207721" w:rsidR="008A3FB9" w:rsidRPr="00321A13" w:rsidRDefault="008A3FB9">
      <w:pPr>
        <w:pStyle w:val="Textonotapie"/>
        <w:spacing w:after="0" w:line="240" w:lineRule="auto"/>
        <w:ind w:firstLine="709"/>
        <w:rPr>
          <w:rFonts w:ascii="Arial" w:hAnsi="Arial" w:cs="Arial"/>
          <w:sz w:val="19"/>
          <w:szCs w:val="19"/>
          <w:lang w:val="es-CO"/>
        </w:rPr>
      </w:pPr>
      <w:r w:rsidRPr="00321A13">
        <w:rPr>
          <w:rStyle w:val="Refdenotaalpie"/>
          <w:rFonts w:ascii="Arial" w:hAnsi="Arial" w:cs="Arial"/>
          <w:sz w:val="19"/>
          <w:szCs w:val="19"/>
        </w:rPr>
        <w:footnoteRef/>
      </w:r>
      <w:r w:rsidRPr="00321A13">
        <w:rPr>
          <w:rFonts w:ascii="Arial" w:hAnsi="Arial" w:cs="Arial"/>
          <w:sz w:val="19"/>
          <w:szCs w:val="19"/>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6F87113D" w14:textId="77777777" w:rsidR="009B646F" w:rsidRPr="00321A13" w:rsidRDefault="009B646F" w:rsidP="00FE32A0">
      <w:pPr>
        <w:pStyle w:val="Textonotapie"/>
        <w:spacing w:after="0" w:line="240" w:lineRule="auto"/>
        <w:ind w:firstLine="709"/>
        <w:rPr>
          <w:rFonts w:ascii="Arial" w:hAnsi="Arial" w:cs="Arial"/>
          <w:sz w:val="19"/>
          <w:szCs w:val="19"/>
          <w:lang w:val="es-CO"/>
        </w:rPr>
      </w:pPr>
    </w:p>
  </w:footnote>
  <w:footnote w:id="4">
    <w:p w14:paraId="7412ACEF" w14:textId="67F527CC" w:rsidR="008A3FB9" w:rsidRPr="00321A13" w:rsidRDefault="008A3FB9" w:rsidP="00FE32A0">
      <w:pPr>
        <w:pStyle w:val="Textonotapie"/>
        <w:spacing w:after="0" w:line="240" w:lineRule="auto"/>
        <w:ind w:firstLine="709"/>
        <w:rPr>
          <w:rFonts w:ascii="Arial" w:hAnsi="Arial" w:cs="Arial"/>
          <w:sz w:val="19"/>
          <w:szCs w:val="19"/>
          <w:lang w:val="es-CO"/>
        </w:rPr>
      </w:pPr>
      <w:r w:rsidRPr="00321A13">
        <w:rPr>
          <w:rStyle w:val="Refdenotaalpie"/>
          <w:rFonts w:ascii="Arial" w:hAnsi="Arial" w:cs="Arial"/>
          <w:sz w:val="19"/>
          <w:szCs w:val="19"/>
        </w:rPr>
        <w:footnoteRef/>
      </w:r>
      <w:r w:rsidRPr="00321A13">
        <w:rPr>
          <w:rFonts w:ascii="Arial" w:hAnsi="Arial" w:cs="Arial"/>
          <w:sz w:val="19"/>
          <w:szCs w:val="19"/>
        </w:rPr>
        <w:t xml:space="preserve"> Consejo de Estado, Sala de Consulta y Servicio Civil de fecha  24 de julio de 2013, radicado 2166, Consejero Ponente Álvaro Namén Vargas.  </w:t>
      </w:r>
    </w:p>
  </w:footnote>
  <w:footnote w:id="5">
    <w:p w14:paraId="0C4EA281" w14:textId="78423949" w:rsidR="005264AF" w:rsidRPr="00321A13" w:rsidRDefault="008A3FB9">
      <w:pPr>
        <w:pStyle w:val="Textonotapie"/>
        <w:spacing w:after="0" w:line="240" w:lineRule="auto"/>
        <w:ind w:firstLine="709"/>
        <w:rPr>
          <w:rFonts w:ascii="Arial" w:hAnsi="Arial" w:cs="Arial"/>
          <w:sz w:val="19"/>
          <w:szCs w:val="19"/>
        </w:rPr>
      </w:pPr>
      <w:r w:rsidRPr="00321A13">
        <w:rPr>
          <w:rStyle w:val="Refdenotaalpie"/>
          <w:rFonts w:ascii="Arial" w:hAnsi="Arial" w:cs="Arial"/>
          <w:sz w:val="19"/>
          <w:szCs w:val="19"/>
        </w:rPr>
        <w:footnoteRef/>
      </w:r>
      <w:r w:rsidRPr="00321A13">
        <w:rPr>
          <w:rFonts w:ascii="Arial" w:hAnsi="Arial" w:cs="Arial"/>
          <w:sz w:val="19"/>
          <w:szCs w:val="19"/>
        </w:rPr>
        <w:t xml:space="preserve"> Consejo de Estado. Sala de Consulta y Servicio Civil. Concepto del 18 de febrero de 2010. Radicación 2010-00006-00(</w:t>
      </w:r>
      <w:proofErr w:type="gramStart"/>
      <w:r w:rsidRPr="00321A13">
        <w:rPr>
          <w:rFonts w:ascii="Arial" w:hAnsi="Arial" w:cs="Arial"/>
          <w:sz w:val="19"/>
          <w:szCs w:val="19"/>
        </w:rPr>
        <w:t>1985)A.</w:t>
      </w:r>
      <w:proofErr w:type="gramEnd"/>
    </w:p>
    <w:p w14:paraId="48631F8F" w14:textId="77777777" w:rsidR="008A3FB9" w:rsidRPr="00321A13" w:rsidRDefault="008A3FB9">
      <w:pPr>
        <w:pStyle w:val="Textonotapie"/>
        <w:spacing w:after="0" w:line="240" w:lineRule="auto"/>
        <w:ind w:firstLine="709"/>
        <w:rPr>
          <w:rFonts w:ascii="Arial" w:hAnsi="Arial" w:cs="Arial"/>
          <w:sz w:val="19"/>
          <w:szCs w:val="19"/>
          <w:lang w:val="es-CO"/>
        </w:rPr>
      </w:pPr>
    </w:p>
  </w:footnote>
  <w:footnote w:id="6">
    <w:p w14:paraId="3B22A3D4" w14:textId="68639CC8" w:rsidR="008A3FB9" w:rsidRPr="00321A13" w:rsidRDefault="008A3FB9" w:rsidP="00FE32A0">
      <w:pPr>
        <w:spacing w:after="0" w:line="240" w:lineRule="auto"/>
        <w:ind w:firstLine="709"/>
        <w:rPr>
          <w:rFonts w:ascii="Arial" w:hAnsi="Arial" w:cs="Arial"/>
          <w:sz w:val="19"/>
          <w:szCs w:val="19"/>
        </w:rPr>
      </w:pPr>
      <w:r w:rsidRPr="00321A13">
        <w:rPr>
          <w:rStyle w:val="Refdenotaalpie"/>
          <w:rFonts w:ascii="Arial" w:hAnsi="Arial" w:cs="Arial"/>
          <w:sz w:val="19"/>
          <w:szCs w:val="19"/>
        </w:rPr>
        <w:footnoteRef/>
      </w:r>
      <w:r w:rsidRPr="00321A13">
        <w:rPr>
          <w:rFonts w:ascii="Arial" w:hAnsi="Arial" w:cs="Arial"/>
          <w:sz w:val="19"/>
          <w:szCs w:val="19"/>
        </w:rPr>
        <w:t xml:space="preserve"> Ley 1150 de 2007, artículo 2: </w:t>
      </w:r>
      <w:r w:rsidR="009B646F" w:rsidRPr="00321A13">
        <w:rPr>
          <w:rFonts w:ascii="Arial" w:hAnsi="Arial" w:cs="Arial"/>
          <w:sz w:val="19"/>
          <w:szCs w:val="19"/>
        </w:rPr>
        <w:t>«</w:t>
      </w:r>
      <w:r w:rsidRPr="00321A13">
        <w:rPr>
          <w:rFonts w:ascii="Arial" w:hAnsi="Arial" w:cs="Arial"/>
          <w:sz w:val="19"/>
          <w:szCs w:val="19"/>
        </w:rPr>
        <w:t>La escogencia del contratista se efectuará con arreglo a las modalidades de selección de licitación pública, selección abreviada, concurso de méritos y contratación directa, con base en las siguientes reglas:</w:t>
      </w:r>
    </w:p>
    <w:p w14:paraId="3AF3D794" w14:textId="7CFC96D0" w:rsidR="008A3FB9" w:rsidRPr="00321A13" w:rsidRDefault="008A3FB9" w:rsidP="00FE32A0">
      <w:pPr>
        <w:spacing w:after="0" w:line="240" w:lineRule="auto"/>
        <w:ind w:firstLine="709"/>
        <w:rPr>
          <w:rFonts w:ascii="Arial" w:hAnsi="Arial" w:cs="Arial"/>
          <w:sz w:val="19"/>
          <w:szCs w:val="19"/>
        </w:rPr>
      </w:pPr>
      <w:r w:rsidRPr="00321A13">
        <w:rPr>
          <w:rFonts w:ascii="Arial" w:hAnsi="Arial" w:cs="Arial"/>
          <w:sz w:val="19"/>
          <w:szCs w:val="19"/>
        </w:rPr>
        <w:t>[…]</w:t>
      </w:r>
    </w:p>
    <w:p w14:paraId="61E2A84E" w14:textId="1F9C9C0F" w:rsidR="008A3FB9" w:rsidRPr="00321A13" w:rsidRDefault="009B646F" w:rsidP="00FE32A0">
      <w:pPr>
        <w:spacing w:after="0" w:line="240" w:lineRule="auto"/>
        <w:ind w:firstLine="709"/>
        <w:rPr>
          <w:rFonts w:ascii="Arial" w:hAnsi="Arial" w:cs="Arial"/>
          <w:sz w:val="19"/>
          <w:szCs w:val="19"/>
        </w:rPr>
      </w:pPr>
      <w:r w:rsidRPr="00321A13">
        <w:rPr>
          <w:rFonts w:ascii="Arial" w:hAnsi="Arial" w:cs="Arial"/>
          <w:sz w:val="19"/>
          <w:szCs w:val="19"/>
        </w:rPr>
        <w:t>»</w:t>
      </w:r>
      <w:r w:rsidR="008A3FB9" w:rsidRPr="00321A13">
        <w:rPr>
          <w:rFonts w:ascii="Arial" w:hAnsi="Arial" w:cs="Arial"/>
          <w:sz w:val="19"/>
          <w:szCs w:val="19"/>
        </w:rPr>
        <w:t>4. Contratación directa. La modalidad de selección de contratación directa, solamente procederá en los siguientes casos:</w:t>
      </w:r>
    </w:p>
    <w:p w14:paraId="0F069D32" w14:textId="77777777" w:rsidR="008A3FB9" w:rsidRPr="00321A13" w:rsidRDefault="008A3FB9" w:rsidP="00FE32A0">
      <w:pPr>
        <w:spacing w:after="0" w:line="240" w:lineRule="auto"/>
        <w:ind w:firstLine="709"/>
        <w:rPr>
          <w:rFonts w:ascii="Arial" w:hAnsi="Arial" w:cs="Arial"/>
          <w:sz w:val="19"/>
          <w:szCs w:val="19"/>
        </w:rPr>
      </w:pPr>
      <w:r w:rsidRPr="00321A13">
        <w:rPr>
          <w:rFonts w:ascii="Arial" w:hAnsi="Arial" w:cs="Arial"/>
          <w:sz w:val="19"/>
          <w:szCs w:val="19"/>
        </w:rPr>
        <w:t>[…]</w:t>
      </w:r>
    </w:p>
    <w:p w14:paraId="792FC798" w14:textId="7EBDA3F8" w:rsidR="008A3FB9" w:rsidRPr="00321A13" w:rsidRDefault="009B646F" w:rsidP="00FE32A0">
      <w:pPr>
        <w:spacing w:after="0" w:line="240" w:lineRule="auto"/>
        <w:ind w:firstLine="709"/>
        <w:rPr>
          <w:rFonts w:ascii="Arial" w:hAnsi="Arial" w:cs="Arial"/>
          <w:sz w:val="19"/>
          <w:szCs w:val="19"/>
        </w:rPr>
      </w:pPr>
      <w:r w:rsidRPr="00321A13">
        <w:rPr>
          <w:rFonts w:ascii="Arial" w:hAnsi="Arial" w:cs="Arial"/>
          <w:sz w:val="19"/>
          <w:szCs w:val="19"/>
        </w:rPr>
        <w:t>»</w:t>
      </w:r>
      <w:r w:rsidR="008A3FB9" w:rsidRPr="00321A13">
        <w:rPr>
          <w:rFonts w:ascii="Arial" w:hAnsi="Arial" w:cs="Arial"/>
          <w:sz w:val="19"/>
          <w:szCs w:val="19"/>
        </w:rPr>
        <w:t>h) Para la prestación de servicios profesionales y de apoyo a la gestión, o para la ejecución de trabajos artísticos que sólo puedan encomendarse a determinadas personas naturales</w:t>
      </w:r>
      <w:r w:rsidRPr="00321A13">
        <w:rPr>
          <w:rFonts w:ascii="Arial" w:hAnsi="Arial" w:cs="Arial"/>
          <w:sz w:val="19"/>
          <w:szCs w:val="19"/>
        </w:rPr>
        <w:t>»</w:t>
      </w:r>
      <w:r w:rsidR="008A3FB9" w:rsidRPr="00321A13">
        <w:rPr>
          <w:rFonts w:ascii="Arial" w:hAnsi="Arial" w:cs="Arial"/>
          <w:sz w:val="19"/>
          <w:szCs w:val="19"/>
        </w:rPr>
        <w:t>.</w:t>
      </w:r>
    </w:p>
    <w:p w14:paraId="39091E2F" w14:textId="77777777" w:rsidR="008A3FB9" w:rsidRPr="00321A13" w:rsidRDefault="008A3FB9" w:rsidP="00FE32A0">
      <w:pPr>
        <w:pStyle w:val="Textonotapie"/>
        <w:spacing w:after="0" w:line="240" w:lineRule="auto"/>
        <w:ind w:firstLine="709"/>
        <w:rPr>
          <w:rFonts w:ascii="Arial" w:hAnsi="Arial" w:cs="Arial"/>
          <w:sz w:val="19"/>
          <w:szCs w:val="19"/>
          <w:lang w:val="es-CO"/>
        </w:rPr>
      </w:pPr>
    </w:p>
  </w:footnote>
  <w:footnote w:id="7">
    <w:p w14:paraId="4C50B081" w14:textId="2A7966C0" w:rsidR="008A3FB9" w:rsidRPr="00321A13" w:rsidRDefault="008A3FB9" w:rsidP="00FE32A0">
      <w:pPr>
        <w:spacing w:after="0" w:line="240" w:lineRule="auto"/>
        <w:ind w:firstLine="709"/>
        <w:rPr>
          <w:rFonts w:ascii="Arial" w:hAnsi="Arial" w:cs="Arial"/>
          <w:sz w:val="19"/>
          <w:szCs w:val="19"/>
        </w:rPr>
      </w:pPr>
      <w:r w:rsidRPr="00321A13">
        <w:rPr>
          <w:rStyle w:val="Refdenotaalpie"/>
          <w:rFonts w:ascii="Arial" w:hAnsi="Arial" w:cs="Arial"/>
          <w:sz w:val="19"/>
          <w:szCs w:val="19"/>
        </w:rPr>
        <w:footnoteRef/>
      </w:r>
      <w:r w:rsidRPr="00321A13">
        <w:rPr>
          <w:rFonts w:ascii="Arial" w:hAnsi="Arial" w:cs="Arial"/>
          <w:sz w:val="19"/>
          <w:szCs w:val="19"/>
        </w:rPr>
        <w:t xml:space="preserve"> No existe pluralidad de oferentes cuando sólo hay una persona que pueda proveer el bien o servicio, bien sea por ser el titular de los derechos de propiedad industrial o de los derechos de autor, bien sea por ser el proveedor exclusivo en el territorio nacional, de conformidad con el artículo 2.2.1.2.1.4.8 del Decreto 1082 de 2015.</w:t>
      </w:r>
    </w:p>
    <w:p w14:paraId="0BC941C3" w14:textId="77777777" w:rsidR="008A3FB9" w:rsidRPr="00321A13" w:rsidRDefault="008A3FB9" w:rsidP="00FE32A0">
      <w:pPr>
        <w:spacing w:after="0" w:line="240" w:lineRule="auto"/>
        <w:ind w:firstLine="709"/>
        <w:rPr>
          <w:rFonts w:ascii="Arial" w:hAnsi="Arial" w:cs="Arial"/>
          <w:sz w:val="19"/>
          <w:szCs w:val="19"/>
          <w:lang w:val="es-CO"/>
        </w:rPr>
      </w:pPr>
    </w:p>
  </w:footnote>
  <w:footnote w:id="8">
    <w:p w14:paraId="0B49E1CE" w14:textId="0E679DA2" w:rsidR="008A3FB9" w:rsidRPr="00321A13" w:rsidRDefault="008A3FB9" w:rsidP="00FE32A0">
      <w:pPr>
        <w:spacing w:after="0" w:line="240" w:lineRule="auto"/>
        <w:ind w:firstLine="709"/>
        <w:rPr>
          <w:rFonts w:ascii="Arial" w:hAnsi="Arial" w:cs="Arial"/>
          <w:sz w:val="19"/>
          <w:szCs w:val="19"/>
        </w:rPr>
      </w:pPr>
      <w:r w:rsidRPr="00321A13">
        <w:rPr>
          <w:rStyle w:val="Refdenotaalpie"/>
          <w:rFonts w:ascii="Arial" w:hAnsi="Arial" w:cs="Arial"/>
          <w:sz w:val="19"/>
          <w:szCs w:val="19"/>
        </w:rPr>
        <w:footnoteRef/>
      </w:r>
      <w:r w:rsidRPr="00321A13">
        <w:rPr>
          <w:rFonts w:ascii="Arial" w:hAnsi="Arial" w:cs="Arial"/>
          <w:sz w:val="19"/>
          <w:szCs w:val="19"/>
        </w:rPr>
        <w:t xml:space="preserve"> Los contratos de prestación de servicios profesionales y de apoyo a la gestión son aquellos de naturaleza intelectual que se derivan del cumplimiento de funciones de la Administración, como los relacionados con actividades operativas, logísticas o asistenciales, de conformidad con el artículo 2.2.1.2.1.4.9 del Decreto 1082 de</w:t>
      </w:r>
      <w:r w:rsidRPr="00321A13">
        <w:rPr>
          <w:rFonts w:ascii="Arial" w:hAnsi="Arial" w:cs="Arial"/>
          <w:spacing w:val="-5"/>
          <w:sz w:val="19"/>
          <w:szCs w:val="19"/>
        </w:rPr>
        <w:t xml:space="preserve"> </w:t>
      </w:r>
      <w:r w:rsidRPr="00321A13">
        <w:rPr>
          <w:rFonts w:ascii="Arial" w:hAnsi="Arial" w:cs="Arial"/>
          <w:sz w:val="19"/>
          <w:szCs w:val="19"/>
        </w:rPr>
        <w:t>2015.</w:t>
      </w:r>
    </w:p>
    <w:p w14:paraId="2F7DFB31" w14:textId="77777777" w:rsidR="00B37F90" w:rsidRPr="00321A13" w:rsidRDefault="00B37F90" w:rsidP="00FE32A0">
      <w:pPr>
        <w:spacing w:after="0" w:line="240" w:lineRule="auto"/>
        <w:ind w:firstLine="709"/>
        <w:rPr>
          <w:rFonts w:ascii="Arial" w:hAnsi="Arial" w:cs="Arial"/>
          <w:sz w:val="19"/>
          <w:szCs w:val="19"/>
          <w:lang w:val="es-CO"/>
        </w:rPr>
      </w:pPr>
    </w:p>
  </w:footnote>
  <w:footnote w:id="9">
    <w:p w14:paraId="6B617113" w14:textId="4C4869D6" w:rsidR="008A3FB9" w:rsidRPr="00321A13" w:rsidRDefault="008A3FB9" w:rsidP="00FE32A0">
      <w:pPr>
        <w:pStyle w:val="Textonotapie"/>
        <w:spacing w:after="0" w:line="240" w:lineRule="auto"/>
        <w:ind w:firstLine="709"/>
        <w:rPr>
          <w:rFonts w:ascii="Arial" w:hAnsi="Arial" w:cs="Arial"/>
          <w:color w:val="000000" w:themeColor="text1"/>
          <w:sz w:val="19"/>
          <w:szCs w:val="19"/>
        </w:rPr>
      </w:pPr>
      <w:r w:rsidRPr="00321A13">
        <w:rPr>
          <w:rStyle w:val="Refdenotaalpie"/>
          <w:rFonts w:ascii="Arial" w:hAnsi="Arial" w:cs="Arial"/>
          <w:color w:val="000000" w:themeColor="text1"/>
          <w:sz w:val="19"/>
          <w:szCs w:val="19"/>
        </w:rPr>
        <w:footnoteRef/>
      </w:r>
      <w:r w:rsidRPr="00321A13">
        <w:rPr>
          <w:rFonts w:ascii="Arial" w:hAnsi="Arial" w:cs="Arial"/>
          <w:color w:val="000000" w:themeColor="text1"/>
          <w:sz w:val="19"/>
          <w:szCs w:val="19"/>
        </w:rPr>
        <w:t xml:space="preserve"> Consejo de Estado. Sala de consulta y servicio civil. Sentencia del 20 de febrero de 2006. Radicado No. 1.727. Consejero Ponente: Enrique José Arboleda Perdomo.</w:t>
      </w:r>
    </w:p>
  </w:footnote>
  <w:footnote w:id="10">
    <w:p w14:paraId="06E60406" w14:textId="50020B35" w:rsidR="00321A13" w:rsidRPr="00FE32A0" w:rsidRDefault="00321A13" w:rsidP="00FE32A0">
      <w:pPr>
        <w:pStyle w:val="Textonotapie"/>
        <w:spacing w:after="0" w:line="240" w:lineRule="auto"/>
        <w:ind w:firstLine="709"/>
        <w:rPr>
          <w:rFonts w:ascii="Arial" w:hAnsi="Arial" w:cs="Arial"/>
          <w:sz w:val="19"/>
          <w:szCs w:val="19"/>
        </w:rPr>
      </w:pPr>
      <w:r w:rsidRPr="00FE32A0">
        <w:rPr>
          <w:rStyle w:val="Refdenotaalpie"/>
          <w:rFonts w:ascii="Arial" w:hAnsi="Arial" w:cs="Arial"/>
          <w:sz w:val="19"/>
          <w:szCs w:val="19"/>
        </w:rPr>
        <w:footnoteRef/>
      </w:r>
      <w:r w:rsidRPr="00FE32A0">
        <w:rPr>
          <w:rFonts w:ascii="Arial" w:hAnsi="Arial" w:cs="Arial"/>
          <w:sz w:val="19"/>
          <w:szCs w:val="19"/>
        </w:rPr>
        <w:t xml:space="preserve"> CONSEJO DE ESTADO. Sala de Consulta y Servicio Civil. Concepto del 08 de mayo de 2018. Exp. 2.382. C.P. Álvaro Namén Vargas.</w:t>
      </w:r>
    </w:p>
  </w:footnote>
  <w:footnote w:id="11">
    <w:p w14:paraId="017215FD" w14:textId="2696EB79" w:rsidR="008A3FB9" w:rsidRPr="00321A13" w:rsidRDefault="008A3FB9" w:rsidP="00FE32A0">
      <w:pPr>
        <w:pStyle w:val="Textonotapie"/>
        <w:spacing w:after="0" w:line="240" w:lineRule="auto"/>
        <w:ind w:firstLine="709"/>
        <w:rPr>
          <w:rFonts w:ascii="Arial" w:hAnsi="Arial" w:cs="Arial"/>
          <w:color w:val="000000" w:themeColor="text1"/>
          <w:sz w:val="19"/>
          <w:szCs w:val="19"/>
          <w:lang w:val="es-ES"/>
        </w:rPr>
      </w:pPr>
      <w:r w:rsidRPr="00321A13">
        <w:rPr>
          <w:rStyle w:val="Refdenotaalpie"/>
          <w:rFonts w:ascii="Arial" w:hAnsi="Arial" w:cs="Arial"/>
          <w:color w:val="000000" w:themeColor="text1"/>
          <w:sz w:val="19"/>
          <w:szCs w:val="19"/>
        </w:rPr>
        <w:footnoteRef/>
      </w:r>
      <w:r w:rsidRPr="00321A13">
        <w:rPr>
          <w:rFonts w:ascii="Arial" w:hAnsi="Arial" w:cs="Arial"/>
          <w:color w:val="000000" w:themeColor="text1"/>
          <w:sz w:val="19"/>
          <w:szCs w:val="19"/>
        </w:rPr>
        <w:t xml:space="preserve"> En sitio web: https://www.who.int/es/news-room/detail/16-03-2020-icc-who-joint-statement-an-unprecedented-private-sector-call-to-action-to-tackle-covid-19.</w:t>
      </w:r>
    </w:p>
  </w:footnote>
  <w:footnote w:id="12">
    <w:p w14:paraId="10C2309A" w14:textId="77777777" w:rsidR="008A3FB9" w:rsidRPr="00321A13" w:rsidRDefault="008A3FB9" w:rsidP="00FE32A0">
      <w:pPr>
        <w:pStyle w:val="Textonotapie"/>
        <w:spacing w:after="0" w:line="240" w:lineRule="auto"/>
        <w:ind w:firstLine="709"/>
        <w:rPr>
          <w:rFonts w:ascii="Arial" w:hAnsi="Arial" w:cs="Arial"/>
          <w:color w:val="000000" w:themeColor="text1"/>
          <w:sz w:val="19"/>
          <w:szCs w:val="19"/>
          <w:lang w:val="es-ES"/>
        </w:rPr>
      </w:pPr>
      <w:r w:rsidRPr="00321A13">
        <w:rPr>
          <w:rStyle w:val="Refdenotaalpie"/>
          <w:rFonts w:ascii="Arial" w:hAnsi="Arial" w:cs="Arial"/>
          <w:color w:val="000000" w:themeColor="text1"/>
          <w:sz w:val="19"/>
          <w:szCs w:val="19"/>
        </w:rPr>
        <w:footnoteRef/>
      </w:r>
      <w:r w:rsidRPr="00321A13">
        <w:rPr>
          <w:rFonts w:ascii="Arial" w:hAnsi="Arial" w:cs="Arial"/>
          <w:color w:val="000000" w:themeColor="text1"/>
          <w:sz w:val="19"/>
          <w:szCs w:val="19"/>
        </w:rPr>
        <w:t xml:space="preserve"> </w:t>
      </w:r>
      <w:r w:rsidRPr="00321A13">
        <w:rPr>
          <w:rFonts w:ascii="Arial" w:hAnsi="Arial" w:cs="Arial"/>
          <w:color w:val="000000" w:themeColor="text1"/>
          <w:sz w:val="19"/>
          <w:szCs w:val="19"/>
          <w:lang w:val="es-ES"/>
        </w:rPr>
        <w:t>En sitio web: https://www.minsalud.gov.co/Paginas/Colombia-confirma-su-primer-caso-de-COVID-19.aspx.</w:t>
      </w:r>
    </w:p>
  </w:footnote>
  <w:footnote w:id="13">
    <w:p w14:paraId="04CF4570" w14:textId="77777777" w:rsidR="008A3FB9" w:rsidRPr="00321A13" w:rsidRDefault="008A3FB9" w:rsidP="00FE32A0">
      <w:pPr>
        <w:pStyle w:val="Textonotapie"/>
        <w:spacing w:after="0" w:line="240" w:lineRule="auto"/>
        <w:ind w:firstLine="709"/>
        <w:rPr>
          <w:rFonts w:ascii="Arial" w:hAnsi="Arial" w:cs="Arial"/>
          <w:color w:val="000000" w:themeColor="text1"/>
          <w:sz w:val="19"/>
          <w:szCs w:val="19"/>
        </w:rPr>
      </w:pPr>
      <w:r w:rsidRPr="00321A13">
        <w:rPr>
          <w:rStyle w:val="Refdenotaalpie"/>
          <w:rFonts w:ascii="Arial" w:hAnsi="Arial" w:cs="Arial"/>
          <w:color w:val="000000" w:themeColor="text1"/>
          <w:sz w:val="19"/>
          <w:szCs w:val="19"/>
        </w:rPr>
        <w:footnoteRef/>
      </w:r>
      <w:r w:rsidRPr="00321A13">
        <w:rPr>
          <w:rFonts w:ascii="Arial" w:hAnsi="Arial" w:cs="Arial"/>
          <w:color w:val="000000" w:themeColor="text1"/>
          <w:sz w:val="19"/>
          <w:szCs w:val="19"/>
        </w:rPr>
        <w:t xml:space="preserve"> Artículo 215: «Cuando sobrevengan hechos distintos de los previstos en los artículos 212 y 213 que perturben o amenacen perturbar en forma grave e inminente el orden económico, social y ecológico del país, o que constituyan grave calamidad pública, podrá el Presidente, con la firma de todos los ministros, declarar el Estado de Emergencia por períodos hasta de treinta días en cada caso, que sumados no podrán exceder de noventa días en el año calendario.</w:t>
      </w:r>
    </w:p>
    <w:p w14:paraId="1EA78F3A" w14:textId="77777777" w:rsidR="008A3FB9" w:rsidRPr="00321A13" w:rsidRDefault="008A3FB9" w:rsidP="00FE32A0">
      <w:pPr>
        <w:pStyle w:val="Textonotapie"/>
        <w:spacing w:after="0" w:line="240" w:lineRule="auto"/>
        <w:ind w:firstLine="709"/>
        <w:rPr>
          <w:rFonts w:ascii="Arial" w:hAnsi="Arial" w:cs="Arial"/>
          <w:color w:val="000000" w:themeColor="text1"/>
          <w:sz w:val="19"/>
          <w:szCs w:val="19"/>
        </w:rPr>
      </w:pPr>
      <w:r w:rsidRPr="00321A13">
        <w:rPr>
          <w:rFonts w:ascii="Arial" w:hAnsi="Arial" w:cs="Arial"/>
          <w:color w:val="000000" w:themeColor="text1"/>
          <w:sz w:val="19"/>
          <w:szCs w:val="19"/>
        </w:rPr>
        <w:t>[…]».</w:t>
      </w:r>
    </w:p>
    <w:p w14:paraId="1D2E6260" w14:textId="77777777" w:rsidR="008A3FB9" w:rsidRPr="00321A13" w:rsidRDefault="008A3FB9" w:rsidP="00FE32A0">
      <w:pPr>
        <w:pStyle w:val="Textonotapie"/>
        <w:spacing w:after="0" w:line="240" w:lineRule="auto"/>
        <w:ind w:firstLine="709"/>
        <w:rPr>
          <w:rFonts w:ascii="Arial" w:hAnsi="Arial" w:cs="Arial"/>
          <w:color w:val="000000" w:themeColor="text1"/>
          <w:sz w:val="19"/>
          <w:szCs w:val="19"/>
          <w:lang w:val="es-ES"/>
        </w:rPr>
      </w:pPr>
    </w:p>
  </w:footnote>
  <w:footnote w:id="14">
    <w:p w14:paraId="030CC5AF" w14:textId="248EC54E" w:rsidR="008A3FB9" w:rsidRPr="00FE32A0" w:rsidRDefault="008A3FB9" w:rsidP="00FE32A0">
      <w:pPr>
        <w:pStyle w:val="Textonotapie"/>
        <w:spacing w:after="0" w:line="240" w:lineRule="auto"/>
        <w:rPr>
          <w:rFonts w:ascii="Arial" w:hAnsi="Arial" w:cs="Arial"/>
          <w:sz w:val="19"/>
          <w:szCs w:val="19"/>
          <w:lang w:val="es-CO"/>
        </w:rPr>
      </w:pPr>
      <w:r w:rsidRPr="00FE32A0">
        <w:rPr>
          <w:rStyle w:val="Refdenotaalpie"/>
          <w:rFonts w:ascii="Arial" w:hAnsi="Arial" w:cs="Arial"/>
          <w:sz w:val="19"/>
          <w:szCs w:val="19"/>
        </w:rPr>
        <w:footnoteRef/>
      </w:r>
      <w:r w:rsidRPr="00FE32A0">
        <w:rPr>
          <w:rFonts w:ascii="Arial" w:hAnsi="Arial" w:cs="Arial"/>
          <w:sz w:val="19"/>
          <w:szCs w:val="19"/>
        </w:rPr>
        <w:t xml:space="preserve"> Así lo dispone el artículo 11 del Decreto 537 de 2020.</w:t>
      </w:r>
    </w:p>
  </w:footnote>
  <w:footnote w:id="15">
    <w:p w14:paraId="6186019F" w14:textId="7C0DB926" w:rsidR="008A3FB9" w:rsidRPr="00321A13" w:rsidRDefault="008A3FB9">
      <w:pPr>
        <w:pStyle w:val="Textonotapie"/>
        <w:spacing w:after="0" w:line="240" w:lineRule="auto"/>
        <w:ind w:firstLine="708"/>
        <w:rPr>
          <w:rFonts w:ascii="Arial" w:hAnsi="Arial" w:cs="Arial"/>
          <w:sz w:val="19"/>
          <w:szCs w:val="19"/>
        </w:rPr>
      </w:pPr>
      <w:r w:rsidRPr="00321A13">
        <w:rPr>
          <w:rStyle w:val="Refdenotaalpie"/>
          <w:rFonts w:ascii="Arial" w:hAnsi="Arial" w:cs="Arial"/>
          <w:sz w:val="19"/>
          <w:szCs w:val="19"/>
        </w:rPr>
        <w:footnoteRef/>
      </w:r>
      <w:r w:rsidRPr="00321A13">
        <w:rPr>
          <w:rFonts w:ascii="Arial" w:hAnsi="Arial" w:cs="Arial"/>
          <w:sz w:val="19"/>
          <w:szCs w:val="19"/>
        </w:rPr>
        <w:t xml:space="preserve"> Magistrado Ponente: Alejandro Linares Cantillo.</w:t>
      </w:r>
    </w:p>
    <w:p w14:paraId="3584D3D4" w14:textId="77777777" w:rsidR="009B646F" w:rsidRPr="00321A13" w:rsidRDefault="009B646F" w:rsidP="00FE32A0">
      <w:pPr>
        <w:pStyle w:val="Textonotapie"/>
        <w:spacing w:after="0" w:line="240" w:lineRule="auto"/>
        <w:ind w:firstLine="708"/>
        <w:rPr>
          <w:rFonts w:ascii="Arial" w:hAnsi="Arial" w:cs="Arial"/>
          <w:sz w:val="19"/>
          <w:szCs w:val="19"/>
        </w:rPr>
      </w:pPr>
    </w:p>
  </w:footnote>
  <w:footnote w:id="16">
    <w:p w14:paraId="6CF924E6" w14:textId="77777777" w:rsidR="008A3FB9" w:rsidRPr="00321A13" w:rsidRDefault="008A3FB9" w:rsidP="00FE32A0">
      <w:pPr>
        <w:spacing w:after="0" w:line="240" w:lineRule="auto"/>
        <w:ind w:firstLine="708"/>
        <w:rPr>
          <w:rFonts w:ascii="Arial" w:eastAsia="Calibri" w:hAnsi="Arial" w:cs="Arial"/>
          <w:color w:val="000000" w:themeColor="text1"/>
          <w:sz w:val="19"/>
          <w:szCs w:val="19"/>
          <w:lang w:val="es-ES_tradnl"/>
        </w:rPr>
      </w:pPr>
      <w:r w:rsidRPr="00321A13">
        <w:rPr>
          <w:rStyle w:val="Refdenotaalpie"/>
          <w:rFonts w:ascii="Arial" w:hAnsi="Arial" w:cs="Arial"/>
          <w:color w:val="000000" w:themeColor="text1"/>
          <w:sz w:val="19"/>
          <w:szCs w:val="19"/>
        </w:rPr>
        <w:footnoteRef/>
      </w:r>
      <w:r w:rsidRPr="00321A13">
        <w:rPr>
          <w:rFonts w:ascii="Arial" w:hAnsi="Arial" w:cs="Arial"/>
          <w:color w:val="000000" w:themeColor="text1"/>
          <w:sz w:val="19"/>
          <w:szCs w:val="19"/>
        </w:rPr>
        <w:t xml:space="preserve"> </w:t>
      </w:r>
      <w:r w:rsidRPr="00321A13">
        <w:rPr>
          <w:rFonts w:ascii="Arial" w:eastAsia="Calibri" w:hAnsi="Arial" w:cs="Arial"/>
          <w:color w:val="000000" w:themeColor="text1"/>
          <w:sz w:val="19"/>
          <w:szCs w:val="19"/>
          <w:lang w:val="es-ES_tradnl"/>
        </w:rPr>
        <w:t>En resumen, la jurisprudencia explica que la urgencia manifiesta procede: «[...] en aquellos eventos en los cuales puede suscitarse la necesidad de remediar o evitar males presentes o futuros pero inminentes, provocados bien sea en virtud de los estados de excepción, o por la paralización de los servicios públicos, o provenientes de situaciones de calamidad o hechos constitutivos de fuerza mayor o desastres, o cualquier otra circunstancia similar que tampoco dé espera en su solución, de tal manera que resulte inconveniente el trámite del proceso licitatorio de selección de contratistas reglado en el estatuto contractual, por cuanto implica el agotamiento de una serie de etapas que se toman su tiempo y hacen más o menos largo el lapso para adjudicar el respectivo contrato, circunstancia que, frente a una situación de urgencia obviamente resulta entorpecedora, porque la solución en estas condiciones, puede llegar tardíamente, cuando ya se haya producido o agravado el daño» (</w:t>
      </w:r>
      <w:r w:rsidRPr="00321A13">
        <w:rPr>
          <w:rFonts w:ascii="Arial" w:hAnsi="Arial" w:cs="Arial"/>
          <w:color w:val="000000" w:themeColor="text1"/>
          <w:sz w:val="19"/>
          <w:szCs w:val="19"/>
        </w:rPr>
        <w:t xml:space="preserve">CONSEJO DE ESTADO. Sección Tercera. Sentencia del 27 de abril de 2006. Rad. 5.229. C.P. Ramiro Saavedra Becerra). </w:t>
      </w:r>
    </w:p>
  </w:footnote>
  <w:footnote w:id="17">
    <w:p w14:paraId="2D097A3A" w14:textId="77777777" w:rsidR="008A3FB9" w:rsidRPr="00321A13" w:rsidRDefault="008A3FB9" w:rsidP="00FE32A0">
      <w:pPr>
        <w:pStyle w:val="Textonotapie"/>
        <w:spacing w:after="0" w:line="240" w:lineRule="auto"/>
        <w:ind w:firstLine="709"/>
        <w:rPr>
          <w:rFonts w:ascii="Arial" w:hAnsi="Arial" w:cs="Arial"/>
          <w:color w:val="000000" w:themeColor="text1"/>
          <w:sz w:val="19"/>
          <w:szCs w:val="19"/>
        </w:rPr>
      </w:pPr>
    </w:p>
    <w:p w14:paraId="5FA2C17C" w14:textId="77777777" w:rsidR="008A3FB9" w:rsidRPr="00321A13" w:rsidRDefault="008A3FB9" w:rsidP="00FE32A0">
      <w:pPr>
        <w:pStyle w:val="Textonotapie"/>
        <w:spacing w:after="0" w:line="240" w:lineRule="auto"/>
        <w:ind w:firstLine="709"/>
        <w:rPr>
          <w:rFonts w:ascii="Arial" w:hAnsi="Arial" w:cs="Arial"/>
          <w:color w:val="000000" w:themeColor="text1"/>
          <w:sz w:val="19"/>
          <w:szCs w:val="19"/>
          <w:lang w:val="es-ES"/>
        </w:rPr>
      </w:pPr>
      <w:r w:rsidRPr="00321A13">
        <w:rPr>
          <w:rStyle w:val="Refdenotaalpie"/>
          <w:rFonts w:ascii="Arial" w:hAnsi="Arial" w:cs="Arial"/>
          <w:color w:val="000000" w:themeColor="text1"/>
          <w:sz w:val="19"/>
          <w:szCs w:val="19"/>
        </w:rPr>
        <w:footnoteRef/>
      </w:r>
      <w:r w:rsidRPr="00321A13">
        <w:rPr>
          <w:rFonts w:ascii="Arial" w:hAnsi="Arial" w:cs="Arial"/>
          <w:color w:val="000000" w:themeColor="text1"/>
          <w:sz w:val="19"/>
          <w:szCs w:val="19"/>
        </w:rPr>
        <w:t xml:space="preserve"> </w:t>
      </w:r>
      <w:r w:rsidRPr="00321A13">
        <w:rPr>
          <w:rFonts w:ascii="Arial" w:hAnsi="Arial" w:cs="Arial"/>
          <w:color w:val="000000" w:themeColor="text1"/>
          <w:sz w:val="19"/>
          <w:szCs w:val="19"/>
          <w:lang w:val="es-ES"/>
        </w:rPr>
        <w:t>CORTE CONSTITUCIONAL. Sentencia C-772 de 1998. M.P. Fabio Morón Díaz.</w:t>
      </w:r>
    </w:p>
  </w:footnote>
  <w:footnote w:id="18">
    <w:p w14:paraId="053929E4" w14:textId="77777777" w:rsidR="009A3BE0" w:rsidRPr="00321A13" w:rsidRDefault="009A3BE0" w:rsidP="00FE32A0">
      <w:pPr>
        <w:pStyle w:val="Textonotapie"/>
        <w:spacing w:after="0" w:line="240" w:lineRule="auto"/>
        <w:ind w:firstLine="708"/>
        <w:rPr>
          <w:rFonts w:ascii="Arial" w:hAnsi="Arial" w:cs="Arial"/>
          <w:sz w:val="19"/>
          <w:szCs w:val="19"/>
        </w:rPr>
      </w:pPr>
      <w:r w:rsidRPr="00321A13">
        <w:rPr>
          <w:rStyle w:val="Refdenotaalpie"/>
          <w:rFonts w:ascii="Arial" w:hAnsi="Arial" w:cs="Arial"/>
          <w:sz w:val="19"/>
          <w:szCs w:val="19"/>
        </w:rPr>
        <w:footnoteRef/>
      </w:r>
      <w:r w:rsidRPr="00321A13">
        <w:rPr>
          <w:rFonts w:ascii="Arial" w:hAnsi="Arial" w:cs="Arial"/>
          <w:sz w:val="19"/>
          <w:szCs w:val="19"/>
        </w:rPr>
        <w:t xml:space="preserve"> «La fuerza vinculante de los reglamentos –tanto para los administrados como para la propia administración– surge del hecho de ser una norma jurídica, y de compartir la naturaleza del acto administrativo, luego, de allí también se desprende que se presuman legales y sean ejecutorios. </w:t>
      </w:r>
    </w:p>
    <w:p w14:paraId="7D08B2E4" w14:textId="77777777" w:rsidR="009A3BE0" w:rsidRPr="00321A13" w:rsidRDefault="009A3BE0" w:rsidP="00FE32A0">
      <w:pPr>
        <w:pStyle w:val="Textonotapie"/>
        <w:spacing w:after="0" w:line="240" w:lineRule="auto"/>
        <w:ind w:firstLine="708"/>
        <w:rPr>
          <w:rFonts w:ascii="Arial" w:hAnsi="Arial" w:cs="Arial"/>
          <w:sz w:val="19"/>
          <w:szCs w:val="19"/>
        </w:rPr>
      </w:pPr>
      <w:r w:rsidRPr="00321A13">
        <w:rPr>
          <w:rFonts w:ascii="Arial" w:hAnsi="Arial" w:cs="Arial"/>
          <w:sz w:val="19"/>
          <w:szCs w:val="19"/>
        </w:rPr>
        <w:t xml:space="preserve">»Por esta misma razón, la doctrina española –con especial fuerza– ha señalado que su observancia no queda al capricho del órgano que la expidió, pues si quisiera él lo puede desconocer. De algún modo, como acontece con todo acto administrativo, el acto cobra vida propia, y autonomía en relación con su propio creador. A este último evento se le denomina la inderogabilidad singular del reglamento, que no es otra cosa que la prohibición de insertarlo en un caso particular. </w:t>
      </w:r>
    </w:p>
    <w:p w14:paraId="51C3E2FC" w14:textId="77777777" w:rsidR="009A3BE0" w:rsidRPr="00321A13" w:rsidRDefault="009A3BE0" w:rsidP="00FE32A0">
      <w:pPr>
        <w:pStyle w:val="Textonotapie"/>
        <w:spacing w:after="0" w:line="240" w:lineRule="auto"/>
        <w:ind w:firstLine="708"/>
        <w:rPr>
          <w:rFonts w:ascii="Arial" w:hAnsi="Arial" w:cs="Arial"/>
          <w:sz w:val="19"/>
          <w:szCs w:val="19"/>
          <w:lang w:val="es-CO"/>
        </w:rPr>
      </w:pPr>
      <w:r w:rsidRPr="00321A13">
        <w:rPr>
          <w:rFonts w:ascii="Arial" w:hAnsi="Arial" w:cs="Arial"/>
          <w:sz w:val="19"/>
          <w:szCs w:val="19"/>
        </w:rPr>
        <w:t>»Esta tesis –de absoluta razonabilidad–, protege tanto al ciudadano como al ordenamiento jurídico en general, de la arbitrariedad de la administración, pues si se admitiera que pese a estar en vigencia un reglamento la propia administración que lo dictó lo pudiera inaplicar, aduciendo que si ella lo produjo entonces cuenta con la autoridad para desconocerlo, los abusos y la violación a sus propias reglas propiciaría el atropello y la corrupción». (MARÍN CORTÉS, Fabián G. El reglamento como fuente del derecho administrativo. En: Las fuentes del derecho administrativo. Texto inédito. 2010. pp. 200-201).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323BDB" w14:textId="1CCC219A" w:rsidR="008A3FB9" w:rsidRDefault="008A3FB9">
    <w:pPr>
      <w:pStyle w:val="Encabezado"/>
    </w:pPr>
    <w:r>
      <w:rPr>
        <w:noProof/>
        <w:lang w:val="es-CO" w:eastAsia="es-CO"/>
      </w:rPr>
      <w:drawing>
        <wp:anchor distT="0" distB="0" distL="114300" distR="114300" simplePos="0" relativeHeight="251673600" behindDoc="1" locked="0" layoutInCell="1" allowOverlap="1" wp14:anchorId="1A706351" wp14:editId="7CA6CDD4">
          <wp:simplePos x="0" y="0"/>
          <wp:positionH relativeFrom="column">
            <wp:posOffset>4458335</wp:posOffset>
          </wp:positionH>
          <wp:positionV relativeFrom="paragraph">
            <wp:posOffset>171450</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1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E31D607" w14:textId="77777777" w:rsidR="008A3FB9" w:rsidRDefault="008A3FB9" w:rsidP="00FE0395">
    <w:pPr>
      <w:pStyle w:val="Encabezado"/>
      <w:spacing w:after="0"/>
    </w:pPr>
  </w:p>
  <w:p w14:paraId="6520770B" w14:textId="18EB07B5" w:rsidR="008A3FB9" w:rsidRDefault="008A3FB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923CB4E6"/>
    <w:lvl w:ilvl="0">
      <w:start w:val="1"/>
      <w:numFmt w:val="decimal"/>
      <w:lvlText w:val="%1."/>
      <w:lvlJc w:val="left"/>
      <w:pPr>
        <w:ind w:left="6601" w:hanging="360"/>
      </w:pPr>
      <w:rPr>
        <w:b/>
        <w:color w:val="aut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8CE7502"/>
    <w:multiLevelType w:val="hybridMultilevel"/>
    <w:tmpl w:val="8A348CD6"/>
    <w:lvl w:ilvl="0" w:tplc="240A0011">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25613221"/>
    <w:multiLevelType w:val="hybridMultilevel"/>
    <w:tmpl w:val="74E8714E"/>
    <w:lvl w:ilvl="0" w:tplc="67744F1C">
      <w:start w:val="1"/>
      <w:numFmt w:val="decimal"/>
      <w:lvlText w:val="%1)"/>
      <w:lvlJc w:val="left"/>
      <w:pPr>
        <w:ind w:left="644" w:hanging="360"/>
      </w:pPr>
      <w:rPr>
        <w:rFonts w:hint="default"/>
      </w:rPr>
    </w:lvl>
    <w:lvl w:ilvl="1" w:tplc="240A0019" w:tentative="1">
      <w:start w:val="1"/>
      <w:numFmt w:val="lowerLetter"/>
      <w:lvlText w:val="%2."/>
      <w:lvlJc w:val="left"/>
      <w:pPr>
        <w:ind w:left="1364" w:hanging="360"/>
      </w:pPr>
    </w:lvl>
    <w:lvl w:ilvl="2" w:tplc="240A001B" w:tentative="1">
      <w:start w:val="1"/>
      <w:numFmt w:val="lowerRoman"/>
      <w:lvlText w:val="%3."/>
      <w:lvlJc w:val="right"/>
      <w:pPr>
        <w:ind w:left="2084" w:hanging="180"/>
      </w:pPr>
    </w:lvl>
    <w:lvl w:ilvl="3" w:tplc="240A000F" w:tentative="1">
      <w:start w:val="1"/>
      <w:numFmt w:val="decimal"/>
      <w:lvlText w:val="%4."/>
      <w:lvlJc w:val="left"/>
      <w:pPr>
        <w:ind w:left="2804" w:hanging="360"/>
      </w:pPr>
    </w:lvl>
    <w:lvl w:ilvl="4" w:tplc="240A0019" w:tentative="1">
      <w:start w:val="1"/>
      <w:numFmt w:val="lowerLetter"/>
      <w:lvlText w:val="%5."/>
      <w:lvlJc w:val="left"/>
      <w:pPr>
        <w:ind w:left="3524" w:hanging="360"/>
      </w:pPr>
    </w:lvl>
    <w:lvl w:ilvl="5" w:tplc="240A001B" w:tentative="1">
      <w:start w:val="1"/>
      <w:numFmt w:val="lowerRoman"/>
      <w:lvlText w:val="%6."/>
      <w:lvlJc w:val="right"/>
      <w:pPr>
        <w:ind w:left="4244" w:hanging="180"/>
      </w:pPr>
    </w:lvl>
    <w:lvl w:ilvl="6" w:tplc="240A000F" w:tentative="1">
      <w:start w:val="1"/>
      <w:numFmt w:val="decimal"/>
      <w:lvlText w:val="%7."/>
      <w:lvlJc w:val="left"/>
      <w:pPr>
        <w:ind w:left="4964" w:hanging="360"/>
      </w:pPr>
    </w:lvl>
    <w:lvl w:ilvl="7" w:tplc="240A0019" w:tentative="1">
      <w:start w:val="1"/>
      <w:numFmt w:val="lowerLetter"/>
      <w:lvlText w:val="%8."/>
      <w:lvlJc w:val="left"/>
      <w:pPr>
        <w:ind w:left="5684" w:hanging="360"/>
      </w:pPr>
    </w:lvl>
    <w:lvl w:ilvl="8" w:tplc="240A001B" w:tentative="1">
      <w:start w:val="1"/>
      <w:numFmt w:val="lowerRoman"/>
      <w:lvlText w:val="%9."/>
      <w:lvlJc w:val="right"/>
      <w:pPr>
        <w:ind w:left="6404" w:hanging="180"/>
      </w:pPr>
    </w:lvl>
  </w:abstractNum>
  <w:abstractNum w:abstractNumId="3" w15:restartNumberingAfterBreak="0">
    <w:nsid w:val="2BAA45F7"/>
    <w:multiLevelType w:val="hybridMultilevel"/>
    <w:tmpl w:val="B8785494"/>
    <w:lvl w:ilvl="0" w:tplc="369A2F20">
      <w:start w:val="1"/>
      <w:numFmt w:val="decimal"/>
      <w:pStyle w:val="Capitulo3"/>
      <w:lvlText w:val="3.%1."/>
      <w:lvlJc w:val="left"/>
      <w:pPr>
        <w:ind w:left="786" w:hanging="360"/>
      </w:pPr>
      <w:rPr>
        <w:rFonts w:hint="default"/>
        <w:b/>
        <w:color w:val="262626" w:themeColor="text1" w:themeTint="D9"/>
      </w:rPr>
    </w:lvl>
    <w:lvl w:ilvl="1" w:tplc="240A0019" w:tentative="1">
      <w:start w:val="1"/>
      <w:numFmt w:val="lowerLetter"/>
      <w:lvlText w:val="%2."/>
      <w:lvlJc w:val="left"/>
      <w:pPr>
        <w:ind w:left="1724" w:hanging="360"/>
      </w:pPr>
    </w:lvl>
    <w:lvl w:ilvl="2" w:tplc="240A001B">
      <w:start w:val="1"/>
      <w:numFmt w:val="lowerRoman"/>
      <w:lvlText w:val="%3."/>
      <w:lvlJc w:val="right"/>
      <w:pPr>
        <w:ind w:left="2444" w:hanging="180"/>
      </w:pPr>
    </w:lvl>
    <w:lvl w:ilvl="3" w:tplc="240A000F" w:tentative="1">
      <w:start w:val="1"/>
      <w:numFmt w:val="decimal"/>
      <w:lvlText w:val="%4."/>
      <w:lvlJc w:val="left"/>
      <w:pPr>
        <w:ind w:left="3164" w:hanging="360"/>
      </w:pPr>
    </w:lvl>
    <w:lvl w:ilvl="4" w:tplc="240A0019" w:tentative="1">
      <w:start w:val="1"/>
      <w:numFmt w:val="lowerLetter"/>
      <w:lvlText w:val="%5."/>
      <w:lvlJc w:val="left"/>
      <w:pPr>
        <w:ind w:left="3884" w:hanging="360"/>
      </w:pPr>
    </w:lvl>
    <w:lvl w:ilvl="5" w:tplc="240A001B" w:tentative="1">
      <w:start w:val="1"/>
      <w:numFmt w:val="lowerRoman"/>
      <w:lvlText w:val="%6."/>
      <w:lvlJc w:val="right"/>
      <w:pPr>
        <w:ind w:left="4604" w:hanging="180"/>
      </w:pPr>
    </w:lvl>
    <w:lvl w:ilvl="6" w:tplc="240A000F" w:tentative="1">
      <w:start w:val="1"/>
      <w:numFmt w:val="decimal"/>
      <w:lvlText w:val="%7."/>
      <w:lvlJc w:val="left"/>
      <w:pPr>
        <w:ind w:left="5324" w:hanging="360"/>
      </w:pPr>
    </w:lvl>
    <w:lvl w:ilvl="7" w:tplc="240A0019" w:tentative="1">
      <w:start w:val="1"/>
      <w:numFmt w:val="lowerLetter"/>
      <w:lvlText w:val="%8."/>
      <w:lvlJc w:val="left"/>
      <w:pPr>
        <w:ind w:left="6044" w:hanging="360"/>
      </w:pPr>
    </w:lvl>
    <w:lvl w:ilvl="8" w:tplc="240A001B" w:tentative="1">
      <w:start w:val="1"/>
      <w:numFmt w:val="lowerRoman"/>
      <w:lvlText w:val="%9."/>
      <w:lvlJc w:val="right"/>
      <w:pPr>
        <w:ind w:left="6764" w:hanging="180"/>
      </w:pPr>
    </w:lvl>
  </w:abstractNum>
  <w:abstractNum w:abstractNumId="4" w15:restartNumberingAfterBreak="0">
    <w:nsid w:val="2E52434E"/>
    <w:multiLevelType w:val="multilevel"/>
    <w:tmpl w:val="451480FA"/>
    <w:lvl w:ilvl="0">
      <w:start w:val="3"/>
      <w:numFmt w:val="decimal"/>
      <w:lvlText w:val="%1."/>
      <w:lvlJc w:val="left"/>
      <w:pPr>
        <w:ind w:left="360" w:hanging="360"/>
      </w:pPr>
      <w:rPr>
        <w:rFonts w:hint="default"/>
        <w:color w:val="3C3C3C" w:themeColor="background2" w:themeShade="40"/>
      </w:rPr>
    </w:lvl>
    <w:lvl w:ilvl="1">
      <w:start w:val="6"/>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3C3C3C" w:themeColor="background2" w:themeShade="40"/>
      </w:rPr>
    </w:lvl>
    <w:lvl w:ilvl="3">
      <w:start w:val="1"/>
      <w:numFmt w:val="decimal"/>
      <w:lvlText w:val="%1.%2.%3.%4."/>
      <w:lvlJc w:val="left"/>
      <w:pPr>
        <w:ind w:left="720" w:hanging="720"/>
      </w:pPr>
      <w:rPr>
        <w:rFonts w:hint="default"/>
        <w:color w:val="3C3C3C" w:themeColor="background2" w:themeShade="40"/>
      </w:rPr>
    </w:lvl>
    <w:lvl w:ilvl="4">
      <w:start w:val="1"/>
      <w:numFmt w:val="decimal"/>
      <w:lvlText w:val="%1.%2.%3.%4.%5."/>
      <w:lvlJc w:val="left"/>
      <w:pPr>
        <w:ind w:left="1080" w:hanging="1080"/>
      </w:pPr>
      <w:rPr>
        <w:rFonts w:hint="default"/>
        <w:color w:val="3C3C3C" w:themeColor="background2" w:themeShade="40"/>
      </w:rPr>
    </w:lvl>
    <w:lvl w:ilvl="5">
      <w:start w:val="1"/>
      <w:numFmt w:val="decimal"/>
      <w:lvlText w:val="%1.%2.%3.%4.%5.%6."/>
      <w:lvlJc w:val="left"/>
      <w:pPr>
        <w:ind w:left="1080" w:hanging="1080"/>
      </w:pPr>
      <w:rPr>
        <w:rFonts w:hint="default"/>
        <w:color w:val="3C3C3C" w:themeColor="background2" w:themeShade="40"/>
      </w:rPr>
    </w:lvl>
    <w:lvl w:ilvl="6">
      <w:start w:val="1"/>
      <w:numFmt w:val="decimal"/>
      <w:lvlText w:val="%1.%2.%3.%4.%5.%6.%7."/>
      <w:lvlJc w:val="left"/>
      <w:pPr>
        <w:ind w:left="1440" w:hanging="1440"/>
      </w:pPr>
      <w:rPr>
        <w:rFonts w:hint="default"/>
        <w:color w:val="3C3C3C" w:themeColor="background2" w:themeShade="40"/>
      </w:rPr>
    </w:lvl>
    <w:lvl w:ilvl="7">
      <w:start w:val="1"/>
      <w:numFmt w:val="decimal"/>
      <w:lvlText w:val="%1.%2.%3.%4.%5.%6.%7.%8."/>
      <w:lvlJc w:val="left"/>
      <w:pPr>
        <w:ind w:left="1440" w:hanging="1440"/>
      </w:pPr>
      <w:rPr>
        <w:rFonts w:hint="default"/>
        <w:color w:val="3C3C3C" w:themeColor="background2" w:themeShade="40"/>
      </w:rPr>
    </w:lvl>
    <w:lvl w:ilvl="8">
      <w:start w:val="1"/>
      <w:numFmt w:val="decimal"/>
      <w:lvlText w:val="%1.%2.%3.%4.%5.%6.%7.%8.%9."/>
      <w:lvlJc w:val="left"/>
      <w:pPr>
        <w:ind w:left="1800" w:hanging="1800"/>
      </w:pPr>
      <w:rPr>
        <w:rFonts w:hint="default"/>
        <w:color w:val="3C3C3C" w:themeColor="background2" w:themeShade="40"/>
      </w:rPr>
    </w:lvl>
  </w:abstractNum>
  <w:abstractNum w:abstractNumId="5"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35D020FD"/>
    <w:multiLevelType w:val="hybridMultilevel"/>
    <w:tmpl w:val="69487CE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58155FF0"/>
    <w:multiLevelType w:val="hybridMultilevel"/>
    <w:tmpl w:val="0B66AD4A"/>
    <w:lvl w:ilvl="0" w:tplc="240A0011">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11"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12" w15:restartNumberingAfterBreak="0">
    <w:nsid w:val="6C747154"/>
    <w:multiLevelType w:val="hybridMultilevel"/>
    <w:tmpl w:val="EFCAB862"/>
    <w:lvl w:ilvl="0" w:tplc="240A0013">
      <w:start w:val="1"/>
      <w:numFmt w:val="upperRoman"/>
      <w:lvlText w:val="%1."/>
      <w:lvlJc w:val="right"/>
      <w:pPr>
        <w:ind w:left="720" w:hanging="360"/>
      </w:pPr>
      <w:rPr>
        <w:rFonts w:hint="default"/>
      </w:rPr>
    </w:lvl>
    <w:lvl w:ilvl="1" w:tplc="0EE49D9C">
      <w:start w:val="1"/>
      <w:numFmt w:val="bullet"/>
      <w:lvlText w:val="o"/>
      <w:lvlJc w:val="left"/>
      <w:pPr>
        <w:ind w:left="1440" w:hanging="360"/>
      </w:pPr>
      <w:rPr>
        <w:rFonts w:ascii="Courier New" w:hAnsi="Courier New" w:cs="Times New Roman" w:hint="default"/>
      </w:rPr>
    </w:lvl>
    <w:lvl w:ilvl="2" w:tplc="F5DE03CA">
      <w:start w:val="1"/>
      <w:numFmt w:val="bullet"/>
      <w:lvlText w:val=""/>
      <w:lvlJc w:val="left"/>
      <w:pPr>
        <w:ind w:left="2160" w:hanging="360"/>
      </w:pPr>
      <w:rPr>
        <w:rFonts w:ascii="Wingdings" w:hAnsi="Wingdings" w:hint="default"/>
      </w:rPr>
    </w:lvl>
    <w:lvl w:ilvl="3" w:tplc="A288AAB6">
      <w:start w:val="1"/>
      <w:numFmt w:val="bullet"/>
      <w:lvlText w:val=""/>
      <w:lvlJc w:val="left"/>
      <w:pPr>
        <w:ind w:left="2880" w:hanging="360"/>
      </w:pPr>
      <w:rPr>
        <w:rFonts w:ascii="Symbol" w:hAnsi="Symbol" w:hint="default"/>
      </w:rPr>
    </w:lvl>
    <w:lvl w:ilvl="4" w:tplc="81DAFD16">
      <w:start w:val="1"/>
      <w:numFmt w:val="bullet"/>
      <w:lvlText w:val="o"/>
      <w:lvlJc w:val="left"/>
      <w:pPr>
        <w:ind w:left="3600" w:hanging="360"/>
      </w:pPr>
      <w:rPr>
        <w:rFonts w:ascii="Courier New" w:hAnsi="Courier New" w:cs="Times New Roman" w:hint="default"/>
      </w:rPr>
    </w:lvl>
    <w:lvl w:ilvl="5" w:tplc="D540ACF6">
      <w:start w:val="1"/>
      <w:numFmt w:val="bullet"/>
      <w:lvlText w:val=""/>
      <w:lvlJc w:val="left"/>
      <w:pPr>
        <w:ind w:left="4320" w:hanging="360"/>
      </w:pPr>
      <w:rPr>
        <w:rFonts w:ascii="Wingdings" w:hAnsi="Wingdings" w:hint="default"/>
      </w:rPr>
    </w:lvl>
    <w:lvl w:ilvl="6" w:tplc="CE02DD38">
      <w:start w:val="1"/>
      <w:numFmt w:val="bullet"/>
      <w:lvlText w:val=""/>
      <w:lvlJc w:val="left"/>
      <w:pPr>
        <w:ind w:left="5040" w:hanging="360"/>
      </w:pPr>
      <w:rPr>
        <w:rFonts w:ascii="Symbol" w:hAnsi="Symbol" w:hint="default"/>
      </w:rPr>
    </w:lvl>
    <w:lvl w:ilvl="7" w:tplc="63564B5A">
      <w:start w:val="1"/>
      <w:numFmt w:val="bullet"/>
      <w:lvlText w:val="o"/>
      <w:lvlJc w:val="left"/>
      <w:pPr>
        <w:ind w:left="5760" w:hanging="360"/>
      </w:pPr>
      <w:rPr>
        <w:rFonts w:ascii="Courier New" w:hAnsi="Courier New" w:cs="Times New Roman" w:hint="default"/>
      </w:rPr>
    </w:lvl>
    <w:lvl w:ilvl="8" w:tplc="477E1BD4">
      <w:start w:val="1"/>
      <w:numFmt w:val="bullet"/>
      <w:lvlText w:val=""/>
      <w:lvlJc w:val="left"/>
      <w:pPr>
        <w:ind w:left="6480" w:hanging="360"/>
      </w:pPr>
      <w:rPr>
        <w:rFonts w:ascii="Wingdings" w:hAnsi="Wingdings" w:hint="default"/>
      </w:rPr>
    </w:lvl>
  </w:abstractNum>
  <w:abstractNum w:abstractNumId="13" w15:restartNumberingAfterBreak="0">
    <w:nsid w:val="70053A3C"/>
    <w:multiLevelType w:val="hybridMultilevel"/>
    <w:tmpl w:val="B6AC8E9A"/>
    <w:lvl w:ilvl="0" w:tplc="240A0013">
      <w:start w:val="1"/>
      <w:numFmt w:val="upperRoman"/>
      <w:lvlText w:val="%1."/>
      <w:lvlJc w:val="right"/>
      <w:pPr>
        <w:ind w:left="720" w:hanging="360"/>
      </w:pPr>
      <w:rPr>
        <w:rFonts w:hint="default"/>
      </w:rPr>
    </w:lvl>
    <w:lvl w:ilvl="1" w:tplc="0EE49D9C">
      <w:start w:val="1"/>
      <w:numFmt w:val="bullet"/>
      <w:lvlText w:val="o"/>
      <w:lvlJc w:val="left"/>
      <w:pPr>
        <w:ind w:left="1440" w:hanging="360"/>
      </w:pPr>
      <w:rPr>
        <w:rFonts w:ascii="Courier New" w:hAnsi="Courier New" w:hint="default"/>
      </w:rPr>
    </w:lvl>
    <w:lvl w:ilvl="2" w:tplc="F5DE03CA">
      <w:start w:val="1"/>
      <w:numFmt w:val="bullet"/>
      <w:lvlText w:val=""/>
      <w:lvlJc w:val="left"/>
      <w:pPr>
        <w:ind w:left="2160" w:hanging="360"/>
      </w:pPr>
      <w:rPr>
        <w:rFonts w:ascii="Wingdings" w:hAnsi="Wingdings" w:hint="default"/>
      </w:rPr>
    </w:lvl>
    <w:lvl w:ilvl="3" w:tplc="A288AAB6">
      <w:start w:val="1"/>
      <w:numFmt w:val="bullet"/>
      <w:lvlText w:val=""/>
      <w:lvlJc w:val="left"/>
      <w:pPr>
        <w:ind w:left="2880" w:hanging="360"/>
      </w:pPr>
      <w:rPr>
        <w:rFonts w:ascii="Symbol" w:hAnsi="Symbol" w:hint="default"/>
      </w:rPr>
    </w:lvl>
    <w:lvl w:ilvl="4" w:tplc="81DAFD16">
      <w:start w:val="1"/>
      <w:numFmt w:val="bullet"/>
      <w:lvlText w:val="o"/>
      <w:lvlJc w:val="left"/>
      <w:pPr>
        <w:ind w:left="3600" w:hanging="360"/>
      </w:pPr>
      <w:rPr>
        <w:rFonts w:ascii="Courier New" w:hAnsi="Courier New" w:hint="default"/>
      </w:rPr>
    </w:lvl>
    <w:lvl w:ilvl="5" w:tplc="D540ACF6">
      <w:start w:val="1"/>
      <w:numFmt w:val="bullet"/>
      <w:lvlText w:val=""/>
      <w:lvlJc w:val="left"/>
      <w:pPr>
        <w:ind w:left="4320" w:hanging="360"/>
      </w:pPr>
      <w:rPr>
        <w:rFonts w:ascii="Wingdings" w:hAnsi="Wingdings" w:hint="default"/>
      </w:rPr>
    </w:lvl>
    <w:lvl w:ilvl="6" w:tplc="CE02DD38">
      <w:start w:val="1"/>
      <w:numFmt w:val="bullet"/>
      <w:lvlText w:val=""/>
      <w:lvlJc w:val="left"/>
      <w:pPr>
        <w:ind w:left="5040" w:hanging="360"/>
      </w:pPr>
      <w:rPr>
        <w:rFonts w:ascii="Symbol" w:hAnsi="Symbol" w:hint="default"/>
      </w:rPr>
    </w:lvl>
    <w:lvl w:ilvl="7" w:tplc="63564B5A">
      <w:start w:val="1"/>
      <w:numFmt w:val="bullet"/>
      <w:lvlText w:val="o"/>
      <w:lvlJc w:val="left"/>
      <w:pPr>
        <w:ind w:left="5760" w:hanging="360"/>
      </w:pPr>
      <w:rPr>
        <w:rFonts w:ascii="Courier New" w:hAnsi="Courier New" w:hint="default"/>
      </w:rPr>
    </w:lvl>
    <w:lvl w:ilvl="8" w:tplc="477E1BD4">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8"/>
  </w:num>
  <w:num w:numId="4">
    <w:abstractNumId w:val="10"/>
  </w:num>
  <w:num w:numId="5">
    <w:abstractNumId w:val="11"/>
  </w:num>
  <w:num w:numId="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12"/>
  </w:num>
  <w:num w:numId="9">
    <w:abstractNumId w:val="3"/>
    <w:lvlOverride w:ilvl="0">
      <w:startOverride w:val="1"/>
    </w:lvlOverride>
  </w:num>
  <w:num w:numId="10">
    <w:abstractNumId w:val="13"/>
  </w:num>
  <w:num w:numId="11">
    <w:abstractNumId w:val="4"/>
  </w:num>
  <w:num w:numId="12">
    <w:abstractNumId w:val="1"/>
  </w:num>
  <w:num w:numId="13">
    <w:abstractNumId w:val="2"/>
  </w:num>
  <w:num w:numId="14">
    <w:abstractNumId w:val="9"/>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385A"/>
    <w:rsid w:val="0000268F"/>
    <w:rsid w:val="0000404B"/>
    <w:rsid w:val="0000645E"/>
    <w:rsid w:val="0000682D"/>
    <w:rsid w:val="000105E2"/>
    <w:rsid w:val="000113E6"/>
    <w:rsid w:val="00011726"/>
    <w:rsid w:val="000126BB"/>
    <w:rsid w:val="00012A1B"/>
    <w:rsid w:val="000136DC"/>
    <w:rsid w:val="00016F33"/>
    <w:rsid w:val="00016FAC"/>
    <w:rsid w:val="0001726A"/>
    <w:rsid w:val="0001794A"/>
    <w:rsid w:val="0001795B"/>
    <w:rsid w:val="00020801"/>
    <w:rsid w:val="00024BE5"/>
    <w:rsid w:val="00026AD9"/>
    <w:rsid w:val="000271AD"/>
    <w:rsid w:val="00027940"/>
    <w:rsid w:val="00027F74"/>
    <w:rsid w:val="000303EC"/>
    <w:rsid w:val="0003041B"/>
    <w:rsid w:val="00030FF0"/>
    <w:rsid w:val="00034F55"/>
    <w:rsid w:val="000365C0"/>
    <w:rsid w:val="0003690D"/>
    <w:rsid w:val="00037112"/>
    <w:rsid w:val="00042964"/>
    <w:rsid w:val="000503A1"/>
    <w:rsid w:val="00051590"/>
    <w:rsid w:val="0005241F"/>
    <w:rsid w:val="0005275D"/>
    <w:rsid w:val="00054C6E"/>
    <w:rsid w:val="00054E46"/>
    <w:rsid w:val="000551B3"/>
    <w:rsid w:val="00055B28"/>
    <w:rsid w:val="00056024"/>
    <w:rsid w:val="00057953"/>
    <w:rsid w:val="00061727"/>
    <w:rsid w:val="0006293E"/>
    <w:rsid w:val="00063E52"/>
    <w:rsid w:val="0006625D"/>
    <w:rsid w:val="00070770"/>
    <w:rsid w:val="000709A5"/>
    <w:rsid w:val="00070A22"/>
    <w:rsid w:val="00071D6E"/>
    <w:rsid w:val="000724C8"/>
    <w:rsid w:val="000743C2"/>
    <w:rsid w:val="0007590A"/>
    <w:rsid w:val="00076771"/>
    <w:rsid w:val="00077D20"/>
    <w:rsid w:val="00077E04"/>
    <w:rsid w:val="00077E1C"/>
    <w:rsid w:val="00080D35"/>
    <w:rsid w:val="00081AF3"/>
    <w:rsid w:val="00081E50"/>
    <w:rsid w:val="0008260E"/>
    <w:rsid w:val="000831E9"/>
    <w:rsid w:val="00083BE4"/>
    <w:rsid w:val="00084DC0"/>
    <w:rsid w:val="0008592F"/>
    <w:rsid w:val="00085CC3"/>
    <w:rsid w:val="00086C08"/>
    <w:rsid w:val="00087888"/>
    <w:rsid w:val="00090D35"/>
    <w:rsid w:val="000939E0"/>
    <w:rsid w:val="00093D35"/>
    <w:rsid w:val="000942EB"/>
    <w:rsid w:val="0009651A"/>
    <w:rsid w:val="00096EAB"/>
    <w:rsid w:val="0009712F"/>
    <w:rsid w:val="000972BA"/>
    <w:rsid w:val="000976FD"/>
    <w:rsid w:val="000A15CB"/>
    <w:rsid w:val="000A1B81"/>
    <w:rsid w:val="000A2C01"/>
    <w:rsid w:val="000A5189"/>
    <w:rsid w:val="000A668C"/>
    <w:rsid w:val="000A7E46"/>
    <w:rsid w:val="000B103F"/>
    <w:rsid w:val="000B1C28"/>
    <w:rsid w:val="000B3893"/>
    <w:rsid w:val="000B4FC6"/>
    <w:rsid w:val="000B53D0"/>
    <w:rsid w:val="000B680C"/>
    <w:rsid w:val="000C0B7C"/>
    <w:rsid w:val="000C21BA"/>
    <w:rsid w:val="000C2DD2"/>
    <w:rsid w:val="000C6347"/>
    <w:rsid w:val="000C755D"/>
    <w:rsid w:val="000D0AFA"/>
    <w:rsid w:val="000D1A40"/>
    <w:rsid w:val="000D28E0"/>
    <w:rsid w:val="000D457E"/>
    <w:rsid w:val="000E1761"/>
    <w:rsid w:val="000E1F13"/>
    <w:rsid w:val="000E68FA"/>
    <w:rsid w:val="000E6962"/>
    <w:rsid w:val="000E6D84"/>
    <w:rsid w:val="000F14E8"/>
    <w:rsid w:val="000F3B04"/>
    <w:rsid w:val="000F6869"/>
    <w:rsid w:val="000F7AE4"/>
    <w:rsid w:val="001015E9"/>
    <w:rsid w:val="001017F1"/>
    <w:rsid w:val="001024CE"/>
    <w:rsid w:val="00102AA1"/>
    <w:rsid w:val="00103915"/>
    <w:rsid w:val="00103D3D"/>
    <w:rsid w:val="001052AF"/>
    <w:rsid w:val="001065D1"/>
    <w:rsid w:val="00106B75"/>
    <w:rsid w:val="00107A60"/>
    <w:rsid w:val="001112CF"/>
    <w:rsid w:val="00111438"/>
    <w:rsid w:val="00111636"/>
    <w:rsid w:val="00112192"/>
    <w:rsid w:val="00112D2F"/>
    <w:rsid w:val="00114236"/>
    <w:rsid w:val="001152BA"/>
    <w:rsid w:val="0011561C"/>
    <w:rsid w:val="001207BD"/>
    <w:rsid w:val="001214FF"/>
    <w:rsid w:val="001229C6"/>
    <w:rsid w:val="00122B23"/>
    <w:rsid w:val="001242D1"/>
    <w:rsid w:val="00124E73"/>
    <w:rsid w:val="00124EC3"/>
    <w:rsid w:val="00125291"/>
    <w:rsid w:val="00125D4C"/>
    <w:rsid w:val="0012687C"/>
    <w:rsid w:val="0012754A"/>
    <w:rsid w:val="0013045B"/>
    <w:rsid w:val="0013236F"/>
    <w:rsid w:val="001332D0"/>
    <w:rsid w:val="00133CD5"/>
    <w:rsid w:val="00134030"/>
    <w:rsid w:val="001344AA"/>
    <w:rsid w:val="00137BA1"/>
    <w:rsid w:val="00137FFA"/>
    <w:rsid w:val="00141E84"/>
    <w:rsid w:val="00141F99"/>
    <w:rsid w:val="001425C5"/>
    <w:rsid w:val="00142ED4"/>
    <w:rsid w:val="001448B5"/>
    <w:rsid w:val="00146E1D"/>
    <w:rsid w:val="001520A3"/>
    <w:rsid w:val="00152609"/>
    <w:rsid w:val="00152C65"/>
    <w:rsid w:val="0015382E"/>
    <w:rsid w:val="001550CF"/>
    <w:rsid w:val="001554A4"/>
    <w:rsid w:val="00156DAF"/>
    <w:rsid w:val="0016135A"/>
    <w:rsid w:val="0016149E"/>
    <w:rsid w:val="00161D78"/>
    <w:rsid w:val="00161DA2"/>
    <w:rsid w:val="00164BBF"/>
    <w:rsid w:val="00165EA8"/>
    <w:rsid w:val="0016680A"/>
    <w:rsid w:val="00166CD8"/>
    <w:rsid w:val="00167B9D"/>
    <w:rsid w:val="00167F0C"/>
    <w:rsid w:val="00170733"/>
    <w:rsid w:val="00170E51"/>
    <w:rsid w:val="00172E0A"/>
    <w:rsid w:val="00174107"/>
    <w:rsid w:val="001755EC"/>
    <w:rsid w:val="00175795"/>
    <w:rsid w:val="00177BAA"/>
    <w:rsid w:val="00180B3B"/>
    <w:rsid w:val="00184E93"/>
    <w:rsid w:val="00186253"/>
    <w:rsid w:val="00186D8E"/>
    <w:rsid w:val="001900CF"/>
    <w:rsid w:val="001918D6"/>
    <w:rsid w:val="001939B7"/>
    <w:rsid w:val="001963C6"/>
    <w:rsid w:val="0019745D"/>
    <w:rsid w:val="001A08F7"/>
    <w:rsid w:val="001A0DF1"/>
    <w:rsid w:val="001A0EC0"/>
    <w:rsid w:val="001A26FC"/>
    <w:rsid w:val="001A27D7"/>
    <w:rsid w:val="001A34A2"/>
    <w:rsid w:val="001A3721"/>
    <w:rsid w:val="001A387A"/>
    <w:rsid w:val="001A3F04"/>
    <w:rsid w:val="001A5059"/>
    <w:rsid w:val="001B2EA0"/>
    <w:rsid w:val="001B2F7F"/>
    <w:rsid w:val="001B3306"/>
    <w:rsid w:val="001B464A"/>
    <w:rsid w:val="001B4A46"/>
    <w:rsid w:val="001B528A"/>
    <w:rsid w:val="001B53B4"/>
    <w:rsid w:val="001B59D6"/>
    <w:rsid w:val="001B6044"/>
    <w:rsid w:val="001B686F"/>
    <w:rsid w:val="001B7618"/>
    <w:rsid w:val="001B7DEA"/>
    <w:rsid w:val="001C219D"/>
    <w:rsid w:val="001C33CB"/>
    <w:rsid w:val="001C722C"/>
    <w:rsid w:val="001D0988"/>
    <w:rsid w:val="001D172E"/>
    <w:rsid w:val="001D5E4D"/>
    <w:rsid w:val="001E0042"/>
    <w:rsid w:val="001E008B"/>
    <w:rsid w:val="001E0545"/>
    <w:rsid w:val="001E0849"/>
    <w:rsid w:val="001E1A13"/>
    <w:rsid w:val="001E1D30"/>
    <w:rsid w:val="001E3E0C"/>
    <w:rsid w:val="001E453C"/>
    <w:rsid w:val="001E4A2B"/>
    <w:rsid w:val="001F0570"/>
    <w:rsid w:val="001F140A"/>
    <w:rsid w:val="001F1AFA"/>
    <w:rsid w:val="001F267A"/>
    <w:rsid w:val="001F2AD0"/>
    <w:rsid w:val="001F3A3A"/>
    <w:rsid w:val="001F3D53"/>
    <w:rsid w:val="001F416A"/>
    <w:rsid w:val="001F55B5"/>
    <w:rsid w:val="001F5E0A"/>
    <w:rsid w:val="001F6AAC"/>
    <w:rsid w:val="001F790E"/>
    <w:rsid w:val="002005CC"/>
    <w:rsid w:val="00200F34"/>
    <w:rsid w:val="00203F1A"/>
    <w:rsid w:val="00204114"/>
    <w:rsid w:val="002047AF"/>
    <w:rsid w:val="00204C65"/>
    <w:rsid w:val="00204FCD"/>
    <w:rsid w:val="002059AF"/>
    <w:rsid w:val="00211909"/>
    <w:rsid w:val="002135F3"/>
    <w:rsid w:val="002146C0"/>
    <w:rsid w:val="00214A72"/>
    <w:rsid w:val="00215A2F"/>
    <w:rsid w:val="00215CA0"/>
    <w:rsid w:val="00216F1A"/>
    <w:rsid w:val="0021759E"/>
    <w:rsid w:val="002208DC"/>
    <w:rsid w:val="00220CE5"/>
    <w:rsid w:val="002215FF"/>
    <w:rsid w:val="002236DB"/>
    <w:rsid w:val="00224570"/>
    <w:rsid w:val="0022655C"/>
    <w:rsid w:val="0022678E"/>
    <w:rsid w:val="00227541"/>
    <w:rsid w:val="00233A24"/>
    <w:rsid w:val="0023484E"/>
    <w:rsid w:val="00234B84"/>
    <w:rsid w:val="00235B42"/>
    <w:rsid w:val="00236740"/>
    <w:rsid w:val="00237329"/>
    <w:rsid w:val="00240225"/>
    <w:rsid w:val="00240A06"/>
    <w:rsid w:val="002416BA"/>
    <w:rsid w:val="00244C00"/>
    <w:rsid w:val="002457FD"/>
    <w:rsid w:val="00245C7E"/>
    <w:rsid w:val="0024781B"/>
    <w:rsid w:val="00250718"/>
    <w:rsid w:val="00251445"/>
    <w:rsid w:val="00251E47"/>
    <w:rsid w:val="00253276"/>
    <w:rsid w:val="00253C1D"/>
    <w:rsid w:val="00254319"/>
    <w:rsid w:val="00254D37"/>
    <w:rsid w:val="002563B9"/>
    <w:rsid w:val="0025685E"/>
    <w:rsid w:val="0025768C"/>
    <w:rsid w:val="00264666"/>
    <w:rsid w:val="00265C96"/>
    <w:rsid w:val="00265CEB"/>
    <w:rsid w:val="00265ED0"/>
    <w:rsid w:val="00266E0C"/>
    <w:rsid w:val="00270234"/>
    <w:rsid w:val="0027071C"/>
    <w:rsid w:val="00272C62"/>
    <w:rsid w:val="00275701"/>
    <w:rsid w:val="00276521"/>
    <w:rsid w:val="00277428"/>
    <w:rsid w:val="00283380"/>
    <w:rsid w:val="00284F66"/>
    <w:rsid w:val="00285D7E"/>
    <w:rsid w:val="00285D82"/>
    <w:rsid w:val="00285FED"/>
    <w:rsid w:val="00286660"/>
    <w:rsid w:val="00286A53"/>
    <w:rsid w:val="00287542"/>
    <w:rsid w:val="002877E9"/>
    <w:rsid w:val="0029159E"/>
    <w:rsid w:val="00294801"/>
    <w:rsid w:val="00294CF0"/>
    <w:rsid w:val="00294EFD"/>
    <w:rsid w:val="0029562E"/>
    <w:rsid w:val="00296D38"/>
    <w:rsid w:val="0029772C"/>
    <w:rsid w:val="002A1031"/>
    <w:rsid w:val="002A1B62"/>
    <w:rsid w:val="002A4F10"/>
    <w:rsid w:val="002A55BF"/>
    <w:rsid w:val="002A63F4"/>
    <w:rsid w:val="002B056F"/>
    <w:rsid w:val="002B36EB"/>
    <w:rsid w:val="002B4907"/>
    <w:rsid w:val="002B50DA"/>
    <w:rsid w:val="002B5357"/>
    <w:rsid w:val="002B690D"/>
    <w:rsid w:val="002B7DD1"/>
    <w:rsid w:val="002C087E"/>
    <w:rsid w:val="002C27C5"/>
    <w:rsid w:val="002C2BF2"/>
    <w:rsid w:val="002C5172"/>
    <w:rsid w:val="002D0C62"/>
    <w:rsid w:val="002D3456"/>
    <w:rsid w:val="002D4756"/>
    <w:rsid w:val="002D4BB3"/>
    <w:rsid w:val="002D5D70"/>
    <w:rsid w:val="002D5E5A"/>
    <w:rsid w:val="002D7E62"/>
    <w:rsid w:val="002D7F92"/>
    <w:rsid w:val="002E0A18"/>
    <w:rsid w:val="002E1964"/>
    <w:rsid w:val="002E1E7E"/>
    <w:rsid w:val="002E27E0"/>
    <w:rsid w:val="002E6B6F"/>
    <w:rsid w:val="002E74C9"/>
    <w:rsid w:val="002F043A"/>
    <w:rsid w:val="002F0800"/>
    <w:rsid w:val="002F3606"/>
    <w:rsid w:val="002F5098"/>
    <w:rsid w:val="002F5131"/>
    <w:rsid w:val="002F51E1"/>
    <w:rsid w:val="002F70EB"/>
    <w:rsid w:val="002F779E"/>
    <w:rsid w:val="003033BA"/>
    <w:rsid w:val="003038BC"/>
    <w:rsid w:val="00303DF8"/>
    <w:rsid w:val="00303EFC"/>
    <w:rsid w:val="003046D6"/>
    <w:rsid w:val="0031068B"/>
    <w:rsid w:val="003112B5"/>
    <w:rsid w:val="0031293C"/>
    <w:rsid w:val="00312DEB"/>
    <w:rsid w:val="00312F3D"/>
    <w:rsid w:val="00313BBA"/>
    <w:rsid w:val="00313D9F"/>
    <w:rsid w:val="00314899"/>
    <w:rsid w:val="00315623"/>
    <w:rsid w:val="00316182"/>
    <w:rsid w:val="0032072B"/>
    <w:rsid w:val="00320DFD"/>
    <w:rsid w:val="00321A13"/>
    <w:rsid w:val="00326F22"/>
    <w:rsid w:val="003276A0"/>
    <w:rsid w:val="0033002D"/>
    <w:rsid w:val="00332906"/>
    <w:rsid w:val="00332C3C"/>
    <w:rsid w:val="00333BE1"/>
    <w:rsid w:val="00334B76"/>
    <w:rsid w:val="00336644"/>
    <w:rsid w:val="00337299"/>
    <w:rsid w:val="0033763C"/>
    <w:rsid w:val="00337ADB"/>
    <w:rsid w:val="00337BD8"/>
    <w:rsid w:val="0034149E"/>
    <w:rsid w:val="00341CE5"/>
    <w:rsid w:val="00342202"/>
    <w:rsid w:val="003426C6"/>
    <w:rsid w:val="003429C9"/>
    <w:rsid w:val="003429E9"/>
    <w:rsid w:val="00343AE9"/>
    <w:rsid w:val="00344889"/>
    <w:rsid w:val="0034680A"/>
    <w:rsid w:val="00347661"/>
    <w:rsid w:val="003478E7"/>
    <w:rsid w:val="00350DCD"/>
    <w:rsid w:val="00351383"/>
    <w:rsid w:val="003528F0"/>
    <w:rsid w:val="00352927"/>
    <w:rsid w:val="00353FDF"/>
    <w:rsid w:val="00354545"/>
    <w:rsid w:val="00354B64"/>
    <w:rsid w:val="003555B4"/>
    <w:rsid w:val="003605C7"/>
    <w:rsid w:val="00360753"/>
    <w:rsid w:val="00360A53"/>
    <w:rsid w:val="00362486"/>
    <w:rsid w:val="00362CEC"/>
    <w:rsid w:val="00363A1E"/>
    <w:rsid w:val="0036497E"/>
    <w:rsid w:val="00364F1A"/>
    <w:rsid w:val="00366C32"/>
    <w:rsid w:val="0037099D"/>
    <w:rsid w:val="00372A55"/>
    <w:rsid w:val="00374753"/>
    <w:rsid w:val="003767EE"/>
    <w:rsid w:val="00377AD6"/>
    <w:rsid w:val="00381B41"/>
    <w:rsid w:val="00381CF5"/>
    <w:rsid w:val="003833D7"/>
    <w:rsid w:val="003839DC"/>
    <w:rsid w:val="00383C5B"/>
    <w:rsid w:val="00383DDA"/>
    <w:rsid w:val="00384B44"/>
    <w:rsid w:val="00385EC9"/>
    <w:rsid w:val="00386456"/>
    <w:rsid w:val="00387241"/>
    <w:rsid w:val="00387F0A"/>
    <w:rsid w:val="0039010E"/>
    <w:rsid w:val="003901D8"/>
    <w:rsid w:val="00391D93"/>
    <w:rsid w:val="00392E7E"/>
    <w:rsid w:val="00393184"/>
    <w:rsid w:val="0039340C"/>
    <w:rsid w:val="003934DD"/>
    <w:rsid w:val="00396D23"/>
    <w:rsid w:val="003A046A"/>
    <w:rsid w:val="003A25E4"/>
    <w:rsid w:val="003A2C66"/>
    <w:rsid w:val="003A4F71"/>
    <w:rsid w:val="003A529D"/>
    <w:rsid w:val="003A581E"/>
    <w:rsid w:val="003A5E28"/>
    <w:rsid w:val="003A651C"/>
    <w:rsid w:val="003B0136"/>
    <w:rsid w:val="003B0B16"/>
    <w:rsid w:val="003B4162"/>
    <w:rsid w:val="003B79A5"/>
    <w:rsid w:val="003C11B2"/>
    <w:rsid w:val="003C40DD"/>
    <w:rsid w:val="003C4141"/>
    <w:rsid w:val="003C432C"/>
    <w:rsid w:val="003C50C9"/>
    <w:rsid w:val="003C62BD"/>
    <w:rsid w:val="003D2137"/>
    <w:rsid w:val="003D284B"/>
    <w:rsid w:val="003D40F4"/>
    <w:rsid w:val="003D4A38"/>
    <w:rsid w:val="003D4F72"/>
    <w:rsid w:val="003E07B4"/>
    <w:rsid w:val="003E11A8"/>
    <w:rsid w:val="003E14B0"/>
    <w:rsid w:val="003E15E5"/>
    <w:rsid w:val="003E5505"/>
    <w:rsid w:val="003E5ED1"/>
    <w:rsid w:val="003E6682"/>
    <w:rsid w:val="003E7261"/>
    <w:rsid w:val="003E7A20"/>
    <w:rsid w:val="003F0FBE"/>
    <w:rsid w:val="003F15C6"/>
    <w:rsid w:val="003F28CF"/>
    <w:rsid w:val="003F328D"/>
    <w:rsid w:val="003F32DB"/>
    <w:rsid w:val="003F47E5"/>
    <w:rsid w:val="003F5CDD"/>
    <w:rsid w:val="003F5D5D"/>
    <w:rsid w:val="003F667F"/>
    <w:rsid w:val="003F7E6A"/>
    <w:rsid w:val="00400083"/>
    <w:rsid w:val="0040059A"/>
    <w:rsid w:val="00404797"/>
    <w:rsid w:val="004047D0"/>
    <w:rsid w:val="00405524"/>
    <w:rsid w:val="00405BEB"/>
    <w:rsid w:val="0040675A"/>
    <w:rsid w:val="00406F2B"/>
    <w:rsid w:val="00407BD2"/>
    <w:rsid w:val="0041043C"/>
    <w:rsid w:val="00411B85"/>
    <w:rsid w:val="00412132"/>
    <w:rsid w:val="00414B54"/>
    <w:rsid w:val="0041614E"/>
    <w:rsid w:val="00416511"/>
    <w:rsid w:val="00416C2E"/>
    <w:rsid w:val="004207E3"/>
    <w:rsid w:val="00420D01"/>
    <w:rsid w:val="0042154A"/>
    <w:rsid w:val="0042321C"/>
    <w:rsid w:val="00423267"/>
    <w:rsid w:val="00424A5D"/>
    <w:rsid w:val="004252E8"/>
    <w:rsid w:val="00426EEE"/>
    <w:rsid w:val="00426F4A"/>
    <w:rsid w:val="0043155D"/>
    <w:rsid w:val="00432915"/>
    <w:rsid w:val="00432C5F"/>
    <w:rsid w:val="00433BA1"/>
    <w:rsid w:val="004349E0"/>
    <w:rsid w:val="00435AA2"/>
    <w:rsid w:val="004363BC"/>
    <w:rsid w:val="0043754D"/>
    <w:rsid w:val="00437BF5"/>
    <w:rsid w:val="00437BF8"/>
    <w:rsid w:val="004411F1"/>
    <w:rsid w:val="004417C6"/>
    <w:rsid w:val="004422D6"/>
    <w:rsid w:val="00442BFD"/>
    <w:rsid w:val="00444A46"/>
    <w:rsid w:val="00444D60"/>
    <w:rsid w:val="00445EE4"/>
    <w:rsid w:val="00445FFD"/>
    <w:rsid w:val="00447095"/>
    <w:rsid w:val="00447483"/>
    <w:rsid w:val="004507CF"/>
    <w:rsid w:val="0045342C"/>
    <w:rsid w:val="00454B0F"/>
    <w:rsid w:val="004556FA"/>
    <w:rsid w:val="00462726"/>
    <w:rsid w:val="00462897"/>
    <w:rsid w:val="00463997"/>
    <w:rsid w:val="004648D2"/>
    <w:rsid w:val="0046604D"/>
    <w:rsid w:val="0047250D"/>
    <w:rsid w:val="0047358F"/>
    <w:rsid w:val="0047444E"/>
    <w:rsid w:val="00474614"/>
    <w:rsid w:val="00474880"/>
    <w:rsid w:val="004768C9"/>
    <w:rsid w:val="00476A0B"/>
    <w:rsid w:val="00477A49"/>
    <w:rsid w:val="00477BFF"/>
    <w:rsid w:val="00481FA4"/>
    <w:rsid w:val="00485197"/>
    <w:rsid w:val="00485AD7"/>
    <w:rsid w:val="00485ED3"/>
    <w:rsid w:val="00486B4B"/>
    <w:rsid w:val="00487569"/>
    <w:rsid w:val="004878C1"/>
    <w:rsid w:val="00492EB5"/>
    <w:rsid w:val="0049505C"/>
    <w:rsid w:val="00496626"/>
    <w:rsid w:val="0049684A"/>
    <w:rsid w:val="00497B27"/>
    <w:rsid w:val="004A34D2"/>
    <w:rsid w:val="004A411B"/>
    <w:rsid w:val="004A486C"/>
    <w:rsid w:val="004A488B"/>
    <w:rsid w:val="004A5218"/>
    <w:rsid w:val="004A5B0B"/>
    <w:rsid w:val="004B219E"/>
    <w:rsid w:val="004B272B"/>
    <w:rsid w:val="004B2774"/>
    <w:rsid w:val="004B4A0E"/>
    <w:rsid w:val="004B6D5C"/>
    <w:rsid w:val="004B6DE0"/>
    <w:rsid w:val="004B742E"/>
    <w:rsid w:val="004C003F"/>
    <w:rsid w:val="004C0993"/>
    <w:rsid w:val="004C1226"/>
    <w:rsid w:val="004C1F44"/>
    <w:rsid w:val="004C1F93"/>
    <w:rsid w:val="004C5092"/>
    <w:rsid w:val="004C5273"/>
    <w:rsid w:val="004D1653"/>
    <w:rsid w:val="004D2B08"/>
    <w:rsid w:val="004D2C64"/>
    <w:rsid w:val="004D3473"/>
    <w:rsid w:val="004D4556"/>
    <w:rsid w:val="004D725A"/>
    <w:rsid w:val="004D7A98"/>
    <w:rsid w:val="004D7C48"/>
    <w:rsid w:val="004E0D32"/>
    <w:rsid w:val="004E1873"/>
    <w:rsid w:val="004E20F8"/>
    <w:rsid w:val="004E2973"/>
    <w:rsid w:val="004E2BBF"/>
    <w:rsid w:val="004E4142"/>
    <w:rsid w:val="004E4A6B"/>
    <w:rsid w:val="004E4AB3"/>
    <w:rsid w:val="004E5102"/>
    <w:rsid w:val="004E5B78"/>
    <w:rsid w:val="004F01A2"/>
    <w:rsid w:val="004F0B50"/>
    <w:rsid w:val="004F1050"/>
    <w:rsid w:val="004F3134"/>
    <w:rsid w:val="004F32CC"/>
    <w:rsid w:val="004F4EB9"/>
    <w:rsid w:val="004F5F6A"/>
    <w:rsid w:val="004F7153"/>
    <w:rsid w:val="00502929"/>
    <w:rsid w:val="00502F06"/>
    <w:rsid w:val="005037BC"/>
    <w:rsid w:val="005037CD"/>
    <w:rsid w:val="00503872"/>
    <w:rsid w:val="00503C1E"/>
    <w:rsid w:val="005053B0"/>
    <w:rsid w:val="00506501"/>
    <w:rsid w:val="0051074C"/>
    <w:rsid w:val="0051089A"/>
    <w:rsid w:val="00510BB6"/>
    <w:rsid w:val="0051288D"/>
    <w:rsid w:val="00513A69"/>
    <w:rsid w:val="00513AF2"/>
    <w:rsid w:val="005152C2"/>
    <w:rsid w:val="005200B5"/>
    <w:rsid w:val="00521B54"/>
    <w:rsid w:val="005222B7"/>
    <w:rsid w:val="00522A4E"/>
    <w:rsid w:val="0052307C"/>
    <w:rsid w:val="00524F8D"/>
    <w:rsid w:val="00525153"/>
    <w:rsid w:val="005264AF"/>
    <w:rsid w:val="005268C9"/>
    <w:rsid w:val="0052715F"/>
    <w:rsid w:val="00533367"/>
    <w:rsid w:val="00535161"/>
    <w:rsid w:val="00535A7F"/>
    <w:rsid w:val="0053606E"/>
    <w:rsid w:val="00537D21"/>
    <w:rsid w:val="005418FA"/>
    <w:rsid w:val="00542FF3"/>
    <w:rsid w:val="00543C0B"/>
    <w:rsid w:val="0054413A"/>
    <w:rsid w:val="005443C9"/>
    <w:rsid w:val="00545144"/>
    <w:rsid w:val="00545326"/>
    <w:rsid w:val="005457A0"/>
    <w:rsid w:val="0054711B"/>
    <w:rsid w:val="00550551"/>
    <w:rsid w:val="00553411"/>
    <w:rsid w:val="00554515"/>
    <w:rsid w:val="00555967"/>
    <w:rsid w:val="005564CA"/>
    <w:rsid w:val="00557DD1"/>
    <w:rsid w:val="00561510"/>
    <w:rsid w:val="005620AD"/>
    <w:rsid w:val="005626E7"/>
    <w:rsid w:val="00562D14"/>
    <w:rsid w:val="00570BD6"/>
    <w:rsid w:val="00571897"/>
    <w:rsid w:val="005731B5"/>
    <w:rsid w:val="0057389B"/>
    <w:rsid w:val="00574D20"/>
    <w:rsid w:val="00575B77"/>
    <w:rsid w:val="00575D08"/>
    <w:rsid w:val="005770F6"/>
    <w:rsid w:val="00577DD4"/>
    <w:rsid w:val="00577EF5"/>
    <w:rsid w:val="005811F1"/>
    <w:rsid w:val="00584E86"/>
    <w:rsid w:val="005867EF"/>
    <w:rsid w:val="00590DD9"/>
    <w:rsid w:val="00590E6F"/>
    <w:rsid w:val="0059266D"/>
    <w:rsid w:val="005A0585"/>
    <w:rsid w:val="005A114C"/>
    <w:rsid w:val="005A1570"/>
    <w:rsid w:val="005A32AF"/>
    <w:rsid w:val="005A34F0"/>
    <w:rsid w:val="005A3C9D"/>
    <w:rsid w:val="005A422C"/>
    <w:rsid w:val="005A436F"/>
    <w:rsid w:val="005A456B"/>
    <w:rsid w:val="005A4A4C"/>
    <w:rsid w:val="005A5275"/>
    <w:rsid w:val="005A66A0"/>
    <w:rsid w:val="005A6DCD"/>
    <w:rsid w:val="005A79FE"/>
    <w:rsid w:val="005B2AF3"/>
    <w:rsid w:val="005B4049"/>
    <w:rsid w:val="005B43FE"/>
    <w:rsid w:val="005B4AA6"/>
    <w:rsid w:val="005B7215"/>
    <w:rsid w:val="005B7515"/>
    <w:rsid w:val="005B7A2F"/>
    <w:rsid w:val="005C0D43"/>
    <w:rsid w:val="005C1FFD"/>
    <w:rsid w:val="005C266E"/>
    <w:rsid w:val="005C3C95"/>
    <w:rsid w:val="005C51A7"/>
    <w:rsid w:val="005C5A22"/>
    <w:rsid w:val="005C5B5C"/>
    <w:rsid w:val="005D29B5"/>
    <w:rsid w:val="005D3445"/>
    <w:rsid w:val="005D3807"/>
    <w:rsid w:val="005D4693"/>
    <w:rsid w:val="005D474D"/>
    <w:rsid w:val="005D552E"/>
    <w:rsid w:val="005D7F00"/>
    <w:rsid w:val="005E1BC6"/>
    <w:rsid w:val="005E1CF3"/>
    <w:rsid w:val="005E2E0F"/>
    <w:rsid w:val="005E2F44"/>
    <w:rsid w:val="005E3788"/>
    <w:rsid w:val="005E4F20"/>
    <w:rsid w:val="005E53F5"/>
    <w:rsid w:val="005E605B"/>
    <w:rsid w:val="005E67FC"/>
    <w:rsid w:val="005E7572"/>
    <w:rsid w:val="005E7A0B"/>
    <w:rsid w:val="005F0C78"/>
    <w:rsid w:val="005F1050"/>
    <w:rsid w:val="005F3431"/>
    <w:rsid w:val="005F4BF5"/>
    <w:rsid w:val="006007CC"/>
    <w:rsid w:val="00601496"/>
    <w:rsid w:val="0060197B"/>
    <w:rsid w:val="00601FCA"/>
    <w:rsid w:val="006030AA"/>
    <w:rsid w:val="00603BDE"/>
    <w:rsid w:val="00610C94"/>
    <w:rsid w:val="00611D58"/>
    <w:rsid w:val="00612BDB"/>
    <w:rsid w:val="00613035"/>
    <w:rsid w:val="006134DB"/>
    <w:rsid w:val="0061397F"/>
    <w:rsid w:val="006178DB"/>
    <w:rsid w:val="00620CBF"/>
    <w:rsid w:val="00620E47"/>
    <w:rsid w:val="00621A0D"/>
    <w:rsid w:val="00624730"/>
    <w:rsid w:val="00625446"/>
    <w:rsid w:val="0062567A"/>
    <w:rsid w:val="00625793"/>
    <w:rsid w:val="006334A8"/>
    <w:rsid w:val="006367B1"/>
    <w:rsid w:val="0063788B"/>
    <w:rsid w:val="006404C9"/>
    <w:rsid w:val="00640B75"/>
    <w:rsid w:val="006426C6"/>
    <w:rsid w:val="00642D57"/>
    <w:rsid w:val="00645CE0"/>
    <w:rsid w:val="00646512"/>
    <w:rsid w:val="00647622"/>
    <w:rsid w:val="00651D31"/>
    <w:rsid w:val="00652011"/>
    <w:rsid w:val="006524BE"/>
    <w:rsid w:val="00652A5C"/>
    <w:rsid w:val="006533F8"/>
    <w:rsid w:val="00655360"/>
    <w:rsid w:val="00655371"/>
    <w:rsid w:val="006563C3"/>
    <w:rsid w:val="00663138"/>
    <w:rsid w:val="00663A19"/>
    <w:rsid w:val="006645BF"/>
    <w:rsid w:val="0066584D"/>
    <w:rsid w:val="006661E2"/>
    <w:rsid w:val="00666AF7"/>
    <w:rsid w:val="00667EBB"/>
    <w:rsid w:val="00670B1B"/>
    <w:rsid w:val="00672B53"/>
    <w:rsid w:val="00672EEC"/>
    <w:rsid w:val="00673789"/>
    <w:rsid w:val="00673AB7"/>
    <w:rsid w:val="006819FF"/>
    <w:rsid w:val="00681A07"/>
    <w:rsid w:val="00683085"/>
    <w:rsid w:val="0068338B"/>
    <w:rsid w:val="00686E92"/>
    <w:rsid w:val="0069158F"/>
    <w:rsid w:val="00691C58"/>
    <w:rsid w:val="00693CC2"/>
    <w:rsid w:val="0069678A"/>
    <w:rsid w:val="00696FE7"/>
    <w:rsid w:val="00697665"/>
    <w:rsid w:val="00697D73"/>
    <w:rsid w:val="006A12F4"/>
    <w:rsid w:val="006A1A12"/>
    <w:rsid w:val="006A2013"/>
    <w:rsid w:val="006A2F2D"/>
    <w:rsid w:val="006A3206"/>
    <w:rsid w:val="006A3CD1"/>
    <w:rsid w:val="006A454C"/>
    <w:rsid w:val="006A5273"/>
    <w:rsid w:val="006A58B8"/>
    <w:rsid w:val="006A64A9"/>
    <w:rsid w:val="006A7FD0"/>
    <w:rsid w:val="006B161A"/>
    <w:rsid w:val="006B2195"/>
    <w:rsid w:val="006B26E2"/>
    <w:rsid w:val="006B34D7"/>
    <w:rsid w:val="006B389C"/>
    <w:rsid w:val="006B55C5"/>
    <w:rsid w:val="006B66B4"/>
    <w:rsid w:val="006B7576"/>
    <w:rsid w:val="006C084F"/>
    <w:rsid w:val="006C14D1"/>
    <w:rsid w:val="006C4F96"/>
    <w:rsid w:val="006C604A"/>
    <w:rsid w:val="006C627E"/>
    <w:rsid w:val="006C68E5"/>
    <w:rsid w:val="006C6A9E"/>
    <w:rsid w:val="006C7E2B"/>
    <w:rsid w:val="006D23BA"/>
    <w:rsid w:val="006D2CB8"/>
    <w:rsid w:val="006D2CF6"/>
    <w:rsid w:val="006D40DC"/>
    <w:rsid w:val="006D4EC2"/>
    <w:rsid w:val="006D4F07"/>
    <w:rsid w:val="006D5176"/>
    <w:rsid w:val="006D7687"/>
    <w:rsid w:val="006E0385"/>
    <w:rsid w:val="006E0572"/>
    <w:rsid w:val="006E0C98"/>
    <w:rsid w:val="006E1324"/>
    <w:rsid w:val="006E1CCF"/>
    <w:rsid w:val="006E6D63"/>
    <w:rsid w:val="006E6E42"/>
    <w:rsid w:val="006F23C2"/>
    <w:rsid w:val="006F3DAA"/>
    <w:rsid w:val="006F510F"/>
    <w:rsid w:val="00700377"/>
    <w:rsid w:val="007015C6"/>
    <w:rsid w:val="007020A1"/>
    <w:rsid w:val="00702115"/>
    <w:rsid w:val="007029A4"/>
    <w:rsid w:val="00703E2C"/>
    <w:rsid w:val="00705631"/>
    <w:rsid w:val="00705FE1"/>
    <w:rsid w:val="00706399"/>
    <w:rsid w:val="00707EFD"/>
    <w:rsid w:val="00707FF5"/>
    <w:rsid w:val="00710422"/>
    <w:rsid w:val="00711A50"/>
    <w:rsid w:val="007130EA"/>
    <w:rsid w:val="00713DE5"/>
    <w:rsid w:val="00714254"/>
    <w:rsid w:val="00714718"/>
    <w:rsid w:val="00715929"/>
    <w:rsid w:val="0072005B"/>
    <w:rsid w:val="007201E7"/>
    <w:rsid w:val="00720966"/>
    <w:rsid w:val="007210EC"/>
    <w:rsid w:val="0072127D"/>
    <w:rsid w:val="007229B0"/>
    <w:rsid w:val="00724809"/>
    <w:rsid w:val="007252B4"/>
    <w:rsid w:val="00725AC2"/>
    <w:rsid w:val="00726DBE"/>
    <w:rsid w:val="00727EAE"/>
    <w:rsid w:val="00727FB6"/>
    <w:rsid w:val="007300F3"/>
    <w:rsid w:val="00730AB8"/>
    <w:rsid w:val="00734D43"/>
    <w:rsid w:val="007357B0"/>
    <w:rsid w:val="00735A39"/>
    <w:rsid w:val="00736FC1"/>
    <w:rsid w:val="007404BC"/>
    <w:rsid w:val="00741FC4"/>
    <w:rsid w:val="00742DD2"/>
    <w:rsid w:val="00743DB1"/>
    <w:rsid w:val="00744E7F"/>
    <w:rsid w:val="00745879"/>
    <w:rsid w:val="00745950"/>
    <w:rsid w:val="007464C8"/>
    <w:rsid w:val="00746D17"/>
    <w:rsid w:val="00752568"/>
    <w:rsid w:val="00753C90"/>
    <w:rsid w:val="0075455D"/>
    <w:rsid w:val="00754621"/>
    <w:rsid w:val="0075582E"/>
    <w:rsid w:val="0075647A"/>
    <w:rsid w:val="00756C0F"/>
    <w:rsid w:val="007573C1"/>
    <w:rsid w:val="007574E5"/>
    <w:rsid w:val="007611DB"/>
    <w:rsid w:val="007634AD"/>
    <w:rsid w:val="00764CD2"/>
    <w:rsid w:val="0076566F"/>
    <w:rsid w:val="007656E6"/>
    <w:rsid w:val="00765BE2"/>
    <w:rsid w:val="007673F0"/>
    <w:rsid w:val="0076744F"/>
    <w:rsid w:val="00770438"/>
    <w:rsid w:val="0077280A"/>
    <w:rsid w:val="00772C6C"/>
    <w:rsid w:val="007741D9"/>
    <w:rsid w:val="007743B6"/>
    <w:rsid w:val="007748F6"/>
    <w:rsid w:val="007750BB"/>
    <w:rsid w:val="00776ED5"/>
    <w:rsid w:val="00780D84"/>
    <w:rsid w:val="0078122E"/>
    <w:rsid w:val="0078165F"/>
    <w:rsid w:val="00782024"/>
    <w:rsid w:val="00782DC1"/>
    <w:rsid w:val="00783506"/>
    <w:rsid w:val="0078442B"/>
    <w:rsid w:val="00785A12"/>
    <w:rsid w:val="0078614D"/>
    <w:rsid w:val="00787D16"/>
    <w:rsid w:val="00791C0F"/>
    <w:rsid w:val="007928FC"/>
    <w:rsid w:val="00793845"/>
    <w:rsid w:val="00793FA2"/>
    <w:rsid w:val="0079520D"/>
    <w:rsid w:val="00796EC8"/>
    <w:rsid w:val="00797659"/>
    <w:rsid w:val="00797DF7"/>
    <w:rsid w:val="007A0D0E"/>
    <w:rsid w:val="007A341E"/>
    <w:rsid w:val="007A4C5A"/>
    <w:rsid w:val="007A562D"/>
    <w:rsid w:val="007A615D"/>
    <w:rsid w:val="007B0854"/>
    <w:rsid w:val="007B0F58"/>
    <w:rsid w:val="007B24B5"/>
    <w:rsid w:val="007C0326"/>
    <w:rsid w:val="007C2221"/>
    <w:rsid w:val="007C36EC"/>
    <w:rsid w:val="007C60A9"/>
    <w:rsid w:val="007C6410"/>
    <w:rsid w:val="007C672F"/>
    <w:rsid w:val="007C7077"/>
    <w:rsid w:val="007C7638"/>
    <w:rsid w:val="007C7F04"/>
    <w:rsid w:val="007D0305"/>
    <w:rsid w:val="007D1727"/>
    <w:rsid w:val="007D1AD1"/>
    <w:rsid w:val="007D40E2"/>
    <w:rsid w:val="007D5E0B"/>
    <w:rsid w:val="007D71A4"/>
    <w:rsid w:val="007D751F"/>
    <w:rsid w:val="007D7795"/>
    <w:rsid w:val="007E01FC"/>
    <w:rsid w:val="007E4585"/>
    <w:rsid w:val="007E5B03"/>
    <w:rsid w:val="007E6035"/>
    <w:rsid w:val="007E750C"/>
    <w:rsid w:val="007F047F"/>
    <w:rsid w:val="007F0D40"/>
    <w:rsid w:val="007F168F"/>
    <w:rsid w:val="007F367B"/>
    <w:rsid w:val="007F4347"/>
    <w:rsid w:val="007F45DC"/>
    <w:rsid w:val="007F5DAA"/>
    <w:rsid w:val="007F723E"/>
    <w:rsid w:val="007F72CB"/>
    <w:rsid w:val="007F73EA"/>
    <w:rsid w:val="00802A13"/>
    <w:rsid w:val="00802D30"/>
    <w:rsid w:val="00804C29"/>
    <w:rsid w:val="00804CE6"/>
    <w:rsid w:val="00804EB1"/>
    <w:rsid w:val="0080594C"/>
    <w:rsid w:val="008059E3"/>
    <w:rsid w:val="008101D2"/>
    <w:rsid w:val="008111B0"/>
    <w:rsid w:val="00811ED3"/>
    <w:rsid w:val="00812DEC"/>
    <w:rsid w:val="00813504"/>
    <w:rsid w:val="00815027"/>
    <w:rsid w:val="008159D3"/>
    <w:rsid w:val="00816302"/>
    <w:rsid w:val="00817237"/>
    <w:rsid w:val="00817A26"/>
    <w:rsid w:val="00817CA8"/>
    <w:rsid w:val="00822D58"/>
    <w:rsid w:val="008259B9"/>
    <w:rsid w:val="00826A9D"/>
    <w:rsid w:val="0083119B"/>
    <w:rsid w:val="0083133A"/>
    <w:rsid w:val="00834864"/>
    <w:rsid w:val="008366AF"/>
    <w:rsid w:val="00836EAB"/>
    <w:rsid w:val="00841280"/>
    <w:rsid w:val="0084152B"/>
    <w:rsid w:val="00841639"/>
    <w:rsid w:val="00842535"/>
    <w:rsid w:val="00842F23"/>
    <w:rsid w:val="00843BC4"/>
    <w:rsid w:val="00843E6C"/>
    <w:rsid w:val="00844326"/>
    <w:rsid w:val="00845303"/>
    <w:rsid w:val="00847B6B"/>
    <w:rsid w:val="00847DD7"/>
    <w:rsid w:val="0085092D"/>
    <w:rsid w:val="008509DD"/>
    <w:rsid w:val="00850DF5"/>
    <w:rsid w:val="0085128C"/>
    <w:rsid w:val="00852018"/>
    <w:rsid w:val="008524B4"/>
    <w:rsid w:val="0085264F"/>
    <w:rsid w:val="00852E12"/>
    <w:rsid w:val="00852F5E"/>
    <w:rsid w:val="00853776"/>
    <w:rsid w:val="008541AC"/>
    <w:rsid w:val="00854DBB"/>
    <w:rsid w:val="00857F63"/>
    <w:rsid w:val="00860B10"/>
    <w:rsid w:val="008612BF"/>
    <w:rsid w:val="00861408"/>
    <w:rsid w:val="008615B3"/>
    <w:rsid w:val="008617E0"/>
    <w:rsid w:val="00862B2A"/>
    <w:rsid w:val="00865967"/>
    <w:rsid w:val="008705DE"/>
    <w:rsid w:val="00873BCF"/>
    <w:rsid w:val="00877366"/>
    <w:rsid w:val="00880626"/>
    <w:rsid w:val="00881690"/>
    <w:rsid w:val="008817ED"/>
    <w:rsid w:val="0088243F"/>
    <w:rsid w:val="00883662"/>
    <w:rsid w:val="00883D39"/>
    <w:rsid w:val="0088457C"/>
    <w:rsid w:val="00885AA7"/>
    <w:rsid w:val="00886201"/>
    <w:rsid w:val="00886A5B"/>
    <w:rsid w:val="008871CF"/>
    <w:rsid w:val="00887B15"/>
    <w:rsid w:val="00890882"/>
    <w:rsid w:val="00890C2D"/>
    <w:rsid w:val="008927A8"/>
    <w:rsid w:val="00893165"/>
    <w:rsid w:val="00893180"/>
    <w:rsid w:val="00896A1B"/>
    <w:rsid w:val="008A0A11"/>
    <w:rsid w:val="008A257A"/>
    <w:rsid w:val="008A2F81"/>
    <w:rsid w:val="008A3228"/>
    <w:rsid w:val="008A3FB9"/>
    <w:rsid w:val="008A53F7"/>
    <w:rsid w:val="008A54C1"/>
    <w:rsid w:val="008A575E"/>
    <w:rsid w:val="008A69BA"/>
    <w:rsid w:val="008B1A31"/>
    <w:rsid w:val="008C0AF6"/>
    <w:rsid w:val="008C0ED3"/>
    <w:rsid w:val="008C26E3"/>
    <w:rsid w:val="008C41C5"/>
    <w:rsid w:val="008C7750"/>
    <w:rsid w:val="008D1B84"/>
    <w:rsid w:val="008D3FBB"/>
    <w:rsid w:val="008D4225"/>
    <w:rsid w:val="008D4B97"/>
    <w:rsid w:val="008D4C63"/>
    <w:rsid w:val="008D5F00"/>
    <w:rsid w:val="008D76C2"/>
    <w:rsid w:val="008D776A"/>
    <w:rsid w:val="008E0A7E"/>
    <w:rsid w:val="008E1C15"/>
    <w:rsid w:val="008E3219"/>
    <w:rsid w:val="008E6F70"/>
    <w:rsid w:val="008F14CC"/>
    <w:rsid w:val="008F1D84"/>
    <w:rsid w:val="008F2734"/>
    <w:rsid w:val="008F30C9"/>
    <w:rsid w:val="008F39BD"/>
    <w:rsid w:val="008F4123"/>
    <w:rsid w:val="008F489B"/>
    <w:rsid w:val="008F5C25"/>
    <w:rsid w:val="008F646E"/>
    <w:rsid w:val="008F6E4A"/>
    <w:rsid w:val="00900239"/>
    <w:rsid w:val="00900DDB"/>
    <w:rsid w:val="0090136A"/>
    <w:rsid w:val="00901CD9"/>
    <w:rsid w:val="009030CB"/>
    <w:rsid w:val="009047C5"/>
    <w:rsid w:val="00904CD9"/>
    <w:rsid w:val="009064C4"/>
    <w:rsid w:val="009066C0"/>
    <w:rsid w:val="00907A73"/>
    <w:rsid w:val="0091085E"/>
    <w:rsid w:val="00910B86"/>
    <w:rsid w:val="0091237C"/>
    <w:rsid w:val="00914F02"/>
    <w:rsid w:val="009167D0"/>
    <w:rsid w:val="00916C89"/>
    <w:rsid w:val="009176F3"/>
    <w:rsid w:val="00917700"/>
    <w:rsid w:val="00921659"/>
    <w:rsid w:val="00921A5A"/>
    <w:rsid w:val="00923DC9"/>
    <w:rsid w:val="00924541"/>
    <w:rsid w:val="0092462A"/>
    <w:rsid w:val="0092465E"/>
    <w:rsid w:val="0092478E"/>
    <w:rsid w:val="00924C21"/>
    <w:rsid w:val="009273B1"/>
    <w:rsid w:val="009278F1"/>
    <w:rsid w:val="00930831"/>
    <w:rsid w:val="0093193A"/>
    <w:rsid w:val="00931B7E"/>
    <w:rsid w:val="00932FBD"/>
    <w:rsid w:val="00937BFF"/>
    <w:rsid w:val="009405BB"/>
    <w:rsid w:val="009409CA"/>
    <w:rsid w:val="00942B12"/>
    <w:rsid w:val="00944EA4"/>
    <w:rsid w:val="009465F7"/>
    <w:rsid w:val="00946737"/>
    <w:rsid w:val="00946CFA"/>
    <w:rsid w:val="00950258"/>
    <w:rsid w:val="00951364"/>
    <w:rsid w:val="00952949"/>
    <w:rsid w:val="00952E20"/>
    <w:rsid w:val="0095385A"/>
    <w:rsid w:val="009538BA"/>
    <w:rsid w:val="00955CAC"/>
    <w:rsid w:val="00955E10"/>
    <w:rsid w:val="009568DA"/>
    <w:rsid w:val="00956C80"/>
    <w:rsid w:val="00956E82"/>
    <w:rsid w:val="009604AE"/>
    <w:rsid w:val="00962034"/>
    <w:rsid w:val="00962A37"/>
    <w:rsid w:val="00964C6F"/>
    <w:rsid w:val="00965849"/>
    <w:rsid w:val="00971941"/>
    <w:rsid w:val="00971A67"/>
    <w:rsid w:val="00973F55"/>
    <w:rsid w:val="00975D1B"/>
    <w:rsid w:val="00976CC3"/>
    <w:rsid w:val="00977088"/>
    <w:rsid w:val="00981B5D"/>
    <w:rsid w:val="00982489"/>
    <w:rsid w:val="009831AC"/>
    <w:rsid w:val="009859D0"/>
    <w:rsid w:val="009866C8"/>
    <w:rsid w:val="009874B4"/>
    <w:rsid w:val="00987F32"/>
    <w:rsid w:val="00990612"/>
    <w:rsid w:val="00990A2F"/>
    <w:rsid w:val="009A3523"/>
    <w:rsid w:val="009A353C"/>
    <w:rsid w:val="009A3AEB"/>
    <w:rsid w:val="009A3BE0"/>
    <w:rsid w:val="009B0CB9"/>
    <w:rsid w:val="009B1BF2"/>
    <w:rsid w:val="009B2695"/>
    <w:rsid w:val="009B2854"/>
    <w:rsid w:val="009B29F8"/>
    <w:rsid w:val="009B4F07"/>
    <w:rsid w:val="009B646F"/>
    <w:rsid w:val="009B7190"/>
    <w:rsid w:val="009C1FFB"/>
    <w:rsid w:val="009C24BD"/>
    <w:rsid w:val="009C27C3"/>
    <w:rsid w:val="009C2A57"/>
    <w:rsid w:val="009C376A"/>
    <w:rsid w:val="009C446F"/>
    <w:rsid w:val="009C4DAD"/>
    <w:rsid w:val="009C55A7"/>
    <w:rsid w:val="009C782E"/>
    <w:rsid w:val="009D0FC4"/>
    <w:rsid w:val="009D3049"/>
    <w:rsid w:val="009D4609"/>
    <w:rsid w:val="009D4FF8"/>
    <w:rsid w:val="009D52B5"/>
    <w:rsid w:val="009D53FF"/>
    <w:rsid w:val="009D54EC"/>
    <w:rsid w:val="009E0D1B"/>
    <w:rsid w:val="009E164C"/>
    <w:rsid w:val="009E245B"/>
    <w:rsid w:val="009E2882"/>
    <w:rsid w:val="009E3217"/>
    <w:rsid w:val="009E48B1"/>
    <w:rsid w:val="009F48F0"/>
    <w:rsid w:val="009F6523"/>
    <w:rsid w:val="009F6B3F"/>
    <w:rsid w:val="009F773F"/>
    <w:rsid w:val="00A00987"/>
    <w:rsid w:val="00A028FC"/>
    <w:rsid w:val="00A02CEE"/>
    <w:rsid w:val="00A02DEF"/>
    <w:rsid w:val="00A0353C"/>
    <w:rsid w:val="00A03556"/>
    <w:rsid w:val="00A035A4"/>
    <w:rsid w:val="00A036C4"/>
    <w:rsid w:val="00A044A1"/>
    <w:rsid w:val="00A064D0"/>
    <w:rsid w:val="00A07446"/>
    <w:rsid w:val="00A10135"/>
    <w:rsid w:val="00A10706"/>
    <w:rsid w:val="00A11267"/>
    <w:rsid w:val="00A118A0"/>
    <w:rsid w:val="00A11B6B"/>
    <w:rsid w:val="00A136ED"/>
    <w:rsid w:val="00A14F3C"/>
    <w:rsid w:val="00A15ACB"/>
    <w:rsid w:val="00A2069D"/>
    <w:rsid w:val="00A23E37"/>
    <w:rsid w:val="00A24560"/>
    <w:rsid w:val="00A26D28"/>
    <w:rsid w:val="00A27EFE"/>
    <w:rsid w:val="00A305CD"/>
    <w:rsid w:val="00A308D1"/>
    <w:rsid w:val="00A316F7"/>
    <w:rsid w:val="00A32529"/>
    <w:rsid w:val="00A32559"/>
    <w:rsid w:val="00A338FC"/>
    <w:rsid w:val="00A34538"/>
    <w:rsid w:val="00A35156"/>
    <w:rsid w:val="00A37529"/>
    <w:rsid w:val="00A41BFA"/>
    <w:rsid w:val="00A42A3B"/>
    <w:rsid w:val="00A43490"/>
    <w:rsid w:val="00A43FD5"/>
    <w:rsid w:val="00A44DA5"/>
    <w:rsid w:val="00A4608A"/>
    <w:rsid w:val="00A46CED"/>
    <w:rsid w:val="00A470F2"/>
    <w:rsid w:val="00A47803"/>
    <w:rsid w:val="00A47DA6"/>
    <w:rsid w:val="00A47F59"/>
    <w:rsid w:val="00A50173"/>
    <w:rsid w:val="00A507B2"/>
    <w:rsid w:val="00A50AD2"/>
    <w:rsid w:val="00A5235A"/>
    <w:rsid w:val="00A53B56"/>
    <w:rsid w:val="00A546CA"/>
    <w:rsid w:val="00A54A2B"/>
    <w:rsid w:val="00A54AB9"/>
    <w:rsid w:val="00A5584C"/>
    <w:rsid w:val="00A56A79"/>
    <w:rsid w:val="00A572E1"/>
    <w:rsid w:val="00A578E2"/>
    <w:rsid w:val="00A61FEE"/>
    <w:rsid w:val="00A6404B"/>
    <w:rsid w:val="00A656EF"/>
    <w:rsid w:val="00A658F7"/>
    <w:rsid w:val="00A65AA6"/>
    <w:rsid w:val="00A679E3"/>
    <w:rsid w:val="00A70419"/>
    <w:rsid w:val="00A705BD"/>
    <w:rsid w:val="00A72A3B"/>
    <w:rsid w:val="00A814D6"/>
    <w:rsid w:val="00A8268C"/>
    <w:rsid w:val="00A84361"/>
    <w:rsid w:val="00A84904"/>
    <w:rsid w:val="00A852F0"/>
    <w:rsid w:val="00A95B9D"/>
    <w:rsid w:val="00A97342"/>
    <w:rsid w:val="00AA03C4"/>
    <w:rsid w:val="00AA18DB"/>
    <w:rsid w:val="00AA318B"/>
    <w:rsid w:val="00AA3DEF"/>
    <w:rsid w:val="00AA442B"/>
    <w:rsid w:val="00AA6CC1"/>
    <w:rsid w:val="00AB00BD"/>
    <w:rsid w:val="00AB0D4D"/>
    <w:rsid w:val="00AB14CE"/>
    <w:rsid w:val="00AB1580"/>
    <w:rsid w:val="00AB196B"/>
    <w:rsid w:val="00AB1AC8"/>
    <w:rsid w:val="00AB30DF"/>
    <w:rsid w:val="00AB3E40"/>
    <w:rsid w:val="00AB47E2"/>
    <w:rsid w:val="00AB4996"/>
    <w:rsid w:val="00AB4DF6"/>
    <w:rsid w:val="00AB769D"/>
    <w:rsid w:val="00AC0EEB"/>
    <w:rsid w:val="00AC1272"/>
    <w:rsid w:val="00AC1646"/>
    <w:rsid w:val="00AC3414"/>
    <w:rsid w:val="00AC3ACC"/>
    <w:rsid w:val="00AC65B4"/>
    <w:rsid w:val="00AD0801"/>
    <w:rsid w:val="00AD0B1D"/>
    <w:rsid w:val="00AD22FC"/>
    <w:rsid w:val="00AD25DF"/>
    <w:rsid w:val="00AD2E44"/>
    <w:rsid w:val="00AD2F7B"/>
    <w:rsid w:val="00AD3B96"/>
    <w:rsid w:val="00AD47FB"/>
    <w:rsid w:val="00AD48B1"/>
    <w:rsid w:val="00AD493D"/>
    <w:rsid w:val="00AD4D1D"/>
    <w:rsid w:val="00AD51BA"/>
    <w:rsid w:val="00AD5E7A"/>
    <w:rsid w:val="00AD612A"/>
    <w:rsid w:val="00AD6135"/>
    <w:rsid w:val="00AD642E"/>
    <w:rsid w:val="00AD7A11"/>
    <w:rsid w:val="00AD7C52"/>
    <w:rsid w:val="00AD7E2E"/>
    <w:rsid w:val="00AE0AC7"/>
    <w:rsid w:val="00AE110F"/>
    <w:rsid w:val="00AE1289"/>
    <w:rsid w:val="00AE19FC"/>
    <w:rsid w:val="00AE3E75"/>
    <w:rsid w:val="00AE4119"/>
    <w:rsid w:val="00AE4E69"/>
    <w:rsid w:val="00AE53EB"/>
    <w:rsid w:val="00AE5B43"/>
    <w:rsid w:val="00AE65B9"/>
    <w:rsid w:val="00AE6D68"/>
    <w:rsid w:val="00AF1383"/>
    <w:rsid w:val="00AF152E"/>
    <w:rsid w:val="00AF1ED8"/>
    <w:rsid w:val="00AF3832"/>
    <w:rsid w:val="00AF51A0"/>
    <w:rsid w:val="00AF5CE1"/>
    <w:rsid w:val="00AF713D"/>
    <w:rsid w:val="00B00F9B"/>
    <w:rsid w:val="00B02601"/>
    <w:rsid w:val="00B04843"/>
    <w:rsid w:val="00B04C92"/>
    <w:rsid w:val="00B055C7"/>
    <w:rsid w:val="00B0560B"/>
    <w:rsid w:val="00B06243"/>
    <w:rsid w:val="00B07B14"/>
    <w:rsid w:val="00B07BE4"/>
    <w:rsid w:val="00B101EE"/>
    <w:rsid w:val="00B1060D"/>
    <w:rsid w:val="00B118E9"/>
    <w:rsid w:val="00B120C2"/>
    <w:rsid w:val="00B1288F"/>
    <w:rsid w:val="00B12C69"/>
    <w:rsid w:val="00B13009"/>
    <w:rsid w:val="00B16D08"/>
    <w:rsid w:val="00B16E58"/>
    <w:rsid w:val="00B17763"/>
    <w:rsid w:val="00B21D6C"/>
    <w:rsid w:val="00B22E22"/>
    <w:rsid w:val="00B243F7"/>
    <w:rsid w:val="00B2492F"/>
    <w:rsid w:val="00B24E87"/>
    <w:rsid w:val="00B258A0"/>
    <w:rsid w:val="00B32C0B"/>
    <w:rsid w:val="00B32DE6"/>
    <w:rsid w:val="00B33D08"/>
    <w:rsid w:val="00B346CC"/>
    <w:rsid w:val="00B360BE"/>
    <w:rsid w:val="00B368CE"/>
    <w:rsid w:val="00B36E67"/>
    <w:rsid w:val="00B371E9"/>
    <w:rsid w:val="00B379A5"/>
    <w:rsid w:val="00B37F90"/>
    <w:rsid w:val="00B403DE"/>
    <w:rsid w:val="00B42A55"/>
    <w:rsid w:val="00B42CC0"/>
    <w:rsid w:val="00B439B4"/>
    <w:rsid w:val="00B43C9B"/>
    <w:rsid w:val="00B44938"/>
    <w:rsid w:val="00B46C3D"/>
    <w:rsid w:val="00B47785"/>
    <w:rsid w:val="00B50315"/>
    <w:rsid w:val="00B512C3"/>
    <w:rsid w:val="00B51451"/>
    <w:rsid w:val="00B5146F"/>
    <w:rsid w:val="00B51689"/>
    <w:rsid w:val="00B5178D"/>
    <w:rsid w:val="00B525CB"/>
    <w:rsid w:val="00B531D7"/>
    <w:rsid w:val="00B53F68"/>
    <w:rsid w:val="00B5556E"/>
    <w:rsid w:val="00B55682"/>
    <w:rsid w:val="00B60926"/>
    <w:rsid w:val="00B60D86"/>
    <w:rsid w:val="00B613B9"/>
    <w:rsid w:val="00B6143C"/>
    <w:rsid w:val="00B62CA6"/>
    <w:rsid w:val="00B630A6"/>
    <w:rsid w:val="00B6341F"/>
    <w:rsid w:val="00B637F3"/>
    <w:rsid w:val="00B63CB2"/>
    <w:rsid w:val="00B64278"/>
    <w:rsid w:val="00B6444C"/>
    <w:rsid w:val="00B66866"/>
    <w:rsid w:val="00B70169"/>
    <w:rsid w:val="00B71561"/>
    <w:rsid w:val="00B73B11"/>
    <w:rsid w:val="00B754CA"/>
    <w:rsid w:val="00B75BAA"/>
    <w:rsid w:val="00B75C7C"/>
    <w:rsid w:val="00B80316"/>
    <w:rsid w:val="00B80794"/>
    <w:rsid w:val="00B80D60"/>
    <w:rsid w:val="00B81F14"/>
    <w:rsid w:val="00B822EF"/>
    <w:rsid w:val="00B8385C"/>
    <w:rsid w:val="00B83F84"/>
    <w:rsid w:val="00B85623"/>
    <w:rsid w:val="00B90205"/>
    <w:rsid w:val="00B90B34"/>
    <w:rsid w:val="00B92E85"/>
    <w:rsid w:val="00B93287"/>
    <w:rsid w:val="00B94B1F"/>
    <w:rsid w:val="00BA101A"/>
    <w:rsid w:val="00BA1433"/>
    <w:rsid w:val="00BA4904"/>
    <w:rsid w:val="00BA4B5B"/>
    <w:rsid w:val="00BA549C"/>
    <w:rsid w:val="00BA54F0"/>
    <w:rsid w:val="00BA5B4B"/>
    <w:rsid w:val="00BA6306"/>
    <w:rsid w:val="00BB37BD"/>
    <w:rsid w:val="00BB5C7A"/>
    <w:rsid w:val="00BC0980"/>
    <w:rsid w:val="00BC1901"/>
    <w:rsid w:val="00BC3610"/>
    <w:rsid w:val="00BC3A7B"/>
    <w:rsid w:val="00BC46FA"/>
    <w:rsid w:val="00BC4CFC"/>
    <w:rsid w:val="00BC5D3F"/>
    <w:rsid w:val="00BC5E6E"/>
    <w:rsid w:val="00BC638A"/>
    <w:rsid w:val="00BD03DD"/>
    <w:rsid w:val="00BD0942"/>
    <w:rsid w:val="00BD09C9"/>
    <w:rsid w:val="00BD16E4"/>
    <w:rsid w:val="00BD3639"/>
    <w:rsid w:val="00BD404B"/>
    <w:rsid w:val="00BD4104"/>
    <w:rsid w:val="00BD5979"/>
    <w:rsid w:val="00BD5F91"/>
    <w:rsid w:val="00BD78FE"/>
    <w:rsid w:val="00BE1B2E"/>
    <w:rsid w:val="00BE2B53"/>
    <w:rsid w:val="00BE43C0"/>
    <w:rsid w:val="00BE4C31"/>
    <w:rsid w:val="00BE60C5"/>
    <w:rsid w:val="00BE68A7"/>
    <w:rsid w:val="00BE7972"/>
    <w:rsid w:val="00BF0945"/>
    <w:rsid w:val="00BF0F80"/>
    <w:rsid w:val="00BF239F"/>
    <w:rsid w:val="00BF2E6F"/>
    <w:rsid w:val="00BF3E3E"/>
    <w:rsid w:val="00BF3E9C"/>
    <w:rsid w:val="00BF46EB"/>
    <w:rsid w:val="00BF52BB"/>
    <w:rsid w:val="00BF59DD"/>
    <w:rsid w:val="00BF6F68"/>
    <w:rsid w:val="00BF7FBC"/>
    <w:rsid w:val="00C01713"/>
    <w:rsid w:val="00C01888"/>
    <w:rsid w:val="00C02FEB"/>
    <w:rsid w:val="00C0300E"/>
    <w:rsid w:val="00C03D7A"/>
    <w:rsid w:val="00C06C24"/>
    <w:rsid w:val="00C06F4E"/>
    <w:rsid w:val="00C07969"/>
    <w:rsid w:val="00C07EFC"/>
    <w:rsid w:val="00C1063D"/>
    <w:rsid w:val="00C108FF"/>
    <w:rsid w:val="00C128D8"/>
    <w:rsid w:val="00C16340"/>
    <w:rsid w:val="00C215F9"/>
    <w:rsid w:val="00C21979"/>
    <w:rsid w:val="00C22C1C"/>
    <w:rsid w:val="00C2341D"/>
    <w:rsid w:val="00C236F1"/>
    <w:rsid w:val="00C248E6"/>
    <w:rsid w:val="00C24A8F"/>
    <w:rsid w:val="00C24CB7"/>
    <w:rsid w:val="00C25356"/>
    <w:rsid w:val="00C2785E"/>
    <w:rsid w:val="00C3050E"/>
    <w:rsid w:val="00C32E42"/>
    <w:rsid w:val="00C35CCA"/>
    <w:rsid w:val="00C3789F"/>
    <w:rsid w:val="00C37E77"/>
    <w:rsid w:val="00C40C20"/>
    <w:rsid w:val="00C41A44"/>
    <w:rsid w:val="00C421D2"/>
    <w:rsid w:val="00C42475"/>
    <w:rsid w:val="00C4266A"/>
    <w:rsid w:val="00C4281E"/>
    <w:rsid w:val="00C43FAA"/>
    <w:rsid w:val="00C44120"/>
    <w:rsid w:val="00C445C0"/>
    <w:rsid w:val="00C4553B"/>
    <w:rsid w:val="00C46DAD"/>
    <w:rsid w:val="00C474F7"/>
    <w:rsid w:val="00C50FFB"/>
    <w:rsid w:val="00C51383"/>
    <w:rsid w:val="00C52AA0"/>
    <w:rsid w:val="00C53C40"/>
    <w:rsid w:val="00C5659C"/>
    <w:rsid w:val="00C606C0"/>
    <w:rsid w:val="00C60A58"/>
    <w:rsid w:val="00C63537"/>
    <w:rsid w:val="00C63B97"/>
    <w:rsid w:val="00C64C51"/>
    <w:rsid w:val="00C67675"/>
    <w:rsid w:val="00C70193"/>
    <w:rsid w:val="00C713D7"/>
    <w:rsid w:val="00C71798"/>
    <w:rsid w:val="00C74D7F"/>
    <w:rsid w:val="00C75515"/>
    <w:rsid w:val="00C76A33"/>
    <w:rsid w:val="00C8023B"/>
    <w:rsid w:val="00C80B95"/>
    <w:rsid w:val="00C8107E"/>
    <w:rsid w:val="00C814B8"/>
    <w:rsid w:val="00C817A8"/>
    <w:rsid w:val="00C818C5"/>
    <w:rsid w:val="00C81AC2"/>
    <w:rsid w:val="00C8219B"/>
    <w:rsid w:val="00C82754"/>
    <w:rsid w:val="00C83D45"/>
    <w:rsid w:val="00C845E6"/>
    <w:rsid w:val="00C859B3"/>
    <w:rsid w:val="00C878E8"/>
    <w:rsid w:val="00C87A79"/>
    <w:rsid w:val="00C87FB1"/>
    <w:rsid w:val="00C921B1"/>
    <w:rsid w:val="00C92306"/>
    <w:rsid w:val="00C97546"/>
    <w:rsid w:val="00CA0C3E"/>
    <w:rsid w:val="00CA1540"/>
    <w:rsid w:val="00CA287E"/>
    <w:rsid w:val="00CA44C0"/>
    <w:rsid w:val="00CA44E6"/>
    <w:rsid w:val="00CA5926"/>
    <w:rsid w:val="00CA5FFD"/>
    <w:rsid w:val="00CA6B80"/>
    <w:rsid w:val="00CA73A8"/>
    <w:rsid w:val="00CA7525"/>
    <w:rsid w:val="00CB084F"/>
    <w:rsid w:val="00CB21C6"/>
    <w:rsid w:val="00CB22AF"/>
    <w:rsid w:val="00CB2786"/>
    <w:rsid w:val="00CB3DAB"/>
    <w:rsid w:val="00CB4924"/>
    <w:rsid w:val="00CB4B63"/>
    <w:rsid w:val="00CB4C30"/>
    <w:rsid w:val="00CB532E"/>
    <w:rsid w:val="00CB5663"/>
    <w:rsid w:val="00CB6280"/>
    <w:rsid w:val="00CB7FCB"/>
    <w:rsid w:val="00CC00CD"/>
    <w:rsid w:val="00CC101A"/>
    <w:rsid w:val="00CC14C5"/>
    <w:rsid w:val="00CC2C34"/>
    <w:rsid w:val="00CC5BE0"/>
    <w:rsid w:val="00CC5E3E"/>
    <w:rsid w:val="00CC670C"/>
    <w:rsid w:val="00CC786F"/>
    <w:rsid w:val="00CD080F"/>
    <w:rsid w:val="00CD1434"/>
    <w:rsid w:val="00CD1A2C"/>
    <w:rsid w:val="00CD279E"/>
    <w:rsid w:val="00CD4CEE"/>
    <w:rsid w:val="00CD5978"/>
    <w:rsid w:val="00CD59EC"/>
    <w:rsid w:val="00CD5AB4"/>
    <w:rsid w:val="00CD5F34"/>
    <w:rsid w:val="00CE041B"/>
    <w:rsid w:val="00CE170E"/>
    <w:rsid w:val="00CE21CD"/>
    <w:rsid w:val="00CE33FA"/>
    <w:rsid w:val="00CE3652"/>
    <w:rsid w:val="00CE3F49"/>
    <w:rsid w:val="00CE50B8"/>
    <w:rsid w:val="00CE72E3"/>
    <w:rsid w:val="00CF248C"/>
    <w:rsid w:val="00CF2BA2"/>
    <w:rsid w:val="00CF2CA1"/>
    <w:rsid w:val="00CF2EF6"/>
    <w:rsid w:val="00CF4690"/>
    <w:rsid w:val="00CF4DAF"/>
    <w:rsid w:val="00CF6B14"/>
    <w:rsid w:val="00CF7DE3"/>
    <w:rsid w:val="00D004A0"/>
    <w:rsid w:val="00D03273"/>
    <w:rsid w:val="00D04268"/>
    <w:rsid w:val="00D047D3"/>
    <w:rsid w:val="00D04F45"/>
    <w:rsid w:val="00D054BD"/>
    <w:rsid w:val="00D05E28"/>
    <w:rsid w:val="00D063D2"/>
    <w:rsid w:val="00D06D43"/>
    <w:rsid w:val="00D1185B"/>
    <w:rsid w:val="00D11E53"/>
    <w:rsid w:val="00D12124"/>
    <w:rsid w:val="00D12348"/>
    <w:rsid w:val="00D15D40"/>
    <w:rsid w:val="00D16345"/>
    <w:rsid w:val="00D16E36"/>
    <w:rsid w:val="00D16E39"/>
    <w:rsid w:val="00D20C61"/>
    <w:rsid w:val="00D24CC2"/>
    <w:rsid w:val="00D250D0"/>
    <w:rsid w:val="00D31F4A"/>
    <w:rsid w:val="00D32C9D"/>
    <w:rsid w:val="00D35D5C"/>
    <w:rsid w:val="00D361D0"/>
    <w:rsid w:val="00D376C1"/>
    <w:rsid w:val="00D40DDB"/>
    <w:rsid w:val="00D44275"/>
    <w:rsid w:val="00D44846"/>
    <w:rsid w:val="00D46F16"/>
    <w:rsid w:val="00D50796"/>
    <w:rsid w:val="00D5088B"/>
    <w:rsid w:val="00D521EA"/>
    <w:rsid w:val="00D52852"/>
    <w:rsid w:val="00D53EA2"/>
    <w:rsid w:val="00D542C3"/>
    <w:rsid w:val="00D55E8F"/>
    <w:rsid w:val="00D56AB8"/>
    <w:rsid w:val="00D57255"/>
    <w:rsid w:val="00D577D1"/>
    <w:rsid w:val="00D60372"/>
    <w:rsid w:val="00D6148F"/>
    <w:rsid w:val="00D63081"/>
    <w:rsid w:val="00D63787"/>
    <w:rsid w:val="00D644AA"/>
    <w:rsid w:val="00D64797"/>
    <w:rsid w:val="00D65554"/>
    <w:rsid w:val="00D70679"/>
    <w:rsid w:val="00D70901"/>
    <w:rsid w:val="00D710DF"/>
    <w:rsid w:val="00D729F6"/>
    <w:rsid w:val="00D72E9D"/>
    <w:rsid w:val="00D73D62"/>
    <w:rsid w:val="00D74389"/>
    <w:rsid w:val="00D74E75"/>
    <w:rsid w:val="00D76689"/>
    <w:rsid w:val="00D80EB6"/>
    <w:rsid w:val="00D81B3A"/>
    <w:rsid w:val="00D82CE5"/>
    <w:rsid w:val="00D84D9D"/>
    <w:rsid w:val="00D851F9"/>
    <w:rsid w:val="00D856F4"/>
    <w:rsid w:val="00D90C79"/>
    <w:rsid w:val="00D9294F"/>
    <w:rsid w:val="00D9457C"/>
    <w:rsid w:val="00DA01E8"/>
    <w:rsid w:val="00DA0FD1"/>
    <w:rsid w:val="00DA17CF"/>
    <w:rsid w:val="00DA1E8F"/>
    <w:rsid w:val="00DA2FF5"/>
    <w:rsid w:val="00DA3452"/>
    <w:rsid w:val="00DA5AB1"/>
    <w:rsid w:val="00DA6996"/>
    <w:rsid w:val="00DA6EE1"/>
    <w:rsid w:val="00DA72B4"/>
    <w:rsid w:val="00DB12BD"/>
    <w:rsid w:val="00DB2EB1"/>
    <w:rsid w:val="00DB3448"/>
    <w:rsid w:val="00DB44D8"/>
    <w:rsid w:val="00DB49AA"/>
    <w:rsid w:val="00DB5ED4"/>
    <w:rsid w:val="00DB768D"/>
    <w:rsid w:val="00DB7729"/>
    <w:rsid w:val="00DC32BD"/>
    <w:rsid w:val="00DC3D67"/>
    <w:rsid w:val="00DC443C"/>
    <w:rsid w:val="00DC4962"/>
    <w:rsid w:val="00DC578F"/>
    <w:rsid w:val="00DC62E5"/>
    <w:rsid w:val="00DC6ACC"/>
    <w:rsid w:val="00DC6C76"/>
    <w:rsid w:val="00DD160B"/>
    <w:rsid w:val="00DD1C18"/>
    <w:rsid w:val="00DD31A9"/>
    <w:rsid w:val="00DD3432"/>
    <w:rsid w:val="00DD3460"/>
    <w:rsid w:val="00DD54B2"/>
    <w:rsid w:val="00DD735D"/>
    <w:rsid w:val="00DD7D8D"/>
    <w:rsid w:val="00DE0618"/>
    <w:rsid w:val="00DE1FEF"/>
    <w:rsid w:val="00DE3119"/>
    <w:rsid w:val="00DE5723"/>
    <w:rsid w:val="00DE683C"/>
    <w:rsid w:val="00DE6B11"/>
    <w:rsid w:val="00DE6E79"/>
    <w:rsid w:val="00DE70DC"/>
    <w:rsid w:val="00DF0AB4"/>
    <w:rsid w:val="00DF0AE3"/>
    <w:rsid w:val="00DF16DA"/>
    <w:rsid w:val="00DF1DAA"/>
    <w:rsid w:val="00DF1FA6"/>
    <w:rsid w:val="00DF236B"/>
    <w:rsid w:val="00DF29D3"/>
    <w:rsid w:val="00DF5090"/>
    <w:rsid w:val="00DF5198"/>
    <w:rsid w:val="00DF6ACD"/>
    <w:rsid w:val="00E000C8"/>
    <w:rsid w:val="00E008F1"/>
    <w:rsid w:val="00E01453"/>
    <w:rsid w:val="00E017C4"/>
    <w:rsid w:val="00E04C9B"/>
    <w:rsid w:val="00E056B2"/>
    <w:rsid w:val="00E06F42"/>
    <w:rsid w:val="00E07843"/>
    <w:rsid w:val="00E10A6D"/>
    <w:rsid w:val="00E12C18"/>
    <w:rsid w:val="00E13AB8"/>
    <w:rsid w:val="00E13FD3"/>
    <w:rsid w:val="00E14299"/>
    <w:rsid w:val="00E144AB"/>
    <w:rsid w:val="00E17C49"/>
    <w:rsid w:val="00E17EE1"/>
    <w:rsid w:val="00E21256"/>
    <w:rsid w:val="00E21494"/>
    <w:rsid w:val="00E22647"/>
    <w:rsid w:val="00E240E7"/>
    <w:rsid w:val="00E24A49"/>
    <w:rsid w:val="00E2553E"/>
    <w:rsid w:val="00E3090F"/>
    <w:rsid w:val="00E33B62"/>
    <w:rsid w:val="00E3568A"/>
    <w:rsid w:val="00E36BAD"/>
    <w:rsid w:val="00E36E37"/>
    <w:rsid w:val="00E37E82"/>
    <w:rsid w:val="00E42CEA"/>
    <w:rsid w:val="00E42F9D"/>
    <w:rsid w:val="00E43A2C"/>
    <w:rsid w:val="00E43A34"/>
    <w:rsid w:val="00E449E0"/>
    <w:rsid w:val="00E44ADD"/>
    <w:rsid w:val="00E45104"/>
    <w:rsid w:val="00E453B7"/>
    <w:rsid w:val="00E50019"/>
    <w:rsid w:val="00E52D01"/>
    <w:rsid w:val="00E5557F"/>
    <w:rsid w:val="00E5588F"/>
    <w:rsid w:val="00E60196"/>
    <w:rsid w:val="00E60756"/>
    <w:rsid w:val="00E61E09"/>
    <w:rsid w:val="00E64B60"/>
    <w:rsid w:val="00E66E98"/>
    <w:rsid w:val="00E67E83"/>
    <w:rsid w:val="00E72371"/>
    <w:rsid w:val="00E737A7"/>
    <w:rsid w:val="00E768B7"/>
    <w:rsid w:val="00E80C3F"/>
    <w:rsid w:val="00E832F8"/>
    <w:rsid w:val="00E8330E"/>
    <w:rsid w:val="00E83789"/>
    <w:rsid w:val="00E83F77"/>
    <w:rsid w:val="00E87315"/>
    <w:rsid w:val="00E91477"/>
    <w:rsid w:val="00E915AC"/>
    <w:rsid w:val="00E9178F"/>
    <w:rsid w:val="00E91DA5"/>
    <w:rsid w:val="00E9754A"/>
    <w:rsid w:val="00E9760B"/>
    <w:rsid w:val="00E97CC7"/>
    <w:rsid w:val="00E97E46"/>
    <w:rsid w:val="00EA04EF"/>
    <w:rsid w:val="00EA1131"/>
    <w:rsid w:val="00EA2F09"/>
    <w:rsid w:val="00EA3483"/>
    <w:rsid w:val="00EA3683"/>
    <w:rsid w:val="00EA6BEE"/>
    <w:rsid w:val="00EA704D"/>
    <w:rsid w:val="00EA79EB"/>
    <w:rsid w:val="00EB079E"/>
    <w:rsid w:val="00EB0DF1"/>
    <w:rsid w:val="00EB42A2"/>
    <w:rsid w:val="00EB560A"/>
    <w:rsid w:val="00EB6138"/>
    <w:rsid w:val="00EB7836"/>
    <w:rsid w:val="00EB7E0C"/>
    <w:rsid w:val="00EC4988"/>
    <w:rsid w:val="00EC5009"/>
    <w:rsid w:val="00EC5E1B"/>
    <w:rsid w:val="00EC5F41"/>
    <w:rsid w:val="00EC60CB"/>
    <w:rsid w:val="00EC7B4C"/>
    <w:rsid w:val="00ED0667"/>
    <w:rsid w:val="00ED0F19"/>
    <w:rsid w:val="00ED2EFF"/>
    <w:rsid w:val="00ED3AC7"/>
    <w:rsid w:val="00ED3BF4"/>
    <w:rsid w:val="00ED4234"/>
    <w:rsid w:val="00ED42A5"/>
    <w:rsid w:val="00ED7F90"/>
    <w:rsid w:val="00EE05EB"/>
    <w:rsid w:val="00EE094E"/>
    <w:rsid w:val="00EE1CCD"/>
    <w:rsid w:val="00EE4DB7"/>
    <w:rsid w:val="00EE5189"/>
    <w:rsid w:val="00EE7272"/>
    <w:rsid w:val="00EE776B"/>
    <w:rsid w:val="00EF15DA"/>
    <w:rsid w:val="00EF16DD"/>
    <w:rsid w:val="00EF1F79"/>
    <w:rsid w:val="00EF298E"/>
    <w:rsid w:val="00EF6533"/>
    <w:rsid w:val="00EF66D5"/>
    <w:rsid w:val="00EF66D6"/>
    <w:rsid w:val="00F01322"/>
    <w:rsid w:val="00F04CC2"/>
    <w:rsid w:val="00F058FE"/>
    <w:rsid w:val="00F05F75"/>
    <w:rsid w:val="00F06B15"/>
    <w:rsid w:val="00F0755F"/>
    <w:rsid w:val="00F109B1"/>
    <w:rsid w:val="00F1157D"/>
    <w:rsid w:val="00F118E5"/>
    <w:rsid w:val="00F11EDA"/>
    <w:rsid w:val="00F1301C"/>
    <w:rsid w:val="00F13DF7"/>
    <w:rsid w:val="00F155B7"/>
    <w:rsid w:val="00F16C53"/>
    <w:rsid w:val="00F24361"/>
    <w:rsid w:val="00F26EF6"/>
    <w:rsid w:val="00F26F7B"/>
    <w:rsid w:val="00F27675"/>
    <w:rsid w:val="00F277D0"/>
    <w:rsid w:val="00F27A52"/>
    <w:rsid w:val="00F30A5C"/>
    <w:rsid w:val="00F3325F"/>
    <w:rsid w:val="00F34B8F"/>
    <w:rsid w:val="00F36E11"/>
    <w:rsid w:val="00F379A3"/>
    <w:rsid w:val="00F41D25"/>
    <w:rsid w:val="00F42730"/>
    <w:rsid w:val="00F43777"/>
    <w:rsid w:val="00F449FE"/>
    <w:rsid w:val="00F44CA3"/>
    <w:rsid w:val="00F46903"/>
    <w:rsid w:val="00F46AAC"/>
    <w:rsid w:val="00F47B8F"/>
    <w:rsid w:val="00F50F9E"/>
    <w:rsid w:val="00F51F73"/>
    <w:rsid w:val="00F555DB"/>
    <w:rsid w:val="00F55AA3"/>
    <w:rsid w:val="00F562BD"/>
    <w:rsid w:val="00F57B5D"/>
    <w:rsid w:val="00F608B9"/>
    <w:rsid w:val="00F60DB7"/>
    <w:rsid w:val="00F60E91"/>
    <w:rsid w:val="00F71570"/>
    <w:rsid w:val="00F728C3"/>
    <w:rsid w:val="00F72BAE"/>
    <w:rsid w:val="00F7558E"/>
    <w:rsid w:val="00F76205"/>
    <w:rsid w:val="00F77829"/>
    <w:rsid w:val="00F803F1"/>
    <w:rsid w:val="00F81111"/>
    <w:rsid w:val="00F8177B"/>
    <w:rsid w:val="00F81B47"/>
    <w:rsid w:val="00F83B75"/>
    <w:rsid w:val="00F84899"/>
    <w:rsid w:val="00F859F0"/>
    <w:rsid w:val="00F86E28"/>
    <w:rsid w:val="00F8789E"/>
    <w:rsid w:val="00F92E29"/>
    <w:rsid w:val="00FA06A3"/>
    <w:rsid w:val="00FA0AD1"/>
    <w:rsid w:val="00FA310C"/>
    <w:rsid w:val="00FA3B5A"/>
    <w:rsid w:val="00FA40C0"/>
    <w:rsid w:val="00FA4A30"/>
    <w:rsid w:val="00FA4B7C"/>
    <w:rsid w:val="00FA540E"/>
    <w:rsid w:val="00FA6177"/>
    <w:rsid w:val="00FA6587"/>
    <w:rsid w:val="00FA6DE2"/>
    <w:rsid w:val="00FB0D40"/>
    <w:rsid w:val="00FB301D"/>
    <w:rsid w:val="00FB42FF"/>
    <w:rsid w:val="00FB47F3"/>
    <w:rsid w:val="00FB516F"/>
    <w:rsid w:val="00FB5771"/>
    <w:rsid w:val="00FB58AF"/>
    <w:rsid w:val="00FB5BF9"/>
    <w:rsid w:val="00FB7E8B"/>
    <w:rsid w:val="00FC0B6A"/>
    <w:rsid w:val="00FC3D45"/>
    <w:rsid w:val="00FC48B2"/>
    <w:rsid w:val="00FC711A"/>
    <w:rsid w:val="00FD019A"/>
    <w:rsid w:val="00FD2533"/>
    <w:rsid w:val="00FD3213"/>
    <w:rsid w:val="00FD3A2E"/>
    <w:rsid w:val="00FD4AFF"/>
    <w:rsid w:val="00FD50F2"/>
    <w:rsid w:val="00FD674C"/>
    <w:rsid w:val="00FD7A75"/>
    <w:rsid w:val="00FD7C89"/>
    <w:rsid w:val="00FE0395"/>
    <w:rsid w:val="00FE0C75"/>
    <w:rsid w:val="00FE0DC4"/>
    <w:rsid w:val="00FE0E9C"/>
    <w:rsid w:val="00FE125A"/>
    <w:rsid w:val="00FE141E"/>
    <w:rsid w:val="00FE24F4"/>
    <w:rsid w:val="00FE2A33"/>
    <w:rsid w:val="00FE32A0"/>
    <w:rsid w:val="00FE46AA"/>
    <w:rsid w:val="00FE50C6"/>
    <w:rsid w:val="00FE5ECC"/>
    <w:rsid w:val="00FE674D"/>
    <w:rsid w:val="00FE6CCA"/>
    <w:rsid w:val="00FF3657"/>
    <w:rsid w:val="00FF417D"/>
    <w:rsid w:val="00FF49BD"/>
    <w:rsid w:val="00FF4A64"/>
    <w:rsid w:val="00FF60FB"/>
    <w:rsid w:val="00FF66DD"/>
    <w:rsid w:val="00FF7737"/>
    <w:rsid w:val="00FF7E87"/>
    <w:rsid w:val="03C30222"/>
    <w:rsid w:val="4AD19253"/>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8FC69B5"/>
  <w15:docId w15:val="{05E0F94B-AFD0-49BA-856D-E295B56FFF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56FA"/>
    <w:rPr>
      <w:sz w:val="24"/>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hAnsi="Tahoma" w:cs="Tahoma"/>
      <w:sz w:val="16"/>
      <w:szCs w:val="16"/>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5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9047C5"/>
    <w:pPr>
      <w:ind w:left="720"/>
      <w:contextualSpacing/>
    </w:p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unhideWhenUsed/>
    <w:rsid w:val="00DA5AB1"/>
    <w:rPr>
      <w:sz w:val="20"/>
      <w:szCs w:val="20"/>
    </w:rPr>
  </w:style>
  <w:style w:type="character" w:customStyle="1" w:styleId="TextocomentarioCar">
    <w:name w:val="Texto comentario Car"/>
    <w:basedOn w:val="Fuentedeprrafopredeter"/>
    <w:link w:val="Textocomentario"/>
    <w:uiPriority w:val="99"/>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rFonts w:ascii="Times New Roman" w:eastAsia="Times New Roman" w:hAnsi="Times New Roman" w:cs="Times New Roman"/>
      <w:szCs w:val="24"/>
      <w:lang w:val="es-CO" w:eastAsia="es-CO"/>
    </w:rPr>
  </w:style>
  <w:style w:type="paragraph" w:styleId="Sinespaciado">
    <w:name w:val="No Spacing"/>
    <w:aliases w:val="No Indent"/>
    <w:link w:val="SinespaciadoCar"/>
    <w:uiPriority w:val="3"/>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7B0854"/>
    <w:rPr>
      <w:sz w:val="20"/>
      <w:szCs w:val="20"/>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uiPriority w:val="99"/>
    <w:qFormat/>
    <w:rsid w:val="007B0854"/>
    <w:pPr>
      <w:keepNext/>
      <w:spacing w:before="120"/>
      <w:ind w:left="720" w:hanging="360"/>
      <w:outlineLvl w:val="1"/>
    </w:pPr>
    <w:rPr>
      <w:rFonts w:ascii="Arial" w:eastAsia="Times New Roman" w:hAnsi="Arial" w:cs="Arial"/>
      <w:b/>
      <w:color w:val="000000"/>
      <w:sz w:val="20"/>
      <w:szCs w:val="20"/>
      <w:lang w:val="es-CO" w:eastAsia="es-CO"/>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7B0854"/>
    <w:rPr>
      <w:vertAlign w:val="superscript"/>
    </w:rPr>
  </w:style>
  <w:style w:type="paragraph" w:customStyle="1" w:styleId="pa22">
    <w:name w:val="pa22"/>
    <w:basedOn w:val="Normal"/>
    <w:rsid w:val="00887B15"/>
    <w:pPr>
      <w:spacing w:before="100" w:beforeAutospacing="1" w:after="100" w:afterAutospacing="1"/>
    </w:pPr>
    <w:rPr>
      <w:rFonts w:ascii="Times New Roman" w:eastAsia="Times New Roman" w:hAnsi="Times New Roman" w:cs="Times New Roman"/>
      <w:szCs w:val="24"/>
      <w:lang w:val="es-ES" w:eastAsia="es-ES"/>
    </w:rPr>
  </w:style>
  <w:style w:type="character" w:styleId="Textoennegrita">
    <w:name w:val="Strong"/>
    <w:basedOn w:val="Fuentedeprrafopredeter"/>
    <w:uiPriority w:val="22"/>
    <w:qFormat/>
    <w:rsid w:val="00AF1ED8"/>
    <w:rPr>
      <w:b/>
      <w:bCs/>
    </w:rPr>
  </w:style>
  <w:style w:type="character" w:styleId="nfasis">
    <w:name w:val="Emphasis"/>
    <w:basedOn w:val="Fuentedeprrafopredeter"/>
    <w:uiPriority w:val="20"/>
    <w:qFormat/>
    <w:rsid w:val="00AF1ED8"/>
    <w:rPr>
      <w:i/>
      <w:iCs/>
    </w:rPr>
  </w:style>
  <w:style w:type="character" w:customStyle="1" w:styleId="Mencinsinresolver1">
    <w:name w:val="Mención sin resolver1"/>
    <w:basedOn w:val="Fuentedeprrafopredeter"/>
    <w:uiPriority w:val="99"/>
    <w:semiHidden/>
    <w:unhideWhenUsed/>
    <w:rsid w:val="00620E47"/>
    <w:rPr>
      <w:color w:val="605E5C"/>
      <w:shd w:val="clear" w:color="auto" w:fill="E1DFDD"/>
    </w:rPr>
  </w:style>
  <w:style w:type="paragraph" w:customStyle="1" w:styleId="Capitulo3">
    <w:name w:val="Capitulo 3"/>
    <w:basedOn w:val="Normal"/>
    <w:qFormat/>
    <w:rsid w:val="00DF6ACD"/>
    <w:pPr>
      <w:keepNext/>
      <w:numPr>
        <w:numId w:val="7"/>
      </w:numPr>
      <w:spacing w:before="120"/>
      <w:outlineLvl w:val="1"/>
    </w:pPr>
    <w:rPr>
      <w:rFonts w:ascii="Arial" w:eastAsia="Times New Roman" w:hAnsi="Arial" w:cs="Arial"/>
      <w:b/>
      <w:color w:val="000000"/>
      <w:sz w:val="20"/>
      <w:szCs w:val="20"/>
      <w:lang w:val="es-CO" w:eastAsia="es-CO"/>
    </w:rPr>
  </w:style>
  <w:style w:type="paragraph" w:customStyle="1" w:styleId="InviasNormal">
    <w:name w:val="Invias Normal"/>
    <w:basedOn w:val="Normal"/>
    <w:link w:val="InviasNormalCar"/>
    <w:qFormat/>
    <w:rsid w:val="001A27D7"/>
    <w:pPr>
      <w:tabs>
        <w:tab w:val="left" w:pos="-142"/>
      </w:tabs>
      <w:autoSpaceDE w:val="0"/>
      <w:autoSpaceDN w:val="0"/>
      <w:adjustRightInd w:val="0"/>
      <w:spacing w:before="120" w:after="240"/>
    </w:pPr>
    <w:rPr>
      <w:rFonts w:ascii="Arial Narrow" w:eastAsia="Times New Roman" w:hAnsi="Arial Narrow" w:cs="Times New Roman"/>
      <w:color w:val="3C3C3C" w:themeColor="background2" w:themeShade="40"/>
      <w:szCs w:val="24"/>
      <w:lang w:val="x-none" w:eastAsia="es-ES"/>
    </w:rPr>
  </w:style>
  <w:style w:type="character" w:customStyle="1" w:styleId="InviasNormalCar">
    <w:name w:val="Invias Normal Car"/>
    <w:link w:val="InviasNormal"/>
    <w:locked/>
    <w:rsid w:val="001A27D7"/>
    <w:rPr>
      <w:rFonts w:ascii="Arial Narrow" w:eastAsia="Times New Roman" w:hAnsi="Arial Narrow" w:cs="Times New Roman"/>
      <w:color w:val="3C3C3C" w:themeColor="background2" w:themeShade="40"/>
      <w:sz w:val="24"/>
      <w:szCs w:val="24"/>
      <w:lang w:val="x-none" w:eastAsia="es-ES"/>
    </w:rPr>
  </w:style>
  <w:style w:type="paragraph" w:customStyle="1" w:styleId="Entidad-Capitulo">
    <w:name w:val="Entidad-Capitulo"/>
    <w:next w:val="Normal"/>
    <w:autoRedefine/>
    <w:uiPriority w:val="99"/>
    <w:qFormat/>
    <w:rsid w:val="001A27D7"/>
    <w:pPr>
      <w:keepNext/>
      <w:spacing w:before="240" w:after="0" w:line="240" w:lineRule="auto"/>
      <w:jc w:val="center"/>
      <w:outlineLvl w:val="0"/>
    </w:pPr>
    <w:rPr>
      <w:rFonts w:ascii="Arial" w:eastAsia="Times New Roman" w:hAnsi="Arial" w:cs="Arial"/>
      <w:b/>
      <w:smallCaps/>
      <w:sz w:val="20"/>
      <w:szCs w:val="20"/>
      <w:lang w:eastAsia="es-ES"/>
    </w:rPr>
  </w:style>
  <w:style w:type="paragraph" w:styleId="Revisin">
    <w:name w:val="Revision"/>
    <w:hidden/>
    <w:uiPriority w:val="99"/>
    <w:semiHidden/>
    <w:rsid w:val="009409CA"/>
    <w:pPr>
      <w:spacing w:after="0" w:line="240" w:lineRule="auto"/>
    </w:pPr>
    <w:rPr>
      <w:sz w:val="24"/>
      <w:lang w:val="es-MX"/>
    </w:rPr>
  </w:style>
  <w:style w:type="paragraph" w:customStyle="1" w:styleId="Appelnotedebasde">
    <w:name w:val="Appel note de bas de..."/>
    <w:basedOn w:val="Normal"/>
    <w:link w:val="Refdenotaalpie"/>
    <w:uiPriority w:val="99"/>
    <w:rsid w:val="00904CD9"/>
    <w:pPr>
      <w:spacing w:after="160" w:line="240" w:lineRule="exact"/>
    </w:pPr>
    <w:rPr>
      <w:sz w:val="22"/>
      <w:vertAlign w:val="superscript"/>
      <w:lang w:val="es-CO"/>
    </w:rPr>
  </w:style>
  <w:style w:type="character" w:customStyle="1" w:styleId="NormalWebCar">
    <w:name w:val="Normal (Web) Car"/>
    <w:link w:val="NormalWeb"/>
    <w:uiPriority w:val="99"/>
    <w:locked/>
    <w:rsid w:val="00904CD9"/>
    <w:rPr>
      <w:rFonts w:ascii="Times New Roman" w:eastAsia="Times New Roman" w:hAnsi="Times New Roman" w:cs="Times New Roman"/>
      <w:sz w:val="24"/>
      <w:szCs w:val="24"/>
      <w:lang w:eastAsia="es-CO"/>
    </w:rPr>
  </w:style>
  <w:style w:type="character" w:customStyle="1" w:styleId="normaltextrun">
    <w:name w:val="normaltextrun"/>
    <w:basedOn w:val="Fuentedeprrafopredeter"/>
    <w:rsid w:val="00F0755F"/>
  </w:style>
  <w:style w:type="paragraph" w:styleId="Textoindependiente">
    <w:name w:val="Body Text"/>
    <w:basedOn w:val="Normal"/>
    <w:link w:val="TextoindependienteCar"/>
    <w:uiPriority w:val="1"/>
    <w:qFormat/>
    <w:rsid w:val="008E0A7E"/>
    <w:pPr>
      <w:widowControl w:val="0"/>
      <w:autoSpaceDE w:val="0"/>
      <w:autoSpaceDN w:val="0"/>
    </w:pPr>
    <w:rPr>
      <w:rFonts w:ascii="Arial" w:eastAsia="Arial" w:hAnsi="Arial" w:cs="Arial"/>
      <w:sz w:val="22"/>
      <w:lang w:val="es-ES" w:eastAsia="es-ES" w:bidi="es-ES"/>
    </w:rPr>
  </w:style>
  <w:style w:type="character" w:customStyle="1" w:styleId="TextoindependienteCar">
    <w:name w:val="Texto independiente Car"/>
    <w:basedOn w:val="Fuentedeprrafopredeter"/>
    <w:link w:val="Textoindependiente"/>
    <w:uiPriority w:val="1"/>
    <w:rsid w:val="008E0A7E"/>
    <w:rPr>
      <w:rFonts w:ascii="Arial" w:eastAsia="Arial" w:hAnsi="Arial" w:cs="Arial"/>
      <w:lang w:val="es-ES" w:eastAsia="es-ES" w:bidi="es-ES"/>
    </w:rPr>
  </w:style>
  <w:style w:type="paragraph" w:styleId="Textonotaalfinal">
    <w:name w:val="endnote text"/>
    <w:basedOn w:val="Normal"/>
    <w:link w:val="TextonotaalfinalCar"/>
    <w:uiPriority w:val="99"/>
    <w:semiHidden/>
    <w:unhideWhenUsed/>
    <w:rsid w:val="00A8268C"/>
    <w:rPr>
      <w:sz w:val="20"/>
      <w:szCs w:val="20"/>
    </w:rPr>
  </w:style>
  <w:style w:type="character" w:customStyle="1" w:styleId="TextonotaalfinalCar">
    <w:name w:val="Texto nota al final Car"/>
    <w:basedOn w:val="Fuentedeprrafopredeter"/>
    <w:link w:val="Textonotaalfinal"/>
    <w:uiPriority w:val="99"/>
    <w:semiHidden/>
    <w:rsid w:val="00A8268C"/>
    <w:rPr>
      <w:sz w:val="20"/>
      <w:szCs w:val="20"/>
      <w:lang w:val="es-MX"/>
    </w:rPr>
  </w:style>
  <w:style w:type="character" w:styleId="Refdenotaalfinal">
    <w:name w:val="endnote reference"/>
    <w:basedOn w:val="Fuentedeprrafopredeter"/>
    <w:uiPriority w:val="99"/>
    <w:semiHidden/>
    <w:unhideWhenUsed/>
    <w:rsid w:val="00A8268C"/>
    <w:rPr>
      <w:vertAlign w:val="superscript"/>
    </w:rPr>
  </w:style>
  <w:style w:type="table" w:customStyle="1" w:styleId="Tablaconcuadrcula1">
    <w:name w:val="Tabla con cuadrícula1"/>
    <w:basedOn w:val="Tablanormal"/>
    <w:next w:val="Tablaconcuadrcula"/>
    <w:uiPriority w:val="39"/>
    <w:rsid w:val="00FE0395"/>
    <w:pPr>
      <w:spacing w:after="0" w:line="240" w:lineRule="auto"/>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
    <w:name w:val="Sin espaciado Car"/>
    <w:aliases w:val="No Indent Car"/>
    <w:link w:val="Sinespaciado"/>
    <w:uiPriority w:val="3"/>
    <w:rsid w:val="00EA3683"/>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094185">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70544669">
      <w:bodyDiv w:val="1"/>
      <w:marLeft w:val="0"/>
      <w:marRight w:val="0"/>
      <w:marTop w:val="0"/>
      <w:marBottom w:val="0"/>
      <w:divBdr>
        <w:top w:val="none" w:sz="0" w:space="0" w:color="auto"/>
        <w:left w:val="none" w:sz="0" w:space="0" w:color="auto"/>
        <w:bottom w:val="none" w:sz="0" w:space="0" w:color="auto"/>
        <w:right w:val="none" w:sz="0" w:space="0" w:color="auto"/>
      </w:divBdr>
      <w:divsChild>
        <w:div w:id="1513495133">
          <w:marLeft w:val="0"/>
          <w:marRight w:val="0"/>
          <w:marTop w:val="0"/>
          <w:marBottom w:val="0"/>
          <w:divBdr>
            <w:top w:val="none" w:sz="0" w:space="0" w:color="auto"/>
            <w:left w:val="none" w:sz="0" w:space="0" w:color="auto"/>
            <w:bottom w:val="none" w:sz="0" w:space="0" w:color="auto"/>
            <w:right w:val="none" w:sz="0" w:space="0" w:color="auto"/>
          </w:divBdr>
          <w:divsChild>
            <w:div w:id="734858809">
              <w:marLeft w:val="0"/>
              <w:marRight w:val="0"/>
              <w:marTop w:val="0"/>
              <w:marBottom w:val="0"/>
              <w:divBdr>
                <w:top w:val="none" w:sz="0" w:space="0" w:color="auto"/>
                <w:left w:val="none" w:sz="0" w:space="0" w:color="auto"/>
                <w:bottom w:val="none" w:sz="0" w:space="0" w:color="auto"/>
                <w:right w:val="none" w:sz="0" w:space="0" w:color="auto"/>
              </w:divBdr>
              <w:divsChild>
                <w:div w:id="1385987392">
                  <w:marLeft w:val="0"/>
                  <w:marRight w:val="0"/>
                  <w:marTop w:val="0"/>
                  <w:marBottom w:val="0"/>
                  <w:divBdr>
                    <w:top w:val="none" w:sz="0" w:space="0" w:color="auto"/>
                    <w:left w:val="none" w:sz="0" w:space="0" w:color="auto"/>
                    <w:bottom w:val="none" w:sz="0" w:space="0" w:color="auto"/>
                    <w:right w:val="none" w:sz="0" w:space="0" w:color="auto"/>
                  </w:divBdr>
                </w:div>
              </w:divsChild>
            </w:div>
            <w:div w:id="414395898">
              <w:marLeft w:val="0"/>
              <w:marRight w:val="0"/>
              <w:marTop w:val="0"/>
              <w:marBottom w:val="0"/>
              <w:divBdr>
                <w:top w:val="none" w:sz="0" w:space="0" w:color="auto"/>
                <w:left w:val="none" w:sz="0" w:space="0" w:color="auto"/>
                <w:bottom w:val="none" w:sz="0" w:space="0" w:color="auto"/>
                <w:right w:val="none" w:sz="0" w:space="0" w:color="auto"/>
              </w:divBdr>
              <w:divsChild>
                <w:div w:id="849872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24379">
      <w:bodyDiv w:val="1"/>
      <w:marLeft w:val="0"/>
      <w:marRight w:val="0"/>
      <w:marTop w:val="0"/>
      <w:marBottom w:val="0"/>
      <w:divBdr>
        <w:top w:val="none" w:sz="0" w:space="0" w:color="auto"/>
        <w:left w:val="none" w:sz="0" w:space="0" w:color="auto"/>
        <w:bottom w:val="none" w:sz="0" w:space="0" w:color="auto"/>
        <w:right w:val="none" w:sz="0" w:space="0" w:color="auto"/>
      </w:divBdr>
    </w:div>
    <w:div w:id="162400354">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528690911">
      <w:bodyDiv w:val="1"/>
      <w:marLeft w:val="0"/>
      <w:marRight w:val="0"/>
      <w:marTop w:val="0"/>
      <w:marBottom w:val="0"/>
      <w:divBdr>
        <w:top w:val="none" w:sz="0" w:space="0" w:color="auto"/>
        <w:left w:val="none" w:sz="0" w:space="0" w:color="auto"/>
        <w:bottom w:val="none" w:sz="0" w:space="0" w:color="auto"/>
        <w:right w:val="none" w:sz="0" w:space="0" w:color="auto"/>
      </w:divBdr>
    </w:div>
    <w:div w:id="538052457">
      <w:bodyDiv w:val="1"/>
      <w:marLeft w:val="0"/>
      <w:marRight w:val="0"/>
      <w:marTop w:val="0"/>
      <w:marBottom w:val="0"/>
      <w:divBdr>
        <w:top w:val="none" w:sz="0" w:space="0" w:color="auto"/>
        <w:left w:val="none" w:sz="0" w:space="0" w:color="auto"/>
        <w:bottom w:val="none" w:sz="0" w:space="0" w:color="auto"/>
        <w:right w:val="none" w:sz="0" w:space="0" w:color="auto"/>
      </w:divBdr>
      <w:divsChild>
        <w:div w:id="293679258">
          <w:marLeft w:val="0"/>
          <w:marRight w:val="0"/>
          <w:marTop w:val="0"/>
          <w:marBottom w:val="0"/>
          <w:divBdr>
            <w:top w:val="none" w:sz="0" w:space="0" w:color="auto"/>
            <w:left w:val="none" w:sz="0" w:space="0" w:color="auto"/>
            <w:bottom w:val="none" w:sz="0" w:space="0" w:color="auto"/>
            <w:right w:val="none" w:sz="0" w:space="0" w:color="auto"/>
          </w:divBdr>
          <w:divsChild>
            <w:div w:id="1751930579">
              <w:marLeft w:val="0"/>
              <w:marRight w:val="0"/>
              <w:marTop w:val="0"/>
              <w:marBottom w:val="0"/>
              <w:divBdr>
                <w:top w:val="none" w:sz="0" w:space="0" w:color="auto"/>
                <w:left w:val="none" w:sz="0" w:space="0" w:color="auto"/>
                <w:bottom w:val="none" w:sz="0" w:space="0" w:color="auto"/>
                <w:right w:val="none" w:sz="0" w:space="0" w:color="auto"/>
              </w:divBdr>
              <w:divsChild>
                <w:div w:id="1477531553">
                  <w:marLeft w:val="0"/>
                  <w:marRight w:val="0"/>
                  <w:marTop w:val="0"/>
                  <w:marBottom w:val="0"/>
                  <w:divBdr>
                    <w:top w:val="none" w:sz="0" w:space="0" w:color="auto"/>
                    <w:left w:val="none" w:sz="0" w:space="0" w:color="auto"/>
                    <w:bottom w:val="none" w:sz="0" w:space="0" w:color="auto"/>
                    <w:right w:val="none" w:sz="0" w:space="0" w:color="auto"/>
                  </w:divBdr>
                  <w:divsChild>
                    <w:div w:id="66933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9821506">
      <w:bodyDiv w:val="1"/>
      <w:marLeft w:val="0"/>
      <w:marRight w:val="0"/>
      <w:marTop w:val="0"/>
      <w:marBottom w:val="0"/>
      <w:divBdr>
        <w:top w:val="none" w:sz="0" w:space="0" w:color="auto"/>
        <w:left w:val="none" w:sz="0" w:space="0" w:color="auto"/>
        <w:bottom w:val="none" w:sz="0" w:space="0" w:color="auto"/>
        <w:right w:val="none" w:sz="0" w:space="0" w:color="auto"/>
      </w:divBdr>
    </w:div>
    <w:div w:id="657923463">
      <w:bodyDiv w:val="1"/>
      <w:marLeft w:val="0"/>
      <w:marRight w:val="0"/>
      <w:marTop w:val="0"/>
      <w:marBottom w:val="0"/>
      <w:divBdr>
        <w:top w:val="none" w:sz="0" w:space="0" w:color="auto"/>
        <w:left w:val="none" w:sz="0" w:space="0" w:color="auto"/>
        <w:bottom w:val="none" w:sz="0" w:space="0" w:color="auto"/>
        <w:right w:val="none" w:sz="0" w:space="0" w:color="auto"/>
      </w:divBdr>
    </w:div>
    <w:div w:id="704141978">
      <w:bodyDiv w:val="1"/>
      <w:marLeft w:val="0"/>
      <w:marRight w:val="0"/>
      <w:marTop w:val="0"/>
      <w:marBottom w:val="0"/>
      <w:divBdr>
        <w:top w:val="none" w:sz="0" w:space="0" w:color="auto"/>
        <w:left w:val="none" w:sz="0" w:space="0" w:color="auto"/>
        <w:bottom w:val="none" w:sz="0" w:space="0" w:color="auto"/>
        <w:right w:val="none" w:sz="0" w:space="0" w:color="auto"/>
      </w:divBdr>
    </w:div>
    <w:div w:id="742486387">
      <w:bodyDiv w:val="1"/>
      <w:marLeft w:val="0"/>
      <w:marRight w:val="0"/>
      <w:marTop w:val="0"/>
      <w:marBottom w:val="0"/>
      <w:divBdr>
        <w:top w:val="none" w:sz="0" w:space="0" w:color="auto"/>
        <w:left w:val="none" w:sz="0" w:space="0" w:color="auto"/>
        <w:bottom w:val="none" w:sz="0" w:space="0" w:color="auto"/>
        <w:right w:val="none" w:sz="0" w:space="0" w:color="auto"/>
      </w:divBdr>
    </w:div>
    <w:div w:id="773549469">
      <w:bodyDiv w:val="1"/>
      <w:marLeft w:val="0"/>
      <w:marRight w:val="0"/>
      <w:marTop w:val="0"/>
      <w:marBottom w:val="0"/>
      <w:divBdr>
        <w:top w:val="none" w:sz="0" w:space="0" w:color="auto"/>
        <w:left w:val="none" w:sz="0" w:space="0" w:color="auto"/>
        <w:bottom w:val="none" w:sz="0" w:space="0" w:color="auto"/>
        <w:right w:val="none" w:sz="0" w:space="0" w:color="auto"/>
      </w:divBdr>
      <w:divsChild>
        <w:div w:id="1693219852">
          <w:marLeft w:val="0"/>
          <w:marRight w:val="0"/>
          <w:marTop w:val="0"/>
          <w:marBottom w:val="0"/>
          <w:divBdr>
            <w:top w:val="none" w:sz="0" w:space="0" w:color="auto"/>
            <w:left w:val="none" w:sz="0" w:space="0" w:color="auto"/>
            <w:bottom w:val="none" w:sz="0" w:space="0" w:color="auto"/>
            <w:right w:val="none" w:sz="0" w:space="0" w:color="auto"/>
          </w:divBdr>
          <w:divsChild>
            <w:div w:id="2023359027">
              <w:marLeft w:val="0"/>
              <w:marRight w:val="0"/>
              <w:marTop w:val="0"/>
              <w:marBottom w:val="0"/>
              <w:divBdr>
                <w:top w:val="none" w:sz="0" w:space="0" w:color="auto"/>
                <w:left w:val="none" w:sz="0" w:space="0" w:color="auto"/>
                <w:bottom w:val="none" w:sz="0" w:space="0" w:color="auto"/>
                <w:right w:val="none" w:sz="0" w:space="0" w:color="auto"/>
              </w:divBdr>
            </w:div>
          </w:divsChild>
        </w:div>
        <w:div w:id="1795442581">
          <w:marLeft w:val="0"/>
          <w:marRight w:val="0"/>
          <w:marTop w:val="0"/>
          <w:marBottom w:val="0"/>
          <w:divBdr>
            <w:top w:val="none" w:sz="0" w:space="0" w:color="auto"/>
            <w:left w:val="none" w:sz="0" w:space="0" w:color="auto"/>
            <w:bottom w:val="none" w:sz="0" w:space="0" w:color="auto"/>
            <w:right w:val="none" w:sz="0" w:space="0" w:color="auto"/>
          </w:divBdr>
          <w:divsChild>
            <w:div w:id="14254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934457">
      <w:bodyDiv w:val="1"/>
      <w:marLeft w:val="0"/>
      <w:marRight w:val="0"/>
      <w:marTop w:val="0"/>
      <w:marBottom w:val="0"/>
      <w:divBdr>
        <w:top w:val="none" w:sz="0" w:space="0" w:color="auto"/>
        <w:left w:val="none" w:sz="0" w:space="0" w:color="auto"/>
        <w:bottom w:val="none" w:sz="0" w:space="0" w:color="auto"/>
        <w:right w:val="none" w:sz="0" w:space="0" w:color="auto"/>
      </w:divBdr>
    </w:div>
    <w:div w:id="910164740">
      <w:bodyDiv w:val="1"/>
      <w:marLeft w:val="0"/>
      <w:marRight w:val="0"/>
      <w:marTop w:val="0"/>
      <w:marBottom w:val="0"/>
      <w:divBdr>
        <w:top w:val="none" w:sz="0" w:space="0" w:color="auto"/>
        <w:left w:val="none" w:sz="0" w:space="0" w:color="auto"/>
        <w:bottom w:val="none" w:sz="0" w:space="0" w:color="auto"/>
        <w:right w:val="none" w:sz="0" w:space="0" w:color="auto"/>
      </w:divBdr>
    </w:div>
    <w:div w:id="953173263">
      <w:bodyDiv w:val="1"/>
      <w:marLeft w:val="0"/>
      <w:marRight w:val="0"/>
      <w:marTop w:val="0"/>
      <w:marBottom w:val="0"/>
      <w:divBdr>
        <w:top w:val="none" w:sz="0" w:space="0" w:color="auto"/>
        <w:left w:val="none" w:sz="0" w:space="0" w:color="auto"/>
        <w:bottom w:val="none" w:sz="0" w:space="0" w:color="auto"/>
        <w:right w:val="none" w:sz="0" w:space="0" w:color="auto"/>
      </w:divBdr>
    </w:div>
    <w:div w:id="974724308">
      <w:bodyDiv w:val="1"/>
      <w:marLeft w:val="0"/>
      <w:marRight w:val="0"/>
      <w:marTop w:val="0"/>
      <w:marBottom w:val="0"/>
      <w:divBdr>
        <w:top w:val="none" w:sz="0" w:space="0" w:color="auto"/>
        <w:left w:val="none" w:sz="0" w:space="0" w:color="auto"/>
        <w:bottom w:val="none" w:sz="0" w:space="0" w:color="auto"/>
        <w:right w:val="none" w:sz="0" w:space="0" w:color="auto"/>
      </w:divBdr>
    </w:div>
    <w:div w:id="1004672872">
      <w:bodyDiv w:val="1"/>
      <w:marLeft w:val="0"/>
      <w:marRight w:val="0"/>
      <w:marTop w:val="0"/>
      <w:marBottom w:val="0"/>
      <w:divBdr>
        <w:top w:val="none" w:sz="0" w:space="0" w:color="auto"/>
        <w:left w:val="none" w:sz="0" w:space="0" w:color="auto"/>
        <w:bottom w:val="none" w:sz="0" w:space="0" w:color="auto"/>
        <w:right w:val="none" w:sz="0" w:space="0" w:color="auto"/>
      </w:divBdr>
    </w:div>
    <w:div w:id="1008944424">
      <w:bodyDiv w:val="1"/>
      <w:marLeft w:val="0"/>
      <w:marRight w:val="0"/>
      <w:marTop w:val="0"/>
      <w:marBottom w:val="0"/>
      <w:divBdr>
        <w:top w:val="none" w:sz="0" w:space="0" w:color="auto"/>
        <w:left w:val="none" w:sz="0" w:space="0" w:color="auto"/>
        <w:bottom w:val="none" w:sz="0" w:space="0" w:color="auto"/>
        <w:right w:val="none" w:sz="0" w:space="0" w:color="auto"/>
      </w:divBdr>
    </w:div>
    <w:div w:id="1014107879">
      <w:bodyDiv w:val="1"/>
      <w:marLeft w:val="0"/>
      <w:marRight w:val="0"/>
      <w:marTop w:val="0"/>
      <w:marBottom w:val="0"/>
      <w:divBdr>
        <w:top w:val="none" w:sz="0" w:space="0" w:color="auto"/>
        <w:left w:val="none" w:sz="0" w:space="0" w:color="auto"/>
        <w:bottom w:val="none" w:sz="0" w:space="0" w:color="auto"/>
        <w:right w:val="none" w:sz="0" w:space="0" w:color="auto"/>
      </w:divBdr>
    </w:div>
    <w:div w:id="1108626436">
      <w:bodyDiv w:val="1"/>
      <w:marLeft w:val="0"/>
      <w:marRight w:val="0"/>
      <w:marTop w:val="0"/>
      <w:marBottom w:val="0"/>
      <w:divBdr>
        <w:top w:val="none" w:sz="0" w:space="0" w:color="auto"/>
        <w:left w:val="none" w:sz="0" w:space="0" w:color="auto"/>
        <w:bottom w:val="none" w:sz="0" w:space="0" w:color="auto"/>
        <w:right w:val="none" w:sz="0" w:space="0" w:color="auto"/>
      </w:divBdr>
    </w:div>
    <w:div w:id="1213887254">
      <w:bodyDiv w:val="1"/>
      <w:marLeft w:val="0"/>
      <w:marRight w:val="0"/>
      <w:marTop w:val="0"/>
      <w:marBottom w:val="0"/>
      <w:divBdr>
        <w:top w:val="none" w:sz="0" w:space="0" w:color="auto"/>
        <w:left w:val="none" w:sz="0" w:space="0" w:color="auto"/>
        <w:bottom w:val="none" w:sz="0" w:space="0" w:color="auto"/>
        <w:right w:val="none" w:sz="0" w:space="0" w:color="auto"/>
      </w:divBdr>
    </w:div>
    <w:div w:id="1248659516">
      <w:bodyDiv w:val="1"/>
      <w:marLeft w:val="0"/>
      <w:marRight w:val="0"/>
      <w:marTop w:val="0"/>
      <w:marBottom w:val="0"/>
      <w:divBdr>
        <w:top w:val="none" w:sz="0" w:space="0" w:color="auto"/>
        <w:left w:val="none" w:sz="0" w:space="0" w:color="auto"/>
        <w:bottom w:val="none" w:sz="0" w:space="0" w:color="auto"/>
        <w:right w:val="none" w:sz="0" w:space="0" w:color="auto"/>
      </w:divBdr>
    </w:div>
    <w:div w:id="1352148728">
      <w:bodyDiv w:val="1"/>
      <w:marLeft w:val="0"/>
      <w:marRight w:val="0"/>
      <w:marTop w:val="0"/>
      <w:marBottom w:val="0"/>
      <w:divBdr>
        <w:top w:val="none" w:sz="0" w:space="0" w:color="auto"/>
        <w:left w:val="none" w:sz="0" w:space="0" w:color="auto"/>
        <w:bottom w:val="none" w:sz="0" w:space="0" w:color="auto"/>
        <w:right w:val="none" w:sz="0" w:space="0" w:color="auto"/>
      </w:divBdr>
    </w:div>
    <w:div w:id="1418550300">
      <w:bodyDiv w:val="1"/>
      <w:marLeft w:val="0"/>
      <w:marRight w:val="0"/>
      <w:marTop w:val="0"/>
      <w:marBottom w:val="0"/>
      <w:divBdr>
        <w:top w:val="none" w:sz="0" w:space="0" w:color="auto"/>
        <w:left w:val="none" w:sz="0" w:space="0" w:color="auto"/>
        <w:bottom w:val="none" w:sz="0" w:space="0" w:color="auto"/>
        <w:right w:val="none" w:sz="0" w:space="0" w:color="auto"/>
      </w:divBdr>
    </w:div>
    <w:div w:id="1568954086">
      <w:bodyDiv w:val="1"/>
      <w:marLeft w:val="0"/>
      <w:marRight w:val="0"/>
      <w:marTop w:val="0"/>
      <w:marBottom w:val="0"/>
      <w:divBdr>
        <w:top w:val="none" w:sz="0" w:space="0" w:color="auto"/>
        <w:left w:val="none" w:sz="0" w:space="0" w:color="auto"/>
        <w:bottom w:val="none" w:sz="0" w:space="0" w:color="auto"/>
        <w:right w:val="none" w:sz="0" w:space="0" w:color="auto"/>
      </w:divBdr>
    </w:div>
    <w:div w:id="1571423430">
      <w:bodyDiv w:val="1"/>
      <w:marLeft w:val="0"/>
      <w:marRight w:val="0"/>
      <w:marTop w:val="0"/>
      <w:marBottom w:val="0"/>
      <w:divBdr>
        <w:top w:val="none" w:sz="0" w:space="0" w:color="auto"/>
        <w:left w:val="none" w:sz="0" w:space="0" w:color="auto"/>
        <w:bottom w:val="none" w:sz="0" w:space="0" w:color="auto"/>
        <w:right w:val="none" w:sz="0" w:space="0" w:color="auto"/>
      </w:divBdr>
    </w:div>
    <w:div w:id="1594314269">
      <w:bodyDiv w:val="1"/>
      <w:marLeft w:val="0"/>
      <w:marRight w:val="0"/>
      <w:marTop w:val="0"/>
      <w:marBottom w:val="0"/>
      <w:divBdr>
        <w:top w:val="none" w:sz="0" w:space="0" w:color="auto"/>
        <w:left w:val="none" w:sz="0" w:space="0" w:color="auto"/>
        <w:bottom w:val="none" w:sz="0" w:space="0" w:color="auto"/>
        <w:right w:val="none" w:sz="0" w:space="0" w:color="auto"/>
      </w:divBdr>
    </w:div>
    <w:div w:id="1612132252">
      <w:bodyDiv w:val="1"/>
      <w:marLeft w:val="0"/>
      <w:marRight w:val="0"/>
      <w:marTop w:val="0"/>
      <w:marBottom w:val="0"/>
      <w:divBdr>
        <w:top w:val="none" w:sz="0" w:space="0" w:color="auto"/>
        <w:left w:val="none" w:sz="0" w:space="0" w:color="auto"/>
        <w:bottom w:val="none" w:sz="0" w:space="0" w:color="auto"/>
        <w:right w:val="none" w:sz="0" w:space="0" w:color="auto"/>
      </w:divBdr>
    </w:div>
    <w:div w:id="1757092349">
      <w:bodyDiv w:val="1"/>
      <w:marLeft w:val="0"/>
      <w:marRight w:val="0"/>
      <w:marTop w:val="0"/>
      <w:marBottom w:val="0"/>
      <w:divBdr>
        <w:top w:val="none" w:sz="0" w:space="0" w:color="auto"/>
        <w:left w:val="none" w:sz="0" w:space="0" w:color="auto"/>
        <w:bottom w:val="none" w:sz="0" w:space="0" w:color="auto"/>
        <w:right w:val="none" w:sz="0" w:space="0" w:color="auto"/>
      </w:divBdr>
    </w:div>
    <w:div w:id="1804958937">
      <w:bodyDiv w:val="1"/>
      <w:marLeft w:val="0"/>
      <w:marRight w:val="0"/>
      <w:marTop w:val="0"/>
      <w:marBottom w:val="0"/>
      <w:divBdr>
        <w:top w:val="none" w:sz="0" w:space="0" w:color="auto"/>
        <w:left w:val="none" w:sz="0" w:space="0" w:color="auto"/>
        <w:bottom w:val="none" w:sz="0" w:space="0" w:color="auto"/>
        <w:right w:val="none" w:sz="0" w:space="0" w:color="auto"/>
      </w:divBdr>
    </w:div>
    <w:div w:id="1844125587">
      <w:bodyDiv w:val="1"/>
      <w:marLeft w:val="0"/>
      <w:marRight w:val="0"/>
      <w:marTop w:val="0"/>
      <w:marBottom w:val="0"/>
      <w:divBdr>
        <w:top w:val="none" w:sz="0" w:space="0" w:color="auto"/>
        <w:left w:val="none" w:sz="0" w:space="0" w:color="auto"/>
        <w:bottom w:val="none" w:sz="0" w:space="0" w:color="auto"/>
        <w:right w:val="none" w:sz="0" w:space="0" w:color="auto"/>
      </w:divBdr>
      <w:divsChild>
        <w:div w:id="376858781">
          <w:marLeft w:val="0"/>
          <w:marRight w:val="0"/>
          <w:marTop w:val="0"/>
          <w:marBottom w:val="0"/>
          <w:divBdr>
            <w:top w:val="none" w:sz="0" w:space="0" w:color="auto"/>
            <w:left w:val="none" w:sz="0" w:space="0" w:color="auto"/>
            <w:bottom w:val="none" w:sz="0" w:space="0" w:color="auto"/>
            <w:right w:val="none" w:sz="0" w:space="0" w:color="auto"/>
          </w:divBdr>
          <w:divsChild>
            <w:div w:id="558325464">
              <w:marLeft w:val="0"/>
              <w:marRight w:val="0"/>
              <w:marTop w:val="0"/>
              <w:marBottom w:val="0"/>
              <w:divBdr>
                <w:top w:val="none" w:sz="0" w:space="0" w:color="auto"/>
                <w:left w:val="none" w:sz="0" w:space="0" w:color="auto"/>
                <w:bottom w:val="none" w:sz="0" w:space="0" w:color="auto"/>
                <w:right w:val="none" w:sz="0" w:space="0" w:color="auto"/>
              </w:divBdr>
              <w:divsChild>
                <w:div w:id="141153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9195364">
      <w:bodyDiv w:val="1"/>
      <w:marLeft w:val="0"/>
      <w:marRight w:val="0"/>
      <w:marTop w:val="0"/>
      <w:marBottom w:val="0"/>
      <w:divBdr>
        <w:top w:val="none" w:sz="0" w:space="0" w:color="auto"/>
        <w:left w:val="none" w:sz="0" w:space="0" w:color="auto"/>
        <w:bottom w:val="none" w:sz="0" w:space="0" w:color="auto"/>
        <w:right w:val="none" w:sz="0" w:space="0" w:color="auto"/>
      </w:divBdr>
    </w:div>
    <w:div w:id="1920285568">
      <w:bodyDiv w:val="1"/>
      <w:marLeft w:val="0"/>
      <w:marRight w:val="0"/>
      <w:marTop w:val="0"/>
      <w:marBottom w:val="0"/>
      <w:divBdr>
        <w:top w:val="none" w:sz="0" w:space="0" w:color="auto"/>
        <w:left w:val="none" w:sz="0" w:space="0" w:color="auto"/>
        <w:bottom w:val="none" w:sz="0" w:space="0" w:color="auto"/>
        <w:right w:val="none" w:sz="0" w:space="0" w:color="auto"/>
      </w:divBdr>
    </w:div>
    <w:div w:id="1968584149">
      <w:bodyDiv w:val="1"/>
      <w:marLeft w:val="0"/>
      <w:marRight w:val="0"/>
      <w:marTop w:val="0"/>
      <w:marBottom w:val="0"/>
      <w:divBdr>
        <w:top w:val="none" w:sz="0" w:space="0" w:color="auto"/>
        <w:left w:val="none" w:sz="0" w:space="0" w:color="auto"/>
        <w:bottom w:val="none" w:sz="0" w:space="0" w:color="auto"/>
        <w:right w:val="none" w:sz="0" w:space="0" w:color="auto"/>
      </w:divBdr>
      <w:divsChild>
        <w:div w:id="445658312">
          <w:marLeft w:val="0"/>
          <w:marRight w:val="0"/>
          <w:marTop w:val="0"/>
          <w:marBottom w:val="0"/>
          <w:divBdr>
            <w:top w:val="none" w:sz="0" w:space="0" w:color="auto"/>
            <w:left w:val="none" w:sz="0" w:space="0" w:color="auto"/>
            <w:bottom w:val="none" w:sz="0" w:space="0" w:color="auto"/>
            <w:right w:val="none" w:sz="0" w:space="0" w:color="auto"/>
          </w:divBdr>
          <w:divsChild>
            <w:div w:id="289482795">
              <w:marLeft w:val="0"/>
              <w:marRight w:val="0"/>
              <w:marTop w:val="0"/>
              <w:marBottom w:val="0"/>
              <w:divBdr>
                <w:top w:val="none" w:sz="0" w:space="0" w:color="auto"/>
                <w:left w:val="none" w:sz="0" w:space="0" w:color="auto"/>
                <w:bottom w:val="none" w:sz="0" w:space="0" w:color="auto"/>
                <w:right w:val="none" w:sz="0" w:space="0" w:color="auto"/>
              </w:divBdr>
              <w:divsChild>
                <w:div w:id="99490715">
                  <w:marLeft w:val="0"/>
                  <w:marRight w:val="0"/>
                  <w:marTop w:val="0"/>
                  <w:marBottom w:val="0"/>
                  <w:divBdr>
                    <w:top w:val="none" w:sz="0" w:space="0" w:color="auto"/>
                    <w:left w:val="none" w:sz="0" w:space="0" w:color="auto"/>
                    <w:bottom w:val="none" w:sz="0" w:space="0" w:color="auto"/>
                    <w:right w:val="none" w:sz="0" w:space="0" w:color="auto"/>
                  </w:divBdr>
                  <w:divsChild>
                    <w:div w:id="545407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7414404">
      <w:bodyDiv w:val="1"/>
      <w:marLeft w:val="0"/>
      <w:marRight w:val="0"/>
      <w:marTop w:val="0"/>
      <w:marBottom w:val="0"/>
      <w:divBdr>
        <w:top w:val="none" w:sz="0" w:space="0" w:color="auto"/>
        <w:left w:val="none" w:sz="0" w:space="0" w:color="auto"/>
        <w:bottom w:val="none" w:sz="0" w:space="0" w:color="auto"/>
        <w:right w:val="none" w:sz="0" w:space="0" w:color="auto"/>
      </w:divBdr>
    </w:div>
    <w:div w:id="2057849768">
      <w:bodyDiv w:val="1"/>
      <w:marLeft w:val="0"/>
      <w:marRight w:val="0"/>
      <w:marTop w:val="0"/>
      <w:marBottom w:val="0"/>
      <w:divBdr>
        <w:top w:val="none" w:sz="0" w:space="0" w:color="auto"/>
        <w:left w:val="none" w:sz="0" w:space="0" w:color="auto"/>
        <w:bottom w:val="none" w:sz="0" w:space="0" w:color="auto"/>
        <w:right w:val="none" w:sz="0" w:space="0" w:color="auto"/>
      </w:divBdr>
      <w:divsChild>
        <w:div w:id="121307556">
          <w:marLeft w:val="0"/>
          <w:marRight w:val="0"/>
          <w:marTop w:val="0"/>
          <w:marBottom w:val="0"/>
          <w:divBdr>
            <w:top w:val="none" w:sz="0" w:space="0" w:color="auto"/>
            <w:left w:val="none" w:sz="0" w:space="0" w:color="auto"/>
            <w:bottom w:val="none" w:sz="0" w:space="0" w:color="auto"/>
            <w:right w:val="none" w:sz="0" w:space="0" w:color="auto"/>
          </w:divBdr>
          <w:divsChild>
            <w:div w:id="983703154">
              <w:marLeft w:val="0"/>
              <w:marRight w:val="0"/>
              <w:marTop w:val="0"/>
              <w:marBottom w:val="0"/>
              <w:divBdr>
                <w:top w:val="none" w:sz="0" w:space="0" w:color="auto"/>
                <w:left w:val="none" w:sz="0" w:space="0" w:color="auto"/>
                <w:bottom w:val="none" w:sz="0" w:space="0" w:color="auto"/>
                <w:right w:val="none" w:sz="0" w:space="0" w:color="auto"/>
              </w:divBdr>
              <w:divsChild>
                <w:div w:id="1937709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3" ma:contentTypeDescription="Crear nuevo documento." ma:contentTypeScope="" ma:versionID="5ce307a3737c73d7fc56b8c56af85e2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23b5beffdcd85b5c8f742a4950b070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2.xml><?xml version="1.0" encoding="utf-8"?>
<ds:datastoreItem xmlns:ds="http://schemas.openxmlformats.org/officeDocument/2006/customXml" ds:itemID="{A6531237-C176-4595-9494-449A98B1F907}">
  <ds:schemaRefs>
    <ds:schemaRef ds:uri="http://schemas.microsoft.com/office/2006/metadata/properties"/>
    <ds:schemaRef ds:uri="http://schemas.microsoft.com/office/infopath/2007/PartnerControls"/>
    <ds:schemaRef ds:uri="9d85dbaf-23eb-4e57-a637-93dcacc8b1a1"/>
  </ds:schemaRefs>
</ds:datastoreItem>
</file>

<file path=customXml/itemProps3.xml><?xml version="1.0" encoding="utf-8"?>
<ds:datastoreItem xmlns:ds="http://schemas.openxmlformats.org/officeDocument/2006/customXml" ds:itemID="{ECFB99A6-CBE6-46C1-BEC2-5CF81B8FDC2C}">
  <ds:schemaRefs>
    <ds:schemaRef ds:uri="http://schemas.openxmlformats.org/officeDocument/2006/bibliography"/>
  </ds:schemaRefs>
</ds:datastoreItem>
</file>

<file path=customXml/itemProps4.xml><?xml version="1.0" encoding="utf-8"?>
<ds:datastoreItem xmlns:ds="http://schemas.openxmlformats.org/officeDocument/2006/customXml" ds:itemID="{6C2AA215-1E90-45CA-809B-D83263F7218A}"/>
</file>

<file path=docProps/app.xml><?xml version="1.0" encoding="utf-8"?>
<Properties xmlns="http://schemas.openxmlformats.org/officeDocument/2006/extended-properties" xmlns:vt="http://schemas.openxmlformats.org/officeDocument/2006/docPropsVTypes">
  <Template>Respuesta a consultas</Template>
  <TotalTime>28</TotalTime>
  <Pages>19</Pages>
  <Words>6954</Words>
  <Characters>38248</Characters>
  <Application>Microsoft Office Word</Application>
  <DocSecurity>0</DocSecurity>
  <Lines>318</Lines>
  <Paragraphs>90</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45112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creator>Ximena Alejandra Cabezas Valencia</dc:creator>
  <cp:lastModifiedBy>alfredo benavides zarate</cp:lastModifiedBy>
  <cp:revision>4</cp:revision>
  <dcterms:created xsi:type="dcterms:W3CDTF">2021-06-02T20:53:00Z</dcterms:created>
  <dcterms:modified xsi:type="dcterms:W3CDTF">2021-06-03T18:13:00Z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