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672211" w14:textId="77777777" w:rsidR="0099569A" w:rsidRDefault="0099569A" w:rsidP="00E36193">
      <w:pPr>
        <w:pStyle w:val="Textoindependiente"/>
        <w:jc w:val="both"/>
        <w:rPr>
          <w:b/>
          <w:bCs/>
          <w:lang w:val="es-ES_tradnl"/>
        </w:rPr>
      </w:pPr>
      <w:bookmarkStart w:id="0" w:name="_Hlk28946138"/>
      <w:bookmarkStart w:id="1" w:name="_Hlk29548183"/>
      <w:bookmarkStart w:id="2" w:name="_Hlk29890381"/>
      <w:bookmarkStart w:id="3" w:name="_Hlk53114859"/>
    </w:p>
    <w:p w14:paraId="23D5A998" w14:textId="1D6B13C1" w:rsidR="00187EDF" w:rsidRDefault="00187EDF" w:rsidP="00A3307D">
      <w:pPr>
        <w:jc w:val="both"/>
        <w:rPr>
          <w:b/>
          <w:bCs/>
          <w:lang w:val="es-ES_tradnl"/>
        </w:rPr>
      </w:pPr>
      <w:r w:rsidRPr="00A3307D">
        <w:rPr>
          <w:rFonts w:ascii="Arial" w:eastAsiaTheme="minorHAnsi" w:hAnsi="Arial" w:cs="Arial"/>
          <w:b/>
          <w:bCs/>
          <w:color w:val="000000" w:themeColor="text1"/>
          <w:sz w:val="22"/>
          <w:lang w:val="es-ES_tradnl"/>
        </w:rPr>
        <w:t>DOCUMENTOS TIPO – Formulario 1 – Presupuesto Oficial – Propuesta económica</w:t>
      </w:r>
    </w:p>
    <w:p w14:paraId="358A805C" w14:textId="433B3DDA" w:rsidR="00187EDF" w:rsidRDefault="00187EDF" w:rsidP="00123766">
      <w:pPr>
        <w:pStyle w:val="Textoindependiente"/>
        <w:jc w:val="both"/>
        <w:rPr>
          <w:rFonts w:eastAsia="Calibri"/>
          <w:b/>
          <w:bCs/>
          <w:lang w:val="es-ES_tradnl"/>
        </w:rPr>
      </w:pPr>
    </w:p>
    <w:p w14:paraId="2AC42E91" w14:textId="0197A3B6" w:rsidR="00483BDA" w:rsidRPr="00373540" w:rsidRDefault="0099569A" w:rsidP="00373540">
      <w:pPr>
        <w:jc w:val="both"/>
        <w:rPr>
          <w:rFonts w:ascii="Arial" w:eastAsiaTheme="minorHAnsi" w:hAnsi="Arial" w:cs="Arial"/>
          <w:color w:val="000000" w:themeColor="text1"/>
          <w:sz w:val="20"/>
          <w:szCs w:val="20"/>
          <w:lang w:val="es-ES_tradnl"/>
        </w:rPr>
      </w:pPr>
      <w:r w:rsidRPr="00373540">
        <w:rPr>
          <w:rFonts w:ascii="Arial" w:eastAsiaTheme="minorHAnsi" w:hAnsi="Arial" w:cs="Arial"/>
          <w:color w:val="000000" w:themeColor="text1"/>
          <w:sz w:val="20"/>
          <w:szCs w:val="20"/>
          <w:lang w:val="es-ES_tradnl"/>
        </w:rPr>
        <w:t>En los documentos tipo para los procesos de licitación pública, menor cuantía y mínima cuantía de obra de infraestructura de transporte el «Formulario 1 – Formulario de Presupuesto Oficial» tiene dos connotaciones: i) por un lado, es el formulario sobre el cual la entidad estructura y presenta el presupuesto oficial del procedimiento de contratación; y ii) por el otro, es el documento sobre el cual los proponentes elaboran y presentan su oferta económica. Esta doble connotación fue adoptada para evitar la duplicidad de información y permitir que las propuestas económicas se evalúen con las variables, cantidades, unidades de medida y reglas consideradas por la entidad al estructurar su presupuesto oficial.</w:t>
      </w:r>
    </w:p>
    <w:p w14:paraId="31701C4A" w14:textId="77777777" w:rsidR="0099569A" w:rsidRDefault="0099569A" w:rsidP="00123766">
      <w:pPr>
        <w:pStyle w:val="Textoindependiente"/>
        <w:jc w:val="both"/>
        <w:rPr>
          <w:rFonts w:eastAsia="Calibri"/>
          <w:sz w:val="20"/>
          <w:szCs w:val="20"/>
          <w:lang w:val="es-ES_tradnl" w:eastAsia="es-ES_tradnl"/>
        </w:rPr>
      </w:pPr>
    </w:p>
    <w:p w14:paraId="2C0B1EEE" w14:textId="74AFE395" w:rsidR="00483BDA" w:rsidRDefault="00483BDA" w:rsidP="00123766">
      <w:pPr>
        <w:pStyle w:val="Textoindependiente"/>
        <w:jc w:val="both"/>
        <w:rPr>
          <w:rFonts w:eastAsia="Calibri"/>
          <w:sz w:val="20"/>
          <w:szCs w:val="20"/>
          <w:lang w:val="es-ES_tradnl" w:eastAsia="es-ES_tradnl"/>
        </w:rPr>
      </w:pPr>
      <w:r>
        <w:rPr>
          <w:rFonts w:eastAsia="Calibri"/>
          <w:b/>
          <w:bCs/>
          <w:lang w:val="es-ES_tradnl"/>
        </w:rPr>
        <w:t xml:space="preserve">FORMULARIO 1 </w:t>
      </w:r>
      <w:r w:rsidRPr="006C15D5">
        <w:rPr>
          <w:rFonts w:eastAsia="Calibri"/>
          <w:b/>
          <w:color w:val="000000" w:themeColor="text1"/>
        </w:rPr>
        <w:t>–</w:t>
      </w:r>
      <w:r w:rsidR="007F5F1E">
        <w:rPr>
          <w:rFonts w:eastAsia="Calibri"/>
          <w:b/>
          <w:color w:val="000000" w:themeColor="text1"/>
        </w:rPr>
        <w:t xml:space="preserve"> Notas 1, 2 y 3 </w:t>
      </w:r>
      <w:r w:rsidR="007F5F1E" w:rsidRPr="006C15D5">
        <w:rPr>
          <w:rFonts w:eastAsia="Calibri"/>
          <w:b/>
          <w:color w:val="000000" w:themeColor="text1"/>
        </w:rPr>
        <w:t>–</w:t>
      </w:r>
      <w:r w:rsidR="007F5F1E">
        <w:rPr>
          <w:rFonts w:eastAsia="Calibri"/>
          <w:b/>
          <w:color w:val="000000" w:themeColor="text1"/>
        </w:rPr>
        <w:t xml:space="preserve"> Precios unitarios</w:t>
      </w:r>
    </w:p>
    <w:p w14:paraId="58C3F994" w14:textId="77777777" w:rsidR="00483BDA" w:rsidRDefault="00483BDA" w:rsidP="00123766">
      <w:pPr>
        <w:pStyle w:val="Textoindependiente"/>
        <w:jc w:val="both"/>
        <w:rPr>
          <w:rFonts w:eastAsia="Calibri"/>
          <w:sz w:val="20"/>
          <w:szCs w:val="20"/>
          <w:lang w:val="es-ES_tradnl" w:eastAsia="es-ES_tradnl"/>
        </w:rPr>
      </w:pPr>
    </w:p>
    <w:p w14:paraId="646E4BCE" w14:textId="0E1BB2A6" w:rsidR="0099569A" w:rsidRPr="0099569A" w:rsidRDefault="007F5F1E" w:rsidP="0099569A">
      <w:pPr>
        <w:pStyle w:val="Textoindependiente"/>
        <w:jc w:val="both"/>
        <w:rPr>
          <w:rFonts w:eastAsia="Calibri"/>
          <w:sz w:val="20"/>
          <w:szCs w:val="20"/>
          <w:lang w:val="es-ES_tradnl" w:eastAsia="es-ES_tradnl"/>
        </w:rPr>
      </w:pPr>
      <w:r>
        <w:rPr>
          <w:rFonts w:eastAsia="Calibri"/>
          <w:sz w:val="20"/>
          <w:szCs w:val="20"/>
          <w:lang w:val="es-ES_tradnl" w:eastAsia="es-ES_tradnl"/>
        </w:rPr>
        <w:t xml:space="preserve">[…] </w:t>
      </w:r>
      <w:r w:rsidR="0099569A" w:rsidRPr="0099569A">
        <w:rPr>
          <w:rFonts w:eastAsia="Calibri"/>
          <w:sz w:val="20"/>
          <w:szCs w:val="20"/>
          <w:lang w:val="es-ES_tradnl" w:eastAsia="es-ES_tradnl"/>
        </w:rPr>
        <w:t>en la hoja 1 del «Formulario 1 – Formulario de Presupuesto oficial» se señala que en los procesos de contratación estructurados por precios unitarios aplican las notas 1, 2 y 3 de dicho formato y, por tanto, se diligencian las casillas de «Descripción», «Porcentaje» de la Administración, Imprevistos, Utilidad y total del A.I.U resaltados en color amarillo. En otras palabras, las entidades estatales incluirán de manera obligatoria el porcentaje de la: i) administración, ii) imprevistos y iii) utilidad cuando el proceso de contratación sea por precios unitarios.</w:t>
      </w:r>
    </w:p>
    <w:p w14:paraId="746204CE" w14:textId="77777777" w:rsidR="0099569A" w:rsidRDefault="0099569A" w:rsidP="0099569A">
      <w:pPr>
        <w:pStyle w:val="Textoindependiente"/>
        <w:jc w:val="both"/>
        <w:rPr>
          <w:rFonts w:eastAsia="Calibri"/>
          <w:sz w:val="20"/>
          <w:szCs w:val="20"/>
          <w:lang w:val="es-ES_tradnl" w:eastAsia="es-ES_tradnl"/>
        </w:rPr>
      </w:pPr>
    </w:p>
    <w:p w14:paraId="6D9462D1" w14:textId="5FEE5366" w:rsidR="00CB27C9" w:rsidRPr="00483BDA" w:rsidRDefault="00607DC3" w:rsidP="00483BDA">
      <w:pPr>
        <w:jc w:val="both"/>
        <w:rPr>
          <w:rFonts w:ascii="Arial" w:hAnsi="Arial" w:cs="Arial"/>
          <w:b/>
          <w:sz w:val="22"/>
        </w:rPr>
      </w:pPr>
      <w:r>
        <w:rPr>
          <w:rFonts w:ascii="Arial" w:hAnsi="Arial" w:cs="Arial"/>
          <w:b/>
          <w:sz w:val="22"/>
        </w:rPr>
        <w:t>FORMULARIO 1 – Nota 2</w:t>
      </w:r>
      <w:r w:rsidR="00483BDA" w:rsidRPr="00567C02">
        <w:rPr>
          <w:rFonts w:ascii="Arial" w:hAnsi="Arial" w:cs="Arial"/>
          <w:b/>
          <w:sz w:val="22"/>
        </w:rPr>
        <w:t xml:space="preserve"> </w:t>
      </w:r>
      <w:r w:rsidR="0004639D">
        <w:rPr>
          <w:rFonts w:ascii="Arial" w:hAnsi="Arial" w:cs="Arial"/>
          <w:b/>
          <w:sz w:val="22"/>
        </w:rPr>
        <w:t>–</w:t>
      </w:r>
      <w:r w:rsidR="00483BDA">
        <w:rPr>
          <w:rFonts w:ascii="Arial" w:hAnsi="Arial" w:cs="Arial"/>
          <w:b/>
          <w:sz w:val="22"/>
        </w:rPr>
        <w:t xml:space="preserve"> </w:t>
      </w:r>
      <w:r>
        <w:rPr>
          <w:rFonts w:ascii="Arial" w:hAnsi="Arial" w:cs="Arial"/>
          <w:b/>
          <w:sz w:val="22"/>
        </w:rPr>
        <w:t>Alcance</w:t>
      </w:r>
    </w:p>
    <w:p w14:paraId="3F5E2053" w14:textId="77777777" w:rsidR="00CB27C9" w:rsidRDefault="00CB27C9" w:rsidP="00123766">
      <w:pPr>
        <w:pStyle w:val="Textoindependiente"/>
        <w:jc w:val="both"/>
        <w:rPr>
          <w:rFonts w:eastAsia="Calibri"/>
          <w:b/>
          <w:bCs/>
          <w:lang w:val="es-ES_tradnl"/>
        </w:rPr>
      </w:pPr>
    </w:p>
    <w:p w14:paraId="0F23BEC7" w14:textId="6C324443" w:rsidR="007C315B" w:rsidRDefault="007C315B" w:rsidP="007C315B">
      <w:pPr>
        <w:pStyle w:val="Textoindependiente"/>
        <w:jc w:val="both"/>
        <w:rPr>
          <w:rFonts w:eastAsia="Calibri"/>
          <w:sz w:val="20"/>
          <w:szCs w:val="20"/>
          <w:lang w:val="es-ES_tradnl" w:eastAsia="es-ES_tradnl"/>
        </w:rPr>
      </w:pPr>
      <w:r w:rsidRPr="007C315B">
        <w:rPr>
          <w:rFonts w:eastAsia="Calibri"/>
          <w:sz w:val="20"/>
          <w:szCs w:val="20"/>
          <w:lang w:val="es-ES_tradnl" w:eastAsia="es-ES_tradnl"/>
        </w:rPr>
        <w:t>De acuerdo con la regla del literal B es posible concluir que el ajuste al peso de que trata la Nota 2 del Formulario 1 da lugar a correcciones aritméticas de la oferta económica, y este ajuste recae sobre los precios unitarios, pues, la regla señala: «El ajuste al peso ya sea por exceso o por defecto de los precios unitarios contenidos en la propuesta económica»</w:t>
      </w:r>
      <w:r w:rsidR="00BD006D">
        <w:rPr>
          <w:rFonts w:eastAsia="Calibri"/>
          <w:sz w:val="20"/>
          <w:szCs w:val="20"/>
          <w:lang w:val="es-ES_tradnl" w:eastAsia="es-ES_tradnl"/>
        </w:rPr>
        <w:t>.</w:t>
      </w:r>
    </w:p>
    <w:p w14:paraId="277FC513" w14:textId="77777777" w:rsidR="00BD006D" w:rsidRPr="007C315B" w:rsidRDefault="00BD006D" w:rsidP="007C315B">
      <w:pPr>
        <w:pStyle w:val="Textoindependiente"/>
        <w:jc w:val="both"/>
        <w:rPr>
          <w:rFonts w:eastAsia="Calibri"/>
          <w:sz w:val="20"/>
          <w:szCs w:val="20"/>
          <w:lang w:val="es-ES_tradnl" w:eastAsia="es-ES_tradnl"/>
        </w:rPr>
      </w:pPr>
    </w:p>
    <w:p w14:paraId="7052008E" w14:textId="032A2998" w:rsidR="00123766" w:rsidRPr="00373540" w:rsidRDefault="007C315B" w:rsidP="007C315B">
      <w:pPr>
        <w:pStyle w:val="Textoindependiente"/>
        <w:jc w:val="both"/>
        <w:rPr>
          <w:rFonts w:eastAsia="Calibri"/>
          <w:b/>
          <w:bCs/>
          <w:sz w:val="20"/>
          <w:szCs w:val="20"/>
          <w:lang w:val="es-ES_tradnl" w:eastAsia="es-ES_tradnl"/>
        </w:rPr>
      </w:pPr>
      <w:r w:rsidRPr="007C315B">
        <w:rPr>
          <w:rFonts w:eastAsia="Calibri"/>
          <w:sz w:val="20"/>
          <w:szCs w:val="20"/>
          <w:lang w:val="es-ES_tradnl" w:eastAsia="es-ES_tradnl"/>
        </w:rPr>
        <w:t>Cabe resaltar que la finalidad de la corrección aritmética es determinar el valor real de la oferta económica, en aras de garantizar los principios de igualdad y selección objetiva, razón por la cual, de acuerdo con lo señalado en el inciso final del numeral 4.1.2 del Documento base, el efecto de la corrección por ajuste al peso o de la corrección de errores aritméticos es que el valor total corregido será el que se tendrá en cuenta para la asignación de puntaje.  Esto es congruente con el numeral 4.1 que señala que para calificar el factor de la oferta económica se tendrá en cuenta el valor total indicado en la propuesta económica o el obtenido de la corrección aritmética</w:t>
      </w:r>
      <w:r w:rsidR="00BD006D">
        <w:rPr>
          <w:rFonts w:eastAsia="Calibri"/>
          <w:sz w:val="20"/>
          <w:szCs w:val="20"/>
          <w:lang w:val="es-ES_tradnl" w:eastAsia="es-ES_tradnl"/>
        </w:rPr>
        <w:t>.</w:t>
      </w:r>
    </w:p>
    <w:p w14:paraId="3E94A518" w14:textId="2814E3A8" w:rsidR="00123766" w:rsidRDefault="00123766" w:rsidP="009E5CA8">
      <w:pPr>
        <w:pStyle w:val="Textoindependiente"/>
        <w:jc w:val="both"/>
        <w:rPr>
          <w:b/>
          <w:bCs/>
          <w:lang w:val="es-ES_tradnl"/>
        </w:rPr>
      </w:pPr>
    </w:p>
    <w:p w14:paraId="446E7CD2" w14:textId="64A22C5E" w:rsidR="00123766" w:rsidRDefault="00607DC3" w:rsidP="00607DC3">
      <w:pPr>
        <w:pStyle w:val="Textoindependiente"/>
        <w:jc w:val="both"/>
        <w:rPr>
          <w:b/>
          <w:bCs/>
          <w:lang w:val="es-ES_tradnl"/>
        </w:rPr>
      </w:pPr>
      <w:r w:rsidRPr="00567C02">
        <w:rPr>
          <w:b/>
        </w:rPr>
        <w:t xml:space="preserve">FORMULARIO 1 – Oferta económica </w:t>
      </w:r>
      <w:r>
        <w:rPr>
          <w:b/>
        </w:rPr>
        <w:t xml:space="preserve">– </w:t>
      </w:r>
      <w:r w:rsidRPr="00567C02">
        <w:rPr>
          <w:b/>
        </w:rPr>
        <w:t>Causales de rechazo</w:t>
      </w:r>
      <w:r w:rsidR="007F5F1E">
        <w:rPr>
          <w:b/>
        </w:rPr>
        <w:t xml:space="preserve"> </w:t>
      </w:r>
      <w:r w:rsidR="007F5F1E" w:rsidRPr="006C15D5">
        <w:rPr>
          <w:rFonts w:eastAsia="Calibri"/>
          <w:b/>
          <w:color w:val="000000" w:themeColor="text1"/>
        </w:rPr>
        <w:t>–</w:t>
      </w:r>
      <w:r w:rsidR="007F5F1E">
        <w:rPr>
          <w:rFonts w:eastAsia="Calibri"/>
          <w:b/>
          <w:color w:val="000000" w:themeColor="text1"/>
        </w:rPr>
        <w:t xml:space="preserve"> Corrección aritmética</w:t>
      </w:r>
    </w:p>
    <w:p w14:paraId="29C20398" w14:textId="1EEF5513" w:rsidR="00123766" w:rsidRDefault="00123766" w:rsidP="009E5CA8">
      <w:pPr>
        <w:pStyle w:val="Textoindependiente"/>
        <w:jc w:val="both"/>
        <w:rPr>
          <w:b/>
          <w:bCs/>
          <w:lang w:val="es-ES_tradnl"/>
        </w:rPr>
      </w:pPr>
    </w:p>
    <w:p w14:paraId="5F8F5E12" w14:textId="77777777" w:rsidR="00F24B95" w:rsidRDefault="00F24B95" w:rsidP="00F24B95">
      <w:pPr>
        <w:pStyle w:val="Textoindependiente"/>
        <w:jc w:val="both"/>
        <w:rPr>
          <w:bCs/>
          <w:sz w:val="20"/>
          <w:szCs w:val="20"/>
          <w:lang w:val="es-ES_tradnl"/>
        </w:rPr>
      </w:pPr>
      <w:r w:rsidRPr="00F24B95">
        <w:rPr>
          <w:bCs/>
          <w:sz w:val="20"/>
          <w:szCs w:val="20"/>
          <w:lang w:val="es-ES_tradnl"/>
        </w:rPr>
        <w:t xml:space="preserve">De acuerdo con lo considerado, las causales de rechazo aplicables a los procedimientos de contratación que se adelanten utilizando los documentos tipo, atendiendo a la regla de la inalterabilidad que los caracteriza, únicamente son las establecidas directamente en la Ley y las contenidas en el numeral 1.15 del «Documento Base». La inclusión de algunas de estas depende de aspectos como la forma de pago escogida por la entidad contratante, </w:t>
      </w:r>
      <w:proofErr w:type="gramStart"/>
      <w:r w:rsidRPr="00F24B95">
        <w:rPr>
          <w:bCs/>
          <w:sz w:val="20"/>
          <w:szCs w:val="20"/>
          <w:lang w:val="es-ES_tradnl"/>
        </w:rPr>
        <w:t>como</w:t>
      </w:r>
      <w:proofErr w:type="gramEnd"/>
      <w:r w:rsidRPr="00F24B95">
        <w:rPr>
          <w:bCs/>
          <w:sz w:val="20"/>
          <w:szCs w:val="20"/>
          <w:lang w:val="es-ES_tradnl"/>
        </w:rPr>
        <w:t xml:space="preserve"> por ejemplo, la del literal Q, aplicable en procesos con pago por precios unitarios. </w:t>
      </w:r>
    </w:p>
    <w:p w14:paraId="6B2E616C" w14:textId="77777777" w:rsidR="00F24B95" w:rsidRPr="00F24B95" w:rsidRDefault="00F24B95" w:rsidP="00F24B95">
      <w:pPr>
        <w:pStyle w:val="Textoindependiente"/>
        <w:jc w:val="both"/>
        <w:rPr>
          <w:bCs/>
          <w:sz w:val="20"/>
          <w:szCs w:val="20"/>
          <w:lang w:val="es-ES_tradnl"/>
        </w:rPr>
      </w:pPr>
    </w:p>
    <w:p w14:paraId="68116A50" w14:textId="1A18B9E0" w:rsidR="007F5F1E" w:rsidRPr="00607DC3" w:rsidRDefault="00F24B95" w:rsidP="00F24B95">
      <w:pPr>
        <w:pStyle w:val="Textoindependiente"/>
        <w:jc w:val="both"/>
        <w:rPr>
          <w:bCs/>
          <w:sz w:val="20"/>
          <w:szCs w:val="20"/>
          <w:lang w:val="es-MX"/>
        </w:rPr>
      </w:pPr>
      <w:r w:rsidRPr="00F24B95">
        <w:rPr>
          <w:bCs/>
          <w:sz w:val="20"/>
          <w:szCs w:val="20"/>
          <w:lang w:val="es-ES_tradnl"/>
        </w:rPr>
        <w:t xml:space="preserve">Con respecto dicha causal, corresponde a la entidad estatal verificar si una vez realizada la corrección aritmética de la propuesta, ya sea por errores aritméticos o por el ajuste al peso, se configuran los supuestos previstos en  las causales de rechazo señaladas en los literales M y Q el numeral 1.15 del Documento Base, es decir, si realizada la corrección aritmética se observa que la propuesta económica supera el presupuesto oficial del proceso de contratación; o se supera el valor </w:t>
      </w:r>
      <w:r w:rsidRPr="00F24B95">
        <w:rPr>
          <w:bCs/>
          <w:sz w:val="20"/>
          <w:szCs w:val="20"/>
          <w:lang w:val="es-ES_tradnl"/>
        </w:rPr>
        <w:lastRenderedPageBreak/>
        <w:t>unitario de alguno o algunos de los ítems que señale la entidad con respecto al valor establecido para cada ítem del presupuesto oficial, en los procesos en que haya sido definida esta condición. La finalidad de la corrección aritmética es determinar el valor real de la oferta económica, en aras de garantizar los principios de igualdad y selección objetiva, permitiendo que el valor corregido sea el que se tenga en cuenta para la asignación de puntaje</w:t>
      </w:r>
      <w:r w:rsidR="007F5F1E" w:rsidRPr="007F5F1E">
        <w:rPr>
          <w:bCs/>
          <w:sz w:val="20"/>
          <w:szCs w:val="20"/>
          <w:lang w:val="es-MX"/>
        </w:rPr>
        <w:t>.</w:t>
      </w:r>
    </w:p>
    <w:bookmarkEnd w:id="3"/>
    <w:p w14:paraId="7D114EC4" w14:textId="77777777" w:rsidR="0079353A" w:rsidRDefault="0079353A" w:rsidP="00134E95">
      <w:pPr>
        <w:rPr>
          <w:rFonts w:ascii="Arial" w:hAnsi="Arial" w:cs="Arial"/>
          <w:b/>
          <w:sz w:val="22"/>
        </w:rPr>
      </w:pPr>
    </w:p>
    <w:p w14:paraId="6F682148" w14:textId="77777777" w:rsidR="0079353A" w:rsidRDefault="0079353A" w:rsidP="00134E95">
      <w:pPr>
        <w:rPr>
          <w:rFonts w:ascii="Arial" w:hAnsi="Arial" w:cs="Arial"/>
          <w:b/>
          <w:sz w:val="22"/>
        </w:rPr>
      </w:pPr>
    </w:p>
    <w:p w14:paraId="73BCFC06" w14:textId="77777777" w:rsidR="0079353A" w:rsidRDefault="0079353A" w:rsidP="00134E95">
      <w:pPr>
        <w:rPr>
          <w:rFonts w:ascii="Arial" w:hAnsi="Arial" w:cs="Arial"/>
          <w:b/>
          <w:sz w:val="22"/>
        </w:rPr>
      </w:pPr>
    </w:p>
    <w:p w14:paraId="67F39458" w14:textId="77777777" w:rsidR="0079353A" w:rsidRDefault="0079353A" w:rsidP="00134E95">
      <w:pPr>
        <w:rPr>
          <w:rFonts w:ascii="Arial" w:hAnsi="Arial" w:cs="Arial"/>
          <w:b/>
          <w:sz w:val="22"/>
        </w:rPr>
      </w:pPr>
    </w:p>
    <w:p w14:paraId="33DE3D4E" w14:textId="77777777" w:rsidR="0079353A" w:rsidRDefault="0079353A" w:rsidP="00134E95">
      <w:pPr>
        <w:rPr>
          <w:rFonts w:ascii="Arial" w:hAnsi="Arial" w:cs="Arial"/>
          <w:b/>
          <w:sz w:val="22"/>
        </w:rPr>
      </w:pPr>
    </w:p>
    <w:p w14:paraId="66EC77EC" w14:textId="77777777" w:rsidR="0079353A" w:rsidRDefault="0079353A" w:rsidP="00134E95">
      <w:pPr>
        <w:rPr>
          <w:rFonts w:ascii="Arial" w:hAnsi="Arial" w:cs="Arial"/>
          <w:b/>
          <w:sz w:val="22"/>
        </w:rPr>
      </w:pPr>
    </w:p>
    <w:p w14:paraId="549991EE" w14:textId="77777777" w:rsidR="0079353A" w:rsidRDefault="0079353A" w:rsidP="00134E95">
      <w:pPr>
        <w:rPr>
          <w:rFonts w:ascii="Arial" w:hAnsi="Arial" w:cs="Arial"/>
          <w:b/>
          <w:sz w:val="22"/>
        </w:rPr>
      </w:pPr>
    </w:p>
    <w:p w14:paraId="2BE75D86" w14:textId="77777777" w:rsidR="0079353A" w:rsidRDefault="0079353A" w:rsidP="00134E95">
      <w:pPr>
        <w:rPr>
          <w:rFonts w:ascii="Arial" w:hAnsi="Arial" w:cs="Arial"/>
          <w:b/>
          <w:sz w:val="22"/>
        </w:rPr>
      </w:pPr>
    </w:p>
    <w:p w14:paraId="034C4B8C" w14:textId="77777777" w:rsidR="0079353A" w:rsidRDefault="0079353A" w:rsidP="00134E95">
      <w:pPr>
        <w:rPr>
          <w:rFonts w:ascii="Arial" w:hAnsi="Arial" w:cs="Arial"/>
          <w:b/>
          <w:sz w:val="22"/>
        </w:rPr>
      </w:pPr>
    </w:p>
    <w:p w14:paraId="53EE9F3F" w14:textId="77777777" w:rsidR="0079353A" w:rsidRDefault="0079353A" w:rsidP="00134E95">
      <w:pPr>
        <w:rPr>
          <w:rFonts w:ascii="Arial" w:hAnsi="Arial" w:cs="Arial"/>
          <w:b/>
          <w:sz w:val="22"/>
        </w:rPr>
      </w:pPr>
    </w:p>
    <w:p w14:paraId="73E18B67" w14:textId="77777777" w:rsidR="0079353A" w:rsidRDefault="0079353A" w:rsidP="00134E95">
      <w:pPr>
        <w:rPr>
          <w:rFonts w:ascii="Arial" w:hAnsi="Arial" w:cs="Arial"/>
          <w:b/>
          <w:sz w:val="22"/>
        </w:rPr>
      </w:pPr>
    </w:p>
    <w:p w14:paraId="6165FE68" w14:textId="77777777" w:rsidR="0079353A" w:rsidRDefault="0079353A" w:rsidP="00134E95">
      <w:pPr>
        <w:rPr>
          <w:rFonts w:ascii="Arial" w:hAnsi="Arial" w:cs="Arial"/>
          <w:b/>
          <w:sz w:val="22"/>
        </w:rPr>
      </w:pPr>
    </w:p>
    <w:p w14:paraId="7730E80A" w14:textId="77777777" w:rsidR="0079353A" w:rsidRDefault="0079353A" w:rsidP="00134E95">
      <w:pPr>
        <w:rPr>
          <w:rFonts w:ascii="Arial" w:hAnsi="Arial" w:cs="Arial"/>
          <w:b/>
          <w:sz w:val="22"/>
        </w:rPr>
      </w:pPr>
    </w:p>
    <w:p w14:paraId="5D809F5B" w14:textId="77777777" w:rsidR="0079353A" w:rsidRDefault="0079353A" w:rsidP="00134E95">
      <w:pPr>
        <w:rPr>
          <w:rFonts w:ascii="Arial" w:hAnsi="Arial" w:cs="Arial"/>
          <w:b/>
          <w:sz w:val="22"/>
        </w:rPr>
      </w:pPr>
    </w:p>
    <w:p w14:paraId="62EF4837" w14:textId="77777777" w:rsidR="0079353A" w:rsidRDefault="0079353A" w:rsidP="00134E95">
      <w:pPr>
        <w:rPr>
          <w:rFonts w:ascii="Arial" w:hAnsi="Arial" w:cs="Arial"/>
          <w:b/>
          <w:sz w:val="22"/>
        </w:rPr>
      </w:pPr>
    </w:p>
    <w:p w14:paraId="250FE161" w14:textId="77777777" w:rsidR="0079353A" w:rsidRDefault="0079353A" w:rsidP="00134E95">
      <w:pPr>
        <w:rPr>
          <w:rFonts w:ascii="Arial" w:hAnsi="Arial" w:cs="Arial"/>
          <w:b/>
          <w:sz w:val="22"/>
        </w:rPr>
      </w:pPr>
    </w:p>
    <w:p w14:paraId="35101F09" w14:textId="77777777" w:rsidR="0079353A" w:rsidRDefault="0079353A" w:rsidP="00134E95">
      <w:pPr>
        <w:rPr>
          <w:rFonts w:ascii="Arial" w:hAnsi="Arial" w:cs="Arial"/>
          <w:b/>
          <w:sz w:val="22"/>
        </w:rPr>
      </w:pPr>
    </w:p>
    <w:p w14:paraId="3A9C35C3" w14:textId="77777777" w:rsidR="0079353A" w:rsidRDefault="0079353A" w:rsidP="00134E95">
      <w:pPr>
        <w:rPr>
          <w:rFonts w:ascii="Arial" w:hAnsi="Arial" w:cs="Arial"/>
          <w:b/>
          <w:sz w:val="22"/>
        </w:rPr>
      </w:pPr>
    </w:p>
    <w:p w14:paraId="18302AEC" w14:textId="77777777" w:rsidR="0079353A" w:rsidRDefault="0079353A" w:rsidP="00134E95">
      <w:pPr>
        <w:rPr>
          <w:rFonts w:ascii="Arial" w:hAnsi="Arial" w:cs="Arial"/>
          <w:b/>
          <w:sz w:val="22"/>
        </w:rPr>
      </w:pPr>
    </w:p>
    <w:p w14:paraId="05509D57" w14:textId="77777777" w:rsidR="0079353A" w:rsidRDefault="0079353A" w:rsidP="00134E95">
      <w:pPr>
        <w:rPr>
          <w:rFonts w:ascii="Arial" w:hAnsi="Arial" w:cs="Arial"/>
          <w:b/>
          <w:sz w:val="22"/>
        </w:rPr>
      </w:pPr>
    </w:p>
    <w:p w14:paraId="16BD7B8C" w14:textId="77777777" w:rsidR="0079353A" w:rsidRDefault="0079353A" w:rsidP="00134E95">
      <w:pPr>
        <w:rPr>
          <w:rFonts w:ascii="Arial" w:hAnsi="Arial" w:cs="Arial"/>
          <w:b/>
          <w:sz w:val="22"/>
        </w:rPr>
      </w:pPr>
    </w:p>
    <w:p w14:paraId="7C6AAAA2" w14:textId="77777777" w:rsidR="0079353A" w:rsidRDefault="0079353A" w:rsidP="00134E95">
      <w:pPr>
        <w:rPr>
          <w:rFonts w:ascii="Arial" w:hAnsi="Arial" w:cs="Arial"/>
          <w:b/>
          <w:sz w:val="22"/>
        </w:rPr>
      </w:pPr>
    </w:p>
    <w:p w14:paraId="4445BCC4" w14:textId="77777777" w:rsidR="0079353A" w:rsidRDefault="0079353A" w:rsidP="00134E95">
      <w:pPr>
        <w:rPr>
          <w:rFonts w:ascii="Arial" w:hAnsi="Arial" w:cs="Arial"/>
          <w:b/>
          <w:sz w:val="22"/>
        </w:rPr>
      </w:pPr>
    </w:p>
    <w:p w14:paraId="17E66E7E" w14:textId="77777777" w:rsidR="0079353A" w:rsidRDefault="0079353A" w:rsidP="00134E95">
      <w:pPr>
        <w:rPr>
          <w:rFonts w:ascii="Arial" w:hAnsi="Arial" w:cs="Arial"/>
          <w:b/>
          <w:sz w:val="22"/>
        </w:rPr>
      </w:pPr>
    </w:p>
    <w:p w14:paraId="19CA53B1" w14:textId="77777777" w:rsidR="0079353A" w:rsidRDefault="0079353A" w:rsidP="00134E95">
      <w:pPr>
        <w:rPr>
          <w:rFonts w:ascii="Arial" w:hAnsi="Arial" w:cs="Arial"/>
          <w:b/>
          <w:sz w:val="22"/>
        </w:rPr>
      </w:pPr>
    </w:p>
    <w:p w14:paraId="5B695145" w14:textId="77777777" w:rsidR="0079353A" w:rsidRDefault="0079353A" w:rsidP="00134E95">
      <w:pPr>
        <w:rPr>
          <w:rFonts w:ascii="Arial" w:hAnsi="Arial" w:cs="Arial"/>
          <w:b/>
          <w:sz w:val="22"/>
        </w:rPr>
      </w:pPr>
    </w:p>
    <w:p w14:paraId="58877DF9" w14:textId="77777777" w:rsidR="0079353A" w:rsidRDefault="0079353A" w:rsidP="00134E95">
      <w:pPr>
        <w:rPr>
          <w:rFonts w:ascii="Arial" w:hAnsi="Arial" w:cs="Arial"/>
          <w:b/>
          <w:sz w:val="22"/>
        </w:rPr>
      </w:pPr>
    </w:p>
    <w:p w14:paraId="3D9900DD" w14:textId="77777777" w:rsidR="0079353A" w:rsidRDefault="0079353A" w:rsidP="00134E95">
      <w:pPr>
        <w:rPr>
          <w:rFonts w:ascii="Arial" w:hAnsi="Arial" w:cs="Arial"/>
          <w:b/>
          <w:sz w:val="22"/>
        </w:rPr>
      </w:pPr>
    </w:p>
    <w:p w14:paraId="20F1E713" w14:textId="77777777" w:rsidR="0079353A" w:rsidRDefault="0079353A" w:rsidP="00134E95">
      <w:pPr>
        <w:rPr>
          <w:rFonts w:ascii="Arial" w:hAnsi="Arial" w:cs="Arial"/>
          <w:b/>
          <w:sz w:val="22"/>
        </w:rPr>
      </w:pPr>
    </w:p>
    <w:p w14:paraId="0DFF8A88" w14:textId="77777777" w:rsidR="0079353A" w:rsidRDefault="0079353A" w:rsidP="00134E95">
      <w:pPr>
        <w:rPr>
          <w:rFonts w:ascii="Arial" w:hAnsi="Arial" w:cs="Arial"/>
          <w:b/>
          <w:sz w:val="22"/>
        </w:rPr>
      </w:pPr>
    </w:p>
    <w:p w14:paraId="7EC9AA13" w14:textId="77777777" w:rsidR="0079353A" w:rsidRDefault="0079353A" w:rsidP="00134E95">
      <w:pPr>
        <w:rPr>
          <w:rFonts w:ascii="Arial" w:hAnsi="Arial" w:cs="Arial"/>
          <w:b/>
          <w:sz w:val="22"/>
        </w:rPr>
      </w:pPr>
    </w:p>
    <w:p w14:paraId="10D5560E" w14:textId="77777777" w:rsidR="0079353A" w:rsidRDefault="0079353A" w:rsidP="00134E95">
      <w:pPr>
        <w:rPr>
          <w:rFonts w:ascii="Arial" w:hAnsi="Arial" w:cs="Arial"/>
          <w:b/>
          <w:sz w:val="22"/>
        </w:rPr>
      </w:pPr>
    </w:p>
    <w:p w14:paraId="0689484E" w14:textId="77777777" w:rsidR="0079353A" w:rsidRDefault="0079353A" w:rsidP="00134E95">
      <w:pPr>
        <w:rPr>
          <w:rFonts w:ascii="Arial" w:hAnsi="Arial" w:cs="Arial"/>
          <w:b/>
          <w:sz w:val="22"/>
        </w:rPr>
      </w:pPr>
    </w:p>
    <w:p w14:paraId="43C5B217" w14:textId="77777777" w:rsidR="0079353A" w:rsidRDefault="0079353A" w:rsidP="00134E95">
      <w:pPr>
        <w:rPr>
          <w:rFonts w:ascii="Arial" w:hAnsi="Arial" w:cs="Arial"/>
          <w:b/>
          <w:sz w:val="22"/>
        </w:rPr>
      </w:pPr>
    </w:p>
    <w:p w14:paraId="54BC8465" w14:textId="77777777" w:rsidR="0079353A" w:rsidRDefault="0079353A" w:rsidP="00134E95">
      <w:pPr>
        <w:rPr>
          <w:rFonts w:ascii="Arial" w:hAnsi="Arial" w:cs="Arial"/>
          <w:b/>
          <w:sz w:val="22"/>
        </w:rPr>
      </w:pPr>
    </w:p>
    <w:p w14:paraId="4E02F961" w14:textId="77777777" w:rsidR="0079353A" w:rsidRDefault="0079353A" w:rsidP="00134E95">
      <w:pPr>
        <w:rPr>
          <w:rFonts w:ascii="Arial" w:hAnsi="Arial" w:cs="Arial"/>
          <w:b/>
          <w:sz w:val="22"/>
        </w:rPr>
      </w:pPr>
    </w:p>
    <w:p w14:paraId="3D7AAD77" w14:textId="77777777" w:rsidR="0079353A" w:rsidRDefault="0079353A" w:rsidP="00134E95">
      <w:pPr>
        <w:rPr>
          <w:rFonts w:ascii="Arial" w:hAnsi="Arial" w:cs="Arial"/>
          <w:b/>
          <w:sz w:val="22"/>
        </w:rPr>
      </w:pPr>
    </w:p>
    <w:p w14:paraId="6BC71CE4" w14:textId="77777777" w:rsidR="0079353A" w:rsidRDefault="0079353A" w:rsidP="00134E95">
      <w:pPr>
        <w:rPr>
          <w:rFonts w:ascii="Arial" w:hAnsi="Arial" w:cs="Arial"/>
          <w:b/>
          <w:sz w:val="22"/>
        </w:rPr>
      </w:pPr>
    </w:p>
    <w:p w14:paraId="7DB089CB" w14:textId="77777777" w:rsidR="0079353A" w:rsidRDefault="0079353A" w:rsidP="00134E95">
      <w:pPr>
        <w:rPr>
          <w:rFonts w:ascii="Arial" w:hAnsi="Arial" w:cs="Arial"/>
          <w:b/>
          <w:sz w:val="22"/>
        </w:rPr>
      </w:pPr>
    </w:p>
    <w:p w14:paraId="24946EE4" w14:textId="77777777" w:rsidR="0079353A" w:rsidRDefault="0079353A" w:rsidP="00134E95">
      <w:pPr>
        <w:rPr>
          <w:rFonts w:ascii="Arial" w:hAnsi="Arial" w:cs="Arial"/>
          <w:b/>
          <w:sz w:val="22"/>
        </w:rPr>
      </w:pPr>
    </w:p>
    <w:p w14:paraId="51437574" w14:textId="77777777" w:rsidR="0079353A" w:rsidRDefault="0079353A" w:rsidP="00134E95">
      <w:pPr>
        <w:rPr>
          <w:rFonts w:ascii="Arial" w:hAnsi="Arial" w:cs="Arial"/>
          <w:b/>
          <w:sz w:val="22"/>
        </w:rPr>
      </w:pPr>
    </w:p>
    <w:p w14:paraId="59AC2AD1" w14:textId="55680997" w:rsidR="0079353A" w:rsidRDefault="00DE4242" w:rsidP="00134E95">
      <w:pPr>
        <w:rPr>
          <w:rFonts w:ascii="Arial" w:hAnsi="Arial" w:cs="Arial"/>
          <w:b/>
          <w:sz w:val="22"/>
        </w:rPr>
      </w:pPr>
      <w:r w:rsidRPr="00DE4242">
        <w:rPr>
          <w:rFonts w:ascii="Arial" w:hAnsi="Arial" w:cs="Arial"/>
          <w:b/>
          <w:sz w:val="22"/>
        </w:rPr>
        <w:lastRenderedPageBreak/>
        <w:drawing>
          <wp:anchor distT="0" distB="0" distL="114300" distR="114300" simplePos="0" relativeHeight="251661312" behindDoc="1" locked="0" layoutInCell="1" allowOverlap="1" wp14:anchorId="7B34C51A" wp14:editId="1344C637">
            <wp:simplePos x="0" y="0"/>
            <wp:positionH relativeFrom="margin">
              <wp:align>right</wp:align>
            </wp:positionH>
            <wp:positionV relativeFrom="paragraph">
              <wp:posOffset>-662940</wp:posOffset>
            </wp:positionV>
            <wp:extent cx="2819794" cy="1390844"/>
            <wp:effectExtent l="0" t="0" r="0" b="0"/>
            <wp:wrapNone/>
            <wp:docPr id="2" name="Imagen 2" descr="Imagen que contiene Código Q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magen que contiene Código QR&#10;&#10;Descripción generada automáticamente"/>
                    <pic:cNvPicPr/>
                  </pic:nvPicPr>
                  <pic:blipFill>
                    <a:blip r:embed="rId11"/>
                    <a:stretch>
                      <a:fillRect/>
                    </a:stretch>
                  </pic:blipFill>
                  <pic:spPr>
                    <a:xfrm>
                      <a:off x="0" y="0"/>
                      <a:ext cx="2819794" cy="1390844"/>
                    </a:xfrm>
                    <a:prstGeom prst="rect">
                      <a:avLst/>
                    </a:prstGeom>
                  </pic:spPr>
                </pic:pic>
              </a:graphicData>
            </a:graphic>
          </wp:anchor>
        </w:drawing>
      </w:r>
    </w:p>
    <w:p w14:paraId="659DDDA5" w14:textId="3559E9B8" w:rsidR="0079353A" w:rsidRDefault="0079353A" w:rsidP="00134E95">
      <w:pPr>
        <w:rPr>
          <w:rFonts w:ascii="Arial" w:hAnsi="Arial" w:cs="Arial"/>
          <w:b/>
          <w:sz w:val="22"/>
        </w:rPr>
      </w:pPr>
    </w:p>
    <w:p w14:paraId="452EA5C6" w14:textId="77777777" w:rsidR="0079353A" w:rsidRDefault="0079353A" w:rsidP="00134E95">
      <w:pPr>
        <w:rPr>
          <w:rFonts w:ascii="Arial" w:hAnsi="Arial" w:cs="Arial"/>
          <w:b/>
          <w:sz w:val="22"/>
        </w:rPr>
      </w:pPr>
    </w:p>
    <w:p w14:paraId="272FA534" w14:textId="77777777" w:rsidR="0079353A" w:rsidRDefault="0079353A" w:rsidP="00134E95">
      <w:pPr>
        <w:rPr>
          <w:rFonts w:ascii="Arial" w:hAnsi="Arial" w:cs="Arial"/>
          <w:b/>
          <w:sz w:val="22"/>
        </w:rPr>
      </w:pPr>
    </w:p>
    <w:p w14:paraId="0C514E98" w14:textId="77777777" w:rsidR="0079353A" w:rsidRDefault="0079353A" w:rsidP="00134E95">
      <w:pPr>
        <w:rPr>
          <w:rFonts w:ascii="Arial" w:hAnsi="Arial" w:cs="Arial"/>
          <w:b/>
          <w:sz w:val="22"/>
        </w:rPr>
      </w:pPr>
    </w:p>
    <w:p w14:paraId="1EBD55D2" w14:textId="77777777" w:rsidR="0079353A" w:rsidRDefault="0079353A" w:rsidP="00134E95">
      <w:pPr>
        <w:rPr>
          <w:rFonts w:ascii="Arial" w:hAnsi="Arial" w:cs="Arial"/>
          <w:b/>
          <w:sz w:val="22"/>
        </w:rPr>
      </w:pPr>
    </w:p>
    <w:p w14:paraId="2ED4FD75" w14:textId="77777777" w:rsidR="0079353A" w:rsidRDefault="0079353A" w:rsidP="00134E95">
      <w:pPr>
        <w:rPr>
          <w:rFonts w:ascii="Arial" w:hAnsi="Arial" w:cs="Arial"/>
          <w:b/>
          <w:sz w:val="22"/>
        </w:rPr>
      </w:pPr>
    </w:p>
    <w:p w14:paraId="4C11195D" w14:textId="73B9AD2B" w:rsidR="0079353A" w:rsidRDefault="006219B5" w:rsidP="00134E95">
      <w:pPr>
        <w:rPr>
          <w:rFonts w:ascii="Arial" w:hAnsi="Arial" w:cs="Arial"/>
          <w:b/>
          <w:sz w:val="22"/>
        </w:rPr>
      </w:pPr>
      <w:r w:rsidRPr="006219B5">
        <w:rPr>
          <w:rFonts w:ascii="Arial" w:hAnsi="Arial" w:cs="Arial"/>
          <w:b/>
          <w:sz w:val="22"/>
        </w:rPr>
        <w:t>Bogotá, 22 Marzo 2022</w:t>
      </w:r>
    </w:p>
    <w:p w14:paraId="33ABCFF3" w14:textId="3E8CB1E5" w:rsidR="00957405" w:rsidRPr="007E15F0" w:rsidRDefault="00134E95" w:rsidP="005D2D69">
      <w:pPr>
        <w:rPr>
          <w:rFonts w:ascii="Arial" w:hAnsi="Arial" w:cs="Arial"/>
          <w:bCs/>
          <w:noProof/>
          <w:sz w:val="22"/>
          <w:highlight w:val="yellow"/>
          <w:lang w:val="es-ES_tradnl"/>
        </w:rPr>
      </w:pPr>
      <w:r>
        <w:rPr>
          <w:rFonts w:ascii="Arial" w:hAnsi="Arial" w:cs="Arial"/>
          <w:b/>
          <w:sz w:val="22"/>
        </w:rPr>
        <w:t xml:space="preserve">                    </w:t>
      </w:r>
    </w:p>
    <w:p w14:paraId="3AC7108A" w14:textId="555F70B6" w:rsidR="009959B4" w:rsidRPr="00607DC3" w:rsidRDefault="00C15D32" w:rsidP="005D2D69">
      <w:pPr>
        <w:rPr>
          <w:rFonts w:ascii="Arial" w:hAnsi="Arial" w:cs="Arial"/>
          <w:bCs/>
          <w:noProof/>
          <w:sz w:val="22"/>
          <w:lang w:val="es-ES_tradnl"/>
        </w:rPr>
      </w:pPr>
      <w:r w:rsidRPr="00607DC3">
        <w:rPr>
          <w:rFonts w:ascii="Arial" w:hAnsi="Arial" w:cs="Arial"/>
          <w:bCs/>
          <w:noProof/>
          <w:sz w:val="22"/>
          <w:lang w:val="es-ES_tradnl"/>
        </w:rPr>
        <w:t>Seño</w:t>
      </w:r>
      <w:r w:rsidR="009959B4" w:rsidRPr="00607DC3">
        <w:rPr>
          <w:rFonts w:ascii="Arial" w:hAnsi="Arial" w:cs="Arial"/>
          <w:bCs/>
          <w:noProof/>
          <w:sz w:val="22"/>
          <w:lang w:val="es-ES_tradnl"/>
        </w:rPr>
        <w:t>r</w:t>
      </w:r>
    </w:p>
    <w:p w14:paraId="7CD9B956" w14:textId="6BFB5820" w:rsidR="00BA7CC0" w:rsidRPr="00607DC3" w:rsidRDefault="00183EF2" w:rsidP="005D2D69">
      <w:pPr>
        <w:rPr>
          <w:rFonts w:ascii="Arial" w:hAnsi="Arial" w:cs="Arial"/>
          <w:b/>
          <w:noProof/>
          <w:sz w:val="22"/>
          <w:lang w:val="es-ES_tradnl"/>
        </w:rPr>
      </w:pPr>
      <w:r w:rsidRPr="00607DC3">
        <w:rPr>
          <w:rFonts w:ascii="Arial" w:hAnsi="Arial" w:cs="Arial"/>
          <w:b/>
          <w:noProof/>
          <w:sz w:val="22"/>
          <w:lang w:val="es-ES_tradnl"/>
        </w:rPr>
        <w:t xml:space="preserve">Raul Camilo Quintero Blanco </w:t>
      </w:r>
    </w:p>
    <w:p w14:paraId="36DB7905" w14:textId="053BB827" w:rsidR="004D6093" w:rsidRDefault="0079353A" w:rsidP="00607DC3">
      <w:pPr>
        <w:rPr>
          <w:rFonts w:ascii="Arial" w:hAnsi="Arial" w:cs="Arial"/>
          <w:noProof/>
          <w:sz w:val="22"/>
          <w:lang w:val="es-ES_tradnl"/>
        </w:rPr>
      </w:pPr>
      <w:r>
        <w:rPr>
          <w:rFonts w:ascii="Arial" w:hAnsi="Arial" w:cs="Arial"/>
          <w:noProof/>
          <w:sz w:val="22"/>
          <w:lang w:val="es-ES_tradnl"/>
        </w:rPr>
        <w:t xml:space="preserve">Tunja, Boyacá </w:t>
      </w:r>
    </w:p>
    <w:p w14:paraId="2AF0BBF4" w14:textId="77777777" w:rsidR="006E51FC" w:rsidRDefault="006E51FC" w:rsidP="005D2D69">
      <w:pPr>
        <w:rPr>
          <w:rFonts w:ascii="Arial" w:hAnsi="Arial" w:cs="Arial"/>
          <w:noProof/>
          <w:sz w:val="22"/>
          <w:lang w:val="es-ES_tradnl"/>
        </w:rPr>
      </w:pPr>
    </w:p>
    <w:p w14:paraId="36D9E2A1" w14:textId="499D72AD" w:rsidR="000920F0" w:rsidRPr="00EE3C9B" w:rsidRDefault="006E51FC" w:rsidP="006E51FC">
      <w:pPr>
        <w:ind w:left="2832"/>
        <w:rPr>
          <w:rFonts w:ascii="Arial" w:hAnsi="Arial" w:cs="Arial"/>
          <w:b/>
          <w:noProof/>
          <w:sz w:val="22"/>
          <w:lang w:val="es-ES_tradnl"/>
        </w:rPr>
      </w:pPr>
      <w:r>
        <w:rPr>
          <w:rFonts w:ascii="Arial" w:hAnsi="Arial" w:cs="Arial"/>
          <w:noProof/>
          <w:sz w:val="22"/>
          <w:lang w:val="es-ES_tradnl"/>
        </w:rPr>
        <w:t xml:space="preserve">     </w:t>
      </w:r>
      <w:r w:rsidR="000920F0" w:rsidRPr="00134E95">
        <w:rPr>
          <w:rFonts w:ascii="Arial" w:hAnsi="Arial" w:cs="Arial"/>
          <w:b/>
          <w:noProof/>
          <w:sz w:val="22"/>
          <w:lang w:val="es-ES_tradnl"/>
        </w:rPr>
        <w:t xml:space="preserve">Concepto C </w:t>
      </w:r>
      <w:r w:rsidR="007F6877" w:rsidRPr="00134E95">
        <w:rPr>
          <w:rFonts w:ascii="Arial" w:hAnsi="Arial" w:cs="Arial"/>
          <w:b/>
          <w:noProof/>
          <w:sz w:val="22"/>
          <w:lang w:val="es-ES_tradnl"/>
        </w:rPr>
        <w:t>–</w:t>
      </w:r>
      <w:r w:rsidR="000920F0" w:rsidRPr="00134E95">
        <w:rPr>
          <w:rFonts w:ascii="Arial" w:hAnsi="Arial" w:cs="Arial"/>
          <w:b/>
          <w:noProof/>
          <w:sz w:val="22"/>
          <w:lang w:val="es-ES_tradnl"/>
        </w:rPr>
        <w:t xml:space="preserve"> </w:t>
      </w:r>
      <w:r w:rsidR="00134E95" w:rsidRPr="00134E95">
        <w:rPr>
          <w:rFonts w:ascii="Arial" w:hAnsi="Arial" w:cs="Arial"/>
          <w:b/>
          <w:noProof/>
          <w:sz w:val="22"/>
          <w:lang w:val="es-ES_tradnl"/>
        </w:rPr>
        <w:t>1</w:t>
      </w:r>
      <w:r w:rsidR="00183EF2" w:rsidRPr="00134E95">
        <w:rPr>
          <w:rFonts w:ascii="Arial" w:hAnsi="Arial" w:cs="Arial"/>
          <w:b/>
          <w:noProof/>
          <w:sz w:val="22"/>
          <w:lang w:val="es-ES_tradnl"/>
        </w:rPr>
        <w:t>13</w:t>
      </w:r>
      <w:r w:rsidR="009959B4" w:rsidRPr="00134E95">
        <w:rPr>
          <w:rFonts w:ascii="Arial" w:hAnsi="Arial" w:cs="Arial"/>
          <w:b/>
          <w:noProof/>
          <w:sz w:val="22"/>
          <w:lang w:val="es-ES_tradnl"/>
        </w:rPr>
        <w:t xml:space="preserve"> </w:t>
      </w:r>
      <w:r w:rsidR="000920F0" w:rsidRPr="00134E95">
        <w:rPr>
          <w:rFonts w:ascii="Arial" w:hAnsi="Arial" w:cs="Arial"/>
          <w:b/>
          <w:noProof/>
          <w:sz w:val="22"/>
          <w:lang w:val="es-ES_tradnl"/>
        </w:rPr>
        <w:t>de 202</w:t>
      </w:r>
      <w:r w:rsidR="00134E95" w:rsidRPr="00134E95">
        <w:rPr>
          <w:rFonts w:ascii="Arial" w:hAnsi="Arial" w:cs="Arial"/>
          <w:b/>
          <w:noProof/>
          <w:sz w:val="22"/>
          <w:lang w:val="es-ES_tradnl"/>
        </w:rPr>
        <w:t>2</w:t>
      </w:r>
    </w:p>
    <w:p w14:paraId="5165E364" w14:textId="77777777" w:rsidR="004D6093" w:rsidRPr="00EE3C9B" w:rsidRDefault="004D6093" w:rsidP="005D2D69">
      <w:pPr>
        <w:rPr>
          <w:rFonts w:ascii="Arial" w:hAnsi="Arial" w:cs="Arial"/>
          <w:noProof/>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295D8A" w:rsidRPr="007E15F0" w14:paraId="16CF89C4" w14:textId="77777777" w:rsidTr="0041420E">
        <w:trPr>
          <w:trHeight w:val="591"/>
        </w:trPr>
        <w:tc>
          <w:tcPr>
            <w:tcW w:w="2689" w:type="dxa"/>
            <w:hideMark/>
          </w:tcPr>
          <w:p w14:paraId="76A5E400" w14:textId="1E8B7EC2" w:rsidR="000920F0" w:rsidRPr="00EE3C9B" w:rsidRDefault="000920F0" w:rsidP="005D2D69">
            <w:pPr>
              <w:rPr>
                <w:rFonts w:ascii="Arial" w:hAnsi="Arial" w:cs="Arial"/>
                <w:noProof/>
                <w:sz w:val="22"/>
                <w:lang w:val="es-ES_tradnl"/>
              </w:rPr>
            </w:pPr>
            <w:r w:rsidRPr="00EE3C9B">
              <w:rPr>
                <w:rFonts w:ascii="Arial" w:hAnsi="Arial" w:cs="Arial"/>
                <w:b/>
                <w:noProof/>
                <w:sz w:val="22"/>
                <w:lang w:val="es-ES_tradnl"/>
              </w:rPr>
              <w:t>Temas:</w:t>
            </w:r>
            <w:r w:rsidR="00D960B1" w:rsidRPr="00EE3C9B">
              <w:rPr>
                <w:rFonts w:ascii="Arial" w:hAnsi="Arial" w:cs="Arial"/>
                <w:noProof/>
                <w:sz w:val="22"/>
                <w:lang w:val="es-ES_tradnl"/>
              </w:rPr>
              <w:t xml:space="preserve">    </w:t>
            </w:r>
          </w:p>
        </w:tc>
        <w:tc>
          <w:tcPr>
            <w:tcW w:w="6237" w:type="dxa"/>
            <w:hideMark/>
          </w:tcPr>
          <w:p w14:paraId="5528BC60" w14:textId="3ED52799" w:rsidR="00BA7CC0" w:rsidRPr="007F5F1E" w:rsidRDefault="00322193" w:rsidP="005D2D69">
            <w:pPr>
              <w:pStyle w:val="Prrafodelista"/>
              <w:spacing w:after="120"/>
              <w:ind w:left="0"/>
              <w:jc w:val="both"/>
              <w:rPr>
                <w:rFonts w:ascii="Arial" w:hAnsi="Arial" w:cs="Arial"/>
                <w:b/>
                <w:bCs/>
                <w:noProof/>
                <w:sz w:val="22"/>
                <w:highlight w:val="yellow"/>
                <w:lang w:val="es-ES_tradnl"/>
              </w:rPr>
            </w:pPr>
            <w:r w:rsidRPr="007F5F1E">
              <w:rPr>
                <w:rFonts w:ascii="Arial" w:hAnsi="Arial" w:cs="Arial"/>
                <w:bCs/>
                <w:sz w:val="22"/>
                <w:lang w:val="es-ES_tradnl"/>
              </w:rPr>
              <w:t xml:space="preserve">DOCUMENTOS TIPO – Formulario 1 – Presupuesto Oficial – Propuesta económica / FORMULARIO 1 – Formulario de presupuesto oficial – Inalterabilidad / FORMULARIO 1 – </w:t>
            </w:r>
            <w:r w:rsidR="007F5F1E" w:rsidRPr="007F5F1E">
              <w:rPr>
                <w:rFonts w:ascii="Arial" w:hAnsi="Arial" w:cs="Arial"/>
                <w:bCs/>
                <w:sz w:val="22"/>
                <w:lang w:val="es-ES_tradnl"/>
              </w:rPr>
              <w:t xml:space="preserve">Nota 2 - Alcance / </w:t>
            </w:r>
            <w:r w:rsidR="007F5F1E" w:rsidRPr="007F5F1E">
              <w:rPr>
                <w:rFonts w:ascii="Arial" w:eastAsia="Calibri" w:hAnsi="Arial" w:cs="Arial"/>
                <w:bCs/>
                <w:sz w:val="22"/>
                <w:lang w:val="es-ES_tradnl"/>
              </w:rPr>
              <w:t>FORMULARIO 1 – Oferta económica – Causales de rechazo</w:t>
            </w:r>
          </w:p>
        </w:tc>
      </w:tr>
      <w:tr w:rsidR="00295D8A" w:rsidRPr="00EE3C9B" w14:paraId="5C0B4203" w14:textId="77777777" w:rsidTr="0041420E">
        <w:tc>
          <w:tcPr>
            <w:tcW w:w="2689" w:type="dxa"/>
          </w:tcPr>
          <w:p w14:paraId="32E4E458" w14:textId="53B5A55C" w:rsidR="000920F0" w:rsidRPr="00EE3C9B" w:rsidRDefault="000920F0" w:rsidP="005D2D69">
            <w:pPr>
              <w:rPr>
                <w:rFonts w:ascii="Arial" w:hAnsi="Arial" w:cs="Arial"/>
                <w:b/>
                <w:noProof/>
                <w:sz w:val="22"/>
                <w:lang w:val="es-ES_tradnl"/>
              </w:rPr>
            </w:pPr>
            <w:r w:rsidRPr="00EE3C9B">
              <w:rPr>
                <w:rFonts w:ascii="Arial" w:hAnsi="Arial" w:cs="Arial"/>
                <w:b/>
                <w:noProof/>
                <w:sz w:val="22"/>
                <w:lang w:val="es-ES_tradnl"/>
              </w:rPr>
              <w:t>Radicación:</w:t>
            </w:r>
            <w:r w:rsidR="00D960B1" w:rsidRPr="00EE3C9B">
              <w:rPr>
                <w:rFonts w:ascii="Arial" w:hAnsi="Arial" w:cs="Arial"/>
                <w:noProof/>
                <w:sz w:val="22"/>
                <w:lang w:val="es-ES_tradnl"/>
              </w:rPr>
              <w:t xml:space="preserve">               </w:t>
            </w:r>
          </w:p>
        </w:tc>
        <w:tc>
          <w:tcPr>
            <w:tcW w:w="6237" w:type="dxa"/>
          </w:tcPr>
          <w:p w14:paraId="1218CA08" w14:textId="2E9B4B1F" w:rsidR="000920F0" w:rsidRPr="00EE3C9B" w:rsidRDefault="000920F0" w:rsidP="005D2D69">
            <w:pPr>
              <w:jc w:val="both"/>
              <w:rPr>
                <w:rFonts w:ascii="Arial" w:hAnsi="Arial" w:cs="Arial"/>
                <w:noProof/>
                <w:sz w:val="22"/>
                <w:lang w:val="es-ES_tradnl"/>
              </w:rPr>
            </w:pPr>
            <w:r w:rsidRPr="00EE3C9B">
              <w:rPr>
                <w:rFonts w:ascii="Arial" w:hAnsi="Arial" w:cs="Arial"/>
                <w:noProof/>
                <w:sz w:val="22"/>
                <w:lang w:val="es-ES_tradnl"/>
              </w:rPr>
              <w:t>Respuesta a consulta</w:t>
            </w:r>
            <w:r w:rsidR="00EC35C7" w:rsidRPr="00EE3C9B">
              <w:rPr>
                <w:rFonts w:ascii="Arial" w:hAnsi="Arial" w:cs="Arial"/>
                <w:noProof/>
                <w:sz w:val="22"/>
                <w:lang w:val="es-ES_tradnl"/>
              </w:rPr>
              <w:t xml:space="preserve"> </w:t>
            </w:r>
            <w:r w:rsidRPr="00EE3C9B">
              <w:rPr>
                <w:rFonts w:ascii="Arial" w:hAnsi="Arial" w:cs="Arial"/>
                <w:noProof/>
                <w:sz w:val="22"/>
                <w:lang w:val="es-ES_tradnl"/>
              </w:rPr>
              <w:t xml:space="preserve"># </w:t>
            </w:r>
            <w:r w:rsidR="009363DB" w:rsidRPr="009363DB">
              <w:rPr>
                <w:rFonts w:ascii="Arial" w:hAnsi="Arial" w:cs="Arial"/>
                <w:noProof/>
                <w:sz w:val="22"/>
                <w:lang w:val="es-ES_tradnl"/>
              </w:rPr>
              <w:t>P20220209001255</w:t>
            </w:r>
          </w:p>
        </w:tc>
      </w:tr>
    </w:tbl>
    <w:p w14:paraId="3CDD931D" w14:textId="77777777" w:rsidR="000920F0" w:rsidRPr="00EE3C9B" w:rsidRDefault="000920F0" w:rsidP="00EE3C9B">
      <w:pPr>
        <w:spacing w:line="276" w:lineRule="auto"/>
        <w:rPr>
          <w:rFonts w:ascii="Arial" w:hAnsi="Arial" w:cs="Arial"/>
          <w:noProof/>
          <w:sz w:val="22"/>
          <w:lang w:val="es-ES_tradnl"/>
        </w:rPr>
      </w:pPr>
    </w:p>
    <w:p w14:paraId="1B619448" w14:textId="533EEB60" w:rsidR="000920F0" w:rsidRPr="00EE3C9B" w:rsidRDefault="00C15D32" w:rsidP="00EE3C9B">
      <w:pPr>
        <w:spacing w:line="276" w:lineRule="auto"/>
        <w:rPr>
          <w:rFonts w:ascii="Arial" w:hAnsi="Arial" w:cs="Arial"/>
          <w:noProof/>
          <w:sz w:val="22"/>
          <w:lang w:val="es-ES_tradnl"/>
        </w:rPr>
      </w:pPr>
      <w:r w:rsidRPr="00607DC3">
        <w:rPr>
          <w:rFonts w:ascii="Arial" w:hAnsi="Arial" w:cs="Arial"/>
          <w:noProof/>
          <w:sz w:val="22"/>
          <w:lang w:val="es-ES_tradnl"/>
        </w:rPr>
        <w:t>Estimad</w:t>
      </w:r>
      <w:r w:rsidR="0096481E" w:rsidRPr="00607DC3">
        <w:rPr>
          <w:rFonts w:ascii="Arial" w:hAnsi="Arial" w:cs="Arial"/>
          <w:noProof/>
          <w:sz w:val="22"/>
          <w:lang w:val="es-ES_tradnl"/>
        </w:rPr>
        <w:t>o</w:t>
      </w:r>
      <w:r w:rsidRPr="00607DC3">
        <w:rPr>
          <w:rFonts w:ascii="Arial" w:hAnsi="Arial" w:cs="Arial"/>
          <w:noProof/>
          <w:sz w:val="22"/>
          <w:lang w:val="es-ES_tradnl"/>
        </w:rPr>
        <w:t xml:space="preserve"> </w:t>
      </w:r>
      <w:r w:rsidR="005A2B7F" w:rsidRPr="00607DC3">
        <w:rPr>
          <w:rFonts w:ascii="Arial" w:hAnsi="Arial" w:cs="Arial"/>
          <w:noProof/>
          <w:sz w:val="22"/>
          <w:lang w:val="es-ES_tradnl"/>
        </w:rPr>
        <w:t xml:space="preserve">señor </w:t>
      </w:r>
      <w:r w:rsidR="00183EF2" w:rsidRPr="00607DC3">
        <w:rPr>
          <w:rFonts w:ascii="Arial" w:hAnsi="Arial" w:cs="Arial"/>
          <w:noProof/>
          <w:sz w:val="22"/>
          <w:lang w:val="es-ES_tradnl"/>
        </w:rPr>
        <w:t>Quintero</w:t>
      </w:r>
      <w:r w:rsidRPr="00607DC3">
        <w:rPr>
          <w:rFonts w:ascii="Arial" w:hAnsi="Arial" w:cs="Arial"/>
          <w:noProof/>
          <w:sz w:val="22"/>
          <w:lang w:val="es-ES_tradnl"/>
        </w:rPr>
        <w:t>,</w:t>
      </w:r>
    </w:p>
    <w:p w14:paraId="09825258" w14:textId="77777777" w:rsidR="000920F0" w:rsidRPr="00EE3C9B" w:rsidRDefault="000920F0" w:rsidP="00EE3C9B">
      <w:pPr>
        <w:spacing w:line="276" w:lineRule="auto"/>
        <w:rPr>
          <w:rFonts w:ascii="Arial" w:hAnsi="Arial" w:cs="Arial"/>
          <w:noProof/>
          <w:sz w:val="22"/>
          <w:lang w:val="es-ES_tradnl"/>
        </w:rPr>
      </w:pPr>
    </w:p>
    <w:p w14:paraId="1941402D" w14:textId="326A7F6C" w:rsidR="004B7D75" w:rsidRPr="00EE3C9B" w:rsidRDefault="004B7D75" w:rsidP="00EE3C9B">
      <w:pPr>
        <w:spacing w:line="276" w:lineRule="auto"/>
        <w:jc w:val="both"/>
        <w:rPr>
          <w:rFonts w:ascii="Arial" w:hAnsi="Arial" w:cs="Arial"/>
          <w:sz w:val="22"/>
        </w:rPr>
      </w:pPr>
      <w:r w:rsidRPr="00EE3C9B">
        <w:rPr>
          <w:rFonts w:ascii="Arial" w:hAnsi="Arial" w:cs="Arial"/>
          <w:sz w:val="22"/>
        </w:rPr>
        <w:t xml:space="preserve">En ejercicio de la competencia otorgada por el numeral 8 del artículo 11 y el numeral 5 del artículo 3 del Decreto Ley 4170 de 2011, la Agencia Nacional de Contratación Pública </w:t>
      </w:r>
      <w:r w:rsidR="00453122" w:rsidRPr="00EE3C9B">
        <w:rPr>
          <w:rFonts w:ascii="Arial" w:hAnsi="Arial" w:cs="Arial"/>
          <w:sz w:val="22"/>
        </w:rPr>
        <w:t>–</w:t>
      </w:r>
      <w:r w:rsidRPr="00EE3C9B">
        <w:rPr>
          <w:rFonts w:ascii="Arial" w:hAnsi="Arial" w:cs="Arial"/>
          <w:sz w:val="22"/>
        </w:rPr>
        <w:t xml:space="preserve"> Colombia Compra Eficiente responde su consulta </w:t>
      </w:r>
      <w:r w:rsidRPr="009363DB">
        <w:rPr>
          <w:rFonts w:ascii="Arial" w:hAnsi="Arial" w:cs="Arial"/>
          <w:sz w:val="22"/>
        </w:rPr>
        <w:t xml:space="preserve">del </w:t>
      </w:r>
      <w:r w:rsidR="009363DB" w:rsidRPr="009363DB">
        <w:rPr>
          <w:rFonts w:ascii="Arial" w:hAnsi="Arial" w:cs="Arial"/>
          <w:sz w:val="22"/>
        </w:rPr>
        <w:t>09</w:t>
      </w:r>
      <w:r w:rsidRPr="009363DB">
        <w:rPr>
          <w:rFonts w:ascii="Arial" w:hAnsi="Arial" w:cs="Arial"/>
          <w:sz w:val="22"/>
        </w:rPr>
        <w:t xml:space="preserve"> de </w:t>
      </w:r>
      <w:r w:rsidR="009363DB" w:rsidRPr="009363DB">
        <w:rPr>
          <w:rFonts w:ascii="Arial" w:hAnsi="Arial" w:cs="Arial"/>
          <w:sz w:val="22"/>
        </w:rPr>
        <w:t>febrero</w:t>
      </w:r>
      <w:r w:rsidR="009363DB">
        <w:rPr>
          <w:rFonts w:ascii="Arial" w:hAnsi="Arial" w:cs="Arial"/>
          <w:sz w:val="22"/>
        </w:rPr>
        <w:t xml:space="preserve"> de </w:t>
      </w:r>
      <w:r w:rsidRPr="009363DB">
        <w:rPr>
          <w:rFonts w:ascii="Arial" w:hAnsi="Arial" w:cs="Arial"/>
          <w:sz w:val="22"/>
        </w:rPr>
        <w:t>202</w:t>
      </w:r>
      <w:r w:rsidR="009363DB" w:rsidRPr="009363DB">
        <w:rPr>
          <w:rFonts w:ascii="Arial" w:hAnsi="Arial" w:cs="Arial"/>
          <w:sz w:val="22"/>
        </w:rPr>
        <w:t>2</w:t>
      </w:r>
      <w:r w:rsidRPr="009363DB">
        <w:rPr>
          <w:rFonts w:ascii="Arial" w:hAnsi="Arial" w:cs="Arial"/>
          <w:sz w:val="22"/>
        </w:rPr>
        <w:t>.</w:t>
      </w:r>
      <w:r w:rsidRPr="00EE3C9B">
        <w:rPr>
          <w:rFonts w:ascii="Arial" w:hAnsi="Arial" w:cs="Arial"/>
          <w:sz w:val="22"/>
        </w:rPr>
        <w:t xml:space="preserve"> </w:t>
      </w:r>
    </w:p>
    <w:p w14:paraId="13342BB0" w14:textId="77777777" w:rsidR="004D6093" w:rsidRPr="00EE3C9B" w:rsidRDefault="004D6093" w:rsidP="00EE3C9B">
      <w:pPr>
        <w:tabs>
          <w:tab w:val="left" w:pos="426"/>
        </w:tabs>
        <w:spacing w:line="276" w:lineRule="auto"/>
        <w:jc w:val="both"/>
        <w:rPr>
          <w:rFonts w:ascii="Arial" w:hAnsi="Arial" w:cs="Arial"/>
          <w:noProof/>
          <w:sz w:val="22"/>
        </w:rPr>
      </w:pPr>
    </w:p>
    <w:p w14:paraId="58FEF0FB" w14:textId="47041351" w:rsidR="000920F0" w:rsidRPr="00EE3C9B" w:rsidRDefault="00317242" w:rsidP="00EE3C9B">
      <w:pPr>
        <w:pStyle w:val="Prrafodelista"/>
        <w:tabs>
          <w:tab w:val="left" w:pos="284"/>
        </w:tabs>
        <w:spacing w:line="276" w:lineRule="auto"/>
        <w:ind w:left="0"/>
        <w:jc w:val="both"/>
        <w:rPr>
          <w:rFonts w:ascii="Arial" w:eastAsia="Calibri" w:hAnsi="Arial" w:cs="Arial"/>
          <w:b/>
          <w:noProof/>
          <w:sz w:val="22"/>
          <w:lang w:val="es-ES_tradnl"/>
        </w:rPr>
      </w:pPr>
      <w:bookmarkStart w:id="4" w:name="_Hlk50978304"/>
      <w:r w:rsidRPr="00EE3C9B">
        <w:rPr>
          <w:rFonts w:ascii="Arial" w:eastAsia="Calibri" w:hAnsi="Arial" w:cs="Arial"/>
          <w:b/>
          <w:noProof/>
          <w:sz w:val="22"/>
          <w:lang w:val="es-ES_tradnl"/>
        </w:rPr>
        <w:t xml:space="preserve">1. </w:t>
      </w:r>
      <w:r w:rsidR="000920F0" w:rsidRPr="00EE3C9B">
        <w:rPr>
          <w:rFonts w:ascii="Arial" w:eastAsia="Calibri" w:hAnsi="Arial" w:cs="Arial"/>
          <w:b/>
          <w:noProof/>
          <w:sz w:val="22"/>
          <w:lang w:val="es-ES_tradnl"/>
        </w:rPr>
        <w:t>Problema planteado</w:t>
      </w:r>
    </w:p>
    <w:p w14:paraId="476FAD3E" w14:textId="30ED6726" w:rsidR="000920F0" w:rsidRPr="00EE3C9B" w:rsidRDefault="000920F0" w:rsidP="00EE3C9B">
      <w:pPr>
        <w:tabs>
          <w:tab w:val="left" w:pos="426"/>
        </w:tabs>
        <w:spacing w:line="276" w:lineRule="auto"/>
        <w:jc w:val="both"/>
        <w:rPr>
          <w:rFonts w:ascii="Arial" w:hAnsi="Arial" w:cs="Arial"/>
          <w:b/>
          <w:noProof/>
          <w:sz w:val="22"/>
          <w:lang w:val="es-ES_tradnl"/>
        </w:rPr>
      </w:pPr>
    </w:p>
    <w:p w14:paraId="575065CE" w14:textId="7E9113E0" w:rsidR="00896D09" w:rsidRPr="00EE3C9B" w:rsidRDefault="000920F0" w:rsidP="00EE3C9B">
      <w:pPr>
        <w:tabs>
          <w:tab w:val="left" w:pos="426"/>
        </w:tabs>
        <w:spacing w:line="276" w:lineRule="auto"/>
        <w:jc w:val="both"/>
        <w:rPr>
          <w:rFonts w:ascii="Arial" w:hAnsi="Arial" w:cs="Arial"/>
          <w:noProof/>
          <w:sz w:val="22"/>
          <w:lang w:val="es-ES_tradnl"/>
        </w:rPr>
      </w:pPr>
      <w:r w:rsidRPr="00EE3C9B">
        <w:rPr>
          <w:rFonts w:ascii="Arial" w:hAnsi="Arial" w:cs="Arial"/>
          <w:noProof/>
          <w:sz w:val="22"/>
          <w:lang w:val="es-ES_tradnl"/>
        </w:rPr>
        <w:t xml:space="preserve">Usted </w:t>
      </w:r>
      <w:r w:rsidR="00D3720F" w:rsidRPr="00EE3C9B">
        <w:rPr>
          <w:rFonts w:ascii="Arial" w:hAnsi="Arial" w:cs="Arial"/>
          <w:noProof/>
          <w:sz w:val="22"/>
          <w:lang w:val="es-ES_tradnl"/>
        </w:rPr>
        <w:t>formuló</w:t>
      </w:r>
      <w:r w:rsidRPr="00EE3C9B">
        <w:rPr>
          <w:rFonts w:ascii="Arial" w:hAnsi="Arial" w:cs="Arial"/>
          <w:noProof/>
          <w:sz w:val="22"/>
          <w:lang w:val="es-ES_tradnl"/>
        </w:rPr>
        <w:t xml:space="preserve"> la</w:t>
      </w:r>
      <w:r w:rsidR="00F75C66" w:rsidRPr="00EE3C9B">
        <w:rPr>
          <w:rFonts w:ascii="Arial" w:hAnsi="Arial" w:cs="Arial"/>
          <w:noProof/>
          <w:sz w:val="22"/>
          <w:lang w:val="es-ES_tradnl"/>
        </w:rPr>
        <w:t>s</w:t>
      </w:r>
      <w:r w:rsidRPr="00EE3C9B">
        <w:rPr>
          <w:rFonts w:ascii="Arial" w:hAnsi="Arial" w:cs="Arial"/>
          <w:noProof/>
          <w:sz w:val="22"/>
          <w:lang w:val="es-ES_tradnl"/>
        </w:rPr>
        <w:t xml:space="preserve"> siguien</w:t>
      </w:r>
      <w:r w:rsidR="00F75C66" w:rsidRPr="00EE3C9B">
        <w:rPr>
          <w:rFonts w:ascii="Arial" w:hAnsi="Arial" w:cs="Arial"/>
          <w:noProof/>
          <w:sz w:val="22"/>
          <w:lang w:val="es-ES_tradnl"/>
        </w:rPr>
        <w:t>t</w:t>
      </w:r>
      <w:r w:rsidRPr="00EE3C9B">
        <w:rPr>
          <w:rFonts w:ascii="Arial" w:hAnsi="Arial" w:cs="Arial"/>
          <w:noProof/>
          <w:sz w:val="22"/>
          <w:lang w:val="es-ES_tradnl"/>
        </w:rPr>
        <w:t>e</w:t>
      </w:r>
      <w:r w:rsidR="00F75C66" w:rsidRPr="00EE3C9B">
        <w:rPr>
          <w:rFonts w:ascii="Arial" w:hAnsi="Arial" w:cs="Arial"/>
          <w:noProof/>
          <w:sz w:val="22"/>
          <w:lang w:val="es-ES_tradnl"/>
        </w:rPr>
        <w:t>s</w:t>
      </w:r>
      <w:r w:rsidRPr="00EE3C9B">
        <w:rPr>
          <w:rFonts w:ascii="Arial" w:hAnsi="Arial" w:cs="Arial"/>
          <w:noProof/>
          <w:sz w:val="22"/>
          <w:lang w:val="es-ES_tradnl"/>
        </w:rPr>
        <w:t xml:space="preserve"> </w:t>
      </w:r>
      <w:r w:rsidR="00EB66DA" w:rsidRPr="00EE3C9B">
        <w:rPr>
          <w:rFonts w:ascii="Arial" w:hAnsi="Arial" w:cs="Arial"/>
          <w:noProof/>
          <w:sz w:val="22"/>
          <w:lang w:val="es-ES_tradnl"/>
        </w:rPr>
        <w:t>pregunta</w:t>
      </w:r>
      <w:r w:rsidR="00F75C66" w:rsidRPr="00EE3C9B">
        <w:rPr>
          <w:rFonts w:ascii="Arial" w:hAnsi="Arial" w:cs="Arial"/>
          <w:noProof/>
          <w:sz w:val="22"/>
          <w:lang w:val="es-ES_tradnl"/>
        </w:rPr>
        <w:t>s</w:t>
      </w:r>
      <w:r w:rsidR="00896D09" w:rsidRPr="00EE3C9B">
        <w:rPr>
          <w:rFonts w:ascii="Arial" w:hAnsi="Arial" w:cs="Arial"/>
          <w:noProof/>
          <w:sz w:val="22"/>
          <w:lang w:val="es-ES_tradnl"/>
        </w:rPr>
        <w:t xml:space="preserve"> sobre </w:t>
      </w:r>
      <w:r w:rsidR="009363DB">
        <w:rPr>
          <w:rFonts w:ascii="Arial" w:hAnsi="Arial" w:cs="Arial"/>
          <w:noProof/>
          <w:sz w:val="22"/>
          <w:lang w:val="es-ES_tradnl"/>
        </w:rPr>
        <w:t xml:space="preserve">las notas del Formulario 1 de los </w:t>
      </w:r>
      <w:r w:rsidR="0004639D">
        <w:rPr>
          <w:rFonts w:ascii="Arial" w:hAnsi="Arial" w:cs="Arial"/>
          <w:noProof/>
          <w:sz w:val="22"/>
          <w:lang w:val="es-ES_tradnl"/>
        </w:rPr>
        <w:t>d</w:t>
      </w:r>
      <w:r w:rsidR="00896D09" w:rsidRPr="00EE3C9B">
        <w:rPr>
          <w:rFonts w:ascii="Arial" w:hAnsi="Arial" w:cs="Arial"/>
          <w:noProof/>
          <w:sz w:val="22"/>
          <w:lang w:val="es-ES_tradnl"/>
        </w:rPr>
        <w:t xml:space="preserve">ocumentos </w:t>
      </w:r>
      <w:r w:rsidR="0004639D">
        <w:rPr>
          <w:rFonts w:ascii="Arial" w:hAnsi="Arial" w:cs="Arial"/>
          <w:noProof/>
          <w:sz w:val="22"/>
          <w:lang w:val="es-ES_tradnl"/>
        </w:rPr>
        <w:t>t</w:t>
      </w:r>
      <w:r w:rsidR="00896D09" w:rsidRPr="00EE3C9B">
        <w:rPr>
          <w:rFonts w:ascii="Arial" w:hAnsi="Arial" w:cs="Arial"/>
          <w:noProof/>
          <w:sz w:val="22"/>
          <w:lang w:val="es-ES_tradnl"/>
        </w:rPr>
        <w:t xml:space="preserve">ipo para obras públicas de infraestructura de </w:t>
      </w:r>
      <w:r w:rsidR="0004639D">
        <w:rPr>
          <w:rFonts w:ascii="Arial" w:hAnsi="Arial" w:cs="Arial"/>
          <w:noProof/>
          <w:sz w:val="22"/>
          <w:lang w:val="es-ES_tradnl"/>
        </w:rPr>
        <w:t>t</w:t>
      </w:r>
      <w:r w:rsidR="00896D09" w:rsidRPr="00EE3C9B">
        <w:rPr>
          <w:rFonts w:ascii="Arial" w:hAnsi="Arial" w:cs="Arial"/>
          <w:noProof/>
          <w:sz w:val="22"/>
          <w:lang w:val="es-ES_tradnl"/>
        </w:rPr>
        <w:t>ransporte</w:t>
      </w:r>
      <w:r w:rsidRPr="00EE3C9B">
        <w:rPr>
          <w:rFonts w:ascii="Arial" w:hAnsi="Arial" w:cs="Arial"/>
          <w:noProof/>
          <w:sz w:val="22"/>
          <w:lang w:val="es-ES_tradnl"/>
        </w:rPr>
        <w:t>:</w:t>
      </w:r>
    </w:p>
    <w:p w14:paraId="01CF8D57" w14:textId="17E8C168" w:rsidR="00896D09" w:rsidRDefault="008B2185" w:rsidP="00F75C66">
      <w:pPr>
        <w:tabs>
          <w:tab w:val="left" w:pos="426"/>
        </w:tabs>
        <w:spacing w:line="276" w:lineRule="auto"/>
        <w:jc w:val="both"/>
        <w:rPr>
          <w:rFonts w:ascii="Arial" w:hAnsi="Arial" w:cs="Arial"/>
          <w:noProof/>
          <w:sz w:val="23"/>
          <w:szCs w:val="23"/>
          <w:lang w:val="es-ES_tradnl"/>
        </w:rPr>
      </w:pPr>
      <w:r w:rsidRPr="00930864">
        <w:rPr>
          <w:rFonts w:ascii="Arial" w:hAnsi="Arial" w:cs="Arial"/>
          <w:noProof/>
          <w:sz w:val="23"/>
          <w:szCs w:val="23"/>
          <w:lang w:val="es-ES_tradnl"/>
        </w:rPr>
        <w:t xml:space="preserve"> </w:t>
      </w:r>
    </w:p>
    <w:bookmarkEnd w:id="4"/>
    <w:p w14:paraId="63722E22" w14:textId="77777777" w:rsidR="00750749" w:rsidRPr="00750749" w:rsidRDefault="00750749" w:rsidP="00750749">
      <w:pPr>
        <w:ind w:left="709" w:right="709"/>
        <w:jc w:val="both"/>
        <w:rPr>
          <w:rFonts w:ascii="Arial" w:hAnsi="Arial" w:cs="Arial"/>
          <w:sz w:val="21"/>
          <w:szCs w:val="21"/>
        </w:rPr>
      </w:pPr>
      <w:r w:rsidRPr="00750749">
        <w:rPr>
          <w:rFonts w:ascii="Arial" w:hAnsi="Arial" w:cs="Arial"/>
          <w:bCs/>
          <w:sz w:val="21"/>
          <w:szCs w:val="21"/>
        </w:rPr>
        <w:t>«</w:t>
      </w:r>
      <w:r w:rsidRPr="00750749">
        <w:rPr>
          <w:rFonts w:ascii="Arial" w:hAnsi="Arial" w:cs="Arial"/>
          <w:sz w:val="21"/>
          <w:szCs w:val="21"/>
        </w:rPr>
        <w:t xml:space="preserve">DE ACUERDO AL FORMULARIO 1 DE LOS DOCUMENTOS TIPO CONTIENE LAS SIGUIENTES 3 NOTAS </w:t>
      </w:r>
    </w:p>
    <w:p w14:paraId="2E60AF89" w14:textId="77777777" w:rsidR="00750749" w:rsidRPr="00750749" w:rsidRDefault="00750749" w:rsidP="00750749">
      <w:pPr>
        <w:ind w:left="709" w:right="709"/>
        <w:jc w:val="both"/>
        <w:rPr>
          <w:rFonts w:ascii="Arial" w:hAnsi="Arial" w:cs="Arial"/>
          <w:sz w:val="21"/>
          <w:szCs w:val="21"/>
        </w:rPr>
      </w:pPr>
    </w:p>
    <w:p w14:paraId="4E3AE4CC" w14:textId="77777777" w:rsidR="00750749" w:rsidRPr="00750749" w:rsidRDefault="00750749" w:rsidP="00750749">
      <w:pPr>
        <w:ind w:left="709" w:right="709"/>
        <w:jc w:val="both"/>
        <w:rPr>
          <w:rFonts w:ascii="Arial" w:hAnsi="Arial" w:cs="Arial"/>
          <w:sz w:val="21"/>
          <w:szCs w:val="21"/>
        </w:rPr>
      </w:pPr>
      <w:r w:rsidRPr="00750749">
        <w:rPr>
          <w:rFonts w:ascii="Arial" w:hAnsi="Arial" w:cs="Arial"/>
          <w:sz w:val="21"/>
          <w:szCs w:val="21"/>
        </w:rPr>
        <w:t xml:space="preserve">NOTA 1: Se debe tener en cuenta que el PRECIO UNITARIO incluye el valor de A.I.U. </w:t>
      </w:r>
    </w:p>
    <w:p w14:paraId="446851A2" w14:textId="77777777" w:rsidR="00750749" w:rsidRPr="00750749" w:rsidRDefault="00750749" w:rsidP="00750749">
      <w:pPr>
        <w:ind w:left="709" w:right="709"/>
        <w:jc w:val="both"/>
        <w:rPr>
          <w:rFonts w:ascii="Arial" w:hAnsi="Arial" w:cs="Arial"/>
          <w:sz w:val="21"/>
          <w:szCs w:val="21"/>
        </w:rPr>
      </w:pPr>
    </w:p>
    <w:p w14:paraId="7110806D" w14:textId="77777777" w:rsidR="00750749" w:rsidRPr="00750749" w:rsidRDefault="00750749" w:rsidP="00750749">
      <w:pPr>
        <w:ind w:left="709" w:right="709"/>
        <w:jc w:val="both"/>
        <w:rPr>
          <w:rFonts w:ascii="Arial" w:hAnsi="Arial" w:cs="Arial"/>
          <w:sz w:val="21"/>
          <w:szCs w:val="21"/>
        </w:rPr>
      </w:pPr>
      <w:r w:rsidRPr="00750749">
        <w:rPr>
          <w:rFonts w:ascii="Arial" w:hAnsi="Arial" w:cs="Arial"/>
          <w:sz w:val="21"/>
          <w:szCs w:val="21"/>
        </w:rPr>
        <w:t xml:space="preserve">NOTA 2: Cuando la fracción decimal del peso sea igual o superior a 5 se aproximará por exceso al número entero siguiente del peso y cuando la fracción decimal del peso sea inferior a 5 se aproximará por defecto al número entero del peso. </w:t>
      </w:r>
    </w:p>
    <w:p w14:paraId="211BC7DE" w14:textId="77777777" w:rsidR="00750749" w:rsidRPr="00750749" w:rsidRDefault="00750749" w:rsidP="00750749">
      <w:pPr>
        <w:ind w:left="709" w:right="709"/>
        <w:jc w:val="both"/>
        <w:rPr>
          <w:rFonts w:ascii="Arial" w:hAnsi="Arial" w:cs="Arial"/>
          <w:sz w:val="21"/>
          <w:szCs w:val="21"/>
        </w:rPr>
      </w:pPr>
    </w:p>
    <w:p w14:paraId="41CF4346" w14:textId="77777777" w:rsidR="00750749" w:rsidRPr="00750749" w:rsidRDefault="00750749" w:rsidP="00750749">
      <w:pPr>
        <w:ind w:left="709" w:right="709"/>
        <w:jc w:val="both"/>
        <w:rPr>
          <w:rFonts w:ascii="Arial" w:hAnsi="Arial" w:cs="Arial"/>
          <w:sz w:val="21"/>
          <w:szCs w:val="21"/>
        </w:rPr>
      </w:pPr>
      <w:r w:rsidRPr="00750749">
        <w:rPr>
          <w:rFonts w:ascii="Arial" w:hAnsi="Arial" w:cs="Arial"/>
          <w:sz w:val="21"/>
          <w:szCs w:val="21"/>
        </w:rPr>
        <w:lastRenderedPageBreak/>
        <w:t>NOTA 3: El A.I.U y su discriminación deben estar en porcentaje (%)</w:t>
      </w:r>
    </w:p>
    <w:p w14:paraId="4754B40A" w14:textId="77777777" w:rsidR="00750749" w:rsidRPr="00750749" w:rsidRDefault="00750749" w:rsidP="00750749">
      <w:pPr>
        <w:ind w:left="709" w:right="709"/>
        <w:jc w:val="both"/>
        <w:rPr>
          <w:rFonts w:ascii="Arial" w:eastAsia="Times New Roman" w:hAnsi="Arial" w:cs="Arial"/>
          <w:bCs/>
          <w:color w:val="000000" w:themeColor="text1"/>
          <w:sz w:val="21"/>
          <w:szCs w:val="21"/>
          <w:lang w:eastAsia="es-ES_tradnl"/>
        </w:rPr>
      </w:pPr>
    </w:p>
    <w:p w14:paraId="178BB4C8" w14:textId="77777777" w:rsidR="00750749" w:rsidRPr="00750749" w:rsidRDefault="00750749" w:rsidP="00750749">
      <w:pPr>
        <w:ind w:left="709" w:right="709"/>
        <w:jc w:val="both"/>
        <w:rPr>
          <w:rFonts w:ascii="Arial" w:hAnsi="Arial" w:cs="Arial"/>
          <w:sz w:val="21"/>
          <w:szCs w:val="21"/>
        </w:rPr>
      </w:pPr>
      <w:r w:rsidRPr="00750749">
        <w:rPr>
          <w:rFonts w:ascii="Arial" w:hAnsi="Arial" w:cs="Arial"/>
          <w:sz w:val="21"/>
          <w:szCs w:val="21"/>
        </w:rPr>
        <w:t xml:space="preserve">PREGUNTA 1 </w:t>
      </w:r>
    </w:p>
    <w:p w14:paraId="65A32BA1" w14:textId="77777777" w:rsidR="00750749" w:rsidRPr="00750749" w:rsidRDefault="00750749" w:rsidP="00750749">
      <w:pPr>
        <w:ind w:left="709" w:right="709"/>
        <w:jc w:val="both"/>
        <w:rPr>
          <w:rFonts w:ascii="Arial" w:hAnsi="Arial" w:cs="Arial"/>
          <w:sz w:val="21"/>
          <w:szCs w:val="21"/>
        </w:rPr>
      </w:pPr>
    </w:p>
    <w:p w14:paraId="3FCDAA90" w14:textId="60C8E0F8" w:rsidR="00750749" w:rsidRPr="00750749" w:rsidRDefault="00750749" w:rsidP="00750749">
      <w:pPr>
        <w:ind w:left="709" w:right="709"/>
        <w:jc w:val="both"/>
        <w:rPr>
          <w:rFonts w:ascii="Arial" w:hAnsi="Arial" w:cs="Arial"/>
          <w:sz w:val="21"/>
          <w:szCs w:val="21"/>
        </w:rPr>
      </w:pPr>
      <w:r w:rsidRPr="00750749">
        <w:rPr>
          <w:rFonts w:ascii="Arial" w:hAnsi="Arial" w:cs="Arial"/>
          <w:sz w:val="21"/>
          <w:szCs w:val="21"/>
        </w:rPr>
        <w:t xml:space="preserve">la pregunta es la siguiente, de acuerdo a la nota 2, esta aproximacion debe hacerse sobre la casilla del VALOR UNITARIO o del VALOR TOTAL, aclarar por favor </w:t>
      </w:r>
      <w:r w:rsidR="0079353A">
        <w:rPr>
          <w:rFonts w:ascii="Arial" w:hAnsi="Arial" w:cs="Arial"/>
          <w:sz w:val="21"/>
          <w:szCs w:val="21"/>
        </w:rPr>
        <w:t>[</w:t>
      </w:r>
      <w:r w:rsidR="00381D9A">
        <w:rPr>
          <w:rFonts w:ascii="Arial" w:hAnsi="Arial" w:cs="Arial"/>
          <w:sz w:val="21"/>
          <w:szCs w:val="21"/>
        </w:rPr>
        <w:t>s</w:t>
      </w:r>
      <w:r w:rsidR="0079353A">
        <w:rPr>
          <w:rFonts w:ascii="Arial" w:hAnsi="Arial" w:cs="Arial"/>
          <w:sz w:val="21"/>
          <w:szCs w:val="21"/>
        </w:rPr>
        <w:t>ic]</w:t>
      </w:r>
    </w:p>
    <w:p w14:paraId="50151F71" w14:textId="77777777" w:rsidR="00750749" w:rsidRPr="00750749" w:rsidRDefault="00750749" w:rsidP="00750749">
      <w:pPr>
        <w:ind w:left="709" w:right="709"/>
        <w:jc w:val="both"/>
        <w:rPr>
          <w:rFonts w:ascii="Arial" w:hAnsi="Arial" w:cs="Arial"/>
          <w:sz w:val="21"/>
          <w:szCs w:val="21"/>
        </w:rPr>
      </w:pPr>
    </w:p>
    <w:p w14:paraId="556416AE" w14:textId="77777777" w:rsidR="00750749" w:rsidRPr="00750749" w:rsidRDefault="00750749" w:rsidP="00750749">
      <w:pPr>
        <w:ind w:left="709" w:right="709"/>
        <w:jc w:val="both"/>
        <w:rPr>
          <w:rFonts w:ascii="Arial" w:hAnsi="Arial" w:cs="Arial"/>
          <w:sz w:val="21"/>
          <w:szCs w:val="21"/>
        </w:rPr>
      </w:pPr>
      <w:r w:rsidRPr="00750749">
        <w:rPr>
          <w:rFonts w:ascii="Arial" w:hAnsi="Arial" w:cs="Arial"/>
          <w:sz w:val="21"/>
          <w:szCs w:val="21"/>
        </w:rPr>
        <w:t xml:space="preserve">PREGUNTA 2 </w:t>
      </w:r>
    </w:p>
    <w:p w14:paraId="7BC6E8E0" w14:textId="77777777" w:rsidR="00750749" w:rsidRPr="00750749" w:rsidRDefault="00750749" w:rsidP="00750749">
      <w:pPr>
        <w:ind w:left="709" w:right="709"/>
        <w:jc w:val="both"/>
        <w:rPr>
          <w:rFonts w:ascii="Arial" w:hAnsi="Arial" w:cs="Arial"/>
          <w:sz w:val="21"/>
          <w:szCs w:val="21"/>
        </w:rPr>
      </w:pPr>
    </w:p>
    <w:p w14:paraId="18E0C726" w14:textId="77777777" w:rsidR="00750749" w:rsidRPr="00750749" w:rsidRDefault="00750749" w:rsidP="00750749">
      <w:pPr>
        <w:ind w:left="709" w:right="709"/>
        <w:jc w:val="both"/>
        <w:rPr>
          <w:rFonts w:ascii="Arial" w:hAnsi="Arial" w:cs="Arial"/>
          <w:sz w:val="21"/>
          <w:szCs w:val="21"/>
        </w:rPr>
      </w:pPr>
      <w:r w:rsidRPr="00750749">
        <w:rPr>
          <w:rFonts w:ascii="Arial" w:hAnsi="Arial" w:cs="Arial"/>
          <w:sz w:val="21"/>
          <w:szCs w:val="21"/>
        </w:rPr>
        <w:t>en algunos procesos se requieren PROVISION PARA AJUSTES, OBRAS COMPLEMENTARIAS Y ADICIONALES = que normalmente es usado cuando se realizan procesos por monto agotable, que quiere decir que uno hace una oferta economica pero es adjudicado el presupuesto oficial, esta provisión normalmente es la diferencia entre el valor de la oferta economica por parte del proponente y el presupuesto oficial, para dar un ejemplo si el presupuesto oficial es de 100 millones de pesos y mi oferta es de 95 millones pues LA PROVISION PARA AJUSTES, OBRAS COMPLEMENTARIAS Y ADICIONALES seria de 5 millones de pesos, pero la duda es la siguiente</w:t>
      </w:r>
    </w:p>
    <w:p w14:paraId="0244B455" w14:textId="77777777" w:rsidR="00750749" w:rsidRPr="00750749" w:rsidRDefault="00750749" w:rsidP="00750749">
      <w:pPr>
        <w:ind w:left="709" w:right="709"/>
        <w:jc w:val="both"/>
        <w:rPr>
          <w:rFonts w:ascii="Arial" w:hAnsi="Arial" w:cs="Arial"/>
          <w:sz w:val="21"/>
          <w:szCs w:val="21"/>
        </w:rPr>
      </w:pPr>
    </w:p>
    <w:p w14:paraId="20C6C4D9" w14:textId="1015254C" w:rsidR="00750749" w:rsidRPr="00750749" w:rsidRDefault="00750749" w:rsidP="00750749">
      <w:pPr>
        <w:ind w:left="709" w:right="709"/>
        <w:jc w:val="both"/>
        <w:rPr>
          <w:rFonts w:ascii="Arial" w:hAnsi="Arial" w:cs="Arial"/>
          <w:sz w:val="21"/>
          <w:szCs w:val="21"/>
        </w:rPr>
      </w:pPr>
      <w:r w:rsidRPr="00750749">
        <w:rPr>
          <w:rFonts w:ascii="Arial" w:hAnsi="Arial" w:cs="Arial"/>
          <w:sz w:val="21"/>
          <w:szCs w:val="21"/>
        </w:rPr>
        <w:t>- Si la entidad al momento de realizar la correcion aritmetica encuentra que mi oferta es por 95´100.000 pero yo habia colocado que la PROVISION PARA AJUSTES era 5´000.000, esto quiere decir que superaria 100 mil pesos el presupuesto oficial y seria rechazada mi propuesta??? o por otro lado la misma correccion aritmetica conllevaria a que se ajuste este valor de la PROVISION DE AJUSTES Y OBRAS COMPLEMENTARIAS para que cuadrara exactamente el presupuesto oficial?? - Por eso mismo es de gran importancia aclarar cual es el valor corregido de la propuesta, en cuanto a la nota 2»</w:t>
      </w:r>
      <w:r w:rsidR="00581AF6">
        <w:rPr>
          <w:rFonts w:ascii="Arial" w:hAnsi="Arial" w:cs="Arial"/>
          <w:sz w:val="21"/>
          <w:szCs w:val="21"/>
        </w:rPr>
        <w:t>[Sic].</w:t>
      </w:r>
    </w:p>
    <w:p w14:paraId="70850D4F" w14:textId="77777777" w:rsidR="004D6093" w:rsidRPr="00750749" w:rsidRDefault="004D6093" w:rsidP="00F84778">
      <w:pPr>
        <w:tabs>
          <w:tab w:val="left" w:pos="426"/>
        </w:tabs>
        <w:spacing w:line="276" w:lineRule="auto"/>
        <w:jc w:val="both"/>
        <w:rPr>
          <w:rFonts w:ascii="Arial" w:hAnsi="Arial" w:cs="Arial"/>
          <w:noProof/>
          <w:sz w:val="23"/>
          <w:szCs w:val="23"/>
        </w:rPr>
      </w:pPr>
    </w:p>
    <w:p w14:paraId="79882F8B" w14:textId="77777777" w:rsidR="000920F0" w:rsidRPr="005D2D69" w:rsidRDefault="000920F0" w:rsidP="005D2D69">
      <w:pPr>
        <w:tabs>
          <w:tab w:val="left" w:pos="426"/>
        </w:tabs>
        <w:spacing w:line="276" w:lineRule="auto"/>
        <w:jc w:val="both"/>
        <w:rPr>
          <w:rFonts w:ascii="Arial" w:hAnsi="Arial" w:cs="Arial"/>
          <w:b/>
          <w:noProof/>
          <w:sz w:val="22"/>
          <w:lang w:val="es-ES_tradnl"/>
        </w:rPr>
      </w:pPr>
      <w:r w:rsidRPr="005D2D69">
        <w:rPr>
          <w:rFonts w:ascii="Arial" w:hAnsi="Arial" w:cs="Arial"/>
          <w:b/>
          <w:noProof/>
          <w:sz w:val="22"/>
          <w:lang w:val="es-ES_tradnl"/>
        </w:rPr>
        <w:t>2. Consideraciones</w:t>
      </w:r>
    </w:p>
    <w:bookmarkEnd w:id="0"/>
    <w:bookmarkEnd w:id="1"/>
    <w:p w14:paraId="7894E838" w14:textId="77777777" w:rsidR="000920F0" w:rsidRPr="005D2D69" w:rsidRDefault="000920F0" w:rsidP="005D2D69">
      <w:pPr>
        <w:spacing w:line="276" w:lineRule="auto"/>
        <w:jc w:val="both"/>
        <w:rPr>
          <w:rFonts w:ascii="Arial" w:hAnsi="Arial" w:cs="Arial"/>
          <w:noProof/>
          <w:sz w:val="22"/>
          <w:lang w:val="es-ES_tradnl"/>
        </w:rPr>
      </w:pPr>
    </w:p>
    <w:p w14:paraId="32A54292" w14:textId="2CAD4F6D" w:rsidR="00581AF6" w:rsidRDefault="00896D09" w:rsidP="00581AF6">
      <w:pPr>
        <w:spacing w:after="120" w:line="276" w:lineRule="auto"/>
        <w:jc w:val="both"/>
        <w:rPr>
          <w:rFonts w:ascii="Arial" w:hAnsi="Arial" w:cs="Arial"/>
          <w:sz w:val="22"/>
          <w:lang w:val="es-ES"/>
        </w:rPr>
      </w:pPr>
      <w:r w:rsidRPr="00896D09">
        <w:rPr>
          <w:rFonts w:ascii="Arial" w:hAnsi="Arial" w:cs="Arial"/>
          <w:bCs/>
          <w:sz w:val="22"/>
        </w:rPr>
        <w:t xml:space="preserve">En ejercicio de las competencias establecidas en los artículos 3.5 y 11.8 del Decreto 4170 de 2011, la Agencia Nacional de Contratación Pública – Colombia Compra Eficiente resuelve las consultas sobre los asuntos de su competencia, esto es, sobre las temáticas de </w:t>
      </w:r>
      <w:r w:rsidRPr="00134E95">
        <w:rPr>
          <w:rFonts w:ascii="Arial" w:hAnsi="Arial" w:cs="Arial"/>
          <w:bCs/>
          <w:sz w:val="22"/>
        </w:rPr>
        <w:t>la contratación estatal y compras públicas relacionadas en los artículos citados.</w:t>
      </w:r>
      <w:bookmarkStart w:id="5" w:name="_Hlk61701014"/>
      <w:bookmarkStart w:id="6" w:name="_Hlk62136649"/>
      <w:r w:rsidRPr="00134E95">
        <w:rPr>
          <w:rFonts w:ascii="Arial" w:hAnsi="Arial" w:cs="Arial"/>
          <w:sz w:val="22"/>
          <w:lang w:val="es-ES"/>
        </w:rPr>
        <w:t>Es necesario</w:t>
      </w:r>
      <w:r w:rsidRPr="00750749">
        <w:rPr>
          <w:rFonts w:ascii="Arial" w:hAnsi="Arial" w:cs="Arial"/>
          <w:sz w:val="22"/>
          <w:lang w:val="es-ES"/>
        </w:rPr>
        <w:t xml:space="preserve"> tener en cuenta que </w:t>
      </w:r>
      <w:bookmarkStart w:id="7" w:name="_Hlk61026958"/>
      <w:r w:rsidRPr="00750749">
        <w:rPr>
          <w:rFonts w:ascii="Arial" w:hAnsi="Arial" w:cs="Arial"/>
          <w:sz w:val="22"/>
          <w:lang w:val="es-ES"/>
        </w:rPr>
        <w:t xml:space="preserve">esta entidad solo tiene competencia para responder solicitudes sobre la aplicación de normas de carácter general en materia de compras y contratación pública. </w:t>
      </w:r>
    </w:p>
    <w:p w14:paraId="16237172" w14:textId="2BF35F8C" w:rsidR="00896D09" w:rsidRPr="00750749" w:rsidRDefault="00896D09" w:rsidP="00846F03">
      <w:pPr>
        <w:spacing w:after="120" w:line="276" w:lineRule="auto"/>
        <w:ind w:firstLine="708"/>
        <w:jc w:val="both"/>
        <w:rPr>
          <w:rFonts w:ascii="Arial" w:hAnsi="Arial" w:cs="Arial"/>
          <w:sz w:val="22"/>
          <w:lang w:val="es-ES"/>
        </w:rPr>
      </w:pPr>
      <w:r w:rsidRPr="00750749">
        <w:rPr>
          <w:rFonts w:ascii="Arial" w:hAnsi="Arial" w:cs="Arial"/>
          <w:sz w:val="22"/>
          <w:lang w:val="es-ES"/>
        </w:rPr>
        <w:t>En ese sentido, resolver casos particulares desborda las atribuciones asignadas por el legislador extraordinario, que no concibió a Colombia Compra Eficiente como una autoridad para solucionar problemas jurídicos particulares</w:t>
      </w:r>
      <w:r w:rsidRPr="00750749">
        <w:rPr>
          <w:rFonts w:ascii="Arial" w:hAnsi="Arial" w:cs="Arial"/>
          <w:bCs/>
          <w:sz w:val="22"/>
        </w:rPr>
        <w:t xml:space="preserve"> de todos los partícipes de la contratación estatal, ya sean reales o hipotéticos.</w:t>
      </w:r>
      <w:r w:rsidRPr="00750749">
        <w:rPr>
          <w:rFonts w:ascii="Arial" w:hAnsi="Arial" w:cs="Arial"/>
          <w:sz w:val="22"/>
          <w:lang w:val="es-ES"/>
        </w:rPr>
        <w:t xml:space="preserve"> La competencia de esta entidad se fija con límites claros, con el objeto de evitar que la Agencia actúe como una instancia de </w:t>
      </w:r>
      <w:r w:rsidRPr="00750749">
        <w:rPr>
          <w:rFonts w:ascii="Arial" w:hAnsi="Arial" w:cs="Arial"/>
          <w:sz w:val="22"/>
          <w:lang w:val="es-ES"/>
        </w:rPr>
        <w:lastRenderedPageBreak/>
        <w:t>validación de las actuaciones de las entidades sujetas a la Ley 80 de 1993 o de los demás participantes de la contratación pública</w:t>
      </w:r>
      <w:r w:rsidRPr="00750749">
        <w:rPr>
          <w:rFonts w:ascii="Arial" w:hAnsi="Arial" w:cs="Arial"/>
          <w:sz w:val="22"/>
          <w:vertAlign w:val="superscript"/>
          <w:lang w:val="es-ES"/>
        </w:rPr>
        <w:footnoteReference w:id="2"/>
      </w:r>
      <w:r w:rsidRPr="00750749">
        <w:rPr>
          <w:rFonts w:ascii="Arial" w:hAnsi="Arial" w:cs="Arial"/>
          <w:sz w:val="22"/>
          <w:lang w:val="es-ES"/>
        </w:rPr>
        <w:t xml:space="preserve">. </w:t>
      </w:r>
    </w:p>
    <w:p w14:paraId="68C3EC24" w14:textId="151ECA5E" w:rsidR="00896D09" w:rsidRPr="001513E1" w:rsidRDefault="00896D09" w:rsidP="00761773">
      <w:pPr>
        <w:spacing w:after="120" w:line="276" w:lineRule="auto"/>
        <w:ind w:firstLine="708"/>
        <w:jc w:val="both"/>
        <w:rPr>
          <w:rFonts w:ascii="Arial" w:hAnsi="Arial" w:cs="Arial"/>
          <w:color w:val="000000"/>
          <w:sz w:val="22"/>
          <w:lang w:val="es-ES"/>
        </w:rPr>
      </w:pPr>
      <w:r w:rsidRPr="00750749">
        <w:rPr>
          <w:rFonts w:ascii="Arial" w:hAnsi="Arial" w:cs="Arial"/>
          <w:sz w:val="22"/>
          <w:lang w:val="es-ES"/>
        </w:rPr>
        <w:t>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a la información concreta y a los documentos del procedimiento contractual donde surge la inquietud</w:t>
      </w:r>
      <w:bookmarkEnd w:id="7"/>
      <w:r w:rsidRPr="00750749">
        <w:rPr>
          <w:rFonts w:ascii="Arial" w:hAnsi="Arial" w:cs="Arial"/>
          <w:sz w:val="22"/>
          <w:lang w:val="es-ES"/>
        </w:rPr>
        <w:t xml:space="preserve">. Por lo anterior, previo concepto de sus órganos asesores, la </w:t>
      </w:r>
      <w:r w:rsidRPr="001513E1">
        <w:rPr>
          <w:rFonts w:ascii="Arial" w:hAnsi="Arial" w:cs="Arial"/>
          <w:sz w:val="22"/>
          <w:lang w:val="es-ES"/>
        </w:rPr>
        <w:t xml:space="preserve">solución de estos temas corresponde a la entidad que adelanta el procedimiento de selección y, en caso de conflicto, a las autoridades judiciales, fiscales y disciplinarias. </w:t>
      </w:r>
      <w:bookmarkEnd w:id="5"/>
      <w:bookmarkEnd w:id="6"/>
      <w:r w:rsidRPr="001513E1">
        <w:rPr>
          <w:rFonts w:ascii="Arial" w:hAnsi="Arial" w:cs="Arial"/>
          <w:sz w:val="22"/>
          <w:lang w:val="es-ES"/>
        </w:rPr>
        <w:t xml:space="preserve"> </w:t>
      </w:r>
      <w:r w:rsidRPr="001513E1">
        <w:rPr>
          <w:rFonts w:ascii="Arial" w:hAnsi="Arial" w:cs="Arial"/>
          <w:color w:val="000000"/>
          <w:sz w:val="22"/>
        </w:rPr>
        <w:t xml:space="preserve">Sin perjuicio de lo anterior, </w:t>
      </w:r>
      <w:r w:rsidRPr="001513E1">
        <w:rPr>
          <w:rFonts w:ascii="Arial" w:hAnsi="Arial" w:cs="Arial"/>
          <w:color w:val="000000"/>
          <w:sz w:val="22"/>
          <w:lang w:val="es-ES"/>
        </w:rPr>
        <w:t xml:space="preserve">la Subdirección –dentro de los límites de sus atribuciones, esto es, </w:t>
      </w:r>
      <w:bookmarkStart w:id="8" w:name="_Hlk61025408"/>
      <w:r w:rsidRPr="001513E1">
        <w:rPr>
          <w:rFonts w:ascii="Arial" w:hAnsi="Arial" w:cs="Arial"/>
          <w:color w:val="000000"/>
          <w:sz w:val="22"/>
          <w:lang w:val="es-ES"/>
        </w:rPr>
        <w:t>haciendo abstracción de</w:t>
      </w:r>
      <w:r w:rsidR="008D460E">
        <w:rPr>
          <w:rFonts w:ascii="Arial" w:hAnsi="Arial" w:cs="Arial"/>
          <w:color w:val="000000"/>
          <w:sz w:val="22"/>
          <w:lang w:val="es-ES"/>
        </w:rPr>
        <w:t>l</w:t>
      </w:r>
      <w:r w:rsidRPr="001513E1">
        <w:rPr>
          <w:rFonts w:ascii="Arial" w:hAnsi="Arial" w:cs="Arial"/>
          <w:color w:val="000000"/>
          <w:sz w:val="22"/>
          <w:lang w:val="es-ES"/>
        </w:rPr>
        <w:t xml:space="preserve"> cas</w:t>
      </w:r>
      <w:r w:rsidR="008D460E">
        <w:rPr>
          <w:rFonts w:ascii="Arial" w:hAnsi="Arial" w:cs="Arial"/>
          <w:color w:val="000000"/>
          <w:sz w:val="22"/>
          <w:lang w:val="es-ES"/>
        </w:rPr>
        <w:t>o</w:t>
      </w:r>
      <w:r w:rsidRPr="001513E1">
        <w:rPr>
          <w:rFonts w:ascii="Arial" w:hAnsi="Arial" w:cs="Arial"/>
          <w:color w:val="000000"/>
          <w:sz w:val="22"/>
          <w:lang w:val="es-ES"/>
        </w:rPr>
        <w:t xml:space="preserve"> particular </w:t>
      </w:r>
      <w:r w:rsidR="00263168">
        <w:rPr>
          <w:rFonts w:ascii="Arial" w:hAnsi="Arial" w:cs="Arial"/>
          <w:color w:val="000000"/>
          <w:sz w:val="22"/>
          <w:lang w:val="es-ES"/>
        </w:rPr>
        <w:t xml:space="preserve">planteado en la consulta, </w:t>
      </w:r>
      <w:bookmarkEnd w:id="8"/>
      <w:r w:rsidRPr="001513E1">
        <w:rPr>
          <w:rFonts w:ascii="Arial" w:hAnsi="Arial" w:cs="Arial"/>
          <w:color w:val="000000"/>
          <w:sz w:val="22"/>
          <w:lang w:val="es-ES"/>
        </w:rPr>
        <w:t>resolverá la consulta conforme a las normas generales en materia de contratación estatal.</w:t>
      </w:r>
    </w:p>
    <w:p w14:paraId="5EBD004D" w14:textId="07C9FA46" w:rsidR="00123766" w:rsidRPr="001513E1" w:rsidRDefault="00896D09" w:rsidP="00761773">
      <w:pPr>
        <w:pStyle w:val="Textoindependiente"/>
        <w:spacing w:after="120" w:line="276" w:lineRule="auto"/>
        <w:ind w:firstLine="708"/>
        <w:jc w:val="both"/>
        <w:rPr>
          <w:noProof/>
          <w:lang w:val="es-ES_tradnl"/>
        </w:rPr>
      </w:pPr>
      <w:r w:rsidRPr="001513E1">
        <w:rPr>
          <w:rFonts w:eastAsia="Calibri"/>
          <w:color w:val="000000" w:themeColor="text1"/>
          <w:lang w:val="es-CO" w:eastAsia="es-ES_tradnl"/>
        </w:rPr>
        <w:t xml:space="preserve">Aclarado lo anterior, </w:t>
      </w:r>
      <w:r w:rsidRPr="001513E1">
        <w:rPr>
          <w:noProof/>
          <w:lang w:val="es-ES_tradnl"/>
        </w:rPr>
        <w:t>p</w:t>
      </w:r>
      <w:r w:rsidR="009959B4" w:rsidRPr="001513E1">
        <w:rPr>
          <w:noProof/>
          <w:lang w:val="es-ES_tradnl"/>
        </w:rPr>
        <w:t>ara resolver la presente consulta se analizarán los siguientes temas</w:t>
      </w:r>
      <w:r w:rsidR="009959B4" w:rsidRPr="00134E95">
        <w:rPr>
          <w:noProof/>
          <w:lang w:val="es-ES_tradnl"/>
        </w:rPr>
        <w:t xml:space="preserve">: </w:t>
      </w:r>
      <w:r w:rsidR="009E5CA8" w:rsidRPr="00134E95">
        <w:rPr>
          <w:noProof/>
          <w:lang w:val="es-ES_tradnl"/>
        </w:rPr>
        <w:t>i)</w:t>
      </w:r>
      <w:r w:rsidR="00BC108D" w:rsidRPr="00134E95">
        <w:rPr>
          <w:noProof/>
          <w:lang w:val="es-ES_tradnl"/>
        </w:rPr>
        <w:t xml:space="preserve"> </w:t>
      </w:r>
      <w:r w:rsidR="00263168">
        <w:rPr>
          <w:noProof/>
          <w:lang w:val="es-ES_tradnl"/>
        </w:rPr>
        <w:t>o</w:t>
      </w:r>
      <w:r w:rsidR="009D75FC" w:rsidRPr="00134E95">
        <w:rPr>
          <w:noProof/>
          <w:lang w:val="es-ES_tradnl"/>
        </w:rPr>
        <w:t>bligatoriedad del «Formulario 1 – Formulario de Presupuesto Oficial»</w:t>
      </w:r>
      <w:r w:rsidR="00134E95" w:rsidRPr="00134E95">
        <w:rPr>
          <w:noProof/>
          <w:lang w:val="es-ES_tradnl"/>
        </w:rPr>
        <w:t xml:space="preserve">, </w:t>
      </w:r>
      <w:r w:rsidR="003A0550" w:rsidRPr="00134E95">
        <w:rPr>
          <w:noProof/>
          <w:lang w:val="es-ES_tradnl"/>
        </w:rPr>
        <w:t xml:space="preserve">ii) </w:t>
      </w:r>
      <w:r w:rsidR="00263168">
        <w:rPr>
          <w:noProof/>
          <w:lang w:val="es-ES_tradnl"/>
        </w:rPr>
        <w:t>a</w:t>
      </w:r>
      <w:r w:rsidR="00134E95" w:rsidRPr="00134E95">
        <w:rPr>
          <w:noProof/>
          <w:lang w:val="es-ES_tradnl"/>
        </w:rPr>
        <w:t>lcance</w:t>
      </w:r>
      <w:r w:rsidR="007F5F1E">
        <w:rPr>
          <w:noProof/>
          <w:lang w:val="es-ES_tradnl"/>
        </w:rPr>
        <w:t xml:space="preserve"> de la Nota 2 del Formulario </w:t>
      </w:r>
      <w:r w:rsidR="009363DB">
        <w:rPr>
          <w:noProof/>
          <w:lang w:val="es-ES_tradnl"/>
        </w:rPr>
        <w:t xml:space="preserve">1 </w:t>
      </w:r>
      <w:r w:rsidR="00134E95" w:rsidRPr="00134E95">
        <w:rPr>
          <w:noProof/>
          <w:lang w:val="es-ES_tradnl"/>
        </w:rPr>
        <w:t xml:space="preserve">y correcciones aritméticas y iii) </w:t>
      </w:r>
      <w:r w:rsidR="00263168">
        <w:rPr>
          <w:noProof/>
          <w:lang w:val="es-ES_tradnl"/>
        </w:rPr>
        <w:t>p</w:t>
      </w:r>
      <w:r w:rsidR="003A0550" w:rsidRPr="00134E95">
        <w:rPr>
          <w:noProof/>
          <w:lang w:val="es-ES_tradnl"/>
        </w:rPr>
        <w:t>resentación de la oferta económica en procesos regidos por los documentos tipo y las causales de rechazo</w:t>
      </w:r>
      <w:r w:rsidR="004D6093" w:rsidRPr="00134E95">
        <w:rPr>
          <w:noProof/>
          <w:lang w:val="es-ES_tradnl"/>
        </w:rPr>
        <w:t>.</w:t>
      </w:r>
    </w:p>
    <w:p w14:paraId="2D5B3AF0" w14:textId="66FE4B97" w:rsidR="00CD3CF6" w:rsidRDefault="009363DB" w:rsidP="00CD3CF6">
      <w:pPr>
        <w:spacing w:line="276" w:lineRule="auto"/>
        <w:ind w:firstLine="708"/>
        <w:jc w:val="both"/>
        <w:rPr>
          <w:rFonts w:ascii="Arial" w:hAnsi="Arial" w:cs="Arial"/>
          <w:color w:val="000000" w:themeColor="text1"/>
          <w:sz w:val="22"/>
        </w:rPr>
      </w:pPr>
      <w:r w:rsidRPr="008E7E0C">
        <w:rPr>
          <w:rFonts w:ascii="Arial" w:hAnsi="Arial" w:cs="Arial"/>
          <w:color w:val="000000" w:themeColor="text1"/>
          <w:sz w:val="22"/>
        </w:rPr>
        <w:t>Esta Agencia se ha pronunciado en diferentes ocasiones sobre</w:t>
      </w:r>
      <w:r w:rsidRPr="008E7E0C">
        <w:rPr>
          <w:rFonts w:ascii="Arial" w:hAnsi="Arial" w:cs="Arial"/>
          <w:bCs/>
          <w:color w:val="000000" w:themeColor="text1"/>
          <w:sz w:val="22"/>
        </w:rPr>
        <w:t xml:space="preserve"> el Formulario 1</w:t>
      </w:r>
      <w:r w:rsidR="008E7E0C">
        <w:rPr>
          <w:rFonts w:ascii="Arial" w:hAnsi="Arial" w:cs="Arial"/>
          <w:bCs/>
          <w:color w:val="000000" w:themeColor="text1"/>
          <w:sz w:val="22"/>
        </w:rPr>
        <w:t xml:space="preserve"> de los </w:t>
      </w:r>
      <w:r w:rsidR="00263168">
        <w:rPr>
          <w:rFonts w:ascii="Arial" w:hAnsi="Arial" w:cs="Arial"/>
          <w:bCs/>
          <w:color w:val="000000" w:themeColor="text1"/>
          <w:sz w:val="22"/>
        </w:rPr>
        <w:t>d</w:t>
      </w:r>
      <w:r w:rsidR="008E7E0C">
        <w:rPr>
          <w:rFonts w:ascii="Arial" w:hAnsi="Arial" w:cs="Arial"/>
          <w:bCs/>
          <w:color w:val="000000" w:themeColor="text1"/>
          <w:sz w:val="22"/>
        </w:rPr>
        <w:t>ocumentos tipo y las causales de rechazo,</w:t>
      </w:r>
      <w:r w:rsidRPr="008E7E0C">
        <w:rPr>
          <w:rFonts w:ascii="Arial" w:hAnsi="Arial" w:cs="Arial"/>
          <w:bCs/>
          <w:color w:val="000000" w:themeColor="text1"/>
          <w:sz w:val="22"/>
        </w:rPr>
        <w:t xml:space="preserve"> </w:t>
      </w:r>
      <w:r w:rsidR="00B529BB" w:rsidRPr="008E7E0C">
        <w:rPr>
          <w:rFonts w:ascii="Arial" w:hAnsi="Arial" w:cs="Arial"/>
          <w:bCs/>
          <w:color w:val="000000" w:themeColor="text1"/>
          <w:sz w:val="22"/>
        </w:rPr>
        <w:t>entre</w:t>
      </w:r>
      <w:r w:rsidR="00AB0ADB" w:rsidRPr="008E7E0C">
        <w:rPr>
          <w:rFonts w:ascii="Arial" w:hAnsi="Arial" w:cs="Arial"/>
          <w:bCs/>
          <w:color w:val="000000" w:themeColor="text1"/>
          <w:sz w:val="22"/>
        </w:rPr>
        <w:t xml:space="preserve"> otros, en los conceptos: C-037</w:t>
      </w:r>
      <w:r w:rsidR="00B529BB" w:rsidRPr="008E7E0C">
        <w:rPr>
          <w:rFonts w:ascii="Arial" w:hAnsi="Arial" w:cs="Arial"/>
          <w:bCs/>
          <w:color w:val="000000" w:themeColor="text1"/>
          <w:sz w:val="22"/>
        </w:rPr>
        <w:t xml:space="preserve"> del </w:t>
      </w:r>
      <w:r w:rsidR="00AB0ADB" w:rsidRPr="008E7E0C">
        <w:rPr>
          <w:rFonts w:ascii="Arial" w:hAnsi="Arial" w:cs="Arial"/>
          <w:bCs/>
          <w:color w:val="000000" w:themeColor="text1"/>
          <w:sz w:val="22"/>
        </w:rPr>
        <w:t xml:space="preserve">28 de enero de 2020, C-038 del 28 </w:t>
      </w:r>
      <w:r w:rsidR="00B529BB" w:rsidRPr="008E7E0C">
        <w:rPr>
          <w:rFonts w:ascii="Arial" w:hAnsi="Arial" w:cs="Arial"/>
          <w:bCs/>
          <w:color w:val="000000" w:themeColor="text1"/>
          <w:sz w:val="22"/>
        </w:rPr>
        <w:t xml:space="preserve">de </w:t>
      </w:r>
      <w:r w:rsidR="00AB0ADB" w:rsidRPr="008E7E0C">
        <w:rPr>
          <w:rFonts w:ascii="Arial" w:hAnsi="Arial" w:cs="Arial"/>
          <w:bCs/>
          <w:color w:val="000000" w:themeColor="text1"/>
          <w:sz w:val="22"/>
        </w:rPr>
        <w:t>enero</w:t>
      </w:r>
      <w:r w:rsidR="00B529BB" w:rsidRPr="008E7E0C">
        <w:rPr>
          <w:rFonts w:ascii="Arial" w:hAnsi="Arial" w:cs="Arial"/>
          <w:bCs/>
          <w:color w:val="000000" w:themeColor="text1"/>
          <w:sz w:val="22"/>
        </w:rPr>
        <w:t xml:space="preserve"> de 2020,</w:t>
      </w:r>
      <w:r w:rsidR="00D960B1" w:rsidRPr="008E7E0C">
        <w:rPr>
          <w:rFonts w:ascii="Arial" w:hAnsi="Arial" w:cs="Arial"/>
          <w:bCs/>
          <w:color w:val="000000" w:themeColor="text1"/>
          <w:sz w:val="22"/>
        </w:rPr>
        <w:t xml:space="preserve"> </w:t>
      </w:r>
      <w:r w:rsidR="00AB0ADB" w:rsidRPr="008E7E0C">
        <w:rPr>
          <w:rFonts w:ascii="Arial" w:hAnsi="Arial" w:cs="Arial"/>
          <w:bCs/>
          <w:color w:val="000000" w:themeColor="text1"/>
          <w:sz w:val="22"/>
        </w:rPr>
        <w:t>C-067 del 02 de marzo</w:t>
      </w:r>
      <w:r w:rsidR="00B529BB" w:rsidRPr="008E7E0C">
        <w:rPr>
          <w:rFonts w:ascii="Arial" w:hAnsi="Arial" w:cs="Arial"/>
          <w:bCs/>
          <w:color w:val="000000" w:themeColor="text1"/>
          <w:sz w:val="22"/>
        </w:rPr>
        <w:t xml:space="preserve"> de 2020, </w:t>
      </w:r>
      <w:r w:rsidR="008E7E0C" w:rsidRPr="008E7E0C">
        <w:rPr>
          <w:rFonts w:ascii="Arial" w:eastAsia="Arial" w:hAnsi="Arial" w:cs="Arial"/>
          <w:sz w:val="22"/>
          <w:lang w:val="es-ES_tradnl"/>
        </w:rPr>
        <w:t>C-093 del 28 de febrero de 2020, C-153 del 01 de abril de 2020</w:t>
      </w:r>
      <w:r w:rsidR="008C068A" w:rsidRPr="008E7E0C">
        <w:rPr>
          <w:rFonts w:ascii="Arial" w:eastAsia="Arial" w:hAnsi="Arial" w:cs="Arial"/>
          <w:sz w:val="22"/>
          <w:lang w:val="es-ES_tradnl"/>
        </w:rPr>
        <w:t>,</w:t>
      </w:r>
      <w:r w:rsidR="008E7E0C" w:rsidRPr="008E7E0C">
        <w:rPr>
          <w:rFonts w:ascii="Arial" w:eastAsia="Arial" w:hAnsi="Arial" w:cs="Arial"/>
          <w:sz w:val="22"/>
          <w:lang w:val="es-ES_tradnl"/>
        </w:rPr>
        <w:t xml:space="preserve"> C</w:t>
      </w:r>
      <w:r w:rsidR="00263168">
        <w:rPr>
          <w:rFonts w:ascii="Arial" w:eastAsia="Arial" w:hAnsi="Arial" w:cs="Arial"/>
          <w:sz w:val="22"/>
          <w:lang w:val="es-ES_tradnl"/>
        </w:rPr>
        <w:t>-</w:t>
      </w:r>
      <w:r w:rsidR="008E7E0C" w:rsidRPr="008E7E0C">
        <w:rPr>
          <w:rFonts w:ascii="Arial" w:eastAsia="Arial" w:hAnsi="Arial" w:cs="Arial"/>
          <w:sz w:val="22"/>
          <w:lang w:val="es-ES_tradnl"/>
        </w:rPr>
        <w:t>704</w:t>
      </w:r>
      <w:r w:rsidR="00B529BB" w:rsidRPr="008E7E0C">
        <w:rPr>
          <w:rFonts w:ascii="Arial" w:eastAsia="Arial" w:hAnsi="Arial" w:cs="Arial"/>
          <w:sz w:val="22"/>
          <w:lang w:val="es-ES_tradnl"/>
        </w:rPr>
        <w:t xml:space="preserve"> de</w:t>
      </w:r>
      <w:r w:rsidR="008E7E0C" w:rsidRPr="008E7E0C">
        <w:rPr>
          <w:rFonts w:ascii="Arial" w:eastAsia="Arial" w:hAnsi="Arial" w:cs="Arial"/>
          <w:sz w:val="22"/>
          <w:lang w:val="es-ES_tradnl"/>
        </w:rPr>
        <w:t xml:space="preserve">l 11 de diciembre </w:t>
      </w:r>
      <w:r w:rsidR="008E7E0C" w:rsidRPr="00CD3CF6">
        <w:rPr>
          <w:rFonts w:ascii="Arial" w:eastAsia="Arial" w:hAnsi="Arial" w:cs="Arial"/>
          <w:sz w:val="22"/>
          <w:lang w:val="es-ES_tradnl"/>
        </w:rPr>
        <w:t>de 2020</w:t>
      </w:r>
      <w:r w:rsidR="008C068A" w:rsidRPr="00CD3CF6">
        <w:rPr>
          <w:rFonts w:ascii="Arial" w:eastAsia="Arial" w:hAnsi="Arial" w:cs="Arial"/>
          <w:sz w:val="22"/>
          <w:lang w:val="es-ES_tradnl"/>
        </w:rPr>
        <w:t>,</w:t>
      </w:r>
      <w:r w:rsidR="008E7E0C" w:rsidRPr="00CD3CF6">
        <w:rPr>
          <w:rFonts w:ascii="Arial" w:eastAsia="Arial" w:hAnsi="Arial" w:cs="Arial"/>
          <w:sz w:val="22"/>
          <w:lang w:val="es-ES_tradnl"/>
        </w:rPr>
        <w:t xml:space="preserve"> C-746 del 22 de diciembre de 2020</w:t>
      </w:r>
      <w:r w:rsidR="00B529BB" w:rsidRPr="00CD3CF6">
        <w:rPr>
          <w:rFonts w:ascii="Arial" w:hAnsi="Arial" w:cs="Arial"/>
          <w:bCs/>
          <w:color w:val="000000" w:themeColor="text1"/>
          <w:sz w:val="22"/>
        </w:rPr>
        <w:t xml:space="preserve">, </w:t>
      </w:r>
      <w:r w:rsidR="00B529BB" w:rsidRPr="00CD3CF6">
        <w:rPr>
          <w:rFonts w:ascii="Arial" w:eastAsia="Arial" w:hAnsi="Arial" w:cs="Arial"/>
          <w:sz w:val="22"/>
          <w:lang w:val="es-ES_tradnl"/>
        </w:rPr>
        <w:t>C-</w:t>
      </w:r>
      <w:r w:rsidR="008E7E0C" w:rsidRPr="00CD3CF6">
        <w:rPr>
          <w:rFonts w:ascii="Arial" w:eastAsia="Arial" w:hAnsi="Arial" w:cs="Arial"/>
          <w:sz w:val="22"/>
          <w:lang w:val="es-ES_tradnl"/>
        </w:rPr>
        <w:t>030 del 26 de febrero</w:t>
      </w:r>
      <w:r w:rsidR="00B529BB" w:rsidRPr="00CD3CF6">
        <w:rPr>
          <w:rFonts w:ascii="Arial" w:eastAsia="Arial" w:hAnsi="Arial" w:cs="Arial"/>
          <w:sz w:val="22"/>
          <w:lang w:val="es-ES_tradnl"/>
        </w:rPr>
        <w:t xml:space="preserve"> de 202</w:t>
      </w:r>
      <w:r w:rsidR="008E7E0C" w:rsidRPr="00CD3CF6">
        <w:rPr>
          <w:rFonts w:ascii="Arial" w:eastAsia="Arial" w:hAnsi="Arial" w:cs="Arial"/>
          <w:sz w:val="22"/>
          <w:lang w:val="es-ES_tradnl"/>
        </w:rPr>
        <w:t>1, C-070 del 16  de marzo de 2021</w:t>
      </w:r>
      <w:r w:rsidR="00B529BB" w:rsidRPr="00CD3CF6">
        <w:rPr>
          <w:rFonts w:ascii="Arial" w:eastAsia="Arial" w:hAnsi="Arial" w:cs="Arial"/>
          <w:sz w:val="22"/>
          <w:lang w:val="es-ES_tradnl"/>
        </w:rPr>
        <w:t xml:space="preserve">, </w:t>
      </w:r>
      <w:r w:rsidR="008E7E0C" w:rsidRPr="00CD3CF6">
        <w:rPr>
          <w:rFonts w:ascii="Arial" w:hAnsi="Arial" w:cs="Arial"/>
          <w:bCs/>
          <w:color w:val="000000" w:themeColor="text1"/>
          <w:sz w:val="22"/>
        </w:rPr>
        <w:t>C-270 del 06 de junio de 2021, C-435 del 01 de septiembre</w:t>
      </w:r>
      <w:r w:rsidR="00B529BB" w:rsidRPr="00CD3CF6">
        <w:rPr>
          <w:rFonts w:ascii="Arial" w:hAnsi="Arial" w:cs="Arial"/>
          <w:bCs/>
          <w:color w:val="000000" w:themeColor="text1"/>
          <w:sz w:val="22"/>
        </w:rPr>
        <w:t xml:space="preserve"> de 202</w:t>
      </w:r>
      <w:r w:rsidR="008E7E0C" w:rsidRPr="00CD3CF6">
        <w:rPr>
          <w:rFonts w:ascii="Arial" w:hAnsi="Arial" w:cs="Arial"/>
          <w:bCs/>
          <w:color w:val="000000" w:themeColor="text1"/>
          <w:sz w:val="22"/>
        </w:rPr>
        <w:t>1</w:t>
      </w:r>
      <w:r w:rsidR="00CD3CF6" w:rsidRPr="00CD3CF6">
        <w:rPr>
          <w:rFonts w:ascii="Arial" w:hAnsi="Arial" w:cs="Arial"/>
          <w:bCs/>
          <w:color w:val="000000" w:themeColor="text1"/>
          <w:sz w:val="22"/>
        </w:rPr>
        <w:t>, C-640 del 12 de noviembre de 2021</w:t>
      </w:r>
      <w:r w:rsidR="00B529BB" w:rsidRPr="00CD3CF6">
        <w:rPr>
          <w:rFonts w:ascii="Arial" w:hAnsi="Arial" w:cs="Arial"/>
          <w:bCs/>
          <w:color w:val="000000" w:themeColor="text1"/>
          <w:sz w:val="22"/>
        </w:rPr>
        <w:t xml:space="preserve">, </w:t>
      </w:r>
      <w:r w:rsidR="00AB0ADB" w:rsidRPr="00CD3CF6">
        <w:rPr>
          <w:rFonts w:ascii="Arial" w:hAnsi="Arial" w:cs="Arial"/>
          <w:bCs/>
          <w:color w:val="000000" w:themeColor="text1"/>
          <w:sz w:val="22"/>
        </w:rPr>
        <w:t>C-713 del 20 de enero de 2022</w:t>
      </w:r>
      <w:r w:rsidR="00CD3CF6" w:rsidRPr="00CD3CF6">
        <w:rPr>
          <w:rFonts w:ascii="Arial" w:hAnsi="Arial" w:cs="Arial"/>
          <w:bCs/>
          <w:color w:val="000000" w:themeColor="text1"/>
          <w:sz w:val="22"/>
        </w:rPr>
        <w:t xml:space="preserve"> y C-078 del 15 de marzo de 2022.</w:t>
      </w:r>
      <w:r w:rsidR="00CD3CF6">
        <w:rPr>
          <w:rFonts w:ascii="Arial" w:hAnsi="Arial" w:cs="Arial"/>
          <w:bCs/>
          <w:color w:val="000000" w:themeColor="text1"/>
          <w:sz w:val="22"/>
        </w:rPr>
        <w:t xml:space="preserve">  </w:t>
      </w:r>
      <w:r w:rsidR="00CD3CF6" w:rsidRPr="008F06C1">
        <w:rPr>
          <w:rFonts w:ascii="Arial" w:hAnsi="Arial" w:cs="Arial"/>
          <w:color w:val="000000" w:themeColor="text1"/>
          <w:sz w:val="22"/>
        </w:rPr>
        <w:t>Las tesis expuestas en estos conceptos se desarrollan y se complementan en lo pertinente a continuación.</w:t>
      </w:r>
    </w:p>
    <w:p w14:paraId="0AEC4393" w14:textId="72255470" w:rsidR="00082186" w:rsidRPr="001513E1" w:rsidRDefault="00082186" w:rsidP="00846F03">
      <w:pPr>
        <w:ind w:firstLine="708"/>
        <w:jc w:val="both"/>
        <w:rPr>
          <w:rFonts w:ascii="Arial" w:hAnsi="Arial" w:cs="Arial"/>
          <w:noProof/>
          <w:sz w:val="22"/>
          <w:lang w:val="es-ES_tradnl"/>
        </w:rPr>
      </w:pPr>
    </w:p>
    <w:p w14:paraId="2F2C1F57" w14:textId="440479BD" w:rsidR="00491E3D" w:rsidRPr="001513E1" w:rsidRDefault="00491E3D" w:rsidP="005D2D69">
      <w:pPr>
        <w:spacing w:line="276" w:lineRule="auto"/>
        <w:jc w:val="both"/>
        <w:rPr>
          <w:rFonts w:ascii="Arial" w:hAnsi="Arial" w:cs="Arial"/>
          <w:b/>
          <w:sz w:val="22"/>
        </w:rPr>
      </w:pPr>
      <w:r w:rsidRPr="001513E1">
        <w:rPr>
          <w:rFonts w:ascii="Arial" w:hAnsi="Arial" w:cs="Arial"/>
          <w:b/>
          <w:sz w:val="22"/>
        </w:rPr>
        <w:t>2.</w:t>
      </w:r>
      <w:r w:rsidR="00750749" w:rsidRPr="001513E1">
        <w:rPr>
          <w:rFonts w:ascii="Arial" w:hAnsi="Arial" w:cs="Arial"/>
          <w:b/>
          <w:sz w:val="22"/>
        </w:rPr>
        <w:t>1</w:t>
      </w:r>
      <w:r w:rsidRPr="001513E1">
        <w:rPr>
          <w:rFonts w:ascii="Arial" w:hAnsi="Arial" w:cs="Arial"/>
          <w:b/>
          <w:sz w:val="22"/>
        </w:rPr>
        <w:t xml:space="preserve">. </w:t>
      </w:r>
      <w:bookmarkStart w:id="9" w:name="_Hlk71040282"/>
      <w:r w:rsidR="007961F5" w:rsidRPr="001513E1">
        <w:rPr>
          <w:rFonts w:ascii="Arial" w:hAnsi="Arial" w:cs="Arial"/>
          <w:b/>
          <w:sz w:val="22"/>
        </w:rPr>
        <w:t>O</w:t>
      </w:r>
      <w:r w:rsidRPr="001513E1">
        <w:rPr>
          <w:rFonts w:ascii="Arial" w:hAnsi="Arial" w:cs="Arial"/>
          <w:b/>
          <w:sz w:val="22"/>
        </w:rPr>
        <w:t xml:space="preserve">bligatoriedad del </w:t>
      </w:r>
      <w:bookmarkStart w:id="10" w:name="_Hlk71030750"/>
      <w:r w:rsidRPr="001513E1">
        <w:rPr>
          <w:rFonts w:ascii="Arial" w:hAnsi="Arial" w:cs="Arial"/>
          <w:b/>
          <w:sz w:val="22"/>
        </w:rPr>
        <w:t xml:space="preserve">«Formulario 1 </w:t>
      </w:r>
      <w:r w:rsidR="009D52AA" w:rsidRPr="001513E1">
        <w:rPr>
          <w:rFonts w:ascii="Arial" w:hAnsi="Arial" w:cs="Arial"/>
          <w:b/>
          <w:sz w:val="22"/>
        </w:rPr>
        <w:t>–</w:t>
      </w:r>
      <w:r w:rsidRPr="001513E1">
        <w:rPr>
          <w:rFonts w:ascii="Arial" w:hAnsi="Arial" w:cs="Arial"/>
          <w:b/>
          <w:sz w:val="22"/>
        </w:rPr>
        <w:t xml:space="preserve"> Formulario de Presupuesto Oficial»</w:t>
      </w:r>
      <w:bookmarkEnd w:id="10"/>
      <w:r w:rsidR="005274EA" w:rsidRPr="001513E1">
        <w:rPr>
          <w:rFonts w:ascii="Arial" w:hAnsi="Arial" w:cs="Arial"/>
          <w:b/>
          <w:sz w:val="22"/>
        </w:rPr>
        <w:t xml:space="preserve"> </w:t>
      </w:r>
      <w:bookmarkEnd w:id="9"/>
    </w:p>
    <w:p w14:paraId="4ABB21F3" w14:textId="77777777" w:rsidR="00491E3D" w:rsidRPr="001513E1" w:rsidRDefault="00491E3D" w:rsidP="00846F03">
      <w:pPr>
        <w:jc w:val="both"/>
        <w:rPr>
          <w:rFonts w:ascii="Arial" w:hAnsi="Arial" w:cs="Arial"/>
          <w:b/>
          <w:sz w:val="22"/>
        </w:rPr>
      </w:pPr>
    </w:p>
    <w:p w14:paraId="26A70BB1" w14:textId="614B13DC" w:rsidR="006C6E69" w:rsidRPr="001513E1" w:rsidRDefault="00265441" w:rsidP="00761773">
      <w:pPr>
        <w:pStyle w:val="Textoindependiente"/>
        <w:spacing w:after="120" w:line="276" w:lineRule="auto"/>
        <w:jc w:val="both"/>
      </w:pPr>
      <w:r w:rsidRPr="001513E1">
        <w:rPr>
          <w:lang w:eastAsia="es-ES" w:bidi="es-ES"/>
        </w:rPr>
        <w:t xml:space="preserve">Los documentos tipo para los procesos de licitación pública, menor cuantía y mínima cuantía de infraestructura de transporte </w:t>
      </w:r>
      <w:r w:rsidRPr="001513E1">
        <w:t xml:space="preserve">contemplan </w:t>
      </w:r>
      <w:r w:rsidR="00491E3D" w:rsidRPr="001513E1">
        <w:rPr>
          <w:rFonts w:eastAsia="Calibri"/>
        </w:rPr>
        <w:t xml:space="preserve">un formulario </w:t>
      </w:r>
      <w:r w:rsidR="009B5A2D" w:rsidRPr="001513E1">
        <w:rPr>
          <w:rFonts w:eastAsia="Calibri"/>
        </w:rPr>
        <w:t xml:space="preserve">en Excel </w:t>
      </w:r>
      <w:r w:rsidR="00491E3D" w:rsidRPr="001513E1">
        <w:rPr>
          <w:rFonts w:eastAsia="Calibri"/>
        </w:rPr>
        <w:t xml:space="preserve">denominado </w:t>
      </w:r>
      <w:r w:rsidR="00491E3D" w:rsidRPr="001513E1">
        <w:lastRenderedPageBreak/>
        <w:t xml:space="preserve">«Formulario 1 </w:t>
      </w:r>
      <w:r w:rsidR="00E47D64" w:rsidRPr="001513E1">
        <w:t>–</w:t>
      </w:r>
      <w:r w:rsidR="00491E3D" w:rsidRPr="001513E1">
        <w:t xml:space="preserve"> Formulario de Presupuesto Oficial</w:t>
      </w:r>
      <w:r w:rsidR="00491E3D" w:rsidRPr="001513E1">
        <w:rPr>
          <w:rFonts w:eastAsia="Calibri"/>
        </w:rPr>
        <w:t>»</w:t>
      </w:r>
      <w:r w:rsidRPr="001513E1">
        <w:t xml:space="preserve">, </w:t>
      </w:r>
      <w:r w:rsidRPr="001513E1">
        <w:rPr>
          <w:lang w:eastAsia="es-ES" w:bidi="es-ES"/>
        </w:rPr>
        <w:t xml:space="preserve">empleado por la entidad para elaborar y presentar el presupuesto oficial </w:t>
      </w:r>
      <w:r w:rsidRPr="001513E1">
        <w:t>–</w:t>
      </w:r>
      <w:r w:rsidR="00F55F21" w:rsidRPr="001513E1">
        <w:t>hoja</w:t>
      </w:r>
      <w:r w:rsidRPr="001513E1">
        <w:t xml:space="preserve"> 1–</w:t>
      </w:r>
      <w:r w:rsidRPr="001513E1">
        <w:rPr>
          <w:lang w:eastAsia="es-ES" w:bidi="es-ES"/>
        </w:rPr>
        <w:t xml:space="preserve"> y mediante el cual el proponente estructura la oferta económica </w:t>
      </w:r>
      <w:r w:rsidRPr="001513E1">
        <w:t>–</w:t>
      </w:r>
      <w:r w:rsidR="00F55F21" w:rsidRPr="001513E1">
        <w:t>hoja</w:t>
      </w:r>
      <w:r w:rsidRPr="001513E1">
        <w:t xml:space="preserve"> 2–</w:t>
      </w:r>
      <w:r w:rsidRPr="001513E1">
        <w:rPr>
          <w:lang w:eastAsia="es-ES" w:bidi="es-ES"/>
        </w:rPr>
        <w:t>.</w:t>
      </w:r>
      <w:r w:rsidR="00491E3D" w:rsidRPr="001513E1">
        <w:t xml:space="preserve"> </w:t>
      </w:r>
    </w:p>
    <w:p w14:paraId="3264914D" w14:textId="77777777" w:rsidR="00265441" w:rsidRPr="001513E1" w:rsidRDefault="00265441" w:rsidP="00761773">
      <w:pPr>
        <w:widowControl w:val="0"/>
        <w:autoSpaceDE w:val="0"/>
        <w:autoSpaceDN w:val="0"/>
        <w:spacing w:before="120" w:after="120" w:line="276" w:lineRule="auto"/>
        <w:ind w:firstLine="709"/>
        <w:jc w:val="both"/>
        <w:rPr>
          <w:rFonts w:ascii="Arial" w:hAnsi="Arial" w:cs="Arial"/>
          <w:sz w:val="22"/>
          <w:lang w:val="es-ES"/>
        </w:rPr>
      </w:pPr>
      <w:r w:rsidRPr="001513E1">
        <w:rPr>
          <w:rFonts w:ascii="Arial" w:hAnsi="Arial" w:cs="Arial"/>
          <w:sz w:val="22"/>
          <w:lang w:val="es-ES"/>
        </w:rPr>
        <w:t>Este formulario lo prepara la entidad en la etapa de planeación y le permite definir el valor oficial estimado del proceso de contratación. Por tanto, las entidades estatales para su elaboración deben tener en cuenta diferentes variables</w:t>
      </w:r>
      <w:r w:rsidRPr="001513E1">
        <w:rPr>
          <w:rFonts w:ascii="Arial" w:hAnsi="Arial" w:cs="Arial"/>
          <w:sz w:val="22"/>
          <w:vertAlign w:val="superscript"/>
          <w:lang w:val="es-ES"/>
        </w:rPr>
        <w:footnoteReference w:id="3"/>
      </w:r>
      <w:r w:rsidRPr="001513E1">
        <w:rPr>
          <w:rFonts w:ascii="Arial" w:hAnsi="Arial" w:cs="Arial"/>
          <w:sz w:val="22"/>
          <w:lang w:val="es-ES"/>
        </w:rPr>
        <w:t>, como el objeto, alcance, obras a ejecutar, actividades, cantidades, particularidades de la zona de ejecución del proyecto, disponibilidad y distancia de fuentes de materiales, entre otros.</w:t>
      </w:r>
    </w:p>
    <w:p w14:paraId="43F13FA9" w14:textId="4DCE7956" w:rsidR="00491E3D" w:rsidRDefault="00265441" w:rsidP="00761773">
      <w:pPr>
        <w:pStyle w:val="Textoindependiente"/>
        <w:spacing w:before="120" w:after="120" w:line="276" w:lineRule="auto"/>
        <w:ind w:firstLine="709"/>
        <w:jc w:val="both"/>
      </w:pPr>
      <w:r w:rsidRPr="001513E1">
        <w:rPr>
          <w:rFonts w:eastAsia="Calibri"/>
        </w:rPr>
        <w:t xml:space="preserve">En los documentos tipo </w:t>
      </w:r>
      <w:r w:rsidRPr="001513E1">
        <w:rPr>
          <w:lang w:eastAsia="es-ES" w:bidi="es-ES"/>
        </w:rPr>
        <w:t>para los procesos de licitación pública, menor cuantía y mínima cuantía de obra de infraestructura de transporte el</w:t>
      </w:r>
      <w:r w:rsidR="00491E3D" w:rsidRPr="001513E1">
        <w:t xml:space="preserve"> «Formulario 1 </w:t>
      </w:r>
      <w:r w:rsidR="00234EFC" w:rsidRPr="001513E1">
        <w:t>–</w:t>
      </w:r>
      <w:r w:rsidR="00491E3D" w:rsidRPr="001513E1">
        <w:t xml:space="preserve"> Formulario de Presupuesto Oficial</w:t>
      </w:r>
      <w:r w:rsidR="00491E3D" w:rsidRPr="001513E1">
        <w:rPr>
          <w:rFonts w:eastAsia="Calibri"/>
        </w:rPr>
        <w:t>»</w:t>
      </w:r>
      <w:r w:rsidR="00491E3D" w:rsidRPr="001513E1">
        <w:t xml:space="preserve"> t</w:t>
      </w:r>
      <w:r w:rsidR="00D52CE7" w:rsidRPr="001513E1">
        <w:t>iene</w:t>
      </w:r>
      <w:r w:rsidR="00491E3D" w:rsidRPr="001513E1">
        <w:t xml:space="preserve"> dos connotaciones: i) por un lado, </w:t>
      </w:r>
      <w:r w:rsidR="00234EFC" w:rsidRPr="001513E1">
        <w:t>es</w:t>
      </w:r>
      <w:r w:rsidR="00491E3D" w:rsidRPr="001513E1">
        <w:t xml:space="preserve"> el formulario sobre el cual la entidad estructura y presenta el presupuesto oficial del procedimiento de contratación; y ii) por el otro, </w:t>
      </w:r>
      <w:r w:rsidR="00234EFC" w:rsidRPr="001513E1">
        <w:t>es el documento</w:t>
      </w:r>
      <w:r w:rsidR="00491E3D" w:rsidRPr="001513E1">
        <w:t xml:space="preserve"> sobre el cual los proponentes elaboran y presentan su oferta económica. Esta doble connotación fue adoptada para evitar la duplicidad de información y permitir que las propuestas económicas </w:t>
      </w:r>
      <w:r w:rsidR="00761D7C" w:rsidRPr="001513E1">
        <w:t>se evalúen</w:t>
      </w:r>
      <w:r w:rsidR="00491E3D" w:rsidRPr="001513E1">
        <w:t xml:space="preserve"> con las variables, cantidades, unidades de medida y reglas consideradas por la entidad al estructurar su presupuesto oficial.</w:t>
      </w:r>
    </w:p>
    <w:p w14:paraId="0511C557" w14:textId="6D68BC30" w:rsidR="00F55F21" w:rsidRPr="0099569A" w:rsidRDefault="00F55F21" w:rsidP="00761773">
      <w:pPr>
        <w:pStyle w:val="Textoindependiente"/>
        <w:spacing w:before="120" w:after="120" w:line="276" w:lineRule="auto"/>
        <w:ind w:firstLine="709"/>
        <w:jc w:val="both"/>
        <w:rPr>
          <w:iCs/>
          <w:lang w:eastAsia="es-ES" w:bidi="es-ES"/>
        </w:rPr>
      </w:pPr>
      <w:r w:rsidRPr="008A5865">
        <w:rPr>
          <w:lang w:eastAsia="es-ES" w:bidi="es-ES"/>
        </w:rPr>
        <w:t>En ese contexto, se tiene</w:t>
      </w:r>
      <w:r w:rsidR="009B5A2D">
        <w:rPr>
          <w:lang w:eastAsia="es-ES" w:bidi="es-ES"/>
        </w:rPr>
        <w:t xml:space="preserve"> </w:t>
      </w:r>
      <w:r w:rsidRPr="008A5865">
        <w:rPr>
          <w:lang w:eastAsia="es-ES" w:bidi="es-ES"/>
        </w:rPr>
        <w:t xml:space="preserve">que en la primera hoja del Formulario 1, que corresponde al presupuesto oficial, la entidad debe enlistar los </w:t>
      </w:r>
      <w:r w:rsidRPr="008A5865">
        <w:rPr>
          <w:i/>
          <w:lang w:eastAsia="es-ES" w:bidi="es-ES"/>
        </w:rPr>
        <w:t xml:space="preserve">ítems de pago </w:t>
      </w:r>
      <w:r w:rsidRPr="008A5865">
        <w:rPr>
          <w:lang w:eastAsia="es-ES" w:bidi="es-ES"/>
        </w:rPr>
        <w:t xml:space="preserve">de los bienes, obras o servicios que se requieren para la ejecución de la obra pública de infraestructura de transporte que se contrata. Además, es posible establecer: i) sus especificaciones generales y particulares, ii) la descripción, iii) la unidad de medida, iv) la cantidad, v) el valor unitario y vi) el valor total de los </w:t>
      </w:r>
      <w:r w:rsidRPr="008A5865">
        <w:rPr>
          <w:i/>
          <w:lang w:eastAsia="es-ES" w:bidi="es-ES"/>
        </w:rPr>
        <w:t>ítems.</w:t>
      </w:r>
    </w:p>
    <w:p w14:paraId="4EE7A953" w14:textId="78A45D31" w:rsidR="00F55F21" w:rsidRPr="004708A0" w:rsidRDefault="00F55F21" w:rsidP="00761773">
      <w:pPr>
        <w:pStyle w:val="Textoindependiente"/>
        <w:spacing w:before="120" w:after="120" w:line="276" w:lineRule="auto"/>
        <w:ind w:firstLine="709"/>
        <w:jc w:val="both"/>
        <w:rPr>
          <w:lang w:eastAsia="es-ES" w:bidi="es-ES"/>
        </w:rPr>
      </w:pPr>
      <w:r w:rsidRPr="004708A0">
        <w:rPr>
          <w:iCs/>
          <w:lang w:eastAsia="es-ES" w:bidi="es-ES"/>
        </w:rPr>
        <w:t xml:space="preserve">En el marco del ejercicio de planeación, la entidad podrá determinar la necesidad de establecer algunos valores topes para algunos </w:t>
      </w:r>
      <w:r w:rsidRPr="004708A0">
        <w:rPr>
          <w:i/>
          <w:lang w:eastAsia="es-ES" w:bidi="es-ES"/>
        </w:rPr>
        <w:t xml:space="preserve">ítems, </w:t>
      </w:r>
      <w:r w:rsidRPr="004708A0">
        <w:rPr>
          <w:iCs/>
          <w:lang w:eastAsia="es-ES" w:bidi="es-ES"/>
        </w:rPr>
        <w:t>los cuales no podrán ser excedidos por los proponentes al presentar sus ofertas.</w:t>
      </w:r>
      <w:r w:rsidRPr="004708A0">
        <w:rPr>
          <w:lang w:eastAsia="es-ES" w:bidi="es-ES"/>
        </w:rPr>
        <w:t xml:space="preserve"> La inclusión que hace la entidad de valores que no deben ser excedidos por los proponentes al presentar sus ofertas no es una práctica generalizada ni obligatoria para todas las entidades, por cuanto la inclusión de estos </w:t>
      </w:r>
      <w:r w:rsidRPr="004708A0">
        <w:rPr>
          <w:i/>
          <w:lang w:eastAsia="es-ES" w:bidi="es-ES"/>
        </w:rPr>
        <w:t>ítems</w:t>
      </w:r>
      <w:r w:rsidRPr="004708A0">
        <w:rPr>
          <w:lang w:eastAsia="es-ES" w:bidi="es-ES"/>
        </w:rPr>
        <w:t xml:space="preserve"> debe estar justificada en situaciones y eventos particulares de determinados procedimientos de contratación. Cuando las entidades estructuran el Formulario 1, incluyendo este tipo de </w:t>
      </w:r>
      <w:r w:rsidRPr="004708A0">
        <w:rPr>
          <w:i/>
          <w:lang w:eastAsia="es-ES" w:bidi="es-ES"/>
        </w:rPr>
        <w:t>ítems</w:t>
      </w:r>
      <w:r w:rsidRPr="004708A0">
        <w:rPr>
          <w:lang w:eastAsia="es-ES" w:bidi="es-ES"/>
        </w:rPr>
        <w:t xml:space="preserve"> y justificando su decisión, los proponentes deben incluirlos dentro de la oferta económica sin exceder el valor que la entidad ha definido, so pena del rechazo de la propuesta</w:t>
      </w:r>
      <w:r w:rsidRPr="004708A0">
        <w:rPr>
          <w:vertAlign w:val="superscript"/>
          <w:lang w:eastAsia="es-ES" w:bidi="es-ES"/>
        </w:rPr>
        <w:footnoteReference w:id="4"/>
      </w:r>
      <w:r w:rsidRPr="004708A0">
        <w:rPr>
          <w:lang w:eastAsia="es-ES" w:bidi="es-ES"/>
        </w:rPr>
        <w:t>.</w:t>
      </w:r>
    </w:p>
    <w:p w14:paraId="5498092D" w14:textId="49817755" w:rsidR="00F55F21" w:rsidRDefault="00F55F21" w:rsidP="00761773">
      <w:pPr>
        <w:widowControl w:val="0"/>
        <w:autoSpaceDE w:val="0"/>
        <w:autoSpaceDN w:val="0"/>
        <w:spacing w:after="120" w:line="276" w:lineRule="auto"/>
        <w:ind w:firstLine="709"/>
        <w:jc w:val="both"/>
        <w:rPr>
          <w:rFonts w:ascii="Arial" w:eastAsia="Arial" w:hAnsi="Arial" w:cs="Arial"/>
          <w:sz w:val="22"/>
          <w:lang w:val="es-ES" w:eastAsia="es-ES" w:bidi="es-ES"/>
        </w:rPr>
      </w:pPr>
      <w:r w:rsidRPr="001513E1">
        <w:rPr>
          <w:rFonts w:ascii="Arial" w:eastAsia="Arial" w:hAnsi="Arial" w:cs="Arial"/>
          <w:sz w:val="22"/>
          <w:lang w:val="es-ES" w:eastAsia="es-ES" w:bidi="es-ES"/>
        </w:rPr>
        <w:lastRenderedPageBreak/>
        <w:t xml:space="preserve">De igual manera, en la </w:t>
      </w:r>
      <w:r w:rsidR="004F7895" w:rsidRPr="001513E1">
        <w:rPr>
          <w:rFonts w:ascii="Arial" w:eastAsia="Arial" w:hAnsi="Arial" w:cs="Arial"/>
          <w:sz w:val="22"/>
          <w:lang w:val="es-ES" w:eastAsia="es-ES" w:bidi="es-ES"/>
        </w:rPr>
        <w:t>hoja 1</w:t>
      </w:r>
      <w:r w:rsidRPr="001513E1">
        <w:rPr>
          <w:rFonts w:ascii="Arial" w:eastAsia="Arial" w:hAnsi="Arial" w:cs="Arial"/>
          <w:sz w:val="22"/>
          <w:lang w:val="es-ES" w:eastAsia="es-ES" w:bidi="es-ES"/>
        </w:rPr>
        <w:t xml:space="preserve"> del «Formulario 1 – Formulario de Presupuesto oficial» se señala que en los procesos de contratación estructurados por precios unitarios aplican las notas 1, 2 y 3 de dicho formato y, por tanto, se diligencian las casillas de «Descripción», «Porcentaje» de la Administración, Imprevistos, Utilidad y total del A.I.U resaltados en color amarillo. En otras palabras, las entidades estatales incluirán de manera obligatoria el porcentaje de la: i) administración, ii) imprevistos y iii) utilidad cuando el proceso de contratación sea por precios unitarios.</w:t>
      </w:r>
    </w:p>
    <w:p w14:paraId="37510C69" w14:textId="3B55E2A0" w:rsidR="004F7895" w:rsidRPr="00F55F21" w:rsidRDefault="004F7895" w:rsidP="00761773">
      <w:pPr>
        <w:widowControl w:val="0"/>
        <w:autoSpaceDE w:val="0"/>
        <w:autoSpaceDN w:val="0"/>
        <w:spacing w:after="120" w:line="276" w:lineRule="auto"/>
        <w:ind w:firstLine="709"/>
        <w:jc w:val="both"/>
        <w:rPr>
          <w:rFonts w:ascii="Arial" w:eastAsia="Arial" w:hAnsi="Arial" w:cs="Arial"/>
          <w:sz w:val="22"/>
          <w:lang w:val="es-ES" w:eastAsia="es-ES" w:bidi="es-ES"/>
        </w:rPr>
      </w:pPr>
      <w:r w:rsidRPr="008A5865">
        <w:rPr>
          <w:rFonts w:ascii="Arial" w:eastAsia="Arial" w:hAnsi="Arial" w:cs="Arial"/>
          <w:sz w:val="22"/>
          <w:lang w:val="es-ES" w:eastAsia="es-ES" w:bidi="es-ES"/>
        </w:rPr>
        <w:t>En este sentido, reiterando el principio de inalterabilidad, las entidades solo pueden modificar aquello que el documento tipo permita. Por ello, debido a que la primera hoja del Formulario 1 – Formulario del Presupuesto Oficial no permite su modificación en los procesos estructurados por precios unitarios, no será posible omitir alguno de los componentes del A.I.U. Bajo ese entendido, las entidades no podrán eliminar o modificar la fila correspondiente al imprevisto, ni eliminar o modificar las «Nota 1 a 3» que versan sobre el uso de precios unitarios con componentes del A.I.U.</w:t>
      </w:r>
    </w:p>
    <w:p w14:paraId="4FB19309" w14:textId="6F8E2CC0" w:rsidR="00A23397" w:rsidRPr="00A23397" w:rsidRDefault="00A23397" w:rsidP="00761773">
      <w:pPr>
        <w:widowControl w:val="0"/>
        <w:autoSpaceDE w:val="0"/>
        <w:autoSpaceDN w:val="0"/>
        <w:spacing w:before="120" w:after="120" w:line="276" w:lineRule="auto"/>
        <w:ind w:firstLine="709"/>
        <w:jc w:val="both"/>
        <w:rPr>
          <w:rFonts w:ascii="Arial" w:eastAsia="Arial" w:hAnsi="Arial" w:cs="Arial"/>
          <w:sz w:val="22"/>
          <w:lang w:val="es-ES" w:eastAsia="es-ES" w:bidi="es-ES"/>
        </w:rPr>
      </w:pPr>
      <w:r w:rsidRPr="00A23397">
        <w:rPr>
          <w:rFonts w:ascii="Arial" w:eastAsia="Arial" w:hAnsi="Arial" w:cs="Arial"/>
          <w:sz w:val="22"/>
          <w:lang w:val="es-CO" w:eastAsia="es-ES" w:bidi="es-ES"/>
        </w:rPr>
        <w:t xml:space="preserve">De otra parte, </w:t>
      </w:r>
      <w:r w:rsidRPr="00A23397">
        <w:rPr>
          <w:rFonts w:ascii="Arial" w:eastAsia="Arial" w:hAnsi="Arial" w:cs="Arial"/>
          <w:sz w:val="22"/>
          <w:lang w:val="es-ES" w:eastAsia="es-ES" w:bidi="es-ES"/>
        </w:rPr>
        <w:t>en los documentos tipo para procesos de licitación pública de obras de infraestructura de transporte, el «Formulario 1</w:t>
      </w:r>
      <w:r w:rsidRPr="00A23397">
        <w:rPr>
          <w:rFonts w:ascii="Arial" w:hAnsi="Arial" w:cs="Arial"/>
          <w:sz w:val="22"/>
          <w:lang w:val="es-ES" w:eastAsia="es-ES" w:bidi="es-ES"/>
        </w:rPr>
        <w:t>» en su segunda pestaña en Excel, titulada «Formulario 1 propuesta económica»</w:t>
      </w:r>
      <w:r w:rsidRPr="00A23397">
        <w:rPr>
          <w:rFonts w:ascii="Arial" w:eastAsia="Arial" w:hAnsi="Arial" w:cs="Arial"/>
          <w:sz w:val="22"/>
          <w:lang w:val="es-ES" w:eastAsia="es-ES" w:bidi="es-ES"/>
        </w:rPr>
        <w:t xml:space="preserve"> señala en la parte superior derecha: «</w:t>
      </w:r>
      <w:r w:rsidRPr="00A23397">
        <w:rPr>
          <w:rFonts w:ascii="Arial" w:eastAsia="Arial" w:hAnsi="Arial" w:cs="Arial"/>
          <w:sz w:val="22"/>
          <w:highlight w:val="lightGray"/>
          <w:lang w:val="es-ES" w:eastAsia="es-ES" w:bidi="es-ES"/>
        </w:rPr>
        <w:t>[La entidad puede utilizar este formulario de presentación de propuesta económica de forma detallada, sin perjuicio que la entidad pueda modificarlo o establecer la presentación de la oferta económica con un formulario distinto al indicado.]</w:t>
      </w:r>
      <w:r w:rsidRPr="00A23397">
        <w:rPr>
          <w:rFonts w:ascii="Arial" w:eastAsia="Arial" w:hAnsi="Arial" w:cs="Arial"/>
          <w:sz w:val="22"/>
          <w:lang w:val="es-ES" w:eastAsia="es-ES" w:bidi="es-ES"/>
        </w:rPr>
        <w:t xml:space="preserve">». </w:t>
      </w:r>
      <w:r w:rsidRPr="00A23397">
        <w:rPr>
          <w:rFonts w:ascii="Arial" w:hAnsi="Arial" w:cs="Arial"/>
          <w:color w:val="000000"/>
          <w:sz w:val="22"/>
          <w:lang w:val="es-ES_tradnl"/>
        </w:rPr>
        <w:t>Igualmente, se indica que los proponentes emplearán el formulario establecido por la entidad para determinar su propuesta económica conforme al Formulario 1 - Presupuesto Oficial publicado por la Entidad. Esto</w:t>
      </w:r>
      <w:r w:rsidRPr="00A23397">
        <w:rPr>
          <w:rFonts w:ascii="Arial" w:hAnsi="Arial" w:cs="Arial"/>
          <w:sz w:val="22"/>
          <w:lang w:val="es-ES_tradnl"/>
        </w:rPr>
        <w:t xml:space="preserve"> significa </w:t>
      </w:r>
      <w:r w:rsidRPr="00A23397">
        <w:rPr>
          <w:rFonts w:ascii="Arial" w:hAnsi="Arial" w:cs="Arial"/>
          <w:sz w:val="22"/>
          <w:lang w:val="es-ES"/>
        </w:rPr>
        <w:t>que las entidades pueden diseñar un formulario para que los proponentes presenten su oferta económica, sin que sea obligatorio sujetarse al formulario que los documentos tipo proponen para el efecto.</w:t>
      </w:r>
      <w:r w:rsidRPr="00A23397">
        <w:rPr>
          <w:rFonts w:ascii="Arial" w:eastAsia="Arial" w:hAnsi="Arial" w:cs="Arial"/>
          <w:bCs/>
          <w:sz w:val="22"/>
          <w:lang w:val="es-ES"/>
        </w:rPr>
        <w:t xml:space="preserve"> En todo caso, el proponente deberá emplear el formulario que establezca la entidad. </w:t>
      </w:r>
    </w:p>
    <w:p w14:paraId="3CBF64E3" w14:textId="5425E103" w:rsidR="00A23397" w:rsidRPr="00A23397" w:rsidRDefault="00A23397" w:rsidP="00761773">
      <w:pPr>
        <w:widowControl w:val="0"/>
        <w:autoSpaceDE w:val="0"/>
        <w:autoSpaceDN w:val="0"/>
        <w:spacing w:before="120" w:after="120" w:line="276" w:lineRule="auto"/>
        <w:ind w:firstLine="709"/>
        <w:jc w:val="both"/>
        <w:rPr>
          <w:rFonts w:ascii="Arial" w:eastAsia="Arial" w:hAnsi="Arial" w:cs="Arial"/>
          <w:bCs/>
          <w:sz w:val="22"/>
          <w:lang w:val="es-ES"/>
        </w:rPr>
      </w:pPr>
      <w:r w:rsidRPr="00A23397">
        <w:rPr>
          <w:rFonts w:ascii="Arial" w:eastAsia="Arial" w:hAnsi="Arial" w:cs="Arial"/>
          <w:bCs/>
          <w:sz w:val="22"/>
          <w:lang w:val="es-ES"/>
        </w:rPr>
        <w:t>Lo anterior es concordante con lo dispuesto en el numeral 4.1 del Documento Base, que establece que la entidad «debe configurar el formato de oferta económica que se encuentra en el Formulario 1 – Formulario de Presupuesto Oficial, para que sea diligenciado por los proponentes». En tales términos, la presentación de la oferta económica por parte del proponente se realizará teniendo en cuenta el formato determinado por la entidad, sea el que configure de acuerdo con el Formulario 1 o aquel que disponga sobre el particular</w:t>
      </w:r>
      <w:r w:rsidRPr="001513E1">
        <w:rPr>
          <w:rFonts w:ascii="Arial" w:eastAsia="Arial" w:hAnsi="Arial" w:cs="Arial"/>
          <w:bCs/>
          <w:sz w:val="22"/>
          <w:lang w:val="es-ES"/>
        </w:rPr>
        <w:t xml:space="preserve">. Adicionalmente, los proponentes al presentar su oferta </w:t>
      </w:r>
      <w:r w:rsidRPr="001513E1">
        <w:rPr>
          <w:rFonts w:ascii="Arial" w:eastAsia="Arial" w:hAnsi="Arial" w:cs="Arial"/>
          <w:bCs/>
          <w:sz w:val="22"/>
          <w:lang w:val="es-ES"/>
        </w:rPr>
        <w:lastRenderedPageBreak/>
        <w:t>deberán ceñirse a las reglas para la presentación de oferta establecidas en los numerales 2.3 y 4.1 del Documento Base, así como observar el análisis de precios unitarios, procurando no ofertar por encima de los valores tope establecidos por la entid</w:t>
      </w:r>
      <w:r w:rsidRPr="00A23397">
        <w:rPr>
          <w:rFonts w:ascii="Arial" w:eastAsia="Arial" w:hAnsi="Arial" w:cs="Arial"/>
          <w:bCs/>
          <w:sz w:val="22"/>
          <w:lang w:val="es-ES"/>
        </w:rPr>
        <w:t xml:space="preserve">ad para algunos de los ítems, en caso de que se opte por dicha regulación.  </w:t>
      </w:r>
    </w:p>
    <w:p w14:paraId="51D9CD9B" w14:textId="5E4C17E7" w:rsidR="00A23397" w:rsidRDefault="00A23397" w:rsidP="00761773">
      <w:pPr>
        <w:widowControl w:val="0"/>
        <w:autoSpaceDE w:val="0"/>
        <w:autoSpaceDN w:val="0"/>
        <w:spacing w:line="276" w:lineRule="auto"/>
        <w:ind w:firstLine="709"/>
        <w:jc w:val="both"/>
        <w:rPr>
          <w:rFonts w:ascii="Arial" w:hAnsi="Arial" w:cs="Arial"/>
          <w:sz w:val="22"/>
          <w:lang w:val="es-ES"/>
        </w:rPr>
      </w:pPr>
      <w:r w:rsidRPr="00A23397">
        <w:rPr>
          <w:rFonts w:ascii="Arial" w:eastAsia="Arial" w:hAnsi="Arial" w:cs="Arial"/>
          <w:bCs/>
          <w:sz w:val="22"/>
          <w:lang w:val="es-ES"/>
        </w:rPr>
        <w:t>Así las cosas, los oferentes deben usar la segunda pestaña del «Formulario 1 – Formulario de Presupuesto</w:t>
      </w:r>
      <w:r w:rsidRPr="00A23397">
        <w:rPr>
          <w:rFonts w:ascii="Arial" w:hAnsi="Arial" w:cs="Arial"/>
          <w:sz w:val="22"/>
          <w:lang w:val="es-ES"/>
        </w:rPr>
        <w:t xml:space="preserve"> Oficial» puesta a disposición en formato Excel por la respectiva entidad, titulada «propuesta económica», sin perjuicio de que las entidades estatales modifiquen o establezcan la presentación de la oferta económica en un formulario distinto.</w:t>
      </w:r>
    </w:p>
    <w:p w14:paraId="283DDB3A" w14:textId="77777777" w:rsidR="003A0550" w:rsidRPr="00750749" w:rsidRDefault="003A0550" w:rsidP="00761773">
      <w:pPr>
        <w:widowControl w:val="0"/>
        <w:autoSpaceDE w:val="0"/>
        <w:autoSpaceDN w:val="0"/>
        <w:spacing w:line="276" w:lineRule="auto"/>
        <w:ind w:firstLine="709"/>
        <w:jc w:val="both"/>
        <w:rPr>
          <w:rFonts w:ascii="Arial" w:hAnsi="Arial" w:cs="Arial"/>
          <w:sz w:val="22"/>
          <w:lang w:val="es-ES"/>
        </w:rPr>
      </w:pPr>
    </w:p>
    <w:p w14:paraId="2E8B1EFB" w14:textId="402BBDFB" w:rsidR="00750749" w:rsidRPr="00993BBB" w:rsidRDefault="00750749" w:rsidP="00A23397">
      <w:pPr>
        <w:jc w:val="both"/>
        <w:rPr>
          <w:rFonts w:ascii="Arial" w:eastAsia="Times New Roman" w:hAnsi="Arial" w:cs="Arial"/>
          <w:b/>
          <w:bCs/>
          <w:sz w:val="22"/>
          <w:lang w:eastAsia="es-ES_tradnl"/>
        </w:rPr>
      </w:pPr>
      <w:r w:rsidRPr="00993BBB">
        <w:rPr>
          <w:rFonts w:ascii="Arial" w:hAnsi="Arial" w:cs="Arial"/>
          <w:b/>
          <w:bCs/>
          <w:color w:val="000000"/>
          <w:sz w:val="22"/>
          <w:lang w:val="es-CO" w:eastAsia="en-GB"/>
        </w:rPr>
        <w:t>2.2</w:t>
      </w:r>
      <w:r w:rsidR="00A23397" w:rsidRPr="00993BBB">
        <w:rPr>
          <w:rFonts w:ascii="Arial" w:hAnsi="Arial" w:cs="Arial"/>
          <w:b/>
          <w:bCs/>
          <w:color w:val="000000"/>
          <w:sz w:val="22"/>
          <w:lang w:val="es-CO" w:eastAsia="en-GB"/>
        </w:rPr>
        <w:t>.</w:t>
      </w:r>
      <w:r w:rsidR="00A23397" w:rsidRPr="00993BBB">
        <w:rPr>
          <w:rFonts w:ascii="Arial" w:eastAsia="Times New Roman" w:hAnsi="Arial" w:cs="Arial"/>
          <w:b/>
          <w:bCs/>
          <w:sz w:val="22"/>
          <w:lang w:val="es-CO" w:eastAsia="es-ES_tradnl"/>
        </w:rPr>
        <w:t xml:space="preserve"> </w:t>
      </w:r>
      <w:r w:rsidRPr="00993BBB">
        <w:rPr>
          <w:rFonts w:ascii="Arial" w:eastAsia="Times New Roman" w:hAnsi="Arial" w:cs="Arial"/>
          <w:b/>
          <w:bCs/>
          <w:sz w:val="22"/>
          <w:lang w:val="es-CO" w:eastAsia="es-ES_tradnl"/>
        </w:rPr>
        <w:t>Alcan</w:t>
      </w:r>
      <w:r w:rsidR="007F5F1E">
        <w:rPr>
          <w:rFonts w:ascii="Arial" w:eastAsia="Times New Roman" w:hAnsi="Arial" w:cs="Arial"/>
          <w:b/>
          <w:bCs/>
          <w:sz w:val="22"/>
          <w:lang w:val="es-CO" w:eastAsia="es-ES_tradnl"/>
        </w:rPr>
        <w:t>ce de la Nota 2 del Formulario 1</w:t>
      </w:r>
      <w:r w:rsidR="00C1580A">
        <w:rPr>
          <w:rFonts w:ascii="Arial" w:eastAsia="Times New Roman" w:hAnsi="Arial" w:cs="Arial"/>
          <w:b/>
          <w:bCs/>
          <w:sz w:val="22"/>
          <w:lang w:val="es-CO" w:eastAsia="es-ES_tradnl"/>
        </w:rPr>
        <w:t xml:space="preserve"> y </w:t>
      </w:r>
      <w:r w:rsidRPr="00993BBB">
        <w:rPr>
          <w:rFonts w:ascii="Arial" w:eastAsia="Times New Roman" w:hAnsi="Arial" w:cs="Arial"/>
          <w:b/>
          <w:bCs/>
          <w:sz w:val="22"/>
          <w:lang w:val="es-CO" w:eastAsia="es-ES_tradnl"/>
        </w:rPr>
        <w:t>correcciones aritméticas</w:t>
      </w:r>
    </w:p>
    <w:p w14:paraId="15CE80F2" w14:textId="77777777" w:rsidR="00750749" w:rsidRPr="00993BBB" w:rsidRDefault="00750749" w:rsidP="00A23397">
      <w:pPr>
        <w:jc w:val="both"/>
        <w:rPr>
          <w:rFonts w:ascii="Times New Roman" w:eastAsia="Times New Roman" w:hAnsi="Times New Roman"/>
          <w:b/>
          <w:bCs/>
          <w:sz w:val="22"/>
          <w:lang w:val="es-CO" w:eastAsia="es-ES_tradnl"/>
        </w:rPr>
      </w:pPr>
    </w:p>
    <w:p w14:paraId="1C1D92FB" w14:textId="6378FE84" w:rsidR="00C23007" w:rsidRPr="00993BBB" w:rsidRDefault="00C23007" w:rsidP="00761773">
      <w:pPr>
        <w:spacing w:line="276" w:lineRule="auto"/>
        <w:jc w:val="both"/>
        <w:rPr>
          <w:rFonts w:ascii="Arial" w:hAnsi="Arial" w:cs="Arial"/>
          <w:color w:val="000000" w:themeColor="text1"/>
          <w:sz w:val="22"/>
        </w:rPr>
      </w:pPr>
      <w:r w:rsidRPr="00993BBB">
        <w:rPr>
          <w:rFonts w:ascii="Arial" w:hAnsi="Arial" w:cs="Arial"/>
          <w:color w:val="000000" w:themeColor="text1"/>
          <w:sz w:val="22"/>
        </w:rPr>
        <w:t>La Nota 2 del «Formulario 1 – Formulario de Presupuesto oficial» se refiere a la aproximación de las fracciones decimales al número entero más cercano, de la siguiente manera:</w:t>
      </w:r>
    </w:p>
    <w:p w14:paraId="359C6753" w14:textId="77777777" w:rsidR="00C23007" w:rsidRPr="00993BBB" w:rsidRDefault="00C23007" w:rsidP="00993BBB">
      <w:pPr>
        <w:pStyle w:val="Prrafodelista"/>
        <w:spacing w:line="276" w:lineRule="auto"/>
        <w:jc w:val="both"/>
        <w:rPr>
          <w:rFonts w:ascii="Arial" w:hAnsi="Arial" w:cs="Arial"/>
          <w:color w:val="000000" w:themeColor="text1"/>
          <w:sz w:val="22"/>
        </w:rPr>
      </w:pPr>
    </w:p>
    <w:p w14:paraId="4C34A136" w14:textId="77777777" w:rsidR="00C23007" w:rsidRPr="00993BBB" w:rsidRDefault="00C23007" w:rsidP="00993BBB">
      <w:pPr>
        <w:spacing w:line="276" w:lineRule="auto"/>
        <w:ind w:left="709" w:right="709"/>
        <w:jc w:val="both"/>
        <w:rPr>
          <w:rFonts w:ascii="Arial" w:eastAsia="Times New Roman" w:hAnsi="Arial" w:cs="Arial"/>
          <w:sz w:val="21"/>
          <w:szCs w:val="21"/>
        </w:rPr>
      </w:pPr>
      <w:r w:rsidRPr="00993BBB">
        <w:rPr>
          <w:rFonts w:ascii="Arial" w:eastAsia="Times New Roman" w:hAnsi="Arial" w:cs="Arial"/>
          <w:b/>
          <w:bCs/>
          <w:sz w:val="21"/>
          <w:szCs w:val="21"/>
        </w:rPr>
        <w:t>«NOTA 2</w:t>
      </w:r>
      <w:r w:rsidRPr="00993BBB">
        <w:rPr>
          <w:rFonts w:ascii="Arial" w:eastAsia="Times New Roman" w:hAnsi="Arial" w:cs="Arial"/>
          <w:sz w:val="21"/>
          <w:szCs w:val="21"/>
        </w:rPr>
        <w:t xml:space="preserve">: Cuando la fracción decimal del peso sea igual o superior a 5 se aproximará por exceso al número entero siguiente del peso y cuando la fracción decimal del peso sea inferior a 5 se aproximará por defecto al número entero del peso.» </w:t>
      </w:r>
    </w:p>
    <w:p w14:paraId="1A196817" w14:textId="77777777" w:rsidR="00C23007" w:rsidRPr="00993BBB" w:rsidRDefault="00C23007" w:rsidP="00993BBB">
      <w:pPr>
        <w:pStyle w:val="Prrafodelista"/>
        <w:spacing w:line="276" w:lineRule="auto"/>
        <w:jc w:val="both"/>
        <w:rPr>
          <w:rFonts w:ascii="Arial" w:eastAsia="Times New Roman" w:hAnsi="Arial" w:cs="Arial"/>
          <w:bCs/>
          <w:color w:val="000000" w:themeColor="text1"/>
          <w:sz w:val="21"/>
          <w:szCs w:val="21"/>
          <w:lang w:eastAsia="es-ES_tradnl"/>
        </w:rPr>
      </w:pPr>
    </w:p>
    <w:p w14:paraId="2F427F08" w14:textId="144CC5CF" w:rsidR="00C23007" w:rsidRPr="00993BBB" w:rsidRDefault="00761773" w:rsidP="00761773">
      <w:pPr>
        <w:pStyle w:val="Encabezado"/>
        <w:tabs>
          <w:tab w:val="clear" w:pos="4252"/>
          <w:tab w:val="clear" w:pos="8504"/>
          <w:tab w:val="center" w:pos="709"/>
          <w:tab w:val="right" w:pos="8838"/>
        </w:tabs>
        <w:spacing w:line="276" w:lineRule="auto"/>
        <w:jc w:val="both"/>
        <w:rPr>
          <w:rFonts w:ascii="Arial" w:hAnsi="Arial" w:cs="Arial"/>
          <w:color w:val="000000" w:themeColor="text1"/>
          <w:sz w:val="22"/>
          <w:u w:val="single"/>
        </w:rPr>
      </w:pPr>
      <w:r>
        <w:rPr>
          <w:rFonts w:ascii="Arial" w:eastAsia="Calibri" w:hAnsi="Arial" w:cs="Arial"/>
          <w:color w:val="000000" w:themeColor="text1"/>
          <w:sz w:val="22"/>
        </w:rPr>
        <w:tab/>
      </w:r>
      <w:r>
        <w:rPr>
          <w:rFonts w:ascii="Arial" w:eastAsia="Calibri" w:hAnsi="Arial" w:cs="Arial"/>
          <w:color w:val="000000" w:themeColor="text1"/>
          <w:sz w:val="22"/>
        </w:rPr>
        <w:tab/>
      </w:r>
      <w:r w:rsidR="00C23007" w:rsidRPr="00993BBB">
        <w:rPr>
          <w:rFonts w:ascii="Arial" w:eastAsia="Calibri" w:hAnsi="Arial" w:cs="Arial"/>
          <w:color w:val="000000" w:themeColor="text1"/>
          <w:sz w:val="22"/>
        </w:rPr>
        <w:t>Para determinar el alcance de esta nota y definir si se refiere a los precios unitarios o al valor total, conviene acudir al numeral 4.1 del Documento Base, el cual, contiene las reglas referentes a la oferta económica.</w:t>
      </w:r>
      <w:r w:rsidR="00C23007" w:rsidRPr="00993BBB">
        <w:rPr>
          <w:rFonts w:ascii="Arial" w:hAnsi="Arial" w:cs="Arial"/>
          <w:color w:val="000000" w:themeColor="text1"/>
          <w:sz w:val="22"/>
        </w:rPr>
        <w:t xml:space="preserve"> </w:t>
      </w:r>
      <w:r w:rsidR="00C23007" w:rsidRPr="00993BBB">
        <w:rPr>
          <w:rFonts w:ascii="Arial" w:eastAsia="Calibri" w:hAnsi="Arial" w:cs="Arial"/>
          <w:color w:val="000000" w:themeColor="text1"/>
          <w:sz w:val="22"/>
        </w:rPr>
        <w:t>Una de estas reglas es la señalada en el numeral 4.1.2. del mismo documento, la cual, trata sobre las correcciones aritméticas de las propuestas económicas, de la siguiente manera:</w:t>
      </w:r>
    </w:p>
    <w:p w14:paraId="25102AA7" w14:textId="77777777" w:rsidR="00C23007" w:rsidRPr="00993BBB" w:rsidRDefault="00C23007" w:rsidP="00993BBB">
      <w:pPr>
        <w:pStyle w:val="Encabezado"/>
        <w:spacing w:line="276" w:lineRule="auto"/>
        <w:ind w:left="720"/>
        <w:jc w:val="both"/>
        <w:rPr>
          <w:rFonts w:ascii="Arial" w:hAnsi="Arial" w:cs="Arial"/>
          <w:color w:val="000000" w:themeColor="text1"/>
          <w:sz w:val="22"/>
          <w:u w:val="single"/>
        </w:rPr>
      </w:pPr>
    </w:p>
    <w:p w14:paraId="78410CD9" w14:textId="77777777" w:rsidR="00C23007" w:rsidRPr="00993BBB" w:rsidRDefault="00C23007" w:rsidP="00607DC3">
      <w:pPr>
        <w:ind w:left="709" w:right="709"/>
        <w:jc w:val="both"/>
        <w:rPr>
          <w:rFonts w:ascii="Arial" w:hAnsi="Arial" w:cs="Arial"/>
          <w:b/>
          <w:caps/>
          <w:sz w:val="21"/>
          <w:szCs w:val="21"/>
        </w:rPr>
      </w:pPr>
      <w:bookmarkStart w:id="11" w:name="_Toc84411348"/>
      <w:r w:rsidRPr="00993BBB">
        <w:rPr>
          <w:rFonts w:ascii="Arial" w:hAnsi="Arial" w:cs="Arial"/>
          <w:b/>
          <w:caps/>
          <w:sz w:val="21"/>
          <w:szCs w:val="21"/>
        </w:rPr>
        <w:t>«4.1.2. CORRECCIONES ARITMÉTICAS</w:t>
      </w:r>
      <w:bookmarkEnd w:id="11"/>
      <w:r w:rsidRPr="00993BBB">
        <w:rPr>
          <w:rFonts w:ascii="Arial" w:hAnsi="Arial" w:cs="Arial"/>
          <w:b/>
          <w:caps/>
          <w:sz w:val="21"/>
          <w:szCs w:val="21"/>
        </w:rPr>
        <w:t xml:space="preserve"> </w:t>
      </w:r>
    </w:p>
    <w:p w14:paraId="7296EC45" w14:textId="77777777" w:rsidR="00C23007" w:rsidRPr="00993BBB" w:rsidRDefault="00C23007" w:rsidP="00607DC3">
      <w:pPr>
        <w:ind w:left="709" w:right="709"/>
        <w:jc w:val="both"/>
        <w:rPr>
          <w:rFonts w:ascii="Arial" w:hAnsi="Arial" w:cs="Arial"/>
          <w:sz w:val="21"/>
          <w:szCs w:val="21"/>
        </w:rPr>
      </w:pPr>
    </w:p>
    <w:p w14:paraId="22F3149F" w14:textId="77777777" w:rsidR="00C23007" w:rsidRPr="00993BBB" w:rsidRDefault="00C23007" w:rsidP="00607DC3">
      <w:pPr>
        <w:ind w:left="709" w:right="709"/>
        <w:jc w:val="both"/>
        <w:rPr>
          <w:rFonts w:ascii="Arial" w:hAnsi="Arial" w:cs="Arial"/>
          <w:sz w:val="21"/>
          <w:szCs w:val="21"/>
        </w:rPr>
      </w:pPr>
      <w:r w:rsidRPr="00993BBB">
        <w:rPr>
          <w:rFonts w:ascii="Arial" w:hAnsi="Arial" w:cs="Arial"/>
          <w:sz w:val="21"/>
          <w:szCs w:val="21"/>
        </w:rPr>
        <w:t>La entidad solo efectuará correcciones aritméticas originadas por:</w:t>
      </w:r>
    </w:p>
    <w:p w14:paraId="626ACD7C" w14:textId="77777777" w:rsidR="00C23007" w:rsidRPr="00993BBB" w:rsidRDefault="00C23007" w:rsidP="00607DC3">
      <w:pPr>
        <w:ind w:left="709" w:right="709"/>
        <w:jc w:val="both"/>
        <w:rPr>
          <w:rFonts w:ascii="Arial" w:hAnsi="Arial" w:cs="Arial"/>
          <w:sz w:val="21"/>
          <w:szCs w:val="21"/>
        </w:rPr>
      </w:pPr>
    </w:p>
    <w:p w14:paraId="3659F0F4" w14:textId="77777777" w:rsidR="00C23007" w:rsidRPr="00993BBB" w:rsidRDefault="00C23007" w:rsidP="00607DC3">
      <w:pPr>
        <w:ind w:left="709" w:right="709"/>
        <w:jc w:val="both"/>
        <w:rPr>
          <w:rFonts w:ascii="Arial" w:hAnsi="Arial" w:cs="Arial"/>
          <w:sz w:val="21"/>
          <w:szCs w:val="21"/>
        </w:rPr>
      </w:pPr>
      <w:r w:rsidRPr="00993BBB">
        <w:rPr>
          <w:rFonts w:ascii="Arial" w:hAnsi="Arial" w:cs="Arial"/>
          <w:sz w:val="21"/>
          <w:szCs w:val="21"/>
        </w:rPr>
        <w:t>A. Todas las operaciones aritméticas a que haya lugar en la propuesta económica, cuando exista un error que surja de un cálculo meramente aritmético cuando la operación ha sido erróneamente realizada.</w:t>
      </w:r>
    </w:p>
    <w:p w14:paraId="337D917D" w14:textId="77777777" w:rsidR="00C23007" w:rsidRPr="00993BBB" w:rsidRDefault="00C23007" w:rsidP="00607DC3">
      <w:pPr>
        <w:pStyle w:val="Prrafodelista"/>
        <w:rPr>
          <w:rFonts w:ascii="Arial" w:hAnsi="Arial" w:cs="Arial"/>
          <w:sz w:val="21"/>
          <w:szCs w:val="21"/>
        </w:rPr>
      </w:pPr>
    </w:p>
    <w:p w14:paraId="734341DF" w14:textId="77777777" w:rsidR="00C23007" w:rsidRPr="00993BBB" w:rsidRDefault="00C23007" w:rsidP="00607DC3">
      <w:pPr>
        <w:ind w:left="709" w:right="709"/>
        <w:jc w:val="both"/>
        <w:rPr>
          <w:rFonts w:ascii="Arial" w:hAnsi="Arial" w:cs="Arial"/>
          <w:sz w:val="21"/>
          <w:szCs w:val="21"/>
        </w:rPr>
      </w:pPr>
      <w:r w:rsidRPr="00993BBB">
        <w:rPr>
          <w:rFonts w:ascii="Arial" w:hAnsi="Arial" w:cs="Arial"/>
          <w:sz w:val="21"/>
          <w:szCs w:val="21"/>
        </w:rPr>
        <w:t xml:space="preserve">B. El ajuste al peso ya sea por exceso o por defecto de los </w:t>
      </w:r>
      <w:r w:rsidRPr="00993BBB">
        <w:rPr>
          <w:rFonts w:ascii="Arial" w:hAnsi="Arial" w:cs="Arial"/>
          <w:i/>
          <w:sz w:val="21"/>
          <w:szCs w:val="21"/>
        </w:rPr>
        <w:t>precios unitarios</w:t>
      </w:r>
      <w:r w:rsidRPr="00993BBB">
        <w:rPr>
          <w:rFonts w:ascii="Arial" w:hAnsi="Arial" w:cs="Arial"/>
          <w:sz w:val="21"/>
          <w:szCs w:val="21"/>
        </w:rPr>
        <w:t xml:space="preserve"> contenidos en la propuesta económica de las operaciones aritméticas a que haya lugar y del valor del IVA, así: cuando la fracción decimal del peso sea igual o superior a punto cinco (0.5) se aproximará por exceso al número entero siguiente del peso y cuando la fracción decimal del peso sea inferior a punto cinco (0.5) se aproximará por defecto al número entero. (Cursivas fuera del texto).</w:t>
      </w:r>
    </w:p>
    <w:p w14:paraId="76430391" w14:textId="77777777" w:rsidR="00C23007" w:rsidRPr="00993BBB" w:rsidRDefault="00C23007" w:rsidP="00607DC3">
      <w:pPr>
        <w:ind w:left="709" w:right="709"/>
        <w:jc w:val="both"/>
        <w:rPr>
          <w:rFonts w:ascii="Arial" w:hAnsi="Arial" w:cs="Arial"/>
          <w:sz w:val="21"/>
          <w:szCs w:val="21"/>
        </w:rPr>
      </w:pPr>
    </w:p>
    <w:p w14:paraId="03ECBFC0" w14:textId="77777777" w:rsidR="00C23007" w:rsidRPr="00993BBB" w:rsidRDefault="00C23007" w:rsidP="00607DC3">
      <w:pPr>
        <w:ind w:left="709" w:right="709"/>
        <w:jc w:val="both"/>
        <w:rPr>
          <w:rFonts w:ascii="Arial" w:hAnsi="Arial" w:cs="Arial"/>
          <w:sz w:val="21"/>
          <w:szCs w:val="21"/>
        </w:rPr>
      </w:pPr>
      <w:r w:rsidRPr="00993BBB">
        <w:rPr>
          <w:rFonts w:ascii="Arial" w:hAnsi="Arial" w:cs="Arial"/>
          <w:sz w:val="21"/>
          <w:szCs w:val="21"/>
        </w:rPr>
        <w:lastRenderedPageBreak/>
        <w:t>La entidad a partir del valor total corregido de las propuestas asignará el puntaje de conformidad con el proceso del numeral 4.1.4.»</w:t>
      </w:r>
    </w:p>
    <w:p w14:paraId="2C84D5C9" w14:textId="77777777" w:rsidR="00C23007" w:rsidRPr="00993BBB" w:rsidRDefault="00C23007" w:rsidP="00993BBB">
      <w:pPr>
        <w:spacing w:line="276" w:lineRule="auto"/>
        <w:ind w:left="709" w:right="709"/>
        <w:jc w:val="both"/>
        <w:rPr>
          <w:sz w:val="22"/>
        </w:rPr>
      </w:pPr>
    </w:p>
    <w:p w14:paraId="23174350" w14:textId="4BD28BF7" w:rsidR="00467445" w:rsidRDefault="00467445" w:rsidP="00761773">
      <w:pPr>
        <w:spacing w:after="120" w:line="276" w:lineRule="auto"/>
        <w:ind w:firstLine="709"/>
        <w:jc w:val="both"/>
        <w:rPr>
          <w:rFonts w:ascii="Arial" w:hAnsi="Arial" w:cs="Arial"/>
          <w:sz w:val="22"/>
        </w:rPr>
      </w:pPr>
      <w:bookmarkStart w:id="12" w:name="_Hlk57053692"/>
      <w:r w:rsidRPr="00C1580A">
        <w:rPr>
          <w:rFonts w:ascii="Arial" w:hAnsi="Arial" w:cs="Arial"/>
          <w:sz w:val="22"/>
        </w:rPr>
        <w:t>De acuerdo con la regla del literal B es posible concluir que el ajuste al peso de que trata la Nota 2 del F</w:t>
      </w:r>
      <w:r w:rsidR="007F5F1E">
        <w:rPr>
          <w:rFonts w:ascii="Arial" w:hAnsi="Arial" w:cs="Arial"/>
          <w:sz w:val="22"/>
        </w:rPr>
        <w:t>ormulario</w:t>
      </w:r>
      <w:r w:rsidRPr="00C1580A">
        <w:rPr>
          <w:rFonts w:ascii="Arial" w:hAnsi="Arial" w:cs="Arial"/>
          <w:sz w:val="22"/>
        </w:rPr>
        <w:t xml:space="preserve"> 1 da lugar a correcciones aritméticas de la oferta económica, y este ajuste recae sobre los precios unitarios</w:t>
      </w:r>
      <w:r>
        <w:rPr>
          <w:rFonts w:ascii="Arial" w:hAnsi="Arial" w:cs="Arial"/>
          <w:sz w:val="22"/>
        </w:rPr>
        <w:t>, pues, la regla señala: «</w:t>
      </w:r>
      <w:r w:rsidRPr="00C1580A">
        <w:rPr>
          <w:rFonts w:ascii="Arial" w:hAnsi="Arial" w:cs="Arial"/>
          <w:sz w:val="22"/>
        </w:rPr>
        <w:t xml:space="preserve">El ajuste al peso ya sea por exceso o por defecto de los </w:t>
      </w:r>
      <w:r w:rsidRPr="00467445">
        <w:rPr>
          <w:rFonts w:ascii="Arial" w:hAnsi="Arial" w:cs="Arial"/>
          <w:i/>
          <w:sz w:val="22"/>
        </w:rPr>
        <w:t>precios unitarios</w:t>
      </w:r>
      <w:r w:rsidRPr="00C1580A">
        <w:rPr>
          <w:rFonts w:ascii="Arial" w:hAnsi="Arial" w:cs="Arial"/>
          <w:sz w:val="22"/>
        </w:rPr>
        <w:t xml:space="preserve"> contenidos en la propuesta económic</w:t>
      </w:r>
      <w:r w:rsidR="00577574">
        <w:rPr>
          <w:rFonts w:ascii="Arial" w:hAnsi="Arial" w:cs="Arial"/>
          <w:sz w:val="22"/>
        </w:rPr>
        <w:t>a</w:t>
      </w:r>
      <w:r>
        <w:rPr>
          <w:rFonts w:ascii="Arial" w:hAnsi="Arial" w:cs="Arial"/>
          <w:sz w:val="22"/>
        </w:rPr>
        <w:t>»</w:t>
      </w:r>
    </w:p>
    <w:p w14:paraId="053CD4FE" w14:textId="471D1EFB" w:rsidR="00E84DEE" w:rsidRPr="00993BBB" w:rsidRDefault="00E84DEE" w:rsidP="00761773">
      <w:pPr>
        <w:spacing w:after="120" w:line="276" w:lineRule="auto"/>
        <w:ind w:firstLine="708"/>
        <w:jc w:val="both"/>
        <w:rPr>
          <w:rFonts w:ascii="Arial" w:hAnsi="Arial" w:cs="Arial"/>
          <w:color w:val="000000" w:themeColor="text1"/>
          <w:sz w:val="22"/>
        </w:rPr>
      </w:pPr>
      <w:r>
        <w:rPr>
          <w:rFonts w:ascii="Arial" w:eastAsia="Arial" w:hAnsi="Arial" w:cs="Arial"/>
          <w:sz w:val="22"/>
        </w:rPr>
        <w:t>Cabe resaltar que l</w:t>
      </w:r>
      <w:r w:rsidRPr="00993BBB">
        <w:rPr>
          <w:rFonts w:ascii="Arial" w:eastAsia="Arial" w:hAnsi="Arial" w:cs="Arial"/>
          <w:sz w:val="22"/>
        </w:rPr>
        <w:t>a finalidad de la corrección aritmética es determinar el valor real de la oferta económica</w:t>
      </w:r>
      <w:r w:rsidRPr="00993BBB">
        <w:rPr>
          <w:rFonts w:ascii="Arial" w:hAnsi="Arial" w:cs="Arial"/>
          <w:color w:val="000000" w:themeColor="text1"/>
          <w:sz w:val="22"/>
        </w:rPr>
        <w:t>, en aras de garantizar los principios d</w:t>
      </w:r>
      <w:r>
        <w:rPr>
          <w:rFonts w:ascii="Arial" w:hAnsi="Arial" w:cs="Arial"/>
          <w:color w:val="000000" w:themeColor="text1"/>
          <w:sz w:val="22"/>
        </w:rPr>
        <w:t>e igualdad y selección objetiva, razón por la cua</w:t>
      </w:r>
      <w:r w:rsidRPr="00993BBB">
        <w:rPr>
          <w:rFonts w:ascii="Arial" w:hAnsi="Arial" w:cs="Arial"/>
          <w:color w:val="000000" w:themeColor="text1"/>
          <w:sz w:val="22"/>
        </w:rPr>
        <w:t>l</w:t>
      </w:r>
      <w:r>
        <w:rPr>
          <w:rFonts w:ascii="Arial" w:hAnsi="Arial" w:cs="Arial"/>
          <w:color w:val="000000" w:themeColor="text1"/>
          <w:sz w:val="22"/>
        </w:rPr>
        <w:t>, de acuerdo con lo</w:t>
      </w:r>
      <w:r w:rsidRPr="00993BBB">
        <w:rPr>
          <w:rFonts w:ascii="Arial" w:hAnsi="Arial" w:cs="Arial"/>
          <w:color w:val="000000" w:themeColor="text1"/>
          <w:sz w:val="22"/>
        </w:rPr>
        <w:t xml:space="preserve"> señalado en el inciso final del numeral 4.1.2</w:t>
      </w:r>
      <w:r>
        <w:rPr>
          <w:rFonts w:ascii="Arial" w:hAnsi="Arial" w:cs="Arial"/>
          <w:color w:val="000000" w:themeColor="text1"/>
          <w:sz w:val="22"/>
        </w:rPr>
        <w:t xml:space="preserve"> del Documento base, el</w:t>
      </w:r>
      <w:r w:rsidRPr="00993BBB">
        <w:rPr>
          <w:rFonts w:ascii="Arial" w:hAnsi="Arial" w:cs="Arial"/>
          <w:color w:val="000000" w:themeColor="text1"/>
          <w:sz w:val="22"/>
        </w:rPr>
        <w:t xml:space="preserve"> efecto de la corrección por ajuste al peso o de la cor</w:t>
      </w:r>
      <w:r>
        <w:rPr>
          <w:rFonts w:ascii="Arial" w:hAnsi="Arial" w:cs="Arial"/>
          <w:color w:val="000000" w:themeColor="text1"/>
          <w:sz w:val="22"/>
        </w:rPr>
        <w:t xml:space="preserve">rección de errores aritméticos es </w:t>
      </w:r>
      <w:r w:rsidRPr="00993BBB">
        <w:rPr>
          <w:rFonts w:ascii="Arial" w:hAnsi="Arial" w:cs="Arial"/>
          <w:color w:val="000000" w:themeColor="text1"/>
          <w:sz w:val="22"/>
        </w:rPr>
        <w:t>que el valor total corregido será el que se tendrá en cuent</w:t>
      </w:r>
      <w:r>
        <w:rPr>
          <w:rFonts w:ascii="Arial" w:hAnsi="Arial" w:cs="Arial"/>
          <w:color w:val="000000" w:themeColor="text1"/>
          <w:sz w:val="22"/>
        </w:rPr>
        <w:t xml:space="preserve">a para la asignación de puntaje.  Esto </w:t>
      </w:r>
      <w:r w:rsidRPr="00993BBB">
        <w:rPr>
          <w:rFonts w:ascii="Arial" w:hAnsi="Arial" w:cs="Arial"/>
          <w:color w:val="000000" w:themeColor="text1"/>
          <w:sz w:val="22"/>
        </w:rPr>
        <w:t xml:space="preserve">es </w:t>
      </w:r>
      <w:r w:rsidRPr="00C1580A">
        <w:rPr>
          <w:rFonts w:ascii="Arial" w:hAnsi="Arial" w:cs="Arial"/>
          <w:color w:val="000000" w:themeColor="text1"/>
          <w:sz w:val="22"/>
        </w:rPr>
        <w:t>congruente</w:t>
      </w:r>
      <w:r w:rsidRPr="00993BBB">
        <w:rPr>
          <w:rFonts w:ascii="Arial" w:hAnsi="Arial" w:cs="Arial"/>
          <w:color w:val="000000" w:themeColor="text1"/>
          <w:sz w:val="22"/>
        </w:rPr>
        <w:t xml:space="preserve"> con el numeral 4.1 que señala que para </w:t>
      </w:r>
      <w:r w:rsidRPr="00993BBB">
        <w:rPr>
          <w:rFonts w:ascii="Arial" w:hAnsi="Arial" w:cs="Arial"/>
          <w:sz w:val="22"/>
        </w:rPr>
        <w:t xml:space="preserve">calificar el factor de la oferta económica se tendrá en cuenta el valor total indicado en la propuesta económica o </w:t>
      </w:r>
      <w:r w:rsidRPr="00315A82">
        <w:rPr>
          <w:rFonts w:ascii="Arial" w:hAnsi="Arial" w:cs="Arial"/>
          <w:i/>
          <w:sz w:val="22"/>
        </w:rPr>
        <w:t>el obtenido de la corrección aritmética.</w:t>
      </w:r>
      <w:r w:rsidRPr="00993BBB">
        <w:rPr>
          <w:rFonts w:ascii="Arial" w:hAnsi="Arial" w:cs="Arial"/>
          <w:sz w:val="22"/>
        </w:rPr>
        <w:t xml:space="preserve"> </w:t>
      </w:r>
    </w:p>
    <w:bookmarkEnd w:id="12"/>
    <w:p w14:paraId="112CDCF2" w14:textId="5B97DF5B" w:rsidR="00467445" w:rsidRDefault="00315A82" w:rsidP="003616BA">
      <w:pPr>
        <w:spacing w:line="276" w:lineRule="auto"/>
        <w:ind w:firstLine="708"/>
        <w:jc w:val="both"/>
        <w:rPr>
          <w:rFonts w:ascii="Arial" w:hAnsi="Arial" w:cs="Arial"/>
          <w:sz w:val="22"/>
        </w:rPr>
      </w:pPr>
      <w:r>
        <w:rPr>
          <w:rFonts w:ascii="Arial" w:hAnsi="Arial" w:cs="Arial"/>
          <w:sz w:val="22"/>
        </w:rPr>
        <w:t>De igual modo</w:t>
      </w:r>
      <w:r w:rsidR="00C23007" w:rsidRPr="00993BBB">
        <w:rPr>
          <w:rFonts w:ascii="Arial" w:hAnsi="Arial" w:cs="Arial"/>
          <w:color w:val="000000" w:themeColor="text1"/>
          <w:sz w:val="22"/>
        </w:rPr>
        <w:t xml:space="preserve">, conviene tener en cuenta que el literal A del numeral 4.1.2. del Documento Base también contempla </w:t>
      </w:r>
      <w:r w:rsidR="00C23007" w:rsidRPr="00993BBB">
        <w:rPr>
          <w:rFonts w:ascii="Arial" w:hAnsi="Arial" w:cs="Arial"/>
          <w:i/>
          <w:color w:val="000000" w:themeColor="text1"/>
          <w:sz w:val="22"/>
        </w:rPr>
        <w:t xml:space="preserve">todas </w:t>
      </w:r>
      <w:r w:rsidR="00C23007" w:rsidRPr="00993BBB">
        <w:rPr>
          <w:rFonts w:ascii="Arial" w:hAnsi="Arial" w:cs="Arial"/>
          <w:color w:val="000000" w:themeColor="text1"/>
          <w:sz w:val="22"/>
        </w:rPr>
        <w:t>las operaciones aritméticas a que haya lugar en la propuesta económica ante un error que surja de un cálculo meramente aritmético cuando la operación ha sido erróneamente realizada, por lo que es posible que tanto el valor total como los precios unitarios sean objeto de c</w:t>
      </w:r>
      <w:r>
        <w:rPr>
          <w:rFonts w:ascii="Arial" w:hAnsi="Arial" w:cs="Arial"/>
          <w:color w:val="000000" w:themeColor="text1"/>
          <w:sz w:val="22"/>
        </w:rPr>
        <w:t>orrección aritmética.</w:t>
      </w:r>
      <w:r w:rsidR="00E84DEE">
        <w:rPr>
          <w:rFonts w:ascii="Arial" w:hAnsi="Arial" w:cs="Arial"/>
          <w:color w:val="000000" w:themeColor="text1"/>
          <w:sz w:val="22"/>
        </w:rPr>
        <w:t xml:space="preserve"> </w:t>
      </w:r>
      <w:r w:rsidR="00467445" w:rsidRPr="00C1580A">
        <w:rPr>
          <w:rFonts w:ascii="Arial" w:hAnsi="Arial" w:cs="Arial"/>
          <w:sz w:val="22"/>
        </w:rPr>
        <w:t xml:space="preserve">Por lo tanto, la entidad durante la etapa de evaluación de las ofertas económicas de los proponentes habilitados debe verificar, con base en la información registrada en el «Formulario 1 – Formulario de Presupuesto Oficial», cada una de las operaciones aritméticas que permitan verificar el valor real ofertado por el proponente. </w:t>
      </w:r>
      <w:r w:rsidR="00467445">
        <w:rPr>
          <w:rFonts w:ascii="Arial" w:hAnsi="Arial" w:cs="Arial"/>
          <w:sz w:val="22"/>
        </w:rPr>
        <w:t xml:space="preserve"> </w:t>
      </w:r>
      <w:r w:rsidR="00467445" w:rsidRPr="004368C1">
        <w:rPr>
          <w:rFonts w:ascii="Arial" w:hAnsi="Arial" w:cs="Arial"/>
          <w:sz w:val="22"/>
        </w:rPr>
        <w:t xml:space="preserve">La entidad debe realizar la verificación de los valores ofertados y la corrección aritmética, cuando esta se requiera, para cada una de las cifras registradas en el </w:t>
      </w:r>
      <w:r w:rsidR="00467445">
        <w:rPr>
          <w:rFonts w:ascii="Arial" w:hAnsi="Arial" w:cs="Arial"/>
          <w:sz w:val="22"/>
        </w:rPr>
        <w:t>«</w:t>
      </w:r>
      <w:r w:rsidR="00467445" w:rsidRPr="004368C1">
        <w:rPr>
          <w:rFonts w:ascii="Arial" w:hAnsi="Arial" w:cs="Arial"/>
          <w:sz w:val="22"/>
        </w:rPr>
        <w:t>Formulario 1 – Formulario de Presupuesto Oficial</w:t>
      </w:r>
      <w:r w:rsidR="00467445">
        <w:rPr>
          <w:rFonts w:ascii="Arial" w:hAnsi="Arial" w:cs="Arial"/>
          <w:sz w:val="22"/>
        </w:rPr>
        <w:t>»</w:t>
      </w:r>
      <w:r w:rsidR="00467445" w:rsidRPr="004368C1">
        <w:rPr>
          <w:rFonts w:ascii="Arial" w:hAnsi="Arial" w:cs="Arial"/>
          <w:sz w:val="22"/>
        </w:rPr>
        <w:t xml:space="preserve"> que tengan operaciones aritméticas y previo a seleccionar y aplicar el método de ponderación que corresponda de acuerdo con el numeral 4.1.4 del Documento Base. </w:t>
      </w:r>
    </w:p>
    <w:p w14:paraId="39F1DC77" w14:textId="77777777" w:rsidR="003616BA" w:rsidRPr="00E84DEE" w:rsidRDefault="003616BA" w:rsidP="003616BA">
      <w:pPr>
        <w:spacing w:line="276" w:lineRule="auto"/>
        <w:ind w:firstLine="708"/>
        <w:jc w:val="both"/>
        <w:rPr>
          <w:rFonts w:ascii="Arial" w:hAnsi="Arial" w:cs="Arial"/>
          <w:color w:val="000000" w:themeColor="text1"/>
          <w:sz w:val="22"/>
        </w:rPr>
      </w:pPr>
    </w:p>
    <w:p w14:paraId="295D7ABC" w14:textId="2E2144E7" w:rsidR="00A23397" w:rsidRPr="004708A0" w:rsidRDefault="00315A82" w:rsidP="00A23397">
      <w:pPr>
        <w:jc w:val="both"/>
        <w:rPr>
          <w:rFonts w:ascii="Arial" w:hAnsi="Arial" w:cs="Arial"/>
          <w:b/>
          <w:bCs/>
          <w:color w:val="000000"/>
          <w:sz w:val="20"/>
          <w:szCs w:val="20"/>
          <w:lang w:val="es-ES_tradnl" w:bidi="es-ES"/>
        </w:rPr>
      </w:pPr>
      <w:r>
        <w:rPr>
          <w:rFonts w:ascii="Arial" w:hAnsi="Arial" w:cs="Arial"/>
          <w:b/>
          <w:bCs/>
          <w:color w:val="000000"/>
          <w:sz w:val="22"/>
          <w:lang w:val="es-ES_tradnl"/>
        </w:rPr>
        <w:t xml:space="preserve">2.3 </w:t>
      </w:r>
      <w:r w:rsidR="00A23397" w:rsidRPr="004708A0">
        <w:rPr>
          <w:rFonts w:ascii="Arial" w:hAnsi="Arial" w:cs="Arial"/>
          <w:b/>
          <w:bCs/>
          <w:color w:val="000000"/>
          <w:sz w:val="22"/>
          <w:lang w:val="es-ES_tradnl"/>
        </w:rPr>
        <w:t>Presentación</w:t>
      </w:r>
      <w:r w:rsidR="00A23397" w:rsidRPr="004708A0">
        <w:rPr>
          <w:rFonts w:ascii="Arial" w:hAnsi="Arial" w:cs="Arial"/>
          <w:b/>
          <w:bCs/>
          <w:color w:val="000000"/>
          <w:sz w:val="22"/>
          <w:lang w:val="es-ES_tradnl" w:bidi="es-ES"/>
        </w:rPr>
        <w:t xml:space="preserve"> de la oferta económica en procesos regidos por los documentos tipo y las causales de rechazo</w:t>
      </w:r>
      <w:r w:rsidR="00A23397" w:rsidRPr="004708A0">
        <w:rPr>
          <w:rFonts w:ascii="Arial" w:hAnsi="Arial" w:cs="Arial"/>
          <w:b/>
          <w:bCs/>
          <w:color w:val="000000"/>
          <w:sz w:val="20"/>
          <w:szCs w:val="20"/>
          <w:lang w:val="es-ES_tradnl" w:bidi="es-ES"/>
        </w:rPr>
        <w:t xml:space="preserve"> </w:t>
      </w:r>
    </w:p>
    <w:p w14:paraId="023A41E3" w14:textId="77777777" w:rsidR="00A23397" w:rsidRPr="004708A0" w:rsidRDefault="00A23397" w:rsidP="00A23397">
      <w:pPr>
        <w:spacing w:line="276" w:lineRule="auto"/>
        <w:jc w:val="both"/>
        <w:rPr>
          <w:rFonts w:ascii="Arial" w:hAnsi="Arial" w:cs="Arial"/>
          <w:b/>
          <w:bCs/>
          <w:color w:val="000000"/>
          <w:sz w:val="20"/>
          <w:szCs w:val="20"/>
          <w:lang w:val="es-ES_tradnl" w:bidi="es-ES"/>
        </w:rPr>
      </w:pPr>
    </w:p>
    <w:p w14:paraId="0FFE4ECD" w14:textId="77777777" w:rsidR="00A23397" w:rsidRPr="004708A0" w:rsidRDefault="00A23397" w:rsidP="00A23397">
      <w:pPr>
        <w:tabs>
          <w:tab w:val="left" w:pos="709"/>
        </w:tabs>
        <w:spacing w:line="276" w:lineRule="auto"/>
        <w:jc w:val="both"/>
        <w:rPr>
          <w:rFonts w:ascii="Arial" w:hAnsi="Arial" w:cs="Arial"/>
          <w:sz w:val="22"/>
        </w:rPr>
      </w:pPr>
      <w:r w:rsidRPr="00315A82">
        <w:rPr>
          <w:rFonts w:ascii="Arial" w:hAnsi="Arial" w:cs="Arial"/>
          <w:sz w:val="22"/>
        </w:rPr>
        <w:t>Las causales de rechazo son las</w:t>
      </w:r>
      <w:r w:rsidRPr="004708A0">
        <w:rPr>
          <w:rFonts w:ascii="Arial" w:hAnsi="Arial" w:cs="Arial"/>
          <w:sz w:val="22"/>
        </w:rPr>
        <w:t xml:space="preserve"> establecidas en la Ley y las fijadas por la entidad estatal en los pliegos de condiciones. Sin embargo, en ejercicio de dicha facultad a las entidades no le es dable fijar causales de rechazo que soslayen o afecten la selección objetiva en la contratación. Sobre el particular, el Consejo de Estado señala:</w:t>
      </w:r>
    </w:p>
    <w:p w14:paraId="2A21BDD5" w14:textId="77777777" w:rsidR="00A23397" w:rsidRPr="004708A0" w:rsidRDefault="00A23397" w:rsidP="00A23397">
      <w:pPr>
        <w:tabs>
          <w:tab w:val="left" w:pos="709"/>
        </w:tabs>
        <w:spacing w:line="276" w:lineRule="auto"/>
        <w:ind w:firstLine="709"/>
        <w:jc w:val="both"/>
        <w:rPr>
          <w:rFonts w:ascii="Arial" w:hAnsi="Arial" w:cs="Arial"/>
          <w:sz w:val="22"/>
        </w:rPr>
      </w:pPr>
    </w:p>
    <w:p w14:paraId="6B7C5710" w14:textId="77777777" w:rsidR="00A23397" w:rsidRPr="004708A0" w:rsidRDefault="00A23397" w:rsidP="00A23397">
      <w:pPr>
        <w:tabs>
          <w:tab w:val="left" w:pos="709"/>
        </w:tabs>
        <w:ind w:left="709" w:right="709"/>
        <w:jc w:val="both"/>
        <w:rPr>
          <w:rFonts w:ascii="Arial" w:hAnsi="Arial" w:cs="Arial"/>
          <w:sz w:val="22"/>
        </w:rPr>
      </w:pPr>
      <w:r w:rsidRPr="004708A0">
        <w:rPr>
          <w:rFonts w:ascii="Arial" w:hAnsi="Arial" w:cs="Arial"/>
          <w:sz w:val="21"/>
          <w:szCs w:val="21"/>
        </w:rPr>
        <w:t xml:space="preserve">Quiere con esto destacar la Sala que las causales de rechazo de las propuestas pueden ser legales y por lo mismo generan el efecto del descarte o exclusión </w:t>
      </w:r>
      <w:r w:rsidRPr="004708A0">
        <w:rPr>
          <w:rFonts w:ascii="Arial" w:hAnsi="Arial" w:cs="Arial"/>
          <w:sz w:val="21"/>
          <w:szCs w:val="21"/>
        </w:rPr>
        <w:lastRenderedPageBreak/>
        <w:t>de la oferta ope legis,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w:t>
      </w:r>
      <w:r w:rsidRPr="004708A0">
        <w:rPr>
          <w:rFonts w:ascii="Arial" w:hAnsi="Arial" w:cs="Arial"/>
          <w:sz w:val="22"/>
        </w:rPr>
        <w:t xml:space="preserve"> </w:t>
      </w:r>
      <w:r w:rsidRPr="004708A0">
        <w:rPr>
          <w:rFonts w:ascii="Arial" w:hAnsi="Arial" w:cs="Arial"/>
          <w:sz w:val="21"/>
          <w:szCs w:val="21"/>
        </w:rPr>
        <w:t>transparencia, economía y responsabilidad, así como el deber de selección objetiva en la contratación</w:t>
      </w:r>
      <w:r w:rsidRPr="004708A0">
        <w:rPr>
          <w:rFonts w:ascii="Arial" w:hAnsi="Arial" w:cs="Arial"/>
          <w:sz w:val="21"/>
          <w:szCs w:val="21"/>
          <w:vertAlign w:val="superscript"/>
        </w:rPr>
        <w:footnoteReference w:id="5"/>
      </w:r>
      <w:r w:rsidRPr="004708A0">
        <w:rPr>
          <w:rFonts w:ascii="Arial" w:hAnsi="Arial" w:cs="Arial"/>
          <w:sz w:val="21"/>
          <w:szCs w:val="21"/>
        </w:rPr>
        <w:t>.</w:t>
      </w:r>
    </w:p>
    <w:p w14:paraId="1C24F3FB" w14:textId="77777777" w:rsidR="00A23397" w:rsidRPr="004708A0" w:rsidRDefault="00A23397" w:rsidP="00A23397">
      <w:pPr>
        <w:tabs>
          <w:tab w:val="left" w:pos="709"/>
        </w:tabs>
        <w:spacing w:line="276" w:lineRule="auto"/>
        <w:ind w:firstLine="709"/>
        <w:jc w:val="both"/>
        <w:rPr>
          <w:rFonts w:ascii="Arial" w:hAnsi="Arial" w:cs="Arial"/>
          <w:sz w:val="22"/>
        </w:rPr>
      </w:pPr>
    </w:p>
    <w:p w14:paraId="50B09EB4" w14:textId="205FB422" w:rsidR="00A23397" w:rsidRPr="004708A0" w:rsidRDefault="00A23397" w:rsidP="003616BA">
      <w:pPr>
        <w:tabs>
          <w:tab w:val="left" w:pos="709"/>
        </w:tabs>
        <w:spacing w:after="120" w:line="276" w:lineRule="auto"/>
        <w:ind w:firstLine="709"/>
        <w:jc w:val="both"/>
        <w:rPr>
          <w:rFonts w:ascii="Arial" w:hAnsi="Arial" w:cs="Arial"/>
          <w:sz w:val="22"/>
        </w:rPr>
      </w:pPr>
      <w:r w:rsidRPr="004708A0">
        <w:rPr>
          <w:rFonts w:ascii="Arial" w:hAnsi="Arial" w:cs="Arial"/>
          <w:sz w:val="22"/>
        </w:rPr>
        <w:t xml:space="preserve">En consecuencia, las causales de rechazo aplicables a los procedimientos de contratación que se adelanten utilizando los documentos tipo únicamente son las establecidas directamente en la Ley y las contenidas en </w:t>
      </w:r>
      <w:r w:rsidRPr="00315A82">
        <w:rPr>
          <w:rFonts w:ascii="Arial" w:hAnsi="Arial" w:cs="Arial"/>
          <w:sz w:val="22"/>
        </w:rPr>
        <w:t xml:space="preserve">el numeral 1.15 del </w:t>
      </w:r>
      <w:r w:rsidRPr="00315A82">
        <w:rPr>
          <w:rFonts w:ascii="Arial" w:hAnsi="Arial" w:cs="Arial"/>
          <w:sz w:val="19"/>
          <w:szCs w:val="19"/>
        </w:rPr>
        <w:t>«</w:t>
      </w:r>
      <w:r w:rsidRPr="00315A82">
        <w:rPr>
          <w:rFonts w:ascii="Arial" w:hAnsi="Arial" w:cs="Arial"/>
          <w:sz w:val="22"/>
        </w:rPr>
        <w:t>Documento Base</w:t>
      </w:r>
      <w:r w:rsidRPr="00315A82">
        <w:rPr>
          <w:rFonts w:ascii="Arial" w:hAnsi="Arial" w:cs="Arial"/>
          <w:sz w:val="19"/>
          <w:szCs w:val="19"/>
        </w:rPr>
        <w:t>»</w:t>
      </w:r>
      <w:r w:rsidRPr="00315A82">
        <w:rPr>
          <w:rFonts w:ascii="Arial" w:hAnsi="Arial" w:cs="Arial"/>
          <w:sz w:val="22"/>
        </w:rPr>
        <w:t>. De esta manera, la entidad estatal debe verificar cuál de los supuestos previstos</w:t>
      </w:r>
      <w:r w:rsidRPr="004708A0">
        <w:rPr>
          <w:rFonts w:ascii="Arial" w:hAnsi="Arial" w:cs="Arial"/>
          <w:sz w:val="22"/>
        </w:rPr>
        <w:t xml:space="preserve"> se configuran en la evaluación de las ofertas, sin que puedan crear nuevas causales de rechazo.</w:t>
      </w:r>
    </w:p>
    <w:p w14:paraId="1019B631" w14:textId="77777777" w:rsidR="00500D12" w:rsidRPr="004708A0" w:rsidRDefault="00500D12" w:rsidP="003616BA">
      <w:pPr>
        <w:tabs>
          <w:tab w:val="left" w:pos="709"/>
        </w:tabs>
        <w:spacing w:before="120" w:after="120" w:line="276" w:lineRule="auto"/>
        <w:ind w:firstLine="709"/>
        <w:jc w:val="both"/>
        <w:rPr>
          <w:rFonts w:ascii="Arial" w:hAnsi="Arial" w:cs="Arial"/>
          <w:sz w:val="22"/>
        </w:rPr>
      </w:pPr>
      <w:r w:rsidRPr="004708A0">
        <w:rPr>
          <w:rFonts w:ascii="Arial" w:hAnsi="Arial" w:cs="Arial"/>
          <w:sz w:val="22"/>
        </w:rPr>
        <w:t xml:space="preserve">En este sentido, la Administración no tiene la facultad de descalificar una oferta de forma arbitraria, toda vez que solo es posible por las causales previamente definidas en la ley o en el pliego de condiciones. Sin embargo, las causales definidas por la entidad deben cumplir los requisitos de razonabilidad y proporcionalidad, so pena de que no sean válidas dentro del procedimiento de contratación. </w:t>
      </w:r>
    </w:p>
    <w:p w14:paraId="456F20E2" w14:textId="77777777" w:rsidR="00500D12" w:rsidRPr="004708A0" w:rsidRDefault="00500D12" w:rsidP="003616BA">
      <w:pPr>
        <w:tabs>
          <w:tab w:val="left" w:pos="709"/>
        </w:tabs>
        <w:spacing w:before="120" w:after="120" w:line="276" w:lineRule="auto"/>
        <w:ind w:firstLine="709"/>
        <w:jc w:val="both"/>
        <w:rPr>
          <w:rFonts w:ascii="Arial" w:hAnsi="Arial" w:cs="Arial"/>
          <w:sz w:val="22"/>
          <w:lang w:val="es-ES" w:eastAsia="es-ES" w:bidi="es-ES"/>
        </w:rPr>
      </w:pPr>
      <w:r w:rsidRPr="004708A0">
        <w:rPr>
          <w:rFonts w:ascii="Arial" w:eastAsia="Arial" w:hAnsi="Arial" w:cs="Arial"/>
          <w:bCs/>
          <w:sz w:val="22"/>
          <w:lang w:val="es-ES" w:eastAsia="es-ES" w:bidi="es-ES"/>
        </w:rPr>
        <w:t>Así, en lo que respecta a las causales de rechazo establecidas en los documentos base de los documentos tipo</w:t>
      </w:r>
      <w:r w:rsidRPr="004708A0">
        <w:rPr>
          <w:rFonts w:ascii="Arial" w:eastAsia="Arial" w:hAnsi="Arial" w:cs="Arial"/>
          <w:sz w:val="22"/>
          <w:lang w:val="es-ES" w:eastAsia="es-ES" w:bidi="es-ES"/>
        </w:rPr>
        <w:t>,</w:t>
      </w:r>
      <w:r w:rsidRPr="004708A0">
        <w:rPr>
          <w:rFonts w:ascii="Arial" w:eastAsia="Arial" w:hAnsi="Arial" w:cs="Arial"/>
          <w:bCs/>
          <w:sz w:val="22"/>
          <w:lang w:val="es-ES" w:eastAsia="es-ES" w:bidi="es-ES"/>
        </w:rPr>
        <w:t xml:space="preserve"> no se observa, por ejemplo, que alguna de ellas contemple </w:t>
      </w:r>
      <w:r w:rsidRPr="004708A0">
        <w:rPr>
          <w:rFonts w:ascii="Arial" w:eastAsia="Arial" w:hAnsi="Arial" w:cs="Arial"/>
          <w:bCs/>
          <w:i/>
          <w:iCs/>
          <w:sz w:val="22"/>
          <w:lang w:val="es-ES" w:eastAsia="es-ES" w:bidi="es-ES"/>
        </w:rPr>
        <w:t xml:space="preserve">per se </w:t>
      </w:r>
      <w:r w:rsidRPr="004708A0">
        <w:rPr>
          <w:rFonts w:ascii="Arial" w:eastAsia="Arial" w:hAnsi="Arial" w:cs="Arial"/>
          <w:bCs/>
          <w:sz w:val="22"/>
          <w:lang w:val="es-ES" w:eastAsia="es-ES" w:bidi="es-ES"/>
        </w:rPr>
        <w:t>algún supuesto de hecho que cause el rechazo por la presentación de la oferta en un documento distinto del Formulario 1 de los Documentos Tipo. Por tanto,</w:t>
      </w:r>
      <w:r w:rsidRPr="004708A0">
        <w:rPr>
          <w:rFonts w:ascii="Arial" w:hAnsi="Arial" w:cs="Arial"/>
          <w:sz w:val="22"/>
          <w:lang w:val="es-ES" w:eastAsia="es-ES" w:bidi="es-ES"/>
        </w:rPr>
        <w:t xml:space="preserve"> ante la imposibilidad de incluir nuevas causales con fundamento en el principio de inalterabilidad, las entidades estatales deben evaluar en la presentación de la oferta económica la configuración de causales de rechazo del pliego, determinando en cada caso concreto si la situación evidenciada en la presentación de la oferta configura en estricto sentido alguno de los supuestos de hecho establecidos en las mismas</w:t>
      </w:r>
      <w:r w:rsidRPr="004708A0">
        <w:rPr>
          <w:rFonts w:ascii="Arial" w:hAnsi="Arial" w:cs="Arial"/>
          <w:sz w:val="22"/>
          <w:vertAlign w:val="superscript"/>
          <w:lang w:val="es-ES" w:eastAsia="es-ES" w:bidi="es-ES"/>
        </w:rPr>
        <w:footnoteReference w:id="6"/>
      </w:r>
      <w:r w:rsidRPr="004708A0">
        <w:rPr>
          <w:rFonts w:ascii="Arial" w:hAnsi="Arial" w:cs="Arial"/>
          <w:sz w:val="22"/>
          <w:lang w:val="es-ES" w:eastAsia="es-ES" w:bidi="es-ES"/>
        </w:rPr>
        <w:t xml:space="preserve">. </w:t>
      </w:r>
    </w:p>
    <w:p w14:paraId="527CC86A" w14:textId="66087E16" w:rsidR="00500D12" w:rsidRPr="004708A0" w:rsidRDefault="006E5A14" w:rsidP="003616BA">
      <w:pPr>
        <w:tabs>
          <w:tab w:val="left" w:pos="709"/>
        </w:tabs>
        <w:spacing w:after="120" w:line="276" w:lineRule="auto"/>
        <w:jc w:val="both"/>
        <w:rPr>
          <w:rFonts w:ascii="Arial" w:hAnsi="Arial" w:cs="Arial"/>
          <w:sz w:val="22"/>
        </w:rPr>
      </w:pPr>
      <w:r w:rsidRPr="004708A0">
        <w:rPr>
          <w:rFonts w:ascii="Arial" w:hAnsi="Arial" w:cs="Arial"/>
          <w:sz w:val="22"/>
        </w:rPr>
        <w:lastRenderedPageBreak/>
        <w:tab/>
      </w:r>
      <w:r w:rsidR="00500D12" w:rsidRPr="004708A0">
        <w:rPr>
          <w:rFonts w:ascii="Arial" w:hAnsi="Arial" w:cs="Arial"/>
          <w:sz w:val="22"/>
        </w:rPr>
        <w:t>De esta manera</w:t>
      </w:r>
      <w:r w:rsidR="00500D12" w:rsidRPr="004708A0">
        <w:rPr>
          <w:rFonts w:ascii="Arial" w:hAnsi="Arial" w:cs="Arial"/>
          <w:sz w:val="22"/>
          <w:lang w:val="es-ES" w:eastAsia="es-ES" w:bidi="es-ES"/>
        </w:rPr>
        <w:t>, la entidad estatal al evaluar una oferta presentada en la hoja respectiva del Formulario 1, deberá tener en cuenta la configuración de causales de rechazo que eventualmente impedirían evaluar la oferta.</w:t>
      </w:r>
      <w:r w:rsidRPr="004708A0">
        <w:rPr>
          <w:rFonts w:ascii="Arial" w:hAnsi="Arial" w:cs="Arial"/>
          <w:sz w:val="22"/>
          <w:lang w:val="es-ES" w:eastAsia="es-ES" w:bidi="es-ES"/>
        </w:rPr>
        <w:t xml:space="preserve"> </w:t>
      </w:r>
      <w:r w:rsidR="00085E43" w:rsidRPr="004708A0">
        <w:rPr>
          <w:rFonts w:ascii="Arial" w:hAnsi="Arial" w:cs="Arial"/>
          <w:sz w:val="22"/>
        </w:rPr>
        <w:tab/>
      </w:r>
      <w:r w:rsidR="00E7000D" w:rsidRPr="004708A0">
        <w:rPr>
          <w:rFonts w:ascii="Arial" w:hAnsi="Arial" w:cs="Arial"/>
          <w:sz w:val="22"/>
        </w:rPr>
        <w:t>Ahora bien</w:t>
      </w:r>
      <w:r w:rsidR="00AE1416" w:rsidRPr="004708A0">
        <w:rPr>
          <w:rFonts w:ascii="Arial" w:hAnsi="Arial" w:cs="Arial"/>
          <w:sz w:val="22"/>
        </w:rPr>
        <w:t>,</w:t>
      </w:r>
      <w:r w:rsidR="00E7000D" w:rsidRPr="004708A0">
        <w:rPr>
          <w:rFonts w:ascii="Arial" w:hAnsi="Arial" w:cs="Arial"/>
          <w:sz w:val="22"/>
        </w:rPr>
        <w:t xml:space="preserve"> respecto a</w:t>
      </w:r>
      <w:r w:rsidR="00AE1416" w:rsidRPr="004708A0">
        <w:rPr>
          <w:rFonts w:ascii="Arial" w:hAnsi="Arial" w:cs="Arial"/>
          <w:sz w:val="22"/>
        </w:rPr>
        <w:t xml:space="preserve"> l</w:t>
      </w:r>
      <w:r w:rsidR="00491E3D" w:rsidRPr="004708A0">
        <w:rPr>
          <w:rFonts w:ascii="Arial" w:hAnsi="Arial" w:cs="Arial"/>
          <w:sz w:val="22"/>
        </w:rPr>
        <w:t xml:space="preserve">as causales de rechazo que aplican para los procedimientos de licitación de obra pública de infraestructura de transporte son las establecidas en la </w:t>
      </w:r>
      <w:r w:rsidR="008053E8" w:rsidRPr="004708A0">
        <w:rPr>
          <w:rFonts w:ascii="Arial" w:hAnsi="Arial" w:cs="Arial"/>
          <w:sz w:val="22"/>
        </w:rPr>
        <w:t>l</w:t>
      </w:r>
      <w:r w:rsidR="00491E3D" w:rsidRPr="004708A0">
        <w:rPr>
          <w:rFonts w:ascii="Arial" w:hAnsi="Arial" w:cs="Arial"/>
          <w:sz w:val="22"/>
        </w:rPr>
        <w:t xml:space="preserve">ey y las definidas en el numeral 1.15 del «Documento Base» de los Documentos Tipo, sin que las entidades puedan establecer causales adicionales. De conformidad con la jurisprudencia del Consejo de Estado, las causales de rechazo son las establecidas en la </w:t>
      </w:r>
      <w:r w:rsidR="008053E8" w:rsidRPr="004708A0">
        <w:rPr>
          <w:rFonts w:ascii="Arial" w:hAnsi="Arial" w:cs="Arial"/>
          <w:sz w:val="22"/>
        </w:rPr>
        <w:t>l</w:t>
      </w:r>
      <w:r w:rsidR="00491E3D" w:rsidRPr="004708A0">
        <w:rPr>
          <w:rFonts w:ascii="Arial" w:hAnsi="Arial" w:cs="Arial"/>
          <w:sz w:val="22"/>
        </w:rPr>
        <w:t xml:space="preserve">ey y las fijadas por la entidad estatal en los pliegos de condiciones; sin embargo, en ejercicio de dicha facultad </w:t>
      </w:r>
      <w:r w:rsidR="00245A34" w:rsidRPr="004708A0">
        <w:rPr>
          <w:rFonts w:ascii="Arial" w:hAnsi="Arial" w:cs="Arial"/>
          <w:sz w:val="22"/>
        </w:rPr>
        <w:t>no es posible</w:t>
      </w:r>
      <w:r w:rsidR="00491E3D" w:rsidRPr="004708A0">
        <w:rPr>
          <w:rFonts w:ascii="Arial" w:hAnsi="Arial" w:cs="Arial"/>
          <w:sz w:val="22"/>
        </w:rPr>
        <w:t xml:space="preserve"> fijar causales de rechazo que afecten la selección objetiva</w:t>
      </w:r>
      <w:r w:rsidR="00491E3D" w:rsidRPr="004708A0">
        <w:rPr>
          <w:rStyle w:val="Refdenotaalpie"/>
          <w:rFonts w:ascii="Arial" w:hAnsi="Arial" w:cs="Arial"/>
          <w:sz w:val="22"/>
        </w:rPr>
        <w:footnoteReference w:id="7"/>
      </w:r>
      <w:r w:rsidR="00491E3D" w:rsidRPr="004708A0">
        <w:rPr>
          <w:rFonts w:ascii="Arial" w:hAnsi="Arial" w:cs="Arial"/>
          <w:sz w:val="22"/>
        </w:rPr>
        <w:t>.</w:t>
      </w:r>
      <w:r w:rsidR="000120E2" w:rsidRPr="004708A0">
        <w:rPr>
          <w:rFonts w:ascii="Arial" w:hAnsi="Arial" w:cs="Arial"/>
          <w:sz w:val="22"/>
        </w:rPr>
        <w:t xml:space="preserve"> </w:t>
      </w:r>
    </w:p>
    <w:p w14:paraId="1B8EF7F3" w14:textId="4B2C8360" w:rsidR="009B5479" w:rsidRPr="004708A0" w:rsidRDefault="00500D12" w:rsidP="003616BA">
      <w:pPr>
        <w:tabs>
          <w:tab w:val="left" w:pos="709"/>
        </w:tabs>
        <w:spacing w:after="120" w:line="276" w:lineRule="auto"/>
        <w:jc w:val="both"/>
        <w:rPr>
          <w:rFonts w:ascii="Arial" w:hAnsi="Arial" w:cs="Arial"/>
          <w:sz w:val="22"/>
          <w:lang w:bidi="es-ES"/>
        </w:rPr>
      </w:pPr>
      <w:r w:rsidRPr="004708A0">
        <w:rPr>
          <w:rFonts w:ascii="Arial" w:hAnsi="Arial" w:cs="Arial"/>
          <w:sz w:val="22"/>
        </w:rPr>
        <w:tab/>
      </w:r>
      <w:r w:rsidRPr="004708A0">
        <w:rPr>
          <w:rFonts w:ascii="Arial" w:hAnsi="Arial" w:cs="Arial"/>
          <w:sz w:val="22"/>
          <w:lang w:bidi="es-ES"/>
        </w:rPr>
        <w:t>En efecto, por ejemplo, tratándose de un proceso regido por los documentos tipo de licitación de obra pública de infraestructura de transporte – Versión 3, puede suceder que el oferente presente una oferta cuyo total exceda el valor del presupuesto oficial, configurándose la causal de rechazo del literal M, establecida en el numeral 1.15 del documento base de los documentos tipo para licitación pública de infraestructura de transporte. También puede ocurrir que no se ofrezca el valor de un precio unitario –causal de rechazo del literal P</w:t>
      </w:r>
      <w:r w:rsidRPr="004708A0">
        <w:rPr>
          <w:rFonts w:ascii="Arial" w:hAnsi="Arial" w:cs="Arial"/>
          <w:sz w:val="22"/>
          <w:lang w:bidi="es-ES"/>
        </w:rPr>
        <w:softHyphen/>
        <w:t>– o que se oferte por encima del tope establecido por la entidad –literal Q</w:t>
      </w:r>
      <w:r w:rsidR="006E5A14" w:rsidRPr="004708A0">
        <w:rPr>
          <w:rFonts w:ascii="Arial" w:hAnsi="Arial" w:cs="Arial"/>
          <w:sz w:val="22"/>
          <w:lang w:bidi="es-ES"/>
        </w:rPr>
        <w:t>–</w:t>
      </w:r>
      <w:r w:rsidRPr="004708A0">
        <w:rPr>
          <w:rFonts w:ascii="Arial" w:hAnsi="Arial" w:cs="Arial"/>
          <w:sz w:val="22"/>
          <w:lang w:bidi="es-ES"/>
        </w:rPr>
        <w:t xml:space="preserve">, eventos que ameritarían el rechazo de la oferta y que incluso impiden la posibilidad de subsanarla. De otro lado, eventualmente podría incurrir en la causal de rechazo del literal O, consistente en: «O. Que el proponente adicione, suprima, cambie, o modifique los </w:t>
      </w:r>
      <w:r w:rsidRPr="004708A0">
        <w:rPr>
          <w:rFonts w:ascii="Arial" w:hAnsi="Arial" w:cs="Arial"/>
          <w:i/>
          <w:iCs/>
          <w:sz w:val="22"/>
          <w:lang w:bidi="es-ES"/>
        </w:rPr>
        <w:t>ítems, la descripción, las especificaciones, el detalle, las unidades o cantidades</w:t>
      </w:r>
      <w:r w:rsidRPr="004708A0">
        <w:rPr>
          <w:rFonts w:ascii="Arial" w:hAnsi="Arial" w:cs="Arial"/>
          <w:sz w:val="22"/>
          <w:lang w:bidi="es-ES"/>
        </w:rPr>
        <w:t xml:space="preserve"> señaladas en el Formulario 1 – Formulario de Presupuesto Oficial, de acuerdo con lo exigido por la entidad» (Cursiva fuera de texto).</w:t>
      </w:r>
    </w:p>
    <w:p w14:paraId="1D1C04F3" w14:textId="7BFE1416" w:rsidR="00FD034A" w:rsidRPr="000324E4" w:rsidRDefault="00315A82" w:rsidP="003616BA">
      <w:pPr>
        <w:pStyle w:val="Textoindependiente"/>
        <w:spacing w:line="276" w:lineRule="auto"/>
        <w:ind w:firstLine="708"/>
        <w:jc w:val="both"/>
      </w:pPr>
      <w:bookmarkStart w:id="13" w:name="_Hlk93486494"/>
      <w:r>
        <w:rPr>
          <w:color w:val="000000"/>
        </w:rPr>
        <w:t>L</w:t>
      </w:r>
      <w:r w:rsidR="00AF2865" w:rsidRPr="004708A0">
        <w:rPr>
          <w:color w:val="000000"/>
        </w:rPr>
        <w:t xml:space="preserve">os documentos tipo </w:t>
      </w:r>
      <w:r w:rsidR="007560A8" w:rsidRPr="004708A0">
        <w:t>permite</w:t>
      </w:r>
      <w:r w:rsidR="000324E4" w:rsidRPr="004708A0">
        <w:t>n</w:t>
      </w:r>
      <w:r w:rsidR="007C10BD" w:rsidRPr="004708A0">
        <w:rPr>
          <w:color w:val="000000"/>
        </w:rPr>
        <w:t xml:space="preserve"> establecer ítems del presupuesto oficial cuyo valor no </w:t>
      </w:r>
      <w:r w:rsidR="007560A8" w:rsidRPr="004708A0">
        <w:rPr>
          <w:color w:val="000000"/>
        </w:rPr>
        <w:t>puede exceder</w:t>
      </w:r>
      <w:r w:rsidR="007C10BD" w:rsidRPr="004708A0">
        <w:rPr>
          <w:color w:val="000000"/>
        </w:rPr>
        <w:t xml:space="preserve"> el proponente. </w:t>
      </w:r>
      <w:r w:rsidR="00BE627D" w:rsidRPr="004708A0">
        <w:rPr>
          <w:color w:val="000000"/>
        </w:rPr>
        <w:t xml:space="preserve">Al respecto, el literal </w:t>
      </w:r>
      <w:r w:rsidR="007C10BD" w:rsidRPr="004708A0">
        <w:rPr>
          <w:color w:val="000000"/>
        </w:rPr>
        <w:t>Q del numeral 1.15</w:t>
      </w:r>
      <w:r w:rsidR="001A68CA" w:rsidRPr="004708A0">
        <w:rPr>
          <w:color w:val="000000"/>
        </w:rPr>
        <w:t xml:space="preserve"> dispone como causal de rechazo</w:t>
      </w:r>
      <w:r w:rsidR="002D1FA3" w:rsidRPr="004708A0">
        <w:rPr>
          <w:color w:val="000000"/>
        </w:rPr>
        <w:t xml:space="preserve"> </w:t>
      </w:r>
      <w:r w:rsidR="00DC04FB" w:rsidRPr="004708A0">
        <w:rPr>
          <w:color w:val="000000"/>
        </w:rPr>
        <w:t xml:space="preserve">lo </w:t>
      </w:r>
      <w:r w:rsidR="002D1FA3" w:rsidRPr="004708A0">
        <w:rPr>
          <w:color w:val="000000"/>
        </w:rPr>
        <w:t>que pueden incluir facultativamente las entidades estatales en sus pliegos de condiciones</w:t>
      </w:r>
      <w:r w:rsidR="00FD034A" w:rsidRPr="004708A0">
        <w:rPr>
          <w:color w:val="000000"/>
        </w:rPr>
        <w:t>:</w:t>
      </w:r>
      <w:r w:rsidR="00FD034A" w:rsidRPr="005D2D69">
        <w:rPr>
          <w:color w:val="000000"/>
        </w:rPr>
        <w:t xml:space="preserve"> </w:t>
      </w:r>
    </w:p>
    <w:p w14:paraId="50FF7435" w14:textId="77777777" w:rsidR="00FD034A" w:rsidRPr="00930864" w:rsidRDefault="00FD034A" w:rsidP="003616BA">
      <w:pPr>
        <w:spacing w:line="276" w:lineRule="auto"/>
        <w:ind w:firstLine="709"/>
        <w:jc w:val="both"/>
        <w:rPr>
          <w:rFonts w:ascii="Arial" w:hAnsi="Arial" w:cs="Arial"/>
          <w:color w:val="000000"/>
          <w:sz w:val="23"/>
          <w:szCs w:val="23"/>
          <w:lang w:val="es-ES"/>
        </w:rPr>
      </w:pPr>
    </w:p>
    <w:p w14:paraId="14E9E36B" w14:textId="0DBA2A1D" w:rsidR="00FD034A" w:rsidRPr="005D2D69" w:rsidRDefault="00FD034A" w:rsidP="00930864">
      <w:pPr>
        <w:tabs>
          <w:tab w:val="left" w:pos="709"/>
        </w:tabs>
        <w:spacing w:after="120"/>
        <w:ind w:left="709" w:right="709"/>
        <w:jc w:val="both"/>
        <w:rPr>
          <w:rFonts w:ascii="Arial" w:eastAsiaTheme="minorHAnsi" w:hAnsi="Arial" w:cstheme="minorBidi"/>
          <w:color w:val="000000" w:themeColor="text1"/>
          <w:sz w:val="20"/>
          <w:szCs w:val="20"/>
          <w:highlight w:val="lightGray"/>
        </w:rPr>
      </w:pPr>
      <w:r w:rsidRPr="005D2D69">
        <w:rPr>
          <w:rFonts w:ascii="Arial" w:hAnsi="Arial" w:cs="Arial"/>
          <w:sz w:val="20"/>
          <w:szCs w:val="20"/>
        </w:rPr>
        <w:t xml:space="preserve">Q.  </w:t>
      </w:r>
      <w:r w:rsidRPr="005D2D69">
        <w:rPr>
          <w:rFonts w:ascii="Arial" w:eastAsiaTheme="minorHAnsi" w:hAnsi="Arial" w:cstheme="minorBidi"/>
          <w:color w:val="000000" w:themeColor="text1"/>
          <w:sz w:val="20"/>
          <w:szCs w:val="20"/>
          <w:highlight w:val="lightGray"/>
        </w:rPr>
        <w:t>[Incluir solo cuando la forma de pago sea por precios unitarios]</w:t>
      </w:r>
      <w:r w:rsidRPr="005D2D69">
        <w:rPr>
          <w:rFonts w:ascii="Arial" w:hAnsi="Arial" w:cs="Arial"/>
          <w:sz w:val="20"/>
          <w:szCs w:val="20"/>
        </w:rPr>
        <w:t xml:space="preserve"> Superar el valor unitario de alguno o algunos de los siguientes ítems ofrecidos con respecto al valor establecido para cada ítem del presupuesto oficial: </w:t>
      </w:r>
      <w:r w:rsidRPr="005D2D69">
        <w:rPr>
          <w:rFonts w:ascii="Arial" w:eastAsiaTheme="minorHAnsi" w:hAnsi="Arial" w:cstheme="minorBidi"/>
          <w:color w:val="000000" w:themeColor="text1"/>
          <w:sz w:val="20"/>
          <w:szCs w:val="20"/>
          <w:highlight w:val="lightGray"/>
        </w:rPr>
        <w:t xml:space="preserve">[La entidad debe incluir esta </w:t>
      </w:r>
      <w:r w:rsidRPr="005D2D69">
        <w:rPr>
          <w:rFonts w:ascii="Arial" w:eastAsiaTheme="minorHAnsi" w:hAnsi="Arial" w:cstheme="minorBidi"/>
          <w:color w:val="000000" w:themeColor="text1"/>
          <w:sz w:val="20"/>
          <w:szCs w:val="20"/>
          <w:highlight w:val="lightGray"/>
        </w:rPr>
        <w:lastRenderedPageBreak/>
        <w:t xml:space="preserve">causal cuando la forma de pago sea por precios unitarios y cuando considere necesario establecer ítems del presupuesto oficial cuyo valor no pueda ser excedido por el proponente. Cuando decida incluirla, identificará en este espacio los ítems frente a los cuales aplicará la causal de rechazo. </w:t>
      </w:r>
    </w:p>
    <w:p w14:paraId="465AA935" w14:textId="6959EF65" w:rsidR="00FD034A" w:rsidRPr="005D2D69" w:rsidRDefault="00FD034A" w:rsidP="00FD034A">
      <w:pPr>
        <w:tabs>
          <w:tab w:val="left" w:pos="709"/>
        </w:tabs>
        <w:ind w:left="709" w:right="709"/>
        <w:jc w:val="both"/>
        <w:rPr>
          <w:rFonts w:ascii="Arial" w:eastAsiaTheme="minorHAnsi" w:hAnsi="Arial" w:cstheme="minorBidi"/>
          <w:color w:val="000000" w:themeColor="text1"/>
          <w:sz w:val="20"/>
          <w:szCs w:val="20"/>
          <w:highlight w:val="lightGray"/>
        </w:rPr>
      </w:pPr>
      <w:r w:rsidRPr="005D2D69">
        <w:rPr>
          <w:rFonts w:ascii="Arial" w:eastAsiaTheme="minorHAnsi" w:hAnsi="Arial" w:cstheme="minorBidi"/>
          <w:color w:val="000000" w:themeColor="text1"/>
          <w:sz w:val="20"/>
          <w:szCs w:val="20"/>
          <w:highlight w:val="lightGray"/>
        </w:rPr>
        <w:t xml:space="preserve">Para la aplicación de esta causal la entidad debe tener en cuenta que el valor unitario establecido en el Formulario 1 – Formulario de Presupuesto Oficial incluye el valor de AIU] </w:t>
      </w:r>
    </w:p>
    <w:p w14:paraId="3A41F705" w14:textId="0FAE41ED" w:rsidR="00FD034A" w:rsidRPr="00930864" w:rsidRDefault="00FD034A" w:rsidP="00930864">
      <w:pPr>
        <w:tabs>
          <w:tab w:val="left" w:pos="709"/>
        </w:tabs>
        <w:spacing w:line="276" w:lineRule="auto"/>
        <w:ind w:right="709"/>
        <w:jc w:val="both"/>
        <w:rPr>
          <w:rFonts w:ascii="Arial" w:eastAsiaTheme="minorHAnsi" w:hAnsi="Arial" w:cstheme="minorBidi"/>
          <w:color w:val="000000" w:themeColor="text1"/>
          <w:sz w:val="23"/>
          <w:szCs w:val="23"/>
          <w:highlight w:val="lightGray"/>
        </w:rPr>
      </w:pPr>
    </w:p>
    <w:p w14:paraId="6C02BC5A" w14:textId="709EE306" w:rsidR="002D1FA3" w:rsidRPr="004708A0" w:rsidRDefault="002D1FA3" w:rsidP="003616BA">
      <w:pPr>
        <w:spacing w:after="120" w:line="276" w:lineRule="auto"/>
        <w:ind w:firstLine="709"/>
        <w:jc w:val="both"/>
        <w:rPr>
          <w:rFonts w:ascii="Arial" w:hAnsi="Arial" w:cs="Arial"/>
          <w:sz w:val="22"/>
          <w:lang w:val="es-ES"/>
        </w:rPr>
      </w:pPr>
      <w:r w:rsidRPr="004708A0">
        <w:rPr>
          <w:rFonts w:ascii="Arial" w:hAnsi="Arial" w:cs="Arial"/>
          <w:sz w:val="22"/>
          <w:lang w:val="es-ES"/>
        </w:rPr>
        <w:t xml:space="preserve">En relación con la anterior causal de rechazo es importante precisar que su inclusión </w:t>
      </w:r>
      <w:r w:rsidR="00DD3943" w:rsidRPr="004708A0">
        <w:rPr>
          <w:rFonts w:ascii="Arial" w:hAnsi="Arial" w:cs="Arial"/>
          <w:sz w:val="22"/>
          <w:lang w:val="es-ES"/>
        </w:rPr>
        <w:t xml:space="preserve">en los pliegos de condiciones </w:t>
      </w:r>
      <w:r w:rsidRPr="004708A0">
        <w:rPr>
          <w:rFonts w:ascii="Arial" w:hAnsi="Arial" w:cs="Arial"/>
          <w:sz w:val="22"/>
          <w:lang w:val="es-ES"/>
        </w:rPr>
        <w:t xml:space="preserve">es facultativa por parte de las entidades estatales, en el entendido de que la </w:t>
      </w:r>
      <w:r w:rsidR="00DD3943" w:rsidRPr="004708A0">
        <w:rPr>
          <w:rFonts w:ascii="Arial" w:hAnsi="Arial" w:cs="Arial"/>
          <w:sz w:val="22"/>
          <w:lang w:val="es-ES"/>
        </w:rPr>
        <w:t>utilizarán</w:t>
      </w:r>
      <w:r w:rsidRPr="004708A0">
        <w:rPr>
          <w:rFonts w:ascii="Arial" w:hAnsi="Arial" w:cs="Arial"/>
          <w:sz w:val="22"/>
          <w:lang w:val="es-ES"/>
        </w:rPr>
        <w:t xml:space="preserve"> en los procesos contractuales que se estructuren por precios unitarios </w:t>
      </w:r>
      <w:r w:rsidR="00DD3943" w:rsidRPr="004708A0">
        <w:rPr>
          <w:rFonts w:ascii="Arial" w:hAnsi="Arial" w:cs="Arial"/>
          <w:sz w:val="22"/>
          <w:lang w:val="es-ES"/>
        </w:rPr>
        <w:t>cuando la entidad</w:t>
      </w:r>
      <w:r w:rsidR="00DD3943">
        <w:rPr>
          <w:rFonts w:ascii="Arial" w:hAnsi="Arial" w:cs="Arial"/>
          <w:sz w:val="22"/>
          <w:lang w:val="es-ES"/>
        </w:rPr>
        <w:t xml:space="preserve"> «</w:t>
      </w:r>
      <w:r w:rsidRPr="0099569A">
        <w:rPr>
          <w:rFonts w:ascii="Arial" w:hAnsi="Arial" w:cs="Arial"/>
          <w:sz w:val="22"/>
          <w:highlight w:val="lightGray"/>
          <w:lang w:val="es-ES"/>
        </w:rPr>
        <w:t>considere necesario establecer ítems del presupuesto oficial cuyo valor no pueda ser excedido por el proponente</w:t>
      </w:r>
      <w:r>
        <w:rPr>
          <w:rFonts w:ascii="Arial" w:hAnsi="Arial" w:cs="Arial"/>
          <w:sz w:val="22"/>
          <w:lang w:val="es-ES"/>
        </w:rPr>
        <w:t xml:space="preserve">». </w:t>
      </w:r>
      <w:r w:rsidRPr="004708A0">
        <w:rPr>
          <w:rFonts w:ascii="Arial" w:hAnsi="Arial" w:cs="Arial"/>
          <w:sz w:val="22"/>
          <w:lang w:val="es-ES"/>
        </w:rPr>
        <w:t xml:space="preserve">En este sentido, le corresponde a la entidad decidir, de acuerdo con lo anterior, si incluye esta causal </w:t>
      </w:r>
      <w:r w:rsidR="00DD3943" w:rsidRPr="004708A0">
        <w:rPr>
          <w:rFonts w:ascii="Arial" w:hAnsi="Arial" w:cs="Arial"/>
          <w:sz w:val="22"/>
          <w:lang w:val="es-ES"/>
        </w:rPr>
        <w:t xml:space="preserve">en los pliegos de condiciones, </w:t>
      </w:r>
      <w:r w:rsidRPr="004708A0">
        <w:rPr>
          <w:rFonts w:ascii="Arial" w:hAnsi="Arial" w:cs="Arial"/>
          <w:sz w:val="22"/>
          <w:lang w:val="es-ES"/>
        </w:rPr>
        <w:t>para lo cual deberá seguir las instrucciones establecidas entre corchetes y resaltado en gris.</w:t>
      </w:r>
    </w:p>
    <w:p w14:paraId="21F006BB" w14:textId="1394303D" w:rsidR="00F37376" w:rsidRPr="004708A0" w:rsidRDefault="002D1FA3" w:rsidP="003616BA">
      <w:pPr>
        <w:spacing w:after="120" w:line="276" w:lineRule="auto"/>
        <w:ind w:firstLine="709"/>
        <w:jc w:val="both"/>
        <w:rPr>
          <w:rFonts w:ascii="Arial" w:hAnsi="Arial" w:cs="Arial"/>
          <w:sz w:val="22"/>
          <w:lang w:val="es-ES"/>
        </w:rPr>
      </w:pPr>
      <w:r w:rsidRPr="004708A0">
        <w:rPr>
          <w:rFonts w:ascii="Arial" w:hAnsi="Arial" w:cs="Arial"/>
          <w:sz w:val="22"/>
          <w:lang w:val="es-ES"/>
        </w:rPr>
        <w:t>De esta manera, e</w:t>
      </w:r>
      <w:r w:rsidR="00337316" w:rsidRPr="004708A0">
        <w:rPr>
          <w:rFonts w:ascii="Arial" w:hAnsi="Arial" w:cs="Arial"/>
          <w:sz w:val="22"/>
          <w:lang w:val="es-ES"/>
        </w:rPr>
        <w:t>sta causal permite establecer un límite máximo en el valor de</w:t>
      </w:r>
      <w:r w:rsidR="000324E4" w:rsidRPr="004708A0">
        <w:rPr>
          <w:rFonts w:ascii="Arial" w:hAnsi="Arial" w:cs="Arial"/>
          <w:sz w:val="22"/>
          <w:lang w:val="es-ES"/>
        </w:rPr>
        <w:t xml:space="preserve"> </w:t>
      </w:r>
      <w:r w:rsidR="00417532" w:rsidRPr="004708A0">
        <w:rPr>
          <w:rFonts w:ascii="Arial" w:hAnsi="Arial" w:cs="Arial"/>
          <w:sz w:val="22"/>
          <w:lang w:val="es-ES"/>
        </w:rPr>
        <w:t xml:space="preserve">ciertos </w:t>
      </w:r>
      <w:r w:rsidR="000324E4" w:rsidRPr="004708A0">
        <w:rPr>
          <w:rFonts w:ascii="Arial" w:hAnsi="Arial" w:cs="Arial"/>
          <w:sz w:val="22"/>
          <w:lang w:val="es-ES"/>
        </w:rPr>
        <w:t>ítems</w:t>
      </w:r>
      <w:r w:rsidR="00337316" w:rsidRPr="004708A0">
        <w:rPr>
          <w:rFonts w:ascii="Arial" w:hAnsi="Arial" w:cs="Arial"/>
          <w:sz w:val="22"/>
          <w:lang w:val="es-ES"/>
        </w:rPr>
        <w:t xml:space="preserve"> determinados</w:t>
      </w:r>
      <w:r w:rsidR="000324E4" w:rsidRPr="004708A0">
        <w:rPr>
          <w:rFonts w:ascii="Arial" w:hAnsi="Arial" w:cs="Arial"/>
          <w:sz w:val="22"/>
          <w:lang w:val="es-ES"/>
        </w:rPr>
        <w:t xml:space="preserve"> para el proceso de contratación</w:t>
      </w:r>
      <w:r w:rsidR="00417532" w:rsidRPr="004708A0">
        <w:rPr>
          <w:rFonts w:ascii="Arial" w:hAnsi="Arial" w:cs="Arial"/>
          <w:sz w:val="22"/>
          <w:lang w:val="es-ES"/>
        </w:rPr>
        <w:t xml:space="preserve">, para lo cual la entidad tendrá que identificar en la causal de rechazo del literal Q, los ítems frente a los cuales aplicará la causal, de modo que el proponente no podría superar el valor unitario de los ítems que la entidad incluya en </w:t>
      </w:r>
      <w:r w:rsidR="00F37376" w:rsidRPr="004708A0">
        <w:rPr>
          <w:rFonts w:ascii="Arial" w:hAnsi="Arial" w:cs="Arial"/>
          <w:sz w:val="22"/>
          <w:lang w:val="es-ES"/>
        </w:rPr>
        <w:t>dicho literal</w:t>
      </w:r>
      <w:r w:rsidR="00A62175" w:rsidRPr="004708A0">
        <w:rPr>
          <w:rFonts w:ascii="Arial" w:hAnsi="Arial" w:cs="Arial"/>
          <w:sz w:val="22"/>
          <w:lang w:val="es-ES"/>
        </w:rPr>
        <w:t xml:space="preserve">. </w:t>
      </w:r>
      <w:r w:rsidR="00DD3943" w:rsidRPr="004708A0">
        <w:rPr>
          <w:rFonts w:ascii="Arial" w:hAnsi="Arial" w:cs="Arial"/>
          <w:sz w:val="22"/>
          <w:lang w:val="es-ES"/>
        </w:rPr>
        <w:t>En efecto, la entidad tiene la carga de identificar estos ítems, pues como lo establece el documento tipo en el aparte transcrito anteriormente</w:t>
      </w:r>
      <w:r w:rsidR="00DD3943" w:rsidRPr="00DD3943">
        <w:rPr>
          <w:rFonts w:ascii="Arial" w:hAnsi="Arial" w:cs="Arial"/>
          <w:sz w:val="22"/>
          <w:lang w:val="es-ES"/>
        </w:rPr>
        <w:t>, «</w:t>
      </w:r>
      <w:r w:rsidR="00DD3943" w:rsidRPr="0099569A">
        <w:rPr>
          <w:rFonts w:ascii="Arial" w:eastAsiaTheme="minorHAnsi" w:hAnsi="Arial" w:cstheme="minorBidi"/>
          <w:color w:val="000000" w:themeColor="text1"/>
          <w:sz w:val="22"/>
          <w:highlight w:val="lightGray"/>
        </w:rPr>
        <w:t>Cuando decida incluirla, identificará en este espacio los ítems frente a los cuales aplicará la causal de rechazo</w:t>
      </w:r>
      <w:r w:rsidR="00DD3943" w:rsidRPr="00DD3943">
        <w:rPr>
          <w:rFonts w:ascii="Arial" w:hAnsi="Arial" w:cs="Arial"/>
          <w:sz w:val="22"/>
          <w:lang w:val="es-ES"/>
        </w:rPr>
        <w:t>»</w:t>
      </w:r>
      <w:r w:rsidR="00DD3943">
        <w:rPr>
          <w:rFonts w:ascii="Arial" w:hAnsi="Arial" w:cs="Arial"/>
          <w:sz w:val="22"/>
          <w:lang w:val="es-ES"/>
        </w:rPr>
        <w:t>.</w:t>
      </w:r>
      <w:r w:rsidR="00F37376">
        <w:rPr>
          <w:rFonts w:ascii="Arial" w:hAnsi="Arial" w:cs="Arial"/>
          <w:sz w:val="22"/>
          <w:lang w:val="es-ES"/>
        </w:rPr>
        <w:t xml:space="preserve"> </w:t>
      </w:r>
      <w:r w:rsidR="00F37376" w:rsidRPr="004708A0">
        <w:rPr>
          <w:rFonts w:ascii="Arial" w:hAnsi="Arial" w:cs="Arial"/>
          <w:sz w:val="22"/>
          <w:lang w:val="es-ES"/>
        </w:rPr>
        <w:t xml:space="preserve">Además, la entidad definirá </w:t>
      </w:r>
      <w:r w:rsidR="00AE7EA8" w:rsidRPr="004708A0">
        <w:rPr>
          <w:rFonts w:ascii="Arial" w:hAnsi="Arial" w:cs="Arial"/>
          <w:sz w:val="22"/>
          <w:lang w:val="es-ES"/>
        </w:rPr>
        <w:t>discrecional y razonablemente</w:t>
      </w:r>
      <w:r w:rsidR="00F37376" w:rsidRPr="004708A0">
        <w:rPr>
          <w:rFonts w:ascii="Arial" w:hAnsi="Arial" w:cs="Arial"/>
          <w:sz w:val="22"/>
          <w:lang w:val="es-ES"/>
        </w:rPr>
        <w:t xml:space="preserve"> los ítems frente a los que procede, pues los documentos tipo no establecen lineamientos precisos frente a la procedencia o improcedencia de incluirla en relación con ciertos ítems, por lo que es un análisis que corresponde a la entidad estatal.</w:t>
      </w:r>
    </w:p>
    <w:p w14:paraId="01A33A94" w14:textId="27229A74" w:rsidR="007A5E7B" w:rsidRDefault="00DD3943" w:rsidP="003616BA">
      <w:pPr>
        <w:spacing w:after="120" w:line="276" w:lineRule="auto"/>
        <w:ind w:firstLine="709"/>
        <w:jc w:val="both"/>
        <w:rPr>
          <w:rFonts w:ascii="Arial" w:hAnsi="Arial" w:cs="Arial"/>
          <w:sz w:val="22"/>
          <w:lang w:val="es-CO"/>
        </w:rPr>
      </w:pPr>
      <w:r w:rsidRPr="004708A0">
        <w:rPr>
          <w:rFonts w:ascii="Arial" w:hAnsi="Arial" w:cs="Arial"/>
          <w:sz w:val="22"/>
          <w:lang w:val="es-ES"/>
        </w:rPr>
        <w:t xml:space="preserve"> De otro lado, c</w:t>
      </w:r>
      <w:r w:rsidR="00417532" w:rsidRPr="004708A0">
        <w:rPr>
          <w:rFonts w:ascii="Arial" w:hAnsi="Arial" w:cs="Arial"/>
          <w:sz w:val="22"/>
          <w:lang w:val="es-ES"/>
        </w:rPr>
        <w:t>abe aclarar que la utilización de la causal, bajo los criterios indicados, no implica que el valor de estos ítems se torne</w:t>
      </w:r>
      <w:r w:rsidR="00795B22" w:rsidRPr="004708A0">
        <w:rPr>
          <w:rFonts w:ascii="Arial" w:hAnsi="Arial" w:cs="Arial"/>
          <w:sz w:val="22"/>
          <w:lang w:val="es-ES"/>
        </w:rPr>
        <w:t xml:space="preserve"> inmodificable</w:t>
      </w:r>
      <w:r w:rsidR="00417532" w:rsidRPr="004708A0">
        <w:rPr>
          <w:rFonts w:ascii="Arial" w:hAnsi="Arial" w:cs="Arial"/>
          <w:sz w:val="22"/>
          <w:lang w:val="es-ES"/>
        </w:rPr>
        <w:t>,</w:t>
      </w:r>
      <w:r w:rsidR="00795B22" w:rsidRPr="004708A0">
        <w:rPr>
          <w:rFonts w:ascii="Arial" w:hAnsi="Arial" w:cs="Arial"/>
          <w:sz w:val="22"/>
          <w:lang w:val="es-ES"/>
        </w:rPr>
        <w:t xml:space="preserve"> </w:t>
      </w:r>
      <w:r w:rsidR="00E82C74" w:rsidRPr="004708A0">
        <w:rPr>
          <w:rFonts w:ascii="Arial" w:hAnsi="Arial" w:cs="Arial"/>
          <w:sz w:val="22"/>
          <w:lang w:val="es-ES"/>
        </w:rPr>
        <w:t xml:space="preserve">pues </w:t>
      </w:r>
      <w:r w:rsidR="00986625" w:rsidRPr="004708A0">
        <w:rPr>
          <w:rFonts w:ascii="Arial" w:hAnsi="Arial" w:cs="Arial"/>
          <w:sz w:val="22"/>
          <w:lang w:val="es-ES"/>
        </w:rPr>
        <w:t>si</w:t>
      </w:r>
      <w:r w:rsidR="001743DB" w:rsidRPr="004708A0">
        <w:rPr>
          <w:rFonts w:ascii="Arial" w:hAnsi="Arial" w:cs="Arial"/>
          <w:sz w:val="22"/>
          <w:lang w:val="es-ES"/>
        </w:rPr>
        <w:t xml:space="preserve"> bien</w:t>
      </w:r>
      <w:r w:rsidR="00986625" w:rsidRPr="004708A0">
        <w:rPr>
          <w:rFonts w:ascii="Arial" w:hAnsi="Arial" w:cs="Arial"/>
          <w:sz w:val="22"/>
          <w:lang w:val="es-ES"/>
        </w:rPr>
        <w:t xml:space="preserve"> la causal prohíbe </w:t>
      </w:r>
      <w:r w:rsidR="001743DB" w:rsidRPr="004708A0">
        <w:rPr>
          <w:rFonts w:ascii="Arial" w:hAnsi="Arial" w:cs="Arial"/>
          <w:sz w:val="22"/>
          <w:lang w:val="es-ES"/>
        </w:rPr>
        <w:t>ofrecimientos por exceso</w:t>
      </w:r>
      <w:r w:rsidR="00417532" w:rsidRPr="004708A0">
        <w:rPr>
          <w:rFonts w:ascii="Arial" w:hAnsi="Arial" w:cs="Arial"/>
          <w:sz w:val="22"/>
          <w:lang w:val="es-ES"/>
        </w:rPr>
        <w:t>,</w:t>
      </w:r>
      <w:r w:rsidR="001743DB" w:rsidRPr="004708A0">
        <w:rPr>
          <w:rFonts w:ascii="Arial" w:hAnsi="Arial" w:cs="Arial"/>
          <w:sz w:val="22"/>
          <w:lang w:val="es-ES"/>
        </w:rPr>
        <w:t xml:space="preserve"> es posible que </w:t>
      </w:r>
      <w:r w:rsidR="00277323" w:rsidRPr="004708A0">
        <w:rPr>
          <w:rFonts w:ascii="Arial" w:hAnsi="Arial" w:cs="Arial"/>
          <w:sz w:val="22"/>
          <w:lang w:val="es-ES"/>
        </w:rPr>
        <w:t xml:space="preserve">el </w:t>
      </w:r>
      <w:r w:rsidR="001743DB" w:rsidRPr="004708A0">
        <w:rPr>
          <w:rFonts w:ascii="Arial" w:hAnsi="Arial" w:cs="Arial"/>
          <w:sz w:val="22"/>
          <w:lang w:val="es-ES"/>
        </w:rPr>
        <w:t>prop</w:t>
      </w:r>
      <w:r w:rsidR="00A169F8" w:rsidRPr="004708A0">
        <w:rPr>
          <w:rFonts w:ascii="Arial" w:hAnsi="Arial" w:cs="Arial"/>
          <w:sz w:val="22"/>
          <w:lang w:val="es-ES"/>
        </w:rPr>
        <w:t xml:space="preserve">onente ajuste </w:t>
      </w:r>
      <w:r w:rsidR="00222000" w:rsidRPr="004708A0">
        <w:rPr>
          <w:rFonts w:ascii="Arial" w:hAnsi="Arial" w:cs="Arial"/>
          <w:sz w:val="22"/>
          <w:lang w:val="es-ES"/>
        </w:rPr>
        <w:t>el precio a</w:t>
      </w:r>
      <w:r w:rsidR="00A169F8" w:rsidRPr="004708A0">
        <w:rPr>
          <w:rFonts w:ascii="Arial" w:hAnsi="Arial" w:cs="Arial"/>
          <w:sz w:val="22"/>
          <w:lang w:val="es-ES"/>
        </w:rPr>
        <w:t xml:space="preserve"> la baja</w:t>
      </w:r>
      <w:r w:rsidR="00417532" w:rsidRPr="004708A0">
        <w:rPr>
          <w:rFonts w:ascii="Arial" w:hAnsi="Arial" w:cs="Arial"/>
          <w:sz w:val="22"/>
          <w:lang w:val="es-ES"/>
        </w:rPr>
        <w:t>, esto es, ofreciendo un valor inferior</w:t>
      </w:r>
      <w:r w:rsidR="009F4555">
        <w:rPr>
          <w:rFonts w:ascii="Arial" w:hAnsi="Arial" w:cs="Arial"/>
          <w:sz w:val="22"/>
          <w:lang w:val="es-ES"/>
        </w:rPr>
        <w:t xml:space="preserve"> frente a esto</w:t>
      </w:r>
      <w:r w:rsidRPr="004708A0">
        <w:rPr>
          <w:rFonts w:ascii="Arial" w:hAnsi="Arial" w:cs="Arial"/>
          <w:sz w:val="22"/>
          <w:lang w:val="es-ES"/>
        </w:rPr>
        <w:t>s ítems</w:t>
      </w:r>
      <w:r w:rsidR="004B284E" w:rsidRPr="004708A0">
        <w:rPr>
          <w:rFonts w:ascii="Arial" w:hAnsi="Arial" w:cs="Arial"/>
          <w:sz w:val="22"/>
          <w:lang w:val="es-ES"/>
        </w:rPr>
        <w:t xml:space="preserve">. </w:t>
      </w:r>
      <w:r w:rsidRPr="004708A0">
        <w:rPr>
          <w:rFonts w:ascii="Arial" w:hAnsi="Arial" w:cs="Arial"/>
          <w:sz w:val="22"/>
          <w:lang w:val="es-ES"/>
        </w:rPr>
        <w:t>Además, l</w:t>
      </w:r>
      <w:r w:rsidR="00417532" w:rsidRPr="004708A0">
        <w:rPr>
          <w:rFonts w:ascii="Arial" w:hAnsi="Arial" w:cs="Arial"/>
          <w:sz w:val="22"/>
          <w:lang w:val="es-ES"/>
        </w:rPr>
        <w:t xml:space="preserve">a inclusión facultativa de la causal analizada </w:t>
      </w:r>
      <w:r w:rsidR="004B284E" w:rsidRPr="004708A0">
        <w:rPr>
          <w:rFonts w:ascii="Arial" w:hAnsi="Arial" w:cs="Arial"/>
          <w:sz w:val="22"/>
          <w:lang w:val="es-ES"/>
        </w:rPr>
        <w:t xml:space="preserve">produce beneficios para </w:t>
      </w:r>
      <w:r w:rsidR="007A139C" w:rsidRPr="004708A0">
        <w:rPr>
          <w:rFonts w:ascii="Arial" w:hAnsi="Arial" w:cs="Arial"/>
          <w:sz w:val="22"/>
          <w:lang w:val="es-ES"/>
        </w:rPr>
        <w:t>el interés general</w:t>
      </w:r>
      <w:r w:rsidR="00C235E4" w:rsidRPr="004708A0">
        <w:rPr>
          <w:rFonts w:ascii="Arial" w:hAnsi="Arial" w:cs="Arial"/>
          <w:sz w:val="22"/>
          <w:lang w:val="es-ES"/>
        </w:rPr>
        <w:t xml:space="preserve"> dentro procedimientos de selección con pluralidad de oferentes como la licitación pública</w:t>
      </w:r>
      <w:r w:rsidR="004B284E" w:rsidRPr="004708A0">
        <w:rPr>
          <w:rFonts w:ascii="Arial" w:hAnsi="Arial" w:cs="Arial"/>
          <w:sz w:val="22"/>
          <w:lang w:val="es-ES"/>
        </w:rPr>
        <w:t>,</w:t>
      </w:r>
      <w:r w:rsidR="00303F14" w:rsidRPr="004708A0">
        <w:rPr>
          <w:rFonts w:ascii="Arial" w:hAnsi="Arial" w:cs="Arial"/>
          <w:sz w:val="22"/>
          <w:lang w:val="es-ES"/>
        </w:rPr>
        <w:t xml:space="preserve"> pues</w:t>
      </w:r>
      <w:r w:rsidR="004B284E" w:rsidRPr="004708A0">
        <w:rPr>
          <w:rFonts w:ascii="Arial" w:hAnsi="Arial" w:cs="Arial"/>
          <w:sz w:val="22"/>
          <w:lang w:val="es-ES"/>
        </w:rPr>
        <w:t xml:space="preserve"> </w:t>
      </w:r>
      <w:r w:rsidR="007A139C" w:rsidRPr="004708A0">
        <w:rPr>
          <w:rFonts w:ascii="Arial" w:hAnsi="Arial" w:cs="Arial"/>
          <w:sz w:val="22"/>
          <w:lang w:val="es-ES"/>
        </w:rPr>
        <w:t xml:space="preserve">garantiza </w:t>
      </w:r>
      <w:r w:rsidR="00C235E4" w:rsidRPr="004708A0">
        <w:rPr>
          <w:rFonts w:ascii="Arial" w:hAnsi="Arial" w:cs="Arial"/>
          <w:sz w:val="22"/>
          <w:lang w:val="es-ES"/>
        </w:rPr>
        <w:t xml:space="preserve">el cumplimiento de las especificaciones definidas por la entidad </w:t>
      </w:r>
      <w:r w:rsidR="00303F14" w:rsidRPr="004708A0">
        <w:rPr>
          <w:rFonts w:ascii="Arial" w:hAnsi="Arial" w:cs="Arial"/>
          <w:sz w:val="22"/>
          <w:lang w:val="es-ES"/>
        </w:rPr>
        <w:t>al menor costo posible.</w:t>
      </w:r>
      <w:r w:rsidR="00486557" w:rsidRPr="004708A0">
        <w:rPr>
          <w:rFonts w:ascii="Arial" w:hAnsi="Arial" w:cs="Arial"/>
          <w:sz w:val="22"/>
          <w:lang w:val="es-ES"/>
        </w:rPr>
        <w:t xml:space="preserve"> </w:t>
      </w:r>
      <w:r w:rsidR="00E97826" w:rsidRPr="004708A0">
        <w:rPr>
          <w:rFonts w:ascii="Arial" w:hAnsi="Arial" w:cs="Arial"/>
          <w:sz w:val="22"/>
          <w:lang w:val="es-ES"/>
        </w:rPr>
        <w:t>Lo anterior, sin perder de vista que l</w:t>
      </w:r>
      <w:r w:rsidR="00883339" w:rsidRPr="004708A0">
        <w:rPr>
          <w:rFonts w:ascii="Arial" w:hAnsi="Arial" w:cs="Arial"/>
          <w:sz w:val="22"/>
          <w:lang w:val="es-ES"/>
        </w:rPr>
        <w:t xml:space="preserve">a </w:t>
      </w:r>
      <w:r w:rsidR="007C7738" w:rsidRPr="004708A0">
        <w:rPr>
          <w:rFonts w:ascii="Arial" w:hAnsi="Arial" w:cs="Arial"/>
          <w:sz w:val="22"/>
          <w:lang w:val="es-ES"/>
        </w:rPr>
        <w:t xml:space="preserve">causal </w:t>
      </w:r>
      <w:r w:rsidR="00883339" w:rsidRPr="004708A0">
        <w:rPr>
          <w:rFonts w:ascii="Arial" w:hAnsi="Arial" w:cs="Arial"/>
          <w:sz w:val="22"/>
          <w:lang w:val="es-ES"/>
        </w:rPr>
        <w:t xml:space="preserve">analizada </w:t>
      </w:r>
      <w:r w:rsidR="00883339" w:rsidRPr="004708A0">
        <w:rPr>
          <w:rFonts w:ascii="Arial" w:hAnsi="Arial" w:cs="Arial"/>
          <w:sz w:val="22"/>
          <w:lang w:val="es-CO"/>
        </w:rPr>
        <w:t xml:space="preserve">únicamente </w:t>
      </w:r>
      <w:r w:rsidR="00674E36" w:rsidRPr="004708A0">
        <w:rPr>
          <w:rFonts w:ascii="Arial" w:hAnsi="Arial" w:cs="Arial"/>
          <w:sz w:val="22"/>
          <w:lang w:val="es-CO"/>
        </w:rPr>
        <w:t>rige</w:t>
      </w:r>
      <w:r w:rsidR="00883339" w:rsidRPr="004708A0">
        <w:rPr>
          <w:rFonts w:ascii="Arial" w:hAnsi="Arial" w:cs="Arial"/>
          <w:sz w:val="22"/>
          <w:lang w:val="es-CO"/>
        </w:rPr>
        <w:t xml:space="preserve"> en </w:t>
      </w:r>
      <w:r w:rsidR="006D464F" w:rsidRPr="004708A0">
        <w:rPr>
          <w:rFonts w:ascii="Arial" w:hAnsi="Arial" w:cs="Arial"/>
          <w:sz w:val="22"/>
          <w:lang w:val="es-CO"/>
        </w:rPr>
        <w:t>los procesos de selección en los que se contrat</w:t>
      </w:r>
      <w:r w:rsidR="00417532" w:rsidRPr="004708A0">
        <w:rPr>
          <w:rFonts w:ascii="Arial" w:hAnsi="Arial" w:cs="Arial"/>
          <w:sz w:val="22"/>
          <w:lang w:val="es-CO"/>
        </w:rPr>
        <w:t>e</w:t>
      </w:r>
      <w:r w:rsidR="006D464F" w:rsidRPr="004708A0">
        <w:rPr>
          <w:rFonts w:ascii="Arial" w:hAnsi="Arial" w:cs="Arial"/>
          <w:sz w:val="22"/>
          <w:lang w:val="es-CO"/>
        </w:rPr>
        <w:t xml:space="preserve"> </w:t>
      </w:r>
      <w:r w:rsidR="00883339" w:rsidRPr="004708A0">
        <w:rPr>
          <w:rFonts w:ascii="Arial" w:hAnsi="Arial" w:cs="Arial"/>
          <w:sz w:val="22"/>
          <w:lang w:val="es-CO"/>
        </w:rPr>
        <w:t>por</w:t>
      </w:r>
      <w:r w:rsidR="007C7738" w:rsidRPr="004708A0">
        <w:rPr>
          <w:rFonts w:ascii="Arial" w:hAnsi="Arial" w:cs="Arial"/>
          <w:sz w:val="22"/>
          <w:lang w:val="es-CO"/>
        </w:rPr>
        <w:t xml:space="preserve"> precios unitarios, </w:t>
      </w:r>
      <w:r w:rsidR="00417532" w:rsidRPr="004708A0">
        <w:rPr>
          <w:rFonts w:ascii="Arial" w:hAnsi="Arial" w:cs="Arial"/>
          <w:sz w:val="22"/>
          <w:lang w:val="es-CO"/>
        </w:rPr>
        <w:t>siendo además</w:t>
      </w:r>
      <w:r w:rsidR="005D53E3" w:rsidRPr="004708A0">
        <w:rPr>
          <w:rFonts w:ascii="Arial" w:hAnsi="Arial" w:cs="Arial"/>
          <w:sz w:val="22"/>
          <w:lang w:val="es-CO"/>
        </w:rPr>
        <w:t xml:space="preserve"> necesario </w:t>
      </w:r>
      <w:r w:rsidR="00417532" w:rsidRPr="004708A0">
        <w:rPr>
          <w:rFonts w:ascii="Arial" w:hAnsi="Arial" w:cs="Arial"/>
          <w:sz w:val="22"/>
          <w:lang w:val="es-CO"/>
        </w:rPr>
        <w:t xml:space="preserve">que la entidad </w:t>
      </w:r>
      <w:r w:rsidR="0070528F" w:rsidRPr="004708A0">
        <w:rPr>
          <w:rFonts w:ascii="Arial" w:hAnsi="Arial" w:cs="Arial"/>
          <w:sz w:val="22"/>
          <w:lang w:val="es-CO"/>
        </w:rPr>
        <w:t>defin</w:t>
      </w:r>
      <w:r w:rsidR="00417532" w:rsidRPr="004708A0">
        <w:rPr>
          <w:rFonts w:ascii="Arial" w:hAnsi="Arial" w:cs="Arial"/>
          <w:sz w:val="22"/>
          <w:lang w:val="es-CO"/>
        </w:rPr>
        <w:t>a</w:t>
      </w:r>
      <w:r w:rsidR="007C7738" w:rsidRPr="004708A0">
        <w:rPr>
          <w:rFonts w:ascii="Arial" w:hAnsi="Arial" w:cs="Arial"/>
          <w:sz w:val="22"/>
          <w:lang w:val="es-CO"/>
        </w:rPr>
        <w:t xml:space="preserve"> los ítems frente a los cuales</w:t>
      </w:r>
      <w:r w:rsidR="00674E36" w:rsidRPr="004708A0">
        <w:rPr>
          <w:rFonts w:ascii="Arial" w:hAnsi="Arial" w:cs="Arial"/>
          <w:sz w:val="22"/>
          <w:lang w:val="es-CO"/>
        </w:rPr>
        <w:t xml:space="preserve"> aplica el rechazo</w:t>
      </w:r>
      <w:r w:rsidR="007C7738" w:rsidRPr="004708A0">
        <w:rPr>
          <w:rFonts w:ascii="Arial" w:hAnsi="Arial" w:cs="Arial"/>
          <w:sz w:val="22"/>
          <w:lang w:val="es-CO"/>
        </w:rPr>
        <w:t>.</w:t>
      </w:r>
    </w:p>
    <w:p w14:paraId="42B9C5C5" w14:textId="3064B8A1" w:rsidR="009F4555" w:rsidRPr="009F4555" w:rsidRDefault="000A0DB1" w:rsidP="003616BA">
      <w:pPr>
        <w:pStyle w:val="Encabezado"/>
        <w:tabs>
          <w:tab w:val="clear" w:pos="4252"/>
          <w:tab w:val="clear" w:pos="8504"/>
          <w:tab w:val="center" w:pos="709"/>
          <w:tab w:val="right" w:pos="8838"/>
        </w:tabs>
        <w:spacing w:line="276" w:lineRule="auto"/>
        <w:jc w:val="both"/>
        <w:rPr>
          <w:rFonts w:ascii="Arial" w:hAnsi="Arial" w:cs="Arial"/>
          <w:sz w:val="22"/>
        </w:rPr>
      </w:pPr>
      <w:r>
        <w:rPr>
          <w:rFonts w:ascii="Arial" w:hAnsi="Arial" w:cs="Arial"/>
          <w:sz w:val="22"/>
        </w:rPr>
        <w:tab/>
      </w:r>
      <w:r w:rsidR="003616BA">
        <w:rPr>
          <w:rFonts w:ascii="Arial" w:hAnsi="Arial" w:cs="Arial"/>
          <w:sz w:val="22"/>
        </w:rPr>
        <w:tab/>
      </w:r>
      <w:r>
        <w:rPr>
          <w:rFonts w:ascii="Arial" w:hAnsi="Arial" w:cs="Arial"/>
          <w:sz w:val="22"/>
        </w:rPr>
        <w:t>L</w:t>
      </w:r>
      <w:r w:rsidR="009F4555" w:rsidRPr="009F4555">
        <w:rPr>
          <w:rFonts w:ascii="Arial" w:hAnsi="Arial" w:cs="Arial"/>
          <w:sz w:val="22"/>
        </w:rPr>
        <w:t>as correcciones aritméticas de la</w:t>
      </w:r>
      <w:r>
        <w:rPr>
          <w:rFonts w:ascii="Arial" w:hAnsi="Arial" w:cs="Arial"/>
          <w:sz w:val="22"/>
        </w:rPr>
        <w:t xml:space="preserve"> propuesta económica </w:t>
      </w:r>
      <w:r w:rsidR="009F4555" w:rsidRPr="009F4555">
        <w:rPr>
          <w:rFonts w:ascii="Arial" w:hAnsi="Arial" w:cs="Arial"/>
          <w:sz w:val="22"/>
        </w:rPr>
        <w:t>podrían ocasionar el rechazo de la propuesta en los eventos señalados en los literales M y Q del numeral 1.15 del Documento Base, es decir, que una vez realizad</w:t>
      </w:r>
      <w:r>
        <w:rPr>
          <w:rFonts w:ascii="Arial" w:hAnsi="Arial" w:cs="Arial"/>
          <w:sz w:val="22"/>
        </w:rPr>
        <w:t>a</w:t>
      </w:r>
      <w:r w:rsidR="009F4555" w:rsidRPr="009F4555">
        <w:rPr>
          <w:rFonts w:ascii="Arial" w:hAnsi="Arial" w:cs="Arial"/>
          <w:sz w:val="22"/>
        </w:rPr>
        <w:t xml:space="preserve"> la corrección aritmética se observe </w:t>
      </w:r>
      <w:r w:rsidR="009F4555" w:rsidRPr="009F4555">
        <w:rPr>
          <w:rFonts w:ascii="Arial" w:hAnsi="Arial" w:cs="Arial"/>
          <w:sz w:val="22"/>
        </w:rPr>
        <w:lastRenderedPageBreak/>
        <w:t>que la propuesta económica supera el presupuesto oficial del proceso de contratación; o que supera el valor unitario de alguno o algunos de los ítems que señale la entidad con respecto al valor establecido para cada ítem del presupuesto oficial, en los procesos en qu</w:t>
      </w:r>
      <w:r>
        <w:rPr>
          <w:rFonts w:ascii="Arial" w:hAnsi="Arial" w:cs="Arial"/>
          <w:sz w:val="22"/>
        </w:rPr>
        <w:t>e haya sido definida esta regla, si estos eventos no ocurren, el valor corregido será el que se tome para la ponderación económica de la propuesta.</w:t>
      </w:r>
    </w:p>
    <w:bookmarkEnd w:id="13"/>
    <w:p w14:paraId="689FECBC" w14:textId="145E50FA" w:rsidR="00825211" w:rsidRPr="004708A0" w:rsidRDefault="00624F5C" w:rsidP="0099569A">
      <w:pPr>
        <w:spacing w:line="276" w:lineRule="auto"/>
        <w:jc w:val="both"/>
        <w:rPr>
          <w:rFonts w:ascii="Arial" w:hAnsi="Arial" w:cs="Arial"/>
          <w:color w:val="000000"/>
          <w:sz w:val="22"/>
          <w:lang w:val="es-ES"/>
        </w:rPr>
      </w:pPr>
      <w:r w:rsidRPr="004708A0">
        <w:rPr>
          <w:rFonts w:ascii="Arial" w:hAnsi="Arial" w:cs="Arial"/>
          <w:sz w:val="22"/>
          <w:lang w:val="es-CO"/>
        </w:rPr>
        <w:tab/>
      </w:r>
      <w:r w:rsidR="007C10BD" w:rsidRPr="004708A0">
        <w:rPr>
          <w:rFonts w:ascii="Arial" w:hAnsi="Arial" w:cs="Arial"/>
          <w:color w:val="000000"/>
          <w:sz w:val="22"/>
          <w:lang w:val="es-ES"/>
        </w:rPr>
        <w:t xml:space="preserve"> </w:t>
      </w:r>
    </w:p>
    <w:p w14:paraId="4132AAB4" w14:textId="65178754" w:rsidR="00A8002B" w:rsidRPr="004708A0" w:rsidRDefault="00461EC0" w:rsidP="005D2D69">
      <w:pPr>
        <w:pStyle w:val="Textoindependiente"/>
        <w:spacing w:line="276" w:lineRule="auto"/>
        <w:ind w:right="103"/>
        <w:jc w:val="both"/>
        <w:rPr>
          <w:b/>
          <w:bCs/>
          <w:color w:val="000000" w:themeColor="text1"/>
        </w:rPr>
      </w:pPr>
      <w:r w:rsidRPr="004708A0">
        <w:rPr>
          <w:b/>
          <w:bCs/>
          <w:color w:val="000000" w:themeColor="text1"/>
        </w:rPr>
        <w:t xml:space="preserve">3. </w:t>
      </w:r>
      <w:r w:rsidR="00A8002B" w:rsidRPr="004708A0">
        <w:rPr>
          <w:b/>
          <w:bCs/>
          <w:color w:val="000000" w:themeColor="text1"/>
        </w:rPr>
        <w:t>Respuesta</w:t>
      </w:r>
    </w:p>
    <w:p w14:paraId="4FCB9E98" w14:textId="77777777" w:rsidR="00A8002B" w:rsidRPr="0099569A" w:rsidRDefault="00A8002B" w:rsidP="00930864">
      <w:pPr>
        <w:pStyle w:val="Textoindependiente"/>
        <w:spacing w:line="276" w:lineRule="auto"/>
        <w:rPr>
          <w:b/>
          <w:color w:val="000000" w:themeColor="text1"/>
          <w:sz w:val="23"/>
          <w:szCs w:val="23"/>
          <w:highlight w:val="yellow"/>
        </w:rPr>
      </w:pPr>
    </w:p>
    <w:p w14:paraId="1819A0EB" w14:textId="77777777" w:rsidR="009F4555" w:rsidRPr="009F177C" w:rsidRDefault="009F4555" w:rsidP="009F4555">
      <w:pPr>
        <w:ind w:left="709" w:right="709"/>
        <w:jc w:val="both"/>
        <w:rPr>
          <w:rFonts w:ascii="Arial" w:hAnsi="Arial" w:cs="Arial"/>
          <w:sz w:val="21"/>
          <w:szCs w:val="21"/>
        </w:rPr>
      </w:pPr>
      <w:r w:rsidRPr="009F177C">
        <w:rPr>
          <w:rFonts w:ascii="Arial" w:hAnsi="Arial" w:cs="Arial"/>
          <w:bCs/>
        </w:rPr>
        <w:t>«</w:t>
      </w:r>
      <w:r w:rsidRPr="009F177C">
        <w:rPr>
          <w:rFonts w:ascii="Arial" w:hAnsi="Arial" w:cs="Arial"/>
          <w:sz w:val="21"/>
          <w:szCs w:val="21"/>
        </w:rPr>
        <w:t>[…]</w:t>
      </w:r>
    </w:p>
    <w:p w14:paraId="2A3F1783" w14:textId="77777777" w:rsidR="009F4555" w:rsidRPr="009F177C" w:rsidRDefault="009F4555" w:rsidP="009F4555">
      <w:pPr>
        <w:ind w:left="709" w:right="709"/>
        <w:jc w:val="both"/>
        <w:rPr>
          <w:rFonts w:ascii="Arial" w:eastAsia="Times New Roman" w:hAnsi="Arial" w:cs="Arial"/>
          <w:bCs/>
          <w:color w:val="000000" w:themeColor="text1"/>
          <w:sz w:val="21"/>
          <w:szCs w:val="21"/>
          <w:lang w:eastAsia="es-ES_tradnl"/>
        </w:rPr>
      </w:pPr>
    </w:p>
    <w:p w14:paraId="5175C2A6" w14:textId="77777777" w:rsidR="009F4555" w:rsidRPr="009F177C" w:rsidRDefault="009F4555" w:rsidP="009F4555">
      <w:pPr>
        <w:ind w:left="709" w:right="709"/>
        <w:jc w:val="both"/>
        <w:rPr>
          <w:rFonts w:ascii="Arial" w:hAnsi="Arial" w:cs="Arial"/>
          <w:sz w:val="21"/>
          <w:szCs w:val="21"/>
        </w:rPr>
      </w:pPr>
      <w:r w:rsidRPr="009F177C">
        <w:rPr>
          <w:rFonts w:ascii="Arial" w:hAnsi="Arial" w:cs="Arial"/>
          <w:sz w:val="21"/>
          <w:szCs w:val="21"/>
        </w:rPr>
        <w:t xml:space="preserve">PREGUNTA 1 </w:t>
      </w:r>
    </w:p>
    <w:p w14:paraId="2DB92DC7" w14:textId="77777777" w:rsidR="009F4555" w:rsidRPr="009F177C" w:rsidRDefault="009F4555" w:rsidP="009F4555">
      <w:pPr>
        <w:ind w:left="709" w:right="709"/>
        <w:jc w:val="both"/>
        <w:rPr>
          <w:rFonts w:ascii="Arial" w:hAnsi="Arial" w:cs="Arial"/>
          <w:sz w:val="21"/>
          <w:szCs w:val="21"/>
        </w:rPr>
      </w:pPr>
    </w:p>
    <w:p w14:paraId="341DEC1B" w14:textId="77777777" w:rsidR="009F4555" w:rsidRPr="009F177C" w:rsidRDefault="009F4555" w:rsidP="009F4555">
      <w:pPr>
        <w:ind w:left="709" w:right="709"/>
        <w:jc w:val="both"/>
        <w:rPr>
          <w:rFonts w:ascii="Arial" w:hAnsi="Arial" w:cs="Arial"/>
          <w:sz w:val="21"/>
          <w:szCs w:val="21"/>
        </w:rPr>
      </w:pPr>
      <w:r w:rsidRPr="009F177C">
        <w:rPr>
          <w:rFonts w:ascii="Arial" w:hAnsi="Arial" w:cs="Arial"/>
          <w:sz w:val="21"/>
          <w:szCs w:val="21"/>
        </w:rPr>
        <w:t>la pregunta es la siguiente, de acuerdo a la nota 2, esta aproximacion debe hacerse sobre la casilla del VALOR UNITARIO o del VALOR TOTAL, aclarar por favor»</w:t>
      </w:r>
    </w:p>
    <w:p w14:paraId="7AF7A637" w14:textId="77777777" w:rsidR="009F4555" w:rsidRDefault="009F4555" w:rsidP="009F4555">
      <w:pPr>
        <w:ind w:left="709" w:right="709"/>
        <w:jc w:val="both"/>
        <w:rPr>
          <w:rFonts w:ascii="Arial" w:hAnsi="Arial" w:cs="Arial"/>
          <w:b/>
          <w:sz w:val="21"/>
          <w:szCs w:val="21"/>
        </w:rPr>
      </w:pPr>
    </w:p>
    <w:p w14:paraId="09B08717" w14:textId="006BB780" w:rsidR="009F4555" w:rsidRPr="009F4555" w:rsidRDefault="008601E8" w:rsidP="00846F03">
      <w:pPr>
        <w:spacing w:after="120" w:line="276" w:lineRule="auto"/>
        <w:jc w:val="both"/>
        <w:rPr>
          <w:rFonts w:ascii="Arial" w:hAnsi="Arial" w:cs="Arial"/>
          <w:color w:val="000000" w:themeColor="text1"/>
          <w:sz w:val="22"/>
          <w:u w:val="single"/>
        </w:rPr>
      </w:pPr>
      <w:r>
        <w:rPr>
          <w:rFonts w:ascii="Arial" w:hAnsi="Arial" w:cs="Arial"/>
          <w:sz w:val="22"/>
        </w:rPr>
        <w:t xml:space="preserve">Conforme a lo expuesto, la </w:t>
      </w:r>
      <w:r w:rsidR="000A0DB1" w:rsidRPr="009F4555">
        <w:rPr>
          <w:rFonts w:ascii="Arial" w:hAnsi="Arial" w:cs="Arial"/>
          <w:color w:val="000000" w:themeColor="text1"/>
          <w:sz w:val="22"/>
        </w:rPr>
        <w:t xml:space="preserve">aproximación que señala la Nota 2 del </w:t>
      </w:r>
      <w:r w:rsidR="00170D86">
        <w:rPr>
          <w:rFonts w:ascii="Arial" w:hAnsi="Arial" w:cs="Arial"/>
          <w:color w:val="000000" w:themeColor="text1"/>
          <w:sz w:val="22"/>
        </w:rPr>
        <w:t>«</w:t>
      </w:r>
      <w:r w:rsidR="00170D86" w:rsidRPr="008774D5">
        <w:rPr>
          <w:rFonts w:ascii="Arial" w:hAnsi="Arial" w:cs="Arial"/>
          <w:sz w:val="22"/>
        </w:rPr>
        <w:t>Formulario 1 – Formulario de Presupuesto Oficial»,</w:t>
      </w:r>
      <w:r w:rsidR="000A0DB1" w:rsidRPr="009F4555">
        <w:rPr>
          <w:rFonts w:ascii="Arial" w:hAnsi="Arial" w:cs="Arial"/>
          <w:color w:val="000000" w:themeColor="text1"/>
          <w:sz w:val="22"/>
        </w:rPr>
        <w:t xml:space="preserve"> se refiere a los precios unitarios contenidos en la oferta económica</w:t>
      </w:r>
      <w:r w:rsidR="00AA6029">
        <w:rPr>
          <w:rFonts w:ascii="Arial" w:hAnsi="Arial" w:cs="Arial"/>
          <w:color w:val="000000" w:themeColor="text1"/>
          <w:sz w:val="22"/>
        </w:rPr>
        <w:t xml:space="preserve"> </w:t>
      </w:r>
      <w:r w:rsidR="00AA6029" w:rsidRPr="00AA6029">
        <w:rPr>
          <w:rFonts w:ascii="Arial" w:hAnsi="Arial" w:cs="Arial"/>
          <w:color w:val="000000" w:themeColor="text1"/>
          <w:sz w:val="22"/>
        </w:rPr>
        <w:t xml:space="preserve">y </w:t>
      </w:r>
      <w:r w:rsidR="00AA6029" w:rsidRPr="00AA6029">
        <w:rPr>
          <w:rFonts w:ascii="Arial" w:hAnsi="Arial" w:cs="Arial"/>
          <w:sz w:val="22"/>
        </w:rPr>
        <w:t xml:space="preserve">reitera lo establecido en el literal B del numeral 4.1.2 del Documento Base que establece las reglas para efectuar la corrección aritmética </w:t>
      </w:r>
      <w:r w:rsidR="00AA6029">
        <w:rPr>
          <w:rFonts w:ascii="Arial" w:hAnsi="Arial" w:cs="Arial"/>
          <w:sz w:val="22"/>
        </w:rPr>
        <w:t>de</w:t>
      </w:r>
      <w:r w:rsidR="009F4555" w:rsidRPr="009F4555">
        <w:rPr>
          <w:rFonts w:ascii="Arial" w:hAnsi="Arial" w:cs="Arial"/>
          <w:sz w:val="22"/>
        </w:rPr>
        <w:t xml:space="preserve"> </w:t>
      </w:r>
      <w:r w:rsidR="00AA6029">
        <w:rPr>
          <w:rFonts w:ascii="Arial" w:hAnsi="Arial" w:cs="Arial"/>
          <w:sz w:val="22"/>
        </w:rPr>
        <w:t>los precios unitarios por</w:t>
      </w:r>
      <w:r w:rsidR="009F4555" w:rsidRPr="009F4555">
        <w:rPr>
          <w:rFonts w:ascii="Arial" w:hAnsi="Arial" w:cs="Arial"/>
          <w:sz w:val="22"/>
        </w:rPr>
        <w:t xml:space="preserve"> las aproxima</w:t>
      </w:r>
      <w:r w:rsidR="00AA6029">
        <w:rPr>
          <w:rFonts w:ascii="Arial" w:hAnsi="Arial" w:cs="Arial"/>
          <w:sz w:val="22"/>
        </w:rPr>
        <w:t>ciones de las cifras decimales.</w:t>
      </w:r>
      <w:r w:rsidR="00170D86">
        <w:rPr>
          <w:rFonts w:ascii="Arial" w:hAnsi="Arial" w:cs="Arial"/>
          <w:sz w:val="22"/>
        </w:rPr>
        <w:t xml:space="preserve"> </w:t>
      </w:r>
      <w:r w:rsidR="008774D5" w:rsidRPr="008774D5">
        <w:rPr>
          <w:rFonts w:ascii="Arial" w:hAnsi="Arial" w:cs="Arial"/>
          <w:sz w:val="22"/>
        </w:rPr>
        <w:t>Cabe señalar que la</w:t>
      </w:r>
      <w:r w:rsidR="009F4555" w:rsidRPr="008774D5">
        <w:rPr>
          <w:rFonts w:ascii="Arial" w:hAnsi="Arial" w:cs="Arial"/>
          <w:sz w:val="22"/>
        </w:rPr>
        <w:t xml:space="preserve"> entidad al evaluar las ofertas económicas de los proponentes habilitados debe revisar, con base en la información registrada en el «Formulario 1 – Formulario de Presupuesto Oficial», cada una de las operaciones aritméticas que permitan verificar el valor </w:t>
      </w:r>
      <w:r w:rsidR="008774D5" w:rsidRPr="008774D5">
        <w:rPr>
          <w:rFonts w:ascii="Arial" w:hAnsi="Arial" w:cs="Arial"/>
          <w:sz w:val="22"/>
        </w:rPr>
        <w:t>real ofertado por el proponente, lo cual comprende tanto los valores unitarios como el valor total.</w:t>
      </w:r>
    </w:p>
    <w:p w14:paraId="00511016" w14:textId="77777777" w:rsidR="009F4555" w:rsidRDefault="009F4555" w:rsidP="009F4555">
      <w:pPr>
        <w:ind w:left="709" w:right="709"/>
        <w:jc w:val="both"/>
        <w:rPr>
          <w:rFonts w:ascii="Arial" w:hAnsi="Arial" w:cs="Arial"/>
          <w:b/>
          <w:sz w:val="21"/>
          <w:szCs w:val="21"/>
        </w:rPr>
      </w:pPr>
    </w:p>
    <w:p w14:paraId="40E2CC9F" w14:textId="77777777" w:rsidR="009F4555" w:rsidRPr="00D937F6" w:rsidRDefault="009F4555" w:rsidP="009F4555">
      <w:pPr>
        <w:ind w:left="709" w:right="709"/>
        <w:jc w:val="both"/>
        <w:rPr>
          <w:rFonts w:ascii="Arial" w:hAnsi="Arial" w:cs="Arial"/>
          <w:sz w:val="21"/>
          <w:szCs w:val="21"/>
        </w:rPr>
      </w:pPr>
      <w:r w:rsidRPr="00D937F6">
        <w:rPr>
          <w:rFonts w:ascii="Arial" w:hAnsi="Arial" w:cs="Arial"/>
          <w:sz w:val="21"/>
          <w:szCs w:val="21"/>
        </w:rPr>
        <w:t xml:space="preserve">PREGUNTA 2 </w:t>
      </w:r>
    </w:p>
    <w:p w14:paraId="57D0C52E" w14:textId="77777777" w:rsidR="009F4555" w:rsidRPr="00D937F6" w:rsidRDefault="009F4555" w:rsidP="009F4555">
      <w:pPr>
        <w:ind w:left="709" w:right="709"/>
        <w:jc w:val="both"/>
        <w:rPr>
          <w:rFonts w:ascii="Arial" w:hAnsi="Arial" w:cs="Arial"/>
          <w:sz w:val="21"/>
          <w:szCs w:val="21"/>
        </w:rPr>
      </w:pPr>
    </w:p>
    <w:p w14:paraId="7F2960A1" w14:textId="132B87E5" w:rsidR="009F4555" w:rsidRPr="00D937F6" w:rsidRDefault="009F4555" w:rsidP="009F4555">
      <w:pPr>
        <w:ind w:left="709" w:right="709"/>
        <w:jc w:val="both"/>
        <w:rPr>
          <w:rFonts w:ascii="Arial" w:hAnsi="Arial" w:cs="Arial"/>
          <w:sz w:val="21"/>
          <w:szCs w:val="21"/>
        </w:rPr>
      </w:pPr>
      <w:r w:rsidRPr="00D937F6">
        <w:rPr>
          <w:rFonts w:ascii="Arial" w:hAnsi="Arial" w:cs="Arial"/>
          <w:sz w:val="21"/>
          <w:szCs w:val="21"/>
        </w:rPr>
        <w:t xml:space="preserve">en algunos procesos se requieren </w:t>
      </w:r>
      <w:r w:rsidRPr="004338DE">
        <w:rPr>
          <w:rFonts w:ascii="Arial" w:hAnsi="Arial" w:cs="Arial"/>
          <w:sz w:val="21"/>
          <w:szCs w:val="21"/>
        </w:rPr>
        <w:t>PROVISION PARA AJUSTES, OBRAS COMPLEMENTARIAS Y ADICIONALES = que</w:t>
      </w:r>
      <w:r w:rsidRPr="00D937F6">
        <w:rPr>
          <w:rFonts w:ascii="Arial" w:hAnsi="Arial" w:cs="Arial"/>
          <w:sz w:val="21"/>
          <w:szCs w:val="21"/>
        </w:rPr>
        <w:t xml:space="preserve"> normalmente es usado cuando se realizan procesos por monto agotable, que quiere decir que uno hace una oferta </w:t>
      </w:r>
      <w:r w:rsidR="006054F9">
        <w:rPr>
          <w:rFonts w:ascii="Arial" w:hAnsi="Arial" w:cs="Arial"/>
          <w:sz w:val="21"/>
          <w:szCs w:val="21"/>
        </w:rPr>
        <w:pgNum/>
      </w:r>
      <w:r w:rsidR="006054F9">
        <w:rPr>
          <w:rFonts w:ascii="Arial" w:hAnsi="Arial" w:cs="Arial"/>
          <w:sz w:val="21"/>
          <w:szCs w:val="21"/>
        </w:rPr>
        <w:t>onllevar</w:t>
      </w:r>
      <w:r w:rsidRPr="00D937F6">
        <w:rPr>
          <w:rFonts w:ascii="Arial" w:hAnsi="Arial" w:cs="Arial"/>
          <w:sz w:val="21"/>
          <w:szCs w:val="21"/>
        </w:rPr>
        <w:t xml:space="preserve"> pero es adjudicado el presupuesto oficial, esta provisión normalmente es la diferencia entre el valor de la oferta </w:t>
      </w:r>
      <w:r w:rsidR="006054F9">
        <w:rPr>
          <w:rFonts w:ascii="Arial" w:hAnsi="Arial" w:cs="Arial"/>
          <w:sz w:val="21"/>
          <w:szCs w:val="21"/>
        </w:rPr>
        <w:pgNum/>
      </w:r>
      <w:r w:rsidR="006054F9">
        <w:rPr>
          <w:rFonts w:ascii="Arial" w:hAnsi="Arial" w:cs="Arial"/>
          <w:sz w:val="21"/>
          <w:szCs w:val="21"/>
        </w:rPr>
        <w:t>onllevar</w:t>
      </w:r>
      <w:r w:rsidRPr="00D937F6">
        <w:rPr>
          <w:rFonts w:ascii="Arial" w:hAnsi="Arial" w:cs="Arial"/>
          <w:sz w:val="21"/>
          <w:szCs w:val="21"/>
        </w:rPr>
        <w:t xml:space="preserve"> por parte del proponente y el presupuesto oficial, para dar un ejemplo si el presupuesto oficial es de 100 millones de pesos y mi oferta es de 95 millones pues LA PROVISION PARA AJUSTES, OBRAS COMPLEMENTARIAS Y ADICIONALES seria de 5 millones de pesos, pero la duda es la siguiente</w:t>
      </w:r>
    </w:p>
    <w:p w14:paraId="716D0868" w14:textId="77777777" w:rsidR="009F4555" w:rsidRPr="00D937F6" w:rsidRDefault="009F4555" w:rsidP="009F4555">
      <w:pPr>
        <w:ind w:left="709" w:right="709"/>
        <w:jc w:val="both"/>
        <w:rPr>
          <w:rFonts w:ascii="Arial" w:hAnsi="Arial" w:cs="Arial"/>
          <w:sz w:val="21"/>
          <w:szCs w:val="21"/>
        </w:rPr>
      </w:pPr>
    </w:p>
    <w:p w14:paraId="7EE86ACC" w14:textId="48E55FAF" w:rsidR="009F4555" w:rsidRPr="00D937F6" w:rsidRDefault="009F4555" w:rsidP="009F4555">
      <w:pPr>
        <w:ind w:left="709" w:right="709"/>
        <w:jc w:val="both"/>
        <w:rPr>
          <w:rFonts w:ascii="Arial" w:hAnsi="Arial" w:cs="Arial"/>
          <w:sz w:val="21"/>
          <w:szCs w:val="21"/>
        </w:rPr>
      </w:pPr>
      <w:r w:rsidRPr="00D937F6">
        <w:rPr>
          <w:rFonts w:ascii="Arial" w:hAnsi="Arial" w:cs="Arial"/>
          <w:sz w:val="21"/>
          <w:szCs w:val="21"/>
        </w:rPr>
        <w:t xml:space="preserve">- Si la entidad al momento de realizar la </w:t>
      </w:r>
      <w:r w:rsidR="006054F9">
        <w:rPr>
          <w:rFonts w:ascii="Arial" w:hAnsi="Arial" w:cs="Arial"/>
          <w:sz w:val="21"/>
          <w:szCs w:val="21"/>
        </w:rPr>
        <w:pgNum/>
      </w:r>
      <w:r w:rsidR="006054F9">
        <w:rPr>
          <w:rFonts w:ascii="Arial" w:hAnsi="Arial" w:cs="Arial"/>
          <w:sz w:val="21"/>
          <w:szCs w:val="21"/>
        </w:rPr>
        <w:t>onllevarí</w:t>
      </w:r>
      <w:r w:rsidRPr="00D937F6">
        <w:rPr>
          <w:rFonts w:ascii="Arial" w:hAnsi="Arial" w:cs="Arial"/>
          <w:sz w:val="21"/>
          <w:szCs w:val="21"/>
        </w:rPr>
        <w:t xml:space="preserve"> </w:t>
      </w:r>
      <w:r w:rsidR="006054F9">
        <w:rPr>
          <w:rFonts w:ascii="Arial" w:hAnsi="Arial" w:cs="Arial"/>
          <w:sz w:val="21"/>
          <w:szCs w:val="21"/>
        </w:rPr>
        <w:pgNum/>
      </w:r>
      <w:r w:rsidR="006054F9">
        <w:rPr>
          <w:rFonts w:ascii="Arial" w:hAnsi="Arial" w:cs="Arial"/>
          <w:sz w:val="21"/>
          <w:szCs w:val="21"/>
        </w:rPr>
        <w:t>onllevarí</w:t>
      </w:r>
      <w:r w:rsidRPr="00D937F6">
        <w:rPr>
          <w:rFonts w:ascii="Arial" w:hAnsi="Arial" w:cs="Arial"/>
          <w:sz w:val="21"/>
          <w:szCs w:val="21"/>
        </w:rPr>
        <w:t xml:space="preserve"> encuentra que mi oferta es por 95´100.000 pero yo </w:t>
      </w:r>
      <w:r w:rsidR="006054F9">
        <w:rPr>
          <w:rFonts w:ascii="Arial" w:hAnsi="Arial" w:cs="Arial"/>
          <w:sz w:val="21"/>
          <w:szCs w:val="21"/>
        </w:rPr>
        <w:pgNum/>
      </w:r>
      <w:r w:rsidR="006054F9">
        <w:rPr>
          <w:rFonts w:ascii="Arial" w:hAnsi="Arial" w:cs="Arial"/>
          <w:sz w:val="21"/>
          <w:szCs w:val="21"/>
        </w:rPr>
        <w:t>onll</w:t>
      </w:r>
      <w:r w:rsidRPr="00D937F6">
        <w:rPr>
          <w:rFonts w:ascii="Arial" w:hAnsi="Arial" w:cs="Arial"/>
          <w:sz w:val="21"/>
          <w:szCs w:val="21"/>
        </w:rPr>
        <w:t xml:space="preserve"> colocado que la PROVISION PARA AJUSTES era 5´000.000, esto quiere decir que </w:t>
      </w:r>
      <w:r w:rsidR="006054F9">
        <w:rPr>
          <w:rFonts w:ascii="Arial" w:hAnsi="Arial" w:cs="Arial"/>
          <w:sz w:val="21"/>
          <w:szCs w:val="21"/>
        </w:rPr>
        <w:pgNum/>
      </w:r>
      <w:r w:rsidR="006054F9">
        <w:rPr>
          <w:rFonts w:ascii="Arial" w:hAnsi="Arial" w:cs="Arial"/>
          <w:sz w:val="21"/>
          <w:szCs w:val="21"/>
        </w:rPr>
        <w:t>onllevar</w:t>
      </w:r>
      <w:r w:rsidRPr="00D937F6">
        <w:rPr>
          <w:rFonts w:ascii="Arial" w:hAnsi="Arial" w:cs="Arial"/>
          <w:sz w:val="21"/>
          <w:szCs w:val="21"/>
        </w:rPr>
        <w:t xml:space="preserve"> 100 mil pesos el presupuesto oficial y seria rechazada mi propuesta??? </w:t>
      </w:r>
      <w:r w:rsidR="006054F9" w:rsidRPr="00D937F6">
        <w:rPr>
          <w:rFonts w:ascii="Arial" w:hAnsi="Arial" w:cs="Arial"/>
          <w:sz w:val="21"/>
          <w:szCs w:val="21"/>
        </w:rPr>
        <w:t>O</w:t>
      </w:r>
      <w:r w:rsidRPr="00D937F6">
        <w:rPr>
          <w:rFonts w:ascii="Arial" w:hAnsi="Arial" w:cs="Arial"/>
          <w:sz w:val="21"/>
          <w:szCs w:val="21"/>
        </w:rPr>
        <w:t xml:space="preserve"> por otro lado la misma </w:t>
      </w:r>
      <w:r w:rsidR="006054F9">
        <w:rPr>
          <w:rFonts w:ascii="Arial" w:hAnsi="Arial" w:cs="Arial"/>
          <w:sz w:val="21"/>
          <w:szCs w:val="21"/>
        </w:rPr>
        <w:pgNum/>
      </w:r>
      <w:r w:rsidR="006054F9">
        <w:rPr>
          <w:rFonts w:ascii="Arial" w:hAnsi="Arial" w:cs="Arial"/>
          <w:sz w:val="21"/>
          <w:szCs w:val="21"/>
        </w:rPr>
        <w:t>onllevarí</w:t>
      </w:r>
      <w:r w:rsidRPr="00D937F6">
        <w:rPr>
          <w:rFonts w:ascii="Arial" w:hAnsi="Arial" w:cs="Arial"/>
          <w:sz w:val="21"/>
          <w:szCs w:val="21"/>
        </w:rPr>
        <w:t xml:space="preserve"> </w:t>
      </w:r>
      <w:r w:rsidR="006054F9">
        <w:rPr>
          <w:rFonts w:ascii="Arial" w:hAnsi="Arial" w:cs="Arial"/>
          <w:sz w:val="21"/>
          <w:szCs w:val="21"/>
        </w:rPr>
        <w:pgNum/>
      </w:r>
      <w:r w:rsidR="006054F9">
        <w:rPr>
          <w:rFonts w:ascii="Arial" w:hAnsi="Arial" w:cs="Arial"/>
          <w:sz w:val="21"/>
          <w:szCs w:val="21"/>
        </w:rPr>
        <w:t>onllevarí</w:t>
      </w:r>
      <w:r w:rsidRPr="00D937F6">
        <w:rPr>
          <w:rFonts w:ascii="Arial" w:hAnsi="Arial" w:cs="Arial"/>
          <w:sz w:val="21"/>
          <w:szCs w:val="21"/>
        </w:rPr>
        <w:t xml:space="preserve"> </w:t>
      </w:r>
      <w:r w:rsidR="006054F9">
        <w:rPr>
          <w:rFonts w:ascii="Arial" w:hAnsi="Arial" w:cs="Arial"/>
          <w:sz w:val="21"/>
          <w:szCs w:val="21"/>
        </w:rPr>
        <w:pgNum/>
      </w:r>
      <w:r w:rsidR="006054F9">
        <w:rPr>
          <w:rFonts w:ascii="Arial" w:hAnsi="Arial" w:cs="Arial"/>
          <w:sz w:val="21"/>
          <w:szCs w:val="21"/>
        </w:rPr>
        <w:t>onllevaría</w:t>
      </w:r>
      <w:r w:rsidRPr="00D937F6">
        <w:rPr>
          <w:rFonts w:ascii="Arial" w:hAnsi="Arial" w:cs="Arial"/>
          <w:sz w:val="21"/>
          <w:szCs w:val="21"/>
        </w:rPr>
        <w:t xml:space="preserve"> a que se ajuste este valor de la PROVISION DE AJUSTES Y OBRAS COMPLEMENTARIAS para que cuadrara </w:t>
      </w:r>
      <w:r w:rsidRPr="00D937F6">
        <w:rPr>
          <w:rFonts w:ascii="Arial" w:hAnsi="Arial" w:cs="Arial"/>
          <w:sz w:val="21"/>
          <w:szCs w:val="21"/>
        </w:rPr>
        <w:lastRenderedPageBreak/>
        <w:t>exactamente el presupuesto oficial?? - Por eso mismo es de gran importancia aclarar cual es el valor corregido de la propuesta, en cuanto a la nota 2»</w:t>
      </w:r>
    </w:p>
    <w:p w14:paraId="35561F67" w14:textId="77777777" w:rsidR="009F4555" w:rsidRPr="000F38BC" w:rsidRDefault="009F4555" w:rsidP="009F4555">
      <w:pPr>
        <w:ind w:left="709" w:right="709"/>
        <w:jc w:val="both"/>
        <w:rPr>
          <w:rFonts w:ascii="Arial" w:eastAsia="Times New Roman" w:hAnsi="Arial" w:cs="Arial"/>
          <w:b/>
          <w:bCs/>
          <w:color w:val="000000" w:themeColor="text1"/>
          <w:sz w:val="21"/>
          <w:szCs w:val="21"/>
          <w:lang w:eastAsia="es-ES_tradnl"/>
        </w:rPr>
      </w:pPr>
    </w:p>
    <w:p w14:paraId="3BD1A760" w14:textId="37E87801" w:rsidR="009F4555" w:rsidRPr="009F4555" w:rsidRDefault="006054F9" w:rsidP="003A554A">
      <w:pPr>
        <w:spacing w:after="120" w:line="276" w:lineRule="auto"/>
        <w:jc w:val="both"/>
        <w:rPr>
          <w:rFonts w:ascii="Arial" w:eastAsia="Arial" w:hAnsi="Arial" w:cs="Arial"/>
          <w:sz w:val="22"/>
        </w:rPr>
      </w:pPr>
      <w:r>
        <w:rPr>
          <w:rFonts w:ascii="Arial" w:eastAsia="Arial" w:hAnsi="Arial" w:cs="Arial"/>
          <w:sz w:val="22"/>
        </w:rPr>
        <w:t>De acuerdo con lo considerado, l</w:t>
      </w:r>
      <w:r w:rsidR="009F4555" w:rsidRPr="009F4555">
        <w:rPr>
          <w:rFonts w:ascii="Arial" w:eastAsia="Arial" w:hAnsi="Arial" w:cs="Arial"/>
          <w:sz w:val="22"/>
        </w:rPr>
        <w:t>as</w:t>
      </w:r>
      <w:r>
        <w:rPr>
          <w:rFonts w:ascii="Arial" w:eastAsia="Arial" w:hAnsi="Arial" w:cs="Arial"/>
          <w:sz w:val="22"/>
        </w:rPr>
        <w:t xml:space="preserve"> </w:t>
      </w:r>
      <w:r w:rsidR="009F4555" w:rsidRPr="009F4555">
        <w:rPr>
          <w:rFonts w:ascii="Arial" w:eastAsia="Arial" w:hAnsi="Arial" w:cs="Arial"/>
          <w:sz w:val="22"/>
        </w:rPr>
        <w:t>causales de rechazo aplicables a los procedimientos de contratación que se adelanten utilizando los documentos tipo, atendiendo a la regla de la inalterabilidad que los caracteriza, únicamente son las establecidas directamente en la Ley y las contenidas en el numeral 1.15 del «Documento Base».</w:t>
      </w:r>
      <w:r>
        <w:rPr>
          <w:rFonts w:ascii="Arial" w:eastAsia="Arial" w:hAnsi="Arial" w:cs="Arial"/>
          <w:sz w:val="22"/>
        </w:rPr>
        <w:t xml:space="preserve"> </w:t>
      </w:r>
      <w:r w:rsidR="00567C30">
        <w:rPr>
          <w:rFonts w:ascii="Arial" w:eastAsia="Arial" w:hAnsi="Arial" w:cs="Arial"/>
          <w:sz w:val="22"/>
        </w:rPr>
        <w:t xml:space="preserve">La inclusión de algunas de estas </w:t>
      </w:r>
      <w:r w:rsidR="00D140FE">
        <w:rPr>
          <w:rFonts w:ascii="Arial" w:eastAsia="Arial" w:hAnsi="Arial" w:cs="Arial"/>
          <w:sz w:val="22"/>
        </w:rPr>
        <w:t xml:space="preserve">depende </w:t>
      </w:r>
      <w:r w:rsidR="00DD72AD">
        <w:rPr>
          <w:rFonts w:ascii="Arial" w:eastAsia="Arial" w:hAnsi="Arial" w:cs="Arial"/>
          <w:sz w:val="22"/>
        </w:rPr>
        <w:t>de aspectos como la</w:t>
      </w:r>
      <w:r w:rsidR="00D140FE">
        <w:rPr>
          <w:rFonts w:ascii="Arial" w:eastAsia="Arial" w:hAnsi="Arial" w:cs="Arial"/>
          <w:sz w:val="22"/>
        </w:rPr>
        <w:t xml:space="preserve"> forma de pago escogida por la entidad contratante, como por ejemplo, la del literal Q</w:t>
      </w:r>
      <w:r w:rsidR="00DD72AD">
        <w:rPr>
          <w:rFonts w:ascii="Arial" w:eastAsia="Arial" w:hAnsi="Arial" w:cs="Arial"/>
          <w:sz w:val="22"/>
        </w:rPr>
        <w:t xml:space="preserve">, aplicable en procesos con pago por precios unitarios. </w:t>
      </w:r>
    </w:p>
    <w:p w14:paraId="750EE90F" w14:textId="11204877" w:rsidR="009F4555" w:rsidRPr="009F4555" w:rsidRDefault="001937C8" w:rsidP="003A554A">
      <w:pPr>
        <w:spacing w:line="276" w:lineRule="auto"/>
        <w:ind w:firstLine="708"/>
        <w:jc w:val="both"/>
        <w:rPr>
          <w:rFonts w:ascii="Arial" w:eastAsia="Arial" w:hAnsi="Arial" w:cs="Arial"/>
          <w:sz w:val="22"/>
        </w:rPr>
      </w:pPr>
      <w:r>
        <w:rPr>
          <w:rFonts w:ascii="Arial" w:hAnsi="Arial" w:cs="Arial"/>
          <w:color w:val="000000" w:themeColor="text1"/>
          <w:sz w:val="22"/>
        </w:rPr>
        <w:t>Con respecto dicha causal, c</w:t>
      </w:r>
      <w:r w:rsidR="009F4555" w:rsidRPr="009F4555">
        <w:rPr>
          <w:rFonts w:ascii="Arial" w:hAnsi="Arial" w:cs="Arial"/>
          <w:color w:val="000000" w:themeColor="text1"/>
          <w:sz w:val="22"/>
        </w:rPr>
        <w:t xml:space="preserve">orresponde a </w:t>
      </w:r>
      <w:r w:rsidR="009F4555" w:rsidRPr="009F4555">
        <w:rPr>
          <w:rFonts w:ascii="Arial" w:eastAsia="Arial" w:hAnsi="Arial" w:cs="Arial"/>
          <w:sz w:val="22"/>
        </w:rPr>
        <w:t>la entidad estatal verificar si una vez realizada la corrección aritmética de la propuesta, ya sea por errores aritméticos o por el ajuste al peso, se configuran los supuestos previstos en  las causales de rechazo señaladas en los literales M y Q el numeral 1.15 del Documento Base, es decir, si realizada la corrección aritmética se observa que la propuesta económica supera el presupuesto oficial del proceso de contratación; o se supera el valor unitario de alguno o algunos de los ítems que señale la entidad con respecto al valor establecido para cada ítem del presupuesto oficial, en los procesos en que haya sido definida esta condición.</w:t>
      </w:r>
      <w:r w:rsidR="003A554A" w:rsidRPr="003A554A">
        <w:t xml:space="preserve"> </w:t>
      </w:r>
      <w:r w:rsidR="003A554A" w:rsidRPr="003A554A">
        <w:rPr>
          <w:rFonts w:ascii="Arial" w:eastAsia="Arial" w:hAnsi="Arial" w:cs="Arial"/>
          <w:sz w:val="22"/>
        </w:rPr>
        <w:t>La finalidad de la corrección aritmética es determinar el valor real de la oferta económica, en aras de garantizar los principios de igualdad y selección objetiva, permitiendo que el valor corregido sea el que se tenga en cuenta para la asignación de puntaje</w:t>
      </w:r>
      <w:r w:rsidR="003A554A">
        <w:rPr>
          <w:rFonts w:ascii="Arial" w:eastAsia="Arial" w:hAnsi="Arial" w:cs="Arial"/>
          <w:sz w:val="22"/>
        </w:rPr>
        <w:t>.</w:t>
      </w:r>
    </w:p>
    <w:p w14:paraId="71EC6CA0" w14:textId="77777777" w:rsidR="00EE7AB2" w:rsidRPr="005D2D69" w:rsidRDefault="00EE7AB2" w:rsidP="00930864">
      <w:pPr>
        <w:spacing w:line="276" w:lineRule="auto"/>
        <w:jc w:val="both"/>
        <w:rPr>
          <w:sz w:val="22"/>
        </w:rPr>
      </w:pPr>
    </w:p>
    <w:p w14:paraId="544609D3" w14:textId="3CFF1235" w:rsidR="000920F0" w:rsidRPr="005D2D69" w:rsidRDefault="000920F0" w:rsidP="00B80A0C">
      <w:pPr>
        <w:spacing w:line="276" w:lineRule="auto"/>
        <w:jc w:val="both"/>
        <w:rPr>
          <w:rFonts w:ascii="Arial" w:hAnsi="Arial" w:cs="Arial"/>
          <w:noProof/>
          <w:sz w:val="22"/>
          <w:lang w:val="es-ES_tradnl"/>
        </w:rPr>
      </w:pPr>
      <w:r w:rsidRPr="005D2D69">
        <w:rPr>
          <w:rFonts w:ascii="Arial" w:hAnsi="Arial" w:cs="Arial"/>
          <w:noProof/>
          <w:sz w:val="22"/>
          <w:lang w:val="es-ES_tradnl"/>
        </w:rPr>
        <w:t>Este concepto tiene el alcance previsto en el artículo 28 del Código de Procedimiento Administrativo y de lo Contencioso Administrativo</w:t>
      </w:r>
      <w:r w:rsidR="00A568E5" w:rsidRPr="005D2D69">
        <w:rPr>
          <w:rFonts w:ascii="Arial" w:hAnsi="Arial" w:cs="Arial"/>
          <w:noProof/>
          <w:sz w:val="22"/>
          <w:lang w:val="es-ES_tradnl"/>
        </w:rPr>
        <w:t>.</w:t>
      </w:r>
    </w:p>
    <w:p w14:paraId="2A352265" w14:textId="77777777" w:rsidR="000920F0" w:rsidRPr="00930864" w:rsidRDefault="000920F0" w:rsidP="00F106B5">
      <w:pPr>
        <w:spacing w:line="276" w:lineRule="auto"/>
        <w:jc w:val="both"/>
        <w:rPr>
          <w:rFonts w:ascii="Arial" w:hAnsi="Arial" w:cs="Arial"/>
          <w:noProof/>
          <w:sz w:val="23"/>
          <w:szCs w:val="23"/>
          <w:lang w:val="es-ES_tradnl"/>
        </w:rPr>
      </w:pPr>
      <w:r w:rsidRPr="00930864">
        <w:rPr>
          <w:rFonts w:ascii="Arial" w:hAnsi="Arial" w:cs="Arial"/>
          <w:noProof/>
          <w:sz w:val="23"/>
          <w:szCs w:val="23"/>
          <w:lang w:val="en-US"/>
        </w:rPr>
        <mc:AlternateContent>
          <mc:Choice Requires="wps">
            <w:drawing>
              <wp:anchor distT="0" distB="0" distL="114300" distR="114300" simplePos="0" relativeHeight="251658240" behindDoc="0" locked="0" layoutInCell="1" allowOverlap="1" wp14:anchorId="580C3C28" wp14:editId="686CAA36">
                <wp:simplePos x="0" y="0"/>
                <wp:positionH relativeFrom="page">
                  <wp:posOffset>1514475</wp:posOffset>
                </wp:positionH>
                <wp:positionV relativeFrom="paragraph">
                  <wp:posOffset>10160</wp:posOffset>
                </wp:positionV>
                <wp:extent cx="4686300" cy="0"/>
                <wp:effectExtent l="0" t="0" r="0" b="0"/>
                <wp:wrapNone/>
                <wp:docPr id="1" name="Conector recto 1"/>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53B0AB77" id="Conector recto 1"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from="119.25pt,.8pt" to="488.2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" strokecolor="#dbdbdb">
                <w10:wrap anchorx="page"/>
              </v:line>
            </w:pict>
          </mc:Fallback>
        </mc:AlternateContent>
      </w:r>
    </w:p>
    <w:p w14:paraId="5D16A13B" w14:textId="77777777" w:rsidR="00033726" w:rsidRPr="005D2D69" w:rsidRDefault="00033726" w:rsidP="00033726">
      <w:pPr>
        <w:rPr>
          <w:rFonts w:ascii="Arial" w:eastAsia="Times New Roman" w:hAnsi="Arial" w:cs="Arial"/>
          <w:sz w:val="22"/>
          <w:lang w:val="es-CO" w:eastAsia="es-CO"/>
        </w:rPr>
      </w:pPr>
      <w:bookmarkStart w:id="14" w:name="_Hlk50986665"/>
      <w:bookmarkStart w:id="15" w:name="_Hlk55258198"/>
      <w:bookmarkEnd w:id="2"/>
      <w:r w:rsidRPr="005D2D69">
        <w:rPr>
          <w:rFonts w:ascii="Arial" w:hAnsi="Arial" w:cs="Arial"/>
          <w:sz w:val="22"/>
          <w:lang w:eastAsia="es-CO"/>
        </w:rPr>
        <w:t>Atentamente,</w:t>
      </w:r>
    </w:p>
    <w:p w14:paraId="17330A55" w14:textId="27A94190" w:rsidR="00033726" w:rsidRPr="00295D8A" w:rsidRDefault="00B72188" w:rsidP="00033726">
      <w:pPr>
        <w:jc w:val="center"/>
        <w:rPr>
          <w:rFonts w:ascii="Arial" w:hAnsi="Arial" w:cs="Arial"/>
          <w:sz w:val="18"/>
          <w:szCs w:val="20"/>
          <w:lang w:eastAsia="es-CO"/>
        </w:rPr>
      </w:pPr>
      <w:r w:rsidRPr="005873AF">
        <w:rPr>
          <w:noProof/>
          <w:color w:val="000000" w:themeColor="text1"/>
          <w:lang w:val="en-US"/>
        </w:rPr>
        <w:drawing>
          <wp:anchor distT="0" distB="0" distL="0" distR="0" simplePos="0" relativeHeight="251660288" behindDoc="0" locked="0" layoutInCell="1" allowOverlap="1" wp14:anchorId="2FDB3BD5" wp14:editId="31AD0EA9">
            <wp:simplePos x="0" y="0"/>
            <wp:positionH relativeFrom="page">
              <wp:posOffset>2628900</wp:posOffset>
            </wp:positionH>
            <wp:positionV relativeFrom="paragraph">
              <wp:posOffset>357505</wp:posOffset>
            </wp:positionV>
            <wp:extent cx="2453005" cy="1080135"/>
            <wp:effectExtent l="0" t="0" r="4445" b="5715"/>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r:embed="rId12"/>
                    <a:stretch>
                      <a:fillRect/>
                    </a:stretch>
                  </pic:blipFill>
                  <pic:spPr>
                    <a:xfrm>
                      <a:off x="0" y="0"/>
                      <a:ext cx="2453005" cy="1080135"/>
                    </a:xfrm>
                    <a:prstGeom prst="rect">
                      <a:avLst/>
                    </a:prstGeom>
                  </pic:spPr>
                </pic:pic>
              </a:graphicData>
            </a:graphic>
            <wp14:sizeRelV relativeFrom="margin">
              <wp14:pctHeight>0</wp14:pctHeight>
            </wp14:sizeRelV>
          </wp:anchor>
        </w:drawing>
      </w:r>
    </w:p>
    <w:p w14:paraId="1C202F34" w14:textId="1FCD725E" w:rsidR="00033726" w:rsidRPr="00295D8A" w:rsidRDefault="00033726" w:rsidP="00033726">
      <w:pPr>
        <w:jc w:val="center"/>
        <w:rPr>
          <w:rFonts w:ascii="Arial" w:hAnsi="Arial" w:cs="Arial"/>
          <w:sz w:val="18"/>
          <w:szCs w:val="20"/>
          <w:lang w:eastAsia="es-CO"/>
        </w:rPr>
      </w:pPr>
    </w:p>
    <w:p w14:paraId="19BFACF1" w14:textId="77777777" w:rsidR="00033726" w:rsidRPr="00295D8A" w:rsidRDefault="00033726" w:rsidP="00033726">
      <w:pPr>
        <w:jc w:val="center"/>
        <w:rPr>
          <w:rFonts w:ascii="Arial" w:hAnsi="Arial" w:cs="Arial"/>
          <w:sz w:val="18"/>
          <w:szCs w:val="20"/>
          <w:lang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858"/>
      </w:tblGrid>
      <w:tr w:rsidR="00760814" w:rsidRPr="00295D8A" w14:paraId="6B2C663A" w14:textId="77777777" w:rsidTr="00846F03">
        <w:trPr>
          <w:trHeight w:val="315"/>
        </w:trPr>
        <w:tc>
          <w:tcPr>
            <w:tcW w:w="812" w:type="dxa"/>
            <w:vAlign w:val="center"/>
            <w:hideMark/>
          </w:tcPr>
          <w:p w14:paraId="695A653A" w14:textId="77777777" w:rsidR="00760814" w:rsidRPr="00295D8A" w:rsidRDefault="00760814" w:rsidP="00760814">
            <w:pPr>
              <w:rPr>
                <w:rFonts w:ascii="Arial" w:hAnsi="Arial" w:cs="Arial"/>
                <w:sz w:val="16"/>
                <w:szCs w:val="16"/>
                <w:lang w:eastAsia="es-ES"/>
              </w:rPr>
            </w:pPr>
            <w:r w:rsidRPr="00295D8A">
              <w:rPr>
                <w:rFonts w:ascii="Arial" w:hAnsi="Arial" w:cs="Arial"/>
                <w:sz w:val="16"/>
                <w:szCs w:val="16"/>
                <w:lang w:eastAsia="es-ES"/>
              </w:rPr>
              <w:t>Elaboró:</w:t>
            </w:r>
          </w:p>
        </w:tc>
        <w:tc>
          <w:tcPr>
            <w:tcW w:w="4858" w:type="dxa"/>
            <w:tcBorders>
              <w:top w:val="nil"/>
              <w:left w:val="nil"/>
              <w:bottom w:val="dotted" w:sz="4" w:space="0" w:color="7F7F7F" w:themeColor="text1" w:themeTint="80"/>
              <w:right w:val="nil"/>
            </w:tcBorders>
            <w:vAlign w:val="center"/>
            <w:hideMark/>
          </w:tcPr>
          <w:p w14:paraId="309A25AA" w14:textId="3B345869" w:rsidR="00760814" w:rsidRPr="00295D8A" w:rsidRDefault="00B72188" w:rsidP="00760814">
            <w:pPr>
              <w:rPr>
                <w:rFonts w:ascii="Arial" w:hAnsi="Arial" w:cs="Arial"/>
                <w:sz w:val="16"/>
                <w:szCs w:val="16"/>
                <w:lang w:eastAsia="es-ES"/>
              </w:rPr>
            </w:pPr>
            <w:r>
              <w:rPr>
                <w:rFonts w:ascii="Arial" w:hAnsi="Arial" w:cs="Arial"/>
                <w:sz w:val="16"/>
                <w:szCs w:val="16"/>
                <w:lang w:eastAsia="es-ES"/>
              </w:rPr>
              <w:t xml:space="preserve">Guillermo Escolar Flórez </w:t>
            </w:r>
          </w:p>
          <w:p w14:paraId="76A9CD0D" w14:textId="24A3AC52" w:rsidR="00760814" w:rsidRPr="00295D8A" w:rsidRDefault="00760814" w:rsidP="00760814">
            <w:pPr>
              <w:rPr>
                <w:rFonts w:ascii="Arial" w:hAnsi="Arial" w:cs="Arial"/>
                <w:sz w:val="16"/>
                <w:szCs w:val="16"/>
                <w:lang w:eastAsia="es-ES"/>
              </w:rPr>
            </w:pPr>
            <w:r w:rsidRPr="00295D8A">
              <w:rPr>
                <w:rFonts w:ascii="Arial" w:hAnsi="Arial" w:cs="Arial"/>
                <w:sz w:val="16"/>
                <w:szCs w:val="16"/>
                <w:lang w:eastAsia="es-ES"/>
              </w:rPr>
              <w:t>Contratista de la Subdirección de Gestión Contractual</w:t>
            </w:r>
          </w:p>
        </w:tc>
      </w:tr>
      <w:tr w:rsidR="00760814" w:rsidRPr="00295D8A" w14:paraId="24F7903D" w14:textId="77777777" w:rsidTr="00846F03">
        <w:trPr>
          <w:trHeight w:val="330"/>
        </w:trPr>
        <w:tc>
          <w:tcPr>
            <w:tcW w:w="812" w:type="dxa"/>
            <w:vAlign w:val="center"/>
            <w:hideMark/>
          </w:tcPr>
          <w:p w14:paraId="215ABEAD" w14:textId="77777777" w:rsidR="00760814" w:rsidRPr="00295D8A" w:rsidRDefault="00760814" w:rsidP="00760814">
            <w:pPr>
              <w:rPr>
                <w:rFonts w:ascii="Arial" w:hAnsi="Arial" w:cs="Arial"/>
                <w:sz w:val="16"/>
                <w:szCs w:val="16"/>
                <w:lang w:eastAsia="es-ES"/>
              </w:rPr>
            </w:pPr>
            <w:r w:rsidRPr="00295D8A">
              <w:rPr>
                <w:rFonts w:ascii="Arial" w:hAnsi="Arial" w:cs="Arial"/>
                <w:sz w:val="16"/>
                <w:szCs w:val="16"/>
                <w:lang w:eastAsia="es-ES"/>
              </w:rPr>
              <w:t>Revisó:</w:t>
            </w:r>
          </w:p>
        </w:tc>
        <w:tc>
          <w:tcPr>
            <w:tcW w:w="4858" w:type="dxa"/>
            <w:tcBorders>
              <w:top w:val="dotted" w:sz="4" w:space="0" w:color="7F7F7F" w:themeColor="text1" w:themeTint="80"/>
              <w:left w:val="nil"/>
              <w:bottom w:val="dotted" w:sz="4" w:space="0" w:color="7F7F7F" w:themeColor="text1" w:themeTint="80"/>
              <w:right w:val="nil"/>
            </w:tcBorders>
            <w:vAlign w:val="center"/>
            <w:hideMark/>
          </w:tcPr>
          <w:p w14:paraId="316FE18C" w14:textId="38B4907C" w:rsidR="00F44EE8" w:rsidRPr="00295D8A" w:rsidRDefault="00B72188" w:rsidP="00F44EE8">
            <w:pPr>
              <w:rPr>
                <w:rFonts w:ascii="Arial" w:hAnsi="Arial" w:cs="Arial"/>
                <w:sz w:val="16"/>
                <w:szCs w:val="16"/>
                <w:lang w:eastAsia="es-ES"/>
              </w:rPr>
            </w:pPr>
            <w:r>
              <w:rPr>
                <w:rFonts w:ascii="Arial" w:hAnsi="Arial" w:cs="Arial"/>
                <w:sz w:val="16"/>
                <w:szCs w:val="16"/>
                <w:lang w:eastAsia="es-ES"/>
              </w:rPr>
              <w:t>Alejandro Sarmiento Cantillo</w:t>
            </w:r>
          </w:p>
          <w:p w14:paraId="2654F995" w14:textId="61A7FAB5" w:rsidR="00760814" w:rsidRPr="00295D8A" w:rsidRDefault="00B72188" w:rsidP="00846F03">
            <w:pPr>
              <w:ind w:right="-557"/>
              <w:rPr>
                <w:rFonts w:ascii="Arial" w:hAnsi="Arial" w:cs="Arial"/>
                <w:sz w:val="16"/>
                <w:szCs w:val="16"/>
                <w:lang w:eastAsia="es-ES"/>
              </w:rPr>
            </w:pPr>
            <w:r w:rsidRPr="00C84DD3">
              <w:rPr>
                <w:rFonts w:ascii="Arial" w:hAnsi="Arial" w:cs="Arial"/>
                <w:color w:val="000000" w:themeColor="text1"/>
                <w:sz w:val="16"/>
                <w:szCs w:val="16"/>
                <w:lang w:val="es-ES_tradnl" w:eastAsia="es-ES"/>
              </w:rPr>
              <w:t xml:space="preserve">Gestor T1-15 de la de la Subdirección de Gestión Contractual  </w:t>
            </w:r>
          </w:p>
        </w:tc>
      </w:tr>
      <w:tr w:rsidR="00295D8A" w:rsidRPr="00295D8A" w14:paraId="12FFD112" w14:textId="77777777" w:rsidTr="00846F03">
        <w:trPr>
          <w:trHeight w:val="300"/>
        </w:trPr>
        <w:tc>
          <w:tcPr>
            <w:tcW w:w="812" w:type="dxa"/>
            <w:vAlign w:val="center"/>
            <w:hideMark/>
          </w:tcPr>
          <w:p w14:paraId="48653619" w14:textId="77777777" w:rsidR="00033726" w:rsidRPr="00295D8A" w:rsidRDefault="00033726" w:rsidP="001B4AE1">
            <w:pPr>
              <w:rPr>
                <w:rFonts w:ascii="Arial" w:hAnsi="Arial" w:cs="Arial"/>
                <w:sz w:val="16"/>
                <w:szCs w:val="16"/>
                <w:lang w:eastAsia="es-ES"/>
              </w:rPr>
            </w:pPr>
            <w:r w:rsidRPr="00295D8A">
              <w:rPr>
                <w:rFonts w:ascii="Arial" w:hAnsi="Arial" w:cs="Arial"/>
                <w:sz w:val="16"/>
                <w:szCs w:val="16"/>
                <w:lang w:eastAsia="es-ES"/>
              </w:rPr>
              <w:t>Aprobó:</w:t>
            </w:r>
          </w:p>
        </w:tc>
        <w:tc>
          <w:tcPr>
            <w:tcW w:w="4858" w:type="dxa"/>
            <w:tcBorders>
              <w:top w:val="dotted" w:sz="4" w:space="0" w:color="7F7F7F" w:themeColor="text1" w:themeTint="80"/>
              <w:left w:val="nil"/>
              <w:bottom w:val="dotted" w:sz="4" w:space="0" w:color="7F7F7F" w:themeColor="text1" w:themeTint="80"/>
              <w:right w:val="nil"/>
            </w:tcBorders>
            <w:vAlign w:val="center"/>
            <w:hideMark/>
          </w:tcPr>
          <w:p w14:paraId="6DD930ED" w14:textId="77777777" w:rsidR="00033726" w:rsidRPr="00295D8A" w:rsidRDefault="00033726" w:rsidP="001B4AE1">
            <w:pPr>
              <w:rPr>
                <w:rFonts w:ascii="Arial" w:hAnsi="Arial" w:cs="Arial"/>
                <w:sz w:val="16"/>
                <w:szCs w:val="16"/>
                <w:lang w:eastAsia="es-ES"/>
              </w:rPr>
            </w:pPr>
            <w:r w:rsidRPr="00295D8A">
              <w:rPr>
                <w:rFonts w:ascii="Arial" w:hAnsi="Arial" w:cs="Arial"/>
                <w:sz w:val="16"/>
                <w:szCs w:val="16"/>
                <w:lang w:eastAsia="es-ES"/>
              </w:rPr>
              <w:t>Jorge Augusto Tirado Navarro</w:t>
            </w:r>
          </w:p>
          <w:p w14:paraId="4036D7C1" w14:textId="432E0CF6" w:rsidR="00033726" w:rsidRPr="00295D8A" w:rsidRDefault="00033726" w:rsidP="001B4AE1">
            <w:pPr>
              <w:rPr>
                <w:rFonts w:ascii="Arial" w:hAnsi="Arial" w:cs="Arial"/>
                <w:sz w:val="16"/>
                <w:szCs w:val="16"/>
                <w:lang w:eastAsia="es-ES"/>
              </w:rPr>
            </w:pPr>
            <w:r w:rsidRPr="00295D8A">
              <w:rPr>
                <w:rFonts w:ascii="Arial" w:hAnsi="Arial" w:cs="Arial"/>
                <w:sz w:val="16"/>
                <w:szCs w:val="16"/>
                <w:lang w:eastAsia="es-ES"/>
              </w:rPr>
              <w:t>Subdirector de Gestión Contractual</w:t>
            </w:r>
            <w:r w:rsidR="00DC66A3">
              <w:rPr>
                <w:rFonts w:ascii="Arial" w:hAnsi="Arial" w:cs="Arial"/>
                <w:sz w:val="16"/>
                <w:szCs w:val="16"/>
                <w:lang w:eastAsia="es-ES"/>
              </w:rPr>
              <w:t xml:space="preserve"> ANCP – CCE</w:t>
            </w:r>
          </w:p>
        </w:tc>
      </w:tr>
      <w:bookmarkEnd w:id="14"/>
      <w:bookmarkEnd w:id="15"/>
    </w:tbl>
    <w:p w14:paraId="7EBF297E" w14:textId="77777777" w:rsidR="007B0854" w:rsidRPr="00295D8A" w:rsidRDefault="007B0854" w:rsidP="00C92472">
      <w:pPr>
        <w:pStyle w:val="NormalWeb"/>
        <w:spacing w:before="0" w:beforeAutospacing="0" w:after="0" w:afterAutospacing="0" w:line="276" w:lineRule="auto"/>
        <w:jc w:val="both"/>
        <w:rPr>
          <w:rFonts w:ascii="Arial" w:hAnsi="Arial" w:cs="Arial"/>
          <w:noProof/>
          <w:lang w:val="es-ES_tradnl"/>
        </w:rPr>
      </w:pPr>
    </w:p>
    <w:sectPr w:rsidR="007B0854" w:rsidRPr="00295D8A" w:rsidSect="004A34D2">
      <w:headerReference w:type="default" r:id="rId13"/>
      <w:footerReference w:type="default" r:id="rId14"/>
      <w:pgSz w:w="12240" w:h="15840"/>
      <w:pgMar w:top="1779" w:right="1750"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5C2886" w14:textId="77777777" w:rsidR="00620FBE" w:rsidRDefault="00620FBE">
      <w:r>
        <w:separator/>
      </w:r>
    </w:p>
  </w:endnote>
  <w:endnote w:type="continuationSeparator" w:id="0">
    <w:p w14:paraId="1E5F6626" w14:textId="77777777" w:rsidR="00620FBE" w:rsidRDefault="00620FBE">
      <w:r>
        <w:continuationSeparator/>
      </w:r>
    </w:p>
  </w:endnote>
  <w:endnote w:type="continuationNotice" w:id="1">
    <w:p w14:paraId="0F9444D4" w14:textId="77777777" w:rsidR="00620FBE" w:rsidRDefault="00620FB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70032" w14:textId="77777777" w:rsidR="004B284E" w:rsidRDefault="004B284E" w:rsidP="00856133">
    <w:pPr>
      <w:pStyle w:val="Sinespaciado"/>
      <w:jc w:val="right"/>
      <w:rPr>
        <w:rFonts w:ascii="Arial" w:hAnsi="Arial" w:cs="Arial"/>
        <w:sz w:val="18"/>
        <w:szCs w:val="18"/>
      </w:rPr>
    </w:pPr>
  </w:p>
  <w:p w14:paraId="512F463F" w14:textId="48C99CA5" w:rsidR="004B284E" w:rsidRPr="008217B7" w:rsidRDefault="004B284E" w:rsidP="00856133">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0072607C">
      <w:rPr>
        <w:rFonts w:ascii="Arial" w:hAnsi="Arial" w:cs="Arial"/>
        <w:b/>
        <w:bCs/>
        <w:noProof/>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0072607C">
      <w:rPr>
        <w:rFonts w:ascii="Arial" w:hAnsi="Arial" w:cs="Arial"/>
        <w:b/>
        <w:bCs/>
        <w:noProof/>
        <w:color w:val="7F7F7F" w:themeColor="text1" w:themeTint="80"/>
        <w:sz w:val="16"/>
        <w:szCs w:val="16"/>
      </w:rPr>
      <w:t>1</w:t>
    </w:r>
    <w:r w:rsidRPr="00084B97">
      <w:rPr>
        <w:rFonts w:ascii="Arial" w:hAnsi="Arial" w:cs="Arial"/>
        <w:b/>
        <w:bCs/>
        <w:color w:val="7F7F7F" w:themeColor="text1" w:themeTint="80"/>
        <w:sz w:val="16"/>
        <w:szCs w:val="16"/>
      </w:rPr>
      <w:fldChar w:fldCharType="end"/>
    </w:r>
  </w:p>
  <w:p w14:paraId="1DA6AEB0" w14:textId="77777777" w:rsidR="004B284E" w:rsidRDefault="004B284E" w:rsidP="00856133">
    <w:pPr>
      <w:pStyle w:val="Piedepgina"/>
      <w:jc w:val="center"/>
      <w:rPr>
        <w:lang w:val="es-ES"/>
      </w:rPr>
    </w:pPr>
    <w:r>
      <w:rPr>
        <w:noProof/>
        <w:lang w:val="en-US"/>
      </w:rPr>
      <w:drawing>
        <wp:inline distT="0" distB="0" distL="0" distR="0" wp14:anchorId="6A1C2C0F" wp14:editId="39E9C358">
          <wp:extent cx="3700130" cy="519139"/>
          <wp:effectExtent l="0" t="0" r="0" b="0"/>
          <wp:docPr id="36133105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1E885A93" w14:textId="77777777" w:rsidR="004B284E" w:rsidRDefault="004B284E" w:rsidP="00856133">
    <w:pPr>
      <w:pStyle w:val="Piedepgina"/>
      <w:jc w:val="center"/>
      <w:rPr>
        <w:lang w:val="es-ES"/>
      </w:rPr>
    </w:pPr>
  </w:p>
  <w:p w14:paraId="70077B90" w14:textId="77777777" w:rsidR="004B284E" w:rsidRPr="007B0854" w:rsidRDefault="004B284E" w:rsidP="00856133">
    <w:pPr>
      <w:pStyle w:val="Piedepgina"/>
      <w:jc w:val="center"/>
      <w:rPr>
        <w:lang w:val="es-ES"/>
      </w:rPr>
    </w:pPr>
  </w:p>
  <w:p w14:paraId="6C0EFC49" w14:textId="77777777" w:rsidR="004B284E" w:rsidRPr="00856133" w:rsidRDefault="004B284E" w:rsidP="0085613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708D8B" w14:textId="77777777" w:rsidR="00620FBE" w:rsidRDefault="00620FBE">
      <w:r>
        <w:separator/>
      </w:r>
    </w:p>
  </w:footnote>
  <w:footnote w:type="continuationSeparator" w:id="0">
    <w:p w14:paraId="33CD6C04" w14:textId="77777777" w:rsidR="00620FBE" w:rsidRDefault="00620FBE">
      <w:r>
        <w:continuationSeparator/>
      </w:r>
    </w:p>
  </w:footnote>
  <w:footnote w:type="continuationNotice" w:id="1">
    <w:p w14:paraId="54E21B23" w14:textId="77777777" w:rsidR="00620FBE" w:rsidRDefault="00620FBE"/>
  </w:footnote>
  <w:footnote w:id="2">
    <w:p w14:paraId="254DAA6B" w14:textId="77777777" w:rsidR="00896D09" w:rsidRPr="00846F03" w:rsidRDefault="00896D09" w:rsidP="00896D09">
      <w:pPr>
        <w:pStyle w:val="Textonotapie"/>
        <w:ind w:firstLine="708"/>
        <w:jc w:val="both"/>
        <w:rPr>
          <w:rFonts w:ascii="Arial" w:hAnsi="Arial" w:cs="Arial"/>
          <w:sz w:val="18"/>
          <w:szCs w:val="18"/>
          <w:lang w:val="es-ES"/>
        </w:rPr>
      </w:pPr>
      <w:r w:rsidRPr="00846F03">
        <w:rPr>
          <w:rStyle w:val="Refdenotaalpie"/>
          <w:rFonts w:ascii="Arial" w:hAnsi="Arial" w:cs="Arial"/>
          <w:sz w:val="18"/>
          <w:szCs w:val="18"/>
        </w:rPr>
        <w:footnoteRef/>
      </w:r>
      <w:r w:rsidRPr="00846F03">
        <w:rPr>
          <w:rFonts w:ascii="Arial" w:hAnsi="Arial" w:cs="Arial"/>
          <w:sz w:val="18"/>
          <w:szCs w:val="18"/>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846F03">
        <w:rPr>
          <w:rFonts w:ascii="Arial" w:hAnsi="Arial" w:cs="Arial"/>
          <w:i/>
          <w:iCs/>
          <w:sz w:val="18"/>
          <w:szCs w:val="18"/>
        </w:rPr>
        <w:t xml:space="preserve">ibidem </w:t>
      </w:r>
      <w:r w:rsidRPr="00846F03">
        <w:rPr>
          <w:rFonts w:ascii="Arial" w:hAnsi="Arial" w:cs="Arial"/>
          <w:sz w:val="18"/>
          <w:szCs w:val="18"/>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3">
    <w:p w14:paraId="1004D584" w14:textId="312CC771" w:rsidR="00265441" w:rsidRPr="00846F03" w:rsidRDefault="00265441" w:rsidP="00265441">
      <w:pPr>
        <w:pStyle w:val="Textonotapie"/>
        <w:ind w:firstLine="708"/>
        <w:jc w:val="both"/>
        <w:rPr>
          <w:rFonts w:ascii="Arial" w:hAnsi="Arial" w:cs="Arial"/>
          <w:color w:val="000000" w:themeColor="text1"/>
          <w:sz w:val="18"/>
          <w:szCs w:val="18"/>
        </w:rPr>
      </w:pPr>
      <w:r w:rsidRPr="00846F03">
        <w:rPr>
          <w:rStyle w:val="Refdenotaalpie"/>
          <w:rFonts w:ascii="Arial" w:hAnsi="Arial" w:cs="Arial"/>
          <w:color w:val="000000" w:themeColor="text1"/>
          <w:sz w:val="18"/>
          <w:szCs w:val="18"/>
        </w:rPr>
        <w:footnoteRef/>
      </w:r>
      <w:r w:rsidRPr="00846F03">
        <w:rPr>
          <w:rFonts w:ascii="Arial" w:hAnsi="Arial" w:cs="Arial"/>
          <w:color w:val="000000" w:themeColor="text1"/>
          <w:sz w:val="18"/>
          <w:szCs w:val="18"/>
        </w:rPr>
        <w:t xml:space="preserve"> Artículo 2.2.1.1.2.1.1. del Decreto 1082 de 2015.</w:t>
      </w:r>
    </w:p>
    <w:p w14:paraId="1DEC02A9" w14:textId="77777777" w:rsidR="00406032" w:rsidRPr="00846F03" w:rsidRDefault="00406032" w:rsidP="00265441">
      <w:pPr>
        <w:pStyle w:val="Textonotapie"/>
        <w:ind w:firstLine="708"/>
        <w:jc w:val="both"/>
        <w:rPr>
          <w:rFonts w:ascii="Arial" w:hAnsi="Arial" w:cs="Arial"/>
          <w:color w:val="000000" w:themeColor="text1"/>
          <w:sz w:val="18"/>
          <w:szCs w:val="18"/>
          <w:lang w:val="es-ES"/>
        </w:rPr>
      </w:pPr>
    </w:p>
  </w:footnote>
  <w:footnote w:id="4">
    <w:p w14:paraId="484867C8" w14:textId="03C993C1" w:rsidR="00F55F21" w:rsidRPr="00846F03" w:rsidRDefault="00F55F21" w:rsidP="00F55F21">
      <w:pPr>
        <w:ind w:firstLine="708"/>
        <w:jc w:val="both"/>
        <w:rPr>
          <w:rFonts w:ascii="Arial" w:hAnsi="Arial" w:cs="Arial"/>
          <w:sz w:val="18"/>
          <w:szCs w:val="18"/>
          <w:highlight w:val="lightGray"/>
        </w:rPr>
      </w:pPr>
      <w:r w:rsidRPr="00846F03">
        <w:rPr>
          <w:rStyle w:val="Refdenotaalpie"/>
          <w:rFonts w:ascii="Arial" w:hAnsi="Arial" w:cs="Arial"/>
          <w:sz w:val="18"/>
          <w:szCs w:val="18"/>
        </w:rPr>
        <w:footnoteRef/>
      </w:r>
      <w:r w:rsidRPr="00846F03">
        <w:rPr>
          <w:rFonts w:ascii="Arial" w:hAnsi="Arial" w:cs="Arial"/>
          <w:sz w:val="18"/>
          <w:szCs w:val="18"/>
        </w:rPr>
        <w:t xml:space="preserve"> Así por ejemplo, la causal de rechazo del literal Q de los documentos tipo de licitación de obra pública de infraestructura de transporte – Versión 3 establece: «</w:t>
      </w:r>
      <w:r w:rsidRPr="00846F03">
        <w:rPr>
          <w:rFonts w:ascii="Arial" w:hAnsi="Arial" w:cs="Arial"/>
          <w:sz w:val="18"/>
          <w:szCs w:val="18"/>
          <w:highlight w:val="lightGray"/>
        </w:rPr>
        <w:t>[Incluir solo cuando la forma de pago sea por precios unitarios]</w:t>
      </w:r>
      <w:r w:rsidRPr="00846F03">
        <w:rPr>
          <w:rFonts w:ascii="Arial" w:hAnsi="Arial" w:cs="Arial"/>
          <w:sz w:val="18"/>
          <w:szCs w:val="18"/>
        </w:rPr>
        <w:t xml:space="preserve"> Superar el valor unitario de alguno o algunos de los siguientes ítems ofrecidos con respecto al valor establecido para cada ítem del presupuesto oficial: </w:t>
      </w:r>
      <w:r w:rsidRPr="00846F03">
        <w:rPr>
          <w:rFonts w:ascii="Arial" w:hAnsi="Arial" w:cs="Arial"/>
          <w:sz w:val="18"/>
          <w:szCs w:val="18"/>
          <w:highlight w:val="lightGray"/>
        </w:rPr>
        <w:t xml:space="preserve">[La entidad debe incluir esta causal cuando la forma de pago sea por precios unitarios y cuando considere necesario establecer ítems del presupuesto oficial cuyo valor no pueda ser excedido por el proponente. Cuando decida incluirla, identificará en este espacio los ítems frente a los cuales aplicará la causal de rechazo. </w:t>
      </w:r>
    </w:p>
    <w:p w14:paraId="1CC22CA4" w14:textId="77777777" w:rsidR="00F55F21" w:rsidRPr="00846F03" w:rsidRDefault="00F55F21" w:rsidP="00F55F21">
      <w:pPr>
        <w:pStyle w:val="Textonotapie"/>
        <w:ind w:firstLine="708"/>
        <w:jc w:val="both"/>
        <w:rPr>
          <w:rFonts w:ascii="Arial" w:hAnsi="Arial" w:cs="Arial"/>
          <w:sz w:val="18"/>
          <w:szCs w:val="18"/>
          <w:lang w:val="es-CO"/>
        </w:rPr>
      </w:pPr>
      <w:r w:rsidRPr="00846F03">
        <w:rPr>
          <w:rFonts w:ascii="Arial" w:hAnsi="Arial" w:cs="Arial"/>
          <w:sz w:val="18"/>
          <w:szCs w:val="18"/>
          <w:highlight w:val="lightGray"/>
        </w:rPr>
        <w:t>»Para la aplicación de esta causal la entidad debe tener en cuenta que el valor unitario establecido en el Formulario 1 – Formulario de Presupuesto Oficial incluye el valor de AIU]</w:t>
      </w:r>
      <w:r w:rsidRPr="00846F03">
        <w:rPr>
          <w:rFonts w:ascii="Arial" w:hAnsi="Arial" w:cs="Arial"/>
          <w:sz w:val="18"/>
          <w:szCs w:val="18"/>
        </w:rPr>
        <w:t>»</w:t>
      </w:r>
    </w:p>
  </w:footnote>
  <w:footnote w:id="5">
    <w:p w14:paraId="22C533E9" w14:textId="77777777" w:rsidR="00A23397" w:rsidRPr="00846F03" w:rsidRDefault="00A23397" w:rsidP="00A23397">
      <w:pPr>
        <w:pStyle w:val="Textonotapie"/>
        <w:ind w:firstLine="708"/>
        <w:jc w:val="both"/>
        <w:rPr>
          <w:rFonts w:ascii="Arial" w:eastAsia="Times New Roman" w:hAnsi="Arial" w:cs="Arial"/>
          <w:sz w:val="18"/>
          <w:szCs w:val="18"/>
          <w:lang w:val="es-CO" w:eastAsia="es-CO"/>
        </w:rPr>
      </w:pPr>
      <w:r w:rsidRPr="00846F03">
        <w:rPr>
          <w:rStyle w:val="Refdenotaalpie"/>
          <w:rFonts w:ascii="Arial" w:hAnsi="Arial" w:cs="Arial"/>
          <w:sz w:val="18"/>
          <w:szCs w:val="18"/>
        </w:rPr>
        <w:footnoteRef/>
      </w:r>
      <w:r w:rsidRPr="00846F03">
        <w:rPr>
          <w:rFonts w:ascii="Arial" w:hAnsi="Arial" w:cs="Arial"/>
          <w:sz w:val="18"/>
          <w:szCs w:val="18"/>
        </w:rPr>
        <w:t xml:space="preserve"> </w:t>
      </w:r>
      <w:r w:rsidRPr="00846F03">
        <w:rPr>
          <w:rFonts w:ascii="Arial" w:eastAsia="Times New Roman" w:hAnsi="Arial" w:cs="Arial"/>
          <w:sz w:val="18"/>
          <w:szCs w:val="18"/>
          <w:lang w:val="es-CO" w:eastAsia="es-CO"/>
        </w:rPr>
        <w:t xml:space="preserve">Consejo de Estado. Sección Tercera. Sentencia del 27 de abril de 2011. </w:t>
      </w:r>
      <w:proofErr w:type="spellStart"/>
      <w:r w:rsidRPr="00846F03">
        <w:rPr>
          <w:rFonts w:ascii="Arial" w:eastAsia="Times New Roman" w:hAnsi="Arial" w:cs="Arial"/>
          <w:sz w:val="18"/>
          <w:szCs w:val="18"/>
          <w:lang w:val="es-CO" w:eastAsia="es-CO"/>
        </w:rPr>
        <w:t>Exp</w:t>
      </w:r>
      <w:proofErr w:type="spellEnd"/>
      <w:r w:rsidRPr="00846F03">
        <w:rPr>
          <w:rFonts w:ascii="Arial" w:eastAsia="Times New Roman" w:hAnsi="Arial" w:cs="Arial"/>
          <w:sz w:val="18"/>
          <w:szCs w:val="18"/>
          <w:lang w:val="es-CO" w:eastAsia="es-CO"/>
        </w:rPr>
        <w:t>. 18.293. C.P. Ruth Stella Correa Palacio.</w:t>
      </w:r>
    </w:p>
    <w:p w14:paraId="0265474B" w14:textId="77777777" w:rsidR="00A23397" w:rsidRPr="00846F03" w:rsidRDefault="00A23397" w:rsidP="00A23397">
      <w:pPr>
        <w:pStyle w:val="Textonotapie"/>
        <w:ind w:firstLine="708"/>
        <w:jc w:val="both"/>
        <w:rPr>
          <w:rFonts w:ascii="Arial" w:eastAsia="Calibri" w:hAnsi="Arial" w:cs="Arial"/>
          <w:sz w:val="18"/>
          <w:szCs w:val="18"/>
          <w:lang w:val="es-CO"/>
        </w:rPr>
      </w:pPr>
    </w:p>
  </w:footnote>
  <w:footnote w:id="6">
    <w:p w14:paraId="5BC00CDD" w14:textId="77777777" w:rsidR="00500D12" w:rsidRPr="00846F03" w:rsidRDefault="00500D12" w:rsidP="00500D12">
      <w:pPr>
        <w:pStyle w:val="Textonotapie"/>
        <w:ind w:firstLine="708"/>
        <w:jc w:val="both"/>
        <w:rPr>
          <w:rFonts w:ascii="Arial" w:hAnsi="Arial" w:cs="Arial"/>
          <w:sz w:val="18"/>
          <w:szCs w:val="18"/>
          <w:lang w:val="es-CO"/>
        </w:rPr>
      </w:pPr>
      <w:r w:rsidRPr="00846F03">
        <w:rPr>
          <w:rStyle w:val="Refdenotaalpie"/>
          <w:rFonts w:ascii="Arial" w:hAnsi="Arial" w:cs="Arial"/>
          <w:sz w:val="18"/>
          <w:szCs w:val="18"/>
        </w:rPr>
        <w:footnoteRef/>
      </w:r>
      <w:r w:rsidRPr="00846F03">
        <w:rPr>
          <w:rFonts w:ascii="Arial" w:hAnsi="Arial" w:cs="Arial"/>
          <w:sz w:val="18"/>
          <w:szCs w:val="18"/>
        </w:rPr>
        <w:t xml:space="preserve"> </w:t>
      </w:r>
      <w:r w:rsidRPr="00846F03">
        <w:rPr>
          <w:rFonts w:ascii="Arial" w:hAnsi="Arial" w:cs="Arial"/>
          <w:sz w:val="18"/>
          <w:szCs w:val="18"/>
          <w:lang w:val="es-CO"/>
        </w:rPr>
        <w:t>Al respecto esta Agencia ha manifestado: «[…] Como se consideró en los conceptos del 25 de septiembre y el 23 de diciembre de 2019 −radicados Nos. 2201913000007117 y 2201913000009538−, las causales de rechazo de ofertas consagradas en los documentos tipo son taxativas, descartándose que la entidad introduzca causales, salvo, que estén contempladas en otras disposiciones normativas. Igualmente, por la naturaleza de las causales de rechazo, su aplicación es estricta, lo que –a juicio de la Agencia Nacional de Contratación Pública– significa que su interpretación gramatical prevalece sobre una interpretación extensiva o de otra índole, mediante la cual se pretenda ampliar su alcance». Concepto C-642 del 30 de octubre de 2020. Radicado de entrada No. 4202013000008306. Radicado de salida No. 2202013000010785.</w:t>
      </w:r>
    </w:p>
    <w:p w14:paraId="71BA6B46" w14:textId="77777777" w:rsidR="00500D12" w:rsidRPr="00846F03" w:rsidRDefault="00500D12" w:rsidP="00500D12">
      <w:pPr>
        <w:pStyle w:val="Textonotapie"/>
        <w:rPr>
          <w:sz w:val="18"/>
          <w:szCs w:val="18"/>
          <w:lang w:val="es-CO"/>
        </w:rPr>
      </w:pPr>
    </w:p>
  </w:footnote>
  <w:footnote w:id="7">
    <w:p w14:paraId="4A5D066D" w14:textId="37D52881" w:rsidR="004B284E" w:rsidRPr="003A554A" w:rsidRDefault="004B284E" w:rsidP="002974AB">
      <w:pPr>
        <w:pStyle w:val="Textonotapie"/>
        <w:ind w:firstLine="708"/>
        <w:jc w:val="both"/>
        <w:rPr>
          <w:rFonts w:ascii="Arial" w:eastAsia="Times New Roman" w:hAnsi="Arial" w:cs="Arial"/>
          <w:sz w:val="18"/>
          <w:szCs w:val="18"/>
          <w:lang w:val="es-CO" w:eastAsia="es-CO"/>
        </w:rPr>
      </w:pPr>
      <w:r w:rsidRPr="003A554A">
        <w:rPr>
          <w:rStyle w:val="Refdenotaalpie"/>
          <w:rFonts w:ascii="Arial" w:hAnsi="Arial" w:cs="Arial"/>
          <w:sz w:val="18"/>
          <w:szCs w:val="18"/>
        </w:rPr>
        <w:footnoteRef/>
      </w:r>
      <w:r w:rsidRPr="003A554A">
        <w:rPr>
          <w:rFonts w:ascii="Arial" w:hAnsi="Arial" w:cs="Arial"/>
          <w:sz w:val="18"/>
          <w:szCs w:val="18"/>
        </w:rPr>
        <w:t xml:space="preserve"> Sobre el particular, el Consejo de Estado explica que «[…] las causales de rechazo de las propuestas pueden ser legales y por lo mismo generan el efecto del descarte o exclusión de la oferta </w:t>
      </w:r>
      <w:r w:rsidRPr="003A554A">
        <w:rPr>
          <w:rFonts w:ascii="Arial" w:hAnsi="Arial" w:cs="Arial"/>
          <w:i/>
          <w:iCs/>
          <w:sz w:val="18"/>
          <w:szCs w:val="18"/>
        </w:rPr>
        <w:t>ope legis</w:t>
      </w:r>
      <w:r w:rsidRPr="003A554A">
        <w:rPr>
          <w:rFonts w:ascii="Arial" w:hAnsi="Arial" w:cs="Arial"/>
          <w:sz w:val="18"/>
          <w:szCs w:val="18"/>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 (</w:t>
      </w:r>
      <w:r w:rsidRPr="003A554A">
        <w:rPr>
          <w:rFonts w:ascii="Arial" w:eastAsia="Times New Roman" w:hAnsi="Arial" w:cs="Arial"/>
          <w:sz w:val="18"/>
          <w:szCs w:val="18"/>
          <w:lang w:val="es-CO" w:eastAsia="es-CO"/>
        </w:rPr>
        <w:t xml:space="preserve">Consejo de Estado. Sección Tercera. Sentencia del 27 de abril de 2011. </w:t>
      </w:r>
      <w:proofErr w:type="spellStart"/>
      <w:r w:rsidRPr="003A554A">
        <w:rPr>
          <w:rFonts w:ascii="Arial" w:eastAsia="Times New Roman" w:hAnsi="Arial" w:cs="Arial"/>
          <w:sz w:val="18"/>
          <w:szCs w:val="18"/>
          <w:lang w:val="es-CO" w:eastAsia="es-CO"/>
        </w:rPr>
        <w:t>Exp</w:t>
      </w:r>
      <w:proofErr w:type="spellEnd"/>
      <w:r w:rsidRPr="003A554A">
        <w:rPr>
          <w:rFonts w:ascii="Arial" w:eastAsia="Times New Roman" w:hAnsi="Arial" w:cs="Arial"/>
          <w:sz w:val="18"/>
          <w:szCs w:val="18"/>
          <w:lang w:val="es-CO" w:eastAsia="es-CO"/>
        </w:rPr>
        <w:t>. 18.293. C.P. Ruth Stella Correa Palacio).</w:t>
      </w:r>
    </w:p>
    <w:p w14:paraId="6DCC4FCC" w14:textId="77777777" w:rsidR="004B284E" w:rsidRPr="003A554A" w:rsidRDefault="004B284E" w:rsidP="00491E3D">
      <w:pPr>
        <w:pStyle w:val="Textonotapie"/>
        <w:ind w:firstLine="708"/>
        <w:jc w:val="both"/>
        <w:rPr>
          <w:rFonts w:ascii="Arial" w:hAnsi="Arial" w:cs="Arial"/>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1A2BB94C" w:rsidR="004B284E" w:rsidRDefault="004B284E">
    <w:pPr>
      <w:pStyle w:val="Encabezado"/>
    </w:pPr>
    <w:r>
      <w:rPr>
        <w:noProof/>
        <w:lang w:val="en-US"/>
      </w:rPr>
      <w:drawing>
        <wp:anchor distT="0" distB="0" distL="114300" distR="114300" simplePos="0" relativeHeight="251658240" behindDoc="1" locked="0" layoutInCell="1" allowOverlap="1" wp14:anchorId="1A706351" wp14:editId="1962F15F">
          <wp:simplePos x="0" y="0"/>
          <wp:positionH relativeFrom="column">
            <wp:posOffset>4382219</wp:posOffset>
          </wp:positionH>
          <wp:positionV relativeFrom="paragraph">
            <wp:posOffset>232997</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48E84652"/>
    <w:lvl w:ilvl="0">
      <w:start w:val="1"/>
      <w:numFmt w:val="decimal"/>
      <w:lvlText w:val="%1."/>
      <w:lvlJc w:val="left"/>
      <w:pPr>
        <w:ind w:left="6601" w:hanging="360"/>
      </w:pPr>
      <w:rPr>
        <w:b/>
        <w:color w:val="404040" w:themeColor="text1" w:themeTint="BF"/>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07623D6"/>
    <w:multiLevelType w:val="multilevel"/>
    <w:tmpl w:val="10C22536"/>
    <w:lvl w:ilvl="0">
      <w:start w:val="2"/>
      <w:numFmt w:val="decimal"/>
      <w:lvlText w:val="%1"/>
      <w:lvlJc w:val="left"/>
      <w:pPr>
        <w:ind w:left="360" w:hanging="360"/>
      </w:pPr>
      <w:rPr>
        <w:rFonts w:hint="default"/>
      </w:rPr>
    </w:lvl>
    <w:lvl w:ilvl="1">
      <w:start w:val="2"/>
      <w:numFmt w:val="decimal"/>
      <w:lvlText w:val="%1.%2"/>
      <w:lvlJc w:val="left"/>
      <w:pPr>
        <w:ind w:left="460" w:hanging="360"/>
      </w:pPr>
      <w:rPr>
        <w:rFonts w:hint="default"/>
      </w:rPr>
    </w:lvl>
    <w:lvl w:ilvl="2">
      <w:start w:val="1"/>
      <w:numFmt w:val="decimal"/>
      <w:lvlText w:val="%1.%2.%3"/>
      <w:lvlJc w:val="left"/>
      <w:pPr>
        <w:ind w:left="920" w:hanging="720"/>
      </w:pPr>
      <w:rPr>
        <w:rFonts w:hint="default"/>
      </w:rPr>
    </w:lvl>
    <w:lvl w:ilvl="3">
      <w:start w:val="1"/>
      <w:numFmt w:val="decimal"/>
      <w:lvlText w:val="%1.%2.%3.%4"/>
      <w:lvlJc w:val="left"/>
      <w:pPr>
        <w:ind w:left="1020" w:hanging="720"/>
      </w:pPr>
      <w:rPr>
        <w:rFonts w:hint="default"/>
      </w:rPr>
    </w:lvl>
    <w:lvl w:ilvl="4">
      <w:start w:val="1"/>
      <w:numFmt w:val="decimal"/>
      <w:lvlText w:val="%1.%2.%3.%4.%5"/>
      <w:lvlJc w:val="left"/>
      <w:pPr>
        <w:ind w:left="1480" w:hanging="1080"/>
      </w:pPr>
      <w:rPr>
        <w:rFonts w:hint="default"/>
      </w:rPr>
    </w:lvl>
    <w:lvl w:ilvl="5">
      <w:start w:val="1"/>
      <w:numFmt w:val="decimal"/>
      <w:lvlText w:val="%1.%2.%3.%4.%5.%6"/>
      <w:lvlJc w:val="left"/>
      <w:pPr>
        <w:ind w:left="1580" w:hanging="1080"/>
      </w:pPr>
      <w:rPr>
        <w:rFonts w:hint="default"/>
      </w:rPr>
    </w:lvl>
    <w:lvl w:ilvl="6">
      <w:start w:val="1"/>
      <w:numFmt w:val="decimal"/>
      <w:lvlText w:val="%1.%2.%3.%4.%5.%6.%7"/>
      <w:lvlJc w:val="left"/>
      <w:pPr>
        <w:ind w:left="2040" w:hanging="1440"/>
      </w:pPr>
      <w:rPr>
        <w:rFonts w:hint="default"/>
      </w:rPr>
    </w:lvl>
    <w:lvl w:ilvl="7">
      <w:start w:val="1"/>
      <w:numFmt w:val="decimal"/>
      <w:lvlText w:val="%1.%2.%3.%4.%5.%6.%7.%8"/>
      <w:lvlJc w:val="left"/>
      <w:pPr>
        <w:ind w:left="2140" w:hanging="1440"/>
      </w:pPr>
      <w:rPr>
        <w:rFonts w:hint="default"/>
      </w:rPr>
    </w:lvl>
    <w:lvl w:ilvl="8">
      <w:start w:val="1"/>
      <w:numFmt w:val="decimal"/>
      <w:lvlText w:val="%1.%2.%3.%4.%5.%6.%7.%8.%9"/>
      <w:lvlJc w:val="left"/>
      <w:pPr>
        <w:ind w:left="2600" w:hanging="1800"/>
      </w:pPr>
      <w:rPr>
        <w:rFonts w:hint="default"/>
      </w:rPr>
    </w:lvl>
  </w:abstractNum>
  <w:abstractNum w:abstractNumId="2" w15:restartNumberingAfterBreak="0">
    <w:nsid w:val="17F83371"/>
    <w:multiLevelType w:val="hybridMultilevel"/>
    <w:tmpl w:val="CE289002"/>
    <w:lvl w:ilvl="0" w:tplc="F3FA661C">
      <w:start w:val="1"/>
      <w:numFmt w:val="lowerRoman"/>
      <w:lvlText w:val="%1)"/>
      <w:lvlJc w:val="left"/>
      <w:pPr>
        <w:ind w:left="1429" w:hanging="720"/>
      </w:pPr>
      <w:rPr>
        <w:rFonts w:hint="default"/>
      </w:rPr>
    </w:lvl>
    <w:lvl w:ilvl="1" w:tplc="040A0019" w:tentative="1">
      <w:start w:val="1"/>
      <w:numFmt w:val="lowerLetter"/>
      <w:lvlText w:val="%2."/>
      <w:lvlJc w:val="left"/>
      <w:pPr>
        <w:ind w:left="1789" w:hanging="360"/>
      </w:pPr>
    </w:lvl>
    <w:lvl w:ilvl="2" w:tplc="040A001B" w:tentative="1">
      <w:start w:val="1"/>
      <w:numFmt w:val="lowerRoman"/>
      <w:lvlText w:val="%3."/>
      <w:lvlJc w:val="right"/>
      <w:pPr>
        <w:ind w:left="2509" w:hanging="180"/>
      </w:pPr>
    </w:lvl>
    <w:lvl w:ilvl="3" w:tplc="040A000F" w:tentative="1">
      <w:start w:val="1"/>
      <w:numFmt w:val="decimal"/>
      <w:lvlText w:val="%4."/>
      <w:lvlJc w:val="left"/>
      <w:pPr>
        <w:ind w:left="3229" w:hanging="360"/>
      </w:pPr>
    </w:lvl>
    <w:lvl w:ilvl="4" w:tplc="040A0019" w:tentative="1">
      <w:start w:val="1"/>
      <w:numFmt w:val="lowerLetter"/>
      <w:lvlText w:val="%5."/>
      <w:lvlJc w:val="left"/>
      <w:pPr>
        <w:ind w:left="3949" w:hanging="360"/>
      </w:pPr>
    </w:lvl>
    <w:lvl w:ilvl="5" w:tplc="040A001B" w:tentative="1">
      <w:start w:val="1"/>
      <w:numFmt w:val="lowerRoman"/>
      <w:lvlText w:val="%6."/>
      <w:lvlJc w:val="right"/>
      <w:pPr>
        <w:ind w:left="4669" w:hanging="180"/>
      </w:pPr>
    </w:lvl>
    <w:lvl w:ilvl="6" w:tplc="040A000F" w:tentative="1">
      <w:start w:val="1"/>
      <w:numFmt w:val="decimal"/>
      <w:lvlText w:val="%7."/>
      <w:lvlJc w:val="left"/>
      <w:pPr>
        <w:ind w:left="5389" w:hanging="360"/>
      </w:pPr>
    </w:lvl>
    <w:lvl w:ilvl="7" w:tplc="040A0019" w:tentative="1">
      <w:start w:val="1"/>
      <w:numFmt w:val="lowerLetter"/>
      <w:lvlText w:val="%8."/>
      <w:lvlJc w:val="left"/>
      <w:pPr>
        <w:ind w:left="6109" w:hanging="360"/>
      </w:pPr>
    </w:lvl>
    <w:lvl w:ilvl="8" w:tplc="040A001B" w:tentative="1">
      <w:start w:val="1"/>
      <w:numFmt w:val="lowerRoman"/>
      <w:lvlText w:val="%9."/>
      <w:lvlJc w:val="right"/>
      <w:pPr>
        <w:ind w:left="6829" w:hanging="180"/>
      </w:pPr>
    </w:lvl>
  </w:abstractNum>
  <w:abstractNum w:abstractNumId="3" w15:restartNumberingAfterBreak="0">
    <w:nsid w:val="1E671F35"/>
    <w:multiLevelType w:val="hybridMultilevel"/>
    <w:tmpl w:val="BBB21C24"/>
    <w:lvl w:ilvl="0" w:tplc="ED4646BE">
      <w:start w:val="2"/>
      <w:numFmt w:val="decimal"/>
      <w:lvlText w:val="%1."/>
      <w:lvlJc w:val="left"/>
      <w:pPr>
        <w:ind w:left="668" w:hanging="300"/>
      </w:pPr>
      <w:rPr>
        <w:rFonts w:ascii="Arial" w:eastAsia="Arial" w:hAnsi="Arial" w:cs="Arial" w:hint="default"/>
        <w:color w:val="4E4D4D"/>
        <w:spacing w:val="-6"/>
        <w:w w:val="100"/>
        <w:sz w:val="22"/>
        <w:szCs w:val="22"/>
        <w:lang w:val="es-ES" w:eastAsia="en-US" w:bidi="ar-SA"/>
      </w:rPr>
    </w:lvl>
    <w:lvl w:ilvl="1" w:tplc="6C8E1FD6">
      <w:start w:val="1"/>
      <w:numFmt w:val="decimal"/>
      <w:lvlText w:val="%2."/>
      <w:lvlJc w:val="left"/>
      <w:pPr>
        <w:ind w:left="810" w:hanging="258"/>
        <w:jc w:val="right"/>
      </w:pPr>
      <w:rPr>
        <w:rFonts w:hint="default"/>
        <w:spacing w:val="-1"/>
        <w:w w:val="100"/>
        <w:lang w:val="es-ES" w:eastAsia="en-US" w:bidi="ar-SA"/>
      </w:rPr>
    </w:lvl>
    <w:lvl w:ilvl="2" w:tplc="CDA0FD5C">
      <w:numFmt w:val="bullet"/>
      <w:lvlText w:val="•"/>
      <w:lvlJc w:val="left"/>
      <w:pPr>
        <w:ind w:left="1744" w:hanging="258"/>
      </w:pPr>
      <w:rPr>
        <w:rFonts w:hint="default"/>
        <w:lang w:val="es-ES" w:eastAsia="en-US" w:bidi="ar-SA"/>
      </w:rPr>
    </w:lvl>
    <w:lvl w:ilvl="3" w:tplc="54DC0320">
      <w:numFmt w:val="bullet"/>
      <w:lvlText w:val="•"/>
      <w:lvlJc w:val="left"/>
      <w:pPr>
        <w:ind w:left="2668" w:hanging="258"/>
      </w:pPr>
      <w:rPr>
        <w:rFonts w:hint="default"/>
        <w:lang w:val="es-ES" w:eastAsia="en-US" w:bidi="ar-SA"/>
      </w:rPr>
    </w:lvl>
    <w:lvl w:ilvl="4" w:tplc="4B7C3D0E">
      <w:numFmt w:val="bullet"/>
      <w:lvlText w:val="•"/>
      <w:lvlJc w:val="left"/>
      <w:pPr>
        <w:ind w:left="3593" w:hanging="258"/>
      </w:pPr>
      <w:rPr>
        <w:rFonts w:hint="default"/>
        <w:lang w:val="es-ES" w:eastAsia="en-US" w:bidi="ar-SA"/>
      </w:rPr>
    </w:lvl>
    <w:lvl w:ilvl="5" w:tplc="C8D09092">
      <w:numFmt w:val="bullet"/>
      <w:lvlText w:val="•"/>
      <w:lvlJc w:val="left"/>
      <w:pPr>
        <w:ind w:left="4517" w:hanging="258"/>
      </w:pPr>
      <w:rPr>
        <w:rFonts w:hint="default"/>
        <w:lang w:val="es-ES" w:eastAsia="en-US" w:bidi="ar-SA"/>
      </w:rPr>
    </w:lvl>
    <w:lvl w:ilvl="6" w:tplc="A0347992">
      <w:numFmt w:val="bullet"/>
      <w:lvlText w:val="•"/>
      <w:lvlJc w:val="left"/>
      <w:pPr>
        <w:ind w:left="5442" w:hanging="258"/>
      </w:pPr>
      <w:rPr>
        <w:rFonts w:hint="default"/>
        <w:lang w:val="es-ES" w:eastAsia="en-US" w:bidi="ar-SA"/>
      </w:rPr>
    </w:lvl>
    <w:lvl w:ilvl="7" w:tplc="5EA4233C">
      <w:numFmt w:val="bullet"/>
      <w:lvlText w:val="•"/>
      <w:lvlJc w:val="left"/>
      <w:pPr>
        <w:ind w:left="6366" w:hanging="258"/>
      </w:pPr>
      <w:rPr>
        <w:rFonts w:hint="default"/>
        <w:lang w:val="es-ES" w:eastAsia="en-US" w:bidi="ar-SA"/>
      </w:rPr>
    </w:lvl>
    <w:lvl w:ilvl="8" w:tplc="299EE406">
      <w:numFmt w:val="bullet"/>
      <w:lvlText w:val="•"/>
      <w:lvlJc w:val="left"/>
      <w:pPr>
        <w:ind w:left="7291" w:hanging="258"/>
      </w:pPr>
      <w:rPr>
        <w:rFonts w:hint="default"/>
        <w:lang w:val="es-ES" w:eastAsia="en-US" w:bidi="ar-SA"/>
      </w:rPr>
    </w:lvl>
  </w:abstractNum>
  <w:abstractNum w:abstractNumId="4" w15:restartNumberingAfterBreak="0">
    <w:nsid w:val="236752BB"/>
    <w:multiLevelType w:val="multilevel"/>
    <w:tmpl w:val="219A6F0E"/>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2B173B54"/>
    <w:multiLevelType w:val="multilevel"/>
    <w:tmpl w:val="F91E93B0"/>
    <w:lvl w:ilvl="0">
      <w:start w:val="1"/>
      <w:numFmt w:val="decimal"/>
      <w:lvlText w:val="%1."/>
      <w:lvlJc w:val="left"/>
      <w:pPr>
        <w:ind w:left="343" w:hanging="243"/>
      </w:pPr>
      <w:rPr>
        <w:rFonts w:ascii="Arial" w:eastAsia="Arial" w:hAnsi="Arial" w:cs="Arial" w:hint="default"/>
        <w:b/>
        <w:bCs/>
        <w:color w:val="4E4D4D"/>
        <w:spacing w:val="-1"/>
        <w:w w:val="100"/>
        <w:sz w:val="22"/>
        <w:szCs w:val="22"/>
        <w:lang w:val="es-ES" w:eastAsia="en-US" w:bidi="ar-SA"/>
      </w:rPr>
    </w:lvl>
    <w:lvl w:ilvl="1">
      <w:start w:val="1"/>
      <w:numFmt w:val="decimal"/>
      <w:lvlText w:val="%1.%2."/>
      <w:lvlJc w:val="left"/>
      <w:pPr>
        <w:ind w:left="525" w:hanging="426"/>
      </w:pPr>
      <w:rPr>
        <w:rFonts w:ascii="Arial" w:eastAsia="Arial" w:hAnsi="Arial" w:cs="Arial" w:hint="default"/>
        <w:b/>
        <w:bCs/>
        <w:color w:val="4E4D4D"/>
        <w:spacing w:val="-1"/>
        <w:w w:val="100"/>
        <w:sz w:val="22"/>
        <w:szCs w:val="22"/>
        <w:lang w:val="es-ES" w:eastAsia="en-US" w:bidi="ar-SA"/>
      </w:rPr>
    </w:lvl>
    <w:lvl w:ilvl="2">
      <w:numFmt w:val="bullet"/>
      <w:lvlText w:val="•"/>
      <w:lvlJc w:val="left"/>
      <w:pPr>
        <w:ind w:left="1477" w:hanging="426"/>
      </w:pPr>
      <w:rPr>
        <w:rFonts w:hint="default"/>
        <w:lang w:val="es-ES" w:eastAsia="en-US" w:bidi="ar-SA"/>
      </w:rPr>
    </w:lvl>
    <w:lvl w:ilvl="3">
      <w:numFmt w:val="bullet"/>
      <w:lvlText w:val="•"/>
      <w:lvlJc w:val="left"/>
      <w:pPr>
        <w:ind w:left="2435" w:hanging="426"/>
      </w:pPr>
      <w:rPr>
        <w:rFonts w:hint="default"/>
        <w:lang w:val="es-ES" w:eastAsia="en-US" w:bidi="ar-SA"/>
      </w:rPr>
    </w:lvl>
    <w:lvl w:ilvl="4">
      <w:numFmt w:val="bullet"/>
      <w:lvlText w:val="•"/>
      <w:lvlJc w:val="left"/>
      <w:pPr>
        <w:ind w:left="3393" w:hanging="426"/>
      </w:pPr>
      <w:rPr>
        <w:rFonts w:hint="default"/>
        <w:lang w:val="es-ES" w:eastAsia="en-US" w:bidi="ar-SA"/>
      </w:rPr>
    </w:lvl>
    <w:lvl w:ilvl="5">
      <w:numFmt w:val="bullet"/>
      <w:lvlText w:val="•"/>
      <w:lvlJc w:val="left"/>
      <w:pPr>
        <w:ind w:left="4351" w:hanging="426"/>
      </w:pPr>
      <w:rPr>
        <w:rFonts w:hint="default"/>
        <w:lang w:val="es-ES" w:eastAsia="en-US" w:bidi="ar-SA"/>
      </w:rPr>
    </w:lvl>
    <w:lvl w:ilvl="6">
      <w:numFmt w:val="bullet"/>
      <w:lvlText w:val="•"/>
      <w:lvlJc w:val="left"/>
      <w:pPr>
        <w:ind w:left="5308" w:hanging="426"/>
      </w:pPr>
      <w:rPr>
        <w:rFonts w:hint="default"/>
        <w:lang w:val="es-ES" w:eastAsia="en-US" w:bidi="ar-SA"/>
      </w:rPr>
    </w:lvl>
    <w:lvl w:ilvl="7">
      <w:numFmt w:val="bullet"/>
      <w:lvlText w:val="•"/>
      <w:lvlJc w:val="left"/>
      <w:pPr>
        <w:ind w:left="6266" w:hanging="426"/>
      </w:pPr>
      <w:rPr>
        <w:rFonts w:hint="default"/>
        <w:lang w:val="es-ES" w:eastAsia="en-US" w:bidi="ar-SA"/>
      </w:rPr>
    </w:lvl>
    <w:lvl w:ilvl="8">
      <w:numFmt w:val="bullet"/>
      <w:lvlText w:val="•"/>
      <w:lvlJc w:val="left"/>
      <w:pPr>
        <w:ind w:left="7224" w:hanging="426"/>
      </w:pPr>
      <w:rPr>
        <w:rFonts w:hint="default"/>
        <w:lang w:val="es-ES" w:eastAsia="en-US" w:bidi="ar-SA"/>
      </w:rPr>
    </w:lvl>
  </w:abstractNum>
  <w:abstractNum w:abstractNumId="6"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FF56725"/>
    <w:multiLevelType w:val="hybridMultilevel"/>
    <w:tmpl w:val="E2F44826"/>
    <w:lvl w:ilvl="0" w:tplc="6BB0E06A">
      <w:start w:val="1"/>
      <w:numFmt w:val="upperLetter"/>
      <w:lvlText w:val="%1."/>
      <w:lvlJc w:val="left"/>
      <w:pPr>
        <w:ind w:left="710" w:hanging="710"/>
      </w:pPr>
      <w:rPr>
        <w:rFonts w:ascii="Arial" w:hAnsi="Arial" w:cs="Arial" w:hint="default"/>
        <w:sz w:val="19"/>
        <w:szCs w:val="19"/>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9"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1"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2" w15:restartNumberingAfterBreak="0">
    <w:nsid w:val="77DF7927"/>
    <w:multiLevelType w:val="multilevel"/>
    <w:tmpl w:val="C7C66B9A"/>
    <w:lvl w:ilvl="0">
      <w:start w:val="1"/>
      <w:numFmt w:val="decimal"/>
      <w:lvlText w:val="%1."/>
      <w:lvlJc w:val="left"/>
      <w:pPr>
        <w:ind w:left="54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560" w:hanging="380"/>
      </w:pPr>
      <w:rPr>
        <w:rFonts w:ascii="Arial" w:eastAsia="Arial" w:hAnsi="Arial" w:cs="Arial" w:hint="default"/>
        <w:b/>
        <w:bCs/>
        <w:color w:val="auto"/>
        <w:spacing w:val="-1"/>
        <w:w w:val="100"/>
        <w:sz w:val="22"/>
        <w:szCs w:val="22"/>
        <w:lang w:val="es-ES" w:eastAsia="en-US" w:bidi="ar-SA"/>
      </w:rPr>
    </w:lvl>
    <w:lvl w:ilvl="2">
      <w:numFmt w:val="bullet"/>
      <w:lvlText w:val="•"/>
      <w:lvlJc w:val="left"/>
      <w:pPr>
        <w:ind w:left="1522" w:hanging="380"/>
      </w:pPr>
      <w:rPr>
        <w:rFonts w:hint="default"/>
        <w:lang w:val="es-ES" w:eastAsia="en-US" w:bidi="ar-SA"/>
      </w:rPr>
    </w:lvl>
    <w:lvl w:ilvl="3">
      <w:numFmt w:val="bullet"/>
      <w:lvlText w:val="•"/>
      <w:lvlJc w:val="left"/>
      <w:pPr>
        <w:ind w:left="2484" w:hanging="380"/>
      </w:pPr>
      <w:rPr>
        <w:rFonts w:hint="default"/>
        <w:lang w:val="es-ES" w:eastAsia="en-US" w:bidi="ar-SA"/>
      </w:rPr>
    </w:lvl>
    <w:lvl w:ilvl="4">
      <w:numFmt w:val="bullet"/>
      <w:lvlText w:val="•"/>
      <w:lvlJc w:val="left"/>
      <w:pPr>
        <w:ind w:left="3446" w:hanging="380"/>
      </w:pPr>
      <w:rPr>
        <w:rFonts w:hint="default"/>
        <w:lang w:val="es-ES" w:eastAsia="en-US" w:bidi="ar-SA"/>
      </w:rPr>
    </w:lvl>
    <w:lvl w:ilvl="5">
      <w:numFmt w:val="bullet"/>
      <w:lvlText w:val="•"/>
      <w:lvlJc w:val="left"/>
      <w:pPr>
        <w:ind w:left="4408" w:hanging="380"/>
      </w:pPr>
      <w:rPr>
        <w:rFonts w:hint="default"/>
        <w:lang w:val="es-ES" w:eastAsia="en-US" w:bidi="ar-SA"/>
      </w:rPr>
    </w:lvl>
    <w:lvl w:ilvl="6">
      <w:numFmt w:val="bullet"/>
      <w:lvlText w:val="•"/>
      <w:lvlJc w:val="left"/>
      <w:pPr>
        <w:ind w:left="5371" w:hanging="380"/>
      </w:pPr>
      <w:rPr>
        <w:rFonts w:hint="default"/>
        <w:lang w:val="es-ES" w:eastAsia="en-US" w:bidi="ar-SA"/>
      </w:rPr>
    </w:lvl>
    <w:lvl w:ilvl="7">
      <w:numFmt w:val="bullet"/>
      <w:lvlText w:val="•"/>
      <w:lvlJc w:val="left"/>
      <w:pPr>
        <w:ind w:left="6333" w:hanging="380"/>
      </w:pPr>
      <w:rPr>
        <w:rFonts w:hint="default"/>
        <w:lang w:val="es-ES" w:eastAsia="en-US" w:bidi="ar-SA"/>
      </w:rPr>
    </w:lvl>
    <w:lvl w:ilvl="8">
      <w:numFmt w:val="bullet"/>
      <w:lvlText w:val="•"/>
      <w:lvlJc w:val="left"/>
      <w:pPr>
        <w:ind w:left="7295" w:hanging="380"/>
      </w:pPr>
      <w:rPr>
        <w:rFonts w:hint="default"/>
        <w:lang w:val="es-ES" w:eastAsia="en-US" w:bidi="ar-SA"/>
      </w:rPr>
    </w:lvl>
  </w:abstractNum>
  <w:num w:numId="1">
    <w:abstractNumId w:val="7"/>
  </w:num>
  <w:num w:numId="2">
    <w:abstractNumId w:val="6"/>
  </w:num>
  <w:num w:numId="3">
    <w:abstractNumId w:val="9"/>
  </w:num>
  <w:num w:numId="4">
    <w:abstractNumId w:val="10"/>
  </w:num>
  <w:num w:numId="5">
    <w:abstractNumId w:val="11"/>
  </w:num>
  <w:num w:numId="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2"/>
  </w:num>
  <w:num w:numId="9">
    <w:abstractNumId w:val="12"/>
  </w:num>
  <w:num w:numId="10">
    <w:abstractNumId w:val="3"/>
  </w:num>
  <w:num w:numId="11">
    <w:abstractNumId w:val="5"/>
  </w:num>
  <w:num w:numId="12">
    <w:abstractNumId w:val="1"/>
  </w:num>
  <w:num w:numId="13">
    <w:abstractNumId w:val="8"/>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s-ES" w:vendorID="64" w:dllVersion="4096" w:nlCheck="1" w:checkStyle="0"/>
  <w:activeWritingStyle w:appName="MSWord" w:lang="es-ES_tradnl" w:vendorID="64" w:dllVersion="4096" w:nlCheck="1" w:checkStyle="0"/>
  <w:activeWritingStyle w:appName="MSWord" w:lang="en-US" w:vendorID="64" w:dllVersion="4096" w:nlCheck="1" w:checkStyle="0"/>
  <w:activeWritingStyle w:appName="MSWord" w:lang="es-ES" w:vendorID="64" w:dllVersion="6" w:nlCheck="1" w:checkStyle="0"/>
  <w:activeWritingStyle w:appName="MSWord" w:lang="es-ES_tradnl"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4096" w:nlCheck="1" w:checkStyle="0"/>
  <w:activeWritingStyle w:appName="MSWord" w:lang="es-CO" w:vendorID="64" w:dllVersion="0" w:nlCheck="1" w:checkStyle="0"/>
  <w:activeWritingStyle w:appName="MSWord" w:lang="es-MX" w:vendorID="64" w:dllVersion="6" w:nlCheck="1" w:checkStyle="0"/>
  <w:activeWritingStyle w:appName="MSWord" w:lang="es-CO" w:vendorID="64" w:dllVersion="6" w:nlCheck="1" w:checkStyle="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9BA"/>
    <w:rsid w:val="000018D4"/>
    <w:rsid w:val="0000280E"/>
    <w:rsid w:val="00002841"/>
    <w:rsid w:val="00002B30"/>
    <w:rsid w:val="00004E4A"/>
    <w:rsid w:val="00005A24"/>
    <w:rsid w:val="00007092"/>
    <w:rsid w:val="000073AC"/>
    <w:rsid w:val="0001011E"/>
    <w:rsid w:val="00010B21"/>
    <w:rsid w:val="0001178C"/>
    <w:rsid w:val="00011C19"/>
    <w:rsid w:val="000120E2"/>
    <w:rsid w:val="00012D3B"/>
    <w:rsid w:val="000144E5"/>
    <w:rsid w:val="00014B1D"/>
    <w:rsid w:val="0001587F"/>
    <w:rsid w:val="0002128D"/>
    <w:rsid w:val="00022B41"/>
    <w:rsid w:val="00022C2B"/>
    <w:rsid w:val="0002438E"/>
    <w:rsid w:val="000245BA"/>
    <w:rsid w:val="00025F0D"/>
    <w:rsid w:val="000263B0"/>
    <w:rsid w:val="00030FC5"/>
    <w:rsid w:val="00031594"/>
    <w:rsid w:val="000324E4"/>
    <w:rsid w:val="00033726"/>
    <w:rsid w:val="00034815"/>
    <w:rsid w:val="00034AA9"/>
    <w:rsid w:val="0003588F"/>
    <w:rsid w:val="00036094"/>
    <w:rsid w:val="000362E6"/>
    <w:rsid w:val="00036466"/>
    <w:rsid w:val="0004046E"/>
    <w:rsid w:val="00040923"/>
    <w:rsid w:val="00040E6F"/>
    <w:rsid w:val="00043668"/>
    <w:rsid w:val="00043881"/>
    <w:rsid w:val="00044758"/>
    <w:rsid w:val="000448CC"/>
    <w:rsid w:val="000453DC"/>
    <w:rsid w:val="0004639D"/>
    <w:rsid w:val="00046C88"/>
    <w:rsid w:val="00047C18"/>
    <w:rsid w:val="00047DDF"/>
    <w:rsid w:val="00057438"/>
    <w:rsid w:val="00057FB3"/>
    <w:rsid w:val="00060D9A"/>
    <w:rsid w:val="00062624"/>
    <w:rsid w:val="0006305C"/>
    <w:rsid w:val="000649D4"/>
    <w:rsid w:val="000651AE"/>
    <w:rsid w:val="0006531E"/>
    <w:rsid w:val="00065EB9"/>
    <w:rsid w:val="00066090"/>
    <w:rsid w:val="00066567"/>
    <w:rsid w:val="000678DE"/>
    <w:rsid w:val="0007118C"/>
    <w:rsid w:val="00071C82"/>
    <w:rsid w:val="000720AC"/>
    <w:rsid w:val="000732C7"/>
    <w:rsid w:val="000733ED"/>
    <w:rsid w:val="000739BE"/>
    <w:rsid w:val="000765A3"/>
    <w:rsid w:val="0007666B"/>
    <w:rsid w:val="000775E4"/>
    <w:rsid w:val="000814B6"/>
    <w:rsid w:val="00082182"/>
    <w:rsid w:val="00082186"/>
    <w:rsid w:val="000835DB"/>
    <w:rsid w:val="00083D0E"/>
    <w:rsid w:val="00084818"/>
    <w:rsid w:val="00085C37"/>
    <w:rsid w:val="00085E43"/>
    <w:rsid w:val="00086610"/>
    <w:rsid w:val="000867ED"/>
    <w:rsid w:val="00087989"/>
    <w:rsid w:val="00087D45"/>
    <w:rsid w:val="000920F0"/>
    <w:rsid w:val="000942EB"/>
    <w:rsid w:val="00094748"/>
    <w:rsid w:val="00097D3C"/>
    <w:rsid w:val="000A000F"/>
    <w:rsid w:val="000A0247"/>
    <w:rsid w:val="000A0343"/>
    <w:rsid w:val="000A0DB1"/>
    <w:rsid w:val="000A4286"/>
    <w:rsid w:val="000A6AAF"/>
    <w:rsid w:val="000A6F0A"/>
    <w:rsid w:val="000B103F"/>
    <w:rsid w:val="000B134A"/>
    <w:rsid w:val="000B2324"/>
    <w:rsid w:val="000B324A"/>
    <w:rsid w:val="000C14AA"/>
    <w:rsid w:val="000C23C7"/>
    <w:rsid w:val="000C397B"/>
    <w:rsid w:val="000C6CCE"/>
    <w:rsid w:val="000C7351"/>
    <w:rsid w:val="000C786A"/>
    <w:rsid w:val="000C798F"/>
    <w:rsid w:val="000D1FBC"/>
    <w:rsid w:val="000D2573"/>
    <w:rsid w:val="000D30D4"/>
    <w:rsid w:val="000D31C7"/>
    <w:rsid w:val="000D387A"/>
    <w:rsid w:val="000D47EF"/>
    <w:rsid w:val="000D48CC"/>
    <w:rsid w:val="000D7615"/>
    <w:rsid w:val="000D7BBD"/>
    <w:rsid w:val="000E1284"/>
    <w:rsid w:val="000E1CDD"/>
    <w:rsid w:val="000E2C33"/>
    <w:rsid w:val="000E2E43"/>
    <w:rsid w:val="000E450F"/>
    <w:rsid w:val="000E7D7E"/>
    <w:rsid w:val="000F07CF"/>
    <w:rsid w:val="000F0898"/>
    <w:rsid w:val="000F0EDD"/>
    <w:rsid w:val="000F14E8"/>
    <w:rsid w:val="000F19EF"/>
    <w:rsid w:val="000F1F4B"/>
    <w:rsid w:val="000F2E03"/>
    <w:rsid w:val="000F51C3"/>
    <w:rsid w:val="000F6DA0"/>
    <w:rsid w:val="00101394"/>
    <w:rsid w:val="001014F5"/>
    <w:rsid w:val="0010184F"/>
    <w:rsid w:val="00103915"/>
    <w:rsid w:val="001078E6"/>
    <w:rsid w:val="00111960"/>
    <w:rsid w:val="001160B0"/>
    <w:rsid w:val="001162A5"/>
    <w:rsid w:val="001200ED"/>
    <w:rsid w:val="001203F9"/>
    <w:rsid w:val="0012087D"/>
    <w:rsid w:val="00120B80"/>
    <w:rsid w:val="00121D3B"/>
    <w:rsid w:val="00122B23"/>
    <w:rsid w:val="00123766"/>
    <w:rsid w:val="001245D4"/>
    <w:rsid w:val="00124E57"/>
    <w:rsid w:val="0013037C"/>
    <w:rsid w:val="00134E95"/>
    <w:rsid w:val="00135A40"/>
    <w:rsid w:val="001375C4"/>
    <w:rsid w:val="00137646"/>
    <w:rsid w:val="00137A61"/>
    <w:rsid w:val="00137FFA"/>
    <w:rsid w:val="001406AE"/>
    <w:rsid w:val="001431FB"/>
    <w:rsid w:val="001438ED"/>
    <w:rsid w:val="00146025"/>
    <w:rsid w:val="00146856"/>
    <w:rsid w:val="00147224"/>
    <w:rsid w:val="00150A83"/>
    <w:rsid w:val="001513E1"/>
    <w:rsid w:val="00152274"/>
    <w:rsid w:val="001522B6"/>
    <w:rsid w:val="0015343F"/>
    <w:rsid w:val="001543F8"/>
    <w:rsid w:val="00154B53"/>
    <w:rsid w:val="00155245"/>
    <w:rsid w:val="00155DAE"/>
    <w:rsid w:val="00155DD9"/>
    <w:rsid w:val="00156BE4"/>
    <w:rsid w:val="0016120F"/>
    <w:rsid w:val="00164F83"/>
    <w:rsid w:val="00165A21"/>
    <w:rsid w:val="00166C46"/>
    <w:rsid w:val="00167BF1"/>
    <w:rsid w:val="00170D86"/>
    <w:rsid w:val="00171104"/>
    <w:rsid w:val="00171CF4"/>
    <w:rsid w:val="001743DB"/>
    <w:rsid w:val="0018017A"/>
    <w:rsid w:val="00181C2A"/>
    <w:rsid w:val="00183388"/>
    <w:rsid w:val="00183EF2"/>
    <w:rsid w:val="00184163"/>
    <w:rsid w:val="00184CBC"/>
    <w:rsid w:val="00186338"/>
    <w:rsid w:val="00187EDF"/>
    <w:rsid w:val="00190812"/>
    <w:rsid w:val="00192F9B"/>
    <w:rsid w:val="0019331A"/>
    <w:rsid w:val="001937C8"/>
    <w:rsid w:val="00195EF5"/>
    <w:rsid w:val="001966CD"/>
    <w:rsid w:val="00196BE5"/>
    <w:rsid w:val="001975AC"/>
    <w:rsid w:val="001A00E2"/>
    <w:rsid w:val="001A153A"/>
    <w:rsid w:val="001A393A"/>
    <w:rsid w:val="001A4318"/>
    <w:rsid w:val="001A5507"/>
    <w:rsid w:val="001A68CA"/>
    <w:rsid w:val="001B1847"/>
    <w:rsid w:val="001B1ECB"/>
    <w:rsid w:val="001B23CE"/>
    <w:rsid w:val="001B45E7"/>
    <w:rsid w:val="001B4AE1"/>
    <w:rsid w:val="001C0A60"/>
    <w:rsid w:val="001C0AF7"/>
    <w:rsid w:val="001C16CC"/>
    <w:rsid w:val="001C39DF"/>
    <w:rsid w:val="001C4570"/>
    <w:rsid w:val="001C5E73"/>
    <w:rsid w:val="001D0260"/>
    <w:rsid w:val="001D0A63"/>
    <w:rsid w:val="001D1883"/>
    <w:rsid w:val="001D33D1"/>
    <w:rsid w:val="001D5240"/>
    <w:rsid w:val="001D60DA"/>
    <w:rsid w:val="001D7FE6"/>
    <w:rsid w:val="001E04BA"/>
    <w:rsid w:val="001E1B39"/>
    <w:rsid w:val="001E1E4A"/>
    <w:rsid w:val="001E2D6F"/>
    <w:rsid w:val="001E40C6"/>
    <w:rsid w:val="001E5ACA"/>
    <w:rsid w:val="001E6B77"/>
    <w:rsid w:val="001E7976"/>
    <w:rsid w:val="001F083C"/>
    <w:rsid w:val="001F1672"/>
    <w:rsid w:val="001F515E"/>
    <w:rsid w:val="001F59D8"/>
    <w:rsid w:val="001F5FEF"/>
    <w:rsid w:val="001F69A2"/>
    <w:rsid w:val="00200B89"/>
    <w:rsid w:val="00200C0F"/>
    <w:rsid w:val="00201F87"/>
    <w:rsid w:val="0020217E"/>
    <w:rsid w:val="002021C7"/>
    <w:rsid w:val="00202B7A"/>
    <w:rsid w:val="002031DB"/>
    <w:rsid w:val="002047E9"/>
    <w:rsid w:val="00205850"/>
    <w:rsid w:val="00206852"/>
    <w:rsid w:val="00207041"/>
    <w:rsid w:val="00210028"/>
    <w:rsid w:val="002101B0"/>
    <w:rsid w:val="002111F9"/>
    <w:rsid w:val="00211C31"/>
    <w:rsid w:val="00213804"/>
    <w:rsid w:val="00215561"/>
    <w:rsid w:val="0021714E"/>
    <w:rsid w:val="00220681"/>
    <w:rsid w:val="00221C0B"/>
    <w:rsid w:val="00222000"/>
    <w:rsid w:val="00224722"/>
    <w:rsid w:val="00227E56"/>
    <w:rsid w:val="002301F1"/>
    <w:rsid w:val="002304C1"/>
    <w:rsid w:val="002315AE"/>
    <w:rsid w:val="00232ECE"/>
    <w:rsid w:val="0023384B"/>
    <w:rsid w:val="00233A64"/>
    <w:rsid w:val="002346F8"/>
    <w:rsid w:val="00234B84"/>
    <w:rsid w:val="00234EFC"/>
    <w:rsid w:val="00236F7F"/>
    <w:rsid w:val="00237129"/>
    <w:rsid w:val="0024212A"/>
    <w:rsid w:val="002436DD"/>
    <w:rsid w:val="0024499B"/>
    <w:rsid w:val="002456DF"/>
    <w:rsid w:val="00245A34"/>
    <w:rsid w:val="00250966"/>
    <w:rsid w:val="00251667"/>
    <w:rsid w:val="002518A6"/>
    <w:rsid w:val="00251DDE"/>
    <w:rsid w:val="0025429B"/>
    <w:rsid w:val="0025531C"/>
    <w:rsid w:val="00256C1D"/>
    <w:rsid w:val="00261AAE"/>
    <w:rsid w:val="00263168"/>
    <w:rsid w:val="0026505D"/>
    <w:rsid w:val="00265441"/>
    <w:rsid w:val="002654B9"/>
    <w:rsid w:val="00266568"/>
    <w:rsid w:val="002668CC"/>
    <w:rsid w:val="002672F8"/>
    <w:rsid w:val="00270911"/>
    <w:rsid w:val="00270A17"/>
    <w:rsid w:val="002710B7"/>
    <w:rsid w:val="00272F3C"/>
    <w:rsid w:val="00273961"/>
    <w:rsid w:val="0027401B"/>
    <w:rsid w:val="0027497E"/>
    <w:rsid w:val="00276DFC"/>
    <w:rsid w:val="00277323"/>
    <w:rsid w:val="002806D0"/>
    <w:rsid w:val="0028218D"/>
    <w:rsid w:val="00282A6B"/>
    <w:rsid w:val="00283535"/>
    <w:rsid w:val="002844C4"/>
    <w:rsid w:val="0029116C"/>
    <w:rsid w:val="00292D21"/>
    <w:rsid w:val="002934B2"/>
    <w:rsid w:val="0029572E"/>
    <w:rsid w:val="00295D8A"/>
    <w:rsid w:val="002974AB"/>
    <w:rsid w:val="002A0F0D"/>
    <w:rsid w:val="002A0F0F"/>
    <w:rsid w:val="002A19C4"/>
    <w:rsid w:val="002A294A"/>
    <w:rsid w:val="002A2CD3"/>
    <w:rsid w:val="002A7C42"/>
    <w:rsid w:val="002B03E5"/>
    <w:rsid w:val="002B17C5"/>
    <w:rsid w:val="002B25F3"/>
    <w:rsid w:val="002B446C"/>
    <w:rsid w:val="002B6286"/>
    <w:rsid w:val="002B6D28"/>
    <w:rsid w:val="002B709B"/>
    <w:rsid w:val="002B70AB"/>
    <w:rsid w:val="002C1EEC"/>
    <w:rsid w:val="002C31BC"/>
    <w:rsid w:val="002C56EA"/>
    <w:rsid w:val="002C57F2"/>
    <w:rsid w:val="002C68B3"/>
    <w:rsid w:val="002D05DE"/>
    <w:rsid w:val="002D1FA3"/>
    <w:rsid w:val="002D2FF2"/>
    <w:rsid w:val="002D3B38"/>
    <w:rsid w:val="002D57A3"/>
    <w:rsid w:val="002D5D61"/>
    <w:rsid w:val="002D5FFC"/>
    <w:rsid w:val="002D665A"/>
    <w:rsid w:val="002E08D0"/>
    <w:rsid w:val="002E0C71"/>
    <w:rsid w:val="002E13E0"/>
    <w:rsid w:val="002E1993"/>
    <w:rsid w:val="002E1A34"/>
    <w:rsid w:val="002E424E"/>
    <w:rsid w:val="002E479E"/>
    <w:rsid w:val="002E4EFE"/>
    <w:rsid w:val="002E6F80"/>
    <w:rsid w:val="002F1143"/>
    <w:rsid w:val="002F1FE0"/>
    <w:rsid w:val="002F2270"/>
    <w:rsid w:val="002F231E"/>
    <w:rsid w:val="002F2352"/>
    <w:rsid w:val="002F23C9"/>
    <w:rsid w:val="002F6312"/>
    <w:rsid w:val="002F6F49"/>
    <w:rsid w:val="002F7B2C"/>
    <w:rsid w:val="0030118B"/>
    <w:rsid w:val="003033BA"/>
    <w:rsid w:val="00303F14"/>
    <w:rsid w:val="00304D42"/>
    <w:rsid w:val="00305329"/>
    <w:rsid w:val="00306222"/>
    <w:rsid w:val="00306763"/>
    <w:rsid w:val="003074FD"/>
    <w:rsid w:val="00307A32"/>
    <w:rsid w:val="00307E45"/>
    <w:rsid w:val="003102F2"/>
    <w:rsid w:val="00310C43"/>
    <w:rsid w:val="00311A86"/>
    <w:rsid w:val="0031275A"/>
    <w:rsid w:val="003133D1"/>
    <w:rsid w:val="00313974"/>
    <w:rsid w:val="00314B07"/>
    <w:rsid w:val="00315651"/>
    <w:rsid w:val="00315A1D"/>
    <w:rsid w:val="00315A82"/>
    <w:rsid w:val="00317242"/>
    <w:rsid w:val="003174A5"/>
    <w:rsid w:val="00317949"/>
    <w:rsid w:val="00317BB7"/>
    <w:rsid w:val="00321B8E"/>
    <w:rsid w:val="00322193"/>
    <w:rsid w:val="003223D9"/>
    <w:rsid w:val="00325979"/>
    <w:rsid w:val="00326BEF"/>
    <w:rsid w:val="00327181"/>
    <w:rsid w:val="003277AE"/>
    <w:rsid w:val="00327E0D"/>
    <w:rsid w:val="00331A72"/>
    <w:rsid w:val="00331CE3"/>
    <w:rsid w:val="00333156"/>
    <w:rsid w:val="00333CDE"/>
    <w:rsid w:val="003342B2"/>
    <w:rsid w:val="003355DA"/>
    <w:rsid w:val="0033597E"/>
    <w:rsid w:val="00337316"/>
    <w:rsid w:val="00340AD3"/>
    <w:rsid w:val="00340C37"/>
    <w:rsid w:val="0034119F"/>
    <w:rsid w:val="00341911"/>
    <w:rsid w:val="00341BE6"/>
    <w:rsid w:val="00343194"/>
    <w:rsid w:val="00343AB2"/>
    <w:rsid w:val="003461EA"/>
    <w:rsid w:val="0034680A"/>
    <w:rsid w:val="003477C1"/>
    <w:rsid w:val="00352ABF"/>
    <w:rsid w:val="00352FB2"/>
    <w:rsid w:val="003535D4"/>
    <w:rsid w:val="0035397A"/>
    <w:rsid w:val="0035419A"/>
    <w:rsid w:val="0035582B"/>
    <w:rsid w:val="00355E89"/>
    <w:rsid w:val="00356A34"/>
    <w:rsid w:val="00361348"/>
    <w:rsid w:val="0036167C"/>
    <w:rsid w:val="003616BA"/>
    <w:rsid w:val="00362709"/>
    <w:rsid w:val="00363BC9"/>
    <w:rsid w:val="003643E8"/>
    <w:rsid w:val="00364A46"/>
    <w:rsid w:val="00365469"/>
    <w:rsid w:val="0036681C"/>
    <w:rsid w:val="00366AA6"/>
    <w:rsid w:val="003703B0"/>
    <w:rsid w:val="0037114A"/>
    <w:rsid w:val="0037229F"/>
    <w:rsid w:val="00373540"/>
    <w:rsid w:val="00373E13"/>
    <w:rsid w:val="003743B6"/>
    <w:rsid w:val="00374F3E"/>
    <w:rsid w:val="003762EE"/>
    <w:rsid w:val="00376854"/>
    <w:rsid w:val="0037781B"/>
    <w:rsid w:val="00381D9A"/>
    <w:rsid w:val="003829B3"/>
    <w:rsid w:val="003839D0"/>
    <w:rsid w:val="00385978"/>
    <w:rsid w:val="00385BC9"/>
    <w:rsid w:val="00385DDF"/>
    <w:rsid w:val="00385F15"/>
    <w:rsid w:val="00386456"/>
    <w:rsid w:val="00390BDB"/>
    <w:rsid w:val="00390F08"/>
    <w:rsid w:val="00391F77"/>
    <w:rsid w:val="00392A2E"/>
    <w:rsid w:val="0039355B"/>
    <w:rsid w:val="0039398A"/>
    <w:rsid w:val="00393DF4"/>
    <w:rsid w:val="003946F7"/>
    <w:rsid w:val="003950F3"/>
    <w:rsid w:val="00396696"/>
    <w:rsid w:val="00396ABB"/>
    <w:rsid w:val="003976AE"/>
    <w:rsid w:val="003A03E8"/>
    <w:rsid w:val="003A0550"/>
    <w:rsid w:val="003A1A92"/>
    <w:rsid w:val="003A266D"/>
    <w:rsid w:val="003A3B32"/>
    <w:rsid w:val="003A3CF0"/>
    <w:rsid w:val="003A554A"/>
    <w:rsid w:val="003A581E"/>
    <w:rsid w:val="003A5E4E"/>
    <w:rsid w:val="003A6BA0"/>
    <w:rsid w:val="003A6EA8"/>
    <w:rsid w:val="003A789C"/>
    <w:rsid w:val="003B03BF"/>
    <w:rsid w:val="003B0BB1"/>
    <w:rsid w:val="003B49A4"/>
    <w:rsid w:val="003B4D4F"/>
    <w:rsid w:val="003B6C31"/>
    <w:rsid w:val="003B7211"/>
    <w:rsid w:val="003B75E6"/>
    <w:rsid w:val="003B75EA"/>
    <w:rsid w:val="003B7BCC"/>
    <w:rsid w:val="003C0712"/>
    <w:rsid w:val="003C3A87"/>
    <w:rsid w:val="003C3FB8"/>
    <w:rsid w:val="003C5458"/>
    <w:rsid w:val="003C564B"/>
    <w:rsid w:val="003C5A2E"/>
    <w:rsid w:val="003D1833"/>
    <w:rsid w:val="003D5FFB"/>
    <w:rsid w:val="003E1061"/>
    <w:rsid w:val="003E1E10"/>
    <w:rsid w:val="003E21E7"/>
    <w:rsid w:val="003F0256"/>
    <w:rsid w:val="003F2762"/>
    <w:rsid w:val="003F466C"/>
    <w:rsid w:val="003F551E"/>
    <w:rsid w:val="003F5E2E"/>
    <w:rsid w:val="003F5F01"/>
    <w:rsid w:val="003F6DB8"/>
    <w:rsid w:val="003F7100"/>
    <w:rsid w:val="004008EE"/>
    <w:rsid w:val="004015D9"/>
    <w:rsid w:val="004026AA"/>
    <w:rsid w:val="00402887"/>
    <w:rsid w:val="00402FFB"/>
    <w:rsid w:val="00403195"/>
    <w:rsid w:val="0040416B"/>
    <w:rsid w:val="00405F6D"/>
    <w:rsid w:val="00406032"/>
    <w:rsid w:val="00410B8E"/>
    <w:rsid w:val="0041170B"/>
    <w:rsid w:val="00412B33"/>
    <w:rsid w:val="00412C94"/>
    <w:rsid w:val="00412E29"/>
    <w:rsid w:val="0041405F"/>
    <w:rsid w:val="0041420E"/>
    <w:rsid w:val="00414B36"/>
    <w:rsid w:val="00414EE8"/>
    <w:rsid w:val="00415E4F"/>
    <w:rsid w:val="00417023"/>
    <w:rsid w:val="00417532"/>
    <w:rsid w:val="004206A4"/>
    <w:rsid w:val="00421CA0"/>
    <w:rsid w:val="0042704E"/>
    <w:rsid w:val="0042797D"/>
    <w:rsid w:val="00427D74"/>
    <w:rsid w:val="004301E2"/>
    <w:rsid w:val="00433063"/>
    <w:rsid w:val="004336EA"/>
    <w:rsid w:val="00433EB2"/>
    <w:rsid w:val="004345E3"/>
    <w:rsid w:val="004348A1"/>
    <w:rsid w:val="00434F99"/>
    <w:rsid w:val="00435530"/>
    <w:rsid w:val="00435E15"/>
    <w:rsid w:val="00436F07"/>
    <w:rsid w:val="00437E23"/>
    <w:rsid w:val="00440DC5"/>
    <w:rsid w:val="00440E07"/>
    <w:rsid w:val="00441150"/>
    <w:rsid w:val="004422D6"/>
    <w:rsid w:val="00442D02"/>
    <w:rsid w:val="00443588"/>
    <w:rsid w:val="00443C26"/>
    <w:rsid w:val="0044423C"/>
    <w:rsid w:val="004473DB"/>
    <w:rsid w:val="00450066"/>
    <w:rsid w:val="00452CE7"/>
    <w:rsid w:val="00453122"/>
    <w:rsid w:val="00454FD6"/>
    <w:rsid w:val="00455B90"/>
    <w:rsid w:val="00455DB2"/>
    <w:rsid w:val="0045685E"/>
    <w:rsid w:val="00457DF1"/>
    <w:rsid w:val="00460842"/>
    <w:rsid w:val="00460DD2"/>
    <w:rsid w:val="00460ED0"/>
    <w:rsid w:val="00461501"/>
    <w:rsid w:val="00461EC0"/>
    <w:rsid w:val="00461F68"/>
    <w:rsid w:val="00462ECE"/>
    <w:rsid w:val="00464784"/>
    <w:rsid w:val="004649F4"/>
    <w:rsid w:val="00465EED"/>
    <w:rsid w:val="004669CB"/>
    <w:rsid w:val="00467068"/>
    <w:rsid w:val="00467445"/>
    <w:rsid w:val="00470363"/>
    <w:rsid w:val="004708A0"/>
    <w:rsid w:val="00474F64"/>
    <w:rsid w:val="0047624F"/>
    <w:rsid w:val="00476602"/>
    <w:rsid w:val="00477519"/>
    <w:rsid w:val="00482AC2"/>
    <w:rsid w:val="00482F8E"/>
    <w:rsid w:val="004832BF"/>
    <w:rsid w:val="00483432"/>
    <w:rsid w:val="00483BDA"/>
    <w:rsid w:val="0048439B"/>
    <w:rsid w:val="0048447C"/>
    <w:rsid w:val="00485259"/>
    <w:rsid w:val="00486557"/>
    <w:rsid w:val="0049042F"/>
    <w:rsid w:val="00491763"/>
    <w:rsid w:val="00491E3D"/>
    <w:rsid w:val="004938A8"/>
    <w:rsid w:val="00494839"/>
    <w:rsid w:val="00494F71"/>
    <w:rsid w:val="004959F8"/>
    <w:rsid w:val="00495D77"/>
    <w:rsid w:val="0049660B"/>
    <w:rsid w:val="00497A1D"/>
    <w:rsid w:val="004A0621"/>
    <w:rsid w:val="004A24EA"/>
    <w:rsid w:val="004A267D"/>
    <w:rsid w:val="004A278C"/>
    <w:rsid w:val="004A29A5"/>
    <w:rsid w:val="004A2B18"/>
    <w:rsid w:val="004A34D2"/>
    <w:rsid w:val="004A512D"/>
    <w:rsid w:val="004A611F"/>
    <w:rsid w:val="004A6646"/>
    <w:rsid w:val="004B0D78"/>
    <w:rsid w:val="004B1158"/>
    <w:rsid w:val="004B1821"/>
    <w:rsid w:val="004B284E"/>
    <w:rsid w:val="004B3D99"/>
    <w:rsid w:val="004B445E"/>
    <w:rsid w:val="004B5235"/>
    <w:rsid w:val="004B5922"/>
    <w:rsid w:val="004B5C3C"/>
    <w:rsid w:val="004B6246"/>
    <w:rsid w:val="004B645B"/>
    <w:rsid w:val="004B794D"/>
    <w:rsid w:val="004B7B59"/>
    <w:rsid w:val="004B7D75"/>
    <w:rsid w:val="004C0279"/>
    <w:rsid w:val="004C0932"/>
    <w:rsid w:val="004C3EDA"/>
    <w:rsid w:val="004C69A1"/>
    <w:rsid w:val="004C6C72"/>
    <w:rsid w:val="004D0CB0"/>
    <w:rsid w:val="004D11C2"/>
    <w:rsid w:val="004D3CCE"/>
    <w:rsid w:val="004D4C8F"/>
    <w:rsid w:val="004D5609"/>
    <w:rsid w:val="004D6093"/>
    <w:rsid w:val="004D661A"/>
    <w:rsid w:val="004D718B"/>
    <w:rsid w:val="004D7560"/>
    <w:rsid w:val="004D7EC4"/>
    <w:rsid w:val="004E16E5"/>
    <w:rsid w:val="004E4D0D"/>
    <w:rsid w:val="004E4E22"/>
    <w:rsid w:val="004E7149"/>
    <w:rsid w:val="004E750B"/>
    <w:rsid w:val="004F0AF3"/>
    <w:rsid w:val="004F1B23"/>
    <w:rsid w:val="004F2496"/>
    <w:rsid w:val="004F2B1A"/>
    <w:rsid w:val="004F3091"/>
    <w:rsid w:val="004F4E70"/>
    <w:rsid w:val="004F58AE"/>
    <w:rsid w:val="004F5C0B"/>
    <w:rsid w:val="004F74A2"/>
    <w:rsid w:val="004F7895"/>
    <w:rsid w:val="00500D12"/>
    <w:rsid w:val="00501C7C"/>
    <w:rsid w:val="005024CA"/>
    <w:rsid w:val="00502628"/>
    <w:rsid w:val="005029F5"/>
    <w:rsid w:val="00502D15"/>
    <w:rsid w:val="005037D6"/>
    <w:rsid w:val="00504448"/>
    <w:rsid w:val="00507356"/>
    <w:rsid w:val="005079BF"/>
    <w:rsid w:val="0051074C"/>
    <w:rsid w:val="00512B03"/>
    <w:rsid w:val="00513AF2"/>
    <w:rsid w:val="0051777B"/>
    <w:rsid w:val="00517808"/>
    <w:rsid w:val="00520772"/>
    <w:rsid w:val="00520794"/>
    <w:rsid w:val="005212E3"/>
    <w:rsid w:val="00521AC4"/>
    <w:rsid w:val="0052435B"/>
    <w:rsid w:val="00525274"/>
    <w:rsid w:val="00525289"/>
    <w:rsid w:val="00526515"/>
    <w:rsid w:val="005274EA"/>
    <w:rsid w:val="00527802"/>
    <w:rsid w:val="00527C35"/>
    <w:rsid w:val="00530BAB"/>
    <w:rsid w:val="005311CA"/>
    <w:rsid w:val="005313B9"/>
    <w:rsid w:val="00531C8E"/>
    <w:rsid w:val="00533D29"/>
    <w:rsid w:val="00534450"/>
    <w:rsid w:val="00535A98"/>
    <w:rsid w:val="00535C77"/>
    <w:rsid w:val="005360FB"/>
    <w:rsid w:val="0054061C"/>
    <w:rsid w:val="00540BDD"/>
    <w:rsid w:val="005414AC"/>
    <w:rsid w:val="00542C19"/>
    <w:rsid w:val="00543102"/>
    <w:rsid w:val="0054413A"/>
    <w:rsid w:val="00544B92"/>
    <w:rsid w:val="0054651C"/>
    <w:rsid w:val="00547F13"/>
    <w:rsid w:val="00550C02"/>
    <w:rsid w:val="00551312"/>
    <w:rsid w:val="00552067"/>
    <w:rsid w:val="00552876"/>
    <w:rsid w:val="00553B5D"/>
    <w:rsid w:val="005542DB"/>
    <w:rsid w:val="005544D0"/>
    <w:rsid w:val="0055487B"/>
    <w:rsid w:val="00555055"/>
    <w:rsid w:val="005550A3"/>
    <w:rsid w:val="005564CA"/>
    <w:rsid w:val="00557CE1"/>
    <w:rsid w:val="00560A4E"/>
    <w:rsid w:val="00562490"/>
    <w:rsid w:val="005657A2"/>
    <w:rsid w:val="00565C7E"/>
    <w:rsid w:val="00566225"/>
    <w:rsid w:val="00566E6A"/>
    <w:rsid w:val="00567C30"/>
    <w:rsid w:val="005705F7"/>
    <w:rsid w:val="0057076F"/>
    <w:rsid w:val="005707D8"/>
    <w:rsid w:val="005725DF"/>
    <w:rsid w:val="005731D0"/>
    <w:rsid w:val="0057359F"/>
    <w:rsid w:val="00575217"/>
    <w:rsid w:val="00575B3D"/>
    <w:rsid w:val="00576724"/>
    <w:rsid w:val="00576733"/>
    <w:rsid w:val="00577071"/>
    <w:rsid w:val="00577574"/>
    <w:rsid w:val="00581AF6"/>
    <w:rsid w:val="00581EBC"/>
    <w:rsid w:val="00584B57"/>
    <w:rsid w:val="00584D54"/>
    <w:rsid w:val="00585E95"/>
    <w:rsid w:val="0058647D"/>
    <w:rsid w:val="00586679"/>
    <w:rsid w:val="005870DF"/>
    <w:rsid w:val="00587E9D"/>
    <w:rsid w:val="0059076C"/>
    <w:rsid w:val="00592D05"/>
    <w:rsid w:val="00593DB1"/>
    <w:rsid w:val="00593FE9"/>
    <w:rsid w:val="00597889"/>
    <w:rsid w:val="00597B42"/>
    <w:rsid w:val="00597B94"/>
    <w:rsid w:val="005A07BD"/>
    <w:rsid w:val="005A09E8"/>
    <w:rsid w:val="005A2022"/>
    <w:rsid w:val="005A2B7F"/>
    <w:rsid w:val="005A5DA1"/>
    <w:rsid w:val="005B01B5"/>
    <w:rsid w:val="005B26EB"/>
    <w:rsid w:val="005B338A"/>
    <w:rsid w:val="005B4444"/>
    <w:rsid w:val="005B50FB"/>
    <w:rsid w:val="005B61E8"/>
    <w:rsid w:val="005B64E3"/>
    <w:rsid w:val="005B74E2"/>
    <w:rsid w:val="005C10D6"/>
    <w:rsid w:val="005C19F3"/>
    <w:rsid w:val="005C280F"/>
    <w:rsid w:val="005C2A6C"/>
    <w:rsid w:val="005C4767"/>
    <w:rsid w:val="005C47CD"/>
    <w:rsid w:val="005C4D40"/>
    <w:rsid w:val="005C60EB"/>
    <w:rsid w:val="005C6619"/>
    <w:rsid w:val="005C66D8"/>
    <w:rsid w:val="005C6792"/>
    <w:rsid w:val="005C7BC1"/>
    <w:rsid w:val="005D1E83"/>
    <w:rsid w:val="005D2381"/>
    <w:rsid w:val="005D2A88"/>
    <w:rsid w:val="005D2D69"/>
    <w:rsid w:val="005D2E81"/>
    <w:rsid w:val="005D3C8F"/>
    <w:rsid w:val="005D47B2"/>
    <w:rsid w:val="005D53E3"/>
    <w:rsid w:val="005D6180"/>
    <w:rsid w:val="005D78E7"/>
    <w:rsid w:val="005E124C"/>
    <w:rsid w:val="005E1400"/>
    <w:rsid w:val="005E15AC"/>
    <w:rsid w:val="005E414D"/>
    <w:rsid w:val="005E74B0"/>
    <w:rsid w:val="005E7E46"/>
    <w:rsid w:val="005F0922"/>
    <w:rsid w:val="005F0A24"/>
    <w:rsid w:val="005F2058"/>
    <w:rsid w:val="005F2C66"/>
    <w:rsid w:val="005F51D1"/>
    <w:rsid w:val="005F5643"/>
    <w:rsid w:val="005F5F37"/>
    <w:rsid w:val="005F6540"/>
    <w:rsid w:val="005F735D"/>
    <w:rsid w:val="005F7503"/>
    <w:rsid w:val="00604CAE"/>
    <w:rsid w:val="00604F5A"/>
    <w:rsid w:val="006054F9"/>
    <w:rsid w:val="00605641"/>
    <w:rsid w:val="00606144"/>
    <w:rsid w:val="00607DC3"/>
    <w:rsid w:val="006103E8"/>
    <w:rsid w:val="00612107"/>
    <w:rsid w:val="00613798"/>
    <w:rsid w:val="006137DC"/>
    <w:rsid w:val="00614030"/>
    <w:rsid w:val="00614E0B"/>
    <w:rsid w:val="006160D2"/>
    <w:rsid w:val="00616FD5"/>
    <w:rsid w:val="00617149"/>
    <w:rsid w:val="00620BF2"/>
    <w:rsid w:val="00620FBE"/>
    <w:rsid w:val="006219B5"/>
    <w:rsid w:val="00623442"/>
    <w:rsid w:val="006241B0"/>
    <w:rsid w:val="00624F5C"/>
    <w:rsid w:val="00625B51"/>
    <w:rsid w:val="00626F1B"/>
    <w:rsid w:val="0063024C"/>
    <w:rsid w:val="00630415"/>
    <w:rsid w:val="006310DC"/>
    <w:rsid w:val="006313A5"/>
    <w:rsid w:val="006324F8"/>
    <w:rsid w:val="006326DB"/>
    <w:rsid w:val="00632865"/>
    <w:rsid w:val="00632A1A"/>
    <w:rsid w:val="00632E60"/>
    <w:rsid w:val="00633357"/>
    <w:rsid w:val="00634551"/>
    <w:rsid w:val="006359C0"/>
    <w:rsid w:val="00636DBA"/>
    <w:rsid w:val="006376C9"/>
    <w:rsid w:val="006406EA"/>
    <w:rsid w:val="00640DDA"/>
    <w:rsid w:val="00640E32"/>
    <w:rsid w:val="006420D0"/>
    <w:rsid w:val="006423F5"/>
    <w:rsid w:val="00642C89"/>
    <w:rsid w:val="00642EA9"/>
    <w:rsid w:val="006454C0"/>
    <w:rsid w:val="006461BD"/>
    <w:rsid w:val="006462AE"/>
    <w:rsid w:val="00646B5C"/>
    <w:rsid w:val="00647FE6"/>
    <w:rsid w:val="006500F1"/>
    <w:rsid w:val="00654420"/>
    <w:rsid w:val="00654A2F"/>
    <w:rsid w:val="00654A4D"/>
    <w:rsid w:val="00655371"/>
    <w:rsid w:val="00655762"/>
    <w:rsid w:val="00656BDD"/>
    <w:rsid w:val="00656FCA"/>
    <w:rsid w:val="0065703F"/>
    <w:rsid w:val="00660CC8"/>
    <w:rsid w:val="006616E6"/>
    <w:rsid w:val="00661917"/>
    <w:rsid w:val="00661EC2"/>
    <w:rsid w:val="00664B5C"/>
    <w:rsid w:val="006650DF"/>
    <w:rsid w:val="00665D69"/>
    <w:rsid w:val="006673CF"/>
    <w:rsid w:val="00667FF9"/>
    <w:rsid w:val="00671A48"/>
    <w:rsid w:val="00671E09"/>
    <w:rsid w:val="0067300D"/>
    <w:rsid w:val="00674E36"/>
    <w:rsid w:val="00675CDD"/>
    <w:rsid w:val="00675F48"/>
    <w:rsid w:val="00675FF8"/>
    <w:rsid w:val="006760DE"/>
    <w:rsid w:val="0067611C"/>
    <w:rsid w:val="006773B5"/>
    <w:rsid w:val="00680A59"/>
    <w:rsid w:val="006815A1"/>
    <w:rsid w:val="0068257A"/>
    <w:rsid w:val="00682BE9"/>
    <w:rsid w:val="00682E0D"/>
    <w:rsid w:val="00683856"/>
    <w:rsid w:val="00685162"/>
    <w:rsid w:val="00686AA5"/>
    <w:rsid w:val="00686E3A"/>
    <w:rsid w:val="00690B55"/>
    <w:rsid w:val="006913CA"/>
    <w:rsid w:val="00691DF1"/>
    <w:rsid w:val="006925DD"/>
    <w:rsid w:val="00694000"/>
    <w:rsid w:val="00696576"/>
    <w:rsid w:val="00697665"/>
    <w:rsid w:val="006977A6"/>
    <w:rsid w:val="006A22FE"/>
    <w:rsid w:val="006A25C9"/>
    <w:rsid w:val="006A3B75"/>
    <w:rsid w:val="006A5068"/>
    <w:rsid w:val="006A63E2"/>
    <w:rsid w:val="006A64CE"/>
    <w:rsid w:val="006A6B4A"/>
    <w:rsid w:val="006A7981"/>
    <w:rsid w:val="006A7FD0"/>
    <w:rsid w:val="006B0367"/>
    <w:rsid w:val="006B0790"/>
    <w:rsid w:val="006B0F95"/>
    <w:rsid w:val="006B2A4B"/>
    <w:rsid w:val="006B2A81"/>
    <w:rsid w:val="006B3A45"/>
    <w:rsid w:val="006B4DEC"/>
    <w:rsid w:val="006B58E4"/>
    <w:rsid w:val="006B5D02"/>
    <w:rsid w:val="006B74EF"/>
    <w:rsid w:val="006C01CD"/>
    <w:rsid w:val="006C04B6"/>
    <w:rsid w:val="006C1787"/>
    <w:rsid w:val="006C213F"/>
    <w:rsid w:val="006C2EDF"/>
    <w:rsid w:val="006C45E1"/>
    <w:rsid w:val="006C4C2C"/>
    <w:rsid w:val="006C4D46"/>
    <w:rsid w:val="006C6E69"/>
    <w:rsid w:val="006D1C63"/>
    <w:rsid w:val="006D23F0"/>
    <w:rsid w:val="006D464F"/>
    <w:rsid w:val="006D6A68"/>
    <w:rsid w:val="006D7687"/>
    <w:rsid w:val="006E0572"/>
    <w:rsid w:val="006E19F4"/>
    <w:rsid w:val="006E3D5D"/>
    <w:rsid w:val="006E51FC"/>
    <w:rsid w:val="006E5A14"/>
    <w:rsid w:val="006E5E5D"/>
    <w:rsid w:val="006E69B8"/>
    <w:rsid w:val="006E6EE9"/>
    <w:rsid w:val="006E71B6"/>
    <w:rsid w:val="006E73B1"/>
    <w:rsid w:val="006E74D7"/>
    <w:rsid w:val="006F13D6"/>
    <w:rsid w:val="006F339C"/>
    <w:rsid w:val="006F344A"/>
    <w:rsid w:val="006F3FD3"/>
    <w:rsid w:val="006F4D19"/>
    <w:rsid w:val="006F6AE7"/>
    <w:rsid w:val="007026A8"/>
    <w:rsid w:val="007031C5"/>
    <w:rsid w:val="00703690"/>
    <w:rsid w:val="00703DDF"/>
    <w:rsid w:val="00705025"/>
    <w:rsid w:val="0070528F"/>
    <w:rsid w:val="00705631"/>
    <w:rsid w:val="00705BB1"/>
    <w:rsid w:val="00714CC7"/>
    <w:rsid w:val="0071524A"/>
    <w:rsid w:val="007155E0"/>
    <w:rsid w:val="00716793"/>
    <w:rsid w:val="007171C0"/>
    <w:rsid w:val="007204C0"/>
    <w:rsid w:val="00720B31"/>
    <w:rsid w:val="007217EF"/>
    <w:rsid w:val="00725873"/>
    <w:rsid w:val="0072607C"/>
    <w:rsid w:val="007265C3"/>
    <w:rsid w:val="00726AEA"/>
    <w:rsid w:val="00730FCA"/>
    <w:rsid w:val="007318D8"/>
    <w:rsid w:val="0073240F"/>
    <w:rsid w:val="007330DE"/>
    <w:rsid w:val="0073340B"/>
    <w:rsid w:val="00734381"/>
    <w:rsid w:val="00734538"/>
    <w:rsid w:val="007349F3"/>
    <w:rsid w:val="0073550A"/>
    <w:rsid w:val="00736105"/>
    <w:rsid w:val="00736292"/>
    <w:rsid w:val="007369E4"/>
    <w:rsid w:val="007379DB"/>
    <w:rsid w:val="00737AD0"/>
    <w:rsid w:val="00741A48"/>
    <w:rsid w:val="0074262E"/>
    <w:rsid w:val="00742AFC"/>
    <w:rsid w:val="00742B02"/>
    <w:rsid w:val="00742DD2"/>
    <w:rsid w:val="0074527C"/>
    <w:rsid w:val="00745301"/>
    <w:rsid w:val="00745483"/>
    <w:rsid w:val="00746C26"/>
    <w:rsid w:val="00750749"/>
    <w:rsid w:val="0075277F"/>
    <w:rsid w:val="00752D13"/>
    <w:rsid w:val="0075345C"/>
    <w:rsid w:val="00754152"/>
    <w:rsid w:val="00754EC0"/>
    <w:rsid w:val="007560A8"/>
    <w:rsid w:val="0075647A"/>
    <w:rsid w:val="00756B6B"/>
    <w:rsid w:val="00757117"/>
    <w:rsid w:val="00760814"/>
    <w:rsid w:val="00760C7C"/>
    <w:rsid w:val="007616B7"/>
    <w:rsid w:val="00761773"/>
    <w:rsid w:val="00761D7C"/>
    <w:rsid w:val="007634AD"/>
    <w:rsid w:val="00763B06"/>
    <w:rsid w:val="00763DF0"/>
    <w:rsid w:val="00764D26"/>
    <w:rsid w:val="00766562"/>
    <w:rsid w:val="00766E5F"/>
    <w:rsid w:val="00770749"/>
    <w:rsid w:val="00770ADC"/>
    <w:rsid w:val="00771BA7"/>
    <w:rsid w:val="007732B5"/>
    <w:rsid w:val="00773EE9"/>
    <w:rsid w:val="00773EFA"/>
    <w:rsid w:val="007751AB"/>
    <w:rsid w:val="0077581F"/>
    <w:rsid w:val="00775C7C"/>
    <w:rsid w:val="00775F71"/>
    <w:rsid w:val="00777B18"/>
    <w:rsid w:val="00780F3A"/>
    <w:rsid w:val="0078122E"/>
    <w:rsid w:val="00781432"/>
    <w:rsid w:val="0078331C"/>
    <w:rsid w:val="0078538A"/>
    <w:rsid w:val="00786FA5"/>
    <w:rsid w:val="00790165"/>
    <w:rsid w:val="00792CCD"/>
    <w:rsid w:val="0079353A"/>
    <w:rsid w:val="00794D1B"/>
    <w:rsid w:val="00795B22"/>
    <w:rsid w:val="00795F60"/>
    <w:rsid w:val="007961F5"/>
    <w:rsid w:val="007A00AB"/>
    <w:rsid w:val="007A139C"/>
    <w:rsid w:val="007A1640"/>
    <w:rsid w:val="007A3087"/>
    <w:rsid w:val="007A3365"/>
    <w:rsid w:val="007A3575"/>
    <w:rsid w:val="007A36F7"/>
    <w:rsid w:val="007A3878"/>
    <w:rsid w:val="007A45E1"/>
    <w:rsid w:val="007A4F9B"/>
    <w:rsid w:val="007A5E4F"/>
    <w:rsid w:val="007A5E7B"/>
    <w:rsid w:val="007B0854"/>
    <w:rsid w:val="007B26EA"/>
    <w:rsid w:val="007B350C"/>
    <w:rsid w:val="007B5E4D"/>
    <w:rsid w:val="007C0482"/>
    <w:rsid w:val="007C07A7"/>
    <w:rsid w:val="007C10BD"/>
    <w:rsid w:val="007C2BF6"/>
    <w:rsid w:val="007C315B"/>
    <w:rsid w:val="007C4999"/>
    <w:rsid w:val="007C5B45"/>
    <w:rsid w:val="007C67B5"/>
    <w:rsid w:val="007C6D53"/>
    <w:rsid w:val="007C745C"/>
    <w:rsid w:val="007C7738"/>
    <w:rsid w:val="007D046A"/>
    <w:rsid w:val="007D0B92"/>
    <w:rsid w:val="007D1800"/>
    <w:rsid w:val="007D2598"/>
    <w:rsid w:val="007D28D9"/>
    <w:rsid w:val="007D4E2C"/>
    <w:rsid w:val="007E0012"/>
    <w:rsid w:val="007E07F7"/>
    <w:rsid w:val="007E13BA"/>
    <w:rsid w:val="007E15F0"/>
    <w:rsid w:val="007E5FE9"/>
    <w:rsid w:val="007E724B"/>
    <w:rsid w:val="007E78BE"/>
    <w:rsid w:val="007E7D01"/>
    <w:rsid w:val="007F037F"/>
    <w:rsid w:val="007F21B2"/>
    <w:rsid w:val="007F306F"/>
    <w:rsid w:val="007F3261"/>
    <w:rsid w:val="007F3788"/>
    <w:rsid w:val="007F40CD"/>
    <w:rsid w:val="007F5CD2"/>
    <w:rsid w:val="007F5F1E"/>
    <w:rsid w:val="007F6877"/>
    <w:rsid w:val="007F6E86"/>
    <w:rsid w:val="007F72CB"/>
    <w:rsid w:val="008005E1"/>
    <w:rsid w:val="008020B4"/>
    <w:rsid w:val="00802410"/>
    <w:rsid w:val="008029C5"/>
    <w:rsid w:val="00802E04"/>
    <w:rsid w:val="008031FA"/>
    <w:rsid w:val="00803C53"/>
    <w:rsid w:val="00804199"/>
    <w:rsid w:val="008053E8"/>
    <w:rsid w:val="00810BC2"/>
    <w:rsid w:val="00810F70"/>
    <w:rsid w:val="008112AE"/>
    <w:rsid w:val="008118F4"/>
    <w:rsid w:val="00812B27"/>
    <w:rsid w:val="00813D99"/>
    <w:rsid w:val="008150DF"/>
    <w:rsid w:val="00821721"/>
    <w:rsid w:val="0082268C"/>
    <w:rsid w:val="008233B7"/>
    <w:rsid w:val="00825211"/>
    <w:rsid w:val="0082781F"/>
    <w:rsid w:val="0083119B"/>
    <w:rsid w:val="00832222"/>
    <w:rsid w:val="00834E72"/>
    <w:rsid w:val="00835C8E"/>
    <w:rsid w:val="008369CD"/>
    <w:rsid w:val="00836AFD"/>
    <w:rsid w:val="00836C3A"/>
    <w:rsid w:val="00836EAB"/>
    <w:rsid w:val="00837248"/>
    <w:rsid w:val="00837349"/>
    <w:rsid w:val="00840D0A"/>
    <w:rsid w:val="00841B8A"/>
    <w:rsid w:val="008431EE"/>
    <w:rsid w:val="00844ECB"/>
    <w:rsid w:val="00845BC2"/>
    <w:rsid w:val="00845C82"/>
    <w:rsid w:val="008467C2"/>
    <w:rsid w:val="00846F03"/>
    <w:rsid w:val="008478AB"/>
    <w:rsid w:val="00847A9D"/>
    <w:rsid w:val="00847F78"/>
    <w:rsid w:val="0085092D"/>
    <w:rsid w:val="00852147"/>
    <w:rsid w:val="00854321"/>
    <w:rsid w:val="00854646"/>
    <w:rsid w:val="008546F7"/>
    <w:rsid w:val="00856133"/>
    <w:rsid w:val="00856268"/>
    <w:rsid w:val="008563D1"/>
    <w:rsid w:val="008601E8"/>
    <w:rsid w:val="00860B70"/>
    <w:rsid w:val="00863B12"/>
    <w:rsid w:val="00870D79"/>
    <w:rsid w:val="00874D84"/>
    <w:rsid w:val="00875A80"/>
    <w:rsid w:val="008765F0"/>
    <w:rsid w:val="00876A9D"/>
    <w:rsid w:val="00876F31"/>
    <w:rsid w:val="008774D5"/>
    <w:rsid w:val="0087751D"/>
    <w:rsid w:val="00877CD6"/>
    <w:rsid w:val="0088101C"/>
    <w:rsid w:val="0088206E"/>
    <w:rsid w:val="0088233B"/>
    <w:rsid w:val="008828E7"/>
    <w:rsid w:val="00883339"/>
    <w:rsid w:val="0088385C"/>
    <w:rsid w:val="00884C8B"/>
    <w:rsid w:val="0088563B"/>
    <w:rsid w:val="008856AE"/>
    <w:rsid w:val="0088659A"/>
    <w:rsid w:val="00886DDE"/>
    <w:rsid w:val="00891978"/>
    <w:rsid w:val="00892103"/>
    <w:rsid w:val="00893313"/>
    <w:rsid w:val="00893744"/>
    <w:rsid w:val="00893A01"/>
    <w:rsid w:val="00893FB7"/>
    <w:rsid w:val="00895A43"/>
    <w:rsid w:val="00896D09"/>
    <w:rsid w:val="008A1527"/>
    <w:rsid w:val="008A1750"/>
    <w:rsid w:val="008A1B06"/>
    <w:rsid w:val="008A2636"/>
    <w:rsid w:val="008A4B60"/>
    <w:rsid w:val="008B0322"/>
    <w:rsid w:val="008B0FF2"/>
    <w:rsid w:val="008B1E24"/>
    <w:rsid w:val="008B2021"/>
    <w:rsid w:val="008B2185"/>
    <w:rsid w:val="008B404F"/>
    <w:rsid w:val="008B4FA2"/>
    <w:rsid w:val="008B5AED"/>
    <w:rsid w:val="008B5F80"/>
    <w:rsid w:val="008B6437"/>
    <w:rsid w:val="008B7DB2"/>
    <w:rsid w:val="008C068A"/>
    <w:rsid w:val="008C0C45"/>
    <w:rsid w:val="008C36A1"/>
    <w:rsid w:val="008C3A55"/>
    <w:rsid w:val="008C4F9C"/>
    <w:rsid w:val="008C5AD5"/>
    <w:rsid w:val="008C7603"/>
    <w:rsid w:val="008C7B34"/>
    <w:rsid w:val="008D082E"/>
    <w:rsid w:val="008D0D41"/>
    <w:rsid w:val="008D218F"/>
    <w:rsid w:val="008D41C2"/>
    <w:rsid w:val="008D460E"/>
    <w:rsid w:val="008D4AE8"/>
    <w:rsid w:val="008D55EA"/>
    <w:rsid w:val="008D6B63"/>
    <w:rsid w:val="008D7FDF"/>
    <w:rsid w:val="008E07D2"/>
    <w:rsid w:val="008E12EE"/>
    <w:rsid w:val="008E1C15"/>
    <w:rsid w:val="008E2789"/>
    <w:rsid w:val="008E3D79"/>
    <w:rsid w:val="008E4385"/>
    <w:rsid w:val="008E58E3"/>
    <w:rsid w:val="008E6270"/>
    <w:rsid w:val="008E76C6"/>
    <w:rsid w:val="008E7E0C"/>
    <w:rsid w:val="008F1674"/>
    <w:rsid w:val="008F180C"/>
    <w:rsid w:val="008F2DDA"/>
    <w:rsid w:val="008F4F08"/>
    <w:rsid w:val="008F67B0"/>
    <w:rsid w:val="008F6974"/>
    <w:rsid w:val="00900C60"/>
    <w:rsid w:val="00900CC0"/>
    <w:rsid w:val="00901F74"/>
    <w:rsid w:val="00902980"/>
    <w:rsid w:val="00903913"/>
    <w:rsid w:val="00904433"/>
    <w:rsid w:val="009047C5"/>
    <w:rsid w:val="009049F3"/>
    <w:rsid w:val="00906117"/>
    <w:rsid w:val="0090662D"/>
    <w:rsid w:val="0090697A"/>
    <w:rsid w:val="00906DF7"/>
    <w:rsid w:val="009078BE"/>
    <w:rsid w:val="009118A9"/>
    <w:rsid w:val="00911AE7"/>
    <w:rsid w:val="00911B55"/>
    <w:rsid w:val="009128B6"/>
    <w:rsid w:val="00913856"/>
    <w:rsid w:val="00914791"/>
    <w:rsid w:val="00914BEA"/>
    <w:rsid w:val="00914CA9"/>
    <w:rsid w:val="0091733A"/>
    <w:rsid w:val="00917D09"/>
    <w:rsid w:val="00920089"/>
    <w:rsid w:val="009207A6"/>
    <w:rsid w:val="00921E06"/>
    <w:rsid w:val="00921E2E"/>
    <w:rsid w:val="00922B83"/>
    <w:rsid w:val="00924B30"/>
    <w:rsid w:val="00924EBF"/>
    <w:rsid w:val="0092615F"/>
    <w:rsid w:val="00927EAE"/>
    <w:rsid w:val="00930143"/>
    <w:rsid w:val="009303A2"/>
    <w:rsid w:val="00930864"/>
    <w:rsid w:val="00931EF5"/>
    <w:rsid w:val="009321E6"/>
    <w:rsid w:val="009329C1"/>
    <w:rsid w:val="0093326F"/>
    <w:rsid w:val="009333DD"/>
    <w:rsid w:val="009340E3"/>
    <w:rsid w:val="00934245"/>
    <w:rsid w:val="009343E2"/>
    <w:rsid w:val="009363DB"/>
    <w:rsid w:val="00940D6B"/>
    <w:rsid w:val="00943849"/>
    <w:rsid w:val="00943ED3"/>
    <w:rsid w:val="00943FE7"/>
    <w:rsid w:val="00945268"/>
    <w:rsid w:val="00945B7C"/>
    <w:rsid w:val="00947C29"/>
    <w:rsid w:val="00951797"/>
    <w:rsid w:val="0095285B"/>
    <w:rsid w:val="00952EDF"/>
    <w:rsid w:val="0095385A"/>
    <w:rsid w:val="0095483A"/>
    <w:rsid w:val="00956410"/>
    <w:rsid w:val="00957405"/>
    <w:rsid w:val="00961031"/>
    <w:rsid w:val="0096481E"/>
    <w:rsid w:val="0096486A"/>
    <w:rsid w:val="00964E9B"/>
    <w:rsid w:val="00965839"/>
    <w:rsid w:val="00966612"/>
    <w:rsid w:val="00966C75"/>
    <w:rsid w:val="0097005F"/>
    <w:rsid w:val="009743FB"/>
    <w:rsid w:val="00975738"/>
    <w:rsid w:val="00976237"/>
    <w:rsid w:val="009768F4"/>
    <w:rsid w:val="00977307"/>
    <w:rsid w:val="009777A2"/>
    <w:rsid w:val="009823A4"/>
    <w:rsid w:val="00982A87"/>
    <w:rsid w:val="00983F83"/>
    <w:rsid w:val="009840CC"/>
    <w:rsid w:val="00985247"/>
    <w:rsid w:val="00985F4D"/>
    <w:rsid w:val="009863F1"/>
    <w:rsid w:val="00986625"/>
    <w:rsid w:val="009866B5"/>
    <w:rsid w:val="00987DD3"/>
    <w:rsid w:val="00990A5A"/>
    <w:rsid w:val="009917E9"/>
    <w:rsid w:val="00993037"/>
    <w:rsid w:val="00993BBB"/>
    <w:rsid w:val="00994999"/>
    <w:rsid w:val="0099569A"/>
    <w:rsid w:val="009959B4"/>
    <w:rsid w:val="009969F2"/>
    <w:rsid w:val="009973A4"/>
    <w:rsid w:val="00997EA9"/>
    <w:rsid w:val="009A0F89"/>
    <w:rsid w:val="009A1B89"/>
    <w:rsid w:val="009A1C7B"/>
    <w:rsid w:val="009A1DB3"/>
    <w:rsid w:val="009A2E9B"/>
    <w:rsid w:val="009A36E4"/>
    <w:rsid w:val="009A374F"/>
    <w:rsid w:val="009A41FD"/>
    <w:rsid w:val="009A4877"/>
    <w:rsid w:val="009A4DDF"/>
    <w:rsid w:val="009A5FB7"/>
    <w:rsid w:val="009A65FE"/>
    <w:rsid w:val="009A69D9"/>
    <w:rsid w:val="009A7DDF"/>
    <w:rsid w:val="009B1002"/>
    <w:rsid w:val="009B223B"/>
    <w:rsid w:val="009B38BA"/>
    <w:rsid w:val="009B5479"/>
    <w:rsid w:val="009B5A2D"/>
    <w:rsid w:val="009B7BFB"/>
    <w:rsid w:val="009B7D69"/>
    <w:rsid w:val="009C1B12"/>
    <w:rsid w:val="009C1F9A"/>
    <w:rsid w:val="009C5436"/>
    <w:rsid w:val="009C5B56"/>
    <w:rsid w:val="009C68C5"/>
    <w:rsid w:val="009C758C"/>
    <w:rsid w:val="009C7CFD"/>
    <w:rsid w:val="009D169F"/>
    <w:rsid w:val="009D17E4"/>
    <w:rsid w:val="009D1CC6"/>
    <w:rsid w:val="009D2970"/>
    <w:rsid w:val="009D34F9"/>
    <w:rsid w:val="009D4284"/>
    <w:rsid w:val="009D4A95"/>
    <w:rsid w:val="009D51AB"/>
    <w:rsid w:val="009D52AA"/>
    <w:rsid w:val="009D5694"/>
    <w:rsid w:val="009D65AE"/>
    <w:rsid w:val="009D71D6"/>
    <w:rsid w:val="009D72B1"/>
    <w:rsid w:val="009D75FC"/>
    <w:rsid w:val="009D768B"/>
    <w:rsid w:val="009D7F49"/>
    <w:rsid w:val="009E134A"/>
    <w:rsid w:val="009E168D"/>
    <w:rsid w:val="009E1CD7"/>
    <w:rsid w:val="009E2F26"/>
    <w:rsid w:val="009E3931"/>
    <w:rsid w:val="009E5044"/>
    <w:rsid w:val="009E58DB"/>
    <w:rsid w:val="009E5CA8"/>
    <w:rsid w:val="009F3049"/>
    <w:rsid w:val="009F387C"/>
    <w:rsid w:val="009F4555"/>
    <w:rsid w:val="009F4F5C"/>
    <w:rsid w:val="009F57A1"/>
    <w:rsid w:val="009F7878"/>
    <w:rsid w:val="00A00480"/>
    <w:rsid w:val="00A009C1"/>
    <w:rsid w:val="00A018CF"/>
    <w:rsid w:val="00A026C3"/>
    <w:rsid w:val="00A0366E"/>
    <w:rsid w:val="00A037EA"/>
    <w:rsid w:val="00A03FFA"/>
    <w:rsid w:val="00A04EE6"/>
    <w:rsid w:val="00A064D1"/>
    <w:rsid w:val="00A0747C"/>
    <w:rsid w:val="00A131D8"/>
    <w:rsid w:val="00A134BC"/>
    <w:rsid w:val="00A14ED6"/>
    <w:rsid w:val="00A14FEA"/>
    <w:rsid w:val="00A15652"/>
    <w:rsid w:val="00A15E6A"/>
    <w:rsid w:val="00A169F8"/>
    <w:rsid w:val="00A17D5A"/>
    <w:rsid w:val="00A20899"/>
    <w:rsid w:val="00A23397"/>
    <w:rsid w:val="00A24560"/>
    <w:rsid w:val="00A252F8"/>
    <w:rsid w:val="00A25924"/>
    <w:rsid w:val="00A25E18"/>
    <w:rsid w:val="00A27C8F"/>
    <w:rsid w:val="00A27D96"/>
    <w:rsid w:val="00A3135A"/>
    <w:rsid w:val="00A31FAF"/>
    <w:rsid w:val="00A3305E"/>
    <w:rsid w:val="00A3307D"/>
    <w:rsid w:val="00A33107"/>
    <w:rsid w:val="00A34538"/>
    <w:rsid w:val="00A35DB0"/>
    <w:rsid w:val="00A366C0"/>
    <w:rsid w:val="00A37325"/>
    <w:rsid w:val="00A377BA"/>
    <w:rsid w:val="00A4284F"/>
    <w:rsid w:val="00A44ADA"/>
    <w:rsid w:val="00A457BC"/>
    <w:rsid w:val="00A46B58"/>
    <w:rsid w:val="00A502C3"/>
    <w:rsid w:val="00A55589"/>
    <w:rsid w:val="00A55593"/>
    <w:rsid w:val="00A568E5"/>
    <w:rsid w:val="00A6031B"/>
    <w:rsid w:val="00A60F23"/>
    <w:rsid w:val="00A6135D"/>
    <w:rsid w:val="00A61BAB"/>
    <w:rsid w:val="00A62175"/>
    <w:rsid w:val="00A62480"/>
    <w:rsid w:val="00A63214"/>
    <w:rsid w:val="00A63550"/>
    <w:rsid w:val="00A637F0"/>
    <w:rsid w:val="00A64A3E"/>
    <w:rsid w:val="00A64D34"/>
    <w:rsid w:val="00A66B56"/>
    <w:rsid w:val="00A66CB6"/>
    <w:rsid w:val="00A67701"/>
    <w:rsid w:val="00A70D3C"/>
    <w:rsid w:val="00A7259A"/>
    <w:rsid w:val="00A7306C"/>
    <w:rsid w:val="00A74421"/>
    <w:rsid w:val="00A7602D"/>
    <w:rsid w:val="00A8002B"/>
    <w:rsid w:val="00A80531"/>
    <w:rsid w:val="00A80657"/>
    <w:rsid w:val="00A80A35"/>
    <w:rsid w:val="00A8155D"/>
    <w:rsid w:val="00A81A2A"/>
    <w:rsid w:val="00A82798"/>
    <w:rsid w:val="00A832AC"/>
    <w:rsid w:val="00A83FAF"/>
    <w:rsid w:val="00A846F0"/>
    <w:rsid w:val="00A872E4"/>
    <w:rsid w:val="00A90376"/>
    <w:rsid w:val="00A911F3"/>
    <w:rsid w:val="00A92F8F"/>
    <w:rsid w:val="00A94854"/>
    <w:rsid w:val="00A963E6"/>
    <w:rsid w:val="00A965EF"/>
    <w:rsid w:val="00A97BA9"/>
    <w:rsid w:val="00AA0108"/>
    <w:rsid w:val="00AA2FA4"/>
    <w:rsid w:val="00AA3E33"/>
    <w:rsid w:val="00AA442B"/>
    <w:rsid w:val="00AA5DE7"/>
    <w:rsid w:val="00AA6029"/>
    <w:rsid w:val="00AA611E"/>
    <w:rsid w:val="00AA6445"/>
    <w:rsid w:val="00AA707A"/>
    <w:rsid w:val="00AB019E"/>
    <w:rsid w:val="00AB0ADB"/>
    <w:rsid w:val="00AB0CF9"/>
    <w:rsid w:val="00AB22AC"/>
    <w:rsid w:val="00AB3940"/>
    <w:rsid w:val="00AB519E"/>
    <w:rsid w:val="00AB71ED"/>
    <w:rsid w:val="00AC284A"/>
    <w:rsid w:val="00AC2F83"/>
    <w:rsid w:val="00AC4A88"/>
    <w:rsid w:val="00AC604E"/>
    <w:rsid w:val="00AC7AF0"/>
    <w:rsid w:val="00AD0301"/>
    <w:rsid w:val="00AD1BC5"/>
    <w:rsid w:val="00AD2F6D"/>
    <w:rsid w:val="00AD44F4"/>
    <w:rsid w:val="00AD4D7E"/>
    <w:rsid w:val="00AD5641"/>
    <w:rsid w:val="00AD7377"/>
    <w:rsid w:val="00AD73B1"/>
    <w:rsid w:val="00AD7629"/>
    <w:rsid w:val="00AD7A70"/>
    <w:rsid w:val="00AE1416"/>
    <w:rsid w:val="00AE2836"/>
    <w:rsid w:val="00AE496A"/>
    <w:rsid w:val="00AE736B"/>
    <w:rsid w:val="00AE7CA2"/>
    <w:rsid w:val="00AE7EA8"/>
    <w:rsid w:val="00AF0146"/>
    <w:rsid w:val="00AF04A6"/>
    <w:rsid w:val="00AF080A"/>
    <w:rsid w:val="00AF13C5"/>
    <w:rsid w:val="00AF1ECB"/>
    <w:rsid w:val="00AF2865"/>
    <w:rsid w:val="00AF379D"/>
    <w:rsid w:val="00AF3B59"/>
    <w:rsid w:val="00AF3C31"/>
    <w:rsid w:val="00AF5311"/>
    <w:rsid w:val="00AF6C24"/>
    <w:rsid w:val="00B009B4"/>
    <w:rsid w:val="00B018FE"/>
    <w:rsid w:val="00B02308"/>
    <w:rsid w:val="00B031B3"/>
    <w:rsid w:val="00B03B42"/>
    <w:rsid w:val="00B050FF"/>
    <w:rsid w:val="00B061F8"/>
    <w:rsid w:val="00B07589"/>
    <w:rsid w:val="00B10040"/>
    <w:rsid w:val="00B105C8"/>
    <w:rsid w:val="00B113BF"/>
    <w:rsid w:val="00B12934"/>
    <w:rsid w:val="00B13131"/>
    <w:rsid w:val="00B1340D"/>
    <w:rsid w:val="00B13824"/>
    <w:rsid w:val="00B13A80"/>
    <w:rsid w:val="00B14412"/>
    <w:rsid w:val="00B14514"/>
    <w:rsid w:val="00B1474F"/>
    <w:rsid w:val="00B14DB7"/>
    <w:rsid w:val="00B16811"/>
    <w:rsid w:val="00B16D71"/>
    <w:rsid w:val="00B218B7"/>
    <w:rsid w:val="00B21C77"/>
    <w:rsid w:val="00B22E22"/>
    <w:rsid w:val="00B2375A"/>
    <w:rsid w:val="00B246F2"/>
    <w:rsid w:val="00B251F5"/>
    <w:rsid w:val="00B254BA"/>
    <w:rsid w:val="00B26B41"/>
    <w:rsid w:val="00B27137"/>
    <w:rsid w:val="00B30B07"/>
    <w:rsid w:val="00B34319"/>
    <w:rsid w:val="00B34CA4"/>
    <w:rsid w:val="00B35A49"/>
    <w:rsid w:val="00B36042"/>
    <w:rsid w:val="00B375CA"/>
    <w:rsid w:val="00B37680"/>
    <w:rsid w:val="00B40151"/>
    <w:rsid w:val="00B417C9"/>
    <w:rsid w:val="00B42A23"/>
    <w:rsid w:val="00B42F19"/>
    <w:rsid w:val="00B442BB"/>
    <w:rsid w:val="00B448AF"/>
    <w:rsid w:val="00B45B98"/>
    <w:rsid w:val="00B473D1"/>
    <w:rsid w:val="00B50B3D"/>
    <w:rsid w:val="00B525CB"/>
    <w:rsid w:val="00B529BB"/>
    <w:rsid w:val="00B57141"/>
    <w:rsid w:val="00B5723A"/>
    <w:rsid w:val="00B615BB"/>
    <w:rsid w:val="00B61EAF"/>
    <w:rsid w:val="00B626EC"/>
    <w:rsid w:val="00B628C8"/>
    <w:rsid w:val="00B63CB2"/>
    <w:rsid w:val="00B63F2F"/>
    <w:rsid w:val="00B64914"/>
    <w:rsid w:val="00B67830"/>
    <w:rsid w:val="00B71EA5"/>
    <w:rsid w:val="00B72188"/>
    <w:rsid w:val="00B734AF"/>
    <w:rsid w:val="00B73E50"/>
    <w:rsid w:val="00B7415E"/>
    <w:rsid w:val="00B7625C"/>
    <w:rsid w:val="00B76689"/>
    <w:rsid w:val="00B76CDB"/>
    <w:rsid w:val="00B80A0C"/>
    <w:rsid w:val="00B81B4F"/>
    <w:rsid w:val="00B83689"/>
    <w:rsid w:val="00B83959"/>
    <w:rsid w:val="00B83E31"/>
    <w:rsid w:val="00B85CB0"/>
    <w:rsid w:val="00B86742"/>
    <w:rsid w:val="00B86E19"/>
    <w:rsid w:val="00B87B3E"/>
    <w:rsid w:val="00B9214A"/>
    <w:rsid w:val="00B9228C"/>
    <w:rsid w:val="00B924AA"/>
    <w:rsid w:val="00B930A2"/>
    <w:rsid w:val="00B93C15"/>
    <w:rsid w:val="00B93EB4"/>
    <w:rsid w:val="00B94453"/>
    <w:rsid w:val="00B955E0"/>
    <w:rsid w:val="00B96EEB"/>
    <w:rsid w:val="00B9707F"/>
    <w:rsid w:val="00B972C9"/>
    <w:rsid w:val="00BA2A4A"/>
    <w:rsid w:val="00BA2D3A"/>
    <w:rsid w:val="00BA5331"/>
    <w:rsid w:val="00BA7CC0"/>
    <w:rsid w:val="00BA7E88"/>
    <w:rsid w:val="00BB094C"/>
    <w:rsid w:val="00BB20AF"/>
    <w:rsid w:val="00BB2F0B"/>
    <w:rsid w:val="00BB343D"/>
    <w:rsid w:val="00BB3E15"/>
    <w:rsid w:val="00BB4442"/>
    <w:rsid w:val="00BB52CB"/>
    <w:rsid w:val="00BB6594"/>
    <w:rsid w:val="00BB6E3C"/>
    <w:rsid w:val="00BC00B1"/>
    <w:rsid w:val="00BC108D"/>
    <w:rsid w:val="00BC2E1A"/>
    <w:rsid w:val="00BC3CF6"/>
    <w:rsid w:val="00BC4624"/>
    <w:rsid w:val="00BC4A98"/>
    <w:rsid w:val="00BC5927"/>
    <w:rsid w:val="00BC794D"/>
    <w:rsid w:val="00BD006D"/>
    <w:rsid w:val="00BD115B"/>
    <w:rsid w:val="00BD1CED"/>
    <w:rsid w:val="00BD28D5"/>
    <w:rsid w:val="00BD78FE"/>
    <w:rsid w:val="00BE020D"/>
    <w:rsid w:val="00BE051B"/>
    <w:rsid w:val="00BE15CF"/>
    <w:rsid w:val="00BE2414"/>
    <w:rsid w:val="00BE30AE"/>
    <w:rsid w:val="00BE627D"/>
    <w:rsid w:val="00BF0AE6"/>
    <w:rsid w:val="00BF1286"/>
    <w:rsid w:val="00BF1C20"/>
    <w:rsid w:val="00BF1F2C"/>
    <w:rsid w:val="00BF3F8D"/>
    <w:rsid w:val="00BF5F64"/>
    <w:rsid w:val="00BF616F"/>
    <w:rsid w:val="00C00B13"/>
    <w:rsid w:val="00C00EE1"/>
    <w:rsid w:val="00C012A8"/>
    <w:rsid w:val="00C0384D"/>
    <w:rsid w:val="00C03C90"/>
    <w:rsid w:val="00C04442"/>
    <w:rsid w:val="00C0528D"/>
    <w:rsid w:val="00C1022B"/>
    <w:rsid w:val="00C10447"/>
    <w:rsid w:val="00C1187E"/>
    <w:rsid w:val="00C142C8"/>
    <w:rsid w:val="00C1580A"/>
    <w:rsid w:val="00C15D32"/>
    <w:rsid w:val="00C166F7"/>
    <w:rsid w:val="00C205DB"/>
    <w:rsid w:val="00C2159E"/>
    <w:rsid w:val="00C216A9"/>
    <w:rsid w:val="00C21D03"/>
    <w:rsid w:val="00C23007"/>
    <w:rsid w:val="00C235E4"/>
    <w:rsid w:val="00C24E53"/>
    <w:rsid w:val="00C253B9"/>
    <w:rsid w:val="00C25B27"/>
    <w:rsid w:val="00C309EC"/>
    <w:rsid w:val="00C3265D"/>
    <w:rsid w:val="00C32FA6"/>
    <w:rsid w:val="00C32FA9"/>
    <w:rsid w:val="00C3420D"/>
    <w:rsid w:val="00C34CD8"/>
    <w:rsid w:val="00C34E5D"/>
    <w:rsid w:val="00C3799C"/>
    <w:rsid w:val="00C41CC9"/>
    <w:rsid w:val="00C44B05"/>
    <w:rsid w:val="00C45264"/>
    <w:rsid w:val="00C46F19"/>
    <w:rsid w:val="00C518B8"/>
    <w:rsid w:val="00C51ED4"/>
    <w:rsid w:val="00C53893"/>
    <w:rsid w:val="00C539EC"/>
    <w:rsid w:val="00C53B49"/>
    <w:rsid w:val="00C55CE9"/>
    <w:rsid w:val="00C57F52"/>
    <w:rsid w:val="00C60A6C"/>
    <w:rsid w:val="00C61FA4"/>
    <w:rsid w:val="00C6215B"/>
    <w:rsid w:val="00C62DB7"/>
    <w:rsid w:val="00C63E6D"/>
    <w:rsid w:val="00C64037"/>
    <w:rsid w:val="00C6470F"/>
    <w:rsid w:val="00C64854"/>
    <w:rsid w:val="00C660E1"/>
    <w:rsid w:val="00C66325"/>
    <w:rsid w:val="00C6742E"/>
    <w:rsid w:val="00C6749A"/>
    <w:rsid w:val="00C676B2"/>
    <w:rsid w:val="00C70828"/>
    <w:rsid w:val="00C70B6F"/>
    <w:rsid w:val="00C743E9"/>
    <w:rsid w:val="00C75310"/>
    <w:rsid w:val="00C75CF1"/>
    <w:rsid w:val="00C76B72"/>
    <w:rsid w:val="00C84725"/>
    <w:rsid w:val="00C90033"/>
    <w:rsid w:val="00C9033A"/>
    <w:rsid w:val="00C92472"/>
    <w:rsid w:val="00C92C93"/>
    <w:rsid w:val="00C93D81"/>
    <w:rsid w:val="00CA3AC3"/>
    <w:rsid w:val="00CA474A"/>
    <w:rsid w:val="00CA4A61"/>
    <w:rsid w:val="00CA4E1C"/>
    <w:rsid w:val="00CA6A4C"/>
    <w:rsid w:val="00CA6D91"/>
    <w:rsid w:val="00CB0646"/>
    <w:rsid w:val="00CB27C9"/>
    <w:rsid w:val="00CB2848"/>
    <w:rsid w:val="00CB4647"/>
    <w:rsid w:val="00CB48B2"/>
    <w:rsid w:val="00CB4F58"/>
    <w:rsid w:val="00CB5153"/>
    <w:rsid w:val="00CC00CD"/>
    <w:rsid w:val="00CC0970"/>
    <w:rsid w:val="00CC1E8F"/>
    <w:rsid w:val="00CC2908"/>
    <w:rsid w:val="00CC5461"/>
    <w:rsid w:val="00CC5490"/>
    <w:rsid w:val="00CC5C83"/>
    <w:rsid w:val="00CC6744"/>
    <w:rsid w:val="00CC704B"/>
    <w:rsid w:val="00CD0EFB"/>
    <w:rsid w:val="00CD1D8A"/>
    <w:rsid w:val="00CD2181"/>
    <w:rsid w:val="00CD2FA0"/>
    <w:rsid w:val="00CD3CC5"/>
    <w:rsid w:val="00CD3CF6"/>
    <w:rsid w:val="00CD56AA"/>
    <w:rsid w:val="00CD66DC"/>
    <w:rsid w:val="00CD6F47"/>
    <w:rsid w:val="00CD76F0"/>
    <w:rsid w:val="00CD7776"/>
    <w:rsid w:val="00CE1E9A"/>
    <w:rsid w:val="00CE49F8"/>
    <w:rsid w:val="00CE65B0"/>
    <w:rsid w:val="00CE68C6"/>
    <w:rsid w:val="00CE6C89"/>
    <w:rsid w:val="00CE762D"/>
    <w:rsid w:val="00CF29EA"/>
    <w:rsid w:val="00CF2ABC"/>
    <w:rsid w:val="00CF40C0"/>
    <w:rsid w:val="00CF478D"/>
    <w:rsid w:val="00CF6D74"/>
    <w:rsid w:val="00D0147E"/>
    <w:rsid w:val="00D035F8"/>
    <w:rsid w:val="00D0504D"/>
    <w:rsid w:val="00D05420"/>
    <w:rsid w:val="00D06915"/>
    <w:rsid w:val="00D06ADE"/>
    <w:rsid w:val="00D140FE"/>
    <w:rsid w:val="00D1574C"/>
    <w:rsid w:val="00D15B6E"/>
    <w:rsid w:val="00D16312"/>
    <w:rsid w:val="00D16E39"/>
    <w:rsid w:val="00D2246B"/>
    <w:rsid w:val="00D234DF"/>
    <w:rsid w:val="00D2457C"/>
    <w:rsid w:val="00D246C2"/>
    <w:rsid w:val="00D25ED7"/>
    <w:rsid w:val="00D27700"/>
    <w:rsid w:val="00D27E00"/>
    <w:rsid w:val="00D305BD"/>
    <w:rsid w:val="00D30743"/>
    <w:rsid w:val="00D32D01"/>
    <w:rsid w:val="00D32E17"/>
    <w:rsid w:val="00D32EBE"/>
    <w:rsid w:val="00D33532"/>
    <w:rsid w:val="00D345B5"/>
    <w:rsid w:val="00D34731"/>
    <w:rsid w:val="00D352E9"/>
    <w:rsid w:val="00D3720F"/>
    <w:rsid w:val="00D40D8E"/>
    <w:rsid w:val="00D40FAB"/>
    <w:rsid w:val="00D41158"/>
    <w:rsid w:val="00D41D66"/>
    <w:rsid w:val="00D4348E"/>
    <w:rsid w:val="00D445D7"/>
    <w:rsid w:val="00D44FB5"/>
    <w:rsid w:val="00D4574F"/>
    <w:rsid w:val="00D4699F"/>
    <w:rsid w:val="00D50075"/>
    <w:rsid w:val="00D51603"/>
    <w:rsid w:val="00D516A4"/>
    <w:rsid w:val="00D52820"/>
    <w:rsid w:val="00D52B6D"/>
    <w:rsid w:val="00D52CE7"/>
    <w:rsid w:val="00D5365B"/>
    <w:rsid w:val="00D54877"/>
    <w:rsid w:val="00D55237"/>
    <w:rsid w:val="00D553D7"/>
    <w:rsid w:val="00D567A9"/>
    <w:rsid w:val="00D56991"/>
    <w:rsid w:val="00D57BCB"/>
    <w:rsid w:val="00D6034C"/>
    <w:rsid w:val="00D6361B"/>
    <w:rsid w:val="00D64A4A"/>
    <w:rsid w:val="00D65DDA"/>
    <w:rsid w:val="00D66E09"/>
    <w:rsid w:val="00D709EF"/>
    <w:rsid w:val="00D72E9D"/>
    <w:rsid w:val="00D73430"/>
    <w:rsid w:val="00D73788"/>
    <w:rsid w:val="00D747D7"/>
    <w:rsid w:val="00D74C23"/>
    <w:rsid w:val="00D74C57"/>
    <w:rsid w:val="00D77187"/>
    <w:rsid w:val="00D829A8"/>
    <w:rsid w:val="00D82CE5"/>
    <w:rsid w:val="00D8507B"/>
    <w:rsid w:val="00D855EC"/>
    <w:rsid w:val="00D85B4F"/>
    <w:rsid w:val="00D914DA"/>
    <w:rsid w:val="00D91B83"/>
    <w:rsid w:val="00D91DB7"/>
    <w:rsid w:val="00D9271F"/>
    <w:rsid w:val="00D936D0"/>
    <w:rsid w:val="00D93E4B"/>
    <w:rsid w:val="00D9433E"/>
    <w:rsid w:val="00D94DAE"/>
    <w:rsid w:val="00D95624"/>
    <w:rsid w:val="00D9567D"/>
    <w:rsid w:val="00D960B1"/>
    <w:rsid w:val="00D97469"/>
    <w:rsid w:val="00D97B68"/>
    <w:rsid w:val="00DA0439"/>
    <w:rsid w:val="00DA0775"/>
    <w:rsid w:val="00DA311A"/>
    <w:rsid w:val="00DA56E5"/>
    <w:rsid w:val="00DA5AB1"/>
    <w:rsid w:val="00DA6FB5"/>
    <w:rsid w:val="00DA7425"/>
    <w:rsid w:val="00DB11B2"/>
    <w:rsid w:val="00DB1204"/>
    <w:rsid w:val="00DB364E"/>
    <w:rsid w:val="00DB3B65"/>
    <w:rsid w:val="00DB5599"/>
    <w:rsid w:val="00DB5918"/>
    <w:rsid w:val="00DB6907"/>
    <w:rsid w:val="00DB710D"/>
    <w:rsid w:val="00DC04FB"/>
    <w:rsid w:val="00DC08E1"/>
    <w:rsid w:val="00DC1AB6"/>
    <w:rsid w:val="00DC36CE"/>
    <w:rsid w:val="00DC3CF1"/>
    <w:rsid w:val="00DC3EF6"/>
    <w:rsid w:val="00DC53D7"/>
    <w:rsid w:val="00DC5DE5"/>
    <w:rsid w:val="00DC6019"/>
    <w:rsid w:val="00DC62E5"/>
    <w:rsid w:val="00DC66A3"/>
    <w:rsid w:val="00DD002F"/>
    <w:rsid w:val="00DD3943"/>
    <w:rsid w:val="00DD514A"/>
    <w:rsid w:val="00DD5FCE"/>
    <w:rsid w:val="00DD6C91"/>
    <w:rsid w:val="00DD72AD"/>
    <w:rsid w:val="00DD735D"/>
    <w:rsid w:val="00DE057F"/>
    <w:rsid w:val="00DE100A"/>
    <w:rsid w:val="00DE1A24"/>
    <w:rsid w:val="00DE3119"/>
    <w:rsid w:val="00DE3771"/>
    <w:rsid w:val="00DE3E97"/>
    <w:rsid w:val="00DE4242"/>
    <w:rsid w:val="00DE53B3"/>
    <w:rsid w:val="00DE540F"/>
    <w:rsid w:val="00DE63CA"/>
    <w:rsid w:val="00DE6469"/>
    <w:rsid w:val="00DE74A6"/>
    <w:rsid w:val="00DF09A8"/>
    <w:rsid w:val="00DF107A"/>
    <w:rsid w:val="00DF167C"/>
    <w:rsid w:val="00DF198C"/>
    <w:rsid w:val="00DF236B"/>
    <w:rsid w:val="00DF3197"/>
    <w:rsid w:val="00DF3271"/>
    <w:rsid w:val="00DF42F1"/>
    <w:rsid w:val="00DF59D6"/>
    <w:rsid w:val="00DF6105"/>
    <w:rsid w:val="00DF7ACB"/>
    <w:rsid w:val="00E00C90"/>
    <w:rsid w:val="00E01639"/>
    <w:rsid w:val="00E018B3"/>
    <w:rsid w:val="00E01F0B"/>
    <w:rsid w:val="00E0222A"/>
    <w:rsid w:val="00E03888"/>
    <w:rsid w:val="00E04E10"/>
    <w:rsid w:val="00E05934"/>
    <w:rsid w:val="00E07BC7"/>
    <w:rsid w:val="00E07D2A"/>
    <w:rsid w:val="00E10A23"/>
    <w:rsid w:val="00E1123E"/>
    <w:rsid w:val="00E1209F"/>
    <w:rsid w:val="00E126C1"/>
    <w:rsid w:val="00E1277F"/>
    <w:rsid w:val="00E129E9"/>
    <w:rsid w:val="00E13AB8"/>
    <w:rsid w:val="00E13C3F"/>
    <w:rsid w:val="00E13FF0"/>
    <w:rsid w:val="00E14CEA"/>
    <w:rsid w:val="00E1511F"/>
    <w:rsid w:val="00E16BBA"/>
    <w:rsid w:val="00E173AD"/>
    <w:rsid w:val="00E17E1B"/>
    <w:rsid w:val="00E20955"/>
    <w:rsid w:val="00E214DF"/>
    <w:rsid w:val="00E2223C"/>
    <w:rsid w:val="00E25651"/>
    <w:rsid w:val="00E25D1B"/>
    <w:rsid w:val="00E267C6"/>
    <w:rsid w:val="00E2690F"/>
    <w:rsid w:val="00E26CA4"/>
    <w:rsid w:val="00E275BF"/>
    <w:rsid w:val="00E32050"/>
    <w:rsid w:val="00E32500"/>
    <w:rsid w:val="00E3265F"/>
    <w:rsid w:val="00E3337D"/>
    <w:rsid w:val="00E33B62"/>
    <w:rsid w:val="00E351A3"/>
    <w:rsid w:val="00E36193"/>
    <w:rsid w:val="00E36BCA"/>
    <w:rsid w:val="00E36C78"/>
    <w:rsid w:val="00E3785C"/>
    <w:rsid w:val="00E429C3"/>
    <w:rsid w:val="00E42F19"/>
    <w:rsid w:val="00E437AE"/>
    <w:rsid w:val="00E476B7"/>
    <w:rsid w:val="00E47D64"/>
    <w:rsid w:val="00E5140F"/>
    <w:rsid w:val="00E51569"/>
    <w:rsid w:val="00E51ECE"/>
    <w:rsid w:val="00E53698"/>
    <w:rsid w:val="00E5448D"/>
    <w:rsid w:val="00E5489A"/>
    <w:rsid w:val="00E56F95"/>
    <w:rsid w:val="00E60ADC"/>
    <w:rsid w:val="00E62080"/>
    <w:rsid w:val="00E63F16"/>
    <w:rsid w:val="00E64032"/>
    <w:rsid w:val="00E641C8"/>
    <w:rsid w:val="00E64347"/>
    <w:rsid w:val="00E64E54"/>
    <w:rsid w:val="00E66D8E"/>
    <w:rsid w:val="00E7000D"/>
    <w:rsid w:val="00E71BA4"/>
    <w:rsid w:val="00E728F0"/>
    <w:rsid w:val="00E72932"/>
    <w:rsid w:val="00E7540C"/>
    <w:rsid w:val="00E773CD"/>
    <w:rsid w:val="00E822B0"/>
    <w:rsid w:val="00E82C74"/>
    <w:rsid w:val="00E84DEE"/>
    <w:rsid w:val="00E86340"/>
    <w:rsid w:val="00E86589"/>
    <w:rsid w:val="00E86805"/>
    <w:rsid w:val="00E90668"/>
    <w:rsid w:val="00E932D4"/>
    <w:rsid w:val="00E932EF"/>
    <w:rsid w:val="00E93D64"/>
    <w:rsid w:val="00E93F32"/>
    <w:rsid w:val="00E9469D"/>
    <w:rsid w:val="00E97826"/>
    <w:rsid w:val="00E97868"/>
    <w:rsid w:val="00E97974"/>
    <w:rsid w:val="00E97A9B"/>
    <w:rsid w:val="00E97ED9"/>
    <w:rsid w:val="00EA0062"/>
    <w:rsid w:val="00EA0AD6"/>
    <w:rsid w:val="00EA1D29"/>
    <w:rsid w:val="00EA2E32"/>
    <w:rsid w:val="00EA3354"/>
    <w:rsid w:val="00EA49E7"/>
    <w:rsid w:val="00EA5627"/>
    <w:rsid w:val="00EA7FF3"/>
    <w:rsid w:val="00EB055E"/>
    <w:rsid w:val="00EB0667"/>
    <w:rsid w:val="00EB0CD1"/>
    <w:rsid w:val="00EB2207"/>
    <w:rsid w:val="00EB31E8"/>
    <w:rsid w:val="00EB39F0"/>
    <w:rsid w:val="00EB3CC9"/>
    <w:rsid w:val="00EB4517"/>
    <w:rsid w:val="00EB4E60"/>
    <w:rsid w:val="00EB61CA"/>
    <w:rsid w:val="00EB66BC"/>
    <w:rsid w:val="00EB66DA"/>
    <w:rsid w:val="00EB77D4"/>
    <w:rsid w:val="00EC0496"/>
    <w:rsid w:val="00EC0612"/>
    <w:rsid w:val="00EC0A6A"/>
    <w:rsid w:val="00EC1EEA"/>
    <w:rsid w:val="00EC35C7"/>
    <w:rsid w:val="00EC4003"/>
    <w:rsid w:val="00EC50D7"/>
    <w:rsid w:val="00EC69AE"/>
    <w:rsid w:val="00ED0712"/>
    <w:rsid w:val="00ED1923"/>
    <w:rsid w:val="00ED1CBE"/>
    <w:rsid w:val="00ED23DD"/>
    <w:rsid w:val="00ED29ED"/>
    <w:rsid w:val="00ED41FD"/>
    <w:rsid w:val="00ED4F9F"/>
    <w:rsid w:val="00ED4FCC"/>
    <w:rsid w:val="00ED520C"/>
    <w:rsid w:val="00EE21CC"/>
    <w:rsid w:val="00EE2FB0"/>
    <w:rsid w:val="00EE3C9B"/>
    <w:rsid w:val="00EE461A"/>
    <w:rsid w:val="00EE4899"/>
    <w:rsid w:val="00EE4EE8"/>
    <w:rsid w:val="00EE5B35"/>
    <w:rsid w:val="00EE5BFD"/>
    <w:rsid w:val="00EE5D34"/>
    <w:rsid w:val="00EE6725"/>
    <w:rsid w:val="00EE759C"/>
    <w:rsid w:val="00EE7AB2"/>
    <w:rsid w:val="00EE7F0C"/>
    <w:rsid w:val="00EF0630"/>
    <w:rsid w:val="00EF16B4"/>
    <w:rsid w:val="00EF1743"/>
    <w:rsid w:val="00EF1A07"/>
    <w:rsid w:val="00EF2AB2"/>
    <w:rsid w:val="00EF2B13"/>
    <w:rsid w:val="00EF2BEA"/>
    <w:rsid w:val="00EF2DE9"/>
    <w:rsid w:val="00EF303A"/>
    <w:rsid w:val="00EF37EC"/>
    <w:rsid w:val="00EF51AA"/>
    <w:rsid w:val="00EF74C8"/>
    <w:rsid w:val="00EF795E"/>
    <w:rsid w:val="00F0016A"/>
    <w:rsid w:val="00F00368"/>
    <w:rsid w:val="00F0065B"/>
    <w:rsid w:val="00F00C5A"/>
    <w:rsid w:val="00F017E7"/>
    <w:rsid w:val="00F02B71"/>
    <w:rsid w:val="00F043F9"/>
    <w:rsid w:val="00F04AF4"/>
    <w:rsid w:val="00F05C8F"/>
    <w:rsid w:val="00F069A3"/>
    <w:rsid w:val="00F06DDB"/>
    <w:rsid w:val="00F07E74"/>
    <w:rsid w:val="00F106B5"/>
    <w:rsid w:val="00F11757"/>
    <w:rsid w:val="00F118CE"/>
    <w:rsid w:val="00F12FEC"/>
    <w:rsid w:val="00F2171E"/>
    <w:rsid w:val="00F24737"/>
    <w:rsid w:val="00F24B95"/>
    <w:rsid w:val="00F26416"/>
    <w:rsid w:val="00F265D4"/>
    <w:rsid w:val="00F26687"/>
    <w:rsid w:val="00F319D3"/>
    <w:rsid w:val="00F337D5"/>
    <w:rsid w:val="00F33ED0"/>
    <w:rsid w:val="00F35235"/>
    <w:rsid w:val="00F35EF3"/>
    <w:rsid w:val="00F364AA"/>
    <w:rsid w:val="00F37376"/>
    <w:rsid w:val="00F37C95"/>
    <w:rsid w:val="00F40429"/>
    <w:rsid w:val="00F44108"/>
    <w:rsid w:val="00F442A2"/>
    <w:rsid w:val="00F44916"/>
    <w:rsid w:val="00F44975"/>
    <w:rsid w:val="00F44C8B"/>
    <w:rsid w:val="00F44EE8"/>
    <w:rsid w:val="00F456F9"/>
    <w:rsid w:val="00F458C6"/>
    <w:rsid w:val="00F45A06"/>
    <w:rsid w:val="00F46458"/>
    <w:rsid w:val="00F4653A"/>
    <w:rsid w:val="00F46984"/>
    <w:rsid w:val="00F471A4"/>
    <w:rsid w:val="00F47476"/>
    <w:rsid w:val="00F47546"/>
    <w:rsid w:val="00F50DDA"/>
    <w:rsid w:val="00F51A49"/>
    <w:rsid w:val="00F54047"/>
    <w:rsid w:val="00F5470E"/>
    <w:rsid w:val="00F548D5"/>
    <w:rsid w:val="00F554B9"/>
    <w:rsid w:val="00F55F21"/>
    <w:rsid w:val="00F572FA"/>
    <w:rsid w:val="00F60F4D"/>
    <w:rsid w:val="00F6177E"/>
    <w:rsid w:val="00F63C52"/>
    <w:rsid w:val="00F646C8"/>
    <w:rsid w:val="00F649CD"/>
    <w:rsid w:val="00F64A14"/>
    <w:rsid w:val="00F6506D"/>
    <w:rsid w:val="00F70AE0"/>
    <w:rsid w:val="00F71F4A"/>
    <w:rsid w:val="00F71F95"/>
    <w:rsid w:val="00F727D9"/>
    <w:rsid w:val="00F72FBA"/>
    <w:rsid w:val="00F73604"/>
    <w:rsid w:val="00F740F2"/>
    <w:rsid w:val="00F74230"/>
    <w:rsid w:val="00F74527"/>
    <w:rsid w:val="00F75589"/>
    <w:rsid w:val="00F755D0"/>
    <w:rsid w:val="00F75C66"/>
    <w:rsid w:val="00F768DE"/>
    <w:rsid w:val="00F77649"/>
    <w:rsid w:val="00F8136F"/>
    <w:rsid w:val="00F8234B"/>
    <w:rsid w:val="00F84778"/>
    <w:rsid w:val="00F84899"/>
    <w:rsid w:val="00F84B03"/>
    <w:rsid w:val="00F84BB3"/>
    <w:rsid w:val="00F859F0"/>
    <w:rsid w:val="00F865F7"/>
    <w:rsid w:val="00F87C4D"/>
    <w:rsid w:val="00F917D0"/>
    <w:rsid w:val="00F91D7F"/>
    <w:rsid w:val="00F92088"/>
    <w:rsid w:val="00F92576"/>
    <w:rsid w:val="00F92A2C"/>
    <w:rsid w:val="00F94599"/>
    <w:rsid w:val="00FA04B9"/>
    <w:rsid w:val="00FA09F6"/>
    <w:rsid w:val="00FA0FF5"/>
    <w:rsid w:val="00FA1BED"/>
    <w:rsid w:val="00FA2B40"/>
    <w:rsid w:val="00FA4E11"/>
    <w:rsid w:val="00FA579D"/>
    <w:rsid w:val="00FA5E74"/>
    <w:rsid w:val="00FA6021"/>
    <w:rsid w:val="00FA7233"/>
    <w:rsid w:val="00FA7E67"/>
    <w:rsid w:val="00FB0C1C"/>
    <w:rsid w:val="00FB2446"/>
    <w:rsid w:val="00FB42D2"/>
    <w:rsid w:val="00FB6205"/>
    <w:rsid w:val="00FC2A12"/>
    <w:rsid w:val="00FC2A7E"/>
    <w:rsid w:val="00FC2DE9"/>
    <w:rsid w:val="00FC3402"/>
    <w:rsid w:val="00FC3C08"/>
    <w:rsid w:val="00FC60D0"/>
    <w:rsid w:val="00FC7738"/>
    <w:rsid w:val="00FD034A"/>
    <w:rsid w:val="00FD1071"/>
    <w:rsid w:val="00FD1D04"/>
    <w:rsid w:val="00FD2262"/>
    <w:rsid w:val="00FD2501"/>
    <w:rsid w:val="00FD3007"/>
    <w:rsid w:val="00FD38C9"/>
    <w:rsid w:val="00FD3AB4"/>
    <w:rsid w:val="00FD4D51"/>
    <w:rsid w:val="00FD5AF7"/>
    <w:rsid w:val="00FD744E"/>
    <w:rsid w:val="00FD75F3"/>
    <w:rsid w:val="00FD79B7"/>
    <w:rsid w:val="00FD7A5B"/>
    <w:rsid w:val="00FD7D65"/>
    <w:rsid w:val="00FE141E"/>
    <w:rsid w:val="00FE28C0"/>
    <w:rsid w:val="00FE2AAC"/>
    <w:rsid w:val="00FE306B"/>
    <w:rsid w:val="00FE3140"/>
    <w:rsid w:val="00FE4104"/>
    <w:rsid w:val="00FE49F4"/>
    <w:rsid w:val="00FE6739"/>
    <w:rsid w:val="00FF131D"/>
    <w:rsid w:val="00FF1902"/>
    <w:rsid w:val="00FF25AA"/>
    <w:rsid w:val="00FF3F79"/>
    <w:rsid w:val="00FF4DDD"/>
    <w:rsid w:val="00FF537A"/>
    <w:rsid w:val="00FF7B7B"/>
    <w:rsid w:val="00FF7D32"/>
    <w:rsid w:val="0DF18D41"/>
    <w:rsid w:val="15321B46"/>
    <w:rsid w:val="16634891"/>
    <w:rsid w:val="16AF01CE"/>
    <w:rsid w:val="1A3EA139"/>
    <w:rsid w:val="1D413D81"/>
    <w:rsid w:val="3EA8FA14"/>
    <w:rsid w:val="5F9EF4B8"/>
    <w:rsid w:val="6DEB363A"/>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6445"/>
    <w:pPr>
      <w:spacing w:after="0" w:line="240" w:lineRule="auto"/>
    </w:pPr>
    <w:rPr>
      <w:rFonts w:ascii="Calibri" w:eastAsia="Calibri" w:hAnsi="Calibri" w:cs="Times New Roman"/>
      <w:sz w:val="24"/>
      <w:lang w:val="es-MX"/>
    </w:rPr>
  </w:style>
  <w:style w:type="paragraph" w:styleId="Ttulo1">
    <w:name w:val="heading 1"/>
    <w:basedOn w:val="Normal"/>
    <w:link w:val="Ttulo1Car"/>
    <w:uiPriority w:val="1"/>
    <w:qFormat/>
    <w:rsid w:val="00616FD5"/>
    <w:pPr>
      <w:widowControl w:val="0"/>
      <w:autoSpaceDE w:val="0"/>
      <w:autoSpaceDN w:val="0"/>
      <w:ind w:left="540" w:hanging="361"/>
      <w:outlineLvl w:val="0"/>
    </w:pPr>
    <w:rPr>
      <w:rFonts w:ascii="Arial" w:eastAsia="Arial" w:hAnsi="Arial" w:cs="Arial"/>
      <w:b/>
      <w:bCs/>
      <w:sz w:val="2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3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9047C5"/>
    <w:pPr>
      <w:ind w:left="720"/>
      <w:contextualSpacing/>
    </w:pPr>
    <w:rPr>
      <w:rFonts w:asciiTheme="minorHAnsi" w:eastAsiaTheme="minorHAnsi" w:hAnsiTheme="minorHAnsi" w:cstheme="minorBidi"/>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rFonts w:ascii="Times New Roman" w:eastAsia="Times New Roman" w:hAnsi="Times New Roman"/>
      <w:szCs w:val="24"/>
      <w:lang w:val="es-CO" w:eastAsia="es-CO"/>
    </w:rPr>
  </w:style>
  <w:style w:type="paragraph" w:styleId="Sinespaciado">
    <w:name w:val="No Spacing"/>
    <w:uiPriority w:val="1"/>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eastAsia="Times New Roman" w:hAnsi="Arial" w:cs="Arial"/>
      <w:b/>
      <w:color w:val="000000"/>
      <w:sz w:val="20"/>
      <w:szCs w:val="20"/>
      <w:lang w:val="es-CO" w:eastAsia="es-CO"/>
    </w:rPr>
  </w:style>
  <w:style w:type="character" w:styleId="Refdenotaalpie">
    <w:name w:val="footnote reference"/>
    <w:aliases w:val="Ref. de nota al pie 2,Ref,de nota al pie,FC,Appel note de bas de p,f,4_G,16 Point,Superscript 6 Point,Texto nota al pie,Pie de Página,Texto de nota al pi,Nota de pie,Footnote symbol,Footnote,Ref. de nota al pie2,Pie de pagina,F,R"/>
    <w:basedOn w:val="Fuentedeprrafopredeter"/>
    <w:link w:val="Appelnotedebasde"/>
    <w:uiPriority w:val="99"/>
    <w:unhideWhenUsed/>
    <w:qFormat/>
    <w:rsid w:val="007B0854"/>
    <w:rPr>
      <w:vertAlign w:val="superscript"/>
    </w:rPr>
  </w:style>
  <w:style w:type="character" w:customStyle="1" w:styleId="NormalWebCar">
    <w:name w:val="Normal (Web) Car"/>
    <w:link w:val="NormalWeb"/>
    <w:uiPriority w:val="99"/>
    <w:rsid w:val="000920F0"/>
    <w:rPr>
      <w:rFonts w:ascii="Times New Roman" w:eastAsia="Times New Roman" w:hAnsi="Times New Roman" w:cs="Times New Roman"/>
      <w:sz w:val="24"/>
      <w:szCs w:val="24"/>
      <w:lang w:eastAsia="es-CO"/>
    </w:rPr>
  </w:style>
  <w:style w:type="character" w:customStyle="1" w:styleId="Mencinsinresolver1">
    <w:name w:val="Mención sin resolver1"/>
    <w:basedOn w:val="Fuentedeprrafopredeter"/>
    <w:uiPriority w:val="99"/>
    <w:rsid w:val="00901F74"/>
    <w:rPr>
      <w:color w:val="605E5C"/>
      <w:shd w:val="clear" w:color="auto" w:fill="E1DFDD"/>
    </w:rPr>
  </w:style>
  <w:style w:type="paragraph" w:styleId="Revisin">
    <w:name w:val="Revision"/>
    <w:hidden/>
    <w:uiPriority w:val="99"/>
    <w:semiHidden/>
    <w:rsid w:val="004D0CB0"/>
    <w:pPr>
      <w:spacing w:after="0" w:line="240" w:lineRule="auto"/>
    </w:pPr>
    <w:rPr>
      <w:sz w:val="24"/>
      <w:lang w:val="es-MX"/>
    </w:rPr>
  </w:style>
  <w:style w:type="paragraph" w:customStyle="1" w:styleId="Default">
    <w:name w:val="Default"/>
    <w:rsid w:val="00C46F19"/>
    <w:pPr>
      <w:autoSpaceDE w:val="0"/>
      <w:autoSpaceDN w:val="0"/>
      <w:adjustRightInd w:val="0"/>
      <w:spacing w:after="0" w:line="240" w:lineRule="auto"/>
    </w:pPr>
    <w:rPr>
      <w:rFonts w:ascii="Arial" w:hAnsi="Arial" w:cs="Arial"/>
      <w:color w:val="000000"/>
      <w:sz w:val="24"/>
      <w:szCs w:val="24"/>
    </w:rPr>
  </w:style>
  <w:style w:type="character" w:customStyle="1" w:styleId="normaltextrun">
    <w:name w:val="normaltextrun"/>
    <w:basedOn w:val="Fuentedeprrafopredeter"/>
    <w:rsid w:val="00A457BC"/>
  </w:style>
  <w:style w:type="paragraph" w:customStyle="1" w:styleId="paragraph">
    <w:name w:val="paragraph"/>
    <w:basedOn w:val="Normal"/>
    <w:rsid w:val="00671A48"/>
    <w:pPr>
      <w:spacing w:before="100" w:beforeAutospacing="1" w:after="100" w:afterAutospacing="1"/>
    </w:pPr>
    <w:rPr>
      <w:rFonts w:ascii="Times New Roman" w:eastAsia="Times New Roman" w:hAnsi="Times New Roman"/>
      <w:szCs w:val="24"/>
      <w:lang w:val="es-CO" w:eastAsia="es-CO"/>
    </w:rPr>
  </w:style>
  <w:style w:type="character" w:customStyle="1" w:styleId="eop">
    <w:name w:val="eop"/>
    <w:basedOn w:val="Fuentedeprrafopredeter"/>
    <w:rsid w:val="00671A48"/>
  </w:style>
  <w:style w:type="character" w:customStyle="1" w:styleId="superscript">
    <w:name w:val="superscript"/>
    <w:basedOn w:val="Fuentedeprrafopredeter"/>
    <w:rsid w:val="00671A48"/>
  </w:style>
  <w:style w:type="paragraph" w:styleId="Textonotaalfinal">
    <w:name w:val="endnote text"/>
    <w:basedOn w:val="Normal"/>
    <w:link w:val="TextonotaalfinalCar"/>
    <w:uiPriority w:val="99"/>
    <w:semiHidden/>
    <w:unhideWhenUsed/>
    <w:rsid w:val="00306222"/>
    <w:rPr>
      <w:sz w:val="20"/>
      <w:szCs w:val="20"/>
    </w:rPr>
  </w:style>
  <w:style w:type="character" w:customStyle="1" w:styleId="TextonotaalfinalCar">
    <w:name w:val="Texto nota al final Car"/>
    <w:basedOn w:val="Fuentedeprrafopredeter"/>
    <w:link w:val="Textonotaalfinal"/>
    <w:uiPriority w:val="99"/>
    <w:semiHidden/>
    <w:rsid w:val="00306222"/>
    <w:rPr>
      <w:rFonts w:ascii="Calibri" w:eastAsia="Calibri" w:hAnsi="Calibri" w:cs="Times New Roman"/>
      <w:sz w:val="20"/>
      <w:szCs w:val="20"/>
      <w:lang w:val="es-MX"/>
    </w:rPr>
  </w:style>
  <w:style w:type="character" w:styleId="Refdenotaalfinal">
    <w:name w:val="endnote reference"/>
    <w:basedOn w:val="Fuentedeprrafopredeter"/>
    <w:uiPriority w:val="99"/>
    <w:semiHidden/>
    <w:unhideWhenUsed/>
    <w:rsid w:val="00306222"/>
    <w:rPr>
      <w:vertAlign w:val="superscript"/>
    </w:rPr>
  </w:style>
  <w:style w:type="character" w:customStyle="1" w:styleId="Ttulo1Car">
    <w:name w:val="Título 1 Car"/>
    <w:basedOn w:val="Fuentedeprrafopredeter"/>
    <w:link w:val="Ttulo1"/>
    <w:uiPriority w:val="1"/>
    <w:rsid w:val="00616FD5"/>
    <w:rPr>
      <w:rFonts w:ascii="Arial" w:eastAsia="Arial" w:hAnsi="Arial" w:cs="Arial"/>
      <w:b/>
      <w:bCs/>
      <w:lang w:val="es-ES"/>
    </w:rPr>
  </w:style>
  <w:style w:type="paragraph" w:styleId="Textoindependiente">
    <w:name w:val="Body Text"/>
    <w:basedOn w:val="Normal"/>
    <w:link w:val="TextoindependienteCar"/>
    <w:uiPriority w:val="1"/>
    <w:qFormat/>
    <w:rsid w:val="00616FD5"/>
    <w:pPr>
      <w:widowControl w:val="0"/>
      <w:autoSpaceDE w:val="0"/>
      <w:autoSpaceDN w:val="0"/>
    </w:pPr>
    <w:rPr>
      <w:rFonts w:ascii="Arial" w:eastAsia="Arial" w:hAnsi="Arial" w:cs="Arial"/>
      <w:sz w:val="22"/>
      <w:lang w:val="es-ES"/>
    </w:rPr>
  </w:style>
  <w:style w:type="character" w:customStyle="1" w:styleId="TextoindependienteCar">
    <w:name w:val="Texto independiente Car"/>
    <w:basedOn w:val="Fuentedeprrafopredeter"/>
    <w:link w:val="Textoindependiente"/>
    <w:uiPriority w:val="1"/>
    <w:rsid w:val="00616FD5"/>
    <w:rPr>
      <w:rFonts w:ascii="Arial" w:eastAsia="Arial" w:hAnsi="Arial" w:cs="Arial"/>
      <w:lang w:val="es-ES"/>
    </w:rPr>
  </w:style>
  <w:style w:type="paragraph" w:customStyle="1" w:styleId="xxmsonormal">
    <w:name w:val="x_x_msonormal"/>
    <w:basedOn w:val="Normal"/>
    <w:rsid w:val="00A64A3E"/>
    <w:pPr>
      <w:spacing w:before="100" w:beforeAutospacing="1" w:after="100" w:afterAutospacing="1"/>
    </w:pPr>
    <w:rPr>
      <w:rFonts w:ascii="Times New Roman" w:eastAsia="Times New Roman" w:hAnsi="Times New Roman"/>
      <w:szCs w:val="24"/>
      <w:lang w:val="es-CO" w:eastAsia="es-CO"/>
    </w:rPr>
  </w:style>
  <w:style w:type="paragraph" w:customStyle="1" w:styleId="xxxxmsobodytext">
    <w:name w:val="x_x_xxmsobodytext"/>
    <w:basedOn w:val="Normal"/>
    <w:rsid w:val="00A64A3E"/>
    <w:pPr>
      <w:spacing w:before="100" w:beforeAutospacing="1" w:after="100" w:afterAutospacing="1"/>
    </w:pPr>
    <w:rPr>
      <w:rFonts w:ascii="Times New Roman" w:eastAsia="Times New Roman" w:hAnsi="Times New Roman"/>
      <w:szCs w:val="24"/>
      <w:lang w:val="es-CO" w:eastAsia="es-CO"/>
    </w:rPr>
  </w:style>
  <w:style w:type="paragraph" w:customStyle="1" w:styleId="xxxxmsonormal">
    <w:name w:val="x_x_xxmsonormal"/>
    <w:basedOn w:val="Normal"/>
    <w:rsid w:val="00A64A3E"/>
    <w:pPr>
      <w:spacing w:before="100" w:beforeAutospacing="1" w:after="100" w:afterAutospacing="1"/>
    </w:pPr>
    <w:rPr>
      <w:rFonts w:ascii="Times New Roman" w:eastAsia="Times New Roman" w:hAnsi="Times New Roman"/>
      <w:szCs w:val="24"/>
      <w:lang w:val="es-CO" w:eastAsia="es-CO"/>
    </w:rPr>
  </w:style>
  <w:style w:type="character" w:customStyle="1" w:styleId="baj">
    <w:name w:val="b_aj"/>
    <w:basedOn w:val="Fuentedeprrafopredeter"/>
    <w:rsid w:val="009A374F"/>
  </w:style>
  <w:style w:type="paragraph" w:customStyle="1" w:styleId="Appelnotedebasde">
    <w:name w:val="Appel note de bas de..."/>
    <w:basedOn w:val="Normal"/>
    <w:link w:val="Refdenotaalpie"/>
    <w:uiPriority w:val="99"/>
    <w:rsid w:val="00443C26"/>
    <w:pPr>
      <w:spacing w:after="160" w:line="240" w:lineRule="exact"/>
    </w:pPr>
    <w:rPr>
      <w:rFonts w:asciiTheme="minorHAnsi" w:eastAsiaTheme="minorHAnsi" w:hAnsiTheme="minorHAnsi" w:cstheme="minorBidi"/>
      <w:sz w:val="22"/>
      <w:vertAlign w:val="superscript"/>
      <w:lang w:val="es-CO"/>
    </w:rPr>
  </w:style>
  <w:style w:type="character" w:styleId="nfasis">
    <w:name w:val="Emphasis"/>
    <w:basedOn w:val="Fuentedeprrafopredeter"/>
    <w:uiPriority w:val="20"/>
    <w:qFormat/>
    <w:rsid w:val="009E5CA8"/>
    <w:rPr>
      <w:i/>
      <w:iCs/>
    </w:rPr>
  </w:style>
  <w:style w:type="character" w:styleId="Nmerodepgina">
    <w:name w:val="page number"/>
    <w:basedOn w:val="Fuentedeprrafopredeter"/>
    <w:uiPriority w:val="99"/>
    <w:semiHidden/>
    <w:unhideWhenUsed/>
    <w:rsid w:val="00896D09"/>
  </w:style>
  <w:style w:type="character" w:styleId="Mencinsinresolver">
    <w:name w:val="Unresolved Mention"/>
    <w:basedOn w:val="Fuentedeprrafopredeter"/>
    <w:uiPriority w:val="99"/>
    <w:semiHidden/>
    <w:unhideWhenUsed/>
    <w:rsid w:val="003735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87012">
      <w:bodyDiv w:val="1"/>
      <w:marLeft w:val="0"/>
      <w:marRight w:val="0"/>
      <w:marTop w:val="0"/>
      <w:marBottom w:val="0"/>
      <w:divBdr>
        <w:top w:val="none" w:sz="0" w:space="0" w:color="auto"/>
        <w:left w:val="none" w:sz="0" w:space="0" w:color="auto"/>
        <w:bottom w:val="none" w:sz="0" w:space="0" w:color="auto"/>
        <w:right w:val="none" w:sz="0" w:space="0" w:color="auto"/>
      </w:divBdr>
      <w:divsChild>
        <w:div w:id="177045463">
          <w:marLeft w:val="0"/>
          <w:marRight w:val="0"/>
          <w:marTop w:val="0"/>
          <w:marBottom w:val="0"/>
          <w:divBdr>
            <w:top w:val="none" w:sz="0" w:space="0" w:color="auto"/>
            <w:left w:val="none" w:sz="0" w:space="0" w:color="auto"/>
            <w:bottom w:val="none" w:sz="0" w:space="0" w:color="auto"/>
            <w:right w:val="none" w:sz="0" w:space="0" w:color="auto"/>
          </w:divBdr>
          <w:divsChild>
            <w:div w:id="1020086607">
              <w:marLeft w:val="0"/>
              <w:marRight w:val="0"/>
              <w:marTop w:val="0"/>
              <w:marBottom w:val="0"/>
              <w:divBdr>
                <w:top w:val="none" w:sz="0" w:space="0" w:color="auto"/>
                <w:left w:val="none" w:sz="0" w:space="0" w:color="auto"/>
                <w:bottom w:val="none" w:sz="0" w:space="0" w:color="auto"/>
                <w:right w:val="none" w:sz="0" w:space="0" w:color="auto"/>
              </w:divBdr>
              <w:divsChild>
                <w:div w:id="2085568655">
                  <w:marLeft w:val="0"/>
                  <w:marRight w:val="0"/>
                  <w:marTop w:val="0"/>
                  <w:marBottom w:val="0"/>
                  <w:divBdr>
                    <w:top w:val="none" w:sz="0" w:space="0" w:color="auto"/>
                    <w:left w:val="none" w:sz="0" w:space="0" w:color="auto"/>
                    <w:bottom w:val="none" w:sz="0" w:space="0" w:color="auto"/>
                    <w:right w:val="none" w:sz="0" w:space="0" w:color="auto"/>
                  </w:divBdr>
                  <w:divsChild>
                    <w:div w:id="113463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76465">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70323335">
      <w:bodyDiv w:val="1"/>
      <w:marLeft w:val="0"/>
      <w:marRight w:val="0"/>
      <w:marTop w:val="0"/>
      <w:marBottom w:val="0"/>
      <w:divBdr>
        <w:top w:val="none" w:sz="0" w:space="0" w:color="auto"/>
        <w:left w:val="none" w:sz="0" w:space="0" w:color="auto"/>
        <w:bottom w:val="none" w:sz="0" w:space="0" w:color="auto"/>
        <w:right w:val="none" w:sz="0" w:space="0" w:color="auto"/>
      </w:divBdr>
    </w:div>
    <w:div w:id="86537261">
      <w:bodyDiv w:val="1"/>
      <w:marLeft w:val="0"/>
      <w:marRight w:val="0"/>
      <w:marTop w:val="0"/>
      <w:marBottom w:val="0"/>
      <w:divBdr>
        <w:top w:val="none" w:sz="0" w:space="0" w:color="auto"/>
        <w:left w:val="none" w:sz="0" w:space="0" w:color="auto"/>
        <w:bottom w:val="none" w:sz="0" w:space="0" w:color="auto"/>
        <w:right w:val="none" w:sz="0" w:space="0" w:color="auto"/>
      </w:divBdr>
    </w:div>
    <w:div w:id="96368908">
      <w:bodyDiv w:val="1"/>
      <w:marLeft w:val="0"/>
      <w:marRight w:val="0"/>
      <w:marTop w:val="0"/>
      <w:marBottom w:val="0"/>
      <w:divBdr>
        <w:top w:val="none" w:sz="0" w:space="0" w:color="auto"/>
        <w:left w:val="none" w:sz="0" w:space="0" w:color="auto"/>
        <w:bottom w:val="none" w:sz="0" w:space="0" w:color="auto"/>
        <w:right w:val="none" w:sz="0" w:space="0" w:color="auto"/>
      </w:divBdr>
    </w:div>
    <w:div w:id="174805232">
      <w:bodyDiv w:val="1"/>
      <w:marLeft w:val="0"/>
      <w:marRight w:val="0"/>
      <w:marTop w:val="0"/>
      <w:marBottom w:val="0"/>
      <w:divBdr>
        <w:top w:val="none" w:sz="0" w:space="0" w:color="auto"/>
        <w:left w:val="none" w:sz="0" w:space="0" w:color="auto"/>
        <w:bottom w:val="none" w:sz="0" w:space="0" w:color="auto"/>
        <w:right w:val="none" w:sz="0" w:space="0" w:color="auto"/>
      </w:divBdr>
    </w:div>
    <w:div w:id="184948185">
      <w:bodyDiv w:val="1"/>
      <w:marLeft w:val="0"/>
      <w:marRight w:val="0"/>
      <w:marTop w:val="0"/>
      <w:marBottom w:val="0"/>
      <w:divBdr>
        <w:top w:val="none" w:sz="0" w:space="0" w:color="auto"/>
        <w:left w:val="none" w:sz="0" w:space="0" w:color="auto"/>
        <w:bottom w:val="none" w:sz="0" w:space="0" w:color="auto"/>
        <w:right w:val="none" w:sz="0" w:space="0" w:color="auto"/>
      </w:divBdr>
    </w:div>
    <w:div w:id="229654869">
      <w:bodyDiv w:val="1"/>
      <w:marLeft w:val="0"/>
      <w:marRight w:val="0"/>
      <w:marTop w:val="0"/>
      <w:marBottom w:val="0"/>
      <w:divBdr>
        <w:top w:val="none" w:sz="0" w:space="0" w:color="auto"/>
        <w:left w:val="none" w:sz="0" w:space="0" w:color="auto"/>
        <w:bottom w:val="none" w:sz="0" w:space="0" w:color="auto"/>
        <w:right w:val="none" w:sz="0" w:space="0" w:color="auto"/>
      </w:divBdr>
    </w:div>
    <w:div w:id="251934702">
      <w:bodyDiv w:val="1"/>
      <w:marLeft w:val="0"/>
      <w:marRight w:val="0"/>
      <w:marTop w:val="0"/>
      <w:marBottom w:val="0"/>
      <w:divBdr>
        <w:top w:val="none" w:sz="0" w:space="0" w:color="auto"/>
        <w:left w:val="none" w:sz="0" w:space="0" w:color="auto"/>
        <w:bottom w:val="none" w:sz="0" w:space="0" w:color="auto"/>
        <w:right w:val="none" w:sz="0" w:space="0" w:color="auto"/>
      </w:divBdr>
    </w:div>
    <w:div w:id="278876812">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321470353">
      <w:bodyDiv w:val="1"/>
      <w:marLeft w:val="0"/>
      <w:marRight w:val="0"/>
      <w:marTop w:val="0"/>
      <w:marBottom w:val="0"/>
      <w:divBdr>
        <w:top w:val="none" w:sz="0" w:space="0" w:color="auto"/>
        <w:left w:val="none" w:sz="0" w:space="0" w:color="auto"/>
        <w:bottom w:val="none" w:sz="0" w:space="0" w:color="auto"/>
        <w:right w:val="none" w:sz="0" w:space="0" w:color="auto"/>
      </w:divBdr>
    </w:div>
    <w:div w:id="331641372">
      <w:bodyDiv w:val="1"/>
      <w:marLeft w:val="0"/>
      <w:marRight w:val="0"/>
      <w:marTop w:val="0"/>
      <w:marBottom w:val="0"/>
      <w:divBdr>
        <w:top w:val="none" w:sz="0" w:space="0" w:color="auto"/>
        <w:left w:val="none" w:sz="0" w:space="0" w:color="auto"/>
        <w:bottom w:val="none" w:sz="0" w:space="0" w:color="auto"/>
        <w:right w:val="none" w:sz="0" w:space="0" w:color="auto"/>
      </w:divBdr>
    </w:div>
    <w:div w:id="354355289">
      <w:bodyDiv w:val="1"/>
      <w:marLeft w:val="0"/>
      <w:marRight w:val="0"/>
      <w:marTop w:val="0"/>
      <w:marBottom w:val="0"/>
      <w:divBdr>
        <w:top w:val="none" w:sz="0" w:space="0" w:color="auto"/>
        <w:left w:val="none" w:sz="0" w:space="0" w:color="auto"/>
        <w:bottom w:val="none" w:sz="0" w:space="0" w:color="auto"/>
        <w:right w:val="none" w:sz="0" w:space="0" w:color="auto"/>
      </w:divBdr>
    </w:div>
    <w:div w:id="486940016">
      <w:bodyDiv w:val="1"/>
      <w:marLeft w:val="0"/>
      <w:marRight w:val="0"/>
      <w:marTop w:val="0"/>
      <w:marBottom w:val="0"/>
      <w:divBdr>
        <w:top w:val="none" w:sz="0" w:space="0" w:color="auto"/>
        <w:left w:val="none" w:sz="0" w:space="0" w:color="auto"/>
        <w:bottom w:val="none" w:sz="0" w:space="0" w:color="auto"/>
        <w:right w:val="none" w:sz="0" w:space="0" w:color="auto"/>
      </w:divBdr>
    </w:div>
    <w:div w:id="494228281">
      <w:bodyDiv w:val="1"/>
      <w:marLeft w:val="0"/>
      <w:marRight w:val="0"/>
      <w:marTop w:val="0"/>
      <w:marBottom w:val="0"/>
      <w:divBdr>
        <w:top w:val="none" w:sz="0" w:space="0" w:color="auto"/>
        <w:left w:val="none" w:sz="0" w:space="0" w:color="auto"/>
        <w:bottom w:val="none" w:sz="0" w:space="0" w:color="auto"/>
        <w:right w:val="none" w:sz="0" w:space="0" w:color="auto"/>
      </w:divBdr>
      <w:divsChild>
        <w:div w:id="91052880">
          <w:marLeft w:val="0"/>
          <w:marRight w:val="0"/>
          <w:marTop w:val="0"/>
          <w:marBottom w:val="0"/>
          <w:divBdr>
            <w:top w:val="none" w:sz="0" w:space="0" w:color="auto"/>
            <w:left w:val="none" w:sz="0" w:space="0" w:color="auto"/>
            <w:bottom w:val="none" w:sz="0" w:space="0" w:color="auto"/>
            <w:right w:val="none" w:sz="0" w:space="0" w:color="auto"/>
          </w:divBdr>
          <w:divsChild>
            <w:div w:id="133302900">
              <w:marLeft w:val="0"/>
              <w:marRight w:val="0"/>
              <w:marTop w:val="0"/>
              <w:marBottom w:val="0"/>
              <w:divBdr>
                <w:top w:val="none" w:sz="0" w:space="0" w:color="auto"/>
                <w:left w:val="none" w:sz="0" w:space="0" w:color="auto"/>
                <w:bottom w:val="none" w:sz="0" w:space="0" w:color="auto"/>
                <w:right w:val="none" w:sz="0" w:space="0" w:color="auto"/>
              </w:divBdr>
              <w:divsChild>
                <w:div w:id="568854489">
                  <w:marLeft w:val="0"/>
                  <w:marRight w:val="0"/>
                  <w:marTop w:val="0"/>
                  <w:marBottom w:val="0"/>
                  <w:divBdr>
                    <w:top w:val="none" w:sz="0" w:space="0" w:color="auto"/>
                    <w:left w:val="none" w:sz="0" w:space="0" w:color="auto"/>
                    <w:bottom w:val="none" w:sz="0" w:space="0" w:color="auto"/>
                    <w:right w:val="none" w:sz="0" w:space="0" w:color="auto"/>
                  </w:divBdr>
                  <w:divsChild>
                    <w:div w:id="153334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9125763">
      <w:bodyDiv w:val="1"/>
      <w:marLeft w:val="0"/>
      <w:marRight w:val="0"/>
      <w:marTop w:val="0"/>
      <w:marBottom w:val="0"/>
      <w:divBdr>
        <w:top w:val="none" w:sz="0" w:space="0" w:color="auto"/>
        <w:left w:val="none" w:sz="0" w:space="0" w:color="auto"/>
        <w:bottom w:val="none" w:sz="0" w:space="0" w:color="auto"/>
        <w:right w:val="none" w:sz="0" w:space="0" w:color="auto"/>
      </w:divBdr>
    </w:div>
    <w:div w:id="580607808">
      <w:bodyDiv w:val="1"/>
      <w:marLeft w:val="0"/>
      <w:marRight w:val="0"/>
      <w:marTop w:val="0"/>
      <w:marBottom w:val="0"/>
      <w:divBdr>
        <w:top w:val="none" w:sz="0" w:space="0" w:color="auto"/>
        <w:left w:val="none" w:sz="0" w:space="0" w:color="auto"/>
        <w:bottom w:val="none" w:sz="0" w:space="0" w:color="auto"/>
        <w:right w:val="none" w:sz="0" w:space="0" w:color="auto"/>
      </w:divBdr>
    </w:div>
    <w:div w:id="612252676">
      <w:bodyDiv w:val="1"/>
      <w:marLeft w:val="0"/>
      <w:marRight w:val="0"/>
      <w:marTop w:val="0"/>
      <w:marBottom w:val="0"/>
      <w:divBdr>
        <w:top w:val="none" w:sz="0" w:space="0" w:color="auto"/>
        <w:left w:val="none" w:sz="0" w:space="0" w:color="auto"/>
        <w:bottom w:val="none" w:sz="0" w:space="0" w:color="auto"/>
        <w:right w:val="none" w:sz="0" w:space="0" w:color="auto"/>
      </w:divBdr>
      <w:divsChild>
        <w:div w:id="1281229350">
          <w:marLeft w:val="0"/>
          <w:marRight w:val="0"/>
          <w:marTop w:val="0"/>
          <w:marBottom w:val="0"/>
          <w:divBdr>
            <w:top w:val="none" w:sz="0" w:space="0" w:color="auto"/>
            <w:left w:val="none" w:sz="0" w:space="0" w:color="auto"/>
            <w:bottom w:val="none" w:sz="0" w:space="0" w:color="auto"/>
            <w:right w:val="none" w:sz="0" w:space="0" w:color="auto"/>
          </w:divBdr>
        </w:div>
        <w:div w:id="1760786229">
          <w:marLeft w:val="0"/>
          <w:marRight w:val="0"/>
          <w:marTop w:val="0"/>
          <w:marBottom w:val="0"/>
          <w:divBdr>
            <w:top w:val="none" w:sz="0" w:space="0" w:color="auto"/>
            <w:left w:val="none" w:sz="0" w:space="0" w:color="auto"/>
            <w:bottom w:val="none" w:sz="0" w:space="0" w:color="auto"/>
            <w:right w:val="none" w:sz="0" w:space="0" w:color="auto"/>
          </w:divBdr>
        </w:div>
        <w:div w:id="1565526537">
          <w:marLeft w:val="0"/>
          <w:marRight w:val="0"/>
          <w:marTop w:val="0"/>
          <w:marBottom w:val="0"/>
          <w:divBdr>
            <w:top w:val="none" w:sz="0" w:space="0" w:color="auto"/>
            <w:left w:val="none" w:sz="0" w:space="0" w:color="auto"/>
            <w:bottom w:val="none" w:sz="0" w:space="0" w:color="auto"/>
            <w:right w:val="none" w:sz="0" w:space="0" w:color="auto"/>
          </w:divBdr>
        </w:div>
        <w:div w:id="62025465">
          <w:marLeft w:val="0"/>
          <w:marRight w:val="0"/>
          <w:marTop w:val="0"/>
          <w:marBottom w:val="0"/>
          <w:divBdr>
            <w:top w:val="none" w:sz="0" w:space="0" w:color="auto"/>
            <w:left w:val="none" w:sz="0" w:space="0" w:color="auto"/>
            <w:bottom w:val="none" w:sz="0" w:space="0" w:color="auto"/>
            <w:right w:val="none" w:sz="0" w:space="0" w:color="auto"/>
          </w:divBdr>
        </w:div>
        <w:div w:id="1991130831">
          <w:marLeft w:val="0"/>
          <w:marRight w:val="0"/>
          <w:marTop w:val="0"/>
          <w:marBottom w:val="0"/>
          <w:divBdr>
            <w:top w:val="none" w:sz="0" w:space="0" w:color="auto"/>
            <w:left w:val="none" w:sz="0" w:space="0" w:color="auto"/>
            <w:bottom w:val="none" w:sz="0" w:space="0" w:color="auto"/>
            <w:right w:val="none" w:sz="0" w:space="0" w:color="auto"/>
          </w:divBdr>
        </w:div>
        <w:div w:id="847059627">
          <w:marLeft w:val="0"/>
          <w:marRight w:val="0"/>
          <w:marTop w:val="0"/>
          <w:marBottom w:val="0"/>
          <w:divBdr>
            <w:top w:val="none" w:sz="0" w:space="0" w:color="auto"/>
            <w:left w:val="none" w:sz="0" w:space="0" w:color="auto"/>
            <w:bottom w:val="none" w:sz="0" w:space="0" w:color="auto"/>
            <w:right w:val="none" w:sz="0" w:space="0" w:color="auto"/>
          </w:divBdr>
        </w:div>
        <w:div w:id="365570852">
          <w:marLeft w:val="0"/>
          <w:marRight w:val="0"/>
          <w:marTop w:val="0"/>
          <w:marBottom w:val="0"/>
          <w:divBdr>
            <w:top w:val="none" w:sz="0" w:space="0" w:color="auto"/>
            <w:left w:val="none" w:sz="0" w:space="0" w:color="auto"/>
            <w:bottom w:val="none" w:sz="0" w:space="0" w:color="auto"/>
            <w:right w:val="none" w:sz="0" w:space="0" w:color="auto"/>
          </w:divBdr>
        </w:div>
        <w:div w:id="389959568">
          <w:marLeft w:val="0"/>
          <w:marRight w:val="0"/>
          <w:marTop w:val="0"/>
          <w:marBottom w:val="0"/>
          <w:divBdr>
            <w:top w:val="none" w:sz="0" w:space="0" w:color="auto"/>
            <w:left w:val="none" w:sz="0" w:space="0" w:color="auto"/>
            <w:bottom w:val="none" w:sz="0" w:space="0" w:color="auto"/>
            <w:right w:val="none" w:sz="0" w:space="0" w:color="auto"/>
          </w:divBdr>
        </w:div>
        <w:div w:id="1472016851">
          <w:marLeft w:val="0"/>
          <w:marRight w:val="0"/>
          <w:marTop w:val="0"/>
          <w:marBottom w:val="0"/>
          <w:divBdr>
            <w:top w:val="none" w:sz="0" w:space="0" w:color="auto"/>
            <w:left w:val="none" w:sz="0" w:space="0" w:color="auto"/>
            <w:bottom w:val="none" w:sz="0" w:space="0" w:color="auto"/>
            <w:right w:val="none" w:sz="0" w:space="0" w:color="auto"/>
          </w:divBdr>
        </w:div>
        <w:div w:id="254287878">
          <w:marLeft w:val="0"/>
          <w:marRight w:val="0"/>
          <w:marTop w:val="0"/>
          <w:marBottom w:val="0"/>
          <w:divBdr>
            <w:top w:val="none" w:sz="0" w:space="0" w:color="auto"/>
            <w:left w:val="none" w:sz="0" w:space="0" w:color="auto"/>
            <w:bottom w:val="none" w:sz="0" w:space="0" w:color="auto"/>
            <w:right w:val="none" w:sz="0" w:space="0" w:color="auto"/>
          </w:divBdr>
        </w:div>
        <w:div w:id="676082288">
          <w:marLeft w:val="0"/>
          <w:marRight w:val="0"/>
          <w:marTop w:val="0"/>
          <w:marBottom w:val="0"/>
          <w:divBdr>
            <w:top w:val="none" w:sz="0" w:space="0" w:color="auto"/>
            <w:left w:val="none" w:sz="0" w:space="0" w:color="auto"/>
            <w:bottom w:val="none" w:sz="0" w:space="0" w:color="auto"/>
            <w:right w:val="none" w:sz="0" w:space="0" w:color="auto"/>
          </w:divBdr>
        </w:div>
        <w:div w:id="2099783964">
          <w:marLeft w:val="0"/>
          <w:marRight w:val="0"/>
          <w:marTop w:val="0"/>
          <w:marBottom w:val="0"/>
          <w:divBdr>
            <w:top w:val="none" w:sz="0" w:space="0" w:color="auto"/>
            <w:left w:val="none" w:sz="0" w:space="0" w:color="auto"/>
            <w:bottom w:val="none" w:sz="0" w:space="0" w:color="auto"/>
            <w:right w:val="none" w:sz="0" w:space="0" w:color="auto"/>
          </w:divBdr>
        </w:div>
        <w:div w:id="668563821">
          <w:marLeft w:val="0"/>
          <w:marRight w:val="0"/>
          <w:marTop w:val="0"/>
          <w:marBottom w:val="0"/>
          <w:divBdr>
            <w:top w:val="none" w:sz="0" w:space="0" w:color="auto"/>
            <w:left w:val="none" w:sz="0" w:space="0" w:color="auto"/>
            <w:bottom w:val="none" w:sz="0" w:space="0" w:color="auto"/>
            <w:right w:val="none" w:sz="0" w:space="0" w:color="auto"/>
          </w:divBdr>
        </w:div>
        <w:div w:id="1874222203">
          <w:marLeft w:val="0"/>
          <w:marRight w:val="0"/>
          <w:marTop w:val="0"/>
          <w:marBottom w:val="0"/>
          <w:divBdr>
            <w:top w:val="none" w:sz="0" w:space="0" w:color="auto"/>
            <w:left w:val="none" w:sz="0" w:space="0" w:color="auto"/>
            <w:bottom w:val="none" w:sz="0" w:space="0" w:color="auto"/>
            <w:right w:val="none" w:sz="0" w:space="0" w:color="auto"/>
          </w:divBdr>
        </w:div>
        <w:div w:id="1901552411">
          <w:marLeft w:val="0"/>
          <w:marRight w:val="0"/>
          <w:marTop w:val="0"/>
          <w:marBottom w:val="0"/>
          <w:divBdr>
            <w:top w:val="none" w:sz="0" w:space="0" w:color="auto"/>
            <w:left w:val="none" w:sz="0" w:space="0" w:color="auto"/>
            <w:bottom w:val="none" w:sz="0" w:space="0" w:color="auto"/>
            <w:right w:val="none" w:sz="0" w:space="0" w:color="auto"/>
          </w:divBdr>
        </w:div>
        <w:div w:id="747338983">
          <w:marLeft w:val="0"/>
          <w:marRight w:val="0"/>
          <w:marTop w:val="0"/>
          <w:marBottom w:val="0"/>
          <w:divBdr>
            <w:top w:val="none" w:sz="0" w:space="0" w:color="auto"/>
            <w:left w:val="none" w:sz="0" w:space="0" w:color="auto"/>
            <w:bottom w:val="none" w:sz="0" w:space="0" w:color="auto"/>
            <w:right w:val="none" w:sz="0" w:space="0" w:color="auto"/>
          </w:divBdr>
        </w:div>
        <w:div w:id="1681929628">
          <w:marLeft w:val="0"/>
          <w:marRight w:val="0"/>
          <w:marTop w:val="0"/>
          <w:marBottom w:val="0"/>
          <w:divBdr>
            <w:top w:val="none" w:sz="0" w:space="0" w:color="auto"/>
            <w:left w:val="none" w:sz="0" w:space="0" w:color="auto"/>
            <w:bottom w:val="none" w:sz="0" w:space="0" w:color="auto"/>
            <w:right w:val="none" w:sz="0" w:space="0" w:color="auto"/>
          </w:divBdr>
        </w:div>
        <w:div w:id="673924336">
          <w:marLeft w:val="0"/>
          <w:marRight w:val="0"/>
          <w:marTop w:val="0"/>
          <w:marBottom w:val="0"/>
          <w:divBdr>
            <w:top w:val="none" w:sz="0" w:space="0" w:color="auto"/>
            <w:left w:val="none" w:sz="0" w:space="0" w:color="auto"/>
            <w:bottom w:val="none" w:sz="0" w:space="0" w:color="auto"/>
            <w:right w:val="none" w:sz="0" w:space="0" w:color="auto"/>
          </w:divBdr>
        </w:div>
        <w:div w:id="1502505793">
          <w:marLeft w:val="0"/>
          <w:marRight w:val="0"/>
          <w:marTop w:val="0"/>
          <w:marBottom w:val="0"/>
          <w:divBdr>
            <w:top w:val="none" w:sz="0" w:space="0" w:color="auto"/>
            <w:left w:val="none" w:sz="0" w:space="0" w:color="auto"/>
            <w:bottom w:val="none" w:sz="0" w:space="0" w:color="auto"/>
            <w:right w:val="none" w:sz="0" w:space="0" w:color="auto"/>
          </w:divBdr>
        </w:div>
        <w:div w:id="849375375">
          <w:marLeft w:val="0"/>
          <w:marRight w:val="0"/>
          <w:marTop w:val="0"/>
          <w:marBottom w:val="0"/>
          <w:divBdr>
            <w:top w:val="none" w:sz="0" w:space="0" w:color="auto"/>
            <w:left w:val="none" w:sz="0" w:space="0" w:color="auto"/>
            <w:bottom w:val="none" w:sz="0" w:space="0" w:color="auto"/>
            <w:right w:val="none" w:sz="0" w:space="0" w:color="auto"/>
          </w:divBdr>
        </w:div>
        <w:div w:id="1149394905">
          <w:marLeft w:val="0"/>
          <w:marRight w:val="0"/>
          <w:marTop w:val="0"/>
          <w:marBottom w:val="0"/>
          <w:divBdr>
            <w:top w:val="none" w:sz="0" w:space="0" w:color="auto"/>
            <w:left w:val="none" w:sz="0" w:space="0" w:color="auto"/>
            <w:bottom w:val="none" w:sz="0" w:space="0" w:color="auto"/>
            <w:right w:val="none" w:sz="0" w:space="0" w:color="auto"/>
          </w:divBdr>
        </w:div>
        <w:div w:id="576090831">
          <w:marLeft w:val="0"/>
          <w:marRight w:val="0"/>
          <w:marTop w:val="0"/>
          <w:marBottom w:val="0"/>
          <w:divBdr>
            <w:top w:val="none" w:sz="0" w:space="0" w:color="auto"/>
            <w:left w:val="none" w:sz="0" w:space="0" w:color="auto"/>
            <w:bottom w:val="none" w:sz="0" w:space="0" w:color="auto"/>
            <w:right w:val="none" w:sz="0" w:space="0" w:color="auto"/>
          </w:divBdr>
        </w:div>
      </w:divsChild>
    </w:div>
    <w:div w:id="630938460">
      <w:bodyDiv w:val="1"/>
      <w:marLeft w:val="0"/>
      <w:marRight w:val="0"/>
      <w:marTop w:val="0"/>
      <w:marBottom w:val="0"/>
      <w:divBdr>
        <w:top w:val="none" w:sz="0" w:space="0" w:color="auto"/>
        <w:left w:val="none" w:sz="0" w:space="0" w:color="auto"/>
        <w:bottom w:val="none" w:sz="0" w:space="0" w:color="auto"/>
        <w:right w:val="none" w:sz="0" w:space="0" w:color="auto"/>
      </w:divBdr>
    </w:div>
    <w:div w:id="634288312">
      <w:bodyDiv w:val="1"/>
      <w:marLeft w:val="0"/>
      <w:marRight w:val="0"/>
      <w:marTop w:val="0"/>
      <w:marBottom w:val="0"/>
      <w:divBdr>
        <w:top w:val="none" w:sz="0" w:space="0" w:color="auto"/>
        <w:left w:val="none" w:sz="0" w:space="0" w:color="auto"/>
        <w:bottom w:val="none" w:sz="0" w:space="0" w:color="auto"/>
        <w:right w:val="none" w:sz="0" w:space="0" w:color="auto"/>
      </w:divBdr>
    </w:div>
    <w:div w:id="724717256">
      <w:bodyDiv w:val="1"/>
      <w:marLeft w:val="0"/>
      <w:marRight w:val="0"/>
      <w:marTop w:val="0"/>
      <w:marBottom w:val="0"/>
      <w:divBdr>
        <w:top w:val="none" w:sz="0" w:space="0" w:color="auto"/>
        <w:left w:val="none" w:sz="0" w:space="0" w:color="auto"/>
        <w:bottom w:val="none" w:sz="0" w:space="0" w:color="auto"/>
        <w:right w:val="none" w:sz="0" w:space="0" w:color="auto"/>
      </w:divBdr>
      <w:divsChild>
        <w:div w:id="1042556098">
          <w:marLeft w:val="0"/>
          <w:marRight w:val="0"/>
          <w:marTop w:val="0"/>
          <w:marBottom w:val="0"/>
          <w:divBdr>
            <w:top w:val="none" w:sz="0" w:space="0" w:color="auto"/>
            <w:left w:val="none" w:sz="0" w:space="0" w:color="auto"/>
            <w:bottom w:val="none" w:sz="0" w:space="0" w:color="auto"/>
            <w:right w:val="none" w:sz="0" w:space="0" w:color="auto"/>
          </w:divBdr>
          <w:divsChild>
            <w:div w:id="1050760329">
              <w:marLeft w:val="0"/>
              <w:marRight w:val="0"/>
              <w:marTop w:val="0"/>
              <w:marBottom w:val="0"/>
              <w:divBdr>
                <w:top w:val="none" w:sz="0" w:space="0" w:color="auto"/>
                <w:left w:val="none" w:sz="0" w:space="0" w:color="auto"/>
                <w:bottom w:val="none" w:sz="0" w:space="0" w:color="auto"/>
                <w:right w:val="none" w:sz="0" w:space="0" w:color="auto"/>
              </w:divBdr>
              <w:divsChild>
                <w:div w:id="638269492">
                  <w:marLeft w:val="0"/>
                  <w:marRight w:val="0"/>
                  <w:marTop w:val="0"/>
                  <w:marBottom w:val="0"/>
                  <w:divBdr>
                    <w:top w:val="none" w:sz="0" w:space="0" w:color="auto"/>
                    <w:left w:val="none" w:sz="0" w:space="0" w:color="auto"/>
                    <w:bottom w:val="none" w:sz="0" w:space="0" w:color="auto"/>
                    <w:right w:val="none" w:sz="0" w:space="0" w:color="auto"/>
                  </w:divBdr>
                  <w:divsChild>
                    <w:div w:id="1149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292648">
      <w:bodyDiv w:val="1"/>
      <w:marLeft w:val="0"/>
      <w:marRight w:val="0"/>
      <w:marTop w:val="0"/>
      <w:marBottom w:val="0"/>
      <w:divBdr>
        <w:top w:val="none" w:sz="0" w:space="0" w:color="auto"/>
        <w:left w:val="none" w:sz="0" w:space="0" w:color="auto"/>
        <w:bottom w:val="none" w:sz="0" w:space="0" w:color="auto"/>
        <w:right w:val="none" w:sz="0" w:space="0" w:color="auto"/>
      </w:divBdr>
    </w:div>
    <w:div w:id="773130067">
      <w:bodyDiv w:val="1"/>
      <w:marLeft w:val="0"/>
      <w:marRight w:val="0"/>
      <w:marTop w:val="0"/>
      <w:marBottom w:val="0"/>
      <w:divBdr>
        <w:top w:val="none" w:sz="0" w:space="0" w:color="auto"/>
        <w:left w:val="none" w:sz="0" w:space="0" w:color="auto"/>
        <w:bottom w:val="none" w:sz="0" w:space="0" w:color="auto"/>
        <w:right w:val="none" w:sz="0" w:space="0" w:color="auto"/>
      </w:divBdr>
      <w:divsChild>
        <w:div w:id="1260412852">
          <w:marLeft w:val="0"/>
          <w:marRight w:val="0"/>
          <w:marTop w:val="0"/>
          <w:marBottom w:val="0"/>
          <w:divBdr>
            <w:top w:val="none" w:sz="0" w:space="0" w:color="auto"/>
            <w:left w:val="none" w:sz="0" w:space="0" w:color="auto"/>
            <w:bottom w:val="none" w:sz="0" w:space="0" w:color="auto"/>
            <w:right w:val="none" w:sz="0" w:space="0" w:color="auto"/>
          </w:divBdr>
          <w:divsChild>
            <w:div w:id="196508913">
              <w:marLeft w:val="0"/>
              <w:marRight w:val="0"/>
              <w:marTop w:val="0"/>
              <w:marBottom w:val="0"/>
              <w:divBdr>
                <w:top w:val="none" w:sz="0" w:space="0" w:color="auto"/>
                <w:left w:val="none" w:sz="0" w:space="0" w:color="auto"/>
                <w:bottom w:val="none" w:sz="0" w:space="0" w:color="auto"/>
                <w:right w:val="none" w:sz="0" w:space="0" w:color="auto"/>
              </w:divBdr>
              <w:divsChild>
                <w:div w:id="552547799">
                  <w:marLeft w:val="0"/>
                  <w:marRight w:val="0"/>
                  <w:marTop w:val="0"/>
                  <w:marBottom w:val="0"/>
                  <w:divBdr>
                    <w:top w:val="none" w:sz="0" w:space="0" w:color="auto"/>
                    <w:left w:val="none" w:sz="0" w:space="0" w:color="auto"/>
                    <w:bottom w:val="none" w:sz="0" w:space="0" w:color="auto"/>
                    <w:right w:val="none" w:sz="0" w:space="0" w:color="auto"/>
                  </w:divBdr>
                  <w:divsChild>
                    <w:div w:id="432942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0320981">
      <w:bodyDiv w:val="1"/>
      <w:marLeft w:val="0"/>
      <w:marRight w:val="0"/>
      <w:marTop w:val="0"/>
      <w:marBottom w:val="0"/>
      <w:divBdr>
        <w:top w:val="none" w:sz="0" w:space="0" w:color="auto"/>
        <w:left w:val="none" w:sz="0" w:space="0" w:color="auto"/>
        <w:bottom w:val="none" w:sz="0" w:space="0" w:color="auto"/>
        <w:right w:val="none" w:sz="0" w:space="0" w:color="auto"/>
      </w:divBdr>
      <w:divsChild>
        <w:div w:id="1997878097">
          <w:marLeft w:val="0"/>
          <w:marRight w:val="0"/>
          <w:marTop w:val="0"/>
          <w:marBottom w:val="0"/>
          <w:divBdr>
            <w:top w:val="none" w:sz="0" w:space="0" w:color="auto"/>
            <w:left w:val="none" w:sz="0" w:space="0" w:color="auto"/>
            <w:bottom w:val="none" w:sz="0" w:space="0" w:color="auto"/>
            <w:right w:val="none" w:sz="0" w:space="0" w:color="auto"/>
          </w:divBdr>
          <w:divsChild>
            <w:div w:id="1843425114">
              <w:marLeft w:val="0"/>
              <w:marRight w:val="0"/>
              <w:marTop w:val="0"/>
              <w:marBottom w:val="0"/>
              <w:divBdr>
                <w:top w:val="none" w:sz="0" w:space="0" w:color="auto"/>
                <w:left w:val="none" w:sz="0" w:space="0" w:color="auto"/>
                <w:bottom w:val="none" w:sz="0" w:space="0" w:color="auto"/>
                <w:right w:val="none" w:sz="0" w:space="0" w:color="auto"/>
              </w:divBdr>
              <w:divsChild>
                <w:div w:id="86384608">
                  <w:marLeft w:val="0"/>
                  <w:marRight w:val="0"/>
                  <w:marTop w:val="0"/>
                  <w:marBottom w:val="0"/>
                  <w:divBdr>
                    <w:top w:val="none" w:sz="0" w:space="0" w:color="auto"/>
                    <w:left w:val="none" w:sz="0" w:space="0" w:color="auto"/>
                    <w:bottom w:val="none" w:sz="0" w:space="0" w:color="auto"/>
                    <w:right w:val="none" w:sz="0" w:space="0" w:color="auto"/>
                  </w:divBdr>
                  <w:divsChild>
                    <w:div w:id="1135026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0515213">
      <w:bodyDiv w:val="1"/>
      <w:marLeft w:val="0"/>
      <w:marRight w:val="0"/>
      <w:marTop w:val="0"/>
      <w:marBottom w:val="0"/>
      <w:divBdr>
        <w:top w:val="none" w:sz="0" w:space="0" w:color="auto"/>
        <w:left w:val="none" w:sz="0" w:space="0" w:color="auto"/>
        <w:bottom w:val="none" w:sz="0" w:space="0" w:color="auto"/>
        <w:right w:val="none" w:sz="0" w:space="0" w:color="auto"/>
      </w:divBdr>
      <w:divsChild>
        <w:div w:id="1471556696">
          <w:marLeft w:val="0"/>
          <w:marRight w:val="0"/>
          <w:marTop w:val="0"/>
          <w:marBottom w:val="0"/>
          <w:divBdr>
            <w:top w:val="none" w:sz="0" w:space="0" w:color="auto"/>
            <w:left w:val="none" w:sz="0" w:space="0" w:color="auto"/>
            <w:bottom w:val="none" w:sz="0" w:space="0" w:color="auto"/>
            <w:right w:val="none" w:sz="0" w:space="0" w:color="auto"/>
          </w:divBdr>
        </w:div>
      </w:divsChild>
    </w:div>
    <w:div w:id="809861055">
      <w:bodyDiv w:val="1"/>
      <w:marLeft w:val="0"/>
      <w:marRight w:val="0"/>
      <w:marTop w:val="0"/>
      <w:marBottom w:val="0"/>
      <w:divBdr>
        <w:top w:val="none" w:sz="0" w:space="0" w:color="auto"/>
        <w:left w:val="none" w:sz="0" w:space="0" w:color="auto"/>
        <w:bottom w:val="none" w:sz="0" w:space="0" w:color="auto"/>
        <w:right w:val="none" w:sz="0" w:space="0" w:color="auto"/>
      </w:divBdr>
    </w:div>
    <w:div w:id="858734055">
      <w:bodyDiv w:val="1"/>
      <w:marLeft w:val="0"/>
      <w:marRight w:val="0"/>
      <w:marTop w:val="0"/>
      <w:marBottom w:val="0"/>
      <w:divBdr>
        <w:top w:val="none" w:sz="0" w:space="0" w:color="auto"/>
        <w:left w:val="none" w:sz="0" w:space="0" w:color="auto"/>
        <w:bottom w:val="none" w:sz="0" w:space="0" w:color="auto"/>
        <w:right w:val="none" w:sz="0" w:space="0" w:color="auto"/>
      </w:divBdr>
    </w:div>
    <w:div w:id="932515811">
      <w:bodyDiv w:val="1"/>
      <w:marLeft w:val="0"/>
      <w:marRight w:val="0"/>
      <w:marTop w:val="0"/>
      <w:marBottom w:val="0"/>
      <w:divBdr>
        <w:top w:val="none" w:sz="0" w:space="0" w:color="auto"/>
        <w:left w:val="none" w:sz="0" w:space="0" w:color="auto"/>
        <w:bottom w:val="none" w:sz="0" w:space="0" w:color="auto"/>
        <w:right w:val="none" w:sz="0" w:space="0" w:color="auto"/>
      </w:divBdr>
    </w:div>
    <w:div w:id="943072671">
      <w:bodyDiv w:val="1"/>
      <w:marLeft w:val="0"/>
      <w:marRight w:val="0"/>
      <w:marTop w:val="0"/>
      <w:marBottom w:val="0"/>
      <w:divBdr>
        <w:top w:val="none" w:sz="0" w:space="0" w:color="auto"/>
        <w:left w:val="none" w:sz="0" w:space="0" w:color="auto"/>
        <w:bottom w:val="none" w:sz="0" w:space="0" w:color="auto"/>
        <w:right w:val="none" w:sz="0" w:space="0" w:color="auto"/>
      </w:divBdr>
    </w:div>
    <w:div w:id="983122116">
      <w:bodyDiv w:val="1"/>
      <w:marLeft w:val="0"/>
      <w:marRight w:val="0"/>
      <w:marTop w:val="0"/>
      <w:marBottom w:val="0"/>
      <w:divBdr>
        <w:top w:val="none" w:sz="0" w:space="0" w:color="auto"/>
        <w:left w:val="none" w:sz="0" w:space="0" w:color="auto"/>
        <w:bottom w:val="none" w:sz="0" w:space="0" w:color="auto"/>
        <w:right w:val="none" w:sz="0" w:space="0" w:color="auto"/>
      </w:divBdr>
      <w:divsChild>
        <w:div w:id="274680265">
          <w:marLeft w:val="0"/>
          <w:marRight w:val="0"/>
          <w:marTop w:val="0"/>
          <w:marBottom w:val="0"/>
          <w:divBdr>
            <w:top w:val="none" w:sz="0" w:space="0" w:color="auto"/>
            <w:left w:val="none" w:sz="0" w:space="0" w:color="auto"/>
            <w:bottom w:val="none" w:sz="0" w:space="0" w:color="auto"/>
            <w:right w:val="none" w:sz="0" w:space="0" w:color="auto"/>
          </w:divBdr>
          <w:divsChild>
            <w:div w:id="2065912344">
              <w:marLeft w:val="0"/>
              <w:marRight w:val="0"/>
              <w:marTop w:val="0"/>
              <w:marBottom w:val="0"/>
              <w:divBdr>
                <w:top w:val="none" w:sz="0" w:space="0" w:color="auto"/>
                <w:left w:val="none" w:sz="0" w:space="0" w:color="auto"/>
                <w:bottom w:val="none" w:sz="0" w:space="0" w:color="auto"/>
                <w:right w:val="none" w:sz="0" w:space="0" w:color="auto"/>
              </w:divBdr>
              <w:divsChild>
                <w:div w:id="1104039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629355">
      <w:bodyDiv w:val="1"/>
      <w:marLeft w:val="0"/>
      <w:marRight w:val="0"/>
      <w:marTop w:val="0"/>
      <w:marBottom w:val="0"/>
      <w:divBdr>
        <w:top w:val="none" w:sz="0" w:space="0" w:color="auto"/>
        <w:left w:val="none" w:sz="0" w:space="0" w:color="auto"/>
        <w:bottom w:val="none" w:sz="0" w:space="0" w:color="auto"/>
        <w:right w:val="none" w:sz="0" w:space="0" w:color="auto"/>
      </w:divBdr>
    </w:div>
    <w:div w:id="993220301">
      <w:bodyDiv w:val="1"/>
      <w:marLeft w:val="0"/>
      <w:marRight w:val="0"/>
      <w:marTop w:val="0"/>
      <w:marBottom w:val="0"/>
      <w:divBdr>
        <w:top w:val="none" w:sz="0" w:space="0" w:color="auto"/>
        <w:left w:val="none" w:sz="0" w:space="0" w:color="auto"/>
        <w:bottom w:val="none" w:sz="0" w:space="0" w:color="auto"/>
        <w:right w:val="none" w:sz="0" w:space="0" w:color="auto"/>
      </w:divBdr>
    </w:div>
    <w:div w:id="996416141">
      <w:bodyDiv w:val="1"/>
      <w:marLeft w:val="0"/>
      <w:marRight w:val="0"/>
      <w:marTop w:val="0"/>
      <w:marBottom w:val="0"/>
      <w:divBdr>
        <w:top w:val="none" w:sz="0" w:space="0" w:color="auto"/>
        <w:left w:val="none" w:sz="0" w:space="0" w:color="auto"/>
        <w:bottom w:val="none" w:sz="0" w:space="0" w:color="auto"/>
        <w:right w:val="none" w:sz="0" w:space="0" w:color="auto"/>
      </w:divBdr>
    </w:div>
    <w:div w:id="1004742548">
      <w:bodyDiv w:val="1"/>
      <w:marLeft w:val="0"/>
      <w:marRight w:val="0"/>
      <w:marTop w:val="0"/>
      <w:marBottom w:val="0"/>
      <w:divBdr>
        <w:top w:val="none" w:sz="0" w:space="0" w:color="auto"/>
        <w:left w:val="none" w:sz="0" w:space="0" w:color="auto"/>
        <w:bottom w:val="none" w:sz="0" w:space="0" w:color="auto"/>
        <w:right w:val="none" w:sz="0" w:space="0" w:color="auto"/>
      </w:divBdr>
      <w:divsChild>
        <w:div w:id="1424839724">
          <w:marLeft w:val="0"/>
          <w:marRight w:val="0"/>
          <w:marTop w:val="0"/>
          <w:marBottom w:val="0"/>
          <w:divBdr>
            <w:top w:val="none" w:sz="0" w:space="0" w:color="auto"/>
            <w:left w:val="none" w:sz="0" w:space="0" w:color="auto"/>
            <w:bottom w:val="none" w:sz="0" w:space="0" w:color="auto"/>
            <w:right w:val="none" w:sz="0" w:space="0" w:color="auto"/>
          </w:divBdr>
          <w:divsChild>
            <w:div w:id="972058484">
              <w:marLeft w:val="0"/>
              <w:marRight w:val="0"/>
              <w:marTop w:val="0"/>
              <w:marBottom w:val="0"/>
              <w:divBdr>
                <w:top w:val="none" w:sz="0" w:space="0" w:color="auto"/>
                <w:left w:val="none" w:sz="0" w:space="0" w:color="auto"/>
                <w:bottom w:val="none" w:sz="0" w:space="0" w:color="auto"/>
                <w:right w:val="none" w:sz="0" w:space="0" w:color="auto"/>
              </w:divBdr>
              <w:divsChild>
                <w:div w:id="1507550600">
                  <w:marLeft w:val="0"/>
                  <w:marRight w:val="0"/>
                  <w:marTop w:val="0"/>
                  <w:marBottom w:val="0"/>
                  <w:divBdr>
                    <w:top w:val="none" w:sz="0" w:space="0" w:color="auto"/>
                    <w:left w:val="none" w:sz="0" w:space="0" w:color="auto"/>
                    <w:bottom w:val="none" w:sz="0" w:space="0" w:color="auto"/>
                    <w:right w:val="none" w:sz="0" w:space="0" w:color="auto"/>
                  </w:divBdr>
                  <w:divsChild>
                    <w:div w:id="165603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8853041">
      <w:bodyDiv w:val="1"/>
      <w:marLeft w:val="0"/>
      <w:marRight w:val="0"/>
      <w:marTop w:val="0"/>
      <w:marBottom w:val="0"/>
      <w:divBdr>
        <w:top w:val="none" w:sz="0" w:space="0" w:color="auto"/>
        <w:left w:val="none" w:sz="0" w:space="0" w:color="auto"/>
        <w:bottom w:val="none" w:sz="0" w:space="0" w:color="auto"/>
        <w:right w:val="none" w:sz="0" w:space="0" w:color="auto"/>
      </w:divBdr>
    </w:div>
    <w:div w:id="1051729835">
      <w:bodyDiv w:val="1"/>
      <w:marLeft w:val="0"/>
      <w:marRight w:val="0"/>
      <w:marTop w:val="0"/>
      <w:marBottom w:val="0"/>
      <w:divBdr>
        <w:top w:val="none" w:sz="0" w:space="0" w:color="auto"/>
        <w:left w:val="none" w:sz="0" w:space="0" w:color="auto"/>
        <w:bottom w:val="none" w:sz="0" w:space="0" w:color="auto"/>
        <w:right w:val="none" w:sz="0" w:space="0" w:color="auto"/>
      </w:divBdr>
      <w:divsChild>
        <w:div w:id="947155884">
          <w:marLeft w:val="0"/>
          <w:marRight w:val="0"/>
          <w:marTop w:val="0"/>
          <w:marBottom w:val="0"/>
          <w:divBdr>
            <w:top w:val="none" w:sz="0" w:space="0" w:color="auto"/>
            <w:left w:val="none" w:sz="0" w:space="0" w:color="auto"/>
            <w:bottom w:val="none" w:sz="0" w:space="0" w:color="auto"/>
            <w:right w:val="none" w:sz="0" w:space="0" w:color="auto"/>
          </w:divBdr>
          <w:divsChild>
            <w:div w:id="1909341863">
              <w:marLeft w:val="0"/>
              <w:marRight w:val="0"/>
              <w:marTop w:val="0"/>
              <w:marBottom w:val="0"/>
              <w:divBdr>
                <w:top w:val="none" w:sz="0" w:space="0" w:color="auto"/>
                <w:left w:val="none" w:sz="0" w:space="0" w:color="auto"/>
                <w:bottom w:val="none" w:sz="0" w:space="0" w:color="auto"/>
                <w:right w:val="none" w:sz="0" w:space="0" w:color="auto"/>
              </w:divBdr>
              <w:divsChild>
                <w:div w:id="211812458">
                  <w:marLeft w:val="0"/>
                  <w:marRight w:val="0"/>
                  <w:marTop w:val="0"/>
                  <w:marBottom w:val="0"/>
                  <w:divBdr>
                    <w:top w:val="none" w:sz="0" w:space="0" w:color="auto"/>
                    <w:left w:val="none" w:sz="0" w:space="0" w:color="auto"/>
                    <w:bottom w:val="none" w:sz="0" w:space="0" w:color="auto"/>
                    <w:right w:val="none" w:sz="0" w:space="0" w:color="auto"/>
                  </w:divBdr>
                  <w:divsChild>
                    <w:div w:id="451477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0612814">
      <w:bodyDiv w:val="1"/>
      <w:marLeft w:val="0"/>
      <w:marRight w:val="0"/>
      <w:marTop w:val="0"/>
      <w:marBottom w:val="0"/>
      <w:divBdr>
        <w:top w:val="none" w:sz="0" w:space="0" w:color="auto"/>
        <w:left w:val="none" w:sz="0" w:space="0" w:color="auto"/>
        <w:bottom w:val="none" w:sz="0" w:space="0" w:color="auto"/>
        <w:right w:val="none" w:sz="0" w:space="0" w:color="auto"/>
      </w:divBdr>
    </w:div>
    <w:div w:id="1109936679">
      <w:bodyDiv w:val="1"/>
      <w:marLeft w:val="0"/>
      <w:marRight w:val="0"/>
      <w:marTop w:val="0"/>
      <w:marBottom w:val="0"/>
      <w:divBdr>
        <w:top w:val="none" w:sz="0" w:space="0" w:color="auto"/>
        <w:left w:val="none" w:sz="0" w:space="0" w:color="auto"/>
        <w:bottom w:val="none" w:sz="0" w:space="0" w:color="auto"/>
        <w:right w:val="none" w:sz="0" w:space="0" w:color="auto"/>
      </w:divBdr>
    </w:div>
    <w:div w:id="1118646902">
      <w:bodyDiv w:val="1"/>
      <w:marLeft w:val="0"/>
      <w:marRight w:val="0"/>
      <w:marTop w:val="0"/>
      <w:marBottom w:val="0"/>
      <w:divBdr>
        <w:top w:val="none" w:sz="0" w:space="0" w:color="auto"/>
        <w:left w:val="none" w:sz="0" w:space="0" w:color="auto"/>
        <w:bottom w:val="none" w:sz="0" w:space="0" w:color="auto"/>
        <w:right w:val="none" w:sz="0" w:space="0" w:color="auto"/>
      </w:divBdr>
    </w:div>
    <w:div w:id="1164275818">
      <w:bodyDiv w:val="1"/>
      <w:marLeft w:val="0"/>
      <w:marRight w:val="0"/>
      <w:marTop w:val="0"/>
      <w:marBottom w:val="0"/>
      <w:divBdr>
        <w:top w:val="none" w:sz="0" w:space="0" w:color="auto"/>
        <w:left w:val="none" w:sz="0" w:space="0" w:color="auto"/>
        <w:bottom w:val="none" w:sz="0" w:space="0" w:color="auto"/>
        <w:right w:val="none" w:sz="0" w:space="0" w:color="auto"/>
      </w:divBdr>
    </w:div>
    <w:div w:id="1238396188">
      <w:bodyDiv w:val="1"/>
      <w:marLeft w:val="0"/>
      <w:marRight w:val="0"/>
      <w:marTop w:val="0"/>
      <w:marBottom w:val="0"/>
      <w:divBdr>
        <w:top w:val="none" w:sz="0" w:space="0" w:color="auto"/>
        <w:left w:val="none" w:sz="0" w:space="0" w:color="auto"/>
        <w:bottom w:val="none" w:sz="0" w:space="0" w:color="auto"/>
        <w:right w:val="none" w:sz="0" w:space="0" w:color="auto"/>
      </w:divBdr>
    </w:div>
    <w:div w:id="1293704553">
      <w:bodyDiv w:val="1"/>
      <w:marLeft w:val="0"/>
      <w:marRight w:val="0"/>
      <w:marTop w:val="0"/>
      <w:marBottom w:val="0"/>
      <w:divBdr>
        <w:top w:val="none" w:sz="0" w:space="0" w:color="auto"/>
        <w:left w:val="none" w:sz="0" w:space="0" w:color="auto"/>
        <w:bottom w:val="none" w:sz="0" w:space="0" w:color="auto"/>
        <w:right w:val="none" w:sz="0" w:space="0" w:color="auto"/>
      </w:divBdr>
    </w:div>
    <w:div w:id="1314407250">
      <w:bodyDiv w:val="1"/>
      <w:marLeft w:val="0"/>
      <w:marRight w:val="0"/>
      <w:marTop w:val="0"/>
      <w:marBottom w:val="0"/>
      <w:divBdr>
        <w:top w:val="none" w:sz="0" w:space="0" w:color="auto"/>
        <w:left w:val="none" w:sz="0" w:space="0" w:color="auto"/>
        <w:bottom w:val="none" w:sz="0" w:space="0" w:color="auto"/>
        <w:right w:val="none" w:sz="0" w:space="0" w:color="auto"/>
      </w:divBdr>
    </w:div>
    <w:div w:id="1331103864">
      <w:bodyDiv w:val="1"/>
      <w:marLeft w:val="0"/>
      <w:marRight w:val="0"/>
      <w:marTop w:val="0"/>
      <w:marBottom w:val="0"/>
      <w:divBdr>
        <w:top w:val="none" w:sz="0" w:space="0" w:color="auto"/>
        <w:left w:val="none" w:sz="0" w:space="0" w:color="auto"/>
        <w:bottom w:val="none" w:sz="0" w:space="0" w:color="auto"/>
        <w:right w:val="none" w:sz="0" w:space="0" w:color="auto"/>
      </w:divBdr>
    </w:div>
    <w:div w:id="1348092929">
      <w:bodyDiv w:val="1"/>
      <w:marLeft w:val="0"/>
      <w:marRight w:val="0"/>
      <w:marTop w:val="0"/>
      <w:marBottom w:val="0"/>
      <w:divBdr>
        <w:top w:val="none" w:sz="0" w:space="0" w:color="auto"/>
        <w:left w:val="none" w:sz="0" w:space="0" w:color="auto"/>
        <w:bottom w:val="none" w:sz="0" w:space="0" w:color="auto"/>
        <w:right w:val="none" w:sz="0" w:space="0" w:color="auto"/>
      </w:divBdr>
    </w:div>
    <w:div w:id="1430813612">
      <w:bodyDiv w:val="1"/>
      <w:marLeft w:val="0"/>
      <w:marRight w:val="0"/>
      <w:marTop w:val="0"/>
      <w:marBottom w:val="0"/>
      <w:divBdr>
        <w:top w:val="none" w:sz="0" w:space="0" w:color="auto"/>
        <w:left w:val="none" w:sz="0" w:space="0" w:color="auto"/>
        <w:bottom w:val="none" w:sz="0" w:space="0" w:color="auto"/>
        <w:right w:val="none" w:sz="0" w:space="0" w:color="auto"/>
      </w:divBdr>
    </w:div>
    <w:div w:id="1458714824">
      <w:bodyDiv w:val="1"/>
      <w:marLeft w:val="0"/>
      <w:marRight w:val="0"/>
      <w:marTop w:val="0"/>
      <w:marBottom w:val="0"/>
      <w:divBdr>
        <w:top w:val="none" w:sz="0" w:space="0" w:color="auto"/>
        <w:left w:val="none" w:sz="0" w:space="0" w:color="auto"/>
        <w:bottom w:val="none" w:sz="0" w:space="0" w:color="auto"/>
        <w:right w:val="none" w:sz="0" w:space="0" w:color="auto"/>
      </w:divBdr>
    </w:div>
    <w:div w:id="1477264318">
      <w:bodyDiv w:val="1"/>
      <w:marLeft w:val="0"/>
      <w:marRight w:val="0"/>
      <w:marTop w:val="0"/>
      <w:marBottom w:val="0"/>
      <w:divBdr>
        <w:top w:val="none" w:sz="0" w:space="0" w:color="auto"/>
        <w:left w:val="none" w:sz="0" w:space="0" w:color="auto"/>
        <w:bottom w:val="none" w:sz="0" w:space="0" w:color="auto"/>
        <w:right w:val="none" w:sz="0" w:space="0" w:color="auto"/>
      </w:divBdr>
    </w:div>
    <w:div w:id="1519465003">
      <w:bodyDiv w:val="1"/>
      <w:marLeft w:val="0"/>
      <w:marRight w:val="0"/>
      <w:marTop w:val="0"/>
      <w:marBottom w:val="0"/>
      <w:divBdr>
        <w:top w:val="none" w:sz="0" w:space="0" w:color="auto"/>
        <w:left w:val="none" w:sz="0" w:space="0" w:color="auto"/>
        <w:bottom w:val="none" w:sz="0" w:space="0" w:color="auto"/>
        <w:right w:val="none" w:sz="0" w:space="0" w:color="auto"/>
      </w:divBdr>
    </w:div>
    <w:div w:id="1655915158">
      <w:bodyDiv w:val="1"/>
      <w:marLeft w:val="0"/>
      <w:marRight w:val="0"/>
      <w:marTop w:val="0"/>
      <w:marBottom w:val="0"/>
      <w:divBdr>
        <w:top w:val="none" w:sz="0" w:space="0" w:color="auto"/>
        <w:left w:val="none" w:sz="0" w:space="0" w:color="auto"/>
        <w:bottom w:val="none" w:sz="0" w:space="0" w:color="auto"/>
        <w:right w:val="none" w:sz="0" w:space="0" w:color="auto"/>
      </w:divBdr>
    </w:div>
    <w:div w:id="1662541294">
      <w:bodyDiv w:val="1"/>
      <w:marLeft w:val="0"/>
      <w:marRight w:val="0"/>
      <w:marTop w:val="0"/>
      <w:marBottom w:val="0"/>
      <w:divBdr>
        <w:top w:val="none" w:sz="0" w:space="0" w:color="auto"/>
        <w:left w:val="none" w:sz="0" w:space="0" w:color="auto"/>
        <w:bottom w:val="none" w:sz="0" w:space="0" w:color="auto"/>
        <w:right w:val="none" w:sz="0" w:space="0" w:color="auto"/>
      </w:divBdr>
    </w:div>
    <w:div w:id="1688369097">
      <w:bodyDiv w:val="1"/>
      <w:marLeft w:val="0"/>
      <w:marRight w:val="0"/>
      <w:marTop w:val="0"/>
      <w:marBottom w:val="0"/>
      <w:divBdr>
        <w:top w:val="none" w:sz="0" w:space="0" w:color="auto"/>
        <w:left w:val="none" w:sz="0" w:space="0" w:color="auto"/>
        <w:bottom w:val="none" w:sz="0" w:space="0" w:color="auto"/>
        <w:right w:val="none" w:sz="0" w:space="0" w:color="auto"/>
      </w:divBdr>
    </w:div>
    <w:div w:id="1702170145">
      <w:bodyDiv w:val="1"/>
      <w:marLeft w:val="0"/>
      <w:marRight w:val="0"/>
      <w:marTop w:val="0"/>
      <w:marBottom w:val="0"/>
      <w:divBdr>
        <w:top w:val="none" w:sz="0" w:space="0" w:color="auto"/>
        <w:left w:val="none" w:sz="0" w:space="0" w:color="auto"/>
        <w:bottom w:val="none" w:sz="0" w:space="0" w:color="auto"/>
        <w:right w:val="none" w:sz="0" w:space="0" w:color="auto"/>
      </w:divBdr>
    </w:div>
    <w:div w:id="1725786698">
      <w:bodyDiv w:val="1"/>
      <w:marLeft w:val="0"/>
      <w:marRight w:val="0"/>
      <w:marTop w:val="0"/>
      <w:marBottom w:val="0"/>
      <w:divBdr>
        <w:top w:val="none" w:sz="0" w:space="0" w:color="auto"/>
        <w:left w:val="none" w:sz="0" w:space="0" w:color="auto"/>
        <w:bottom w:val="none" w:sz="0" w:space="0" w:color="auto"/>
        <w:right w:val="none" w:sz="0" w:space="0" w:color="auto"/>
      </w:divBdr>
    </w:div>
    <w:div w:id="1741905951">
      <w:bodyDiv w:val="1"/>
      <w:marLeft w:val="0"/>
      <w:marRight w:val="0"/>
      <w:marTop w:val="0"/>
      <w:marBottom w:val="0"/>
      <w:divBdr>
        <w:top w:val="none" w:sz="0" w:space="0" w:color="auto"/>
        <w:left w:val="none" w:sz="0" w:space="0" w:color="auto"/>
        <w:bottom w:val="none" w:sz="0" w:space="0" w:color="auto"/>
        <w:right w:val="none" w:sz="0" w:space="0" w:color="auto"/>
      </w:divBdr>
      <w:divsChild>
        <w:div w:id="1124159600">
          <w:marLeft w:val="0"/>
          <w:marRight w:val="0"/>
          <w:marTop w:val="0"/>
          <w:marBottom w:val="0"/>
          <w:divBdr>
            <w:top w:val="none" w:sz="0" w:space="0" w:color="auto"/>
            <w:left w:val="none" w:sz="0" w:space="0" w:color="auto"/>
            <w:bottom w:val="none" w:sz="0" w:space="0" w:color="auto"/>
            <w:right w:val="none" w:sz="0" w:space="0" w:color="auto"/>
          </w:divBdr>
        </w:div>
      </w:divsChild>
    </w:div>
    <w:div w:id="1770006728">
      <w:bodyDiv w:val="1"/>
      <w:marLeft w:val="0"/>
      <w:marRight w:val="0"/>
      <w:marTop w:val="0"/>
      <w:marBottom w:val="0"/>
      <w:divBdr>
        <w:top w:val="none" w:sz="0" w:space="0" w:color="auto"/>
        <w:left w:val="none" w:sz="0" w:space="0" w:color="auto"/>
        <w:bottom w:val="none" w:sz="0" w:space="0" w:color="auto"/>
        <w:right w:val="none" w:sz="0" w:space="0" w:color="auto"/>
      </w:divBdr>
    </w:div>
    <w:div w:id="1835103771">
      <w:bodyDiv w:val="1"/>
      <w:marLeft w:val="0"/>
      <w:marRight w:val="0"/>
      <w:marTop w:val="0"/>
      <w:marBottom w:val="0"/>
      <w:divBdr>
        <w:top w:val="none" w:sz="0" w:space="0" w:color="auto"/>
        <w:left w:val="none" w:sz="0" w:space="0" w:color="auto"/>
        <w:bottom w:val="none" w:sz="0" w:space="0" w:color="auto"/>
        <w:right w:val="none" w:sz="0" w:space="0" w:color="auto"/>
      </w:divBdr>
    </w:div>
    <w:div w:id="1842817058">
      <w:bodyDiv w:val="1"/>
      <w:marLeft w:val="0"/>
      <w:marRight w:val="0"/>
      <w:marTop w:val="0"/>
      <w:marBottom w:val="0"/>
      <w:divBdr>
        <w:top w:val="none" w:sz="0" w:space="0" w:color="auto"/>
        <w:left w:val="none" w:sz="0" w:space="0" w:color="auto"/>
        <w:bottom w:val="none" w:sz="0" w:space="0" w:color="auto"/>
        <w:right w:val="none" w:sz="0" w:space="0" w:color="auto"/>
      </w:divBdr>
    </w:div>
    <w:div w:id="1870796094">
      <w:bodyDiv w:val="1"/>
      <w:marLeft w:val="0"/>
      <w:marRight w:val="0"/>
      <w:marTop w:val="0"/>
      <w:marBottom w:val="0"/>
      <w:divBdr>
        <w:top w:val="none" w:sz="0" w:space="0" w:color="auto"/>
        <w:left w:val="none" w:sz="0" w:space="0" w:color="auto"/>
        <w:bottom w:val="none" w:sz="0" w:space="0" w:color="auto"/>
        <w:right w:val="none" w:sz="0" w:space="0" w:color="auto"/>
      </w:divBdr>
      <w:divsChild>
        <w:div w:id="1892426390">
          <w:marLeft w:val="0"/>
          <w:marRight w:val="0"/>
          <w:marTop w:val="0"/>
          <w:marBottom w:val="0"/>
          <w:divBdr>
            <w:top w:val="none" w:sz="0" w:space="0" w:color="auto"/>
            <w:left w:val="none" w:sz="0" w:space="0" w:color="auto"/>
            <w:bottom w:val="none" w:sz="0" w:space="0" w:color="auto"/>
            <w:right w:val="none" w:sz="0" w:space="0" w:color="auto"/>
          </w:divBdr>
        </w:div>
        <w:div w:id="1905334454">
          <w:marLeft w:val="0"/>
          <w:marRight w:val="0"/>
          <w:marTop w:val="0"/>
          <w:marBottom w:val="0"/>
          <w:divBdr>
            <w:top w:val="none" w:sz="0" w:space="0" w:color="auto"/>
            <w:left w:val="none" w:sz="0" w:space="0" w:color="auto"/>
            <w:bottom w:val="none" w:sz="0" w:space="0" w:color="auto"/>
            <w:right w:val="none" w:sz="0" w:space="0" w:color="auto"/>
          </w:divBdr>
        </w:div>
        <w:div w:id="1353535254">
          <w:marLeft w:val="0"/>
          <w:marRight w:val="0"/>
          <w:marTop w:val="0"/>
          <w:marBottom w:val="0"/>
          <w:divBdr>
            <w:top w:val="none" w:sz="0" w:space="0" w:color="auto"/>
            <w:left w:val="none" w:sz="0" w:space="0" w:color="auto"/>
            <w:bottom w:val="none" w:sz="0" w:space="0" w:color="auto"/>
            <w:right w:val="none" w:sz="0" w:space="0" w:color="auto"/>
          </w:divBdr>
          <w:divsChild>
            <w:div w:id="176769600">
              <w:marLeft w:val="0"/>
              <w:marRight w:val="0"/>
              <w:marTop w:val="0"/>
              <w:marBottom w:val="0"/>
              <w:divBdr>
                <w:top w:val="none" w:sz="0" w:space="0" w:color="auto"/>
                <w:left w:val="none" w:sz="0" w:space="0" w:color="auto"/>
                <w:bottom w:val="none" w:sz="0" w:space="0" w:color="auto"/>
                <w:right w:val="none" w:sz="0" w:space="0" w:color="auto"/>
              </w:divBdr>
            </w:div>
            <w:div w:id="306512801">
              <w:marLeft w:val="0"/>
              <w:marRight w:val="0"/>
              <w:marTop w:val="0"/>
              <w:marBottom w:val="0"/>
              <w:divBdr>
                <w:top w:val="none" w:sz="0" w:space="0" w:color="auto"/>
                <w:left w:val="none" w:sz="0" w:space="0" w:color="auto"/>
                <w:bottom w:val="none" w:sz="0" w:space="0" w:color="auto"/>
                <w:right w:val="none" w:sz="0" w:space="0" w:color="auto"/>
              </w:divBdr>
            </w:div>
            <w:div w:id="1090346847">
              <w:marLeft w:val="0"/>
              <w:marRight w:val="0"/>
              <w:marTop w:val="0"/>
              <w:marBottom w:val="0"/>
              <w:divBdr>
                <w:top w:val="none" w:sz="0" w:space="0" w:color="auto"/>
                <w:left w:val="none" w:sz="0" w:space="0" w:color="auto"/>
                <w:bottom w:val="none" w:sz="0" w:space="0" w:color="auto"/>
                <w:right w:val="none" w:sz="0" w:space="0" w:color="auto"/>
              </w:divBdr>
            </w:div>
            <w:div w:id="1404529556">
              <w:marLeft w:val="0"/>
              <w:marRight w:val="0"/>
              <w:marTop w:val="0"/>
              <w:marBottom w:val="0"/>
              <w:divBdr>
                <w:top w:val="none" w:sz="0" w:space="0" w:color="auto"/>
                <w:left w:val="none" w:sz="0" w:space="0" w:color="auto"/>
                <w:bottom w:val="none" w:sz="0" w:space="0" w:color="auto"/>
                <w:right w:val="none" w:sz="0" w:space="0" w:color="auto"/>
              </w:divBdr>
            </w:div>
            <w:div w:id="1868325006">
              <w:marLeft w:val="0"/>
              <w:marRight w:val="0"/>
              <w:marTop w:val="0"/>
              <w:marBottom w:val="0"/>
              <w:divBdr>
                <w:top w:val="none" w:sz="0" w:space="0" w:color="auto"/>
                <w:left w:val="none" w:sz="0" w:space="0" w:color="auto"/>
                <w:bottom w:val="none" w:sz="0" w:space="0" w:color="auto"/>
                <w:right w:val="none" w:sz="0" w:space="0" w:color="auto"/>
              </w:divBdr>
              <w:divsChild>
                <w:div w:id="1173840064">
                  <w:marLeft w:val="0"/>
                  <w:marRight w:val="0"/>
                  <w:marTop w:val="0"/>
                  <w:marBottom w:val="0"/>
                  <w:divBdr>
                    <w:top w:val="none" w:sz="0" w:space="0" w:color="auto"/>
                    <w:left w:val="none" w:sz="0" w:space="0" w:color="auto"/>
                    <w:bottom w:val="none" w:sz="0" w:space="0" w:color="auto"/>
                    <w:right w:val="none" w:sz="0" w:space="0" w:color="auto"/>
                  </w:divBdr>
                </w:div>
                <w:div w:id="1201817814">
                  <w:marLeft w:val="0"/>
                  <w:marRight w:val="0"/>
                  <w:marTop w:val="0"/>
                  <w:marBottom w:val="0"/>
                  <w:divBdr>
                    <w:top w:val="none" w:sz="0" w:space="0" w:color="auto"/>
                    <w:left w:val="none" w:sz="0" w:space="0" w:color="auto"/>
                    <w:bottom w:val="none" w:sz="0" w:space="0" w:color="auto"/>
                    <w:right w:val="none" w:sz="0" w:space="0" w:color="auto"/>
                  </w:divBdr>
                </w:div>
                <w:div w:id="1239361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674467">
          <w:marLeft w:val="0"/>
          <w:marRight w:val="0"/>
          <w:marTop w:val="0"/>
          <w:marBottom w:val="0"/>
          <w:divBdr>
            <w:top w:val="none" w:sz="0" w:space="0" w:color="auto"/>
            <w:left w:val="none" w:sz="0" w:space="0" w:color="auto"/>
            <w:bottom w:val="none" w:sz="0" w:space="0" w:color="auto"/>
            <w:right w:val="none" w:sz="0" w:space="0" w:color="auto"/>
          </w:divBdr>
          <w:divsChild>
            <w:div w:id="535235039">
              <w:marLeft w:val="0"/>
              <w:marRight w:val="0"/>
              <w:marTop w:val="0"/>
              <w:marBottom w:val="0"/>
              <w:divBdr>
                <w:top w:val="none" w:sz="0" w:space="0" w:color="auto"/>
                <w:left w:val="none" w:sz="0" w:space="0" w:color="auto"/>
                <w:bottom w:val="none" w:sz="0" w:space="0" w:color="auto"/>
                <w:right w:val="none" w:sz="0" w:space="0" w:color="auto"/>
              </w:divBdr>
            </w:div>
          </w:divsChild>
        </w:div>
        <w:div w:id="1774281518">
          <w:marLeft w:val="0"/>
          <w:marRight w:val="0"/>
          <w:marTop w:val="0"/>
          <w:marBottom w:val="0"/>
          <w:divBdr>
            <w:top w:val="none" w:sz="0" w:space="0" w:color="auto"/>
            <w:left w:val="none" w:sz="0" w:space="0" w:color="auto"/>
            <w:bottom w:val="none" w:sz="0" w:space="0" w:color="auto"/>
            <w:right w:val="none" w:sz="0" w:space="0" w:color="auto"/>
          </w:divBdr>
        </w:div>
      </w:divsChild>
    </w:div>
    <w:div w:id="1916821798">
      <w:bodyDiv w:val="1"/>
      <w:marLeft w:val="0"/>
      <w:marRight w:val="0"/>
      <w:marTop w:val="0"/>
      <w:marBottom w:val="0"/>
      <w:divBdr>
        <w:top w:val="none" w:sz="0" w:space="0" w:color="auto"/>
        <w:left w:val="none" w:sz="0" w:space="0" w:color="auto"/>
        <w:bottom w:val="none" w:sz="0" w:space="0" w:color="auto"/>
        <w:right w:val="none" w:sz="0" w:space="0" w:color="auto"/>
      </w:divBdr>
    </w:div>
    <w:div w:id="1937326111">
      <w:bodyDiv w:val="1"/>
      <w:marLeft w:val="0"/>
      <w:marRight w:val="0"/>
      <w:marTop w:val="0"/>
      <w:marBottom w:val="0"/>
      <w:divBdr>
        <w:top w:val="none" w:sz="0" w:space="0" w:color="auto"/>
        <w:left w:val="none" w:sz="0" w:space="0" w:color="auto"/>
        <w:bottom w:val="none" w:sz="0" w:space="0" w:color="auto"/>
        <w:right w:val="none" w:sz="0" w:space="0" w:color="auto"/>
      </w:divBdr>
    </w:div>
    <w:div w:id="1944996504">
      <w:bodyDiv w:val="1"/>
      <w:marLeft w:val="0"/>
      <w:marRight w:val="0"/>
      <w:marTop w:val="0"/>
      <w:marBottom w:val="0"/>
      <w:divBdr>
        <w:top w:val="none" w:sz="0" w:space="0" w:color="auto"/>
        <w:left w:val="none" w:sz="0" w:space="0" w:color="auto"/>
        <w:bottom w:val="none" w:sz="0" w:space="0" w:color="auto"/>
        <w:right w:val="none" w:sz="0" w:space="0" w:color="auto"/>
      </w:divBdr>
    </w:div>
    <w:div w:id="1964462997">
      <w:bodyDiv w:val="1"/>
      <w:marLeft w:val="0"/>
      <w:marRight w:val="0"/>
      <w:marTop w:val="0"/>
      <w:marBottom w:val="0"/>
      <w:divBdr>
        <w:top w:val="none" w:sz="0" w:space="0" w:color="auto"/>
        <w:left w:val="none" w:sz="0" w:space="0" w:color="auto"/>
        <w:bottom w:val="none" w:sz="0" w:space="0" w:color="auto"/>
        <w:right w:val="none" w:sz="0" w:space="0" w:color="auto"/>
      </w:divBdr>
      <w:divsChild>
        <w:div w:id="1548371332">
          <w:marLeft w:val="0"/>
          <w:marRight w:val="0"/>
          <w:marTop w:val="0"/>
          <w:marBottom w:val="0"/>
          <w:divBdr>
            <w:top w:val="none" w:sz="0" w:space="0" w:color="auto"/>
            <w:left w:val="none" w:sz="0" w:space="0" w:color="auto"/>
            <w:bottom w:val="none" w:sz="0" w:space="0" w:color="auto"/>
            <w:right w:val="none" w:sz="0" w:space="0" w:color="auto"/>
          </w:divBdr>
          <w:divsChild>
            <w:div w:id="951404768">
              <w:marLeft w:val="0"/>
              <w:marRight w:val="0"/>
              <w:marTop w:val="0"/>
              <w:marBottom w:val="0"/>
              <w:divBdr>
                <w:top w:val="none" w:sz="0" w:space="0" w:color="auto"/>
                <w:left w:val="none" w:sz="0" w:space="0" w:color="auto"/>
                <w:bottom w:val="none" w:sz="0" w:space="0" w:color="auto"/>
                <w:right w:val="none" w:sz="0" w:space="0" w:color="auto"/>
              </w:divBdr>
              <w:divsChild>
                <w:div w:id="484277932">
                  <w:marLeft w:val="0"/>
                  <w:marRight w:val="0"/>
                  <w:marTop w:val="0"/>
                  <w:marBottom w:val="0"/>
                  <w:divBdr>
                    <w:top w:val="none" w:sz="0" w:space="0" w:color="auto"/>
                    <w:left w:val="none" w:sz="0" w:space="0" w:color="auto"/>
                    <w:bottom w:val="none" w:sz="0" w:space="0" w:color="auto"/>
                    <w:right w:val="none" w:sz="0" w:space="0" w:color="auto"/>
                  </w:divBdr>
                  <w:divsChild>
                    <w:div w:id="1333145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6373801">
      <w:bodyDiv w:val="1"/>
      <w:marLeft w:val="0"/>
      <w:marRight w:val="0"/>
      <w:marTop w:val="0"/>
      <w:marBottom w:val="0"/>
      <w:divBdr>
        <w:top w:val="none" w:sz="0" w:space="0" w:color="auto"/>
        <w:left w:val="none" w:sz="0" w:space="0" w:color="auto"/>
        <w:bottom w:val="none" w:sz="0" w:space="0" w:color="auto"/>
        <w:right w:val="none" w:sz="0" w:space="0" w:color="auto"/>
      </w:divBdr>
    </w:div>
    <w:div w:id="2043246377">
      <w:bodyDiv w:val="1"/>
      <w:marLeft w:val="0"/>
      <w:marRight w:val="0"/>
      <w:marTop w:val="0"/>
      <w:marBottom w:val="0"/>
      <w:divBdr>
        <w:top w:val="none" w:sz="0" w:space="0" w:color="auto"/>
        <w:left w:val="none" w:sz="0" w:space="0" w:color="auto"/>
        <w:bottom w:val="none" w:sz="0" w:space="0" w:color="auto"/>
        <w:right w:val="none" w:sz="0" w:space="0" w:color="auto"/>
      </w:divBdr>
      <w:divsChild>
        <w:div w:id="1052119888">
          <w:marLeft w:val="0"/>
          <w:marRight w:val="0"/>
          <w:marTop w:val="0"/>
          <w:marBottom w:val="0"/>
          <w:divBdr>
            <w:top w:val="none" w:sz="0" w:space="0" w:color="auto"/>
            <w:left w:val="none" w:sz="0" w:space="0" w:color="auto"/>
            <w:bottom w:val="none" w:sz="0" w:space="0" w:color="auto"/>
            <w:right w:val="none" w:sz="0" w:space="0" w:color="auto"/>
          </w:divBdr>
          <w:divsChild>
            <w:div w:id="153254725">
              <w:marLeft w:val="0"/>
              <w:marRight w:val="0"/>
              <w:marTop w:val="0"/>
              <w:marBottom w:val="0"/>
              <w:divBdr>
                <w:top w:val="none" w:sz="0" w:space="0" w:color="auto"/>
                <w:left w:val="none" w:sz="0" w:space="0" w:color="auto"/>
                <w:bottom w:val="none" w:sz="0" w:space="0" w:color="auto"/>
                <w:right w:val="none" w:sz="0" w:space="0" w:color="auto"/>
              </w:divBdr>
              <w:divsChild>
                <w:div w:id="172648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727232">
      <w:bodyDiv w:val="1"/>
      <w:marLeft w:val="0"/>
      <w:marRight w:val="0"/>
      <w:marTop w:val="0"/>
      <w:marBottom w:val="0"/>
      <w:divBdr>
        <w:top w:val="none" w:sz="0" w:space="0" w:color="auto"/>
        <w:left w:val="none" w:sz="0" w:space="0" w:color="auto"/>
        <w:bottom w:val="none" w:sz="0" w:space="0" w:color="auto"/>
        <w:right w:val="none" w:sz="0" w:space="0" w:color="auto"/>
      </w:divBdr>
    </w:div>
    <w:div w:id="2109690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44DCD3D-F7E0-46C3-A5A4-CB2E0113B538}">
  <ds:schemaRefs>
    <ds:schemaRef ds:uri="http://schemas.openxmlformats.org/officeDocument/2006/bibliography"/>
  </ds:schemaRefs>
</ds:datastoreItem>
</file>

<file path=customXml/itemProps2.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3.xml><?xml version="1.0" encoding="utf-8"?>
<ds:datastoreItem xmlns:ds="http://schemas.openxmlformats.org/officeDocument/2006/customXml" ds:itemID="{3F0D93D6-04F6-426B-A9B5-869CEDF749DF}">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D733626F-5F05-4608-984C-1D28FEABE0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234</TotalTime>
  <Pages>14</Pages>
  <Words>5152</Words>
  <Characters>28336</Characters>
  <Application>Microsoft Office Word</Application>
  <DocSecurity>0</DocSecurity>
  <Lines>236</Lines>
  <Paragraphs>66</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33422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Andrea Ramírez Castañeda</cp:lastModifiedBy>
  <cp:revision>36</cp:revision>
  <dcterms:created xsi:type="dcterms:W3CDTF">2022-03-16T21:44:00Z</dcterms:created>
  <dcterms:modified xsi:type="dcterms:W3CDTF">2022-03-29T23:55:00Z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