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25A4C" w14:textId="76B8595F" w:rsidR="001B33BA" w:rsidRPr="001B33BA" w:rsidRDefault="00524963" w:rsidP="001B33BA">
      <w:pPr>
        <w:spacing w:line="276" w:lineRule="auto"/>
        <w:jc w:val="right"/>
        <w:rPr>
          <w:rFonts w:ascii="Arial" w:eastAsia="Calibri" w:hAnsi="Arial" w:cs="Arial"/>
          <w:b/>
          <w:bCs/>
          <w:sz w:val="16"/>
          <w:szCs w:val="16"/>
          <w:lang w:eastAsia="en-US"/>
        </w:rPr>
      </w:pPr>
      <w:bookmarkStart w:id="0" w:name="_Hlk29890381"/>
      <w:bookmarkStart w:id="1" w:name="_Hlk101452728"/>
      <w:bookmarkEnd w:id="0"/>
      <w:r w:rsidRPr="00524963">
        <w:rPr>
          <w:rFonts w:ascii="Arial" w:hAnsi="Arial" w:cs="Arial"/>
          <w:b/>
          <w:bCs/>
          <w:sz w:val="16"/>
          <w:szCs w:val="16"/>
          <w:lang w:eastAsia="es-ES"/>
        </w:rPr>
        <w:t>CCE-DES-FM-17</w:t>
      </w:r>
    </w:p>
    <w:p w14:paraId="562EC603" w14:textId="77777777" w:rsidR="001B33BA" w:rsidRPr="00E313EF" w:rsidRDefault="001B33BA" w:rsidP="001B33BA">
      <w:pPr>
        <w:jc w:val="both"/>
        <w:rPr>
          <w:rFonts w:ascii="Arial" w:eastAsia="Calibri" w:hAnsi="Arial" w:cs="Arial"/>
          <w:b/>
          <w:sz w:val="22"/>
          <w:lang w:val="es-ES_tradnl"/>
        </w:rPr>
      </w:pPr>
    </w:p>
    <w:p w14:paraId="5B6F47F7" w14:textId="77777777" w:rsidR="001B33BA" w:rsidRPr="00E313EF" w:rsidRDefault="001B33BA" w:rsidP="001B33BA">
      <w:pPr>
        <w:jc w:val="both"/>
        <w:rPr>
          <w:rFonts w:ascii="Arial" w:eastAsia="Calibri" w:hAnsi="Arial" w:cs="Arial"/>
          <w:b/>
          <w:bCs/>
          <w:color w:val="000000" w:themeColor="text1"/>
          <w:sz w:val="22"/>
          <w:lang w:val="es-ES_tradnl"/>
        </w:rPr>
      </w:pPr>
      <w:r w:rsidRPr="00E313EF">
        <w:rPr>
          <w:rFonts w:ascii="Arial" w:eastAsia="Calibri" w:hAnsi="Arial" w:cs="Arial"/>
          <w:b/>
          <w:bCs/>
          <w:color w:val="000000" w:themeColor="text1"/>
          <w:sz w:val="22"/>
          <w:szCs w:val="22"/>
          <w:lang w:val="es-ES_tradnl"/>
        </w:rPr>
        <w:t xml:space="preserve">TRATO NACIONAL </w:t>
      </w:r>
      <w:r w:rsidRPr="00E313EF">
        <w:rPr>
          <w:rFonts w:ascii="Arial" w:eastAsia="Arial" w:hAnsi="Arial" w:cs="Arial"/>
          <w:b/>
          <w:bCs/>
          <w:sz w:val="22"/>
          <w:szCs w:val="22"/>
          <w:lang w:val="es-ES_tradnl"/>
        </w:rPr>
        <w:t>–</w:t>
      </w:r>
      <w:r w:rsidRPr="00E313EF">
        <w:rPr>
          <w:rFonts w:ascii="Arial" w:eastAsia="Calibri" w:hAnsi="Arial" w:cs="Arial"/>
          <w:b/>
          <w:bCs/>
          <w:color w:val="000000" w:themeColor="text1"/>
          <w:sz w:val="22"/>
          <w:szCs w:val="22"/>
          <w:lang w:val="es-ES_tradnl"/>
        </w:rPr>
        <w:t xml:space="preserve"> Concepto </w:t>
      </w:r>
      <w:r w:rsidRPr="00E313EF">
        <w:rPr>
          <w:rFonts w:ascii="Arial" w:eastAsia="Arial" w:hAnsi="Arial" w:cs="Arial"/>
          <w:b/>
          <w:bCs/>
          <w:sz w:val="22"/>
          <w:szCs w:val="22"/>
          <w:lang w:val="es-ES_tradnl"/>
        </w:rPr>
        <w:t>–</w:t>
      </w:r>
      <w:r w:rsidRPr="00E313EF">
        <w:rPr>
          <w:rFonts w:ascii="Arial" w:eastAsia="Calibri" w:hAnsi="Arial" w:cs="Arial"/>
          <w:b/>
          <w:bCs/>
          <w:color w:val="000000" w:themeColor="text1"/>
          <w:sz w:val="22"/>
          <w:szCs w:val="22"/>
          <w:lang w:val="es-ES_tradnl"/>
        </w:rPr>
        <w:t xml:space="preserve"> Contratación pública </w:t>
      </w:r>
      <w:r w:rsidRPr="00E313EF">
        <w:rPr>
          <w:rFonts w:ascii="Arial" w:eastAsia="Arial" w:hAnsi="Arial" w:cs="Arial"/>
          <w:b/>
          <w:bCs/>
          <w:sz w:val="22"/>
          <w:szCs w:val="22"/>
          <w:lang w:val="es-ES_tradnl"/>
        </w:rPr>
        <w:t>–</w:t>
      </w:r>
      <w:r w:rsidRPr="00E313EF">
        <w:rPr>
          <w:rFonts w:ascii="Arial" w:eastAsia="Calibri" w:hAnsi="Arial" w:cs="Arial"/>
          <w:b/>
          <w:bCs/>
          <w:color w:val="000000" w:themeColor="text1"/>
          <w:sz w:val="22"/>
          <w:szCs w:val="22"/>
          <w:lang w:val="es-ES_tradnl"/>
        </w:rPr>
        <w:t xml:space="preserve"> Principio de reciprocidad</w:t>
      </w:r>
    </w:p>
    <w:p w14:paraId="5728B7A1" w14:textId="77777777" w:rsidR="001B33BA" w:rsidRPr="00E313EF" w:rsidRDefault="001B33BA" w:rsidP="001B33BA">
      <w:pPr>
        <w:rPr>
          <w:rFonts w:ascii="Arial" w:eastAsia="Calibri" w:hAnsi="Arial" w:cs="Arial"/>
          <w:b/>
          <w:bCs/>
          <w:color w:val="000000" w:themeColor="text1"/>
          <w:sz w:val="20"/>
          <w:szCs w:val="20"/>
          <w:lang w:val="es-ES_tradnl"/>
        </w:rPr>
      </w:pPr>
    </w:p>
    <w:p w14:paraId="4E387B71" w14:textId="03DD8777" w:rsidR="007701E7" w:rsidRPr="007701E7" w:rsidRDefault="007701E7" w:rsidP="007701E7">
      <w:pPr>
        <w:spacing w:after="120"/>
        <w:jc w:val="both"/>
        <w:rPr>
          <w:rFonts w:ascii="Arial" w:eastAsia="Calibri" w:hAnsi="Arial" w:cs="Arial"/>
          <w:bCs/>
          <w:color w:val="000000" w:themeColor="text1"/>
          <w:sz w:val="20"/>
          <w:szCs w:val="20"/>
          <w:lang w:val="es-ES_tradnl"/>
        </w:rPr>
      </w:pPr>
      <w:r w:rsidRPr="007701E7">
        <w:rPr>
          <w:rFonts w:ascii="Arial" w:eastAsia="Calibri" w:hAnsi="Arial" w:cs="Arial"/>
          <w:bCs/>
          <w:color w:val="000000" w:themeColor="text1"/>
          <w:sz w:val="20"/>
          <w:szCs w:val="20"/>
          <w:lang w:val="es-ES_tradnl"/>
        </w:rPr>
        <w:t xml:space="preserve">El artículo 20 de la Ley 80 de 1993 consagra el </w:t>
      </w:r>
      <w:r w:rsidRPr="007701E7">
        <w:rPr>
          <w:rFonts w:ascii="Arial" w:eastAsia="Calibri" w:hAnsi="Arial" w:cs="Arial"/>
          <w:bCs/>
          <w:i/>
          <w:iCs/>
          <w:color w:val="000000" w:themeColor="text1"/>
          <w:sz w:val="20"/>
          <w:szCs w:val="20"/>
          <w:lang w:val="es-ES_tradnl"/>
        </w:rPr>
        <w:t>principio de reciprocidad</w:t>
      </w:r>
      <w:r w:rsidRPr="007701E7">
        <w:rPr>
          <w:rFonts w:ascii="Arial" w:eastAsia="Calibri" w:hAnsi="Arial" w:cs="Arial"/>
          <w:bCs/>
          <w:color w:val="000000" w:themeColor="text1"/>
          <w:sz w:val="20"/>
          <w:szCs w:val="20"/>
          <w:lang w:val="es-ES_tradnl"/>
        </w:rPr>
        <w:t xml:space="preserve"> en la contratación estatal, entendido como el compromiso asumido por el Estado de brindar a los oferentes de bienes y servicios de origen extranjero un trato semejante al que les conceden a los colombianos en otros Estados con los cuales se ha celebrado acuerdo o tratado comercial, cuando, en ausencia de tratado, se certifica dicha reciprocidad, o en virtud de procesos de integración regional.</w:t>
      </w:r>
    </w:p>
    <w:p w14:paraId="0C71D6E5" w14:textId="18FBC963" w:rsidR="007701E7" w:rsidRDefault="007701E7" w:rsidP="007701E7">
      <w:pPr>
        <w:spacing w:after="120"/>
        <w:jc w:val="both"/>
        <w:rPr>
          <w:rFonts w:ascii="Arial" w:eastAsia="Calibri" w:hAnsi="Arial" w:cs="Arial"/>
          <w:bCs/>
          <w:color w:val="000000" w:themeColor="text1"/>
          <w:sz w:val="20"/>
          <w:szCs w:val="20"/>
          <w:lang w:val="es-ES_tradnl"/>
        </w:rPr>
      </w:pPr>
      <w:r w:rsidRPr="007701E7">
        <w:rPr>
          <w:rFonts w:ascii="Arial" w:eastAsia="Calibri" w:hAnsi="Arial" w:cs="Arial"/>
          <w:bCs/>
          <w:color w:val="000000" w:themeColor="text1"/>
          <w:sz w:val="20"/>
          <w:szCs w:val="20"/>
          <w:lang w:val="es-ES_tradnl"/>
        </w:rPr>
        <w:t xml:space="preserve">En otras palabras, el </w:t>
      </w:r>
      <w:r w:rsidRPr="007701E7">
        <w:rPr>
          <w:rFonts w:ascii="Arial" w:eastAsia="Calibri" w:hAnsi="Arial" w:cs="Arial"/>
          <w:bCs/>
          <w:i/>
          <w:iCs/>
          <w:color w:val="000000" w:themeColor="text1"/>
          <w:sz w:val="20"/>
          <w:szCs w:val="20"/>
          <w:lang w:val="es-ES_tradnl"/>
        </w:rPr>
        <w:t xml:space="preserve">trato nacional </w:t>
      </w:r>
      <w:r w:rsidRPr="007701E7">
        <w:rPr>
          <w:rFonts w:ascii="Arial" w:eastAsia="Calibri" w:hAnsi="Arial" w:cs="Arial"/>
          <w:bCs/>
          <w:color w:val="000000" w:themeColor="text1"/>
          <w:sz w:val="20"/>
          <w:szCs w:val="20"/>
          <w:lang w:val="es-ES_tradnl"/>
        </w:rPr>
        <w:t xml:space="preserve">consiste en la consideración especial en la asignación de puntaje, que se tiene sobre los oferentes, bienes y servicios colombianos, en los procedimientos de selección, pero que, en virtud del principio de reciprocidad, se extiende a los oferentes, bienes o servicios extranjeros; privilegio que puede provenir de alguna de tres fuentes: i) un tratado o acuerdo comercial en el que se haya negociado dicho trato nacional, </w:t>
      </w:r>
      <w:proofErr w:type="spellStart"/>
      <w:r w:rsidRPr="007701E7">
        <w:rPr>
          <w:rFonts w:ascii="Arial" w:eastAsia="Calibri" w:hAnsi="Arial" w:cs="Arial"/>
          <w:bCs/>
          <w:color w:val="000000" w:themeColor="text1"/>
          <w:sz w:val="20"/>
          <w:szCs w:val="20"/>
          <w:lang w:val="es-ES_tradnl"/>
        </w:rPr>
        <w:t>ii</w:t>
      </w:r>
      <w:proofErr w:type="spellEnd"/>
      <w:r w:rsidRPr="007701E7">
        <w:rPr>
          <w:rFonts w:ascii="Arial" w:eastAsia="Calibri" w:hAnsi="Arial" w:cs="Arial"/>
          <w:bCs/>
          <w:color w:val="000000" w:themeColor="text1"/>
          <w:sz w:val="20"/>
          <w:szCs w:val="20"/>
          <w:lang w:val="es-ES_tradnl"/>
        </w:rPr>
        <w:t xml:space="preserve">) un certificado de reciprocidad expedido por el Ministerio de Relaciones Exteriores –ante la ausencia de un tratado o acuerdo comercial– o </w:t>
      </w:r>
      <w:proofErr w:type="spellStart"/>
      <w:r w:rsidRPr="007701E7">
        <w:rPr>
          <w:rFonts w:ascii="Arial" w:eastAsia="Calibri" w:hAnsi="Arial" w:cs="Arial"/>
          <w:bCs/>
          <w:color w:val="000000" w:themeColor="text1"/>
          <w:sz w:val="20"/>
          <w:szCs w:val="20"/>
          <w:lang w:val="es-ES_tradnl"/>
        </w:rPr>
        <w:t>iii</w:t>
      </w:r>
      <w:proofErr w:type="spellEnd"/>
      <w:r w:rsidRPr="007701E7">
        <w:rPr>
          <w:rFonts w:ascii="Arial" w:eastAsia="Calibri" w:hAnsi="Arial" w:cs="Arial"/>
          <w:bCs/>
          <w:color w:val="000000" w:themeColor="text1"/>
          <w:sz w:val="20"/>
          <w:szCs w:val="20"/>
          <w:lang w:val="es-ES_tradnl"/>
        </w:rPr>
        <w:t>) la regulación andina. Las tres fuentes se reconocen no solo en el precitado artículo 20 de la Ley 80 de 1993, sino también en el artículo 2.2.1.2.4.1.3. del Decreto 1082 de 2015</w:t>
      </w:r>
      <w:r>
        <w:rPr>
          <w:rFonts w:ascii="Arial" w:eastAsia="Calibri" w:hAnsi="Arial" w:cs="Arial"/>
          <w:bCs/>
          <w:color w:val="000000" w:themeColor="text1"/>
          <w:sz w:val="20"/>
          <w:szCs w:val="20"/>
          <w:lang w:val="es-ES_tradnl"/>
        </w:rPr>
        <w:t>.</w:t>
      </w:r>
    </w:p>
    <w:p w14:paraId="2CEB8F36" w14:textId="77777777" w:rsidR="001B33BA" w:rsidRPr="00E313EF" w:rsidRDefault="001B33BA" w:rsidP="001B33BA">
      <w:pPr>
        <w:jc w:val="both"/>
        <w:rPr>
          <w:rFonts w:ascii="Arial" w:eastAsia="Calibri" w:hAnsi="Arial" w:cs="Arial"/>
          <w:color w:val="000000" w:themeColor="text1"/>
          <w:sz w:val="20"/>
          <w:szCs w:val="20"/>
          <w:lang w:val="es-ES_tradnl"/>
        </w:rPr>
      </w:pPr>
    </w:p>
    <w:p w14:paraId="63E1C522" w14:textId="77777777" w:rsidR="001B33BA" w:rsidRPr="00E313EF" w:rsidRDefault="001B33BA" w:rsidP="001B33BA">
      <w:pPr>
        <w:jc w:val="both"/>
        <w:rPr>
          <w:rFonts w:ascii="Arial" w:eastAsia="Calibri" w:hAnsi="Arial" w:cs="Arial"/>
          <w:b/>
          <w:bCs/>
          <w:color w:val="000000" w:themeColor="text1"/>
          <w:sz w:val="22"/>
          <w:lang w:val="es-ES_tradnl"/>
        </w:rPr>
      </w:pPr>
      <w:r w:rsidRPr="00E313EF">
        <w:rPr>
          <w:rFonts w:ascii="Arial" w:eastAsia="Calibri" w:hAnsi="Arial" w:cs="Arial"/>
          <w:b/>
          <w:bCs/>
          <w:color w:val="000000" w:themeColor="text1"/>
          <w:sz w:val="22"/>
          <w:szCs w:val="22"/>
          <w:lang w:val="es-ES_tradnl"/>
        </w:rPr>
        <w:t xml:space="preserve">TRATO NACIONAL </w:t>
      </w:r>
      <w:r w:rsidRPr="00E313EF">
        <w:rPr>
          <w:rFonts w:ascii="Arial" w:eastAsia="Arial" w:hAnsi="Arial" w:cs="Arial"/>
          <w:b/>
          <w:bCs/>
          <w:sz w:val="22"/>
          <w:szCs w:val="22"/>
          <w:lang w:val="es-ES_tradnl"/>
        </w:rPr>
        <w:t>–</w:t>
      </w:r>
      <w:r w:rsidRPr="00E313EF">
        <w:rPr>
          <w:rFonts w:ascii="Arial" w:eastAsia="Calibri" w:hAnsi="Arial" w:cs="Arial"/>
          <w:b/>
          <w:bCs/>
          <w:color w:val="000000" w:themeColor="text1"/>
          <w:sz w:val="22"/>
          <w:szCs w:val="22"/>
          <w:lang w:val="es-ES_tradnl"/>
        </w:rPr>
        <w:t xml:space="preserve"> Ley 816 de 2003 </w:t>
      </w:r>
      <w:r w:rsidRPr="00E313EF">
        <w:rPr>
          <w:rFonts w:ascii="Arial" w:eastAsia="Arial" w:hAnsi="Arial" w:cs="Arial"/>
          <w:b/>
          <w:bCs/>
          <w:sz w:val="22"/>
          <w:szCs w:val="22"/>
          <w:lang w:val="es-ES_tradnl"/>
        </w:rPr>
        <w:t>–</w:t>
      </w:r>
      <w:r w:rsidRPr="00E313EF">
        <w:rPr>
          <w:rFonts w:ascii="Arial" w:eastAsia="Calibri" w:hAnsi="Arial" w:cs="Arial"/>
          <w:b/>
          <w:bCs/>
          <w:color w:val="000000" w:themeColor="text1"/>
          <w:sz w:val="22"/>
          <w:szCs w:val="22"/>
          <w:lang w:val="es-ES_tradnl"/>
        </w:rPr>
        <w:t xml:space="preserve"> Puntaje</w:t>
      </w:r>
    </w:p>
    <w:p w14:paraId="6754A43B" w14:textId="77777777" w:rsidR="001B33BA" w:rsidRPr="00E313EF" w:rsidRDefault="001B33BA" w:rsidP="001B33BA">
      <w:pPr>
        <w:jc w:val="both"/>
        <w:rPr>
          <w:rFonts w:ascii="Arial" w:hAnsi="Arial" w:cs="Arial"/>
          <w:color w:val="000000" w:themeColor="text1"/>
          <w:sz w:val="20"/>
          <w:szCs w:val="20"/>
          <w:lang w:val="es-ES_tradnl"/>
        </w:rPr>
      </w:pPr>
    </w:p>
    <w:p w14:paraId="352D6771" w14:textId="391F6691" w:rsidR="001B33BA" w:rsidRPr="007701E7" w:rsidRDefault="007701E7" w:rsidP="001B33BA">
      <w:pPr>
        <w:spacing w:after="120"/>
        <w:jc w:val="both"/>
        <w:rPr>
          <w:rFonts w:ascii="Arial" w:hAnsi="Arial" w:cs="Arial"/>
          <w:bCs/>
          <w:color w:val="000000" w:themeColor="text1"/>
          <w:sz w:val="20"/>
          <w:szCs w:val="20"/>
          <w:lang w:val="es-ES_tradnl"/>
        </w:rPr>
      </w:pPr>
      <w:r w:rsidRPr="007701E7">
        <w:rPr>
          <w:rFonts w:ascii="Arial" w:hAnsi="Arial" w:cs="Arial"/>
          <w:bCs/>
          <w:color w:val="000000" w:themeColor="text1"/>
          <w:sz w:val="20"/>
          <w:szCs w:val="20"/>
          <w:lang w:val="es-ES_tradnl"/>
        </w:rPr>
        <w:t>Una vez analizadas las tres (3) fuentes del trato nacional en la contratación pública, es importante precisar que el efecto de dicho beneficio es la asignación del puntaje previsto en la Ley 816 de 2003. Este cuerpo normativo, en el artículo 1, dispone que las entidades estatales, en los procedimientos de selección que realicen e independientemente del régimen contractual que les sea aplicable, deben adoptar criterios que apoyen la industria nacional</w:t>
      </w:r>
      <w:r w:rsidR="001B33BA" w:rsidRPr="00E313EF">
        <w:rPr>
          <w:rFonts w:ascii="Arial" w:hAnsi="Arial" w:cs="Arial"/>
          <w:color w:val="000000" w:themeColor="text1"/>
          <w:sz w:val="20"/>
          <w:szCs w:val="20"/>
          <w:lang w:val="es-ES_tradnl"/>
        </w:rPr>
        <w:t xml:space="preserve"> […].</w:t>
      </w:r>
    </w:p>
    <w:p w14:paraId="29E62521" w14:textId="5ECEF785" w:rsidR="001B33BA" w:rsidRPr="00E313EF" w:rsidRDefault="007701E7" w:rsidP="001B33BA">
      <w:pPr>
        <w:jc w:val="both"/>
        <w:rPr>
          <w:rFonts w:ascii="Arial" w:hAnsi="Arial" w:cs="Arial"/>
          <w:color w:val="000000" w:themeColor="text1"/>
          <w:sz w:val="20"/>
          <w:szCs w:val="20"/>
          <w:lang w:val="es-ES_tradnl"/>
        </w:rPr>
      </w:pPr>
      <w:r w:rsidRPr="007701E7">
        <w:rPr>
          <w:rFonts w:ascii="Arial" w:hAnsi="Arial" w:cs="Arial"/>
          <w:color w:val="000000" w:themeColor="text1"/>
          <w:sz w:val="20"/>
          <w:szCs w:val="20"/>
          <w:lang w:val="es-ES_tradnl"/>
        </w:rPr>
        <w:t xml:space="preserve">Así pues, cuando la oferta de bienes y servicios extranjeros goce de trato nacional por alguna de las tres razones analizadas con anterioridad, deberá beneficiarse de la obtención del puntaje comprendido entre el 10 y el 20%, según lo haya definido la entidad estatal contratante. </w:t>
      </w:r>
    </w:p>
    <w:p w14:paraId="7D2B3CF9" w14:textId="77777777" w:rsidR="001B33BA" w:rsidRPr="00E313EF" w:rsidRDefault="001B33BA" w:rsidP="001B33BA">
      <w:pPr>
        <w:jc w:val="both"/>
        <w:rPr>
          <w:rFonts w:ascii="Arial" w:eastAsia="Calibri" w:hAnsi="Arial" w:cs="Arial"/>
          <w:b/>
          <w:bCs/>
          <w:color w:val="000000" w:themeColor="text1"/>
          <w:sz w:val="22"/>
          <w:szCs w:val="22"/>
          <w:lang w:val="es-ES_tradnl"/>
        </w:rPr>
      </w:pPr>
    </w:p>
    <w:p w14:paraId="7ECF226D" w14:textId="77777777" w:rsidR="001B33BA" w:rsidRPr="00E313EF" w:rsidRDefault="001B33BA" w:rsidP="001B33BA">
      <w:pPr>
        <w:jc w:val="both"/>
        <w:rPr>
          <w:rFonts w:ascii="Arial" w:eastAsia="Calibri" w:hAnsi="Arial" w:cs="Arial"/>
          <w:b/>
          <w:bCs/>
          <w:color w:val="000000" w:themeColor="text1"/>
          <w:sz w:val="22"/>
          <w:szCs w:val="22"/>
          <w:lang w:val="es-ES_tradnl"/>
        </w:rPr>
      </w:pPr>
      <w:r w:rsidRPr="00E313EF">
        <w:rPr>
          <w:rFonts w:ascii="Arial" w:eastAsia="Calibri" w:hAnsi="Arial" w:cs="Arial"/>
          <w:b/>
          <w:bCs/>
          <w:color w:val="000000" w:themeColor="text1"/>
          <w:sz w:val="22"/>
          <w:szCs w:val="22"/>
          <w:lang w:val="es-ES_tradnl"/>
        </w:rPr>
        <w:t xml:space="preserve">DECRETO 680 DE 2021 – Regla de origen – Nueva regulación </w:t>
      </w:r>
    </w:p>
    <w:p w14:paraId="6B68A71B" w14:textId="77777777" w:rsidR="001B33BA" w:rsidRPr="00E313EF" w:rsidRDefault="001B33BA" w:rsidP="001B33BA">
      <w:pPr>
        <w:jc w:val="both"/>
        <w:rPr>
          <w:rFonts w:ascii="Arial" w:eastAsia="Calibri" w:hAnsi="Arial" w:cs="Arial"/>
          <w:b/>
          <w:bCs/>
          <w:color w:val="000000" w:themeColor="text1"/>
          <w:sz w:val="22"/>
          <w:szCs w:val="22"/>
          <w:lang w:val="es-ES_tradnl"/>
        </w:rPr>
      </w:pPr>
    </w:p>
    <w:p w14:paraId="19C040B0" w14:textId="77777777" w:rsidR="007701E7" w:rsidRDefault="007701E7" w:rsidP="001B33BA">
      <w:pPr>
        <w:jc w:val="both"/>
        <w:rPr>
          <w:rFonts w:ascii="Arial" w:hAnsi="Arial" w:cs="Arial"/>
          <w:color w:val="000000" w:themeColor="text1"/>
          <w:sz w:val="20"/>
          <w:szCs w:val="20"/>
          <w:lang w:val="es-ES_tradnl"/>
        </w:rPr>
      </w:pPr>
      <w:r w:rsidRPr="007701E7">
        <w:rPr>
          <w:rFonts w:ascii="Arial" w:hAnsi="Arial" w:cs="Arial"/>
          <w:color w:val="000000" w:themeColor="text1"/>
          <w:sz w:val="20"/>
          <w:szCs w:val="20"/>
          <w:lang w:val="es-ES_tradnl"/>
        </w:rPr>
        <w:t>Reconociendo que la contratación estatal es una herramienta que contribuye a promover la industria nacional, el Gobierno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w:t>
      </w:r>
    </w:p>
    <w:p w14:paraId="27DED276" w14:textId="77777777" w:rsidR="001B33BA" w:rsidRPr="00E313EF" w:rsidRDefault="001B33BA" w:rsidP="001B33BA">
      <w:pPr>
        <w:jc w:val="both"/>
        <w:rPr>
          <w:rFonts w:ascii="Arial" w:hAnsi="Arial" w:cs="Arial"/>
          <w:color w:val="000000" w:themeColor="text1"/>
          <w:sz w:val="20"/>
          <w:szCs w:val="20"/>
          <w:lang w:val="es-ES_tradnl"/>
        </w:rPr>
      </w:pPr>
    </w:p>
    <w:p w14:paraId="78587359" w14:textId="08438441" w:rsidR="001B33BA" w:rsidRDefault="007701E7" w:rsidP="001B33BA">
      <w:pPr>
        <w:jc w:val="both"/>
        <w:rPr>
          <w:rFonts w:ascii="Arial" w:hAnsi="Arial" w:cs="Arial"/>
          <w:bCs/>
          <w:color w:val="000000" w:themeColor="text1"/>
          <w:sz w:val="20"/>
          <w:szCs w:val="20"/>
          <w:lang w:val="es-ES_tradnl"/>
        </w:rPr>
      </w:pPr>
      <w:r w:rsidRPr="007701E7">
        <w:rPr>
          <w:rFonts w:ascii="Arial" w:hAnsi="Arial" w:cs="Arial"/>
          <w:bCs/>
          <w:color w:val="000000" w:themeColor="text1"/>
          <w:sz w:val="20"/>
          <w:szCs w:val="20"/>
          <w:lang w:val="es-ES_tradnl"/>
        </w:rPr>
        <w:t xml:space="preserve">En las consideraciones del Decreto 680 de 2021 se indica que, con su expedición, se busca: i) precisar la aplicación de la regla de origen de los bienes y servicios nacionales, en los términos establecidos en el artículo 2 de la Ley 816 de 2003, respetando las estipulaciones de los tratados comerciales vigentes y el principio de reciprocidad, </w:t>
      </w:r>
      <w:proofErr w:type="spellStart"/>
      <w:r w:rsidRPr="007701E7">
        <w:rPr>
          <w:rFonts w:ascii="Arial" w:hAnsi="Arial" w:cs="Arial"/>
          <w:bCs/>
          <w:color w:val="000000" w:themeColor="text1"/>
          <w:sz w:val="20"/>
          <w:szCs w:val="20"/>
          <w:lang w:val="es-ES_tradnl"/>
        </w:rPr>
        <w:t>ii</w:t>
      </w:r>
      <w:proofErr w:type="spellEnd"/>
      <w:r w:rsidRPr="007701E7">
        <w:rPr>
          <w:rFonts w:ascii="Arial" w:hAnsi="Arial" w:cs="Arial"/>
          <w:bCs/>
          <w:color w:val="000000" w:themeColor="text1"/>
          <w:sz w:val="20"/>
          <w:szCs w:val="20"/>
          <w:lang w:val="es-ES_tradnl"/>
        </w:rPr>
        <w:t xml:space="preserve">) definir la metodología como debe aplicarse el puntaje señalado en la mencionada disposición legal en relación con los proponentes plurales, </w:t>
      </w:r>
      <w:proofErr w:type="spellStart"/>
      <w:r w:rsidRPr="007701E7">
        <w:rPr>
          <w:rFonts w:ascii="Arial" w:hAnsi="Arial" w:cs="Arial"/>
          <w:bCs/>
          <w:color w:val="000000" w:themeColor="text1"/>
          <w:sz w:val="20"/>
          <w:szCs w:val="20"/>
          <w:lang w:val="es-ES_tradnl"/>
        </w:rPr>
        <w:t>iii</w:t>
      </w:r>
      <w:proofErr w:type="spellEnd"/>
      <w:r w:rsidRPr="007701E7">
        <w:rPr>
          <w:rFonts w:ascii="Arial" w:hAnsi="Arial" w:cs="Arial"/>
          <w:bCs/>
          <w:color w:val="000000" w:themeColor="text1"/>
          <w:sz w:val="20"/>
          <w:szCs w:val="20"/>
          <w:lang w:val="es-ES_tradnl"/>
        </w:rPr>
        <w:t xml:space="preserve">) garantizar el uso, durante la ejecución del contrato estatal, de los bienes o servicios colombianos, para «[…] promover emparejamientos y encadenamientos productivos», así como «[…] el empleo en el país» y </w:t>
      </w:r>
      <w:proofErr w:type="spellStart"/>
      <w:r w:rsidRPr="007701E7">
        <w:rPr>
          <w:rFonts w:ascii="Arial" w:hAnsi="Arial" w:cs="Arial"/>
          <w:bCs/>
          <w:color w:val="000000" w:themeColor="text1"/>
          <w:sz w:val="20"/>
          <w:szCs w:val="20"/>
          <w:lang w:val="es-ES_tradnl"/>
        </w:rPr>
        <w:t>iv</w:t>
      </w:r>
      <w:proofErr w:type="spellEnd"/>
      <w:r w:rsidRPr="007701E7">
        <w:rPr>
          <w:rFonts w:ascii="Arial" w:hAnsi="Arial" w:cs="Arial"/>
          <w:bCs/>
          <w:color w:val="000000" w:themeColor="text1"/>
          <w:sz w:val="20"/>
          <w:szCs w:val="20"/>
          <w:lang w:val="es-ES_tradnl"/>
        </w:rPr>
        <w:t>) establecer una regla de origen distinta, según el lugar en el cual debe ejecutarse el contrato</w:t>
      </w:r>
      <w:r>
        <w:rPr>
          <w:rFonts w:ascii="Arial" w:hAnsi="Arial" w:cs="Arial"/>
          <w:bCs/>
          <w:color w:val="000000" w:themeColor="text1"/>
          <w:sz w:val="20"/>
          <w:szCs w:val="20"/>
          <w:lang w:val="es-ES_tradnl"/>
        </w:rPr>
        <w:t>.</w:t>
      </w:r>
    </w:p>
    <w:p w14:paraId="2135762D" w14:textId="77777777" w:rsidR="007701E7" w:rsidRPr="007701E7" w:rsidRDefault="007701E7" w:rsidP="001B33BA">
      <w:pPr>
        <w:jc w:val="both"/>
        <w:rPr>
          <w:rFonts w:ascii="Arial" w:hAnsi="Arial" w:cs="Arial"/>
          <w:bCs/>
          <w:color w:val="000000" w:themeColor="text1"/>
          <w:sz w:val="20"/>
          <w:szCs w:val="20"/>
          <w:lang w:val="es-ES_tradnl"/>
        </w:rPr>
      </w:pPr>
    </w:p>
    <w:p w14:paraId="744E1836" w14:textId="4CC1CD0F" w:rsidR="001B33BA" w:rsidRPr="00E313EF" w:rsidRDefault="004B3644" w:rsidP="001B33BA">
      <w:pPr>
        <w:jc w:val="both"/>
        <w:rPr>
          <w:rFonts w:ascii="Arial" w:eastAsia="Calibri" w:hAnsi="Arial" w:cs="Arial"/>
          <w:b/>
          <w:bCs/>
          <w:color w:val="000000" w:themeColor="text1"/>
          <w:sz w:val="22"/>
          <w:szCs w:val="22"/>
          <w:lang w:val="es-ES_tradnl"/>
        </w:rPr>
      </w:pPr>
      <w:r w:rsidRPr="00E313EF">
        <w:rPr>
          <w:rFonts w:ascii="Arial" w:eastAsia="Calibri" w:hAnsi="Arial" w:cs="Arial"/>
          <w:b/>
          <w:bCs/>
          <w:color w:val="000000" w:themeColor="text1"/>
          <w:sz w:val="22"/>
          <w:szCs w:val="22"/>
          <w:lang w:val="es-ES_tradnl"/>
        </w:rPr>
        <w:lastRenderedPageBreak/>
        <w:t>DECRETO 680 DE 2021</w:t>
      </w:r>
      <w:r w:rsidR="001B33BA" w:rsidRPr="00E313EF">
        <w:rPr>
          <w:rFonts w:ascii="Arial" w:eastAsia="Calibri" w:hAnsi="Arial" w:cs="Arial"/>
          <w:b/>
          <w:bCs/>
          <w:color w:val="000000" w:themeColor="text1"/>
          <w:sz w:val="22"/>
          <w:szCs w:val="22"/>
          <w:lang w:val="es-ES_tradnl"/>
        </w:rPr>
        <w:t xml:space="preserve"> – </w:t>
      </w:r>
      <w:r>
        <w:rPr>
          <w:rFonts w:ascii="Arial" w:eastAsia="Calibri" w:hAnsi="Arial" w:cs="Arial"/>
          <w:b/>
          <w:bCs/>
          <w:color w:val="000000" w:themeColor="text1"/>
          <w:sz w:val="22"/>
          <w:szCs w:val="22"/>
          <w:lang w:val="es-ES_tradnl"/>
        </w:rPr>
        <w:t xml:space="preserve">Ámbito de aplicación </w:t>
      </w:r>
      <w:r w:rsidRPr="00E313EF">
        <w:rPr>
          <w:rFonts w:ascii="Arial" w:eastAsia="Calibri" w:hAnsi="Arial" w:cs="Arial"/>
          <w:b/>
          <w:bCs/>
          <w:color w:val="000000" w:themeColor="text1"/>
          <w:sz w:val="22"/>
          <w:szCs w:val="22"/>
          <w:lang w:val="es-ES_tradnl"/>
        </w:rPr>
        <w:t>–</w:t>
      </w:r>
      <w:r>
        <w:rPr>
          <w:rFonts w:ascii="Arial" w:eastAsia="Calibri" w:hAnsi="Arial" w:cs="Arial"/>
          <w:b/>
          <w:bCs/>
          <w:color w:val="000000" w:themeColor="text1"/>
          <w:sz w:val="22"/>
          <w:szCs w:val="22"/>
          <w:lang w:val="es-ES_tradnl"/>
        </w:rPr>
        <w:t xml:space="preserve"> </w:t>
      </w:r>
      <w:r w:rsidR="0085262F">
        <w:rPr>
          <w:rFonts w:ascii="Arial" w:eastAsia="Calibri" w:hAnsi="Arial" w:cs="Arial"/>
          <w:b/>
          <w:bCs/>
          <w:color w:val="000000" w:themeColor="text1"/>
          <w:sz w:val="22"/>
          <w:szCs w:val="22"/>
          <w:lang w:val="es-ES_tradnl"/>
        </w:rPr>
        <w:t>P</w:t>
      </w:r>
      <w:r>
        <w:rPr>
          <w:rFonts w:ascii="Arial" w:eastAsia="Calibri" w:hAnsi="Arial" w:cs="Arial"/>
          <w:b/>
          <w:bCs/>
          <w:color w:val="000000" w:themeColor="text1"/>
          <w:sz w:val="22"/>
          <w:szCs w:val="22"/>
          <w:lang w:val="es-ES_tradnl"/>
        </w:rPr>
        <w:t>rocesos de contratación de servicios</w:t>
      </w:r>
    </w:p>
    <w:p w14:paraId="7303CB9F" w14:textId="77777777" w:rsidR="001B33BA" w:rsidRPr="00E313EF" w:rsidRDefault="001B33BA" w:rsidP="001B33BA">
      <w:pPr>
        <w:jc w:val="both"/>
        <w:rPr>
          <w:rFonts w:ascii="Arial" w:hAnsi="Arial" w:cs="Arial"/>
          <w:color w:val="000000" w:themeColor="text1"/>
          <w:sz w:val="20"/>
          <w:szCs w:val="20"/>
          <w:lang w:val="es-ES_tradnl"/>
        </w:rPr>
      </w:pPr>
    </w:p>
    <w:p w14:paraId="3C8F7E1A" w14:textId="2E71D9F4" w:rsidR="007701E7" w:rsidRDefault="0088500D" w:rsidP="007701E7">
      <w:pPr>
        <w:jc w:val="both"/>
        <w:rPr>
          <w:rFonts w:ascii="Arial" w:hAnsi="Arial" w:cs="Arial"/>
          <w:bCs/>
          <w:color w:val="000000" w:themeColor="text1"/>
          <w:sz w:val="20"/>
          <w:szCs w:val="20"/>
        </w:rPr>
      </w:pPr>
      <w:r>
        <w:rPr>
          <w:rFonts w:ascii="Arial" w:hAnsi="Arial" w:cs="Arial"/>
          <w:bCs/>
          <w:color w:val="000000" w:themeColor="text1"/>
          <w:sz w:val="20"/>
          <w:szCs w:val="20"/>
        </w:rPr>
        <w:t xml:space="preserve">[...] </w:t>
      </w:r>
      <w:r w:rsidR="007701E7" w:rsidRPr="007701E7">
        <w:rPr>
          <w:rFonts w:ascii="Arial" w:hAnsi="Arial" w:cs="Arial"/>
          <w:bCs/>
          <w:color w:val="000000" w:themeColor="text1"/>
          <w:sz w:val="20"/>
          <w:szCs w:val="20"/>
        </w:rPr>
        <w:t>el contenido del Decreto 680 de 2021 se refiere expresamente a la regulación de la regla de origen en los procesos de contratación de servicios, esto es, aquellos contratos cuyo objeto corresponde a la prestación de un servicio. En consecuencia, el ámbito de aplicación de este decreto únicamente cobija a los procesos de contratación que impliquen prestación de servicios, lo que descarta su aplicación en los procesos de contratación que tienen por objeto único la adquisición o suministro de bienes. En efecto, como se expuso, el decreto en comento modificó la definición de servicios nacionales establecida en el artículo 2.2.1.1.1.3.1. del Decreto 1082 de 2015, con el fin de precisar la forma de aplicación de la regla de origen de servicios teniendo en cuenta la determinación de los bienes colombianos relevantes de acuerdo con la información analizada en la etapa de planeación del proceso contractual. En esta definición se indica que un servicio es colombiano si además de ser prestado en los términos allí contemplados, usa los bienes nacionales relevantes definidos por la entidad estatal para la prestación del servicio que será objeto del proceso de contratación o vinculen el porcentaje mínimo de personal colombiano según corresponda. Además, el artículo 2 que adiciona el artículo 2.2.1.2.4.2.9. al Decreto 1082 de 2015 alude explícitamente, tanto en el título como en su contenido, al otorgamiento de puntaje en los procesos de contratación de servicios. Por tanto, estas normas son claras en establecer como criterio de aplicación de la regla de origen allí regulada a los procesos de contratación que impliquen la prestación de un servicio</w:t>
      </w:r>
      <w:r w:rsidR="007701E7">
        <w:rPr>
          <w:rFonts w:ascii="Arial" w:hAnsi="Arial" w:cs="Arial"/>
          <w:bCs/>
          <w:color w:val="000000" w:themeColor="text1"/>
          <w:sz w:val="20"/>
          <w:szCs w:val="20"/>
        </w:rPr>
        <w:t>.</w:t>
      </w:r>
    </w:p>
    <w:p w14:paraId="365ABC23" w14:textId="51F05797" w:rsidR="001A1CC0" w:rsidRDefault="001A1CC0" w:rsidP="00524963">
      <w:pPr>
        <w:tabs>
          <w:tab w:val="left" w:pos="3374"/>
        </w:tabs>
        <w:jc w:val="both"/>
        <w:rPr>
          <w:rFonts w:ascii="Arial" w:eastAsia="Calibri" w:hAnsi="Arial" w:cs="Arial"/>
          <w:sz w:val="22"/>
          <w:szCs w:val="22"/>
          <w:lang w:val="es-MX" w:eastAsia="en-US"/>
        </w:rPr>
      </w:pPr>
    </w:p>
    <w:p w14:paraId="0C5D23A2" w14:textId="6C2CC747" w:rsidR="001A1CC0" w:rsidRDefault="001A1CC0" w:rsidP="00524963">
      <w:pPr>
        <w:tabs>
          <w:tab w:val="left" w:pos="3374"/>
        </w:tabs>
        <w:jc w:val="both"/>
        <w:rPr>
          <w:rFonts w:ascii="Arial" w:eastAsia="Calibri" w:hAnsi="Arial" w:cs="Arial"/>
          <w:sz w:val="22"/>
          <w:szCs w:val="22"/>
          <w:lang w:val="es-MX" w:eastAsia="en-US"/>
        </w:rPr>
      </w:pPr>
    </w:p>
    <w:p w14:paraId="0CE5EF4C" w14:textId="6C19FDDD" w:rsidR="001A1CC0" w:rsidRDefault="001A1CC0" w:rsidP="00524963">
      <w:pPr>
        <w:tabs>
          <w:tab w:val="left" w:pos="3374"/>
        </w:tabs>
        <w:jc w:val="both"/>
        <w:rPr>
          <w:rFonts w:ascii="Arial" w:eastAsia="Calibri" w:hAnsi="Arial" w:cs="Arial"/>
          <w:sz w:val="22"/>
          <w:szCs w:val="22"/>
          <w:lang w:val="es-MX" w:eastAsia="en-US"/>
        </w:rPr>
      </w:pPr>
    </w:p>
    <w:p w14:paraId="3C2CFD86" w14:textId="2506C96F" w:rsidR="001A1CC0" w:rsidRDefault="001A1CC0" w:rsidP="00524963">
      <w:pPr>
        <w:tabs>
          <w:tab w:val="left" w:pos="3374"/>
        </w:tabs>
        <w:jc w:val="both"/>
        <w:rPr>
          <w:rFonts w:ascii="Arial" w:eastAsia="Calibri" w:hAnsi="Arial" w:cs="Arial"/>
          <w:sz w:val="22"/>
          <w:szCs w:val="22"/>
          <w:lang w:val="es-MX" w:eastAsia="en-US"/>
        </w:rPr>
      </w:pPr>
    </w:p>
    <w:p w14:paraId="106A734E" w14:textId="5ED631DA" w:rsidR="001A1CC0" w:rsidRDefault="001A1CC0" w:rsidP="00524963">
      <w:pPr>
        <w:tabs>
          <w:tab w:val="left" w:pos="3374"/>
        </w:tabs>
        <w:jc w:val="both"/>
        <w:rPr>
          <w:rFonts w:ascii="Arial" w:eastAsia="Calibri" w:hAnsi="Arial" w:cs="Arial"/>
          <w:sz w:val="22"/>
          <w:szCs w:val="22"/>
          <w:lang w:val="es-MX" w:eastAsia="en-US"/>
        </w:rPr>
      </w:pPr>
    </w:p>
    <w:p w14:paraId="5A437314" w14:textId="68A29BE8" w:rsidR="001A1CC0" w:rsidRDefault="001A1CC0" w:rsidP="00524963">
      <w:pPr>
        <w:tabs>
          <w:tab w:val="left" w:pos="3374"/>
        </w:tabs>
        <w:jc w:val="both"/>
        <w:rPr>
          <w:rFonts w:ascii="Arial" w:eastAsia="Calibri" w:hAnsi="Arial" w:cs="Arial"/>
          <w:sz w:val="22"/>
          <w:szCs w:val="22"/>
          <w:lang w:val="es-MX" w:eastAsia="en-US"/>
        </w:rPr>
      </w:pPr>
    </w:p>
    <w:p w14:paraId="414404B9" w14:textId="69760732" w:rsidR="001A1CC0" w:rsidRDefault="001A1CC0" w:rsidP="00524963">
      <w:pPr>
        <w:tabs>
          <w:tab w:val="left" w:pos="3374"/>
        </w:tabs>
        <w:jc w:val="both"/>
        <w:rPr>
          <w:rFonts w:ascii="Arial" w:eastAsia="Calibri" w:hAnsi="Arial" w:cs="Arial"/>
          <w:sz w:val="22"/>
          <w:szCs w:val="22"/>
          <w:lang w:val="es-MX" w:eastAsia="en-US"/>
        </w:rPr>
      </w:pPr>
    </w:p>
    <w:p w14:paraId="6FFEE8C5" w14:textId="2134C514" w:rsidR="001A1CC0" w:rsidRDefault="001A1CC0" w:rsidP="00524963">
      <w:pPr>
        <w:tabs>
          <w:tab w:val="left" w:pos="3374"/>
        </w:tabs>
        <w:jc w:val="both"/>
        <w:rPr>
          <w:rFonts w:ascii="Arial" w:eastAsia="Calibri" w:hAnsi="Arial" w:cs="Arial"/>
          <w:sz w:val="22"/>
          <w:szCs w:val="22"/>
          <w:lang w:val="es-MX" w:eastAsia="en-US"/>
        </w:rPr>
      </w:pPr>
    </w:p>
    <w:p w14:paraId="00795F52" w14:textId="4B4A721A" w:rsidR="001A1CC0" w:rsidRDefault="001A1CC0" w:rsidP="00524963">
      <w:pPr>
        <w:tabs>
          <w:tab w:val="left" w:pos="3374"/>
        </w:tabs>
        <w:jc w:val="both"/>
        <w:rPr>
          <w:rFonts w:ascii="Arial" w:eastAsia="Calibri" w:hAnsi="Arial" w:cs="Arial"/>
          <w:sz w:val="22"/>
          <w:szCs w:val="22"/>
          <w:lang w:val="es-MX" w:eastAsia="en-US"/>
        </w:rPr>
      </w:pPr>
    </w:p>
    <w:p w14:paraId="02083AD3" w14:textId="10C55465" w:rsidR="001A1CC0" w:rsidRDefault="001A1CC0" w:rsidP="00524963">
      <w:pPr>
        <w:tabs>
          <w:tab w:val="left" w:pos="3374"/>
        </w:tabs>
        <w:jc w:val="both"/>
        <w:rPr>
          <w:rFonts w:ascii="Arial" w:eastAsia="Calibri" w:hAnsi="Arial" w:cs="Arial"/>
          <w:sz w:val="22"/>
          <w:szCs w:val="22"/>
          <w:lang w:val="es-MX" w:eastAsia="en-US"/>
        </w:rPr>
      </w:pPr>
    </w:p>
    <w:p w14:paraId="7D4372D1" w14:textId="1F98C1C0" w:rsidR="001A1CC0" w:rsidRDefault="001A1CC0" w:rsidP="00524963">
      <w:pPr>
        <w:tabs>
          <w:tab w:val="left" w:pos="3374"/>
        </w:tabs>
        <w:jc w:val="both"/>
        <w:rPr>
          <w:rFonts w:ascii="Arial" w:eastAsia="Calibri" w:hAnsi="Arial" w:cs="Arial"/>
          <w:sz w:val="22"/>
          <w:szCs w:val="22"/>
          <w:lang w:val="es-MX" w:eastAsia="en-US"/>
        </w:rPr>
      </w:pPr>
    </w:p>
    <w:p w14:paraId="424DA61C" w14:textId="37EA6553" w:rsidR="001A1CC0" w:rsidRDefault="001A1CC0" w:rsidP="00524963">
      <w:pPr>
        <w:tabs>
          <w:tab w:val="left" w:pos="3374"/>
        </w:tabs>
        <w:jc w:val="both"/>
        <w:rPr>
          <w:rFonts w:ascii="Arial" w:eastAsia="Calibri" w:hAnsi="Arial" w:cs="Arial"/>
          <w:sz w:val="22"/>
          <w:szCs w:val="22"/>
          <w:lang w:val="es-MX" w:eastAsia="en-US"/>
        </w:rPr>
      </w:pPr>
    </w:p>
    <w:p w14:paraId="363E033C" w14:textId="040EE5B9" w:rsidR="001A1CC0" w:rsidRDefault="001A1CC0" w:rsidP="00524963">
      <w:pPr>
        <w:tabs>
          <w:tab w:val="left" w:pos="3374"/>
        </w:tabs>
        <w:jc w:val="both"/>
        <w:rPr>
          <w:rFonts w:ascii="Arial" w:eastAsia="Calibri" w:hAnsi="Arial" w:cs="Arial"/>
          <w:sz w:val="22"/>
          <w:szCs w:val="22"/>
          <w:lang w:val="es-MX" w:eastAsia="en-US"/>
        </w:rPr>
      </w:pPr>
    </w:p>
    <w:p w14:paraId="4A8FA447" w14:textId="039E08DF" w:rsidR="001A1CC0" w:rsidRDefault="001A1CC0" w:rsidP="00524963">
      <w:pPr>
        <w:tabs>
          <w:tab w:val="left" w:pos="3374"/>
        </w:tabs>
        <w:jc w:val="both"/>
        <w:rPr>
          <w:rFonts w:ascii="Arial" w:eastAsia="Calibri" w:hAnsi="Arial" w:cs="Arial"/>
          <w:sz w:val="22"/>
          <w:szCs w:val="22"/>
          <w:lang w:val="es-MX" w:eastAsia="en-US"/>
        </w:rPr>
      </w:pPr>
    </w:p>
    <w:p w14:paraId="60C6F4A7" w14:textId="4BA499DC" w:rsidR="001A1CC0" w:rsidRDefault="001A1CC0" w:rsidP="00524963">
      <w:pPr>
        <w:tabs>
          <w:tab w:val="left" w:pos="3374"/>
        </w:tabs>
        <w:jc w:val="both"/>
        <w:rPr>
          <w:rFonts w:ascii="Arial" w:eastAsia="Calibri" w:hAnsi="Arial" w:cs="Arial"/>
          <w:sz w:val="22"/>
          <w:szCs w:val="22"/>
          <w:lang w:val="es-MX" w:eastAsia="en-US"/>
        </w:rPr>
      </w:pPr>
    </w:p>
    <w:p w14:paraId="04AF7C0B" w14:textId="5B3673C8" w:rsidR="001A1CC0" w:rsidRDefault="001A1CC0" w:rsidP="00524963">
      <w:pPr>
        <w:tabs>
          <w:tab w:val="left" w:pos="3374"/>
        </w:tabs>
        <w:jc w:val="both"/>
        <w:rPr>
          <w:rFonts w:ascii="Arial" w:eastAsia="Calibri" w:hAnsi="Arial" w:cs="Arial"/>
          <w:sz w:val="22"/>
          <w:szCs w:val="22"/>
          <w:lang w:val="es-MX" w:eastAsia="en-US"/>
        </w:rPr>
      </w:pPr>
    </w:p>
    <w:p w14:paraId="5304ABED" w14:textId="6C825E88" w:rsidR="001A1CC0" w:rsidRDefault="001A1CC0" w:rsidP="00524963">
      <w:pPr>
        <w:tabs>
          <w:tab w:val="left" w:pos="3374"/>
        </w:tabs>
        <w:jc w:val="both"/>
        <w:rPr>
          <w:rFonts w:ascii="Arial" w:eastAsia="Calibri" w:hAnsi="Arial" w:cs="Arial"/>
          <w:sz w:val="22"/>
          <w:szCs w:val="22"/>
          <w:lang w:val="es-MX" w:eastAsia="en-US"/>
        </w:rPr>
      </w:pPr>
    </w:p>
    <w:p w14:paraId="607180B7" w14:textId="7D63C950" w:rsidR="0088500D" w:rsidRDefault="0088500D" w:rsidP="00524963">
      <w:pPr>
        <w:tabs>
          <w:tab w:val="left" w:pos="3374"/>
        </w:tabs>
        <w:jc w:val="both"/>
        <w:rPr>
          <w:rFonts w:ascii="Arial" w:eastAsia="Calibri" w:hAnsi="Arial" w:cs="Arial"/>
          <w:sz w:val="22"/>
          <w:szCs w:val="22"/>
          <w:lang w:val="es-MX" w:eastAsia="en-US"/>
        </w:rPr>
      </w:pPr>
    </w:p>
    <w:p w14:paraId="782F0449" w14:textId="3EC45909" w:rsidR="0088500D" w:rsidRDefault="0088500D" w:rsidP="00524963">
      <w:pPr>
        <w:tabs>
          <w:tab w:val="left" w:pos="3374"/>
        </w:tabs>
        <w:jc w:val="both"/>
        <w:rPr>
          <w:rFonts w:ascii="Arial" w:eastAsia="Calibri" w:hAnsi="Arial" w:cs="Arial"/>
          <w:sz w:val="22"/>
          <w:szCs w:val="22"/>
          <w:lang w:val="es-MX" w:eastAsia="en-US"/>
        </w:rPr>
      </w:pPr>
    </w:p>
    <w:p w14:paraId="0D987322" w14:textId="2C85900E" w:rsidR="0088500D" w:rsidRDefault="0088500D" w:rsidP="00524963">
      <w:pPr>
        <w:tabs>
          <w:tab w:val="left" w:pos="3374"/>
        </w:tabs>
        <w:jc w:val="both"/>
        <w:rPr>
          <w:rFonts w:ascii="Arial" w:eastAsia="Calibri" w:hAnsi="Arial" w:cs="Arial"/>
          <w:sz w:val="22"/>
          <w:szCs w:val="22"/>
          <w:lang w:val="es-MX" w:eastAsia="en-US"/>
        </w:rPr>
      </w:pPr>
    </w:p>
    <w:p w14:paraId="1AF4457A" w14:textId="281A0B60" w:rsidR="0088500D" w:rsidRDefault="0088500D" w:rsidP="00524963">
      <w:pPr>
        <w:tabs>
          <w:tab w:val="left" w:pos="3374"/>
        </w:tabs>
        <w:jc w:val="both"/>
        <w:rPr>
          <w:rFonts w:ascii="Arial" w:eastAsia="Calibri" w:hAnsi="Arial" w:cs="Arial"/>
          <w:sz w:val="22"/>
          <w:szCs w:val="22"/>
          <w:lang w:val="es-MX" w:eastAsia="en-US"/>
        </w:rPr>
      </w:pPr>
    </w:p>
    <w:p w14:paraId="0A33223E" w14:textId="77777777" w:rsidR="0088500D" w:rsidRDefault="0088500D" w:rsidP="00524963">
      <w:pPr>
        <w:tabs>
          <w:tab w:val="left" w:pos="3374"/>
        </w:tabs>
        <w:jc w:val="both"/>
        <w:rPr>
          <w:rFonts w:ascii="Arial" w:eastAsia="Calibri" w:hAnsi="Arial" w:cs="Arial"/>
          <w:sz w:val="22"/>
          <w:szCs w:val="22"/>
          <w:lang w:val="es-MX" w:eastAsia="en-US"/>
        </w:rPr>
      </w:pPr>
    </w:p>
    <w:p w14:paraId="622E95B1" w14:textId="3031850A" w:rsidR="001A1CC0" w:rsidRDefault="001A1CC0" w:rsidP="00524963">
      <w:pPr>
        <w:tabs>
          <w:tab w:val="left" w:pos="3374"/>
        </w:tabs>
        <w:jc w:val="both"/>
        <w:rPr>
          <w:rFonts w:ascii="Arial" w:eastAsia="Calibri" w:hAnsi="Arial" w:cs="Arial"/>
          <w:sz w:val="22"/>
          <w:szCs w:val="22"/>
          <w:lang w:val="es-MX" w:eastAsia="en-US"/>
        </w:rPr>
      </w:pPr>
    </w:p>
    <w:p w14:paraId="76C98D06" w14:textId="2D340875" w:rsidR="001A1CC0" w:rsidRDefault="001A1CC0" w:rsidP="00524963">
      <w:pPr>
        <w:tabs>
          <w:tab w:val="left" w:pos="3374"/>
        </w:tabs>
        <w:jc w:val="both"/>
        <w:rPr>
          <w:rFonts w:ascii="Arial" w:eastAsia="Calibri" w:hAnsi="Arial" w:cs="Arial"/>
          <w:sz w:val="22"/>
          <w:szCs w:val="22"/>
          <w:lang w:val="es-MX" w:eastAsia="en-US"/>
        </w:rPr>
      </w:pPr>
    </w:p>
    <w:p w14:paraId="40352BEC" w14:textId="52E2D825" w:rsidR="001A1CC0" w:rsidRDefault="001A1CC0" w:rsidP="00524963">
      <w:pPr>
        <w:tabs>
          <w:tab w:val="left" w:pos="3374"/>
        </w:tabs>
        <w:jc w:val="both"/>
        <w:rPr>
          <w:rFonts w:ascii="Arial" w:eastAsia="Calibri" w:hAnsi="Arial" w:cs="Arial"/>
          <w:sz w:val="22"/>
          <w:szCs w:val="22"/>
          <w:lang w:val="es-MX" w:eastAsia="en-US"/>
        </w:rPr>
      </w:pPr>
    </w:p>
    <w:p w14:paraId="1E4D5F42" w14:textId="194984FB" w:rsidR="001A1CC0" w:rsidRDefault="001A1CC0" w:rsidP="00524963">
      <w:pPr>
        <w:tabs>
          <w:tab w:val="left" w:pos="3374"/>
        </w:tabs>
        <w:rPr>
          <w:rFonts w:ascii="Arial" w:eastAsia="Calibri" w:hAnsi="Arial" w:cs="Arial"/>
          <w:sz w:val="22"/>
          <w:szCs w:val="22"/>
          <w:lang w:val="es-MX" w:eastAsia="en-US"/>
        </w:rPr>
      </w:pPr>
    </w:p>
    <w:p w14:paraId="08D8CCE3" w14:textId="77777777" w:rsidR="008810EB" w:rsidRPr="008810EB" w:rsidRDefault="008810EB" w:rsidP="008810EB">
      <w:pPr>
        <w:jc w:val="both"/>
        <w:rPr>
          <w:rFonts w:ascii="Arial" w:hAnsi="Arial" w:cs="Arial"/>
          <w:b/>
          <w:color w:val="000000" w:themeColor="text1"/>
          <w:sz w:val="22"/>
        </w:rPr>
      </w:pPr>
    </w:p>
    <w:p w14:paraId="0038E58E" w14:textId="77777777" w:rsidR="008810EB" w:rsidRPr="008810EB" w:rsidRDefault="008810EB" w:rsidP="008810EB">
      <w:pPr>
        <w:jc w:val="both"/>
        <w:rPr>
          <w:rFonts w:ascii="Arial" w:eastAsia="Calibri" w:hAnsi="Arial" w:cs="Arial"/>
          <w:noProof/>
          <w:color w:val="000000" w:themeColor="text1"/>
          <w:sz w:val="20"/>
        </w:rPr>
      </w:pPr>
    </w:p>
    <w:p w14:paraId="21CB17D5" w14:textId="5EB58BCA" w:rsidR="008810EB" w:rsidRPr="008810EB" w:rsidRDefault="007701E7" w:rsidP="008810EB">
      <w:pPr>
        <w:spacing w:line="276" w:lineRule="auto"/>
        <w:jc w:val="right"/>
        <w:rPr>
          <w:rFonts w:ascii="Arial" w:hAnsi="Arial" w:cs="Arial"/>
          <w:b/>
          <w:noProof/>
          <w:color w:val="000000" w:themeColor="text1"/>
          <w:sz w:val="22"/>
          <w:szCs w:val="22"/>
          <w:lang w:val="pt-BR"/>
        </w:rPr>
      </w:pPr>
      <w:r w:rsidRPr="007701E7">
        <w:rPr>
          <w:rFonts w:ascii="Arial" w:hAnsi="Arial" w:cs="Arial"/>
          <w:b/>
          <w:noProof/>
          <w:color w:val="000000" w:themeColor="text1"/>
          <w:sz w:val="22"/>
          <w:szCs w:val="22"/>
          <w:lang w:val="pt-BR"/>
        </w:rPr>
        <w:lastRenderedPageBreak/>
        <w:drawing>
          <wp:inline distT="0" distB="0" distL="0" distR="0" wp14:anchorId="65DF5011" wp14:editId="09A0D974">
            <wp:extent cx="2362200" cy="7048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2200" cy="704850"/>
                    </a:xfrm>
                    <a:prstGeom prst="rect">
                      <a:avLst/>
                    </a:prstGeom>
                    <a:noFill/>
                    <a:ln>
                      <a:noFill/>
                    </a:ln>
                  </pic:spPr>
                </pic:pic>
              </a:graphicData>
            </a:graphic>
          </wp:inline>
        </w:drawing>
      </w:r>
    </w:p>
    <w:p w14:paraId="7CC2EF28" w14:textId="77777777" w:rsidR="00524963" w:rsidRPr="00524963" w:rsidRDefault="00524963" w:rsidP="00524963">
      <w:pPr>
        <w:rPr>
          <w:rFonts w:ascii="Arial" w:eastAsia="Calibri" w:hAnsi="Arial" w:cs="Arial"/>
          <w:noProof/>
          <w:sz w:val="22"/>
          <w:szCs w:val="22"/>
          <w:lang w:eastAsia="en-US"/>
        </w:rPr>
      </w:pPr>
    </w:p>
    <w:p w14:paraId="5D5DCB70" w14:textId="7614C9C4" w:rsidR="00524963" w:rsidRPr="007701E7" w:rsidRDefault="007701E7" w:rsidP="00524963">
      <w:pPr>
        <w:rPr>
          <w:rFonts w:ascii="Arial" w:hAnsi="Arial" w:cs="Arial"/>
          <w:b/>
          <w:bCs/>
          <w:color w:val="000000" w:themeColor="text1"/>
          <w:sz w:val="22"/>
        </w:rPr>
      </w:pPr>
      <w:r w:rsidRPr="008810EB">
        <w:rPr>
          <w:rFonts w:ascii="Arial" w:hAnsi="Arial" w:cs="Arial"/>
          <w:noProof/>
          <w:color w:val="000000" w:themeColor="text1"/>
          <w:sz w:val="22"/>
        </w:rPr>
        <w:t>Bogotá D.C.,</w:t>
      </w:r>
      <w:r>
        <w:rPr>
          <w:rFonts w:ascii="Arial" w:hAnsi="Arial" w:cs="Arial"/>
          <w:noProof/>
          <w:color w:val="000000" w:themeColor="text1"/>
          <w:sz w:val="22"/>
        </w:rPr>
        <w:t xml:space="preserve"> </w:t>
      </w:r>
      <w:r w:rsidRPr="007701E7">
        <w:rPr>
          <w:rFonts w:ascii="Arial" w:hAnsi="Arial" w:cs="Arial"/>
          <w:b/>
          <w:bCs/>
          <w:noProof/>
          <w:color w:val="000000" w:themeColor="text1"/>
          <w:sz w:val="22"/>
        </w:rPr>
        <w:t>21/04/2022</w:t>
      </w:r>
    </w:p>
    <w:p w14:paraId="2EAE868C" w14:textId="786C7595" w:rsidR="007701E7" w:rsidRDefault="007701E7" w:rsidP="00524963">
      <w:pPr>
        <w:rPr>
          <w:rFonts w:ascii="Arial" w:eastAsia="Calibri" w:hAnsi="Arial" w:cs="Arial"/>
          <w:sz w:val="22"/>
          <w:szCs w:val="22"/>
          <w:lang w:eastAsia="en-US"/>
        </w:rPr>
      </w:pPr>
    </w:p>
    <w:p w14:paraId="73E7D554" w14:textId="77777777" w:rsidR="007701E7" w:rsidRPr="00524963" w:rsidRDefault="007701E7" w:rsidP="00524963">
      <w:pPr>
        <w:rPr>
          <w:rFonts w:ascii="Arial" w:eastAsia="Calibri" w:hAnsi="Arial" w:cs="Arial"/>
          <w:sz w:val="22"/>
          <w:szCs w:val="22"/>
          <w:lang w:eastAsia="en-US"/>
        </w:rPr>
      </w:pPr>
    </w:p>
    <w:p w14:paraId="725275E7" w14:textId="22677388" w:rsidR="00524963" w:rsidRPr="00524963" w:rsidRDefault="001B33BA" w:rsidP="00524963">
      <w:pPr>
        <w:jc w:val="both"/>
        <w:rPr>
          <w:rFonts w:ascii="Arial" w:eastAsia="Calibri" w:hAnsi="Arial" w:cs="Arial"/>
          <w:sz w:val="22"/>
          <w:szCs w:val="22"/>
          <w:lang w:eastAsia="en-US"/>
        </w:rPr>
      </w:pPr>
      <w:bookmarkStart w:id="2" w:name="_Hlk96417464"/>
      <w:r>
        <w:rPr>
          <w:rFonts w:ascii="Arial" w:eastAsia="Calibri" w:hAnsi="Arial" w:cs="Arial"/>
          <w:sz w:val="22"/>
          <w:szCs w:val="22"/>
          <w:lang w:eastAsia="en-US"/>
        </w:rPr>
        <w:t>Señor</w:t>
      </w:r>
    </w:p>
    <w:p w14:paraId="60822689" w14:textId="4E909197" w:rsidR="00524963" w:rsidRPr="00524963" w:rsidRDefault="001B33BA" w:rsidP="00524963">
      <w:pPr>
        <w:jc w:val="both"/>
        <w:rPr>
          <w:rFonts w:ascii="Arial" w:eastAsia="Calibri" w:hAnsi="Arial" w:cs="Arial"/>
          <w:b/>
          <w:sz w:val="22"/>
          <w:szCs w:val="22"/>
          <w:lang w:eastAsia="en-US"/>
        </w:rPr>
      </w:pPr>
      <w:r>
        <w:rPr>
          <w:rFonts w:ascii="Arial" w:eastAsia="Calibri" w:hAnsi="Arial" w:cs="Arial"/>
          <w:b/>
          <w:sz w:val="22"/>
          <w:szCs w:val="22"/>
          <w:lang w:eastAsia="en-US"/>
        </w:rPr>
        <w:t>Felipe Osorio Polania</w:t>
      </w:r>
    </w:p>
    <w:p w14:paraId="255A9222" w14:textId="60358FEC" w:rsidR="00524963" w:rsidRPr="00524963" w:rsidRDefault="00524963" w:rsidP="00524963">
      <w:pPr>
        <w:jc w:val="both"/>
        <w:rPr>
          <w:rFonts w:ascii="Arial" w:eastAsia="Calibri" w:hAnsi="Arial" w:cs="Arial"/>
          <w:sz w:val="22"/>
          <w:szCs w:val="22"/>
          <w:lang w:eastAsia="en-US"/>
        </w:rPr>
      </w:pPr>
      <w:r w:rsidRPr="00524963">
        <w:rPr>
          <w:rFonts w:ascii="Arial" w:eastAsia="Calibri" w:hAnsi="Arial" w:cs="Arial"/>
          <w:sz w:val="22"/>
          <w:szCs w:val="22"/>
          <w:lang w:eastAsia="en-US"/>
        </w:rPr>
        <w:t xml:space="preserve">Bogotá D.C </w:t>
      </w:r>
    </w:p>
    <w:p w14:paraId="1EA4E737" w14:textId="77777777" w:rsidR="00524963" w:rsidRPr="00524963" w:rsidRDefault="00524963" w:rsidP="00524963">
      <w:pPr>
        <w:jc w:val="both"/>
        <w:rPr>
          <w:rFonts w:ascii="Arial" w:eastAsia="Calibri" w:hAnsi="Arial" w:cs="Arial"/>
          <w:color w:val="FF0000"/>
          <w:sz w:val="22"/>
          <w:szCs w:val="22"/>
          <w:lang w:eastAsia="en-US"/>
        </w:rPr>
      </w:pPr>
    </w:p>
    <w:p w14:paraId="3746D9AF" w14:textId="77777777" w:rsidR="00524963" w:rsidRPr="00524963" w:rsidRDefault="00524963" w:rsidP="00524963">
      <w:pPr>
        <w:jc w:val="both"/>
        <w:rPr>
          <w:rFonts w:ascii="Arial" w:eastAsia="Calibri" w:hAnsi="Arial" w:cs="Arial"/>
          <w:color w:val="FF0000"/>
          <w:sz w:val="22"/>
          <w:szCs w:val="22"/>
          <w:lang w:eastAsia="en-US"/>
        </w:rPr>
      </w:pPr>
    </w:p>
    <w:p w14:paraId="3419EAF6" w14:textId="6E1C85A4" w:rsidR="00524963" w:rsidRPr="00524963" w:rsidRDefault="00524963" w:rsidP="00524963">
      <w:pPr>
        <w:jc w:val="both"/>
        <w:rPr>
          <w:rFonts w:ascii="Arial" w:eastAsia="Calibri" w:hAnsi="Arial" w:cs="Arial"/>
          <w:sz w:val="22"/>
          <w:szCs w:val="22"/>
          <w:lang w:eastAsia="en-US"/>
        </w:rPr>
      </w:pPr>
      <w:r w:rsidRPr="00524963">
        <w:rPr>
          <w:rFonts w:ascii="Arial" w:eastAsia="Calibri" w:hAnsi="Arial" w:cs="Arial"/>
          <w:sz w:val="22"/>
          <w:szCs w:val="22"/>
          <w:lang w:eastAsia="en-US"/>
        </w:rPr>
        <w:t xml:space="preserve">                                            </w:t>
      </w:r>
      <w:r w:rsidRPr="00524963">
        <w:rPr>
          <w:rFonts w:ascii="Arial" w:eastAsia="Calibri" w:hAnsi="Arial" w:cs="Arial"/>
          <w:b/>
          <w:sz w:val="22"/>
          <w:szCs w:val="22"/>
          <w:lang w:eastAsia="en-US"/>
        </w:rPr>
        <w:t xml:space="preserve">Concepto C – </w:t>
      </w:r>
      <w:r w:rsidR="008810EB">
        <w:rPr>
          <w:rFonts w:ascii="Arial" w:eastAsia="Calibri" w:hAnsi="Arial" w:cs="Arial"/>
          <w:b/>
          <w:sz w:val="22"/>
          <w:szCs w:val="22"/>
          <w:lang w:eastAsia="en-US"/>
        </w:rPr>
        <w:t>2</w:t>
      </w:r>
      <w:r w:rsidR="001B33BA">
        <w:rPr>
          <w:rFonts w:ascii="Arial" w:eastAsia="Calibri" w:hAnsi="Arial" w:cs="Arial"/>
          <w:b/>
          <w:sz w:val="22"/>
          <w:szCs w:val="22"/>
          <w:lang w:eastAsia="en-US"/>
        </w:rPr>
        <w:t>19</w:t>
      </w:r>
      <w:r w:rsidRPr="00524963">
        <w:rPr>
          <w:rFonts w:ascii="Arial" w:eastAsia="Calibri" w:hAnsi="Arial" w:cs="Arial"/>
          <w:b/>
          <w:sz w:val="22"/>
          <w:szCs w:val="22"/>
          <w:lang w:eastAsia="en-US"/>
        </w:rPr>
        <w:t xml:space="preserve"> de 2022</w:t>
      </w:r>
      <w:r w:rsidRPr="00524963">
        <w:rPr>
          <w:rFonts w:ascii="Arial" w:eastAsia="Calibri" w:hAnsi="Arial" w:cs="Arial"/>
          <w:sz w:val="22"/>
          <w:szCs w:val="22"/>
          <w:lang w:eastAsia="en-US"/>
        </w:rPr>
        <w:t xml:space="preserve"> </w:t>
      </w:r>
    </w:p>
    <w:p w14:paraId="6157B7C8" w14:textId="77777777" w:rsidR="00524963" w:rsidRPr="00524963" w:rsidRDefault="00524963" w:rsidP="00524963">
      <w:pPr>
        <w:jc w:val="both"/>
        <w:rPr>
          <w:rFonts w:ascii="Arial" w:eastAsia="Calibri" w:hAnsi="Arial" w:cs="Arial"/>
          <w:b/>
          <w:sz w:val="22"/>
          <w:szCs w:val="22"/>
          <w:lang w:eastAsia="en-US"/>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24963" w:rsidRPr="00524963" w14:paraId="3B9133A1" w14:textId="77777777" w:rsidTr="00266B9D">
        <w:trPr>
          <w:trHeight w:val="485"/>
        </w:trPr>
        <w:tc>
          <w:tcPr>
            <w:tcW w:w="2689" w:type="dxa"/>
            <w:hideMark/>
          </w:tcPr>
          <w:p w14:paraId="7D325A61" w14:textId="77777777" w:rsidR="00524963" w:rsidRPr="00524963" w:rsidRDefault="00524963" w:rsidP="00524963">
            <w:pPr>
              <w:contextualSpacing/>
              <w:rPr>
                <w:rFonts w:ascii="Arial" w:eastAsia="Calibri" w:hAnsi="Arial" w:cs="Arial"/>
                <w:noProof/>
                <w:sz w:val="22"/>
                <w:szCs w:val="22"/>
                <w:lang w:val="es-ES_tradnl" w:eastAsia="en-US"/>
              </w:rPr>
            </w:pPr>
            <w:r w:rsidRPr="00524963">
              <w:rPr>
                <w:rFonts w:ascii="Arial" w:eastAsia="Calibri" w:hAnsi="Arial" w:cs="Arial"/>
                <w:b/>
                <w:noProof/>
                <w:sz w:val="22"/>
                <w:szCs w:val="22"/>
                <w:lang w:val="es-ES_tradnl" w:eastAsia="en-US"/>
              </w:rPr>
              <w:t>Temas:</w:t>
            </w:r>
            <w:r w:rsidRPr="00524963">
              <w:rPr>
                <w:rFonts w:ascii="Arial" w:eastAsia="Calibri" w:hAnsi="Arial" w:cs="Arial"/>
                <w:noProof/>
                <w:sz w:val="22"/>
                <w:szCs w:val="22"/>
                <w:lang w:val="es-ES_tradnl" w:eastAsia="en-US"/>
              </w:rPr>
              <w:t xml:space="preserve">        </w:t>
            </w:r>
          </w:p>
        </w:tc>
        <w:tc>
          <w:tcPr>
            <w:tcW w:w="6237" w:type="dxa"/>
            <w:hideMark/>
          </w:tcPr>
          <w:p w14:paraId="299A4DEF" w14:textId="3BA73E0D" w:rsidR="00524963" w:rsidRDefault="001B33BA" w:rsidP="001A1CC0">
            <w:pPr>
              <w:spacing w:after="120"/>
              <w:contextualSpacing/>
              <w:jc w:val="both"/>
              <w:rPr>
                <w:rFonts w:ascii="Arial" w:hAnsi="Arial" w:cs="Arial"/>
                <w:bCs/>
                <w:sz w:val="22"/>
                <w:lang w:val="es-ES_tradnl" w:eastAsia="es-CO"/>
              </w:rPr>
            </w:pPr>
            <w:r w:rsidRPr="00E313EF">
              <w:rPr>
                <w:rFonts w:ascii="Arial" w:eastAsia="Calibri" w:hAnsi="Arial" w:cs="Arial"/>
                <w:color w:val="000000" w:themeColor="text1"/>
                <w:sz w:val="22"/>
                <w:lang w:val="es-ES_tradnl"/>
              </w:rPr>
              <w:t>TRATO NACIONAL ― Concepto ― Contratación pública ― Principio de reciprocidad / TRATO NACIONAL ― Ley 816 de 2003 ― Puntaje / DECRETO 680 DE 2021 – Regla de origen – Nueva regulación /</w:t>
            </w:r>
            <w:r w:rsidR="0085262F">
              <w:rPr>
                <w:rFonts w:ascii="Arial" w:eastAsia="Calibri" w:hAnsi="Arial" w:cs="Arial"/>
                <w:color w:val="000000" w:themeColor="text1"/>
                <w:sz w:val="22"/>
                <w:lang w:val="es-ES_tradnl"/>
              </w:rPr>
              <w:t xml:space="preserve"> </w:t>
            </w:r>
            <w:r w:rsidR="0085262F" w:rsidRPr="0085262F">
              <w:rPr>
                <w:rFonts w:ascii="Arial" w:eastAsia="Calibri" w:hAnsi="Arial" w:cs="Arial"/>
                <w:color w:val="000000" w:themeColor="text1"/>
                <w:sz w:val="22"/>
                <w:lang w:val="es-ES_tradnl"/>
              </w:rPr>
              <w:t xml:space="preserve">DECRETO 680 DE 2021 – Ámbito de aplicación – </w:t>
            </w:r>
            <w:r w:rsidR="0085262F">
              <w:rPr>
                <w:rFonts w:ascii="Arial" w:eastAsia="Calibri" w:hAnsi="Arial" w:cs="Arial"/>
                <w:color w:val="000000" w:themeColor="text1"/>
                <w:sz w:val="22"/>
                <w:lang w:val="es-ES_tradnl"/>
              </w:rPr>
              <w:t>P</w:t>
            </w:r>
            <w:r w:rsidR="0085262F" w:rsidRPr="0085262F">
              <w:rPr>
                <w:rFonts w:ascii="Arial" w:eastAsia="Calibri" w:hAnsi="Arial" w:cs="Arial"/>
                <w:color w:val="000000" w:themeColor="text1"/>
                <w:sz w:val="22"/>
                <w:lang w:val="es-ES_tradnl"/>
              </w:rPr>
              <w:t>rocesos de contratación de servicios</w:t>
            </w:r>
          </w:p>
          <w:p w14:paraId="616ABA7B" w14:textId="77777777" w:rsidR="001A1CC0" w:rsidRPr="00524963" w:rsidRDefault="001A1CC0" w:rsidP="00524963">
            <w:pPr>
              <w:spacing w:after="120"/>
              <w:ind w:right="703"/>
              <w:contextualSpacing/>
              <w:jc w:val="both"/>
              <w:rPr>
                <w:rFonts w:ascii="Arial" w:eastAsia="Calibri" w:hAnsi="Arial" w:cs="Arial"/>
                <w:b/>
                <w:sz w:val="22"/>
                <w:szCs w:val="22"/>
                <w:lang w:val="es-MX" w:eastAsia="es-MX"/>
              </w:rPr>
            </w:pPr>
          </w:p>
          <w:p w14:paraId="1FAC99B3" w14:textId="77777777" w:rsidR="00524963" w:rsidRPr="00524963" w:rsidRDefault="00524963" w:rsidP="00524963">
            <w:pPr>
              <w:spacing w:after="120"/>
              <w:rPr>
                <w:rFonts w:ascii="Arial" w:eastAsia="Calibri" w:hAnsi="Arial" w:cs="Arial"/>
                <w:bCs/>
                <w:sz w:val="22"/>
                <w:szCs w:val="22"/>
                <w:lang w:val="es-MX" w:eastAsia="en-US"/>
              </w:rPr>
            </w:pPr>
          </w:p>
        </w:tc>
      </w:tr>
      <w:tr w:rsidR="00524963" w:rsidRPr="00524963" w14:paraId="3ACF6E69" w14:textId="77777777" w:rsidTr="00266B9D">
        <w:tc>
          <w:tcPr>
            <w:tcW w:w="2689" w:type="dxa"/>
          </w:tcPr>
          <w:p w14:paraId="4C768BE4" w14:textId="77777777" w:rsidR="00524963" w:rsidRPr="00524963" w:rsidRDefault="00524963" w:rsidP="00524963">
            <w:pPr>
              <w:contextualSpacing/>
              <w:rPr>
                <w:rFonts w:ascii="Arial" w:eastAsia="Calibri" w:hAnsi="Arial" w:cs="Arial"/>
                <w:b/>
                <w:noProof/>
                <w:sz w:val="22"/>
                <w:szCs w:val="22"/>
                <w:lang w:val="es-ES_tradnl" w:eastAsia="en-US"/>
              </w:rPr>
            </w:pPr>
            <w:r w:rsidRPr="00524963">
              <w:rPr>
                <w:rFonts w:ascii="Arial" w:eastAsia="Calibri" w:hAnsi="Arial" w:cs="Arial"/>
                <w:b/>
                <w:noProof/>
                <w:sz w:val="22"/>
                <w:szCs w:val="22"/>
                <w:lang w:val="es-ES_tradnl" w:eastAsia="en-US"/>
              </w:rPr>
              <w:t>Radicación:</w:t>
            </w:r>
            <w:r w:rsidRPr="00524963">
              <w:rPr>
                <w:rFonts w:ascii="Arial" w:eastAsia="Calibri" w:hAnsi="Arial" w:cs="Arial"/>
                <w:noProof/>
                <w:sz w:val="22"/>
                <w:szCs w:val="22"/>
                <w:lang w:val="es-ES_tradnl" w:eastAsia="en-US"/>
              </w:rPr>
              <w:t xml:space="preserve">                              </w:t>
            </w:r>
          </w:p>
        </w:tc>
        <w:tc>
          <w:tcPr>
            <w:tcW w:w="6237" w:type="dxa"/>
          </w:tcPr>
          <w:p w14:paraId="7AE192F3" w14:textId="58E1D0B6" w:rsidR="00524963" w:rsidRPr="00524963" w:rsidRDefault="00524963" w:rsidP="00524963">
            <w:pPr>
              <w:contextualSpacing/>
              <w:jc w:val="both"/>
              <w:rPr>
                <w:rFonts w:ascii="Arial" w:eastAsia="Calibri" w:hAnsi="Arial" w:cs="Arial"/>
                <w:noProof/>
                <w:sz w:val="22"/>
                <w:szCs w:val="22"/>
                <w:lang w:val="es-ES_tradnl" w:eastAsia="en-US"/>
              </w:rPr>
            </w:pPr>
            <w:r w:rsidRPr="00524963">
              <w:rPr>
                <w:rFonts w:ascii="Arial" w:eastAsia="Calibri" w:hAnsi="Arial" w:cs="Arial"/>
                <w:noProof/>
                <w:sz w:val="22"/>
                <w:szCs w:val="22"/>
                <w:lang w:val="es-ES_tradnl" w:eastAsia="en-US"/>
              </w:rPr>
              <w:t xml:space="preserve">Respuesta a </w:t>
            </w:r>
            <w:r w:rsidR="001B33BA">
              <w:rPr>
                <w:rFonts w:ascii="Arial" w:eastAsia="Calibri" w:hAnsi="Arial" w:cs="Arial"/>
                <w:noProof/>
                <w:sz w:val="22"/>
                <w:szCs w:val="22"/>
                <w:lang w:val="es-ES_tradnl" w:eastAsia="en-US"/>
              </w:rPr>
              <w:t xml:space="preserve">la </w:t>
            </w:r>
            <w:r w:rsidRPr="00524963">
              <w:rPr>
                <w:rFonts w:ascii="Arial" w:eastAsia="Calibri" w:hAnsi="Arial" w:cs="Arial"/>
                <w:noProof/>
                <w:sz w:val="22"/>
                <w:szCs w:val="22"/>
                <w:lang w:val="es-ES_tradnl" w:eastAsia="en-US"/>
              </w:rPr>
              <w:t>consulta</w:t>
            </w:r>
            <w:r w:rsidR="008810EB">
              <w:rPr>
                <w:rFonts w:ascii="Arial" w:eastAsia="Calibri" w:hAnsi="Arial" w:cs="Arial"/>
                <w:noProof/>
                <w:sz w:val="22"/>
                <w:szCs w:val="22"/>
                <w:lang w:val="es-ES_tradnl" w:eastAsia="en-US"/>
              </w:rPr>
              <w:t xml:space="preserve"> </w:t>
            </w:r>
            <w:r w:rsidR="001B33BA" w:rsidRPr="001B33BA">
              <w:rPr>
                <w:rFonts w:ascii="Arial" w:eastAsia="Calibri" w:hAnsi="Arial" w:cs="Arial"/>
                <w:noProof/>
                <w:sz w:val="22"/>
                <w:szCs w:val="22"/>
                <w:lang w:val="es-ES_tradnl" w:eastAsia="en-US"/>
              </w:rPr>
              <w:t>P20220308002272</w:t>
            </w:r>
          </w:p>
        </w:tc>
      </w:tr>
    </w:tbl>
    <w:p w14:paraId="42CB8EFB" w14:textId="77777777" w:rsidR="00524963" w:rsidRPr="00524963" w:rsidRDefault="00524963" w:rsidP="00524963">
      <w:pPr>
        <w:jc w:val="both"/>
        <w:rPr>
          <w:rFonts w:ascii="Arial" w:eastAsia="Calibri" w:hAnsi="Arial" w:cs="Arial"/>
          <w:sz w:val="22"/>
          <w:szCs w:val="22"/>
          <w:lang w:eastAsia="en-US"/>
        </w:rPr>
      </w:pPr>
    </w:p>
    <w:p w14:paraId="16390F0C" w14:textId="77777777" w:rsidR="00524963" w:rsidRPr="00524963" w:rsidRDefault="00524963" w:rsidP="00524963">
      <w:pPr>
        <w:jc w:val="both"/>
        <w:rPr>
          <w:rFonts w:ascii="Arial" w:eastAsia="Calibri" w:hAnsi="Arial" w:cs="Arial"/>
          <w:sz w:val="22"/>
          <w:szCs w:val="22"/>
          <w:lang w:eastAsia="en-US"/>
        </w:rPr>
      </w:pPr>
    </w:p>
    <w:p w14:paraId="26030D5D" w14:textId="62CFAEAD" w:rsidR="00524963" w:rsidRPr="00524963" w:rsidRDefault="00524963" w:rsidP="00524963">
      <w:pPr>
        <w:spacing w:line="276" w:lineRule="auto"/>
        <w:jc w:val="both"/>
        <w:rPr>
          <w:rFonts w:ascii="Arial" w:eastAsia="Calibri" w:hAnsi="Arial" w:cs="Arial"/>
          <w:sz w:val="22"/>
          <w:szCs w:val="22"/>
          <w:lang w:eastAsia="en-US"/>
        </w:rPr>
      </w:pPr>
      <w:r w:rsidRPr="00524963">
        <w:rPr>
          <w:rFonts w:ascii="Arial" w:eastAsia="Calibri" w:hAnsi="Arial" w:cs="Arial"/>
          <w:sz w:val="22"/>
          <w:szCs w:val="22"/>
          <w:lang w:eastAsia="en-US"/>
        </w:rPr>
        <w:t>Estimad</w:t>
      </w:r>
      <w:r w:rsidR="007E213A">
        <w:rPr>
          <w:rFonts w:ascii="Arial" w:eastAsia="Calibri" w:hAnsi="Arial" w:cs="Arial"/>
          <w:sz w:val="22"/>
          <w:szCs w:val="22"/>
          <w:lang w:eastAsia="en-US"/>
        </w:rPr>
        <w:t>o</w:t>
      </w:r>
      <w:r w:rsidRPr="00524963">
        <w:rPr>
          <w:rFonts w:ascii="Arial" w:eastAsia="Calibri" w:hAnsi="Arial" w:cs="Arial"/>
          <w:sz w:val="22"/>
          <w:szCs w:val="22"/>
          <w:lang w:eastAsia="en-US"/>
        </w:rPr>
        <w:t xml:space="preserve"> </w:t>
      </w:r>
      <w:r w:rsidR="001B33BA">
        <w:rPr>
          <w:rFonts w:ascii="Arial" w:eastAsia="Calibri" w:hAnsi="Arial" w:cs="Arial"/>
          <w:sz w:val="22"/>
          <w:szCs w:val="22"/>
          <w:lang w:eastAsia="en-US"/>
        </w:rPr>
        <w:t>señor Osorio</w:t>
      </w:r>
      <w:r w:rsidRPr="00524963">
        <w:rPr>
          <w:rFonts w:ascii="Arial" w:eastAsia="Calibri" w:hAnsi="Arial" w:cs="Arial"/>
          <w:sz w:val="22"/>
          <w:szCs w:val="22"/>
          <w:lang w:eastAsia="en-US"/>
        </w:rPr>
        <w:t>:</w:t>
      </w:r>
    </w:p>
    <w:p w14:paraId="5E245FA2" w14:textId="77777777" w:rsidR="00524963" w:rsidRPr="00524963" w:rsidRDefault="00524963" w:rsidP="00524963">
      <w:pPr>
        <w:spacing w:line="276" w:lineRule="auto"/>
        <w:ind w:firstLine="709"/>
        <w:jc w:val="both"/>
        <w:rPr>
          <w:rFonts w:ascii="Arial" w:eastAsia="Calibri" w:hAnsi="Arial" w:cs="Arial"/>
          <w:sz w:val="22"/>
          <w:szCs w:val="22"/>
          <w:lang w:eastAsia="en-US"/>
        </w:rPr>
      </w:pPr>
    </w:p>
    <w:p w14:paraId="3475A231" w14:textId="19D3C247" w:rsidR="00524963" w:rsidRPr="00524963" w:rsidRDefault="00524963" w:rsidP="00524963">
      <w:pPr>
        <w:spacing w:line="276" w:lineRule="auto"/>
        <w:ind w:right="51"/>
        <w:jc w:val="both"/>
        <w:rPr>
          <w:rFonts w:ascii="Arial" w:eastAsia="Calibri" w:hAnsi="Arial" w:cs="Arial"/>
          <w:sz w:val="22"/>
          <w:szCs w:val="22"/>
          <w:lang w:eastAsia="en-US"/>
        </w:rPr>
      </w:pPr>
      <w:r w:rsidRPr="00524963">
        <w:rPr>
          <w:rFonts w:ascii="Arial" w:eastAsia="Calibri" w:hAnsi="Arial" w:cs="Arial"/>
          <w:sz w:val="22"/>
          <w:szCs w:val="22"/>
          <w:lang w:eastAsia="en-US"/>
        </w:rPr>
        <w:t xml:space="preserve">En ejercicio de la competencia otorgada por el numeral 8 del artículo 11 y el numeral 5 del artículo 3 del Decreto Ley 4170 de 2011, la Agencia Nacional de Contratación Pública – Colombia Compra Eficiente responde la consulta radicada el </w:t>
      </w:r>
      <w:r w:rsidR="001B33BA">
        <w:rPr>
          <w:rFonts w:ascii="Arial" w:eastAsia="Calibri" w:hAnsi="Arial" w:cs="Arial"/>
          <w:sz w:val="22"/>
          <w:szCs w:val="22"/>
          <w:lang w:eastAsia="en-US"/>
        </w:rPr>
        <w:t xml:space="preserve">8 </w:t>
      </w:r>
      <w:r w:rsidRPr="00524963">
        <w:rPr>
          <w:rFonts w:ascii="Arial" w:eastAsia="Calibri" w:hAnsi="Arial" w:cs="Arial"/>
          <w:sz w:val="22"/>
          <w:szCs w:val="22"/>
          <w:lang w:eastAsia="en-US"/>
        </w:rPr>
        <w:t xml:space="preserve">de </w:t>
      </w:r>
      <w:r w:rsidR="007E213A">
        <w:rPr>
          <w:rFonts w:ascii="Arial" w:eastAsia="Calibri" w:hAnsi="Arial" w:cs="Arial"/>
          <w:sz w:val="22"/>
          <w:szCs w:val="22"/>
          <w:lang w:eastAsia="en-US"/>
        </w:rPr>
        <w:t>marzo</w:t>
      </w:r>
      <w:r w:rsidRPr="00524963">
        <w:rPr>
          <w:rFonts w:ascii="Arial" w:eastAsia="Calibri" w:hAnsi="Arial" w:cs="Arial"/>
          <w:sz w:val="22"/>
          <w:szCs w:val="22"/>
          <w:lang w:eastAsia="en-US"/>
        </w:rPr>
        <w:t xml:space="preserve"> de 202</w:t>
      </w:r>
      <w:r w:rsidR="007E213A">
        <w:rPr>
          <w:rFonts w:ascii="Arial" w:eastAsia="Calibri" w:hAnsi="Arial" w:cs="Arial"/>
          <w:sz w:val="22"/>
          <w:szCs w:val="22"/>
          <w:lang w:eastAsia="en-US"/>
        </w:rPr>
        <w:t>2</w:t>
      </w:r>
      <w:r w:rsidRPr="00524963">
        <w:rPr>
          <w:rFonts w:ascii="Arial" w:eastAsia="Calibri" w:hAnsi="Arial" w:cs="Arial"/>
          <w:sz w:val="22"/>
          <w:szCs w:val="22"/>
          <w:lang w:eastAsia="en-US"/>
        </w:rPr>
        <w:t xml:space="preserve">. </w:t>
      </w:r>
    </w:p>
    <w:p w14:paraId="1FDC1190" w14:textId="77777777" w:rsidR="00524963" w:rsidRPr="00524963" w:rsidRDefault="00524963" w:rsidP="00524963">
      <w:pPr>
        <w:spacing w:line="276" w:lineRule="auto"/>
        <w:jc w:val="both"/>
        <w:rPr>
          <w:rFonts w:ascii="Arial" w:eastAsia="Calibri" w:hAnsi="Arial" w:cs="Arial"/>
          <w:sz w:val="22"/>
          <w:szCs w:val="22"/>
          <w:lang w:eastAsia="en-US"/>
        </w:rPr>
      </w:pPr>
    </w:p>
    <w:p w14:paraId="589A7A08" w14:textId="77777777" w:rsidR="00524963" w:rsidRPr="00524963" w:rsidRDefault="00524963" w:rsidP="00524963">
      <w:pPr>
        <w:tabs>
          <w:tab w:val="left" w:pos="284"/>
        </w:tabs>
        <w:spacing w:line="276" w:lineRule="auto"/>
        <w:jc w:val="both"/>
        <w:rPr>
          <w:rFonts w:ascii="Arial" w:eastAsia="Calibri" w:hAnsi="Arial" w:cs="Arial"/>
          <w:b/>
          <w:sz w:val="22"/>
          <w:szCs w:val="22"/>
          <w:lang w:eastAsia="en-US"/>
        </w:rPr>
      </w:pPr>
      <w:r w:rsidRPr="00524963">
        <w:rPr>
          <w:rFonts w:ascii="Arial" w:eastAsia="Calibri" w:hAnsi="Arial" w:cs="Arial"/>
          <w:b/>
          <w:sz w:val="22"/>
          <w:szCs w:val="22"/>
          <w:lang w:eastAsia="en-US"/>
        </w:rPr>
        <w:t xml:space="preserve">1. Problema planteado </w:t>
      </w:r>
    </w:p>
    <w:p w14:paraId="7A2F58B6" w14:textId="77777777" w:rsidR="00AE6F62" w:rsidRDefault="00AE6F62" w:rsidP="00383878">
      <w:pPr>
        <w:spacing w:line="276" w:lineRule="auto"/>
        <w:jc w:val="both"/>
        <w:rPr>
          <w:rFonts w:ascii="Arial" w:eastAsia="Calibri" w:hAnsi="Arial" w:cs="Arial"/>
          <w:b/>
          <w:sz w:val="22"/>
          <w:szCs w:val="22"/>
          <w:lang w:eastAsia="en-US"/>
        </w:rPr>
      </w:pPr>
      <w:bookmarkStart w:id="3" w:name="_Hlk58917991"/>
      <w:bookmarkStart w:id="4" w:name="_Hlk56103000"/>
    </w:p>
    <w:p w14:paraId="6177B11C" w14:textId="16D2011F" w:rsidR="00383878" w:rsidRDefault="00AE6F62" w:rsidP="00383878">
      <w:pPr>
        <w:spacing w:line="276" w:lineRule="auto"/>
        <w:jc w:val="both"/>
        <w:rPr>
          <w:rFonts w:ascii="Arial" w:hAnsi="Arial" w:cs="Arial"/>
          <w:color w:val="000000"/>
          <w:sz w:val="22"/>
          <w:szCs w:val="22"/>
          <w:lang w:val="es-ES_tradnl"/>
        </w:rPr>
      </w:pPr>
      <w:r w:rsidRPr="00E313EF">
        <w:rPr>
          <w:rFonts w:ascii="Arial" w:hAnsi="Arial" w:cs="Arial"/>
          <w:color w:val="000000" w:themeColor="text1"/>
          <w:sz w:val="22"/>
          <w:lang w:val="es-ES_tradnl"/>
        </w:rPr>
        <w:t>Usted realiza la siguiente consulta, relacionada con la aplicación del Decreto 680 de 2021</w:t>
      </w:r>
      <w:r>
        <w:rPr>
          <w:rFonts w:ascii="Arial" w:hAnsi="Arial" w:cs="Arial"/>
          <w:color w:val="000000" w:themeColor="text1"/>
          <w:sz w:val="22"/>
          <w:lang w:val="es-ES_tradnl"/>
        </w:rPr>
        <w:t xml:space="preserve"> en los contratos de compraventa y suministro de bienes</w:t>
      </w:r>
      <w:r w:rsidR="00524963" w:rsidRPr="00524963">
        <w:rPr>
          <w:rFonts w:ascii="Arial" w:hAnsi="Arial" w:cs="Arial"/>
          <w:color w:val="000000"/>
          <w:sz w:val="22"/>
          <w:szCs w:val="22"/>
          <w:lang w:val="es-ES_tradnl"/>
        </w:rPr>
        <w:t xml:space="preserve">: </w:t>
      </w:r>
      <w:bookmarkStart w:id="5" w:name="_Hlk98832248"/>
      <w:bookmarkStart w:id="6" w:name="_Hlk94514883"/>
    </w:p>
    <w:p w14:paraId="4F67254C" w14:textId="77777777" w:rsidR="00383878" w:rsidRPr="00383878" w:rsidRDefault="00383878" w:rsidP="00383878">
      <w:pPr>
        <w:spacing w:line="276" w:lineRule="auto"/>
        <w:jc w:val="both"/>
        <w:rPr>
          <w:rFonts w:ascii="Arial" w:hAnsi="Arial" w:cs="Arial"/>
          <w:color w:val="000000"/>
          <w:sz w:val="22"/>
          <w:szCs w:val="22"/>
          <w:lang w:val="es-ES_tradnl"/>
        </w:rPr>
      </w:pPr>
    </w:p>
    <w:p w14:paraId="0F325F91" w14:textId="1863BCFA" w:rsidR="00AE6F62" w:rsidRPr="00AE6F62" w:rsidRDefault="00524963" w:rsidP="00AE6F62">
      <w:pPr>
        <w:ind w:left="709" w:right="618"/>
        <w:jc w:val="both"/>
        <w:rPr>
          <w:rFonts w:ascii="Arial" w:eastAsia="Calibri" w:hAnsi="Arial" w:cs="Arial"/>
          <w:sz w:val="21"/>
          <w:szCs w:val="21"/>
          <w:lang w:val="es-ES_tradnl" w:eastAsia="es-CO"/>
        </w:rPr>
      </w:pPr>
      <w:r w:rsidRPr="00524963">
        <w:rPr>
          <w:rFonts w:ascii="Arial" w:eastAsia="Calibri" w:hAnsi="Arial" w:cs="Arial"/>
          <w:sz w:val="21"/>
          <w:szCs w:val="21"/>
          <w:lang w:val="es-ES_tradnl" w:eastAsia="es-CO"/>
        </w:rPr>
        <w:t>«</w:t>
      </w:r>
      <w:r w:rsidR="00AE6F62" w:rsidRPr="00AE6F62">
        <w:rPr>
          <w:rFonts w:ascii="Arial" w:eastAsia="Calibri" w:hAnsi="Arial" w:cs="Arial"/>
          <w:sz w:val="21"/>
          <w:szCs w:val="21"/>
          <w:lang w:val="es-ES_tradnl" w:eastAsia="es-CO"/>
        </w:rPr>
        <w:t>Teniendo en cuenta el decreto 680 de del 22 de junio 2021. Como se debe determinar el puntaje de apoyo a la industria nacional en los procesos de adquisición de bienes o elementos? ya sea compraventa o suministro, ya que el articulo nuevo 2.2.1.2.4.2.9. indica procesos de contratación de servicios.  </w:t>
      </w:r>
    </w:p>
    <w:p w14:paraId="1A88F473" w14:textId="77777777" w:rsidR="00AE6F62" w:rsidRPr="00AE6F62" w:rsidRDefault="00AE6F62" w:rsidP="00AE6F62">
      <w:pPr>
        <w:ind w:left="709" w:right="618"/>
        <w:jc w:val="both"/>
        <w:rPr>
          <w:rFonts w:ascii="Arial" w:eastAsia="Calibri" w:hAnsi="Arial" w:cs="Arial"/>
          <w:sz w:val="21"/>
          <w:szCs w:val="21"/>
          <w:lang w:val="es-ES_tradnl" w:eastAsia="es-CO"/>
        </w:rPr>
      </w:pPr>
    </w:p>
    <w:p w14:paraId="1316B127" w14:textId="77777777" w:rsidR="00AE6F62" w:rsidRPr="00AE6F62" w:rsidRDefault="00AE6F62" w:rsidP="00AE6F62">
      <w:pPr>
        <w:ind w:left="709" w:right="618"/>
        <w:jc w:val="both"/>
        <w:rPr>
          <w:rFonts w:ascii="Arial" w:eastAsia="Calibri" w:hAnsi="Arial" w:cs="Arial"/>
          <w:sz w:val="21"/>
          <w:szCs w:val="21"/>
          <w:lang w:val="es-ES_tradnl" w:eastAsia="es-CO"/>
        </w:rPr>
      </w:pPr>
      <w:r w:rsidRPr="00AE6F62">
        <w:rPr>
          <w:rFonts w:ascii="Arial" w:eastAsia="Calibri" w:hAnsi="Arial" w:cs="Arial"/>
          <w:sz w:val="21"/>
          <w:szCs w:val="21"/>
          <w:lang w:val="es-ES_tradnl" w:eastAsia="es-CO"/>
        </w:rPr>
        <w:t xml:space="preserve">Si bien es cierto que en el considerando número 6 del decreto 680 se precisa que los puntajes de que trata la ley 816 de 2003 no son aplicables en la contratación directa, selección abrevia de bienes y servicios de características técnicas uniformes y común utilización y los de mínima cuantía, no se precisa en </w:t>
      </w:r>
      <w:r w:rsidRPr="00AE6F62">
        <w:rPr>
          <w:rFonts w:ascii="Arial" w:eastAsia="Calibri" w:hAnsi="Arial" w:cs="Arial"/>
          <w:sz w:val="21"/>
          <w:szCs w:val="21"/>
          <w:lang w:val="es-ES_tradnl" w:eastAsia="es-CO"/>
        </w:rPr>
        <w:lastRenderedPageBreak/>
        <w:t>el caso de los contrato de compraventa adelantado bajo las diferente modalidades (menor cuantía y licitación) si este criterio es aplicable a las mismas o no.  o para la compraventa o suministro de bienes se sigue implementando la ley 816 de 2003?»</w:t>
      </w:r>
    </w:p>
    <w:bookmarkEnd w:id="5"/>
    <w:bookmarkEnd w:id="6"/>
    <w:p w14:paraId="5DCB41BD" w14:textId="77777777" w:rsidR="00524963" w:rsidRPr="00524963" w:rsidRDefault="00524963" w:rsidP="00524963">
      <w:pPr>
        <w:tabs>
          <w:tab w:val="left" w:pos="426"/>
        </w:tabs>
        <w:spacing w:line="276" w:lineRule="auto"/>
        <w:jc w:val="both"/>
        <w:rPr>
          <w:rFonts w:ascii="Arial" w:eastAsia="Calibri" w:hAnsi="Arial" w:cs="Arial"/>
          <w:sz w:val="22"/>
          <w:szCs w:val="22"/>
          <w:lang w:eastAsia="en-US"/>
        </w:rPr>
      </w:pPr>
    </w:p>
    <w:bookmarkEnd w:id="3"/>
    <w:bookmarkEnd w:id="4"/>
    <w:p w14:paraId="59A5D171" w14:textId="77777777" w:rsidR="00524963" w:rsidRPr="00524963" w:rsidRDefault="00524963" w:rsidP="00524963">
      <w:pPr>
        <w:tabs>
          <w:tab w:val="left" w:pos="284"/>
        </w:tabs>
        <w:spacing w:line="276" w:lineRule="auto"/>
        <w:jc w:val="both"/>
        <w:rPr>
          <w:rFonts w:ascii="Arial" w:eastAsia="Calibri" w:hAnsi="Arial" w:cs="Arial"/>
          <w:b/>
          <w:sz w:val="22"/>
          <w:szCs w:val="22"/>
          <w:lang w:eastAsia="en-US"/>
        </w:rPr>
      </w:pPr>
      <w:r w:rsidRPr="00524963">
        <w:rPr>
          <w:rFonts w:ascii="Arial" w:eastAsia="Calibri" w:hAnsi="Arial" w:cs="Arial"/>
          <w:b/>
          <w:sz w:val="22"/>
          <w:szCs w:val="22"/>
          <w:lang w:eastAsia="en-US"/>
        </w:rPr>
        <w:t>2. Consideraciones</w:t>
      </w:r>
    </w:p>
    <w:p w14:paraId="4960B777" w14:textId="77777777" w:rsidR="00524963" w:rsidRPr="00524963" w:rsidRDefault="00524963" w:rsidP="00524963">
      <w:pPr>
        <w:tabs>
          <w:tab w:val="left" w:pos="426"/>
        </w:tabs>
        <w:spacing w:line="276" w:lineRule="auto"/>
        <w:ind w:firstLine="709"/>
        <w:jc w:val="both"/>
        <w:rPr>
          <w:rFonts w:ascii="Arial" w:eastAsia="Calibri" w:hAnsi="Arial" w:cs="Arial"/>
          <w:bCs/>
          <w:sz w:val="22"/>
          <w:szCs w:val="22"/>
          <w:lang w:eastAsia="en-US"/>
        </w:rPr>
      </w:pPr>
    </w:p>
    <w:p w14:paraId="23982725" w14:textId="6E89AD21" w:rsidR="00AE6F62" w:rsidRPr="00E313EF" w:rsidRDefault="00AE6F62" w:rsidP="00AE6F62">
      <w:pPr>
        <w:tabs>
          <w:tab w:val="left" w:pos="0"/>
        </w:tabs>
        <w:spacing w:line="276" w:lineRule="auto"/>
        <w:jc w:val="both"/>
        <w:rPr>
          <w:rFonts w:ascii="Arial" w:eastAsia="Calibri" w:hAnsi="Arial" w:cs="Arial"/>
          <w:color w:val="000000" w:themeColor="text1"/>
          <w:sz w:val="22"/>
          <w:lang w:val="es-ES_tradnl"/>
        </w:rPr>
      </w:pPr>
      <w:r w:rsidRPr="00E313EF">
        <w:rPr>
          <w:rFonts w:ascii="Arial" w:eastAsia="Calibri" w:hAnsi="Arial" w:cs="Arial"/>
          <w:color w:val="000000" w:themeColor="text1"/>
          <w:sz w:val="22"/>
          <w:lang w:val="es-ES_tradnl"/>
        </w:rPr>
        <w:t>Para resolver su consulta, se analizarán los siguientes temas:</w:t>
      </w:r>
      <w:r w:rsidR="004B3644">
        <w:rPr>
          <w:rFonts w:ascii="Arial" w:eastAsia="Calibri" w:hAnsi="Arial" w:cs="Arial"/>
          <w:color w:val="000000" w:themeColor="text1"/>
          <w:sz w:val="22"/>
          <w:lang w:val="es-ES_tradnl"/>
        </w:rPr>
        <w:t xml:space="preserve"> i) </w:t>
      </w:r>
      <w:r w:rsidR="004B3644" w:rsidRPr="00E313EF">
        <w:rPr>
          <w:rFonts w:ascii="Arial" w:eastAsia="Calibri" w:hAnsi="Arial" w:cs="Arial"/>
          <w:color w:val="000000" w:themeColor="text1"/>
          <w:sz w:val="22"/>
          <w:lang w:val="es-ES_tradnl"/>
        </w:rPr>
        <w:t>trato nacional en la contratación estatal</w:t>
      </w:r>
      <w:r w:rsidR="004B3644">
        <w:rPr>
          <w:rFonts w:ascii="Arial" w:eastAsia="Calibri" w:hAnsi="Arial" w:cs="Arial"/>
          <w:color w:val="000000" w:themeColor="text1"/>
          <w:sz w:val="22"/>
          <w:lang w:val="es-ES_tradnl"/>
        </w:rPr>
        <w:t>,</w:t>
      </w:r>
      <w:r w:rsidRPr="00E313EF">
        <w:rPr>
          <w:rFonts w:ascii="Arial" w:eastAsia="Calibri" w:hAnsi="Arial" w:cs="Arial"/>
          <w:color w:val="000000" w:themeColor="text1"/>
          <w:sz w:val="22"/>
          <w:lang w:val="es-ES_tradnl"/>
        </w:rPr>
        <w:t xml:space="preserve"> </w:t>
      </w:r>
      <w:proofErr w:type="spellStart"/>
      <w:r w:rsidRPr="00E313EF">
        <w:rPr>
          <w:rFonts w:ascii="Arial" w:eastAsia="Calibri" w:hAnsi="Arial" w:cs="Arial"/>
          <w:color w:val="000000" w:themeColor="text1"/>
          <w:sz w:val="22"/>
          <w:lang w:val="es-ES_tradnl"/>
        </w:rPr>
        <w:t>i</w:t>
      </w:r>
      <w:r w:rsidR="004B3644">
        <w:rPr>
          <w:rFonts w:ascii="Arial" w:eastAsia="Calibri" w:hAnsi="Arial" w:cs="Arial"/>
          <w:color w:val="000000" w:themeColor="text1"/>
          <w:sz w:val="22"/>
          <w:lang w:val="es-ES_tradnl"/>
        </w:rPr>
        <w:t>i</w:t>
      </w:r>
      <w:proofErr w:type="spellEnd"/>
      <w:r w:rsidRPr="00E313EF">
        <w:rPr>
          <w:rFonts w:ascii="Arial" w:eastAsia="Calibri" w:hAnsi="Arial" w:cs="Arial"/>
          <w:color w:val="000000" w:themeColor="text1"/>
          <w:sz w:val="22"/>
          <w:lang w:val="es-ES_tradnl"/>
        </w:rPr>
        <w:t xml:space="preserve">) otorgamiento de puntaje por apoyo a la industria nacional, de conformidad con la Ley 816 de 2003 y </w:t>
      </w:r>
      <w:proofErr w:type="spellStart"/>
      <w:r w:rsidRPr="00E313EF">
        <w:rPr>
          <w:rFonts w:ascii="Arial" w:eastAsia="Calibri" w:hAnsi="Arial" w:cs="Arial"/>
          <w:color w:val="000000" w:themeColor="text1"/>
          <w:sz w:val="22"/>
          <w:lang w:val="es-ES_tradnl"/>
        </w:rPr>
        <w:t>i</w:t>
      </w:r>
      <w:r w:rsidR="004B3644">
        <w:rPr>
          <w:rFonts w:ascii="Arial" w:eastAsia="Calibri" w:hAnsi="Arial" w:cs="Arial"/>
          <w:color w:val="000000" w:themeColor="text1"/>
          <w:sz w:val="22"/>
          <w:lang w:val="es-ES_tradnl"/>
        </w:rPr>
        <w:t>i</w:t>
      </w:r>
      <w:r w:rsidRPr="00E313EF">
        <w:rPr>
          <w:rFonts w:ascii="Arial" w:eastAsia="Calibri" w:hAnsi="Arial" w:cs="Arial"/>
          <w:color w:val="000000" w:themeColor="text1"/>
          <w:sz w:val="22"/>
          <w:lang w:val="es-ES_tradnl"/>
        </w:rPr>
        <w:t>i</w:t>
      </w:r>
      <w:proofErr w:type="spellEnd"/>
      <w:r w:rsidRPr="00E313EF">
        <w:rPr>
          <w:rFonts w:ascii="Arial" w:eastAsia="Calibri" w:hAnsi="Arial" w:cs="Arial"/>
          <w:color w:val="000000" w:themeColor="text1"/>
          <w:sz w:val="22"/>
          <w:lang w:val="es-ES_tradnl"/>
        </w:rPr>
        <w:t xml:space="preserve">) </w:t>
      </w:r>
      <w:r w:rsidR="007C37F9">
        <w:rPr>
          <w:rFonts w:ascii="Arial" w:eastAsia="Calibri" w:hAnsi="Arial" w:cs="Arial"/>
          <w:bCs/>
          <w:color w:val="000000" w:themeColor="text1"/>
          <w:sz w:val="22"/>
          <w:lang w:val="es-ES_tradnl"/>
        </w:rPr>
        <w:t>n</w:t>
      </w:r>
      <w:r w:rsidR="007C37F9" w:rsidRPr="007C37F9">
        <w:rPr>
          <w:rFonts w:ascii="Arial" w:eastAsia="Calibri" w:hAnsi="Arial" w:cs="Arial"/>
          <w:bCs/>
          <w:color w:val="000000" w:themeColor="text1"/>
          <w:sz w:val="22"/>
          <w:lang w:val="es-ES_tradnl"/>
        </w:rPr>
        <w:t>ueva regulación de la regla de origen de los «servicios nacionales»</w:t>
      </w:r>
      <w:r w:rsidR="000A4CA6">
        <w:rPr>
          <w:rFonts w:ascii="Arial" w:eastAsia="Calibri" w:hAnsi="Arial" w:cs="Arial"/>
          <w:bCs/>
          <w:color w:val="000000" w:themeColor="text1"/>
          <w:sz w:val="22"/>
          <w:lang w:val="es-ES_tradnl"/>
        </w:rPr>
        <w:t>.</w:t>
      </w:r>
    </w:p>
    <w:p w14:paraId="46D3461E" w14:textId="17D91C48" w:rsidR="00524963" w:rsidRDefault="00AE6F62" w:rsidP="00CE158B">
      <w:pPr>
        <w:spacing w:before="120" w:line="276" w:lineRule="auto"/>
        <w:ind w:firstLine="709"/>
        <w:jc w:val="both"/>
        <w:rPr>
          <w:rFonts w:ascii="Arial" w:eastAsia="Calibri" w:hAnsi="Arial" w:cs="Arial"/>
          <w:color w:val="000000" w:themeColor="text1"/>
          <w:sz w:val="22"/>
          <w:lang w:val="es-ES_tradnl"/>
        </w:rPr>
      </w:pPr>
      <w:r w:rsidRPr="00E313EF">
        <w:rPr>
          <w:rFonts w:ascii="Arial" w:eastAsia="Calibri" w:hAnsi="Arial" w:cs="Arial"/>
          <w:color w:val="000000" w:themeColor="text1"/>
          <w:sz w:val="22"/>
          <w:lang w:val="es-ES_tradnl"/>
        </w:rPr>
        <w:t xml:space="preserve">Al respecto, conviene indicar que la Agencia Nacional de Contratación Pública </w:t>
      </w:r>
      <w:r w:rsidR="000B0EE7">
        <w:rPr>
          <w:rFonts w:ascii="Arial" w:eastAsia="Calibri" w:hAnsi="Arial" w:cs="Arial"/>
          <w:color w:val="000000" w:themeColor="text1"/>
          <w:sz w:val="22"/>
          <w:lang w:val="es-ES_tradnl"/>
        </w:rPr>
        <w:t>–</w:t>
      </w:r>
      <w:r w:rsidRPr="00E313EF">
        <w:rPr>
          <w:rFonts w:ascii="Arial" w:eastAsia="Calibri" w:hAnsi="Arial" w:cs="Arial"/>
          <w:color w:val="000000" w:themeColor="text1"/>
          <w:sz w:val="22"/>
          <w:lang w:val="es-ES_tradnl"/>
        </w:rPr>
        <w:t xml:space="preserve"> Colombia Compra Eficiente, mediante los conceptos C-043 del 15 de enero de 2020, C-073 del 28 de febrero de 2020, C-114 del 6 de marzo de 2020, C-033 del 13 de marzo de 2020, C-119 del 18 de marzo de 2020, C-360 y C-417, ambos del 16 de julio de 2020, C-041 del 26 de enero de 2021</w:t>
      </w:r>
      <w:r w:rsidR="007C37F9">
        <w:rPr>
          <w:rFonts w:ascii="Arial" w:eastAsia="Calibri" w:hAnsi="Arial" w:cs="Arial"/>
          <w:color w:val="000000" w:themeColor="text1"/>
          <w:sz w:val="22"/>
          <w:lang w:val="es-ES_tradnl"/>
        </w:rPr>
        <w:t>,</w:t>
      </w:r>
      <w:r w:rsidRPr="00E313EF">
        <w:rPr>
          <w:rFonts w:ascii="Arial" w:eastAsia="Calibri" w:hAnsi="Arial" w:cs="Arial"/>
          <w:color w:val="000000" w:themeColor="text1"/>
          <w:sz w:val="22"/>
          <w:lang w:val="es-ES_tradnl"/>
        </w:rPr>
        <w:t xml:space="preserve"> C-050 del 8 de marzo de 2021</w:t>
      </w:r>
      <w:r w:rsidR="007C37F9">
        <w:rPr>
          <w:rFonts w:ascii="Arial" w:eastAsia="Calibri" w:hAnsi="Arial" w:cs="Arial"/>
          <w:color w:val="000000" w:themeColor="text1"/>
          <w:sz w:val="22"/>
          <w:lang w:val="es-ES_tradnl"/>
        </w:rPr>
        <w:t xml:space="preserve"> y C-442 del 26 de agosto de 2021</w:t>
      </w:r>
      <w:r w:rsidRPr="00E313EF">
        <w:rPr>
          <w:rFonts w:ascii="Arial" w:eastAsia="Calibri" w:hAnsi="Arial" w:cs="Arial"/>
          <w:color w:val="000000" w:themeColor="text1"/>
          <w:sz w:val="22"/>
          <w:lang w:val="es-ES_tradnl"/>
        </w:rPr>
        <w:t xml:space="preserve">, se pronunció sobre el entendimiento del concepto de trato nacional y sobre el apoyo a la industria nacional en los procedimientos de selección. Algunas de </w:t>
      </w:r>
      <w:r w:rsidRPr="00E313EF">
        <w:rPr>
          <w:rFonts w:ascii="Arial" w:hAnsi="Arial" w:cs="Arial"/>
          <w:color w:val="000000" w:themeColor="text1"/>
          <w:sz w:val="22"/>
          <w:lang w:val="es-ES_tradnl"/>
        </w:rPr>
        <w:t xml:space="preserve">las tesis expuestas en dichas oportunidades se reiteran a continuación. </w:t>
      </w:r>
      <w:r>
        <w:rPr>
          <w:rFonts w:ascii="Arial" w:hAnsi="Arial" w:cs="Arial"/>
          <w:color w:val="000000" w:themeColor="text1"/>
          <w:sz w:val="22"/>
          <w:lang w:val="es-ES_tradnl"/>
        </w:rPr>
        <w:t>De igual forma,</w:t>
      </w:r>
      <w:r w:rsidRPr="00E313EF">
        <w:rPr>
          <w:rFonts w:ascii="Arial" w:hAnsi="Arial" w:cs="Arial"/>
          <w:color w:val="000000" w:themeColor="text1"/>
          <w:sz w:val="22"/>
          <w:lang w:val="es-ES_tradnl"/>
        </w:rPr>
        <w:t xml:space="preserve"> se incluyen nuevos planteamientos, relacionados con el contenido del Decreto 680 de 2021 y de la consulta que se resuelve en esta oportunidad</w:t>
      </w:r>
      <w:r w:rsidR="000B0EE7">
        <w:rPr>
          <w:rFonts w:ascii="Arial" w:hAnsi="Arial" w:cs="Arial"/>
          <w:color w:val="000000" w:themeColor="text1"/>
          <w:sz w:val="22"/>
          <w:lang w:val="es-ES_tradnl"/>
        </w:rPr>
        <w:t>:</w:t>
      </w:r>
    </w:p>
    <w:p w14:paraId="028E27C8" w14:textId="77777777" w:rsidR="00CE158B" w:rsidRPr="00CE158B" w:rsidRDefault="00CE158B" w:rsidP="00CE158B">
      <w:pPr>
        <w:spacing w:line="276" w:lineRule="auto"/>
        <w:ind w:firstLine="709"/>
        <w:jc w:val="both"/>
        <w:rPr>
          <w:rFonts w:ascii="Arial" w:eastAsia="Calibri" w:hAnsi="Arial" w:cs="Arial"/>
          <w:color w:val="000000" w:themeColor="text1"/>
          <w:sz w:val="22"/>
          <w:lang w:val="es-ES_tradnl"/>
        </w:rPr>
      </w:pPr>
    </w:p>
    <w:p w14:paraId="159FB865" w14:textId="77777777" w:rsidR="00662054" w:rsidRDefault="00524963" w:rsidP="00662054">
      <w:pPr>
        <w:tabs>
          <w:tab w:val="left" w:pos="0"/>
        </w:tabs>
        <w:spacing w:line="276" w:lineRule="auto"/>
        <w:jc w:val="both"/>
        <w:rPr>
          <w:rFonts w:ascii="Arial" w:eastAsia="Calibri" w:hAnsi="Arial" w:cs="Arial"/>
          <w:b/>
          <w:color w:val="000000" w:themeColor="text1"/>
          <w:sz w:val="22"/>
          <w:lang w:val="es-ES_tradnl"/>
        </w:rPr>
      </w:pPr>
      <w:r w:rsidRPr="00524963">
        <w:rPr>
          <w:rFonts w:ascii="Arial" w:eastAsia="Calibri" w:hAnsi="Arial" w:cs="Arial"/>
          <w:b/>
          <w:bCs/>
          <w:sz w:val="22"/>
          <w:szCs w:val="22"/>
          <w:lang w:val="es-ES_tradnl" w:eastAsia="en-US"/>
        </w:rPr>
        <w:t xml:space="preserve">2.1. </w:t>
      </w:r>
      <w:r w:rsidR="00662054">
        <w:rPr>
          <w:rFonts w:ascii="Arial" w:eastAsia="Calibri" w:hAnsi="Arial" w:cs="Arial"/>
          <w:b/>
          <w:color w:val="000000" w:themeColor="text1"/>
          <w:sz w:val="22"/>
          <w:lang w:val="es-ES_tradnl"/>
        </w:rPr>
        <w:t>Trato nacional en la contratación estatal. Fuentes y acreditación</w:t>
      </w:r>
    </w:p>
    <w:p w14:paraId="2B71AF11" w14:textId="77777777" w:rsidR="00662054" w:rsidRDefault="00662054" w:rsidP="00662054">
      <w:pPr>
        <w:tabs>
          <w:tab w:val="left" w:pos="0"/>
        </w:tabs>
        <w:spacing w:line="276" w:lineRule="auto"/>
        <w:jc w:val="both"/>
        <w:rPr>
          <w:rFonts w:ascii="Arial" w:eastAsia="Calibri" w:hAnsi="Arial" w:cs="Arial"/>
          <w:bCs/>
          <w:color w:val="000000" w:themeColor="text1"/>
          <w:sz w:val="22"/>
          <w:lang w:val="es-ES_tradnl"/>
        </w:rPr>
      </w:pPr>
    </w:p>
    <w:p w14:paraId="579E3954" w14:textId="77777777" w:rsidR="00CE158B" w:rsidRPr="00E313EF" w:rsidRDefault="00CE158B" w:rsidP="00CE158B">
      <w:pPr>
        <w:tabs>
          <w:tab w:val="left" w:pos="0"/>
        </w:tabs>
        <w:spacing w:line="276" w:lineRule="auto"/>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 xml:space="preserve">El artículo 20 de la Ley 80 de 1993 consagra el </w:t>
      </w:r>
      <w:r w:rsidRPr="00E313EF">
        <w:rPr>
          <w:rFonts w:ascii="Arial" w:eastAsia="Calibri" w:hAnsi="Arial" w:cs="Arial"/>
          <w:bCs/>
          <w:i/>
          <w:iCs/>
          <w:color w:val="000000" w:themeColor="text1"/>
          <w:sz w:val="22"/>
          <w:lang w:val="es-ES_tradnl"/>
        </w:rPr>
        <w:t>principio de reciprocidad</w:t>
      </w:r>
      <w:r w:rsidRPr="00E313EF">
        <w:rPr>
          <w:rFonts w:ascii="Arial" w:eastAsia="Calibri" w:hAnsi="Arial" w:cs="Arial"/>
          <w:bCs/>
          <w:color w:val="000000" w:themeColor="text1"/>
          <w:sz w:val="22"/>
          <w:lang w:val="es-ES_tradnl"/>
        </w:rPr>
        <w:t xml:space="preserve"> en la contratación estatal, entendido como el compromiso asumido por el Estado de brindar a los oferentes de bienes y servicios de origen extranjero un trato semejante al que les conceden a los colombianos en otros Estados con los cuales se ha celebrado acuerdo o tratado comercial, </w:t>
      </w:r>
      <w:r w:rsidRPr="00E313EF">
        <w:rPr>
          <w:rFonts w:ascii="Arial" w:eastAsia="Calibri" w:hAnsi="Arial" w:cs="Arial"/>
          <w:bCs/>
          <w:color w:val="000000" w:themeColor="text1"/>
          <w:sz w:val="22"/>
          <w:lang w:val="es-ES_tradnl"/>
        </w:rPr>
        <w:lastRenderedPageBreak/>
        <w:t>cuando, en ausencia de tratado, se certifica dicha reciprocidad</w:t>
      </w:r>
      <w:r w:rsidRPr="00E313EF">
        <w:rPr>
          <w:rStyle w:val="Refdenotaalpie"/>
          <w:rFonts w:ascii="Arial" w:eastAsia="Calibri" w:hAnsi="Arial" w:cs="Arial"/>
          <w:bCs/>
          <w:color w:val="000000" w:themeColor="text1"/>
          <w:sz w:val="22"/>
          <w:lang w:val="es-ES_tradnl"/>
        </w:rPr>
        <w:footnoteReference w:id="2"/>
      </w:r>
      <w:r w:rsidRPr="00E313EF">
        <w:rPr>
          <w:rFonts w:ascii="Arial" w:eastAsia="Calibri" w:hAnsi="Arial" w:cs="Arial"/>
          <w:bCs/>
          <w:color w:val="000000" w:themeColor="text1"/>
          <w:sz w:val="22"/>
          <w:lang w:val="es-ES_tradnl"/>
        </w:rPr>
        <w:t>, o en virtud de procesos de integración regional</w:t>
      </w:r>
      <w:r w:rsidRPr="00E313EF">
        <w:rPr>
          <w:rStyle w:val="Refdenotaalpie"/>
          <w:rFonts w:ascii="Arial" w:eastAsia="Calibri" w:hAnsi="Arial" w:cs="Arial"/>
          <w:bCs/>
          <w:color w:val="000000" w:themeColor="text1"/>
          <w:sz w:val="22"/>
          <w:lang w:val="es-ES_tradnl"/>
        </w:rPr>
        <w:footnoteReference w:id="3"/>
      </w:r>
      <w:r w:rsidRPr="00E313EF">
        <w:rPr>
          <w:rFonts w:ascii="Arial" w:eastAsia="Calibri" w:hAnsi="Arial" w:cs="Arial"/>
          <w:bCs/>
          <w:color w:val="000000" w:themeColor="text1"/>
          <w:sz w:val="22"/>
          <w:lang w:val="es-ES_tradnl"/>
        </w:rPr>
        <w:t>.</w:t>
      </w:r>
    </w:p>
    <w:p w14:paraId="540E0253" w14:textId="77777777" w:rsidR="00662054" w:rsidRDefault="00662054" w:rsidP="00662054">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 xml:space="preserve">En otras palabras, el </w:t>
      </w:r>
      <w:r>
        <w:rPr>
          <w:rFonts w:ascii="Arial" w:eastAsia="Calibri" w:hAnsi="Arial" w:cs="Arial"/>
          <w:bCs/>
          <w:i/>
          <w:iCs/>
          <w:color w:val="000000" w:themeColor="text1"/>
          <w:sz w:val="22"/>
          <w:lang w:val="es-ES_tradnl"/>
        </w:rPr>
        <w:t xml:space="preserve">trato nacional </w:t>
      </w:r>
      <w:r>
        <w:rPr>
          <w:rFonts w:ascii="Arial" w:eastAsia="Calibri" w:hAnsi="Arial" w:cs="Arial"/>
          <w:bCs/>
          <w:color w:val="000000" w:themeColor="text1"/>
          <w:sz w:val="22"/>
          <w:lang w:val="es-ES_tradnl"/>
        </w:rPr>
        <w:t xml:space="preserve">consiste en la consideración especial en la asignación de puntaje, que se tiene sobre los oferentes, bienes y servicios colombianos, en los procedimientos de selección, pero que, en virtud del principio de reciprocidad, se extiende a los oferentes, bienes o servicios extranjeros; privilegio que puede provenir de alguna de tres fuentes: i) un tratado o acuerdo comercial en el que se haya negociado dicho trato nacional, </w:t>
      </w:r>
      <w:proofErr w:type="spellStart"/>
      <w:r>
        <w:rPr>
          <w:rFonts w:ascii="Arial" w:eastAsia="Calibri" w:hAnsi="Arial" w:cs="Arial"/>
          <w:bCs/>
          <w:color w:val="000000" w:themeColor="text1"/>
          <w:sz w:val="22"/>
          <w:lang w:val="es-ES_tradnl"/>
        </w:rPr>
        <w:t>ii</w:t>
      </w:r>
      <w:proofErr w:type="spellEnd"/>
      <w:r>
        <w:rPr>
          <w:rFonts w:ascii="Arial" w:eastAsia="Calibri" w:hAnsi="Arial" w:cs="Arial"/>
          <w:bCs/>
          <w:color w:val="000000" w:themeColor="text1"/>
          <w:sz w:val="22"/>
          <w:lang w:val="es-ES_tradnl"/>
        </w:rPr>
        <w:t xml:space="preserve">) un certificado de reciprocidad expedido por el Ministerio de Relaciones Exteriores –ante la ausencia de un tratado o acuerdo comercial– o </w:t>
      </w:r>
      <w:proofErr w:type="spellStart"/>
      <w:r>
        <w:rPr>
          <w:rFonts w:ascii="Arial" w:eastAsia="Calibri" w:hAnsi="Arial" w:cs="Arial"/>
          <w:bCs/>
          <w:color w:val="000000" w:themeColor="text1"/>
          <w:sz w:val="22"/>
          <w:lang w:val="es-ES_tradnl"/>
        </w:rPr>
        <w:t>iii</w:t>
      </w:r>
      <w:proofErr w:type="spellEnd"/>
      <w:r>
        <w:rPr>
          <w:rFonts w:ascii="Arial" w:eastAsia="Calibri" w:hAnsi="Arial" w:cs="Arial"/>
          <w:bCs/>
          <w:color w:val="000000" w:themeColor="text1"/>
          <w:sz w:val="22"/>
          <w:lang w:val="es-ES_tradnl"/>
        </w:rPr>
        <w:t>) la regulación andina. Las tres fuentes se reconocen no solo en el precitado artículo 20 de la Ley 80 de 1993, sino también en el artículo 2.2.1.2.4.1.3. del Decreto 1082 de 2015</w:t>
      </w:r>
      <w:r>
        <w:rPr>
          <w:rStyle w:val="Refdenotaalpie"/>
          <w:rFonts w:ascii="Arial" w:eastAsia="Calibri" w:hAnsi="Arial" w:cs="Arial"/>
          <w:bCs/>
          <w:color w:val="000000" w:themeColor="text1"/>
          <w:sz w:val="22"/>
          <w:lang w:val="es-ES_tradnl"/>
        </w:rPr>
        <w:footnoteReference w:id="4"/>
      </w:r>
      <w:r>
        <w:rPr>
          <w:rFonts w:ascii="Arial" w:eastAsia="Calibri" w:hAnsi="Arial" w:cs="Arial"/>
          <w:bCs/>
          <w:color w:val="000000" w:themeColor="text1"/>
          <w:sz w:val="22"/>
          <w:lang w:val="es-ES_tradnl"/>
        </w:rPr>
        <w:t>.</w:t>
      </w:r>
    </w:p>
    <w:p w14:paraId="387BFCE0" w14:textId="77777777" w:rsidR="00662054" w:rsidRDefault="00662054" w:rsidP="00662054">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lastRenderedPageBreak/>
        <w:t xml:space="preserve">En cuanto a la primera de ellas, cabe señalar que el trato nacional puede estar estipulado en un </w:t>
      </w:r>
      <w:r>
        <w:rPr>
          <w:rFonts w:ascii="Arial" w:eastAsia="Calibri" w:hAnsi="Arial" w:cs="Arial"/>
          <w:bCs/>
          <w:i/>
          <w:iCs/>
          <w:color w:val="000000" w:themeColor="text1"/>
          <w:sz w:val="22"/>
          <w:lang w:val="es-ES_tradnl"/>
        </w:rPr>
        <w:t>tratado o acuerdo comercial</w:t>
      </w:r>
      <w:r>
        <w:rPr>
          <w:rFonts w:ascii="Arial" w:eastAsia="Calibri" w:hAnsi="Arial" w:cs="Arial"/>
          <w:bCs/>
          <w:color w:val="000000" w:themeColor="text1"/>
          <w:sz w:val="22"/>
          <w:lang w:val="es-ES_tradnl"/>
        </w:rPr>
        <w:t xml:space="preserve"> suscrito entre Colombia y uno o varios Estados, adoptando como cláusula que a los oferentes, bienes o servicios extranjeros de dichos Estados se les considerará en nuestro país como nacionales, bajo las condiciones establecidas en la respectiva negociación</w:t>
      </w:r>
      <w:r>
        <w:rPr>
          <w:rStyle w:val="Refdenotaalpie"/>
          <w:rFonts w:ascii="Arial" w:eastAsia="Calibri" w:hAnsi="Arial" w:cs="Arial"/>
          <w:bCs/>
          <w:color w:val="000000" w:themeColor="text1"/>
          <w:sz w:val="22"/>
          <w:lang w:val="es-ES_tradnl"/>
        </w:rPr>
        <w:footnoteReference w:id="5"/>
      </w:r>
      <w:r>
        <w:rPr>
          <w:rFonts w:ascii="Arial" w:eastAsia="Calibri" w:hAnsi="Arial" w:cs="Arial"/>
          <w:bCs/>
          <w:color w:val="000000" w:themeColor="text1"/>
          <w:sz w:val="22"/>
          <w:lang w:val="es-ES_tradnl"/>
        </w:rPr>
        <w:t>. Así, el tratado correspondiente puede contener un acápite en el que se establezca que determinados bienes o servicios cubiertos se beneficiarán por el trato nacional; lo que a veces también puede suceder con los proveedores. A título de ejemplo, la cláusula 11.2 del tratado de libre comercio suscrito entre Colombia y los países del Triángulo Norte de Centroamérica –El Salvador, Guatemala y Honduras–</w:t>
      </w:r>
      <w:r>
        <w:rPr>
          <w:rStyle w:val="Refdenotaalpie"/>
          <w:rFonts w:ascii="Arial" w:eastAsia="Calibri" w:hAnsi="Arial" w:cs="Arial"/>
          <w:bCs/>
          <w:color w:val="000000" w:themeColor="text1"/>
          <w:sz w:val="22"/>
          <w:lang w:val="es-ES_tradnl"/>
        </w:rPr>
        <w:footnoteReference w:id="6"/>
      </w:r>
      <w:r>
        <w:rPr>
          <w:rFonts w:ascii="Arial" w:eastAsia="Calibri" w:hAnsi="Arial" w:cs="Arial"/>
          <w:bCs/>
          <w:color w:val="000000" w:themeColor="text1"/>
          <w:sz w:val="22"/>
          <w:lang w:val="es-ES_tradnl"/>
        </w:rPr>
        <w:t xml:space="preserve"> establece que, con respecto a la cobertura negociada en dicho acuerdo, «cada Parte concederá a las mercancías, servicios, incluidos los servicios de construcción, y proveedores de la otra Parte, un trato no menos favorable que el que conceda a sus propias mercancías, servicios y proveedores». Así mismo, el artículo 9.2 del tratado de libre comercio celebrado entre Colombia y los Estados Unidos de Norteamérica</w:t>
      </w:r>
      <w:r>
        <w:rPr>
          <w:rStyle w:val="Refdenotaalpie"/>
          <w:rFonts w:ascii="Arial" w:eastAsia="Calibri" w:hAnsi="Arial" w:cs="Arial"/>
          <w:bCs/>
          <w:color w:val="000000" w:themeColor="text1"/>
          <w:sz w:val="22"/>
          <w:lang w:val="es-ES_tradnl"/>
        </w:rPr>
        <w:footnoteReference w:id="7"/>
      </w:r>
      <w:r>
        <w:rPr>
          <w:rFonts w:ascii="Arial" w:eastAsia="Calibri" w:hAnsi="Arial" w:cs="Arial"/>
          <w:bCs/>
          <w:color w:val="000000" w:themeColor="text1"/>
          <w:sz w:val="22"/>
          <w:lang w:val="es-ES_tradnl"/>
        </w:rPr>
        <w:t>, prevé que «Con respecto a cualquier medida cubierta por este Capítulo [es decir, el capítulo 9], cada Parte otorgará incondicionalmente a las mercancías y servicios de la otra Parte y a los proveedores de tales mercancías y servicios, un trato no menos favorable que el trato más favorable otorgado por dicha Parte a sus propias mercancías, servicios y proveedores» (nota entre corchetes fuera de texto).</w:t>
      </w:r>
    </w:p>
    <w:p w14:paraId="07A0E53C" w14:textId="77777777" w:rsidR="00662054" w:rsidRDefault="00662054" w:rsidP="00662054">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lastRenderedPageBreak/>
        <w:t xml:space="preserve">En consecuencia, para que pueda aplicarse el trato nacional en virtud del pacto contenido en un tratado o acuerdo comercial, la contratación debe versar sobre los bienes, servicios o proveedores </w:t>
      </w:r>
      <w:r>
        <w:rPr>
          <w:rFonts w:ascii="Arial" w:eastAsia="Calibri" w:hAnsi="Arial" w:cs="Arial"/>
          <w:bCs/>
          <w:i/>
          <w:iCs/>
          <w:color w:val="000000" w:themeColor="text1"/>
          <w:sz w:val="22"/>
          <w:lang w:val="es-ES_tradnl"/>
        </w:rPr>
        <w:t>cubiertos</w:t>
      </w:r>
      <w:r>
        <w:rPr>
          <w:rFonts w:ascii="Arial" w:eastAsia="Calibri" w:hAnsi="Arial" w:cs="Arial"/>
          <w:bCs/>
          <w:color w:val="000000" w:themeColor="text1"/>
          <w:sz w:val="22"/>
          <w:lang w:val="es-ES_tradnl"/>
        </w:rPr>
        <w:t xml:space="preserve"> por dicho tratado, pues la autonomía de la voluntad de los Estados, que es expresión de su soberanía, les permite negociar en el acuerdo comercial un alcance o cobertura </w:t>
      </w:r>
      <w:proofErr w:type="gramStart"/>
      <w:r>
        <w:rPr>
          <w:rFonts w:ascii="Arial" w:eastAsia="Calibri" w:hAnsi="Arial" w:cs="Arial"/>
          <w:bCs/>
          <w:color w:val="000000" w:themeColor="text1"/>
          <w:sz w:val="22"/>
          <w:lang w:val="es-ES_tradnl"/>
        </w:rPr>
        <w:t>del mismo</w:t>
      </w:r>
      <w:proofErr w:type="gramEnd"/>
      <w:r>
        <w:rPr>
          <w:rFonts w:ascii="Arial" w:eastAsia="Calibri" w:hAnsi="Arial" w:cs="Arial"/>
          <w:bCs/>
          <w:color w:val="000000" w:themeColor="text1"/>
          <w:sz w:val="22"/>
          <w:lang w:val="es-ES_tradnl"/>
        </w:rPr>
        <w:t xml:space="preserve">, según razones de oportunidad o conveniencia. Es por esto </w:t>
      </w:r>
      <w:proofErr w:type="gramStart"/>
      <w:r>
        <w:rPr>
          <w:rFonts w:ascii="Arial" w:eastAsia="Calibri" w:hAnsi="Arial" w:cs="Arial"/>
          <w:bCs/>
          <w:color w:val="000000" w:themeColor="text1"/>
          <w:sz w:val="22"/>
          <w:lang w:val="es-ES_tradnl"/>
        </w:rPr>
        <w:t>que</w:t>
      </w:r>
      <w:proofErr w:type="gramEnd"/>
      <w:r>
        <w:rPr>
          <w:rFonts w:ascii="Arial" w:eastAsia="Calibri" w:hAnsi="Arial" w:cs="Arial"/>
          <w:bCs/>
          <w:color w:val="000000" w:themeColor="text1"/>
          <w:sz w:val="22"/>
          <w:lang w:val="es-ES_tradnl"/>
        </w:rPr>
        <w:t xml:space="preserve"> en los tratados se establecen las entidades cubiertas, así como los umbrales, es decir, los valores o montos que, al igualarse o superarse en un procedimiento de contratación, hacen que este quede amparado por el tratado</w:t>
      </w:r>
      <w:r>
        <w:rPr>
          <w:rStyle w:val="Refdenotaalpie"/>
          <w:rFonts w:ascii="Arial" w:eastAsia="Calibri" w:hAnsi="Arial" w:cs="Arial"/>
          <w:bCs/>
          <w:color w:val="000000" w:themeColor="text1"/>
          <w:sz w:val="22"/>
          <w:lang w:val="es-ES_tradnl"/>
        </w:rPr>
        <w:footnoteReference w:id="8"/>
      </w:r>
      <w:r>
        <w:rPr>
          <w:rFonts w:ascii="Arial" w:eastAsia="Calibri" w:hAnsi="Arial" w:cs="Arial"/>
          <w:bCs/>
          <w:color w:val="000000" w:themeColor="text1"/>
          <w:sz w:val="22"/>
          <w:lang w:val="es-ES_tradnl"/>
        </w:rPr>
        <w:t>. De igual manera, este también puede contener exclusiones explícitas a su cobertura</w:t>
      </w:r>
      <w:r>
        <w:rPr>
          <w:rStyle w:val="Refdenotaalpie"/>
          <w:rFonts w:ascii="Arial" w:eastAsia="Calibri" w:hAnsi="Arial" w:cs="Arial"/>
          <w:bCs/>
          <w:color w:val="000000" w:themeColor="text1"/>
          <w:sz w:val="22"/>
          <w:lang w:val="es-ES_tradnl"/>
        </w:rPr>
        <w:footnoteReference w:id="9"/>
      </w:r>
      <w:r>
        <w:rPr>
          <w:rFonts w:ascii="Arial" w:eastAsia="Calibri" w:hAnsi="Arial" w:cs="Arial"/>
          <w:bCs/>
          <w:color w:val="000000" w:themeColor="text1"/>
          <w:sz w:val="22"/>
          <w:lang w:val="es-ES_tradnl"/>
        </w:rPr>
        <w:t>.</w:t>
      </w:r>
    </w:p>
    <w:p w14:paraId="4286E9B1" w14:textId="77777777" w:rsidR="00662054" w:rsidRDefault="00662054" w:rsidP="00662054">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 xml:space="preserve">En relación con la segunda fuente del trato nacional, esto es, el </w:t>
      </w:r>
      <w:r>
        <w:rPr>
          <w:rFonts w:ascii="Arial" w:eastAsia="Calibri" w:hAnsi="Arial" w:cs="Arial"/>
          <w:bCs/>
          <w:i/>
          <w:iCs/>
          <w:color w:val="000000" w:themeColor="text1"/>
          <w:sz w:val="22"/>
          <w:lang w:val="es-ES_tradnl"/>
        </w:rPr>
        <w:t>certificado de reciprocidad</w:t>
      </w:r>
      <w:r>
        <w:rPr>
          <w:rFonts w:ascii="Arial" w:eastAsia="Calibri" w:hAnsi="Arial" w:cs="Arial"/>
          <w:bCs/>
          <w:color w:val="000000" w:themeColor="text1"/>
          <w:sz w:val="22"/>
          <w:lang w:val="es-ES_tradnl"/>
        </w:rPr>
        <w:t>, el artículo 20 de la Ley 80 de 1993 establece que cuando «[…]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Esto significa que la ausencia de tratado o acuerdo comercial no inhabilita por ese solo hecho al oferente extranjero para participar en el procedimiento de selección abierto por una entidad estatal colombiana, ni le impide ser tratado como nacional de nuestro país, pero, si pretende gozar de este último beneficio, debe contar con un certificado de reciprocidad. Este certificado es un documento que, según el artículo 2.2.1.2.4.1.3. del Decreto 1082 de 2015, debe expedir el Ministerio de Relaciones Exteriores frente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Tal certificado solo puede expedirse, entonces, cuando no exista tratado o acuerdo comercial suscrito con el Estado del que provenga el oferente, bien o servicio</w:t>
      </w:r>
      <w:r>
        <w:rPr>
          <w:rStyle w:val="Refdenotaalpie"/>
          <w:rFonts w:ascii="Arial" w:eastAsia="Calibri" w:hAnsi="Arial" w:cs="Arial"/>
          <w:bCs/>
          <w:color w:val="000000" w:themeColor="text1"/>
          <w:sz w:val="22"/>
          <w:lang w:val="es-ES_tradnl"/>
        </w:rPr>
        <w:footnoteReference w:id="10"/>
      </w:r>
      <w:r>
        <w:rPr>
          <w:rFonts w:ascii="Arial" w:eastAsia="Calibri" w:hAnsi="Arial" w:cs="Arial"/>
          <w:bCs/>
          <w:color w:val="000000" w:themeColor="text1"/>
          <w:sz w:val="22"/>
          <w:lang w:val="es-ES_tradnl"/>
        </w:rPr>
        <w:t>.</w:t>
      </w:r>
    </w:p>
    <w:p w14:paraId="4CBFFC4C" w14:textId="77777777" w:rsidR="00662054" w:rsidRDefault="00662054" w:rsidP="00662054">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lastRenderedPageBreak/>
        <w:t>La tercera fuente del deber de trato nacional es el conjunto de las disposiciones de la Comunidad Andina</w:t>
      </w:r>
      <w:r>
        <w:rPr>
          <w:rStyle w:val="Refdenotaalpie"/>
          <w:rFonts w:ascii="Arial" w:eastAsia="Calibri" w:hAnsi="Arial" w:cs="Arial"/>
          <w:bCs/>
          <w:color w:val="000000" w:themeColor="text1"/>
          <w:sz w:val="22"/>
          <w:lang w:val="es-ES_tradnl"/>
        </w:rPr>
        <w:footnoteReference w:id="11"/>
      </w:r>
      <w:r>
        <w:rPr>
          <w:rFonts w:ascii="Arial" w:eastAsia="Calibri" w:hAnsi="Arial" w:cs="Arial"/>
          <w:bCs/>
          <w:color w:val="000000" w:themeColor="text1"/>
          <w:sz w:val="22"/>
          <w:lang w:val="es-ES_tradnl"/>
        </w:rPr>
        <w:t xml:space="preserve"> que consagran este principio. Así lo reconoce el literal c) del mencionado artículo del Decreto 1082 de 2015, al establecer que las entidades estatales también deben conceder trato nacional «[…] a los servicios prestados por oferentes miembros de la Comunidad Andina de Naciones teniendo en cuenta la regulación andina aplicable a la materia». Así, por ejemplo, el artículo 4 de la Decisión 439 de la Comisión de la Comunidad Andina, dispuso que «La adquisición de servicios por parte de organismos gubernamentales o de entidades públicas de los Países Miembros estará sujeta al principio de trato nacional entre los Países Miembros, mediante Decisión que será adoptada a más tardar el 1º de enero del año 2002. En caso de no adoptarse dicha Decisión en el plazo señalado, los Países Miembros otorgarán trato nacional en forma inmediata».</w:t>
      </w:r>
    </w:p>
    <w:p w14:paraId="445E73E7" w14:textId="6C5E9E2F" w:rsidR="00662054" w:rsidRDefault="00662054" w:rsidP="006F2812">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Actualmente el artículo 20 de la Ley 80 de 1993, así como los artículos 2.2.1.2.4.1.1. y 2.2.1.2.4.1.2. del Decreto 1082 de 2015, consagran la prevalencia de los compromisos contenidos en los tratados o acuerdos comerciales suscritos por Colombia con otros Estados, sobre lo que establezca el derecho interno, el cual no puede ser contrario a los tratados. Esto se deduce de los artículos 26 y 27 de la Convención de Viena sobre el derecho de los tratados</w:t>
      </w:r>
      <w:r>
        <w:rPr>
          <w:rStyle w:val="Refdenotaalpie"/>
          <w:rFonts w:ascii="Arial" w:eastAsia="Calibri" w:hAnsi="Arial" w:cs="Arial"/>
          <w:bCs/>
          <w:color w:val="000000" w:themeColor="text1"/>
          <w:sz w:val="22"/>
          <w:lang w:val="es-ES_tradnl"/>
        </w:rPr>
        <w:footnoteReference w:id="12"/>
      </w:r>
      <w:r>
        <w:rPr>
          <w:rFonts w:ascii="Arial" w:eastAsia="Calibri" w:hAnsi="Arial" w:cs="Arial"/>
          <w:bCs/>
          <w:color w:val="000000" w:themeColor="text1"/>
          <w:sz w:val="22"/>
          <w:lang w:val="es-ES_tradnl"/>
        </w:rPr>
        <w:t>.</w:t>
      </w:r>
    </w:p>
    <w:p w14:paraId="04E76F42" w14:textId="77777777" w:rsidR="006F2812" w:rsidRPr="006F2812" w:rsidRDefault="006F2812" w:rsidP="006F2812">
      <w:pPr>
        <w:tabs>
          <w:tab w:val="left" w:pos="0"/>
        </w:tabs>
        <w:spacing w:before="120" w:line="276" w:lineRule="auto"/>
        <w:ind w:firstLine="709"/>
        <w:jc w:val="both"/>
        <w:rPr>
          <w:rFonts w:ascii="Arial" w:eastAsia="Calibri" w:hAnsi="Arial" w:cs="Arial"/>
          <w:bCs/>
          <w:color w:val="000000" w:themeColor="text1"/>
          <w:sz w:val="22"/>
          <w:lang w:val="es-ES_tradnl"/>
        </w:rPr>
      </w:pPr>
    </w:p>
    <w:p w14:paraId="0DB317D2" w14:textId="4D1D9433" w:rsidR="00DF1730" w:rsidRPr="00E313EF" w:rsidRDefault="00662054" w:rsidP="00DF1730">
      <w:pPr>
        <w:tabs>
          <w:tab w:val="left" w:pos="0"/>
        </w:tabs>
        <w:spacing w:line="276" w:lineRule="auto"/>
        <w:jc w:val="both"/>
        <w:rPr>
          <w:rFonts w:ascii="Arial" w:eastAsia="Calibri" w:hAnsi="Arial" w:cs="Arial"/>
          <w:b/>
          <w:color w:val="000000" w:themeColor="text1"/>
          <w:sz w:val="22"/>
          <w:lang w:val="es-ES_tradnl"/>
        </w:rPr>
      </w:pPr>
      <w:r>
        <w:rPr>
          <w:rFonts w:ascii="Arial" w:eastAsia="Calibri" w:hAnsi="Arial" w:cs="Arial"/>
          <w:b/>
          <w:color w:val="000000" w:themeColor="text1"/>
          <w:sz w:val="22"/>
          <w:lang w:val="es-ES_tradnl"/>
        </w:rPr>
        <w:lastRenderedPageBreak/>
        <w:t xml:space="preserve">2.2. </w:t>
      </w:r>
      <w:r w:rsidR="00DF1730" w:rsidRPr="00E313EF">
        <w:rPr>
          <w:rFonts w:ascii="Arial" w:eastAsia="Calibri" w:hAnsi="Arial" w:cs="Arial"/>
          <w:b/>
          <w:color w:val="000000" w:themeColor="text1"/>
          <w:sz w:val="22"/>
          <w:lang w:val="es-ES_tradnl"/>
        </w:rPr>
        <w:t>Otorgamiento de puntaje por apoyar la industria nacional, de conformidad con la Ley 816 de 2003. Límites a la discrecionalidad administrativa en la confección del pliego de condiciones</w:t>
      </w:r>
    </w:p>
    <w:p w14:paraId="2AA58F3C" w14:textId="77777777" w:rsidR="00DF1730" w:rsidRPr="00E313EF" w:rsidRDefault="00DF1730" w:rsidP="00DF1730">
      <w:pPr>
        <w:tabs>
          <w:tab w:val="left" w:pos="0"/>
        </w:tabs>
        <w:spacing w:line="276" w:lineRule="auto"/>
        <w:jc w:val="both"/>
        <w:rPr>
          <w:rFonts w:ascii="Arial" w:eastAsia="Calibri" w:hAnsi="Arial" w:cs="Arial"/>
          <w:bCs/>
          <w:color w:val="000000" w:themeColor="text1"/>
          <w:sz w:val="22"/>
          <w:lang w:val="es-ES_tradnl"/>
        </w:rPr>
      </w:pPr>
    </w:p>
    <w:p w14:paraId="2C74B043" w14:textId="72D577F7" w:rsidR="00DF1730" w:rsidRPr="00E313EF" w:rsidRDefault="00DF1730" w:rsidP="00DF1730">
      <w:pPr>
        <w:tabs>
          <w:tab w:val="left" w:pos="0"/>
        </w:tabs>
        <w:spacing w:line="276" w:lineRule="auto"/>
        <w:jc w:val="both"/>
        <w:rPr>
          <w:rFonts w:ascii="Arial" w:eastAsia="Calibri" w:hAnsi="Arial" w:cs="Arial"/>
          <w:bCs/>
          <w:color w:val="000000" w:themeColor="text1"/>
          <w:sz w:val="22"/>
          <w:lang w:val="es-ES_tradnl"/>
        </w:rPr>
      </w:pPr>
      <w:bookmarkStart w:id="7" w:name="_Hlk101515095"/>
      <w:r w:rsidRPr="00E313EF">
        <w:rPr>
          <w:rFonts w:ascii="Arial" w:eastAsia="Calibri" w:hAnsi="Arial" w:cs="Arial"/>
          <w:bCs/>
          <w:color w:val="000000" w:themeColor="text1"/>
          <w:sz w:val="22"/>
          <w:lang w:val="es-ES_tradnl"/>
        </w:rPr>
        <w:t>Una vez analizadas las tres</w:t>
      </w:r>
      <w:r w:rsidR="00E42E1D">
        <w:rPr>
          <w:rFonts w:ascii="Arial" w:eastAsia="Calibri" w:hAnsi="Arial" w:cs="Arial"/>
          <w:bCs/>
          <w:color w:val="000000" w:themeColor="text1"/>
          <w:sz w:val="22"/>
          <w:lang w:val="es-ES_tradnl"/>
        </w:rPr>
        <w:t xml:space="preserve"> (3)</w:t>
      </w:r>
      <w:r w:rsidRPr="00E313EF">
        <w:rPr>
          <w:rFonts w:ascii="Arial" w:eastAsia="Calibri" w:hAnsi="Arial" w:cs="Arial"/>
          <w:bCs/>
          <w:color w:val="000000" w:themeColor="text1"/>
          <w:sz w:val="22"/>
          <w:lang w:val="es-ES_tradnl"/>
        </w:rPr>
        <w:t xml:space="preserve"> fuentes del trato nacional en la contratación pública, es importante precisar que el efecto de dicho beneficio es la asignación del puntaje previsto en la Ley 816 de 2003. Este cuerpo normativo, en el artículo 1, dispone que las entidades estatales, en los procedimientos de selección que realicen e independientemente del régimen contractual que les sea aplicable, deben adoptar criterios que apoyen la industria nacional</w:t>
      </w:r>
      <w:bookmarkEnd w:id="7"/>
      <w:r w:rsidRPr="00E313EF">
        <w:rPr>
          <w:rFonts w:ascii="Arial" w:eastAsia="Calibri" w:hAnsi="Arial" w:cs="Arial"/>
          <w:bCs/>
          <w:color w:val="000000" w:themeColor="text1"/>
          <w:sz w:val="22"/>
          <w:lang w:val="es-ES_tradnl"/>
        </w:rPr>
        <w:t>. En consonancia con lo anterior, el parágrafo de dicho artículo dispone que:</w:t>
      </w:r>
    </w:p>
    <w:p w14:paraId="139ACE6A"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p>
    <w:p w14:paraId="34ED6458"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122F416A" w14:textId="77777777" w:rsidR="00DF1730" w:rsidRPr="00E313EF" w:rsidRDefault="00DF1730" w:rsidP="00DF1730">
      <w:pPr>
        <w:tabs>
          <w:tab w:val="left" w:pos="0"/>
        </w:tabs>
        <w:spacing w:line="276" w:lineRule="auto"/>
        <w:jc w:val="both"/>
        <w:rPr>
          <w:rFonts w:ascii="Arial" w:eastAsia="Calibri" w:hAnsi="Arial" w:cs="Arial"/>
          <w:bCs/>
          <w:color w:val="000000" w:themeColor="text1"/>
          <w:sz w:val="22"/>
          <w:lang w:val="es-ES_tradnl"/>
        </w:rPr>
      </w:pPr>
    </w:p>
    <w:p w14:paraId="39ED30E3" w14:textId="77777777" w:rsidR="00DF1730" w:rsidRPr="00E313EF" w:rsidRDefault="00DF1730" w:rsidP="00DF1730">
      <w:pPr>
        <w:tabs>
          <w:tab w:val="left" w:pos="0"/>
        </w:tabs>
        <w:spacing w:line="276" w:lineRule="auto"/>
        <w:ind w:firstLine="709"/>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 xml:space="preserve">El artículo 2.2.1.2.4.1.3. del Decreto 1082 de 2015, según se explicó, indica la forma como se debe acreditar dicha circunstancia, dependiendo del fundamento del trato nacional y exigiendo el certificado expedido por el Ministerio de Relaciones Exteriores, cuando no exista tratado, ni regulación andina aplicable. </w:t>
      </w:r>
    </w:p>
    <w:p w14:paraId="5B7942D7" w14:textId="77777777" w:rsidR="00DF1730" w:rsidRPr="00E313EF" w:rsidRDefault="00DF1730" w:rsidP="00DF1730">
      <w:pPr>
        <w:tabs>
          <w:tab w:val="left" w:pos="0"/>
        </w:tabs>
        <w:spacing w:before="120" w:line="276" w:lineRule="auto"/>
        <w:ind w:firstLine="709"/>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Verificado el deber de trato nacional en un procedimiento de selección, la entidad estatal debe cumplir con lo previsto en el artículo 2 de la Ley 816, que establece un criterio de calificación diferencial, en los siguientes términos:</w:t>
      </w:r>
    </w:p>
    <w:p w14:paraId="56060BCB"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p>
    <w:p w14:paraId="40FF54D8"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1E66C41A"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p>
    <w:p w14:paraId="677DE6EB"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6410BE87"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p>
    <w:p w14:paraId="716A363A" w14:textId="77777777" w:rsidR="00DF1730" w:rsidRPr="00E313EF" w:rsidRDefault="00DF1730" w:rsidP="00DF1730">
      <w:pPr>
        <w:tabs>
          <w:tab w:val="left" w:pos="0"/>
        </w:tabs>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Si una vez efectuada la calificación correspondiente, la oferta de un proponente extranjero se encuentra en igualdad de condiciones con la de un proponente nacional, se adjudicará al nacional.</w:t>
      </w:r>
    </w:p>
    <w:p w14:paraId="12AF5293" w14:textId="77777777" w:rsidR="00DF1730" w:rsidRPr="00E313EF" w:rsidRDefault="00DF1730" w:rsidP="00DF1730">
      <w:pPr>
        <w:tabs>
          <w:tab w:val="left" w:pos="0"/>
        </w:tabs>
        <w:spacing w:line="276" w:lineRule="auto"/>
        <w:ind w:firstLine="709"/>
        <w:jc w:val="both"/>
        <w:rPr>
          <w:rFonts w:ascii="Arial" w:eastAsia="Calibri" w:hAnsi="Arial" w:cs="Arial"/>
          <w:bCs/>
          <w:color w:val="000000" w:themeColor="text1"/>
          <w:sz w:val="22"/>
          <w:lang w:val="es-ES_tradnl"/>
        </w:rPr>
      </w:pPr>
    </w:p>
    <w:p w14:paraId="6AFF7C7C" w14:textId="77777777" w:rsidR="00DF1730" w:rsidRPr="00E313EF" w:rsidRDefault="00DF1730" w:rsidP="00DF1730">
      <w:pPr>
        <w:tabs>
          <w:tab w:val="left" w:pos="0"/>
        </w:tabs>
        <w:spacing w:line="276" w:lineRule="auto"/>
        <w:ind w:firstLine="709"/>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 xml:space="preserve">Así pues, cuando la oferta de bienes y servicios extranjeros goce de trato nacional por alguna de las tres razones analizadas con anterioridad, deberá beneficiarse de la </w:t>
      </w:r>
      <w:r w:rsidRPr="00E313EF">
        <w:rPr>
          <w:rFonts w:ascii="Arial" w:eastAsia="Calibri" w:hAnsi="Arial" w:cs="Arial"/>
          <w:bCs/>
          <w:color w:val="000000" w:themeColor="text1"/>
          <w:sz w:val="22"/>
          <w:lang w:val="es-ES_tradnl"/>
        </w:rPr>
        <w:lastRenderedPageBreak/>
        <w:t>obtención del puntaje comprendido entre el 10 y el 20%, según lo haya definido la entidad estatal contratante. Al respecto, conviene señalar que es la entidad pública la que, en el pliego de condiciones, debe establecer los criterios de asignación de puntaje –o factores de evaluación–. De este modo, cuenta con discrecionalidad administrativa para determinar a partir de qué elementos o circunstancias realizará la calificación de las propuestas. Tal discrecionalidad, por supuesto, no es absoluta, sino que está limitada por las normas de orden público, que incluyen reglas imperativas para la confección del pliego de condiciones.</w:t>
      </w:r>
    </w:p>
    <w:p w14:paraId="66578BE5" w14:textId="77777777" w:rsidR="00DF1730" w:rsidRPr="00E313EF" w:rsidRDefault="00DF1730" w:rsidP="00DF1730">
      <w:pPr>
        <w:spacing w:before="120"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t>Dentro de las reglas que restringen la discrecionalidad administrativa de las entidades estatales en la elaboración del pliego de condiciones se encuentra, por ejemplo, el artículo 2 de la Ley 816 de 2003. En efecto, este enunciado normativo establece que los órganos del Estado a los que se refiere el artículo 1 de la misma Ley deben incluir «</w:t>
      </w:r>
      <w:r w:rsidRPr="00E313EF">
        <w:rPr>
          <w:rFonts w:ascii="Arial" w:hAnsi="Arial" w:cs="Arial"/>
          <w:sz w:val="22"/>
          <w:szCs w:val="22"/>
          <w:lang w:val="es-ES_tradnl"/>
        </w:rPr>
        <w:t xml:space="preserve">[…] </w:t>
      </w:r>
      <w:r w:rsidRPr="00E313EF">
        <w:rPr>
          <w:rFonts w:ascii="Arial" w:eastAsia="Calibri" w:hAnsi="Arial" w:cs="Arial"/>
          <w:bCs/>
          <w:color w:val="000000" w:themeColor="text1"/>
          <w:sz w:val="22"/>
          <w:szCs w:val="22"/>
          <w:lang w:val="es-ES_tradnl"/>
        </w:rPr>
        <w:t xml:space="preserve">un puntaje comprendido entre el diez (10) y el veinte por ciento (20%)» para estimular la industria nacional, cuando se oferten bienes o servicios nacionales. Adicionalmente, la norma indica que si no se ofertan bienes o servicios nacionales, sino bienes o servicios </w:t>
      </w:r>
      <w:r w:rsidRPr="00E313EF">
        <w:rPr>
          <w:rFonts w:ascii="Arial" w:eastAsia="Calibri" w:hAnsi="Arial" w:cs="Arial"/>
          <w:bCs/>
          <w:i/>
          <w:iCs/>
          <w:color w:val="000000" w:themeColor="text1"/>
          <w:sz w:val="22"/>
          <w:szCs w:val="22"/>
          <w:lang w:val="es-ES_tradnl"/>
        </w:rPr>
        <w:t>extranjeros</w:t>
      </w:r>
      <w:r w:rsidRPr="00E313EF">
        <w:rPr>
          <w:rFonts w:ascii="Arial" w:eastAsia="Calibri" w:hAnsi="Arial" w:cs="Arial"/>
          <w:bCs/>
          <w:color w:val="000000" w:themeColor="text1"/>
          <w:sz w:val="22"/>
          <w:szCs w:val="22"/>
          <w:lang w:val="es-ES_tradnl"/>
        </w:rPr>
        <w:t xml:space="preserve">, «[…] la entidad contratante establecerá un puntaje comprendido entre el cinco (5) y el quince por ciento (15%), para incentivar la incorporación de componente colombiano de bienes y servicios profesionales, técnicos y operativos». Dicho de otro modo, no es que un mismo oferente pueda recibir al mismo tiempo –o sea, sobre una misma oferta– el puntaje por ofertar bienes o servicios colombianos y el puntaje por incorporar componente colombiano sobre los bienes o servicios extranjeros, sino que el segundo de los puntajes indicados opera </w:t>
      </w:r>
      <w:r w:rsidRPr="00E313EF">
        <w:rPr>
          <w:rFonts w:ascii="Arial" w:eastAsia="Calibri" w:hAnsi="Arial" w:cs="Arial"/>
          <w:bCs/>
          <w:i/>
          <w:iCs/>
          <w:color w:val="000000" w:themeColor="text1"/>
          <w:sz w:val="22"/>
          <w:szCs w:val="22"/>
          <w:lang w:val="es-ES_tradnl"/>
        </w:rPr>
        <w:t>en subsidio</w:t>
      </w:r>
      <w:r w:rsidRPr="00E313EF">
        <w:rPr>
          <w:rFonts w:ascii="Arial" w:eastAsia="Calibri" w:hAnsi="Arial" w:cs="Arial"/>
          <w:bCs/>
          <w:color w:val="000000" w:themeColor="text1"/>
          <w:sz w:val="22"/>
          <w:szCs w:val="22"/>
          <w:lang w:val="es-ES_tradnl"/>
        </w:rPr>
        <w:t xml:space="preserve"> del primero. Es decir, quien no oferte bienes o servicios colombianos, podría obtener puntaje por incorporar «[…] componente colombiano de bienes y servicios profesionales, técnicos y operativos».</w:t>
      </w:r>
    </w:p>
    <w:p w14:paraId="479EAAEE" w14:textId="77777777" w:rsidR="00DF1730" w:rsidRPr="00E313EF" w:rsidRDefault="00DF1730" w:rsidP="00DF1730">
      <w:pPr>
        <w:spacing w:before="120"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t xml:space="preserve">Si bien, como se ha indicado, el artículo 2 de la Ley 816 de 2003 constituye un límite a la discrecionalidad administrativa para la confección del pliego de condiciones o de su documento equivalente –en la medida en que obliga a las entidades estatales a incluir un criterio de asignación de puntaje, estableciendo un porcentaje mínimo y uno máximo–, asimismo les confiere un margen de libertad de configuración. En otros términos, los órganos del Estado no pierden por completo la discrecionalidad para establecer el puntaje por apoyo a la industria nacional. Las entidades estatales conservan un margen de apreciación para: i) establecer el porcentaje de puntos que otorgarán a las ofertas de bienes o servicios nacionales, pudiendo optar por un porcentaje incluido entre el diez por ciento (10%) y el veinte por ciento (20%), es decir, respetando el mínimo y el máximo –o entre el cinco por ciento (5%) y el quince por ciento (15%) para los bienes o servicios extranjeros que incorporen componente colombiano–. Igualmente, las entidades estatales tienen discrecionalidad para </w:t>
      </w:r>
      <w:proofErr w:type="spellStart"/>
      <w:r w:rsidRPr="00E313EF">
        <w:rPr>
          <w:rFonts w:ascii="Arial" w:eastAsia="Calibri" w:hAnsi="Arial" w:cs="Arial"/>
          <w:bCs/>
          <w:color w:val="000000" w:themeColor="text1"/>
          <w:sz w:val="22"/>
          <w:szCs w:val="22"/>
          <w:lang w:val="es-ES_tradnl"/>
        </w:rPr>
        <w:t>ii</w:t>
      </w:r>
      <w:proofErr w:type="spellEnd"/>
      <w:r w:rsidRPr="00E313EF">
        <w:rPr>
          <w:rFonts w:ascii="Arial" w:eastAsia="Calibri" w:hAnsi="Arial" w:cs="Arial"/>
          <w:bCs/>
          <w:color w:val="000000" w:themeColor="text1"/>
          <w:sz w:val="22"/>
          <w:szCs w:val="22"/>
          <w:lang w:val="es-ES_tradnl"/>
        </w:rPr>
        <w:t xml:space="preserve">) definir el objeto del contrato de acuerdo con la necesidad detectada en la fase de planeación, de manera que puedan determinar si dicho objeto incluye bienes, servicios o una combinación de ambos. </w:t>
      </w:r>
    </w:p>
    <w:p w14:paraId="2D104507" w14:textId="77777777" w:rsidR="00DF1730" w:rsidRPr="00E313EF" w:rsidRDefault="00DF1730" w:rsidP="00DF1730">
      <w:pPr>
        <w:spacing w:before="120"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lastRenderedPageBreak/>
        <w:t>En cuanto a los «servicios nacionales», el artículo 2.2.1.1.1.3.1. del Decreto 1082 de 2015, modificado por el artículo 1 del Decreto 680 de 2021, dispone que</w:t>
      </w:r>
      <w:r>
        <w:rPr>
          <w:rFonts w:ascii="Arial" w:eastAsia="Calibri" w:hAnsi="Arial" w:cs="Arial"/>
          <w:bCs/>
          <w:color w:val="000000" w:themeColor="text1"/>
          <w:sz w:val="22"/>
          <w:szCs w:val="22"/>
          <w:lang w:val="es-ES_tradnl"/>
        </w:rPr>
        <w:t>,</w:t>
      </w:r>
      <w:r w:rsidRPr="00E313EF">
        <w:rPr>
          <w:rFonts w:ascii="Arial" w:eastAsia="Calibri" w:hAnsi="Arial" w:cs="Arial"/>
          <w:bCs/>
          <w:color w:val="000000" w:themeColor="text1"/>
          <w:sz w:val="22"/>
          <w:szCs w:val="22"/>
          <w:lang w:val="es-ES_tradnl"/>
        </w:rPr>
        <w:t xml:space="preserve"> si el contrato estatal debe cumplirse en Colombia</w:t>
      </w:r>
      <w:r>
        <w:rPr>
          <w:rFonts w:ascii="Arial" w:eastAsia="Calibri" w:hAnsi="Arial" w:cs="Arial"/>
          <w:bCs/>
          <w:color w:val="000000" w:themeColor="text1"/>
          <w:sz w:val="22"/>
          <w:szCs w:val="22"/>
          <w:lang w:val="es-ES_tradnl"/>
        </w:rPr>
        <w:t>,</w:t>
      </w:r>
      <w:r w:rsidRPr="00E313EF">
        <w:rPr>
          <w:rFonts w:ascii="Arial" w:eastAsia="Calibri" w:hAnsi="Arial" w:cs="Arial"/>
          <w:bCs/>
          <w:color w:val="000000" w:themeColor="text1"/>
          <w:sz w:val="22"/>
          <w:szCs w:val="22"/>
          <w:lang w:val="es-ES_tradnl"/>
        </w:rPr>
        <w:t xml:space="preserve">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 Y continúa el referido artículo, señalando que si el contrato estatal debe cumplirse en el extranjero y se somete a la normativa colombiana, «[…]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6434EBD7" w14:textId="77777777" w:rsidR="00DF1730" w:rsidRPr="00E313EF" w:rsidRDefault="00DF1730" w:rsidP="00DF1730">
      <w:pPr>
        <w:spacing w:before="120"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t xml:space="preserve">Cuando el objeto del contrato incluye </w:t>
      </w:r>
      <w:r w:rsidRPr="00E313EF">
        <w:rPr>
          <w:rFonts w:ascii="Arial" w:eastAsia="Calibri" w:hAnsi="Arial" w:cs="Arial"/>
          <w:bCs/>
          <w:i/>
          <w:iCs/>
          <w:color w:val="000000" w:themeColor="text1"/>
          <w:sz w:val="22"/>
          <w:szCs w:val="22"/>
          <w:lang w:val="es-ES_tradnl"/>
        </w:rPr>
        <w:t>bienes</w:t>
      </w:r>
      <w:r w:rsidRPr="00E313EF">
        <w:rPr>
          <w:rFonts w:ascii="Arial" w:eastAsia="Calibri" w:hAnsi="Arial" w:cs="Arial"/>
          <w:bCs/>
          <w:color w:val="000000" w:themeColor="text1"/>
          <w:sz w:val="22"/>
          <w:szCs w:val="22"/>
          <w:lang w:val="es-ES_tradnl"/>
        </w:rPr>
        <w:t>, el puntaje por apoyo a la industria nacional debe tener en cuenta la definición establecida en el artículo 2.2.1.1.1.3.1. del Decreto 1082 de 2015, que dice que son aquellos «Bienes definidos como nacionales en el Registro de Productores de Bienes Nacionales, de conformidad con el Decreto 2680 de 2009​ o las normas que lo modifiquen, aclaren, adicionen o sustituyan». El artículo 1 de este reglamento dispone que «Se entiende como bienes nacionales, aquellos bienes totalmente obtenidos, bienes elaborados con materiales nacionales o productos que sufran una transformación sustancial de conformidad con lo previsto en el presente decreto».</w:t>
      </w:r>
    </w:p>
    <w:p w14:paraId="5D489030" w14:textId="6B4573BD" w:rsidR="00DF1730" w:rsidRDefault="00DF1730" w:rsidP="00DF1730">
      <w:pPr>
        <w:spacing w:before="120"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t xml:space="preserve">Las anteriores consideraciones se formulan a partir de la interpretación de las disposiciones vigentes que regulan la materia. En consecuencia, </w:t>
      </w:r>
      <w:r>
        <w:rPr>
          <w:rFonts w:ascii="Arial" w:eastAsia="Calibri" w:hAnsi="Arial" w:cs="Arial"/>
          <w:bCs/>
          <w:color w:val="000000" w:themeColor="text1"/>
          <w:sz w:val="22"/>
          <w:szCs w:val="22"/>
          <w:lang w:val="es-ES_tradnl"/>
        </w:rPr>
        <w:t xml:space="preserve">en consideración </w:t>
      </w:r>
      <w:r w:rsidRPr="00E313EF">
        <w:rPr>
          <w:rFonts w:ascii="Arial" w:eastAsia="Calibri" w:hAnsi="Arial" w:cs="Arial"/>
          <w:bCs/>
          <w:color w:val="000000" w:themeColor="text1"/>
          <w:sz w:val="22"/>
          <w:szCs w:val="22"/>
          <w:lang w:val="es-ES_tradnl"/>
        </w:rPr>
        <w:t>a que las entidades estatales, según se expuso, tienen un nivel de discrecionalidad administrativa –aunque limitada– para definir este factor de calificación, las circunstancias particulares de cada caso son las que permiten determinar la viabilidad de conceder puntaje por apoyo a la industria nacional.</w:t>
      </w:r>
    </w:p>
    <w:p w14:paraId="7C3420FF" w14:textId="1CE45C32" w:rsidR="00D136F8" w:rsidRDefault="00D136F8" w:rsidP="00D136F8">
      <w:pPr>
        <w:spacing w:before="120" w:line="276" w:lineRule="auto"/>
        <w:ind w:firstLine="709"/>
        <w:jc w:val="both"/>
        <w:rPr>
          <w:rFonts w:ascii="Arial" w:eastAsia="Calibri" w:hAnsi="Arial" w:cs="Arial"/>
          <w:bCs/>
          <w:color w:val="000000" w:themeColor="text1"/>
          <w:sz w:val="22"/>
          <w:szCs w:val="22"/>
          <w:lang w:eastAsia="en-US"/>
        </w:rPr>
      </w:pPr>
      <w:r>
        <w:rPr>
          <w:rFonts w:ascii="Arial" w:eastAsia="Calibri" w:hAnsi="Arial" w:cs="Arial"/>
          <w:bCs/>
          <w:color w:val="000000" w:themeColor="text1"/>
          <w:sz w:val="22"/>
        </w:rPr>
        <w:t xml:space="preserve">Así pues, el objeto de un contrato puede consistir: i) en la prestación o suministro de servicios, </w:t>
      </w:r>
      <w:proofErr w:type="spellStart"/>
      <w:r>
        <w:rPr>
          <w:rFonts w:ascii="Arial" w:eastAsia="Calibri" w:hAnsi="Arial" w:cs="Arial"/>
          <w:bCs/>
          <w:color w:val="000000" w:themeColor="text1"/>
          <w:sz w:val="22"/>
        </w:rPr>
        <w:t>ii</w:t>
      </w:r>
      <w:proofErr w:type="spellEnd"/>
      <w:r>
        <w:rPr>
          <w:rFonts w:ascii="Arial" w:eastAsia="Calibri" w:hAnsi="Arial" w:cs="Arial"/>
          <w:bCs/>
          <w:color w:val="000000" w:themeColor="text1"/>
          <w:sz w:val="22"/>
        </w:rPr>
        <w:t xml:space="preserve">) en la compraventa o suministro de bienes o </w:t>
      </w:r>
      <w:proofErr w:type="spellStart"/>
      <w:r>
        <w:rPr>
          <w:rFonts w:ascii="Arial" w:eastAsia="Calibri" w:hAnsi="Arial" w:cs="Arial"/>
          <w:bCs/>
          <w:color w:val="000000" w:themeColor="text1"/>
          <w:sz w:val="22"/>
        </w:rPr>
        <w:t>iii</w:t>
      </w:r>
      <w:proofErr w:type="spellEnd"/>
      <w:r>
        <w:rPr>
          <w:rFonts w:ascii="Arial" w:eastAsia="Calibri" w:hAnsi="Arial" w:cs="Arial"/>
          <w:bCs/>
          <w:color w:val="000000" w:themeColor="text1"/>
          <w:sz w:val="22"/>
        </w:rPr>
        <w:t xml:space="preserve">) en una combinación de ambos. Por lo tanto, las entidades estatales deben analizar estas circunstancias para configurar en el pliego de condiciones la forma como otorgarán el puntaje por apoyo a la industria nacional, teniendo en cuenta la regulación que se revisará a continuación, en caso de que </w:t>
      </w:r>
      <w:r w:rsidR="006F2812">
        <w:rPr>
          <w:rFonts w:ascii="Arial" w:eastAsia="Calibri" w:hAnsi="Arial" w:cs="Arial"/>
          <w:bCs/>
          <w:color w:val="000000" w:themeColor="text1"/>
          <w:sz w:val="22"/>
        </w:rPr>
        <w:t>resulte</w:t>
      </w:r>
      <w:r>
        <w:rPr>
          <w:rFonts w:ascii="Arial" w:eastAsia="Calibri" w:hAnsi="Arial" w:cs="Arial"/>
          <w:bCs/>
          <w:color w:val="000000" w:themeColor="text1"/>
          <w:sz w:val="22"/>
        </w:rPr>
        <w:t xml:space="preserve"> aplicable.</w:t>
      </w:r>
    </w:p>
    <w:p w14:paraId="47E615AC" w14:textId="43D06FA8" w:rsidR="00DF1730" w:rsidRDefault="00DF1730" w:rsidP="00524963">
      <w:pPr>
        <w:tabs>
          <w:tab w:val="left" w:pos="426"/>
        </w:tabs>
        <w:spacing w:line="276" w:lineRule="auto"/>
        <w:jc w:val="both"/>
        <w:rPr>
          <w:rFonts w:ascii="Arial" w:eastAsia="Calibri" w:hAnsi="Arial" w:cs="Arial"/>
          <w:b/>
          <w:bCs/>
          <w:sz w:val="22"/>
          <w:szCs w:val="22"/>
          <w:lang w:val="es-ES_tradnl" w:eastAsia="en-US"/>
        </w:rPr>
      </w:pPr>
    </w:p>
    <w:p w14:paraId="1D21E985" w14:textId="59954128" w:rsidR="00DF1730" w:rsidRPr="00E313EF" w:rsidRDefault="00DF1730" w:rsidP="00DF1730">
      <w:pPr>
        <w:tabs>
          <w:tab w:val="left" w:pos="0"/>
        </w:tabs>
        <w:spacing w:line="276" w:lineRule="auto"/>
        <w:jc w:val="both"/>
        <w:rPr>
          <w:rFonts w:ascii="Arial" w:eastAsia="Calibri" w:hAnsi="Arial" w:cs="Arial"/>
          <w:b/>
          <w:color w:val="000000" w:themeColor="text1"/>
          <w:sz w:val="22"/>
          <w:lang w:val="es-ES_tradnl"/>
        </w:rPr>
      </w:pPr>
      <w:r w:rsidRPr="00E313EF">
        <w:rPr>
          <w:rFonts w:ascii="Arial" w:eastAsia="Calibri" w:hAnsi="Arial" w:cs="Arial"/>
          <w:b/>
          <w:color w:val="000000" w:themeColor="text1"/>
          <w:sz w:val="22"/>
          <w:lang w:val="es-ES_tradnl"/>
        </w:rPr>
        <w:t>2.</w:t>
      </w:r>
      <w:r w:rsidR="001550B8">
        <w:rPr>
          <w:rFonts w:ascii="Arial" w:eastAsia="Calibri" w:hAnsi="Arial" w:cs="Arial"/>
          <w:b/>
          <w:color w:val="000000" w:themeColor="text1"/>
          <w:sz w:val="22"/>
          <w:lang w:val="es-ES_tradnl"/>
        </w:rPr>
        <w:t>3.</w:t>
      </w:r>
      <w:r w:rsidRPr="00E313EF">
        <w:rPr>
          <w:rFonts w:ascii="Arial" w:eastAsia="Calibri" w:hAnsi="Arial" w:cs="Arial"/>
          <w:b/>
          <w:color w:val="000000" w:themeColor="text1"/>
          <w:sz w:val="22"/>
          <w:lang w:val="es-ES_tradnl"/>
        </w:rPr>
        <w:t xml:space="preserve"> Decreto 680 de 2021. Nueva regulación de la regla de origen de los «servicios nacionales»</w:t>
      </w:r>
      <w:r w:rsidR="00662054">
        <w:rPr>
          <w:rFonts w:ascii="Arial" w:eastAsia="Calibri" w:hAnsi="Arial" w:cs="Arial"/>
          <w:b/>
          <w:color w:val="000000" w:themeColor="text1"/>
          <w:sz w:val="22"/>
          <w:lang w:val="es-ES_tradnl"/>
        </w:rPr>
        <w:t>. Ámbito de aplicación</w:t>
      </w:r>
    </w:p>
    <w:p w14:paraId="39086271" w14:textId="77777777" w:rsidR="00DF1730" w:rsidRPr="00E313EF" w:rsidRDefault="00DF1730" w:rsidP="00DF1730">
      <w:pPr>
        <w:tabs>
          <w:tab w:val="left" w:pos="0"/>
        </w:tabs>
        <w:jc w:val="both"/>
        <w:rPr>
          <w:rFonts w:ascii="Arial" w:eastAsia="Calibri" w:hAnsi="Arial" w:cs="Arial"/>
          <w:b/>
          <w:color w:val="000000" w:themeColor="text1"/>
          <w:sz w:val="22"/>
          <w:lang w:val="es-ES_tradnl"/>
        </w:rPr>
      </w:pPr>
    </w:p>
    <w:p w14:paraId="11B55BB3" w14:textId="77777777" w:rsidR="00DF1730" w:rsidRPr="00E313EF" w:rsidRDefault="00DF1730" w:rsidP="00DF1730">
      <w:pPr>
        <w:spacing w:line="276" w:lineRule="auto"/>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lastRenderedPageBreak/>
        <w:t>Reconociendo que la contratación estatal es una herramienta que contribuye a promover la industria nacional, el Gobierno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w:t>
      </w:r>
    </w:p>
    <w:p w14:paraId="08F5D064" w14:textId="4DF17BBD" w:rsidR="00DF1730" w:rsidRPr="00E313EF" w:rsidRDefault="00DF1730">
      <w:pPr>
        <w:spacing w:before="120" w:line="276" w:lineRule="auto"/>
        <w:ind w:firstLine="709"/>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 xml:space="preserve">En las consideraciones del Decreto 680 de 2021 se indica que, con su expedición, se busca: i) precisar la aplicación de la regla de origen de los bienes y servicios nacionales, en los términos establecidos en el artículo 2 de la Ley 816 de 2003, respetando las estipulaciones de los tratados comerciales vigentes y el principio de reciprocidad, </w:t>
      </w:r>
      <w:proofErr w:type="spellStart"/>
      <w:r w:rsidRPr="00E313EF">
        <w:rPr>
          <w:rFonts w:ascii="Arial" w:eastAsia="Calibri" w:hAnsi="Arial" w:cs="Arial"/>
          <w:bCs/>
          <w:color w:val="000000" w:themeColor="text1"/>
          <w:sz w:val="22"/>
          <w:lang w:val="es-ES_tradnl"/>
        </w:rPr>
        <w:t>ii</w:t>
      </w:r>
      <w:proofErr w:type="spellEnd"/>
      <w:r w:rsidRPr="00E313EF">
        <w:rPr>
          <w:rFonts w:ascii="Arial" w:eastAsia="Calibri" w:hAnsi="Arial" w:cs="Arial"/>
          <w:bCs/>
          <w:color w:val="000000" w:themeColor="text1"/>
          <w:sz w:val="22"/>
          <w:lang w:val="es-ES_tradnl"/>
        </w:rPr>
        <w:t xml:space="preserve">) definir la metodología como debe aplicarse el puntaje señalado en la mencionada disposición legal en relación con los proponentes plurales, </w:t>
      </w:r>
      <w:proofErr w:type="spellStart"/>
      <w:r w:rsidRPr="00E313EF">
        <w:rPr>
          <w:rFonts w:ascii="Arial" w:eastAsia="Calibri" w:hAnsi="Arial" w:cs="Arial"/>
          <w:bCs/>
          <w:color w:val="000000" w:themeColor="text1"/>
          <w:sz w:val="22"/>
          <w:lang w:val="es-ES_tradnl"/>
        </w:rPr>
        <w:t>iii</w:t>
      </w:r>
      <w:proofErr w:type="spellEnd"/>
      <w:r w:rsidRPr="00E313EF">
        <w:rPr>
          <w:rFonts w:ascii="Arial" w:eastAsia="Calibri" w:hAnsi="Arial" w:cs="Arial"/>
          <w:bCs/>
          <w:color w:val="000000" w:themeColor="text1"/>
          <w:sz w:val="22"/>
          <w:lang w:val="es-ES_tradnl"/>
        </w:rPr>
        <w:t xml:space="preserve">) garantizar el uso, durante la ejecución del contrato estatal, de los bienes o servicios colombianos, para «[…] promover emparejamientos y encadenamientos productivos», así como «[…] el empleo en el país» y </w:t>
      </w:r>
      <w:proofErr w:type="spellStart"/>
      <w:r w:rsidRPr="00E313EF">
        <w:rPr>
          <w:rFonts w:ascii="Arial" w:eastAsia="Calibri" w:hAnsi="Arial" w:cs="Arial"/>
          <w:bCs/>
          <w:color w:val="000000" w:themeColor="text1"/>
          <w:sz w:val="22"/>
          <w:lang w:val="es-ES_tradnl"/>
        </w:rPr>
        <w:t>iv</w:t>
      </w:r>
      <w:proofErr w:type="spellEnd"/>
      <w:r w:rsidRPr="00E313EF">
        <w:rPr>
          <w:rFonts w:ascii="Arial" w:eastAsia="Calibri" w:hAnsi="Arial" w:cs="Arial"/>
          <w:bCs/>
          <w:color w:val="000000" w:themeColor="text1"/>
          <w:sz w:val="22"/>
          <w:lang w:val="es-ES_tradnl"/>
        </w:rPr>
        <w:t>) establecer una regla de origen distinta, según el lugar en el cual debe ejecutarse el contrato.</w:t>
      </w:r>
      <w:r w:rsidR="00E21236">
        <w:rPr>
          <w:rFonts w:ascii="Arial" w:eastAsia="Calibri" w:hAnsi="Arial" w:cs="Arial"/>
          <w:bCs/>
          <w:color w:val="000000" w:themeColor="text1"/>
          <w:sz w:val="22"/>
          <w:lang w:val="es-ES_tradnl"/>
        </w:rPr>
        <w:t xml:space="preserve"> </w:t>
      </w:r>
      <w:r w:rsidRPr="00E313EF">
        <w:rPr>
          <w:rFonts w:ascii="Arial" w:eastAsia="Calibri" w:hAnsi="Arial" w:cs="Arial"/>
          <w:bCs/>
          <w:color w:val="000000" w:themeColor="text1"/>
          <w:sz w:val="22"/>
          <w:lang w:val="es-ES_tradnl"/>
        </w:rPr>
        <w:t>Para cumplir tales finalidades, el gobierno nacional sintetiza el contenido del Decreto bajo análisis, de la siguiente manera:</w:t>
      </w:r>
    </w:p>
    <w:p w14:paraId="594836A9" w14:textId="77777777" w:rsidR="00DF1730" w:rsidRPr="00E313EF" w:rsidRDefault="00DF1730" w:rsidP="00DF1730">
      <w:pPr>
        <w:ind w:left="709" w:right="709"/>
        <w:jc w:val="both"/>
        <w:rPr>
          <w:rFonts w:ascii="Arial" w:eastAsia="Calibri" w:hAnsi="Arial" w:cs="Arial"/>
          <w:bCs/>
          <w:color w:val="000000" w:themeColor="text1"/>
          <w:sz w:val="22"/>
          <w:lang w:val="es-ES_tradnl"/>
        </w:rPr>
      </w:pPr>
    </w:p>
    <w:p w14:paraId="4265E349" w14:textId="77777777" w:rsidR="00DF1730" w:rsidRPr="00E313EF" w:rsidRDefault="00DF1730" w:rsidP="00DF1730">
      <w:pPr>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 en este sentido, la regla de origen será sustituida con el fin de encargar a la Entidad Estatal la definición de manera razonable y proporcionada de los bienes colombianos relevantes de acuerdo a la información analizada en la etapa de planeación del Proceso de Contratación, el porcentaje de participación de los bienes en el presupuesto y la existencia de las mismos en el Registro de Productores de Bienes Nacionales, con el fin de asignar el puntaje de que trata la primera franja de la Ley 816 de 2003, en función del uso de los bienes relevantes en la ejecución del contrato.</w:t>
      </w:r>
    </w:p>
    <w:p w14:paraId="59CD44F4" w14:textId="77777777" w:rsidR="00DF1730" w:rsidRPr="00E313EF" w:rsidRDefault="00DF1730" w:rsidP="00DF1730">
      <w:pPr>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w:t>
      </w:r>
    </w:p>
    <w:p w14:paraId="32DB31E3" w14:textId="77777777" w:rsidR="00DF1730" w:rsidRPr="00E313EF" w:rsidRDefault="00DF1730" w:rsidP="00DF1730">
      <w:pPr>
        <w:ind w:left="709" w:right="709"/>
        <w:jc w:val="both"/>
        <w:rPr>
          <w:rFonts w:ascii="Arial" w:eastAsia="Calibri" w:hAnsi="Arial" w:cs="Arial"/>
          <w:bCs/>
          <w:color w:val="000000" w:themeColor="text1"/>
          <w:sz w:val="21"/>
          <w:szCs w:val="21"/>
          <w:lang w:val="es-ES_tradnl"/>
        </w:rPr>
      </w:pPr>
    </w:p>
    <w:p w14:paraId="1E15A4DD" w14:textId="77777777" w:rsidR="00DF1730" w:rsidRPr="00E313EF" w:rsidRDefault="00DF1730" w:rsidP="00DF1730">
      <w:pPr>
        <w:ind w:left="709" w:right="709"/>
        <w:jc w:val="both"/>
        <w:rPr>
          <w:rFonts w:ascii="Arial" w:eastAsia="Calibri" w:hAnsi="Arial" w:cs="Arial"/>
          <w:bCs/>
          <w:color w:val="000000" w:themeColor="text1"/>
          <w:sz w:val="21"/>
          <w:szCs w:val="21"/>
          <w:lang w:val="es-ES_tradnl"/>
        </w:rPr>
      </w:pPr>
      <w:r w:rsidRPr="00E313EF">
        <w:rPr>
          <w:rFonts w:ascii="Arial" w:eastAsia="Calibri" w:hAnsi="Arial" w:cs="Arial"/>
          <w:bCs/>
          <w:color w:val="000000" w:themeColor="text1"/>
          <w:sz w:val="21"/>
          <w:szCs w:val="21"/>
          <w:lang w:val="es-ES_tradnl"/>
        </w:rPr>
        <w:t>[…] subsidiariamente, para aquellas casos en las que no existan bienes colombianos relevantes a no exista oferta nacional de los mismos en el Registro de Productores de Bienes Nacionales, las Entidades Estatales deberán otorgar el puntaje de que trata la primera franja de la Ley 816 de 2003 a aquellos proveedores que se comprometan a vincular un porcentaje mínimo de empleados o contratistas por prestación de servicios colombianos, que no podrá ser inferior al cuarenta por ciento (40%) del total de empleados y contratistas asociados al cumplimiento del contrato.</w:t>
      </w:r>
    </w:p>
    <w:p w14:paraId="3F626C21" w14:textId="77777777" w:rsidR="00DF1730" w:rsidRPr="00E313EF" w:rsidRDefault="00DF1730" w:rsidP="00DF1730">
      <w:pPr>
        <w:tabs>
          <w:tab w:val="left" w:pos="0"/>
        </w:tabs>
        <w:jc w:val="both"/>
        <w:rPr>
          <w:rFonts w:ascii="Arial" w:eastAsia="Calibri" w:hAnsi="Arial" w:cs="Arial"/>
          <w:bCs/>
          <w:color w:val="000000" w:themeColor="text1"/>
          <w:sz w:val="22"/>
          <w:lang w:val="es-ES_tradnl"/>
        </w:rPr>
      </w:pPr>
      <w:r w:rsidRPr="00E313EF">
        <w:rPr>
          <w:rFonts w:ascii="Arial" w:eastAsia="Calibri" w:hAnsi="Arial" w:cs="Arial"/>
          <w:bCs/>
          <w:color w:val="000000" w:themeColor="text1"/>
          <w:sz w:val="22"/>
          <w:lang w:val="es-ES_tradnl"/>
        </w:rPr>
        <w:t xml:space="preserve"> </w:t>
      </w:r>
    </w:p>
    <w:p w14:paraId="3DDB1085" w14:textId="77777777" w:rsidR="00DF1730" w:rsidRPr="00E313EF" w:rsidRDefault="00DF1730" w:rsidP="00DF1730">
      <w:pPr>
        <w:spacing w:line="276" w:lineRule="auto"/>
        <w:ind w:firstLine="709"/>
        <w:jc w:val="both"/>
        <w:rPr>
          <w:rFonts w:ascii="Arial" w:eastAsia="Calibri" w:hAnsi="Arial" w:cs="Arial"/>
          <w:bCs/>
          <w:color w:val="000000" w:themeColor="text1"/>
          <w:sz w:val="22"/>
          <w:szCs w:val="22"/>
          <w:lang w:val="es-ES_tradnl"/>
        </w:rPr>
      </w:pPr>
      <w:r w:rsidRPr="00E313EF">
        <w:rPr>
          <w:rFonts w:ascii="Arial" w:eastAsia="Calibri" w:hAnsi="Arial" w:cs="Arial"/>
          <w:bCs/>
          <w:color w:val="000000" w:themeColor="text1"/>
          <w:sz w:val="22"/>
          <w:szCs w:val="22"/>
          <w:lang w:val="es-ES_tradnl"/>
        </w:rPr>
        <w:t xml:space="preserve">Como se observa, con el Decreto 680 de 2021 se quiso fomentar la discrecionalidad administrativa de las entidades estatales para definir los bienes colombianos relevantes en cada procedimiento de selección. Pero, así mismo, el reglamento establece que dicha </w:t>
      </w:r>
      <w:r w:rsidRPr="00E313EF">
        <w:rPr>
          <w:rFonts w:ascii="Arial" w:eastAsia="Calibri" w:hAnsi="Arial" w:cs="Arial"/>
          <w:bCs/>
          <w:color w:val="000000" w:themeColor="text1"/>
          <w:sz w:val="22"/>
          <w:szCs w:val="22"/>
          <w:lang w:val="es-ES_tradnl"/>
        </w:rPr>
        <w:lastRenderedPageBreak/>
        <w:t>discrecionalidad se encuentra limitada por el principio de proporcionalidad</w:t>
      </w:r>
      <w:r w:rsidRPr="00E313EF">
        <w:rPr>
          <w:rStyle w:val="Refdenotaalpie"/>
          <w:rFonts w:ascii="Arial" w:eastAsia="Calibri" w:hAnsi="Arial" w:cs="Arial"/>
          <w:bCs/>
          <w:color w:val="000000" w:themeColor="text1"/>
          <w:sz w:val="22"/>
          <w:szCs w:val="22"/>
          <w:lang w:val="es-ES_tradnl"/>
        </w:rPr>
        <w:footnoteReference w:id="13"/>
      </w:r>
      <w:r w:rsidRPr="00E313EF">
        <w:rPr>
          <w:rFonts w:ascii="Arial" w:eastAsia="Calibri" w:hAnsi="Arial" w:cs="Arial"/>
          <w:bCs/>
          <w:color w:val="000000" w:themeColor="text1"/>
          <w:sz w:val="22"/>
          <w:szCs w:val="22"/>
          <w:lang w:val="es-ES_tradnl"/>
        </w:rPr>
        <w:t>, que obliga a las autoridades a actuar de manera razonable, teniendo en cuenta la información obtenida en el estudio del sector. Además, se aclaró que en aquellos eventos en los cuales no existan bienes colombianos relevantes</w:t>
      </w:r>
      <w:r>
        <w:rPr>
          <w:rFonts w:ascii="Arial" w:eastAsia="Calibri" w:hAnsi="Arial" w:cs="Arial"/>
          <w:bCs/>
          <w:color w:val="000000" w:themeColor="text1"/>
          <w:sz w:val="22"/>
          <w:szCs w:val="22"/>
          <w:lang w:val="es-ES_tradnl"/>
        </w:rPr>
        <w:t xml:space="preserve"> o</w:t>
      </w:r>
      <w:r w:rsidRPr="00E313EF">
        <w:rPr>
          <w:rFonts w:ascii="Arial" w:eastAsia="Calibri" w:hAnsi="Arial" w:cs="Arial"/>
          <w:bCs/>
          <w:color w:val="000000" w:themeColor="text1"/>
          <w:sz w:val="22"/>
          <w:szCs w:val="22"/>
          <w:lang w:val="es-ES_tradnl"/>
        </w:rPr>
        <w:t xml:space="preserve"> no exista oferta nacional de los mismos en el Registro de Productores de Bienes Nacionales, el puntaje comprendido entre el diez (10) y el veinte por ciento (20%) se otorgará a los proveedores que se comprometan a vincular un porcentaje mínimo de empleados o contratistas de prestación de servicios colombianos. Estas nuevas disposiciones deben aplicarse en los procedimientos de selección que se inicien a partir del 22 de agosto de 2021, es decir, dos meses después de la </w:t>
      </w:r>
      <w:proofErr w:type="gramStart"/>
      <w:r w:rsidRPr="00E313EF">
        <w:rPr>
          <w:rFonts w:ascii="Arial" w:eastAsia="Calibri" w:hAnsi="Arial" w:cs="Arial"/>
          <w:bCs/>
          <w:color w:val="000000" w:themeColor="text1"/>
          <w:sz w:val="22"/>
          <w:szCs w:val="22"/>
          <w:lang w:val="es-ES_tradnl"/>
        </w:rPr>
        <w:t>entrada en vigencia</w:t>
      </w:r>
      <w:proofErr w:type="gramEnd"/>
      <w:r w:rsidRPr="00E313EF">
        <w:rPr>
          <w:rFonts w:ascii="Arial" w:eastAsia="Calibri" w:hAnsi="Arial" w:cs="Arial"/>
          <w:bCs/>
          <w:color w:val="000000" w:themeColor="text1"/>
          <w:sz w:val="22"/>
          <w:szCs w:val="22"/>
          <w:lang w:val="es-ES_tradnl"/>
        </w:rPr>
        <w:t xml:space="preserve"> del Decreto, sin perjuicio del plazo conferido a la Agencia Nacional de Contratación Pública – Colombia Compra Eficiente, para actualizar los documentos tipo</w:t>
      </w:r>
      <w:r w:rsidRPr="00E313EF">
        <w:rPr>
          <w:rStyle w:val="Refdenotaalpie"/>
          <w:rFonts w:ascii="Arial" w:eastAsia="Calibri" w:hAnsi="Arial" w:cs="Arial"/>
          <w:bCs/>
          <w:color w:val="000000" w:themeColor="text1"/>
          <w:sz w:val="22"/>
          <w:szCs w:val="22"/>
          <w:lang w:val="es-ES_tradnl"/>
        </w:rPr>
        <w:footnoteReference w:id="14"/>
      </w:r>
      <w:r w:rsidRPr="00E313EF">
        <w:rPr>
          <w:rFonts w:ascii="Arial" w:eastAsia="Calibri" w:hAnsi="Arial" w:cs="Arial"/>
          <w:bCs/>
          <w:color w:val="000000" w:themeColor="text1"/>
          <w:sz w:val="22"/>
          <w:szCs w:val="22"/>
          <w:lang w:val="es-ES_tradnl"/>
        </w:rPr>
        <w:t xml:space="preserve">. </w:t>
      </w:r>
    </w:p>
    <w:p w14:paraId="2C402014" w14:textId="4424E431" w:rsidR="000122B9" w:rsidRDefault="000122B9" w:rsidP="000122B9">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lastRenderedPageBreak/>
        <w:t>Con la finalidad de saber de qué manera deben cumplir</w:t>
      </w:r>
      <w:r w:rsidR="002A3D2A">
        <w:rPr>
          <w:rFonts w:ascii="Arial" w:eastAsia="Calibri" w:hAnsi="Arial" w:cs="Arial"/>
          <w:bCs/>
          <w:color w:val="000000" w:themeColor="text1"/>
          <w:sz w:val="22"/>
          <w:lang w:val="es-ES_tradnl"/>
        </w:rPr>
        <w:t>se</w:t>
      </w:r>
      <w:r>
        <w:rPr>
          <w:rFonts w:ascii="Arial" w:eastAsia="Calibri" w:hAnsi="Arial" w:cs="Arial"/>
          <w:bCs/>
          <w:color w:val="000000" w:themeColor="text1"/>
          <w:sz w:val="22"/>
          <w:lang w:val="es-ES_tradnl"/>
        </w:rPr>
        <w:t xml:space="preserve"> tales exigencias en los procesos de contratación</w:t>
      </w:r>
      <w:r w:rsidR="00197553">
        <w:rPr>
          <w:rFonts w:ascii="Arial" w:eastAsia="Calibri" w:hAnsi="Arial" w:cs="Arial"/>
          <w:bCs/>
          <w:color w:val="000000" w:themeColor="text1"/>
          <w:sz w:val="22"/>
          <w:lang w:val="es-ES_tradnl"/>
        </w:rPr>
        <w:t xml:space="preserve"> de servicio</w:t>
      </w:r>
      <w:r w:rsidR="00A72DDC">
        <w:rPr>
          <w:rFonts w:ascii="Arial" w:eastAsia="Calibri" w:hAnsi="Arial" w:cs="Arial"/>
          <w:bCs/>
          <w:color w:val="000000" w:themeColor="text1"/>
          <w:sz w:val="22"/>
          <w:lang w:val="es-ES_tradnl"/>
        </w:rPr>
        <w:t>s</w:t>
      </w:r>
      <w:r>
        <w:rPr>
          <w:rFonts w:ascii="Arial" w:eastAsia="Calibri" w:hAnsi="Arial" w:cs="Arial"/>
          <w:bCs/>
          <w:color w:val="000000" w:themeColor="text1"/>
          <w:sz w:val="22"/>
          <w:lang w:val="es-ES_tradnl"/>
        </w:rPr>
        <w:t xml:space="preserve"> que lleven a cabo las entidades, ha de tenerse en cuenta la nueva regulación de la «regla de origen» contemplada en el Decreto 680 de 2021, el cual –como se indicó– establece algunos cambios al respecto. En primer lugar, el artículo 1 del mencionado Decreto modifica parcialmente el artículo 2.2.1.1.1.3.1. </w:t>
      </w:r>
      <w:r w:rsidR="00716E21">
        <w:rPr>
          <w:rFonts w:ascii="Arial" w:eastAsia="Calibri" w:hAnsi="Arial" w:cs="Arial"/>
          <w:bCs/>
          <w:color w:val="000000" w:themeColor="text1"/>
          <w:sz w:val="22"/>
          <w:lang w:val="es-ES_tradnl"/>
        </w:rPr>
        <w:t xml:space="preserve">del Decreto </w:t>
      </w:r>
      <w:r>
        <w:rPr>
          <w:rFonts w:ascii="Arial" w:eastAsia="Calibri" w:hAnsi="Arial" w:cs="Arial"/>
          <w:bCs/>
          <w:color w:val="000000" w:themeColor="text1"/>
          <w:sz w:val="22"/>
          <w:lang w:val="es-ES_tradnl"/>
        </w:rPr>
        <w:t xml:space="preserve">1082 de 2015, para definir los </w:t>
      </w:r>
      <w:r>
        <w:rPr>
          <w:rFonts w:ascii="Arial" w:eastAsia="Calibri" w:hAnsi="Arial" w:cs="Arial"/>
          <w:bCs/>
          <w:i/>
          <w:iCs/>
          <w:color w:val="000000" w:themeColor="text1"/>
          <w:sz w:val="22"/>
          <w:lang w:val="es-ES_tradnl"/>
        </w:rPr>
        <w:t>servicios nacionales</w:t>
      </w:r>
      <w:r>
        <w:rPr>
          <w:rFonts w:ascii="Arial" w:eastAsia="Calibri" w:hAnsi="Arial" w:cs="Arial"/>
          <w:bCs/>
          <w:color w:val="000000" w:themeColor="text1"/>
          <w:sz w:val="22"/>
          <w:lang w:val="es-ES_tradnl"/>
        </w:rPr>
        <w:t xml:space="preserve"> en forma distinta, así:</w:t>
      </w:r>
    </w:p>
    <w:p w14:paraId="331B58A9"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3B252A7B" w14:textId="3AE5E679"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Servicios Nacionales.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1BDB776B" w14:textId="77777777" w:rsidR="000122B9" w:rsidRDefault="000122B9" w:rsidP="000122B9">
      <w:pPr>
        <w:tabs>
          <w:tab w:val="left" w:pos="0"/>
        </w:tabs>
        <w:ind w:right="709"/>
        <w:jc w:val="both"/>
        <w:rPr>
          <w:rFonts w:ascii="Arial" w:eastAsia="Calibri" w:hAnsi="Arial" w:cs="Arial"/>
          <w:bCs/>
          <w:color w:val="000000" w:themeColor="text1"/>
          <w:sz w:val="21"/>
          <w:szCs w:val="21"/>
          <w:lang w:val="es-ES_tradnl"/>
        </w:rPr>
      </w:pPr>
    </w:p>
    <w:p w14:paraId="4D810954"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6A4FC3F7" w14:textId="77777777" w:rsidR="000122B9" w:rsidRDefault="000122B9" w:rsidP="000122B9">
      <w:pPr>
        <w:tabs>
          <w:tab w:val="left" w:pos="0"/>
        </w:tabs>
        <w:ind w:right="709"/>
        <w:jc w:val="both"/>
        <w:rPr>
          <w:rFonts w:ascii="Arial" w:eastAsia="Calibri" w:hAnsi="Arial" w:cs="Arial"/>
          <w:bCs/>
          <w:color w:val="000000" w:themeColor="text1"/>
          <w:sz w:val="21"/>
          <w:szCs w:val="21"/>
          <w:lang w:val="es-ES_tradnl"/>
        </w:rPr>
      </w:pPr>
    </w:p>
    <w:p w14:paraId="111DBC84" w14:textId="20C784B4"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3CD5C901" w14:textId="77777777" w:rsidR="000122B9" w:rsidRDefault="000122B9" w:rsidP="000122B9">
      <w:pPr>
        <w:tabs>
          <w:tab w:val="left" w:pos="0"/>
        </w:tabs>
        <w:spacing w:line="276" w:lineRule="auto"/>
        <w:ind w:firstLine="709"/>
        <w:jc w:val="both"/>
        <w:rPr>
          <w:rFonts w:ascii="Arial" w:eastAsia="Calibri" w:hAnsi="Arial" w:cs="Arial"/>
          <w:bCs/>
          <w:color w:val="000000" w:themeColor="text1"/>
          <w:sz w:val="22"/>
          <w:lang w:val="es-ES_tradnl"/>
        </w:rPr>
      </w:pPr>
    </w:p>
    <w:p w14:paraId="708CF5EA" w14:textId="66493B1B" w:rsidR="000122B9" w:rsidRDefault="000122B9" w:rsidP="000122B9">
      <w:pPr>
        <w:tabs>
          <w:tab w:val="left" w:pos="0"/>
        </w:tabs>
        <w:spacing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 xml:space="preserve">En segundo lugar, el Decreto 680 de 2021 consagra, en el artículo 2, la metodología con fundamento en la cual la entidad pública contratante debe definir los </w:t>
      </w:r>
      <w:r>
        <w:rPr>
          <w:rFonts w:ascii="Arial" w:eastAsia="Calibri" w:hAnsi="Arial" w:cs="Arial"/>
          <w:bCs/>
          <w:i/>
          <w:iCs/>
          <w:color w:val="000000" w:themeColor="text1"/>
          <w:sz w:val="22"/>
          <w:lang w:val="es-ES_tradnl"/>
        </w:rPr>
        <w:t>bienes colombianos relevantes</w:t>
      </w:r>
      <w:r>
        <w:rPr>
          <w:rFonts w:ascii="Arial" w:eastAsia="Calibri" w:hAnsi="Arial" w:cs="Arial"/>
          <w:bCs/>
          <w:color w:val="000000" w:themeColor="text1"/>
          <w:sz w:val="22"/>
          <w:lang w:val="es-ES_tradnl"/>
        </w:rPr>
        <w:t xml:space="preserve"> </w:t>
      </w:r>
      <w:r w:rsidR="00197553">
        <w:rPr>
          <w:rFonts w:ascii="Arial" w:eastAsia="Calibri" w:hAnsi="Arial" w:cs="Arial"/>
          <w:bCs/>
          <w:color w:val="000000" w:themeColor="text1"/>
          <w:sz w:val="22"/>
          <w:lang w:val="es-ES_tradnl"/>
        </w:rPr>
        <w:t>los</w:t>
      </w:r>
      <w:r>
        <w:rPr>
          <w:rFonts w:ascii="Arial" w:eastAsia="Calibri" w:hAnsi="Arial" w:cs="Arial"/>
          <w:bCs/>
          <w:color w:val="000000" w:themeColor="text1"/>
          <w:sz w:val="22"/>
          <w:lang w:val="es-ES_tradnl"/>
        </w:rPr>
        <w:t xml:space="preserve"> proceso de contratación</w:t>
      </w:r>
      <w:r w:rsidR="00197553">
        <w:rPr>
          <w:rFonts w:ascii="Arial" w:eastAsia="Calibri" w:hAnsi="Arial" w:cs="Arial"/>
          <w:bCs/>
          <w:color w:val="000000" w:themeColor="text1"/>
          <w:sz w:val="22"/>
          <w:lang w:val="es-ES_tradnl"/>
        </w:rPr>
        <w:t xml:space="preserve"> de servicios</w:t>
      </w:r>
      <w:r>
        <w:rPr>
          <w:rFonts w:ascii="Arial" w:eastAsia="Calibri" w:hAnsi="Arial" w:cs="Arial"/>
          <w:bCs/>
          <w:color w:val="000000" w:themeColor="text1"/>
          <w:sz w:val="22"/>
          <w:lang w:val="es-ES_tradnl"/>
        </w:rPr>
        <w:t xml:space="preserve"> y otorgar el puntaje de que trata el inciso primero del artículo 2 de la Ley 816 de 2003. En efecto el artículo 2 del Decreto en comento, dispone: </w:t>
      </w:r>
    </w:p>
    <w:p w14:paraId="6AC307F1"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5714A528"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4E10CBFE" w14:textId="77777777" w:rsidR="000122B9" w:rsidRDefault="000122B9" w:rsidP="000122B9">
      <w:pPr>
        <w:tabs>
          <w:tab w:val="left" w:pos="0"/>
        </w:tabs>
        <w:ind w:right="709"/>
        <w:jc w:val="both"/>
        <w:rPr>
          <w:rFonts w:ascii="Arial" w:eastAsia="Calibri" w:hAnsi="Arial" w:cs="Arial"/>
          <w:bCs/>
          <w:color w:val="000000" w:themeColor="text1"/>
          <w:sz w:val="21"/>
          <w:szCs w:val="21"/>
          <w:lang w:val="es-ES_tradnl"/>
        </w:rPr>
      </w:pPr>
    </w:p>
    <w:p w14:paraId="756EAEA7"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 xml:space="preserve">«ARTÍCULO 2.2.1.2.4.2.9. Puntaje para la promoción de la industria nacional en los Procesos de Contratación de servicios. La Entidad Estatal en los Procesos de Contratación de servicios, otorgará el puntaje de que trata el inciso primero </w:t>
      </w:r>
      <w:r>
        <w:rPr>
          <w:rFonts w:ascii="Arial" w:eastAsia="Calibri" w:hAnsi="Arial" w:cs="Arial"/>
          <w:bCs/>
          <w:color w:val="000000" w:themeColor="text1"/>
          <w:sz w:val="21"/>
          <w:szCs w:val="21"/>
          <w:lang w:val="es-ES_tradnl"/>
        </w:rPr>
        <w:lastRenderedPageBreak/>
        <w:t>del artículo 2 de la Ley 816 de 2003 al proponente que oferte Servicios Nacionales o servicios extranjeros con trato nacional de acuerdo con la regla de origen aplicable.</w:t>
      </w:r>
    </w:p>
    <w:p w14:paraId="322F45A3"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5A8F598D"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En los contratos que deban cumplirse en Colombia, la Entidad Estatal definirá de manera razonable y proporcionada los bienes colombianos relevantes teniendo en cuenta:</w:t>
      </w:r>
    </w:p>
    <w:p w14:paraId="486B602C"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5A554BAE"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1. El análisis del sector económico y de los oferentes, y, toda aquella información adicional con la que cuente la Entidad Estatal en la etapa de planeación del Proceso de Contratación;</w:t>
      </w:r>
    </w:p>
    <w:p w14:paraId="154527EF"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1919A783"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2. El porcentaje de participación de los bienes en el presupuesto del Proceso de Contratación; y</w:t>
      </w:r>
    </w:p>
    <w:p w14:paraId="083BFC19"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004304B5" w14:textId="77777777" w:rsidR="000122B9"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3. La existencia de los bienes en el Registro de Productores de Bienes Nacionales, en los términos del Decreto 2680 de 2009 o las normas que lo modifiquen, aclaren, adicionen o sustituyan.</w:t>
      </w:r>
    </w:p>
    <w:p w14:paraId="26183B05" w14:textId="77777777" w:rsidR="000122B9" w:rsidRDefault="000122B9" w:rsidP="000122B9">
      <w:pPr>
        <w:tabs>
          <w:tab w:val="left" w:pos="0"/>
        </w:tabs>
        <w:ind w:left="709" w:right="709"/>
        <w:jc w:val="both"/>
        <w:rPr>
          <w:rFonts w:ascii="Arial" w:eastAsia="Calibri" w:hAnsi="Arial" w:cs="Arial"/>
          <w:bCs/>
          <w:color w:val="000000" w:themeColor="text1"/>
          <w:sz w:val="21"/>
          <w:szCs w:val="21"/>
        </w:rPr>
      </w:pPr>
    </w:p>
    <w:p w14:paraId="0A9CE931" w14:textId="77777777" w:rsidR="000122B9" w:rsidRPr="009439F8" w:rsidRDefault="000122B9" w:rsidP="000122B9">
      <w:pPr>
        <w:tabs>
          <w:tab w:val="left" w:pos="0"/>
        </w:tabs>
        <w:ind w:left="709" w:right="709"/>
        <w:jc w:val="both"/>
        <w:rPr>
          <w:rFonts w:ascii="Arial" w:eastAsia="Calibri" w:hAnsi="Arial" w:cs="Arial"/>
          <w:bCs/>
          <w:color w:val="000000" w:themeColor="text1"/>
          <w:sz w:val="21"/>
          <w:szCs w:val="21"/>
          <w:lang w:val="es-ES_tradnl"/>
        </w:rPr>
      </w:pPr>
      <w:r>
        <w:rPr>
          <w:rFonts w:ascii="Arial" w:eastAsia="Calibri" w:hAnsi="Arial" w:cs="Arial"/>
          <w:bCs/>
          <w:color w:val="000000" w:themeColor="text1"/>
          <w:sz w:val="21"/>
          <w:szCs w:val="21"/>
          <w:lang w:val="es-ES_tradnl"/>
        </w:rPr>
        <w:t xml:space="preserve">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w:t>
      </w:r>
      <w:r w:rsidRPr="009439F8">
        <w:rPr>
          <w:rFonts w:ascii="Arial" w:eastAsia="Calibri" w:hAnsi="Arial" w:cs="Arial"/>
          <w:bCs/>
          <w:color w:val="000000" w:themeColor="text1"/>
          <w:sz w:val="21"/>
          <w:szCs w:val="21"/>
          <w:lang w:val="es-ES_tradnl"/>
        </w:rPr>
        <w:t>contrato.</w:t>
      </w:r>
    </w:p>
    <w:p w14:paraId="40AAAB68" w14:textId="77777777" w:rsidR="000122B9" w:rsidRPr="009439F8" w:rsidRDefault="000122B9" w:rsidP="000122B9">
      <w:pPr>
        <w:tabs>
          <w:tab w:val="left" w:pos="0"/>
        </w:tabs>
        <w:ind w:right="709"/>
        <w:jc w:val="both"/>
        <w:rPr>
          <w:rFonts w:ascii="Arial" w:eastAsia="Calibri" w:hAnsi="Arial" w:cs="Arial"/>
          <w:bCs/>
          <w:color w:val="000000" w:themeColor="text1"/>
          <w:sz w:val="21"/>
          <w:szCs w:val="21"/>
          <w:lang w:val="es-ES_tradnl"/>
        </w:rPr>
      </w:pPr>
    </w:p>
    <w:p w14:paraId="6E7E8DDE" w14:textId="77777777" w:rsidR="000122B9" w:rsidRPr="009439F8" w:rsidRDefault="000122B9" w:rsidP="000122B9">
      <w:pPr>
        <w:tabs>
          <w:tab w:val="left" w:pos="0"/>
        </w:tabs>
        <w:ind w:left="709" w:right="709"/>
        <w:jc w:val="both"/>
        <w:rPr>
          <w:rFonts w:ascii="Arial" w:eastAsia="Calibri" w:hAnsi="Arial" w:cs="Arial"/>
          <w:bCs/>
          <w:color w:val="000000" w:themeColor="text1"/>
          <w:sz w:val="21"/>
          <w:szCs w:val="21"/>
          <w:lang w:val="es-ES_tradnl"/>
        </w:rPr>
      </w:pPr>
      <w:r w:rsidRPr="009439F8">
        <w:rPr>
          <w:rFonts w:ascii="Arial" w:eastAsia="Calibri" w:hAnsi="Arial" w:cs="Arial"/>
          <w:bCs/>
          <w:color w:val="000000" w:themeColor="text1"/>
          <w:sz w:val="21"/>
          <w:szCs w:val="21"/>
          <w:lang w:val="es-ES_tradnl"/>
        </w:rPr>
        <w:t>La Entidad Estatal documentará este análisis y dejará constancia en los Documentos del Proceso».</w:t>
      </w:r>
    </w:p>
    <w:p w14:paraId="08157CBB" w14:textId="77777777" w:rsidR="000122B9" w:rsidRPr="009439F8" w:rsidRDefault="000122B9" w:rsidP="000122B9">
      <w:pPr>
        <w:tabs>
          <w:tab w:val="left" w:pos="0"/>
        </w:tabs>
        <w:ind w:left="709" w:right="709"/>
        <w:jc w:val="both"/>
        <w:rPr>
          <w:rFonts w:ascii="Arial" w:eastAsia="Calibri" w:hAnsi="Arial" w:cs="Arial"/>
          <w:bCs/>
          <w:color w:val="000000" w:themeColor="text1"/>
          <w:sz w:val="21"/>
          <w:szCs w:val="21"/>
          <w:lang w:val="es-ES_tradnl"/>
        </w:rPr>
      </w:pPr>
    </w:p>
    <w:p w14:paraId="3B5EC7CF" w14:textId="7F3B5D76" w:rsidR="000122B9" w:rsidRPr="009439F8" w:rsidRDefault="000122B9" w:rsidP="000122B9">
      <w:pPr>
        <w:tabs>
          <w:tab w:val="left" w:pos="0"/>
        </w:tabs>
        <w:spacing w:line="276" w:lineRule="auto"/>
        <w:ind w:firstLine="709"/>
        <w:jc w:val="both"/>
        <w:rPr>
          <w:rFonts w:ascii="Arial" w:eastAsia="Calibri" w:hAnsi="Arial" w:cs="Arial"/>
          <w:bCs/>
          <w:color w:val="000000" w:themeColor="text1"/>
          <w:sz w:val="22"/>
          <w:lang w:val="es-ES_tradnl"/>
        </w:rPr>
      </w:pPr>
      <w:r w:rsidRPr="009439F8">
        <w:rPr>
          <w:rFonts w:ascii="Arial" w:eastAsia="Calibri" w:hAnsi="Arial" w:cs="Arial"/>
          <w:bCs/>
          <w:color w:val="000000" w:themeColor="text1"/>
          <w:sz w:val="22"/>
          <w:lang w:val="es-ES_tradnl"/>
        </w:rPr>
        <w:t>Teniendo en cuenta lo establecido en la normativa anterior, puede concluir</w:t>
      </w:r>
      <w:r w:rsidR="00B51A70" w:rsidRPr="009439F8">
        <w:rPr>
          <w:rFonts w:ascii="Arial" w:eastAsia="Calibri" w:hAnsi="Arial" w:cs="Arial"/>
          <w:bCs/>
          <w:color w:val="000000" w:themeColor="text1"/>
          <w:sz w:val="22"/>
          <w:lang w:val="es-ES_tradnl"/>
        </w:rPr>
        <w:t>se</w:t>
      </w:r>
      <w:r w:rsidRPr="009439F8">
        <w:rPr>
          <w:rFonts w:ascii="Arial" w:eastAsia="Calibri" w:hAnsi="Arial" w:cs="Arial"/>
          <w:bCs/>
          <w:color w:val="000000" w:themeColor="text1"/>
          <w:sz w:val="22"/>
          <w:lang w:val="es-ES_tradnl"/>
        </w:rPr>
        <w:t xml:space="preserve"> que, cuando las entidades pretendan adelantar procedimientos contractuales </w:t>
      </w:r>
      <w:r w:rsidR="00197553" w:rsidRPr="009439F8">
        <w:rPr>
          <w:rFonts w:ascii="Arial" w:eastAsia="Calibri" w:hAnsi="Arial" w:cs="Arial"/>
          <w:bCs/>
          <w:color w:val="000000" w:themeColor="text1"/>
          <w:sz w:val="22"/>
          <w:lang w:val="es-ES_tradnl"/>
        </w:rPr>
        <w:t xml:space="preserve">de servicios </w:t>
      </w:r>
      <w:r w:rsidRPr="009439F8">
        <w:rPr>
          <w:rFonts w:ascii="Arial" w:eastAsia="Calibri" w:hAnsi="Arial" w:cs="Arial"/>
          <w:bCs/>
          <w:color w:val="000000" w:themeColor="text1"/>
          <w:sz w:val="22"/>
          <w:lang w:val="es-ES_tradnl"/>
        </w:rPr>
        <w:t xml:space="preserve">en los cuales sea aplicable lo dispuesto por la Ley 816 de 2003, deben </w:t>
      </w:r>
      <w:r w:rsidR="00D039AD" w:rsidRPr="009439F8">
        <w:rPr>
          <w:rFonts w:ascii="Arial" w:eastAsia="Calibri" w:hAnsi="Arial" w:cs="Arial"/>
          <w:bCs/>
          <w:color w:val="000000" w:themeColor="text1"/>
          <w:sz w:val="22"/>
          <w:lang w:val="es-ES_tradnl"/>
        </w:rPr>
        <w:t>analizar si</w:t>
      </w:r>
      <w:r w:rsidRPr="009439F8">
        <w:rPr>
          <w:rFonts w:ascii="Arial" w:eastAsia="Calibri" w:hAnsi="Arial" w:cs="Arial"/>
          <w:bCs/>
          <w:color w:val="000000" w:themeColor="text1"/>
          <w:sz w:val="22"/>
          <w:lang w:val="es-ES_tradnl"/>
        </w:rPr>
        <w:t xml:space="preserve"> el contrato debe cumplirse en Colombia. En estos casos, la entidad debe definir los </w:t>
      </w:r>
      <w:r w:rsidRPr="009439F8">
        <w:rPr>
          <w:rFonts w:ascii="Arial" w:eastAsia="Calibri" w:hAnsi="Arial" w:cs="Arial"/>
          <w:bCs/>
          <w:i/>
          <w:iCs/>
          <w:color w:val="000000" w:themeColor="text1"/>
          <w:sz w:val="22"/>
          <w:lang w:val="es-ES_tradnl"/>
        </w:rPr>
        <w:t>bienes nacionales relevantes</w:t>
      </w:r>
      <w:r w:rsidRPr="009439F8">
        <w:rPr>
          <w:rFonts w:ascii="Arial" w:eastAsia="Calibri" w:hAnsi="Arial" w:cs="Arial"/>
          <w:bCs/>
          <w:color w:val="000000" w:themeColor="text1"/>
          <w:sz w:val="22"/>
          <w:lang w:val="es-ES_tradnl"/>
        </w:rPr>
        <w:t>, pues el uso de estos por parte del proponente es uno de los criterios que permiten establecer si el servicio puede calificarse como nacional –</w:t>
      </w:r>
      <w:r w:rsidR="003E1D96" w:rsidRPr="009439F8">
        <w:rPr>
          <w:rFonts w:ascii="Arial" w:eastAsia="Calibri" w:hAnsi="Arial" w:cs="Arial"/>
          <w:bCs/>
          <w:color w:val="000000" w:themeColor="text1"/>
          <w:sz w:val="22"/>
          <w:lang w:val="es-ES_tradnl"/>
        </w:rPr>
        <w:t xml:space="preserve"> siendo </w:t>
      </w:r>
      <w:r w:rsidRPr="009439F8">
        <w:rPr>
          <w:rFonts w:ascii="Arial" w:eastAsia="Calibri" w:hAnsi="Arial" w:cs="Arial"/>
          <w:bCs/>
          <w:color w:val="000000" w:themeColor="text1"/>
          <w:sz w:val="22"/>
          <w:lang w:val="es-ES_tradnl"/>
        </w:rPr>
        <w:t xml:space="preserve">el otro criterio la vinculación del porcentaje mínimo de personal colombiano, según corresponda–. Si el contrato no debe cumplirse en Colombia, no es necesario que se usen </w:t>
      </w:r>
      <w:proofErr w:type="gramStart"/>
      <w:r w:rsidRPr="009439F8">
        <w:rPr>
          <w:rFonts w:ascii="Arial" w:eastAsia="Calibri" w:hAnsi="Arial" w:cs="Arial"/>
          <w:bCs/>
          <w:color w:val="000000" w:themeColor="text1"/>
          <w:sz w:val="22"/>
          <w:lang w:val="es-ES_tradnl"/>
        </w:rPr>
        <w:t>bienes colombianos o personal colombiano</w:t>
      </w:r>
      <w:proofErr w:type="gramEnd"/>
      <w:r w:rsidRPr="009439F8">
        <w:rPr>
          <w:rFonts w:ascii="Arial" w:eastAsia="Calibri" w:hAnsi="Arial" w:cs="Arial"/>
          <w:bCs/>
          <w:color w:val="000000" w:themeColor="text1"/>
          <w:sz w:val="22"/>
          <w:lang w:val="es-ES_tradnl"/>
        </w:rPr>
        <w:t>, para que el servicio sea nacional, sino que basta con que sea prestado «por una persona natural colombiana o por un residente en Colombia, por una persona jurídica constituida de conformidad con la legislación colombiana o un proponente plural conformado por estos». Lo anterior, de conformidad con el artículo 1 del Decreto 680 de 2021.</w:t>
      </w:r>
    </w:p>
    <w:p w14:paraId="0673D942" w14:textId="1C971D31" w:rsidR="00B47FAB" w:rsidRPr="009439F8" w:rsidRDefault="00197553" w:rsidP="000122B9">
      <w:pPr>
        <w:tabs>
          <w:tab w:val="left" w:pos="0"/>
        </w:tabs>
        <w:spacing w:before="120" w:line="276" w:lineRule="auto"/>
        <w:ind w:firstLine="709"/>
        <w:jc w:val="both"/>
        <w:rPr>
          <w:rFonts w:ascii="Arial" w:eastAsia="Calibri" w:hAnsi="Arial" w:cs="Arial"/>
          <w:bCs/>
          <w:color w:val="000000" w:themeColor="text1"/>
          <w:sz w:val="22"/>
        </w:rPr>
      </w:pPr>
      <w:r w:rsidRPr="009439F8">
        <w:rPr>
          <w:rFonts w:ascii="Arial" w:eastAsia="Calibri" w:hAnsi="Arial" w:cs="Arial"/>
          <w:bCs/>
          <w:color w:val="000000" w:themeColor="text1"/>
          <w:sz w:val="22"/>
        </w:rPr>
        <w:lastRenderedPageBreak/>
        <w:t>Como se observa, el contenido del Decreto 680 de 2021 se refiere expresamente a la regulación de la regla de origen en los procesos de contratación de servicios, esto es, aquellos contratos cuyo objeto corresponde a la prestación de un servicio</w:t>
      </w:r>
      <w:r w:rsidR="00716E21" w:rsidRPr="009439F8">
        <w:rPr>
          <w:rFonts w:ascii="Arial" w:eastAsia="Calibri" w:hAnsi="Arial" w:cs="Arial"/>
          <w:bCs/>
          <w:color w:val="000000" w:themeColor="text1"/>
          <w:sz w:val="22"/>
        </w:rPr>
        <w:t>.</w:t>
      </w:r>
      <w:r w:rsidR="0088500D" w:rsidRPr="009439F8">
        <w:rPr>
          <w:rFonts w:ascii="Arial" w:eastAsia="Calibri" w:hAnsi="Arial" w:cs="Arial"/>
          <w:bCs/>
          <w:color w:val="000000" w:themeColor="text1"/>
          <w:sz w:val="22"/>
        </w:rPr>
        <w:t xml:space="preserve"> </w:t>
      </w:r>
      <w:r w:rsidR="00EE0FB7" w:rsidRPr="009439F8">
        <w:rPr>
          <w:rFonts w:ascii="Arial" w:eastAsia="Calibri" w:hAnsi="Arial" w:cs="Arial"/>
          <w:bCs/>
          <w:color w:val="000000" w:themeColor="text1"/>
          <w:sz w:val="22"/>
        </w:rPr>
        <w:t>En consecuencia</w:t>
      </w:r>
      <w:r w:rsidR="00716E21" w:rsidRPr="009439F8">
        <w:rPr>
          <w:rFonts w:ascii="Arial" w:eastAsia="Calibri" w:hAnsi="Arial" w:cs="Arial"/>
          <w:bCs/>
          <w:color w:val="000000" w:themeColor="text1"/>
          <w:sz w:val="22"/>
        </w:rPr>
        <w:t xml:space="preserve">, el ámbito de aplicación de este </w:t>
      </w:r>
      <w:r w:rsidR="004B3644" w:rsidRPr="009439F8">
        <w:rPr>
          <w:rFonts w:ascii="Arial" w:eastAsia="Calibri" w:hAnsi="Arial" w:cs="Arial"/>
          <w:bCs/>
          <w:color w:val="000000" w:themeColor="text1"/>
          <w:sz w:val="22"/>
        </w:rPr>
        <w:t>d</w:t>
      </w:r>
      <w:r w:rsidR="00716E21" w:rsidRPr="009439F8">
        <w:rPr>
          <w:rFonts w:ascii="Arial" w:eastAsia="Calibri" w:hAnsi="Arial" w:cs="Arial"/>
          <w:bCs/>
          <w:color w:val="000000" w:themeColor="text1"/>
          <w:sz w:val="22"/>
        </w:rPr>
        <w:t xml:space="preserve">ecreto únicamente cobija a los </w:t>
      </w:r>
      <w:r w:rsidR="00D52FD6" w:rsidRPr="009439F8">
        <w:rPr>
          <w:rFonts w:ascii="Arial" w:eastAsia="Calibri" w:hAnsi="Arial" w:cs="Arial"/>
          <w:bCs/>
          <w:color w:val="000000" w:themeColor="text1"/>
          <w:sz w:val="22"/>
        </w:rPr>
        <w:t xml:space="preserve">procesos de contratación </w:t>
      </w:r>
      <w:r w:rsidR="00E15F97" w:rsidRPr="009439F8">
        <w:rPr>
          <w:rFonts w:ascii="Arial" w:eastAsia="Calibri" w:hAnsi="Arial" w:cs="Arial"/>
          <w:bCs/>
          <w:color w:val="000000" w:themeColor="text1"/>
          <w:sz w:val="22"/>
        </w:rPr>
        <w:t>que impliquen prestación de</w:t>
      </w:r>
      <w:r w:rsidR="00D52FD6" w:rsidRPr="009439F8">
        <w:rPr>
          <w:rFonts w:ascii="Arial" w:eastAsia="Calibri" w:hAnsi="Arial" w:cs="Arial"/>
          <w:bCs/>
          <w:color w:val="000000" w:themeColor="text1"/>
          <w:sz w:val="22"/>
        </w:rPr>
        <w:t xml:space="preserve"> </w:t>
      </w:r>
      <w:r w:rsidR="00716E21" w:rsidRPr="009439F8">
        <w:rPr>
          <w:rFonts w:ascii="Arial" w:eastAsia="Calibri" w:hAnsi="Arial" w:cs="Arial"/>
          <w:bCs/>
          <w:color w:val="000000" w:themeColor="text1"/>
          <w:sz w:val="22"/>
        </w:rPr>
        <w:t xml:space="preserve">servicios, </w:t>
      </w:r>
      <w:r w:rsidR="001D050C" w:rsidRPr="009439F8">
        <w:rPr>
          <w:rFonts w:ascii="Arial" w:eastAsia="Calibri" w:hAnsi="Arial" w:cs="Arial"/>
          <w:bCs/>
          <w:color w:val="000000" w:themeColor="text1"/>
          <w:sz w:val="22"/>
        </w:rPr>
        <w:t xml:space="preserve">lo que descarta su </w:t>
      </w:r>
      <w:r w:rsidR="00716E21" w:rsidRPr="009439F8">
        <w:rPr>
          <w:rFonts w:ascii="Arial" w:eastAsia="Calibri" w:hAnsi="Arial" w:cs="Arial"/>
          <w:bCs/>
          <w:color w:val="000000" w:themeColor="text1"/>
          <w:sz w:val="22"/>
        </w:rPr>
        <w:t>aplica</w:t>
      </w:r>
      <w:r w:rsidR="001D050C" w:rsidRPr="009439F8">
        <w:rPr>
          <w:rFonts w:ascii="Arial" w:eastAsia="Calibri" w:hAnsi="Arial" w:cs="Arial"/>
          <w:bCs/>
          <w:color w:val="000000" w:themeColor="text1"/>
          <w:sz w:val="22"/>
        </w:rPr>
        <w:t xml:space="preserve">ción </w:t>
      </w:r>
      <w:r w:rsidR="00B53DA5" w:rsidRPr="009439F8">
        <w:rPr>
          <w:rFonts w:ascii="Arial" w:eastAsia="Calibri" w:hAnsi="Arial" w:cs="Arial"/>
          <w:bCs/>
          <w:color w:val="000000" w:themeColor="text1"/>
          <w:sz w:val="22"/>
        </w:rPr>
        <w:t>en</w:t>
      </w:r>
      <w:r w:rsidR="00716E21" w:rsidRPr="009439F8">
        <w:rPr>
          <w:rFonts w:ascii="Arial" w:eastAsia="Calibri" w:hAnsi="Arial" w:cs="Arial"/>
          <w:bCs/>
          <w:color w:val="000000" w:themeColor="text1"/>
          <w:sz w:val="22"/>
        </w:rPr>
        <w:t xml:space="preserve"> </w:t>
      </w:r>
      <w:r w:rsidR="00D70972" w:rsidRPr="009439F8">
        <w:rPr>
          <w:rFonts w:ascii="Arial" w:eastAsia="Calibri" w:hAnsi="Arial" w:cs="Arial"/>
          <w:bCs/>
          <w:color w:val="000000" w:themeColor="text1"/>
          <w:sz w:val="22"/>
        </w:rPr>
        <w:t>los procesos</w:t>
      </w:r>
      <w:r w:rsidR="00B53DA5" w:rsidRPr="009439F8">
        <w:rPr>
          <w:rFonts w:ascii="Arial" w:eastAsia="Calibri" w:hAnsi="Arial" w:cs="Arial"/>
          <w:bCs/>
          <w:color w:val="000000" w:themeColor="text1"/>
          <w:sz w:val="22"/>
        </w:rPr>
        <w:t xml:space="preserve"> de contratación</w:t>
      </w:r>
      <w:r w:rsidR="0088500D" w:rsidRPr="009439F8">
        <w:rPr>
          <w:rFonts w:ascii="Arial" w:eastAsia="Calibri" w:hAnsi="Arial" w:cs="Arial"/>
          <w:bCs/>
          <w:color w:val="000000" w:themeColor="text1"/>
          <w:sz w:val="22"/>
        </w:rPr>
        <w:t xml:space="preserve"> que</w:t>
      </w:r>
      <w:r w:rsidR="00716E21" w:rsidRPr="009439F8">
        <w:rPr>
          <w:rFonts w:ascii="Arial" w:eastAsia="Calibri" w:hAnsi="Arial" w:cs="Arial"/>
          <w:bCs/>
          <w:color w:val="000000" w:themeColor="text1"/>
          <w:sz w:val="22"/>
        </w:rPr>
        <w:t xml:space="preserve"> tienen por objeto único la adquisición o suministro de bienes</w:t>
      </w:r>
      <w:r w:rsidRPr="009439F8">
        <w:rPr>
          <w:rFonts w:ascii="Arial" w:eastAsia="Calibri" w:hAnsi="Arial" w:cs="Arial"/>
          <w:bCs/>
          <w:color w:val="000000" w:themeColor="text1"/>
          <w:sz w:val="22"/>
        </w:rPr>
        <w:t>.</w:t>
      </w:r>
      <w:r w:rsidR="00716E21" w:rsidRPr="009439F8">
        <w:rPr>
          <w:rFonts w:ascii="Arial" w:eastAsia="Calibri" w:hAnsi="Arial" w:cs="Arial"/>
          <w:bCs/>
          <w:color w:val="000000" w:themeColor="text1"/>
          <w:sz w:val="22"/>
        </w:rPr>
        <w:t xml:space="preserve"> </w:t>
      </w:r>
    </w:p>
    <w:p w14:paraId="13AB58A9" w14:textId="6D139065" w:rsidR="00EE0FB7" w:rsidRPr="009439F8" w:rsidRDefault="00716E21" w:rsidP="001D050C">
      <w:pPr>
        <w:tabs>
          <w:tab w:val="left" w:pos="0"/>
        </w:tabs>
        <w:spacing w:before="120" w:line="276" w:lineRule="auto"/>
        <w:ind w:firstLine="709"/>
        <w:jc w:val="both"/>
        <w:rPr>
          <w:rFonts w:ascii="Arial" w:eastAsia="Calibri" w:hAnsi="Arial" w:cs="Arial"/>
          <w:bCs/>
          <w:color w:val="000000" w:themeColor="text1"/>
          <w:sz w:val="22"/>
          <w:szCs w:val="22"/>
          <w:lang w:val="es-ES_tradnl"/>
        </w:rPr>
      </w:pPr>
      <w:r w:rsidRPr="009439F8">
        <w:rPr>
          <w:rFonts w:ascii="Arial" w:eastAsia="Calibri" w:hAnsi="Arial" w:cs="Arial"/>
          <w:bCs/>
          <w:color w:val="000000" w:themeColor="text1"/>
          <w:sz w:val="22"/>
        </w:rPr>
        <w:t>En efecto,</w:t>
      </w:r>
      <w:r w:rsidR="00197553" w:rsidRPr="009439F8">
        <w:rPr>
          <w:rFonts w:ascii="Arial" w:eastAsia="Calibri" w:hAnsi="Arial" w:cs="Arial"/>
          <w:bCs/>
          <w:color w:val="000000" w:themeColor="text1"/>
          <w:sz w:val="22"/>
        </w:rPr>
        <w:t xml:space="preserve"> </w:t>
      </w:r>
      <w:r w:rsidRPr="009439F8">
        <w:rPr>
          <w:rFonts w:ascii="Arial" w:eastAsia="Calibri" w:hAnsi="Arial" w:cs="Arial"/>
          <w:bCs/>
          <w:color w:val="000000" w:themeColor="text1"/>
          <w:sz w:val="22"/>
        </w:rPr>
        <w:t xml:space="preserve">como se expuso, </w:t>
      </w:r>
      <w:r w:rsidR="002520BF" w:rsidRPr="009439F8">
        <w:rPr>
          <w:rFonts w:ascii="Arial" w:eastAsia="Calibri" w:hAnsi="Arial" w:cs="Arial"/>
          <w:bCs/>
          <w:color w:val="000000" w:themeColor="text1"/>
          <w:sz w:val="22"/>
        </w:rPr>
        <w:t>el decreto</w:t>
      </w:r>
      <w:r w:rsidR="004B3644" w:rsidRPr="009439F8">
        <w:rPr>
          <w:rFonts w:ascii="Arial" w:eastAsia="Calibri" w:hAnsi="Arial" w:cs="Arial"/>
          <w:bCs/>
          <w:color w:val="000000" w:themeColor="text1"/>
          <w:sz w:val="22"/>
        </w:rPr>
        <w:t xml:space="preserve"> en comento</w:t>
      </w:r>
      <w:r w:rsidR="002520BF" w:rsidRPr="009439F8">
        <w:rPr>
          <w:rFonts w:ascii="Arial" w:eastAsia="Calibri" w:hAnsi="Arial" w:cs="Arial"/>
          <w:bCs/>
          <w:color w:val="000000" w:themeColor="text1"/>
          <w:sz w:val="22"/>
        </w:rPr>
        <w:t xml:space="preserve"> </w:t>
      </w:r>
      <w:r w:rsidRPr="009439F8">
        <w:rPr>
          <w:rFonts w:ascii="Arial" w:eastAsia="Calibri" w:hAnsi="Arial" w:cs="Arial"/>
          <w:bCs/>
          <w:color w:val="000000" w:themeColor="text1"/>
          <w:sz w:val="22"/>
        </w:rPr>
        <w:t xml:space="preserve">modificó la definición de servicios nacionales establecida en el artículo </w:t>
      </w:r>
      <w:r w:rsidRPr="009439F8">
        <w:rPr>
          <w:rFonts w:ascii="Arial" w:eastAsia="Calibri" w:hAnsi="Arial" w:cs="Arial"/>
          <w:bCs/>
          <w:color w:val="000000" w:themeColor="text1"/>
          <w:sz w:val="22"/>
          <w:lang w:val="es-ES_tradnl"/>
        </w:rPr>
        <w:t xml:space="preserve">2.2.1.1.1.3.1. del </w:t>
      </w:r>
      <w:r w:rsidR="00383500" w:rsidRPr="009439F8">
        <w:rPr>
          <w:rFonts w:ascii="Arial" w:eastAsia="Calibri" w:hAnsi="Arial" w:cs="Arial"/>
          <w:bCs/>
          <w:color w:val="000000" w:themeColor="text1"/>
          <w:sz w:val="22"/>
          <w:lang w:val="es-ES_tradnl"/>
        </w:rPr>
        <w:t>D</w:t>
      </w:r>
      <w:r w:rsidRPr="009439F8">
        <w:rPr>
          <w:rFonts w:ascii="Arial" w:eastAsia="Calibri" w:hAnsi="Arial" w:cs="Arial"/>
          <w:bCs/>
          <w:color w:val="000000" w:themeColor="text1"/>
          <w:sz w:val="22"/>
          <w:lang w:val="es-ES_tradnl"/>
        </w:rPr>
        <w:t>ecreto 1082 de 2015</w:t>
      </w:r>
      <w:r w:rsidR="00095CDC" w:rsidRPr="009439F8">
        <w:rPr>
          <w:rFonts w:ascii="Arial" w:eastAsia="Calibri" w:hAnsi="Arial" w:cs="Arial"/>
          <w:bCs/>
          <w:color w:val="000000" w:themeColor="text1"/>
          <w:sz w:val="22"/>
          <w:lang w:val="es-ES_tradnl"/>
        </w:rPr>
        <w:t>,</w:t>
      </w:r>
      <w:r w:rsidR="00383500" w:rsidRPr="009439F8">
        <w:rPr>
          <w:rFonts w:ascii="Arial" w:eastAsia="Calibri" w:hAnsi="Arial" w:cs="Arial"/>
          <w:bCs/>
          <w:color w:val="000000" w:themeColor="text1"/>
          <w:sz w:val="22"/>
          <w:lang w:val="es-ES_tradnl"/>
        </w:rPr>
        <w:t xml:space="preserve"> con el fin </w:t>
      </w:r>
      <w:r w:rsidR="00EE0FB7" w:rsidRPr="009439F8">
        <w:rPr>
          <w:rFonts w:ascii="Arial" w:eastAsia="Calibri" w:hAnsi="Arial" w:cs="Arial"/>
          <w:bCs/>
          <w:color w:val="000000" w:themeColor="text1"/>
          <w:sz w:val="22"/>
          <w:lang w:val="es-ES_tradnl"/>
        </w:rPr>
        <w:t xml:space="preserve">de precisar la forma de aplicación de la regla de origen </w:t>
      </w:r>
      <w:r w:rsidR="00115BC0" w:rsidRPr="009439F8">
        <w:rPr>
          <w:rFonts w:ascii="Arial" w:eastAsia="Calibri" w:hAnsi="Arial" w:cs="Arial"/>
          <w:bCs/>
          <w:color w:val="000000" w:themeColor="text1"/>
          <w:sz w:val="22"/>
          <w:lang w:val="es-ES_tradnl"/>
        </w:rPr>
        <w:t xml:space="preserve">de servicios </w:t>
      </w:r>
      <w:r w:rsidR="00EE0FB7" w:rsidRPr="009439F8">
        <w:rPr>
          <w:rFonts w:ascii="Arial" w:eastAsia="Calibri" w:hAnsi="Arial" w:cs="Arial"/>
          <w:bCs/>
          <w:color w:val="000000" w:themeColor="text1"/>
          <w:sz w:val="22"/>
          <w:lang w:val="es-ES_tradnl"/>
        </w:rPr>
        <w:t xml:space="preserve">teniendo en cuenta la determinación de los bienes colombianos relevantes de acuerdo </w:t>
      </w:r>
      <w:r w:rsidR="00E62D5F" w:rsidRPr="009439F8">
        <w:rPr>
          <w:rFonts w:ascii="Arial" w:eastAsia="Calibri" w:hAnsi="Arial" w:cs="Arial"/>
          <w:bCs/>
          <w:color w:val="000000" w:themeColor="text1"/>
          <w:sz w:val="22"/>
          <w:lang w:val="es-ES_tradnl"/>
        </w:rPr>
        <w:t>con</w:t>
      </w:r>
      <w:r w:rsidR="00EE0FB7" w:rsidRPr="009439F8">
        <w:rPr>
          <w:rFonts w:ascii="Arial" w:eastAsia="Calibri" w:hAnsi="Arial" w:cs="Arial"/>
          <w:bCs/>
          <w:color w:val="000000" w:themeColor="text1"/>
          <w:sz w:val="22"/>
          <w:lang w:val="es-ES_tradnl"/>
        </w:rPr>
        <w:t xml:space="preserve"> la información analizada en la etapa de planeación del </w:t>
      </w:r>
      <w:r w:rsidR="00115BC0" w:rsidRPr="009439F8">
        <w:rPr>
          <w:rFonts w:ascii="Arial" w:eastAsia="Calibri" w:hAnsi="Arial" w:cs="Arial"/>
          <w:bCs/>
          <w:color w:val="000000" w:themeColor="text1"/>
          <w:sz w:val="22"/>
          <w:lang w:val="es-ES_tradnl"/>
        </w:rPr>
        <w:t>p</w:t>
      </w:r>
      <w:r w:rsidR="00EE0FB7" w:rsidRPr="009439F8">
        <w:rPr>
          <w:rFonts w:ascii="Arial" w:eastAsia="Calibri" w:hAnsi="Arial" w:cs="Arial"/>
          <w:bCs/>
          <w:color w:val="000000" w:themeColor="text1"/>
          <w:sz w:val="22"/>
          <w:lang w:val="es-ES_tradnl"/>
        </w:rPr>
        <w:t xml:space="preserve">roceso </w:t>
      </w:r>
      <w:r w:rsidR="00115BC0" w:rsidRPr="009439F8">
        <w:rPr>
          <w:rFonts w:ascii="Arial" w:eastAsia="Calibri" w:hAnsi="Arial" w:cs="Arial"/>
          <w:bCs/>
          <w:color w:val="000000" w:themeColor="text1"/>
          <w:sz w:val="22"/>
          <w:lang w:val="es-ES_tradnl"/>
        </w:rPr>
        <w:t>c</w:t>
      </w:r>
      <w:r w:rsidR="00EE0FB7" w:rsidRPr="009439F8">
        <w:rPr>
          <w:rFonts w:ascii="Arial" w:eastAsia="Calibri" w:hAnsi="Arial" w:cs="Arial"/>
          <w:bCs/>
          <w:color w:val="000000" w:themeColor="text1"/>
          <w:sz w:val="22"/>
          <w:lang w:val="es-ES_tradnl"/>
        </w:rPr>
        <w:t>ontra</w:t>
      </w:r>
      <w:r w:rsidR="00E43959" w:rsidRPr="009439F8">
        <w:rPr>
          <w:rFonts w:ascii="Arial" w:eastAsia="Calibri" w:hAnsi="Arial" w:cs="Arial"/>
          <w:bCs/>
          <w:color w:val="000000" w:themeColor="text1"/>
          <w:sz w:val="22"/>
          <w:lang w:val="es-ES_tradnl"/>
        </w:rPr>
        <w:t>ctual</w:t>
      </w:r>
      <w:r w:rsidR="00EE0FB7" w:rsidRPr="009439F8">
        <w:rPr>
          <w:rFonts w:ascii="Arial" w:eastAsia="Calibri" w:hAnsi="Arial" w:cs="Arial"/>
          <w:bCs/>
          <w:color w:val="000000" w:themeColor="text1"/>
          <w:sz w:val="22"/>
          <w:lang w:val="es-ES_tradnl"/>
        </w:rPr>
        <w:t xml:space="preserve">. </w:t>
      </w:r>
      <w:r w:rsidR="002F3A0C" w:rsidRPr="009439F8">
        <w:rPr>
          <w:rFonts w:ascii="Arial" w:eastAsia="Calibri" w:hAnsi="Arial" w:cs="Arial"/>
          <w:bCs/>
          <w:color w:val="000000" w:themeColor="text1"/>
          <w:sz w:val="22"/>
          <w:lang w:val="es-ES_tradnl"/>
        </w:rPr>
        <w:t xml:space="preserve">En </w:t>
      </w:r>
      <w:r w:rsidR="00B47FAB" w:rsidRPr="009439F8">
        <w:rPr>
          <w:rFonts w:ascii="Arial" w:eastAsia="Calibri" w:hAnsi="Arial" w:cs="Arial"/>
          <w:bCs/>
          <w:color w:val="000000" w:themeColor="text1"/>
          <w:sz w:val="22"/>
          <w:lang w:val="es-ES_tradnl"/>
        </w:rPr>
        <w:t>esta definición</w:t>
      </w:r>
      <w:r w:rsidR="002F3A0C" w:rsidRPr="009439F8">
        <w:rPr>
          <w:rFonts w:ascii="Arial" w:eastAsia="Calibri" w:hAnsi="Arial" w:cs="Arial"/>
          <w:bCs/>
          <w:color w:val="000000" w:themeColor="text1"/>
          <w:sz w:val="22"/>
          <w:lang w:val="es-ES_tradnl"/>
        </w:rPr>
        <w:t xml:space="preserve"> se indica que un servicio es colombiano si además de ser prestado en los términos allí contemplados, </w:t>
      </w:r>
      <w:r w:rsidR="00B47FAB" w:rsidRPr="009439F8">
        <w:rPr>
          <w:rFonts w:ascii="Arial" w:eastAsia="Calibri" w:hAnsi="Arial" w:cs="Arial"/>
          <w:bCs/>
          <w:color w:val="000000" w:themeColor="text1"/>
          <w:sz w:val="22"/>
          <w:szCs w:val="22"/>
          <w:lang w:val="es-ES_tradnl"/>
        </w:rPr>
        <w:t xml:space="preserve">usa los bienes nacionales relevantes definidos por la </w:t>
      </w:r>
      <w:r w:rsidR="002F3A0C" w:rsidRPr="009439F8">
        <w:rPr>
          <w:rFonts w:ascii="Arial" w:eastAsia="Calibri" w:hAnsi="Arial" w:cs="Arial"/>
          <w:bCs/>
          <w:color w:val="000000" w:themeColor="text1"/>
          <w:sz w:val="22"/>
          <w:szCs w:val="22"/>
          <w:lang w:val="es-ES_tradnl"/>
        </w:rPr>
        <w:t>e</w:t>
      </w:r>
      <w:r w:rsidR="00B47FAB" w:rsidRPr="009439F8">
        <w:rPr>
          <w:rFonts w:ascii="Arial" w:eastAsia="Calibri" w:hAnsi="Arial" w:cs="Arial"/>
          <w:bCs/>
          <w:color w:val="000000" w:themeColor="text1"/>
          <w:sz w:val="22"/>
          <w:szCs w:val="22"/>
          <w:lang w:val="es-ES_tradnl"/>
        </w:rPr>
        <w:t xml:space="preserve">ntidad </w:t>
      </w:r>
      <w:r w:rsidR="00095CDC" w:rsidRPr="009439F8">
        <w:rPr>
          <w:rFonts w:ascii="Arial" w:eastAsia="Calibri" w:hAnsi="Arial" w:cs="Arial"/>
          <w:bCs/>
          <w:color w:val="000000" w:themeColor="text1"/>
          <w:sz w:val="22"/>
          <w:szCs w:val="22"/>
          <w:lang w:val="es-ES_tradnl"/>
        </w:rPr>
        <w:t>e</w:t>
      </w:r>
      <w:r w:rsidR="00B47FAB" w:rsidRPr="009439F8">
        <w:rPr>
          <w:rFonts w:ascii="Arial" w:eastAsia="Calibri" w:hAnsi="Arial" w:cs="Arial"/>
          <w:bCs/>
          <w:color w:val="000000" w:themeColor="text1"/>
          <w:sz w:val="22"/>
          <w:szCs w:val="22"/>
          <w:lang w:val="es-ES_tradnl"/>
        </w:rPr>
        <w:t xml:space="preserve">statal para </w:t>
      </w:r>
      <w:r w:rsidR="00B47FAB" w:rsidRPr="009439F8">
        <w:rPr>
          <w:rFonts w:ascii="Arial" w:eastAsia="Calibri" w:hAnsi="Arial" w:cs="Arial"/>
          <w:bCs/>
          <w:i/>
          <w:iCs/>
          <w:color w:val="000000" w:themeColor="text1"/>
          <w:sz w:val="22"/>
          <w:szCs w:val="22"/>
          <w:lang w:val="es-ES_tradnl"/>
        </w:rPr>
        <w:t>la prestación del servicio</w:t>
      </w:r>
      <w:r w:rsidR="00B47FAB" w:rsidRPr="009439F8">
        <w:rPr>
          <w:rFonts w:ascii="Arial" w:eastAsia="Calibri" w:hAnsi="Arial" w:cs="Arial"/>
          <w:bCs/>
          <w:color w:val="000000" w:themeColor="text1"/>
          <w:sz w:val="22"/>
          <w:szCs w:val="22"/>
          <w:lang w:val="es-ES_tradnl"/>
        </w:rPr>
        <w:t xml:space="preserve"> que será objeto del </w:t>
      </w:r>
      <w:r w:rsidR="002F3A0C" w:rsidRPr="009439F8">
        <w:rPr>
          <w:rFonts w:ascii="Arial" w:eastAsia="Calibri" w:hAnsi="Arial" w:cs="Arial"/>
          <w:bCs/>
          <w:color w:val="000000" w:themeColor="text1"/>
          <w:sz w:val="22"/>
          <w:szCs w:val="22"/>
          <w:lang w:val="es-ES_tradnl"/>
        </w:rPr>
        <w:t>p</w:t>
      </w:r>
      <w:r w:rsidR="00B47FAB" w:rsidRPr="009439F8">
        <w:rPr>
          <w:rFonts w:ascii="Arial" w:eastAsia="Calibri" w:hAnsi="Arial" w:cs="Arial"/>
          <w:bCs/>
          <w:color w:val="000000" w:themeColor="text1"/>
          <w:sz w:val="22"/>
          <w:szCs w:val="22"/>
          <w:lang w:val="es-ES_tradnl"/>
        </w:rPr>
        <w:t xml:space="preserve">roceso de </w:t>
      </w:r>
      <w:r w:rsidR="002F3A0C" w:rsidRPr="009439F8">
        <w:rPr>
          <w:rFonts w:ascii="Arial" w:eastAsia="Calibri" w:hAnsi="Arial" w:cs="Arial"/>
          <w:bCs/>
          <w:color w:val="000000" w:themeColor="text1"/>
          <w:sz w:val="22"/>
          <w:szCs w:val="22"/>
          <w:lang w:val="es-ES_tradnl"/>
        </w:rPr>
        <w:t>c</w:t>
      </w:r>
      <w:r w:rsidR="00B47FAB" w:rsidRPr="009439F8">
        <w:rPr>
          <w:rFonts w:ascii="Arial" w:eastAsia="Calibri" w:hAnsi="Arial" w:cs="Arial"/>
          <w:bCs/>
          <w:color w:val="000000" w:themeColor="text1"/>
          <w:sz w:val="22"/>
          <w:szCs w:val="22"/>
          <w:lang w:val="es-ES_tradnl"/>
        </w:rPr>
        <w:t>ontratación</w:t>
      </w:r>
      <w:r w:rsidR="00095CDC" w:rsidRPr="009439F8">
        <w:rPr>
          <w:rFonts w:ascii="Arial" w:eastAsia="Calibri" w:hAnsi="Arial" w:cs="Arial"/>
          <w:bCs/>
          <w:color w:val="000000" w:themeColor="text1"/>
          <w:sz w:val="21"/>
          <w:szCs w:val="21"/>
          <w:lang w:val="es-ES_tradnl"/>
        </w:rPr>
        <w:t xml:space="preserve"> o </w:t>
      </w:r>
      <w:r w:rsidR="00095CDC" w:rsidRPr="009439F8">
        <w:rPr>
          <w:rFonts w:ascii="Arial" w:eastAsia="Calibri" w:hAnsi="Arial" w:cs="Arial"/>
          <w:bCs/>
          <w:color w:val="000000" w:themeColor="text1"/>
          <w:sz w:val="22"/>
          <w:szCs w:val="22"/>
          <w:lang w:val="es-ES_tradnl"/>
        </w:rPr>
        <w:t>vinculen el porcentaje mínimo de personal colombiano según corresponda</w:t>
      </w:r>
      <w:r w:rsidR="002F3A0C" w:rsidRPr="009439F8">
        <w:rPr>
          <w:rFonts w:ascii="Arial" w:eastAsia="Calibri" w:hAnsi="Arial" w:cs="Arial"/>
          <w:bCs/>
          <w:color w:val="000000" w:themeColor="text1"/>
          <w:sz w:val="22"/>
          <w:szCs w:val="22"/>
          <w:lang w:val="es-ES_tradnl"/>
        </w:rPr>
        <w:t xml:space="preserve">. </w:t>
      </w:r>
      <w:r w:rsidR="009D2041" w:rsidRPr="009439F8">
        <w:rPr>
          <w:rFonts w:ascii="Arial" w:eastAsia="Calibri" w:hAnsi="Arial" w:cs="Arial"/>
          <w:bCs/>
          <w:color w:val="000000" w:themeColor="text1"/>
          <w:sz w:val="22"/>
          <w:lang w:val="es-ES_tradnl"/>
        </w:rPr>
        <w:t>Además</w:t>
      </w:r>
      <w:r w:rsidR="00EE0FB7" w:rsidRPr="009439F8">
        <w:rPr>
          <w:rFonts w:ascii="Arial" w:eastAsia="Calibri" w:hAnsi="Arial" w:cs="Arial"/>
          <w:bCs/>
          <w:color w:val="000000" w:themeColor="text1"/>
          <w:sz w:val="22"/>
          <w:lang w:val="es-ES_tradnl"/>
        </w:rPr>
        <w:t>, el artículo 2</w:t>
      </w:r>
      <w:r w:rsidR="009F03F8" w:rsidRPr="009439F8">
        <w:rPr>
          <w:rFonts w:ascii="Arial" w:eastAsia="Calibri" w:hAnsi="Arial" w:cs="Arial"/>
          <w:bCs/>
          <w:color w:val="000000" w:themeColor="text1"/>
          <w:sz w:val="22"/>
          <w:lang w:val="es-ES_tradnl"/>
        </w:rPr>
        <w:t xml:space="preserve"> que adiciona el artículo 2.2.1.2.4.2.9. al Decreto 1082 de 2015 </w:t>
      </w:r>
      <w:r w:rsidR="00EE0FB7" w:rsidRPr="009439F8">
        <w:rPr>
          <w:rFonts w:ascii="Arial" w:eastAsia="Calibri" w:hAnsi="Arial" w:cs="Arial"/>
          <w:bCs/>
          <w:color w:val="000000" w:themeColor="text1"/>
          <w:sz w:val="22"/>
          <w:lang w:val="es-ES_tradnl"/>
        </w:rPr>
        <w:t>alude explícitamente</w:t>
      </w:r>
      <w:r w:rsidR="009F03F8" w:rsidRPr="009439F8">
        <w:rPr>
          <w:rFonts w:ascii="Arial" w:eastAsia="Calibri" w:hAnsi="Arial" w:cs="Arial"/>
          <w:bCs/>
          <w:color w:val="000000" w:themeColor="text1"/>
          <w:sz w:val="22"/>
          <w:lang w:val="es-ES_tradnl"/>
        </w:rPr>
        <w:t>,</w:t>
      </w:r>
      <w:r w:rsidR="00EE0FB7" w:rsidRPr="009439F8">
        <w:rPr>
          <w:rFonts w:ascii="Arial" w:eastAsia="Calibri" w:hAnsi="Arial" w:cs="Arial"/>
          <w:bCs/>
          <w:color w:val="000000" w:themeColor="text1"/>
          <w:sz w:val="22"/>
          <w:lang w:val="es-ES_tradnl"/>
        </w:rPr>
        <w:t xml:space="preserve"> </w:t>
      </w:r>
      <w:r w:rsidR="001D050C" w:rsidRPr="009439F8">
        <w:rPr>
          <w:rFonts w:ascii="Arial" w:eastAsia="Calibri" w:hAnsi="Arial" w:cs="Arial"/>
          <w:bCs/>
          <w:color w:val="000000" w:themeColor="text1"/>
          <w:sz w:val="22"/>
          <w:lang w:val="es-ES_tradnl"/>
        </w:rPr>
        <w:t>tanto en el título como en su contenido</w:t>
      </w:r>
      <w:r w:rsidR="009F03F8" w:rsidRPr="009439F8">
        <w:rPr>
          <w:rFonts w:ascii="Arial" w:eastAsia="Calibri" w:hAnsi="Arial" w:cs="Arial"/>
          <w:bCs/>
          <w:color w:val="000000" w:themeColor="text1"/>
          <w:sz w:val="22"/>
          <w:lang w:val="es-ES_tradnl"/>
        </w:rPr>
        <w:t>,</w:t>
      </w:r>
      <w:r w:rsidR="001D050C" w:rsidRPr="009439F8">
        <w:rPr>
          <w:rFonts w:ascii="Arial" w:eastAsia="Calibri" w:hAnsi="Arial" w:cs="Arial"/>
          <w:bCs/>
          <w:color w:val="000000" w:themeColor="text1"/>
          <w:sz w:val="22"/>
          <w:lang w:val="es-ES_tradnl"/>
        </w:rPr>
        <w:t xml:space="preserve"> </w:t>
      </w:r>
      <w:r w:rsidR="00EE0FB7" w:rsidRPr="009439F8">
        <w:rPr>
          <w:rFonts w:ascii="Arial" w:eastAsia="Calibri" w:hAnsi="Arial" w:cs="Arial"/>
          <w:bCs/>
          <w:color w:val="000000" w:themeColor="text1"/>
          <w:sz w:val="22"/>
          <w:lang w:val="es-ES_tradnl"/>
        </w:rPr>
        <w:t>al otorgamiento de puntaje en los procesos de contratación de servicios</w:t>
      </w:r>
      <w:r w:rsidR="00095CDC" w:rsidRPr="009439F8">
        <w:rPr>
          <w:rFonts w:ascii="Arial" w:eastAsia="Calibri" w:hAnsi="Arial" w:cs="Arial"/>
          <w:bCs/>
          <w:color w:val="000000" w:themeColor="text1"/>
          <w:sz w:val="22"/>
          <w:lang w:val="es-ES_tradnl"/>
        </w:rPr>
        <w:t xml:space="preserve">. Por tanto, estas normas </w:t>
      </w:r>
      <w:r w:rsidR="001D050C" w:rsidRPr="009439F8">
        <w:rPr>
          <w:rFonts w:ascii="Arial" w:eastAsia="Calibri" w:hAnsi="Arial" w:cs="Arial"/>
          <w:bCs/>
          <w:color w:val="000000" w:themeColor="text1"/>
          <w:sz w:val="22"/>
          <w:lang w:val="es-ES_tradnl"/>
        </w:rPr>
        <w:t>son claras en establecer como criterio de aplicación</w:t>
      </w:r>
      <w:r w:rsidR="00065C43" w:rsidRPr="009439F8">
        <w:rPr>
          <w:rFonts w:ascii="Arial" w:eastAsia="Calibri" w:hAnsi="Arial" w:cs="Arial"/>
          <w:bCs/>
          <w:color w:val="000000" w:themeColor="text1"/>
          <w:sz w:val="22"/>
          <w:lang w:val="es-ES_tradnl"/>
        </w:rPr>
        <w:t xml:space="preserve"> de la regla de origen</w:t>
      </w:r>
      <w:r w:rsidR="008F7D52" w:rsidRPr="009439F8">
        <w:rPr>
          <w:rFonts w:ascii="Arial" w:eastAsia="Calibri" w:hAnsi="Arial" w:cs="Arial"/>
          <w:bCs/>
          <w:color w:val="000000" w:themeColor="text1"/>
          <w:sz w:val="22"/>
          <w:lang w:val="es-ES_tradnl"/>
        </w:rPr>
        <w:t xml:space="preserve"> allí regulada</w:t>
      </w:r>
      <w:r w:rsidR="00065C43" w:rsidRPr="009439F8">
        <w:rPr>
          <w:rFonts w:ascii="Arial" w:eastAsia="Calibri" w:hAnsi="Arial" w:cs="Arial"/>
          <w:bCs/>
          <w:color w:val="000000" w:themeColor="text1"/>
          <w:sz w:val="22"/>
          <w:lang w:val="es-ES_tradnl"/>
        </w:rPr>
        <w:t xml:space="preserve"> a</w:t>
      </w:r>
      <w:r w:rsidR="001D050C" w:rsidRPr="009439F8">
        <w:rPr>
          <w:rFonts w:ascii="Arial" w:eastAsia="Calibri" w:hAnsi="Arial" w:cs="Arial"/>
          <w:bCs/>
          <w:color w:val="000000" w:themeColor="text1"/>
          <w:sz w:val="22"/>
          <w:lang w:val="es-ES_tradnl"/>
        </w:rPr>
        <w:t xml:space="preserve"> los </w:t>
      </w:r>
      <w:r w:rsidR="009F03F8" w:rsidRPr="009439F8">
        <w:rPr>
          <w:rFonts w:ascii="Arial" w:eastAsia="Calibri" w:hAnsi="Arial" w:cs="Arial"/>
          <w:bCs/>
          <w:color w:val="000000" w:themeColor="text1"/>
          <w:sz w:val="22"/>
          <w:lang w:val="es-ES_tradnl"/>
        </w:rPr>
        <w:t xml:space="preserve">procesos de contratación que impliquen la prestación de un </w:t>
      </w:r>
      <w:r w:rsidR="001D050C" w:rsidRPr="009439F8">
        <w:rPr>
          <w:rFonts w:ascii="Arial" w:eastAsia="Calibri" w:hAnsi="Arial" w:cs="Arial"/>
          <w:bCs/>
          <w:color w:val="000000" w:themeColor="text1"/>
          <w:sz w:val="22"/>
          <w:lang w:val="es-ES_tradnl"/>
        </w:rPr>
        <w:t>servicio</w:t>
      </w:r>
      <w:r w:rsidR="009F03F8" w:rsidRPr="009439F8">
        <w:rPr>
          <w:rFonts w:ascii="Arial" w:eastAsia="Calibri" w:hAnsi="Arial" w:cs="Arial"/>
          <w:bCs/>
          <w:color w:val="000000" w:themeColor="text1"/>
          <w:sz w:val="22"/>
          <w:lang w:val="es-ES_tradnl"/>
        </w:rPr>
        <w:t xml:space="preserve">. </w:t>
      </w:r>
    </w:p>
    <w:p w14:paraId="18DB9A8A" w14:textId="22976482" w:rsidR="00CA6119" w:rsidRPr="009439F8" w:rsidRDefault="00716E21" w:rsidP="00065C43">
      <w:pPr>
        <w:tabs>
          <w:tab w:val="left" w:pos="0"/>
        </w:tabs>
        <w:spacing w:before="120" w:line="276" w:lineRule="auto"/>
        <w:ind w:firstLine="709"/>
        <w:jc w:val="both"/>
        <w:rPr>
          <w:rFonts w:ascii="Arial" w:eastAsia="Calibri" w:hAnsi="Arial" w:cs="Arial"/>
          <w:bCs/>
          <w:color w:val="000000" w:themeColor="text1"/>
          <w:sz w:val="22"/>
          <w:lang w:val="es-ES_tradnl"/>
        </w:rPr>
      </w:pPr>
      <w:r w:rsidRPr="009439F8">
        <w:rPr>
          <w:rFonts w:ascii="Arial" w:eastAsia="Calibri" w:hAnsi="Arial" w:cs="Arial"/>
          <w:bCs/>
          <w:color w:val="000000" w:themeColor="text1"/>
          <w:sz w:val="22"/>
        </w:rPr>
        <w:t xml:space="preserve">Esta conclusión </w:t>
      </w:r>
      <w:r w:rsidR="009A062E" w:rsidRPr="009439F8">
        <w:rPr>
          <w:rFonts w:ascii="Arial" w:eastAsia="Calibri" w:hAnsi="Arial" w:cs="Arial"/>
          <w:bCs/>
          <w:color w:val="000000" w:themeColor="text1"/>
          <w:sz w:val="22"/>
        </w:rPr>
        <w:t>encuentra sustento</w:t>
      </w:r>
      <w:r w:rsidR="00065C43" w:rsidRPr="009439F8">
        <w:rPr>
          <w:rFonts w:ascii="Arial" w:eastAsia="Calibri" w:hAnsi="Arial" w:cs="Arial"/>
          <w:bCs/>
          <w:color w:val="000000" w:themeColor="text1"/>
          <w:sz w:val="22"/>
        </w:rPr>
        <w:t xml:space="preserve"> </w:t>
      </w:r>
      <w:r w:rsidRPr="009439F8">
        <w:rPr>
          <w:rFonts w:ascii="Arial" w:eastAsia="Calibri" w:hAnsi="Arial" w:cs="Arial"/>
          <w:bCs/>
          <w:color w:val="000000" w:themeColor="text1"/>
          <w:sz w:val="22"/>
        </w:rPr>
        <w:t xml:space="preserve">en el documento </w:t>
      </w:r>
      <w:r w:rsidR="009A062E" w:rsidRPr="009439F8">
        <w:rPr>
          <w:rFonts w:ascii="Arial" w:eastAsia="Calibri" w:hAnsi="Arial" w:cs="Arial"/>
          <w:bCs/>
          <w:color w:val="000000" w:themeColor="text1"/>
          <w:sz w:val="22"/>
        </w:rPr>
        <w:t>de</w:t>
      </w:r>
      <w:r w:rsidR="000122B9" w:rsidRPr="009439F8">
        <w:rPr>
          <w:rFonts w:ascii="Arial" w:eastAsia="Calibri" w:hAnsi="Arial" w:cs="Arial"/>
          <w:bCs/>
          <w:color w:val="000000" w:themeColor="text1"/>
          <w:sz w:val="22"/>
        </w:rPr>
        <w:t xml:space="preserve"> soporte técnico que fundamenta</w:t>
      </w:r>
      <w:r w:rsidR="009D4DC1" w:rsidRPr="009439F8">
        <w:rPr>
          <w:rFonts w:ascii="Arial" w:eastAsia="Calibri" w:hAnsi="Arial" w:cs="Arial"/>
          <w:bCs/>
          <w:color w:val="000000" w:themeColor="text1"/>
          <w:sz w:val="22"/>
        </w:rPr>
        <w:t xml:space="preserve"> la expedición del</w:t>
      </w:r>
      <w:r w:rsidRPr="009439F8">
        <w:rPr>
          <w:rFonts w:ascii="Arial" w:eastAsia="Calibri" w:hAnsi="Arial" w:cs="Arial"/>
          <w:bCs/>
          <w:color w:val="000000" w:themeColor="text1"/>
          <w:sz w:val="22"/>
        </w:rPr>
        <w:t xml:space="preserve"> </w:t>
      </w:r>
      <w:r w:rsidR="000122B9" w:rsidRPr="009439F8">
        <w:rPr>
          <w:rFonts w:ascii="Arial" w:eastAsia="Calibri" w:hAnsi="Arial" w:cs="Arial"/>
          <w:bCs/>
          <w:color w:val="000000" w:themeColor="text1"/>
          <w:sz w:val="22"/>
        </w:rPr>
        <w:t>Decreto 680 de 2021</w:t>
      </w:r>
      <w:r w:rsidR="00EE7614" w:rsidRPr="009439F8">
        <w:rPr>
          <w:rFonts w:ascii="Arial" w:eastAsia="Calibri" w:hAnsi="Arial" w:cs="Arial"/>
          <w:bCs/>
          <w:color w:val="000000" w:themeColor="text1"/>
          <w:sz w:val="22"/>
        </w:rPr>
        <w:t>,</w:t>
      </w:r>
      <w:r w:rsidR="00065C43" w:rsidRPr="009439F8">
        <w:rPr>
          <w:rFonts w:ascii="Arial" w:eastAsia="Calibri" w:hAnsi="Arial" w:cs="Arial"/>
          <w:bCs/>
          <w:color w:val="000000" w:themeColor="text1"/>
          <w:sz w:val="22"/>
        </w:rPr>
        <w:t xml:space="preserve"> </w:t>
      </w:r>
      <w:r w:rsidR="009D4DC1" w:rsidRPr="009439F8">
        <w:rPr>
          <w:rFonts w:ascii="Arial" w:eastAsia="Calibri" w:hAnsi="Arial" w:cs="Arial"/>
          <w:bCs/>
          <w:color w:val="000000" w:themeColor="text1"/>
          <w:sz w:val="22"/>
        </w:rPr>
        <w:t>en el cual se exp</w:t>
      </w:r>
      <w:r w:rsidR="00115BC0" w:rsidRPr="009439F8">
        <w:rPr>
          <w:rFonts w:ascii="Arial" w:eastAsia="Calibri" w:hAnsi="Arial" w:cs="Arial"/>
          <w:bCs/>
          <w:color w:val="000000" w:themeColor="text1"/>
          <w:sz w:val="22"/>
        </w:rPr>
        <w:t xml:space="preserve">lica que el objeto de la propuesta es </w:t>
      </w:r>
      <w:r w:rsidR="00115BC0" w:rsidRPr="009439F8">
        <w:rPr>
          <w:rFonts w:ascii="Arial" w:eastAsia="Calibri" w:hAnsi="Arial" w:cs="Arial"/>
          <w:bCs/>
          <w:color w:val="000000" w:themeColor="text1"/>
          <w:sz w:val="22"/>
          <w:lang w:val="es-ES_tradnl"/>
        </w:rPr>
        <w:t>«</w:t>
      </w:r>
      <w:r w:rsidR="00115BC0" w:rsidRPr="009439F8">
        <w:rPr>
          <w:rFonts w:ascii="Arial" w:eastAsia="Calibri" w:hAnsi="Arial" w:cs="Arial"/>
          <w:bCs/>
          <w:color w:val="000000" w:themeColor="text1"/>
          <w:sz w:val="22"/>
        </w:rPr>
        <w:t xml:space="preserve">Modificar la </w:t>
      </w:r>
      <w:r w:rsidR="00115BC0" w:rsidRPr="009439F8">
        <w:rPr>
          <w:rFonts w:ascii="Arial" w:eastAsia="Calibri" w:hAnsi="Arial" w:cs="Arial"/>
          <w:bCs/>
          <w:i/>
          <w:iCs/>
          <w:color w:val="000000" w:themeColor="text1"/>
          <w:sz w:val="22"/>
        </w:rPr>
        <w:t>regla de origen de servicios</w:t>
      </w:r>
      <w:r w:rsidR="00115BC0" w:rsidRPr="009439F8">
        <w:rPr>
          <w:rFonts w:ascii="Arial" w:eastAsia="Calibri" w:hAnsi="Arial" w:cs="Arial"/>
          <w:bCs/>
          <w:color w:val="000000" w:themeColor="text1"/>
          <w:sz w:val="22"/>
        </w:rPr>
        <w:t xml:space="preserve"> colombianos con el fin de asignar el puntaje para la promoción de la industria nacional a los proveedores que utilicen los bienes</w:t>
      </w:r>
      <w:r w:rsidR="00115BC0" w:rsidRPr="009439F8">
        <w:rPr>
          <w:rFonts w:ascii="Arial" w:eastAsia="Calibri" w:hAnsi="Arial" w:cs="Arial"/>
          <w:bCs/>
          <w:color w:val="000000" w:themeColor="text1"/>
          <w:sz w:val="22"/>
          <w:lang w:val="es-ES_tradnl"/>
        </w:rPr>
        <w:t>»</w:t>
      </w:r>
      <w:r w:rsidR="00065C43" w:rsidRPr="009439F8">
        <w:rPr>
          <w:rStyle w:val="Refdenotaalpie"/>
          <w:rFonts w:ascii="Arial" w:eastAsia="Calibri" w:hAnsi="Arial" w:cs="Arial"/>
          <w:bCs/>
          <w:color w:val="000000" w:themeColor="text1"/>
          <w:sz w:val="22"/>
          <w:lang w:val="es-ES_tradnl"/>
        </w:rPr>
        <w:footnoteReference w:id="15"/>
      </w:r>
      <w:r w:rsidR="009F03F8" w:rsidRPr="009439F8">
        <w:rPr>
          <w:rFonts w:ascii="Arial" w:eastAsia="Calibri" w:hAnsi="Arial" w:cs="Arial"/>
          <w:bCs/>
          <w:color w:val="000000" w:themeColor="text1"/>
          <w:sz w:val="22"/>
          <w:lang w:val="es-ES_tradnl"/>
        </w:rPr>
        <w:t xml:space="preserve"> </w:t>
      </w:r>
      <w:r w:rsidR="00065C43" w:rsidRPr="009439F8">
        <w:rPr>
          <w:rFonts w:ascii="Arial" w:eastAsia="Calibri" w:hAnsi="Arial" w:cs="Arial"/>
          <w:bCs/>
          <w:color w:val="000000" w:themeColor="text1"/>
          <w:sz w:val="22"/>
          <w:lang w:val="es-ES_tradnl"/>
        </w:rPr>
        <w:t>(</w:t>
      </w:r>
      <w:r w:rsidR="009F03F8" w:rsidRPr="009439F8">
        <w:rPr>
          <w:rFonts w:ascii="Arial" w:eastAsia="Calibri" w:hAnsi="Arial" w:cs="Arial"/>
          <w:bCs/>
          <w:color w:val="000000" w:themeColor="text1"/>
          <w:sz w:val="22"/>
          <w:lang w:val="es-ES_tradnl"/>
        </w:rPr>
        <w:t>Énfasis por fuera de texto</w:t>
      </w:r>
      <w:r w:rsidR="00065C43" w:rsidRPr="009439F8">
        <w:rPr>
          <w:rFonts w:ascii="Arial" w:eastAsia="Calibri" w:hAnsi="Arial" w:cs="Arial"/>
          <w:bCs/>
          <w:color w:val="000000" w:themeColor="text1"/>
          <w:sz w:val="22"/>
          <w:lang w:val="es-ES_tradnl"/>
        </w:rPr>
        <w:t>)</w:t>
      </w:r>
      <w:r w:rsidR="009F03F8" w:rsidRPr="009439F8">
        <w:rPr>
          <w:rFonts w:ascii="Arial" w:eastAsia="Calibri" w:hAnsi="Arial" w:cs="Arial"/>
          <w:bCs/>
          <w:color w:val="000000" w:themeColor="text1"/>
          <w:sz w:val="22"/>
          <w:lang w:val="es-ES_tradnl"/>
        </w:rPr>
        <w:t xml:space="preserve">. </w:t>
      </w:r>
      <w:r w:rsidR="00CA6119" w:rsidRPr="009439F8">
        <w:rPr>
          <w:rFonts w:ascii="Arial" w:eastAsia="Calibri" w:hAnsi="Arial" w:cs="Arial"/>
          <w:bCs/>
          <w:color w:val="000000" w:themeColor="text1"/>
          <w:sz w:val="22"/>
        </w:rPr>
        <w:t>Igualmente</w:t>
      </w:r>
      <w:r w:rsidR="00065C43" w:rsidRPr="009439F8">
        <w:rPr>
          <w:rFonts w:ascii="Arial" w:eastAsia="Calibri" w:hAnsi="Arial" w:cs="Arial"/>
          <w:bCs/>
          <w:color w:val="000000" w:themeColor="text1"/>
          <w:sz w:val="22"/>
        </w:rPr>
        <w:t xml:space="preserve">, se </w:t>
      </w:r>
      <w:r w:rsidR="00CA6119" w:rsidRPr="009439F8">
        <w:rPr>
          <w:rFonts w:ascii="Arial" w:eastAsia="Calibri" w:hAnsi="Arial" w:cs="Arial"/>
          <w:bCs/>
          <w:color w:val="000000" w:themeColor="text1"/>
          <w:sz w:val="22"/>
        </w:rPr>
        <w:t>indica</w:t>
      </w:r>
      <w:r w:rsidR="00065C43" w:rsidRPr="009439F8">
        <w:rPr>
          <w:rFonts w:ascii="Arial" w:eastAsia="Calibri" w:hAnsi="Arial" w:cs="Arial"/>
          <w:bCs/>
          <w:color w:val="000000" w:themeColor="text1"/>
          <w:sz w:val="22"/>
        </w:rPr>
        <w:t xml:space="preserve"> que </w:t>
      </w:r>
      <w:r w:rsidR="00B47FAB" w:rsidRPr="009439F8">
        <w:rPr>
          <w:rFonts w:ascii="Arial" w:eastAsia="Calibri" w:hAnsi="Arial" w:cs="Arial"/>
          <w:bCs/>
          <w:color w:val="000000" w:themeColor="text1"/>
          <w:sz w:val="22"/>
          <w:lang w:val="es-ES_tradnl"/>
        </w:rPr>
        <w:t>«</w:t>
      </w:r>
      <w:r w:rsidR="000122B9" w:rsidRPr="009439F8">
        <w:rPr>
          <w:rFonts w:ascii="Arial" w:eastAsia="Calibri" w:hAnsi="Arial" w:cs="Arial"/>
          <w:bCs/>
          <w:color w:val="000000" w:themeColor="text1"/>
          <w:sz w:val="22"/>
          <w:lang w:val="es-ES_tradnl"/>
        </w:rPr>
        <w:t xml:space="preserve">el proyecto propone que en aquellos casos en que el objeto del Proceso de Contratación </w:t>
      </w:r>
      <w:r w:rsidR="000122B9" w:rsidRPr="009439F8">
        <w:rPr>
          <w:rFonts w:ascii="Arial" w:eastAsia="Calibri" w:hAnsi="Arial" w:cs="Arial"/>
          <w:bCs/>
          <w:i/>
          <w:iCs/>
          <w:color w:val="000000" w:themeColor="text1"/>
          <w:sz w:val="22"/>
          <w:lang w:val="es-ES_tradnl"/>
        </w:rPr>
        <w:t>sea un servicio</w:t>
      </w:r>
      <w:r w:rsidR="000122B9" w:rsidRPr="009439F8">
        <w:rPr>
          <w:rFonts w:ascii="Arial" w:eastAsia="Calibri" w:hAnsi="Arial" w:cs="Arial"/>
          <w:bCs/>
          <w:color w:val="000000" w:themeColor="text1"/>
          <w:sz w:val="22"/>
          <w:lang w:val="es-ES_tradnl"/>
        </w:rPr>
        <w:t>, la Entidad Estatal en los Documentos del Proceso identifique los insumos o las materias primas que inciden de manera relevante en el valor total del contrato y asigne el puntaje de que trata la Ley 816 de 2003 en función del uso de los "bienes relevantes" en el contrato</w:t>
      </w:r>
      <w:r w:rsidR="00B47FAB" w:rsidRPr="009439F8">
        <w:rPr>
          <w:rFonts w:ascii="Arial" w:eastAsia="Calibri" w:hAnsi="Arial" w:cs="Arial"/>
          <w:bCs/>
          <w:color w:val="000000" w:themeColor="text1"/>
          <w:sz w:val="22"/>
          <w:lang w:val="es-ES_tradnl"/>
        </w:rPr>
        <w:t>»</w:t>
      </w:r>
      <w:r w:rsidR="00CA6119" w:rsidRPr="009439F8">
        <w:rPr>
          <w:rFonts w:ascii="Arial" w:eastAsia="Calibri" w:hAnsi="Arial" w:cs="Arial"/>
          <w:bCs/>
          <w:color w:val="000000" w:themeColor="text1"/>
          <w:sz w:val="22"/>
          <w:lang w:val="es-ES_tradnl"/>
        </w:rPr>
        <w:t xml:space="preserve"> </w:t>
      </w:r>
      <w:r w:rsidR="00065C43" w:rsidRPr="009439F8">
        <w:rPr>
          <w:rFonts w:ascii="Arial" w:eastAsia="Calibri" w:hAnsi="Arial" w:cs="Arial"/>
          <w:bCs/>
          <w:color w:val="000000" w:themeColor="text1"/>
          <w:sz w:val="22"/>
          <w:lang w:val="es-ES_tradnl"/>
        </w:rPr>
        <w:t xml:space="preserve">(Énfasis por fuera de texto). </w:t>
      </w:r>
    </w:p>
    <w:p w14:paraId="3055B6CD" w14:textId="4B9F488A" w:rsidR="000122B9" w:rsidRPr="009439F8" w:rsidRDefault="00CA6119" w:rsidP="00AB7982">
      <w:pPr>
        <w:tabs>
          <w:tab w:val="left" w:pos="0"/>
        </w:tabs>
        <w:spacing w:before="120" w:line="276" w:lineRule="auto"/>
        <w:ind w:firstLine="709"/>
        <w:jc w:val="both"/>
        <w:rPr>
          <w:rFonts w:ascii="Arial" w:eastAsia="Calibri" w:hAnsi="Arial" w:cs="Arial"/>
          <w:bCs/>
          <w:color w:val="000000" w:themeColor="text1"/>
          <w:sz w:val="22"/>
        </w:rPr>
      </w:pPr>
      <w:r w:rsidRPr="009439F8">
        <w:rPr>
          <w:rFonts w:ascii="Arial" w:eastAsia="Calibri" w:hAnsi="Arial" w:cs="Arial"/>
          <w:bCs/>
          <w:color w:val="000000" w:themeColor="text1"/>
          <w:sz w:val="22"/>
          <w:lang w:val="es-ES_tradnl"/>
        </w:rPr>
        <w:t>En este sentido, el intención o finalidad que inspir</w:t>
      </w:r>
      <w:r w:rsidR="00AB7982" w:rsidRPr="009439F8">
        <w:rPr>
          <w:rFonts w:ascii="Arial" w:eastAsia="Calibri" w:hAnsi="Arial" w:cs="Arial"/>
          <w:bCs/>
          <w:color w:val="000000" w:themeColor="text1"/>
          <w:sz w:val="22"/>
          <w:lang w:val="es-ES_tradnl"/>
        </w:rPr>
        <w:t>ó</w:t>
      </w:r>
      <w:r w:rsidRPr="009439F8">
        <w:rPr>
          <w:rFonts w:ascii="Arial" w:eastAsia="Calibri" w:hAnsi="Arial" w:cs="Arial"/>
          <w:bCs/>
          <w:color w:val="000000" w:themeColor="text1"/>
          <w:sz w:val="22"/>
          <w:lang w:val="es-ES_tradnl"/>
        </w:rPr>
        <w:t xml:space="preserve"> la adopción del Decreto 680 de 2021 </w:t>
      </w:r>
      <w:r w:rsidR="00AB7982" w:rsidRPr="009439F8">
        <w:rPr>
          <w:rFonts w:ascii="Arial" w:eastAsia="Calibri" w:hAnsi="Arial" w:cs="Arial"/>
          <w:bCs/>
          <w:color w:val="000000" w:themeColor="text1"/>
          <w:sz w:val="22"/>
          <w:lang w:val="es-ES_tradnl"/>
        </w:rPr>
        <w:t xml:space="preserve">es la regulación de las reglas de origen de servicio para aquellos casos en que el objeto del proceso de contratación sea un servicio. De ahí que </w:t>
      </w:r>
      <w:proofErr w:type="spellStart"/>
      <w:r w:rsidR="00AB7982" w:rsidRPr="009439F8">
        <w:rPr>
          <w:rFonts w:ascii="Arial" w:eastAsia="Calibri" w:hAnsi="Arial" w:cs="Arial"/>
          <w:bCs/>
          <w:color w:val="000000" w:themeColor="text1"/>
          <w:sz w:val="22"/>
          <w:lang w:val="es-ES_tradnl"/>
        </w:rPr>
        <w:t>que</w:t>
      </w:r>
      <w:proofErr w:type="spellEnd"/>
      <w:r w:rsidR="00AB7982" w:rsidRPr="009439F8">
        <w:rPr>
          <w:rFonts w:ascii="Arial" w:eastAsia="Calibri" w:hAnsi="Arial" w:cs="Arial"/>
          <w:bCs/>
          <w:color w:val="000000" w:themeColor="text1"/>
          <w:sz w:val="22"/>
          <w:lang w:val="es-ES_tradnl"/>
        </w:rPr>
        <w:t xml:space="preserve"> su aplicación únicamente puede realizarse en relación con estos procesos</w:t>
      </w:r>
      <w:r w:rsidR="00272EB3" w:rsidRPr="009439F8">
        <w:rPr>
          <w:rFonts w:ascii="Arial" w:eastAsia="Calibri" w:hAnsi="Arial" w:cs="Arial"/>
          <w:bCs/>
          <w:color w:val="000000" w:themeColor="text1"/>
          <w:sz w:val="22"/>
          <w:lang w:val="es-ES_tradnl"/>
        </w:rPr>
        <w:t xml:space="preserve">, </w:t>
      </w:r>
      <w:r w:rsidR="008F7D52" w:rsidRPr="009439F8">
        <w:rPr>
          <w:rFonts w:ascii="Arial" w:eastAsia="Calibri" w:hAnsi="Arial" w:cs="Arial"/>
          <w:bCs/>
          <w:color w:val="000000" w:themeColor="text1"/>
          <w:sz w:val="22"/>
          <w:lang w:val="es-ES_tradnl"/>
        </w:rPr>
        <w:t>no con</w:t>
      </w:r>
      <w:r w:rsidR="00AB7982" w:rsidRPr="009439F8">
        <w:rPr>
          <w:rFonts w:ascii="Arial" w:eastAsia="Calibri" w:hAnsi="Arial" w:cs="Arial"/>
          <w:bCs/>
          <w:color w:val="000000" w:themeColor="text1"/>
          <w:sz w:val="22"/>
          <w:lang w:val="es-ES_tradnl"/>
        </w:rPr>
        <w:t xml:space="preserve"> aquellos que tengan </w:t>
      </w:r>
      <w:r w:rsidR="00AB7982" w:rsidRPr="009439F8">
        <w:rPr>
          <w:rFonts w:ascii="Arial" w:eastAsia="Calibri" w:hAnsi="Arial" w:cs="Arial"/>
          <w:bCs/>
          <w:color w:val="000000" w:themeColor="text1"/>
          <w:sz w:val="22"/>
          <w:lang w:val="es-ES_tradnl"/>
        </w:rPr>
        <w:lastRenderedPageBreak/>
        <w:t>por objeto la adquisición de bienes. De hecho, s</w:t>
      </w:r>
      <w:r w:rsidR="000122B9" w:rsidRPr="009439F8">
        <w:rPr>
          <w:rFonts w:ascii="Arial" w:eastAsia="Calibri" w:hAnsi="Arial" w:cs="Arial"/>
          <w:bCs/>
          <w:color w:val="000000" w:themeColor="text1"/>
          <w:sz w:val="22"/>
          <w:lang w:val="es-ES_tradnl"/>
        </w:rPr>
        <w:t>obre la regla de origen de bienes, e</w:t>
      </w:r>
      <w:r w:rsidR="00AB7982" w:rsidRPr="009439F8">
        <w:rPr>
          <w:rFonts w:ascii="Arial" w:eastAsia="Calibri" w:hAnsi="Arial" w:cs="Arial"/>
          <w:bCs/>
          <w:color w:val="000000" w:themeColor="text1"/>
          <w:sz w:val="22"/>
          <w:lang w:val="es-ES_tradnl"/>
        </w:rPr>
        <w:t>l documento de soporte técnico</w:t>
      </w:r>
      <w:r w:rsidR="000122B9" w:rsidRPr="009439F8">
        <w:rPr>
          <w:rFonts w:ascii="Arial" w:eastAsia="Calibri" w:hAnsi="Arial" w:cs="Arial"/>
          <w:bCs/>
          <w:color w:val="000000" w:themeColor="text1"/>
          <w:sz w:val="22"/>
          <w:lang w:val="es-ES_tradnl"/>
        </w:rPr>
        <w:t xml:space="preserve"> señaló que </w:t>
      </w:r>
      <w:r w:rsidR="00AB7982" w:rsidRPr="009439F8">
        <w:rPr>
          <w:rFonts w:ascii="Arial" w:eastAsia="Calibri" w:hAnsi="Arial" w:cs="Arial"/>
          <w:bCs/>
          <w:color w:val="000000" w:themeColor="text1"/>
          <w:sz w:val="22"/>
          <w:lang w:val="es-ES_tradnl"/>
        </w:rPr>
        <w:t>«</w:t>
      </w:r>
      <w:r w:rsidR="000122B9" w:rsidRPr="009439F8">
        <w:rPr>
          <w:rFonts w:ascii="Arial" w:eastAsia="Calibri" w:hAnsi="Arial" w:cs="Arial"/>
          <w:bCs/>
          <w:color w:val="000000" w:themeColor="text1"/>
          <w:sz w:val="22"/>
          <w:lang w:val="es-ES_tradnl"/>
        </w:rPr>
        <w:t>se considera adecuada la regla de origen de bienes actualmente contemplada por la normatividad del sistema de compra y contratación pública y no debería modificarse o unificarse con la regla de origen de servicios propuesta, pues su aplicación debería ser en la mayoría de los casos alternativa de acuerdo con la naturaleza del objeto contractual (bienes o servicios)</w:t>
      </w:r>
      <w:r w:rsidR="00AB7982" w:rsidRPr="009439F8">
        <w:rPr>
          <w:rFonts w:ascii="Arial" w:eastAsia="Calibri" w:hAnsi="Arial" w:cs="Arial"/>
          <w:bCs/>
          <w:color w:val="000000" w:themeColor="text1"/>
          <w:sz w:val="22"/>
          <w:lang w:val="es-ES_tradnl"/>
        </w:rPr>
        <w:t>»</w:t>
      </w:r>
      <w:r w:rsidR="000122B9" w:rsidRPr="009439F8">
        <w:rPr>
          <w:rFonts w:ascii="Arial" w:eastAsia="Calibri" w:hAnsi="Arial" w:cs="Arial"/>
          <w:bCs/>
          <w:color w:val="000000" w:themeColor="text1"/>
          <w:sz w:val="22"/>
          <w:lang w:val="es-ES_tradnl"/>
        </w:rPr>
        <w:t xml:space="preserve">. </w:t>
      </w:r>
    </w:p>
    <w:p w14:paraId="2B9F7401" w14:textId="2A3B922F" w:rsidR="001E6105" w:rsidRPr="009439F8" w:rsidRDefault="000122B9" w:rsidP="00E15F97">
      <w:pPr>
        <w:tabs>
          <w:tab w:val="left" w:pos="0"/>
        </w:tabs>
        <w:spacing w:before="120" w:line="276" w:lineRule="auto"/>
        <w:ind w:firstLine="709"/>
        <w:jc w:val="both"/>
        <w:rPr>
          <w:rFonts w:ascii="Arial" w:eastAsia="Calibri" w:hAnsi="Arial" w:cs="Arial"/>
          <w:bCs/>
          <w:color w:val="000000" w:themeColor="text1"/>
          <w:sz w:val="22"/>
          <w:szCs w:val="22"/>
          <w:lang w:val="es-ES_tradnl"/>
        </w:rPr>
      </w:pPr>
      <w:r w:rsidRPr="009439F8">
        <w:rPr>
          <w:rFonts w:ascii="Arial" w:eastAsia="Calibri" w:hAnsi="Arial" w:cs="Arial"/>
          <w:bCs/>
          <w:color w:val="000000" w:themeColor="text1"/>
          <w:sz w:val="22"/>
          <w:lang w:val="es-ES_tradnl"/>
        </w:rPr>
        <w:t xml:space="preserve">Así las cosas, según se desprende de los fundamentos del Decreto 680 de 2021, así como del contenido de este, es claro que las reglas </w:t>
      </w:r>
      <w:r w:rsidR="005F6854" w:rsidRPr="009439F8">
        <w:rPr>
          <w:rFonts w:ascii="Arial" w:eastAsia="Calibri" w:hAnsi="Arial" w:cs="Arial"/>
          <w:bCs/>
          <w:color w:val="000000" w:themeColor="text1"/>
          <w:sz w:val="22"/>
          <w:lang w:val="es-ES_tradnl"/>
        </w:rPr>
        <w:t xml:space="preserve">allí contempladas </w:t>
      </w:r>
      <w:r w:rsidRPr="009439F8">
        <w:rPr>
          <w:rFonts w:ascii="Arial" w:eastAsia="Calibri" w:hAnsi="Arial" w:cs="Arial"/>
          <w:bCs/>
          <w:color w:val="000000" w:themeColor="text1"/>
          <w:sz w:val="22"/>
          <w:lang w:val="es-ES_tradnl"/>
        </w:rPr>
        <w:t>no aplican cuando el objeto del contrato involucra únicamente la adquisición o suministro de bienes. Para estos</w:t>
      </w:r>
      <w:r w:rsidR="00116EDC" w:rsidRPr="009439F8">
        <w:rPr>
          <w:rFonts w:ascii="Arial" w:eastAsia="Calibri" w:hAnsi="Arial" w:cs="Arial"/>
          <w:bCs/>
          <w:color w:val="000000" w:themeColor="text1"/>
          <w:sz w:val="22"/>
          <w:lang w:val="es-ES_tradnl"/>
        </w:rPr>
        <w:t xml:space="preserve"> casos</w:t>
      </w:r>
      <w:r w:rsidRPr="009439F8">
        <w:rPr>
          <w:rFonts w:ascii="Arial" w:eastAsia="Calibri" w:hAnsi="Arial" w:cs="Arial"/>
          <w:bCs/>
          <w:color w:val="000000" w:themeColor="text1"/>
          <w:sz w:val="22"/>
          <w:lang w:val="es-ES_tradnl"/>
        </w:rPr>
        <w:t xml:space="preserve">, la entidad deberá </w:t>
      </w:r>
      <w:r w:rsidR="008F7D52" w:rsidRPr="009439F8">
        <w:rPr>
          <w:rFonts w:ascii="Arial" w:eastAsia="Calibri" w:hAnsi="Arial" w:cs="Arial"/>
          <w:bCs/>
          <w:color w:val="000000" w:themeColor="text1"/>
          <w:sz w:val="22"/>
          <w:lang w:val="es-ES_tradnl"/>
        </w:rPr>
        <w:t>aplicar</w:t>
      </w:r>
      <w:r w:rsidRPr="009439F8">
        <w:rPr>
          <w:rFonts w:ascii="Arial" w:eastAsia="Calibri" w:hAnsi="Arial" w:cs="Arial"/>
          <w:bCs/>
          <w:color w:val="000000" w:themeColor="text1"/>
          <w:sz w:val="22"/>
          <w:lang w:val="es-ES_tradnl"/>
        </w:rPr>
        <w:t xml:space="preserve"> lo dispuesto en la Ley 816 de 2013 determinando el puntaje conforme a los limites señalados en el artículo 2 de la Ley 816 de 2013. </w:t>
      </w:r>
      <w:r w:rsidR="00E15F97" w:rsidRPr="009439F8">
        <w:rPr>
          <w:rFonts w:ascii="Arial" w:eastAsia="Calibri" w:hAnsi="Arial" w:cs="Arial"/>
          <w:bCs/>
          <w:color w:val="000000" w:themeColor="text1"/>
          <w:sz w:val="22"/>
          <w:lang w:val="es-ES_tradnl"/>
        </w:rPr>
        <w:t>De esta manera, s</w:t>
      </w:r>
      <w:r w:rsidR="00E15F97" w:rsidRPr="009439F8">
        <w:rPr>
          <w:rFonts w:ascii="Arial" w:eastAsia="Calibri" w:hAnsi="Arial" w:cs="Arial"/>
          <w:bCs/>
          <w:color w:val="000000" w:themeColor="text1"/>
          <w:sz w:val="22"/>
          <w:szCs w:val="22"/>
          <w:lang w:val="es-ES_tradnl"/>
        </w:rPr>
        <w:t xml:space="preserve">e deberá incluir </w:t>
      </w:r>
      <w:r w:rsidR="00E15F97" w:rsidRPr="009439F8">
        <w:rPr>
          <w:rFonts w:ascii="Arial" w:eastAsia="Calibri" w:hAnsi="Arial" w:cs="Arial"/>
          <w:bCs/>
          <w:color w:val="000000" w:themeColor="text1"/>
          <w:sz w:val="22"/>
          <w:lang w:val="es-ES_tradnl"/>
        </w:rPr>
        <w:t>un puntaje comprendido entre el diez (10) y el veinte por ciento (20%) para estimular la industria nacional, cuando se oferten bienes nacionales y entre el cinco (5) y el quince por ciento (15%), para incentivar la incorporación de componente colombiano de bienes, tratándose de bienes extranjeros. Asimismo,</w:t>
      </w:r>
      <w:r w:rsidR="00E15F97" w:rsidRPr="009439F8">
        <w:rPr>
          <w:rFonts w:ascii="Arial" w:eastAsia="Calibri" w:hAnsi="Arial" w:cs="Arial"/>
          <w:bCs/>
          <w:color w:val="000000" w:themeColor="text1"/>
          <w:sz w:val="22"/>
          <w:szCs w:val="22"/>
          <w:lang w:val="es-ES_tradnl"/>
        </w:rPr>
        <w:t xml:space="preserve"> el puntaje por apoyo a la industria nacional debe tener en cuenta la definición establecida en el artículo 2.2.1.1.1.3.1. del Decreto 1082 de 2015, </w:t>
      </w:r>
      <w:r w:rsidR="005E7B03" w:rsidRPr="009439F8">
        <w:rPr>
          <w:rFonts w:ascii="Arial" w:eastAsia="Calibri" w:hAnsi="Arial" w:cs="Arial"/>
          <w:bCs/>
          <w:color w:val="000000" w:themeColor="text1"/>
          <w:sz w:val="22"/>
          <w:szCs w:val="22"/>
          <w:lang w:val="es-ES_tradnl"/>
        </w:rPr>
        <w:t>la cual</w:t>
      </w:r>
      <w:r w:rsidR="00CD1C54" w:rsidRPr="009439F8">
        <w:rPr>
          <w:rFonts w:ascii="Arial" w:eastAsia="Calibri" w:hAnsi="Arial" w:cs="Arial"/>
          <w:bCs/>
          <w:color w:val="000000" w:themeColor="text1"/>
          <w:sz w:val="22"/>
          <w:szCs w:val="22"/>
          <w:lang w:val="es-ES_tradnl"/>
        </w:rPr>
        <w:t xml:space="preserve"> establece</w:t>
      </w:r>
      <w:r w:rsidR="007C778E" w:rsidRPr="009439F8">
        <w:rPr>
          <w:rFonts w:ascii="Arial" w:eastAsia="Calibri" w:hAnsi="Arial" w:cs="Arial"/>
          <w:bCs/>
          <w:color w:val="000000" w:themeColor="text1"/>
          <w:sz w:val="22"/>
          <w:szCs w:val="22"/>
          <w:lang w:val="es-ES_tradnl"/>
        </w:rPr>
        <w:t xml:space="preserve"> que</w:t>
      </w:r>
      <w:r w:rsidR="005E7B03" w:rsidRPr="009439F8">
        <w:rPr>
          <w:rFonts w:ascii="Arial" w:eastAsia="Calibri" w:hAnsi="Arial" w:cs="Arial"/>
          <w:bCs/>
          <w:color w:val="000000" w:themeColor="text1"/>
          <w:sz w:val="22"/>
          <w:szCs w:val="22"/>
          <w:lang w:val="es-ES_tradnl"/>
        </w:rPr>
        <w:t xml:space="preserve"> se consideran bienes nacionales </w:t>
      </w:r>
      <w:r w:rsidR="00E15F97" w:rsidRPr="009439F8">
        <w:rPr>
          <w:rFonts w:ascii="Arial" w:eastAsia="Calibri" w:hAnsi="Arial" w:cs="Arial"/>
          <w:bCs/>
          <w:color w:val="000000" w:themeColor="text1"/>
          <w:sz w:val="22"/>
          <w:szCs w:val="22"/>
          <w:lang w:val="es-ES_tradnl"/>
        </w:rPr>
        <w:t>aquellos «Bienes definidos como nacionales en el Registro de Productores de Bienes Nacionales, de conformidad con el Decreto 2680 de 2009​ o las normas que lo modifiquen, aclaren, adicionen o sustituyan».</w:t>
      </w:r>
    </w:p>
    <w:p w14:paraId="434B666A" w14:textId="44D93EE7" w:rsidR="00B71457" w:rsidRPr="009439F8" w:rsidRDefault="002220B3" w:rsidP="00E15F97">
      <w:pPr>
        <w:tabs>
          <w:tab w:val="left" w:pos="0"/>
        </w:tabs>
        <w:spacing w:before="120" w:line="276" w:lineRule="auto"/>
        <w:ind w:firstLine="709"/>
        <w:jc w:val="both"/>
        <w:rPr>
          <w:rFonts w:ascii="Arial" w:eastAsia="Calibri" w:hAnsi="Arial" w:cs="Arial"/>
          <w:bCs/>
          <w:color w:val="000000" w:themeColor="text1"/>
          <w:sz w:val="22"/>
        </w:rPr>
      </w:pPr>
      <w:r w:rsidRPr="009439F8">
        <w:rPr>
          <w:rFonts w:ascii="Arial" w:eastAsia="Calibri" w:hAnsi="Arial" w:cs="Arial"/>
          <w:bCs/>
          <w:color w:val="000000" w:themeColor="text1"/>
          <w:sz w:val="22"/>
          <w:szCs w:val="22"/>
          <w:lang w:val="es-ES_tradnl"/>
        </w:rPr>
        <w:t>En todo caso, de acuerdo con el objeto contractual</w:t>
      </w:r>
      <w:r w:rsidR="001202CF" w:rsidRPr="009439F8">
        <w:rPr>
          <w:rFonts w:ascii="Arial" w:eastAsia="Calibri" w:hAnsi="Arial" w:cs="Arial"/>
          <w:bCs/>
          <w:color w:val="000000" w:themeColor="text1"/>
          <w:sz w:val="22"/>
          <w:szCs w:val="22"/>
          <w:lang w:val="es-ES_tradnl"/>
        </w:rPr>
        <w:t>, la entidad contratante definirá en cada caso concreto si aplica la regla de origen de bienes o servicios</w:t>
      </w:r>
      <w:r w:rsidR="008A5F23" w:rsidRPr="009439F8">
        <w:rPr>
          <w:rFonts w:ascii="Arial" w:eastAsia="Calibri" w:hAnsi="Arial" w:cs="Arial"/>
          <w:bCs/>
          <w:color w:val="000000" w:themeColor="text1"/>
          <w:sz w:val="22"/>
          <w:szCs w:val="22"/>
          <w:lang w:val="es-ES_tradnl"/>
        </w:rPr>
        <w:t xml:space="preserve"> conforme a la explicación precedente</w:t>
      </w:r>
      <w:r w:rsidR="005C0315" w:rsidRPr="009439F8">
        <w:rPr>
          <w:rFonts w:ascii="Arial" w:eastAsia="Calibri" w:hAnsi="Arial" w:cs="Arial"/>
          <w:bCs/>
          <w:color w:val="000000" w:themeColor="text1"/>
          <w:sz w:val="22"/>
          <w:szCs w:val="22"/>
          <w:lang w:val="es-ES_tradnl"/>
        </w:rPr>
        <w:t xml:space="preserve">. Lo anterior teniendo en cuenta </w:t>
      </w:r>
      <w:r w:rsidR="00991E59" w:rsidRPr="009439F8">
        <w:rPr>
          <w:rFonts w:ascii="Arial" w:eastAsia="Calibri" w:hAnsi="Arial" w:cs="Arial"/>
          <w:bCs/>
          <w:color w:val="000000" w:themeColor="text1"/>
          <w:sz w:val="22"/>
          <w:szCs w:val="22"/>
          <w:lang w:val="es-ES_tradnl"/>
        </w:rPr>
        <w:t>que si</w:t>
      </w:r>
      <w:r w:rsidR="00D434EA" w:rsidRPr="009439F8">
        <w:rPr>
          <w:rFonts w:ascii="Arial" w:eastAsia="Calibri" w:hAnsi="Arial" w:cs="Arial"/>
          <w:bCs/>
          <w:color w:val="000000" w:themeColor="text1"/>
          <w:sz w:val="22"/>
          <w:szCs w:val="22"/>
          <w:lang w:val="es-ES_tradnl"/>
        </w:rPr>
        <w:t>, además de</w:t>
      </w:r>
      <w:r w:rsidR="00991E59" w:rsidRPr="009439F8">
        <w:rPr>
          <w:rFonts w:ascii="Arial" w:eastAsia="Calibri" w:hAnsi="Arial" w:cs="Arial"/>
          <w:bCs/>
          <w:color w:val="000000" w:themeColor="text1"/>
          <w:sz w:val="22"/>
          <w:szCs w:val="22"/>
          <w:lang w:val="es-ES_tradnl"/>
        </w:rPr>
        <w:t xml:space="preserve"> la adquisición o suministro de bienes</w:t>
      </w:r>
      <w:r w:rsidR="00D434EA" w:rsidRPr="009439F8">
        <w:rPr>
          <w:rFonts w:ascii="Arial" w:eastAsia="Calibri" w:hAnsi="Arial" w:cs="Arial"/>
          <w:bCs/>
          <w:color w:val="000000" w:themeColor="text1"/>
          <w:sz w:val="22"/>
          <w:szCs w:val="22"/>
          <w:lang w:val="es-ES_tradnl"/>
        </w:rPr>
        <w:t xml:space="preserve">, también se requiere la prestación de servicios </w:t>
      </w:r>
      <w:r w:rsidR="00183813" w:rsidRPr="009439F8">
        <w:rPr>
          <w:rFonts w:ascii="Arial" w:eastAsia="Calibri" w:hAnsi="Arial" w:cs="Arial"/>
          <w:bCs/>
          <w:color w:val="000000" w:themeColor="text1"/>
          <w:sz w:val="22"/>
          <w:szCs w:val="22"/>
          <w:lang w:val="es-ES_tradnl"/>
        </w:rPr>
        <w:t>–como</w:t>
      </w:r>
      <w:r w:rsidR="00BF6959" w:rsidRPr="009439F8">
        <w:rPr>
          <w:rFonts w:ascii="Arial" w:eastAsia="Calibri" w:hAnsi="Arial" w:cs="Arial"/>
          <w:bCs/>
          <w:color w:val="000000" w:themeColor="text1"/>
          <w:sz w:val="22"/>
          <w:szCs w:val="22"/>
          <w:lang w:val="es-ES_tradnl"/>
        </w:rPr>
        <w:t>,</w:t>
      </w:r>
      <w:r w:rsidR="00183813" w:rsidRPr="009439F8">
        <w:rPr>
          <w:rFonts w:ascii="Arial" w:eastAsia="Calibri" w:hAnsi="Arial" w:cs="Arial"/>
          <w:bCs/>
          <w:color w:val="000000" w:themeColor="text1"/>
          <w:sz w:val="22"/>
          <w:szCs w:val="22"/>
          <w:lang w:val="es-ES_tradnl"/>
        </w:rPr>
        <w:t xml:space="preserve"> por ejemplo</w:t>
      </w:r>
      <w:r w:rsidR="00BF6959" w:rsidRPr="009439F8">
        <w:rPr>
          <w:rFonts w:ascii="Arial" w:eastAsia="Calibri" w:hAnsi="Arial" w:cs="Arial"/>
          <w:bCs/>
          <w:color w:val="000000" w:themeColor="text1"/>
          <w:sz w:val="22"/>
          <w:szCs w:val="22"/>
          <w:lang w:val="es-ES_tradnl"/>
        </w:rPr>
        <w:t>, el mantenimiento, la instalación</w:t>
      </w:r>
      <w:r w:rsidR="004863CC" w:rsidRPr="009439F8">
        <w:rPr>
          <w:rFonts w:ascii="Arial" w:eastAsia="Calibri" w:hAnsi="Arial" w:cs="Arial"/>
          <w:bCs/>
          <w:color w:val="000000" w:themeColor="text1"/>
          <w:sz w:val="22"/>
          <w:szCs w:val="22"/>
          <w:lang w:val="es-ES_tradnl"/>
        </w:rPr>
        <w:t>,</w:t>
      </w:r>
      <w:r w:rsidR="00BF6959" w:rsidRPr="009439F8">
        <w:rPr>
          <w:rFonts w:ascii="Arial" w:eastAsia="Calibri" w:hAnsi="Arial" w:cs="Arial"/>
          <w:bCs/>
          <w:color w:val="000000" w:themeColor="text1"/>
          <w:sz w:val="22"/>
          <w:szCs w:val="22"/>
          <w:lang w:val="es-ES_tradnl"/>
        </w:rPr>
        <w:t xml:space="preserve"> la capacitación</w:t>
      </w:r>
      <w:r w:rsidR="004863CC" w:rsidRPr="009439F8">
        <w:rPr>
          <w:rFonts w:ascii="Arial" w:eastAsia="Calibri" w:hAnsi="Arial" w:cs="Arial"/>
          <w:bCs/>
          <w:color w:val="000000" w:themeColor="text1"/>
          <w:sz w:val="22"/>
          <w:szCs w:val="22"/>
          <w:lang w:val="es-ES_tradnl"/>
        </w:rPr>
        <w:t>, entre otros– deberá aplicarse el Decreto 680 de 2021.</w:t>
      </w:r>
    </w:p>
    <w:p w14:paraId="0A4B2F77" w14:textId="26F06BFE" w:rsidR="00E61B7B" w:rsidRPr="009439F8" w:rsidRDefault="00E61B7B" w:rsidP="005F6854">
      <w:pPr>
        <w:tabs>
          <w:tab w:val="left" w:pos="0"/>
        </w:tabs>
        <w:spacing w:line="276" w:lineRule="auto"/>
        <w:jc w:val="both"/>
        <w:rPr>
          <w:rFonts w:ascii="Arial" w:eastAsia="Calibri" w:hAnsi="Arial" w:cs="Arial"/>
          <w:bCs/>
          <w:color w:val="000000" w:themeColor="text1"/>
          <w:sz w:val="22"/>
          <w:lang w:val="es-ES_tradnl"/>
        </w:rPr>
      </w:pPr>
    </w:p>
    <w:p w14:paraId="2354B772" w14:textId="5C5BACE5" w:rsidR="00524963" w:rsidRPr="009439F8" w:rsidRDefault="00524963" w:rsidP="00524963">
      <w:pPr>
        <w:spacing w:line="276" w:lineRule="auto"/>
        <w:contextualSpacing/>
        <w:jc w:val="both"/>
        <w:rPr>
          <w:rFonts w:ascii="Arial" w:eastAsia="Calibri" w:hAnsi="Arial" w:cs="Arial"/>
          <w:b/>
          <w:sz w:val="22"/>
          <w:szCs w:val="22"/>
          <w:lang w:eastAsia="en-US"/>
        </w:rPr>
      </w:pPr>
      <w:r w:rsidRPr="009439F8">
        <w:rPr>
          <w:rFonts w:ascii="Arial" w:eastAsia="Calibri" w:hAnsi="Arial" w:cs="Arial"/>
          <w:b/>
          <w:sz w:val="22"/>
          <w:szCs w:val="22"/>
          <w:lang w:eastAsia="en-US"/>
        </w:rPr>
        <w:t>3. Respuesta</w:t>
      </w:r>
    </w:p>
    <w:p w14:paraId="040E4518" w14:textId="77777777" w:rsidR="00524963" w:rsidRPr="009439F8" w:rsidRDefault="00524963" w:rsidP="00524963">
      <w:pPr>
        <w:spacing w:line="276" w:lineRule="auto"/>
        <w:contextualSpacing/>
        <w:jc w:val="both"/>
        <w:rPr>
          <w:rFonts w:ascii="Arial" w:eastAsia="Calibri" w:hAnsi="Arial" w:cs="Arial"/>
          <w:bCs/>
          <w:color w:val="FF0000"/>
          <w:sz w:val="22"/>
          <w:szCs w:val="22"/>
          <w:lang w:eastAsia="en-US"/>
        </w:rPr>
      </w:pPr>
    </w:p>
    <w:p w14:paraId="73E0A2EE" w14:textId="533E7FCC" w:rsidR="000122B9" w:rsidRPr="009439F8" w:rsidRDefault="008C7399" w:rsidP="000122B9">
      <w:pPr>
        <w:ind w:left="709" w:right="618"/>
        <w:jc w:val="both"/>
        <w:rPr>
          <w:rFonts w:ascii="Arial" w:eastAsia="Calibri" w:hAnsi="Arial" w:cs="Arial"/>
          <w:sz w:val="21"/>
          <w:szCs w:val="21"/>
          <w:lang w:val="es-ES_tradnl" w:eastAsia="es-CO"/>
        </w:rPr>
      </w:pPr>
      <w:bookmarkStart w:id="8" w:name="_Hlk57650395"/>
      <w:r w:rsidRPr="009439F8">
        <w:rPr>
          <w:rFonts w:ascii="Arial" w:eastAsia="Calibri" w:hAnsi="Arial" w:cs="Arial"/>
          <w:sz w:val="21"/>
          <w:szCs w:val="21"/>
          <w:lang w:val="es-ES_tradnl" w:eastAsia="es-CO"/>
        </w:rPr>
        <w:t>«</w:t>
      </w:r>
      <w:r w:rsidR="000122B9" w:rsidRPr="009439F8">
        <w:rPr>
          <w:rFonts w:ascii="Arial" w:eastAsia="Calibri" w:hAnsi="Arial" w:cs="Arial"/>
          <w:sz w:val="21"/>
          <w:szCs w:val="21"/>
          <w:lang w:val="es-ES_tradnl" w:eastAsia="es-CO"/>
        </w:rPr>
        <w:t>Teniendo en cuenta el decreto 680 de del 22 de junio 2021. Como se debe determinar el puntaje de apoyo a la industria nacional en los procesos de adquisición de bienes o elementos? ya sea compraventa o suministro, ya que el articulo nuevo 2.2.1.2.4.2.9. indica procesos de contratación de servicios.  </w:t>
      </w:r>
    </w:p>
    <w:p w14:paraId="0BD77408" w14:textId="77777777" w:rsidR="000122B9" w:rsidRPr="009439F8" w:rsidRDefault="000122B9" w:rsidP="000122B9">
      <w:pPr>
        <w:ind w:left="709" w:right="618"/>
        <w:jc w:val="both"/>
        <w:rPr>
          <w:rFonts w:ascii="Arial" w:eastAsia="Calibri" w:hAnsi="Arial" w:cs="Arial"/>
          <w:sz w:val="21"/>
          <w:szCs w:val="21"/>
          <w:lang w:val="es-ES_tradnl" w:eastAsia="es-CO"/>
        </w:rPr>
      </w:pPr>
    </w:p>
    <w:p w14:paraId="6A75AD35" w14:textId="1F656F29" w:rsidR="00580B97" w:rsidRPr="009439F8" w:rsidRDefault="000122B9" w:rsidP="00580B97">
      <w:pPr>
        <w:ind w:left="709" w:right="618"/>
        <w:jc w:val="both"/>
        <w:rPr>
          <w:rFonts w:ascii="Arial" w:eastAsia="Calibri" w:hAnsi="Arial" w:cs="Arial"/>
          <w:sz w:val="21"/>
          <w:szCs w:val="21"/>
          <w:lang w:val="es-ES_tradnl" w:eastAsia="es-CO"/>
        </w:rPr>
      </w:pPr>
      <w:r w:rsidRPr="009439F8">
        <w:rPr>
          <w:rFonts w:ascii="Arial" w:eastAsia="Calibri" w:hAnsi="Arial" w:cs="Arial"/>
          <w:sz w:val="21"/>
          <w:szCs w:val="21"/>
          <w:lang w:val="es-ES_tradnl" w:eastAsia="es-CO"/>
        </w:rPr>
        <w:t xml:space="preserve">Si bien es cierto que en el considerando número 6 del decreto 680 se precisa que los puntajes de que trata la ley 816 de 2003 no son aplicables en la contratación directa, selección abrevia de bienes y servicios de características técnicas uniformes y común utilización y los de mínima cuantía, no se precisa en el caso de los contrato de compraventa adelantado bajo las diferente modalidades (menor cuantía y licitación) si este criterio es aplicable a las mismas </w:t>
      </w:r>
      <w:r w:rsidRPr="009439F8">
        <w:rPr>
          <w:rFonts w:ascii="Arial" w:eastAsia="Calibri" w:hAnsi="Arial" w:cs="Arial"/>
          <w:sz w:val="21"/>
          <w:szCs w:val="21"/>
          <w:lang w:val="es-ES_tradnl" w:eastAsia="es-CO"/>
        </w:rPr>
        <w:lastRenderedPageBreak/>
        <w:t>o no.  o para la compraventa o suministro de bienes se sigue implementando la ley 816 de 2003?»</w:t>
      </w:r>
      <w:r w:rsidR="00DF5A2A" w:rsidRPr="009439F8">
        <w:rPr>
          <w:rFonts w:ascii="Arial" w:eastAsia="Calibri" w:hAnsi="Arial" w:cs="Arial"/>
          <w:sz w:val="21"/>
          <w:szCs w:val="21"/>
          <w:lang w:val="es-ES_tradnl" w:eastAsia="es-CO"/>
        </w:rPr>
        <w:t>.</w:t>
      </w:r>
    </w:p>
    <w:p w14:paraId="54D7BB39" w14:textId="77777777" w:rsidR="00580B97" w:rsidRPr="009439F8" w:rsidRDefault="00580B97" w:rsidP="00580B97">
      <w:pPr>
        <w:ind w:left="709" w:right="618"/>
        <w:jc w:val="both"/>
        <w:rPr>
          <w:rFonts w:ascii="Arial" w:eastAsia="Calibri" w:hAnsi="Arial" w:cs="Arial"/>
          <w:sz w:val="21"/>
          <w:szCs w:val="21"/>
          <w:lang w:val="es-ES_tradnl" w:eastAsia="es-CO"/>
        </w:rPr>
      </w:pPr>
    </w:p>
    <w:p w14:paraId="1DDF93C2" w14:textId="3D5CB919" w:rsidR="001803FE" w:rsidRPr="009439F8" w:rsidRDefault="00580B97" w:rsidP="00580B97">
      <w:pPr>
        <w:tabs>
          <w:tab w:val="left" w:pos="0"/>
        </w:tabs>
        <w:spacing w:before="120" w:line="276" w:lineRule="auto"/>
        <w:jc w:val="both"/>
        <w:rPr>
          <w:rFonts w:ascii="Arial" w:eastAsia="Calibri" w:hAnsi="Arial" w:cs="Arial"/>
          <w:bCs/>
          <w:color w:val="000000" w:themeColor="text1"/>
          <w:sz w:val="22"/>
          <w:lang w:val="es-ES_tradnl"/>
        </w:rPr>
      </w:pPr>
      <w:r w:rsidRPr="009439F8">
        <w:rPr>
          <w:rFonts w:ascii="Arial" w:eastAsia="Calibri" w:hAnsi="Arial" w:cs="Arial"/>
          <w:bCs/>
          <w:color w:val="000000" w:themeColor="text1"/>
          <w:sz w:val="22"/>
          <w:lang w:val="es-ES_tradnl"/>
        </w:rPr>
        <w:t xml:space="preserve">El Decreto 680 del 22 de junio de 2021 modifica parcialmente el artículo 2.2.1.1.1.3.1. y adiciona el artículo 2.2.1.2.4.2.9 al Decreto 1082 de 2015, en relación con la regla de origen de servicios en el Sistema de Compra Pública. </w:t>
      </w:r>
      <w:r w:rsidR="00BE01E5" w:rsidRPr="009439F8">
        <w:rPr>
          <w:rFonts w:ascii="Arial" w:eastAsia="Calibri" w:hAnsi="Arial" w:cs="Arial"/>
          <w:bCs/>
          <w:color w:val="000000" w:themeColor="text1"/>
          <w:sz w:val="22"/>
          <w:lang w:val="es-ES_tradnl"/>
        </w:rPr>
        <w:t xml:space="preserve">En efecto, este decreto modificó </w:t>
      </w:r>
      <w:r w:rsidRPr="009439F8">
        <w:rPr>
          <w:rFonts w:ascii="Arial" w:eastAsia="Calibri" w:hAnsi="Arial" w:cs="Arial"/>
          <w:bCs/>
          <w:color w:val="000000" w:themeColor="text1"/>
          <w:sz w:val="22"/>
        </w:rPr>
        <w:t xml:space="preserve">la definición de servicios nacionales establecida en el artículo </w:t>
      </w:r>
      <w:r w:rsidRPr="009439F8">
        <w:rPr>
          <w:rFonts w:ascii="Arial" w:eastAsia="Calibri" w:hAnsi="Arial" w:cs="Arial"/>
          <w:bCs/>
          <w:color w:val="000000" w:themeColor="text1"/>
          <w:sz w:val="22"/>
          <w:lang w:val="es-ES_tradnl"/>
        </w:rPr>
        <w:t xml:space="preserve">2.2.1.1.1.3.1. del Decreto 1082 de 2015, con el fin de precisar la forma de aplicación de la regla de origen de servicios teniendo en cuenta la determinación de los bienes colombianos relevantes de acuerdo </w:t>
      </w:r>
      <w:r w:rsidR="00BF3172" w:rsidRPr="009439F8">
        <w:rPr>
          <w:rFonts w:ascii="Arial" w:eastAsia="Calibri" w:hAnsi="Arial" w:cs="Arial"/>
          <w:bCs/>
          <w:color w:val="000000" w:themeColor="text1"/>
          <w:sz w:val="22"/>
          <w:lang w:val="es-ES_tradnl"/>
        </w:rPr>
        <w:t>con</w:t>
      </w:r>
      <w:r w:rsidRPr="009439F8">
        <w:rPr>
          <w:rFonts w:ascii="Arial" w:eastAsia="Calibri" w:hAnsi="Arial" w:cs="Arial"/>
          <w:bCs/>
          <w:color w:val="000000" w:themeColor="text1"/>
          <w:sz w:val="22"/>
          <w:lang w:val="es-ES_tradnl"/>
        </w:rPr>
        <w:t xml:space="preserve"> la información analizada en la etapa de planeación del proceso de contratación. En esta definición se indica que un servicio es colombiano si además de ser prestado en los términos allí contemplados, </w:t>
      </w:r>
      <w:r w:rsidRPr="009439F8">
        <w:rPr>
          <w:rFonts w:ascii="Arial" w:eastAsia="Calibri" w:hAnsi="Arial" w:cs="Arial"/>
          <w:bCs/>
          <w:color w:val="000000" w:themeColor="text1"/>
          <w:sz w:val="22"/>
          <w:szCs w:val="22"/>
          <w:lang w:val="es-ES_tradnl"/>
        </w:rPr>
        <w:t xml:space="preserve">usa los bienes nacionales relevantes definidos por la entidad estatal para </w:t>
      </w:r>
      <w:r w:rsidRPr="009439F8">
        <w:rPr>
          <w:rFonts w:ascii="Arial" w:eastAsia="Calibri" w:hAnsi="Arial" w:cs="Arial"/>
          <w:bCs/>
          <w:i/>
          <w:iCs/>
          <w:color w:val="000000" w:themeColor="text1"/>
          <w:sz w:val="22"/>
          <w:szCs w:val="22"/>
          <w:lang w:val="es-ES_tradnl"/>
        </w:rPr>
        <w:t>la prestación del servicio</w:t>
      </w:r>
      <w:r w:rsidRPr="009439F8">
        <w:rPr>
          <w:rFonts w:ascii="Arial" w:eastAsia="Calibri" w:hAnsi="Arial" w:cs="Arial"/>
          <w:bCs/>
          <w:color w:val="000000" w:themeColor="text1"/>
          <w:sz w:val="22"/>
          <w:szCs w:val="22"/>
          <w:lang w:val="es-ES_tradnl"/>
        </w:rPr>
        <w:t xml:space="preserve"> que será objeto del proceso de contratación</w:t>
      </w:r>
      <w:r w:rsidRPr="009439F8">
        <w:rPr>
          <w:rFonts w:ascii="Arial" w:eastAsia="Calibri" w:hAnsi="Arial" w:cs="Arial"/>
          <w:bCs/>
          <w:color w:val="000000" w:themeColor="text1"/>
          <w:sz w:val="21"/>
          <w:szCs w:val="21"/>
          <w:lang w:val="es-ES_tradnl"/>
        </w:rPr>
        <w:t xml:space="preserve"> o </w:t>
      </w:r>
      <w:r w:rsidRPr="009439F8">
        <w:rPr>
          <w:rFonts w:ascii="Arial" w:eastAsia="Calibri" w:hAnsi="Arial" w:cs="Arial"/>
          <w:bCs/>
          <w:color w:val="000000" w:themeColor="text1"/>
          <w:sz w:val="22"/>
          <w:szCs w:val="22"/>
          <w:lang w:val="es-ES_tradnl"/>
        </w:rPr>
        <w:t xml:space="preserve">vinculen el porcentaje mínimo de personal colombiano según corresponda. </w:t>
      </w:r>
      <w:r w:rsidR="00DE77DA" w:rsidRPr="009439F8">
        <w:rPr>
          <w:rFonts w:ascii="Arial" w:eastAsia="Calibri" w:hAnsi="Arial" w:cs="Arial"/>
          <w:bCs/>
          <w:color w:val="000000" w:themeColor="text1"/>
          <w:sz w:val="22"/>
          <w:lang w:val="es-ES_tradnl"/>
        </w:rPr>
        <w:t>Además</w:t>
      </w:r>
      <w:r w:rsidRPr="009439F8">
        <w:rPr>
          <w:rFonts w:ascii="Arial" w:eastAsia="Calibri" w:hAnsi="Arial" w:cs="Arial"/>
          <w:bCs/>
          <w:color w:val="000000" w:themeColor="text1"/>
          <w:sz w:val="22"/>
          <w:lang w:val="es-ES_tradnl"/>
        </w:rPr>
        <w:t xml:space="preserve">, el artículo 2 que adiciona el artículo 2.2.1.2.4.2.9. al Decreto 1082 de 2015 alude explícitamente, tanto en el título como en su contenido, al otorgamiento de puntaje en los procesos de contratación de servicios. Por tanto, estas normas son claras en establecer como criterio de aplicación de la regla de origen </w:t>
      </w:r>
      <w:r w:rsidR="00BE01E5" w:rsidRPr="009439F8">
        <w:rPr>
          <w:rFonts w:ascii="Arial" w:eastAsia="Calibri" w:hAnsi="Arial" w:cs="Arial"/>
          <w:bCs/>
          <w:color w:val="000000" w:themeColor="text1"/>
          <w:sz w:val="22"/>
          <w:lang w:val="es-ES_tradnl"/>
        </w:rPr>
        <w:t xml:space="preserve">de servicios </w:t>
      </w:r>
      <w:r w:rsidRPr="009439F8">
        <w:rPr>
          <w:rFonts w:ascii="Arial" w:eastAsia="Calibri" w:hAnsi="Arial" w:cs="Arial"/>
          <w:bCs/>
          <w:color w:val="000000" w:themeColor="text1"/>
          <w:sz w:val="22"/>
          <w:lang w:val="es-ES_tradnl"/>
        </w:rPr>
        <w:t xml:space="preserve">a los procesos de contratación que impliquen la prestación de un servicio. </w:t>
      </w:r>
    </w:p>
    <w:p w14:paraId="39ADDDA3" w14:textId="1DDCE3C5" w:rsidR="001803FE" w:rsidRPr="009439F8" w:rsidRDefault="00035DC4" w:rsidP="001803FE">
      <w:pPr>
        <w:tabs>
          <w:tab w:val="left" w:pos="0"/>
        </w:tabs>
        <w:spacing w:before="120" w:line="276" w:lineRule="auto"/>
        <w:ind w:firstLine="709"/>
        <w:jc w:val="both"/>
        <w:rPr>
          <w:rFonts w:ascii="Arial" w:eastAsia="Calibri" w:hAnsi="Arial" w:cs="Arial"/>
          <w:bCs/>
          <w:color w:val="000000" w:themeColor="text1"/>
          <w:sz w:val="22"/>
          <w:lang w:val="es-ES_tradnl"/>
        </w:rPr>
      </w:pPr>
      <w:r w:rsidRPr="009439F8">
        <w:rPr>
          <w:rFonts w:ascii="Arial" w:eastAsia="Calibri" w:hAnsi="Arial" w:cs="Arial"/>
          <w:bCs/>
          <w:color w:val="000000" w:themeColor="text1"/>
          <w:sz w:val="22"/>
        </w:rPr>
        <w:t>En concordancia con lo anterior</w:t>
      </w:r>
      <w:r w:rsidR="001803FE" w:rsidRPr="009439F8">
        <w:rPr>
          <w:rFonts w:ascii="Arial" w:eastAsia="Calibri" w:hAnsi="Arial" w:cs="Arial"/>
          <w:bCs/>
          <w:color w:val="000000" w:themeColor="text1"/>
          <w:sz w:val="22"/>
        </w:rPr>
        <w:t xml:space="preserve">, el documento de soporte técnico que fundamenta la expedición del Decreto 680 de 2021 </w:t>
      </w:r>
      <w:r w:rsidR="00BE01E5" w:rsidRPr="009439F8">
        <w:rPr>
          <w:rFonts w:ascii="Arial" w:eastAsia="Calibri" w:hAnsi="Arial" w:cs="Arial"/>
          <w:bCs/>
          <w:color w:val="000000" w:themeColor="text1"/>
          <w:sz w:val="22"/>
        </w:rPr>
        <w:t>señala</w:t>
      </w:r>
      <w:r w:rsidR="001803FE" w:rsidRPr="009439F8">
        <w:rPr>
          <w:rFonts w:ascii="Arial" w:eastAsia="Calibri" w:hAnsi="Arial" w:cs="Arial"/>
          <w:bCs/>
          <w:color w:val="000000" w:themeColor="text1"/>
          <w:sz w:val="22"/>
        </w:rPr>
        <w:t xml:space="preserve"> que el objeto de la propuesta es </w:t>
      </w:r>
      <w:r w:rsidR="001803FE" w:rsidRPr="009439F8">
        <w:rPr>
          <w:rFonts w:ascii="Arial" w:eastAsia="Calibri" w:hAnsi="Arial" w:cs="Arial"/>
          <w:bCs/>
          <w:color w:val="000000" w:themeColor="text1"/>
          <w:sz w:val="22"/>
          <w:lang w:val="es-ES_tradnl"/>
        </w:rPr>
        <w:t>«</w:t>
      </w:r>
      <w:r w:rsidR="001803FE" w:rsidRPr="009439F8">
        <w:rPr>
          <w:rFonts w:ascii="Arial" w:eastAsia="Calibri" w:hAnsi="Arial" w:cs="Arial"/>
          <w:bCs/>
          <w:color w:val="000000" w:themeColor="text1"/>
          <w:sz w:val="22"/>
        </w:rPr>
        <w:t xml:space="preserve">Modificar la </w:t>
      </w:r>
      <w:r w:rsidR="001803FE" w:rsidRPr="009439F8">
        <w:rPr>
          <w:rFonts w:ascii="Arial" w:eastAsia="Calibri" w:hAnsi="Arial" w:cs="Arial"/>
          <w:bCs/>
          <w:i/>
          <w:iCs/>
          <w:color w:val="000000" w:themeColor="text1"/>
          <w:sz w:val="22"/>
        </w:rPr>
        <w:t>regla de origen de servicios</w:t>
      </w:r>
      <w:r w:rsidR="001803FE" w:rsidRPr="009439F8">
        <w:rPr>
          <w:rFonts w:ascii="Arial" w:eastAsia="Calibri" w:hAnsi="Arial" w:cs="Arial"/>
          <w:bCs/>
          <w:color w:val="000000" w:themeColor="text1"/>
          <w:sz w:val="22"/>
        </w:rPr>
        <w:t xml:space="preserve"> colombianos con el fin de asignar el puntaje para la promoción de la industria nacional a los proveedores que utilicen los bienes</w:t>
      </w:r>
      <w:r w:rsidR="001803FE" w:rsidRPr="009439F8">
        <w:rPr>
          <w:rFonts w:ascii="Arial" w:eastAsia="Calibri" w:hAnsi="Arial" w:cs="Arial"/>
          <w:bCs/>
          <w:color w:val="000000" w:themeColor="text1"/>
          <w:sz w:val="22"/>
          <w:lang w:val="es-ES_tradnl"/>
        </w:rPr>
        <w:t xml:space="preserve">» (Énfasis por fuera de texto). </w:t>
      </w:r>
      <w:r w:rsidR="001803FE" w:rsidRPr="009439F8">
        <w:rPr>
          <w:rFonts w:ascii="Arial" w:eastAsia="Calibri" w:hAnsi="Arial" w:cs="Arial"/>
          <w:bCs/>
          <w:color w:val="000000" w:themeColor="text1"/>
          <w:sz w:val="22"/>
        </w:rPr>
        <w:t xml:space="preserve">Igualmente, se indica que </w:t>
      </w:r>
      <w:r w:rsidR="001803FE" w:rsidRPr="009439F8">
        <w:rPr>
          <w:rFonts w:ascii="Arial" w:eastAsia="Calibri" w:hAnsi="Arial" w:cs="Arial"/>
          <w:bCs/>
          <w:color w:val="000000" w:themeColor="text1"/>
          <w:sz w:val="22"/>
          <w:lang w:val="es-ES_tradnl"/>
        </w:rPr>
        <w:t xml:space="preserve">«el proyecto propone que en aquellos casos en que el objeto del Proceso de Contratación </w:t>
      </w:r>
      <w:r w:rsidR="001803FE" w:rsidRPr="009439F8">
        <w:rPr>
          <w:rFonts w:ascii="Arial" w:eastAsia="Calibri" w:hAnsi="Arial" w:cs="Arial"/>
          <w:bCs/>
          <w:i/>
          <w:iCs/>
          <w:color w:val="000000" w:themeColor="text1"/>
          <w:sz w:val="22"/>
          <w:lang w:val="es-ES_tradnl"/>
        </w:rPr>
        <w:t>sea un servicio</w:t>
      </w:r>
      <w:r w:rsidR="001803FE" w:rsidRPr="009439F8">
        <w:rPr>
          <w:rFonts w:ascii="Arial" w:eastAsia="Calibri" w:hAnsi="Arial" w:cs="Arial"/>
          <w:bCs/>
          <w:color w:val="000000" w:themeColor="text1"/>
          <w:sz w:val="22"/>
          <w:lang w:val="es-ES_tradnl"/>
        </w:rPr>
        <w:t xml:space="preserve">, la Entidad Estatal en los Documentos del Proceso identifique los insumos o las materias primas que inciden de manera relevante en el valor total del contrato y asigne el puntaje de que trata la Ley 816 de 2003 en función del uso de los "bienes relevantes" en el contrato». </w:t>
      </w:r>
    </w:p>
    <w:p w14:paraId="6F8D21A7" w14:textId="5EB890D1" w:rsidR="00524963" w:rsidRPr="009439F8" w:rsidRDefault="00030C92" w:rsidP="003B5F90">
      <w:pPr>
        <w:tabs>
          <w:tab w:val="left" w:pos="0"/>
        </w:tabs>
        <w:spacing w:before="120" w:line="276" w:lineRule="auto"/>
        <w:ind w:firstLine="709"/>
        <w:jc w:val="both"/>
        <w:rPr>
          <w:rFonts w:ascii="Arial" w:eastAsia="Calibri" w:hAnsi="Arial" w:cs="Arial"/>
          <w:bCs/>
          <w:color w:val="000000" w:themeColor="text1"/>
          <w:sz w:val="22"/>
          <w:szCs w:val="22"/>
          <w:lang w:val="es-ES_tradnl"/>
        </w:rPr>
      </w:pPr>
      <w:r w:rsidRPr="009439F8">
        <w:rPr>
          <w:rFonts w:ascii="Arial" w:eastAsia="Calibri" w:hAnsi="Arial" w:cs="Arial"/>
          <w:bCs/>
          <w:color w:val="000000" w:themeColor="text1"/>
          <w:sz w:val="22"/>
          <w:lang w:val="es-ES_tradnl"/>
        </w:rPr>
        <w:t>Así las cosas, según se desprende de los fundamentos del Decreto 680 de 2021, así como del contenido de este, es claro que las reglas allí contempladas no aplican cuando el objeto del contrato involucra únicamente la adquisición o suministro de bienes. Para estos casos, la entidad deberá aplicar lo dispuesto en la Ley 816 de 2013 determinando el puntaje conforme a los limites señalados en el artículo 2 de la Ley 816 de 2013. De esta manera, s</w:t>
      </w:r>
      <w:r w:rsidRPr="009439F8">
        <w:rPr>
          <w:rFonts w:ascii="Arial" w:eastAsia="Calibri" w:hAnsi="Arial" w:cs="Arial"/>
          <w:bCs/>
          <w:color w:val="000000" w:themeColor="text1"/>
          <w:sz w:val="22"/>
          <w:szCs w:val="22"/>
          <w:lang w:val="es-ES_tradnl"/>
        </w:rPr>
        <w:t xml:space="preserve">e deberá incluir </w:t>
      </w:r>
      <w:r w:rsidRPr="009439F8">
        <w:rPr>
          <w:rFonts w:ascii="Arial" w:eastAsia="Calibri" w:hAnsi="Arial" w:cs="Arial"/>
          <w:bCs/>
          <w:color w:val="000000" w:themeColor="text1"/>
          <w:sz w:val="22"/>
          <w:lang w:val="es-ES_tradnl"/>
        </w:rPr>
        <w:t>un puntaje comprendido entre el diez (10) y el veinte por ciento (20%) para estimular la industria nacional, cuando se oferten bienes nacionales y entre el cinco (5) y el quince por ciento (15%), para incentivar la incorporación de componente colombiano de bienes, tratándose de bienes extranjeros. Asimismo,</w:t>
      </w:r>
      <w:r w:rsidRPr="009439F8">
        <w:rPr>
          <w:rFonts w:ascii="Arial" w:eastAsia="Calibri" w:hAnsi="Arial" w:cs="Arial"/>
          <w:bCs/>
          <w:color w:val="000000" w:themeColor="text1"/>
          <w:sz w:val="22"/>
          <w:szCs w:val="22"/>
          <w:lang w:val="es-ES_tradnl"/>
        </w:rPr>
        <w:t xml:space="preserve"> el puntaje por apoyo a la industria nacional debe tener en cuenta la definición establecida en el artículo 2.2.1.1.1.3.1. del Decreto 1082 de 2015, que por la cual se consideran bienes nacionales </w:t>
      </w:r>
      <w:r w:rsidRPr="009439F8">
        <w:rPr>
          <w:rFonts w:ascii="Arial" w:eastAsia="Calibri" w:hAnsi="Arial" w:cs="Arial"/>
          <w:bCs/>
          <w:color w:val="000000" w:themeColor="text1"/>
          <w:sz w:val="22"/>
          <w:szCs w:val="22"/>
          <w:lang w:val="es-ES_tradnl"/>
        </w:rPr>
        <w:lastRenderedPageBreak/>
        <w:t>aquellos «Bienes definidos como nacionales en el Registro de Productores de Bienes Nacionales, de conformidad con el Decreto 2680 de 2009​ o las normas que lo modifiquen, aclaren, adicionen o sustituyan».</w:t>
      </w:r>
    </w:p>
    <w:p w14:paraId="708C3ECB" w14:textId="32F2B8C9" w:rsidR="008A5F23" w:rsidRPr="00BE01E5" w:rsidRDefault="008A5F23">
      <w:pPr>
        <w:tabs>
          <w:tab w:val="left" w:pos="0"/>
        </w:tabs>
        <w:spacing w:before="120" w:line="276" w:lineRule="auto"/>
        <w:ind w:firstLine="709"/>
        <w:jc w:val="both"/>
        <w:rPr>
          <w:rFonts w:ascii="Arial" w:eastAsia="Calibri" w:hAnsi="Arial" w:cs="Arial"/>
          <w:bCs/>
          <w:color w:val="000000" w:themeColor="text1"/>
          <w:sz w:val="22"/>
        </w:rPr>
      </w:pPr>
      <w:r w:rsidRPr="009439F8">
        <w:rPr>
          <w:rFonts w:ascii="Arial" w:eastAsia="Calibri" w:hAnsi="Arial" w:cs="Arial"/>
          <w:bCs/>
          <w:color w:val="000000" w:themeColor="text1"/>
          <w:sz w:val="22"/>
          <w:szCs w:val="22"/>
          <w:lang w:val="es-ES_tradnl"/>
        </w:rPr>
        <w:t>En todo caso, de acuerdo con el objeto contractual, la entidad contratante definirá en cada caso concreto si aplica la regla de origen de bienes o servicios conforme a la explicación precedente. Lo anterior teniendo en cuenta que si, además de la adquisición o suministro de bienes, también se requiere la prestación de servicios –como, por ejemplo, el mantenimiento, la instalación, la capacitación, entre otros– deberá aplicarse el Decreto 680 de 2021.</w:t>
      </w:r>
    </w:p>
    <w:p w14:paraId="722639AC" w14:textId="77777777" w:rsidR="00E61B7B" w:rsidRPr="00524963" w:rsidRDefault="00E61B7B" w:rsidP="000122B9">
      <w:pPr>
        <w:spacing w:before="120" w:line="259" w:lineRule="auto"/>
        <w:jc w:val="both"/>
      </w:pPr>
    </w:p>
    <w:p w14:paraId="7A2C9C60" w14:textId="77777777" w:rsidR="0051212F" w:rsidRPr="0051212F" w:rsidRDefault="0051212F" w:rsidP="0051212F">
      <w:pPr>
        <w:spacing w:line="276" w:lineRule="auto"/>
        <w:jc w:val="both"/>
        <w:rPr>
          <w:rFonts w:ascii="Arial" w:hAnsi="Arial" w:cs="Arial"/>
          <w:color w:val="000000" w:themeColor="text1"/>
          <w:sz w:val="22"/>
          <w:lang w:val="es-ES_tradnl"/>
        </w:rPr>
      </w:pPr>
      <w:r w:rsidRPr="0051212F">
        <w:rPr>
          <w:rFonts w:ascii="Arial" w:hAnsi="Arial" w:cs="Arial"/>
          <w:color w:val="000000" w:themeColor="text1"/>
          <w:sz w:val="22"/>
          <w:szCs w:val="22"/>
          <w:lang w:val="es-ES_tradnl"/>
        </w:rPr>
        <w:t>Este concepto tiene el alcance previsto en el artículo 28 del</w:t>
      </w:r>
      <w:r w:rsidRPr="0051212F">
        <w:rPr>
          <w:rFonts w:ascii="Arial" w:hAnsi="Arial" w:cs="Arial"/>
          <w:color w:val="000000" w:themeColor="text1"/>
          <w:sz w:val="22"/>
          <w:lang w:val="es-ES_tradnl"/>
        </w:rPr>
        <w:t xml:space="preserve"> Código de Procedimiento Administrativo y de lo Contencioso Administrativo.</w:t>
      </w:r>
    </w:p>
    <w:bookmarkEnd w:id="2"/>
    <w:bookmarkEnd w:id="8"/>
    <w:p w14:paraId="6F54E9C9" w14:textId="77777777" w:rsidR="00003233" w:rsidRPr="00A51520"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A5152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51520">
        <w:rPr>
          <w:rFonts w:ascii="Arial" w:hAnsi="Arial" w:cs="Arial"/>
          <w:color w:val="000000" w:themeColor="text1"/>
          <w:sz w:val="22"/>
          <w:szCs w:val="22"/>
          <w:lang w:val="es-ES_tradnl"/>
        </w:rPr>
        <w:t>Atentamente,</w:t>
      </w:r>
    </w:p>
    <w:p w14:paraId="10A1E411" w14:textId="37298460" w:rsidR="00D40F8B" w:rsidRPr="00A51520" w:rsidRDefault="00CE1929"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noProof/>
        </w:rPr>
        <w:drawing>
          <wp:inline distT="0" distB="0" distL="0" distR="0" wp14:anchorId="4EC829BF" wp14:editId="6FF65A2D">
            <wp:extent cx="2518154" cy="1116000"/>
            <wp:effectExtent l="0" t="0" r="0" b="1905"/>
            <wp:docPr id="1881124724" name="Imagen 188112472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518154" cy="1116000"/>
                    </a:xfrm>
                    <a:prstGeom prst="rect">
                      <a:avLst/>
                    </a:prstGeom>
                  </pic:spPr>
                </pic:pic>
              </a:graphicData>
            </a:graphic>
          </wp:inline>
        </w:drawing>
      </w:r>
    </w:p>
    <w:p w14:paraId="1ED13883" w14:textId="77777777" w:rsidR="00003233" w:rsidRPr="00A51520"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A51520" w14:paraId="0C7DC5F7" w14:textId="77777777" w:rsidTr="00D40F8B">
        <w:trPr>
          <w:trHeight w:val="160"/>
        </w:trPr>
        <w:tc>
          <w:tcPr>
            <w:tcW w:w="812" w:type="dxa"/>
            <w:vAlign w:val="center"/>
            <w:hideMark/>
          </w:tcPr>
          <w:p w14:paraId="5BDB1AC9"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A51520" w:rsidRDefault="00F412DF"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Tatiana Baquero Iguarán</w:t>
            </w:r>
          </w:p>
          <w:p w14:paraId="240C71FD" w14:textId="31312C95"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Contratista</w:t>
            </w:r>
            <w:r w:rsidR="00FF0050" w:rsidRPr="00A51520">
              <w:rPr>
                <w:rFonts w:ascii="Arial" w:hAnsi="Arial" w:cs="Arial"/>
                <w:color w:val="000000" w:themeColor="text1"/>
                <w:sz w:val="16"/>
                <w:szCs w:val="16"/>
                <w:lang w:val="es-ES_tradnl" w:eastAsia="es-ES"/>
              </w:rPr>
              <w:t xml:space="preserve"> de la </w:t>
            </w:r>
            <w:r w:rsidRPr="00A51520">
              <w:rPr>
                <w:rFonts w:ascii="Arial" w:hAnsi="Arial" w:cs="Arial"/>
                <w:color w:val="000000" w:themeColor="text1"/>
                <w:sz w:val="16"/>
                <w:szCs w:val="16"/>
                <w:lang w:val="es-ES_tradnl" w:eastAsia="es-ES"/>
              </w:rPr>
              <w:t>Subdirección de Gestión Contractual</w:t>
            </w:r>
          </w:p>
        </w:tc>
      </w:tr>
      <w:tr w:rsidR="00DD5B04" w:rsidRPr="00A51520" w14:paraId="2F8FD650" w14:textId="77777777" w:rsidTr="00D15356">
        <w:trPr>
          <w:trHeight w:val="330"/>
        </w:trPr>
        <w:tc>
          <w:tcPr>
            <w:tcW w:w="812" w:type="dxa"/>
            <w:vAlign w:val="center"/>
            <w:hideMark/>
          </w:tcPr>
          <w:p w14:paraId="50203A0B"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D54785F" w14:textId="50438417" w:rsidR="00B17563" w:rsidRPr="00A51520" w:rsidRDefault="003D1E4F" w:rsidP="00F412DF">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 xml:space="preserve">Juan David Montoya </w:t>
            </w:r>
            <w:r w:rsidR="001B6EBB">
              <w:rPr>
                <w:rFonts w:ascii="Arial" w:hAnsi="Arial" w:cs="Arial"/>
                <w:color w:val="000000" w:themeColor="text1"/>
                <w:sz w:val="16"/>
                <w:szCs w:val="16"/>
                <w:lang w:val="es-ES_tradnl" w:eastAsia="es-ES"/>
              </w:rPr>
              <w:t xml:space="preserve">Penagos </w:t>
            </w:r>
          </w:p>
          <w:p w14:paraId="130B3228" w14:textId="6A88BE4C" w:rsidR="00DD5B04" w:rsidRPr="00A51520" w:rsidRDefault="00BC20A6" w:rsidP="00F412DF">
            <w:pPr>
              <w:jc w:val="both"/>
              <w:rPr>
                <w:rFonts w:ascii="Arial" w:hAnsi="Arial" w:cs="Arial"/>
                <w:color w:val="000000" w:themeColor="text1"/>
                <w:sz w:val="16"/>
                <w:szCs w:val="16"/>
                <w:lang w:val="es-ES_tradnl" w:eastAsia="es-ES"/>
              </w:rPr>
            </w:pPr>
            <w:r w:rsidRPr="00BC20A6">
              <w:rPr>
                <w:rFonts w:ascii="Arial" w:hAnsi="Arial" w:cs="Arial"/>
                <w:color w:val="000000"/>
                <w:sz w:val="16"/>
                <w:szCs w:val="16"/>
                <w:shd w:val="clear" w:color="auto" w:fill="FFFFFF"/>
                <w:lang w:val="es-ES_tradnl"/>
              </w:rPr>
              <w:t>Gestor T1-15</w:t>
            </w:r>
            <w:r w:rsidR="00F412DF" w:rsidRPr="00A51520">
              <w:rPr>
                <w:rFonts w:ascii="Arial" w:hAnsi="Arial" w:cs="Arial"/>
                <w:color w:val="000000"/>
                <w:sz w:val="16"/>
                <w:szCs w:val="16"/>
                <w:shd w:val="clear" w:color="auto" w:fill="FFFFFF"/>
              </w:rPr>
              <w:t xml:space="preserve"> de la </w:t>
            </w:r>
            <w:r w:rsidR="00F412DF" w:rsidRPr="00A51520">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A51520" w:rsidRDefault="00C05A61"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 xml:space="preserve">Jorge </w:t>
            </w:r>
            <w:r w:rsidR="00647A36" w:rsidRPr="00A51520">
              <w:rPr>
                <w:rFonts w:ascii="Arial" w:hAnsi="Arial" w:cs="Arial"/>
                <w:color w:val="000000" w:themeColor="text1"/>
                <w:sz w:val="16"/>
                <w:szCs w:val="16"/>
                <w:lang w:val="es-ES_tradnl" w:eastAsia="es-ES"/>
              </w:rPr>
              <w:t xml:space="preserve">Augusto </w:t>
            </w:r>
            <w:r w:rsidRPr="00A51520">
              <w:rPr>
                <w:rFonts w:ascii="Arial" w:hAnsi="Arial" w:cs="Arial"/>
                <w:color w:val="000000" w:themeColor="text1"/>
                <w:sz w:val="16"/>
                <w:szCs w:val="16"/>
                <w:lang w:val="es-ES_tradnl" w:eastAsia="es-ES"/>
              </w:rPr>
              <w:t>Tirado Navarro</w:t>
            </w:r>
          </w:p>
          <w:p w14:paraId="1ADC483B" w14:textId="2EC8CC51" w:rsidR="00DD5B04" w:rsidRPr="00D40F8B"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Subdirector de Gestión Contractual</w:t>
            </w:r>
            <w:r w:rsidR="00973AA2" w:rsidRPr="00A51520">
              <w:rPr>
                <w:rFonts w:ascii="Arial" w:hAnsi="Arial" w:cs="Arial"/>
                <w:color w:val="000000" w:themeColor="text1"/>
                <w:sz w:val="16"/>
                <w:szCs w:val="16"/>
                <w:lang w:val="es-ES_tradnl" w:eastAsia="es-ES"/>
              </w:rPr>
              <w:t xml:space="preserve"> </w:t>
            </w:r>
            <w:r w:rsidR="00973AA2" w:rsidRPr="00A51520">
              <w:rPr>
                <w:rFonts w:ascii="Arial" w:hAnsi="Arial" w:cs="Arial"/>
                <w:color w:val="000000" w:themeColor="text1"/>
                <w:sz w:val="16"/>
                <w:szCs w:val="16"/>
                <w:lang w:eastAsia="es-ES"/>
              </w:rPr>
              <w:t>ANCP – CCE</w:t>
            </w:r>
          </w:p>
        </w:tc>
      </w:tr>
    </w:tbl>
    <w:p w14:paraId="62A9C657" w14:textId="77777777" w:rsidR="00453A53" w:rsidRDefault="00453A53" w:rsidP="00215B8E">
      <w:pPr>
        <w:jc w:val="both"/>
        <w:rPr>
          <w:rFonts w:ascii="Arial" w:hAnsi="Arial" w:cs="Arial"/>
          <w:lang w:val="es-ES_tradnl"/>
        </w:rPr>
      </w:pPr>
    </w:p>
    <w:p w14:paraId="3F7284BE" w14:textId="3AD023D9" w:rsidR="008351F8" w:rsidRPr="009D3964" w:rsidRDefault="008351F8" w:rsidP="00215B8E">
      <w:pPr>
        <w:jc w:val="both"/>
        <w:rPr>
          <w:rFonts w:ascii="Arial" w:hAnsi="Arial" w:cs="Arial"/>
          <w:lang w:val="es-ES_tradnl"/>
        </w:rPr>
      </w:pPr>
    </w:p>
    <w:bookmarkEnd w:id="1"/>
    <w:p w14:paraId="4D3D318F" w14:textId="77777777" w:rsidR="00FC710F" w:rsidRPr="009D3964" w:rsidRDefault="00FC710F">
      <w:pPr>
        <w:jc w:val="both"/>
        <w:rPr>
          <w:rFonts w:ascii="Arial" w:hAnsi="Arial" w:cs="Arial"/>
          <w:lang w:val="es-ES_tradnl"/>
        </w:rPr>
      </w:pPr>
    </w:p>
    <w:sectPr w:rsidR="00FC710F" w:rsidRPr="009D3964" w:rsidSect="00026B36">
      <w:headerReference w:type="default" r:id="rId13"/>
      <w:footerReference w:type="default" r:id="rId14"/>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5D981" w14:textId="77777777" w:rsidR="00286DC7" w:rsidRDefault="00286DC7">
      <w:r>
        <w:separator/>
      </w:r>
    </w:p>
  </w:endnote>
  <w:endnote w:type="continuationSeparator" w:id="0">
    <w:p w14:paraId="2E43E0EB" w14:textId="77777777" w:rsidR="00286DC7" w:rsidRDefault="00286DC7">
      <w:r>
        <w:continuationSeparator/>
      </w:r>
    </w:p>
  </w:endnote>
  <w:endnote w:type="continuationNotice" w:id="1">
    <w:p w14:paraId="291BAB93" w14:textId="77777777" w:rsidR="00286DC7" w:rsidRDefault="00286D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99BF7" w14:textId="77777777" w:rsidR="00286DC7" w:rsidRDefault="00286DC7">
      <w:r>
        <w:separator/>
      </w:r>
    </w:p>
  </w:footnote>
  <w:footnote w:type="continuationSeparator" w:id="0">
    <w:p w14:paraId="2D784C33" w14:textId="77777777" w:rsidR="00286DC7" w:rsidRDefault="00286DC7">
      <w:r>
        <w:continuationSeparator/>
      </w:r>
    </w:p>
  </w:footnote>
  <w:footnote w:type="continuationNotice" w:id="1">
    <w:p w14:paraId="30D3BC39" w14:textId="77777777" w:rsidR="00286DC7" w:rsidRDefault="00286DC7"/>
  </w:footnote>
  <w:footnote w:id="2">
    <w:p w14:paraId="6C0A3FBA" w14:textId="77777777" w:rsidR="00CE158B" w:rsidRPr="00777868" w:rsidRDefault="00CE158B" w:rsidP="00CE158B">
      <w:pPr>
        <w:pStyle w:val="Textonotapie"/>
        <w:ind w:firstLine="709"/>
        <w:jc w:val="both"/>
        <w:rPr>
          <w:rFonts w:ascii="Arial" w:hAnsi="Arial" w:cs="Arial"/>
          <w:color w:val="000000" w:themeColor="text1"/>
          <w:sz w:val="18"/>
          <w:szCs w:val="18"/>
          <w:lang w:val="es-ES"/>
        </w:rPr>
      </w:pPr>
      <w:r w:rsidRPr="00777868">
        <w:rPr>
          <w:rStyle w:val="Refdenotaalpie"/>
          <w:rFonts w:ascii="Arial" w:hAnsi="Arial" w:cs="Arial"/>
          <w:color w:val="000000" w:themeColor="text1"/>
          <w:sz w:val="18"/>
          <w:szCs w:val="18"/>
        </w:rPr>
        <w:footnoteRef/>
      </w:r>
      <w:r w:rsidRPr="00777868">
        <w:rPr>
          <w:rFonts w:ascii="Arial" w:hAnsi="Arial" w:cs="Arial"/>
          <w:color w:val="000000" w:themeColor="text1"/>
          <w:sz w:val="18"/>
          <w:szCs w:val="18"/>
        </w:rPr>
        <w:t xml:space="preserve"> </w:t>
      </w:r>
      <w:r w:rsidRPr="00777868">
        <w:rPr>
          <w:rFonts w:ascii="Arial" w:hAnsi="Arial" w:cs="Arial"/>
          <w:color w:val="000000" w:themeColor="text1"/>
          <w:sz w:val="18"/>
          <w:szCs w:val="18"/>
          <w:lang w:val="es-ES"/>
        </w:rPr>
        <w:t>El tenor del artículo 20 es el siguiente: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603BB835" w14:textId="77777777" w:rsidR="00CE158B" w:rsidRPr="00777868" w:rsidRDefault="00CE158B" w:rsidP="00CE158B">
      <w:pPr>
        <w:pStyle w:val="Textonotapie"/>
        <w:ind w:firstLine="709"/>
        <w:jc w:val="both"/>
        <w:rPr>
          <w:rFonts w:ascii="Arial" w:hAnsi="Arial" w:cs="Arial"/>
          <w:color w:val="000000" w:themeColor="text1"/>
          <w:sz w:val="18"/>
          <w:szCs w:val="18"/>
          <w:lang w:val="es-ES"/>
        </w:rPr>
      </w:pPr>
      <w:proofErr w:type="gramStart"/>
      <w:r w:rsidRPr="00777868">
        <w:rPr>
          <w:rFonts w:ascii="Arial" w:hAnsi="Arial" w:cs="Arial"/>
          <w:color w:val="000000" w:themeColor="text1"/>
          <w:sz w:val="18"/>
          <w:szCs w:val="18"/>
          <w:lang w:val="es-ES"/>
        </w:rPr>
        <w:t>»Se</w:t>
      </w:r>
      <w:proofErr w:type="gramEnd"/>
      <w:r w:rsidRPr="00777868">
        <w:rPr>
          <w:rFonts w:ascii="Arial" w:hAnsi="Arial" w:cs="Arial"/>
          <w:color w:val="000000" w:themeColor="text1"/>
          <w:sz w:val="18"/>
          <w:szCs w:val="18"/>
          <w:lang w:val="es-ES"/>
        </w:rPr>
        <w:t xml:space="preserv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6E16A9FC" w14:textId="77777777" w:rsidR="00CE158B" w:rsidRPr="00777868" w:rsidRDefault="00CE158B" w:rsidP="00CE158B">
      <w:pPr>
        <w:pStyle w:val="Textonotapie"/>
        <w:ind w:firstLine="709"/>
        <w:jc w:val="both"/>
        <w:rPr>
          <w:rFonts w:ascii="Arial" w:hAnsi="Arial" w:cs="Arial"/>
          <w:color w:val="000000" w:themeColor="text1"/>
          <w:sz w:val="18"/>
          <w:szCs w:val="18"/>
          <w:lang w:val="es-ES"/>
        </w:rPr>
      </w:pPr>
      <w:proofErr w:type="gramStart"/>
      <w:r w:rsidRPr="00777868">
        <w:rPr>
          <w:rFonts w:ascii="Arial" w:hAnsi="Arial" w:cs="Arial"/>
          <w:color w:val="000000" w:themeColor="text1"/>
          <w:sz w:val="18"/>
          <w:szCs w:val="18"/>
          <w:lang w:val="es-ES"/>
        </w:rPr>
        <w:t>»PARÁGRAFO</w:t>
      </w:r>
      <w:proofErr w:type="gramEnd"/>
      <w:r w:rsidRPr="00777868">
        <w:rPr>
          <w:rFonts w:ascii="Arial" w:hAnsi="Arial" w:cs="Arial"/>
          <w:color w:val="000000" w:themeColor="text1"/>
          <w:sz w:val="18"/>
          <w:szCs w:val="18"/>
          <w:lang w:val="es-ES"/>
        </w:rPr>
        <w:t xml:space="preserve">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7684157D" w14:textId="77777777" w:rsidR="00CE158B" w:rsidRPr="00777868" w:rsidRDefault="00CE158B" w:rsidP="00CE158B">
      <w:pPr>
        <w:pStyle w:val="Textonotapie"/>
        <w:ind w:firstLine="709"/>
        <w:jc w:val="both"/>
        <w:rPr>
          <w:rFonts w:ascii="Arial" w:hAnsi="Arial" w:cs="Arial"/>
          <w:color w:val="000000" w:themeColor="text1"/>
          <w:sz w:val="18"/>
          <w:szCs w:val="18"/>
          <w:lang w:val="es-ES"/>
        </w:rPr>
      </w:pPr>
      <w:proofErr w:type="gramStart"/>
      <w:r w:rsidRPr="00777868">
        <w:rPr>
          <w:rFonts w:ascii="Arial" w:hAnsi="Arial" w:cs="Arial"/>
          <w:color w:val="000000" w:themeColor="text1"/>
          <w:sz w:val="18"/>
          <w:szCs w:val="18"/>
          <w:lang w:val="es-ES"/>
        </w:rPr>
        <w:t>»PARÁGRAFO</w:t>
      </w:r>
      <w:proofErr w:type="gramEnd"/>
      <w:r w:rsidRPr="00777868">
        <w:rPr>
          <w:rFonts w:ascii="Arial" w:hAnsi="Arial" w:cs="Arial"/>
          <w:color w:val="000000" w:themeColor="text1"/>
          <w:sz w:val="18"/>
          <w:szCs w:val="18"/>
          <w:lang w:val="es-ES"/>
        </w:rPr>
        <w:t xml:space="preserve">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El Gobierno Nacional establecerá los mecanismos para asegurar el cumplimiento de la reciprocidad prevista en este parágrafo».</w:t>
      </w:r>
    </w:p>
    <w:p w14:paraId="443960CF" w14:textId="77777777" w:rsidR="00CE158B" w:rsidRPr="00A44397" w:rsidRDefault="00CE158B" w:rsidP="00CE158B">
      <w:pPr>
        <w:pStyle w:val="Textonotapie"/>
        <w:ind w:firstLine="709"/>
        <w:jc w:val="both"/>
        <w:rPr>
          <w:rFonts w:ascii="Arial" w:hAnsi="Arial" w:cs="Arial"/>
          <w:color w:val="000000" w:themeColor="text1"/>
          <w:sz w:val="19"/>
          <w:szCs w:val="19"/>
          <w:lang w:val="es-CO"/>
        </w:rPr>
      </w:pPr>
    </w:p>
  </w:footnote>
  <w:footnote w:id="3">
    <w:p w14:paraId="6843BD8A" w14:textId="77777777" w:rsidR="00CE158B" w:rsidRPr="00A44397" w:rsidRDefault="00CE158B" w:rsidP="00CE158B">
      <w:pPr>
        <w:pStyle w:val="Textonotapie"/>
        <w:ind w:firstLine="709"/>
        <w:jc w:val="both"/>
        <w:rPr>
          <w:rFonts w:ascii="Arial" w:hAnsi="Arial" w:cs="Arial"/>
          <w:color w:val="000000" w:themeColor="text1"/>
          <w:sz w:val="19"/>
          <w:szCs w:val="19"/>
          <w:lang w:val="es-ES"/>
        </w:rPr>
      </w:pPr>
      <w:r w:rsidRPr="00A44397">
        <w:rPr>
          <w:rStyle w:val="Refdenotaalpie"/>
          <w:rFonts w:ascii="Arial" w:hAnsi="Arial" w:cs="Arial"/>
          <w:color w:val="000000" w:themeColor="text1"/>
          <w:sz w:val="19"/>
          <w:szCs w:val="19"/>
        </w:rPr>
        <w:footnoteRef/>
      </w:r>
      <w:r w:rsidRPr="00A44397">
        <w:rPr>
          <w:rFonts w:ascii="Arial" w:hAnsi="Arial" w:cs="Arial"/>
          <w:color w:val="000000" w:themeColor="text1"/>
          <w:sz w:val="19"/>
          <w:szCs w:val="19"/>
        </w:rPr>
        <w:t xml:space="preserve"> </w:t>
      </w:r>
      <w:r w:rsidRPr="00A44397">
        <w:rPr>
          <w:rFonts w:ascii="Arial" w:hAnsi="Arial" w:cs="Arial"/>
          <w:color w:val="000000" w:themeColor="text1"/>
          <w:sz w:val="19"/>
          <w:szCs w:val="19"/>
          <w:lang w:val="es-ES"/>
        </w:rPr>
        <w:t>Así lo reconoció la Agencia Nacional de Contratación Pública – Colombia Compra Eficiente en el Manual para el Manejo de los Acuerdos Comerciales en Procesos de Contratación, el cual puede consultarse en el siguiente sitio web:</w:t>
      </w:r>
    </w:p>
    <w:p w14:paraId="09CB36E5" w14:textId="77777777" w:rsidR="00CE158B" w:rsidRPr="00A44397" w:rsidRDefault="00CE158B" w:rsidP="00CE158B">
      <w:pPr>
        <w:pStyle w:val="Textonotapie"/>
        <w:ind w:firstLine="709"/>
        <w:jc w:val="both"/>
        <w:rPr>
          <w:rFonts w:ascii="Arial" w:hAnsi="Arial" w:cs="Arial"/>
          <w:color w:val="000000" w:themeColor="text1"/>
          <w:sz w:val="19"/>
          <w:szCs w:val="19"/>
          <w:lang w:val="es-CO"/>
        </w:rPr>
      </w:pPr>
      <w:r w:rsidRPr="00A44397">
        <w:rPr>
          <w:rFonts w:ascii="Arial" w:hAnsi="Arial" w:cs="Arial"/>
          <w:color w:val="000000" w:themeColor="text1"/>
          <w:sz w:val="19"/>
          <w:szCs w:val="19"/>
          <w:lang w:val="es-ES"/>
        </w:rPr>
        <w:t>https://www.colombiacompra.gov.co/sites/cce_public/files/cce_documents/cce_manual_acuerdos_comerciales.pdf</w:t>
      </w:r>
    </w:p>
  </w:footnote>
  <w:footnote w:id="4">
    <w:p w14:paraId="1F0B38CE" w14:textId="77777777" w:rsidR="00662054" w:rsidRDefault="00662054" w:rsidP="00662054">
      <w:pPr>
        <w:pStyle w:val="Textonotapie"/>
        <w:ind w:firstLine="709"/>
        <w:jc w:val="both"/>
        <w:rPr>
          <w:rFonts w:ascii="Arial" w:hAnsi="Arial" w:cs="Arial"/>
          <w:color w:val="000000" w:themeColor="text1"/>
          <w:sz w:val="19"/>
          <w:szCs w:val="19"/>
        </w:rPr>
      </w:pPr>
    </w:p>
    <w:p w14:paraId="0C8EE7EB" w14:textId="77777777" w:rsidR="00662054" w:rsidRDefault="00662054" w:rsidP="00662054">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«Artículo 2.2.1.2.4.1.3. Existencia de trato nacional.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14:paraId="6163D4DF" w14:textId="77777777" w:rsidR="00662054" w:rsidRDefault="00662054" w:rsidP="00662054">
      <w:pPr>
        <w:pStyle w:val="Textonotapie"/>
        <w:ind w:firstLine="709"/>
        <w:jc w:val="both"/>
        <w:rPr>
          <w:rFonts w:ascii="Arial" w:hAnsi="Arial" w:cs="Arial"/>
          <w:color w:val="000000" w:themeColor="text1"/>
          <w:sz w:val="19"/>
          <w:szCs w:val="19"/>
          <w:lang w:val="es-ES"/>
        </w:rPr>
      </w:pPr>
      <w:proofErr w:type="gramStart"/>
      <w:r>
        <w:rPr>
          <w:rFonts w:ascii="Arial" w:hAnsi="Arial" w:cs="Arial"/>
          <w:color w:val="000000" w:themeColor="text1"/>
          <w:sz w:val="19"/>
          <w:szCs w:val="19"/>
          <w:lang w:val="es-ES"/>
        </w:rPr>
        <w:t>»El</w:t>
      </w:r>
      <w:proofErr w:type="gramEnd"/>
      <w:r>
        <w:rPr>
          <w:rFonts w:ascii="Arial" w:hAnsi="Arial" w:cs="Arial"/>
          <w:color w:val="000000" w:themeColor="text1"/>
          <w:sz w:val="19"/>
          <w:szCs w:val="19"/>
          <w:lang w:val="es-ES"/>
        </w:rPr>
        <w:t xml:space="preserve">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4DEA592F" w14:textId="77777777" w:rsidR="00662054" w:rsidRDefault="00662054" w:rsidP="00662054">
      <w:pPr>
        <w:pStyle w:val="Textonotapie"/>
        <w:ind w:firstLine="709"/>
        <w:jc w:val="both"/>
        <w:rPr>
          <w:rFonts w:ascii="Arial" w:hAnsi="Arial" w:cs="Arial"/>
          <w:color w:val="000000" w:themeColor="text1"/>
          <w:sz w:val="19"/>
          <w:szCs w:val="19"/>
          <w:lang w:val="es-ES"/>
        </w:rPr>
      </w:pPr>
      <w:proofErr w:type="gramStart"/>
      <w:r>
        <w:rPr>
          <w:rFonts w:ascii="Arial" w:hAnsi="Arial" w:cs="Arial"/>
          <w:color w:val="000000" w:themeColor="text1"/>
          <w:sz w:val="19"/>
          <w:szCs w:val="19"/>
          <w:lang w:val="es-ES"/>
        </w:rPr>
        <w:t>»Los</w:t>
      </w:r>
      <w:proofErr w:type="gramEnd"/>
      <w:r>
        <w:rPr>
          <w:rFonts w:ascii="Arial" w:hAnsi="Arial" w:cs="Arial"/>
          <w:color w:val="000000" w:themeColor="text1"/>
          <w:sz w:val="19"/>
          <w:szCs w:val="19"/>
          <w:lang w:val="es-ES"/>
        </w:rPr>
        <w:t xml:space="preserve">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p w14:paraId="326C48AD" w14:textId="77777777" w:rsidR="00662054" w:rsidRDefault="00662054" w:rsidP="00662054">
      <w:pPr>
        <w:pStyle w:val="Textonotapie"/>
        <w:ind w:firstLine="709"/>
        <w:jc w:val="both"/>
        <w:rPr>
          <w:rFonts w:ascii="Arial" w:hAnsi="Arial" w:cs="Arial"/>
          <w:color w:val="000000" w:themeColor="text1"/>
          <w:sz w:val="19"/>
          <w:szCs w:val="19"/>
          <w:lang w:val="es-CO"/>
        </w:rPr>
      </w:pPr>
    </w:p>
  </w:footnote>
  <w:footnote w:id="5">
    <w:p w14:paraId="7F2CDE33" w14:textId="77777777" w:rsidR="00662054" w:rsidRDefault="00662054" w:rsidP="00662054">
      <w:pPr>
        <w:tabs>
          <w:tab w:val="left" w:pos="0"/>
        </w:tabs>
        <w:ind w:firstLine="709"/>
        <w:jc w:val="both"/>
        <w:rPr>
          <w:rFonts w:ascii="Arial" w:eastAsia="Calibri" w:hAnsi="Arial" w:cs="Arial"/>
          <w:bCs/>
          <w:color w:val="000000" w:themeColor="text1"/>
          <w:sz w:val="19"/>
          <w:szCs w:val="19"/>
          <w:lang w:val="es-ES_tradnl"/>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eastAsia="Calibri" w:hAnsi="Arial" w:cs="Arial"/>
          <w:bCs/>
          <w:color w:val="000000" w:themeColor="text1"/>
          <w:sz w:val="19"/>
          <w:szCs w:val="19"/>
          <w:lang w:val="es-ES_tradnl"/>
        </w:rPr>
        <w:t>Como lo ha indicado la Corte Constitucional, «La cláusula del trato nacional es una clásica manifestación del principio de igualdad en las relaciones internacionales. Su objetivo apunta a que las mercancías que ingresan a un Estado Parte no sean sometidas a un trato discriminatorio en relación con los productos del país receptor. En otras palabras, se busca asegurar la existencia de unas reglas de competencia leal y transparente entre el producto importado y el nacional. La existencia de tales cláusulas-tipo en los tratados internacionales de integración o de inversión extranjera siempre ha sido considerada conforme con la Constitución por la Corte» (Sentencia C-608/10, M.P. Humberto Antonio Sierra Porto).</w:t>
      </w:r>
    </w:p>
    <w:p w14:paraId="7755440F" w14:textId="77777777" w:rsidR="00662054" w:rsidRDefault="00662054" w:rsidP="00662054">
      <w:pPr>
        <w:tabs>
          <w:tab w:val="left" w:pos="0"/>
        </w:tabs>
        <w:ind w:firstLine="709"/>
        <w:jc w:val="both"/>
        <w:rPr>
          <w:rFonts w:ascii="Arial" w:eastAsia="Calibri" w:hAnsi="Arial" w:cs="Arial"/>
          <w:bCs/>
          <w:color w:val="000000" w:themeColor="text1"/>
          <w:sz w:val="19"/>
          <w:szCs w:val="19"/>
        </w:rPr>
      </w:pPr>
    </w:p>
  </w:footnote>
  <w:footnote w:id="6">
    <w:p w14:paraId="1D20E545" w14:textId="77777777" w:rsidR="00662054" w:rsidRDefault="00662054" w:rsidP="00662054">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Aprobado mediante Ley 1241 de 2008.</w:t>
      </w:r>
    </w:p>
    <w:p w14:paraId="12083840" w14:textId="77777777" w:rsidR="00662054" w:rsidRDefault="00662054" w:rsidP="00662054">
      <w:pPr>
        <w:pStyle w:val="Textonotapie"/>
        <w:ind w:firstLine="709"/>
        <w:jc w:val="both"/>
        <w:rPr>
          <w:rFonts w:ascii="Arial" w:hAnsi="Arial" w:cs="Arial"/>
          <w:color w:val="000000" w:themeColor="text1"/>
          <w:sz w:val="19"/>
          <w:szCs w:val="19"/>
          <w:lang w:val="es-ES"/>
        </w:rPr>
      </w:pPr>
    </w:p>
  </w:footnote>
  <w:footnote w:id="7">
    <w:p w14:paraId="41DBB8D2" w14:textId="1353EDFF" w:rsidR="00662054" w:rsidRDefault="00662054" w:rsidP="0047226E">
      <w:pPr>
        <w:pStyle w:val="Textonotapie"/>
        <w:ind w:firstLine="709"/>
        <w:jc w:val="both"/>
        <w:rPr>
          <w:rFonts w:ascii="Arial" w:hAnsi="Arial" w:cs="Arial"/>
          <w:color w:val="000000" w:themeColor="text1"/>
          <w:sz w:val="19"/>
          <w:szCs w:val="19"/>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Aprobado por la Ley 1143 de 2007.</w:t>
      </w:r>
    </w:p>
  </w:footnote>
  <w:footnote w:id="8">
    <w:p w14:paraId="254E3465" w14:textId="77777777" w:rsidR="00662054" w:rsidRDefault="00662054" w:rsidP="00662054">
      <w:pPr>
        <w:pStyle w:val="Textonotapie"/>
        <w:ind w:firstLine="709"/>
        <w:jc w:val="both"/>
        <w:rPr>
          <w:rFonts w:ascii="Arial" w:hAnsi="Arial" w:cs="Arial"/>
          <w:color w:val="000000" w:themeColor="text1"/>
          <w:sz w:val="19"/>
          <w:szCs w:val="19"/>
          <w:lang w:val="es-CO"/>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Esta información puede consultarse en el siguiente enlace: https://www.colombiacompra.gov.co/compradores/acuerdos-comerciales-y-trato-nacional-por-reciprocidad</w:t>
      </w:r>
    </w:p>
  </w:footnote>
  <w:footnote w:id="9">
    <w:p w14:paraId="443CD3F1" w14:textId="77777777" w:rsidR="00662054" w:rsidRDefault="00662054" w:rsidP="00662054">
      <w:pPr>
        <w:pStyle w:val="Textonotapie"/>
        <w:ind w:firstLine="709"/>
        <w:jc w:val="both"/>
        <w:rPr>
          <w:rFonts w:ascii="Arial" w:hAnsi="Arial" w:cs="Arial"/>
          <w:color w:val="000000" w:themeColor="text1"/>
          <w:sz w:val="19"/>
          <w:szCs w:val="19"/>
        </w:rPr>
      </w:pPr>
    </w:p>
    <w:p w14:paraId="6C9BA8CD" w14:textId="77777777" w:rsidR="00662054" w:rsidRDefault="00662054" w:rsidP="00662054">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Por ejemplo, la nota 2 del Anexo 9.1 del tratado de libre comercio entre Colombia y los Estados Unidos de Norteamérica dispone que, si bien el Ministerio de Defensa Nacional es una entidad cubierta, «No estarán cubiertas por este Capítulo las contrataciones de bienes contenidas en la Sección 2 (Alimentos, Bebidas y Tabaco; Textil y Confección y Productos de Cuero) del Clasificador Central de Productos (CPC versión 1.0) de las Naciones Unidas, para el Comando General de las Fuerzas Militares, el Ejército Nacional, la Armada Nacional, la Fuerza Aérea Colombiana, y la Policía Nacional».</w:t>
      </w:r>
    </w:p>
    <w:p w14:paraId="2AA7C206" w14:textId="77777777" w:rsidR="00662054" w:rsidRDefault="00662054" w:rsidP="00662054">
      <w:pPr>
        <w:pStyle w:val="Textonotapie"/>
        <w:ind w:firstLine="709"/>
        <w:jc w:val="both"/>
        <w:rPr>
          <w:rFonts w:ascii="Arial" w:hAnsi="Arial" w:cs="Arial"/>
          <w:color w:val="000000" w:themeColor="text1"/>
          <w:sz w:val="19"/>
          <w:szCs w:val="19"/>
          <w:lang w:val="es-ES"/>
        </w:rPr>
      </w:pPr>
    </w:p>
  </w:footnote>
  <w:footnote w:id="10">
    <w:p w14:paraId="00CB3C45" w14:textId="50B5629F" w:rsidR="00662054" w:rsidRDefault="00662054" w:rsidP="00662054">
      <w:pPr>
        <w:ind w:firstLine="709"/>
        <w:jc w:val="both"/>
        <w:rPr>
          <w:rFonts w:ascii="Arial" w:hAnsi="Arial" w:cs="Arial"/>
          <w:color w:val="000000" w:themeColor="text1"/>
          <w:sz w:val="19"/>
          <w:szCs w:val="19"/>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Esta es la tesis que ha prohijado esta Agencia en el Manual para el Manejo de los Acuerdos Comerciales en Procesos de Contratación, en las siguientes palabras: «La Entidad Estatal también debe conceder el mismo trato que da a los bienes y servicios colombianos a aquellos bienes y servicios de Estados con los cuales, a pesar de no existir un Acuerdo Comercial, el Gobierno Nacional ha certificado reciprocidad. Es decir, cuando el Gobierno Nacional con base en la revisión y comparación de la normativa en materia de compra pública de dicho Estado, ha certificado que en ese Estado los bienes y servicios colombianos gozan del mismo trato que los bienes y servicios de dicho Estado o que no existe en dicho Estado ninguna medida que fomente el desarrollo local o mejore las cuentas de la balanza de pagos. Las certificaciones expedidas por el Ministerio de Relaciones Exteriores están publicadas en la página web de Colombia Compra </w:t>
      </w:r>
      <w:r w:rsidR="00BC4068">
        <w:rPr>
          <w:rFonts w:ascii="Arial" w:hAnsi="Arial" w:cs="Arial"/>
          <w:color w:val="000000" w:themeColor="text1"/>
          <w:sz w:val="19"/>
          <w:szCs w:val="19"/>
        </w:rPr>
        <w:t>Eficiente</w:t>
      </w:r>
      <w:r>
        <w:rPr>
          <w:rFonts w:ascii="Arial" w:hAnsi="Arial" w:cs="Arial"/>
          <w:color w:val="000000" w:themeColor="text1"/>
          <w:sz w:val="19"/>
          <w:szCs w:val="19"/>
        </w:rPr>
        <w:t xml:space="preserve"> (https://www.colombiacompra.gov.co/compradores/secop-i/certificados-de-trato-nacional-por-reciprocidad), y su contenido debe ser verificado pues no en todos los casos la Entidad Estatal debe conceder dicho trato.</w:t>
      </w:r>
    </w:p>
    <w:p w14:paraId="0FD3DF9D" w14:textId="77777777" w:rsidR="00662054" w:rsidRDefault="00662054" w:rsidP="00662054">
      <w:pPr>
        <w:ind w:firstLine="709"/>
        <w:jc w:val="both"/>
        <w:rPr>
          <w:rFonts w:ascii="Arial" w:hAnsi="Arial" w:cs="Arial"/>
          <w:color w:val="000000" w:themeColor="text1"/>
          <w:sz w:val="19"/>
          <w:szCs w:val="19"/>
        </w:rPr>
      </w:pPr>
      <w:proofErr w:type="gramStart"/>
      <w:r>
        <w:rPr>
          <w:rFonts w:ascii="Arial" w:hAnsi="Arial" w:cs="Arial"/>
          <w:color w:val="000000" w:themeColor="text1"/>
          <w:sz w:val="19"/>
          <w:szCs w:val="19"/>
        </w:rPr>
        <w:t>»La</w:t>
      </w:r>
      <w:proofErr w:type="gramEnd"/>
      <w:r>
        <w:rPr>
          <w:rFonts w:ascii="Arial" w:hAnsi="Arial" w:cs="Arial"/>
          <w:color w:val="000000" w:themeColor="text1"/>
          <w:sz w:val="19"/>
          <w:szCs w:val="19"/>
        </w:rPr>
        <w:t xml:space="preserve"> existencia de un Acuerdo Comercial que prevea trato nacional en materia de contratación pública excluye la posibilidad de que el Gobierno Nacional certifique trato nacional por reciprocidad.</w:t>
      </w:r>
    </w:p>
    <w:p w14:paraId="4E363485" w14:textId="77777777" w:rsidR="00662054" w:rsidRDefault="00662054" w:rsidP="00662054">
      <w:pPr>
        <w:ind w:firstLine="709"/>
        <w:jc w:val="both"/>
        <w:rPr>
          <w:rFonts w:ascii="Arial" w:hAnsi="Arial" w:cs="Arial"/>
          <w:color w:val="000000" w:themeColor="text1"/>
          <w:sz w:val="19"/>
          <w:szCs w:val="19"/>
        </w:rPr>
      </w:pPr>
      <w:proofErr w:type="gramStart"/>
      <w:r>
        <w:rPr>
          <w:rFonts w:ascii="Arial" w:hAnsi="Arial" w:cs="Arial"/>
          <w:color w:val="000000" w:themeColor="text1"/>
          <w:sz w:val="19"/>
          <w:szCs w:val="19"/>
        </w:rPr>
        <w:t>»Así</w:t>
      </w:r>
      <w:proofErr w:type="gramEnd"/>
      <w:r>
        <w:rPr>
          <w:rFonts w:ascii="Arial" w:hAnsi="Arial" w:cs="Arial"/>
          <w:color w:val="000000" w:themeColor="text1"/>
          <w:sz w:val="19"/>
          <w:szCs w:val="19"/>
        </w:rPr>
        <w:t xml:space="preserve">, por ejemplo, en ningún caso el Ministerio de Relaciones Exteriores podrá certificar trato nacional por reciprocidad con México, pues existe un Acuerdo Comercial con dicho Estado». </w:t>
      </w:r>
    </w:p>
    <w:p w14:paraId="1089B749" w14:textId="77777777" w:rsidR="00662054" w:rsidRDefault="00662054" w:rsidP="00662054">
      <w:pPr>
        <w:pStyle w:val="Textonotapie"/>
        <w:ind w:firstLine="709"/>
        <w:jc w:val="both"/>
        <w:rPr>
          <w:rFonts w:ascii="Arial" w:hAnsi="Arial" w:cs="Arial"/>
          <w:color w:val="000000" w:themeColor="text1"/>
          <w:sz w:val="19"/>
          <w:szCs w:val="19"/>
          <w:lang w:val="es-CO"/>
        </w:rPr>
      </w:pPr>
    </w:p>
  </w:footnote>
  <w:footnote w:id="11">
    <w:p w14:paraId="0E4928F7" w14:textId="77777777" w:rsidR="00662054" w:rsidRDefault="00662054" w:rsidP="00662054">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La Comunidad Andina de Naciones –CAN– es un mecanismo subregional de integración creado mediante el Acuerdo de Cartagena del 26 de mayo de 1969, entre Bolivia, Colombia, Ecuador, Perú y Venezuela. Este último país perteneció a la Comunidad hasta el 2006.</w:t>
      </w:r>
    </w:p>
    <w:p w14:paraId="27B53D1C" w14:textId="77777777" w:rsidR="00662054" w:rsidRDefault="00662054" w:rsidP="00662054">
      <w:pPr>
        <w:pStyle w:val="Textonotapie"/>
        <w:ind w:firstLine="709"/>
        <w:jc w:val="both"/>
        <w:rPr>
          <w:rFonts w:ascii="Arial" w:hAnsi="Arial" w:cs="Arial"/>
          <w:color w:val="000000" w:themeColor="text1"/>
          <w:sz w:val="19"/>
          <w:szCs w:val="19"/>
          <w:lang w:val="es-ES"/>
        </w:rPr>
      </w:pPr>
    </w:p>
  </w:footnote>
  <w:footnote w:id="12">
    <w:p w14:paraId="6EF6298B" w14:textId="77777777" w:rsidR="00662054" w:rsidRDefault="00662054" w:rsidP="00662054">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 xml:space="preserve">«26. "Pacta sunt </w:t>
      </w:r>
      <w:proofErr w:type="spellStart"/>
      <w:r>
        <w:rPr>
          <w:rFonts w:ascii="Arial" w:hAnsi="Arial" w:cs="Arial"/>
          <w:color w:val="000000" w:themeColor="text1"/>
          <w:sz w:val="19"/>
          <w:szCs w:val="19"/>
          <w:lang w:val="es-ES"/>
        </w:rPr>
        <w:t>servanda</w:t>
      </w:r>
      <w:proofErr w:type="spellEnd"/>
      <w:r>
        <w:rPr>
          <w:rFonts w:ascii="Arial" w:hAnsi="Arial" w:cs="Arial"/>
          <w:color w:val="000000" w:themeColor="text1"/>
          <w:sz w:val="19"/>
          <w:szCs w:val="19"/>
          <w:lang w:val="es-ES"/>
        </w:rPr>
        <w:t>". Todo tratado en vigor obliga a las partes y debe ser cumplido por ellas de buena fe.</w:t>
      </w:r>
    </w:p>
    <w:p w14:paraId="74A4B98C" w14:textId="77777777" w:rsidR="00662054" w:rsidRDefault="00662054" w:rsidP="00662054">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»27. El derecho interno y la observancia de los tratados. Una parte no podrá invocar las disposiciones de su derecho interno como justificación del incumplimiento de un tratado.</w:t>
      </w:r>
    </w:p>
    <w:p w14:paraId="6E6F1A08" w14:textId="77777777" w:rsidR="00662054" w:rsidRDefault="00662054" w:rsidP="00662054">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 xml:space="preserve">»[…]». </w:t>
      </w:r>
    </w:p>
    <w:p w14:paraId="37468D95" w14:textId="77777777" w:rsidR="00662054" w:rsidRDefault="00662054" w:rsidP="00662054">
      <w:pPr>
        <w:pStyle w:val="Textonotapie"/>
        <w:ind w:firstLine="709"/>
        <w:jc w:val="both"/>
        <w:rPr>
          <w:rFonts w:ascii="Arial" w:hAnsi="Arial" w:cs="Arial"/>
          <w:color w:val="000000" w:themeColor="text1"/>
          <w:sz w:val="19"/>
          <w:szCs w:val="19"/>
          <w:lang w:val="es-ES"/>
        </w:rPr>
      </w:pPr>
    </w:p>
  </w:footnote>
  <w:footnote w:id="13">
    <w:p w14:paraId="57C1BB4D" w14:textId="77777777" w:rsidR="00DF1730" w:rsidRPr="00A44397" w:rsidRDefault="00DF1730" w:rsidP="00DF1730">
      <w:pPr>
        <w:pStyle w:val="Textonotapie"/>
        <w:ind w:firstLine="709"/>
        <w:jc w:val="both"/>
        <w:rPr>
          <w:rFonts w:ascii="Arial" w:hAnsi="Arial" w:cs="Arial"/>
          <w:color w:val="000000" w:themeColor="text1"/>
          <w:sz w:val="19"/>
          <w:szCs w:val="19"/>
          <w:lang w:val="es-ES"/>
        </w:rPr>
      </w:pPr>
      <w:r w:rsidRPr="00A44397">
        <w:rPr>
          <w:rStyle w:val="Refdenotaalpie"/>
          <w:rFonts w:ascii="Arial" w:hAnsi="Arial" w:cs="Arial"/>
          <w:color w:val="000000" w:themeColor="text1"/>
          <w:sz w:val="19"/>
          <w:szCs w:val="19"/>
        </w:rPr>
        <w:footnoteRef/>
      </w:r>
      <w:r w:rsidRPr="00A44397">
        <w:rPr>
          <w:rFonts w:ascii="Arial" w:hAnsi="Arial" w:cs="Arial"/>
          <w:color w:val="000000" w:themeColor="text1"/>
          <w:sz w:val="19"/>
          <w:szCs w:val="19"/>
        </w:rPr>
        <w:t xml:space="preserve"> Según la doctrina, este </w:t>
      </w:r>
      <w:r w:rsidRPr="00A44397">
        <w:rPr>
          <w:rFonts w:ascii="Arial" w:hAnsi="Arial" w:cs="Arial"/>
          <w:color w:val="000000" w:themeColor="text1"/>
          <w:sz w:val="19"/>
          <w:szCs w:val="19"/>
          <w:lang w:val="es-ES"/>
        </w:rPr>
        <w:t xml:space="preserve">principio se compone a su vez de «tres subprincipios, etapas o mandatos parciales: el </w:t>
      </w:r>
      <w:r w:rsidRPr="00A44397">
        <w:rPr>
          <w:rFonts w:ascii="Arial" w:hAnsi="Arial" w:cs="Arial"/>
          <w:i/>
          <w:iCs/>
          <w:color w:val="000000" w:themeColor="text1"/>
          <w:sz w:val="19"/>
          <w:szCs w:val="19"/>
          <w:lang w:val="es-ES"/>
        </w:rPr>
        <w:t>subprincipio o mandato de adecuación, de idoneidad o de congruencia</w:t>
      </w:r>
      <w:r w:rsidRPr="00A44397">
        <w:rPr>
          <w:rFonts w:ascii="Arial" w:hAnsi="Arial" w:cs="Arial"/>
          <w:color w:val="000000" w:themeColor="text1"/>
          <w:sz w:val="19"/>
          <w:szCs w:val="19"/>
          <w:lang w:val="es-ES"/>
        </w:rPr>
        <w:t xml:space="preserve">, por virtud del cual la medida limitadora de los derechos o intereses del administrado debe ser útil, apropiada o idónea para obtener el fin buscado, esto es, que el abanico de posibles medidas que ha de adoptar la Administración se limita a las que resulten congruentes con el entramado fáctico del caso y aptas para la consecución del cometido fijado por el ordenamiento jurídico al atribuir la potestad correspondiente a la Administración; el </w:t>
      </w:r>
      <w:r w:rsidRPr="00A44397">
        <w:rPr>
          <w:rFonts w:ascii="Arial" w:hAnsi="Arial" w:cs="Arial"/>
          <w:i/>
          <w:iCs/>
          <w:color w:val="000000" w:themeColor="text1"/>
          <w:sz w:val="19"/>
          <w:szCs w:val="19"/>
          <w:lang w:val="es-ES"/>
        </w:rPr>
        <w:t>subprincipio o mandato de necesidad, intervención mínima o menor lesividad</w:t>
      </w:r>
      <w:r w:rsidRPr="00A44397">
        <w:rPr>
          <w:rFonts w:ascii="Arial" w:hAnsi="Arial" w:cs="Arial"/>
          <w:color w:val="000000" w:themeColor="text1"/>
          <w:sz w:val="19"/>
          <w:szCs w:val="19"/>
          <w:lang w:val="es-ES"/>
        </w:rPr>
        <w:t xml:space="preserve">, de acuerdo con el cual la adopción de la medida elegida debe ser indispensable, dada la inexistencia de una alternativa distinta que sea tan eficaz para satisfacer el fin de interés público al cual apunta, pero menos limitativa del otro u otros principios, derechos o intereses en tensión; y en tercer lugar, </w:t>
      </w:r>
      <w:r w:rsidRPr="00A44397">
        <w:rPr>
          <w:rFonts w:ascii="Arial" w:hAnsi="Arial" w:cs="Arial"/>
          <w:i/>
          <w:iCs/>
          <w:color w:val="000000" w:themeColor="text1"/>
          <w:sz w:val="19"/>
          <w:szCs w:val="19"/>
          <w:lang w:val="es-ES"/>
        </w:rPr>
        <w:t>el subprincipio o mandato de proporcionalidad en sentido estricto</w:t>
      </w:r>
      <w:r w:rsidRPr="00A44397">
        <w:rPr>
          <w:rFonts w:ascii="Arial" w:hAnsi="Arial" w:cs="Arial"/>
          <w:color w:val="000000" w:themeColor="text1"/>
          <w:sz w:val="19"/>
          <w:szCs w:val="19"/>
          <w:lang w:val="es-ES"/>
        </w:rPr>
        <w:t>, de acuerdo con el cual debe producirse un equilibrio entre el perjuicio irrogado al derecho o interés que se limita y el beneficio que de ello se deriva para el bien jurídico que la medida prohíja» (MARÍN HERNÁNDEZ, Hugo Alberto. El principio de proporcionalidad en el derecho administrativo colombiano. Bogotá: Universidad Externado de Colombia, 2018. p. 34).</w:t>
      </w:r>
    </w:p>
  </w:footnote>
  <w:footnote w:id="14">
    <w:p w14:paraId="3E3B4DA4" w14:textId="77777777" w:rsidR="00DF1730" w:rsidRPr="00A44397" w:rsidRDefault="00DF1730" w:rsidP="00DF1730">
      <w:pPr>
        <w:pStyle w:val="Textonotapie"/>
        <w:ind w:firstLine="709"/>
        <w:jc w:val="both"/>
        <w:rPr>
          <w:rFonts w:ascii="Arial" w:hAnsi="Arial" w:cs="Arial"/>
          <w:sz w:val="19"/>
          <w:szCs w:val="19"/>
          <w:lang w:val="es-ES"/>
        </w:rPr>
      </w:pPr>
    </w:p>
    <w:p w14:paraId="041E7029" w14:textId="77777777" w:rsidR="00DF1730" w:rsidRPr="00A44397" w:rsidRDefault="00DF1730" w:rsidP="00DF1730">
      <w:pPr>
        <w:pStyle w:val="Textonotapie"/>
        <w:ind w:firstLine="709"/>
        <w:jc w:val="both"/>
        <w:rPr>
          <w:rFonts w:ascii="Arial" w:hAnsi="Arial" w:cs="Arial"/>
          <w:sz w:val="19"/>
          <w:szCs w:val="19"/>
          <w:lang w:val="es-ES"/>
        </w:rPr>
      </w:pPr>
      <w:r w:rsidRPr="00A44397">
        <w:rPr>
          <w:rStyle w:val="Refdenotaalpie"/>
          <w:rFonts w:ascii="Arial" w:hAnsi="Arial" w:cs="Arial"/>
          <w:sz w:val="19"/>
          <w:szCs w:val="19"/>
        </w:rPr>
        <w:footnoteRef/>
      </w:r>
      <w:r w:rsidRPr="00A44397">
        <w:rPr>
          <w:rFonts w:ascii="Arial" w:hAnsi="Arial" w:cs="Arial"/>
          <w:sz w:val="19"/>
          <w:szCs w:val="19"/>
        </w:rPr>
        <w:t xml:space="preserve"> </w:t>
      </w:r>
      <w:r w:rsidRPr="00A44397">
        <w:rPr>
          <w:rFonts w:ascii="Arial" w:hAnsi="Arial" w:cs="Arial"/>
          <w:sz w:val="19"/>
          <w:szCs w:val="19"/>
          <w:lang w:val="es-ES"/>
        </w:rPr>
        <w:t>Así lo establece el artículo 3 del Decreto 680 de 2021, que alude a la vigencia y al régimen de transición: «El presente Decreto rige a partir de su publicación, modifica el artículo 2.2.1.1.1.3.1. y adiciona el artículo 2.2.1.2.4.2.9. al Decreto 1082 de 2015, Único Reglamentario del Sector Administrativo de Planeación Nacional y se aplicará a los Procesos de Contratación que inicien a partir de los dos (2) meses siguientes a la publicación del presente Decreto.</w:t>
      </w:r>
    </w:p>
    <w:p w14:paraId="1EC197BC" w14:textId="77777777" w:rsidR="00DF1730" w:rsidRPr="00A44397" w:rsidRDefault="00DF1730" w:rsidP="00DF1730">
      <w:pPr>
        <w:pStyle w:val="Textonotapie"/>
        <w:ind w:firstLine="709"/>
        <w:jc w:val="both"/>
        <w:rPr>
          <w:rFonts w:ascii="Arial" w:hAnsi="Arial" w:cs="Arial"/>
          <w:sz w:val="19"/>
          <w:szCs w:val="19"/>
          <w:lang w:val="es-ES"/>
        </w:rPr>
      </w:pPr>
      <w:proofErr w:type="gramStart"/>
      <w:r w:rsidRPr="00A44397">
        <w:rPr>
          <w:rFonts w:ascii="Arial" w:hAnsi="Arial" w:cs="Arial"/>
          <w:sz w:val="19"/>
          <w:szCs w:val="19"/>
          <w:lang w:val="es-ES"/>
        </w:rPr>
        <w:t>»PARÁGRAFO</w:t>
      </w:r>
      <w:proofErr w:type="gramEnd"/>
      <w:r w:rsidRPr="00A44397">
        <w:rPr>
          <w:rFonts w:ascii="Arial" w:hAnsi="Arial" w:cs="Arial"/>
          <w:sz w:val="19"/>
          <w:szCs w:val="19"/>
          <w:lang w:val="es-ES"/>
        </w:rPr>
        <w:t xml:space="preserve"> 1. Para el caso de las Entidades Estatales regidas por el Estatuto General de Contratación de la Administración Pública, la fecha de inicio del Proceso de Contratación corresponderá a la de expedición del acto administrativo de apertura de que trata el artículo 2.2.1.1.2.1.5. del Decreto 1082 de 2015 o la norma que lo modifique, aclare, adicione o sustituya. Para el caso de las Entidades Estatales de régimen especial, corresponderá a la expedición del documento que haga las veces de acto administrativo de apertura de acuerdo con su Manual de Contratación.</w:t>
      </w:r>
    </w:p>
    <w:p w14:paraId="03E6BBAD" w14:textId="77777777" w:rsidR="00DF1730" w:rsidRPr="00A44397" w:rsidRDefault="00DF1730" w:rsidP="00DF1730">
      <w:pPr>
        <w:pStyle w:val="Textonotapie"/>
        <w:ind w:firstLine="709"/>
        <w:jc w:val="both"/>
        <w:rPr>
          <w:rFonts w:ascii="Arial" w:hAnsi="Arial" w:cs="Arial"/>
          <w:sz w:val="19"/>
          <w:szCs w:val="19"/>
          <w:lang w:val="es-ES"/>
        </w:rPr>
      </w:pPr>
      <w:proofErr w:type="gramStart"/>
      <w:r w:rsidRPr="00A44397">
        <w:rPr>
          <w:rFonts w:ascii="Arial" w:hAnsi="Arial" w:cs="Arial"/>
          <w:sz w:val="19"/>
          <w:szCs w:val="19"/>
          <w:lang w:val="es-ES"/>
        </w:rPr>
        <w:t>»PARÁGRAFO</w:t>
      </w:r>
      <w:proofErr w:type="gramEnd"/>
      <w:r w:rsidRPr="00A44397">
        <w:rPr>
          <w:rFonts w:ascii="Arial" w:hAnsi="Arial" w:cs="Arial"/>
          <w:sz w:val="19"/>
          <w:szCs w:val="19"/>
          <w:lang w:val="es-ES"/>
        </w:rPr>
        <w:t xml:space="preserve"> 2. La Agencia Nacional de Contratación Pública -Colombia Compra Eficiente­ tendrá un plazo máximo de tres (3) meses contados a partir de la expedición de este Decreto para adecuar los Documentos Tipo a las disposiciones previstas en este Decreto.</w:t>
      </w:r>
    </w:p>
    <w:p w14:paraId="45BA8E0D" w14:textId="5653002B" w:rsidR="00DF1730" w:rsidRDefault="00DF1730" w:rsidP="00DF1730">
      <w:pPr>
        <w:pStyle w:val="Textonotapie"/>
        <w:ind w:firstLine="709"/>
        <w:jc w:val="both"/>
        <w:rPr>
          <w:rFonts w:ascii="Arial" w:hAnsi="Arial" w:cs="Arial"/>
          <w:sz w:val="19"/>
          <w:szCs w:val="19"/>
          <w:lang w:val="es-ES"/>
        </w:rPr>
      </w:pPr>
      <w:proofErr w:type="gramStart"/>
      <w:r w:rsidRPr="00A44397">
        <w:rPr>
          <w:rFonts w:ascii="Arial" w:hAnsi="Arial" w:cs="Arial"/>
          <w:sz w:val="19"/>
          <w:szCs w:val="19"/>
          <w:lang w:val="es-ES"/>
        </w:rPr>
        <w:t>»Mientras</w:t>
      </w:r>
      <w:proofErr w:type="gramEnd"/>
      <w:r w:rsidRPr="00A44397">
        <w:rPr>
          <w:rFonts w:ascii="Arial" w:hAnsi="Arial" w:cs="Arial"/>
          <w:sz w:val="19"/>
          <w:szCs w:val="19"/>
          <w:lang w:val="es-ES"/>
        </w:rPr>
        <w:t xml:space="preserve"> se expide la reglamentación anterior, los Procesos de Contratación cubiertos por los Documentos Tipo, continuarán regulándose por estos instrumentos hasta que la Agencia Nacional de Contratación Pública -Colombia Compra Eficiente- expida las modificaciones a que haya lugar, conforme a las disposiciones del presente Decreto».</w:t>
      </w:r>
    </w:p>
    <w:p w14:paraId="493A5FB1" w14:textId="79909660" w:rsidR="00743126" w:rsidRPr="00A44397" w:rsidRDefault="00743126" w:rsidP="00DF1730">
      <w:pPr>
        <w:pStyle w:val="Textonotapie"/>
        <w:ind w:firstLine="709"/>
        <w:jc w:val="both"/>
        <w:rPr>
          <w:rFonts w:ascii="Arial" w:hAnsi="Arial" w:cs="Arial"/>
          <w:sz w:val="19"/>
          <w:szCs w:val="19"/>
          <w:lang w:val="es-CO"/>
        </w:rPr>
      </w:pPr>
      <w:r>
        <w:rPr>
          <w:rFonts w:ascii="Arial" w:hAnsi="Arial" w:cs="Arial"/>
          <w:sz w:val="19"/>
          <w:szCs w:val="19"/>
          <w:lang w:val="es-ES"/>
        </w:rPr>
        <w:t xml:space="preserve">Teniendo en cuenta lo anterior, mediante Resolución </w:t>
      </w:r>
      <w:r w:rsidR="009439F8">
        <w:rPr>
          <w:rFonts w:ascii="Arial" w:hAnsi="Arial" w:cs="Arial"/>
          <w:sz w:val="19"/>
          <w:szCs w:val="19"/>
          <w:lang w:val="es-ES"/>
        </w:rPr>
        <w:t xml:space="preserve">304 del 13 de octubre de 2021 esta Agencia modificó los documentos tipo adecuando su contenido con las disposiciones del Decreto 680 de 2021. </w:t>
      </w:r>
    </w:p>
  </w:footnote>
  <w:footnote w:id="15">
    <w:p w14:paraId="1E6066DF" w14:textId="42D0AD09" w:rsidR="00065C43" w:rsidRPr="00065C43" w:rsidRDefault="00065C43" w:rsidP="00B53DA5">
      <w:pPr>
        <w:pStyle w:val="Textonotapie"/>
        <w:ind w:firstLine="709"/>
        <w:jc w:val="both"/>
        <w:rPr>
          <w:lang w:val="es-CO"/>
        </w:rPr>
      </w:pPr>
      <w:r>
        <w:rPr>
          <w:rStyle w:val="Refdenotaalpie"/>
        </w:rPr>
        <w:footnoteRef/>
      </w:r>
      <w:r>
        <w:t xml:space="preserve"> </w:t>
      </w:r>
      <w:r w:rsidR="00B53DA5" w:rsidRPr="00E15F97">
        <w:rPr>
          <w:rFonts w:ascii="Arial" w:hAnsi="Arial" w:cs="Arial"/>
          <w:color w:val="000000" w:themeColor="text1"/>
          <w:sz w:val="19"/>
          <w:szCs w:val="19"/>
          <w:lang w:val="es-CO"/>
        </w:rPr>
        <w:t>Soporte Técnico Regla de Origen Nacionales</w:t>
      </w:r>
      <w:r w:rsidR="00B53DA5" w:rsidRPr="00E15F97">
        <w:rPr>
          <w:rFonts w:ascii="Arial" w:hAnsi="Arial" w:cs="Arial"/>
          <w:color w:val="333333"/>
          <w:sz w:val="19"/>
          <w:szCs w:val="19"/>
        </w:rPr>
        <w:t xml:space="preserve"> del proyecto de Decreto “</w:t>
      </w:r>
      <w:r w:rsidR="00B53DA5" w:rsidRPr="00E15F97">
        <w:rPr>
          <w:rStyle w:val="nfasis"/>
          <w:rFonts w:ascii="Arial" w:hAnsi="Arial" w:cs="Arial"/>
          <w:i w:val="0"/>
          <w:iCs w:val="0"/>
          <w:color w:val="333333"/>
          <w:sz w:val="19"/>
          <w:szCs w:val="19"/>
        </w:rPr>
        <w:t>Por el cual se modifica parcialmente el artículo 2.2.1.1.1.3.1. de la Subsección 3 de la Sección 1 del Capítulo 1 del Título 1 de la Parte 1 del Libro 2 del Decreto 1082 de 2015, Único Reglamentario del Sector Administrativo de ​Planeación Nacional, en relación con la regla de origen de servicios en el Sistema de Compra Pública"​.</w:t>
      </w:r>
      <w:r w:rsidR="00B53DA5" w:rsidRPr="00E15F97">
        <w:rPr>
          <w:rStyle w:val="nfasis"/>
          <w:rFonts w:ascii="Arial" w:hAnsi="Arial" w:cs="Arial"/>
          <w:color w:val="333333"/>
          <w:sz w:val="19"/>
          <w:szCs w:val="19"/>
        </w:rPr>
        <w:t xml:space="preserve"> </w:t>
      </w:r>
      <w:r w:rsidR="00B53DA5" w:rsidRPr="00E15F97">
        <w:rPr>
          <w:rFonts w:ascii="Arial" w:hAnsi="Arial" w:cs="Arial"/>
          <w:color w:val="000000" w:themeColor="text1"/>
          <w:sz w:val="19"/>
          <w:szCs w:val="19"/>
          <w:lang w:val="es-CO"/>
        </w:rPr>
        <w:t xml:space="preserve">Disponible en: </w:t>
      </w:r>
      <w:hyperlink r:id="rId1" w:history="1">
        <w:r w:rsidR="00B53DA5" w:rsidRPr="00E15F97">
          <w:rPr>
            <w:rStyle w:val="Hipervnculo"/>
            <w:rFonts w:ascii="Arial" w:hAnsi="Arial" w:cs="Arial"/>
            <w:color w:val="000000" w:themeColor="text1"/>
            <w:sz w:val="19"/>
            <w:szCs w:val="19"/>
            <w:lang w:val="es-CO"/>
          </w:rPr>
          <w:t>https://www.dnp.gov.co/Paginas/Proyecto-de-Decreto.aspx</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3F4DC003" w:rsidR="00E2520A" w:rsidRDefault="0089572F">
    <w:r>
      <w:rPr>
        <w:noProof/>
      </w:rPr>
      <w:drawing>
        <wp:anchor distT="0" distB="0" distL="114300" distR="114300" simplePos="0" relativeHeight="251659264" behindDoc="0" locked="0" layoutInCell="1" allowOverlap="1" wp14:anchorId="161214BD" wp14:editId="2F96D3A4">
          <wp:simplePos x="0" y="0"/>
          <wp:positionH relativeFrom="column">
            <wp:posOffset>2390775</wp:posOffset>
          </wp:positionH>
          <wp:positionV relativeFrom="paragraph">
            <wp:posOffset>117475</wp:posOffset>
          </wp:positionV>
          <wp:extent cx="3157855" cy="713105"/>
          <wp:effectExtent l="0" t="0" r="4445" b="0"/>
          <wp:wrapNone/>
          <wp:docPr id="2" name="Imagen 2"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p w14:paraId="5DBE9C96" w14:textId="3CBD2553"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5"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7"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8"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2"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3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7"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573855865">
    <w:abstractNumId w:val="15"/>
  </w:num>
  <w:num w:numId="2" w16cid:durableId="10692759">
    <w:abstractNumId w:val="13"/>
  </w:num>
  <w:num w:numId="3" w16cid:durableId="1636332783">
    <w:abstractNumId w:val="22"/>
  </w:num>
  <w:num w:numId="4" w16cid:durableId="1063219033">
    <w:abstractNumId w:val="27"/>
  </w:num>
  <w:num w:numId="5" w16cid:durableId="1381781805">
    <w:abstractNumId w:val="31"/>
  </w:num>
  <w:num w:numId="6" w16cid:durableId="128800220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42885343">
    <w:abstractNumId w:val="28"/>
  </w:num>
  <w:num w:numId="8" w16cid:durableId="229539719">
    <w:abstractNumId w:val="3"/>
  </w:num>
  <w:num w:numId="9" w16cid:durableId="1572538516">
    <w:abstractNumId w:val="8"/>
  </w:num>
  <w:num w:numId="10" w16cid:durableId="7273872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68197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78405146">
    <w:abstractNumId w:val="14"/>
  </w:num>
  <w:num w:numId="13" w16cid:durableId="1002902065">
    <w:abstractNumId w:val="20"/>
  </w:num>
  <w:num w:numId="14" w16cid:durableId="904149239">
    <w:abstractNumId w:val="11"/>
  </w:num>
  <w:num w:numId="15" w16cid:durableId="1637373867">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55987467">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22031772">
    <w:abstractNumId w:val="34"/>
  </w:num>
  <w:num w:numId="18" w16cid:durableId="997994864">
    <w:abstractNumId w:val="23"/>
  </w:num>
  <w:num w:numId="19" w16cid:durableId="1376151469">
    <w:abstractNumId w:val="7"/>
  </w:num>
  <w:num w:numId="20" w16cid:durableId="194779376">
    <w:abstractNumId w:val="35"/>
  </w:num>
  <w:num w:numId="21" w16cid:durableId="1906986360">
    <w:abstractNumId w:val="25"/>
  </w:num>
  <w:num w:numId="22" w16cid:durableId="2074810405">
    <w:abstractNumId w:val="10"/>
  </w:num>
  <w:num w:numId="23" w16cid:durableId="1319188352">
    <w:abstractNumId w:val="9"/>
  </w:num>
  <w:num w:numId="24" w16cid:durableId="832795873">
    <w:abstractNumId w:val="29"/>
  </w:num>
  <w:num w:numId="25" w16cid:durableId="674184984">
    <w:abstractNumId w:val="17"/>
  </w:num>
  <w:num w:numId="26" w16cid:durableId="1712992714">
    <w:abstractNumId w:val="32"/>
  </w:num>
  <w:num w:numId="27" w16cid:durableId="1589538640">
    <w:abstractNumId w:val="37"/>
  </w:num>
  <w:num w:numId="28" w16cid:durableId="1584535692">
    <w:abstractNumId w:val="21"/>
  </w:num>
  <w:num w:numId="29" w16cid:durableId="127284253">
    <w:abstractNumId w:val="2"/>
  </w:num>
  <w:num w:numId="30" w16cid:durableId="1420298783">
    <w:abstractNumId w:val="24"/>
  </w:num>
  <w:num w:numId="31" w16cid:durableId="158010689">
    <w:abstractNumId w:val="18"/>
  </w:num>
  <w:num w:numId="32" w16cid:durableId="199780973">
    <w:abstractNumId w:val="26"/>
  </w:num>
  <w:num w:numId="33" w16cid:durableId="1659796787">
    <w:abstractNumId w:val="36"/>
  </w:num>
  <w:num w:numId="34" w16cid:durableId="1965385651">
    <w:abstractNumId w:val="16"/>
  </w:num>
  <w:num w:numId="35" w16cid:durableId="500391916">
    <w:abstractNumId w:val="1"/>
  </w:num>
  <w:num w:numId="36" w16cid:durableId="20677573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990467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7080657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57025796">
    <w:abstractNumId w:val="5"/>
  </w:num>
  <w:num w:numId="40" w16cid:durableId="4303928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2B9"/>
    <w:rsid w:val="00012532"/>
    <w:rsid w:val="00012B9E"/>
    <w:rsid w:val="00012FBA"/>
    <w:rsid w:val="00013C6B"/>
    <w:rsid w:val="0001406B"/>
    <w:rsid w:val="000143F8"/>
    <w:rsid w:val="00014624"/>
    <w:rsid w:val="000147ED"/>
    <w:rsid w:val="00015B44"/>
    <w:rsid w:val="00016081"/>
    <w:rsid w:val="000165AC"/>
    <w:rsid w:val="00016651"/>
    <w:rsid w:val="00016881"/>
    <w:rsid w:val="000171A2"/>
    <w:rsid w:val="00017B65"/>
    <w:rsid w:val="00020158"/>
    <w:rsid w:val="000207E0"/>
    <w:rsid w:val="00020D87"/>
    <w:rsid w:val="00020F8F"/>
    <w:rsid w:val="00021A95"/>
    <w:rsid w:val="00021C0A"/>
    <w:rsid w:val="00021F62"/>
    <w:rsid w:val="0002256F"/>
    <w:rsid w:val="0002296A"/>
    <w:rsid w:val="00023DAE"/>
    <w:rsid w:val="00023FA5"/>
    <w:rsid w:val="00024592"/>
    <w:rsid w:val="00024896"/>
    <w:rsid w:val="000258A6"/>
    <w:rsid w:val="00026092"/>
    <w:rsid w:val="000263F0"/>
    <w:rsid w:val="00026407"/>
    <w:rsid w:val="000264F6"/>
    <w:rsid w:val="00026608"/>
    <w:rsid w:val="00026B36"/>
    <w:rsid w:val="0002738B"/>
    <w:rsid w:val="00027545"/>
    <w:rsid w:val="00027787"/>
    <w:rsid w:val="000278D2"/>
    <w:rsid w:val="00030C92"/>
    <w:rsid w:val="00031384"/>
    <w:rsid w:val="000315E1"/>
    <w:rsid w:val="0003236E"/>
    <w:rsid w:val="00033295"/>
    <w:rsid w:val="0003339A"/>
    <w:rsid w:val="00034134"/>
    <w:rsid w:val="000341F2"/>
    <w:rsid w:val="00034651"/>
    <w:rsid w:val="000351F2"/>
    <w:rsid w:val="00035224"/>
    <w:rsid w:val="00035DC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716A"/>
    <w:rsid w:val="00047316"/>
    <w:rsid w:val="00047385"/>
    <w:rsid w:val="000473E8"/>
    <w:rsid w:val="000504DE"/>
    <w:rsid w:val="00051074"/>
    <w:rsid w:val="0005211A"/>
    <w:rsid w:val="00052B79"/>
    <w:rsid w:val="00052EA0"/>
    <w:rsid w:val="000536E3"/>
    <w:rsid w:val="00054252"/>
    <w:rsid w:val="0005474D"/>
    <w:rsid w:val="00055CB9"/>
    <w:rsid w:val="00056F22"/>
    <w:rsid w:val="00056F66"/>
    <w:rsid w:val="0005702F"/>
    <w:rsid w:val="00057661"/>
    <w:rsid w:val="0005779C"/>
    <w:rsid w:val="00061D06"/>
    <w:rsid w:val="0006294B"/>
    <w:rsid w:val="00062CDD"/>
    <w:rsid w:val="00063FA5"/>
    <w:rsid w:val="000640AF"/>
    <w:rsid w:val="000642EE"/>
    <w:rsid w:val="00064940"/>
    <w:rsid w:val="00064CAE"/>
    <w:rsid w:val="00064DB7"/>
    <w:rsid w:val="00064FA7"/>
    <w:rsid w:val="00065195"/>
    <w:rsid w:val="00065C43"/>
    <w:rsid w:val="00070AF1"/>
    <w:rsid w:val="000714DE"/>
    <w:rsid w:val="0007254F"/>
    <w:rsid w:val="00073C30"/>
    <w:rsid w:val="00074305"/>
    <w:rsid w:val="00074B2A"/>
    <w:rsid w:val="00075108"/>
    <w:rsid w:val="00075B3E"/>
    <w:rsid w:val="00076456"/>
    <w:rsid w:val="00076604"/>
    <w:rsid w:val="0007779B"/>
    <w:rsid w:val="000777E7"/>
    <w:rsid w:val="0007790A"/>
    <w:rsid w:val="0008017B"/>
    <w:rsid w:val="00080287"/>
    <w:rsid w:val="00080ACD"/>
    <w:rsid w:val="000811ED"/>
    <w:rsid w:val="00081284"/>
    <w:rsid w:val="00081D62"/>
    <w:rsid w:val="00081E36"/>
    <w:rsid w:val="000820A1"/>
    <w:rsid w:val="000820CE"/>
    <w:rsid w:val="00082B74"/>
    <w:rsid w:val="00083099"/>
    <w:rsid w:val="00083EDC"/>
    <w:rsid w:val="00083EE6"/>
    <w:rsid w:val="000847C0"/>
    <w:rsid w:val="00084873"/>
    <w:rsid w:val="00084B97"/>
    <w:rsid w:val="0008510E"/>
    <w:rsid w:val="000856DE"/>
    <w:rsid w:val="00085F17"/>
    <w:rsid w:val="00085FB3"/>
    <w:rsid w:val="0008686B"/>
    <w:rsid w:val="00086B2A"/>
    <w:rsid w:val="00086ED2"/>
    <w:rsid w:val="000914D6"/>
    <w:rsid w:val="00091569"/>
    <w:rsid w:val="00092DCA"/>
    <w:rsid w:val="000935F8"/>
    <w:rsid w:val="00093C51"/>
    <w:rsid w:val="000942EB"/>
    <w:rsid w:val="00095B70"/>
    <w:rsid w:val="00095C0D"/>
    <w:rsid w:val="00095CDC"/>
    <w:rsid w:val="0009617E"/>
    <w:rsid w:val="00096489"/>
    <w:rsid w:val="000979CF"/>
    <w:rsid w:val="00097A00"/>
    <w:rsid w:val="00097B0C"/>
    <w:rsid w:val="000A03C8"/>
    <w:rsid w:val="000A05F2"/>
    <w:rsid w:val="000A06C4"/>
    <w:rsid w:val="000A0861"/>
    <w:rsid w:val="000A0ED1"/>
    <w:rsid w:val="000A12DB"/>
    <w:rsid w:val="000A17C8"/>
    <w:rsid w:val="000A1AEE"/>
    <w:rsid w:val="000A20D7"/>
    <w:rsid w:val="000A2128"/>
    <w:rsid w:val="000A362F"/>
    <w:rsid w:val="000A3B49"/>
    <w:rsid w:val="000A41BA"/>
    <w:rsid w:val="000A446A"/>
    <w:rsid w:val="000A4CA6"/>
    <w:rsid w:val="000A5AAF"/>
    <w:rsid w:val="000A5F97"/>
    <w:rsid w:val="000A648E"/>
    <w:rsid w:val="000A73BB"/>
    <w:rsid w:val="000A7EF4"/>
    <w:rsid w:val="000B09AF"/>
    <w:rsid w:val="000B0A15"/>
    <w:rsid w:val="000B0DF3"/>
    <w:rsid w:val="000B0EE7"/>
    <w:rsid w:val="000B103F"/>
    <w:rsid w:val="000B1437"/>
    <w:rsid w:val="000B1470"/>
    <w:rsid w:val="000B2B86"/>
    <w:rsid w:val="000B3051"/>
    <w:rsid w:val="000B419B"/>
    <w:rsid w:val="000B4716"/>
    <w:rsid w:val="000B5781"/>
    <w:rsid w:val="000B5891"/>
    <w:rsid w:val="000B6E4B"/>
    <w:rsid w:val="000C0185"/>
    <w:rsid w:val="000C0444"/>
    <w:rsid w:val="000C0960"/>
    <w:rsid w:val="000C0F81"/>
    <w:rsid w:val="000C128D"/>
    <w:rsid w:val="000C17A3"/>
    <w:rsid w:val="000C1D4B"/>
    <w:rsid w:val="000C3260"/>
    <w:rsid w:val="000C3616"/>
    <w:rsid w:val="000C3803"/>
    <w:rsid w:val="000C3B77"/>
    <w:rsid w:val="000C4F49"/>
    <w:rsid w:val="000C576F"/>
    <w:rsid w:val="000C5861"/>
    <w:rsid w:val="000C5A63"/>
    <w:rsid w:val="000C639D"/>
    <w:rsid w:val="000C67BB"/>
    <w:rsid w:val="000C6C31"/>
    <w:rsid w:val="000C6DBC"/>
    <w:rsid w:val="000C6F79"/>
    <w:rsid w:val="000C7211"/>
    <w:rsid w:val="000C7476"/>
    <w:rsid w:val="000C7711"/>
    <w:rsid w:val="000C7AA2"/>
    <w:rsid w:val="000D0462"/>
    <w:rsid w:val="000D053D"/>
    <w:rsid w:val="000D0CD9"/>
    <w:rsid w:val="000D0ED2"/>
    <w:rsid w:val="000D1CEB"/>
    <w:rsid w:val="000D2563"/>
    <w:rsid w:val="000D25BF"/>
    <w:rsid w:val="000D3FDC"/>
    <w:rsid w:val="000D4E38"/>
    <w:rsid w:val="000D50DB"/>
    <w:rsid w:val="000D5ABA"/>
    <w:rsid w:val="000D6288"/>
    <w:rsid w:val="000D6CAF"/>
    <w:rsid w:val="000D7541"/>
    <w:rsid w:val="000D75E1"/>
    <w:rsid w:val="000D776B"/>
    <w:rsid w:val="000E0B3C"/>
    <w:rsid w:val="000E2109"/>
    <w:rsid w:val="000E22CF"/>
    <w:rsid w:val="000E2977"/>
    <w:rsid w:val="000E2B36"/>
    <w:rsid w:val="000E30AC"/>
    <w:rsid w:val="000E3B46"/>
    <w:rsid w:val="000E3E11"/>
    <w:rsid w:val="000E4596"/>
    <w:rsid w:val="000E5768"/>
    <w:rsid w:val="000E5843"/>
    <w:rsid w:val="000E6139"/>
    <w:rsid w:val="000E6B73"/>
    <w:rsid w:val="000E6BE1"/>
    <w:rsid w:val="000E6BE4"/>
    <w:rsid w:val="000E7E0B"/>
    <w:rsid w:val="000F078A"/>
    <w:rsid w:val="000F122D"/>
    <w:rsid w:val="000F1450"/>
    <w:rsid w:val="000F14E8"/>
    <w:rsid w:val="000F16F5"/>
    <w:rsid w:val="000F1BBD"/>
    <w:rsid w:val="000F2739"/>
    <w:rsid w:val="000F3138"/>
    <w:rsid w:val="000F3D39"/>
    <w:rsid w:val="000F4403"/>
    <w:rsid w:val="000F4C3F"/>
    <w:rsid w:val="000F4E17"/>
    <w:rsid w:val="000F636A"/>
    <w:rsid w:val="000F6578"/>
    <w:rsid w:val="000F70CD"/>
    <w:rsid w:val="000F79F9"/>
    <w:rsid w:val="000F7ABD"/>
    <w:rsid w:val="000F7E8F"/>
    <w:rsid w:val="000F7FBB"/>
    <w:rsid w:val="001000FB"/>
    <w:rsid w:val="00101134"/>
    <w:rsid w:val="001015D2"/>
    <w:rsid w:val="00102605"/>
    <w:rsid w:val="00102686"/>
    <w:rsid w:val="00102745"/>
    <w:rsid w:val="001032E3"/>
    <w:rsid w:val="00103361"/>
    <w:rsid w:val="00103855"/>
    <w:rsid w:val="00103915"/>
    <w:rsid w:val="00103EA0"/>
    <w:rsid w:val="001046B8"/>
    <w:rsid w:val="00104F1C"/>
    <w:rsid w:val="001051E5"/>
    <w:rsid w:val="00105A74"/>
    <w:rsid w:val="00105ACB"/>
    <w:rsid w:val="00105AEF"/>
    <w:rsid w:val="00106259"/>
    <w:rsid w:val="001065E4"/>
    <w:rsid w:val="001068EB"/>
    <w:rsid w:val="001078CE"/>
    <w:rsid w:val="00110CEB"/>
    <w:rsid w:val="00110F61"/>
    <w:rsid w:val="001111BD"/>
    <w:rsid w:val="0011165A"/>
    <w:rsid w:val="00111B2B"/>
    <w:rsid w:val="00111DFA"/>
    <w:rsid w:val="00111ED9"/>
    <w:rsid w:val="00112609"/>
    <w:rsid w:val="00112774"/>
    <w:rsid w:val="00112B2E"/>
    <w:rsid w:val="00113003"/>
    <w:rsid w:val="00113062"/>
    <w:rsid w:val="00113705"/>
    <w:rsid w:val="00113975"/>
    <w:rsid w:val="00113CFC"/>
    <w:rsid w:val="00113FEA"/>
    <w:rsid w:val="00114324"/>
    <w:rsid w:val="00114A22"/>
    <w:rsid w:val="00114E9D"/>
    <w:rsid w:val="0011507B"/>
    <w:rsid w:val="00115BC0"/>
    <w:rsid w:val="00115D13"/>
    <w:rsid w:val="00116328"/>
    <w:rsid w:val="001169FD"/>
    <w:rsid w:val="00116EDC"/>
    <w:rsid w:val="001174C9"/>
    <w:rsid w:val="00117C82"/>
    <w:rsid w:val="00117E69"/>
    <w:rsid w:val="001202CF"/>
    <w:rsid w:val="00121103"/>
    <w:rsid w:val="0012156A"/>
    <w:rsid w:val="00121BAB"/>
    <w:rsid w:val="00121E3C"/>
    <w:rsid w:val="00122B23"/>
    <w:rsid w:val="00122B7E"/>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8B9"/>
    <w:rsid w:val="00137FD1"/>
    <w:rsid w:val="00137FFA"/>
    <w:rsid w:val="00140109"/>
    <w:rsid w:val="0014029B"/>
    <w:rsid w:val="00140421"/>
    <w:rsid w:val="00140A4F"/>
    <w:rsid w:val="001413AB"/>
    <w:rsid w:val="001425BA"/>
    <w:rsid w:val="001432AF"/>
    <w:rsid w:val="00144335"/>
    <w:rsid w:val="0014502F"/>
    <w:rsid w:val="00145282"/>
    <w:rsid w:val="001453B0"/>
    <w:rsid w:val="001454D9"/>
    <w:rsid w:val="00145D8E"/>
    <w:rsid w:val="00146083"/>
    <w:rsid w:val="001462F7"/>
    <w:rsid w:val="001466F0"/>
    <w:rsid w:val="00146B60"/>
    <w:rsid w:val="00147798"/>
    <w:rsid w:val="00150005"/>
    <w:rsid w:val="00151B99"/>
    <w:rsid w:val="001521B2"/>
    <w:rsid w:val="00152288"/>
    <w:rsid w:val="00152EDD"/>
    <w:rsid w:val="00153491"/>
    <w:rsid w:val="0015361C"/>
    <w:rsid w:val="0015372F"/>
    <w:rsid w:val="00153A05"/>
    <w:rsid w:val="00153A18"/>
    <w:rsid w:val="00153BFB"/>
    <w:rsid w:val="0015407E"/>
    <w:rsid w:val="001542E6"/>
    <w:rsid w:val="0015448E"/>
    <w:rsid w:val="00154A6F"/>
    <w:rsid w:val="001550B8"/>
    <w:rsid w:val="001559DE"/>
    <w:rsid w:val="00155D08"/>
    <w:rsid w:val="00156BE5"/>
    <w:rsid w:val="00156FDB"/>
    <w:rsid w:val="00157232"/>
    <w:rsid w:val="00160401"/>
    <w:rsid w:val="00160D4E"/>
    <w:rsid w:val="00161721"/>
    <w:rsid w:val="00161E62"/>
    <w:rsid w:val="00161F1C"/>
    <w:rsid w:val="0016200B"/>
    <w:rsid w:val="00163D7A"/>
    <w:rsid w:val="00164281"/>
    <w:rsid w:val="00164AF1"/>
    <w:rsid w:val="001654DF"/>
    <w:rsid w:val="00166476"/>
    <w:rsid w:val="00167503"/>
    <w:rsid w:val="001676A9"/>
    <w:rsid w:val="00167A15"/>
    <w:rsid w:val="00167A50"/>
    <w:rsid w:val="00167D66"/>
    <w:rsid w:val="00167DF5"/>
    <w:rsid w:val="00170001"/>
    <w:rsid w:val="0017145A"/>
    <w:rsid w:val="00172198"/>
    <w:rsid w:val="00172612"/>
    <w:rsid w:val="00172817"/>
    <w:rsid w:val="001734E3"/>
    <w:rsid w:val="0017350E"/>
    <w:rsid w:val="0017391B"/>
    <w:rsid w:val="001742BF"/>
    <w:rsid w:val="001749DF"/>
    <w:rsid w:val="00175E49"/>
    <w:rsid w:val="0017628E"/>
    <w:rsid w:val="00176470"/>
    <w:rsid w:val="0017659F"/>
    <w:rsid w:val="00177076"/>
    <w:rsid w:val="001803FE"/>
    <w:rsid w:val="001805C1"/>
    <w:rsid w:val="00180A2E"/>
    <w:rsid w:val="001813AF"/>
    <w:rsid w:val="00182831"/>
    <w:rsid w:val="001829CD"/>
    <w:rsid w:val="00182F01"/>
    <w:rsid w:val="00183813"/>
    <w:rsid w:val="00184F27"/>
    <w:rsid w:val="001850E6"/>
    <w:rsid w:val="0018519B"/>
    <w:rsid w:val="001856BA"/>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46AE"/>
    <w:rsid w:val="001946D5"/>
    <w:rsid w:val="00194E8C"/>
    <w:rsid w:val="001962EC"/>
    <w:rsid w:val="001963DD"/>
    <w:rsid w:val="001965DB"/>
    <w:rsid w:val="00196DC9"/>
    <w:rsid w:val="00197553"/>
    <w:rsid w:val="001A0236"/>
    <w:rsid w:val="001A0AF8"/>
    <w:rsid w:val="001A18D5"/>
    <w:rsid w:val="001A1CC0"/>
    <w:rsid w:val="001A1D4A"/>
    <w:rsid w:val="001A3011"/>
    <w:rsid w:val="001A325B"/>
    <w:rsid w:val="001A3FC3"/>
    <w:rsid w:val="001A4A08"/>
    <w:rsid w:val="001A4DAF"/>
    <w:rsid w:val="001A66DF"/>
    <w:rsid w:val="001A67D0"/>
    <w:rsid w:val="001A6BF1"/>
    <w:rsid w:val="001A7591"/>
    <w:rsid w:val="001A75B1"/>
    <w:rsid w:val="001B0366"/>
    <w:rsid w:val="001B0444"/>
    <w:rsid w:val="001B096B"/>
    <w:rsid w:val="001B0F9F"/>
    <w:rsid w:val="001B123C"/>
    <w:rsid w:val="001B1A0D"/>
    <w:rsid w:val="001B1BF1"/>
    <w:rsid w:val="001B2456"/>
    <w:rsid w:val="001B33BA"/>
    <w:rsid w:val="001B40C7"/>
    <w:rsid w:val="001B449C"/>
    <w:rsid w:val="001B4AA2"/>
    <w:rsid w:val="001B4ADE"/>
    <w:rsid w:val="001B5C86"/>
    <w:rsid w:val="001B5EF8"/>
    <w:rsid w:val="001B6BD3"/>
    <w:rsid w:val="001B6EBB"/>
    <w:rsid w:val="001C037A"/>
    <w:rsid w:val="001C07C6"/>
    <w:rsid w:val="001C0838"/>
    <w:rsid w:val="001C08B2"/>
    <w:rsid w:val="001C19CD"/>
    <w:rsid w:val="001C22D5"/>
    <w:rsid w:val="001C2515"/>
    <w:rsid w:val="001C2550"/>
    <w:rsid w:val="001C26FB"/>
    <w:rsid w:val="001C33C1"/>
    <w:rsid w:val="001C3E30"/>
    <w:rsid w:val="001C3E5C"/>
    <w:rsid w:val="001C5072"/>
    <w:rsid w:val="001C5B2A"/>
    <w:rsid w:val="001C600B"/>
    <w:rsid w:val="001C6407"/>
    <w:rsid w:val="001C6453"/>
    <w:rsid w:val="001C6898"/>
    <w:rsid w:val="001C6DD8"/>
    <w:rsid w:val="001C7C7B"/>
    <w:rsid w:val="001D050C"/>
    <w:rsid w:val="001D068D"/>
    <w:rsid w:val="001D0A71"/>
    <w:rsid w:val="001D12D1"/>
    <w:rsid w:val="001D15DF"/>
    <w:rsid w:val="001D2970"/>
    <w:rsid w:val="001D30F3"/>
    <w:rsid w:val="001D31A0"/>
    <w:rsid w:val="001D338E"/>
    <w:rsid w:val="001D399D"/>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587"/>
    <w:rsid w:val="001E56FF"/>
    <w:rsid w:val="001E5A69"/>
    <w:rsid w:val="001E5B84"/>
    <w:rsid w:val="001E5D6A"/>
    <w:rsid w:val="001E6105"/>
    <w:rsid w:val="001E70FB"/>
    <w:rsid w:val="001E780A"/>
    <w:rsid w:val="001F07D6"/>
    <w:rsid w:val="001F0FA0"/>
    <w:rsid w:val="001F1349"/>
    <w:rsid w:val="001F1863"/>
    <w:rsid w:val="001F232D"/>
    <w:rsid w:val="001F2356"/>
    <w:rsid w:val="001F2A68"/>
    <w:rsid w:val="001F39EA"/>
    <w:rsid w:val="001F4773"/>
    <w:rsid w:val="001F5008"/>
    <w:rsid w:val="001F512D"/>
    <w:rsid w:val="001F56AA"/>
    <w:rsid w:val="001F58AA"/>
    <w:rsid w:val="001F5EF6"/>
    <w:rsid w:val="001F657F"/>
    <w:rsid w:val="001F6FB6"/>
    <w:rsid w:val="001F7978"/>
    <w:rsid w:val="001F7A0E"/>
    <w:rsid w:val="0020022E"/>
    <w:rsid w:val="002004AC"/>
    <w:rsid w:val="0020054E"/>
    <w:rsid w:val="00200B51"/>
    <w:rsid w:val="00201F1E"/>
    <w:rsid w:val="0020299B"/>
    <w:rsid w:val="00202E44"/>
    <w:rsid w:val="002037AA"/>
    <w:rsid w:val="00203FE3"/>
    <w:rsid w:val="002042D8"/>
    <w:rsid w:val="00204515"/>
    <w:rsid w:val="00204BF5"/>
    <w:rsid w:val="00204D91"/>
    <w:rsid w:val="00204E6B"/>
    <w:rsid w:val="002058D4"/>
    <w:rsid w:val="00205BAA"/>
    <w:rsid w:val="0020632A"/>
    <w:rsid w:val="0020697F"/>
    <w:rsid w:val="00210430"/>
    <w:rsid w:val="002110EB"/>
    <w:rsid w:val="00211338"/>
    <w:rsid w:val="00211342"/>
    <w:rsid w:val="00211388"/>
    <w:rsid w:val="0021148C"/>
    <w:rsid w:val="00211694"/>
    <w:rsid w:val="0021201A"/>
    <w:rsid w:val="00213A1F"/>
    <w:rsid w:val="00213C63"/>
    <w:rsid w:val="00214502"/>
    <w:rsid w:val="00214741"/>
    <w:rsid w:val="0021539A"/>
    <w:rsid w:val="00215793"/>
    <w:rsid w:val="00215852"/>
    <w:rsid w:val="00215B8E"/>
    <w:rsid w:val="00216264"/>
    <w:rsid w:val="002168B8"/>
    <w:rsid w:val="002176B6"/>
    <w:rsid w:val="0021792D"/>
    <w:rsid w:val="00217DB8"/>
    <w:rsid w:val="0022032A"/>
    <w:rsid w:val="002220B3"/>
    <w:rsid w:val="002221CE"/>
    <w:rsid w:val="00222740"/>
    <w:rsid w:val="00222BE8"/>
    <w:rsid w:val="00223102"/>
    <w:rsid w:val="002232CB"/>
    <w:rsid w:val="00223AA2"/>
    <w:rsid w:val="00224022"/>
    <w:rsid w:val="00226055"/>
    <w:rsid w:val="0022613F"/>
    <w:rsid w:val="00226236"/>
    <w:rsid w:val="00226DF9"/>
    <w:rsid w:val="002270C9"/>
    <w:rsid w:val="00227710"/>
    <w:rsid w:val="00227A8B"/>
    <w:rsid w:val="0023146B"/>
    <w:rsid w:val="002315A0"/>
    <w:rsid w:val="00231CE0"/>
    <w:rsid w:val="00231DBA"/>
    <w:rsid w:val="00231EC7"/>
    <w:rsid w:val="00232A6C"/>
    <w:rsid w:val="00232E15"/>
    <w:rsid w:val="00233079"/>
    <w:rsid w:val="0023382C"/>
    <w:rsid w:val="00233977"/>
    <w:rsid w:val="00233C58"/>
    <w:rsid w:val="00233C71"/>
    <w:rsid w:val="002345B6"/>
    <w:rsid w:val="00234B84"/>
    <w:rsid w:val="00236016"/>
    <w:rsid w:val="00237065"/>
    <w:rsid w:val="00237589"/>
    <w:rsid w:val="0023758D"/>
    <w:rsid w:val="002375A7"/>
    <w:rsid w:val="0024019A"/>
    <w:rsid w:val="002411DE"/>
    <w:rsid w:val="0024131D"/>
    <w:rsid w:val="002413B5"/>
    <w:rsid w:val="002415B8"/>
    <w:rsid w:val="00241618"/>
    <w:rsid w:val="00242D62"/>
    <w:rsid w:val="00243057"/>
    <w:rsid w:val="002431D7"/>
    <w:rsid w:val="00243257"/>
    <w:rsid w:val="00243434"/>
    <w:rsid w:val="00244058"/>
    <w:rsid w:val="00244F9A"/>
    <w:rsid w:val="00245718"/>
    <w:rsid w:val="00245E07"/>
    <w:rsid w:val="0024729C"/>
    <w:rsid w:val="00247712"/>
    <w:rsid w:val="00250EC6"/>
    <w:rsid w:val="00251866"/>
    <w:rsid w:val="00251A9F"/>
    <w:rsid w:val="002520B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711A4"/>
    <w:rsid w:val="00271F13"/>
    <w:rsid w:val="002721E2"/>
    <w:rsid w:val="00272EB3"/>
    <w:rsid w:val="00274DB5"/>
    <w:rsid w:val="00275BB1"/>
    <w:rsid w:val="00275FBF"/>
    <w:rsid w:val="00276373"/>
    <w:rsid w:val="00277933"/>
    <w:rsid w:val="00277F13"/>
    <w:rsid w:val="00277F8D"/>
    <w:rsid w:val="00277FA7"/>
    <w:rsid w:val="002805E0"/>
    <w:rsid w:val="00280F3D"/>
    <w:rsid w:val="0028106A"/>
    <w:rsid w:val="00281EB4"/>
    <w:rsid w:val="00282C21"/>
    <w:rsid w:val="0028308E"/>
    <w:rsid w:val="002834E9"/>
    <w:rsid w:val="0028396F"/>
    <w:rsid w:val="00283A52"/>
    <w:rsid w:val="00283C5E"/>
    <w:rsid w:val="00283E26"/>
    <w:rsid w:val="0028428F"/>
    <w:rsid w:val="00284CFC"/>
    <w:rsid w:val="0028565E"/>
    <w:rsid w:val="00285832"/>
    <w:rsid w:val="00285969"/>
    <w:rsid w:val="0028663B"/>
    <w:rsid w:val="00286CEC"/>
    <w:rsid w:val="00286DC7"/>
    <w:rsid w:val="002871A9"/>
    <w:rsid w:val="00287B7E"/>
    <w:rsid w:val="00290781"/>
    <w:rsid w:val="002912D3"/>
    <w:rsid w:val="00291784"/>
    <w:rsid w:val="002929BB"/>
    <w:rsid w:val="00292E64"/>
    <w:rsid w:val="002932BA"/>
    <w:rsid w:val="00293669"/>
    <w:rsid w:val="00294368"/>
    <w:rsid w:val="00294B78"/>
    <w:rsid w:val="00295646"/>
    <w:rsid w:val="00295949"/>
    <w:rsid w:val="0029624A"/>
    <w:rsid w:val="00296922"/>
    <w:rsid w:val="0029697C"/>
    <w:rsid w:val="00297098"/>
    <w:rsid w:val="00297C41"/>
    <w:rsid w:val="002A05D4"/>
    <w:rsid w:val="002A09FF"/>
    <w:rsid w:val="002A0E60"/>
    <w:rsid w:val="002A1A58"/>
    <w:rsid w:val="002A1B02"/>
    <w:rsid w:val="002A1C53"/>
    <w:rsid w:val="002A28FC"/>
    <w:rsid w:val="002A2B44"/>
    <w:rsid w:val="002A2EA5"/>
    <w:rsid w:val="002A3842"/>
    <w:rsid w:val="002A3D2A"/>
    <w:rsid w:val="002A3D94"/>
    <w:rsid w:val="002A4736"/>
    <w:rsid w:val="002A4B1C"/>
    <w:rsid w:val="002A4BDD"/>
    <w:rsid w:val="002A4CC8"/>
    <w:rsid w:val="002A4DBB"/>
    <w:rsid w:val="002A6AFB"/>
    <w:rsid w:val="002A6E3A"/>
    <w:rsid w:val="002A733D"/>
    <w:rsid w:val="002A774A"/>
    <w:rsid w:val="002A7E5C"/>
    <w:rsid w:val="002A7F6D"/>
    <w:rsid w:val="002B020D"/>
    <w:rsid w:val="002B134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68FE"/>
    <w:rsid w:val="002B73B0"/>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704D"/>
    <w:rsid w:val="002D0845"/>
    <w:rsid w:val="002D0933"/>
    <w:rsid w:val="002D0F58"/>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37DD"/>
    <w:rsid w:val="002F3A0C"/>
    <w:rsid w:val="002F45F6"/>
    <w:rsid w:val="002F692F"/>
    <w:rsid w:val="002F69BE"/>
    <w:rsid w:val="002F7B66"/>
    <w:rsid w:val="00300CB4"/>
    <w:rsid w:val="00300DE7"/>
    <w:rsid w:val="00300E24"/>
    <w:rsid w:val="0030101C"/>
    <w:rsid w:val="003033BA"/>
    <w:rsid w:val="003043A3"/>
    <w:rsid w:val="00304BD4"/>
    <w:rsid w:val="0030500A"/>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190"/>
    <w:rsid w:val="003125E0"/>
    <w:rsid w:val="00312606"/>
    <w:rsid w:val="0031271D"/>
    <w:rsid w:val="0031336A"/>
    <w:rsid w:val="00313447"/>
    <w:rsid w:val="00313748"/>
    <w:rsid w:val="00313EA3"/>
    <w:rsid w:val="00315457"/>
    <w:rsid w:val="003161A4"/>
    <w:rsid w:val="00316955"/>
    <w:rsid w:val="0031720A"/>
    <w:rsid w:val="0031749B"/>
    <w:rsid w:val="003174E5"/>
    <w:rsid w:val="00317C9D"/>
    <w:rsid w:val="00317CD2"/>
    <w:rsid w:val="00317D99"/>
    <w:rsid w:val="0032078D"/>
    <w:rsid w:val="003208F4"/>
    <w:rsid w:val="00320A6E"/>
    <w:rsid w:val="00320F34"/>
    <w:rsid w:val="0032137B"/>
    <w:rsid w:val="003214F7"/>
    <w:rsid w:val="00321BD6"/>
    <w:rsid w:val="00321FA3"/>
    <w:rsid w:val="003227D3"/>
    <w:rsid w:val="00322937"/>
    <w:rsid w:val="00322A46"/>
    <w:rsid w:val="00322A84"/>
    <w:rsid w:val="00323881"/>
    <w:rsid w:val="00323B73"/>
    <w:rsid w:val="00324602"/>
    <w:rsid w:val="003254F5"/>
    <w:rsid w:val="00325D98"/>
    <w:rsid w:val="0032682A"/>
    <w:rsid w:val="00327A5C"/>
    <w:rsid w:val="0033092C"/>
    <w:rsid w:val="0033122A"/>
    <w:rsid w:val="003315AC"/>
    <w:rsid w:val="00331932"/>
    <w:rsid w:val="00333A88"/>
    <w:rsid w:val="00333FFB"/>
    <w:rsid w:val="00335B15"/>
    <w:rsid w:val="00335B21"/>
    <w:rsid w:val="00335D3F"/>
    <w:rsid w:val="00336104"/>
    <w:rsid w:val="00336729"/>
    <w:rsid w:val="00336859"/>
    <w:rsid w:val="00336AB1"/>
    <w:rsid w:val="00337178"/>
    <w:rsid w:val="0033726D"/>
    <w:rsid w:val="00337362"/>
    <w:rsid w:val="00337CA8"/>
    <w:rsid w:val="00337EAD"/>
    <w:rsid w:val="0034125B"/>
    <w:rsid w:val="0034177C"/>
    <w:rsid w:val="00342345"/>
    <w:rsid w:val="00342C27"/>
    <w:rsid w:val="003430C8"/>
    <w:rsid w:val="003432C8"/>
    <w:rsid w:val="003434B3"/>
    <w:rsid w:val="00343536"/>
    <w:rsid w:val="00343EFB"/>
    <w:rsid w:val="003443DF"/>
    <w:rsid w:val="00344760"/>
    <w:rsid w:val="00344A64"/>
    <w:rsid w:val="00344BF8"/>
    <w:rsid w:val="0034680A"/>
    <w:rsid w:val="00346C62"/>
    <w:rsid w:val="0034778E"/>
    <w:rsid w:val="003501E2"/>
    <w:rsid w:val="003506CF"/>
    <w:rsid w:val="00350A59"/>
    <w:rsid w:val="00351E10"/>
    <w:rsid w:val="0035273A"/>
    <w:rsid w:val="00352D59"/>
    <w:rsid w:val="003533F4"/>
    <w:rsid w:val="003536F6"/>
    <w:rsid w:val="00353DD5"/>
    <w:rsid w:val="00355131"/>
    <w:rsid w:val="00355462"/>
    <w:rsid w:val="00356438"/>
    <w:rsid w:val="00356687"/>
    <w:rsid w:val="003609C4"/>
    <w:rsid w:val="003618D9"/>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3827"/>
    <w:rsid w:val="00373F04"/>
    <w:rsid w:val="0037401C"/>
    <w:rsid w:val="00374A1E"/>
    <w:rsid w:val="0037507B"/>
    <w:rsid w:val="003759D1"/>
    <w:rsid w:val="00375C7C"/>
    <w:rsid w:val="003762F6"/>
    <w:rsid w:val="00377027"/>
    <w:rsid w:val="00377135"/>
    <w:rsid w:val="00380272"/>
    <w:rsid w:val="00380355"/>
    <w:rsid w:val="00380576"/>
    <w:rsid w:val="003805DB"/>
    <w:rsid w:val="003813F4"/>
    <w:rsid w:val="0038152A"/>
    <w:rsid w:val="00382BAD"/>
    <w:rsid w:val="00383500"/>
    <w:rsid w:val="00383878"/>
    <w:rsid w:val="00383A8D"/>
    <w:rsid w:val="00384CD6"/>
    <w:rsid w:val="00384DF1"/>
    <w:rsid w:val="00384FF3"/>
    <w:rsid w:val="00386456"/>
    <w:rsid w:val="003865A9"/>
    <w:rsid w:val="00387642"/>
    <w:rsid w:val="003903B6"/>
    <w:rsid w:val="00390F32"/>
    <w:rsid w:val="0039135E"/>
    <w:rsid w:val="0039200F"/>
    <w:rsid w:val="0039319C"/>
    <w:rsid w:val="003938CD"/>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5F90"/>
    <w:rsid w:val="003B65D7"/>
    <w:rsid w:val="003B65E0"/>
    <w:rsid w:val="003B6BD4"/>
    <w:rsid w:val="003B6F4D"/>
    <w:rsid w:val="003B6FE7"/>
    <w:rsid w:val="003C0791"/>
    <w:rsid w:val="003C0D1F"/>
    <w:rsid w:val="003C116A"/>
    <w:rsid w:val="003C1AF4"/>
    <w:rsid w:val="003C1B63"/>
    <w:rsid w:val="003C1CB8"/>
    <w:rsid w:val="003C2550"/>
    <w:rsid w:val="003C287F"/>
    <w:rsid w:val="003C3339"/>
    <w:rsid w:val="003C375A"/>
    <w:rsid w:val="003C43F6"/>
    <w:rsid w:val="003C4D9F"/>
    <w:rsid w:val="003C5118"/>
    <w:rsid w:val="003C622C"/>
    <w:rsid w:val="003C6D53"/>
    <w:rsid w:val="003C73C7"/>
    <w:rsid w:val="003D03F3"/>
    <w:rsid w:val="003D050B"/>
    <w:rsid w:val="003D0B98"/>
    <w:rsid w:val="003D0C3C"/>
    <w:rsid w:val="003D0DE5"/>
    <w:rsid w:val="003D1351"/>
    <w:rsid w:val="003D1E4F"/>
    <w:rsid w:val="003D21C1"/>
    <w:rsid w:val="003D2924"/>
    <w:rsid w:val="003D3707"/>
    <w:rsid w:val="003D3B15"/>
    <w:rsid w:val="003D3B2E"/>
    <w:rsid w:val="003D484D"/>
    <w:rsid w:val="003D49CB"/>
    <w:rsid w:val="003D4BD6"/>
    <w:rsid w:val="003D6412"/>
    <w:rsid w:val="003D6B8F"/>
    <w:rsid w:val="003D7566"/>
    <w:rsid w:val="003E08B3"/>
    <w:rsid w:val="003E09BB"/>
    <w:rsid w:val="003E159D"/>
    <w:rsid w:val="003E1D96"/>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AB6"/>
    <w:rsid w:val="003E6E0B"/>
    <w:rsid w:val="003E71CD"/>
    <w:rsid w:val="003E74E5"/>
    <w:rsid w:val="003E76DF"/>
    <w:rsid w:val="003E78DA"/>
    <w:rsid w:val="003E7A8B"/>
    <w:rsid w:val="003F04B0"/>
    <w:rsid w:val="003F0F7F"/>
    <w:rsid w:val="003F300D"/>
    <w:rsid w:val="003F391F"/>
    <w:rsid w:val="003F4599"/>
    <w:rsid w:val="003F45E1"/>
    <w:rsid w:val="003F4F6C"/>
    <w:rsid w:val="003F516A"/>
    <w:rsid w:val="003F559E"/>
    <w:rsid w:val="003F5DB7"/>
    <w:rsid w:val="003F6181"/>
    <w:rsid w:val="003F7343"/>
    <w:rsid w:val="00400002"/>
    <w:rsid w:val="00400054"/>
    <w:rsid w:val="004016A3"/>
    <w:rsid w:val="00401B31"/>
    <w:rsid w:val="0040202B"/>
    <w:rsid w:val="0040215D"/>
    <w:rsid w:val="00402307"/>
    <w:rsid w:val="00402DE1"/>
    <w:rsid w:val="00402EEB"/>
    <w:rsid w:val="004037C2"/>
    <w:rsid w:val="00404041"/>
    <w:rsid w:val="00404B43"/>
    <w:rsid w:val="00404C61"/>
    <w:rsid w:val="00405487"/>
    <w:rsid w:val="004054B1"/>
    <w:rsid w:val="00405792"/>
    <w:rsid w:val="0040602B"/>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7089"/>
    <w:rsid w:val="004170D7"/>
    <w:rsid w:val="004177A6"/>
    <w:rsid w:val="00417EFD"/>
    <w:rsid w:val="004200EE"/>
    <w:rsid w:val="004209D2"/>
    <w:rsid w:val="00420D6E"/>
    <w:rsid w:val="00421BD2"/>
    <w:rsid w:val="00421E00"/>
    <w:rsid w:val="00421FCB"/>
    <w:rsid w:val="00421FF6"/>
    <w:rsid w:val="00422DCA"/>
    <w:rsid w:val="00423F9F"/>
    <w:rsid w:val="0042499B"/>
    <w:rsid w:val="00424FEC"/>
    <w:rsid w:val="00425C43"/>
    <w:rsid w:val="004267F5"/>
    <w:rsid w:val="00426C69"/>
    <w:rsid w:val="00426D3B"/>
    <w:rsid w:val="004273FA"/>
    <w:rsid w:val="004276C2"/>
    <w:rsid w:val="00430186"/>
    <w:rsid w:val="00430730"/>
    <w:rsid w:val="0043269A"/>
    <w:rsid w:val="00432E14"/>
    <w:rsid w:val="004333C2"/>
    <w:rsid w:val="00433ACB"/>
    <w:rsid w:val="00434787"/>
    <w:rsid w:val="004347DA"/>
    <w:rsid w:val="00434C13"/>
    <w:rsid w:val="00436323"/>
    <w:rsid w:val="0043683F"/>
    <w:rsid w:val="00436D19"/>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502AA"/>
    <w:rsid w:val="004507BD"/>
    <w:rsid w:val="00450846"/>
    <w:rsid w:val="004510BD"/>
    <w:rsid w:val="0045159C"/>
    <w:rsid w:val="00451A52"/>
    <w:rsid w:val="00451FC8"/>
    <w:rsid w:val="0045271D"/>
    <w:rsid w:val="00452755"/>
    <w:rsid w:val="00452803"/>
    <w:rsid w:val="004529C6"/>
    <w:rsid w:val="00452EAD"/>
    <w:rsid w:val="004531D5"/>
    <w:rsid w:val="004533D1"/>
    <w:rsid w:val="004534D1"/>
    <w:rsid w:val="00453A53"/>
    <w:rsid w:val="00454548"/>
    <w:rsid w:val="00454582"/>
    <w:rsid w:val="0045463D"/>
    <w:rsid w:val="00454717"/>
    <w:rsid w:val="00455047"/>
    <w:rsid w:val="00455354"/>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320A"/>
    <w:rsid w:val="0046361D"/>
    <w:rsid w:val="004638E2"/>
    <w:rsid w:val="00464030"/>
    <w:rsid w:val="004647F8"/>
    <w:rsid w:val="004647FB"/>
    <w:rsid w:val="00465456"/>
    <w:rsid w:val="00465677"/>
    <w:rsid w:val="00465AC3"/>
    <w:rsid w:val="00466616"/>
    <w:rsid w:val="00466A0C"/>
    <w:rsid w:val="00470A6A"/>
    <w:rsid w:val="00470D92"/>
    <w:rsid w:val="004712D1"/>
    <w:rsid w:val="00471DF7"/>
    <w:rsid w:val="00471F6B"/>
    <w:rsid w:val="0047226E"/>
    <w:rsid w:val="0047295C"/>
    <w:rsid w:val="00472D8E"/>
    <w:rsid w:val="004734CF"/>
    <w:rsid w:val="00474889"/>
    <w:rsid w:val="00475C5A"/>
    <w:rsid w:val="00475C9C"/>
    <w:rsid w:val="0047676B"/>
    <w:rsid w:val="0047773C"/>
    <w:rsid w:val="00477C5F"/>
    <w:rsid w:val="00480050"/>
    <w:rsid w:val="004808DE"/>
    <w:rsid w:val="00481AC4"/>
    <w:rsid w:val="00481DC1"/>
    <w:rsid w:val="00482507"/>
    <w:rsid w:val="0048268A"/>
    <w:rsid w:val="00482BB3"/>
    <w:rsid w:val="00483356"/>
    <w:rsid w:val="004835CA"/>
    <w:rsid w:val="004836F8"/>
    <w:rsid w:val="004836FE"/>
    <w:rsid w:val="00484074"/>
    <w:rsid w:val="004843F9"/>
    <w:rsid w:val="00484F0F"/>
    <w:rsid w:val="00484F40"/>
    <w:rsid w:val="0048540C"/>
    <w:rsid w:val="0048592F"/>
    <w:rsid w:val="0048605E"/>
    <w:rsid w:val="004861B4"/>
    <w:rsid w:val="004863CC"/>
    <w:rsid w:val="00486AB4"/>
    <w:rsid w:val="00486BD0"/>
    <w:rsid w:val="00486D00"/>
    <w:rsid w:val="00486E74"/>
    <w:rsid w:val="00487263"/>
    <w:rsid w:val="0048734F"/>
    <w:rsid w:val="0049029D"/>
    <w:rsid w:val="0049030C"/>
    <w:rsid w:val="004903C0"/>
    <w:rsid w:val="0049114B"/>
    <w:rsid w:val="004912A8"/>
    <w:rsid w:val="00491577"/>
    <w:rsid w:val="0049196E"/>
    <w:rsid w:val="0049241A"/>
    <w:rsid w:val="00492C1F"/>
    <w:rsid w:val="00492E4C"/>
    <w:rsid w:val="00493B2C"/>
    <w:rsid w:val="00493E04"/>
    <w:rsid w:val="004940E3"/>
    <w:rsid w:val="004942DE"/>
    <w:rsid w:val="0049530F"/>
    <w:rsid w:val="00496664"/>
    <w:rsid w:val="00496786"/>
    <w:rsid w:val="0049695B"/>
    <w:rsid w:val="00496D8F"/>
    <w:rsid w:val="00497463"/>
    <w:rsid w:val="00497B15"/>
    <w:rsid w:val="00497BA8"/>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B0F0B"/>
    <w:rsid w:val="004B163F"/>
    <w:rsid w:val="004B2197"/>
    <w:rsid w:val="004B298A"/>
    <w:rsid w:val="004B3644"/>
    <w:rsid w:val="004B578D"/>
    <w:rsid w:val="004B5BE7"/>
    <w:rsid w:val="004B5E2D"/>
    <w:rsid w:val="004B5ED5"/>
    <w:rsid w:val="004B6793"/>
    <w:rsid w:val="004B6C07"/>
    <w:rsid w:val="004B74D3"/>
    <w:rsid w:val="004B76D3"/>
    <w:rsid w:val="004B788E"/>
    <w:rsid w:val="004B79B3"/>
    <w:rsid w:val="004B7E5D"/>
    <w:rsid w:val="004C0DD8"/>
    <w:rsid w:val="004C22F7"/>
    <w:rsid w:val="004C2B27"/>
    <w:rsid w:val="004C392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84D"/>
    <w:rsid w:val="004D58DE"/>
    <w:rsid w:val="004D61E1"/>
    <w:rsid w:val="004D6826"/>
    <w:rsid w:val="004E023F"/>
    <w:rsid w:val="004E0742"/>
    <w:rsid w:val="004E0C64"/>
    <w:rsid w:val="004E0F6B"/>
    <w:rsid w:val="004E1545"/>
    <w:rsid w:val="004E1F1C"/>
    <w:rsid w:val="004E2A35"/>
    <w:rsid w:val="004E40CE"/>
    <w:rsid w:val="004E4465"/>
    <w:rsid w:val="004E518D"/>
    <w:rsid w:val="004E5736"/>
    <w:rsid w:val="004E5B36"/>
    <w:rsid w:val="004E6045"/>
    <w:rsid w:val="004E6F43"/>
    <w:rsid w:val="004E7200"/>
    <w:rsid w:val="004F034D"/>
    <w:rsid w:val="004F091D"/>
    <w:rsid w:val="004F0960"/>
    <w:rsid w:val="004F0A5C"/>
    <w:rsid w:val="004F0CD9"/>
    <w:rsid w:val="004F163F"/>
    <w:rsid w:val="004F18A0"/>
    <w:rsid w:val="004F1A08"/>
    <w:rsid w:val="004F2B64"/>
    <w:rsid w:val="004F3764"/>
    <w:rsid w:val="004F3EEF"/>
    <w:rsid w:val="004F47D0"/>
    <w:rsid w:val="004F4B65"/>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08C"/>
    <w:rsid w:val="0050284E"/>
    <w:rsid w:val="00505DCB"/>
    <w:rsid w:val="005075CA"/>
    <w:rsid w:val="0051074C"/>
    <w:rsid w:val="00510DE9"/>
    <w:rsid w:val="005111E2"/>
    <w:rsid w:val="00511231"/>
    <w:rsid w:val="0051212F"/>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5ED"/>
    <w:rsid w:val="00523903"/>
    <w:rsid w:val="005239B6"/>
    <w:rsid w:val="00523C45"/>
    <w:rsid w:val="00524165"/>
    <w:rsid w:val="005242BA"/>
    <w:rsid w:val="005246E7"/>
    <w:rsid w:val="00524963"/>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2D95"/>
    <w:rsid w:val="00533101"/>
    <w:rsid w:val="00533CA9"/>
    <w:rsid w:val="00533DA7"/>
    <w:rsid w:val="005342A3"/>
    <w:rsid w:val="005346AD"/>
    <w:rsid w:val="00534BC8"/>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F3F"/>
    <w:rsid w:val="005551AA"/>
    <w:rsid w:val="005564CA"/>
    <w:rsid w:val="005568EA"/>
    <w:rsid w:val="00556E9A"/>
    <w:rsid w:val="00557140"/>
    <w:rsid w:val="00557DE4"/>
    <w:rsid w:val="0056058C"/>
    <w:rsid w:val="00560C87"/>
    <w:rsid w:val="00560EF9"/>
    <w:rsid w:val="00560F51"/>
    <w:rsid w:val="00561249"/>
    <w:rsid w:val="0056182B"/>
    <w:rsid w:val="00561AF3"/>
    <w:rsid w:val="00561E0B"/>
    <w:rsid w:val="00562141"/>
    <w:rsid w:val="00562D86"/>
    <w:rsid w:val="005642EC"/>
    <w:rsid w:val="00564704"/>
    <w:rsid w:val="00564712"/>
    <w:rsid w:val="005657A8"/>
    <w:rsid w:val="00565952"/>
    <w:rsid w:val="00566866"/>
    <w:rsid w:val="005670A5"/>
    <w:rsid w:val="00567106"/>
    <w:rsid w:val="00567723"/>
    <w:rsid w:val="00567AB8"/>
    <w:rsid w:val="00567C02"/>
    <w:rsid w:val="0057045E"/>
    <w:rsid w:val="005707F7"/>
    <w:rsid w:val="00570A26"/>
    <w:rsid w:val="0057170B"/>
    <w:rsid w:val="0057221F"/>
    <w:rsid w:val="00572539"/>
    <w:rsid w:val="0057337D"/>
    <w:rsid w:val="00573504"/>
    <w:rsid w:val="00574708"/>
    <w:rsid w:val="00574D81"/>
    <w:rsid w:val="005756AA"/>
    <w:rsid w:val="00575FB1"/>
    <w:rsid w:val="00576233"/>
    <w:rsid w:val="0057696F"/>
    <w:rsid w:val="005771B1"/>
    <w:rsid w:val="005774FE"/>
    <w:rsid w:val="0058040C"/>
    <w:rsid w:val="00580918"/>
    <w:rsid w:val="00580B97"/>
    <w:rsid w:val="00580D6D"/>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102"/>
    <w:rsid w:val="0059429A"/>
    <w:rsid w:val="00595FDD"/>
    <w:rsid w:val="00596AF7"/>
    <w:rsid w:val="00596CCE"/>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5A3D"/>
    <w:rsid w:val="005A6035"/>
    <w:rsid w:val="005A6B75"/>
    <w:rsid w:val="005A6E00"/>
    <w:rsid w:val="005A718A"/>
    <w:rsid w:val="005A73C2"/>
    <w:rsid w:val="005B09BE"/>
    <w:rsid w:val="005B12B2"/>
    <w:rsid w:val="005B143B"/>
    <w:rsid w:val="005B1504"/>
    <w:rsid w:val="005B1E45"/>
    <w:rsid w:val="005B21C4"/>
    <w:rsid w:val="005B2A28"/>
    <w:rsid w:val="005B3621"/>
    <w:rsid w:val="005B4948"/>
    <w:rsid w:val="005B501D"/>
    <w:rsid w:val="005B54CC"/>
    <w:rsid w:val="005B6AE8"/>
    <w:rsid w:val="005B74AD"/>
    <w:rsid w:val="005B7E96"/>
    <w:rsid w:val="005C0315"/>
    <w:rsid w:val="005C0429"/>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497"/>
    <w:rsid w:val="005C7F3E"/>
    <w:rsid w:val="005D0E1C"/>
    <w:rsid w:val="005D1051"/>
    <w:rsid w:val="005D2044"/>
    <w:rsid w:val="005D27DC"/>
    <w:rsid w:val="005D2917"/>
    <w:rsid w:val="005D2EB2"/>
    <w:rsid w:val="005D2F48"/>
    <w:rsid w:val="005D41F2"/>
    <w:rsid w:val="005D4613"/>
    <w:rsid w:val="005D464B"/>
    <w:rsid w:val="005D466F"/>
    <w:rsid w:val="005D49F0"/>
    <w:rsid w:val="005D51FA"/>
    <w:rsid w:val="005D53E8"/>
    <w:rsid w:val="005D5A26"/>
    <w:rsid w:val="005D5A9D"/>
    <w:rsid w:val="005D6651"/>
    <w:rsid w:val="005D691D"/>
    <w:rsid w:val="005D692C"/>
    <w:rsid w:val="005D6A72"/>
    <w:rsid w:val="005D7035"/>
    <w:rsid w:val="005D749F"/>
    <w:rsid w:val="005D791B"/>
    <w:rsid w:val="005D7CF2"/>
    <w:rsid w:val="005D7F92"/>
    <w:rsid w:val="005E0D7B"/>
    <w:rsid w:val="005E1595"/>
    <w:rsid w:val="005E181F"/>
    <w:rsid w:val="005E1F1D"/>
    <w:rsid w:val="005E273D"/>
    <w:rsid w:val="005E3278"/>
    <w:rsid w:val="005E363B"/>
    <w:rsid w:val="005E3760"/>
    <w:rsid w:val="005E3B0D"/>
    <w:rsid w:val="005E6EA5"/>
    <w:rsid w:val="005E7B03"/>
    <w:rsid w:val="005F041F"/>
    <w:rsid w:val="005F1216"/>
    <w:rsid w:val="005F1819"/>
    <w:rsid w:val="005F1D7D"/>
    <w:rsid w:val="005F1D89"/>
    <w:rsid w:val="005F305B"/>
    <w:rsid w:val="005F3361"/>
    <w:rsid w:val="005F3B47"/>
    <w:rsid w:val="005F4481"/>
    <w:rsid w:val="005F49AF"/>
    <w:rsid w:val="005F4A58"/>
    <w:rsid w:val="005F54DF"/>
    <w:rsid w:val="005F5888"/>
    <w:rsid w:val="005F5984"/>
    <w:rsid w:val="005F5F37"/>
    <w:rsid w:val="005F63B1"/>
    <w:rsid w:val="005F6854"/>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D3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FF7"/>
    <w:rsid w:val="0062471F"/>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95C"/>
    <w:rsid w:val="00633367"/>
    <w:rsid w:val="00633DBF"/>
    <w:rsid w:val="00634122"/>
    <w:rsid w:val="00634C03"/>
    <w:rsid w:val="006355B6"/>
    <w:rsid w:val="00635E32"/>
    <w:rsid w:val="006365DE"/>
    <w:rsid w:val="00636BE4"/>
    <w:rsid w:val="0063746C"/>
    <w:rsid w:val="00637802"/>
    <w:rsid w:val="00637836"/>
    <w:rsid w:val="00637C26"/>
    <w:rsid w:val="00637F44"/>
    <w:rsid w:val="00640659"/>
    <w:rsid w:val="00641078"/>
    <w:rsid w:val="00641242"/>
    <w:rsid w:val="00642A32"/>
    <w:rsid w:val="00642D53"/>
    <w:rsid w:val="006433D5"/>
    <w:rsid w:val="00646B20"/>
    <w:rsid w:val="00646D0F"/>
    <w:rsid w:val="0064708F"/>
    <w:rsid w:val="00647936"/>
    <w:rsid w:val="00647A36"/>
    <w:rsid w:val="00647DCC"/>
    <w:rsid w:val="00647EFA"/>
    <w:rsid w:val="00647F14"/>
    <w:rsid w:val="00650027"/>
    <w:rsid w:val="00651B9C"/>
    <w:rsid w:val="00651C47"/>
    <w:rsid w:val="00651D98"/>
    <w:rsid w:val="00652854"/>
    <w:rsid w:val="00652D2C"/>
    <w:rsid w:val="00652E70"/>
    <w:rsid w:val="0065303A"/>
    <w:rsid w:val="00653091"/>
    <w:rsid w:val="0065339A"/>
    <w:rsid w:val="00653469"/>
    <w:rsid w:val="00654A38"/>
    <w:rsid w:val="00654B4B"/>
    <w:rsid w:val="00655301"/>
    <w:rsid w:val="00655371"/>
    <w:rsid w:val="00655876"/>
    <w:rsid w:val="00656C4B"/>
    <w:rsid w:val="006573EA"/>
    <w:rsid w:val="00657659"/>
    <w:rsid w:val="00661029"/>
    <w:rsid w:val="00661042"/>
    <w:rsid w:val="0066135A"/>
    <w:rsid w:val="00661639"/>
    <w:rsid w:val="00662054"/>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2DE7"/>
    <w:rsid w:val="00672E80"/>
    <w:rsid w:val="006739E4"/>
    <w:rsid w:val="00673ECF"/>
    <w:rsid w:val="0067426B"/>
    <w:rsid w:val="00674A1B"/>
    <w:rsid w:val="006754F8"/>
    <w:rsid w:val="00676127"/>
    <w:rsid w:val="00676AED"/>
    <w:rsid w:val="006776AC"/>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D59"/>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A05"/>
    <w:rsid w:val="00697665"/>
    <w:rsid w:val="00697C9A"/>
    <w:rsid w:val="00697E68"/>
    <w:rsid w:val="006A0274"/>
    <w:rsid w:val="006A24B9"/>
    <w:rsid w:val="006A2A43"/>
    <w:rsid w:val="006A2BF1"/>
    <w:rsid w:val="006A2F9A"/>
    <w:rsid w:val="006A34E4"/>
    <w:rsid w:val="006A3A5A"/>
    <w:rsid w:val="006A44CF"/>
    <w:rsid w:val="006A457D"/>
    <w:rsid w:val="006A4749"/>
    <w:rsid w:val="006A55EE"/>
    <w:rsid w:val="006A575B"/>
    <w:rsid w:val="006A59DE"/>
    <w:rsid w:val="006A63EB"/>
    <w:rsid w:val="006A6655"/>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2454"/>
    <w:rsid w:val="006C2551"/>
    <w:rsid w:val="006C3746"/>
    <w:rsid w:val="006C37CA"/>
    <w:rsid w:val="006C40B7"/>
    <w:rsid w:val="006C40D2"/>
    <w:rsid w:val="006C5B15"/>
    <w:rsid w:val="006C5D32"/>
    <w:rsid w:val="006C5DCB"/>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6A3"/>
    <w:rsid w:val="006D6421"/>
    <w:rsid w:val="006D658F"/>
    <w:rsid w:val="006D69FA"/>
    <w:rsid w:val="006D6A12"/>
    <w:rsid w:val="006D712D"/>
    <w:rsid w:val="006D7687"/>
    <w:rsid w:val="006D7D1F"/>
    <w:rsid w:val="006D7D8A"/>
    <w:rsid w:val="006E0572"/>
    <w:rsid w:val="006E05D8"/>
    <w:rsid w:val="006E08EE"/>
    <w:rsid w:val="006E1130"/>
    <w:rsid w:val="006E155A"/>
    <w:rsid w:val="006E3452"/>
    <w:rsid w:val="006E39D1"/>
    <w:rsid w:val="006E437F"/>
    <w:rsid w:val="006E4D5B"/>
    <w:rsid w:val="006E602F"/>
    <w:rsid w:val="006E6720"/>
    <w:rsid w:val="006E68FA"/>
    <w:rsid w:val="006E7275"/>
    <w:rsid w:val="006E77B8"/>
    <w:rsid w:val="006F15CC"/>
    <w:rsid w:val="006F2812"/>
    <w:rsid w:val="006F3BDD"/>
    <w:rsid w:val="006F4147"/>
    <w:rsid w:val="006F4315"/>
    <w:rsid w:val="006F4478"/>
    <w:rsid w:val="006F458D"/>
    <w:rsid w:val="006F4A6D"/>
    <w:rsid w:val="006F4CB0"/>
    <w:rsid w:val="006F4F78"/>
    <w:rsid w:val="006F547E"/>
    <w:rsid w:val="006F5656"/>
    <w:rsid w:val="006F5CA8"/>
    <w:rsid w:val="006F5CCF"/>
    <w:rsid w:val="006F772B"/>
    <w:rsid w:val="006F78DC"/>
    <w:rsid w:val="00700D5F"/>
    <w:rsid w:val="0070138A"/>
    <w:rsid w:val="0070157E"/>
    <w:rsid w:val="007030D4"/>
    <w:rsid w:val="0070317C"/>
    <w:rsid w:val="00703279"/>
    <w:rsid w:val="00703B61"/>
    <w:rsid w:val="00703B97"/>
    <w:rsid w:val="00703E11"/>
    <w:rsid w:val="00704102"/>
    <w:rsid w:val="0070461C"/>
    <w:rsid w:val="00705631"/>
    <w:rsid w:val="00705818"/>
    <w:rsid w:val="00705F62"/>
    <w:rsid w:val="0070773F"/>
    <w:rsid w:val="00707903"/>
    <w:rsid w:val="00707ED3"/>
    <w:rsid w:val="007101B7"/>
    <w:rsid w:val="00710668"/>
    <w:rsid w:val="007110F4"/>
    <w:rsid w:val="007112B1"/>
    <w:rsid w:val="0071130F"/>
    <w:rsid w:val="00711580"/>
    <w:rsid w:val="00712714"/>
    <w:rsid w:val="007128E3"/>
    <w:rsid w:val="007129AB"/>
    <w:rsid w:val="00712B63"/>
    <w:rsid w:val="007130E7"/>
    <w:rsid w:val="00713526"/>
    <w:rsid w:val="00713FC5"/>
    <w:rsid w:val="00715BBF"/>
    <w:rsid w:val="00715C29"/>
    <w:rsid w:val="00715CBD"/>
    <w:rsid w:val="00715E86"/>
    <w:rsid w:val="00715EAA"/>
    <w:rsid w:val="00716CAD"/>
    <w:rsid w:val="00716E21"/>
    <w:rsid w:val="00716F18"/>
    <w:rsid w:val="0071716D"/>
    <w:rsid w:val="0071718F"/>
    <w:rsid w:val="00717363"/>
    <w:rsid w:val="0071745E"/>
    <w:rsid w:val="00717786"/>
    <w:rsid w:val="00717ACB"/>
    <w:rsid w:val="00721BFF"/>
    <w:rsid w:val="00722FD8"/>
    <w:rsid w:val="007236C4"/>
    <w:rsid w:val="00723B59"/>
    <w:rsid w:val="00724635"/>
    <w:rsid w:val="0072554B"/>
    <w:rsid w:val="00725AFD"/>
    <w:rsid w:val="00725F81"/>
    <w:rsid w:val="00726603"/>
    <w:rsid w:val="00727DDC"/>
    <w:rsid w:val="00730CD6"/>
    <w:rsid w:val="00730F74"/>
    <w:rsid w:val="0073114B"/>
    <w:rsid w:val="00734414"/>
    <w:rsid w:val="00734952"/>
    <w:rsid w:val="00734990"/>
    <w:rsid w:val="00734FF5"/>
    <w:rsid w:val="00735761"/>
    <w:rsid w:val="00735B78"/>
    <w:rsid w:val="00735DA7"/>
    <w:rsid w:val="007368B4"/>
    <w:rsid w:val="007378E0"/>
    <w:rsid w:val="00737C5C"/>
    <w:rsid w:val="0074026F"/>
    <w:rsid w:val="00740529"/>
    <w:rsid w:val="00740A6C"/>
    <w:rsid w:val="00741358"/>
    <w:rsid w:val="00741626"/>
    <w:rsid w:val="00742332"/>
    <w:rsid w:val="00742886"/>
    <w:rsid w:val="00742DD2"/>
    <w:rsid w:val="00743126"/>
    <w:rsid w:val="007437C6"/>
    <w:rsid w:val="007439EE"/>
    <w:rsid w:val="007441A2"/>
    <w:rsid w:val="00744B15"/>
    <w:rsid w:val="00744E80"/>
    <w:rsid w:val="00745035"/>
    <w:rsid w:val="0074531C"/>
    <w:rsid w:val="00745547"/>
    <w:rsid w:val="007459D0"/>
    <w:rsid w:val="00746065"/>
    <w:rsid w:val="0074623A"/>
    <w:rsid w:val="00746420"/>
    <w:rsid w:val="0074664B"/>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3BAC"/>
    <w:rsid w:val="00754A0B"/>
    <w:rsid w:val="007552DB"/>
    <w:rsid w:val="00755B08"/>
    <w:rsid w:val="00755DD0"/>
    <w:rsid w:val="007562EC"/>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228A"/>
    <w:rsid w:val="00762440"/>
    <w:rsid w:val="007629B7"/>
    <w:rsid w:val="00762E60"/>
    <w:rsid w:val="007634AD"/>
    <w:rsid w:val="00766ECC"/>
    <w:rsid w:val="007672F3"/>
    <w:rsid w:val="007676A9"/>
    <w:rsid w:val="007677B5"/>
    <w:rsid w:val="007678B1"/>
    <w:rsid w:val="007701E7"/>
    <w:rsid w:val="00770317"/>
    <w:rsid w:val="007708A8"/>
    <w:rsid w:val="00772275"/>
    <w:rsid w:val="00772FBA"/>
    <w:rsid w:val="007734E4"/>
    <w:rsid w:val="0077380D"/>
    <w:rsid w:val="0077393F"/>
    <w:rsid w:val="00773BC8"/>
    <w:rsid w:val="0077466F"/>
    <w:rsid w:val="007752B7"/>
    <w:rsid w:val="007759A8"/>
    <w:rsid w:val="00775D98"/>
    <w:rsid w:val="00776FE5"/>
    <w:rsid w:val="00777101"/>
    <w:rsid w:val="007774E7"/>
    <w:rsid w:val="0077768C"/>
    <w:rsid w:val="00777696"/>
    <w:rsid w:val="00777868"/>
    <w:rsid w:val="00777FF4"/>
    <w:rsid w:val="00780251"/>
    <w:rsid w:val="007804FE"/>
    <w:rsid w:val="00780F32"/>
    <w:rsid w:val="0078122E"/>
    <w:rsid w:val="00781939"/>
    <w:rsid w:val="00781D29"/>
    <w:rsid w:val="007825EF"/>
    <w:rsid w:val="007827B0"/>
    <w:rsid w:val="0078286B"/>
    <w:rsid w:val="00782D2C"/>
    <w:rsid w:val="00782FC2"/>
    <w:rsid w:val="00784FC4"/>
    <w:rsid w:val="00785BBB"/>
    <w:rsid w:val="00786FAD"/>
    <w:rsid w:val="007873C9"/>
    <w:rsid w:val="00787D90"/>
    <w:rsid w:val="00787F5E"/>
    <w:rsid w:val="00790164"/>
    <w:rsid w:val="007906E2"/>
    <w:rsid w:val="00790A24"/>
    <w:rsid w:val="00790A37"/>
    <w:rsid w:val="00790A60"/>
    <w:rsid w:val="0079146D"/>
    <w:rsid w:val="00791C32"/>
    <w:rsid w:val="00791E08"/>
    <w:rsid w:val="00791FF0"/>
    <w:rsid w:val="00792292"/>
    <w:rsid w:val="007923D0"/>
    <w:rsid w:val="0079302C"/>
    <w:rsid w:val="007930D3"/>
    <w:rsid w:val="0079381F"/>
    <w:rsid w:val="00793B2E"/>
    <w:rsid w:val="007943FC"/>
    <w:rsid w:val="007948F5"/>
    <w:rsid w:val="00795647"/>
    <w:rsid w:val="007963F6"/>
    <w:rsid w:val="00796418"/>
    <w:rsid w:val="00796485"/>
    <w:rsid w:val="00796576"/>
    <w:rsid w:val="00796E80"/>
    <w:rsid w:val="007979AD"/>
    <w:rsid w:val="00797A9C"/>
    <w:rsid w:val="007A0EAB"/>
    <w:rsid w:val="007A2341"/>
    <w:rsid w:val="007A38A1"/>
    <w:rsid w:val="007A3967"/>
    <w:rsid w:val="007A3BBE"/>
    <w:rsid w:val="007A4766"/>
    <w:rsid w:val="007A5816"/>
    <w:rsid w:val="007A5947"/>
    <w:rsid w:val="007B00D8"/>
    <w:rsid w:val="007B0313"/>
    <w:rsid w:val="007B05FB"/>
    <w:rsid w:val="007B0854"/>
    <w:rsid w:val="007B0E48"/>
    <w:rsid w:val="007B18FD"/>
    <w:rsid w:val="007B1D1B"/>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992"/>
    <w:rsid w:val="007B7EA2"/>
    <w:rsid w:val="007C025A"/>
    <w:rsid w:val="007C081B"/>
    <w:rsid w:val="007C097D"/>
    <w:rsid w:val="007C13FA"/>
    <w:rsid w:val="007C1672"/>
    <w:rsid w:val="007C312A"/>
    <w:rsid w:val="007C3570"/>
    <w:rsid w:val="007C37F9"/>
    <w:rsid w:val="007C3F3B"/>
    <w:rsid w:val="007C4241"/>
    <w:rsid w:val="007C55FF"/>
    <w:rsid w:val="007C6339"/>
    <w:rsid w:val="007C6EC5"/>
    <w:rsid w:val="007C778E"/>
    <w:rsid w:val="007C7C43"/>
    <w:rsid w:val="007C7F0D"/>
    <w:rsid w:val="007D0D03"/>
    <w:rsid w:val="007D1134"/>
    <w:rsid w:val="007D20CF"/>
    <w:rsid w:val="007D23F7"/>
    <w:rsid w:val="007D2566"/>
    <w:rsid w:val="007D2C18"/>
    <w:rsid w:val="007D2D74"/>
    <w:rsid w:val="007D333D"/>
    <w:rsid w:val="007D3395"/>
    <w:rsid w:val="007D3693"/>
    <w:rsid w:val="007D3C6D"/>
    <w:rsid w:val="007D409B"/>
    <w:rsid w:val="007D481A"/>
    <w:rsid w:val="007D5402"/>
    <w:rsid w:val="007D5648"/>
    <w:rsid w:val="007D58C5"/>
    <w:rsid w:val="007D5DE8"/>
    <w:rsid w:val="007D7503"/>
    <w:rsid w:val="007D7CFC"/>
    <w:rsid w:val="007D7FFC"/>
    <w:rsid w:val="007E0812"/>
    <w:rsid w:val="007E16A4"/>
    <w:rsid w:val="007E18DF"/>
    <w:rsid w:val="007E213A"/>
    <w:rsid w:val="007E2A04"/>
    <w:rsid w:val="007E2C36"/>
    <w:rsid w:val="007E342A"/>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5F90"/>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59C6"/>
    <w:rsid w:val="00805AD7"/>
    <w:rsid w:val="00805BD6"/>
    <w:rsid w:val="00805DE3"/>
    <w:rsid w:val="00807666"/>
    <w:rsid w:val="00807C35"/>
    <w:rsid w:val="00807F69"/>
    <w:rsid w:val="008100EC"/>
    <w:rsid w:val="008100F7"/>
    <w:rsid w:val="00810206"/>
    <w:rsid w:val="00811898"/>
    <w:rsid w:val="008120C4"/>
    <w:rsid w:val="008124D8"/>
    <w:rsid w:val="0081323E"/>
    <w:rsid w:val="00813A7B"/>
    <w:rsid w:val="00813F04"/>
    <w:rsid w:val="00814B72"/>
    <w:rsid w:val="00814D88"/>
    <w:rsid w:val="00815A07"/>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CE"/>
    <w:rsid w:val="00825240"/>
    <w:rsid w:val="00825B43"/>
    <w:rsid w:val="0082629D"/>
    <w:rsid w:val="00827203"/>
    <w:rsid w:val="0082767A"/>
    <w:rsid w:val="00827CC0"/>
    <w:rsid w:val="00831026"/>
    <w:rsid w:val="00831193"/>
    <w:rsid w:val="0083119B"/>
    <w:rsid w:val="00831654"/>
    <w:rsid w:val="00831BAE"/>
    <w:rsid w:val="00832216"/>
    <w:rsid w:val="00832CD0"/>
    <w:rsid w:val="00833430"/>
    <w:rsid w:val="00834128"/>
    <w:rsid w:val="0083417F"/>
    <w:rsid w:val="00835143"/>
    <w:rsid w:val="008351F8"/>
    <w:rsid w:val="00835741"/>
    <w:rsid w:val="00836E74"/>
    <w:rsid w:val="00836EAB"/>
    <w:rsid w:val="00837673"/>
    <w:rsid w:val="00837937"/>
    <w:rsid w:val="00837D82"/>
    <w:rsid w:val="00840893"/>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B6D"/>
    <w:rsid w:val="00847FFA"/>
    <w:rsid w:val="0085092D"/>
    <w:rsid w:val="00850D82"/>
    <w:rsid w:val="00850F79"/>
    <w:rsid w:val="0085100B"/>
    <w:rsid w:val="0085262F"/>
    <w:rsid w:val="0085304C"/>
    <w:rsid w:val="00853973"/>
    <w:rsid w:val="00853B5D"/>
    <w:rsid w:val="008548C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33B"/>
    <w:rsid w:val="00866495"/>
    <w:rsid w:val="00866931"/>
    <w:rsid w:val="00866FEF"/>
    <w:rsid w:val="00867512"/>
    <w:rsid w:val="0087033C"/>
    <w:rsid w:val="00870B44"/>
    <w:rsid w:val="008712E8"/>
    <w:rsid w:val="008715ED"/>
    <w:rsid w:val="008717D8"/>
    <w:rsid w:val="00871E3C"/>
    <w:rsid w:val="0087213A"/>
    <w:rsid w:val="00872F97"/>
    <w:rsid w:val="00873863"/>
    <w:rsid w:val="0087392A"/>
    <w:rsid w:val="00874607"/>
    <w:rsid w:val="00874915"/>
    <w:rsid w:val="00874B89"/>
    <w:rsid w:val="008752DA"/>
    <w:rsid w:val="00875403"/>
    <w:rsid w:val="00875434"/>
    <w:rsid w:val="00876215"/>
    <w:rsid w:val="0087646C"/>
    <w:rsid w:val="00876815"/>
    <w:rsid w:val="00877932"/>
    <w:rsid w:val="008808C7"/>
    <w:rsid w:val="0088106B"/>
    <w:rsid w:val="0088107D"/>
    <w:rsid w:val="008810EB"/>
    <w:rsid w:val="008812E2"/>
    <w:rsid w:val="0088168A"/>
    <w:rsid w:val="00881E64"/>
    <w:rsid w:val="00882A3F"/>
    <w:rsid w:val="00882E39"/>
    <w:rsid w:val="0088500D"/>
    <w:rsid w:val="008850E3"/>
    <w:rsid w:val="008850EB"/>
    <w:rsid w:val="00886DF2"/>
    <w:rsid w:val="00886FB9"/>
    <w:rsid w:val="00887080"/>
    <w:rsid w:val="00887BC5"/>
    <w:rsid w:val="00887C79"/>
    <w:rsid w:val="008907CC"/>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72F"/>
    <w:rsid w:val="0089582D"/>
    <w:rsid w:val="008959C6"/>
    <w:rsid w:val="0089606D"/>
    <w:rsid w:val="00896129"/>
    <w:rsid w:val="008965DF"/>
    <w:rsid w:val="0089774F"/>
    <w:rsid w:val="00897875"/>
    <w:rsid w:val="00897B8F"/>
    <w:rsid w:val="008A00D8"/>
    <w:rsid w:val="008A00D9"/>
    <w:rsid w:val="008A059D"/>
    <w:rsid w:val="008A07D5"/>
    <w:rsid w:val="008A2527"/>
    <w:rsid w:val="008A295B"/>
    <w:rsid w:val="008A2A23"/>
    <w:rsid w:val="008A2AF5"/>
    <w:rsid w:val="008A2B5A"/>
    <w:rsid w:val="008A2DD1"/>
    <w:rsid w:val="008A3F9D"/>
    <w:rsid w:val="008A5474"/>
    <w:rsid w:val="008A5C9A"/>
    <w:rsid w:val="008A5F23"/>
    <w:rsid w:val="008A6A55"/>
    <w:rsid w:val="008A6C5C"/>
    <w:rsid w:val="008A6DF0"/>
    <w:rsid w:val="008A6F6E"/>
    <w:rsid w:val="008A7888"/>
    <w:rsid w:val="008A796E"/>
    <w:rsid w:val="008B03D8"/>
    <w:rsid w:val="008B0862"/>
    <w:rsid w:val="008B088C"/>
    <w:rsid w:val="008B1BF5"/>
    <w:rsid w:val="008B2268"/>
    <w:rsid w:val="008B263F"/>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B19"/>
    <w:rsid w:val="008C5295"/>
    <w:rsid w:val="008C568F"/>
    <w:rsid w:val="008C62D4"/>
    <w:rsid w:val="008C6B89"/>
    <w:rsid w:val="008C7399"/>
    <w:rsid w:val="008D18AA"/>
    <w:rsid w:val="008D1A16"/>
    <w:rsid w:val="008D1A2A"/>
    <w:rsid w:val="008D29B1"/>
    <w:rsid w:val="008D2EB5"/>
    <w:rsid w:val="008D35D9"/>
    <w:rsid w:val="008D3B85"/>
    <w:rsid w:val="008D4527"/>
    <w:rsid w:val="008D462D"/>
    <w:rsid w:val="008D51F2"/>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0737"/>
    <w:rsid w:val="008F1056"/>
    <w:rsid w:val="008F2E8D"/>
    <w:rsid w:val="008F3374"/>
    <w:rsid w:val="008F387B"/>
    <w:rsid w:val="008F3DD9"/>
    <w:rsid w:val="008F4814"/>
    <w:rsid w:val="008F4B91"/>
    <w:rsid w:val="008F4DA6"/>
    <w:rsid w:val="008F538E"/>
    <w:rsid w:val="008F59B4"/>
    <w:rsid w:val="008F5A20"/>
    <w:rsid w:val="008F5ABA"/>
    <w:rsid w:val="008F6CF9"/>
    <w:rsid w:val="008F7905"/>
    <w:rsid w:val="008F7989"/>
    <w:rsid w:val="008F7D52"/>
    <w:rsid w:val="009026AF"/>
    <w:rsid w:val="009028E8"/>
    <w:rsid w:val="00902E5C"/>
    <w:rsid w:val="0090350D"/>
    <w:rsid w:val="009039EB"/>
    <w:rsid w:val="009046E5"/>
    <w:rsid w:val="0090475D"/>
    <w:rsid w:val="009047C5"/>
    <w:rsid w:val="00910683"/>
    <w:rsid w:val="00910E00"/>
    <w:rsid w:val="009116CE"/>
    <w:rsid w:val="00911714"/>
    <w:rsid w:val="00911A5B"/>
    <w:rsid w:val="009136D4"/>
    <w:rsid w:val="00914B9A"/>
    <w:rsid w:val="00914C3F"/>
    <w:rsid w:val="00914F33"/>
    <w:rsid w:val="009153F6"/>
    <w:rsid w:val="009154D1"/>
    <w:rsid w:val="00915FCE"/>
    <w:rsid w:val="00916AFE"/>
    <w:rsid w:val="00916FC8"/>
    <w:rsid w:val="009170D3"/>
    <w:rsid w:val="0091759C"/>
    <w:rsid w:val="00917910"/>
    <w:rsid w:val="00920026"/>
    <w:rsid w:val="0092032F"/>
    <w:rsid w:val="009203E2"/>
    <w:rsid w:val="00921304"/>
    <w:rsid w:val="0092177A"/>
    <w:rsid w:val="00921805"/>
    <w:rsid w:val="00921BA7"/>
    <w:rsid w:val="00923396"/>
    <w:rsid w:val="00923F56"/>
    <w:rsid w:val="00923FA6"/>
    <w:rsid w:val="009246C4"/>
    <w:rsid w:val="00925743"/>
    <w:rsid w:val="0092579F"/>
    <w:rsid w:val="00927E8D"/>
    <w:rsid w:val="00927F23"/>
    <w:rsid w:val="00930698"/>
    <w:rsid w:val="009307CD"/>
    <w:rsid w:val="00931451"/>
    <w:rsid w:val="009314FA"/>
    <w:rsid w:val="0093194F"/>
    <w:rsid w:val="009319DD"/>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39F8"/>
    <w:rsid w:val="009444B4"/>
    <w:rsid w:val="00944644"/>
    <w:rsid w:val="009449F9"/>
    <w:rsid w:val="009451CE"/>
    <w:rsid w:val="009460F9"/>
    <w:rsid w:val="00946A24"/>
    <w:rsid w:val="009470D4"/>
    <w:rsid w:val="00947337"/>
    <w:rsid w:val="009512FA"/>
    <w:rsid w:val="00951E57"/>
    <w:rsid w:val="00953018"/>
    <w:rsid w:val="009533E2"/>
    <w:rsid w:val="00953554"/>
    <w:rsid w:val="0095385A"/>
    <w:rsid w:val="00953928"/>
    <w:rsid w:val="009540F0"/>
    <w:rsid w:val="00955906"/>
    <w:rsid w:val="00955978"/>
    <w:rsid w:val="00957010"/>
    <w:rsid w:val="009574F8"/>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E33"/>
    <w:rsid w:val="00962F47"/>
    <w:rsid w:val="009631BD"/>
    <w:rsid w:val="00964138"/>
    <w:rsid w:val="00964B3F"/>
    <w:rsid w:val="00964C98"/>
    <w:rsid w:val="00964E0A"/>
    <w:rsid w:val="00965C11"/>
    <w:rsid w:val="00966214"/>
    <w:rsid w:val="00971441"/>
    <w:rsid w:val="009715D4"/>
    <w:rsid w:val="00972470"/>
    <w:rsid w:val="009739A9"/>
    <w:rsid w:val="00973AA2"/>
    <w:rsid w:val="0097494E"/>
    <w:rsid w:val="00974B58"/>
    <w:rsid w:val="00975DA3"/>
    <w:rsid w:val="009761ED"/>
    <w:rsid w:val="009801E7"/>
    <w:rsid w:val="0098022F"/>
    <w:rsid w:val="009810CC"/>
    <w:rsid w:val="009810DE"/>
    <w:rsid w:val="009816A2"/>
    <w:rsid w:val="00981D3C"/>
    <w:rsid w:val="009822D7"/>
    <w:rsid w:val="009827E6"/>
    <w:rsid w:val="00982E70"/>
    <w:rsid w:val="00982F84"/>
    <w:rsid w:val="00983EA8"/>
    <w:rsid w:val="0098427D"/>
    <w:rsid w:val="00984567"/>
    <w:rsid w:val="00985102"/>
    <w:rsid w:val="009865D5"/>
    <w:rsid w:val="009876F2"/>
    <w:rsid w:val="00987C77"/>
    <w:rsid w:val="00990345"/>
    <w:rsid w:val="00990701"/>
    <w:rsid w:val="0099090B"/>
    <w:rsid w:val="00990BC7"/>
    <w:rsid w:val="0099119C"/>
    <w:rsid w:val="0099137A"/>
    <w:rsid w:val="00991805"/>
    <w:rsid w:val="00991E59"/>
    <w:rsid w:val="0099211C"/>
    <w:rsid w:val="00993B78"/>
    <w:rsid w:val="00993CD6"/>
    <w:rsid w:val="0099483A"/>
    <w:rsid w:val="00995119"/>
    <w:rsid w:val="009953AD"/>
    <w:rsid w:val="0099583D"/>
    <w:rsid w:val="00995B7C"/>
    <w:rsid w:val="00996992"/>
    <w:rsid w:val="00996E1E"/>
    <w:rsid w:val="00997392"/>
    <w:rsid w:val="0099747C"/>
    <w:rsid w:val="0099771C"/>
    <w:rsid w:val="009A01E4"/>
    <w:rsid w:val="009A062E"/>
    <w:rsid w:val="009A0917"/>
    <w:rsid w:val="009A0A33"/>
    <w:rsid w:val="009A0A35"/>
    <w:rsid w:val="009A1351"/>
    <w:rsid w:val="009A2435"/>
    <w:rsid w:val="009A3253"/>
    <w:rsid w:val="009A35DC"/>
    <w:rsid w:val="009A38AB"/>
    <w:rsid w:val="009A3CFB"/>
    <w:rsid w:val="009A3D47"/>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6801"/>
    <w:rsid w:val="009B68DD"/>
    <w:rsid w:val="009B6D21"/>
    <w:rsid w:val="009B7266"/>
    <w:rsid w:val="009B78ED"/>
    <w:rsid w:val="009C181C"/>
    <w:rsid w:val="009C1C7F"/>
    <w:rsid w:val="009C233C"/>
    <w:rsid w:val="009C28A2"/>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0872"/>
    <w:rsid w:val="009D11F6"/>
    <w:rsid w:val="009D13B9"/>
    <w:rsid w:val="009D1A14"/>
    <w:rsid w:val="009D1E2A"/>
    <w:rsid w:val="009D1FA0"/>
    <w:rsid w:val="009D2041"/>
    <w:rsid w:val="009D2BDF"/>
    <w:rsid w:val="009D3736"/>
    <w:rsid w:val="009D3964"/>
    <w:rsid w:val="009D40B8"/>
    <w:rsid w:val="009D4529"/>
    <w:rsid w:val="009D4B03"/>
    <w:rsid w:val="009D4DC1"/>
    <w:rsid w:val="009D604F"/>
    <w:rsid w:val="009D61BB"/>
    <w:rsid w:val="009D6410"/>
    <w:rsid w:val="009D65FF"/>
    <w:rsid w:val="009D66B2"/>
    <w:rsid w:val="009D68BB"/>
    <w:rsid w:val="009D6E3A"/>
    <w:rsid w:val="009D6E67"/>
    <w:rsid w:val="009D70C2"/>
    <w:rsid w:val="009D7278"/>
    <w:rsid w:val="009D773A"/>
    <w:rsid w:val="009D7ADB"/>
    <w:rsid w:val="009D7B33"/>
    <w:rsid w:val="009E0703"/>
    <w:rsid w:val="009E0E95"/>
    <w:rsid w:val="009E16DA"/>
    <w:rsid w:val="009E1CD4"/>
    <w:rsid w:val="009E20DC"/>
    <w:rsid w:val="009E2391"/>
    <w:rsid w:val="009E476A"/>
    <w:rsid w:val="009E4E05"/>
    <w:rsid w:val="009E56FF"/>
    <w:rsid w:val="009E5CB1"/>
    <w:rsid w:val="009E5E56"/>
    <w:rsid w:val="009E61EA"/>
    <w:rsid w:val="009E6990"/>
    <w:rsid w:val="009E6FEE"/>
    <w:rsid w:val="009F03F8"/>
    <w:rsid w:val="009F060F"/>
    <w:rsid w:val="009F0781"/>
    <w:rsid w:val="009F0850"/>
    <w:rsid w:val="009F11B2"/>
    <w:rsid w:val="009F1BDF"/>
    <w:rsid w:val="009F1EAE"/>
    <w:rsid w:val="009F29A5"/>
    <w:rsid w:val="009F369D"/>
    <w:rsid w:val="009F36FE"/>
    <w:rsid w:val="009F46A9"/>
    <w:rsid w:val="009F4F25"/>
    <w:rsid w:val="009F5709"/>
    <w:rsid w:val="009F59C2"/>
    <w:rsid w:val="009F61DE"/>
    <w:rsid w:val="009F726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355"/>
    <w:rsid w:val="00A12384"/>
    <w:rsid w:val="00A127A3"/>
    <w:rsid w:val="00A127D2"/>
    <w:rsid w:val="00A12ADA"/>
    <w:rsid w:val="00A143EC"/>
    <w:rsid w:val="00A14A60"/>
    <w:rsid w:val="00A1500F"/>
    <w:rsid w:val="00A15621"/>
    <w:rsid w:val="00A15670"/>
    <w:rsid w:val="00A157A0"/>
    <w:rsid w:val="00A1585B"/>
    <w:rsid w:val="00A15C19"/>
    <w:rsid w:val="00A16809"/>
    <w:rsid w:val="00A17769"/>
    <w:rsid w:val="00A17EA2"/>
    <w:rsid w:val="00A20264"/>
    <w:rsid w:val="00A20997"/>
    <w:rsid w:val="00A21454"/>
    <w:rsid w:val="00A22025"/>
    <w:rsid w:val="00A22498"/>
    <w:rsid w:val="00A22571"/>
    <w:rsid w:val="00A23023"/>
    <w:rsid w:val="00A23A08"/>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304"/>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0C76"/>
    <w:rsid w:val="00A61C60"/>
    <w:rsid w:val="00A62589"/>
    <w:rsid w:val="00A62C3A"/>
    <w:rsid w:val="00A63812"/>
    <w:rsid w:val="00A63DF7"/>
    <w:rsid w:val="00A64505"/>
    <w:rsid w:val="00A668BA"/>
    <w:rsid w:val="00A66FA7"/>
    <w:rsid w:val="00A677F6"/>
    <w:rsid w:val="00A67E16"/>
    <w:rsid w:val="00A703CC"/>
    <w:rsid w:val="00A70C5C"/>
    <w:rsid w:val="00A71EA7"/>
    <w:rsid w:val="00A72DDC"/>
    <w:rsid w:val="00A730AD"/>
    <w:rsid w:val="00A733D2"/>
    <w:rsid w:val="00A73855"/>
    <w:rsid w:val="00A73D64"/>
    <w:rsid w:val="00A73FEA"/>
    <w:rsid w:val="00A74216"/>
    <w:rsid w:val="00A744B4"/>
    <w:rsid w:val="00A749D9"/>
    <w:rsid w:val="00A74D61"/>
    <w:rsid w:val="00A751E3"/>
    <w:rsid w:val="00A75504"/>
    <w:rsid w:val="00A75CD9"/>
    <w:rsid w:val="00A76438"/>
    <w:rsid w:val="00A77168"/>
    <w:rsid w:val="00A7723B"/>
    <w:rsid w:val="00A77525"/>
    <w:rsid w:val="00A7793C"/>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E0B"/>
    <w:rsid w:val="00A9069B"/>
    <w:rsid w:val="00A90F12"/>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3D7B"/>
    <w:rsid w:val="00AA42A0"/>
    <w:rsid w:val="00AA442B"/>
    <w:rsid w:val="00AA46A4"/>
    <w:rsid w:val="00AA5687"/>
    <w:rsid w:val="00AA5779"/>
    <w:rsid w:val="00AA58A1"/>
    <w:rsid w:val="00AA61C7"/>
    <w:rsid w:val="00AA669D"/>
    <w:rsid w:val="00AA66ED"/>
    <w:rsid w:val="00AA6BE1"/>
    <w:rsid w:val="00AA7416"/>
    <w:rsid w:val="00AA7A60"/>
    <w:rsid w:val="00AA7B42"/>
    <w:rsid w:val="00AB041C"/>
    <w:rsid w:val="00AB14E8"/>
    <w:rsid w:val="00AB17EC"/>
    <w:rsid w:val="00AB19AF"/>
    <w:rsid w:val="00AB1B1D"/>
    <w:rsid w:val="00AB2080"/>
    <w:rsid w:val="00AB2216"/>
    <w:rsid w:val="00AB2C0A"/>
    <w:rsid w:val="00AB33A8"/>
    <w:rsid w:val="00AB358D"/>
    <w:rsid w:val="00AB37A1"/>
    <w:rsid w:val="00AB3BAD"/>
    <w:rsid w:val="00AB3CFD"/>
    <w:rsid w:val="00AB40C6"/>
    <w:rsid w:val="00AB49BC"/>
    <w:rsid w:val="00AB4DEE"/>
    <w:rsid w:val="00AB4E32"/>
    <w:rsid w:val="00AB579A"/>
    <w:rsid w:val="00AB5DB2"/>
    <w:rsid w:val="00AB724B"/>
    <w:rsid w:val="00AB726C"/>
    <w:rsid w:val="00AB72B4"/>
    <w:rsid w:val="00AB7982"/>
    <w:rsid w:val="00AC01FD"/>
    <w:rsid w:val="00AC02AA"/>
    <w:rsid w:val="00AC0537"/>
    <w:rsid w:val="00AC0A84"/>
    <w:rsid w:val="00AC2A0B"/>
    <w:rsid w:val="00AC2BEC"/>
    <w:rsid w:val="00AC2BEE"/>
    <w:rsid w:val="00AC2E53"/>
    <w:rsid w:val="00AC484F"/>
    <w:rsid w:val="00AC4A42"/>
    <w:rsid w:val="00AC4B20"/>
    <w:rsid w:val="00AC4D8F"/>
    <w:rsid w:val="00AC56F2"/>
    <w:rsid w:val="00AC5B83"/>
    <w:rsid w:val="00AC6886"/>
    <w:rsid w:val="00AC71C3"/>
    <w:rsid w:val="00AD0DA5"/>
    <w:rsid w:val="00AD1499"/>
    <w:rsid w:val="00AD1C45"/>
    <w:rsid w:val="00AD1EFA"/>
    <w:rsid w:val="00AD2072"/>
    <w:rsid w:val="00AD2165"/>
    <w:rsid w:val="00AD2808"/>
    <w:rsid w:val="00AD2DBD"/>
    <w:rsid w:val="00AD2FBF"/>
    <w:rsid w:val="00AD416B"/>
    <w:rsid w:val="00AD455D"/>
    <w:rsid w:val="00AD463C"/>
    <w:rsid w:val="00AD46A2"/>
    <w:rsid w:val="00AD47E8"/>
    <w:rsid w:val="00AD4F60"/>
    <w:rsid w:val="00AD5044"/>
    <w:rsid w:val="00AD5114"/>
    <w:rsid w:val="00AD6236"/>
    <w:rsid w:val="00AD7619"/>
    <w:rsid w:val="00AD7770"/>
    <w:rsid w:val="00AE0D1C"/>
    <w:rsid w:val="00AE1772"/>
    <w:rsid w:val="00AE1990"/>
    <w:rsid w:val="00AE2523"/>
    <w:rsid w:val="00AE25E8"/>
    <w:rsid w:val="00AE2AD4"/>
    <w:rsid w:val="00AE2CA7"/>
    <w:rsid w:val="00AE2F1D"/>
    <w:rsid w:val="00AE4B2B"/>
    <w:rsid w:val="00AE586F"/>
    <w:rsid w:val="00AE5A78"/>
    <w:rsid w:val="00AE6582"/>
    <w:rsid w:val="00AE6DC5"/>
    <w:rsid w:val="00AE6F62"/>
    <w:rsid w:val="00AE7686"/>
    <w:rsid w:val="00AE799A"/>
    <w:rsid w:val="00AF078E"/>
    <w:rsid w:val="00AF0E81"/>
    <w:rsid w:val="00AF117A"/>
    <w:rsid w:val="00AF186E"/>
    <w:rsid w:val="00AF19DF"/>
    <w:rsid w:val="00AF1F4F"/>
    <w:rsid w:val="00AF26CF"/>
    <w:rsid w:val="00AF4E92"/>
    <w:rsid w:val="00AF554B"/>
    <w:rsid w:val="00AF5C9B"/>
    <w:rsid w:val="00AF5D53"/>
    <w:rsid w:val="00AF5E2D"/>
    <w:rsid w:val="00AF644B"/>
    <w:rsid w:val="00AF6CA6"/>
    <w:rsid w:val="00AF6EB6"/>
    <w:rsid w:val="00AF7796"/>
    <w:rsid w:val="00B011A9"/>
    <w:rsid w:val="00B024ED"/>
    <w:rsid w:val="00B02EB3"/>
    <w:rsid w:val="00B02FCB"/>
    <w:rsid w:val="00B033F8"/>
    <w:rsid w:val="00B03C1E"/>
    <w:rsid w:val="00B04400"/>
    <w:rsid w:val="00B04835"/>
    <w:rsid w:val="00B05A55"/>
    <w:rsid w:val="00B05DE1"/>
    <w:rsid w:val="00B06595"/>
    <w:rsid w:val="00B10109"/>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BFB"/>
    <w:rsid w:val="00B14D32"/>
    <w:rsid w:val="00B1557C"/>
    <w:rsid w:val="00B155DC"/>
    <w:rsid w:val="00B15766"/>
    <w:rsid w:val="00B158F6"/>
    <w:rsid w:val="00B159AA"/>
    <w:rsid w:val="00B1666A"/>
    <w:rsid w:val="00B1686D"/>
    <w:rsid w:val="00B17037"/>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591"/>
    <w:rsid w:val="00B245D5"/>
    <w:rsid w:val="00B24C36"/>
    <w:rsid w:val="00B24F94"/>
    <w:rsid w:val="00B25126"/>
    <w:rsid w:val="00B25A52"/>
    <w:rsid w:val="00B25B0A"/>
    <w:rsid w:val="00B25FC3"/>
    <w:rsid w:val="00B26CC4"/>
    <w:rsid w:val="00B27026"/>
    <w:rsid w:val="00B27875"/>
    <w:rsid w:val="00B3008D"/>
    <w:rsid w:val="00B309C9"/>
    <w:rsid w:val="00B30E11"/>
    <w:rsid w:val="00B30EEB"/>
    <w:rsid w:val="00B30FD0"/>
    <w:rsid w:val="00B31423"/>
    <w:rsid w:val="00B31710"/>
    <w:rsid w:val="00B323E0"/>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B47"/>
    <w:rsid w:val="00B41D39"/>
    <w:rsid w:val="00B422C0"/>
    <w:rsid w:val="00B426CA"/>
    <w:rsid w:val="00B426E1"/>
    <w:rsid w:val="00B4298E"/>
    <w:rsid w:val="00B437F8"/>
    <w:rsid w:val="00B4387A"/>
    <w:rsid w:val="00B44260"/>
    <w:rsid w:val="00B44746"/>
    <w:rsid w:val="00B44854"/>
    <w:rsid w:val="00B458D0"/>
    <w:rsid w:val="00B46120"/>
    <w:rsid w:val="00B4792C"/>
    <w:rsid w:val="00B479D2"/>
    <w:rsid w:val="00B47FAB"/>
    <w:rsid w:val="00B50CAE"/>
    <w:rsid w:val="00B512AD"/>
    <w:rsid w:val="00B5196C"/>
    <w:rsid w:val="00B51A70"/>
    <w:rsid w:val="00B525CB"/>
    <w:rsid w:val="00B52697"/>
    <w:rsid w:val="00B52A3C"/>
    <w:rsid w:val="00B53DA5"/>
    <w:rsid w:val="00B53E7C"/>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135"/>
    <w:rsid w:val="00B65379"/>
    <w:rsid w:val="00B654D3"/>
    <w:rsid w:val="00B65938"/>
    <w:rsid w:val="00B65C8A"/>
    <w:rsid w:val="00B65CE2"/>
    <w:rsid w:val="00B65CED"/>
    <w:rsid w:val="00B660AD"/>
    <w:rsid w:val="00B66109"/>
    <w:rsid w:val="00B66349"/>
    <w:rsid w:val="00B67630"/>
    <w:rsid w:val="00B67FBF"/>
    <w:rsid w:val="00B7024E"/>
    <w:rsid w:val="00B71457"/>
    <w:rsid w:val="00B71FA7"/>
    <w:rsid w:val="00B72110"/>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C54"/>
    <w:rsid w:val="00BA1382"/>
    <w:rsid w:val="00BA1EFD"/>
    <w:rsid w:val="00BA20D8"/>
    <w:rsid w:val="00BA22FC"/>
    <w:rsid w:val="00BA2F30"/>
    <w:rsid w:val="00BA4771"/>
    <w:rsid w:val="00BA4DA4"/>
    <w:rsid w:val="00BA5027"/>
    <w:rsid w:val="00BA665B"/>
    <w:rsid w:val="00BA7370"/>
    <w:rsid w:val="00BA778B"/>
    <w:rsid w:val="00BA79B8"/>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CD1"/>
    <w:rsid w:val="00BC0F33"/>
    <w:rsid w:val="00BC14A7"/>
    <w:rsid w:val="00BC1611"/>
    <w:rsid w:val="00BC1632"/>
    <w:rsid w:val="00BC17CC"/>
    <w:rsid w:val="00BC20A6"/>
    <w:rsid w:val="00BC229E"/>
    <w:rsid w:val="00BC2898"/>
    <w:rsid w:val="00BC2928"/>
    <w:rsid w:val="00BC2AA9"/>
    <w:rsid w:val="00BC2BB1"/>
    <w:rsid w:val="00BC34A3"/>
    <w:rsid w:val="00BC3FF9"/>
    <w:rsid w:val="00BC4068"/>
    <w:rsid w:val="00BC4834"/>
    <w:rsid w:val="00BC4A97"/>
    <w:rsid w:val="00BC5A25"/>
    <w:rsid w:val="00BC5FDD"/>
    <w:rsid w:val="00BC68B4"/>
    <w:rsid w:val="00BC6C2D"/>
    <w:rsid w:val="00BC7B9A"/>
    <w:rsid w:val="00BD00A9"/>
    <w:rsid w:val="00BD0140"/>
    <w:rsid w:val="00BD02CC"/>
    <w:rsid w:val="00BD09A7"/>
    <w:rsid w:val="00BD1675"/>
    <w:rsid w:val="00BD2063"/>
    <w:rsid w:val="00BD33D9"/>
    <w:rsid w:val="00BD38C5"/>
    <w:rsid w:val="00BD3A59"/>
    <w:rsid w:val="00BD3CF1"/>
    <w:rsid w:val="00BD3DEA"/>
    <w:rsid w:val="00BD3E97"/>
    <w:rsid w:val="00BD40E4"/>
    <w:rsid w:val="00BD4563"/>
    <w:rsid w:val="00BD52FE"/>
    <w:rsid w:val="00BD62CF"/>
    <w:rsid w:val="00BD67B2"/>
    <w:rsid w:val="00BD6A07"/>
    <w:rsid w:val="00BD78AB"/>
    <w:rsid w:val="00BD78FE"/>
    <w:rsid w:val="00BD7A91"/>
    <w:rsid w:val="00BE0149"/>
    <w:rsid w:val="00BE01E5"/>
    <w:rsid w:val="00BE0767"/>
    <w:rsid w:val="00BE12D7"/>
    <w:rsid w:val="00BE1372"/>
    <w:rsid w:val="00BE1775"/>
    <w:rsid w:val="00BE17A2"/>
    <w:rsid w:val="00BE18DA"/>
    <w:rsid w:val="00BE26C0"/>
    <w:rsid w:val="00BE3442"/>
    <w:rsid w:val="00BE39F5"/>
    <w:rsid w:val="00BE45DF"/>
    <w:rsid w:val="00BE47B2"/>
    <w:rsid w:val="00BE48C7"/>
    <w:rsid w:val="00BE4F66"/>
    <w:rsid w:val="00BE4F8C"/>
    <w:rsid w:val="00BE5238"/>
    <w:rsid w:val="00BE5D35"/>
    <w:rsid w:val="00BE6074"/>
    <w:rsid w:val="00BE67A2"/>
    <w:rsid w:val="00BE7257"/>
    <w:rsid w:val="00BF020D"/>
    <w:rsid w:val="00BF1DD2"/>
    <w:rsid w:val="00BF23A3"/>
    <w:rsid w:val="00BF28DB"/>
    <w:rsid w:val="00BF2A7E"/>
    <w:rsid w:val="00BF3172"/>
    <w:rsid w:val="00BF3331"/>
    <w:rsid w:val="00BF3A45"/>
    <w:rsid w:val="00BF436F"/>
    <w:rsid w:val="00BF4EC5"/>
    <w:rsid w:val="00BF5723"/>
    <w:rsid w:val="00BF5C05"/>
    <w:rsid w:val="00BF60C8"/>
    <w:rsid w:val="00BF6959"/>
    <w:rsid w:val="00BF6FC6"/>
    <w:rsid w:val="00BF73E1"/>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108B8"/>
    <w:rsid w:val="00C11503"/>
    <w:rsid w:val="00C1159D"/>
    <w:rsid w:val="00C11683"/>
    <w:rsid w:val="00C11798"/>
    <w:rsid w:val="00C118DB"/>
    <w:rsid w:val="00C1233E"/>
    <w:rsid w:val="00C125C1"/>
    <w:rsid w:val="00C12F05"/>
    <w:rsid w:val="00C12FB3"/>
    <w:rsid w:val="00C138BC"/>
    <w:rsid w:val="00C13D85"/>
    <w:rsid w:val="00C14173"/>
    <w:rsid w:val="00C14639"/>
    <w:rsid w:val="00C14E82"/>
    <w:rsid w:val="00C14FF6"/>
    <w:rsid w:val="00C150A6"/>
    <w:rsid w:val="00C15A85"/>
    <w:rsid w:val="00C1641B"/>
    <w:rsid w:val="00C165FC"/>
    <w:rsid w:val="00C176D5"/>
    <w:rsid w:val="00C2082C"/>
    <w:rsid w:val="00C20832"/>
    <w:rsid w:val="00C20EB0"/>
    <w:rsid w:val="00C21005"/>
    <w:rsid w:val="00C2183B"/>
    <w:rsid w:val="00C220B6"/>
    <w:rsid w:val="00C22D7C"/>
    <w:rsid w:val="00C22DDE"/>
    <w:rsid w:val="00C2338B"/>
    <w:rsid w:val="00C233CE"/>
    <w:rsid w:val="00C23661"/>
    <w:rsid w:val="00C236AE"/>
    <w:rsid w:val="00C237DD"/>
    <w:rsid w:val="00C238F4"/>
    <w:rsid w:val="00C23A99"/>
    <w:rsid w:val="00C23B96"/>
    <w:rsid w:val="00C245EE"/>
    <w:rsid w:val="00C24AE1"/>
    <w:rsid w:val="00C24B8D"/>
    <w:rsid w:val="00C24BD7"/>
    <w:rsid w:val="00C252CC"/>
    <w:rsid w:val="00C25813"/>
    <w:rsid w:val="00C27143"/>
    <w:rsid w:val="00C27490"/>
    <w:rsid w:val="00C27A55"/>
    <w:rsid w:val="00C27AFC"/>
    <w:rsid w:val="00C27D37"/>
    <w:rsid w:val="00C27FB2"/>
    <w:rsid w:val="00C302E5"/>
    <w:rsid w:val="00C309E8"/>
    <w:rsid w:val="00C30E37"/>
    <w:rsid w:val="00C32017"/>
    <w:rsid w:val="00C325CD"/>
    <w:rsid w:val="00C3322E"/>
    <w:rsid w:val="00C337F5"/>
    <w:rsid w:val="00C33B90"/>
    <w:rsid w:val="00C34350"/>
    <w:rsid w:val="00C34B5F"/>
    <w:rsid w:val="00C3543E"/>
    <w:rsid w:val="00C358D4"/>
    <w:rsid w:val="00C36785"/>
    <w:rsid w:val="00C36845"/>
    <w:rsid w:val="00C3711C"/>
    <w:rsid w:val="00C37256"/>
    <w:rsid w:val="00C37A7B"/>
    <w:rsid w:val="00C37CFF"/>
    <w:rsid w:val="00C37FFE"/>
    <w:rsid w:val="00C40B50"/>
    <w:rsid w:val="00C41457"/>
    <w:rsid w:val="00C41858"/>
    <w:rsid w:val="00C419E3"/>
    <w:rsid w:val="00C419F4"/>
    <w:rsid w:val="00C41E6A"/>
    <w:rsid w:val="00C421A3"/>
    <w:rsid w:val="00C42247"/>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677BE"/>
    <w:rsid w:val="00C70012"/>
    <w:rsid w:val="00C71CBB"/>
    <w:rsid w:val="00C71E2A"/>
    <w:rsid w:val="00C733BA"/>
    <w:rsid w:val="00C74F3F"/>
    <w:rsid w:val="00C760DC"/>
    <w:rsid w:val="00C8082B"/>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2B77"/>
    <w:rsid w:val="00C93154"/>
    <w:rsid w:val="00C93765"/>
    <w:rsid w:val="00C937BF"/>
    <w:rsid w:val="00C93877"/>
    <w:rsid w:val="00C93D8C"/>
    <w:rsid w:val="00C946CC"/>
    <w:rsid w:val="00C959BD"/>
    <w:rsid w:val="00C95F44"/>
    <w:rsid w:val="00C96D1B"/>
    <w:rsid w:val="00C97106"/>
    <w:rsid w:val="00C97684"/>
    <w:rsid w:val="00CA0031"/>
    <w:rsid w:val="00CA0413"/>
    <w:rsid w:val="00CA043A"/>
    <w:rsid w:val="00CA04F8"/>
    <w:rsid w:val="00CA05B7"/>
    <w:rsid w:val="00CA1691"/>
    <w:rsid w:val="00CA2E65"/>
    <w:rsid w:val="00CA2EA1"/>
    <w:rsid w:val="00CA41E7"/>
    <w:rsid w:val="00CA4B2B"/>
    <w:rsid w:val="00CA5520"/>
    <w:rsid w:val="00CA5812"/>
    <w:rsid w:val="00CA5BD4"/>
    <w:rsid w:val="00CA5C14"/>
    <w:rsid w:val="00CA6119"/>
    <w:rsid w:val="00CA76FC"/>
    <w:rsid w:val="00CA7E7B"/>
    <w:rsid w:val="00CB0236"/>
    <w:rsid w:val="00CB1324"/>
    <w:rsid w:val="00CB19E3"/>
    <w:rsid w:val="00CB2C3A"/>
    <w:rsid w:val="00CB2D38"/>
    <w:rsid w:val="00CB353F"/>
    <w:rsid w:val="00CB4137"/>
    <w:rsid w:val="00CB52D0"/>
    <w:rsid w:val="00CB5578"/>
    <w:rsid w:val="00CB5671"/>
    <w:rsid w:val="00CB591C"/>
    <w:rsid w:val="00CB5943"/>
    <w:rsid w:val="00CB61B3"/>
    <w:rsid w:val="00CB6F83"/>
    <w:rsid w:val="00CB72AE"/>
    <w:rsid w:val="00CB78AD"/>
    <w:rsid w:val="00CC00CD"/>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6C3"/>
    <w:rsid w:val="00CC5864"/>
    <w:rsid w:val="00CC61B7"/>
    <w:rsid w:val="00CC61CA"/>
    <w:rsid w:val="00CC6668"/>
    <w:rsid w:val="00CC69EC"/>
    <w:rsid w:val="00CC71D3"/>
    <w:rsid w:val="00CC743D"/>
    <w:rsid w:val="00CC7E86"/>
    <w:rsid w:val="00CD050A"/>
    <w:rsid w:val="00CD1C54"/>
    <w:rsid w:val="00CD205D"/>
    <w:rsid w:val="00CD2A22"/>
    <w:rsid w:val="00CD2B50"/>
    <w:rsid w:val="00CD3AD3"/>
    <w:rsid w:val="00CD41FE"/>
    <w:rsid w:val="00CD4506"/>
    <w:rsid w:val="00CD520B"/>
    <w:rsid w:val="00CD592E"/>
    <w:rsid w:val="00CD5982"/>
    <w:rsid w:val="00CD5A1A"/>
    <w:rsid w:val="00CD6054"/>
    <w:rsid w:val="00CD7EFA"/>
    <w:rsid w:val="00CE020E"/>
    <w:rsid w:val="00CE0566"/>
    <w:rsid w:val="00CE158B"/>
    <w:rsid w:val="00CE16A9"/>
    <w:rsid w:val="00CE192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897"/>
    <w:rsid w:val="00CF4AF7"/>
    <w:rsid w:val="00CF4D20"/>
    <w:rsid w:val="00CF55DF"/>
    <w:rsid w:val="00CF6180"/>
    <w:rsid w:val="00CF64F6"/>
    <w:rsid w:val="00CF73F8"/>
    <w:rsid w:val="00CF7928"/>
    <w:rsid w:val="00CF7CA2"/>
    <w:rsid w:val="00D00A8E"/>
    <w:rsid w:val="00D00DE0"/>
    <w:rsid w:val="00D00F79"/>
    <w:rsid w:val="00D012BF"/>
    <w:rsid w:val="00D01760"/>
    <w:rsid w:val="00D0368E"/>
    <w:rsid w:val="00D039AD"/>
    <w:rsid w:val="00D03D2D"/>
    <w:rsid w:val="00D03E7B"/>
    <w:rsid w:val="00D0401A"/>
    <w:rsid w:val="00D047E0"/>
    <w:rsid w:val="00D04B9F"/>
    <w:rsid w:val="00D04FFB"/>
    <w:rsid w:val="00D05153"/>
    <w:rsid w:val="00D058E9"/>
    <w:rsid w:val="00D0612A"/>
    <w:rsid w:val="00D06A0E"/>
    <w:rsid w:val="00D1060D"/>
    <w:rsid w:val="00D10E7C"/>
    <w:rsid w:val="00D11182"/>
    <w:rsid w:val="00D1137B"/>
    <w:rsid w:val="00D11773"/>
    <w:rsid w:val="00D11807"/>
    <w:rsid w:val="00D11DB3"/>
    <w:rsid w:val="00D12D82"/>
    <w:rsid w:val="00D1306E"/>
    <w:rsid w:val="00D134CD"/>
    <w:rsid w:val="00D136F8"/>
    <w:rsid w:val="00D13CE5"/>
    <w:rsid w:val="00D14B5F"/>
    <w:rsid w:val="00D14E13"/>
    <w:rsid w:val="00D14F23"/>
    <w:rsid w:val="00D15356"/>
    <w:rsid w:val="00D16054"/>
    <w:rsid w:val="00D160AA"/>
    <w:rsid w:val="00D16740"/>
    <w:rsid w:val="00D16A8B"/>
    <w:rsid w:val="00D16E39"/>
    <w:rsid w:val="00D17951"/>
    <w:rsid w:val="00D17AD8"/>
    <w:rsid w:val="00D17B53"/>
    <w:rsid w:val="00D2104A"/>
    <w:rsid w:val="00D21302"/>
    <w:rsid w:val="00D213F1"/>
    <w:rsid w:val="00D21BB5"/>
    <w:rsid w:val="00D21FFC"/>
    <w:rsid w:val="00D223A3"/>
    <w:rsid w:val="00D223B6"/>
    <w:rsid w:val="00D223E8"/>
    <w:rsid w:val="00D22DC8"/>
    <w:rsid w:val="00D24ECD"/>
    <w:rsid w:val="00D2522A"/>
    <w:rsid w:val="00D2531C"/>
    <w:rsid w:val="00D255F3"/>
    <w:rsid w:val="00D26C21"/>
    <w:rsid w:val="00D2742F"/>
    <w:rsid w:val="00D2754F"/>
    <w:rsid w:val="00D27912"/>
    <w:rsid w:val="00D279D9"/>
    <w:rsid w:val="00D27C74"/>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401BE"/>
    <w:rsid w:val="00D4043A"/>
    <w:rsid w:val="00D40A8E"/>
    <w:rsid w:val="00D40AB0"/>
    <w:rsid w:val="00D40DB0"/>
    <w:rsid w:val="00D40F8B"/>
    <w:rsid w:val="00D41858"/>
    <w:rsid w:val="00D422DB"/>
    <w:rsid w:val="00D42A83"/>
    <w:rsid w:val="00D42AC2"/>
    <w:rsid w:val="00D434EA"/>
    <w:rsid w:val="00D4498E"/>
    <w:rsid w:val="00D4515F"/>
    <w:rsid w:val="00D451E8"/>
    <w:rsid w:val="00D4636B"/>
    <w:rsid w:val="00D466C9"/>
    <w:rsid w:val="00D467D8"/>
    <w:rsid w:val="00D47275"/>
    <w:rsid w:val="00D4767B"/>
    <w:rsid w:val="00D50AEF"/>
    <w:rsid w:val="00D50C39"/>
    <w:rsid w:val="00D51E15"/>
    <w:rsid w:val="00D52B7E"/>
    <w:rsid w:val="00D52E2F"/>
    <w:rsid w:val="00D52F59"/>
    <w:rsid w:val="00D52FD6"/>
    <w:rsid w:val="00D53E3E"/>
    <w:rsid w:val="00D54602"/>
    <w:rsid w:val="00D55904"/>
    <w:rsid w:val="00D5616F"/>
    <w:rsid w:val="00D57940"/>
    <w:rsid w:val="00D60327"/>
    <w:rsid w:val="00D61526"/>
    <w:rsid w:val="00D61F81"/>
    <w:rsid w:val="00D623A9"/>
    <w:rsid w:val="00D62BE6"/>
    <w:rsid w:val="00D633AC"/>
    <w:rsid w:val="00D63766"/>
    <w:rsid w:val="00D63912"/>
    <w:rsid w:val="00D63923"/>
    <w:rsid w:val="00D6451B"/>
    <w:rsid w:val="00D64B57"/>
    <w:rsid w:val="00D65DEA"/>
    <w:rsid w:val="00D65DFE"/>
    <w:rsid w:val="00D67BC7"/>
    <w:rsid w:val="00D701F1"/>
    <w:rsid w:val="00D705D3"/>
    <w:rsid w:val="00D70972"/>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2B"/>
    <w:rsid w:val="00D76A19"/>
    <w:rsid w:val="00D76CBD"/>
    <w:rsid w:val="00D7734F"/>
    <w:rsid w:val="00D8044C"/>
    <w:rsid w:val="00D805D6"/>
    <w:rsid w:val="00D8075E"/>
    <w:rsid w:val="00D80860"/>
    <w:rsid w:val="00D80D4C"/>
    <w:rsid w:val="00D8166D"/>
    <w:rsid w:val="00D8184D"/>
    <w:rsid w:val="00D81A7B"/>
    <w:rsid w:val="00D8223C"/>
    <w:rsid w:val="00D82B57"/>
    <w:rsid w:val="00D82CE5"/>
    <w:rsid w:val="00D8342C"/>
    <w:rsid w:val="00D85494"/>
    <w:rsid w:val="00D8582C"/>
    <w:rsid w:val="00D85D61"/>
    <w:rsid w:val="00D8616D"/>
    <w:rsid w:val="00D8711B"/>
    <w:rsid w:val="00D87384"/>
    <w:rsid w:val="00D90683"/>
    <w:rsid w:val="00D915C8"/>
    <w:rsid w:val="00D9261C"/>
    <w:rsid w:val="00D9310B"/>
    <w:rsid w:val="00D93299"/>
    <w:rsid w:val="00D93726"/>
    <w:rsid w:val="00D93DD3"/>
    <w:rsid w:val="00D93F3E"/>
    <w:rsid w:val="00D9405B"/>
    <w:rsid w:val="00D94942"/>
    <w:rsid w:val="00D95145"/>
    <w:rsid w:val="00D967CB"/>
    <w:rsid w:val="00D96EE0"/>
    <w:rsid w:val="00D97BD1"/>
    <w:rsid w:val="00DA06B8"/>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5196"/>
    <w:rsid w:val="00DB5C03"/>
    <w:rsid w:val="00DB68BB"/>
    <w:rsid w:val="00DB6E46"/>
    <w:rsid w:val="00DB70E2"/>
    <w:rsid w:val="00DB7117"/>
    <w:rsid w:val="00DB7760"/>
    <w:rsid w:val="00DB7DD4"/>
    <w:rsid w:val="00DB7E44"/>
    <w:rsid w:val="00DC00B4"/>
    <w:rsid w:val="00DC037A"/>
    <w:rsid w:val="00DC0954"/>
    <w:rsid w:val="00DC15BA"/>
    <w:rsid w:val="00DC18CD"/>
    <w:rsid w:val="00DC1A68"/>
    <w:rsid w:val="00DC30B8"/>
    <w:rsid w:val="00DC32C6"/>
    <w:rsid w:val="00DC3720"/>
    <w:rsid w:val="00DC478F"/>
    <w:rsid w:val="00DC62E5"/>
    <w:rsid w:val="00DC6AB9"/>
    <w:rsid w:val="00DC6F33"/>
    <w:rsid w:val="00DC729E"/>
    <w:rsid w:val="00DC7349"/>
    <w:rsid w:val="00DD005B"/>
    <w:rsid w:val="00DD118B"/>
    <w:rsid w:val="00DD14D8"/>
    <w:rsid w:val="00DD1599"/>
    <w:rsid w:val="00DD177F"/>
    <w:rsid w:val="00DD1B03"/>
    <w:rsid w:val="00DD2772"/>
    <w:rsid w:val="00DD2A62"/>
    <w:rsid w:val="00DD2F2F"/>
    <w:rsid w:val="00DD2F7A"/>
    <w:rsid w:val="00DD3885"/>
    <w:rsid w:val="00DD5056"/>
    <w:rsid w:val="00DD5808"/>
    <w:rsid w:val="00DD5946"/>
    <w:rsid w:val="00DD5B04"/>
    <w:rsid w:val="00DD5DAE"/>
    <w:rsid w:val="00DD5EC6"/>
    <w:rsid w:val="00DD605F"/>
    <w:rsid w:val="00DD6657"/>
    <w:rsid w:val="00DD6D71"/>
    <w:rsid w:val="00DD7236"/>
    <w:rsid w:val="00DD72A0"/>
    <w:rsid w:val="00DD735D"/>
    <w:rsid w:val="00DE0159"/>
    <w:rsid w:val="00DE064A"/>
    <w:rsid w:val="00DE0755"/>
    <w:rsid w:val="00DE082D"/>
    <w:rsid w:val="00DE1410"/>
    <w:rsid w:val="00DE1ED0"/>
    <w:rsid w:val="00DE3119"/>
    <w:rsid w:val="00DE3FF0"/>
    <w:rsid w:val="00DE4105"/>
    <w:rsid w:val="00DE5189"/>
    <w:rsid w:val="00DE53AD"/>
    <w:rsid w:val="00DE6230"/>
    <w:rsid w:val="00DE7108"/>
    <w:rsid w:val="00DE77DA"/>
    <w:rsid w:val="00DE78D1"/>
    <w:rsid w:val="00DF0263"/>
    <w:rsid w:val="00DF0EB4"/>
    <w:rsid w:val="00DF1730"/>
    <w:rsid w:val="00DF1E36"/>
    <w:rsid w:val="00DF1FDB"/>
    <w:rsid w:val="00DF236B"/>
    <w:rsid w:val="00DF2A91"/>
    <w:rsid w:val="00DF2F82"/>
    <w:rsid w:val="00DF3889"/>
    <w:rsid w:val="00DF3CC9"/>
    <w:rsid w:val="00DF4451"/>
    <w:rsid w:val="00DF4750"/>
    <w:rsid w:val="00DF49FF"/>
    <w:rsid w:val="00DF4FFB"/>
    <w:rsid w:val="00DF5236"/>
    <w:rsid w:val="00DF5A2A"/>
    <w:rsid w:val="00DF651F"/>
    <w:rsid w:val="00DF6E10"/>
    <w:rsid w:val="00DF6F43"/>
    <w:rsid w:val="00DF752F"/>
    <w:rsid w:val="00DF76A2"/>
    <w:rsid w:val="00DF7B33"/>
    <w:rsid w:val="00E00B7A"/>
    <w:rsid w:val="00E02186"/>
    <w:rsid w:val="00E026BB"/>
    <w:rsid w:val="00E027C5"/>
    <w:rsid w:val="00E03124"/>
    <w:rsid w:val="00E031EB"/>
    <w:rsid w:val="00E03951"/>
    <w:rsid w:val="00E03DB8"/>
    <w:rsid w:val="00E057BA"/>
    <w:rsid w:val="00E05E70"/>
    <w:rsid w:val="00E0631A"/>
    <w:rsid w:val="00E064BC"/>
    <w:rsid w:val="00E07225"/>
    <w:rsid w:val="00E07AAA"/>
    <w:rsid w:val="00E102BC"/>
    <w:rsid w:val="00E1079C"/>
    <w:rsid w:val="00E109DD"/>
    <w:rsid w:val="00E11229"/>
    <w:rsid w:val="00E114CA"/>
    <w:rsid w:val="00E11CF0"/>
    <w:rsid w:val="00E12E62"/>
    <w:rsid w:val="00E132D5"/>
    <w:rsid w:val="00E1397F"/>
    <w:rsid w:val="00E13AB8"/>
    <w:rsid w:val="00E13D8F"/>
    <w:rsid w:val="00E1482E"/>
    <w:rsid w:val="00E155D3"/>
    <w:rsid w:val="00E15F97"/>
    <w:rsid w:val="00E16382"/>
    <w:rsid w:val="00E16572"/>
    <w:rsid w:val="00E1699C"/>
    <w:rsid w:val="00E16E75"/>
    <w:rsid w:val="00E1746D"/>
    <w:rsid w:val="00E2012A"/>
    <w:rsid w:val="00E205A2"/>
    <w:rsid w:val="00E20BA4"/>
    <w:rsid w:val="00E20C24"/>
    <w:rsid w:val="00E21236"/>
    <w:rsid w:val="00E220DE"/>
    <w:rsid w:val="00E23137"/>
    <w:rsid w:val="00E231B0"/>
    <w:rsid w:val="00E23980"/>
    <w:rsid w:val="00E241E9"/>
    <w:rsid w:val="00E2510E"/>
    <w:rsid w:val="00E2520A"/>
    <w:rsid w:val="00E253EB"/>
    <w:rsid w:val="00E257C3"/>
    <w:rsid w:val="00E25CB3"/>
    <w:rsid w:val="00E25DA4"/>
    <w:rsid w:val="00E26CB8"/>
    <w:rsid w:val="00E26FCF"/>
    <w:rsid w:val="00E27165"/>
    <w:rsid w:val="00E27226"/>
    <w:rsid w:val="00E3044A"/>
    <w:rsid w:val="00E31A4A"/>
    <w:rsid w:val="00E31C43"/>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40430"/>
    <w:rsid w:val="00E40690"/>
    <w:rsid w:val="00E40AEB"/>
    <w:rsid w:val="00E4143A"/>
    <w:rsid w:val="00E41A5D"/>
    <w:rsid w:val="00E424C8"/>
    <w:rsid w:val="00E4251D"/>
    <w:rsid w:val="00E42E1D"/>
    <w:rsid w:val="00E42F41"/>
    <w:rsid w:val="00E43959"/>
    <w:rsid w:val="00E43D00"/>
    <w:rsid w:val="00E44128"/>
    <w:rsid w:val="00E445E4"/>
    <w:rsid w:val="00E457CB"/>
    <w:rsid w:val="00E45D47"/>
    <w:rsid w:val="00E45DE4"/>
    <w:rsid w:val="00E45E63"/>
    <w:rsid w:val="00E46D10"/>
    <w:rsid w:val="00E50A7B"/>
    <w:rsid w:val="00E50B0B"/>
    <w:rsid w:val="00E510FE"/>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B7B"/>
    <w:rsid w:val="00E61FD7"/>
    <w:rsid w:val="00E623E6"/>
    <w:rsid w:val="00E62D5F"/>
    <w:rsid w:val="00E630C0"/>
    <w:rsid w:val="00E63107"/>
    <w:rsid w:val="00E634E6"/>
    <w:rsid w:val="00E63DCE"/>
    <w:rsid w:val="00E64700"/>
    <w:rsid w:val="00E64E0B"/>
    <w:rsid w:val="00E65074"/>
    <w:rsid w:val="00E65E70"/>
    <w:rsid w:val="00E65EE9"/>
    <w:rsid w:val="00E66087"/>
    <w:rsid w:val="00E66D79"/>
    <w:rsid w:val="00E66FF9"/>
    <w:rsid w:val="00E67856"/>
    <w:rsid w:val="00E679C8"/>
    <w:rsid w:val="00E70314"/>
    <w:rsid w:val="00E70FCD"/>
    <w:rsid w:val="00E724E7"/>
    <w:rsid w:val="00E72B41"/>
    <w:rsid w:val="00E7347B"/>
    <w:rsid w:val="00E73D03"/>
    <w:rsid w:val="00E7471C"/>
    <w:rsid w:val="00E7498A"/>
    <w:rsid w:val="00E7514E"/>
    <w:rsid w:val="00E75B34"/>
    <w:rsid w:val="00E77AF5"/>
    <w:rsid w:val="00E8029A"/>
    <w:rsid w:val="00E803A6"/>
    <w:rsid w:val="00E81653"/>
    <w:rsid w:val="00E818BF"/>
    <w:rsid w:val="00E823F9"/>
    <w:rsid w:val="00E82C1F"/>
    <w:rsid w:val="00E82EEA"/>
    <w:rsid w:val="00E83671"/>
    <w:rsid w:val="00E8414B"/>
    <w:rsid w:val="00E84A71"/>
    <w:rsid w:val="00E8544B"/>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6467"/>
    <w:rsid w:val="00E966DA"/>
    <w:rsid w:val="00E96948"/>
    <w:rsid w:val="00E9737B"/>
    <w:rsid w:val="00E97A3F"/>
    <w:rsid w:val="00E97F0A"/>
    <w:rsid w:val="00EA0100"/>
    <w:rsid w:val="00EA010D"/>
    <w:rsid w:val="00EA04DC"/>
    <w:rsid w:val="00EA0886"/>
    <w:rsid w:val="00EA0BCE"/>
    <w:rsid w:val="00EA111C"/>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44F"/>
    <w:rsid w:val="00EA6750"/>
    <w:rsid w:val="00EB0A89"/>
    <w:rsid w:val="00EB0B22"/>
    <w:rsid w:val="00EB1573"/>
    <w:rsid w:val="00EB1650"/>
    <w:rsid w:val="00EB1910"/>
    <w:rsid w:val="00EB1D24"/>
    <w:rsid w:val="00EB209B"/>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6F1"/>
    <w:rsid w:val="00EC32B4"/>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0FB7"/>
    <w:rsid w:val="00EE1258"/>
    <w:rsid w:val="00EE13DA"/>
    <w:rsid w:val="00EE162F"/>
    <w:rsid w:val="00EE1668"/>
    <w:rsid w:val="00EE1CE5"/>
    <w:rsid w:val="00EE366D"/>
    <w:rsid w:val="00EE5350"/>
    <w:rsid w:val="00EE5454"/>
    <w:rsid w:val="00EE58B8"/>
    <w:rsid w:val="00EE59B5"/>
    <w:rsid w:val="00EE5CF6"/>
    <w:rsid w:val="00EE5D1D"/>
    <w:rsid w:val="00EE5FB7"/>
    <w:rsid w:val="00EE666A"/>
    <w:rsid w:val="00EE6A1A"/>
    <w:rsid w:val="00EE7614"/>
    <w:rsid w:val="00EE7B54"/>
    <w:rsid w:val="00EE7C88"/>
    <w:rsid w:val="00EE7C8B"/>
    <w:rsid w:val="00EF0209"/>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4B9"/>
    <w:rsid w:val="00EF55C4"/>
    <w:rsid w:val="00EF57BC"/>
    <w:rsid w:val="00EF5FD2"/>
    <w:rsid w:val="00EF6784"/>
    <w:rsid w:val="00EF688A"/>
    <w:rsid w:val="00EF6A03"/>
    <w:rsid w:val="00EF6DC2"/>
    <w:rsid w:val="00EF7BF4"/>
    <w:rsid w:val="00F0030F"/>
    <w:rsid w:val="00F00674"/>
    <w:rsid w:val="00F00929"/>
    <w:rsid w:val="00F01657"/>
    <w:rsid w:val="00F01E67"/>
    <w:rsid w:val="00F021B7"/>
    <w:rsid w:val="00F02744"/>
    <w:rsid w:val="00F02BFD"/>
    <w:rsid w:val="00F02D25"/>
    <w:rsid w:val="00F0435D"/>
    <w:rsid w:val="00F04580"/>
    <w:rsid w:val="00F04ECA"/>
    <w:rsid w:val="00F05DC2"/>
    <w:rsid w:val="00F06E19"/>
    <w:rsid w:val="00F06F84"/>
    <w:rsid w:val="00F076E7"/>
    <w:rsid w:val="00F07AA1"/>
    <w:rsid w:val="00F105AE"/>
    <w:rsid w:val="00F10618"/>
    <w:rsid w:val="00F107FD"/>
    <w:rsid w:val="00F1108B"/>
    <w:rsid w:val="00F11768"/>
    <w:rsid w:val="00F11951"/>
    <w:rsid w:val="00F11BA8"/>
    <w:rsid w:val="00F12259"/>
    <w:rsid w:val="00F12262"/>
    <w:rsid w:val="00F12AF8"/>
    <w:rsid w:val="00F12C52"/>
    <w:rsid w:val="00F14352"/>
    <w:rsid w:val="00F148B7"/>
    <w:rsid w:val="00F14BE9"/>
    <w:rsid w:val="00F14EA9"/>
    <w:rsid w:val="00F15505"/>
    <w:rsid w:val="00F15BFF"/>
    <w:rsid w:val="00F17105"/>
    <w:rsid w:val="00F17401"/>
    <w:rsid w:val="00F20A0B"/>
    <w:rsid w:val="00F213A0"/>
    <w:rsid w:val="00F217AB"/>
    <w:rsid w:val="00F21A51"/>
    <w:rsid w:val="00F21D54"/>
    <w:rsid w:val="00F21D6D"/>
    <w:rsid w:val="00F21EF4"/>
    <w:rsid w:val="00F23113"/>
    <w:rsid w:val="00F23255"/>
    <w:rsid w:val="00F23393"/>
    <w:rsid w:val="00F23759"/>
    <w:rsid w:val="00F23CB5"/>
    <w:rsid w:val="00F245A1"/>
    <w:rsid w:val="00F24644"/>
    <w:rsid w:val="00F256FD"/>
    <w:rsid w:val="00F259F1"/>
    <w:rsid w:val="00F26F33"/>
    <w:rsid w:val="00F27E74"/>
    <w:rsid w:val="00F300A8"/>
    <w:rsid w:val="00F30265"/>
    <w:rsid w:val="00F30400"/>
    <w:rsid w:val="00F3079E"/>
    <w:rsid w:val="00F32C50"/>
    <w:rsid w:val="00F33980"/>
    <w:rsid w:val="00F3399B"/>
    <w:rsid w:val="00F33C1A"/>
    <w:rsid w:val="00F3461B"/>
    <w:rsid w:val="00F346ED"/>
    <w:rsid w:val="00F34945"/>
    <w:rsid w:val="00F34E1E"/>
    <w:rsid w:val="00F351E8"/>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45D"/>
    <w:rsid w:val="00F4387B"/>
    <w:rsid w:val="00F4518D"/>
    <w:rsid w:val="00F45B91"/>
    <w:rsid w:val="00F46639"/>
    <w:rsid w:val="00F46692"/>
    <w:rsid w:val="00F47AAA"/>
    <w:rsid w:val="00F47B3B"/>
    <w:rsid w:val="00F50183"/>
    <w:rsid w:val="00F50D92"/>
    <w:rsid w:val="00F51765"/>
    <w:rsid w:val="00F51A51"/>
    <w:rsid w:val="00F51CB4"/>
    <w:rsid w:val="00F52324"/>
    <w:rsid w:val="00F52950"/>
    <w:rsid w:val="00F52C9D"/>
    <w:rsid w:val="00F52E39"/>
    <w:rsid w:val="00F533F1"/>
    <w:rsid w:val="00F55679"/>
    <w:rsid w:val="00F561E3"/>
    <w:rsid w:val="00F565E6"/>
    <w:rsid w:val="00F56AFA"/>
    <w:rsid w:val="00F575E2"/>
    <w:rsid w:val="00F57715"/>
    <w:rsid w:val="00F579FF"/>
    <w:rsid w:val="00F600E0"/>
    <w:rsid w:val="00F600FD"/>
    <w:rsid w:val="00F605EC"/>
    <w:rsid w:val="00F60F60"/>
    <w:rsid w:val="00F612CE"/>
    <w:rsid w:val="00F624A7"/>
    <w:rsid w:val="00F62AB6"/>
    <w:rsid w:val="00F63984"/>
    <w:rsid w:val="00F65A3C"/>
    <w:rsid w:val="00F66282"/>
    <w:rsid w:val="00F67D8B"/>
    <w:rsid w:val="00F70961"/>
    <w:rsid w:val="00F70A8F"/>
    <w:rsid w:val="00F70F18"/>
    <w:rsid w:val="00F71397"/>
    <w:rsid w:val="00F72389"/>
    <w:rsid w:val="00F72516"/>
    <w:rsid w:val="00F72FB4"/>
    <w:rsid w:val="00F73317"/>
    <w:rsid w:val="00F735E5"/>
    <w:rsid w:val="00F73DD9"/>
    <w:rsid w:val="00F73E80"/>
    <w:rsid w:val="00F73F3F"/>
    <w:rsid w:val="00F7469C"/>
    <w:rsid w:val="00F747E9"/>
    <w:rsid w:val="00F7492E"/>
    <w:rsid w:val="00F74945"/>
    <w:rsid w:val="00F749A3"/>
    <w:rsid w:val="00F74A04"/>
    <w:rsid w:val="00F74AE8"/>
    <w:rsid w:val="00F75A86"/>
    <w:rsid w:val="00F76C11"/>
    <w:rsid w:val="00F77021"/>
    <w:rsid w:val="00F775CB"/>
    <w:rsid w:val="00F77E61"/>
    <w:rsid w:val="00F814B2"/>
    <w:rsid w:val="00F815AC"/>
    <w:rsid w:val="00F83200"/>
    <w:rsid w:val="00F83B33"/>
    <w:rsid w:val="00F83CAE"/>
    <w:rsid w:val="00F83E70"/>
    <w:rsid w:val="00F840BF"/>
    <w:rsid w:val="00F8415D"/>
    <w:rsid w:val="00F8427A"/>
    <w:rsid w:val="00F843DF"/>
    <w:rsid w:val="00F84899"/>
    <w:rsid w:val="00F848AB"/>
    <w:rsid w:val="00F84A0A"/>
    <w:rsid w:val="00F853A5"/>
    <w:rsid w:val="00F85585"/>
    <w:rsid w:val="00F859F0"/>
    <w:rsid w:val="00F85CC1"/>
    <w:rsid w:val="00F86A41"/>
    <w:rsid w:val="00F86B5D"/>
    <w:rsid w:val="00F87464"/>
    <w:rsid w:val="00F87634"/>
    <w:rsid w:val="00F87C13"/>
    <w:rsid w:val="00F87C5A"/>
    <w:rsid w:val="00F87E29"/>
    <w:rsid w:val="00F87F18"/>
    <w:rsid w:val="00F87F68"/>
    <w:rsid w:val="00F90C4D"/>
    <w:rsid w:val="00F90F7A"/>
    <w:rsid w:val="00F9167D"/>
    <w:rsid w:val="00F91CB2"/>
    <w:rsid w:val="00F9289C"/>
    <w:rsid w:val="00F93DBC"/>
    <w:rsid w:val="00F93E41"/>
    <w:rsid w:val="00F94644"/>
    <w:rsid w:val="00F95075"/>
    <w:rsid w:val="00F9537B"/>
    <w:rsid w:val="00F95567"/>
    <w:rsid w:val="00F963FC"/>
    <w:rsid w:val="00FA015F"/>
    <w:rsid w:val="00FA0FAC"/>
    <w:rsid w:val="00FA1DA2"/>
    <w:rsid w:val="00FA3414"/>
    <w:rsid w:val="00FA347A"/>
    <w:rsid w:val="00FA39D7"/>
    <w:rsid w:val="00FA3CDE"/>
    <w:rsid w:val="00FA49B7"/>
    <w:rsid w:val="00FA5043"/>
    <w:rsid w:val="00FA5E75"/>
    <w:rsid w:val="00FA6F8B"/>
    <w:rsid w:val="00FA7A30"/>
    <w:rsid w:val="00FB033F"/>
    <w:rsid w:val="00FB0F29"/>
    <w:rsid w:val="00FB12E3"/>
    <w:rsid w:val="00FB1570"/>
    <w:rsid w:val="00FB193B"/>
    <w:rsid w:val="00FB1FBC"/>
    <w:rsid w:val="00FB27B7"/>
    <w:rsid w:val="00FB2C36"/>
    <w:rsid w:val="00FB3483"/>
    <w:rsid w:val="00FB35E3"/>
    <w:rsid w:val="00FB4D3F"/>
    <w:rsid w:val="00FB583C"/>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E50"/>
    <w:rsid w:val="00FC710F"/>
    <w:rsid w:val="00FC79AB"/>
    <w:rsid w:val="00FC7BE7"/>
    <w:rsid w:val="00FC7DAC"/>
    <w:rsid w:val="00FD04AE"/>
    <w:rsid w:val="00FD086B"/>
    <w:rsid w:val="00FD1890"/>
    <w:rsid w:val="00FD1994"/>
    <w:rsid w:val="00FD21A9"/>
    <w:rsid w:val="00FD2AC8"/>
    <w:rsid w:val="00FD2CA6"/>
    <w:rsid w:val="00FD3508"/>
    <w:rsid w:val="00FD393C"/>
    <w:rsid w:val="00FD43BB"/>
    <w:rsid w:val="00FD4AF3"/>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1AC"/>
    <w:rsid w:val="00FE42ED"/>
    <w:rsid w:val="00FE4C6D"/>
    <w:rsid w:val="00FE55A7"/>
    <w:rsid w:val="00FE55E6"/>
    <w:rsid w:val="00FE56D5"/>
    <w:rsid w:val="00FE5C5A"/>
    <w:rsid w:val="00FE6432"/>
    <w:rsid w:val="00FE6517"/>
    <w:rsid w:val="00FE72A0"/>
    <w:rsid w:val="00FF0050"/>
    <w:rsid w:val="00FF045F"/>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746"/>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table" w:customStyle="1" w:styleId="Tablaconcuadrcula3">
    <w:name w:val="Tabla con cuadrícula3"/>
    <w:basedOn w:val="Tablanormal"/>
    <w:next w:val="Tablaconcuadrcula"/>
    <w:uiPriority w:val="39"/>
    <w:rsid w:val="0052496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524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524963"/>
  </w:style>
  <w:style w:type="character" w:styleId="Hipervnculovisitado">
    <w:name w:val="FollowedHyperlink"/>
    <w:basedOn w:val="Fuentedeprrafopredeter"/>
    <w:uiPriority w:val="99"/>
    <w:semiHidden/>
    <w:unhideWhenUsed/>
    <w:rsid w:val="00743126"/>
    <w:rPr>
      <w:color w:val="F2F2F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0697073">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0174958">
      <w:bodyDiv w:val="1"/>
      <w:marLeft w:val="0"/>
      <w:marRight w:val="0"/>
      <w:marTop w:val="0"/>
      <w:marBottom w:val="0"/>
      <w:divBdr>
        <w:top w:val="none" w:sz="0" w:space="0" w:color="auto"/>
        <w:left w:val="none" w:sz="0" w:space="0" w:color="auto"/>
        <w:bottom w:val="none" w:sz="0" w:space="0" w:color="auto"/>
        <w:right w:val="none" w:sz="0" w:space="0" w:color="auto"/>
      </w:divBdr>
    </w:div>
    <w:div w:id="769859655">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38247148">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2595055">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173516">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4824306">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89364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685942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dnp.gov.co/Paginas/Proyecto-de-Decret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3.xml><?xml version="1.0" encoding="utf-8"?>
<ds:datastoreItem xmlns:ds="http://schemas.openxmlformats.org/officeDocument/2006/customXml" ds:itemID="{B3A8F07B-CF35-4C2A-B3D2-1C11DAB08972}"/>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19</Pages>
  <Words>6625</Words>
  <Characters>36443</Characters>
  <Application>Microsoft Office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2</cp:revision>
  <cp:lastPrinted>2020-01-30T15:05:00Z</cp:lastPrinted>
  <dcterms:created xsi:type="dcterms:W3CDTF">2022-04-22T15:23:00Z</dcterms:created>
  <dcterms:modified xsi:type="dcterms:W3CDTF">2022-04-22T15:23:00Z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