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E7FCEC" w14:textId="77777777" w:rsidR="009566C8" w:rsidRPr="00433FDC" w:rsidRDefault="009566C8" w:rsidP="009566C8">
      <w:pPr>
        <w:jc w:val="both"/>
        <w:rPr>
          <w:rFonts w:ascii="Arial" w:eastAsia="Calibri" w:hAnsi="Arial" w:cs="Arial"/>
          <w:b/>
          <w:sz w:val="22"/>
          <w:szCs w:val="22"/>
          <w:lang w:val="es-ES"/>
        </w:rPr>
      </w:pPr>
      <w:r w:rsidRPr="00433FDC">
        <w:rPr>
          <w:rFonts w:ascii="Arial" w:eastAsia="Calibri" w:hAnsi="Arial" w:cs="Arial"/>
          <w:b/>
          <w:sz w:val="22"/>
          <w:szCs w:val="22"/>
          <w:lang w:val="es-ES"/>
        </w:rPr>
        <w:t xml:space="preserve">DOCUMENTOS TIPO VERSIÓN 3 – Licitación pública para obra de infraestructura de transporte – Definición de experiencia exigible </w:t>
      </w:r>
    </w:p>
    <w:p w14:paraId="10DEDEB3" w14:textId="77777777" w:rsidR="009566C8" w:rsidRPr="00857761" w:rsidRDefault="009566C8" w:rsidP="009566C8">
      <w:pPr>
        <w:jc w:val="both"/>
        <w:rPr>
          <w:rFonts w:ascii="Arial" w:eastAsia="Calibri" w:hAnsi="Arial" w:cs="Arial"/>
          <w:bCs/>
          <w:lang w:val="es-ES"/>
        </w:rPr>
      </w:pPr>
    </w:p>
    <w:p w14:paraId="1C318B2D" w14:textId="77777777" w:rsidR="000D4243" w:rsidRDefault="009566C8" w:rsidP="009566C8">
      <w:pPr>
        <w:jc w:val="both"/>
        <w:rPr>
          <w:rFonts w:ascii="Arial" w:eastAsia="Calibri" w:hAnsi="Arial" w:cs="Arial"/>
          <w:bCs/>
          <w:sz w:val="20"/>
          <w:szCs w:val="20"/>
          <w:lang w:val="es-ES"/>
        </w:rPr>
      </w:pPr>
      <w:r w:rsidRPr="003027A0">
        <w:rPr>
          <w:rFonts w:ascii="Arial" w:eastAsia="Calibri" w:hAnsi="Arial" w:cs="Arial"/>
          <w:bCs/>
          <w:sz w:val="20"/>
          <w:szCs w:val="20"/>
          <w:lang w:val="es-ES"/>
        </w:rPr>
        <w:t xml:space="preserve">De acuerdo con las condiciones fijadas en el «Documento Base» de los «Documentos Tipo – Versión 3» de licitación para obras públicas para infraestructura de transporte, adoptados por la </w:t>
      </w:r>
      <w:proofErr w:type="spellStart"/>
      <w:r w:rsidRPr="003027A0">
        <w:rPr>
          <w:rFonts w:ascii="Arial" w:eastAsia="Calibri" w:hAnsi="Arial" w:cs="Arial"/>
          <w:bCs/>
          <w:sz w:val="20"/>
          <w:szCs w:val="20"/>
          <w:lang w:val="es-ES"/>
        </w:rPr>
        <w:t>la</w:t>
      </w:r>
      <w:proofErr w:type="spellEnd"/>
      <w:r w:rsidRPr="003027A0">
        <w:rPr>
          <w:rFonts w:ascii="Arial" w:eastAsia="Calibri" w:hAnsi="Arial" w:cs="Arial"/>
          <w:bCs/>
          <w:sz w:val="20"/>
          <w:szCs w:val="20"/>
          <w:lang w:val="es-ES"/>
        </w:rPr>
        <w:t xml:space="preserve"> Resolución No. 240 del 27 de noviembre de 2020,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seis (6) contratos, que debieron terminar antes de la fecha de cierre del proceso de contratación. Así se desprende del literal C del numeral 3.5.2 del Documento Base adoptado por la Resolución No. 240 de 2020</w:t>
      </w:r>
    </w:p>
    <w:p w14:paraId="41A9C7C1" w14:textId="77777777" w:rsidR="000D4243" w:rsidRDefault="000D4243" w:rsidP="009566C8">
      <w:pPr>
        <w:jc w:val="both"/>
        <w:rPr>
          <w:rFonts w:ascii="Arial" w:eastAsia="Calibri" w:hAnsi="Arial" w:cs="Arial"/>
          <w:bCs/>
          <w:sz w:val="20"/>
          <w:szCs w:val="20"/>
          <w:lang w:val="es-ES"/>
        </w:rPr>
      </w:pPr>
    </w:p>
    <w:p w14:paraId="51124142" w14:textId="33B4FF10" w:rsidR="009566C8" w:rsidRDefault="009566C8" w:rsidP="009566C8">
      <w:pPr>
        <w:jc w:val="both"/>
        <w:rPr>
          <w:rFonts w:ascii="Arial" w:eastAsia="Calibri" w:hAnsi="Arial" w:cs="Arial"/>
          <w:bCs/>
          <w:sz w:val="20"/>
          <w:szCs w:val="20"/>
          <w:lang w:val="es-ES"/>
        </w:rPr>
      </w:pPr>
      <w:r>
        <w:rPr>
          <w:rFonts w:ascii="Arial" w:eastAsia="Calibri" w:hAnsi="Arial" w:cs="Arial"/>
          <w:bCs/>
          <w:sz w:val="20"/>
          <w:szCs w:val="20"/>
          <w:lang w:val="es-ES"/>
        </w:rPr>
        <w:t>[…]</w:t>
      </w:r>
    </w:p>
    <w:p w14:paraId="445E5EB6" w14:textId="77777777" w:rsidR="009566C8" w:rsidRDefault="009566C8" w:rsidP="009566C8">
      <w:pPr>
        <w:jc w:val="both"/>
        <w:rPr>
          <w:rFonts w:ascii="Arial" w:eastAsia="Calibri" w:hAnsi="Arial" w:cs="Arial"/>
          <w:bCs/>
          <w:sz w:val="20"/>
          <w:szCs w:val="20"/>
          <w:lang w:val="es-ES"/>
        </w:rPr>
      </w:pPr>
    </w:p>
    <w:p w14:paraId="73644EDF" w14:textId="77777777" w:rsidR="009566C8" w:rsidRDefault="009566C8" w:rsidP="009566C8">
      <w:pPr>
        <w:jc w:val="both"/>
        <w:rPr>
          <w:rFonts w:ascii="Arial" w:eastAsia="Calibri" w:hAnsi="Arial" w:cs="Arial"/>
          <w:bCs/>
          <w:sz w:val="20"/>
          <w:szCs w:val="20"/>
          <w:lang w:val="es-ES"/>
        </w:rPr>
      </w:pPr>
      <w:r w:rsidRPr="003027A0">
        <w:rPr>
          <w:rFonts w:ascii="Arial" w:eastAsia="Calibri" w:hAnsi="Arial" w:cs="Arial"/>
          <w:bCs/>
          <w:sz w:val="20"/>
          <w:szCs w:val="20"/>
          <w:lang w:val="es-ES"/>
        </w:rPr>
        <w:t>Como se observa, el número de contratos aportados por el proponente debe certificar un valor mínimo correspondiente a un porcentaje del presupuesto oficial del proceso de obra expresado en SMMLV, cuya verificación se hará con base en la sumatoria de los valores totales ejecutados de los contratos que cumplan con los requisitos establecidos en el pliego de condiciones. Para tales efectos, se establecen unas relaciones entre el número de contratos usados para acreditar la experiencia, los valores ejecutados en estos y un valor porcentual mínimo del presupuesto oficial de la obra ofertada que deben superar para que la experiencia sea válida y, en consecuencia, los proponentes puedan habilitarse en lo que a este requisito se refiere.</w:t>
      </w:r>
    </w:p>
    <w:p w14:paraId="6A32AA49" w14:textId="77777777" w:rsidR="009566C8" w:rsidRPr="00857761" w:rsidRDefault="009566C8" w:rsidP="009566C8">
      <w:pPr>
        <w:jc w:val="both"/>
        <w:rPr>
          <w:rFonts w:ascii="Arial" w:eastAsia="Calibri" w:hAnsi="Arial" w:cs="Arial"/>
          <w:b/>
          <w:lang w:val="es-ES"/>
        </w:rPr>
      </w:pPr>
    </w:p>
    <w:p w14:paraId="34BB944D" w14:textId="28DBA55B" w:rsidR="009566C8" w:rsidRPr="00433FDC" w:rsidRDefault="009566C8" w:rsidP="009566C8">
      <w:pPr>
        <w:jc w:val="both"/>
        <w:rPr>
          <w:rFonts w:ascii="Arial" w:eastAsia="Calibri" w:hAnsi="Arial" w:cs="Arial"/>
          <w:b/>
          <w:sz w:val="22"/>
          <w:szCs w:val="22"/>
          <w:lang w:val="es-ES"/>
        </w:rPr>
      </w:pPr>
      <w:r w:rsidRPr="00433FDC">
        <w:rPr>
          <w:rFonts w:ascii="Arial" w:eastAsia="Calibri" w:hAnsi="Arial" w:cs="Arial"/>
          <w:b/>
          <w:sz w:val="22"/>
          <w:szCs w:val="22"/>
          <w:lang w:val="es-ES"/>
        </w:rPr>
        <w:t xml:space="preserve">MATRIZ 1 – </w:t>
      </w:r>
      <w:r w:rsidR="00D7465E" w:rsidRPr="00433FDC">
        <w:rPr>
          <w:rFonts w:ascii="Arial" w:eastAsia="Calibri" w:hAnsi="Arial" w:cs="Arial"/>
          <w:b/>
          <w:sz w:val="22"/>
          <w:szCs w:val="22"/>
          <w:lang w:val="es-ES"/>
        </w:rPr>
        <w:t>Experiencia</w:t>
      </w:r>
      <w:r w:rsidRPr="00433FDC">
        <w:rPr>
          <w:rFonts w:ascii="Arial" w:eastAsia="Calibri" w:hAnsi="Arial" w:cs="Arial"/>
          <w:b/>
          <w:sz w:val="22"/>
          <w:szCs w:val="22"/>
          <w:lang w:val="es-ES"/>
        </w:rPr>
        <w:t xml:space="preserve"> – Requisitos de experiencia general y específica </w:t>
      </w:r>
    </w:p>
    <w:p w14:paraId="1B352963" w14:textId="77777777" w:rsidR="009566C8" w:rsidRPr="00433FDC" w:rsidRDefault="009566C8" w:rsidP="009566C8">
      <w:pPr>
        <w:jc w:val="both"/>
        <w:rPr>
          <w:rFonts w:ascii="Arial" w:eastAsia="Calibri" w:hAnsi="Arial" w:cs="Arial"/>
          <w:b/>
          <w:sz w:val="22"/>
          <w:szCs w:val="22"/>
          <w:lang w:val="es-ES"/>
        </w:rPr>
      </w:pPr>
    </w:p>
    <w:p w14:paraId="61818584" w14:textId="77777777" w:rsidR="009566C8" w:rsidRPr="00857761" w:rsidRDefault="009566C8" w:rsidP="009566C8">
      <w:pPr>
        <w:jc w:val="both"/>
        <w:rPr>
          <w:rFonts w:ascii="Arial" w:eastAsia="Calibri" w:hAnsi="Arial" w:cs="Arial"/>
          <w:bCs/>
          <w:sz w:val="20"/>
          <w:szCs w:val="20"/>
          <w:lang w:val="es-ES"/>
        </w:rPr>
      </w:pPr>
      <w:r w:rsidRPr="00857761">
        <w:rPr>
          <w:rFonts w:ascii="Arial" w:eastAsia="Calibri" w:hAnsi="Arial" w:cs="Arial"/>
          <w:bCs/>
          <w:sz w:val="20"/>
          <w:szCs w:val="20"/>
          <w:lang w:val="es-ES"/>
        </w:rPr>
        <w:t>La entidad estatal que adelanta un proceso de contratación de licitación de obra pública de infraestructura de transporte debe definir la experiencia exigible teniendo en cuenta las condiciones fijadas en la Matriz 1, de acuerdo con los siguientes pasos:</w:t>
      </w:r>
    </w:p>
    <w:p w14:paraId="40EC0EE4" w14:textId="77777777" w:rsidR="009566C8" w:rsidRPr="00857761" w:rsidRDefault="009566C8" w:rsidP="009566C8">
      <w:pPr>
        <w:jc w:val="both"/>
        <w:rPr>
          <w:rFonts w:ascii="Arial" w:eastAsia="Calibri" w:hAnsi="Arial" w:cs="Arial"/>
          <w:bCs/>
          <w:sz w:val="20"/>
          <w:szCs w:val="20"/>
          <w:lang w:val="es-ES"/>
        </w:rPr>
      </w:pPr>
    </w:p>
    <w:p w14:paraId="3B0416EC" w14:textId="77777777" w:rsidR="009566C8" w:rsidRPr="00857761" w:rsidRDefault="009566C8" w:rsidP="009566C8">
      <w:pPr>
        <w:jc w:val="both"/>
        <w:rPr>
          <w:rFonts w:ascii="Arial" w:eastAsia="Calibri" w:hAnsi="Arial" w:cs="Arial"/>
          <w:bCs/>
          <w:sz w:val="20"/>
          <w:szCs w:val="20"/>
          <w:lang w:val="es-ES"/>
        </w:rPr>
      </w:pPr>
      <w:r w:rsidRPr="00857761">
        <w:rPr>
          <w:rFonts w:ascii="Arial" w:eastAsia="Calibri" w:hAnsi="Arial" w:cs="Arial"/>
          <w:bCs/>
          <w:sz w:val="20"/>
          <w:szCs w:val="20"/>
          <w:lang w:val="es-ES"/>
        </w:rPr>
        <w:t>a) Establecer si se trata de un proyecto de complejidad baja-media o alta, y en función de ello establecer la Matriz 1 aplicable.</w:t>
      </w:r>
    </w:p>
    <w:p w14:paraId="26F02A43" w14:textId="77777777" w:rsidR="009566C8" w:rsidRPr="00857761" w:rsidRDefault="009566C8" w:rsidP="009566C8">
      <w:pPr>
        <w:jc w:val="both"/>
        <w:rPr>
          <w:rFonts w:ascii="Arial" w:eastAsia="Calibri" w:hAnsi="Arial" w:cs="Arial"/>
          <w:bCs/>
          <w:sz w:val="20"/>
          <w:szCs w:val="20"/>
          <w:lang w:val="es-ES"/>
        </w:rPr>
      </w:pPr>
      <w:r w:rsidRPr="00857761">
        <w:rPr>
          <w:rFonts w:ascii="Arial" w:eastAsia="Calibri" w:hAnsi="Arial" w:cs="Arial"/>
          <w:bCs/>
          <w:sz w:val="20"/>
          <w:szCs w:val="20"/>
          <w:lang w:val="es-ES"/>
        </w:rPr>
        <w:t xml:space="preserve"> b) Identificada la respectiva Matriz 1, la entidad deberá determinar el tipo de infraestructura sobre el cual recae la obra a ejecutar. Al respecto esta matriz contiene ocho (8) secciones que corresponden a los tipos de infraestructura estandarizados.</w:t>
      </w:r>
    </w:p>
    <w:p w14:paraId="66920D9A" w14:textId="77777777" w:rsidR="009566C8" w:rsidRPr="00857761" w:rsidRDefault="009566C8" w:rsidP="009566C8">
      <w:pPr>
        <w:jc w:val="both"/>
        <w:rPr>
          <w:rFonts w:ascii="Arial" w:eastAsia="Calibri" w:hAnsi="Arial" w:cs="Arial"/>
          <w:bCs/>
          <w:sz w:val="20"/>
          <w:szCs w:val="20"/>
          <w:lang w:val="es-ES"/>
        </w:rPr>
      </w:pPr>
      <w:r w:rsidRPr="00857761">
        <w:rPr>
          <w:rFonts w:ascii="Arial" w:eastAsia="Calibri" w:hAnsi="Arial" w:cs="Arial"/>
          <w:bCs/>
          <w:sz w:val="20"/>
          <w:szCs w:val="20"/>
          <w:lang w:val="es-ES"/>
        </w:rPr>
        <w:t xml:space="preserve">c) Definido el tipo de infraestructura, identificar la «ACTIVIDAD A CONTRATAR» acorde con la matriz 1. </w:t>
      </w:r>
    </w:p>
    <w:p w14:paraId="0C20AECE" w14:textId="77777777" w:rsidR="009566C8" w:rsidRPr="00857761" w:rsidRDefault="009566C8" w:rsidP="009566C8">
      <w:pPr>
        <w:jc w:val="both"/>
        <w:rPr>
          <w:rFonts w:ascii="Arial" w:eastAsia="Calibri" w:hAnsi="Arial" w:cs="Arial"/>
          <w:bCs/>
          <w:sz w:val="20"/>
          <w:szCs w:val="20"/>
          <w:lang w:val="es-ES"/>
        </w:rPr>
      </w:pPr>
      <w:r w:rsidRPr="00857761">
        <w:rPr>
          <w:rFonts w:ascii="Arial" w:eastAsia="Calibri" w:hAnsi="Arial" w:cs="Arial"/>
          <w:bCs/>
          <w:sz w:val="20"/>
          <w:szCs w:val="20"/>
          <w:lang w:val="es-ES"/>
        </w:rPr>
        <w:t xml:space="preserve">d) Identificar el rango en el cual se encuentra el proceso de contratación de acuerdo con el presupuesto oficial. </w:t>
      </w:r>
    </w:p>
    <w:p w14:paraId="5CDED0DA" w14:textId="77777777" w:rsidR="009566C8" w:rsidRPr="00857761" w:rsidRDefault="009566C8" w:rsidP="009566C8">
      <w:pPr>
        <w:jc w:val="both"/>
        <w:rPr>
          <w:rFonts w:ascii="Arial" w:eastAsia="Calibri" w:hAnsi="Arial" w:cs="Arial"/>
          <w:bCs/>
          <w:sz w:val="20"/>
          <w:szCs w:val="20"/>
          <w:lang w:val="es-ES"/>
        </w:rPr>
      </w:pPr>
      <w:r w:rsidRPr="00857761">
        <w:rPr>
          <w:rFonts w:ascii="Arial" w:eastAsia="Calibri" w:hAnsi="Arial" w:cs="Arial"/>
          <w:bCs/>
          <w:sz w:val="20"/>
          <w:szCs w:val="20"/>
          <w:lang w:val="es-ES"/>
        </w:rPr>
        <w:t xml:space="preserve">e) Identificar la «experiencia general» exigible acorde con la Matriz 1 teniendo en cuenta la actividad a contratar y el rango de la cuantía del Proceso de Contratación. </w:t>
      </w:r>
    </w:p>
    <w:p w14:paraId="6AFF27FD" w14:textId="77777777" w:rsidR="009566C8" w:rsidRPr="00857761" w:rsidRDefault="009566C8" w:rsidP="009566C8">
      <w:pPr>
        <w:jc w:val="both"/>
        <w:rPr>
          <w:rFonts w:ascii="Arial" w:eastAsia="Calibri" w:hAnsi="Arial" w:cs="Arial"/>
          <w:bCs/>
          <w:sz w:val="20"/>
          <w:szCs w:val="20"/>
          <w:lang w:val="es-ES"/>
        </w:rPr>
      </w:pPr>
      <w:r w:rsidRPr="00857761">
        <w:rPr>
          <w:rFonts w:ascii="Arial" w:eastAsia="Calibri" w:hAnsi="Arial" w:cs="Arial"/>
          <w:bCs/>
          <w:sz w:val="20"/>
          <w:szCs w:val="20"/>
          <w:lang w:val="es-ES"/>
        </w:rPr>
        <w:t xml:space="preserve">f) Identificar la «experiencia específica» exigible y el porcentaje de dimensionamiento que se puede solicitar acorde con la longitud a ejecutar, de acuerdo con la cuantía del proceso de contratación. Cuando en la «experiencia específica» se indiquen las siglas N.A significa que la entidad estatal no puede exigir a los proponentes experiencia específica en los procesos de contratación. </w:t>
      </w:r>
    </w:p>
    <w:p w14:paraId="59AE0B38" w14:textId="77777777" w:rsidR="009566C8" w:rsidRPr="00857761" w:rsidRDefault="009566C8" w:rsidP="009566C8">
      <w:pPr>
        <w:jc w:val="both"/>
        <w:rPr>
          <w:rFonts w:ascii="Arial" w:eastAsia="Calibri" w:hAnsi="Arial" w:cs="Arial"/>
          <w:b/>
          <w:bCs/>
          <w:lang w:val="es-ES"/>
        </w:rPr>
      </w:pPr>
      <w:r w:rsidRPr="00857761">
        <w:rPr>
          <w:rFonts w:ascii="Arial" w:eastAsia="Calibri" w:hAnsi="Arial" w:cs="Arial"/>
          <w:bCs/>
          <w:sz w:val="20"/>
          <w:szCs w:val="20"/>
          <w:lang w:val="es-ES"/>
        </w:rPr>
        <w:t>g) Establecidos los requisitos de experiencia exigibles, la entidad deberá consignarlos en los apartados grises entre corchetes del literal A del numeral 3.5.2 del documento base, para que los oferentes puedan conocer los requisitos de experiencia general y específica exigidos por la entidad.</w:t>
      </w:r>
      <w:bookmarkStart w:id="0" w:name="_Hlk65849162"/>
    </w:p>
    <w:p w14:paraId="04F15C5B" w14:textId="77777777" w:rsidR="009566C8" w:rsidRDefault="009566C8" w:rsidP="009566C8">
      <w:pPr>
        <w:jc w:val="both"/>
        <w:rPr>
          <w:rFonts w:ascii="Arial" w:eastAsia="Calibri" w:hAnsi="Arial" w:cs="Arial"/>
          <w:b/>
          <w:lang w:val="es-MX"/>
        </w:rPr>
      </w:pPr>
    </w:p>
    <w:p w14:paraId="01651290" w14:textId="2D273B1F" w:rsidR="00677226" w:rsidRDefault="00677226" w:rsidP="00677226">
      <w:pPr>
        <w:jc w:val="both"/>
        <w:rPr>
          <w:rFonts w:ascii="Arial" w:eastAsia="Calibri" w:hAnsi="Arial" w:cs="Arial"/>
          <w:b/>
          <w:sz w:val="22"/>
          <w:szCs w:val="22"/>
          <w:lang w:val="es-ES"/>
        </w:rPr>
      </w:pPr>
      <w:r w:rsidRPr="00433FDC">
        <w:rPr>
          <w:rFonts w:ascii="Arial" w:eastAsia="Calibri" w:hAnsi="Arial" w:cs="Arial"/>
          <w:b/>
          <w:sz w:val="22"/>
          <w:szCs w:val="22"/>
          <w:lang w:val="es-ES"/>
        </w:rPr>
        <w:lastRenderedPageBreak/>
        <w:t xml:space="preserve">MATRIZ 1 – </w:t>
      </w:r>
      <w:r w:rsidR="00D7465E" w:rsidRPr="00433FDC">
        <w:rPr>
          <w:rFonts w:ascii="Arial" w:eastAsia="Calibri" w:hAnsi="Arial" w:cs="Arial"/>
          <w:b/>
          <w:sz w:val="22"/>
          <w:szCs w:val="22"/>
          <w:lang w:val="es-ES"/>
        </w:rPr>
        <w:t>Experiencia</w:t>
      </w:r>
      <w:r w:rsidRPr="00433FDC">
        <w:rPr>
          <w:rFonts w:ascii="Arial" w:eastAsia="Calibri" w:hAnsi="Arial" w:cs="Arial"/>
          <w:b/>
          <w:sz w:val="22"/>
          <w:szCs w:val="22"/>
          <w:lang w:val="es-ES"/>
        </w:rPr>
        <w:t xml:space="preserve"> – Alta complejidad – </w:t>
      </w:r>
      <w:r w:rsidR="003A4E1E" w:rsidRPr="00433FDC">
        <w:rPr>
          <w:rFonts w:ascii="Arial" w:eastAsia="Calibri" w:hAnsi="Arial" w:cs="Arial"/>
          <w:b/>
          <w:sz w:val="22"/>
          <w:szCs w:val="22"/>
          <w:lang w:val="es-ES"/>
        </w:rPr>
        <w:t xml:space="preserve">Experiencia general – </w:t>
      </w:r>
      <w:r w:rsidRPr="00433FDC">
        <w:rPr>
          <w:rFonts w:ascii="Arial" w:eastAsia="Calibri" w:hAnsi="Arial" w:cs="Arial"/>
          <w:b/>
          <w:sz w:val="22"/>
          <w:szCs w:val="22"/>
          <w:lang w:val="es-ES"/>
        </w:rPr>
        <w:t>Numeral 4.2 – Conjunción copulativa</w:t>
      </w:r>
    </w:p>
    <w:p w14:paraId="7DE71E2F" w14:textId="77777777" w:rsidR="00D413DC" w:rsidRPr="00433FDC" w:rsidRDefault="00D413DC" w:rsidP="00677226">
      <w:pPr>
        <w:jc w:val="both"/>
        <w:rPr>
          <w:rFonts w:ascii="Arial" w:eastAsia="Calibri" w:hAnsi="Arial" w:cs="Arial"/>
          <w:b/>
          <w:sz w:val="22"/>
          <w:szCs w:val="22"/>
          <w:lang w:val="es-ES"/>
        </w:rPr>
      </w:pPr>
    </w:p>
    <w:p w14:paraId="7CC12DE5" w14:textId="0FCF2329" w:rsidR="009D78F1" w:rsidRDefault="009D78F1" w:rsidP="003A4E1E">
      <w:pPr>
        <w:jc w:val="both"/>
        <w:rPr>
          <w:rFonts w:ascii="Arial" w:eastAsia="Calibri" w:hAnsi="Arial" w:cs="Arial"/>
          <w:bCs/>
          <w:sz w:val="20"/>
          <w:szCs w:val="20"/>
          <w:lang w:val="es-ES"/>
        </w:rPr>
      </w:pPr>
      <w:r w:rsidRPr="009D78F1">
        <w:rPr>
          <w:rFonts w:ascii="Arial" w:eastAsia="Calibri" w:hAnsi="Arial" w:cs="Arial"/>
          <w:bCs/>
          <w:sz w:val="20"/>
          <w:szCs w:val="20"/>
          <w:lang w:val="es-ES"/>
        </w:rPr>
        <w:t>debe tenerse en cuenta que «y» es una conjunción, la cual es definida como: «[…] 4. f. Gram. Clase de palabras invariables, generalmente átonas, cuyos elementos manifiestan relaciones de coordinación o subordinación entre palabras, grupos sintácticos u oraciones». Conforme a esto, el referido conector es una conjunción de carácter coordinante, esto significa, «[…] que enlaza elementos sintácticos mediante coordinación». Específicamente, es una conjunción coordinante copulativa, es decir «[…] que forma conjuntos cuyos elementos se suman»</w:t>
      </w:r>
      <w:r>
        <w:rPr>
          <w:rFonts w:ascii="Arial" w:eastAsia="Calibri" w:hAnsi="Arial" w:cs="Arial"/>
          <w:bCs/>
          <w:sz w:val="20"/>
          <w:szCs w:val="20"/>
          <w:lang w:val="es-ES"/>
        </w:rPr>
        <w:t>.</w:t>
      </w:r>
    </w:p>
    <w:p w14:paraId="23469853" w14:textId="77777777" w:rsidR="009D78F1" w:rsidRDefault="009D78F1" w:rsidP="003A4E1E">
      <w:pPr>
        <w:jc w:val="both"/>
        <w:rPr>
          <w:rFonts w:ascii="Arial" w:eastAsia="Calibri" w:hAnsi="Arial" w:cs="Arial"/>
          <w:bCs/>
          <w:sz w:val="20"/>
          <w:szCs w:val="20"/>
          <w:lang w:val="es-ES"/>
        </w:rPr>
      </w:pPr>
    </w:p>
    <w:p w14:paraId="1DF6DBD0" w14:textId="77777777" w:rsidR="00FC5DB3" w:rsidRDefault="00FC5DB3" w:rsidP="003A4E1E">
      <w:pPr>
        <w:jc w:val="both"/>
        <w:rPr>
          <w:rFonts w:ascii="Arial" w:eastAsia="Calibri" w:hAnsi="Arial" w:cs="Arial"/>
          <w:bCs/>
          <w:sz w:val="20"/>
          <w:szCs w:val="20"/>
          <w:lang w:val="es-ES"/>
        </w:rPr>
      </w:pPr>
      <w:r>
        <w:rPr>
          <w:rFonts w:ascii="Arial" w:eastAsia="Calibri" w:hAnsi="Arial" w:cs="Arial"/>
          <w:bCs/>
          <w:sz w:val="20"/>
          <w:szCs w:val="20"/>
          <w:lang w:val="es-ES"/>
        </w:rPr>
        <w:t>[…]</w:t>
      </w:r>
    </w:p>
    <w:p w14:paraId="29C159FC" w14:textId="77777777" w:rsidR="00FC5DB3" w:rsidRDefault="00FC5DB3" w:rsidP="003A4E1E">
      <w:pPr>
        <w:jc w:val="both"/>
        <w:rPr>
          <w:rFonts w:ascii="Arial" w:eastAsia="Calibri" w:hAnsi="Arial" w:cs="Arial"/>
          <w:bCs/>
          <w:sz w:val="20"/>
          <w:szCs w:val="20"/>
          <w:lang w:val="es-ES"/>
        </w:rPr>
      </w:pPr>
    </w:p>
    <w:p w14:paraId="2EDD9088" w14:textId="61FBE935" w:rsidR="00677226" w:rsidRPr="00677226" w:rsidRDefault="00FC5DB3" w:rsidP="003A4E1E">
      <w:pPr>
        <w:jc w:val="both"/>
        <w:rPr>
          <w:rFonts w:ascii="Arial" w:eastAsia="Calibri" w:hAnsi="Arial" w:cs="Arial"/>
          <w:bCs/>
          <w:sz w:val="20"/>
          <w:szCs w:val="20"/>
          <w:lang w:val="es-ES"/>
        </w:rPr>
      </w:pPr>
      <w:r>
        <w:rPr>
          <w:rFonts w:ascii="Arial" w:eastAsia="Calibri" w:hAnsi="Arial" w:cs="Arial"/>
          <w:bCs/>
          <w:sz w:val="20"/>
          <w:szCs w:val="20"/>
          <w:lang w:val="es-ES"/>
        </w:rPr>
        <w:t xml:space="preserve">[…] </w:t>
      </w:r>
      <w:r w:rsidRPr="00FC5DB3">
        <w:rPr>
          <w:rFonts w:ascii="Arial" w:eastAsia="Calibri" w:hAnsi="Arial" w:cs="Arial"/>
          <w:bCs/>
          <w:sz w:val="20"/>
          <w:szCs w:val="20"/>
          <w:lang w:val="es-ES"/>
        </w:rPr>
        <w:t xml:space="preserve">respecto del objeto de la consulta, es menester afirmar que la experiencia general establecida para la actividad 4.2 en la Matriz 1 de los documentos tipo de licitación de obra pública de infraestructura de transporte, debe ser exigida y acreditada según lo sugiere el texto mediante el que se consagra el requisito. En el caso de la actividad objeto de consulta, esto implica que el requerimiento establecido como experiencia general comprende, por un lado, actividades de «CONSTRUCCIÓN O MEJORAMIENTO O MANTENIMIENTO O REHABILITACIÓN DE OBRAS DE ESTABILIZACIÓN DE TALUDES O RECUPERACIÓN DE BANCA», </w:t>
      </w:r>
      <w:proofErr w:type="gramStart"/>
      <w:r w:rsidRPr="00FC5DB3">
        <w:rPr>
          <w:rFonts w:ascii="Arial" w:eastAsia="Calibri" w:hAnsi="Arial" w:cs="Arial"/>
          <w:bCs/>
          <w:sz w:val="20"/>
          <w:szCs w:val="20"/>
          <w:lang w:val="es-ES"/>
        </w:rPr>
        <w:t>y</w:t>
      </w:r>
      <w:proofErr w:type="gramEnd"/>
      <w:r w:rsidRPr="00FC5DB3">
        <w:rPr>
          <w:rFonts w:ascii="Arial" w:eastAsia="Calibri" w:hAnsi="Arial" w:cs="Arial"/>
          <w:bCs/>
          <w:sz w:val="20"/>
          <w:szCs w:val="20"/>
          <w:lang w:val="es-ES"/>
        </w:rPr>
        <w:t xml:space="preserve"> por otro lado, actividades de «ATENCIÓN OBRAS DE EMERGENCIAS MEDIANTE LA CONSTRUCCIÓN DE OBRAS DE ESTABILIZACIÓN DE TALUDES O RECUPERACIÓN DE BANCA». En ese sentido, dado el carácter de conjunción copulativa de la expresión «y», la conclusión no es otra distinta a que, el requisito de experiencia general involucra, necesariamente, actividades que se mencionan previa y posteriormente al referido conector, por lo que, para cumplir el requisito, es necesario acreditar experiencia en algunas de los objetos que se enlistan antes de «y», pero también en alguno de los que se señalan después</w:t>
      </w:r>
      <w:r w:rsidR="00677226" w:rsidRPr="00677226">
        <w:rPr>
          <w:rFonts w:ascii="Arial" w:eastAsia="Calibri" w:hAnsi="Arial" w:cs="Arial"/>
          <w:bCs/>
          <w:sz w:val="20"/>
          <w:szCs w:val="20"/>
          <w:lang w:val="es-ES"/>
        </w:rPr>
        <w:t>.</w:t>
      </w:r>
    </w:p>
    <w:p w14:paraId="6D364F6A" w14:textId="77777777" w:rsidR="008F3766" w:rsidRDefault="008F3766">
      <w:pPr>
        <w:spacing w:after="160" w:line="259" w:lineRule="auto"/>
        <w:rPr>
          <w:rFonts w:ascii="Arial" w:hAnsi="Arial" w:cs="Arial"/>
          <w:sz w:val="22"/>
        </w:rPr>
      </w:pPr>
      <w:bookmarkStart w:id="1" w:name="_Hlk91594368"/>
      <w:bookmarkEnd w:id="0"/>
      <w:r>
        <w:rPr>
          <w:rFonts w:ascii="Arial" w:hAnsi="Arial" w:cs="Arial"/>
          <w:sz w:val="22"/>
        </w:rPr>
        <w:br w:type="page"/>
      </w:r>
    </w:p>
    <w:p w14:paraId="0A80A71C" w14:textId="58C799E5" w:rsidR="009D118F" w:rsidRDefault="009D118F" w:rsidP="008F3766">
      <w:pPr>
        <w:widowControl w:val="0"/>
        <w:spacing w:after="120"/>
        <w:rPr>
          <w:rFonts w:ascii="Arial" w:hAnsi="Arial" w:cs="Arial"/>
          <w:sz w:val="22"/>
        </w:rPr>
      </w:pPr>
      <w:r w:rsidRPr="009D118F">
        <w:rPr>
          <w:rFonts w:ascii="Arial" w:hAnsi="Arial" w:cs="Arial"/>
          <w:noProof/>
          <w:sz w:val="22"/>
        </w:rPr>
        <w:lastRenderedPageBreak/>
        <w:drawing>
          <wp:anchor distT="0" distB="0" distL="114300" distR="114300" simplePos="0" relativeHeight="251660288" behindDoc="1" locked="0" layoutInCell="1" allowOverlap="1" wp14:anchorId="13185EFD" wp14:editId="5CD551F3">
            <wp:simplePos x="0" y="0"/>
            <wp:positionH relativeFrom="margin">
              <wp:posOffset>3200400</wp:posOffset>
            </wp:positionH>
            <wp:positionV relativeFrom="paragraph">
              <wp:posOffset>-714375</wp:posOffset>
            </wp:positionV>
            <wp:extent cx="2657475" cy="658246"/>
            <wp:effectExtent l="0" t="0" r="0" b="889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57475" cy="65824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8D3BC9A" w14:textId="77777777" w:rsidR="009D118F" w:rsidRDefault="009D118F" w:rsidP="008F3766">
      <w:pPr>
        <w:widowControl w:val="0"/>
        <w:spacing w:after="120"/>
        <w:rPr>
          <w:rFonts w:ascii="Arial" w:hAnsi="Arial" w:cs="Arial"/>
          <w:sz w:val="22"/>
        </w:rPr>
      </w:pPr>
    </w:p>
    <w:p w14:paraId="101D4972" w14:textId="77777777" w:rsidR="009D118F" w:rsidRDefault="009D118F" w:rsidP="008F3766">
      <w:pPr>
        <w:widowControl w:val="0"/>
        <w:spacing w:after="120"/>
        <w:rPr>
          <w:rFonts w:ascii="Arial" w:hAnsi="Arial" w:cs="Arial"/>
          <w:sz w:val="22"/>
        </w:rPr>
      </w:pPr>
    </w:p>
    <w:p w14:paraId="177D37B9" w14:textId="71B76A54" w:rsidR="00FA7028" w:rsidRDefault="00D32DA5" w:rsidP="00FA7028">
      <w:pPr>
        <w:rPr>
          <w:rFonts w:ascii="Arial" w:hAnsi="Arial" w:cs="Arial"/>
          <w:b/>
          <w:sz w:val="22"/>
        </w:rPr>
      </w:pPr>
      <w:r>
        <w:rPr>
          <w:rFonts w:ascii="ArialMT" w:eastAsiaTheme="minorHAnsi" w:hAnsi="ArialMT" w:cs="ArialMT"/>
          <w:color w:val="4E4D4D"/>
          <w:sz w:val="22"/>
          <w:szCs w:val="22"/>
          <w:lang w:eastAsia="en-US"/>
        </w:rPr>
        <w:t>Bogotá, 18 Abril 2022</w:t>
      </w:r>
    </w:p>
    <w:p w14:paraId="64B55726" w14:textId="77777777" w:rsidR="00FA7028" w:rsidRDefault="00FA7028" w:rsidP="00FA7028">
      <w:pPr>
        <w:jc w:val="both"/>
        <w:rPr>
          <w:rFonts w:ascii="Arial" w:hAnsi="Arial" w:cs="Arial"/>
          <w:b/>
          <w:sz w:val="22"/>
        </w:rPr>
      </w:pPr>
    </w:p>
    <w:p w14:paraId="774EBEF5" w14:textId="77777777" w:rsidR="00D32DA5" w:rsidRDefault="00D32DA5" w:rsidP="00FA7028">
      <w:pPr>
        <w:jc w:val="both"/>
        <w:rPr>
          <w:rFonts w:ascii="Arial" w:hAnsi="Arial" w:cs="Arial"/>
          <w:sz w:val="22"/>
        </w:rPr>
      </w:pPr>
    </w:p>
    <w:p w14:paraId="6DB88E3A" w14:textId="129395B8" w:rsidR="00663BF6" w:rsidRPr="00EE03AE" w:rsidRDefault="00663BF6" w:rsidP="00AB5723">
      <w:pPr>
        <w:rPr>
          <w:rFonts w:ascii="Arial" w:eastAsia="Calibri" w:hAnsi="Arial" w:cs="Arial"/>
          <w:b/>
          <w:bCs/>
          <w:color w:val="000000"/>
          <w:sz w:val="22"/>
          <w:szCs w:val="22"/>
          <w:lang w:val="es-ES_tradnl"/>
        </w:rPr>
      </w:pPr>
      <w:r w:rsidRPr="00EE03AE">
        <w:rPr>
          <w:rFonts w:ascii="Arial" w:eastAsia="Calibri" w:hAnsi="Arial" w:cs="Arial"/>
          <w:color w:val="000000"/>
          <w:sz w:val="22"/>
          <w:szCs w:val="22"/>
          <w:lang w:val="es-ES_tradnl"/>
        </w:rPr>
        <w:t>Señor</w:t>
      </w:r>
    </w:p>
    <w:p w14:paraId="5C353F1B" w14:textId="0D4C8F8D" w:rsidR="00663BF6" w:rsidRPr="00EE03AE" w:rsidRDefault="00FA7028" w:rsidP="00663BF6">
      <w:pPr>
        <w:jc w:val="both"/>
        <w:rPr>
          <w:rFonts w:ascii="Arial" w:hAnsi="Arial" w:cs="Arial"/>
          <w:b/>
          <w:bCs/>
          <w:color w:val="000000"/>
          <w:sz w:val="22"/>
          <w:szCs w:val="22"/>
        </w:rPr>
      </w:pPr>
      <w:r w:rsidRPr="00EE03AE">
        <w:rPr>
          <w:rFonts w:ascii="Arial" w:hAnsi="Arial" w:cs="Arial"/>
          <w:b/>
          <w:bCs/>
          <w:color w:val="000000"/>
          <w:sz w:val="22"/>
          <w:szCs w:val="22"/>
        </w:rPr>
        <w:t>Sergio Armando Heredia Luna</w:t>
      </w:r>
    </w:p>
    <w:p w14:paraId="2822CCCF" w14:textId="5B2F47A8" w:rsidR="00FA7028" w:rsidRPr="00EE03AE" w:rsidRDefault="00FA7028" w:rsidP="00663BF6">
      <w:pPr>
        <w:jc w:val="both"/>
        <w:rPr>
          <w:rFonts w:ascii="Arial" w:hAnsi="Arial" w:cs="Arial"/>
          <w:color w:val="000000"/>
          <w:sz w:val="22"/>
          <w:szCs w:val="22"/>
        </w:rPr>
      </w:pPr>
      <w:r w:rsidRPr="00EE03AE">
        <w:rPr>
          <w:rFonts w:ascii="Arial" w:hAnsi="Arial" w:cs="Arial"/>
          <w:sz w:val="22"/>
          <w:szCs w:val="22"/>
        </w:rPr>
        <w:t>sheredia@invias.gov.co</w:t>
      </w:r>
    </w:p>
    <w:p w14:paraId="288CDA7F" w14:textId="77777777" w:rsidR="00663BF6" w:rsidRPr="00EE03AE" w:rsidRDefault="00663BF6" w:rsidP="00663BF6">
      <w:pPr>
        <w:jc w:val="both"/>
        <w:rPr>
          <w:rFonts w:ascii="Arial" w:eastAsia="Calibri" w:hAnsi="Arial" w:cs="Arial"/>
          <w:color w:val="000000"/>
          <w:sz w:val="22"/>
          <w:szCs w:val="22"/>
        </w:rPr>
      </w:pPr>
    </w:p>
    <w:p w14:paraId="3EA6FDA6" w14:textId="77777777" w:rsidR="00663BF6" w:rsidRPr="00EE03AE" w:rsidRDefault="00663BF6" w:rsidP="00663BF6">
      <w:pPr>
        <w:jc w:val="both"/>
        <w:rPr>
          <w:rFonts w:ascii="Arial" w:eastAsia="Calibri" w:hAnsi="Arial" w:cs="Arial"/>
          <w:color w:val="000000"/>
          <w:sz w:val="22"/>
          <w:szCs w:val="22"/>
        </w:rPr>
      </w:pPr>
    </w:p>
    <w:p w14:paraId="275DAD09" w14:textId="27258125" w:rsidR="00663BF6" w:rsidRPr="00EE03AE" w:rsidRDefault="00663BF6" w:rsidP="006A6273">
      <w:pPr>
        <w:jc w:val="center"/>
        <w:rPr>
          <w:rFonts w:ascii="Arial" w:eastAsia="Calibri" w:hAnsi="Arial" w:cs="Arial"/>
          <w:b/>
          <w:bCs/>
          <w:color w:val="000000"/>
          <w:sz w:val="22"/>
          <w:szCs w:val="22"/>
          <w:lang w:val="es-ES_tradnl"/>
        </w:rPr>
      </w:pPr>
      <w:r w:rsidRPr="00EE03AE">
        <w:rPr>
          <w:rFonts w:ascii="Arial" w:eastAsia="Calibri" w:hAnsi="Arial" w:cs="Arial"/>
          <w:b/>
          <w:sz w:val="22"/>
          <w:szCs w:val="22"/>
          <w:lang w:val="es-MX" w:eastAsia="en-US"/>
        </w:rPr>
        <w:t>Concepto</w:t>
      </w:r>
      <w:r w:rsidRPr="00EE03AE">
        <w:rPr>
          <w:rFonts w:ascii="Arial" w:eastAsia="Calibri" w:hAnsi="Arial" w:cs="Arial"/>
          <w:b/>
          <w:bCs/>
          <w:color w:val="000000"/>
          <w:sz w:val="22"/>
          <w:szCs w:val="22"/>
          <w:lang w:val="es-ES_tradnl"/>
        </w:rPr>
        <w:t xml:space="preserve"> C‒</w:t>
      </w:r>
      <w:r w:rsidR="00001874" w:rsidRPr="00EE03AE">
        <w:rPr>
          <w:rFonts w:ascii="Arial" w:eastAsia="Calibri" w:hAnsi="Arial" w:cs="Arial"/>
          <w:b/>
          <w:bCs/>
          <w:color w:val="000000"/>
          <w:sz w:val="22"/>
          <w:szCs w:val="22"/>
          <w:lang w:val="es-ES_tradnl"/>
        </w:rPr>
        <w:t>200</w:t>
      </w:r>
      <w:r w:rsidRPr="00EE03AE">
        <w:rPr>
          <w:rFonts w:ascii="Arial" w:eastAsia="Calibri" w:hAnsi="Arial" w:cs="Arial"/>
          <w:b/>
          <w:bCs/>
          <w:color w:val="000000"/>
          <w:sz w:val="22"/>
          <w:szCs w:val="22"/>
          <w:lang w:val="es-ES_tradnl"/>
        </w:rPr>
        <w:t xml:space="preserve"> de 202</w:t>
      </w:r>
      <w:r w:rsidR="008E4F2E" w:rsidRPr="00EE03AE">
        <w:rPr>
          <w:rFonts w:ascii="Arial" w:eastAsia="Calibri" w:hAnsi="Arial" w:cs="Arial"/>
          <w:b/>
          <w:bCs/>
          <w:color w:val="000000"/>
          <w:sz w:val="22"/>
          <w:szCs w:val="22"/>
          <w:lang w:val="es-ES_tradnl"/>
        </w:rPr>
        <w:t>2</w:t>
      </w:r>
    </w:p>
    <w:p w14:paraId="4FC4030B" w14:textId="77777777" w:rsidR="00663BF6" w:rsidRPr="00EE03AE" w:rsidRDefault="00663BF6" w:rsidP="00663BF6">
      <w:pPr>
        <w:rPr>
          <w:rFonts w:ascii="Arial" w:eastAsia="Calibri" w:hAnsi="Arial" w:cs="Arial"/>
          <w:sz w:val="22"/>
          <w:szCs w:val="22"/>
          <w:lang w:val="es-MX"/>
        </w:rPr>
      </w:pPr>
      <w:r w:rsidRPr="00EE03AE">
        <w:rPr>
          <w:rFonts w:ascii="Arial" w:eastAsia="Calibri" w:hAnsi="Arial" w:cs="Arial"/>
          <w:sz w:val="22"/>
          <w:szCs w:val="22"/>
          <w:lang w:val="es-MX"/>
        </w:rPr>
        <w:t xml:space="preserve">                                          </w:t>
      </w: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42"/>
        <w:gridCol w:w="2547"/>
        <w:gridCol w:w="6237"/>
      </w:tblGrid>
      <w:tr w:rsidR="00663BF6" w:rsidRPr="00EE03AE" w14:paraId="4D721B3F" w14:textId="77777777" w:rsidTr="00154C2D">
        <w:trPr>
          <w:gridBefore w:val="1"/>
          <w:wBefore w:w="142" w:type="dxa"/>
        </w:trPr>
        <w:tc>
          <w:tcPr>
            <w:tcW w:w="2547" w:type="dxa"/>
            <w:hideMark/>
          </w:tcPr>
          <w:p w14:paraId="2DB58F7E" w14:textId="77777777" w:rsidR="00663BF6" w:rsidRPr="00EE03AE" w:rsidRDefault="00663BF6" w:rsidP="00154C2D">
            <w:pPr>
              <w:rPr>
                <w:rFonts w:ascii="Arial" w:eastAsia="Calibri" w:hAnsi="Arial" w:cs="Arial"/>
                <w:sz w:val="22"/>
                <w:szCs w:val="22"/>
                <w:lang w:val="es-MX"/>
              </w:rPr>
            </w:pPr>
            <w:r w:rsidRPr="00EE03AE">
              <w:rPr>
                <w:rFonts w:ascii="Arial" w:eastAsia="Calibri" w:hAnsi="Arial" w:cs="Arial"/>
                <w:b/>
                <w:sz w:val="22"/>
                <w:szCs w:val="22"/>
                <w:lang w:val="es-MX"/>
              </w:rPr>
              <w:t>Temas:</w:t>
            </w:r>
            <w:r w:rsidRPr="00EE03AE">
              <w:rPr>
                <w:rFonts w:ascii="Arial" w:eastAsia="Calibri" w:hAnsi="Arial" w:cs="Arial"/>
                <w:sz w:val="22"/>
                <w:szCs w:val="22"/>
                <w:lang w:val="es-MX"/>
              </w:rPr>
              <w:t xml:space="preserve">           </w:t>
            </w:r>
          </w:p>
          <w:p w14:paraId="294EAE17" w14:textId="77777777" w:rsidR="00663BF6" w:rsidRPr="00EE03AE" w:rsidRDefault="00663BF6" w:rsidP="00154C2D">
            <w:pPr>
              <w:rPr>
                <w:rFonts w:ascii="Arial" w:eastAsia="Calibri" w:hAnsi="Arial" w:cs="Arial"/>
                <w:sz w:val="22"/>
                <w:szCs w:val="22"/>
                <w:lang w:val="es-MX"/>
              </w:rPr>
            </w:pPr>
            <w:r w:rsidRPr="00EE03AE">
              <w:rPr>
                <w:rFonts w:ascii="Arial" w:eastAsia="Calibri" w:hAnsi="Arial" w:cs="Arial"/>
                <w:sz w:val="22"/>
                <w:szCs w:val="22"/>
                <w:lang w:val="es-MX"/>
              </w:rPr>
              <w:t xml:space="preserve">                           </w:t>
            </w:r>
          </w:p>
        </w:tc>
        <w:tc>
          <w:tcPr>
            <w:tcW w:w="6237" w:type="dxa"/>
            <w:hideMark/>
          </w:tcPr>
          <w:p w14:paraId="2CA71C4C" w14:textId="2DC9561F" w:rsidR="003A4E1E" w:rsidRPr="00EE03AE" w:rsidRDefault="00E30DDE" w:rsidP="009B34F3">
            <w:pPr>
              <w:widowControl w:val="0"/>
              <w:autoSpaceDE w:val="0"/>
              <w:autoSpaceDN w:val="0"/>
              <w:adjustRightInd w:val="0"/>
              <w:spacing w:line="300" w:lineRule="atLeast"/>
              <w:jc w:val="both"/>
              <w:rPr>
                <w:rFonts w:ascii="Arial" w:eastAsiaTheme="minorHAnsi" w:hAnsi="Arial" w:cs="Arial"/>
                <w:color w:val="000000" w:themeColor="text1"/>
                <w:sz w:val="22"/>
                <w:szCs w:val="22"/>
                <w:lang w:val="es-ES_tradnl" w:eastAsia="en-US"/>
              </w:rPr>
            </w:pPr>
            <w:r w:rsidRPr="00EE03AE">
              <w:rPr>
                <w:rFonts w:ascii="Arial" w:eastAsiaTheme="minorHAnsi" w:hAnsi="Arial" w:cs="Arial"/>
                <w:color w:val="000000" w:themeColor="text1"/>
                <w:sz w:val="22"/>
                <w:szCs w:val="22"/>
                <w:lang w:val="es-ES_tradnl" w:eastAsia="en-US"/>
              </w:rPr>
              <w:t xml:space="preserve">DOCUMENTOS TIPO VERSIÓN 3 – Licitación pública para obra de infraestructura de transporte – Definición de experiencia exigible </w:t>
            </w:r>
            <w:r w:rsidR="00105872" w:rsidRPr="00EE03AE">
              <w:rPr>
                <w:rFonts w:ascii="Arial" w:eastAsiaTheme="minorHAnsi" w:hAnsi="Arial" w:cs="Arial"/>
                <w:color w:val="000000" w:themeColor="text1"/>
                <w:sz w:val="22"/>
                <w:szCs w:val="22"/>
                <w:lang w:val="es-ES_tradnl" w:eastAsia="en-US"/>
              </w:rPr>
              <w:t xml:space="preserve">/ </w:t>
            </w:r>
            <w:r w:rsidRPr="00EE03AE">
              <w:rPr>
                <w:rFonts w:ascii="Arial" w:eastAsiaTheme="minorHAnsi" w:hAnsi="Arial" w:cs="Arial"/>
                <w:color w:val="000000" w:themeColor="text1"/>
                <w:sz w:val="22"/>
                <w:szCs w:val="22"/>
                <w:lang w:val="es-ES_tradnl" w:eastAsia="en-US"/>
              </w:rPr>
              <w:t xml:space="preserve">MATRIZ 1 – EXPERIENCIA – Requisitos de experiencia general y específica / </w:t>
            </w:r>
            <w:r w:rsidR="003A4E1E" w:rsidRPr="00EE03AE">
              <w:rPr>
                <w:rFonts w:ascii="Arial" w:eastAsiaTheme="minorHAnsi" w:hAnsi="Arial" w:cs="Arial"/>
                <w:color w:val="000000" w:themeColor="text1"/>
                <w:sz w:val="22"/>
                <w:szCs w:val="22"/>
                <w:lang w:val="es-ES_tradnl" w:eastAsia="en-US"/>
              </w:rPr>
              <w:t>MATRIZ 1 – EXPERIENCIA – Alta complejidad – Experiencia general – Numeral 4.2 – Conjunción copulativa</w:t>
            </w:r>
          </w:p>
          <w:p w14:paraId="09DD75C9" w14:textId="4CA68E1F" w:rsidR="00105872" w:rsidRPr="00EE03AE" w:rsidRDefault="00105872" w:rsidP="009B34F3">
            <w:pPr>
              <w:widowControl w:val="0"/>
              <w:autoSpaceDE w:val="0"/>
              <w:autoSpaceDN w:val="0"/>
              <w:adjustRightInd w:val="0"/>
              <w:spacing w:line="300" w:lineRule="atLeast"/>
              <w:jc w:val="both"/>
              <w:rPr>
                <w:rFonts w:ascii="Arial" w:eastAsiaTheme="minorHAnsi" w:hAnsi="Arial" w:cs="Arial"/>
                <w:color w:val="000000" w:themeColor="text1"/>
                <w:sz w:val="22"/>
                <w:szCs w:val="22"/>
                <w:lang w:val="es-ES_tradnl" w:eastAsia="en-US"/>
              </w:rPr>
            </w:pPr>
          </w:p>
          <w:p w14:paraId="2FBBA9E9" w14:textId="0FFC45A3" w:rsidR="00663BF6" w:rsidRPr="00EE03AE" w:rsidRDefault="00663BF6" w:rsidP="009B34F3">
            <w:pPr>
              <w:widowControl w:val="0"/>
              <w:autoSpaceDE w:val="0"/>
              <w:autoSpaceDN w:val="0"/>
              <w:adjustRightInd w:val="0"/>
              <w:spacing w:after="120" w:line="300" w:lineRule="atLeast"/>
              <w:jc w:val="both"/>
              <w:rPr>
                <w:rFonts w:ascii="Arial" w:eastAsiaTheme="minorHAnsi" w:hAnsi="Arial" w:cs="Arial"/>
                <w:color w:val="000000" w:themeColor="text1"/>
                <w:sz w:val="22"/>
                <w:szCs w:val="22"/>
                <w:lang w:val="es-ES_tradnl" w:eastAsia="en-US"/>
              </w:rPr>
            </w:pPr>
          </w:p>
        </w:tc>
      </w:tr>
      <w:tr w:rsidR="00663BF6" w:rsidRPr="00EE03AE" w14:paraId="18616480" w14:textId="77777777" w:rsidTr="00154C2D">
        <w:tc>
          <w:tcPr>
            <w:tcW w:w="2689" w:type="dxa"/>
            <w:gridSpan w:val="2"/>
          </w:tcPr>
          <w:p w14:paraId="2D8C244B" w14:textId="77777777" w:rsidR="00663BF6" w:rsidRPr="00EE03AE" w:rsidRDefault="00663BF6" w:rsidP="00154C2D">
            <w:pPr>
              <w:jc w:val="both"/>
              <w:rPr>
                <w:rFonts w:ascii="Arial" w:eastAsia="Calibri" w:hAnsi="Arial" w:cs="Arial"/>
                <w:b/>
                <w:color w:val="000000"/>
                <w:sz w:val="22"/>
                <w:szCs w:val="22"/>
                <w:lang w:val="es-ES_tradnl"/>
              </w:rPr>
            </w:pPr>
            <w:r w:rsidRPr="00EE03AE">
              <w:rPr>
                <w:rFonts w:ascii="Arial" w:eastAsia="Calibri" w:hAnsi="Arial" w:cs="Arial"/>
                <w:b/>
                <w:color w:val="000000"/>
                <w:sz w:val="22"/>
                <w:szCs w:val="22"/>
                <w:lang w:val="es-ES_tradnl"/>
              </w:rPr>
              <w:t>Radicación:</w:t>
            </w:r>
            <w:r w:rsidRPr="00EE03AE">
              <w:rPr>
                <w:rFonts w:ascii="Arial" w:eastAsia="Calibri" w:hAnsi="Arial" w:cs="Arial"/>
                <w:color w:val="000000"/>
                <w:sz w:val="22"/>
                <w:szCs w:val="22"/>
                <w:lang w:val="es-ES_tradnl"/>
              </w:rPr>
              <w:t xml:space="preserve">                              </w:t>
            </w:r>
          </w:p>
        </w:tc>
        <w:tc>
          <w:tcPr>
            <w:tcW w:w="6237" w:type="dxa"/>
          </w:tcPr>
          <w:p w14:paraId="74591401" w14:textId="2059AECB" w:rsidR="00663BF6" w:rsidRPr="00EE03AE" w:rsidRDefault="00663BF6" w:rsidP="009B34F3">
            <w:pPr>
              <w:widowControl w:val="0"/>
              <w:autoSpaceDE w:val="0"/>
              <w:autoSpaceDN w:val="0"/>
              <w:adjustRightInd w:val="0"/>
              <w:spacing w:line="300" w:lineRule="atLeast"/>
              <w:jc w:val="both"/>
              <w:rPr>
                <w:rFonts w:ascii="Arial" w:eastAsiaTheme="minorHAnsi" w:hAnsi="Arial" w:cs="Arial"/>
                <w:color w:val="000000" w:themeColor="text1"/>
                <w:sz w:val="22"/>
                <w:szCs w:val="22"/>
                <w:lang w:val="es-ES_tradnl" w:eastAsia="en-US"/>
              </w:rPr>
            </w:pPr>
            <w:r w:rsidRPr="00EE03AE">
              <w:rPr>
                <w:rFonts w:ascii="Arial" w:eastAsiaTheme="minorHAnsi" w:hAnsi="Arial" w:cs="Arial"/>
                <w:color w:val="000000" w:themeColor="text1"/>
                <w:sz w:val="22"/>
                <w:szCs w:val="22"/>
                <w:lang w:val="es-ES_tradnl" w:eastAsia="en-US"/>
              </w:rPr>
              <w:t xml:space="preserve">Respuesta a consulta </w:t>
            </w:r>
            <w:r w:rsidR="00FA7028" w:rsidRPr="00EE03AE">
              <w:rPr>
                <w:rFonts w:ascii="Arial" w:eastAsiaTheme="minorHAnsi" w:hAnsi="Arial" w:cs="Arial"/>
                <w:color w:val="000000" w:themeColor="text1"/>
                <w:sz w:val="22"/>
                <w:szCs w:val="22"/>
                <w:lang w:val="es-ES_tradnl" w:eastAsia="en-US"/>
              </w:rPr>
              <w:t>P20220301002003</w:t>
            </w:r>
          </w:p>
        </w:tc>
      </w:tr>
    </w:tbl>
    <w:p w14:paraId="6B5938F8" w14:textId="77777777" w:rsidR="00663BF6" w:rsidRPr="00EE03AE" w:rsidRDefault="00663BF6" w:rsidP="00663BF6">
      <w:pPr>
        <w:jc w:val="both"/>
        <w:rPr>
          <w:rFonts w:ascii="Arial" w:eastAsia="Calibri" w:hAnsi="Arial" w:cs="Arial"/>
          <w:color w:val="000000"/>
          <w:sz w:val="22"/>
          <w:szCs w:val="22"/>
          <w:lang w:val="es-ES_tradnl"/>
        </w:rPr>
      </w:pPr>
    </w:p>
    <w:p w14:paraId="58EB8451" w14:textId="77777777" w:rsidR="00663BF6" w:rsidRPr="00EE03AE" w:rsidRDefault="00663BF6" w:rsidP="00663BF6">
      <w:pPr>
        <w:jc w:val="both"/>
        <w:rPr>
          <w:rFonts w:ascii="Arial" w:eastAsia="Calibri" w:hAnsi="Arial" w:cs="Arial"/>
          <w:color w:val="000000"/>
          <w:sz w:val="22"/>
          <w:szCs w:val="22"/>
          <w:lang w:val="es-ES_tradnl"/>
        </w:rPr>
      </w:pPr>
    </w:p>
    <w:p w14:paraId="5E400BF0" w14:textId="0CABCCDA" w:rsidR="00663BF6" w:rsidRPr="00EE03AE" w:rsidRDefault="00663BF6" w:rsidP="00663BF6">
      <w:pPr>
        <w:jc w:val="both"/>
        <w:rPr>
          <w:rFonts w:ascii="Arial" w:eastAsia="Calibri" w:hAnsi="Arial" w:cs="Arial"/>
          <w:color w:val="000000"/>
          <w:sz w:val="22"/>
          <w:szCs w:val="22"/>
          <w:lang w:val="es-ES_tradnl"/>
        </w:rPr>
      </w:pPr>
      <w:r w:rsidRPr="00EE03AE">
        <w:rPr>
          <w:rFonts w:ascii="Arial" w:eastAsia="Calibri" w:hAnsi="Arial" w:cs="Arial"/>
          <w:color w:val="000000"/>
          <w:sz w:val="22"/>
          <w:szCs w:val="22"/>
          <w:lang w:val="es-ES_tradnl"/>
        </w:rPr>
        <w:t>Estimado señor</w:t>
      </w:r>
      <w:r w:rsidR="008E4F2E" w:rsidRPr="00EE03AE">
        <w:rPr>
          <w:rFonts w:ascii="Arial" w:eastAsia="Calibri" w:hAnsi="Arial" w:cs="Arial"/>
          <w:color w:val="000000"/>
          <w:sz w:val="22"/>
          <w:szCs w:val="22"/>
          <w:lang w:val="es-ES_tradnl"/>
        </w:rPr>
        <w:t xml:space="preserve"> </w:t>
      </w:r>
      <w:r w:rsidR="00FA7028" w:rsidRPr="00EE03AE">
        <w:rPr>
          <w:rFonts w:ascii="Arial" w:eastAsia="Calibri" w:hAnsi="Arial" w:cs="Arial"/>
          <w:color w:val="000000"/>
          <w:sz w:val="22"/>
          <w:szCs w:val="22"/>
          <w:lang w:val="es-ES_tradnl"/>
        </w:rPr>
        <w:t>Heredia</w:t>
      </w:r>
      <w:r w:rsidRPr="00EE03AE">
        <w:rPr>
          <w:rFonts w:ascii="Arial" w:eastAsia="Calibri" w:hAnsi="Arial" w:cs="Arial"/>
          <w:color w:val="000000"/>
          <w:sz w:val="22"/>
          <w:szCs w:val="22"/>
          <w:lang w:val="es-ES_tradnl"/>
        </w:rPr>
        <w:t>:</w:t>
      </w:r>
    </w:p>
    <w:p w14:paraId="5A16E155" w14:textId="77777777" w:rsidR="00663BF6" w:rsidRPr="00EE03AE" w:rsidRDefault="00663BF6" w:rsidP="00663BF6">
      <w:pPr>
        <w:jc w:val="both"/>
        <w:rPr>
          <w:rFonts w:ascii="Arial" w:eastAsia="Calibri" w:hAnsi="Arial" w:cs="Arial"/>
          <w:color w:val="000000"/>
          <w:sz w:val="22"/>
          <w:szCs w:val="22"/>
          <w:lang w:val="es-ES_tradnl"/>
        </w:rPr>
      </w:pPr>
    </w:p>
    <w:p w14:paraId="3ACF7057" w14:textId="6A34F6DE" w:rsidR="00663BF6" w:rsidRPr="00EE03AE" w:rsidRDefault="00663BF6" w:rsidP="00663BF6">
      <w:pPr>
        <w:spacing w:line="276" w:lineRule="auto"/>
        <w:jc w:val="both"/>
        <w:rPr>
          <w:rFonts w:ascii="Arial" w:eastAsia="Calibri" w:hAnsi="Arial" w:cs="Arial"/>
          <w:color w:val="000000"/>
          <w:sz w:val="22"/>
          <w:szCs w:val="22"/>
          <w:lang w:val="es-ES_tradnl"/>
        </w:rPr>
      </w:pPr>
      <w:r w:rsidRPr="00EE03AE">
        <w:rPr>
          <w:rFonts w:ascii="Arial" w:eastAsia="Calibri" w:hAnsi="Arial" w:cs="Arial"/>
          <w:color w:val="000000"/>
          <w:sz w:val="22"/>
          <w:szCs w:val="22"/>
          <w:lang w:val="es-ES_tradnl"/>
        </w:rPr>
        <w:t>En ejercicio de la competencia otorgada por el numeral 8 del artículo 11 y el numeral 5 del artículo 3 del Decreto Ley 4170 de 2011, la Agencia Nacional de Contratación Pública – Colombia Compra Eficiente</w:t>
      </w:r>
      <w:r w:rsidR="004E2FD8" w:rsidRPr="00EE03AE">
        <w:rPr>
          <w:rFonts w:ascii="Arial" w:eastAsia="Calibri" w:hAnsi="Arial" w:cs="Arial"/>
          <w:color w:val="000000"/>
          <w:sz w:val="22"/>
          <w:szCs w:val="22"/>
          <w:lang w:val="es-ES_tradnl"/>
        </w:rPr>
        <w:t xml:space="preserve"> </w:t>
      </w:r>
      <w:r w:rsidRPr="00EE03AE">
        <w:rPr>
          <w:rFonts w:ascii="Arial" w:eastAsia="Calibri" w:hAnsi="Arial" w:cs="Arial"/>
          <w:color w:val="000000"/>
          <w:sz w:val="22"/>
          <w:szCs w:val="22"/>
          <w:lang w:val="es-ES_tradnl"/>
        </w:rPr>
        <w:t xml:space="preserve">responde su consulta del </w:t>
      </w:r>
      <w:r w:rsidR="00FA7028" w:rsidRPr="00EE03AE">
        <w:rPr>
          <w:rFonts w:ascii="Arial" w:eastAsia="Calibri" w:hAnsi="Arial" w:cs="Arial"/>
          <w:color w:val="000000"/>
          <w:sz w:val="22"/>
          <w:szCs w:val="22"/>
          <w:lang w:val="es-ES_tradnl"/>
        </w:rPr>
        <w:t xml:space="preserve">01 </w:t>
      </w:r>
      <w:r w:rsidRPr="00EE03AE">
        <w:rPr>
          <w:rFonts w:ascii="Arial" w:eastAsia="Calibri" w:hAnsi="Arial" w:cs="Arial"/>
          <w:color w:val="000000"/>
          <w:sz w:val="22"/>
          <w:szCs w:val="22"/>
          <w:lang w:val="es-ES_tradnl"/>
        </w:rPr>
        <w:t xml:space="preserve">de </w:t>
      </w:r>
      <w:r w:rsidR="00FA7028" w:rsidRPr="00EE03AE">
        <w:rPr>
          <w:rFonts w:ascii="Arial" w:eastAsia="Calibri" w:hAnsi="Arial" w:cs="Arial"/>
          <w:color w:val="000000"/>
          <w:sz w:val="22"/>
          <w:szCs w:val="22"/>
          <w:lang w:val="es-ES_tradnl"/>
        </w:rPr>
        <w:t>marzo</w:t>
      </w:r>
      <w:r w:rsidR="008E4F2E" w:rsidRPr="00EE03AE">
        <w:rPr>
          <w:rFonts w:ascii="Arial" w:eastAsia="Calibri" w:hAnsi="Arial" w:cs="Arial"/>
          <w:color w:val="000000"/>
          <w:sz w:val="22"/>
          <w:szCs w:val="22"/>
          <w:lang w:val="es-ES_tradnl"/>
        </w:rPr>
        <w:t xml:space="preserve"> de 2022</w:t>
      </w:r>
      <w:r w:rsidRPr="00EE03AE">
        <w:rPr>
          <w:rFonts w:ascii="Arial" w:eastAsia="Calibri" w:hAnsi="Arial" w:cs="Arial"/>
          <w:color w:val="000000"/>
          <w:sz w:val="22"/>
          <w:szCs w:val="22"/>
          <w:lang w:val="es-ES_tradnl"/>
        </w:rPr>
        <w:t xml:space="preserve">. </w:t>
      </w:r>
    </w:p>
    <w:p w14:paraId="43159A1D" w14:textId="77777777" w:rsidR="00663BF6" w:rsidRPr="00EE03AE" w:rsidRDefault="00663BF6" w:rsidP="00663BF6">
      <w:pPr>
        <w:spacing w:line="276" w:lineRule="auto"/>
        <w:jc w:val="both"/>
        <w:rPr>
          <w:rFonts w:ascii="Arial" w:eastAsia="Calibri" w:hAnsi="Arial" w:cs="Arial"/>
          <w:b/>
          <w:color w:val="000000"/>
          <w:sz w:val="22"/>
          <w:szCs w:val="22"/>
          <w:lang w:val="es-ES_tradnl"/>
        </w:rPr>
      </w:pPr>
    </w:p>
    <w:p w14:paraId="2EC62294" w14:textId="77777777" w:rsidR="00663BF6" w:rsidRPr="00EE03AE" w:rsidRDefault="00663BF6" w:rsidP="00663BF6">
      <w:pPr>
        <w:pStyle w:val="Sinespaciado"/>
        <w:rPr>
          <w:rFonts w:ascii="Arial" w:hAnsi="Arial" w:cs="Arial"/>
          <w:b/>
          <w:bCs/>
          <w:lang w:val="es-ES_tradnl"/>
        </w:rPr>
      </w:pPr>
      <w:r w:rsidRPr="00EE03AE">
        <w:rPr>
          <w:rFonts w:ascii="Arial" w:hAnsi="Arial" w:cs="Arial"/>
          <w:b/>
          <w:bCs/>
          <w:lang w:val="es-ES_tradnl"/>
        </w:rPr>
        <w:t xml:space="preserve">1. Problema planteado </w:t>
      </w:r>
    </w:p>
    <w:p w14:paraId="02294BA8" w14:textId="20AD6299" w:rsidR="00663BF6" w:rsidRPr="00EE03AE" w:rsidRDefault="00663BF6" w:rsidP="00663BF6">
      <w:pPr>
        <w:tabs>
          <w:tab w:val="left" w:pos="426"/>
        </w:tabs>
        <w:spacing w:line="276" w:lineRule="auto"/>
        <w:jc w:val="both"/>
        <w:rPr>
          <w:rFonts w:ascii="Arial" w:eastAsia="Calibri" w:hAnsi="Arial" w:cs="Arial"/>
          <w:b/>
          <w:color w:val="000000"/>
          <w:sz w:val="22"/>
          <w:szCs w:val="22"/>
          <w:lang w:val="es-ES_tradnl"/>
        </w:rPr>
      </w:pPr>
    </w:p>
    <w:p w14:paraId="36AC4493" w14:textId="118B8B9A" w:rsidR="00955558" w:rsidRPr="00EE03AE" w:rsidRDefault="00955558" w:rsidP="00663BF6">
      <w:pPr>
        <w:tabs>
          <w:tab w:val="left" w:pos="426"/>
        </w:tabs>
        <w:spacing w:line="276" w:lineRule="auto"/>
        <w:jc w:val="both"/>
        <w:rPr>
          <w:rFonts w:ascii="Arial" w:eastAsia="Calibri" w:hAnsi="Arial" w:cs="Arial"/>
          <w:color w:val="000000"/>
          <w:sz w:val="22"/>
          <w:szCs w:val="22"/>
          <w:lang w:val="es-ES_tradnl"/>
        </w:rPr>
      </w:pPr>
      <w:r w:rsidRPr="00EE03AE">
        <w:rPr>
          <w:rFonts w:ascii="Arial" w:eastAsia="Calibri" w:hAnsi="Arial" w:cs="Arial"/>
          <w:color w:val="000000"/>
          <w:sz w:val="22"/>
          <w:szCs w:val="22"/>
          <w:lang w:val="es-ES_tradnl"/>
        </w:rPr>
        <w:t xml:space="preserve">Con relación a </w:t>
      </w:r>
      <w:r w:rsidR="00015AC6" w:rsidRPr="00EE03AE">
        <w:rPr>
          <w:rFonts w:ascii="Arial" w:eastAsia="Calibri" w:hAnsi="Arial" w:cs="Arial"/>
          <w:color w:val="000000"/>
          <w:sz w:val="22"/>
          <w:szCs w:val="22"/>
          <w:lang w:val="es-ES_tradnl"/>
        </w:rPr>
        <w:t xml:space="preserve">la </w:t>
      </w:r>
      <w:r w:rsidRPr="00EE03AE">
        <w:rPr>
          <w:rFonts w:ascii="Arial" w:eastAsia="Calibri" w:hAnsi="Arial" w:cs="Arial"/>
          <w:color w:val="000000"/>
          <w:sz w:val="22"/>
          <w:szCs w:val="22"/>
          <w:lang w:val="es-ES_tradnl"/>
        </w:rPr>
        <w:t xml:space="preserve">experiencia general definida en la </w:t>
      </w:r>
      <w:r w:rsidR="00D23835" w:rsidRPr="00EE03AE">
        <w:rPr>
          <w:rFonts w:ascii="Arial" w:eastAsia="Calibri" w:hAnsi="Arial" w:cs="Arial"/>
          <w:color w:val="000000"/>
          <w:sz w:val="22"/>
          <w:szCs w:val="22"/>
          <w:lang w:val="es-ES_tradnl"/>
        </w:rPr>
        <w:t>«</w:t>
      </w:r>
      <w:r w:rsidRPr="00EE03AE">
        <w:rPr>
          <w:rFonts w:ascii="Arial" w:eastAsia="Calibri" w:hAnsi="Arial" w:cs="Arial"/>
          <w:color w:val="000000"/>
          <w:sz w:val="22"/>
          <w:szCs w:val="22"/>
          <w:lang w:val="es-ES_tradnl"/>
        </w:rPr>
        <w:t>Matriz 1</w:t>
      </w:r>
      <w:r w:rsidR="00D23835" w:rsidRPr="00EE03AE">
        <w:rPr>
          <w:rFonts w:ascii="Arial" w:eastAsia="Calibri" w:hAnsi="Arial" w:cs="Arial"/>
          <w:color w:val="000000"/>
          <w:sz w:val="22"/>
          <w:szCs w:val="22"/>
          <w:lang w:val="es-ES_tradnl"/>
        </w:rPr>
        <w:t xml:space="preserve"> - Experiencia»</w:t>
      </w:r>
      <w:r w:rsidRPr="00EE03AE">
        <w:rPr>
          <w:rFonts w:ascii="Arial" w:eastAsia="Calibri" w:hAnsi="Arial" w:cs="Arial"/>
          <w:color w:val="000000"/>
          <w:sz w:val="22"/>
          <w:szCs w:val="22"/>
          <w:lang w:val="es-ES_tradnl"/>
        </w:rPr>
        <w:t xml:space="preserve"> de los D</w:t>
      </w:r>
      <w:r w:rsidR="00015AC6" w:rsidRPr="00EE03AE">
        <w:rPr>
          <w:rFonts w:ascii="Arial" w:eastAsia="Calibri" w:hAnsi="Arial" w:cs="Arial"/>
          <w:color w:val="000000"/>
          <w:sz w:val="22"/>
          <w:szCs w:val="22"/>
          <w:lang w:val="es-ES_tradnl"/>
        </w:rPr>
        <w:t xml:space="preserve">ocumentos tipo </w:t>
      </w:r>
      <w:r w:rsidR="00015AC6" w:rsidRPr="00EE03AE">
        <w:rPr>
          <w:rFonts w:ascii="Arial" w:hAnsi="Arial" w:cs="Arial"/>
          <w:sz w:val="22"/>
          <w:szCs w:val="22"/>
        </w:rPr>
        <w:t>de licitación de obra pública de infraestructura de transporte</w:t>
      </w:r>
      <w:r w:rsidRPr="00EE03AE">
        <w:rPr>
          <w:rFonts w:ascii="Arial" w:eastAsia="Calibri" w:hAnsi="Arial" w:cs="Arial"/>
          <w:color w:val="000000"/>
          <w:sz w:val="22"/>
          <w:szCs w:val="22"/>
          <w:lang w:val="es-ES_tradnl"/>
        </w:rPr>
        <w:t>, usted formula la siguiente consulta</w:t>
      </w:r>
      <w:r w:rsidR="00015AC6" w:rsidRPr="00EE03AE">
        <w:rPr>
          <w:rFonts w:ascii="Arial" w:eastAsia="Calibri" w:hAnsi="Arial" w:cs="Arial"/>
          <w:color w:val="000000"/>
          <w:sz w:val="22"/>
          <w:szCs w:val="22"/>
          <w:lang w:val="es-ES_tradnl"/>
        </w:rPr>
        <w:t>:</w:t>
      </w:r>
    </w:p>
    <w:p w14:paraId="0D393B6A" w14:textId="77777777" w:rsidR="00955558" w:rsidRPr="00EE03AE" w:rsidRDefault="00955558" w:rsidP="00001874">
      <w:pPr>
        <w:ind w:left="709" w:right="709"/>
        <w:jc w:val="both"/>
        <w:rPr>
          <w:rFonts w:ascii="Arial" w:hAnsi="Arial" w:cs="Arial"/>
          <w:bCs/>
          <w:sz w:val="21"/>
          <w:szCs w:val="21"/>
        </w:rPr>
      </w:pPr>
    </w:p>
    <w:p w14:paraId="5883CAB1" w14:textId="16DF3D24" w:rsidR="00001874" w:rsidRPr="00EE03AE" w:rsidRDefault="00001874" w:rsidP="00001874">
      <w:pPr>
        <w:ind w:left="709" w:right="709"/>
        <w:jc w:val="both"/>
        <w:rPr>
          <w:rFonts w:ascii="Arial" w:hAnsi="Arial" w:cs="Arial"/>
          <w:sz w:val="21"/>
          <w:szCs w:val="21"/>
        </w:rPr>
      </w:pPr>
      <w:r w:rsidRPr="00EE03AE">
        <w:rPr>
          <w:rFonts w:ascii="Arial" w:hAnsi="Arial" w:cs="Arial"/>
          <w:bCs/>
          <w:sz w:val="21"/>
          <w:szCs w:val="21"/>
        </w:rPr>
        <w:t>«</w:t>
      </w:r>
      <w:r w:rsidRPr="00EE03AE">
        <w:rPr>
          <w:rFonts w:ascii="Arial" w:hAnsi="Arial" w:cs="Arial"/>
          <w:sz w:val="21"/>
          <w:szCs w:val="21"/>
        </w:rPr>
        <w:t xml:space="preserve">Respecto de la aplicación de la matriz de experiencia de los pliegos tipo de obra de infraestructura de transporte, específicamente con lo relacionado en la matriz 1 - alta complejidad - numeral 4.2 la cual señala lo siguiente: </w:t>
      </w:r>
    </w:p>
    <w:p w14:paraId="5303DC4A" w14:textId="77777777" w:rsidR="00001874" w:rsidRPr="00EE03AE" w:rsidRDefault="00001874" w:rsidP="00001874">
      <w:pPr>
        <w:ind w:left="709" w:right="709"/>
        <w:jc w:val="both"/>
        <w:rPr>
          <w:rFonts w:ascii="Arial" w:hAnsi="Arial" w:cs="Arial"/>
          <w:sz w:val="21"/>
          <w:szCs w:val="21"/>
        </w:rPr>
      </w:pPr>
    </w:p>
    <w:p w14:paraId="5626E39D" w14:textId="77777777" w:rsidR="00001874" w:rsidRPr="00EE03AE" w:rsidRDefault="00001874" w:rsidP="00001874">
      <w:pPr>
        <w:ind w:left="709" w:right="709"/>
        <w:jc w:val="both"/>
        <w:rPr>
          <w:rFonts w:ascii="Arial" w:hAnsi="Arial" w:cs="Arial"/>
          <w:sz w:val="21"/>
          <w:szCs w:val="21"/>
        </w:rPr>
      </w:pPr>
      <w:r w:rsidRPr="00EE03AE">
        <w:rPr>
          <w:rFonts w:ascii="Arial" w:hAnsi="Arial" w:cs="Arial"/>
          <w:sz w:val="21"/>
          <w:szCs w:val="21"/>
        </w:rPr>
        <w:t>EXPERIENCIA GENERAL: " CONSTRUCCION O MEJORAMIENTO O MANTENIMIENTO O REHABILITACIÓN DE OBRAS DE ESTABILIZACION DE TALUDES O RECUPERACION DE BANCA y ATENCION OBRAS DE EMERGENCIAS MEDIANTE LA CONSTRUCCION DE OBRAS DE ESTABILIZACION DE TALUDES O RECUPERACION DE BANCA"</w:t>
      </w:r>
    </w:p>
    <w:p w14:paraId="2CF6EAFB" w14:textId="77777777" w:rsidR="00001874" w:rsidRPr="00EE03AE" w:rsidRDefault="00001874" w:rsidP="00001874">
      <w:pPr>
        <w:ind w:left="709" w:right="709"/>
        <w:jc w:val="both"/>
        <w:rPr>
          <w:rFonts w:ascii="Arial" w:hAnsi="Arial" w:cs="Arial"/>
          <w:sz w:val="21"/>
          <w:szCs w:val="21"/>
        </w:rPr>
      </w:pPr>
    </w:p>
    <w:p w14:paraId="17A17D12" w14:textId="77777777" w:rsidR="00001874" w:rsidRPr="00EE03AE" w:rsidRDefault="00001874" w:rsidP="00001874">
      <w:pPr>
        <w:ind w:left="709" w:right="709"/>
        <w:jc w:val="both"/>
        <w:rPr>
          <w:rFonts w:ascii="Arial" w:hAnsi="Arial" w:cs="Arial"/>
          <w:bCs/>
          <w:sz w:val="21"/>
          <w:szCs w:val="21"/>
        </w:rPr>
      </w:pPr>
      <w:r w:rsidRPr="00EE03AE">
        <w:rPr>
          <w:rFonts w:ascii="Arial" w:hAnsi="Arial" w:cs="Arial"/>
          <w:sz w:val="21"/>
          <w:szCs w:val="21"/>
        </w:rPr>
        <w:t xml:space="preserve"> De lo anterior no queda claro cual es la función de la expresión "y" situado entre "RECUPERACION DE BANCA Y ATENCION DE OBRAS DE EMERGENCIAS", conforme se encuentra redactada la experiencia general, se entiende que para cumplir con lo allí señalado se debe demostrar haber realizado construcción/mejoramiento/mantenimiento/rehabilitación de obras de estabilización de talares o recuperación de bancada y haber realización atención obres de emergencia mediante construcción de obras de estabilización de taludes o recuperación de banca, es decir, es imperativo que se cumpla con la atención de obras de emergencia en la forma ante señalada, ¿es correcto este entendimiento o cual es la interpretación que se le debe dar a la experiencia relacionada en el numeral 4.2?</w:t>
      </w:r>
      <w:r w:rsidRPr="00EE03AE">
        <w:rPr>
          <w:rFonts w:ascii="Arial" w:hAnsi="Arial" w:cs="Arial"/>
          <w:bCs/>
          <w:sz w:val="21"/>
          <w:szCs w:val="21"/>
        </w:rPr>
        <w:t>».</w:t>
      </w:r>
    </w:p>
    <w:p w14:paraId="2947E5DF" w14:textId="77777777" w:rsidR="00001874" w:rsidRPr="00EE03AE" w:rsidRDefault="00001874" w:rsidP="00001874">
      <w:pPr>
        <w:ind w:left="709" w:right="709"/>
        <w:jc w:val="both"/>
        <w:rPr>
          <w:rFonts w:ascii="Arial" w:hAnsi="Arial" w:cs="Arial"/>
          <w:sz w:val="21"/>
          <w:szCs w:val="21"/>
        </w:rPr>
      </w:pPr>
    </w:p>
    <w:p w14:paraId="464A56AE" w14:textId="77777777" w:rsidR="00001874" w:rsidRPr="00EE03AE" w:rsidRDefault="00001874" w:rsidP="00EE03AE">
      <w:pPr>
        <w:ind w:left="709" w:right="709"/>
        <w:jc w:val="both"/>
        <w:rPr>
          <w:rFonts w:ascii="Arial" w:hAnsi="Arial" w:cs="Arial"/>
          <w:bCs/>
          <w:color w:val="000000" w:themeColor="text1"/>
          <w:sz w:val="21"/>
          <w:szCs w:val="21"/>
        </w:rPr>
      </w:pPr>
      <w:r w:rsidRPr="00EE03AE">
        <w:rPr>
          <w:rFonts w:ascii="Arial" w:hAnsi="Arial" w:cs="Arial"/>
          <w:sz w:val="21"/>
          <w:szCs w:val="21"/>
        </w:rPr>
        <w:t>La «Matriz 1 – Experiencia» de proyectos de alta complejidad, el tipo de infraestructura puede estar relacionado, entre otros, con el objeto contractual que corresponde a «4. OBRAS EN VIAS PRIMARIAS O SECUNDARIAS O TERCIARIAS O URBANAS PARA ATENCIÓN, PREVENCIÓN O MITIGACIÓN DE EMERGENCIAS DIFERENTES A</w:t>
      </w:r>
      <w:r w:rsidRPr="00EE03AE">
        <w:rPr>
          <w:rFonts w:ascii="Arial" w:eastAsia="Calibri" w:hAnsi="Arial" w:cs="Arial"/>
          <w:color w:val="000000"/>
          <w:sz w:val="21"/>
          <w:szCs w:val="21"/>
        </w:rPr>
        <w:t xml:space="preserve"> CONTRATACIÓN DIRECTA».</w:t>
      </w:r>
    </w:p>
    <w:p w14:paraId="2CEC33AB" w14:textId="77777777" w:rsidR="00001874" w:rsidRPr="00EE03AE" w:rsidRDefault="00001874" w:rsidP="00001874">
      <w:pPr>
        <w:spacing w:line="276" w:lineRule="auto"/>
        <w:ind w:firstLine="708"/>
        <w:jc w:val="both"/>
        <w:rPr>
          <w:rFonts w:ascii="Arial" w:hAnsi="Arial" w:cs="Arial"/>
          <w:color w:val="000000" w:themeColor="text1"/>
          <w:sz w:val="21"/>
          <w:szCs w:val="21"/>
        </w:rPr>
      </w:pPr>
    </w:p>
    <w:p w14:paraId="009DF86A" w14:textId="2FA537B5" w:rsidR="00663BF6" w:rsidRPr="00EE03AE" w:rsidRDefault="00663BF6" w:rsidP="008C0E14">
      <w:pPr>
        <w:pStyle w:val="Prrafodelista"/>
        <w:numPr>
          <w:ilvl w:val="0"/>
          <w:numId w:val="3"/>
        </w:numPr>
        <w:tabs>
          <w:tab w:val="left" w:pos="426"/>
        </w:tabs>
        <w:spacing w:after="0" w:line="276" w:lineRule="auto"/>
        <w:ind w:left="426"/>
        <w:jc w:val="both"/>
        <w:rPr>
          <w:rFonts w:ascii="Arial" w:eastAsia="Calibri" w:hAnsi="Arial" w:cs="Arial"/>
          <w:b/>
          <w:lang w:val="es-MX"/>
        </w:rPr>
      </w:pPr>
      <w:r w:rsidRPr="00EE03AE">
        <w:rPr>
          <w:rFonts w:ascii="Arial" w:eastAsia="Calibri" w:hAnsi="Arial" w:cs="Arial"/>
          <w:b/>
          <w:lang w:val="es-MX"/>
        </w:rPr>
        <w:t>Consideraciones</w:t>
      </w:r>
    </w:p>
    <w:p w14:paraId="474FAD29" w14:textId="77777777" w:rsidR="00663BF6" w:rsidRPr="00EE03AE" w:rsidRDefault="00663BF6" w:rsidP="00663BF6">
      <w:pPr>
        <w:tabs>
          <w:tab w:val="left" w:pos="426"/>
        </w:tabs>
        <w:spacing w:line="276" w:lineRule="auto"/>
        <w:contextualSpacing/>
        <w:jc w:val="both"/>
        <w:rPr>
          <w:rFonts w:ascii="Arial" w:eastAsia="Calibri" w:hAnsi="Arial" w:cs="Arial"/>
          <w:b/>
          <w:sz w:val="22"/>
          <w:szCs w:val="22"/>
          <w:lang w:val="es-MX"/>
        </w:rPr>
      </w:pPr>
    </w:p>
    <w:p w14:paraId="3DA54B61" w14:textId="13EBB7C3" w:rsidR="00015AC6" w:rsidRPr="00EE03AE" w:rsidRDefault="00663BF6">
      <w:pPr>
        <w:spacing w:after="120" w:line="276" w:lineRule="auto"/>
        <w:jc w:val="both"/>
        <w:rPr>
          <w:rFonts w:ascii="Arial" w:eastAsia="Calibri" w:hAnsi="Arial" w:cs="Arial"/>
          <w:color w:val="000000" w:themeColor="text1"/>
          <w:sz w:val="22"/>
          <w:szCs w:val="22"/>
        </w:rPr>
      </w:pPr>
      <w:r w:rsidRPr="00EE03AE">
        <w:rPr>
          <w:rFonts w:ascii="Arial" w:hAnsi="Arial" w:cs="Arial"/>
          <w:sz w:val="22"/>
          <w:szCs w:val="22"/>
        </w:rPr>
        <w:t xml:space="preserve">Para resolver el objeto de la consulta, se analizarán los siguientes temas: i) </w:t>
      </w:r>
      <w:r w:rsidR="00DA11A4" w:rsidRPr="00EE03AE">
        <w:rPr>
          <w:rFonts w:ascii="Arial" w:hAnsi="Arial" w:cs="Arial"/>
          <w:sz w:val="22"/>
          <w:szCs w:val="22"/>
        </w:rPr>
        <w:t xml:space="preserve">Fundamentos normativos de los documentos tipo y </w:t>
      </w:r>
      <w:r w:rsidR="00015AC6" w:rsidRPr="00EE03AE">
        <w:rPr>
          <w:rFonts w:ascii="Arial" w:hAnsi="Arial" w:cs="Arial"/>
          <w:sz w:val="22"/>
          <w:szCs w:val="22"/>
        </w:rPr>
        <w:t xml:space="preserve"> ii) </w:t>
      </w:r>
      <w:r w:rsidR="009B6280" w:rsidRPr="00EE03AE">
        <w:rPr>
          <w:rFonts w:ascii="Arial" w:hAnsi="Arial" w:cs="Arial"/>
          <w:sz w:val="22"/>
          <w:szCs w:val="22"/>
        </w:rPr>
        <w:t>Documentos tipo de licitación de obra pública de infraestructura de transporte: acreditación de experiencia general para proyectos atención obras de emergencias mediante obras de estabilización de taludes o recuperación de banca.</w:t>
      </w:r>
    </w:p>
    <w:p w14:paraId="5B953170" w14:textId="54F581EA" w:rsidR="00663BF6" w:rsidRPr="00EE03AE" w:rsidRDefault="00551325" w:rsidP="009B34F3">
      <w:pPr>
        <w:spacing w:line="276" w:lineRule="auto"/>
        <w:ind w:firstLine="708"/>
        <w:jc w:val="both"/>
        <w:rPr>
          <w:rFonts w:ascii="Arial" w:eastAsia="Calibri" w:hAnsi="Arial" w:cs="Arial"/>
          <w:sz w:val="22"/>
          <w:szCs w:val="22"/>
          <w:lang w:val="es-MX"/>
        </w:rPr>
      </w:pPr>
      <w:r w:rsidRPr="00EE03AE">
        <w:rPr>
          <w:rFonts w:ascii="Arial" w:eastAsia="Calibri" w:hAnsi="Arial" w:cs="Arial"/>
          <w:color w:val="000000" w:themeColor="text1"/>
          <w:sz w:val="22"/>
          <w:szCs w:val="22"/>
        </w:rPr>
        <w:t xml:space="preserve">Antes de abordar los problemas </w:t>
      </w:r>
      <w:r w:rsidR="00261204" w:rsidRPr="00EE03AE">
        <w:rPr>
          <w:rFonts w:ascii="Arial" w:eastAsia="Calibri" w:hAnsi="Arial" w:cs="Arial"/>
          <w:color w:val="000000" w:themeColor="text1"/>
          <w:sz w:val="22"/>
          <w:szCs w:val="22"/>
        </w:rPr>
        <w:t>planteados</w:t>
      </w:r>
      <w:r w:rsidRPr="00EE03AE">
        <w:rPr>
          <w:rFonts w:ascii="Arial" w:eastAsia="Calibri" w:hAnsi="Arial" w:cs="Arial"/>
          <w:color w:val="000000" w:themeColor="text1"/>
          <w:sz w:val="22"/>
          <w:szCs w:val="22"/>
        </w:rPr>
        <w:t>, es importante señalar que</w:t>
      </w:r>
      <w:r w:rsidR="00663BF6" w:rsidRPr="00EE03AE">
        <w:rPr>
          <w:rFonts w:ascii="Arial" w:eastAsia="Calibri" w:hAnsi="Arial" w:cs="Arial"/>
          <w:color w:val="000000" w:themeColor="text1"/>
          <w:sz w:val="22"/>
          <w:szCs w:val="22"/>
        </w:rPr>
        <w:t xml:space="preserve"> </w:t>
      </w:r>
      <w:r w:rsidR="00995481" w:rsidRPr="00EE03AE">
        <w:rPr>
          <w:rFonts w:ascii="Arial" w:eastAsia="Calibri" w:hAnsi="Arial" w:cs="Arial"/>
          <w:color w:val="000000" w:themeColor="text1"/>
          <w:sz w:val="22"/>
          <w:szCs w:val="22"/>
        </w:rPr>
        <w:t xml:space="preserve">la Agencia Nacional de Contratación Pública – Colombia Compra Eficiente se ha pronunciado en diferentes conceptos sobre la forma de establecer y acreditar la experiencia exigible en procesos de contratación adelantados con documentos tipo, entre otros, en los </w:t>
      </w:r>
      <w:r w:rsidR="009B6280" w:rsidRPr="00EE03AE">
        <w:rPr>
          <w:rFonts w:ascii="Arial" w:eastAsia="Calibri" w:hAnsi="Arial" w:cs="Arial"/>
          <w:color w:val="000000" w:themeColor="text1"/>
          <w:sz w:val="22"/>
          <w:szCs w:val="22"/>
        </w:rPr>
        <w:t>c</w:t>
      </w:r>
      <w:r w:rsidR="00995481" w:rsidRPr="00EE03AE">
        <w:rPr>
          <w:rFonts w:ascii="Arial" w:eastAsia="Calibri" w:hAnsi="Arial" w:cs="Arial"/>
          <w:color w:val="000000" w:themeColor="text1"/>
          <w:sz w:val="22"/>
          <w:szCs w:val="22"/>
        </w:rPr>
        <w:t>onceptos C-056  del 8 de enero de 2020, C-069 del 24 de enero de 2020, C-097 del 5 de febrero de 2020, C-198 del 17 de abril de 2020, C 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C-698 del 19 de noviembre de 2020, C-713 del 2 de diciembre de 2020, C-105 del 26 de marzo de 2021, C-152 del 12 de abril de 2021, C-361 del 10 de agosto de 2021</w:t>
      </w:r>
      <w:r w:rsidR="00857761" w:rsidRPr="00EE03AE">
        <w:rPr>
          <w:rFonts w:ascii="Arial" w:eastAsia="Calibri" w:hAnsi="Arial" w:cs="Arial"/>
          <w:color w:val="000000" w:themeColor="text1"/>
          <w:sz w:val="22"/>
          <w:szCs w:val="22"/>
        </w:rPr>
        <w:t>,</w:t>
      </w:r>
      <w:r w:rsidR="00995481" w:rsidRPr="00EE03AE">
        <w:rPr>
          <w:rFonts w:ascii="Arial" w:eastAsia="Calibri" w:hAnsi="Arial" w:cs="Arial"/>
          <w:color w:val="000000" w:themeColor="text1"/>
          <w:sz w:val="22"/>
          <w:szCs w:val="22"/>
        </w:rPr>
        <w:t xml:space="preserve"> C-464 de 13 de septiembre de 2021</w:t>
      </w:r>
      <w:r w:rsidR="00015AC6" w:rsidRPr="00EE03AE">
        <w:rPr>
          <w:rFonts w:ascii="Arial" w:eastAsia="Calibri" w:hAnsi="Arial" w:cs="Arial"/>
          <w:color w:val="000000" w:themeColor="text1"/>
          <w:sz w:val="22"/>
          <w:szCs w:val="22"/>
        </w:rPr>
        <w:t>,</w:t>
      </w:r>
      <w:r w:rsidR="00857761" w:rsidRPr="00EE03AE">
        <w:rPr>
          <w:rFonts w:ascii="Arial" w:eastAsia="Calibri" w:hAnsi="Arial" w:cs="Arial"/>
          <w:color w:val="000000" w:themeColor="text1"/>
          <w:sz w:val="22"/>
          <w:szCs w:val="22"/>
        </w:rPr>
        <w:t xml:space="preserve"> C-649 de 17 de noviembre de 2021</w:t>
      </w:r>
      <w:r w:rsidR="00015AC6" w:rsidRPr="00EE03AE">
        <w:rPr>
          <w:rFonts w:ascii="Arial" w:eastAsia="Calibri" w:hAnsi="Arial" w:cs="Arial"/>
          <w:sz w:val="22"/>
          <w:szCs w:val="22"/>
          <w:lang w:val="es-MX"/>
        </w:rPr>
        <w:t xml:space="preserve"> y C-018 del 22 de febrero de 2022.</w:t>
      </w:r>
      <w:r w:rsidR="009B34F3" w:rsidRPr="00EE03AE">
        <w:rPr>
          <w:rFonts w:ascii="Arial" w:eastAsia="Calibri" w:hAnsi="Arial" w:cs="Arial"/>
          <w:sz w:val="22"/>
          <w:szCs w:val="22"/>
          <w:lang w:val="es-MX"/>
        </w:rPr>
        <w:t xml:space="preserve"> </w:t>
      </w:r>
      <w:r w:rsidR="0034592E" w:rsidRPr="00EE03AE">
        <w:rPr>
          <w:rFonts w:ascii="Arial" w:eastAsia="Calibri" w:hAnsi="Arial" w:cs="Arial"/>
          <w:sz w:val="22"/>
          <w:szCs w:val="22"/>
          <w:lang w:val="es-MX"/>
        </w:rPr>
        <w:t>Las tesis desarrolladas en estos conceptos se reiteran</w:t>
      </w:r>
      <w:r w:rsidR="00015AC6" w:rsidRPr="00EE03AE">
        <w:rPr>
          <w:rFonts w:ascii="Arial" w:eastAsia="Calibri" w:hAnsi="Arial" w:cs="Arial"/>
          <w:sz w:val="22"/>
          <w:szCs w:val="22"/>
          <w:lang w:val="es-MX"/>
        </w:rPr>
        <w:t xml:space="preserve"> y se complementan en lo pertinente a</w:t>
      </w:r>
      <w:r w:rsidR="0034592E" w:rsidRPr="00EE03AE">
        <w:rPr>
          <w:rFonts w:ascii="Arial" w:eastAsia="Calibri" w:hAnsi="Arial" w:cs="Arial"/>
          <w:sz w:val="22"/>
          <w:szCs w:val="22"/>
          <w:lang w:val="es-MX"/>
        </w:rPr>
        <w:t xml:space="preserve"> continuación</w:t>
      </w:r>
      <w:r w:rsidR="00A356A9" w:rsidRPr="00EE03AE">
        <w:rPr>
          <w:rFonts w:ascii="Arial" w:eastAsia="Calibri" w:hAnsi="Arial" w:cs="Arial"/>
          <w:sz w:val="22"/>
          <w:szCs w:val="22"/>
          <w:lang w:val="es-MX"/>
        </w:rPr>
        <w:t>.</w:t>
      </w:r>
    </w:p>
    <w:p w14:paraId="5257BCCB" w14:textId="79C40AAF" w:rsidR="00995481" w:rsidRPr="00EE03AE" w:rsidRDefault="00995481" w:rsidP="00995481">
      <w:pPr>
        <w:spacing w:line="276" w:lineRule="auto"/>
        <w:jc w:val="both"/>
        <w:rPr>
          <w:rFonts w:ascii="Arial" w:eastAsia="Calibri" w:hAnsi="Arial" w:cs="Arial"/>
          <w:b/>
          <w:bCs/>
          <w:sz w:val="22"/>
          <w:szCs w:val="22"/>
          <w:lang w:val="es-ES"/>
        </w:rPr>
      </w:pPr>
    </w:p>
    <w:p w14:paraId="773DE0D7" w14:textId="78138359" w:rsidR="00DF5B1C" w:rsidRPr="00EE03AE" w:rsidRDefault="00DF5B1C" w:rsidP="00DF5B1C">
      <w:pPr>
        <w:shd w:val="clear" w:color="auto" w:fill="FFFFFF"/>
        <w:spacing w:line="276" w:lineRule="auto"/>
        <w:jc w:val="both"/>
        <w:rPr>
          <w:rFonts w:ascii="Arial" w:hAnsi="Arial" w:cs="Arial"/>
          <w:b/>
          <w:bCs/>
          <w:color w:val="0D0D0D"/>
          <w:sz w:val="22"/>
          <w:bdr w:val="none" w:sz="0" w:space="0" w:color="auto" w:frame="1"/>
          <w:lang w:eastAsia="es-CO"/>
        </w:rPr>
      </w:pPr>
      <w:r w:rsidRPr="00EE03AE">
        <w:rPr>
          <w:rFonts w:ascii="Arial" w:hAnsi="Arial" w:cs="Arial"/>
          <w:b/>
          <w:bCs/>
          <w:color w:val="0D0D0D"/>
          <w:sz w:val="22"/>
          <w:bdr w:val="none" w:sz="0" w:space="0" w:color="auto" w:frame="1"/>
          <w:lang w:eastAsia="es-CO"/>
        </w:rPr>
        <w:t>2.1. Fundamento</w:t>
      </w:r>
      <w:r w:rsidR="00DA11A4" w:rsidRPr="00EE03AE">
        <w:rPr>
          <w:rFonts w:ascii="Arial" w:hAnsi="Arial" w:cs="Arial"/>
          <w:b/>
          <w:bCs/>
          <w:color w:val="0D0D0D"/>
          <w:sz w:val="22"/>
          <w:bdr w:val="none" w:sz="0" w:space="0" w:color="auto" w:frame="1"/>
          <w:lang w:eastAsia="es-CO"/>
        </w:rPr>
        <w:t>s</w:t>
      </w:r>
      <w:r w:rsidRPr="00EE03AE">
        <w:rPr>
          <w:rFonts w:ascii="Arial" w:hAnsi="Arial" w:cs="Arial"/>
          <w:b/>
          <w:bCs/>
          <w:color w:val="0D0D0D"/>
          <w:sz w:val="22"/>
          <w:bdr w:val="none" w:sz="0" w:space="0" w:color="auto" w:frame="1"/>
          <w:lang w:eastAsia="es-CO"/>
        </w:rPr>
        <w:t xml:space="preserve"> normativo</w:t>
      </w:r>
      <w:r w:rsidR="00DA11A4" w:rsidRPr="00EE03AE">
        <w:rPr>
          <w:rFonts w:ascii="Arial" w:hAnsi="Arial" w:cs="Arial"/>
          <w:b/>
          <w:bCs/>
          <w:color w:val="0D0D0D"/>
          <w:sz w:val="22"/>
          <w:bdr w:val="none" w:sz="0" w:space="0" w:color="auto" w:frame="1"/>
          <w:lang w:eastAsia="es-CO"/>
        </w:rPr>
        <w:t>s</w:t>
      </w:r>
      <w:r w:rsidRPr="00EE03AE">
        <w:rPr>
          <w:rFonts w:ascii="Arial" w:hAnsi="Arial" w:cs="Arial"/>
          <w:b/>
          <w:bCs/>
          <w:color w:val="0D0D0D"/>
          <w:sz w:val="22"/>
          <w:bdr w:val="none" w:sz="0" w:space="0" w:color="auto" w:frame="1"/>
          <w:lang w:eastAsia="es-CO"/>
        </w:rPr>
        <w:t xml:space="preserve"> de los d</w:t>
      </w:r>
      <w:r w:rsidR="00DA11A4" w:rsidRPr="00EE03AE">
        <w:rPr>
          <w:rFonts w:ascii="Arial" w:hAnsi="Arial" w:cs="Arial"/>
          <w:b/>
          <w:bCs/>
          <w:color w:val="0D0D0D"/>
          <w:sz w:val="22"/>
          <w:bdr w:val="none" w:sz="0" w:space="0" w:color="auto" w:frame="1"/>
          <w:lang w:eastAsia="es-CO"/>
        </w:rPr>
        <w:t>ocumentos tipo</w:t>
      </w:r>
    </w:p>
    <w:p w14:paraId="494D32B2" w14:textId="30BC954C" w:rsidR="00DF5B1C" w:rsidRPr="00EE03AE" w:rsidRDefault="00DF5B1C" w:rsidP="00EE03AE">
      <w:pPr>
        <w:shd w:val="clear" w:color="auto" w:fill="FFFFFF"/>
        <w:spacing w:line="276" w:lineRule="auto"/>
        <w:jc w:val="both"/>
        <w:rPr>
          <w:rFonts w:ascii="Arial" w:hAnsi="Arial" w:cs="Arial"/>
          <w:color w:val="0D0D0D"/>
          <w:sz w:val="22"/>
          <w:bdr w:val="none" w:sz="0" w:space="0" w:color="auto" w:frame="1"/>
          <w:lang w:eastAsia="es-CO"/>
        </w:rPr>
      </w:pPr>
      <w:r w:rsidRPr="00EE03AE">
        <w:rPr>
          <w:rFonts w:ascii="Arial" w:hAnsi="Arial" w:cs="Arial"/>
          <w:color w:val="0D0D0D"/>
          <w:sz w:val="22"/>
          <w:bdr w:val="none" w:sz="0" w:space="0" w:color="auto" w:frame="1"/>
          <w:lang w:eastAsia="es-CO"/>
        </w:rPr>
        <w:t>Los pliegos tipo surgen en el 2007 cuando el legislador facultó al Gobierno Nacional para adoptarlos en la compra o suministro de bienes de características técnicas uniformes</w:t>
      </w:r>
      <w:r w:rsidRPr="00EE03AE">
        <w:rPr>
          <w:rStyle w:val="Refdenotaalpie"/>
          <w:rFonts w:ascii="Arial" w:hAnsi="Arial" w:cs="Arial"/>
          <w:color w:val="0D0D0D"/>
          <w:sz w:val="22"/>
          <w:bdr w:val="none" w:sz="0" w:space="0" w:color="auto" w:frame="1"/>
          <w:lang w:eastAsia="es-CO"/>
        </w:rPr>
        <w:footnoteReference w:id="1"/>
      </w:r>
      <w:r w:rsidRPr="00EE03AE">
        <w:rPr>
          <w:rFonts w:ascii="Arial" w:hAnsi="Arial" w:cs="Arial"/>
          <w:color w:val="0D0D0D"/>
          <w:sz w:val="22"/>
          <w:bdr w:val="none" w:sz="0" w:space="0" w:color="auto" w:frame="1"/>
          <w:lang w:eastAsia="es-CO"/>
        </w:rPr>
        <w:t>. La orientación inicial del proyecto que se convirtió en la Ley 1150 de 2007 era facultar al Gobierno Nacional para adoptar los pliegos tipo en todos los contratos estatales, pues en el proyecto el parágrafo 3º disponía que: «El Gobierno Nacional tendrá la facultad de estandarizar los pliegos de condiciones o términos de referencia y los contratos de las entidades estatales»</w:t>
      </w:r>
      <w:r w:rsidRPr="00EE03AE">
        <w:rPr>
          <w:rStyle w:val="Refdenotaalpie"/>
          <w:rFonts w:ascii="Arial" w:hAnsi="Arial" w:cs="Arial"/>
          <w:color w:val="0D0D0D"/>
          <w:sz w:val="22"/>
          <w:bdr w:val="none" w:sz="0" w:space="0" w:color="auto" w:frame="1"/>
          <w:lang w:eastAsia="es-CO"/>
        </w:rPr>
        <w:footnoteReference w:id="2"/>
      </w:r>
      <w:r w:rsidRPr="00EE03AE">
        <w:rPr>
          <w:rFonts w:ascii="Arial" w:hAnsi="Arial" w:cs="Arial"/>
          <w:color w:val="0D0D0D"/>
          <w:sz w:val="22"/>
          <w:bdr w:val="none" w:sz="0" w:space="0" w:color="auto" w:frame="1"/>
          <w:lang w:eastAsia="es-CO"/>
        </w:rPr>
        <w:t>. </w:t>
      </w:r>
    </w:p>
    <w:p w14:paraId="319EAE42" w14:textId="77777777" w:rsidR="00DF5B1C" w:rsidRPr="00EE03AE" w:rsidRDefault="00DF5B1C" w:rsidP="00DF5B1C">
      <w:pPr>
        <w:shd w:val="clear" w:color="auto" w:fill="FFFFFF"/>
        <w:spacing w:before="120" w:line="276" w:lineRule="auto"/>
        <w:ind w:firstLine="708"/>
        <w:jc w:val="both"/>
        <w:rPr>
          <w:rFonts w:ascii="Arial" w:hAnsi="Arial" w:cs="Arial"/>
          <w:color w:val="0D0D0D"/>
          <w:sz w:val="22"/>
          <w:bdr w:val="none" w:sz="0" w:space="0" w:color="auto" w:frame="1"/>
          <w:lang w:eastAsia="es-CO"/>
        </w:rPr>
      </w:pPr>
      <w:r w:rsidRPr="00EE03AE">
        <w:rPr>
          <w:rFonts w:ascii="Arial" w:hAnsi="Arial" w:cs="Arial"/>
          <w:color w:val="0D0D0D"/>
          <w:sz w:val="22"/>
          <w:bdr w:val="none" w:sz="0" w:space="0" w:color="auto" w:frame="1"/>
          <w:lang w:eastAsia="es-CO"/>
        </w:rPr>
        <w:t>La intención era agilizar y dar mayor transparencia a los procedimientos de selección, así como evitar el direccionamiento, razón por la cual –conforme a lo explicado en la exposición de motivos– «[…] se asigna al Gobierno Nacional la facultad de estandarizar los pliegos de condiciones y términos de referencia de los contratos, medida que redundará en la agilidad y claridad de los procedimientos»</w:t>
      </w:r>
      <w:r w:rsidRPr="00EE03AE">
        <w:rPr>
          <w:rStyle w:val="Refdenotaalpie"/>
          <w:rFonts w:ascii="Arial" w:hAnsi="Arial" w:cs="Arial"/>
          <w:color w:val="0D0D0D"/>
          <w:sz w:val="22"/>
          <w:bdr w:val="none" w:sz="0" w:space="0" w:color="auto" w:frame="1"/>
          <w:lang w:eastAsia="es-CO"/>
        </w:rPr>
        <w:footnoteReference w:id="3"/>
      </w:r>
      <w:r w:rsidRPr="00EE03AE">
        <w:rPr>
          <w:rFonts w:ascii="Arial" w:hAnsi="Arial" w:cs="Arial"/>
          <w:color w:val="0D0D0D"/>
          <w:sz w:val="22"/>
          <w:bdr w:val="none" w:sz="0" w:space="0" w:color="auto" w:frame="1"/>
          <w:lang w:eastAsia="es-CO"/>
        </w:rPr>
        <w:t>. Sin embargo, en el texto aprobado, los pliegos tipo se limitaron a la adquisición o suministro de bienes de características técnicas uniformes</w:t>
      </w:r>
      <w:r w:rsidRPr="00EE03AE">
        <w:rPr>
          <w:rStyle w:val="Refdenotaalpie"/>
          <w:rFonts w:ascii="Arial" w:hAnsi="Arial" w:cs="Arial"/>
          <w:color w:val="0D0D0D"/>
          <w:sz w:val="22"/>
          <w:bdr w:val="none" w:sz="0" w:space="0" w:color="auto" w:frame="1"/>
          <w:lang w:eastAsia="es-CO"/>
        </w:rPr>
        <w:footnoteReference w:id="4"/>
      </w:r>
      <w:r w:rsidRPr="00EE03AE">
        <w:rPr>
          <w:rFonts w:ascii="Arial" w:hAnsi="Arial" w:cs="Arial"/>
          <w:color w:val="0D0D0D"/>
          <w:sz w:val="22"/>
          <w:bdr w:val="none" w:sz="0" w:space="0" w:color="auto" w:frame="1"/>
          <w:lang w:eastAsia="es-CO"/>
        </w:rPr>
        <w:t>. </w:t>
      </w:r>
    </w:p>
    <w:p w14:paraId="2F8FDA6B" w14:textId="77777777" w:rsidR="00DF5B1C" w:rsidRPr="00EE03AE" w:rsidRDefault="00DF5B1C" w:rsidP="00DF5B1C">
      <w:pPr>
        <w:shd w:val="clear" w:color="auto" w:fill="FFFFFF"/>
        <w:spacing w:before="120" w:line="276" w:lineRule="auto"/>
        <w:ind w:firstLine="709"/>
        <w:jc w:val="both"/>
        <w:rPr>
          <w:rFonts w:ascii="Arial" w:hAnsi="Arial" w:cs="Arial"/>
          <w:color w:val="0D0D0D"/>
          <w:sz w:val="22"/>
          <w:bdr w:val="none" w:sz="0" w:space="0" w:color="auto" w:frame="1"/>
          <w:lang w:eastAsia="es-CO"/>
        </w:rPr>
      </w:pPr>
      <w:r w:rsidRPr="00EE03AE">
        <w:rPr>
          <w:rFonts w:ascii="Arial" w:hAnsi="Arial" w:cs="Arial"/>
          <w:color w:val="0D0D0D"/>
          <w:sz w:val="22"/>
          <w:bdr w:val="none" w:sz="0" w:space="0" w:color="auto" w:frame="1"/>
          <w:lang w:eastAsia="es-CO"/>
        </w:rPr>
        <w:t>Posteriormente, el artículo 2, parágrafo 7º, de la Ley 1150 de 2007, adicionado por el artículo 4 de la Ley 1882 de 2018, establece la obligatoriedad de la adopción de documentos tipo para algunos contratos, en los siguientes términos: </w:t>
      </w:r>
    </w:p>
    <w:p w14:paraId="3CBAF671" w14:textId="77777777" w:rsidR="00DF5B1C" w:rsidRPr="00EE03AE" w:rsidRDefault="00DF5B1C" w:rsidP="00DF5B1C">
      <w:pPr>
        <w:shd w:val="clear" w:color="auto" w:fill="FFFFFF"/>
        <w:spacing w:line="276" w:lineRule="auto"/>
        <w:ind w:firstLine="709"/>
        <w:jc w:val="both"/>
        <w:rPr>
          <w:rFonts w:ascii="Arial" w:hAnsi="Arial" w:cs="Arial"/>
          <w:color w:val="000000"/>
          <w:sz w:val="22"/>
          <w:lang w:eastAsia="es-CO"/>
        </w:rPr>
      </w:pPr>
    </w:p>
    <w:p w14:paraId="6B8D1009" w14:textId="77777777" w:rsidR="00DF5B1C" w:rsidRPr="00EE03AE" w:rsidRDefault="00DF5B1C" w:rsidP="00DF5B1C">
      <w:pPr>
        <w:shd w:val="clear" w:color="auto" w:fill="FFFFFF"/>
        <w:ind w:left="709" w:right="709"/>
        <w:jc w:val="both"/>
        <w:rPr>
          <w:rFonts w:ascii="Arial" w:hAnsi="Arial" w:cs="Arial"/>
          <w:color w:val="0D0D0D"/>
          <w:sz w:val="21"/>
          <w:szCs w:val="21"/>
          <w:bdr w:val="none" w:sz="0" w:space="0" w:color="auto" w:frame="1"/>
          <w:lang w:eastAsia="es-CO"/>
        </w:rPr>
      </w:pPr>
      <w:r w:rsidRPr="00EE03AE">
        <w:rPr>
          <w:rFonts w:ascii="Arial" w:hAnsi="Arial" w:cs="Arial"/>
          <w:color w:val="0D0D0D"/>
          <w:sz w:val="21"/>
          <w:szCs w:val="21"/>
          <w:bdr w:val="none" w:sz="0" w:space="0" w:color="auto" w:frame="1"/>
          <w:lang w:eastAsia="es-CO"/>
        </w:rPr>
        <w:t>Parágrafo 7°. 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w:t>
      </w:r>
      <w:r w:rsidRPr="00EE03AE">
        <w:rPr>
          <w:rFonts w:ascii="Arial" w:hAnsi="Arial" w:cs="Arial"/>
          <w:i/>
          <w:iCs/>
          <w:color w:val="0D0D0D"/>
          <w:sz w:val="21"/>
          <w:szCs w:val="21"/>
          <w:bdr w:val="none" w:sz="0" w:space="0" w:color="auto" w:frame="1"/>
          <w:lang w:eastAsia="es-CO"/>
        </w:rPr>
        <w:t>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w:t>
      </w:r>
      <w:r w:rsidRPr="00EE03AE">
        <w:rPr>
          <w:rFonts w:ascii="Arial" w:hAnsi="Arial" w:cs="Arial"/>
          <w:color w:val="0D0D0D"/>
          <w:sz w:val="21"/>
          <w:szCs w:val="21"/>
          <w:bdr w:val="none" w:sz="0" w:space="0" w:color="auto" w:frame="1"/>
          <w:lang w:eastAsia="es-CO"/>
        </w:rPr>
        <w:t> […] </w:t>
      </w:r>
      <w:r w:rsidRPr="00EE03AE">
        <w:rPr>
          <w:rFonts w:ascii="Arial" w:hAnsi="Arial" w:cs="Arial"/>
          <w:i/>
          <w:iCs/>
          <w:color w:val="0D0D0D"/>
          <w:sz w:val="21"/>
          <w:szCs w:val="21"/>
          <w:bdr w:val="none" w:sz="0" w:space="0" w:color="auto" w:frame="1"/>
          <w:lang w:eastAsia="es-CO"/>
        </w:rPr>
        <w:t>teniendo en cuenta la naturaleza y cuantía de los contratos</w:t>
      </w:r>
      <w:r w:rsidRPr="00EE03AE">
        <w:rPr>
          <w:rFonts w:ascii="Arial" w:hAnsi="Arial" w:cs="Arial"/>
          <w:color w:val="0D0D0D"/>
          <w:sz w:val="21"/>
          <w:szCs w:val="21"/>
          <w:bdr w:val="none" w:sz="0" w:space="0" w:color="auto" w:frame="1"/>
          <w:lang w:eastAsia="es-CO"/>
        </w:rPr>
        <w:t> […]. (Énfasis fuera de texto) </w:t>
      </w:r>
    </w:p>
    <w:p w14:paraId="1DAD11F2" w14:textId="77777777" w:rsidR="00DF5B1C" w:rsidRPr="00EE03AE" w:rsidRDefault="00DF5B1C" w:rsidP="00DF5B1C">
      <w:pPr>
        <w:shd w:val="clear" w:color="auto" w:fill="FFFFFF"/>
        <w:spacing w:line="276" w:lineRule="auto"/>
        <w:ind w:left="709" w:right="709"/>
        <w:jc w:val="both"/>
        <w:rPr>
          <w:rFonts w:ascii="Arial" w:hAnsi="Arial" w:cs="Arial"/>
          <w:color w:val="000000"/>
          <w:sz w:val="22"/>
          <w:lang w:eastAsia="es-CO"/>
        </w:rPr>
      </w:pPr>
    </w:p>
    <w:p w14:paraId="13964151" w14:textId="77777777" w:rsidR="00DF5B1C" w:rsidRPr="00EE03AE" w:rsidRDefault="00DF5B1C" w:rsidP="00DF5B1C">
      <w:pPr>
        <w:shd w:val="clear" w:color="auto" w:fill="FFFFFF"/>
        <w:spacing w:line="276" w:lineRule="auto"/>
        <w:ind w:firstLine="708"/>
        <w:jc w:val="both"/>
        <w:rPr>
          <w:rFonts w:ascii="Arial" w:hAnsi="Arial" w:cs="Arial"/>
          <w:color w:val="0D0D0D"/>
          <w:sz w:val="22"/>
          <w:bdr w:val="none" w:sz="0" w:space="0" w:color="auto" w:frame="1"/>
          <w:lang w:eastAsia="es-CO"/>
        </w:rPr>
      </w:pPr>
      <w:r w:rsidRPr="00EE03AE">
        <w:rPr>
          <w:rFonts w:ascii="Arial" w:hAnsi="Arial" w:cs="Arial"/>
          <w:color w:val="0D0D0D"/>
          <w:sz w:val="22"/>
          <w:bdr w:val="none" w:sz="0" w:space="0" w:color="auto" w:frame="1"/>
          <w:lang w:eastAsia="es-CO"/>
        </w:rPr>
        <w:t>Sin embargo, el 22 de julio de 2020, el Gobierno Nacional sancionó la Ley 2022, llamada la «ley de pliegos tipo», que rige a partir de su publicación y cuyo artículo 1 modifica el artículo 4 de la Ley 1882 de 2018 en relación con los siguientes aspectos: i) el sujeto encargado de la adopción de los documentos tipo, ya que antes se señalaba al Gobierno Nacional y ahora la entidad encargada directamente por la Ley es la Agencia Nacional de Contratación Pública – Colombia Compra Eficiente o quien haga sus veces; ii) la inclusión de buenas prácticas contractuales y los principios de la contratación pública para establecer los requisitos habilitantes, factores técnicos, económicos y otros factores de escogencia en los documentos tipo; iii) la implementación de procesos de capacitación en los municipios para la utilización de los documentos tipo buscando el desarrollo de la economía local; y iv) las responsabilidades para Colombia Compra Eficiente en la definición del desarrollo e implementación de los documentos tipo mediante cronogramas, coordinación con otras entidades especializadas, recepción de comentarios de los interesados y revisión de los documentos tipo expedidos</w:t>
      </w:r>
      <w:r w:rsidRPr="00EE03AE">
        <w:rPr>
          <w:rStyle w:val="Refdenotaalpie"/>
          <w:rFonts w:ascii="Arial" w:hAnsi="Arial" w:cs="Arial"/>
          <w:color w:val="0D0D0D"/>
          <w:sz w:val="22"/>
          <w:bdr w:val="none" w:sz="0" w:space="0" w:color="auto" w:frame="1"/>
          <w:lang w:eastAsia="es-CO"/>
        </w:rPr>
        <w:footnoteReference w:id="5"/>
      </w:r>
      <w:r w:rsidRPr="00EE03AE">
        <w:rPr>
          <w:rFonts w:ascii="Arial" w:hAnsi="Arial" w:cs="Arial"/>
          <w:color w:val="0D0D0D"/>
          <w:sz w:val="22"/>
          <w:bdr w:val="none" w:sz="0" w:space="0" w:color="auto" w:frame="1"/>
          <w:lang w:eastAsia="es-CO"/>
        </w:rPr>
        <w:t>.  </w:t>
      </w:r>
    </w:p>
    <w:p w14:paraId="06547016" w14:textId="77777777" w:rsidR="00DF5B1C" w:rsidRPr="00EE03AE" w:rsidRDefault="00DF5B1C" w:rsidP="00DF5B1C">
      <w:pPr>
        <w:shd w:val="clear" w:color="auto" w:fill="FFFFFF"/>
        <w:spacing w:before="120" w:line="276" w:lineRule="auto"/>
        <w:ind w:firstLine="703"/>
        <w:jc w:val="both"/>
        <w:rPr>
          <w:rFonts w:ascii="Arial" w:hAnsi="Arial" w:cs="Arial"/>
          <w:color w:val="0D0D0D"/>
          <w:sz w:val="22"/>
          <w:bdr w:val="none" w:sz="0" w:space="0" w:color="auto" w:frame="1"/>
          <w:lang w:eastAsia="es-CO"/>
        </w:rPr>
      </w:pPr>
      <w:r w:rsidRPr="00EE03AE">
        <w:rPr>
          <w:rFonts w:ascii="Arial" w:hAnsi="Arial" w:cs="Arial"/>
          <w:color w:val="0D0D0D"/>
          <w:sz w:val="22"/>
          <w:bdr w:val="none" w:sz="0" w:space="0" w:color="auto" w:frame="1"/>
          <w:lang w:eastAsia="es-CO"/>
        </w:rPr>
        <w:t xml:space="preserve">Sin perjuicio de lo anterior, la exposición de motivos del proyecto que se convirtió en la Ley 1882 de 2018 se refirió a la necesidad de utilizar documentos tipo, pues reducen el tiempo de los procesos de contratación y contribuyen al logro de una contratación pública más transparente y con mayor concurrencia de oferentes. Igualmente, la intención del legislador era adaptar el ordenamiento jurídico colombiano a las nuevas tendencias </w:t>
      </w:r>
      <w:r w:rsidRPr="00EE03AE">
        <w:rPr>
          <w:rFonts w:ascii="Arial" w:hAnsi="Arial" w:cs="Arial"/>
          <w:color w:val="0D0D0D"/>
          <w:sz w:val="22"/>
          <w:bdr w:val="none" w:sz="0" w:space="0" w:color="auto" w:frame="1"/>
          <w:lang w:eastAsia="es-CO"/>
        </w:rPr>
        <w:lastRenderedPageBreak/>
        <w:t>internacionales, al entender que los documentos tipo son una medida eficaz contra la corrupción y permiten una administración pública más eficiente y moderna. </w:t>
      </w:r>
    </w:p>
    <w:p w14:paraId="705C9D2F" w14:textId="77777777" w:rsidR="00DF5B1C" w:rsidRPr="00EE03AE" w:rsidRDefault="00DF5B1C" w:rsidP="00DF5B1C">
      <w:pPr>
        <w:shd w:val="clear" w:color="auto" w:fill="FFFFFF"/>
        <w:spacing w:before="120" w:line="276" w:lineRule="auto"/>
        <w:ind w:firstLine="705"/>
        <w:jc w:val="both"/>
        <w:rPr>
          <w:rFonts w:ascii="Arial" w:hAnsi="Arial" w:cs="Arial"/>
          <w:color w:val="0D0D0D"/>
          <w:sz w:val="22"/>
          <w:bdr w:val="none" w:sz="0" w:space="0" w:color="auto" w:frame="1"/>
          <w:lang w:eastAsia="es-CO"/>
        </w:rPr>
      </w:pPr>
      <w:r w:rsidRPr="00EE03AE">
        <w:rPr>
          <w:rFonts w:ascii="Arial" w:hAnsi="Arial" w:cs="Arial"/>
          <w:color w:val="0D0D0D"/>
          <w:sz w:val="22"/>
          <w:bdr w:val="none" w:sz="0" w:space="0" w:color="auto" w:frame="1"/>
          <w:lang w:eastAsia="es-CO"/>
        </w:rPr>
        <w:t>En ejercicio de la competencia conferida por el citado parágrafo, el Gobierno Nacional expidió el Decreto 342 de 2019, por medio del que se adoptaron los documentos tipo para licitaciones públicas para selección de contratistas de obra de infraestructura de transporte. En esta medida, el reglamento adicionó la Sección 6 y la Subsección 1 al Capítulo 2 del Título 1 de la Parte 2 del Libro 2 del Decreto 1082 de 2015, Decreto Único Reglamentario del Sector Administrativo de Planeación Nacional.  </w:t>
      </w:r>
    </w:p>
    <w:p w14:paraId="2C06FFD3" w14:textId="77777777" w:rsidR="00DF5B1C" w:rsidRPr="00EE03AE" w:rsidRDefault="00DF5B1C" w:rsidP="00DF5B1C">
      <w:pPr>
        <w:shd w:val="clear" w:color="auto" w:fill="FFFFFF"/>
        <w:spacing w:before="120" w:line="276" w:lineRule="auto"/>
        <w:ind w:firstLine="705"/>
        <w:jc w:val="both"/>
        <w:rPr>
          <w:rFonts w:ascii="Arial" w:hAnsi="Arial" w:cs="Arial"/>
          <w:color w:val="0D0D0D"/>
          <w:sz w:val="22"/>
          <w:bdr w:val="none" w:sz="0" w:space="0" w:color="auto" w:frame="1"/>
          <w:lang w:eastAsia="es-CO"/>
        </w:rPr>
      </w:pPr>
      <w:r w:rsidRPr="00EE03AE">
        <w:rPr>
          <w:rFonts w:ascii="Arial" w:hAnsi="Arial" w:cs="Arial"/>
          <w:color w:val="0D0D0D"/>
          <w:sz w:val="22"/>
          <w:bdr w:val="none" w:sz="0" w:space="0" w:color="auto" w:frame="1"/>
          <w:lang w:eastAsia="es-CO"/>
        </w:rPr>
        <w:t>El artículo 2.2.1.2.6.1.1 del Decreto 1082 de 2015, sobre el objeto de los «Documentos Tipo» adoptados por el Decreto 342 de 2019, señala que «La presente subsección tiene por objeto adoptar los Documentos Tipo para los pliegos de condiciones de los procesos de selección de licitación de obra pública de infraestructura de transporte». Además, el artículo 2.2.1.2.6.1.2 del Decreto –referido al alcance de los documentos tipo–dispone que «contienen parámetros obligatorios para las entidades estatales sometidas al Estatuto General de la Contratación Pública que adelanten procesos de selección de licitación de obra pública de infraestructura de transporte».  </w:t>
      </w:r>
    </w:p>
    <w:p w14:paraId="2390FCEC" w14:textId="77777777" w:rsidR="00DF5B1C" w:rsidRPr="00EE03AE" w:rsidRDefault="00DF5B1C" w:rsidP="00DF5B1C">
      <w:pPr>
        <w:shd w:val="clear" w:color="auto" w:fill="FFFFFF"/>
        <w:spacing w:before="120" w:line="276" w:lineRule="auto"/>
        <w:ind w:firstLine="705"/>
        <w:jc w:val="both"/>
        <w:rPr>
          <w:rFonts w:ascii="Arial" w:hAnsi="Arial" w:cs="Arial"/>
          <w:color w:val="0D0D0D"/>
          <w:sz w:val="22"/>
          <w:bdr w:val="none" w:sz="0" w:space="0" w:color="auto" w:frame="1"/>
          <w:lang w:eastAsia="es-CO"/>
        </w:rPr>
      </w:pPr>
      <w:r w:rsidRPr="00EE03AE">
        <w:rPr>
          <w:rFonts w:ascii="Arial" w:hAnsi="Arial" w:cs="Arial"/>
          <w:color w:val="0D0D0D"/>
          <w:sz w:val="22"/>
          <w:bdr w:val="none" w:sz="0" w:space="0" w:color="auto" w:frame="1"/>
          <w:lang w:eastAsia="es-CO"/>
        </w:rPr>
        <w:t>El Gobierno Nacional mediante el artículo 2.2.1.2.6.1.3 del Decreto 1082 de 2015, adicionado por el Decreto 342 de 2019, facultó a la Agencia Nacional de Contratación Pública – Colombia Compra Eficiente, para que en coordinación con el Departamento Nacional de Planeación –DNP– y el Ministerio de Transporte, desarrollara e implementara los Documentos Tipo. Lo anterior se materializó con la expedición de la Resolución No. 1798 del 1º de abril de 2019 que implementó la Versión 1 de los documentos tipo para procesos de licitación de obra pública de infraestructura de transporte. </w:t>
      </w:r>
    </w:p>
    <w:p w14:paraId="0C43B737" w14:textId="77777777" w:rsidR="00DF5B1C" w:rsidRPr="00EE03AE" w:rsidRDefault="00DF5B1C" w:rsidP="00DF5B1C">
      <w:pPr>
        <w:shd w:val="clear" w:color="auto" w:fill="FFFFFF"/>
        <w:spacing w:before="120" w:line="276" w:lineRule="auto"/>
        <w:ind w:firstLine="705"/>
        <w:jc w:val="both"/>
        <w:rPr>
          <w:rFonts w:ascii="Arial" w:hAnsi="Arial" w:cs="Arial"/>
          <w:color w:val="0D0D0D"/>
          <w:sz w:val="22"/>
          <w:bdr w:val="none" w:sz="0" w:space="0" w:color="auto" w:frame="1"/>
          <w:lang w:eastAsia="es-CO"/>
        </w:rPr>
      </w:pPr>
      <w:r w:rsidRPr="00EE03AE">
        <w:rPr>
          <w:rFonts w:ascii="Arial" w:hAnsi="Arial" w:cs="Arial"/>
          <w:color w:val="0D0D0D"/>
          <w:sz w:val="22"/>
          <w:bdr w:val="none" w:sz="0" w:space="0" w:color="auto" w:frame="1"/>
          <w:lang w:eastAsia="es-CO"/>
        </w:rPr>
        <w:t>La Agencia Nacional de Contratación Pública – Colombia Compra Eficiente luego de identificar, junto con el Departamento Nacional de Planeación y el Ministerio de Transporte, la necesidad de actualizar los documentos tipo para los procesos de licitación pública en orden de fortalecerlos y adaptarlos a la realidad de la contratación del país, implementó la versión 2. De esta manera expidió la Resolución No. 045 del 14 de febrero de 2020, «Por la cual se actualizan los Documentos Tipo para los procesos de selección de licitación de obra pública de infraestructura de transporte y se deroga la Resolución 1798 de 2019».  </w:t>
      </w:r>
    </w:p>
    <w:p w14:paraId="1CD8656A" w14:textId="77777777" w:rsidR="00DF5B1C" w:rsidRPr="00EE03AE" w:rsidRDefault="00DF5B1C" w:rsidP="00DF5B1C">
      <w:pPr>
        <w:shd w:val="clear" w:color="auto" w:fill="FFFFFF"/>
        <w:spacing w:before="120" w:line="276" w:lineRule="auto"/>
        <w:ind w:firstLine="708"/>
        <w:jc w:val="both"/>
        <w:rPr>
          <w:rFonts w:ascii="Arial" w:hAnsi="Arial" w:cs="Arial"/>
          <w:color w:val="0D0D0D"/>
          <w:sz w:val="22"/>
          <w:bdr w:val="none" w:sz="0" w:space="0" w:color="auto" w:frame="1"/>
          <w:lang w:eastAsia="es-CO"/>
        </w:rPr>
      </w:pPr>
      <w:r w:rsidRPr="00EE03AE">
        <w:rPr>
          <w:rFonts w:ascii="Arial" w:hAnsi="Arial" w:cs="Arial"/>
          <w:color w:val="0D0D0D"/>
          <w:sz w:val="22"/>
          <w:bdr w:val="none" w:sz="0" w:space="0" w:color="auto" w:frame="1"/>
          <w:lang w:eastAsia="es-CO"/>
        </w:rPr>
        <w:t>El Gobierno Nacional ejerció nuevamente la competencia prevista en el citado artículo 4 de la Ley 1882 de 2018, expidiendo el Decreto 2096 de 2019. Mediante el Decreto mencionado se autorizaron los documentos tipo para procesos de contratación de obra pública de infraestructura de transporte adelantados en la modalidad de selección abreviada de menor cuantía. Este reglamento adicionó la Subsección 2 a la Sección 6 del Capítulo 2 del Título 1 de la parte 2 del Libro 2 del Decreto 1082 de 2015. </w:t>
      </w:r>
    </w:p>
    <w:p w14:paraId="34B76255" w14:textId="77777777" w:rsidR="00DF5B1C" w:rsidRPr="00EE03AE" w:rsidRDefault="00DF5B1C" w:rsidP="00DF5B1C">
      <w:pPr>
        <w:shd w:val="clear" w:color="auto" w:fill="FFFFFF"/>
        <w:spacing w:before="120" w:line="276" w:lineRule="auto"/>
        <w:ind w:firstLine="708"/>
        <w:jc w:val="both"/>
        <w:rPr>
          <w:rFonts w:ascii="Arial" w:hAnsi="Arial" w:cs="Arial"/>
          <w:color w:val="0D0D0D"/>
          <w:sz w:val="22"/>
          <w:bdr w:val="none" w:sz="0" w:space="0" w:color="auto" w:frame="1"/>
          <w:lang w:eastAsia="es-CO"/>
        </w:rPr>
      </w:pPr>
      <w:r w:rsidRPr="00EE03AE">
        <w:rPr>
          <w:rFonts w:ascii="Arial" w:hAnsi="Arial" w:cs="Arial"/>
          <w:color w:val="0D0D0D"/>
          <w:sz w:val="22"/>
          <w:bdr w:val="none" w:sz="0" w:space="0" w:color="auto" w:frame="1"/>
          <w:lang w:eastAsia="es-CO"/>
        </w:rPr>
        <w:t xml:space="preserve">El artículo 2.2.1.2.6.2.2 del Decreto 1082 de 2015 contiene el listado de los documentos tipo aplicables a los procesos de selección abreviada de menor cuantía para </w:t>
      </w:r>
      <w:r w:rsidRPr="00EE03AE">
        <w:rPr>
          <w:rFonts w:ascii="Arial" w:hAnsi="Arial" w:cs="Arial"/>
          <w:color w:val="0D0D0D"/>
          <w:sz w:val="22"/>
          <w:bdr w:val="none" w:sz="0" w:space="0" w:color="auto" w:frame="1"/>
          <w:lang w:eastAsia="es-CO"/>
        </w:rPr>
        <w:lastRenderedPageBreak/>
        <w:t>la contratación de obra pública de infraestructura de transporte. Además, el 2.2.1.2.6.2.3 </w:t>
      </w:r>
      <w:r w:rsidRPr="00EE03AE">
        <w:rPr>
          <w:rFonts w:ascii="Arial" w:hAnsi="Arial" w:cs="Arial"/>
          <w:i/>
          <w:iCs/>
          <w:color w:val="0D0D0D"/>
          <w:sz w:val="22"/>
          <w:bdr w:val="none" w:sz="0" w:space="0" w:color="auto" w:frame="1"/>
          <w:lang w:eastAsia="es-CO"/>
        </w:rPr>
        <w:t>ibidem</w:t>
      </w:r>
      <w:r w:rsidRPr="00EE03AE">
        <w:rPr>
          <w:rFonts w:ascii="Arial" w:hAnsi="Arial" w:cs="Arial"/>
          <w:color w:val="0D0D0D"/>
          <w:sz w:val="22"/>
          <w:bdr w:val="none" w:sz="0" w:space="0" w:color="auto" w:frame="1"/>
          <w:lang w:eastAsia="es-CO"/>
        </w:rPr>
        <w:t> facultó a la Agencia Nacional de Contratación Pública – Colombia Compra Eficiente, para que en coordinación con el Departamento Nacional de Planeación –DNP– y el Ministerio de Transporte, desarrollara e implementara los documentos tipo. La entidad ejerció esta competencia mediante la expedición de la Resolución No. 044 del 14 de febrero de 2020 que implementó los documentos tipo para esta modalidad de selección. </w:t>
      </w:r>
    </w:p>
    <w:p w14:paraId="7A443403" w14:textId="77777777" w:rsidR="00DF5B1C" w:rsidRPr="00EE03AE" w:rsidRDefault="00DF5B1C" w:rsidP="00DF5B1C">
      <w:pPr>
        <w:shd w:val="clear" w:color="auto" w:fill="FFFFFF"/>
        <w:spacing w:before="120" w:line="276" w:lineRule="auto"/>
        <w:ind w:firstLine="708"/>
        <w:jc w:val="both"/>
        <w:rPr>
          <w:rFonts w:ascii="Arial" w:hAnsi="Arial" w:cs="Arial"/>
          <w:color w:val="0D0D0D"/>
          <w:sz w:val="22"/>
          <w:bdr w:val="none" w:sz="0" w:space="0" w:color="auto" w:frame="1"/>
          <w:lang w:eastAsia="es-CO"/>
        </w:rPr>
      </w:pPr>
      <w:r w:rsidRPr="00EE03AE">
        <w:rPr>
          <w:rFonts w:ascii="Arial" w:hAnsi="Arial" w:cs="Arial"/>
          <w:color w:val="0D0D0D"/>
          <w:sz w:val="22"/>
          <w:bdr w:val="none" w:sz="0" w:space="0" w:color="auto" w:frame="1"/>
          <w:lang w:eastAsia="es-CO"/>
        </w:rPr>
        <w:t>Finalmente, el Gobierno Nacional ejerció la competencia prevista en el citado artículo 4 de la Ley 1882 de 2018, expidiendo el Decreto 594 de 2020, el cual adoptó los documentos tipo para procesos de contratación de obra pública de infraestructura de transporte adelantados en la modalidad de mínima cuantía. Este reglamento adicionó la Subsección 3 a la Sección 6 del Capítulo 2 del Título 1 de la parte 2 del Libro 2 del Decreto 1082 de 2015. </w:t>
      </w:r>
    </w:p>
    <w:p w14:paraId="258C4ED4" w14:textId="77777777" w:rsidR="00DF5B1C" w:rsidRPr="00EE03AE" w:rsidRDefault="00DF5B1C" w:rsidP="00DF5B1C">
      <w:pPr>
        <w:shd w:val="clear" w:color="auto" w:fill="FFFFFF"/>
        <w:spacing w:before="120" w:line="276" w:lineRule="auto"/>
        <w:ind w:firstLine="708"/>
        <w:jc w:val="both"/>
        <w:rPr>
          <w:rFonts w:ascii="Arial" w:hAnsi="Arial" w:cs="Arial"/>
          <w:color w:val="0D0D0D"/>
          <w:sz w:val="22"/>
          <w:bdr w:val="none" w:sz="0" w:space="0" w:color="auto" w:frame="1"/>
          <w:lang w:eastAsia="es-CO"/>
        </w:rPr>
      </w:pPr>
      <w:r w:rsidRPr="00EE03AE">
        <w:rPr>
          <w:rFonts w:ascii="Arial" w:hAnsi="Arial" w:cs="Arial"/>
          <w:color w:val="0D0D0D"/>
          <w:sz w:val="22"/>
          <w:bdr w:val="none" w:sz="0" w:space="0" w:color="auto" w:frame="1"/>
          <w:lang w:eastAsia="es-CO"/>
        </w:rPr>
        <w:t>El artículo 2.2.1.2.6.3.2 del Decreto 1082 de 2015 contiene el listado de los documentos tipo aplicables a los procesos de mínima cuantía para la contratación de obra pública de infraestructura de transporte, mientras que el 2.2.1.2.6.3.3 facultó a la Agencia Nacional de Contratación Pública – Colombia Compra Eficiente, para que en coordinación con el Departamento Nacional de Planeación –DNP– y el Ministerio de Transporte, desarrollara e implementara los documentos tipo. Esta competencia fue ejercida mediante la expedición de la Resolución No. 094 del 21 de mayo de 2020 que implementó los documentos tipo para esta modalidad de selección. </w:t>
      </w:r>
    </w:p>
    <w:p w14:paraId="12B8D8AF" w14:textId="77777777" w:rsidR="00DF5B1C" w:rsidRPr="00EE03AE" w:rsidRDefault="00DF5B1C" w:rsidP="00DF5B1C">
      <w:pPr>
        <w:pStyle w:val="Normal11pt"/>
        <w:spacing w:before="120" w:line="276" w:lineRule="auto"/>
        <w:ind w:left="0" w:firstLine="709"/>
        <w:rPr>
          <w:rFonts w:eastAsia="Calibri"/>
          <w:color w:val="000000" w:themeColor="text1"/>
        </w:rPr>
      </w:pPr>
      <w:r w:rsidRPr="00EE03AE">
        <w:rPr>
          <w:color w:val="0D0D0D"/>
          <w:bdr w:val="none" w:sz="0" w:space="0" w:color="auto" w:frame="1"/>
          <w:lang w:eastAsia="es-CO"/>
        </w:rPr>
        <w:t xml:space="preserve">Ahora bien, esta Agencia teniendo en cuenta la afectación económica que causaron las medidas adoptadas para contener la pandemia COVID – 19 en el país, decide actualizar los documentos tipo para los procesos de licitación de obra pública y selección abreviada de menor cuantía de infraestructura de transporte y, en consecuencia, adopta medidas en apoyo a la industria nacional. Por tanto, bajo la competencia prevista en la Ley 2022 de 2020, Colombia Compra Eficiente expide las Resoluciones No. 240 y 241 del 27 de noviembre 2020 mediante las cuales se adoptan los documentos tipo de licitación de obra pública – versión 3 y de selección abreviada de menor cuantía – versión 2 de infraestructura de transporte, los cuales son obligatorios a partir del 1º de enero de 2021. Incluso, con la expedición de la Ley de Emprendimiento, estos se ajustaron mediante la Resolución No. 161 del 17 de junio de 2021, «Por la cual se modifican los documentos tipo adoptados por la Agencia Nacional de Contratación Pública – Colombia Compra Eficiente», la cual rige para los procedimientos de selección cuya invitación o aviso de convocatoria se publique a partir del 28 de junio de 2021. </w:t>
      </w:r>
    </w:p>
    <w:p w14:paraId="6441BF1A" w14:textId="77777777" w:rsidR="00DF5B1C" w:rsidRPr="00EE03AE" w:rsidRDefault="00DF5B1C" w:rsidP="00995481">
      <w:pPr>
        <w:spacing w:line="276" w:lineRule="auto"/>
        <w:jc w:val="both"/>
        <w:rPr>
          <w:rFonts w:ascii="Arial" w:eastAsia="Calibri" w:hAnsi="Arial" w:cs="Arial"/>
          <w:b/>
          <w:bCs/>
          <w:sz w:val="22"/>
          <w:szCs w:val="22"/>
          <w:lang w:val="es-ES"/>
        </w:rPr>
      </w:pPr>
    </w:p>
    <w:p w14:paraId="012CB554" w14:textId="702D1143" w:rsidR="00995481" w:rsidRPr="00EE03AE" w:rsidRDefault="00995481" w:rsidP="00995481">
      <w:pPr>
        <w:spacing w:line="276" w:lineRule="auto"/>
        <w:jc w:val="both"/>
        <w:rPr>
          <w:rFonts w:ascii="Arial" w:eastAsia="Calibri" w:hAnsi="Arial" w:cs="Arial"/>
          <w:b/>
          <w:bCs/>
          <w:sz w:val="22"/>
          <w:szCs w:val="22"/>
          <w:lang w:val="es-ES"/>
        </w:rPr>
      </w:pPr>
      <w:r w:rsidRPr="00EE03AE">
        <w:rPr>
          <w:rFonts w:ascii="Arial" w:eastAsia="Calibri" w:hAnsi="Arial" w:cs="Arial"/>
          <w:b/>
          <w:bCs/>
          <w:sz w:val="22"/>
          <w:szCs w:val="22"/>
          <w:lang w:val="es-ES"/>
        </w:rPr>
        <w:t>2.</w:t>
      </w:r>
      <w:r w:rsidR="00DF5B1C" w:rsidRPr="00EE03AE">
        <w:rPr>
          <w:rFonts w:ascii="Arial" w:eastAsia="Calibri" w:hAnsi="Arial" w:cs="Arial"/>
          <w:b/>
          <w:bCs/>
          <w:sz w:val="22"/>
          <w:szCs w:val="22"/>
          <w:lang w:val="es-ES"/>
        </w:rPr>
        <w:t>2</w:t>
      </w:r>
      <w:r w:rsidRPr="00EE03AE">
        <w:rPr>
          <w:rFonts w:ascii="Arial" w:eastAsia="Calibri" w:hAnsi="Arial" w:cs="Arial"/>
          <w:b/>
          <w:bCs/>
          <w:sz w:val="22"/>
          <w:szCs w:val="22"/>
          <w:lang w:val="es-ES"/>
        </w:rPr>
        <w:t xml:space="preserve">. </w:t>
      </w:r>
      <w:r w:rsidR="009B6280" w:rsidRPr="00EE03AE">
        <w:rPr>
          <w:rFonts w:ascii="Arial" w:eastAsia="Calibri" w:hAnsi="Arial" w:cs="Arial"/>
          <w:b/>
          <w:bCs/>
          <w:sz w:val="22"/>
          <w:szCs w:val="22"/>
          <w:lang w:val="es-ES"/>
        </w:rPr>
        <w:t>D</w:t>
      </w:r>
      <w:r w:rsidRPr="00EE03AE">
        <w:rPr>
          <w:rFonts w:ascii="Arial" w:eastAsia="Calibri" w:hAnsi="Arial" w:cs="Arial"/>
          <w:b/>
          <w:bCs/>
          <w:sz w:val="22"/>
          <w:szCs w:val="22"/>
          <w:lang w:val="es-ES"/>
        </w:rPr>
        <w:t>ocumentos tipo de licitación de obra pública de infraestructura de transporte</w:t>
      </w:r>
      <w:r w:rsidR="009B6280" w:rsidRPr="00EE03AE">
        <w:rPr>
          <w:rFonts w:ascii="Arial" w:eastAsia="Calibri" w:hAnsi="Arial" w:cs="Arial"/>
          <w:b/>
          <w:bCs/>
          <w:sz w:val="22"/>
          <w:szCs w:val="22"/>
          <w:lang w:val="es-ES"/>
        </w:rPr>
        <w:t xml:space="preserve">: acreditación de experiencia general para proyectos atención obras de emergencias mediante obras de estabilización de taludes o recuperación de banca </w:t>
      </w:r>
    </w:p>
    <w:p w14:paraId="4272CBB5" w14:textId="77777777" w:rsidR="00DA11A4" w:rsidRPr="00EE03AE" w:rsidRDefault="00DA11A4" w:rsidP="009B34F3">
      <w:pPr>
        <w:spacing w:line="276" w:lineRule="auto"/>
        <w:jc w:val="both"/>
        <w:rPr>
          <w:rFonts w:ascii="Arial" w:eastAsia="Calibri" w:hAnsi="Arial" w:cs="Arial"/>
          <w:sz w:val="22"/>
          <w:szCs w:val="22"/>
          <w:lang w:val="es-MX"/>
        </w:rPr>
      </w:pPr>
    </w:p>
    <w:p w14:paraId="64FA44C0" w14:textId="2C86979A" w:rsidR="009A6899" w:rsidRPr="00EE03AE" w:rsidRDefault="00995481" w:rsidP="009B34F3">
      <w:pPr>
        <w:spacing w:line="276" w:lineRule="auto"/>
        <w:jc w:val="both"/>
        <w:rPr>
          <w:rFonts w:ascii="Arial" w:hAnsi="Arial" w:cs="Arial"/>
          <w:sz w:val="22"/>
        </w:rPr>
      </w:pPr>
      <w:r w:rsidRPr="00EE03AE">
        <w:rPr>
          <w:rFonts w:ascii="Arial" w:eastAsia="Calibri" w:hAnsi="Arial" w:cs="Arial"/>
          <w:sz w:val="22"/>
          <w:szCs w:val="22"/>
          <w:lang w:val="es-MX"/>
        </w:rPr>
        <w:lastRenderedPageBreak/>
        <w:t xml:space="preserve">De acuerdo con las condiciones fijadas en el «Documento Base» de </w:t>
      </w:r>
      <w:r w:rsidR="00AE4BF7" w:rsidRPr="00EE03AE">
        <w:rPr>
          <w:rFonts w:ascii="Arial" w:eastAsia="Calibri" w:hAnsi="Arial" w:cs="Arial"/>
          <w:sz w:val="22"/>
          <w:szCs w:val="22"/>
          <w:lang w:val="es-MX"/>
        </w:rPr>
        <w:t xml:space="preserve">los </w:t>
      </w:r>
      <w:r w:rsidR="00AE4BF7" w:rsidRPr="00EE03AE">
        <w:rPr>
          <w:rFonts w:ascii="Arial" w:eastAsia="Calibri" w:hAnsi="Arial" w:cs="Arial"/>
          <w:color w:val="000000" w:themeColor="text1"/>
          <w:sz w:val="22"/>
          <w:szCs w:val="22"/>
        </w:rPr>
        <w:t xml:space="preserve">«Documentos Tipo – Versión 3» de licitación para obras públicas para infraestructura de transporte, adoptados por la </w:t>
      </w:r>
      <w:r w:rsidR="00AE4BF7" w:rsidRPr="00EE03AE">
        <w:rPr>
          <w:rFonts w:ascii="Arial" w:eastAsia="Calibri" w:hAnsi="Arial" w:cs="Arial"/>
          <w:sz w:val="22"/>
          <w:szCs w:val="22"/>
          <w:lang w:val="es-MX"/>
        </w:rPr>
        <w:t>la Resolución No. 240 del 27 de noviembre de 2020</w:t>
      </w:r>
      <w:r w:rsidR="001B1918" w:rsidRPr="00EE03AE">
        <w:rPr>
          <w:rFonts w:ascii="Arial" w:eastAsia="Calibri" w:hAnsi="Arial" w:cs="Arial"/>
          <w:sz w:val="22"/>
          <w:szCs w:val="22"/>
          <w:lang w:val="es-MX"/>
        </w:rPr>
        <w:t xml:space="preserve">, </w:t>
      </w:r>
      <w:r w:rsidRPr="00EE03AE">
        <w:rPr>
          <w:rFonts w:ascii="Arial" w:eastAsia="Calibri" w:hAnsi="Arial" w:cs="Arial"/>
          <w:sz w:val="22"/>
          <w:szCs w:val="22"/>
          <w:lang w:val="es-MX"/>
        </w:rPr>
        <w:t xml:space="preserve">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seis (6) contratos, que debieron terminar antes de la fecha de cierre del proceso de contratación. </w:t>
      </w:r>
      <w:r w:rsidR="009A6899" w:rsidRPr="00EE03AE">
        <w:rPr>
          <w:rFonts w:ascii="Arial" w:hAnsi="Arial" w:cs="Arial"/>
          <w:sz w:val="22"/>
        </w:rPr>
        <w:t xml:space="preserve">Así se desprende del literal C del numeral 3.5.2 del Documento Base adoptado por la Resolución No. 240 de 2020, que indica: </w:t>
      </w:r>
    </w:p>
    <w:p w14:paraId="7A2BF3E2" w14:textId="77777777" w:rsidR="009A6899" w:rsidRPr="00EE03AE" w:rsidRDefault="009A6899" w:rsidP="009B34F3">
      <w:pPr>
        <w:spacing w:line="276" w:lineRule="auto"/>
        <w:jc w:val="both"/>
        <w:rPr>
          <w:rFonts w:ascii="Arial" w:hAnsi="Arial" w:cs="Arial"/>
          <w:sz w:val="22"/>
        </w:rPr>
      </w:pPr>
    </w:p>
    <w:p w14:paraId="1AC16FE6" w14:textId="77777777" w:rsidR="009A6899" w:rsidRPr="00EE03AE" w:rsidRDefault="009A6899" w:rsidP="009B34F3">
      <w:pPr>
        <w:pStyle w:val="Ttulo3"/>
        <w:numPr>
          <w:ilvl w:val="0"/>
          <w:numId w:val="0"/>
        </w:numPr>
        <w:spacing w:before="0" w:after="0" w:line="240" w:lineRule="auto"/>
        <w:ind w:left="709" w:right="709"/>
        <w:rPr>
          <w:rFonts w:cs="Arial"/>
          <w:b w:val="0"/>
          <w:bCs/>
          <w:color w:val="auto"/>
          <w:sz w:val="21"/>
          <w:szCs w:val="21"/>
          <w:lang w:val="es-MX"/>
        </w:rPr>
      </w:pPr>
      <w:bookmarkStart w:id="2" w:name="_Toc57727286"/>
      <w:r w:rsidRPr="00EE03AE">
        <w:rPr>
          <w:rFonts w:cs="Arial"/>
          <w:b w:val="0"/>
          <w:bCs/>
          <w:caps w:val="0"/>
          <w:color w:val="auto"/>
          <w:sz w:val="21"/>
          <w:szCs w:val="21"/>
          <w:lang w:val="es-MX"/>
        </w:rPr>
        <w:t>3.5.2. CARACTERÍSTICAS DE LOS CONTRATOS PRESENTADOS PARA ACREDITAR LA EXPERIENCIA EXIGIDA</w:t>
      </w:r>
      <w:bookmarkEnd w:id="2"/>
    </w:p>
    <w:p w14:paraId="09EE927E" w14:textId="77777777" w:rsidR="009A6899" w:rsidRPr="00EE03AE" w:rsidRDefault="009A6899" w:rsidP="009B34F3">
      <w:pPr>
        <w:ind w:left="709" w:right="709"/>
        <w:rPr>
          <w:rFonts w:ascii="Arial" w:hAnsi="Arial" w:cs="Arial"/>
          <w:sz w:val="21"/>
          <w:szCs w:val="21"/>
        </w:rPr>
      </w:pPr>
      <w:r w:rsidRPr="00EE03AE">
        <w:rPr>
          <w:rFonts w:ascii="Arial" w:hAnsi="Arial" w:cs="Arial"/>
          <w:sz w:val="21"/>
          <w:szCs w:val="21"/>
        </w:rPr>
        <w:t>Los contratos para acreditar la experiencia exigida deberán cumplir las siguientes características:</w:t>
      </w:r>
    </w:p>
    <w:p w14:paraId="20769E47" w14:textId="77777777" w:rsidR="009A6899" w:rsidRPr="00EE03AE" w:rsidRDefault="009A6899" w:rsidP="009B34F3">
      <w:pPr>
        <w:ind w:left="709" w:right="709"/>
        <w:rPr>
          <w:rFonts w:ascii="Arial" w:hAnsi="Arial" w:cs="Arial"/>
          <w:sz w:val="21"/>
          <w:szCs w:val="21"/>
        </w:rPr>
      </w:pPr>
    </w:p>
    <w:p w14:paraId="01A2CD9B" w14:textId="26C79EE1" w:rsidR="009A6899" w:rsidRPr="00EE03AE" w:rsidRDefault="009A6899" w:rsidP="009B34F3">
      <w:pPr>
        <w:ind w:left="709" w:right="709"/>
        <w:rPr>
          <w:rFonts w:ascii="Arial" w:hAnsi="Arial" w:cs="Arial"/>
          <w:sz w:val="21"/>
          <w:szCs w:val="21"/>
        </w:rPr>
      </w:pPr>
      <w:r w:rsidRPr="00EE03AE">
        <w:rPr>
          <w:rFonts w:ascii="Arial" w:hAnsi="Arial" w:cs="Arial"/>
          <w:sz w:val="21"/>
          <w:szCs w:val="21"/>
        </w:rPr>
        <w:t xml:space="preserve">[…] </w:t>
      </w:r>
    </w:p>
    <w:p w14:paraId="5326D3D6" w14:textId="4EA9109B" w:rsidR="009A6899" w:rsidRPr="00EE03AE" w:rsidRDefault="009A6899" w:rsidP="009B34F3">
      <w:pPr>
        <w:ind w:left="709" w:right="709"/>
        <w:rPr>
          <w:rFonts w:ascii="Arial" w:hAnsi="Arial" w:cs="Arial"/>
          <w:sz w:val="21"/>
          <w:szCs w:val="21"/>
        </w:rPr>
      </w:pPr>
    </w:p>
    <w:p w14:paraId="46EEE32C" w14:textId="1CE5033F" w:rsidR="009A6899" w:rsidRPr="00EE03AE" w:rsidRDefault="009A6899" w:rsidP="009B34F3">
      <w:pPr>
        <w:ind w:left="709" w:right="709"/>
        <w:jc w:val="both"/>
        <w:rPr>
          <w:rFonts w:ascii="Arial" w:hAnsi="Arial" w:cs="Arial"/>
          <w:sz w:val="21"/>
          <w:szCs w:val="21"/>
        </w:rPr>
      </w:pPr>
      <w:r w:rsidRPr="00EE03AE">
        <w:rPr>
          <w:rFonts w:ascii="Arial" w:hAnsi="Arial" w:cs="Arial"/>
          <w:sz w:val="21"/>
          <w:szCs w:val="21"/>
        </w:rPr>
        <w:t>C. El proponente podrá acreditar la experiencia con mínimo uno (1) y máximo seis (6) contratos, los cuales serán evaluados teniendo en cuenta la tabla incluida en el numeral 3.5.8 del pliego de condiciones, así como el contenido establecido en la Matriz 1 – Experiencia. [En los procesos estructurados por lotes, el proponente podrá aportar mínimo uno (1) y máximo seis (6) contratos para cada uno de los lotes o podrá aportar los mismos para todos los lotes]</w:t>
      </w:r>
    </w:p>
    <w:p w14:paraId="2BD9D09F" w14:textId="1B9F5C76" w:rsidR="00995481" w:rsidRPr="00EE03AE" w:rsidRDefault="009A6899" w:rsidP="009B34F3">
      <w:pPr>
        <w:spacing w:line="276" w:lineRule="auto"/>
        <w:jc w:val="both"/>
        <w:rPr>
          <w:rFonts w:ascii="Arial" w:eastAsia="Calibri" w:hAnsi="Arial" w:cs="Arial"/>
          <w:sz w:val="22"/>
          <w:szCs w:val="22"/>
          <w:lang w:val="es-MX"/>
        </w:rPr>
      </w:pPr>
      <w:r w:rsidRPr="00EE03AE">
        <w:rPr>
          <w:rFonts w:ascii="Arial" w:eastAsia="Calibri" w:hAnsi="Arial" w:cs="Arial"/>
          <w:sz w:val="22"/>
          <w:szCs w:val="22"/>
          <w:lang w:val="es-MX"/>
        </w:rPr>
        <w:tab/>
      </w:r>
    </w:p>
    <w:p w14:paraId="3F202EAD" w14:textId="33C077A8" w:rsidR="009A6899" w:rsidRPr="00EE03AE" w:rsidRDefault="009A6899" w:rsidP="009B34F3">
      <w:pPr>
        <w:spacing w:line="276" w:lineRule="auto"/>
        <w:ind w:firstLine="708"/>
        <w:jc w:val="both"/>
        <w:rPr>
          <w:rFonts w:ascii="Arial" w:hAnsi="Arial" w:cs="Arial"/>
          <w:sz w:val="22"/>
        </w:rPr>
      </w:pPr>
      <w:r w:rsidRPr="00EE03AE">
        <w:rPr>
          <w:rFonts w:ascii="Arial" w:hAnsi="Arial" w:cs="Arial"/>
          <w:sz w:val="22"/>
        </w:rPr>
        <w:t xml:space="preserve">Teniendo en cuenta lo anterior, el literal transcrito </w:t>
      </w:r>
      <w:r w:rsidR="00D23835" w:rsidRPr="00EE03AE">
        <w:rPr>
          <w:rFonts w:ascii="Arial" w:hAnsi="Arial" w:cs="Arial"/>
          <w:sz w:val="22"/>
        </w:rPr>
        <w:t xml:space="preserve">señala </w:t>
      </w:r>
      <w:r w:rsidRPr="00EE03AE">
        <w:rPr>
          <w:rFonts w:ascii="Arial" w:hAnsi="Arial" w:cs="Arial"/>
          <w:sz w:val="22"/>
        </w:rPr>
        <w:t xml:space="preserve">que los contratos aportados por los proponentes deberán evaluarse conforme a la tabla del numeral 3.5.8, el cual dispone lo siguiente: </w:t>
      </w:r>
    </w:p>
    <w:p w14:paraId="50AB683B" w14:textId="77777777" w:rsidR="009A6899" w:rsidRPr="00EE03AE" w:rsidRDefault="009A6899" w:rsidP="009B34F3">
      <w:pPr>
        <w:spacing w:line="276" w:lineRule="auto"/>
        <w:ind w:firstLine="708"/>
        <w:jc w:val="both"/>
        <w:rPr>
          <w:rFonts w:ascii="Arial" w:hAnsi="Arial" w:cs="Arial"/>
          <w:sz w:val="22"/>
        </w:rPr>
      </w:pPr>
    </w:p>
    <w:p w14:paraId="5ACA80EA" w14:textId="77777777" w:rsidR="009A6899" w:rsidRPr="00EE03AE" w:rsidRDefault="009A6899" w:rsidP="009B34F3">
      <w:pPr>
        <w:pStyle w:val="Ttulo3"/>
        <w:numPr>
          <w:ilvl w:val="0"/>
          <w:numId w:val="0"/>
        </w:numPr>
        <w:spacing w:before="0" w:after="0"/>
        <w:ind w:left="709" w:right="709"/>
        <w:rPr>
          <w:rFonts w:cs="Arial"/>
          <w:b w:val="0"/>
          <w:bCs/>
          <w:caps w:val="0"/>
          <w:color w:val="auto"/>
          <w:sz w:val="21"/>
          <w:szCs w:val="21"/>
          <w:lang w:val="es-MX"/>
        </w:rPr>
      </w:pPr>
      <w:bookmarkStart w:id="3" w:name="_Toc57727292"/>
      <w:r w:rsidRPr="00EE03AE">
        <w:rPr>
          <w:rFonts w:cs="Arial"/>
          <w:b w:val="0"/>
          <w:bCs/>
          <w:caps w:val="0"/>
          <w:color w:val="auto"/>
          <w:sz w:val="21"/>
          <w:szCs w:val="21"/>
          <w:lang w:val="es-MX"/>
        </w:rPr>
        <w:t>3.5.8. RELACIÓN DE LOS CONTRATOS FRENTE AL PRESUPUESTO OFICIAL</w:t>
      </w:r>
      <w:bookmarkEnd w:id="3"/>
    </w:p>
    <w:p w14:paraId="30B0101E" w14:textId="77777777" w:rsidR="009B34F3" w:rsidRPr="00EE03AE" w:rsidRDefault="009B34F3" w:rsidP="009B34F3">
      <w:pPr>
        <w:rPr>
          <w:lang w:val="es-MX" w:eastAsia="en-US"/>
        </w:rPr>
      </w:pPr>
    </w:p>
    <w:p w14:paraId="25C076EA" w14:textId="77777777" w:rsidR="009A6899" w:rsidRPr="00EE03AE" w:rsidRDefault="009A6899" w:rsidP="009B34F3">
      <w:pPr>
        <w:ind w:left="709" w:right="709"/>
        <w:rPr>
          <w:rFonts w:ascii="Arial" w:hAnsi="Arial" w:cs="Arial"/>
          <w:sz w:val="21"/>
          <w:szCs w:val="21"/>
        </w:rPr>
      </w:pPr>
      <w:r w:rsidRPr="00EE03AE">
        <w:rPr>
          <w:rFonts w:ascii="Arial" w:hAnsi="Arial" w:cs="Arial"/>
          <w:sz w:val="21"/>
          <w:szCs w:val="21"/>
        </w:rPr>
        <w:t>La verificación del número de contratos para acreditar la experiencia se realiza de la siguiente manera:</w:t>
      </w:r>
    </w:p>
    <w:p w14:paraId="29DD68F9" w14:textId="77777777" w:rsidR="009B34F3" w:rsidRPr="00EE03AE" w:rsidRDefault="009B34F3" w:rsidP="009B34F3">
      <w:pPr>
        <w:ind w:left="709" w:right="709"/>
        <w:rPr>
          <w:rFonts w:ascii="Arial" w:hAnsi="Arial" w:cs="Arial"/>
          <w:sz w:val="21"/>
          <w:szCs w:val="21"/>
        </w:rPr>
      </w:pP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55"/>
        <w:gridCol w:w="4192"/>
      </w:tblGrid>
      <w:tr w:rsidR="009A6899" w:rsidRPr="00EE03AE" w14:paraId="28304B45" w14:textId="77777777" w:rsidTr="004973DB">
        <w:trPr>
          <w:trHeight w:val="737"/>
          <w:tblHeader/>
        </w:trPr>
        <w:tc>
          <w:tcPr>
            <w:tcW w:w="3055" w:type="dxa"/>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639EA3AE" w14:textId="77777777" w:rsidR="009A6899" w:rsidRPr="00EE03AE" w:rsidRDefault="009A6899" w:rsidP="004973DB">
            <w:pPr>
              <w:spacing w:line="276" w:lineRule="auto"/>
              <w:ind w:left="-94" w:right="-48"/>
              <w:jc w:val="center"/>
              <w:rPr>
                <w:rFonts w:ascii="Arial" w:eastAsia="Arial" w:hAnsi="Arial" w:cs="Arial"/>
                <w:b/>
                <w:bCs/>
                <w:color w:val="FFFFFF" w:themeColor="background1"/>
                <w:sz w:val="19"/>
                <w:szCs w:val="19"/>
                <w:lang w:val="es-ES"/>
              </w:rPr>
            </w:pPr>
            <w:r w:rsidRPr="00EE03AE">
              <w:rPr>
                <w:rFonts w:ascii="Arial" w:hAnsi="Arial" w:cs="Arial"/>
                <w:b/>
                <w:bCs/>
                <w:color w:val="FFFFFF" w:themeColor="background1"/>
                <w:sz w:val="19"/>
                <w:szCs w:val="19"/>
                <w:lang w:val="es-ES"/>
              </w:rPr>
              <w:t>Número</w:t>
            </w:r>
            <w:r w:rsidRPr="00EE03AE">
              <w:rPr>
                <w:rFonts w:ascii="Arial" w:eastAsia="Arial" w:hAnsi="Arial" w:cs="Arial"/>
                <w:b/>
                <w:bCs/>
                <w:color w:val="FFFFFF" w:themeColor="background1"/>
                <w:sz w:val="19"/>
                <w:szCs w:val="19"/>
                <w:lang w:val="es-ES"/>
              </w:rPr>
              <w:t xml:space="preserve"> </w:t>
            </w:r>
            <w:r w:rsidRPr="00EE03AE">
              <w:rPr>
                <w:rFonts w:ascii="Arial" w:hAnsi="Arial" w:cs="Arial"/>
                <w:b/>
                <w:bCs/>
                <w:color w:val="FFFFFF" w:themeColor="background1"/>
                <w:sz w:val="19"/>
                <w:szCs w:val="19"/>
                <w:lang w:val="es-ES"/>
              </w:rPr>
              <w:t>de</w:t>
            </w:r>
            <w:r w:rsidRPr="00EE03AE">
              <w:rPr>
                <w:rFonts w:ascii="Arial" w:eastAsia="Arial" w:hAnsi="Arial" w:cs="Arial"/>
                <w:b/>
                <w:bCs/>
                <w:color w:val="FFFFFF" w:themeColor="background1"/>
                <w:sz w:val="19"/>
                <w:szCs w:val="19"/>
                <w:lang w:val="es-ES"/>
              </w:rPr>
              <w:t xml:space="preserve"> </w:t>
            </w:r>
            <w:r w:rsidRPr="00EE03AE">
              <w:rPr>
                <w:rFonts w:ascii="Arial" w:hAnsi="Arial" w:cs="Arial"/>
                <w:b/>
                <w:bCs/>
                <w:color w:val="FFFFFF" w:themeColor="background1"/>
                <w:sz w:val="19"/>
                <w:szCs w:val="19"/>
                <w:lang w:val="es-ES"/>
              </w:rPr>
              <w:t>contratos</w:t>
            </w:r>
            <w:r w:rsidRPr="00EE03AE">
              <w:rPr>
                <w:rFonts w:ascii="Arial" w:eastAsia="Arial" w:hAnsi="Arial" w:cs="Arial"/>
                <w:b/>
                <w:bCs/>
                <w:color w:val="FFFFFF" w:themeColor="background1"/>
                <w:sz w:val="19"/>
                <w:szCs w:val="19"/>
                <w:lang w:val="es-ES"/>
              </w:rPr>
              <w:t xml:space="preserve"> </w:t>
            </w:r>
            <w:r w:rsidRPr="00EE03AE">
              <w:rPr>
                <w:rFonts w:ascii="Arial" w:hAnsi="Arial" w:cs="Arial"/>
                <w:b/>
                <w:bCs/>
                <w:color w:val="FFFFFF" w:themeColor="background1"/>
                <w:sz w:val="19"/>
                <w:szCs w:val="19"/>
                <w:lang w:val="es-ES"/>
              </w:rPr>
              <w:t>con</w:t>
            </w:r>
            <w:r w:rsidRPr="00EE03AE">
              <w:rPr>
                <w:rFonts w:ascii="Arial" w:eastAsia="Arial" w:hAnsi="Arial" w:cs="Arial"/>
                <w:b/>
                <w:bCs/>
                <w:color w:val="FFFFFF" w:themeColor="background1"/>
                <w:sz w:val="19"/>
                <w:szCs w:val="19"/>
                <w:lang w:val="es-ES"/>
              </w:rPr>
              <w:t xml:space="preserve"> </w:t>
            </w:r>
            <w:r w:rsidRPr="00EE03AE">
              <w:rPr>
                <w:rFonts w:ascii="Arial" w:hAnsi="Arial" w:cs="Arial"/>
                <w:b/>
                <w:bCs/>
                <w:color w:val="FFFFFF" w:themeColor="background1"/>
                <w:sz w:val="19"/>
                <w:szCs w:val="19"/>
                <w:lang w:val="es-ES"/>
              </w:rPr>
              <w:t>los</w:t>
            </w:r>
            <w:r w:rsidRPr="00EE03AE">
              <w:rPr>
                <w:rFonts w:ascii="Arial" w:eastAsia="Arial" w:hAnsi="Arial" w:cs="Arial"/>
                <w:b/>
                <w:bCs/>
                <w:color w:val="FFFFFF" w:themeColor="background1"/>
                <w:sz w:val="19"/>
                <w:szCs w:val="19"/>
                <w:lang w:val="es-ES"/>
              </w:rPr>
              <w:t xml:space="preserve"> </w:t>
            </w:r>
            <w:r w:rsidRPr="00EE03AE">
              <w:rPr>
                <w:rFonts w:ascii="Arial" w:hAnsi="Arial" w:cs="Arial"/>
                <w:b/>
                <w:bCs/>
                <w:color w:val="FFFFFF" w:themeColor="background1"/>
                <w:sz w:val="19"/>
                <w:szCs w:val="19"/>
                <w:lang w:val="es-ES"/>
              </w:rPr>
              <w:t>cuales</w:t>
            </w:r>
            <w:r w:rsidRPr="00EE03AE">
              <w:rPr>
                <w:rFonts w:ascii="Arial" w:eastAsia="Arial" w:hAnsi="Arial" w:cs="Arial"/>
                <w:b/>
                <w:bCs/>
                <w:color w:val="FFFFFF" w:themeColor="background1"/>
                <w:sz w:val="19"/>
                <w:szCs w:val="19"/>
                <w:lang w:val="es-ES"/>
              </w:rPr>
              <w:t xml:space="preserve"> </w:t>
            </w:r>
            <w:r w:rsidRPr="00EE03AE">
              <w:rPr>
                <w:rFonts w:ascii="Arial" w:hAnsi="Arial" w:cs="Arial"/>
                <w:b/>
                <w:bCs/>
                <w:color w:val="FFFFFF" w:themeColor="background1"/>
                <w:sz w:val="19"/>
                <w:szCs w:val="19"/>
                <w:lang w:val="es-ES"/>
              </w:rPr>
              <w:t>el</w:t>
            </w:r>
            <w:r w:rsidRPr="00EE03AE">
              <w:rPr>
                <w:rFonts w:ascii="Arial" w:eastAsia="Arial" w:hAnsi="Arial" w:cs="Arial"/>
                <w:b/>
                <w:bCs/>
                <w:color w:val="FFFFFF" w:themeColor="background1"/>
                <w:sz w:val="19"/>
                <w:szCs w:val="19"/>
                <w:lang w:val="es-ES"/>
              </w:rPr>
              <w:t xml:space="preserve"> </w:t>
            </w:r>
            <w:r w:rsidRPr="00EE03AE">
              <w:rPr>
                <w:rFonts w:ascii="Arial" w:hAnsi="Arial" w:cs="Arial"/>
                <w:b/>
                <w:bCs/>
                <w:color w:val="FFFFFF" w:themeColor="background1"/>
                <w:sz w:val="19"/>
                <w:szCs w:val="19"/>
                <w:lang w:val="es-ES"/>
              </w:rPr>
              <w:t>Proponente</w:t>
            </w:r>
            <w:r w:rsidRPr="00EE03AE">
              <w:rPr>
                <w:rFonts w:ascii="Arial" w:eastAsia="Arial" w:hAnsi="Arial" w:cs="Arial"/>
                <w:b/>
                <w:bCs/>
                <w:color w:val="FFFFFF" w:themeColor="background1"/>
                <w:sz w:val="19"/>
                <w:szCs w:val="19"/>
                <w:lang w:val="es-ES"/>
              </w:rPr>
              <w:t xml:space="preserve"> </w:t>
            </w:r>
            <w:r w:rsidRPr="00EE03AE">
              <w:rPr>
                <w:rFonts w:ascii="Arial" w:hAnsi="Arial" w:cs="Arial"/>
                <w:b/>
                <w:bCs/>
                <w:color w:val="FFFFFF" w:themeColor="background1"/>
                <w:sz w:val="19"/>
                <w:szCs w:val="19"/>
                <w:lang w:val="es-ES"/>
              </w:rPr>
              <w:t>cumple</w:t>
            </w:r>
            <w:r w:rsidRPr="00EE03AE">
              <w:rPr>
                <w:rFonts w:ascii="Arial" w:eastAsia="Arial" w:hAnsi="Arial" w:cs="Arial"/>
                <w:b/>
                <w:bCs/>
                <w:color w:val="FFFFFF" w:themeColor="background1"/>
                <w:sz w:val="19"/>
                <w:szCs w:val="19"/>
                <w:lang w:val="es-ES"/>
              </w:rPr>
              <w:t xml:space="preserve"> </w:t>
            </w:r>
            <w:r w:rsidRPr="00EE03AE">
              <w:rPr>
                <w:rFonts w:ascii="Arial" w:hAnsi="Arial" w:cs="Arial"/>
                <w:b/>
                <w:bCs/>
                <w:color w:val="FFFFFF" w:themeColor="background1"/>
                <w:sz w:val="19"/>
                <w:szCs w:val="19"/>
                <w:lang w:val="es-ES"/>
              </w:rPr>
              <w:t>la</w:t>
            </w:r>
            <w:r w:rsidRPr="00EE03AE">
              <w:rPr>
                <w:rFonts w:ascii="Arial" w:eastAsia="Arial" w:hAnsi="Arial" w:cs="Arial"/>
                <w:b/>
                <w:bCs/>
                <w:color w:val="FFFFFF" w:themeColor="background1"/>
                <w:sz w:val="19"/>
                <w:szCs w:val="19"/>
                <w:lang w:val="es-ES"/>
              </w:rPr>
              <w:t xml:space="preserve"> </w:t>
            </w:r>
            <w:r w:rsidRPr="00EE03AE">
              <w:rPr>
                <w:rFonts w:ascii="Arial" w:hAnsi="Arial" w:cs="Arial"/>
                <w:b/>
                <w:bCs/>
                <w:color w:val="FFFFFF" w:themeColor="background1"/>
                <w:sz w:val="19"/>
                <w:szCs w:val="19"/>
                <w:lang w:val="es-ES"/>
              </w:rPr>
              <w:t>experiencia</w:t>
            </w:r>
            <w:r w:rsidRPr="00EE03AE">
              <w:rPr>
                <w:rFonts w:ascii="Arial" w:eastAsia="Arial" w:hAnsi="Arial" w:cs="Arial"/>
                <w:b/>
                <w:bCs/>
                <w:color w:val="FFFFFF" w:themeColor="background1"/>
                <w:sz w:val="19"/>
                <w:szCs w:val="19"/>
                <w:lang w:val="es-ES"/>
              </w:rPr>
              <w:t xml:space="preserve"> </w:t>
            </w:r>
            <w:r w:rsidRPr="00EE03AE">
              <w:rPr>
                <w:rFonts w:ascii="Arial" w:hAnsi="Arial" w:cs="Arial"/>
                <w:b/>
                <w:bCs/>
                <w:color w:val="FFFFFF" w:themeColor="background1"/>
                <w:sz w:val="19"/>
                <w:szCs w:val="19"/>
                <w:lang w:val="es-ES"/>
              </w:rPr>
              <w:t>acreditada</w:t>
            </w:r>
          </w:p>
        </w:tc>
        <w:tc>
          <w:tcPr>
            <w:tcW w:w="4192" w:type="dxa"/>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57FA3EA6" w14:textId="77777777" w:rsidR="009A6899" w:rsidRPr="00EE03AE" w:rsidRDefault="009A6899" w:rsidP="004973DB">
            <w:pPr>
              <w:spacing w:line="276" w:lineRule="auto"/>
              <w:ind w:right="-114"/>
              <w:jc w:val="center"/>
              <w:rPr>
                <w:rFonts w:ascii="Arial" w:eastAsia="Arial" w:hAnsi="Arial" w:cs="Arial"/>
                <w:b/>
                <w:bCs/>
                <w:color w:val="FFFFFF" w:themeColor="background1"/>
                <w:sz w:val="19"/>
                <w:szCs w:val="19"/>
                <w:lang w:val="es-ES"/>
              </w:rPr>
            </w:pPr>
            <w:proofErr w:type="gramStart"/>
            <w:r w:rsidRPr="00EE03AE">
              <w:rPr>
                <w:rFonts w:ascii="Arial" w:hAnsi="Arial" w:cs="Arial"/>
                <w:b/>
                <w:bCs/>
                <w:color w:val="FFFFFF" w:themeColor="background1"/>
                <w:sz w:val="19"/>
                <w:szCs w:val="19"/>
                <w:lang w:val="es-ES"/>
              </w:rPr>
              <w:t>Valor</w:t>
            </w:r>
            <w:r w:rsidRPr="00EE03AE">
              <w:rPr>
                <w:rFonts w:ascii="Arial" w:eastAsia="Arial" w:hAnsi="Arial" w:cs="Arial"/>
                <w:b/>
                <w:bCs/>
                <w:color w:val="FFFFFF" w:themeColor="background1"/>
                <w:sz w:val="19"/>
                <w:szCs w:val="19"/>
                <w:lang w:val="es-ES"/>
              </w:rPr>
              <w:t xml:space="preserve"> </w:t>
            </w:r>
            <w:r w:rsidRPr="00EE03AE">
              <w:rPr>
                <w:rFonts w:ascii="Arial" w:hAnsi="Arial" w:cs="Arial"/>
                <w:b/>
                <w:bCs/>
                <w:color w:val="FFFFFF" w:themeColor="background1"/>
                <w:sz w:val="19"/>
                <w:szCs w:val="19"/>
                <w:lang w:val="es-ES"/>
              </w:rPr>
              <w:t>mínimo</w:t>
            </w:r>
            <w:r w:rsidRPr="00EE03AE">
              <w:rPr>
                <w:rFonts w:ascii="Arial" w:eastAsia="Arial" w:hAnsi="Arial" w:cs="Arial"/>
                <w:b/>
                <w:bCs/>
                <w:color w:val="FFFFFF" w:themeColor="background1"/>
                <w:sz w:val="19"/>
                <w:szCs w:val="19"/>
                <w:lang w:val="es-ES"/>
              </w:rPr>
              <w:t xml:space="preserve"> </w:t>
            </w:r>
            <w:r w:rsidRPr="00EE03AE">
              <w:rPr>
                <w:rFonts w:ascii="Arial" w:hAnsi="Arial" w:cs="Arial"/>
                <w:b/>
                <w:bCs/>
                <w:color w:val="FFFFFF" w:themeColor="background1"/>
                <w:sz w:val="19"/>
                <w:szCs w:val="19"/>
                <w:lang w:val="es-ES"/>
              </w:rPr>
              <w:t>a</w:t>
            </w:r>
            <w:r w:rsidRPr="00EE03AE">
              <w:rPr>
                <w:rFonts w:ascii="Arial" w:eastAsia="Arial" w:hAnsi="Arial" w:cs="Arial"/>
                <w:b/>
                <w:bCs/>
                <w:color w:val="FFFFFF" w:themeColor="background1"/>
                <w:sz w:val="19"/>
                <w:szCs w:val="19"/>
                <w:lang w:val="es-ES"/>
              </w:rPr>
              <w:t xml:space="preserve"> </w:t>
            </w:r>
            <w:r w:rsidRPr="00EE03AE">
              <w:rPr>
                <w:rFonts w:ascii="Arial" w:hAnsi="Arial" w:cs="Arial"/>
                <w:b/>
                <w:bCs/>
                <w:color w:val="FFFFFF" w:themeColor="background1"/>
                <w:sz w:val="19"/>
                <w:szCs w:val="19"/>
                <w:lang w:val="es-ES"/>
              </w:rPr>
              <w:t>certificar</w:t>
            </w:r>
            <w:proofErr w:type="gramEnd"/>
          </w:p>
          <w:p w14:paraId="36424A7C" w14:textId="77777777" w:rsidR="009A6899" w:rsidRPr="00EE03AE" w:rsidRDefault="009A6899" w:rsidP="004973DB">
            <w:pPr>
              <w:spacing w:line="276" w:lineRule="auto"/>
              <w:ind w:right="-114"/>
              <w:jc w:val="center"/>
              <w:rPr>
                <w:rFonts w:ascii="Arial" w:eastAsia="Arial" w:hAnsi="Arial" w:cs="Arial"/>
                <w:b/>
                <w:bCs/>
                <w:color w:val="FFFFFF" w:themeColor="background1"/>
                <w:sz w:val="19"/>
                <w:szCs w:val="19"/>
                <w:lang w:val="es-ES"/>
              </w:rPr>
            </w:pPr>
            <w:r w:rsidRPr="00EE03AE">
              <w:rPr>
                <w:rFonts w:ascii="Arial" w:hAnsi="Arial" w:cs="Arial"/>
                <w:b/>
                <w:bCs/>
                <w:color w:val="FFFFFF" w:themeColor="background1"/>
                <w:sz w:val="19"/>
                <w:szCs w:val="19"/>
                <w:lang w:val="es-ES"/>
              </w:rPr>
              <w:t>(como</w:t>
            </w:r>
            <w:r w:rsidRPr="00EE03AE">
              <w:rPr>
                <w:rFonts w:ascii="Arial" w:eastAsia="Arial" w:hAnsi="Arial" w:cs="Arial"/>
                <w:b/>
                <w:bCs/>
                <w:color w:val="FFFFFF" w:themeColor="background1"/>
                <w:sz w:val="19"/>
                <w:szCs w:val="19"/>
                <w:lang w:val="es-ES"/>
              </w:rPr>
              <w:t xml:space="preserve"> % </w:t>
            </w:r>
            <w:r w:rsidRPr="00EE03AE">
              <w:rPr>
                <w:rFonts w:ascii="Arial" w:hAnsi="Arial" w:cs="Arial"/>
                <w:b/>
                <w:bCs/>
                <w:color w:val="FFFFFF" w:themeColor="background1"/>
                <w:sz w:val="19"/>
                <w:szCs w:val="19"/>
                <w:lang w:val="es-ES"/>
              </w:rPr>
              <w:t>del</w:t>
            </w:r>
            <w:r w:rsidRPr="00EE03AE">
              <w:rPr>
                <w:rFonts w:ascii="Arial" w:eastAsia="Arial" w:hAnsi="Arial" w:cs="Arial"/>
                <w:b/>
                <w:bCs/>
                <w:color w:val="FFFFFF" w:themeColor="background1"/>
                <w:sz w:val="19"/>
                <w:szCs w:val="19"/>
                <w:lang w:val="es-ES"/>
              </w:rPr>
              <w:t xml:space="preserve"> </w:t>
            </w:r>
            <w:r w:rsidRPr="00EE03AE">
              <w:rPr>
                <w:rFonts w:ascii="Arial" w:hAnsi="Arial" w:cs="Arial"/>
                <w:b/>
                <w:bCs/>
                <w:color w:val="FFFFFF" w:themeColor="background1"/>
                <w:sz w:val="19"/>
                <w:szCs w:val="19"/>
                <w:lang w:val="es-ES"/>
              </w:rPr>
              <w:t>Presupuesto</w:t>
            </w:r>
            <w:r w:rsidRPr="00EE03AE">
              <w:rPr>
                <w:rFonts w:ascii="Arial" w:eastAsia="Arial" w:hAnsi="Arial" w:cs="Arial"/>
                <w:b/>
                <w:bCs/>
                <w:color w:val="FFFFFF" w:themeColor="background1"/>
                <w:sz w:val="19"/>
                <w:szCs w:val="19"/>
                <w:lang w:val="es-ES"/>
              </w:rPr>
              <w:t xml:space="preserve"> </w:t>
            </w:r>
            <w:r w:rsidRPr="00EE03AE">
              <w:rPr>
                <w:rFonts w:ascii="Arial" w:hAnsi="Arial" w:cs="Arial"/>
                <w:b/>
                <w:bCs/>
                <w:color w:val="FFFFFF" w:themeColor="background1"/>
                <w:sz w:val="19"/>
                <w:szCs w:val="19"/>
                <w:lang w:val="es-ES"/>
              </w:rPr>
              <w:t>Oficial</w:t>
            </w:r>
            <w:r w:rsidRPr="00EE03AE">
              <w:rPr>
                <w:rFonts w:ascii="Arial" w:eastAsia="Arial" w:hAnsi="Arial" w:cs="Arial"/>
                <w:b/>
                <w:bCs/>
                <w:color w:val="FFFFFF" w:themeColor="background1"/>
                <w:sz w:val="19"/>
                <w:szCs w:val="19"/>
                <w:lang w:val="es-ES"/>
              </w:rPr>
              <w:t xml:space="preserve"> </w:t>
            </w:r>
            <w:r w:rsidRPr="00EE03AE">
              <w:rPr>
                <w:rFonts w:ascii="Arial" w:hAnsi="Arial" w:cs="Arial"/>
                <w:b/>
                <w:bCs/>
                <w:color w:val="FFFFFF" w:themeColor="background1"/>
                <w:sz w:val="19"/>
                <w:szCs w:val="19"/>
                <w:lang w:val="es-ES"/>
              </w:rPr>
              <w:t>de</w:t>
            </w:r>
            <w:r w:rsidRPr="00EE03AE">
              <w:rPr>
                <w:rFonts w:ascii="Arial" w:eastAsia="Arial" w:hAnsi="Arial" w:cs="Arial"/>
                <w:b/>
                <w:bCs/>
                <w:color w:val="FFFFFF" w:themeColor="background1"/>
                <w:sz w:val="19"/>
                <w:szCs w:val="19"/>
                <w:lang w:val="es-ES"/>
              </w:rPr>
              <w:t xml:space="preserve"> </w:t>
            </w:r>
            <w:r w:rsidRPr="00EE03AE">
              <w:rPr>
                <w:rFonts w:ascii="Arial" w:hAnsi="Arial" w:cs="Arial"/>
                <w:b/>
                <w:bCs/>
                <w:color w:val="FFFFFF" w:themeColor="background1"/>
                <w:sz w:val="19"/>
                <w:szCs w:val="19"/>
                <w:lang w:val="es-ES"/>
              </w:rPr>
              <w:t>obra</w:t>
            </w:r>
            <w:r w:rsidRPr="00EE03AE">
              <w:rPr>
                <w:rFonts w:ascii="Arial" w:eastAsia="Arial" w:hAnsi="Arial" w:cs="Arial"/>
                <w:b/>
                <w:bCs/>
                <w:color w:val="FFFFFF" w:themeColor="background1"/>
                <w:sz w:val="19"/>
                <w:szCs w:val="19"/>
                <w:lang w:val="es-ES"/>
              </w:rPr>
              <w:t xml:space="preserve"> </w:t>
            </w:r>
            <w:r w:rsidRPr="00EE03AE">
              <w:rPr>
                <w:rFonts w:ascii="Arial" w:hAnsi="Arial" w:cs="Arial"/>
                <w:b/>
                <w:bCs/>
                <w:color w:val="FFFFFF" w:themeColor="background1"/>
                <w:sz w:val="19"/>
                <w:szCs w:val="19"/>
                <w:lang w:val="es-ES"/>
              </w:rPr>
              <w:t>expresado</w:t>
            </w:r>
            <w:r w:rsidRPr="00EE03AE">
              <w:rPr>
                <w:rFonts w:ascii="Arial" w:eastAsia="Arial" w:hAnsi="Arial" w:cs="Arial"/>
                <w:b/>
                <w:bCs/>
                <w:color w:val="FFFFFF" w:themeColor="background1"/>
                <w:sz w:val="19"/>
                <w:szCs w:val="19"/>
                <w:lang w:val="es-ES"/>
              </w:rPr>
              <w:t xml:space="preserve"> </w:t>
            </w:r>
            <w:r w:rsidRPr="00EE03AE">
              <w:rPr>
                <w:rFonts w:ascii="Arial" w:hAnsi="Arial" w:cs="Arial"/>
                <w:b/>
                <w:bCs/>
                <w:color w:val="FFFFFF" w:themeColor="background1"/>
                <w:sz w:val="19"/>
                <w:szCs w:val="19"/>
                <w:lang w:val="es-ES"/>
              </w:rPr>
              <w:t>en</w:t>
            </w:r>
            <w:r w:rsidRPr="00EE03AE">
              <w:rPr>
                <w:rFonts w:ascii="Arial" w:eastAsia="Arial" w:hAnsi="Arial" w:cs="Arial"/>
                <w:b/>
                <w:bCs/>
                <w:color w:val="FFFFFF" w:themeColor="background1"/>
                <w:sz w:val="19"/>
                <w:szCs w:val="19"/>
                <w:lang w:val="es-ES"/>
              </w:rPr>
              <w:t xml:space="preserve"> </w:t>
            </w:r>
            <w:r w:rsidRPr="00EE03AE">
              <w:rPr>
                <w:rFonts w:ascii="Arial" w:hAnsi="Arial" w:cs="Arial"/>
                <w:b/>
                <w:bCs/>
                <w:color w:val="FFFFFF" w:themeColor="background1"/>
                <w:sz w:val="19"/>
                <w:szCs w:val="19"/>
                <w:lang w:val="es-ES"/>
              </w:rPr>
              <w:t>SMMLV)</w:t>
            </w:r>
          </w:p>
        </w:tc>
      </w:tr>
      <w:tr w:rsidR="009A6899" w:rsidRPr="00EE03AE" w14:paraId="360DA8D4" w14:textId="77777777" w:rsidTr="004973DB">
        <w:tc>
          <w:tcPr>
            <w:tcW w:w="3055"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5FC44FD6" w14:textId="77777777" w:rsidR="009A6899" w:rsidRPr="00EE03AE" w:rsidRDefault="009A6899" w:rsidP="004973DB">
            <w:pPr>
              <w:spacing w:line="276" w:lineRule="auto"/>
              <w:ind w:left="709" w:right="709"/>
              <w:jc w:val="center"/>
              <w:rPr>
                <w:rFonts w:ascii="Arial" w:eastAsia="Arial" w:hAnsi="Arial" w:cs="Arial"/>
                <w:sz w:val="19"/>
                <w:szCs w:val="19"/>
                <w:lang w:val="es-ES"/>
              </w:rPr>
            </w:pPr>
            <w:r w:rsidRPr="00EE03AE">
              <w:rPr>
                <w:rFonts w:ascii="Arial" w:hAnsi="Arial" w:cs="Arial"/>
                <w:sz w:val="19"/>
                <w:szCs w:val="19"/>
                <w:lang w:val="es-ES"/>
              </w:rPr>
              <w:t>De</w:t>
            </w:r>
            <w:r w:rsidRPr="00EE03AE">
              <w:rPr>
                <w:rFonts w:ascii="Arial" w:eastAsia="Arial" w:hAnsi="Arial" w:cs="Arial"/>
                <w:sz w:val="19"/>
                <w:szCs w:val="19"/>
                <w:lang w:val="es-ES"/>
              </w:rPr>
              <w:t xml:space="preserve"> </w:t>
            </w:r>
            <w:r w:rsidRPr="00EE03AE">
              <w:rPr>
                <w:rFonts w:ascii="Arial" w:hAnsi="Arial" w:cs="Arial"/>
                <w:sz w:val="19"/>
                <w:szCs w:val="19"/>
                <w:lang w:val="es-ES"/>
              </w:rPr>
              <w:t>1</w:t>
            </w:r>
            <w:r w:rsidRPr="00EE03AE">
              <w:rPr>
                <w:rFonts w:ascii="Arial" w:eastAsia="Arial" w:hAnsi="Arial" w:cs="Arial"/>
                <w:sz w:val="19"/>
                <w:szCs w:val="19"/>
                <w:lang w:val="es-ES"/>
              </w:rPr>
              <w:t xml:space="preserve"> </w:t>
            </w:r>
            <w:r w:rsidRPr="00EE03AE">
              <w:rPr>
                <w:rFonts w:ascii="Arial" w:hAnsi="Arial" w:cs="Arial"/>
                <w:sz w:val="19"/>
                <w:szCs w:val="19"/>
                <w:lang w:val="es-ES"/>
              </w:rPr>
              <w:t>hasta</w:t>
            </w:r>
            <w:r w:rsidRPr="00EE03AE">
              <w:rPr>
                <w:rFonts w:ascii="Arial" w:eastAsia="Arial" w:hAnsi="Arial" w:cs="Arial"/>
                <w:sz w:val="19"/>
                <w:szCs w:val="19"/>
                <w:lang w:val="es-ES"/>
              </w:rPr>
              <w:t xml:space="preserve"> </w:t>
            </w:r>
            <w:r w:rsidRPr="00EE03AE">
              <w:rPr>
                <w:rFonts w:ascii="Arial" w:hAnsi="Arial" w:cs="Arial"/>
                <w:sz w:val="19"/>
                <w:szCs w:val="19"/>
                <w:lang w:val="es-ES"/>
              </w:rPr>
              <w:t>2</w:t>
            </w:r>
          </w:p>
        </w:tc>
        <w:tc>
          <w:tcPr>
            <w:tcW w:w="4192"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0937A04F" w14:textId="77777777" w:rsidR="009A6899" w:rsidRPr="00EE03AE" w:rsidRDefault="009A6899" w:rsidP="004973DB">
            <w:pPr>
              <w:spacing w:line="276" w:lineRule="auto"/>
              <w:ind w:left="709" w:right="709"/>
              <w:jc w:val="center"/>
              <w:rPr>
                <w:rFonts w:ascii="Arial" w:eastAsia="Arial" w:hAnsi="Arial" w:cs="Arial"/>
                <w:sz w:val="19"/>
                <w:szCs w:val="19"/>
                <w:lang w:val="es-ES"/>
              </w:rPr>
            </w:pPr>
            <w:r w:rsidRPr="00EE03AE">
              <w:rPr>
                <w:rFonts w:ascii="Arial" w:hAnsi="Arial" w:cs="Arial"/>
                <w:sz w:val="19"/>
                <w:szCs w:val="19"/>
                <w:lang w:val="es-ES"/>
              </w:rPr>
              <w:t>75%</w:t>
            </w:r>
          </w:p>
        </w:tc>
      </w:tr>
      <w:tr w:rsidR="009A6899" w:rsidRPr="00EE03AE" w14:paraId="351E12D5" w14:textId="77777777" w:rsidTr="004973DB">
        <w:tc>
          <w:tcPr>
            <w:tcW w:w="3055"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45129459" w14:textId="77777777" w:rsidR="009A6899" w:rsidRPr="00EE03AE" w:rsidRDefault="009A6899" w:rsidP="004973DB">
            <w:pPr>
              <w:spacing w:line="276" w:lineRule="auto"/>
              <w:ind w:left="709" w:right="709"/>
              <w:jc w:val="center"/>
              <w:rPr>
                <w:rFonts w:ascii="Arial" w:eastAsia="Arial" w:hAnsi="Arial" w:cs="Arial"/>
                <w:sz w:val="19"/>
                <w:szCs w:val="19"/>
                <w:lang w:val="es-ES"/>
              </w:rPr>
            </w:pPr>
            <w:r w:rsidRPr="00EE03AE">
              <w:rPr>
                <w:rFonts w:ascii="Arial" w:hAnsi="Arial" w:cs="Arial"/>
                <w:sz w:val="19"/>
                <w:szCs w:val="19"/>
                <w:lang w:val="es-ES"/>
              </w:rPr>
              <w:t>De</w:t>
            </w:r>
            <w:r w:rsidRPr="00EE03AE">
              <w:rPr>
                <w:rFonts w:ascii="Arial" w:eastAsia="Arial" w:hAnsi="Arial" w:cs="Arial"/>
                <w:sz w:val="19"/>
                <w:szCs w:val="19"/>
                <w:lang w:val="es-ES"/>
              </w:rPr>
              <w:t xml:space="preserve"> </w:t>
            </w:r>
            <w:r w:rsidRPr="00EE03AE">
              <w:rPr>
                <w:rFonts w:ascii="Arial" w:hAnsi="Arial" w:cs="Arial"/>
                <w:sz w:val="19"/>
                <w:szCs w:val="19"/>
                <w:lang w:val="es-ES"/>
              </w:rPr>
              <w:t>3</w:t>
            </w:r>
            <w:r w:rsidRPr="00EE03AE">
              <w:rPr>
                <w:rFonts w:ascii="Arial" w:eastAsia="Arial" w:hAnsi="Arial" w:cs="Arial"/>
                <w:sz w:val="19"/>
                <w:szCs w:val="19"/>
                <w:lang w:val="es-ES"/>
              </w:rPr>
              <w:t xml:space="preserve"> </w:t>
            </w:r>
            <w:r w:rsidRPr="00EE03AE">
              <w:rPr>
                <w:rFonts w:ascii="Arial" w:hAnsi="Arial" w:cs="Arial"/>
                <w:sz w:val="19"/>
                <w:szCs w:val="19"/>
                <w:lang w:val="es-ES"/>
              </w:rPr>
              <w:t>hasta</w:t>
            </w:r>
            <w:r w:rsidRPr="00EE03AE">
              <w:rPr>
                <w:rFonts w:ascii="Arial" w:eastAsia="Arial" w:hAnsi="Arial" w:cs="Arial"/>
                <w:sz w:val="19"/>
                <w:szCs w:val="19"/>
                <w:lang w:val="es-ES"/>
              </w:rPr>
              <w:t xml:space="preserve"> </w:t>
            </w:r>
            <w:r w:rsidRPr="00EE03AE">
              <w:rPr>
                <w:rFonts w:ascii="Arial" w:hAnsi="Arial" w:cs="Arial"/>
                <w:sz w:val="19"/>
                <w:szCs w:val="19"/>
                <w:lang w:val="es-ES"/>
              </w:rPr>
              <w:t>4</w:t>
            </w:r>
          </w:p>
        </w:tc>
        <w:tc>
          <w:tcPr>
            <w:tcW w:w="4192"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74D1F12C" w14:textId="77777777" w:rsidR="009A6899" w:rsidRPr="00EE03AE" w:rsidRDefault="009A6899" w:rsidP="004973DB">
            <w:pPr>
              <w:spacing w:line="276" w:lineRule="auto"/>
              <w:ind w:left="709" w:right="709"/>
              <w:jc w:val="center"/>
              <w:rPr>
                <w:rFonts w:ascii="Arial" w:eastAsia="Arial" w:hAnsi="Arial" w:cs="Arial"/>
                <w:sz w:val="19"/>
                <w:szCs w:val="19"/>
                <w:lang w:val="es-ES"/>
              </w:rPr>
            </w:pPr>
            <w:r w:rsidRPr="00EE03AE">
              <w:rPr>
                <w:rFonts w:ascii="Arial" w:hAnsi="Arial" w:cs="Arial"/>
                <w:sz w:val="19"/>
                <w:szCs w:val="19"/>
                <w:lang w:val="es-ES"/>
              </w:rPr>
              <w:t>120%</w:t>
            </w:r>
          </w:p>
        </w:tc>
      </w:tr>
      <w:tr w:rsidR="009A6899" w:rsidRPr="00EE03AE" w14:paraId="07E587A5" w14:textId="77777777" w:rsidTr="004973DB">
        <w:tc>
          <w:tcPr>
            <w:tcW w:w="3055" w:type="dxa"/>
            <w:tcBorders>
              <w:top w:val="single" w:sz="4" w:space="0" w:color="000000" w:themeColor="text1"/>
              <w:left w:val="double" w:sz="4" w:space="0" w:color="auto"/>
              <w:bottom w:val="double" w:sz="4" w:space="0" w:color="auto"/>
              <w:right w:val="single" w:sz="4" w:space="0" w:color="000000" w:themeColor="text1"/>
            </w:tcBorders>
            <w:vAlign w:val="center"/>
            <w:hideMark/>
          </w:tcPr>
          <w:p w14:paraId="5DC533F1" w14:textId="77777777" w:rsidR="009A6899" w:rsidRPr="00EE03AE" w:rsidRDefault="009A6899" w:rsidP="004973DB">
            <w:pPr>
              <w:spacing w:line="276" w:lineRule="auto"/>
              <w:ind w:left="709" w:right="709"/>
              <w:jc w:val="center"/>
              <w:rPr>
                <w:rFonts w:ascii="Arial" w:eastAsia="Arial" w:hAnsi="Arial" w:cs="Arial"/>
                <w:sz w:val="19"/>
                <w:szCs w:val="19"/>
                <w:lang w:val="es-ES"/>
              </w:rPr>
            </w:pPr>
            <w:r w:rsidRPr="00EE03AE">
              <w:rPr>
                <w:rFonts w:ascii="Arial" w:hAnsi="Arial" w:cs="Arial"/>
                <w:sz w:val="19"/>
                <w:szCs w:val="19"/>
                <w:lang w:val="es-ES"/>
              </w:rPr>
              <w:t>De</w:t>
            </w:r>
            <w:r w:rsidRPr="00EE03AE">
              <w:rPr>
                <w:rFonts w:ascii="Arial" w:eastAsia="Arial" w:hAnsi="Arial" w:cs="Arial"/>
                <w:sz w:val="19"/>
                <w:szCs w:val="19"/>
                <w:lang w:val="es-ES"/>
              </w:rPr>
              <w:t xml:space="preserve"> </w:t>
            </w:r>
            <w:r w:rsidRPr="00EE03AE">
              <w:rPr>
                <w:rFonts w:ascii="Arial" w:hAnsi="Arial" w:cs="Arial"/>
                <w:sz w:val="19"/>
                <w:szCs w:val="19"/>
                <w:lang w:val="es-ES"/>
              </w:rPr>
              <w:t>5</w:t>
            </w:r>
            <w:r w:rsidRPr="00EE03AE">
              <w:rPr>
                <w:rFonts w:ascii="Arial" w:eastAsia="Arial" w:hAnsi="Arial" w:cs="Arial"/>
                <w:sz w:val="19"/>
                <w:szCs w:val="19"/>
                <w:lang w:val="es-ES"/>
              </w:rPr>
              <w:t xml:space="preserve"> </w:t>
            </w:r>
            <w:r w:rsidRPr="00EE03AE">
              <w:rPr>
                <w:rFonts w:ascii="Arial" w:hAnsi="Arial" w:cs="Arial"/>
                <w:sz w:val="19"/>
                <w:szCs w:val="19"/>
                <w:lang w:val="es-ES"/>
              </w:rPr>
              <w:t>hasta</w:t>
            </w:r>
            <w:r w:rsidRPr="00EE03AE">
              <w:rPr>
                <w:rFonts w:ascii="Arial" w:eastAsia="Arial" w:hAnsi="Arial" w:cs="Arial"/>
                <w:sz w:val="19"/>
                <w:szCs w:val="19"/>
                <w:lang w:val="es-ES"/>
              </w:rPr>
              <w:t xml:space="preserve"> </w:t>
            </w:r>
            <w:r w:rsidRPr="00EE03AE">
              <w:rPr>
                <w:rFonts w:ascii="Arial" w:hAnsi="Arial" w:cs="Arial"/>
                <w:sz w:val="19"/>
                <w:szCs w:val="19"/>
                <w:lang w:val="es-ES"/>
              </w:rPr>
              <w:t>6</w:t>
            </w:r>
          </w:p>
        </w:tc>
        <w:tc>
          <w:tcPr>
            <w:tcW w:w="4192" w:type="dxa"/>
            <w:tcBorders>
              <w:top w:val="single" w:sz="4" w:space="0" w:color="000000" w:themeColor="text1"/>
              <w:left w:val="single" w:sz="4" w:space="0" w:color="000000" w:themeColor="text1"/>
              <w:bottom w:val="double" w:sz="4" w:space="0" w:color="auto"/>
              <w:right w:val="double" w:sz="4" w:space="0" w:color="auto"/>
            </w:tcBorders>
            <w:vAlign w:val="center"/>
            <w:hideMark/>
          </w:tcPr>
          <w:p w14:paraId="71669816" w14:textId="77777777" w:rsidR="009A6899" w:rsidRPr="00EE03AE" w:rsidRDefault="009A6899" w:rsidP="004973DB">
            <w:pPr>
              <w:spacing w:line="276" w:lineRule="auto"/>
              <w:ind w:left="709" w:right="709"/>
              <w:jc w:val="center"/>
              <w:rPr>
                <w:rFonts w:ascii="Arial" w:eastAsia="Arial" w:hAnsi="Arial" w:cs="Arial"/>
                <w:sz w:val="19"/>
                <w:szCs w:val="19"/>
                <w:lang w:val="es-ES"/>
              </w:rPr>
            </w:pPr>
            <w:r w:rsidRPr="00EE03AE">
              <w:rPr>
                <w:rFonts w:ascii="Arial" w:hAnsi="Arial" w:cs="Arial"/>
                <w:sz w:val="19"/>
                <w:szCs w:val="19"/>
                <w:lang w:val="es-ES"/>
              </w:rPr>
              <w:t>150%</w:t>
            </w:r>
          </w:p>
        </w:tc>
      </w:tr>
    </w:tbl>
    <w:p w14:paraId="0B917DF7" w14:textId="77777777" w:rsidR="009A6899" w:rsidRPr="00EE03AE" w:rsidRDefault="009A6899" w:rsidP="009A6899">
      <w:pPr>
        <w:ind w:left="709" w:right="709"/>
        <w:rPr>
          <w:rFonts w:ascii="Arial" w:hAnsi="Arial" w:cs="Arial"/>
          <w:sz w:val="21"/>
          <w:szCs w:val="21"/>
        </w:rPr>
      </w:pPr>
    </w:p>
    <w:p w14:paraId="679A28F9" w14:textId="77777777" w:rsidR="009A6899" w:rsidRPr="00EE03AE" w:rsidRDefault="009A6899" w:rsidP="009A6899">
      <w:pPr>
        <w:spacing w:after="120"/>
        <w:ind w:left="709" w:right="709"/>
        <w:jc w:val="both"/>
        <w:rPr>
          <w:rFonts w:ascii="Arial" w:hAnsi="Arial" w:cs="Arial"/>
          <w:sz w:val="21"/>
          <w:szCs w:val="21"/>
        </w:rPr>
      </w:pPr>
      <w:r w:rsidRPr="00EE03AE">
        <w:rPr>
          <w:rFonts w:ascii="Arial" w:hAnsi="Arial" w:cs="Arial"/>
          <w:sz w:val="21"/>
          <w:szCs w:val="21"/>
        </w:rPr>
        <w:lastRenderedPageBreak/>
        <w:t>La verificación se hará con base en la sumatoria de los valores totales ejecutados (incluido IVA) en SMMLV de los contratos que cumplan con los requisitos establecidos en este pliego de condiciones.</w:t>
      </w:r>
    </w:p>
    <w:p w14:paraId="2022B3CC" w14:textId="77777777" w:rsidR="009A6899" w:rsidRPr="00EE03AE" w:rsidRDefault="009A6899" w:rsidP="0066040D">
      <w:pPr>
        <w:ind w:left="709" w:right="709"/>
        <w:jc w:val="both"/>
        <w:rPr>
          <w:rFonts w:ascii="Arial" w:hAnsi="Arial" w:cs="Arial"/>
          <w:sz w:val="21"/>
          <w:szCs w:val="21"/>
        </w:rPr>
      </w:pPr>
      <w:r w:rsidRPr="00EE03AE">
        <w:rPr>
          <w:rFonts w:ascii="Arial" w:hAnsi="Arial" w:cs="Arial"/>
          <w:sz w:val="21"/>
          <w:szCs w:val="21"/>
        </w:rPr>
        <w:t>El proponente cumple el requisito de experiencia si la sumatoria de los valores totales ejecutados (incluido IVA) de los contratos expresados en SMMLV es mayor o igual al valor mínimo a certificar establecido en la tabla anterior.</w:t>
      </w:r>
    </w:p>
    <w:p w14:paraId="6E585CB1" w14:textId="77777777" w:rsidR="009A6899" w:rsidRPr="00EE03AE" w:rsidRDefault="009A6899" w:rsidP="009A6899">
      <w:pPr>
        <w:ind w:left="709" w:right="709"/>
        <w:jc w:val="both"/>
        <w:rPr>
          <w:rFonts w:ascii="Arial" w:hAnsi="Arial" w:cs="Arial"/>
          <w:sz w:val="21"/>
          <w:szCs w:val="21"/>
        </w:rPr>
      </w:pPr>
    </w:p>
    <w:p w14:paraId="4EE8EC5C" w14:textId="77777777" w:rsidR="009A6899" w:rsidRPr="00EE03AE" w:rsidRDefault="009A6899" w:rsidP="009A6899">
      <w:pPr>
        <w:ind w:left="709" w:right="709"/>
        <w:jc w:val="both"/>
        <w:rPr>
          <w:rFonts w:ascii="Arial" w:hAnsi="Arial" w:cs="Arial"/>
          <w:sz w:val="21"/>
          <w:szCs w:val="21"/>
        </w:rPr>
      </w:pPr>
      <w:r w:rsidRPr="00EE03AE">
        <w:rPr>
          <w:rFonts w:ascii="Arial" w:hAnsi="Arial" w:cs="Arial"/>
          <w:sz w:val="21"/>
          <w:szCs w:val="21"/>
        </w:rPr>
        <w:t>En caso de que el número de contratos con los cuales el proponente acredita la experiencia no satisfaga el porcentaje mínimo a certificar establecido en la tabla anterior, se calificará la propuesta como no hábil y el proponente podrá subsanarla en los términos establecidos en la sección 1.6.</w:t>
      </w:r>
    </w:p>
    <w:p w14:paraId="58C05B37" w14:textId="77777777" w:rsidR="009A6899" w:rsidRPr="00EE03AE" w:rsidRDefault="009A6899" w:rsidP="009A6899">
      <w:pPr>
        <w:ind w:left="709" w:right="709"/>
        <w:jc w:val="both"/>
        <w:rPr>
          <w:rFonts w:ascii="Arial" w:hAnsi="Arial" w:cs="Arial"/>
          <w:sz w:val="21"/>
          <w:szCs w:val="21"/>
        </w:rPr>
      </w:pPr>
    </w:p>
    <w:p w14:paraId="667825FE" w14:textId="77777777" w:rsidR="009A6899" w:rsidRPr="00EE03AE" w:rsidRDefault="009A6899" w:rsidP="009A6899">
      <w:pPr>
        <w:ind w:left="709" w:right="709"/>
        <w:jc w:val="both"/>
        <w:rPr>
          <w:rFonts w:ascii="Arial" w:hAnsi="Arial" w:cs="Arial"/>
          <w:sz w:val="21"/>
          <w:szCs w:val="21"/>
        </w:rPr>
      </w:pPr>
      <w:r w:rsidRPr="00EE03AE">
        <w:rPr>
          <w:rFonts w:ascii="Arial" w:hAnsi="Arial" w:cs="Arial"/>
          <w:sz w:val="21"/>
          <w:szCs w:val="21"/>
        </w:rPr>
        <w:t>[En los procesos estructurados por lotes, el valor mínimo a certificar debe ser con relación al valor del presupuesto oficial del respectivo lote expresado en SMMLV]</w:t>
      </w:r>
    </w:p>
    <w:p w14:paraId="2A567963" w14:textId="77777777" w:rsidR="009A6899" w:rsidRPr="00EE03AE" w:rsidRDefault="009A6899" w:rsidP="009A6899">
      <w:pPr>
        <w:spacing w:line="276" w:lineRule="auto"/>
        <w:ind w:firstLine="708"/>
        <w:jc w:val="both"/>
        <w:rPr>
          <w:rFonts w:ascii="Arial" w:hAnsi="Arial" w:cs="Arial"/>
          <w:sz w:val="22"/>
        </w:rPr>
      </w:pPr>
      <w:r w:rsidRPr="00EE03AE">
        <w:rPr>
          <w:rFonts w:ascii="Arial" w:hAnsi="Arial" w:cs="Arial"/>
          <w:sz w:val="22"/>
        </w:rPr>
        <w:t xml:space="preserve"> </w:t>
      </w:r>
    </w:p>
    <w:p w14:paraId="527B84F5" w14:textId="77777777" w:rsidR="009A6899" w:rsidRPr="00EE03AE" w:rsidRDefault="009A6899" w:rsidP="009B34F3">
      <w:pPr>
        <w:spacing w:after="120" w:line="276" w:lineRule="auto"/>
        <w:ind w:firstLine="709"/>
        <w:jc w:val="both"/>
        <w:rPr>
          <w:rFonts w:ascii="Arial" w:hAnsi="Arial" w:cs="Arial"/>
          <w:sz w:val="22"/>
          <w:shd w:val="clear" w:color="auto" w:fill="FFFFFF"/>
        </w:rPr>
      </w:pPr>
      <w:r w:rsidRPr="00EE03AE">
        <w:rPr>
          <w:rFonts w:ascii="Arial" w:hAnsi="Arial" w:cs="Arial"/>
          <w:sz w:val="22"/>
        </w:rPr>
        <w:t xml:space="preserve">Como se observa, el número de contratos aportados por el proponente debe certificar un valor mínimo correspondiente a un porcentaje del presupuesto oficial del proceso de obra expresado en SMMLV, cuya verificación se hará con base en la sumatoria de los valores totales ejecutados de los contratos que cumplan con los requisitos establecidos en el pliego de condiciones. Para tales efectos, se </w:t>
      </w:r>
      <w:r w:rsidRPr="00EE03AE">
        <w:rPr>
          <w:rFonts w:ascii="Arial" w:hAnsi="Arial" w:cs="Arial"/>
          <w:sz w:val="22"/>
          <w:shd w:val="clear" w:color="auto" w:fill="FFFFFF"/>
        </w:rPr>
        <w:t>establecen unas relaciones entre el número de contratos usados para acreditar la experiencia, los valores ejecutados en estos y un valor porcentual mínimo del presupuesto oficial de la obra ofertada que deben superar para que la experiencia sea válida y, en consecuencia, los proponentes puedan habilitarse en lo que a este requisito se refiere.</w:t>
      </w:r>
    </w:p>
    <w:p w14:paraId="67A89B78" w14:textId="77777777" w:rsidR="009A6899" w:rsidRPr="00EE03AE" w:rsidRDefault="009A6899" w:rsidP="009B34F3">
      <w:pPr>
        <w:tabs>
          <w:tab w:val="left" w:pos="426"/>
        </w:tabs>
        <w:spacing w:after="120" w:line="276" w:lineRule="auto"/>
        <w:jc w:val="both"/>
        <w:rPr>
          <w:rFonts w:ascii="Arial" w:hAnsi="Arial" w:cs="Arial"/>
          <w:sz w:val="22"/>
          <w:shd w:val="clear" w:color="auto" w:fill="FFFFFF"/>
        </w:rPr>
      </w:pPr>
      <w:r w:rsidRPr="00EE03AE">
        <w:rPr>
          <w:rFonts w:ascii="Arial" w:hAnsi="Arial" w:cs="Arial"/>
          <w:sz w:val="22"/>
          <w:shd w:val="clear" w:color="auto" w:fill="FFFFFF"/>
        </w:rPr>
        <w:tab/>
      </w:r>
      <w:r w:rsidRPr="00EE03AE">
        <w:rPr>
          <w:rFonts w:ascii="Arial" w:hAnsi="Arial" w:cs="Arial"/>
          <w:sz w:val="22"/>
          <w:shd w:val="clear" w:color="auto" w:fill="FFFFFF"/>
        </w:rPr>
        <w:tab/>
        <w:t>De esta manera se determina que para quienes acrediten experiencia mediante 1 o 2 contratos, la sumatoria de los valores ejecutados en estos –incluido IVA– debe ser superior al 75% del valor del presupuesto oficial. Por otra parte, si la acredita mediante 3 a 4 contratos, la sumatoria de los valores ejecutados debe ser superior al 120% del valor del presupuesto oficial. Finalmente, si la acredita con 5 a 6 contratos, la sumatoria de los valores ejecutados</w:t>
      </w:r>
      <w:r w:rsidRPr="00EE03AE" w:rsidDel="00B42975">
        <w:rPr>
          <w:rFonts w:ascii="Arial" w:hAnsi="Arial" w:cs="Arial"/>
          <w:sz w:val="22"/>
          <w:shd w:val="clear" w:color="auto" w:fill="FFFFFF"/>
        </w:rPr>
        <w:t xml:space="preserve"> </w:t>
      </w:r>
      <w:r w:rsidRPr="00EE03AE">
        <w:rPr>
          <w:rFonts w:ascii="Arial" w:hAnsi="Arial" w:cs="Arial"/>
          <w:sz w:val="22"/>
          <w:shd w:val="clear" w:color="auto" w:fill="FFFFFF"/>
        </w:rPr>
        <w:t xml:space="preserve">debe ser superior al 150% del valor del presupuesto oficial. </w:t>
      </w:r>
    </w:p>
    <w:p w14:paraId="4A37EEAA" w14:textId="30EB49FB" w:rsidR="009A6899" w:rsidRPr="00EE03AE" w:rsidRDefault="009A6899" w:rsidP="009B34F3">
      <w:pPr>
        <w:tabs>
          <w:tab w:val="left" w:pos="426"/>
        </w:tabs>
        <w:spacing w:after="120" w:line="276" w:lineRule="auto"/>
        <w:jc w:val="both"/>
        <w:rPr>
          <w:rFonts w:ascii="Arial" w:hAnsi="Arial" w:cs="Arial"/>
          <w:sz w:val="22"/>
          <w:shd w:val="clear" w:color="auto" w:fill="FFFFFF"/>
        </w:rPr>
      </w:pPr>
      <w:r w:rsidRPr="00EE03AE">
        <w:rPr>
          <w:rFonts w:ascii="Arial" w:hAnsi="Arial" w:cs="Arial"/>
          <w:sz w:val="22"/>
          <w:shd w:val="clear" w:color="auto" w:fill="FFFFFF"/>
        </w:rPr>
        <w:tab/>
      </w:r>
      <w:r w:rsidRPr="00EE03AE">
        <w:rPr>
          <w:rFonts w:ascii="Arial" w:hAnsi="Arial" w:cs="Arial"/>
          <w:sz w:val="22"/>
          <w:shd w:val="clear" w:color="auto" w:fill="FFFFFF"/>
        </w:rPr>
        <w:tab/>
        <w:t xml:space="preserve">Por tanto, el número de los contratos para acreditar la experiencia condiciona el valor mínimo que deben certificar para el correspondiente requisito habilitante. Si una vez sumados los valores ejecutados de los contratos aportados, el resultado es inferior al valor porcentual aplicable a la cantidad de contratos empleados, no es posible habilitar al proponente.  </w:t>
      </w:r>
    </w:p>
    <w:p w14:paraId="5E253685" w14:textId="62308B6C" w:rsidR="00995481" w:rsidRPr="00EE03AE" w:rsidRDefault="00995481" w:rsidP="009B34F3">
      <w:pPr>
        <w:spacing w:after="120" w:line="276" w:lineRule="auto"/>
        <w:ind w:firstLine="708"/>
        <w:jc w:val="both"/>
        <w:rPr>
          <w:rFonts w:ascii="Arial" w:eastAsia="Calibri" w:hAnsi="Arial" w:cs="Arial"/>
          <w:sz w:val="22"/>
          <w:szCs w:val="22"/>
          <w:lang w:val="es-MX"/>
        </w:rPr>
      </w:pPr>
      <w:r w:rsidRPr="00EE03AE">
        <w:rPr>
          <w:rFonts w:ascii="Arial" w:eastAsia="Calibri" w:hAnsi="Arial" w:cs="Arial"/>
          <w:sz w:val="22"/>
          <w:szCs w:val="22"/>
          <w:lang w:val="es-MX"/>
        </w:rPr>
        <w:t>Para fijar las condiciones que deben cumplir los contratos aportados, en términos de actividades ejecutadas, las entidades deberán emplear la Matriz 1, documento que estandariza las condiciones de experiencia general y/o experiencia específica que deben requerir las entidades estatales de acuerdo con: i) el tipo de obra de infraestructura de transporte, ii) la actividad a contratar y iii) la cuantía del proceso de contratación.</w:t>
      </w:r>
    </w:p>
    <w:p w14:paraId="54A96AD6" w14:textId="77777777" w:rsidR="00995481" w:rsidRPr="00EE03AE" w:rsidRDefault="00995481" w:rsidP="009B34F3">
      <w:pPr>
        <w:spacing w:after="120" w:line="276" w:lineRule="auto"/>
        <w:ind w:firstLine="708"/>
        <w:jc w:val="both"/>
        <w:rPr>
          <w:rFonts w:ascii="Arial" w:eastAsia="Calibri" w:hAnsi="Arial" w:cs="Arial"/>
          <w:sz w:val="22"/>
          <w:szCs w:val="22"/>
          <w:lang w:val="es-MX"/>
        </w:rPr>
      </w:pPr>
      <w:r w:rsidRPr="00EE03AE">
        <w:rPr>
          <w:rFonts w:ascii="Arial" w:eastAsia="Calibri" w:hAnsi="Arial" w:cs="Arial"/>
          <w:sz w:val="22"/>
          <w:szCs w:val="22"/>
          <w:lang w:val="es-MX"/>
        </w:rPr>
        <w:lastRenderedPageBreak/>
        <w:t>En relación con el primer aspecto, la Matriz 1 está constituida por ocho (8) tipos de obras de infraestructura de transporte, identificadas con un número y su descripción, los cuales son: 1) obras en vías primarias o secundarias, 2) obras en vías terciarias, 3) obras marítimas y fluviales, 4) obras en vías primarias o secundarias o terciarias para atención, prevención o mitigación de emergencias diferentes a contratación directa, 5) obras férreas, 6) obras de infraestructura vial urbana, 7) obras en puentes y 8) obras aeroportuarias. Estas determinan el marco para la aplicación de los documentos tipo, dado que comprenden todas aquellas actividades que constituyen obra pública de infraestructura de transporte y que han sido objeto de estandarización mediante la Resolución No. 240 del 27 de noviembre de 2020 para los procesos de licitación pública.</w:t>
      </w:r>
    </w:p>
    <w:p w14:paraId="02748616" w14:textId="4F92C421" w:rsidR="00995481" w:rsidRPr="00EE03AE" w:rsidRDefault="00995481" w:rsidP="009B34F3">
      <w:pPr>
        <w:spacing w:after="120" w:line="276" w:lineRule="auto"/>
        <w:ind w:firstLine="708"/>
        <w:jc w:val="both"/>
        <w:rPr>
          <w:rFonts w:ascii="Arial" w:eastAsia="Calibri" w:hAnsi="Arial" w:cs="Arial"/>
          <w:sz w:val="22"/>
          <w:szCs w:val="22"/>
          <w:lang w:val="es-MX"/>
        </w:rPr>
      </w:pPr>
      <w:r w:rsidRPr="00EE03AE">
        <w:rPr>
          <w:rFonts w:ascii="Arial" w:eastAsia="Calibri" w:hAnsi="Arial" w:cs="Arial"/>
          <w:sz w:val="22"/>
          <w:szCs w:val="22"/>
          <w:lang w:val="es-MX"/>
        </w:rPr>
        <w:t xml:space="preserve">Con respecto a la actividad a contratar, la </w:t>
      </w:r>
      <w:r w:rsidR="00B949BF" w:rsidRPr="00EE03AE">
        <w:rPr>
          <w:rFonts w:ascii="Arial" w:eastAsia="Calibri" w:hAnsi="Arial" w:cs="Arial"/>
          <w:sz w:val="22"/>
          <w:szCs w:val="22"/>
          <w:lang w:val="es-MX"/>
        </w:rPr>
        <w:t>«</w:t>
      </w:r>
      <w:r w:rsidRPr="00EE03AE">
        <w:rPr>
          <w:rFonts w:ascii="Arial" w:eastAsia="Calibri" w:hAnsi="Arial" w:cs="Arial"/>
          <w:sz w:val="22"/>
          <w:szCs w:val="22"/>
          <w:lang w:val="es-MX"/>
        </w:rPr>
        <w:t>Matriz 1</w:t>
      </w:r>
      <w:r w:rsidR="00B949BF" w:rsidRPr="00EE03AE">
        <w:rPr>
          <w:rFonts w:ascii="Arial" w:eastAsia="Calibri" w:hAnsi="Arial" w:cs="Arial"/>
          <w:sz w:val="22"/>
          <w:szCs w:val="22"/>
          <w:lang w:val="es-MX"/>
        </w:rPr>
        <w:t xml:space="preserve"> – Experiencia»</w:t>
      </w:r>
      <w:r w:rsidRPr="00EE03AE">
        <w:rPr>
          <w:rFonts w:ascii="Arial" w:eastAsia="Calibri" w:hAnsi="Arial" w:cs="Arial"/>
          <w:sz w:val="22"/>
          <w:szCs w:val="22"/>
          <w:lang w:val="es-MX"/>
        </w:rPr>
        <w:t xml:space="preserve"> establece cuáles son las que corresponden a cada uno de los tipos de infraestructura mencionados, con el fin de que la entidad identifique aquellas en las cuales puede encuadrarse de mejor forma el objeto que pretende ejecutar y determinar los requisitos de experiencia exigibles. </w:t>
      </w:r>
    </w:p>
    <w:p w14:paraId="4B48B483" w14:textId="77777777" w:rsidR="00995481" w:rsidRPr="00EE03AE" w:rsidRDefault="00995481" w:rsidP="009B34F3">
      <w:pPr>
        <w:spacing w:after="120" w:line="276" w:lineRule="auto"/>
        <w:ind w:firstLine="708"/>
        <w:jc w:val="both"/>
        <w:rPr>
          <w:rFonts w:ascii="Arial" w:eastAsia="Calibri" w:hAnsi="Arial" w:cs="Arial"/>
          <w:sz w:val="22"/>
          <w:szCs w:val="22"/>
          <w:lang w:val="es-MX"/>
        </w:rPr>
      </w:pPr>
      <w:r w:rsidRPr="00EE03AE">
        <w:rPr>
          <w:rFonts w:ascii="Arial" w:eastAsia="Calibri" w:hAnsi="Arial" w:cs="Arial"/>
          <w:sz w:val="22"/>
          <w:szCs w:val="22"/>
          <w:lang w:val="es-MX"/>
        </w:rPr>
        <w:t xml:space="preserve">Por último, el documento establece los rangos dentro de los cuales se debe identificar el presupuesto del proceso de contratación. Estos abarcan las cuantías mínimas y máximas que son frecuentes en los procesos de contratación de obra pública de infraestructura de transporte, y son resultado de las exigencias señaladas en el inciso 3 del parágrafo 7 del artículo 2 de la Ley 1150 de 2007 –modificado por el artículo 1 de la Ley 2022 de 2020, conforme al cual las condiciones habilitantes fijadas en los documentos tipo deben tener en cuenta la cuantía, la naturaleza y especialidad de la contratación. </w:t>
      </w:r>
    </w:p>
    <w:p w14:paraId="3F41DA1D" w14:textId="3B44EA5B" w:rsidR="00995481" w:rsidRPr="00EE03AE" w:rsidRDefault="00995481" w:rsidP="009B34F3">
      <w:pPr>
        <w:spacing w:after="120" w:line="276" w:lineRule="auto"/>
        <w:ind w:firstLine="709"/>
        <w:jc w:val="both"/>
        <w:rPr>
          <w:rFonts w:ascii="Arial" w:eastAsia="Calibri" w:hAnsi="Arial" w:cs="Arial"/>
          <w:sz w:val="22"/>
          <w:szCs w:val="22"/>
          <w:lang w:val="es-MX"/>
        </w:rPr>
      </w:pPr>
      <w:r w:rsidRPr="00EE03AE">
        <w:rPr>
          <w:rFonts w:ascii="Arial" w:eastAsia="Calibri" w:hAnsi="Arial" w:cs="Arial"/>
          <w:sz w:val="22"/>
          <w:szCs w:val="22"/>
          <w:lang w:val="es-MX"/>
        </w:rPr>
        <w:t>Estos tres factores determinan el requisito de experiencia establecido en los documentos desarrollados por la Agencia Nacional de Contratación Pública – Colombia Compra Eficiente, e incluido en la Matriz 1, que es resultado del mandato en la Ley 2022 de 2020, por lo que son de obligatorio cumplimiento. Igualmente, se encuentran sometidos a la regulación prevista en la Resolución No. 240 del 27 de noviembre de 2020</w:t>
      </w:r>
      <w:r w:rsidR="00E67A57" w:rsidRPr="00EE03AE">
        <w:rPr>
          <w:rFonts w:ascii="Arial" w:eastAsia="Calibri" w:hAnsi="Arial" w:cs="Arial"/>
          <w:sz w:val="22"/>
          <w:szCs w:val="22"/>
          <w:lang w:val="es-MX"/>
        </w:rPr>
        <w:t>,</w:t>
      </w:r>
      <w:r w:rsidR="00E67A57" w:rsidRPr="00EE03AE">
        <w:rPr>
          <w:rFonts w:ascii="Arial" w:hAnsi="Arial" w:cs="Arial"/>
          <w:sz w:val="22"/>
          <w:szCs w:val="22"/>
          <w:lang w:val="es-MX"/>
        </w:rPr>
        <w:t xml:space="preserve"> </w:t>
      </w:r>
      <w:r w:rsidR="00E67A57" w:rsidRPr="00EE03AE">
        <w:rPr>
          <w:rFonts w:ascii="Arial" w:eastAsiaTheme="minorHAnsi" w:hAnsi="Arial" w:cs="Arial"/>
          <w:sz w:val="22"/>
          <w:szCs w:val="22"/>
          <w:lang w:val="es-MX" w:eastAsia="en-US"/>
        </w:rPr>
        <w:t>modificad</w:t>
      </w:r>
      <w:r w:rsidR="00E67A57" w:rsidRPr="00EE03AE">
        <w:rPr>
          <w:rFonts w:ascii="Arial" w:hAnsi="Arial" w:cs="Arial"/>
          <w:sz w:val="22"/>
          <w:szCs w:val="22"/>
          <w:lang w:val="es-MX"/>
        </w:rPr>
        <w:t>a</w:t>
      </w:r>
      <w:r w:rsidR="00E67A57" w:rsidRPr="00EE03AE">
        <w:rPr>
          <w:rFonts w:ascii="Arial" w:eastAsiaTheme="minorHAnsi" w:hAnsi="Arial" w:cs="Arial"/>
          <w:sz w:val="22"/>
          <w:szCs w:val="22"/>
          <w:lang w:val="es-MX" w:eastAsia="en-US"/>
        </w:rPr>
        <w:t xml:space="preserve"> mediante la</w:t>
      </w:r>
      <w:r w:rsidR="001B1918" w:rsidRPr="00EE03AE">
        <w:rPr>
          <w:rFonts w:ascii="Arial" w:eastAsiaTheme="minorHAnsi" w:hAnsi="Arial" w:cs="Arial"/>
          <w:sz w:val="22"/>
          <w:szCs w:val="22"/>
          <w:lang w:val="es-MX" w:eastAsia="en-US"/>
        </w:rPr>
        <w:t>s</w:t>
      </w:r>
      <w:r w:rsidR="00E67A57" w:rsidRPr="00EE03AE">
        <w:rPr>
          <w:rFonts w:ascii="Arial" w:eastAsiaTheme="minorHAnsi" w:hAnsi="Arial" w:cs="Arial"/>
          <w:sz w:val="22"/>
          <w:szCs w:val="22"/>
          <w:lang w:val="es-MX" w:eastAsia="en-US"/>
        </w:rPr>
        <w:t xml:space="preserve"> Resoluci</w:t>
      </w:r>
      <w:r w:rsidR="001B1918" w:rsidRPr="00EE03AE">
        <w:rPr>
          <w:rFonts w:ascii="Arial" w:eastAsiaTheme="minorHAnsi" w:hAnsi="Arial" w:cs="Arial"/>
          <w:sz w:val="22"/>
          <w:szCs w:val="22"/>
          <w:lang w:val="es-MX" w:eastAsia="en-US"/>
        </w:rPr>
        <w:t>ones</w:t>
      </w:r>
      <w:r w:rsidR="00E67A57" w:rsidRPr="00EE03AE">
        <w:rPr>
          <w:rFonts w:ascii="Arial" w:eastAsiaTheme="minorHAnsi" w:hAnsi="Arial" w:cs="Arial"/>
          <w:sz w:val="22"/>
          <w:szCs w:val="22"/>
          <w:lang w:val="es-MX" w:eastAsia="en-US"/>
        </w:rPr>
        <w:t xml:space="preserve"> No. 161 del 17 de junio de 2021</w:t>
      </w:r>
      <w:r w:rsidRPr="00EE03AE">
        <w:rPr>
          <w:rFonts w:ascii="Arial" w:eastAsia="Calibri" w:hAnsi="Arial" w:cs="Arial"/>
          <w:sz w:val="22"/>
          <w:szCs w:val="22"/>
          <w:lang w:val="es-MX"/>
        </w:rPr>
        <w:t xml:space="preserve"> y</w:t>
      </w:r>
      <w:r w:rsidR="001B1918" w:rsidRPr="00EE03AE">
        <w:rPr>
          <w:rFonts w:ascii="Arial" w:eastAsia="Calibri" w:hAnsi="Arial" w:cs="Arial"/>
          <w:sz w:val="22"/>
          <w:szCs w:val="22"/>
          <w:lang w:val="es-MX"/>
        </w:rPr>
        <w:t xml:space="preserve"> </w:t>
      </w:r>
      <w:r w:rsidR="006F55AF" w:rsidRPr="00EE03AE">
        <w:rPr>
          <w:rFonts w:ascii="Arial" w:eastAsia="Calibri" w:hAnsi="Arial" w:cs="Arial"/>
          <w:sz w:val="22"/>
          <w:szCs w:val="22"/>
          <w:lang w:val="es-MX"/>
        </w:rPr>
        <w:t>304 del 13 de octubre de 2021.</w:t>
      </w:r>
      <w:r w:rsidRPr="00EE03AE">
        <w:rPr>
          <w:rFonts w:ascii="Arial" w:eastAsia="Calibri" w:hAnsi="Arial" w:cs="Arial"/>
          <w:sz w:val="22"/>
          <w:szCs w:val="22"/>
          <w:lang w:val="es-MX"/>
        </w:rPr>
        <w:t xml:space="preserve"> </w:t>
      </w:r>
      <w:r w:rsidR="006F55AF" w:rsidRPr="00EE03AE">
        <w:rPr>
          <w:rFonts w:ascii="Arial" w:eastAsia="Calibri" w:hAnsi="Arial" w:cs="Arial"/>
          <w:sz w:val="22"/>
          <w:szCs w:val="22"/>
          <w:lang w:val="es-MX"/>
        </w:rPr>
        <w:t>P</w:t>
      </w:r>
      <w:r w:rsidRPr="00EE03AE">
        <w:rPr>
          <w:rFonts w:ascii="Arial" w:eastAsia="Calibri" w:hAnsi="Arial" w:cs="Arial"/>
          <w:sz w:val="22"/>
          <w:szCs w:val="22"/>
          <w:lang w:val="es-MX"/>
        </w:rPr>
        <w:t xml:space="preserve">or tanto, la regla general es que no pueden ser alterados, modificados o adicionados en su contenido. </w:t>
      </w:r>
    </w:p>
    <w:p w14:paraId="5C5950D1" w14:textId="49C1866B" w:rsidR="00995481" w:rsidRPr="00EE03AE" w:rsidRDefault="00995481" w:rsidP="009B34F3">
      <w:pPr>
        <w:spacing w:after="120" w:line="276" w:lineRule="auto"/>
        <w:ind w:firstLine="709"/>
        <w:jc w:val="both"/>
        <w:rPr>
          <w:rFonts w:ascii="Arial" w:eastAsia="Calibri" w:hAnsi="Arial" w:cs="Arial"/>
          <w:sz w:val="22"/>
          <w:szCs w:val="22"/>
          <w:lang w:val="es-MX"/>
        </w:rPr>
      </w:pPr>
      <w:r w:rsidRPr="00EE03AE">
        <w:rPr>
          <w:rFonts w:ascii="Arial" w:eastAsia="Calibri" w:hAnsi="Arial" w:cs="Arial"/>
          <w:sz w:val="22"/>
          <w:szCs w:val="22"/>
          <w:lang w:val="es-MX"/>
        </w:rPr>
        <w:t>Ahora bien, el «documento base» o pliego tipo adoptado creó el numeral «3.5.1 Determinación de los requisitos mínimos de experiencia según la Matriz 1, en el cual la entidad debe justificar, expresa y suficientemente la complejidad del proyecto, determinando si es de baja, media o alta complejidad, y en función de ello implementar alguna de las variantes de la Matriz 1 ya sea la de proyectos de baja–media, o la elaborada para proyectos de alta complejidad técnica. En otras palabras, a partir de la actualización de los «Documentos Tipo – Versión 3» de licitación de obra pública de infraestructura de transporte se crean dos Matrices de experiencia: i) para proyectos de baja o media complejidad técnica y ii) para proyectos de alta complejidad técnica.</w:t>
      </w:r>
    </w:p>
    <w:p w14:paraId="697E4A4C" w14:textId="204E9356" w:rsidR="00995481" w:rsidRPr="00EE03AE" w:rsidRDefault="00995481" w:rsidP="009B34F3">
      <w:pPr>
        <w:spacing w:after="120" w:line="276" w:lineRule="auto"/>
        <w:ind w:right="51" w:firstLine="708"/>
        <w:jc w:val="both"/>
        <w:rPr>
          <w:rFonts w:ascii="Arial" w:eastAsia="Calibri" w:hAnsi="Arial" w:cs="Arial"/>
          <w:sz w:val="22"/>
          <w:szCs w:val="22"/>
          <w:lang w:val="es-MX"/>
        </w:rPr>
      </w:pPr>
      <w:r w:rsidRPr="00EE03AE">
        <w:rPr>
          <w:rFonts w:ascii="Arial" w:eastAsia="Calibri" w:hAnsi="Arial" w:cs="Arial"/>
          <w:sz w:val="22"/>
          <w:szCs w:val="22"/>
          <w:lang w:val="es-MX"/>
        </w:rPr>
        <w:lastRenderedPageBreak/>
        <w:t xml:space="preserve">Sin perjuicio de la implementación de este cambio, el método para determinar los requisitos de experiencia estandarizados a partir de la Matriz 1 sigue siendo el mismo que en las versiones anteriores, con la salvedad de que ahora, antes de acotar el requisito exigible, la entidad debe determinar y justificar si el proyecto es de media-baja o alta complejidad técnica y en función de ello aplicar la matriz correspondiente. En ese orden, la entidad deberá establecer si aplica la </w:t>
      </w:r>
      <w:r w:rsidR="00B949BF" w:rsidRPr="00EE03AE">
        <w:rPr>
          <w:rFonts w:ascii="Arial" w:eastAsia="Calibri" w:hAnsi="Arial" w:cs="Arial"/>
          <w:sz w:val="22"/>
          <w:szCs w:val="22"/>
          <w:lang w:val="es-MX"/>
        </w:rPr>
        <w:t>M</w:t>
      </w:r>
      <w:r w:rsidRPr="00EE03AE">
        <w:rPr>
          <w:rFonts w:ascii="Arial" w:eastAsia="Calibri" w:hAnsi="Arial" w:cs="Arial"/>
          <w:sz w:val="22"/>
          <w:szCs w:val="22"/>
          <w:lang w:val="es-MX"/>
        </w:rPr>
        <w:t xml:space="preserve">atriz 1 de proyectos de complejidad media-baja o la de proyectos de complejidad alta, para luego subsumir el objeto contractual en alguno de los tipos de obra y actividades incluidos en la matriz, estableciendo los requisitos de experiencia exigibles según la cantidad de SMMLV del presupuesto oficial del respectivo proceso de contratación. </w:t>
      </w:r>
    </w:p>
    <w:p w14:paraId="2CF546CA" w14:textId="77777777" w:rsidR="00995481" w:rsidRPr="00EE03AE" w:rsidRDefault="00995481" w:rsidP="009B34F3">
      <w:pPr>
        <w:spacing w:after="120" w:line="276" w:lineRule="auto"/>
        <w:ind w:firstLine="708"/>
        <w:jc w:val="both"/>
        <w:rPr>
          <w:rFonts w:ascii="Arial" w:eastAsia="Calibri" w:hAnsi="Arial" w:cs="Arial"/>
          <w:sz w:val="22"/>
          <w:szCs w:val="22"/>
          <w:lang w:val="es-MX"/>
        </w:rPr>
      </w:pPr>
      <w:r w:rsidRPr="00EE03AE">
        <w:rPr>
          <w:rFonts w:ascii="Arial" w:eastAsia="Calibri" w:hAnsi="Arial" w:cs="Arial"/>
          <w:sz w:val="22"/>
          <w:szCs w:val="22"/>
          <w:lang w:val="es-MX"/>
        </w:rPr>
        <w:t>De esta manera, la entidad estatal que adelanta un proceso de contratación de licitación de obra pública de infraestructura de transporte debe definir la experiencia exigible teniendo en cuenta las condiciones fijadas en la Matriz 1, de acuerdo con los siguientes pasos:</w:t>
      </w:r>
    </w:p>
    <w:p w14:paraId="58A96C8D" w14:textId="77777777" w:rsidR="00995481" w:rsidRPr="00EE03AE" w:rsidRDefault="00995481" w:rsidP="009B34F3">
      <w:pPr>
        <w:spacing w:after="120" w:line="276" w:lineRule="auto"/>
        <w:ind w:firstLine="708"/>
        <w:jc w:val="both"/>
        <w:rPr>
          <w:rFonts w:ascii="Arial" w:eastAsia="Calibri" w:hAnsi="Arial" w:cs="Arial"/>
          <w:sz w:val="22"/>
          <w:szCs w:val="22"/>
          <w:lang w:val="es-MX"/>
        </w:rPr>
      </w:pPr>
      <w:r w:rsidRPr="00EE03AE">
        <w:rPr>
          <w:rFonts w:ascii="Arial" w:eastAsia="Calibri" w:hAnsi="Arial" w:cs="Arial"/>
          <w:sz w:val="22"/>
          <w:szCs w:val="22"/>
          <w:lang w:val="es-MX"/>
        </w:rPr>
        <w:t>a) Establecer si se trata de un proyecto de complejidad baja-media o alta, y en función de ello establecer la Matriz 1 aplicable.</w:t>
      </w:r>
    </w:p>
    <w:p w14:paraId="76B64DC3" w14:textId="77777777" w:rsidR="00995481" w:rsidRPr="00EE03AE" w:rsidRDefault="00995481" w:rsidP="009B34F3">
      <w:pPr>
        <w:spacing w:after="120" w:line="276" w:lineRule="auto"/>
        <w:ind w:firstLine="708"/>
        <w:jc w:val="both"/>
        <w:rPr>
          <w:rFonts w:ascii="Arial" w:eastAsia="Calibri" w:hAnsi="Arial" w:cs="Arial"/>
          <w:sz w:val="22"/>
          <w:szCs w:val="22"/>
          <w:lang w:val="es-MX"/>
        </w:rPr>
      </w:pPr>
      <w:r w:rsidRPr="00EE03AE">
        <w:rPr>
          <w:rFonts w:ascii="Arial" w:eastAsia="Calibri" w:hAnsi="Arial" w:cs="Arial"/>
          <w:sz w:val="22"/>
          <w:szCs w:val="22"/>
          <w:lang w:val="es-MX"/>
        </w:rPr>
        <w:t xml:space="preserve"> b) Identificada la respectiva Matriz 1, la entidad deberá determinar el tipo de infraestructura sobre el cual recae la obra a ejecutar. Al respecto esta matriz contiene ocho (8) secciones que corresponden a los tipos de infraestructura estandarizados.</w:t>
      </w:r>
    </w:p>
    <w:p w14:paraId="4AD22B4C" w14:textId="77777777" w:rsidR="00995481" w:rsidRPr="00EE03AE" w:rsidRDefault="00995481" w:rsidP="009B34F3">
      <w:pPr>
        <w:spacing w:after="120" w:line="276" w:lineRule="auto"/>
        <w:ind w:firstLine="708"/>
        <w:jc w:val="both"/>
        <w:rPr>
          <w:rFonts w:ascii="Arial" w:eastAsia="Calibri" w:hAnsi="Arial" w:cs="Arial"/>
          <w:sz w:val="22"/>
          <w:szCs w:val="22"/>
          <w:lang w:val="es-MX"/>
        </w:rPr>
      </w:pPr>
      <w:r w:rsidRPr="00EE03AE">
        <w:rPr>
          <w:rFonts w:ascii="Arial" w:eastAsia="Calibri" w:hAnsi="Arial" w:cs="Arial"/>
          <w:sz w:val="22"/>
          <w:szCs w:val="22"/>
          <w:lang w:val="es-MX"/>
        </w:rPr>
        <w:t xml:space="preserve">c) Definido el tipo de infraestructura, identificar la «ACTIVIDAD A CONTRATAR» acorde con la matriz 1. </w:t>
      </w:r>
    </w:p>
    <w:p w14:paraId="7BD3ED61" w14:textId="77777777" w:rsidR="00995481" w:rsidRPr="00EE03AE" w:rsidRDefault="00995481" w:rsidP="009B34F3">
      <w:pPr>
        <w:spacing w:after="120" w:line="276" w:lineRule="auto"/>
        <w:ind w:firstLine="708"/>
        <w:jc w:val="both"/>
        <w:rPr>
          <w:rFonts w:ascii="Arial" w:eastAsia="Calibri" w:hAnsi="Arial" w:cs="Arial"/>
          <w:sz w:val="22"/>
          <w:szCs w:val="22"/>
          <w:lang w:val="es-MX"/>
        </w:rPr>
      </w:pPr>
      <w:r w:rsidRPr="00EE03AE">
        <w:rPr>
          <w:rFonts w:ascii="Arial" w:eastAsia="Calibri" w:hAnsi="Arial" w:cs="Arial"/>
          <w:sz w:val="22"/>
          <w:szCs w:val="22"/>
          <w:lang w:val="es-MX"/>
        </w:rPr>
        <w:t xml:space="preserve">d) Identificar el rango en el cual se encuentra el proceso de contratación de acuerdo con el presupuesto oficial. </w:t>
      </w:r>
    </w:p>
    <w:p w14:paraId="0C469C3A" w14:textId="77777777" w:rsidR="00995481" w:rsidRPr="00EE03AE" w:rsidRDefault="00995481" w:rsidP="009B34F3">
      <w:pPr>
        <w:spacing w:after="120" w:line="276" w:lineRule="auto"/>
        <w:ind w:firstLine="709"/>
        <w:jc w:val="both"/>
        <w:rPr>
          <w:rFonts w:ascii="Arial" w:eastAsia="Calibri" w:hAnsi="Arial" w:cs="Arial"/>
          <w:sz w:val="22"/>
          <w:szCs w:val="22"/>
          <w:lang w:val="es-MX"/>
        </w:rPr>
      </w:pPr>
      <w:r w:rsidRPr="00EE03AE">
        <w:rPr>
          <w:rFonts w:ascii="Arial" w:eastAsia="Calibri" w:hAnsi="Arial" w:cs="Arial"/>
          <w:sz w:val="22"/>
          <w:szCs w:val="22"/>
          <w:lang w:val="es-MX"/>
        </w:rPr>
        <w:t xml:space="preserve">e) Identificar la «experiencia general» exigible acorde con la Matriz 1 teniendo en cuenta la actividad a contratar y el rango de la cuantía del Proceso de Contratación. </w:t>
      </w:r>
    </w:p>
    <w:p w14:paraId="0BE40576" w14:textId="77777777" w:rsidR="00995481" w:rsidRPr="00EE03AE" w:rsidRDefault="00995481" w:rsidP="009B34F3">
      <w:pPr>
        <w:spacing w:after="120" w:line="276" w:lineRule="auto"/>
        <w:ind w:firstLine="709"/>
        <w:jc w:val="both"/>
        <w:rPr>
          <w:rFonts w:ascii="Arial" w:eastAsia="Calibri" w:hAnsi="Arial" w:cs="Arial"/>
          <w:sz w:val="22"/>
          <w:szCs w:val="22"/>
          <w:lang w:val="es-MX"/>
        </w:rPr>
      </w:pPr>
      <w:r w:rsidRPr="00EE03AE">
        <w:rPr>
          <w:rFonts w:ascii="Arial" w:eastAsia="Calibri" w:hAnsi="Arial" w:cs="Arial"/>
          <w:sz w:val="22"/>
          <w:szCs w:val="22"/>
          <w:lang w:val="es-MX"/>
        </w:rPr>
        <w:t xml:space="preserve">f) Identificar la «experiencia específica» exigible y el porcentaje de dimensionamiento que se puede solicitar acorde con la longitud a ejecutar, de acuerdo con la cuantía del proceso de contratación. Cuando en la «experiencia específica» se indiquen las siglas </w:t>
      </w:r>
      <w:r w:rsidRPr="00EE03AE">
        <w:rPr>
          <w:rFonts w:ascii="Arial" w:eastAsia="Calibri" w:hAnsi="Arial" w:cs="Arial"/>
          <w:i/>
          <w:iCs/>
          <w:sz w:val="22"/>
          <w:szCs w:val="22"/>
          <w:lang w:val="es-MX"/>
        </w:rPr>
        <w:t>N.A</w:t>
      </w:r>
      <w:r w:rsidRPr="00EE03AE">
        <w:rPr>
          <w:rFonts w:ascii="Arial" w:eastAsia="Calibri" w:hAnsi="Arial" w:cs="Arial"/>
          <w:sz w:val="22"/>
          <w:szCs w:val="22"/>
          <w:lang w:val="es-MX"/>
        </w:rPr>
        <w:t xml:space="preserve"> significa que la entidad estatal no puede exigir a los proponentes experiencia específica en los procesos de contratación. </w:t>
      </w:r>
    </w:p>
    <w:p w14:paraId="45B22FAC" w14:textId="77777777" w:rsidR="00995481" w:rsidRPr="00EE03AE" w:rsidRDefault="00995481" w:rsidP="009B34F3">
      <w:pPr>
        <w:spacing w:after="120" w:line="276" w:lineRule="auto"/>
        <w:ind w:firstLine="709"/>
        <w:jc w:val="both"/>
        <w:rPr>
          <w:rFonts w:ascii="Arial" w:eastAsia="Calibri" w:hAnsi="Arial" w:cs="Arial"/>
          <w:sz w:val="22"/>
          <w:szCs w:val="22"/>
          <w:lang w:val="es-MX"/>
        </w:rPr>
      </w:pPr>
      <w:r w:rsidRPr="00EE03AE">
        <w:rPr>
          <w:rFonts w:ascii="Arial" w:eastAsia="Calibri" w:hAnsi="Arial" w:cs="Arial"/>
          <w:sz w:val="22"/>
          <w:szCs w:val="22"/>
          <w:lang w:val="es-MX"/>
        </w:rPr>
        <w:t>g) Establecidos los requisitos de experiencia exigibles, la entidad deberá consignarlos en los apartados grises entre corchetes del literal A del numeral 3.5.2 del documento base, para que los oferentes puedan conocer los requisitos de experiencia general y específica exigidos por la entidad.</w:t>
      </w:r>
    </w:p>
    <w:p w14:paraId="5FDBAEFA" w14:textId="77777777" w:rsidR="00995481" w:rsidRPr="00EE03AE" w:rsidRDefault="00995481" w:rsidP="00EE03AE">
      <w:pPr>
        <w:spacing w:after="120" w:line="276" w:lineRule="auto"/>
        <w:ind w:firstLine="709"/>
        <w:jc w:val="both"/>
        <w:rPr>
          <w:rFonts w:ascii="Arial" w:eastAsia="Calibri" w:hAnsi="Arial" w:cs="Arial"/>
          <w:sz w:val="22"/>
          <w:szCs w:val="22"/>
          <w:lang w:val="es-MX"/>
        </w:rPr>
      </w:pPr>
      <w:r w:rsidRPr="00EE03AE">
        <w:rPr>
          <w:rFonts w:ascii="Arial" w:eastAsia="Calibri" w:hAnsi="Arial" w:cs="Arial"/>
          <w:sz w:val="22"/>
          <w:szCs w:val="22"/>
          <w:lang w:val="es-MX"/>
        </w:rPr>
        <w:t xml:space="preserve">Varios de los requisitos de experiencia general y específica contemplados en la Matriz 1 exigen que los contratos que se aporten para acreditarlos den cuenta de la ejecución de cierto porcentaje de dimensionamiento respecto del proyecto ofertado, o un porcentaje del presupuesto oficial del mismo. El dimensionamiento supone que la </w:t>
      </w:r>
      <w:r w:rsidRPr="00EE03AE">
        <w:rPr>
          <w:rFonts w:ascii="Arial" w:eastAsia="Calibri" w:hAnsi="Arial" w:cs="Arial"/>
          <w:sz w:val="22"/>
          <w:szCs w:val="22"/>
          <w:lang w:val="es-MX"/>
        </w:rPr>
        <w:lastRenderedPageBreak/>
        <w:t xml:space="preserve">experiencia a exigirse estará determinada por la longitud –u otra magnitud– que se pretende intervenir, de tal manera que a quienes estén interesados en participar se le exigirá, por ejemplo, acreditar experiencia específica en proyectos en donde hayan intervenido un porcentaje de dicha longitud establecida en kilómetros en la Matriz 1. De igual forma, cuando se exijan requisitos en función del porcentaje del presupuesto oficial, el valor de él o los contratos que se aporten deberán igualar o superar la equivalencia del porcentaje exigible expresado en SMMLV.  </w:t>
      </w:r>
    </w:p>
    <w:p w14:paraId="12AE12BB" w14:textId="65A4913C" w:rsidR="00DE4FD8" w:rsidRPr="00EE03AE" w:rsidRDefault="003A2E3D" w:rsidP="00EE03AE">
      <w:pPr>
        <w:spacing w:after="120" w:line="276" w:lineRule="auto"/>
        <w:ind w:firstLine="708"/>
        <w:jc w:val="both"/>
        <w:rPr>
          <w:rFonts w:ascii="Arial" w:hAnsi="Arial" w:cs="Arial"/>
          <w:bCs/>
          <w:color w:val="000000" w:themeColor="text1"/>
          <w:sz w:val="22"/>
          <w:szCs w:val="22"/>
        </w:rPr>
      </w:pPr>
      <w:r w:rsidRPr="00EE03AE">
        <w:rPr>
          <w:rFonts w:ascii="Arial" w:eastAsia="Calibri" w:hAnsi="Arial" w:cs="Arial"/>
          <w:sz w:val="22"/>
          <w:szCs w:val="22"/>
          <w:lang w:val="es-MX"/>
        </w:rPr>
        <w:t>Revisada la referida M</w:t>
      </w:r>
      <w:r w:rsidR="00DE4FD8" w:rsidRPr="00EE03AE">
        <w:rPr>
          <w:rFonts w:ascii="Arial" w:eastAsia="Calibri" w:hAnsi="Arial" w:cs="Arial"/>
          <w:sz w:val="22"/>
          <w:szCs w:val="22"/>
          <w:lang w:val="es-MX"/>
        </w:rPr>
        <w:t>atriz</w:t>
      </w:r>
      <w:r w:rsidRPr="00EE03AE">
        <w:rPr>
          <w:rFonts w:ascii="Arial" w:eastAsia="Calibri" w:hAnsi="Arial" w:cs="Arial"/>
          <w:sz w:val="22"/>
          <w:szCs w:val="22"/>
          <w:lang w:val="es-MX"/>
        </w:rPr>
        <w:t xml:space="preserve"> 1</w:t>
      </w:r>
      <w:r w:rsidR="00DE4FD8" w:rsidRPr="00EE03AE">
        <w:rPr>
          <w:rFonts w:ascii="Arial" w:eastAsia="Calibri" w:hAnsi="Arial" w:cs="Arial"/>
          <w:sz w:val="22"/>
          <w:szCs w:val="22"/>
          <w:lang w:val="es-MX"/>
        </w:rPr>
        <w:t xml:space="preserve"> para proyectos de alta complejidad </w:t>
      </w:r>
      <w:r w:rsidR="00CE00CD" w:rsidRPr="00EE03AE">
        <w:rPr>
          <w:rFonts w:ascii="Arial" w:eastAsia="Calibri" w:hAnsi="Arial" w:cs="Arial"/>
          <w:sz w:val="22"/>
          <w:szCs w:val="22"/>
          <w:lang w:val="es-MX"/>
        </w:rPr>
        <w:t xml:space="preserve">técnica </w:t>
      </w:r>
      <w:r w:rsidR="00677226" w:rsidRPr="00EE03AE">
        <w:rPr>
          <w:rFonts w:ascii="Arial" w:eastAsia="Calibri" w:hAnsi="Arial" w:cs="Arial"/>
          <w:sz w:val="22"/>
          <w:szCs w:val="22"/>
          <w:lang w:val="es-MX"/>
        </w:rPr>
        <w:t xml:space="preserve">de los Documentos Tipo – Versión 3 de licitación de obra pública de infraestructura de transporte, </w:t>
      </w:r>
      <w:r w:rsidR="0035613C" w:rsidRPr="00EE03AE">
        <w:rPr>
          <w:rFonts w:ascii="Arial" w:eastAsia="Calibri" w:hAnsi="Arial" w:cs="Arial"/>
          <w:sz w:val="22"/>
          <w:szCs w:val="22"/>
          <w:lang w:val="es-MX"/>
        </w:rPr>
        <w:t>se advierte que</w:t>
      </w:r>
      <w:r w:rsidR="00DE4FD8" w:rsidRPr="00EE03AE">
        <w:rPr>
          <w:rFonts w:ascii="Arial" w:eastAsia="Calibri" w:hAnsi="Arial" w:cs="Arial"/>
          <w:sz w:val="22"/>
          <w:szCs w:val="22"/>
          <w:lang w:val="es-MX"/>
        </w:rPr>
        <w:t xml:space="preserve"> </w:t>
      </w:r>
      <w:r w:rsidR="0035613C" w:rsidRPr="00EE03AE">
        <w:rPr>
          <w:rFonts w:ascii="Arial" w:eastAsia="Calibri" w:hAnsi="Arial" w:cs="Arial"/>
          <w:sz w:val="22"/>
          <w:szCs w:val="22"/>
          <w:lang w:val="es-MX"/>
        </w:rPr>
        <w:t>dentro</w:t>
      </w:r>
      <w:r w:rsidR="00DE4FD8" w:rsidRPr="00EE03AE">
        <w:rPr>
          <w:rFonts w:ascii="Arial" w:eastAsia="Calibri" w:hAnsi="Arial" w:cs="Arial"/>
          <w:sz w:val="22"/>
          <w:szCs w:val="22"/>
          <w:lang w:val="es-MX"/>
        </w:rPr>
        <w:t xml:space="preserve"> </w:t>
      </w:r>
      <w:r w:rsidR="0035613C" w:rsidRPr="00EE03AE">
        <w:rPr>
          <w:rFonts w:ascii="Arial" w:eastAsia="Calibri" w:hAnsi="Arial" w:cs="Arial"/>
          <w:sz w:val="22"/>
          <w:szCs w:val="22"/>
          <w:lang w:val="es-MX"/>
        </w:rPr>
        <w:t xml:space="preserve">del </w:t>
      </w:r>
      <w:r w:rsidR="00DE4FD8" w:rsidRPr="00EE03AE">
        <w:rPr>
          <w:rFonts w:ascii="Arial" w:eastAsia="Calibri" w:hAnsi="Arial" w:cs="Arial"/>
          <w:sz w:val="22"/>
          <w:szCs w:val="22"/>
          <w:lang w:val="es-MX"/>
        </w:rPr>
        <w:t>tipo de infraestructura</w:t>
      </w:r>
      <w:r w:rsidR="00CE00CD" w:rsidRPr="00EE03AE">
        <w:rPr>
          <w:rFonts w:ascii="Arial" w:eastAsia="Calibri" w:hAnsi="Arial" w:cs="Arial"/>
          <w:sz w:val="22"/>
          <w:szCs w:val="22"/>
          <w:lang w:val="es-MX"/>
        </w:rPr>
        <w:t xml:space="preserve"> </w:t>
      </w:r>
      <w:r w:rsidR="00CE00CD" w:rsidRPr="00EE03AE">
        <w:rPr>
          <w:rFonts w:ascii="Arial" w:eastAsia="Calibri" w:hAnsi="Arial" w:cs="Arial"/>
          <w:color w:val="000000"/>
          <w:sz w:val="22"/>
          <w:szCs w:val="22"/>
        </w:rPr>
        <w:t xml:space="preserve">«4. OBRAS EN </w:t>
      </w:r>
      <w:r w:rsidR="0035613C" w:rsidRPr="00EE03AE">
        <w:rPr>
          <w:rFonts w:ascii="Arial" w:eastAsia="Calibri" w:hAnsi="Arial" w:cs="Arial"/>
          <w:color w:val="000000"/>
          <w:sz w:val="22"/>
          <w:szCs w:val="22"/>
        </w:rPr>
        <w:t>VÍAS</w:t>
      </w:r>
      <w:r w:rsidR="00CE00CD" w:rsidRPr="00EE03AE">
        <w:rPr>
          <w:rFonts w:ascii="Arial" w:eastAsia="Calibri" w:hAnsi="Arial" w:cs="Arial"/>
          <w:color w:val="000000"/>
          <w:sz w:val="22"/>
          <w:szCs w:val="22"/>
        </w:rPr>
        <w:t xml:space="preserve"> PRIMARIAS O SECUNDARIAS O TERCIARIAS O URBANAS PARA ATENCIÓN, PREVENCIÓN O MITIGACIÓN DE EMERGENCIAS DIFERENTES A CONTRATACIÓN DIRECTA», </w:t>
      </w:r>
      <w:r w:rsidR="003A1F48" w:rsidRPr="00EE03AE">
        <w:rPr>
          <w:rFonts w:ascii="Arial" w:eastAsia="Calibri" w:hAnsi="Arial" w:cs="Arial"/>
          <w:sz w:val="22"/>
          <w:szCs w:val="22"/>
          <w:lang w:val="es-MX"/>
        </w:rPr>
        <w:t xml:space="preserve">se contemplan las siguientes </w:t>
      </w:r>
      <w:r w:rsidR="00DE4FD8" w:rsidRPr="00EE03AE">
        <w:rPr>
          <w:rFonts w:ascii="Arial" w:eastAsia="Calibri" w:hAnsi="Arial" w:cs="Arial"/>
          <w:sz w:val="22"/>
          <w:szCs w:val="22"/>
          <w:lang w:val="es-MX"/>
        </w:rPr>
        <w:t>actividades: «</w:t>
      </w:r>
      <w:r w:rsidR="00CE00CD" w:rsidRPr="00EE03AE">
        <w:rPr>
          <w:rFonts w:ascii="Arial" w:eastAsia="Calibri" w:hAnsi="Arial" w:cs="Arial"/>
          <w:sz w:val="22"/>
          <w:szCs w:val="22"/>
          <w:lang w:val="es-MX"/>
        </w:rPr>
        <w:t>4.1 Proyectos atención obras de emergencias mediante montaje o desmontaje puentes metálicos modulares</w:t>
      </w:r>
      <w:r w:rsidR="003A1F48" w:rsidRPr="00EE03AE">
        <w:rPr>
          <w:rFonts w:ascii="Arial" w:eastAsia="Calibri" w:hAnsi="Arial" w:cs="Arial"/>
          <w:sz w:val="22"/>
          <w:szCs w:val="22"/>
          <w:lang w:val="es-MX"/>
        </w:rPr>
        <w:t xml:space="preserve"> […]</w:t>
      </w:r>
      <w:r w:rsidR="00DE4FD8" w:rsidRPr="00EE03AE">
        <w:rPr>
          <w:rFonts w:ascii="Arial" w:eastAsia="Calibri" w:hAnsi="Arial" w:cs="Arial"/>
          <w:sz w:val="22"/>
          <w:szCs w:val="22"/>
          <w:lang w:val="es-MX"/>
        </w:rPr>
        <w:t xml:space="preserve"> «</w:t>
      </w:r>
      <w:r w:rsidR="00CE00CD" w:rsidRPr="00EE03AE">
        <w:rPr>
          <w:rFonts w:ascii="Arial" w:eastAsia="Calibri" w:hAnsi="Arial" w:cs="Arial"/>
          <w:sz w:val="22"/>
          <w:szCs w:val="22"/>
          <w:lang w:val="es-MX"/>
        </w:rPr>
        <w:t>4.2 Proyectos atención obras de emergencias mediante obras de estabilización de taludes o recuperación de banca</w:t>
      </w:r>
      <w:r w:rsidR="00DE4FD8" w:rsidRPr="00EE03AE">
        <w:rPr>
          <w:rFonts w:ascii="Arial" w:eastAsia="Calibri" w:hAnsi="Arial" w:cs="Arial"/>
          <w:sz w:val="22"/>
          <w:szCs w:val="22"/>
          <w:lang w:val="es-MX"/>
        </w:rPr>
        <w:t>»</w:t>
      </w:r>
      <w:r w:rsidR="003A1F48" w:rsidRPr="00EE03AE">
        <w:rPr>
          <w:rFonts w:ascii="Arial" w:eastAsia="Calibri" w:hAnsi="Arial" w:cs="Arial"/>
          <w:sz w:val="22"/>
          <w:szCs w:val="22"/>
          <w:lang w:val="es-MX"/>
        </w:rPr>
        <w:t xml:space="preserve"> […] </w:t>
      </w:r>
      <w:r w:rsidR="00CE00CD" w:rsidRPr="00EE03AE">
        <w:rPr>
          <w:rFonts w:ascii="Arial" w:eastAsia="Calibri" w:hAnsi="Arial" w:cs="Arial"/>
          <w:sz w:val="22"/>
          <w:szCs w:val="22"/>
          <w:lang w:val="es-MX"/>
        </w:rPr>
        <w:t>4.3 Proyectos atención obras de emergencias mediante obras de remoción de derrumbes</w:t>
      </w:r>
      <w:r w:rsidR="003A1F48" w:rsidRPr="00EE03AE">
        <w:rPr>
          <w:rFonts w:ascii="Arial" w:eastAsia="Calibri" w:hAnsi="Arial" w:cs="Arial"/>
          <w:sz w:val="22"/>
          <w:szCs w:val="22"/>
          <w:lang w:val="es-MX"/>
        </w:rPr>
        <w:t xml:space="preserve"> […]</w:t>
      </w:r>
      <w:r w:rsidR="00DE4FD8" w:rsidRPr="00EE03AE">
        <w:rPr>
          <w:rFonts w:ascii="Arial" w:eastAsia="Calibri" w:hAnsi="Arial" w:cs="Arial"/>
          <w:sz w:val="22"/>
          <w:szCs w:val="22"/>
          <w:lang w:val="es-MX"/>
        </w:rPr>
        <w:t xml:space="preserve"> </w:t>
      </w:r>
      <w:r w:rsidR="00CE00CD" w:rsidRPr="00EE03AE">
        <w:rPr>
          <w:rFonts w:ascii="Arial" w:eastAsia="Calibri" w:hAnsi="Arial" w:cs="Arial"/>
          <w:sz w:val="22"/>
          <w:szCs w:val="22"/>
          <w:lang w:val="es-MX"/>
        </w:rPr>
        <w:t>4.4 Proyectos atención obras de emergencias mediante obras hidráulicas</w:t>
      </w:r>
      <w:r w:rsidR="00B44825" w:rsidRPr="00EE03AE">
        <w:rPr>
          <w:rFonts w:ascii="Arial" w:eastAsia="Calibri" w:hAnsi="Arial" w:cs="Arial"/>
          <w:sz w:val="22"/>
          <w:szCs w:val="22"/>
          <w:lang w:val="es-MX"/>
        </w:rPr>
        <w:t xml:space="preserve"> […]</w:t>
      </w:r>
      <w:r w:rsidR="00CE00CD" w:rsidRPr="00EE03AE">
        <w:rPr>
          <w:rFonts w:ascii="Arial" w:eastAsia="Calibri" w:hAnsi="Arial" w:cs="Arial"/>
          <w:sz w:val="22"/>
          <w:szCs w:val="22"/>
          <w:lang w:val="es-MX"/>
        </w:rPr>
        <w:t xml:space="preserve"> 4.5 Obras de emergencias para la atención de sitios críticos en puentes vehiculares o férreos».</w:t>
      </w:r>
    </w:p>
    <w:p w14:paraId="354C249D" w14:textId="2D860446" w:rsidR="00DE4FD8" w:rsidRPr="00EE03AE" w:rsidRDefault="00CE00CD" w:rsidP="009B34F3">
      <w:pPr>
        <w:spacing w:after="120" w:line="276" w:lineRule="auto"/>
        <w:ind w:firstLine="708"/>
        <w:jc w:val="both"/>
        <w:rPr>
          <w:rFonts w:ascii="Arial" w:eastAsia="Calibri" w:hAnsi="Arial" w:cs="Arial"/>
          <w:color w:val="000000"/>
          <w:sz w:val="22"/>
          <w:szCs w:val="22"/>
        </w:rPr>
      </w:pPr>
      <w:r w:rsidRPr="00EE03AE">
        <w:rPr>
          <w:rFonts w:ascii="Arial" w:eastAsia="Calibri" w:hAnsi="Arial" w:cs="Arial"/>
          <w:bCs/>
          <w:color w:val="000000"/>
          <w:sz w:val="22"/>
          <w:szCs w:val="22"/>
          <w:lang w:eastAsia="en-GB"/>
        </w:rPr>
        <w:t xml:space="preserve">Para el caso de la actividad relacionada con </w:t>
      </w:r>
      <w:r w:rsidRPr="00EE03AE">
        <w:rPr>
          <w:rFonts w:ascii="Arial" w:eastAsia="Calibri" w:hAnsi="Arial" w:cs="Arial"/>
          <w:color w:val="000000"/>
          <w:sz w:val="22"/>
          <w:szCs w:val="22"/>
        </w:rPr>
        <w:t>el numeral</w:t>
      </w:r>
      <w:r w:rsidR="00BA258A" w:rsidRPr="00EE03AE">
        <w:rPr>
          <w:rFonts w:ascii="Arial" w:eastAsia="Calibri" w:hAnsi="Arial" w:cs="Arial"/>
          <w:color w:val="000000"/>
          <w:sz w:val="22"/>
          <w:szCs w:val="22"/>
        </w:rPr>
        <w:t xml:space="preserve"> </w:t>
      </w:r>
      <w:r w:rsidRPr="00EE03AE">
        <w:rPr>
          <w:rFonts w:ascii="Arial" w:eastAsia="Calibri" w:hAnsi="Arial" w:cs="Arial"/>
          <w:color w:val="000000"/>
          <w:sz w:val="22"/>
          <w:szCs w:val="22"/>
        </w:rPr>
        <w:t xml:space="preserve">«4.2 PROYECTOS </w:t>
      </w:r>
      <w:r w:rsidR="009B34F3" w:rsidRPr="00EE03AE">
        <w:rPr>
          <w:rFonts w:ascii="Arial" w:eastAsia="Calibri" w:hAnsi="Arial" w:cs="Arial"/>
          <w:color w:val="000000"/>
          <w:sz w:val="22"/>
          <w:szCs w:val="22"/>
        </w:rPr>
        <w:t>ATENCIÓN</w:t>
      </w:r>
      <w:r w:rsidRPr="00EE03AE">
        <w:rPr>
          <w:rFonts w:ascii="Arial" w:eastAsia="Calibri" w:hAnsi="Arial" w:cs="Arial"/>
          <w:color w:val="000000"/>
          <w:sz w:val="22"/>
          <w:szCs w:val="22"/>
        </w:rPr>
        <w:t xml:space="preserve"> OBRAS DE EMERGENCIAS MEDIANTE OBRAS DE </w:t>
      </w:r>
      <w:r w:rsidR="009B34F3" w:rsidRPr="00EE03AE">
        <w:rPr>
          <w:rFonts w:ascii="Arial" w:eastAsia="Calibri" w:hAnsi="Arial" w:cs="Arial"/>
          <w:color w:val="000000"/>
          <w:sz w:val="22"/>
          <w:szCs w:val="22"/>
        </w:rPr>
        <w:t>ESTABILIZACIÓN</w:t>
      </w:r>
      <w:r w:rsidRPr="00EE03AE">
        <w:rPr>
          <w:rFonts w:ascii="Arial" w:eastAsia="Calibri" w:hAnsi="Arial" w:cs="Arial"/>
          <w:color w:val="000000"/>
          <w:sz w:val="22"/>
          <w:szCs w:val="22"/>
        </w:rPr>
        <w:t xml:space="preserve"> DE TALUDES O </w:t>
      </w:r>
      <w:r w:rsidR="009B34F3" w:rsidRPr="00EE03AE">
        <w:rPr>
          <w:rFonts w:ascii="Arial" w:eastAsia="Calibri" w:hAnsi="Arial" w:cs="Arial"/>
          <w:color w:val="000000"/>
          <w:sz w:val="22"/>
          <w:szCs w:val="22"/>
        </w:rPr>
        <w:t>RECUPERACIÓN</w:t>
      </w:r>
      <w:r w:rsidRPr="00EE03AE">
        <w:rPr>
          <w:rFonts w:ascii="Arial" w:eastAsia="Calibri" w:hAnsi="Arial" w:cs="Arial"/>
          <w:color w:val="000000"/>
          <w:sz w:val="22"/>
          <w:szCs w:val="22"/>
        </w:rPr>
        <w:t xml:space="preserve"> DE BANCA», de </w:t>
      </w:r>
      <w:r w:rsidR="00DE4FD8" w:rsidRPr="00EE03AE">
        <w:rPr>
          <w:rFonts w:ascii="Arial" w:eastAsia="Calibri" w:hAnsi="Arial" w:cs="Arial"/>
          <w:color w:val="000000"/>
          <w:sz w:val="22"/>
          <w:szCs w:val="22"/>
        </w:rPr>
        <w:t xml:space="preserve">acuerdo con la «Matriz 1 – Experiencia», la experiencia </w:t>
      </w:r>
      <w:r w:rsidRPr="00EE03AE">
        <w:rPr>
          <w:rFonts w:ascii="Arial" w:eastAsia="Calibri" w:hAnsi="Arial" w:cs="Arial"/>
          <w:color w:val="000000"/>
          <w:sz w:val="22"/>
          <w:szCs w:val="22"/>
        </w:rPr>
        <w:t>general que se debe solicitar</w:t>
      </w:r>
      <w:r w:rsidR="00DE4FD8" w:rsidRPr="00EE03AE">
        <w:rPr>
          <w:rFonts w:ascii="Arial" w:eastAsia="Calibri" w:hAnsi="Arial" w:cs="Arial"/>
          <w:color w:val="000000"/>
          <w:sz w:val="22"/>
          <w:szCs w:val="22"/>
        </w:rPr>
        <w:t xml:space="preserve"> es «</w:t>
      </w:r>
      <w:r w:rsidR="009B34F3" w:rsidRPr="00EE03AE">
        <w:rPr>
          <w:rFonts w:ascii="Arial" w:eastAsia="Calibri" w:hAnsi="Arial" w:cs="Arial"/>
          <w:color w:val="000000"/>
          <w:sz w:val="22"/>
          <w:szCs w:val="22"/>
        </w:rPr>
        <w:t>CONSTRUCCIÓN</w:t>
      </w:r>
      <w:r w:rsidR="00DE4FD8" w:rsidRPr="00EE03AE">
        <w:rPr>
          <w:rFonts w:ascii="Arial" w:eastAsia="Calibri" w:hAnsi="Arial" w:cs="Arial"/>
          <w:color w:val="000000"/>
          <w:sz w:val="22"/>
          <w:szCs w:val="22"/>
        </w:rPr>
        <w:t xml:space="preserve"> O MEJORAMIENTO O MANTENIMIENTO O REHABILITACIÓN DE OBRAS DE </w:t>
      </w:r>
      <w:r w:rsidR="009B34F3" w:rsidRPr="00EE03AE">
        <w:rPr>
          <w:rFonts w:ascii="Arial" w:eastAsia="Calibri" w:hAnsi="Arial" w:cs="Arial"/>
          <w:color w:val="000000"/>
          <w:sz w:val="22"/>
          <w:szCs w:val="22"/>
        </w:rPr>
        <w:t>ESTABILIZACIÓN</w:t>
      </w:r>
      <w:r w:rsidR="00DE4FD8" w:rsidRPr="00EE03AE">
        <w:rPr>
          <w:rFonts w:ascii="Arial" w:eastAsia="Calibri" w:hAnsi="Arial" w:cs="Arial"/>
          <w:color w:val="000000"/>
          <w:sz w:val="22"/>
          <w:szCs w:val="22"/>
        </w:rPr>
        <w:t xml:space="preserve"> DE TALUDES O </w:t>
      </w:r>
      <w:r w:rsidR="009B34F3" w:rsidRPr="00EE03AE">
        <w:rPr>
          <w:rFonts w:ascii="Arial" w:eastAsia="Calibri" w:hAnsi="Arial" w:cs="Arial"/>
          <w:color w:val="000000"/>
          <w:sz w:val="22"/>
          <w:szCs w:val="22"/>
        </w:rPr>
        <w:t>RECUPERACIÓN</w:t>
      </w:r>
      <w:r w:rsidR="00DE4FD8" w:rsidRPr="00EE03AE">
        <w:rPr>
          <w:rFonts w:ascii="Arial" w:eastAsia="Calibri" w:hAnsi="Arial" w:cs="Arial"/>
          <w:color w:val="000000"/>
          <w:sz w:val="22"/>
          <w:szCs w:val="22"/>
        </w:rPr>
        <w:t xml:space="preserve"> DE BANCA </w:t>
      </w:r>
      <w:r w:rsidR="00DE4FD8" w:rsidRPr="00EE03AE">
        <w:rPr>
          <w:rFonts w:ascii="Arial" w:eastAsia="Calibri" w:hAnsi="Arial" w:cs="Arial"/>
          <w:bCs/>
          <w:i/>
          <w:iCs/>
          <w:color w:val="000000"/>
          <w:sz w:val="22"/>
          <w:szCs w:val="22"/>
          <w:u w:val="single"/>
        </w:rPr>
        <w:t>y</w:t>
      </w:r>
      <w:r w:rsidR="00DE4FD8" w:rsidRPr="00EE03AE">
        <w:rPr>
          <w:rFonts w:ascii="Arial" w:eastAsia="Calibri" w:hAnsi="Arial" w:cs="Arial"/>
          <w:color w:val="000000"/>
          <w:sz w:val="22"/>
          <w:szCs w:val="22"/>
        </w:rPr>
        <w:t xml:space="preserve"> </w:t>
      </w:r>
      <w:r w:rsidR="009B34F3" w:rsidRPr="00EE03AE">
        <w:rPr>
          <w:rFonts w:ascii="Arial" w:eastAsia="Calibri" w:hAnsi="Arial" w:cs="Arial"/>
          <w:color w:val="000000"/>
          <w:sz w:val="22"/>
          <w:szCs w:val="22"/>
        </w:rPr>
        <w:t>ATENCIÓN</w:t>
      </w:r>
      <w:r w:rsidR="00DE4FD8" w:rsidRPr="00EE03AE">
        <w:rPr>
          <w:rFonts w:ascii="Arial" w:eastAsia="Calibri" w:hAnsi="Arial" w:cs="Arial"/>
          <w:color w:val="000000"/>
          <w:sz w:val="22"/>
          <w:szCs w:val="22"/>
        </w:rPr>
        <w:t xml:space="preserve"> OBRAS DE EMERGENCIAS MEDIANTE LA </w:t>
      </w:r>
      <w:r w:rsidR="009B34F3" w:rsidRPr="00EE03AE">
        <w:rPr>
          <w:rFonts w:ascii="Arial" w:eastAsia="Calibri" w:hAnsi="Arial" w:cs="Arial"/>
          <w:color w:val="000000"/>
          <w:sz w:val="22"/>
          <w:szCs w:val="22"/>
        </w:rPr>
        <w:t>CONSTRUCCIÓN</w:t>
      </w:r>
      <w:r w:rsidR="00DE4FD8" w:rsidRPr="00EE03AE">
        <w:rPr>
          <w:rFonts w:ascii="Arial" w:eastAsia="Calibri" w:hAnsi="Arial" w:cs="Arial"/>
          <w:color w:val="000000"/>
          <w:sz w:val="22"/>
          <w:szCs w:val="22"/>
        </w:rPr>
        <w:t xml:space="preserve"> DE OBRAS DE </w:t>
      </w:r>
      <w:r w:rsidR="009B34F3" w:rsidRPr="00EE03AE">
        <w:rPr>
          <w:rFonts w:ascii="Arial" w:eastAsia="Calibri" w:hAnsi="Arial" w:cs="Arial"/>
          <w:color w:val="000000"/>
          <w:sz w:val="22"/>
          <w:szCs w:val="22"/>
        </w:rPr>
        <w:t>ESTABILIZACIÓN</w:t>
      </w:r>
      <w:r w:rsidR="00DE4FD8" w:rsidRPr="00EE03AE">
        <w:rPr>
          <w:rFonts w:ascii="Arial" w:eastAsia="Calibri" w:hAnsi="Arial" w:cs="Arial"/>
          <w:color w:val="000000"/>
          <w:sz w:val="22"/>
          <w:szCs w:val="22"/>
        </w:rPr>
        <w:t xml:space="preserve"> DE TALUDES O </w:t>
      </w:r>
      <w:r w:rsidR="009B34F3" w:rsidRPr="00EE03AE">
        <w:rPr>
          <w:rFonts w:ascii="Arial" w:eastAsia="Calibri" w:hAnsi="Arial" w:cs="Arial"/>
          <w:color w:val="000000"/>
          <w:sz w:val="22"/>
          <w:szCs w:val="22"/>
        </w:rPr>
        <w:t>RECUPERACIÓN</w:t>
      </w:r>
      <w:r w:rsidR="00DE4FD8" w:rsidRPr="00EE03AE">
        <w:rPr>
          <w:rFonts w:ascii="Arial" w:eastAsia="Calibri" w:hAnsi="Arial" w:cs="Arial"/>
          <w:color w:val="000000"/>
          <w:sz w:val="22"/>
          <w:szCs w:val="22"/>
        </w:rPr>
        <w:t xml:space="preserve"> DE BANCA»</w:t>
      </w:r>
      <w:r w:rsidR="00DB299B" w:rsidRPr="00EE03AE">
        <w:rPr>
          <w:rFonts w:ascii="Arial" w:eastAsia="Calibri" w:hAnsi="Arial" w:cs="Arial"/>
          <w:color w:val="000000"/>
          <w:sz w:val="22"/>
          <w:szCs w:val="22"/>
        </w:rPr>
        <w:t>[Énfasis fuera de texto]</w:t>
      </w:r>
      <w:r w:rsidR="00DE4FD8" w:rsidRPr="00EE03AE">
        <w:rPr>
          <w:rFonts w:ascii="Arial" w:eastAsia="Calibri" w:hAnsi="Arial" w:cs="Arial"/>
          <w:color w:val="000000"/>
          <w:sz w:val="22"/>
          <w:szCs w:val="22"/>
        </w:rPr>
        <w:t>.</w:t>
      </w:r>
      <w:r w:rsidRPr="00EE03AE">
        <w:rPr>
          <w:rFonts w:ascii="Arial" w:eastAsia="Calibri" w:hAnsi="Arial" w:cs="Arial"/>
          <w:color w:val="000000"/>
          <w:sz w:val="22"/>
          <w:szCs w:val="22"/>
        </w:rPr>
        <w:t xml:space="preserve"> </w:t>
      </w:r>
    </w:p>
    <w:p w14:paraId="102EC988" w14:textId="060D7D65" w:rsidR="00C9629E" w:rsidRPr="00EE03AE" w:rsidRDefault="00C9629E" w:rsidP="00C9629E">
      <w:pPr>
        <w:spacing w:after="120" w:line="276" w:lineRule="auto"/>
        <w:ind w:firstLine="709"/>
        <w:jc w:val="both"/>
        <w:rPr>
          <w:rFonts w:ascii="Arial" w:eastAsia="Calibri" w:hAnsi="Arial" w:cs="Arial"/>
          <w:color w:val="000000" w:themeColor="text1"/>
          <w:sz w:val="22"/>
        </w:rPr>
      </w:pPr>
      <w:r w:rsidRPr="00EE03AE">
        <w:rPr>
          <w:rFonts w:ascii="Arial" w:eastAsia="Calibri" w:hAnsi="Arial" w:cs="Arial"/>
          <w:color w:val="000000" w:themeColor="text1"/>
          <w:sz w:val="22"/>
        </w:rPr>
        <w:t xml:space="preserve">La experiencia específica depende de la cuantía del proceso de contratación. Para contratos de menos de 100 SMMLV o entre 100 a 1.000 SMMLV, la entidad deberá exigir que por lo menos un contrato para acreditar la experiencia general corresponda a «LA CONSTRUCCIÓN DE OBRAS DE ESTABILIZACIÓN DE TALUDES O RECUPERACIÓN DE BANCA» cuyo valor sea como mínimo al 70% del presupuesto oficial. Entre 1.001 y 27.000 SMMLV, la entidad deberá exigir por lo menos un contrato cuyo objeto corresponda al mencionado anteriormente cuyo valor sea como mínimo el 60% del presupuesto oficial. Finalmente, cuando es mayor a 27.001 SMMLV, la entidad deberá exigir que por lo menos uno de los contratos válidos aportados acredite «LA CONSTRUCCIÓN DE OBRAS DE ESTABILIZACIÓN DE TALUDES O RECUPERACIÓN DE BANCA» cuyo valor sea como mínimo al 50% del presupuesto oficial. </w:t>
      </w:r>
    </w:p>
    <w:p w14:paraId="79AB312C" w14:textId="6901FCEC" w:rsidR="00BA258A" w:rsidRPr="00EE03AE" w:rsidRDefault="00A733C0" w:rsidP="00EE03AE">
      <w:pPr>
        <w:spacing w:after="120" w:line="276" w:lineRule="auto"/>
        <w:ind w:firstLine="709"/>
        <w:jc w:val="both"/>
        <w:rPr>
          <w:rFonts w:ascii="Arial" w:hAnsi="Arial" w:cs="Arial"/>
          <w:bCs/>
          <w:color w:val="000000" w:themeColor="text1"/>
          <w:sz w:val="22"/>
          <w:szCs w:val="22"/>
        </w:rPr>
      </w:pPr>
      <w:r w:rsidRPr="00EE03AE">
        <w:rPr>
          <w:rFonts w:ascii="Arial" w:hAnsi="Arial" w:cs="Arial"/>
          <w:bCs/>
          <w:color w:val="000000" w:themeColor="text1"/>
          <w:sz w:val="22"/>
          <w:szCs w:val="22"/>
        </w:rPr>
        <w:t>Ahora bien, su consulta pregunta sobre el sentido en el que debe ser entendido e</w:t>
      </w:r>
      <w:r w:rsidR="006A00FD" w:rsidRPr="00EE03AE">
        <w:rPr>
          <w:rFonts w:ascii="Arial" w:hAnsi="Arial" w:cs="Arial"/>
          <w:bCs/>
          <w:color w:val="000000" w:themeColor="text1"/>
          <w:sz w:val="22"/>
          <w:szCs w:val="22"/>
        </w:rPr>
        <w:t>l</w:t>
      </w:r>
      <w:r w:rsidRPr="00EE03AE">
        <w:rPr>
          <w:rFonts w:ascii="Arial" w:hAnsi="Arial" w:cs="Arial"/>
          <w:bCs/>
          <w:color w:val="000000" w:themeColor="text1"/>
          <w:sz w:val="22"/>
          <w:szCs w:val="22"/>
        </w:rPr>
        <w:t xml:space="preserve"> requisito de experiencia general, en consideración a las múltiples actividades a las que se </w:t>
      </w:r>
      <w:r w:rsidRPr="00EE03AE">
        <w:rPr>
          <w:rFonts w:ascii="Arial" w:hAnsi="Arial" w:cs="Arial"/>
          <w:bCs/>
          <w:color w:val="000000" w:themeColor="text1"/>
          <w:sz w:val="22"/>
          <w:szCs w:val="22"/>
        </w:rPr>
        <w:lastRenderedPageBreak/>
        <w:t xml:space="preserve">refiere el texto </w:t>
      </w:r>
      <w:r w:rsidR="00983B34" w:rsidRPr="00EE03AE">
        <w:rPr>
          <w:rFonts w:ascii="Arial" w:hAnsi="Arial" w:cs="Arial"/>
          <w:bCs/>
          <w:color w:val="000000" w:themeColor="text1"/>
          <w:sz w:val="22"/>
          <w:szCs w:val="22"/>
        </w:rPr>
        <w:t xml:space="preserve">incluido en </w:t>
      </w:r>
      <w:r w:rsidR="00BF2CDD" w:rsidRPr="00EE03AE">
        <w:rPr>
          <w:rFonts w:ascii="Arial" w:hAnsi="Arial" w:cs="Arial"/>
          <w:bCs/>
          <w:color w:val="000000" w:themeColor="text1"/>
          <w:sz w:val="22"/>
          <w:szCs w:val="22"/>
        </w:rPr>
        <w:t xml:space="preserve">la Matriz 1. </w:t>
      </w:r>
      <w:r w:rsidR="00A540DC" w:rsidRPr="00EE03AE">
        <w:rPr>
          <w:rFonts w:ascii="Arial" w:hAnsi="Arial" w:cs="Arial"/>
          <w:bCs/>
          <w:color w:val="000000" w:themeColor="text1"/>
          <w:sz w:val="22"/>
          <w:szCs w:val="22"/>
        </w:rPr>
        <w:t xml:space="preserve">Particularmente, usted </w:t>
      </w:r>
      <w:r w:rsidR="00DB299B" w:rsidRPr="00EE03AE">
        <w:rPr>
          <w:rFonts w:ascii="Arial" w:hAnsi="Arial" w:cs="Arial"/>
          <w:bCs/>
          <w:color w:val="000000" w:themeColor="text1"/>
          <w:sz w:val="22"/>
          <w:szCs w:val="22"/>
        </w:rPr>
        <w:t>indaga en torno a la función que cumple el conector «y»</w:t>
      </w:r>
      <w:r w:rsidR="00027136" w:rsidRPr="00EE03AE">
        <w:rPr>
          <w:rFonts w:ascii="Arial" w:hAnsi="Arial" w:cs="Arial"/>
          <w:bCs/>
          <w:color w:val="000000" w:themeColor="text1"/>
          <w:sz w:val="22"/>
          <w:szCs w:val="22"/>
        </w:rPr>
        <w:t xml:space="preserve">, en la medida </w:t>
      </w:r>
      <w:r w:rsidR="00AB44DD" w:rsidRPr="00EE03AE">
        <w:rPr>
          <w:rFonts w:ascii="Arial" w:hAnsi="Arial" w:cs="Arial"/>
          <w:bCs/>
          <w:color w:val="000000" w:themeColor="text1"/>
          <w:sz w:val="22"/>
          <w:szCs w:val="22"/>
        </w:rPr>
        <w:t>es</w:t>
      </w:r>
      <w:r w:rsidR="00027136" w:rsidRPr="00EE03AE">
        <w:rPr>
          <w:rFonts w:ascii="Arial" w:hAnsi="Arial" w:cs="Arial"/>
          <w:bCs/>
          <w:color w:val="000000" w:themeColor="text1"/>
          <w:sz w:val="22"/>
          <w:szCs w:val="22"/>
        </w:rPr>
        <w:t xml:space="preserve"> </w:t>
      </w:r>
      <w:r w:rsidR="00AB44DD" w:rsidRPr="00EE03AE">
        <w:rPr>
          <w:rFonts w:ascii="Arial" w:hAnsi="Arial" w:cs="Arial"/>
          <w:bCs/>
          <w:color w:val="000000" w:themeColor="text1"/>
          <w:sz w:val="22"/>
          <w:szCs w:val="22"/>
        </w:rPr>
        <w:t>determinante para establecer si el cumplimiento del requerimiento necesariamente</w:t>
      </w:r>
      <w:r w:rsidR="00A042AC" w:rsidRPr="00EE03AE">
        <w:rPr>
          <w:rFonts w:ascii="Arial" w:hAnsi="Arial" w:cs="Arial"/>
          <w:bCs/>
          <w:color w:val="000000" w:themeColor="text1"/>
          <w:sz w:val="22"/>
          <w:szCs w:val="22"/>
        </w:rPr>
        <w:t xml:space="preserve"> requiere que se acredite experiencia en todas las actividades mencionadas, o solo </w:t>
      </w:r>
      <w:r w:rsidR="003514BB" w:rsidRPr="00EE03AE">
        <w:rPr>
          <w:rFonts w:ascii="Arial" w:hAnsi="Arial" w:cs="Arial"/>
          <w:bCs/>
          <w:color w:val="000000" w:themeColor="text1"/>
          <w:sz w:val="22"/>
          <w:szCs w:val="22"/>
        </w:rPr>
        <w:t xml:space="preserve">en algunas de ellas. </w:t>
      </w:r>
    </w:p>
    <w:p w14:paraId="548F2637" w14:textId="0CFCC953" w:rsidR="00BA258A" w:rsidRPr="00EE03AE" w:rsidRDefault="00B91FFD" w:rsidP="00EE03AE">
      <w:pPr>
        <w:spacing w:after="120" w:line="276" w:lineRule="auto"/>
        <w:jc w:val="both"/>
        <w:rPr>
          <w:rFonts w:ascii="Arial" w:hAnsi="Arial" w:cs="Arial"/>
          <w:bCs/>
          <w:color w:val="000000" w:themeColor="text1"/>
          <w:sz w:val="22"/>
          <w:szCs w:val="22"/>
        </w:rPr>
      </w:pPr>
      <w:r w:rsidRPr="00EE03AE">
        <w:rPr>
          <w:rFonts w:ascii="Arial" w:hAnsi="Arial" w:cs="Arial"/>
          <w:bCs/>
          <w:color w:val="000000" w:themeColor="text1"/>
          <w:sz w:val="22"/>
          <w:szCs w:val="22"/>
        </w:rPr>
        <w:tab/>
        <w:t xml:space="preserve">Sobre el particular, en </w:t>
      </w:r>
      <w:r w:rsidRPr="00EE03AE">
        <w:rPr>
          <w:rFonts w:ascii="Arial" w:hAnsi="Arial" w:cs="Arial"/>
          <w:bCs/>
          <w:i/>
          <w:iCs/>
          <w:color w:val="000000" w:themeColor="text1"/>
          <w:sz w:val="22"/>
          <w:szCs w:val="22"/>
        </w:rPr>
        <w:t>primer lugar</w:t>
      </w:r>
      <w:r w:rsidRPr="00EE03AE">
        <w:rPr>
          <w:rFonts w:ascii="Arial" w:hAnsi="Arial" w:cs="Arial"/>
          <w:bCs/>
          <w:color w:val="000000" w:themeColor="text1"/>
          <w:sz w:val="22"/>
          <w:szCs w:val="22"/>
        </w:rPr>
        <w:t xml:space="preserve">, </w:t>
      </w:r>
      <w:r w:rsidR="00CF5DCC" w:rsidRPr="00EE03AE">
        <w:rPr>
          <w:rFonts w:ascii="Arial" w:hAnsi="Arial" w:cs="Arial"/>
          <w:bCs/>
          <w:color w:val="000000" w:themeColor="text1"/>
          <w:sz w:val="22"/>
          <w:szCs w:val="22"/>
        </w:rPr>
        <w:t>debe tenerse en cuenta que «y» es una conjunción</w:t>
      </w:r>
      <w:r w:rsidR="00970769" w:rsidRPr="00EE03AE">
        <w:rPr>
          <w:rFonts w:ascii="Arial" w:hAnsi="Arial" w:cs="Arial"/>
          <w:bCs/>
          <w:color w:val="000000" w:themeColor="text1"/>
          <w:sz w:val="22"/>
          <w:szCs w:val="22"/>
        </w:rPr>
        <w:t xml:space="preserve">, </w:t>
      </w:r>
      <w:r w:rsidR="000631F0" w:rsidRPr="00EE03AE">
        <w:rPr>
          <w:rFonts w:ascii="Arial" w:hAnsi="Arial" w:cs="Arial"/>
          <w:bCs/>
          <w:color w:val="000000" w:themeColor="text1"/>
          <w:sz w:val="22"/>
          <w:szCs w:val="22"/>
        </w:rPr>
        <w:t xml:space="preserve">la cual es </w:t>
      </w:r>
      <w:r w:rsidR="00425D90" w:rsidRPr="00EE03AE">
        <w:rPr>
          <w:rFonts w:ascii="Arial" w:hAnsi="Arial" w:cs="Arial"/>
          <w:bCs/>
          <w:color w:val="000000" w:themeColor="text1"/>
          <w:sz w:val="22"/>
          <w:szCs w:val="22"/>
        </w:rPr>
        <w:t>definida como:</w:t>
      </w:r>
      <w:r w:rsidR="00970769" w:rsidRPr="00EE03AE">
        <w:rPr>
          <w:rFonts w:ascii="Arial" w:hAnsi="Arial" w:cs="Arial"/>
          <w:bCs/>
          <w:color w:val="000000" w:themeColor="text1"/>
          <w:sz w:val="22"/>
          <w:szCs w:val="22"/>
        </w:rPr>
        <w:t xml:space="preserve"> «</w:t>
      </w:r>
      <w:r w:rsidR="00425D90" w:rsidRPr="00EE03AE">
        <w:rPr>
          <w:rFonts w:ascii="Arial" w:hAnsi="Arial" w:cs="Arial"/>
          <w:sz w:val="22"/>
          <w:szCs w:val="22"/>
        </w:rPr>
        <w:t xml:space="preserve">[…] </w:t>
      </w:r>
      <w:r w:rsidR="00425D90" w:rsidRPr="00EE03AE">
        <w:rPr>
          <w:rFonts w:ascii="Arial" w:hAnsi="Arial" w:cs="Arial"/>
          <w:bCs/>
          <w:color w:val="000000" w:themeColor="text1"/>
          <w:sz w:val="22"/>
          <w:szCs w:val="22"/>
        </w:rPr>
        <w:t xml:space="preserve">4. f. </w:t>
      </w:r>
      <w:r w:rsidR="00425D90" w:rsidRPr="00EE03AE">
        <w:rPr>
          <w:rFonts w:ascii="Arial" w:hAnsi="Arial" w:cs="Arial"/>
          <w:bCs/>
          <w:i/>
          <w:iCs/>
          <w:color w:val="000000" w:themeColor="text1"/>
          <w:sz w:val="22"/>
          <w:szCs w:val="22"/>
        </w:rPr>
        <w:t>Gram.</w:t>
      </w:r>
      <w:r w:rsidR="00425D90" w:rsidRPr="00EE03AE">
        <w:rPr>
          <w:rFonts w:ascii="Arial" w:hAnsi="Arial" w:cs="Arial"/>
          <w:bCs/>
          <w:color w:val="000000" w:themeColor="text1"/>
          <w:sz w:val="22"/>
          <w:szCs w:val="22"/>
        </w:rPr>
        <w:t xml:space="preserve"> Clase de palabras invariables, generalmente átonas, cuyos elementos manifiestan relaciones de coordinación o subordinación entre palabras, grupos sintácticos u oraciones»</w:t>
      </w:r>
      <w:r w:rsidR="001E4604" w:rsidRPr="00EE03AE">
        <w:rPr>
          <w:rStyle w:val="Refdenotaalpie"/>
          <w:rFonts w:ascii="Arial" w:hAnsi="Arial" w:cs="Arial"/>
          <w:bCs/>
          <w:color w:val="000000" w:themeColor="text1"/>
          <w:sz w:val="22"/>
          <w:szCs w:val="22"/>
        </w:rPr>
        <w:footnoteReference w:id="6"/>
      </w:r>
      <w:r w:rsidR="00425D90" w:rsidRPr="00EE03AE">
        <w:rPr>
          <w:rFonts w:ascii="Arial" w:hAnsi="Arial" w:cs="Arial"/>
          <w:bCs/>
          <w:color w:val="000000" w:themeColor="text1"/>
          <w:sz w:val="22"/>
          <w:szCs w:val="22"/>
        </w:rPr>
        <w:t>.</w:t>
      </w:r>
      <w:r w:rsidR="00D36562" w:rsidRPr="00EE03AE">
        <w:rPr>
          <w:rFonts w:ascii="Arial" w:hAnsi="Arial" w:cs="Arial"/>
          <w:bCs/>
          <w:color w:val="000000" w:themeColor="text1"/>
          <w:sz w:val="22"/>
          <w:szCs w:val="22"/>
        </w:rPr>
        <w:t xml:space="preserve"> Conforme a esto, el referido conector es un</w:t>
      </w:r>
      <w:r w:rsidR="008471F9" w:rsidRPr="00EE03AE">
        <w:rPr>
          <w:rFonts w:ascii="Arial" w:hAnsi="Arial" w:cs="Arial"/>
          <w:bCs/>
          <w:color w:val="000000" w:themeColor="text1"/>
          <w:sz w:val="22"/>
          <w:szCs w:val="22"/>
        </w:rPr>
        <w:t xml:space="preserve">a conjunción de carácter coordinante, esto </w:t>
      </w:r>
      <w:r w:rsidR="005B3E05" w:rsidRPr="00EE03AE">
        <w:rPr>
          <w:rFonts w:ascii="Arial" w:hAnsi="Arial" w:cs="Arial"/>
          <w:bCs/>
          <w:color w:val="000000" w:themeColor="text1"/>
          <w:sz w:val="22"/>
          <w:szCs w:val="22"/>
        </w:rPr>
        <w:t>significa</w:t>
      </w:r>
      <w:r w:rsidR="008471F9" w:rsidRPr="00EE03AE">
        <w:rPr>
          <w:rFonts w:ascii="Arial" w:hAnsi="Arial" w:cs="Arial"/>
          <w:bCs/>
          <w:color w:val="000000" w:themeColor="text1"/>
          <w:sz w:val="22"/>
          <w:szCs w:val="22"/>
        </w:rPr>
        <w:t xml:space="preserve">, </w:t>
      </w:r>
      <w:r w:rsidR="005B3E05" w:rsidRPr="00EE03AE">
        <w:rPr>
          <w:rFonts w:ascii="Arial" w:hAnsi="Arial" w:cs="Arial"/>
          <w:bCs/>
          <w:color w:val="000000" w:themeColor="text1"/>
          <w:sz w:val="22"/>
          <w:szCs w:val="22"/>
        </w:rPr>
        <w:t>«[…] que enlaza elementos sintácticos mediante coordinación»</w:t>
      </w:r>
      <w:r w:rsidR="00F57BF1" w:rsidRPr="00EE03AE">
        <w:rPr>
          <w:rStyle w:val="Refdenotaalpie"/>
          <w:rFonts w:ascii="Arial" w:hAnsi="Arial" w:cs="Arial"/>
          <w:bCs/>
          <w:color w:val="000000" w:themeColor="text1"/>
          <w:sz w:val="22"/>
          <w:szCs w:val="22"/>
        </w:rPr>
        <w:footnoteReference w:id="7"/>
      </w:r>
      <w:r w:rsidR="005B3E05" w:rsidRPr="00EE03AE">
        <w:rPr>
          <w:rFonts w:ascii="Arial" w:hAnsi="Arial" w:cs="Arial"/>
          <w:bCs/>
          <w:color w:val="000000" w:themeColor="text1"/>
          <w:sz w:val="22"/>
          <w:szCs w:val="22"/>
        </w:rPr>
        <w:t>.</w:t>
      </w:r>
      <w:r w:rsidR="00D447F2" w:rsidRPr="00EE03AE">
        <w:rPr>
          <w:rFonts w:ascii="Arial" w:hAnsi="Arial" w:cs="Arial"/>
          <w:bCs/>
          <w:color w:val="000000" w:themeColor="text1"/>
          <w:sz w:val="22"/>
          <w:szCs w:val="22"/>
        </w:rPr>
        <w:t xml:space="preserve"> Específicamente,</w:t>
      </w:r>
      <w:r w:rsidR="00352AEB" w:rsidRPr="00EE03AE">
        <w:rPr>
          <w:rFonts w:ascii="Arial" w:hAnsi="Arial" w:cs="Arial"/>
          <w:bCs/>
          <w:color w:val="000000" w:themeColor="text1"/>
          <w:sz w:val="22"/>
          <w:szCs w:val="22"/>
        </w:rPr>
        <w:t xml:space="preserve"> es un conjunción coordinante </w:t>
      </w:r>
      <w:r w:rsidR="007B43D6" w:rsidRPr="00EE03AE">
        <w:rPr>
          <w:rFonts w:ascii="Arial" w:hAnsi="Arial" w:cs="Arial"/>
          <w:bCs/>
          <w:color w:val="000000" w:themeColor="text1"/>
          <w:sz w:val="22"/>
          <w:szCs w:val="22"/>
        </w:rPr>
        <w:t>copulativa, es decir</w:t>
      </w:r>
      <w:r w:rsidR="00D447F2" w:rsidRPr="00EE03AE">
        <w:rPr>
          <w:rFonts w:ascii="Arial" w:hAnsi="Arial" w:cs="Arial"/>
          <w:bCs/>
          <w:color w:val="000000" w:themeColor="text1"/>
          <w:sz w:val="22"/>
          <w:szCs w:val="22"/>
        </w:rPr>
        <w:t xml:space="preserve"> </w:t>
      </w:r>
      <w:r w:rsidR="007B43D6" w:rsidRPr="00EE03AE">
        <w:rPr>
          <w:rFonts w:ascii="Arial" w:hAnsi="Arial" w:cs="Arial"/>
          <w:bCs/>
          <w:color w:val="000000" w:themeColor="text1"/>
          <w:sz w:val="22"/>
          <w:szCs w:val="22"/>
        </w:rPr>
        <w:t xml:space="preserve">«[…] </w:t>
      </w:r>
      <w:r w:rsidR="00352AEB" w:rsidRPr="00EE03AE">
        <w:rPr>
          <w:rFonts w:ascii="Arial" w:hAnsi="Arial" w:cs="Arial"/>
          <w:bCs/>
          <w:color w:val="000000" w:themeColor="text1"/>
          <w:sz w:val="22"/>
          <w:szCs w:val="22"/>
        </w:rPr>
        <w:t>que forma conjuntos cuyos elementos se suman</w:t>
      </w:r>
      <w:r w:rsidR="007B43D6" w:rsidRPr="00EE03AE">
        <w:rPr>
          <w:rFonts w:ascii="Arial" w:hAnsi="Arial" w:cs="Arial"/>
          <w:bCs/>
          <w:color w:val="000000" w:themeColor="text1"/>
          <w:sz w:val="22"/>
          <w:szCs w:val="22"/>
        </w:rPr>
        <w:t>»</w:t>
      </w:r>
      <w:r w:rsidR="00D914A6" w:rsidRPr="00EE03AE">
        <w:rPr>
          <w:rStyle w:val="Refdenotaalpie"/>
          <w:rFonts w:ascii="Arial" w:hAnsi="Arial" w:cs="Arial"/>
          <w:bCs/>
          <w:color w:val="000000" w:themeColor="text1"/>
          <w:sz w:val="22"/>
          <w:szCs w:val="22"/>
        </w:rPr>
        <w:footnoteReference w:id="8"/>
      </w:r>
      <w:r w:rsidR="00352AEB" w:rsidRPr="00EE03AE">
        <w:rPr>
          <w:rFonts w:ascii="Arial" w:hAnsi="Arial" w:cs="Arial"/>
          <w:bCs/>
          <w:color w:val="000000" w:themeColor="text1"/>
          <w:sz w:val="22"/>
          <w:szCs w:val="22"/>
        </w:rPr>
        <w:t>.</w:t>
      </w:r>
    </w:p>
    <w:p w14:paraId="67B82875" w14:textId="77777777" w:rsidR="00057F5A" w:rsidRPr="00EE03AE" w:rsidRDefault="00B25383" w:rsidP="00ED6B6E">
      <w:pPr>
        <w:spacing w:before="120" w:after="120" w:line="276" w:lineRule="auto"/>
        <w:ind w:firstLine="709"/>
        <w:jc w:val="both"/>
        <w:rPr>
          <w:rFonts w:ascii="Arial" w:hAnsi="Arial" w:cs="Arial"/>
          <w:sz w:val="22"/>
          <w:shd w:val="clear" w:color="auto" w:fill="FFFFFF"/>
        </w:rPr>
      </w:pPr>
      <w:r w:rsidRPr="00EE03AE">
        <w:rPr>
          <w:rFonts w:ascii="Arial" w:hAnsi="Arial" w:cs="Arial"/>
          <w:sz w:val="22"/>
          <w:shd w:val="clear" w:color="auto" w:fill="FFFFFF"/>
        </w:rPr>
        <w:t xml:space="preserve">En </w:t>
      </w:r>
      <w:r w:rsidRPr="00EE03AE">
        <w:rPr>
          <w:rFonts w:ascii="Arial" w:hAnsi="Arial" w:cs="Arial"/>
          <w:i/>
          <w:iCs/>
          <w:sz w:val="22"/>
          <w:shd w:val="clear" w:color="auto" w:fill="FFFFFF"/>
        </w:rPr>
        <w:t>segundo lugar</w:t>
      </w:r>
      <w:r w:rsidRPr="00EE03AE">
        <w:rPr>
          <w:rFonts w:ascii="Arial" w:hAnsi="Arial" w:cs="Arial"/>
          <w:sz w:val="22"/>
          <w:shd w:val="clear" w:color="auto" w:fill="FFFFFF"/>
        </w:rPr>
        <w:t xml:space="preserve">, es importante recordar </w:t>
      </w:r>
      <w:r w:rsidR="00C86B22" w:rsidRPr="00EE03AE">
        <w:rPr>
          <w:rFonts w:ascii="Arial" w:hAnsi="Arial" w:cs="Arial"/>
          <w:sz w:val="22"/>
          <w:shd w:val="clear" w:color="auto" w:fill="FFFFFF"/>
        </w:rPr>
        <w:t>que,</w:t>
      </w:r>
      <w:r w:rsidRPr="00EE03AE">
        <w:rPr>
          <w:rFonts w:ascii="Arial" w:hAnsi="Arial" w:cs="Arial"/>
          <w:sz w:val="22"/>
          <w:shd w:val="clear" w:color="auto" w:fill="FFFFFF"/>
        </w:rPr>
        <w:t xml:space="preserve"> para el procedimiento de licitación pública, el artículo 3 de la </w:t>
      </w:r>
      <w:r w:rsidRPr="00EE03AE">
        <w:rPr>
          <w:rFonts w:ascii="Arial" w:hAnsi="Arial" w:cs="Arial"/>
          <w:sz w:val="22"/>
        </w:rPr>
        <w:t>Resolución No. 240 del 27 de noviembre de 2020</w:t>
      </w:r>
      <w:r w:rsidRPr="00EE03AE">
        <w:rPr>
          <w:rFonts w:ascii="Arial" w:hAnsi="Arial" w:cs="Arial"/>
          <w:sz w:val="22"/>
          <w:shd w:val="clear" w:color="auto" w:fill="FFFFFF"/>
        </w:rPr>
        <w:t xml:space="preserve"> dispone la inalterabilidad de los documentos tipo, regla en virtud de la cual las entidades estatales no pueden incluir o modificar en los </w:t>
      </w:r>
      <w:r w:rsidRPr="00EE03AE">
        <w:rPr>
          <w:rFonts w:ascii="Arial" w:hAnsi="Arial" w:cs="Arial"/>
          <w:i/>
          <w:iCs/>
          <w:sz w:val="22"/>
          <w:shd w:val="clear" w:color="auto" w:fill="FFFFFF"/>
        </w:rPr>
        <w:t>Documentos del Proceso</w:t>
      </w:r>
      <w:r w:rsidRPr="00EE03AE">
        <w:rPr>
          <w:rFonts w:ascii="Arial" w:hAnsi="Arial" w:cs="Arial"/>
          <w:sz w:val="22"/>
          <w:shd w:val="clear" w:color="auto" w:fill="FFFFFF"/>
        </w:rPr>
        <w:t xml:space="preserve"> las condiciones habilitantes, los factores técnicos y económicos de escogencia y los sistemas de ponderación distintos a los señalados en los documentos tipo. En consecuencia, las condiciones establecidas en los documentos que adopte Colombia Compra Eficiente, en ejercicio del mandato establecido en el artículo 1 de la Ley 2022 de 2020, son de obligatorio cumplimiento para las entidades sometidas al Estatuto General de Contratación de la Administración Pública que adelanten procesos que deban regirse por su contenido, y no pueden variarse los requisitos fijados en ellos, </w:t>
      </w:r>
      <w:r w:rsidR="00C86B22" w:rsidRPr="00EE03AE">
        <w:rPr>
          <w:rFonts w:ascii="Arial" w:hAnsi="Arial" w:cs="Arial"/>
          <w:sz w:val="22"/>
          <w:shd w:val="clear" w:color="auto" w:fill="FFFFFF"/>
        </w:rPr>
        <w:t xml:space="preserve">salvo en los espacios en los que expresamente se señale que pueden ser modificados. </w:t>
      </w:r>
      <w:r w:rsidRPr="00EE03AE">
        <w:rPr>
          <w:rFonts w:ascii="Arial" w:hAnsi="Arial" w:cs="Arial"/>
          <w:sz w:val="22"/>
          <w:shd w:val="clear" w:color="auto" w:fill="FFFFFF"/>
        </w:rPr>
        <w:t xml:space="preserve"> </w:t>
      </w:r>
    </w:p>
    <w:p w14:paraId="10CC67DA" w14:textId="189623A8" w:rsidR="00A76686" w:rsidRPr="00EE03AE" w:rsidRDefault="00057F5A" w:rsidP="00ED6B6E">
      <w:pPr>
        <w:spacing w:before="120" w:after="120" w:line="276" w:lineRule="auto"/>
        <w:ind w:firstLine="709"/>
        <w:jc w:val="both"/>
        <w:rPr>
          <w:rFonts w:ascii="Arial" w:hAnsi="Arial" w:cs="Arial"/>
          <w:sz w:val="22"/>
          <w:shd w:val="clear" w:color="auto" w:fill="FFFFFF"/>
        </w:rPr>
      </w:pPr>
      <w:r w:rsidRPr="00EE03AE">
        <w:rPr>
          <w:rFonts w:ascii="Arial" w:hAnsi="Arial" w:cs="Arial"/>
          <w:sz w:val="22"/>
          <w:shd w:val="clear" w:color="auto" w:fill="FFFFFF"/>
        </w:rPr>
        <w:t xml:space="preserve">Como una </w:t>
      </w:r>
      <w:r w:rsidR="00192402" w:rsidRPr="00EE03AE">
        <w:rPr>
          <w:rFonts w:ascii="Arial" w:hAnsi="Arial" w:cs="Arial"/>
          <w:sz w:val="22"/>
          <w:shd w:val="clear" w:color="auto" w:fill="FFFFFF"/>
        </w:rPr>
        <w:t>manifestación de es</w:t>
      </w:r>
      <w:r w:rsidR="00727847" w:rsidRPr="00EE03AE">
        <w:rPr>
          <w:rFonts w:ascii="Arial" w:hAnsi="Arial" w:cs="Arial"/>
          <w:sz w:val="22"/>
          <w:shd w:val="clear" w:color="auto" w:fill="FFFFFF"/>
        </w:rPr>
        <w:t xml:space="preserve">te principio </w:t>
      </w:r>
      <w:r w:rsidR="00192402" w:rsidRPr="00EE03AE">
        <w:rPr>
          <w:rFonts w:ascii="Arial" w:hAnsi="Arial" w:cs="Arial"/>
          <w:sz w:val="22"/>
          <w:shd w:val="clear" w:color="auto" w:fill="FFFFFF"/>
        </w:rPr>
        <w:t xml:space="preserve">de </w:t>
      </w:r>
      <w:r w:rsidRPr="00EE03AE">
        <w:rPr>
          <w:rFonts w:ascii="Arial" w:hAnsi="Arial" w:cs="Arial"/>
          <w:sz w:val="22"/>
          <w:shd w:val="clear" w:color="auto" w:fill="FFFFFF"/>
        </w:rPr>
        <w:t>inalterabilidad</w:t>
      </w:r>
      <w:r w:rsidR="00192402" w:rsidRPr="00EE03AE">
        <w:rPr>
          <w:rFonts w:ascii="Arial" w:hAnsi="Arial" w:cs="Arial"/>
          <w:sz w:val="22"/>
          <w:shd w:val="clear" w:color="auto" w:fill="FFFFFF"/>
        </w:rPr>
        <w:t xml:space="preserve">, </w:t>
      </w:r>
      <w:r w:rsidR="0000547F" w:rsidRPr="00EE03AE">
        <w:rPr>
          <w:rFonts w:ascii="Arial" w:hAnsi="Arial" w:cs="Arial"/>
          <w:sz w:val="22"/>
          <w:shd w:val="clear" w:color="auto" w:fill="FFFFFF"/>
        </w:rPr>
        <w:t xml:space="preserve">la </w:t>
      </w:r>
      <w:r w:rsidR="0017066F" w:rsidRPr="00EE03AE">
        <w:rPr>
          <w:rFonts w:ascii="Arial" w:hAnsi="Arial" w:cs="Arial"/>
          <w:sz w:val="22"/>
          <w:shd w:val="clear" w:color="auto" w:fill="FFFFFF"/>
        </w:rPr>
        <w:t xml:space="preserve">Matriz 1 entre las reglas para definir la experiencia exigible en el proceso de contratación, establece que </w:t>
      </w:r>
      <w:r w:rsidR="005765A3" w:rsidRPr="00EE03AE">
        <w:rPr>
          <w:rFonts w:ascii="Arial" w:hAnsi="Arial" w:cs="Arial"/>
          <w:sz w:val="22"/>
          <w:shd w:val="clear" w:color="auto" w:fill="FFFFFF"/>
        </w:rPr>
        <w:t xml:space="preserve">la </w:t>
      </w:r>
      <w:r w:rsidR="0017066F" w:rsidRPr="00EE03AE">
        <w:rPr>
          <w:rFonts w:ascii="Arial" w:hAnsi="Arial" w:cs="Arial"/>
          <w:sz w:val="22"/>
          <w:shd w:val="clear" w:color="auto" w:fill="FFFFFF"/>
        </w:rPr>
        <w:t xml:space="preserve">«[…] </w:t>
      </w:r>
      <w:r w:rsidR="00EB73CC" w:rsidRPr="00EE03AE">
        <w:rPr>
          <w:rFonts w:ascii="Arial" w:hAnsi="Arial" w:cs="Arial"/>
          <w:sz w:val="22"/>
          <w:shd w:val="clear" w:color="auto" w:fill="FFFFFF"/>
        </w:rPr>
        <w:t>experiencia general que solicite la entidad debe respetar toda la descripción prevista en la “Matriz 1 – Experiencia” para la “actividad a contratar”, incluidas las Notas aclaratorias</w:t>
      </w:r>
      <w:r w:rsidR="005765A3" w:rsidRPr="00EE03AE">
        <w:rPr>
          <w:rFonts w:ascii="Arial" w:hAnsi="Arial" w:cs="Arial"/>
          <w:sz w:val="22"/>
          <w:shd w:val="clear" w:color="auto" w:fill="FFFFFF"/>
        </w:rPr>
        <w:t>»</w:t>
      </w:r>
      <w:r w:rsidR="00EB73CC" w:rsidRPr="00EE03AE">
        <w:rPr>
          <w:rFonts w:ascii="Arial" w:hAnsi="Arial" w:cs="Arial"/>
          <w:sz w:val="22"/>
          <w:shd w:val="clear" w:color="auto" w:fill="FFFFFF"/>
        </w:rPr>
        <w:t>.</w:t>
      </w:r>
      <w:r w:rsidR="005765A3" w:rsidRPr="00EE03AE">
        <w:rPr>
          <w:rFonts w:ascii="Arial" w:hAnsi="Arial" w:cs="Arial"/>
          <w:sz w:val="22"/>
          <w:shd w:val="clear" w:color="auto" w:fill="FFFFFF"/>
        </w:rPr>
        <w:t xml:space="preserve"> </w:t>
      </w:r>
      <w:r w:rsidR="00D3629C" w:rsidRPr="00EE03AE">
        <w:rPr>
          <w:rFonts w:ascii="Arial" w:hAnsi="Arial" w:cs="Arial"/>
          <w:sz w:val="22"/>
          <w:shd w:val="clear" w:color="auto" w:fill="FFFFFF"/>
        </w:rPr>
        <w:t>Según est</w:t>
      </w:r>
      <w:r w:rsidR="00947057" w:rsidRPr="00EE03AE">
        <w:rPr>
          <w:rFonts w:ascii="Arial" w:hAnsi="Arial" w:cs="Arial"/>
          <w:sz w:val="22"/>
          <w:shd w:val="clear" w:color="auto" w:fill="FFFFFF"/>
        </w:rPr>
        <w:t>o</w:t>
      </w:r>
      <w:r w:rsidR="00D3629C" w:rsidRPr="00EE03AE">
        <w:rPr>
          <w:rFonts w:ascii="Arial" w:hAnsi="Arial" w:cs="Arial"/>
          <w:sz w:val="22"/>
          <w:shd w:val="clear" w:color="auto" w:fill="FFFFFF"/>
        </w:rPr>
        <w:t xml:space="preserve"> </w:t>
      </w:r>
      <w:r w:rsidR="005765A3" w:rsidRPr="00EE03AE">
        <w:rPr>
          <w:rFonts w:ascii="Arial" w:hAnsi="Arial" w:cs="Arial"/>
          <w:sz w:val="22"/>
          <w:shd w:val="clear" w:color="auto" w:fill="FFFFFF"/>
        </w:rPr>
        <w:t>cuando una entidad estatal aplica el</w:t>
      </w:r>
      <w:r w:rsidR="00321F54" w:rsidRPr="00EE03AE">
        <w:rPr>
          <w:rFonts w:ascii="Arial" w:hAnsi="Arial" w:cs="Arial"/>
          <w:sz w:val="22"/>
          <w:shd w:val="clear" w:color="auto" w:fill="FFFFFF"/>
        </w:rPr>
        <w:t xml:space="preserve"> pliego tipo para la contratación de alguna de las actividades </w:t>
      </w:r>
      <w:r w:rsidR="00EA4B14" w:rsidRPr="00EE03AE">
        <w:rPr>
          <w:rFonts w:ascii="Arial" w:hAnsi="Arial" w:cs="Arial"/>
          <w:sz w:val="22"/>
          <w:shd w:val="clear" w:color="auto" w:fill="FFFFFF"/>
        </w:rPr>
        <w:t>incluidas en la Matriz 1,</w:t>
      </w:r>
      <w:r w:rsidR="00EB05C1" w:rsidRPr="00EE03AE">
        <w:rPr>
          <w:rFonts w:ascii="Arial" w:hAnsi="Arial" w:cs="Arial"/>
          <w:sz w:val="22"/>
          <w:shd w:val="clear" w:color="auto" w:fill="FFFFFF"/>
        </w:rPr>
        <w:t xml:space="preserve"> </w:t>
      </w:r>
      <w:r w:rsidR="00947057" w:rsidRPr="00EE03AE">
        <w:rPr>
          <w:rFonts w:ascii="Arial" w:hAnsi="Arial" w:cs="Arial"/>
          <w:sz w:val="22"/>
          <w:shd w:val="clear" w:color="auto" w:fill="FFFFFF"/>
        </w:rPr>
        <w:t>forzosamente</w:t>
      </w:r>
      <w:r w:rsidR="00EA4B14" w:rsidRPr="00EE03AE">
        <w:rPr>
          <w:rFonts w:ascii="Arial" w:hAnsi="Arial" w:cs="Arial"/>
          <w:sz w:val="22"/>
          <w:shd w:val="clear" w:color="auto" w:fill="FFFFFF"/>
        </w:rPr>
        <w:t xml:space="preserve"> debe exigir el requisito de experiencia general</w:t>
      </w:r>
      <w:r w:rsidR="00B0373C" w:rsidRPr="00EE03AE">
        <w:rPr>
          <w:rFonts w:ascii="Arial" w:hAnsi="Arial" w:cs="Arial"/>
          <w:sz w:val="22"/>
          <w:shd w:val="clear" w:color="auto" w:fill="FFFFFF"/>
        </w:rPr>
        <w:t>,</w:t>
      </w:r>
      <w:r w:rsidR="00EA4B14" w:rsidRPr="00EE03AE">
        <w:rPr>
          <w:rFonts w:ascii="Arial" w:hAnsi="Arial" w:cs="Arial"/>
          <w:sz w:val="22"/>
          <w:shd w:val="clear" w:color="auto" w:fill="FFFFFF"/>
        </w:rPr>
        <w:t xml:space="preserve"> tal cual se consagra en </w:t>
      </w:r>
      <w:r w:rsidR="00B0373C" w:rsidRPr="00EE03AE">
        <w:rPr>
          <w:rFonts w:ascii="Arial" w:hAnsi="Arial" w:cs="Arial"/>
          <w:sz w:val="22"/>
          <w:shd w:val="clear" w:color="auto" w:fill="FFFFFF"/>
        </w:rPr>
        <w:t>dicho documento.</w:t>
      </w:r>
      <w:r w:rsidR="00D3629C" w:rsidRPr="00EE03AE">
        <w:rPr>
          <w:rFonts w:ascii="Arial" w:hAnsi="Arial" w:cs="Arial"/>
          <w:sz w:val="22"/>
          <w:shd w:val="clear" w:color="auto" w:fill="FFFFFF"/>
        </w:rPr>
        <w:t xml:space="preserve"> Est</w:t>
      </w:r>
      <w:r w:rsidR="00924DCB" w:rsidRPr="00EE03AE">
        <w:rPr>
          <w:rFonts w:ascii="Arial" w:hAnsi="Arial" w:cs="Arial"/>
          <w:sz w:val="22"/>
          <w:shd w:val="clear" w:color="auto" w:fill="FFFFFF"/>
        </w:rPr>
        <w:t xml:space="preserve">o además obedece al carácter obligatorio que el </w:t>
      </w:r>
      <w:r w:rsidR="003D4410" w:rsidRPr="00EE03AE">
        <w:rPr>
          <w:rFonts w:ascii="Arial" w:hAnsi="Arial" w:cs="Arial"/>
          <w:sz w:val="22"/>
          <w:shd w:val="clear" w:color="auto" w:fill="FFFFFF"/>
        </w:rPr>
        <w:t>parágrafo 7 del artículo 2 de la Ley 1150 de 2007, modificado por la Ley 2022 de 2020</w:t>
      </w:r>
      <w:r w:rsidR="00B67AFC" w:rsidRPr="00EE03AE">
        <w:rPr>
          <w:rFonts w:ascii="Arial" w:hAnsi="Arial" w:cs="Arial"/>
          <w:sz w:val="22"/>
          <w:shd w:val="clear" w:color="auto" w:fill="FFFFFF"/>
        </w:rPr>
        <w:t>, otorga a los pliegos tipo expedidos por esta Agencia</w:t>
      </w:r>
      <w:r w:rsidR="00F16B30" w:rsidRPr="00EE03AE">
        <w:rPr>
          <w:rFonts w:ascii="Arial" w:hAnsi="Arial" w:cs="Arial"/>
          <w:sz w:val="22"/>
          <w:shd w:val="clear" w:color="auto" w:fill="FFFFFF"/>
        </w:rPr>
        <w:t>,</w:t>
      </w:r>
      <w:r w:rsidR="001E2881" w:rsidRPr="00EE03AE">
        <w:rPr>
          <w:rFonts w:ascii="Arial" w:hAnsi="Arial" w:cs="Arial"/>
          <w:sz w:val="22"/>
          <w:shd w:val="clear" w:color="auto" w:fill="FFFFFF"/>
        </w:rPr>
        <w:t xml:space="preserve"> en atención al cual s</w:t>
      </w:r>
      <w:r w:rsidR="00BE60F5" w:rsidRPr="00EE03AE">
        <w:rPr>
          <w:rFonts w:ascii="Arial" w:hAnsi="Arial" w:cs="Arial"/>
          <w:sz w:val="22"/>
          <w:shd w:val="clear" w:color="auto" w:fill="FFFFFF"/>
        </w:rPr>
        <w:t xml:space="preserve">e estandarizan requisitos de experiencia en la Matriz 1. </w:t>
      </w:r>
    </w:p>
    <w:p w14:paraId="3BA8FE9F" w14:textId="32B9B434" w:rsidR="00B25383" w:rsidRPr="00EE03AE" w:rsidRDefault="00A76686" w:rsidP="00EE03AE">
      <w:pPr>
        <w:spacing w:before="120" w:line="276" w:lineRule="auto"/>
        <w:ind w:firstLine="709"/>
        <w:jc w:val="both"/>
        <w:rPr>
          <w:rStyle w:val="normaltextrun"/>
          <w:rFonts w:ascii="Arial" w:hAnsi="Arial" w:cs="Arial"/>
          <w:sz w:val="22"/>
          <w:shd w:val="clear" w:color="auto" w:fill="FFFFFF"/>
        </w:rPr>
      </w:pPr>
      <w:r w:rsidRPr="00EE03AE">
        <w:rPr>
          <w:rFonts w:ascii="Arial" w:hAnsi="Arial" w:cs="Arial"/>
          <w:sz w:val="22"/>
          <w:shd w:val="clear" w:color="auto" w:fill="FFFFFF"/>
        </w:rPr>
        <w:lastRenderedPageBreak/>
        <w:t>Conforme a lo anterior,</w:t>
      </w:r>
      <w:r w:rsidR="00BC168D" w:rsidRPr="00EE03AE">
        <w:rPr>
          <w:rFonts w:ascii="Arial" w:hAnsi="Arial" w:cs="Arial"/>
          <w:sz w:val="22"/>
          <w:shd w:val="clear" w:color="auto" w:fill="FFFFFF"/>
        </w:rPr>
        <w:t xml:space="preserve"> respecto del objeto de la consulta, es menester </w:t>
      </w:r>
      <w:r w:rsidR="000169F9" w:rsidRPr="00EE03AE">
        <w:rPr>
          <w:rFonts w:ascii="Arial" w:hAnsi="Arial" w:cs="Arial"/>
          <w:sz w:val="22"/>
          <w:shd w:val="clear" w:color="auto" w:fill="FFFFFF"/>
        </w:rPr>
        <w:t>afirmar</w:t>
      </w:r>
      <w:r w:rsidR="00BC168D" w:rsidRPr="00EE03AE">
        <w:rPr>
          <w:rFonts w:ascii="Arial" w:hAnsi="Arial" w:cs="Arial"/>
          <w:sz w:val="22"/>
          <w:shd w:val="clear" w:color="auto" w:fill="FFFFFF"/>
        </w:rPr>
        <w:t xml:space="preserve"> qu</w:t>
      </w:r>
      <w:r w:rsidR="00CA7789" w:rsidRPr="00EE03AE">
        <w:rPr>
          <w:rFonts w:ascii="Arial" w:hAnsi="Arial" w:cs="Arial"/>
          <w:sz w:val="22"/>
          <w:shd w:val="clear" w:color="auto" w:fill="FFFFFF"/>
        </w:rPr>
        <w:t xml:space="preserve">e </w:t>
      </w:r>
      <w:r w:rsidR="00B03408" w:rsidRPr="00EE03AE">
        <w:rPr>
          <w:rFonts w:ascii="Arial" w:hAnsi="Arial" w:cs="Arial"/>
          <w:sz w:val="22"/>
          <w:shd w:val="clear" w:color="auto" w:fill="FFFFFF"/>
        </w:rPr>
        <w:t xml:space="preserve">la </w:t>
      </w:r>
      <w:r w:rsidR="00CA7789" w:rsidRPr="00EE03AE">
        <w:rPr>
          <w:rFonts w:ascii="Arial" w:hAnsi="Arial" w:cs="Arial"/>
          <w:sz w:val="22"/>
          <w:shd w:val="clear" w:color="auto" w:fill="FFFFFF"/>
        </w:rPr>
        <w:t>experiencia</w:t>
      </w:r>
      <w:r w:rsidR="00B03408" w:rsidRPr="00EE03AE">
        <w:rPr>
          <w:rFonts w:ascii="Arial" w:hAnsi="Arial" w:cs="Arial"/>
          <w:sz w:val="22"/>
          <w:shd w:val="clear" w:color="auto" w:fill="FFFFFF"/>
        </w:rPr>
        <w:t xml:space="preserve"> general</w:t>
      </w:r>
      <w:r w:rsidR="00CA7789" w:rsidRPr="00EE03AE">
        <w:rPr>
          <w:rFonts w:ascii="Arial" w:hAnsi="Arial" w:cs="Arial"/>
          <w:sz w:val="22"/>
          <w:shd w:val="clear" w:color="auto" w:fill="FFFFFF"/>
        </w:rPr>
        <w:t xml:space="preserve"> establecid</w:t>
      </w:r>
      <w:r w:rsidR="00B03408" w:rsidRPr="00EE03AE">
        <w:rPr>
          <w:rFonts w:ascii="Arial" w:hAnsi="Arial" w:cs="Arial"/>
          <w:sz w:val="22"/>
          <w:shd w:val="clear" w:color="auto" w:fill="FFFFFF"/>
        </w:rPr>
        <w:t>a</w:t>
      </w:r>
      <w:r w:rsidR="00CA7789" w:rsidRPr="00EE03AE">
        <w:rPr>
          <w:rFonts w:ascii="Arial" w:hAnsi="Arial" w:cs="Arial"/>
          <w:sz w:val="22"/>
          <w:shd w:val="clear" w:color="auto" w:fill="FFFFFF"/>
        </w:rPr>
        <w:t xml:space="preserve"> para la actividad 4.2 </w:t>
      </w:r>
      <w:r w:rsidR="000169F9" w:rsidRPr="00EE03AE">
        <w:rPr>
          <w:rFonts w:ascii="Arial" w:hAnsi="Arial" w:cs="Arial"/>
          <w:sz w:val="22"/>
          <w:shd w:val="clear" w:color="auto" w:fill="FFFFFF"/>
        </w:rPr>
        <w:t>e</w:t>
      </w:r>
      <w:r w:rsidR="00FD42A5" w:rsidRPr="00EE03AE">
        <w:rPr>
          <w:rFonts w:ascii="Arial" w:hAnsi="Arial" w:cs="Arial"/>
          <w:sz w:val="22"/>
          <w:shd w:val="clear" w:color="auto" w:fill="FFFFFF"/>
        </w:rPr>
        <w:t>n</w:t>
      </w:r>
      <w:r w:rsidR="00CA7789" w:rsidRPr="00EE03AE">
        <w:rPr>
          <w:rFonts w:ascii="Arial" w:hAnsi="Arial" w:cs="Arial"/>
          <w:sz w:val="22"/>
          <w:shd w:val="clear" w:color="auto" w:fill="FFFFFF"/>
        </w:rPr>
        <w:t xml:space="preserve"> la Matriz 1 de los documentos tipo de licitación de obra pública de infraestructura de transporte</w:t>
      </w:r>
      <w:r w:rsidR="00FD42A5" w:rsidRPr="00EE03AE">
        <w:rPr>
          <w:rFonts w:ascii="Arial" w:hAnsi="Arial" w:cs="Arial"/>
          <w:sz w:val="22"/>
          <w:shd w:val="clear" w:color="auto" w:fill="FFFFFF"/>
        </w:rPr>
        <w:t>, debe ser exigid</w:t>
      </w:r>
      <w:r w:rsidR="00B03408" w:rsidRPr="00EE03AE">
        <w:rPr>
          <w:rFonts w:ascii="Arial" w:hAnsi="Arial" w:cs="Arial"/>
          <w:sz w:val="22"/>
          <w:shd w:val="clear" w:color="auto" w:fill="FFFFFF"/>
        </w:rPr>
        <w:t>a</w:t>
      </w:r>
      <w:r w:rsidR="00FD42A5" w:rsidRPr="00EE03AE">
        <w:rPr>
          <w:rFonts w:ascii="Arial" w:hAnsi="Arial" w:cs="Arial"/>
          <w:sz w:val="22"/>
          <w:shd w:val="clear" w:color="auto" w:fill="FFFFFF"/>
        </w:rPr>
        <w:t xml:space="preserve"> y acreditad</w:t>
      </w:r>
      <w:r w:rsidR="00B03408" w:rsidRPr="00EE03AE">
        <w:rPr>
          <w:rFonts w:ascii="Arial" w:hAnsi="Arial" w:cs="Arial"/>
          <w:sz w:val="22"/>
          <w:shd w:val="clear" w:color="auto" w:fill="FFFFFF"/>
        </w:rPr>
        <w:t>a</w:t>
      </w:r>
      <w:r w:rsidR="00FD42A5" w:rsidRPr="00EE03AE">
        <w:rPr>
          <w:rFonts w:ascii="Arial" w:hAnsi="Arial" w:cs="Arial"/>
          <w:sz w:val="22"/>
          <w:shd w:val="clear" w:color="auto" w:fill="FFFFFF"/>
        </w:rPr>
        <w:t xml:space="preserve"> según lo </w:t>
      </w:r>
      <w:r w:rsidR="00D507F2" w:rsidRPr="00EE03AE">
        <w:rPr>
          <w:rFonts w:ascii="Arial" w:hAnsi="Arial" w:cs="Arial"/>
          <w:sz w:val="22"/>
          <w:shd w:val="clear" w:color="auto" w:fill="FFFFFF"/>
        </w:rPr>
        <w:t xml:space="preserve">sugiere </w:t>
      </w:r>
      <w:r w:rsidR="00B03408" w:rsidRPr="00EE03AE">
        <w:rPr>
          <w:rFonts w:ascii="Arial" w:hAnsi="Arial" w:cs="Arial"/>
          <w:sz w:val="22"/>
          <w:shd w:val="clear" w:color="auto" w:fill="FFFFFF"/>
        </w:rPr>
        <w:t xml:space="preserve">el texto mediante el que se consagra el requisito. En </w:t>
      </w:r>
      <w:r w:rsidR="00C9671B" w:rsidRPr="00EE03AE">
        <w:rPr>
          <w:rFonts w:ascii="Arial" w:hAnsi="Arial" w:cs="Arial"/>
          <w:sz w:val="22"/>
          <w:shd w:val="clear" w:color="auto" w:fill="FFFFFF"/>
        </w:rPr>
        <w:t>el caso de la actividad objeto de consulta, esto implica</w:t>
      </w:r>
      <w:r w:rsidR="00FF5539" w:rsidRPr="00EE03AE">
        <w:rPr>
          <w:rFonts w:ascii="Arial" w:hAnsi="Arial" w:cs="Arial"/>
          <w:sz w:val="22"/>
          <w:shd w:val="clear" w:color="auto" w:fill="FFFFFF"/>
        </w:rPr>
        <w:t xml:space="preserve"> que</w:t>
      </w:r>
      <w:r w:rsidR="00976F3A" w:rsidRPr="00EE03AE">
        <w:rPr>
          <w:rFonts w:ascii="Arial" w:hAnsi="Arial" w:cs="Arial"/>
          <w:sz w:val="22"/>
          <w:shd w:val="clear" w:color="auto" w:fill="FFFFFF"/>
        </w:rPr>
        <w:t xml:space="preserve"> el requerimiento establecido como experiencia general</w:t>
      </w:r>
      <w:r w:rsidR="00B0373C" w:rsidRPr="00EE03AE">
        <w:rPr>
          <w:rFonts w:ascii="Arial" w:hAnsi="Arial" w:cs="Arial"/>
          <w:sz w:val="22"/>
          <w:shd w:val="clear" w:color="auto" w:fill="FFFFFF"/>
        </w:rPr>
        <w:t xml:space="preserve"> </w:t>
      </w:r>
      <w:r w:rsidR="00FF5539" w:rsidRPr="00EE03AE">
        <w:rPr>
          <w:rFonts w:ascii="Arial" w:hAnsi="Arial" w:cs="Arial"/>
          <w:sz w:val="22"/>
          <w:shd w:val="clear" w:color="auto" w:fill="FFFFFF"/>
        </w:rPr>
        <w:t>comprende, por un lado, actividades de «</w:t>
      </w:r>
      <w:r w:rsidR="00FF5539" w:rsidRPr="00EE03AE">
        <w:rPr>
          <w:rFonts w:ascii="Arial" w:eastAsia="Calibri" w:hAnsi="Arial" w:cs="Arial"/>
          <w:color w:val="000000"/>
          <w:sz w:val="22"/>
          <w:szCs w:val="22"/>
        </w:rPr>
        <w:t>CONSTRUCCIÓN O MEJORAMIENTO O MANTENIMIENTO O REHABILITACIÓN DE OBRAS DE ESTABILIZACIÓN DE TALUDES O RECUPERACIÓN DE BANCA»</w:t>
      </w:r>
      <w:r w:rsidR="00180C90" w:rsidRPr="00EE03AE">
        <w:rPr>
          <w:rFonts w:ascii="Arial" w:eastAsia="Calibri" w:hAnsi="Arial" w:cs="Arial"/>
          <w:color w:val="000000"/>
          <w:sz w:val="22"/>
          <w:szCs w:val="22"/>
        </w:rPr>
        <w:t xml:space="preserve">, y por otro lado, </w:t>
      </w:r>
      <w:r w:rsidR="00D97CF8" w:rsidRPr="00EE03AE">
        <w:rPr>
          <w:rFonts w:ascii="Arial" w:eastAsia="Calibri" w:hAnsi="Arial" w:cs="Arial"/>
          <w:color w:val="000000"/>
          <w:sz w:val="22"/>
          <w:szCs w:val="22"/>
        </w:rPr>
        <w:t xml:space="preserve">actividades de </w:t>
      </w:r>
      <w:r w:rsidR="00180C90" w:rsidRPr="00EE03AE">
        <w:rPr>
          <w:rFonts w:ascii="Arial" w:eastAsia="Calibri" w:hAnsi="Arial" w:cs="Arial"/>
          <w:color w:val="000000"/>
          <w:sz w:val="22"/>
          <w:szCs w:val="22"/>
        </w:rPr>
        <w:t>«ATENCIÓN OBRAS DE EMERGENCIAS MEDIANTE LA CONSTRUCCIÓN DE OBRAS DE ESTABILIZACIÓN DE TALUDES O RECUPERACIÓN DE BANCA»</w:t>
      </w:r>
      <w:r w:rsidR="00D97CF8" w:rsidRPr="00EE03AE">
        <w:rPr>
          <w:rFonts w:ascii="Arial" w:eastAsia="Calibri" w:hAnsi="Arial" w:cs="Arial"/>
          <w:color w:val="000000"/>
          <w:sz w:val="22"/>
          <w:szCs w:val="22"/>
        </w:rPr>
        <w:t xml:space="preserve">. </w:t>
      </w:r>
      <w:r w:rsidR="009F4129" w:rsidRPr="00EE03AE">
        <w:rPr>
          <w:rFonts w:ascii="Arial" w:eastAsia="Calibri" w:hAnsi="Arial" w:cs="Arial"/>
          <w:color w:val="000000"/>
          <w:sz w:val="22"/>
          <w:szCs w:val="22"/>
        </w:rPr>
        <w:t xml:space="preserve">En ese sentido, dado el carácter de conjunción copulativa de la expresión </w:t>
      </w:r>
      <w:r w:rsidR="009F4129" w:rsidRPr="00EE03AE">
        <w:rPr>
          <w:rFonts w:ascii="Arial" w:eastAsia="Calibri" w:hAnsi="Arial" w:cs="Arial"/>
          <w:i/>
          <w:iCs/>
          <w:color w:val="000000"/>
          <w:sz w:val="22"/>
          <w:szCs w:val="22"/>
        </w:rPr>
        <w:t>«y»</w:t>
      </w:r>
      <w:r w:rsidR="00A61720" w:rsidRPr="00EE03AE">
        <w:rPr>
          <w:rFonts w:ascii="Arial" w:eastAsia="Calibri" w:hAnsi="Arial" w:cs="Arial"/>
          <w:color w:val="000000"/>
          <w:sz w:val="22"/>
          <w:szCs w:val="22"/>
        </w:rPr>
        <w:t xml:space="preserve">, la conclusión no es otra distinta a que, </w:t>
      </w:r>
      <w:r w:rsidR="00595F8D" w:rsidRPr="00EE03AE">
        <w:rPr>
          <w:rFonts w:ascii="Arial" w:eastAsia="Calibri" w:hAnsi="Arial" w:cs="Arial"/>
          <w:color w:val="000000"/>
          <w:sz w:val="22"/>
          <w:szCs w:val="22"/>
        </w:rPr>
        <w:t xml:space="preserve">el requisito de experiencia general </w:t>
      </w:r>
      <w:r w:rsidR="00057B04" w:rsidRPr="00EE03AE">
        <w:rPr>
          <w:rFonts w:ascii="Arial" w:eastAsia="Calibri" w:hAnsi="Arial" w:cs="Arial"/>
          <w:color w:val="000000"/>
          <w:sz w:val="22"/>
          <w:szCs w:val="22"/>
        </w:rPr>
        <w:t>involucr</w:t>
      </w:r>
      <w:r w:rsidR="00EE3B37" w:rsidRPr="00EE03AE">
        <w:rPr>
          <w:rFonts w:ascii="Arial" w:eastAsia="Calibri" w:hAnsi="Arial" w:cs="Arial"/>
          <w:color w:val="000000"/>
          <w:sz w:val="22"/>
          <w:szCs w:val="22"/>
        </w:rPr>
        <w:t>a</w:t>
      </w:r>
      <w:r w:rsidR="00BA0FBD" w:rsidRPr="00EE03AE">
        <w:rPr>
          <w:rFonts w:ascii="Arial" w:eastAsia="Calibri" w:hAnsi="Arial" w:cs="Arial"/>
          <w:color w:val="000000"/>
          <w:sz w:val="22"/>
          <w:szCs w:val="22"/>
        </w:rPr>
        <w:t>,</w:t>
      </w:r>
      <w:r w:rsidR="00EE3B37" w:rsidRPr="00EE03AE">
        <w:rPr>
          <w:rFonts w:ascii="Arial" w:eastAsia="Calibri" w:hAnsi="Arial" w:cs="Arial"/>
          <w:color w:val="000000"/>
          <w:sz w:val="22"/>
          <w:szCs w:val="22"/>
        </w:rPr>
        <w:t xml:space="preserve"> necesariamente</w:t>
      </w:r>
      <w:r w:rsidR="00BA0FBD" w:rsidRPr="00EE03AE">
        <w:rPr>
          <w:rFonts w:ascii="Arial" w:eastAsia="Calibri" w:hAnsi="Arial" w:cs="Arial"/>
          <w:color w:val="000000"/>
          <w:sz w:val="22"/>
          <w:szCs w:val="22"/>
        </w:rPr>
        <w:t>,</w:t>
      </w:r>
      <w:r w:rsidR="00EE3B37" w:rsidRPr="00EE03AE">
        <w:rPr>
          <w:rFonts w:ascii="Arial" w:eastAsia="Calibri" w:hAnsi="Arial" w:cs="Arial"/>
          <w:color w:val="000000"/>
          <w:sz w:val="22"/>
          <w:szCs w:val="22"/>
        </w:rPr>
        <w:t xml:space="preserve"> actividades que se mencionan</w:t>
      </w:r>
      <w:r w:rsidR="00936750" w:rsidRPr="00EE03AE">
        <w:rPr>
          <w:rFonts w:ascii="Arial" w:eastAsia="Calibri" w:hAnsi="Arial" w:cs="Arial"/>
          <w:color w:val="000000"/>
          <w:sz w:val="22"/>
          <w:szCs w:val="22"/>
        </w:rPr>
        <w:t xml:space="preserve"> </w:t>
      </w:r>
      <w:r w:rsidR="00F13513" w:rsidRPr="00EE03AE">
        <w:rPr>
          <w:rFonts w:ascii="Arial" w:eastAsia="Calibri" w:hAnsi="Arial" w:cs="Arial"/>
          <w:color w:val="000000"/>
          <w:sz w:val="22"/>
          <w:szCs w:val="22"/>
        </w:rPr>
        <w:t>previa</w:t>
      </w:r>
      <w:r w:rsidR="00936750" w:rsidRPr="00EE03AE">
        <w:rPr>
          <w:rFonts w:ascii="Arial" w:eastAsia="Calibri" w:hAnsi="Arial" w:cs="Arial"/>
          <w:color w:val="000000"/>
          <w:sz w:val="22"/>
          <w:szCs w:val="22"/>
        </w:rPr>
        <w:t xml:space="preserve"> y </w:t>
      </w:r>
      <w:r w:rsidR="00F13513" w:rsidRPr="00EE03AE">
        <w:rPr>
          <w:rFonts w:ascii="Arial" w:eastAsia="Calibri" w:hAnsi="Arial" w:cs="Arial"/>
          <w:color w:val="000000"/>
          <w:sz w:val="22"/>
          <w:szCs w:val="22"/>
        </w:rPr>
        <w:t>posteriormente</w:t>
      </w:r>
      <w:r w:rsidR="00936750" w:rsidRPr="00EE03AE">
        <w:rPr>
          <w:rFonts w:ascii="Arial" w:eastAsia="Calibri" w:hAnsi="Arial" w:cs="Arial"/>
          <w:color w:val="000000"/>
          <w:sz w:val="22"/>
          <w:szCs w:val="22"/>
        </w:rPr>
        <w:t xml:space="preserve"> </w:t>
      </w:r>
      <w:r w:rsidR="00F13513" w:rsidRPr="00EE03AE">
        <w:rPr>
          <w:rFonts w:ascii="Arial" w:eastAsia="Calibri" w:hAnsi="Arial" w:cs="Arial"/>
          <w:color w:val="000000"/>
          <w:sz w:val="22"/>
          <w:szCs w:val="22"/>
        </w:rPr>
        <w:t>a</w:t>
      </w:r>
      <w:r w:rsidR="00936750" w:rsidRPr="00EE03AE">
        <w:rPr>
          <w:rFonts w:ascii="Arial" w:eastAsia="Calibri" w:hAnsi="Arial" w:cs="Arial"/>
          <w:color w:val="000000"/>
          <w:sz w:val="22"/>
          <w:szCs w:val="22"/>
        </w:rPr>
        <w:t xml:space="preserve">l referido conector, </w:t>
      </w:r>
      <w:r w:rsidR="00BA0FBD" w:rsidRPr="00EE03AE">
        <w:rPr>
          <w:rFonts w:ascii="Arial" w:eastAsia="Calibri" w:hAnsi="Arial" w:cs="Arial"/>
          <w:color w:val="000000"/>
          <w:sz w:val="22"/>
          <w:szCs w:val="22"/>
        </w:rPr>
        <w:t xml:space="preserve">por lo </w:t>
      </w:r>
      <w:r w:rsidR="00465B52" w:rsidRPr="00EE03AE">
        <w:rPr>
          <w:rFonts w:ascii="Arial" w:eastAsia="Calibri" w:hAnsi="Arial" w:cs="Arial"/>
          <w:color w:val="000000"/>
          <w:sz w:val="22"/>
          <w:szCs w:val="22"/>
        </w:rPr>
        <w:t>que,</w:t>
      </w:r>
      <w:r w:rsidR="00BA0FBD" w:rsidRPr="00EE03AE">
        <w:rPr>
          <w:rFonts w:ascii="Arial" w:eastAsia="Calibri" w:hAnsi="Arial" w:cs="Arial"/>
          <w:color w:val="000000"/>
          <w:sz w:val="22"/>
          <w:szCs w:val="22"/>
        </w:rPr>
        <w:t xml:space="preserve"> para cumplir</w:t>
      </w:r>
      <w:r w:rsidR="00F13513" w:rsidRPr="00EE03AE">
        <w:rPr>
          <w:rFonts w:ascii="Arial" w:eastAsia="Calibri" w:hAnsi="Arial" w:cs="Arial"/>
          <w:color w:val="000000"/>
          <w:sz w:val="22"/>
          <w:szCs w:val="22"/>
        </w:rPr>
        <w:t xml:space="preserve"> el requisito,</w:t>
      </w:r>
      <w:r w:rsidR="00BA0FBD" w:rsidRPr="00EE03AE">
        <w:rPr>
          <w:rFonts w:ascii="Arial" w:eastAsia="Calibri" w:hAnsi="Arial" w:cs="Arial"/>
          <w:color w:val="000000"/>
          <w:sz w:val="22"/>
          <w:szCs w:val="22"/>
        </w:rPr>
        <w:t xml:space="preserve"> es necesario acreditar experiencia </w:t>
      </w:r>
      <w:r w:rsidR="00090BF4" w:rsidRPr="00EE03AE">
        <w:rPr>
          <w:rFonts w:ascii="Arial" w:eastAsia="Calibri" w:hAnsi="Arial" w:cs="Arial"/>
          <w:color w:val="000000"/>
          <w:sz w:val="22"/>
          <w:szCs w:val="22"/>
        </w:rPr>
        <w:t>en</w:t>
      </w:r>
      <w:r w:rsidR="003C1AD5" w:rsidRPr="00EE03AE">
        <w:rPr>
          <w:rFonts w:ascii="Arial" w:eastAsia="Calibri" w:hAnsi="Arial" w:cs="Arial"/>
          <w:color w:val="000000"/>
          <w:sz w:val="22"/>
          <w:szCs w:val="22"/>
        </w:rPr>
        <w:t xml:space="preserve"> algunas de los objetos que se enlistan antes de «y»</w:t>
      </w:r>
      <w:r w:rsidR="0012134E" w:rsidRPr="00EE03AE">
        <w:rPr>
          <w:rFonts w:ascii="Arial" w:eastAsia="Calibri" w:hAnsi="Arial" w:cs="Arial"/>
          <w:color w:val="000000"/>
          <w:sz w:val="22"/>
          <w:szCs w:val="22"/>
        </w:rPr>
        <w:t xml:space="preserve">, pero también en alguno de los que se señalan después. </w:t>
      </w:r>
      <w:r w:rsidR="00090BF4" w:rsidRPr="00EE03AE">
        <w:rPr>
          <w:rFonts w:ascii="Arial" w:eastAsia="Calibri" w:hAnsi="Arial" w:cs="Arial"/>
          <w:color w:val="000000"/>
          <w:sz w:val="22"/>
          <w:szCs w:val="22"/>
        </w:rPr>
        <w:t xml:space="preserve"> </w:t>
      </w:r>
      <w:r w:rsidR="00180C90" w:rsidRPr="00EE03AE">
        <w:rPr>
          <w:rFonts w:ascii="Arial" w:eastAsia="Calibri" w:hAnsi="Arial" w:cs="Arial"/>
          <w:color w:val="000000"/>
          <w:sz w:val="22"/>
          <w:szCs w:val="22"/>
        </w:rPr>
        <w:t xml:space="preserve"> </w:t>
      </w:r>
      <w:r w:rsidR="00EA4B14" w:rsidRPr="00EE03AE">
        <w:rPr>
          <w:rFonts w:ascii="Arial" w:hAnsi="Arial" w:cs="Arial"/>
          <w:sz w:val="22"/>
          <w:shd w:val="clear" w:color="auto" w:fill="FFFFFF"/>
        </w:rPr>
        <w:t xml:space="preserve">  </w:t>
      </w:r>
    </w:p>
    <w:p w14:paraId="465FC849" w14:textId="77777777" w:rsidR="00947602" w:rsidRPr="00EE03AE" w:rsidRDefault="00947602" w:rsidP="009B34F3">
      <w:pPr>
        <w:spacing w:line="276" w:lineRule="auto"/>
        <w:ind w:firstLine="709"/>
        <w:jc w:val="both"/>
        <w:rPr>
          <w:rFonts w:ascii="Arial" w:hAnsi="Arial" w:cs="Arial"/>
          <w:sz w:val="22"/>
          <w:szCs w:val="22"/>
          <w:lang w:val="es-MX"/>
        </w:rPr>
      </w:pPr>
    </w:p>
    <w:p w14:paraId="128CF2FB" w14:textId="63937F8B" w:rsidR="00663BF6" w:rsidRPr="00EE03AE" w:rsidRDefault="00663BF6" w:rsidP="009B34F3">
      <w:pPr>
        <w:numPr>
          <w:ilvl w:val="0"/>
          <w:numId w:val="2"/>
        </w:numPr>
        <w:tabs>
          <w:tab w:val="left" w:pos="284"/>
        </w:tabs>
        <w:spacing w:line="276" w:lineRule="auto"/>
        <w:contextualSpacing/>
        <w:jc w:val="both"/>
        <w:rPr>
          <w:rFonts w:ascii="Arial" w:eastAsia="Calibri" w:hAnsi="Arial" w:cs="Arial"/>
          <w:sz w:val="22"/>
          <w:szCs w:val="22"/>
          <w:lang w:val="es-MX"/>
        </w:rPr>
      </w:pPr>
      <w:r w:rsidRPr="00EE03AE">
        <w:rPr>
          <w:rFonts w:ascii="Arial" w:eastAsia="Calibri" w:hAnsi="Arial" w:cs="Arial"/>
          <w:b/>
          <w:sz w:val="22"/>
          <w:szCs w:val="22"/>
          <w:lang w:val="es-MX"/>
        </w:rPr>
        <w:t>Respuesta</w:t>
      </w:r>
    </w:p>
    <w:p w14:paraId="4452521D" w14:textId="77777777" w:rsidR="00663BF6" w:rsidRPr="00EE03AE" w:rsidRDefault="00663BF6" w:rsidP="009B34F3">
      <w:pPr>
        <w:spacing w:line="276" w:lineRule="auto"/>
        <w:ind w:right="709"/>
        <w:jc w:val="both"/>
        <w:rPr>
          <w:rFonts w:ascii="Arial" w:eastAsia="Calibri" w:hAnsi="Arial" w:cs="Arial"/>
          <w:iCs/>
          <w:lang w:val="es-MX"/>
        </w:rPr>
      </w:pPr>
    </w:p>
    <w:bookmarkEnd w:id="1"/>
    <w:p w14:paraId="53FE4367" w14:textId="77777777" w:rsidR="00C1494A" w:rsidRPr="00EE03AE" w:rsidRDefault="00C1494A" w:rsidP="00C1494A">
      <w:pPr>
        <w:ind w:left="709" w:right="709"/>
        <w:jc w:val="both"/>
        <w:rPr>
          <w:rFonts w:ascii="Arial" w:hAnsi="Arial" w:cs="Arial"/>
          <w:sz w:val="21"/>
          <w:szCs w:val="21"/>
        </w:rPr>
      </w:pPr>
      <w:r w:rsidRPr="00EE03AE">
        <w:rPr>
          <w:rFonts w:ascii="Arial" w:hAnsi="Arial" w:cs="Arial"/>
          <w:bCs/>
          <w:sz w:val="21"/>
          <w:szCs w:val="21"/>
        </w:rPr>
        <w:t>«</w:t>
      </w:r>
      <w:r w:rsidRPr="00EE03AE">
        <w:rPr>
          <w:rFonts w:ascii="Arial" w:hAnsi="Arial" w:cs="Arial"/>
          <w:sz w:val="21"/>
          <w:szCs w:val="21"/>
        </w:rPr>
        <w:t xml:space="preserve">Respecto de la aplicación de la matriz de experiencia de los pliegos tipo de obra de infraestructura de transporte, específicamente con lo relacionado en la matriz 1 - alta complejidad - numeral 4.2 la cual señala lo siguiente: </w:t>
      </w:r>
    </w:p>
    <w:p w14:paraId="5C6C976A" w14:textId="77777777" w:rsidR="00C1494A" w:rsidRPr="00EE03AE" w:rsidRDefault="00C1494A" w:rsidP="00C1494A">
      <w:pPr>
        <w:ind w:left="709" w:right="709"/>
        <w:jc w:val="both"/>
        <w:rPr>
          <w:rFonts w:ascii="Arial" w:hAnsi="Arial" w:cs="Arial"/>
          <w:sz w:val="21"/>
          <w:szCs w:val="21"/>
        </w:rPr>
      </w:pPr>
    </w:p>
    <w:p w14:paraId="4CF9A4E9" w14:textId="77777777" w:rsidR="00C1494A" w:rsidRPr="00EE03AE" w:rsidRDefault="00C1494A" w:rsidP="00C1494A">
      <w:pPr>
        <w:ind w:left="709" w:right="709"/>
        <w:jc w:val="both"/>
        <w:rPr>
          <w:rFonts w:ascii="Arial" w:hAnsi="Arial" w:cs="Arial"/>
          <w:sz w:val="21"/>
          <w:szCs w:val="21"/>
        </w:rPr>
      </w:pPr>
      <w:r w:rsidRPr="00EE03AE">
        <w:rPr>
          <w:rFonts w:ascii="Arial" w:hAnsi="Arial" w:cs="Arial"/>
          <w:sz w:val="21"/>
          <w:szCs w:val="21"/>
        </w:rPr>
        <w:t>EXPERIENCIA GENERAL: " CONSTRUCCION O MEJORAMIENTO O MANTENIMIENTO O REHABILITACIÓN DE OBRAS DE ESTABILIZACION DE TALUDES O RECUPERACION DE BANCA y ATENCION OBRAS DE EMERGENCIAS MEDIANTE LA CONSTRUCCION DE OBRAS DE ESTABILIZACION DE TALUDES O RECUPERACION DE BANCA"</w:t>
      </w:r>
    </w:p>
    <w:p w14:paraId="20384B99" w14:textId="77777777" w:rsidR="00C1494A" w:rsidRPr="00EE03AE" w:rsidRDefault="00C1494A" w:rsidP="00C1494A">
      <w:pPr>
        <w:ind w:left="709" w:right="709"/>
        <w:jc w:val="both"/>
        <w:rPr>
          <w:rFonts w:ascii="Arial" w:hAnsi="Arial" w:cs="Arial"/>
          <w:sz w:val="21"/>
          <w:szCs w:val="21"/>
        </w:rPr>
      </w:pPr>
    </w:p>
    <w:p w14:paraId="2AB8F4F7" w14:textId="24D38CAD" w:rsidR="00C1494A" w:rsidRPr="00EE03AE" w:rsidRDefault="00C1494A" w:rsidP="00C1494A">
      <w:pPr>
        <w:ind w:left="709" w:right="709"/>
        <w:jc w:val="both"/>
        <w:rPr>
          <w:rFonts w:ascii="Arial" w:hAnsi="Arial" w:cs="Arial"/>
          <w:bCs/>
          <w:sz w:val="21"/>
          <w:szCs w:val="21"/>
        </w:rPr>
      </w:pPr>
      <w:r w:rsidRPr="00EE03AE">
        <w:rPr>
          <w:rFonts w:ascii="Arial" w:hAnsi="Arial" w:cs="Arial"/>
          <w:sz w:val="21"/>
          <w:szCs w:val="21"/>
        </w:rPr>
        <w:t>De lo anterior no queda claro cual es la función de la expresión "y" situado entre "RECUPERACION DE BANCA Y ATENCION DE OBRAS DE EMERGENCIAS", conforme se encuentra redactada la experiencia general, se entiende que para cumplir con lo allí señalado se debe demostrar haber realizado construcción/mejoramiento/mantenimiento/rehabilitación de obras de estabilización de talares o recuperación de bancada y haber realización atención obres de emergencia mediante construcción de obras de estabilización de taludes o recuperación de banca, es decir, es imperativo que se cumpla con la atención de obras de emergencia en la forma ante señalada, ¿es correcto este entendimiento o cual es la interpretación que se le debe dar a la experiencia relacionada en el numeral 4.2?</w:t>
      </w:r>
      <w:r w:rsidRPr="00EE03AE">
        <w:rPr>
          <w:rFonts w:ascii="Arial" w:hAnsi="Arial" w:cs="Arial"/>
          <w:bCs/>
          <w:sz w:val="21"/>
          <w:szCs w:val="21"/>
        </w:rPr>
        <w:t>».</w:t>
      </w:r>
    </w:p>
    <w:p w14:paraId="149A6D0B" w14:textId="77777777" w:rsidR="00C1494A" w:rsidRPr="00EE03AE" w:rsidRDefault="00C1494A" w:rsidP="00C1494A">
      <w:pPr>
        <w:ind w:left="709" w:right="709"/>
        <w:jc w:val="both"/>
        <w:rPr>
          <w:rFonts w:ascii="Arial" w:hAnsi="Arial" w:cs="Arial"/>
          <w:b/>
          <w:sz w:val="21"/>
          <w:szCs w:val="21"/>
        </w:rPr>
      </w:pPr>
    </w:p>
    <w:p w14:paraId="0355F326" w14:textId="77777777" w:rsidR="00C1494A" w:rsidRPr="00EE03AE" w:rsidRDefault="00C1494A" w:rsidP="00C1494A">
      <w:pPr>
        <w:ind w:left="709" w:right="709"/>
        <w:jc w:val="both"/>
        <w:rPr>
          <w:rFonts w:ascii="Arial" w:hAnsi="Arial" w:cs="Arial"/>
          <w:bCs/>
          <w:color w:val="000000" w:themeColor="text1"/>
          <w:sz w:val="21"/>
          <w:szCs w:val="21"/>
        </w:rPr>
      </w:pPr>
      <w:r w:rsidRPr="00EE03AE">
        <w:rPr>
          <w:rFonts w:ascii="Arial" w:eastAsia="Calibri" w:hAnsi="Arial" w:cs="Arial"/>
          <w:color w:val="000000"/>
          <w:sz w:val="21"/>
          <w:szCs w:val="21"/>
        </w:rPr>
        <w:t>La «Matriz 1 – Experiencia» de proyectos de alta complejidad, el tipo de infraestructura puede estar relacionado, entre otros, con el objeto contractual que corresponde a «4. OBRAS EN VIAS PRIMARIAS O SECUNDARIAS O TERCIARIAS O URBANAS PARA ATENCIÓN, PREVENCIÓN O MITIGACIÓN DE EMERGENCIAS DIFERENTES A CONTRATACIÓN DIRECTA».</w:t>
      </w:r>
    </w:p>
    <w:p w14:paraId="135DBC78" w14:textId="77777777" w:rsidR="00C1494A" w:rsidRPr="00EE03AE" w:rsidRDefault="00C1494A" w:rsidP="00C1494A">
      <w:pPr>
        <w:spacing w:line="276" w:lineRule="auto"/>
        <w:ind w:firstLine="708"/>
        <w:jc w:val="both"/>
        <w:rPr>
          <w:rFonts w:ascii="Arial" w:hAnsi="Arial" w:cs="Arial"/>
          <w:color w:val="000000" w:themeColor="text1"/>
        </w:rPr>
      </w:pPr>
    </w:p>
    <w:p w14:paraId="6E7A9C7C" w14:textId="1701A125" w:rsidR="009B6280" w:rsidRPr="00EE03AE" w:rsidRDefault="00C1494A" w:rsidP="009B6280">
      <w:pPr>
        <w:spacing w:after="120" w:line="276" w:lineRule="auto"/>
        <w:jc w:val="both"/>
        <w:rPr>
          <w:rFonts w:ascii="Arial" w:hAnsi="Arial" w:cs="Arial"/>
          <w:color w:val="000000" w:themeColor="text1"/>
          <w:sz w:val="22"/>
          <w:szCs w:val="22"/>
        </w:rPr>
      </w:pPr>
      <w:r w:rsidRPr="00EE03AE">
        <w:rPr>
          <w:rFonts w:ascii="Arial" w:hAnsi="Arial" w:cs="Arial"/>
          <w:color w:val="000000" w:themeColor="text1"/>
          <w:sz w:val="22"/>
          <w:szCs w:val="22"/>
        </w:rPr>
        <w:t xml:space="preserve">De conformidad con lo expuesto, </w:t>
      </w:r>
      <w:r w:rsidR="00CE4852" w:rsidRPr="00EE03AE">
        <w:rPr>
          <w:rFonts w:ascii="Arial" w:hAnsi="Arial" w:cs="Arial"/>
          <w:color w:val="000000" w:themeColor="text1"/>
          <w:sz w:val="22"/>
          <w:szCs w:val="22"/>
        </w:rPr>
        <w:t xml:space="preserve">la experiencia general establecida para la actividad 4.2 en la </w:t>
      </w:r>
      <w:r w:rsidR="00465B52" w:rsidRPr="00EE03AE">
        <w:rPr>
          <w:rFonts w:ascii="Arial" w:hAnsi="Arial" w:cs="Arial"/>
          <w:color w:val="000000" w:themeColor="text1"/>
          <w:sz w:val="22"/>
          <w:szCs w:val="22"/>
        </w:rPr>
        <w:t>«</w:t>
      </w:r>
      <w:r w:rsidR="00CE4852" w:rsidRPr="00EE03AE">
        <w:rPr>
          <w:rFonts w:ascii="Arial" w:hAnsi="Arial" w:cs="Arial"/>
          <w:color w:val="000000" w:themeColor="text1"/>
          <w:sz w:val="22"/>
          <w:szCs w:val="22"/>
        </w:rPr>
        <w:t>Matriz 1</w:t>
      </w:r>
      <w:r w:rsidR="00465B52" w:rsidRPr="00EE03AE">
        <w:rPr>
          <w:rFonts w:ascii="Arial" w:hAnsi="Arial" w:cs="Arial"/>
          <w:color w:val="000000" w:themeColor="text1"/>
          <w:sz w:val="22"/>
          <w:szCs w:val="22"/>
        </w:rPr>
        <w:t xml:space="preserve"> – Experiencia»</w:t>
      </w:r>
      <w:r w:rsidR="00CE4852" w:rsidRPr="00EE03AE">
        <w:rPr>
          <w:rFonts w:ascii="Arial" w:hAnsi="Arial" w:cs="Arial"/>
          <w:color w:val="000000" w:themeColor="text1"/>
          <w:sz w:val="22"/>
          <w:szCs w:val="22"/>
        </w:rPr>
        <w:t xml:space="preserve"> </w:t>
      </w:r>
      <w:r w:rsidR="00465B52" w:rsidRPr="00EE03AE">
        <w:rPr>
          <w:rFonts w:ascii="Arial" w:hAnsi="Arial" w:cs="Arial"/>
          <w:color w:val="000000" w:themeColor="text1"/>
          <w:sz w:val="22"/>
          <w:szCs w:val="22"/>
        </w:rPr>
        <w:t xml:space="preserve">para proyectos de alta complejidad </w:t>
      </w:r>
      <w:r w:rsidR="00CE4852" w:rsidRPr="00EE03AE">
        <w:rPr>
          <w:rFonts w:ascii="Arial" w:hAnsi="Arial" w:cs="Arial"/>
          <w:color w:val="000000" w:themeColor="text1"/>
          <w:sz w:val="22"/>
          <w:szCs w:val="22"/>
        </w:rPr>
        <w:t xml:space="preserve">de los documentos tipo de licitación de obra pública de infraestructura de transporte, debe ser exigida y acreditada según lo sugiere el texto mediante el que se consagra el requisito. </w:t>
      </w:r>
      <w:r w:rsidR="009B6280" w:rsidRPr="00EE03AE">
        <w:rPr>
          <w:rFonts w:ascii="Arial" w:hAnsi="Arial" w:cs="Arial"/>
          <w:color w:val="000000" w:themeColor="text1"/>
          <w:sz w:val="22"/>
          <w:szCs w:val="22"/>
        </w:rPr>
        <w:t xml:space="preserve">Al efecto, la Matriz 1 señala como experiencia general </w:t>
      </w:r>
      <w:r w:rsidR="009B6280" w:rsidRPr="00EE03AE">
        <w:rPr>
          <w:rFonts w:ascii="Arial" w:eastAsia="Calibri" w:hAnsi="Arial" w:cs="Arial"/>
          <w:color w:val="000000"/>
          <w:sz w:val="22"/>
          <w:szCs w:val="22"/>
        </w:rPr>
        <w:t xml:space="preserve">«CONSTRUCCIÓN O MEJORAMIENTO O MANTENIMIENTO O REHABILITACIÓN DE OBRAS DE ESTABILIZACIÓN DE TALUDES O RECUPERACIÓN DE BANCA </w:t>
      </w:r>
      <w:r w:rsidR="009B6280" w:rsidRPr="00EE03AE">
        <w:rPr>
          <w:rFonts w:ascii="Arial" w:eastAsia="Calibri" w:hAnsi="Arial" w:cs="Arial"/>
          <w:bCs/>
          <w:i/>
          <w:iCs/>
          <w:color w:val="000000"/>
          <w:sz w:val="22"/>
          <w:szCs w:val="22"/>
          <w:u w:val="single"/>
        </w:rPr>
        <w:t>y</w:t>
      </w:r>
      <w:r w:rsidR="009B6280" w:rsidRPr="00EE03AE">
        <w:rPr>
          <w:rFonts w:ascii="Arial" w:eastAsia="Calibri" w:hAnsi="Arial" w:cs="Arial"/>
          <w:color w:val="000000"/>
          <w:sz w:val="22"/>
          <w:szCs w:val="22"/>
        </w:rPr>
        <w:t xml:space="preserve"> ATENCIÓN OBRAS DE EMERGENCIAS MEDIANTE LA CONSTRUCCIÓN DE OBRAS DE ESTABILIZACIÓN DE TALUDES O RECUPERACIÓN DE BANCA».</w:t>
      </w:r>
    </w:p>
    <w:p w14:paraId="01185EDB" w14:textId="4C7161B6" w:rsidR="00CE4852" w:rsidRPr="00EE03AE" w:rsidRDefault="00465B52" w:rsidP="00EE03AE">
      <w:pPr>
        <w:spacing w:line="276" w:lineRule="auto"/>
        <w:ind w:firstLine="708"/>
        <w:jc w:val="both"/>
        <w:rPr>
          <w:rFonts w:ascii="Arial" w:hAnsi="Arial" w:cs="Arial"/>
          <w:color w:val="000000" w:themeColor="text1"/>
          <w:sz w:val="22"/>
          <w:szCs w:val="22"/>
        </w:rPr>
      </w:pPr>
      <w:r w:rsidRPr="00EE03AE">
        <w:rPr>
          <w:rFonts w:ascii="Arial" w:hAnsi="Arial" w:cs="Arial"/>
          <w:color w:val="000000" w:themeColor="text1"/>
          <w:sz w:val="22"/>
          <w:szCs w:val="22"/>
        </w:rPr>
        <w:t>Al respecto</w:t>
      </w:r>
      <w:r w:rsidR="009B6280" w:rsidRPr="00EE03AE">
        <w:rPr>
          <w:rFonts w:ascii="Arial" w:hAnsi="Arial" w:cs="Arial"/>
          <w:color w:val="000000" w:themeColor="text1"/>
          <w:sz w:val="22"/>
          <w:szCs w:val="22"/>
        </w:rPr>
        <w:t xml:space="preserve"> es importante tener en cuenta que la expresión «y» </w:t>
      </w:r>
      <w:r w:rsidRPr="00EE03AE">
        <w:rPr>
          <w:rFonts w:ascii="Arial" w:hAnsi="Arial" w:cs="Arial"/>
          <w:color w:val="000000" w:themeColor="text1"/>
          <w:sz w:val="22"/>
          <w:szCs w:val="22"/>
        </w:rPr>
        <w:t>es</w:t>
      </w:r>
      <w:r w:rsidR="009B6280" w:rsidRPr="00EE03AE">
        <w:rPr>
          <w:rFonts w:ascii="Arial" w:hAnsi="Arial" w:cs="Arial"/>
          <w:color w:val="000000" w:themeColor="text1"/>
          <w:sz w:val="22"/>
          <w:szCs w:val="22"/>
        </w:rPr>
        <w:t xml:space="preserve"> una conjunción coordinante de carácter copulativo. </w:t>
      </w:r>
      <w:r w:rsidR="00CE4852" w:rsidRPr="00EE03AE">
        <w:rPr>
          <w:rFonts w:ascii="Arial" w:hAnsi="Arial" w:cs="Arial"/>
          <w:color w:val="000000" w:themeColor="text1"/>
          <w:sz w:val="22"/>
          <w:szCs w:val="22"/>
        </w:rPr>
        <w:t>E</w:t>
      </w:r>
      <w:r w:rsidR="009B6280" w:rsidRPr="00EE03AE">
        <w:rPr>
          <w:rFonts w:ascii="Arial" w:hAnsi="Arial" w:cs="Arial"/>
          <w:color w:val="000000" w:themeColor="text1"/>
          <w:sz w:val="22"/>
          <w:szCs w:val="22"/>
        </w:rPr>
        <w:t xml:space="preserve">sto significa </w:t>
      </w:r>
      <w:r w:rsidR="00CE4852" w:rsidRPr="00EE03AE">
        <w:rPr>
          <w:rFonts w:ascii="Arial" w:hAnsi="Arial" w:cs="Arial"/>
          <w:color w:val="000000" w:themeColor="text1"/>
          <w:sz w:val="22"/>
          <w:szCs w:val="22"/>
        </w:rPr>
        <w:t>que el</w:t>
      </w:r>
      <w:r w:rsidR="009B6280" w:rsidRPr="00EE03AE">
        <w:rPr>
          <w:rFonts w:ascii="Arial" w:hAnsi="Arial" w:cs="Arial"/>
          <w:color w:val="000000" w:themeColor="text1"/>
          <w:sz w:val="22"/>
          <w:szCs w:val="22"/>
        </w:rPr>
        <w:t xml:space="preserve"> cumplimiento del</w:t>
      </w:r>
      <w:r w:rsidR="00CE4852" w:rsidRPr="00EE03AE">
        <w:rPr>
          <w:rFonts w:ascii="Arial" w:hAnsi="Arial" w:cs="Arial"/>
          <w:color w:val="000000" w:themeColor="text1"/>
          <w:sz w:val="22"/>
          <w:szCs w:val="22"/>
        </w:rPr>
        <w:t xml:space="preserve"> requerimiento establecido como experiencia general</w:t>
      </w:r>
      <w:r w:rsidR="009B6280" w:rsidRPr="00EE03AE">
        <w:rPr>
          <w:rFonts w:ascii="Arial" w:hAnsi="Arial" w:cs="Arial"/>
          <w:color w:val="000000" w:themeColor="text1"/>
          <w:sz w:val="22"/>
          <w:szCs w:val="22"/>
        </w:rPr>
        <w:t xml:space="preserve"> necesariamente</w:t>
      </w:r>
      <w:r w:rsidR="00CE4852" w:rsidRPr="00EE03AE">
        <w:rPr>
          <w:rFonts w:ascii="Arial" w:hAnsi="Arial" w:cs="Arial"/>
          <w:color w:val="000000" w:themeColor="text1"/>
          <w:sz w:val="22"/>
          <w:szCs w:val="22"/>
        </w:rPr>
        <w:t xml:space="preserve"> comprende </w:t>
      </w:r>
      <w:r w:rsidR="009B6280" w:rsidRPr="00EE03AE">
        <w:rPr>
          <w:rFonts w:ascii="Arial" w:hAnsi="Arial" w:cs="Arial"/>
          <w:color w:val="000000" w:themeColor="text1"/>
          <w:sz w:val="22"/>
          <w:szCs w:val="22"/>
        </w:rPr>
        <w:t xml:space="preserve">tanto </w:t>
      </w:r>
      <w:r w:rsidR="00CE4852" w:rsidRPr="00EE03AE">
        <w:rPr>
          <w:rFonts w:ascii="Arial" w:hAnsi="Arial" w:cs="Arial"/>
          <w:color w:val="000000" w:themeColor="text1"/>
          <w:sz w:val="22"/>
          <w:szCs w:val="22"/>
        </w:rPr>
        <w:t xml:space="preserve">actividades de «CONSTRUCCIÓN O MEJORAMIENTO O MANTENIMIENTO O REHABILITACIÓN DE OBRAS DE ESTABILIZACIÓN DE TALUDES O RECUPERACIÓN DE BANCA», </w:t>
      </w:r>
      <w:r w:rsidR="009B6280" w:rsidRPr="00EE03AE">
        <w:rPr>
          <w:rFonts w:ascii="Arial" w:hAnsi="Arial" w:cs="Arial"/>
          <w:color w:val="000000" w:themeColor="text1"/>
          <w:sz w:val="22"/>
          <w:szCs w:val="22"/>
        </w:rPr>
        <w:t>como</w:t>
      </w:r>
      <w:r w:rsidR="00CE4852" w:rsidRPr="00EE03AE">
        <w:rPr>
          <w:rFonts w:ascii="Arial" w:hAnsi="Arial" w:cs="Arial"/>
          <w:color w:val="000000" w:themeColor="text1"/>
          <w:sz w:val="22"/>
          <w:szCs w:val="22"/>
        </w:rPr>
        <w:t xml:space="preserve"> de «ATENCIÓN OBRAS DE EMERGENCIAS MEDIANTE LA CONSTRUCCIÓN DE OBRAS DE ESTABILIZACIÓN DE TALUDES O RECUPERACIÓN DE BANCA». </w:t>
      </w:r>
    </w:p>
    <w:p w14:paraId="60DAFE2B" w14:textId="77777777" w:rsidR="00465B52" w:rsidRPr="00EE03AE" w:rsidRDefault="00465B52" w:rsidP="00663BF6">
      <w:pPr>
        <w:spacing w:line="276" w:lineRule="auto"/>
        <w:jc w:val="both"/>
        <w:rPr>
          <w:rFonts w:ascii="Arial" w:eastAsia="Calibri" w:hAnsi="Arial" w:cs="Arial"/>
          <w:sz w:val="22"/>
          <w:szCs w:val="22"/>
          <w:lang w:val="es-MX"/>
        </w:rPr>
      </w:pPr>
      <w:bookmarkStart w:id="4" w:name="_Hlk91594455"/>
    </w:p>
    <w:p w14:paraId="44581FDA" w14:textId="6CED2616" w:rsidR="00663BF6" w:rsidRPr="00EE03AE" w:rsidRDefault="00663BF6" w:rsidP="00663BF6">
      <w:pPr>
        <w:spacing w:line="276" w:lineRule="auto"/>
        <w:jc w:val="both"/>
        <w:rPr>
          <w:rFonts w:ascii="Arial" w:eastAsia="Calibri" w:hAnsi="Arial" w:cs="Arial"/>
          <w:sz w:val="22"/>
          <w:szCs w:val="22"/>
          <w:lang w:val="es-MX"/>
        </w:rPr>
      </w:pPr>
      <w:r w:rsidRPr="00EE03AE">
        <w:rPr>
          <w:rFonts w:ascii="Arial" w:eastAsia="Calibri" w:hAnsi="Arial" w:cs="Arial"/>
          <w:sz w:val="22"/>
          <w:szCs w:val="22"/>
          <w:lang w:val="es-MX"/>
        </w:rPr>
        <w:t>Este concepto tiene el alcance previsto en el artículo 28 del Código de Procedimiento Administrativo y de lo Contencioso Administrativo.</w:t>
      </w:r>
    </w:p>
    <w:p w14:paraId="03CAC03F" w14:textId="77777777" w:rsidR="00663BF6" w:rsidRPr="00EE03AE" w:rsidRDefault="00663BF6" w:rsidP="00663BF6">
      <w:pPr>
        <w:jc w:val="both"/>
        <w:rPr>
          <w:rFonts w:ascii="Arial" w:eastAsia="Calibri" w:hAnsi="Arial" w:cs="Arial"/>
          <w:sz w:val="22"/>
          <w:szCs w:val="22"/>
          <w:lang w:val="es-MX"/>
        </w:rPr>
      </w:pPr>
      <w:r w:rsidRPr="00EE03AE">
        <w:rPr>
          <w:noProof/>
          <w:sz w:val="22"/>
          <w:szCs w:val="22"/>
          <w:lang w:val="en-US" w:eastAsia="en-US"/>
        </w:rPr>
        <mc:AlternateContent>
          <mc:Choice Requires="wps">
            <w:drawing>
              <wp:anchor distT="0" distB="0" distL="114300" distR="114300" simplePos="0" relativeHeight="251659264" behindDoc="0" locked="0" layoutInCell="1" allowOverlap="1" wp14:anchorId="0C5C0C32" wp14:editId="424C8745">
                <wp:simplePos x="0" y="0"/>
                <wp:positionH relativeFrom="page">
                  <wp:posOffset>1514475</wp:posOffset>
                </wp:positionH>
                <wp:positionV relativeFrom="paragraph">
                  <wp:posOffset>10160</wp:posOffset>
                </wp:positionV>
                <wp:extent cx="4686300" cy="0"/>
                <wp:effectExtent l="0" t="0" r="0" b="0"/>
                <wp:wrapNone/>
                <wp:docPr id="2" name="Conector recto 2"/>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3032B15B" id="Conector recto 2"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from="119.25pt,.8pt" to="488.2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" strokecolor="#dbdbdb">
                <w10:wrap anchorx="page"/>
              </v:line>
            </w:pict>
          </mc:Fallback>
        </mc:AlternateContent>
      </w:r>
    </w:p>
    <w:p w14:paraId="24D63C50" w14:textId="73E16CDC" w:rsidR="00663BF6" w:rsidRDefault="00663BF6" w:rsidP="00DF6CB4">
      <w:pPr>
        <w:rPr>
          <w:rFonts w:ascii="Arial" w:hAnsi="Arial" w:cs="Arial"/>
          <w:sz w:val="22"/>
          <w:szCs w:val="22"/>
          <w:lang w:val="es-MX" w:eastAsia="es-CO"/>
        </w:rPr>
      </w:pPr>
      <w:r w:rsidRPr="00EE03AE">
        <w:rPr>
          <w:rFonts w:ascii="Arial" w:hAnsi="Arial" w:cs="Arial"/>
          <w:sz w:val="22"/>
          <w:szCs w:val="22"/>
          <w:lang w:val="es-MX" w:eastAsia="es-CO"/>
        </w:rPr>
        <w:t>Atentamente,</w:t>
      </w:r>
    </w:p>
    <w:p w14:paraId="42A356DA" w14:textId="77777777" w:rsidR="00D32DA5" w:rsidRPr="00EE03AE" w:rsidRDefault="00D32DA5" w:rsidP="00DF6CB4">
      <w:pPr>
        <w:rPr>
          <w:rFonts w:ascii="Arial" w:hAnsi="Arial" w:cs="Arial"/>
          <w:sz w:val="22"/>
          <w:szCs w:val="22"/>
          <w:lang w:val="es-MX" w:eastAsia="es-CO"/>
        </w:rPr>
      </w:pPr>
    </w:p>
    <w:p w14:paraId="49D496B0" w14:textId="6020D7DF" w:rsidR="00663BF6" w:rsidRPr="00EE03AE" w:rsidRDefault="00465B52" w:rsidP="00663BF6">
      <w:pPr>
        <w:spacing w:line="276" w:lineRule="auto"/>
        <w:jc w:val="center"/>
        <w:rPr>
          <w:rFonts w:ascii="Arial" w:hAnsi="Arial" w:cs="Arial"/>
          <w:color w:val="000000"/>
          <w:lang w:val="es-ES_tradnl" w:eastAsia="es-CO"/>
        </w:rPr>
      </w:pPr>
      <w:r w:rsidRPr="00EE03AE">
        <w:rPr>
          <w:noProof/>
        </w:rPr>
        <w:drawing>
          <wp:inline distT="0" distB="0" distL="0" distR="0" wp14:anchorId="3A822724" wp14:editId="2C9AF58F">
            <wp:extent cx="3295650" cy="1402096"/>
            <wp:effectExtent l="0" t="0" r="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3295650" cy="1402096"/>
                    </a:xfrm>
                    <a:prstGeom prst="rect">
                      <a:avLst/>
                    </a:prstGeom>
                    <a:noFill/>
                    <a:ln>
                      <a:noFill/>
                    </a:ln>
                  </pic:spPr>
                </pic:pic>
              </a:graphicData>
            </a:graphic>
          </wp:inline>
        </w:drawing>
      </w:r>
    </w:p>
    <w:p w14:paraId="7B2C1A53" w14:textId="77777777" w:rsidR="00B62E6B" w:rsidRPr="00EE03AE" w:rsidRDefault="00B62E6B" w:rsidP="00663BF6">
      <w:pPr>
        <w:spacing w:line="276" w:lineRule="auto"/>
        <w:jc w:val="center"/>
        <w:rPr>
          <w:rFonts w:ascii="Arial" w:hAnsi="Arial" w:cs="Arial"/>
          <w:color w:val="000000"/>
          <w:lang w:val="es-ES_tradnl" w:eastAsia="es-CO"/>
        </w:rPr>
      </w:pPr>
    </w:p>
    <w:tbl>
      <w:tblPr>
        <w:tblStyle w:val="Tablaconcuadrcula"/>
        <w:tblW w:w="58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0"/>
        <w:gridCol w:w="4742"/>
      </w:tblGrid>
      <w:tr w:rsidR="00770721" w:rsidRPr="00EE03AE" w14:paraId="79C67195" w14:textId="77777777" w:rsidTr="00EE03AE">
        <w:trPr>
          <w:trHeight w:val="315"/>
        </w:trPr>
        <w:tc>
          <w:tcPr>
            <w:tcW w:w="1070" w:type="dxa"/>
            <w:tcBorders>
              <w:top w:val="nil"/>
              <w:left w:val="nil"/>
              <w:bottom w:val="dotted" w:sz="4" w:space="0" w:color="7F7F7F"/>
              <w:right w:val="nil"/>
            </w:tcBorders>
            <w:vAlign w:val="center"/>
          </w:tcPr>
          <w:bookmarkEnd w:id="4"/>
          <w:p w14:paraId="6AB674B2" w14:textId="45759D7B" w:rsidR="00770721" w:rsidRPr="00EE03AE" w:rsidRDefault="00770721" w:rsidP="00770721">
            <w:pPr>
              <w:rPr>
                <w:rFonts w:ascii="Arial" w:eastAsia="Calibri" w:hAnsi="Arial" w:cs="Arial"/>
                <w:sz w:val="16"/>
                <w:szCs w:val="16"/>
                <w:lang w:val="es-ES_tradnl" w:eastAsia="es-ES"/>
              </w:rPr>
            </w:pPr>
            <w:r w:rsidRPr="00EE03AE">
              <w:rPr>
                <w:rFonts w:ascii="Arial" w:eastAsia="Calibri" w:hAnsi="Arial" w:cs="Arial"/>
                <w:sz w:val="16"/>
                <w:szCs w:val="16"/>
                <w:lang w:val="es-ES_tradnl" w:eastAsia="es-ES"/>
              </w:rPr>
              <w:t>Elaboró:</w:t>
            </w:r>
          </w:p>
        </w:tc>
        <w:tc>
          <w:tcPr>
            <w:tcW w:w="4742" w:type="dxa"/>
            <w:tcBorders>
              <w:top w:val="nil"/>
              <w:left w:val="nil"/>
              <w:bottom w:val="dotted" w:sz="4" w:space="0" w:color="7F7F7F"/>
              <w:right w:val="nil"/>
            </w:tcBorders>
            <w:vAlign w:val="center"/>
            <w:hideMark/>
          </w:tcPr>
          <w:p w14:paraId="509A1C77" w14:textId="28580DEF" w:rsidR="00770721" w:rsidRPr="00EE03AE" w:rsidRDefault="001F532F" w:rsidP="00770721">
            <w:pPr>
              <w:rPr>
                <w:rFonts w:ascii="Arial" w:eastAsia="Calibri" w:hAnsi="Arial" w:cs="Arial"/>
                <w:sz w:val="16"/>
                <w:szCs w:val="16"/>
                <w:lang w:val="es-ES_tradnl" w:eastAsia="es-ES"/>
              </w:rPr>
            </w:pPr>
            <w:r w:rsidRPr="00EE03AE">
              <w:rPr>
                <w:rFonts w:ascii="Arial" w:eastAsia="Calibri" w:hAnsi="Arial" w:cs="Arial"/>
                <w:sz w:val="16"/>
                <w:szCs w:val="16"/>
                <w:lang w:val="es-ES_tradnl" w:eastAsia="es-ES"/>
              </w:rPr>
              <w:t xml:space="preserve">Guillermo Escolar </w:t>
            </w:r>
            <w:r w:rsidR="00B62E6B" w:rsidRPr="00EE03AE">
              <w:rPr>
                <w:rFonts w:ascii="Arial" w:eastAsia="Calibri" w:hAnsi="Arial" w:cs="Arial"/>
                <w:sz w:val="16"/>
                <w:szCs w:val="16"/>
                <w:lang w:val="es-ES_tradnl" w:eastAsia="es-ES"/>
              </w:rPr>
              <w:t>Flórez</w:t>
            </w:r>
          </w:p>
          <w:p w14:paraId="4342EE8D" w14:textId="77777777" w:rsidR="00770721" w:rsidRPr="00EE03AE" w:rsidRDefault="00770721" w:rsidP="00770721">
            <w:pPr>
              <w:rPr>
                <w:rFonts w:ascii="Arial" w:eastAsia="Calibri" w:hAnsi="Arial" w:cs="Arial"/>
                <w:sz w:val="16"/>
                <w:szCs w:val="16"/>
                <w:lang w:val="es-ES_tradnl" w:eastAsia="es-ES"/>
              </w:rPr>
            </w:pPr>
            <w:r w:rsidRPr="00EE03AE">
              <w:rPr>
                <w:rFonts w:ascii="Arial" w:eastAsia="Calibri" w:hAnsi="Arial" w:cs="Arial"/>
                <w:sz w:val="16"/>
                <w:szCs w:val="16"/>
                <w:lang w:val="es-ES_tradnl" w:eastAsia="es-ES"/>
              </w:rPr>
              <w:t>Contratista de la Subdirección de Gestión Contractual</w:t>
            </w:r>
          </w:p>
        </w:tc>
      </w:tr>
      <w:tr w:rsidR="00727847" w:rsidRPr="00EE03AE" w14:paraId="3C12855E" w14:textId="77777777" w:rsidTr="00EE03AE">
        <w:trPr>
          <w:trHeight w:val="330"/>
        </w:trPr>
        <w:tc>
          <w:tcPr>
            <w:tcW w:w="1070" w:type="dxa"/>
            <w:vMerge w:val="restart"/>
            <w:tcBorders>
              <w:top w:val="dotted" w:sz="4" w:space="0" w:color="7F7F7F"/>
              <w:left w:val="nil"/>
              <w:right w:val="nil"/>
            </w:tcBorders>
            <w:vAlign w:val="center"/>
          </w:tcPr>
          <w:p w14:paraId="613839A1" w14:textId="789AA8A4" w:rsidR="00727847" w:rsidRPr="00EE03AE" w:rsidRDefault="00727847" w:rsidP="00770721">
            <w:pPr>
              <w:rPr>
                <w:rFonts w:ascii="Arial" w:eastAsia="Calibri" w:hAnsi="Arial" w:cs="Arial"/>
                <w:sz w:val="16"/>
                <w:szCs w:val="16"/>
                <w:lang w:val="es-ES_tradnl" w:eastAsia="es-ES"/>
              </w:rPr>
            </w:pPr>
            <w:r w:rsidRPr="00EE03AE">
              <w:rPr>
                <w:rFonts w:ascii="Arial" w:eastAsia="Calibri" w:hAnsi="Arial" w:cs="Arial"/>
                <w:sz w:val="16"/>
                <w:szCs w:val="16"/>
                <w:lang w:val="es-ES_tradnl" w:eastAsia="es-ES"/>
              </w:rPr>
              <w:t>Revisaron:</w:t>
            </w:r>
          </w:p>
        </w:tc>
        <w:tc>
          <w:tcPr>
            <w:tcW w:w="4742" w:type="dxa"/>
            <w:tcBorders>
              <w:top w:val="dotted" w:sz="4" w:space="0" w:color="7F7F7F"/>
              <w:left w:val="nil"/>
              <w:bottom w:val="dotted" w:sz="4" w:space="0" w:color="7F7F7F"/>
              <w:right w:val="nil"/>
            </w:tcBorders>
            <w:vAlign w:val="center"/>
            <w:hideMark/>
          </w:tcPr>
          <w:p w14:paraId="59647158" w14:textId="77777777" w:rsidR="00727847" w:rsidRPr="00EE03AE" w:rsidRDefault="00727847" w:rsidP="001F532F">
            <w:pPr>
              <w:rPr>
                <w:rFonts w:ascii="Arial" w:hAnsi="Arial" w:cs="Arial"/>
                <w:sz w:val="16"/>
                <w:szCs w:val="16"/>
                <w:lang w:val="es-ES_tradnl" w:eastAsia="es-ES"/>
              </w:rPr>
            </w:pPr>
            <w:r w:rsidRPr="00EE03AE">
              <w:rPr>
                <w:rFonts w:ascii="Arial" w:hAnsi="Arial" w:cs="Arial"/>
                <w:sz w:val="16"/>
                <w:szCs w:val="16"/>
                <w:lang w:val="es-ES_tradnl" w:eastAsia="es-ES"/>
              </w:rPr>
              <w:t>Alejandro Sarmiento Cantillo</w:t>
            </w:r>
          </w:p>
          <w:p w14:paraId="22F907BF" w14:textId="77777777" w:rsidR="00727847" w:rsidRPr="00EE03AE" w:rsidRDefault="00727847" w:rsidP="00770721">
            <w:pPr>
              <w:rPr>
                <w:rFonts w:ascii="Arial" w:eastAsia="Calibri" w:hAnsi="Arial" w:cs="Arial"/>
                <w:sz w:val="16"/>
                <w:szCs w:val="16"/>
                <w:lang w:val="es-ES_tradnl" w:eastAsia="es-ES"/>
              </w:rPr>
            </w:pPr>
            <w:r w:rsidRPr="00EE03AE">
              <w:rPr>
                <w:rFonts w:ascii="Arial" w:eastAsia="Calibri" w:hAnsi="Arial" w:cs="Arial"/>
                <w:sz w:val="16"/>
                <w:szCs w:val="16"/>
                <w:lang w:val="es-ES_tradnl" w:eastAsia="es-ES"/>
              </w:rPr>
              <w:t>Gestor T1-15 de la Subdirección de Gestión Contractual</w:t>
            </w:r>
          </w:p>
          <w:p w14:paraId="29805A3C" w14:textId="79935E1D" w:rsidR="00727847" w:rsidRPr="00EE03AE" w:rsidRDefault="00727847" w:rsidP="00770721">
            <w:pPr>
              <w:rPr>
                <w:rFonts w:ascii="Arial" w:eastAsia="Calibri" w:hAnsi="Arial" w:cs="Arial"/>
                <w:sz w:val="16"/>
                <w:szCs w:val="16"/>
                <w:lang w:val="es-ES_tradnl" w:eastAsia="es-ES"/>
              </w:rPr>
            </w:pPr>
          </w:p>
        </w:tc>
      </w:tr>
      <w:tr w:rsidR="00727847" w:rsidRPr="00EE03AE" w14:paraId="5FE53F60" w14:textId="77777777" w:rsidTr="00EE03AE">
        <w:trPr>
          <w:trHeight w:val="330"/>
        </w:trPr>
        <w:tc>
          <w:tcPr>
            <w:tcW w:w="1070" w:type="dxa"/>
            <w:vMerge/>
            <w:tcBorders>
              <w:left w:val="nil"/>
              <w:bottom w:val="dotted" w:sz="4" w:space="0" w:color="7F7F7F"/>
              <w:right w:val="nil"/>
            </w:tcBorders>
            <w:vAlign w:val="center"/>
          </w:tcPr>
          <w:p w14:paraId="502A4660" w14:textId="77777777" w:rsidR="00727847" w:rsidRPr="00EE03AE" w:rsidRDefault="00727847" w:rsidP="00770721">
            <w:pPr>
              <w:rPr>
                <w:rFonts w:ascii="Arial" w:eastAsia="Calibri" w:hAnsi="Arial" w:cs="Arial"/>
                <w:sz w:val="16"/>
                <w:szCs w:val="16"/>
                <w:lang w:val="es-ES_tradnl" w:eastAsia="es-ES"/>
              </w:rPr>
            </w:pPr>
          </w:p>
        </w:tc>
        <w:tc>
          <w:tcPr>
            <w:tcW w:w="4742" w:type="dxa"/>
            <w:tcBorders>
              <w:top w:val="dotted" w:sz="4" w:space="0" w:color="7F7F7F"/>
              <w:left w:val="nil"/>
              <w:bottom w:val="dotted" w:sz="4" w:space="0" w:color="7F7F7F"/>
              <w:right w:val="nil"/>
            </w:tcBorders>
            <w:vAlign w:val="center"/>
          </w:tcPr>
          <w:p w14:paraId="14605B42" w14:textId="77777777" w:rsidR="00727847" w:rsidRPr="00EE03AE" w:rsidRDefault="00727847" w:rsidP="001F532F">
            <w:pPr>
              <w:rPr>
                <w:rFonts w:ascii="Arial" w:hAnsi="Arial" w:cs="Arial"/>
                <w:sz w:val="16"/>
                <w:szCs w:val="16"/>
                <w:lang w:val="es-ES_tradnl" w:eastAsia="es-ES"/>
              </w:rPr>
            </w:pPr>
            <w:proofErr w:type="spellStart"/>
            <w:r w:rsidRPr="00EE03AE">
              <w:rPr>
                <w:rFonts w:ascii="Arial" w:hAnsi="Arial" w:cs="Arial"/>
                <w:sz w:val="16"/>
                <w:szCs w:val="16"/>
                <w:lang w:val="es-ES_tradnl" w:eastAsia="es-ES"/>
              </w:rPr>
              <w:t>Karlo</w:t>
            </w:r>
            <w:proofErr w:type="spellEnd"/>
            <w:r w:rsidRPr="00EE03AE">
              <w:rPr>
                <w:rFonts w:ascii="Arial" w:hAnsi="Arial" w:cs="Arial"/>
                <w:sz w:val="16"/>
                <w:szCs w:val="16"/>
                <w:lang w:val="es-ES_tradnl" w:eastAsia="es-ES"/>
              </w:rPr>
              <w:t xml:space="preserve"> Fernández Cala</w:t>
            </w:r>
          </w:p>
          <w:p w14:paraId="00DAAB2B" w14:textId="0805A59A" w:rsidR="00727847" w:rsidRPr="00EE03AE" w:rsidRDefault="00727847" w:rsidP="001F532F">
            <w:pPr>
              <w:rPr>
                <w:rFonts w:ascii="Arial" w:hAnsi="Arial" w:cs="Arial"/>
                <w:sz w:val="16"/>
                <w:szCs w:val="16"/>
                <w:lang w:val="es-ES_tradnl" w:eastAsia="es-ES"/>
              </w:rPr>
            </w:pPr>
            <w:r w:rsidRPr="00EE03AE">
              <w:rPr>
                <w:rFonts w:ascii="Arial" w:eastAsia="Calibri" w:hAnsi="Arial" w:cs="Arial"/>
                <w:sz w:val="16"/>
                <w:szCs w:val="16"/>
                <w:lang w:val="es-ES_tradnl" w:eastAsia="es-ES"/>
              </w:rPr>
              <w:t>Gestor T1-15 de la Dirección General</w:t>
            </w:r>
          </w:p>
        </w:tc>
      </w:tr>
      <w:tr w:rsidR="004F3659" w:rsidRPr="00414696" w14:paraId="576C683A" w14:textId="77777777" w:rsidTr="00EE03AE">
        <w:trPr>
          <w:trHeight w:val="300"/>
        </w:trPr>
        <w:tc>
          <w:tcPr>
            <w:tcW w:w="1070" w:type="dxa"/>
            <w:tcBorders>
              <w:top w:val="dotted" w:sz="4" w:space="0" w:color="7F7F7F"/>
              <w:left w:val="nil"/>
              <w:bottom w:val="dotted" w:sz="4" w:space="0" w:color="7F7F7F"/>
              <w:right w:val="nil"/>
            </w:tcBorders>
            <w:vAlign w:val="center"/>
          </w:tcPr>
          <w:p w14:paraId="529652CD" w14:textId="18E89074" w:rsidR="004F3659" w:rsidRPr="00EE03AE" w:rsidRDefault="004F3659" w:rsidP="004F3659">
            <w:pPr>
              <w:rPr>
                <w:rFonts w:ascii="Arial" w:eastAsia="Calibri" w:hAnsi="Arial" w:cs="Arial"/>
                <w:sz w:val="16"/>
                <w:szCs w:val="16"/>
                <w:lang w:val="pt-BR" w:eastAsia="es-ES"/>
              </w:rPr>
            </w:pPr>
            <w:r w:rsidRPr="00EE03AE">
              <w:rPr>
                <w:rFonts w:ascii="Arial" w:eastAsia="Calibri" w:hAnsi="Arial" w:cs="Arial"/>
                <w:sz w:val="16"/>
                <w:szCs w:val="16"/>
                <w:lang w:val="es-ES_tradnl" w:eastAsia="es-ES"/>
              </w:rPr>
              <w:t>Aprobó:</w:t>
            </w:r>
          </w:p>
        </w:tc>
        <w:tc>
          <w:tcPr>
            <w:tcW w:w="4742" w:type="dxa"/>
            <w:tcBorders>
              <w:top w:val="dotted" w:sz="4" w:space="0" w:color="7F7F7F"/>
              <w:left w:val="nil"/>
              <w:bottom w:val="dotted" w:sz="4" w:space="0" w:color="7F7F7F"/>
              <w:right w:val="nil"/>
            </w:tcBorders>
            <w:vAlign w:val="center"/>
            <w:hideMark/>
          </w:tcPr>
          <w:p w14:paraId="0BF12365" w14:textId="77777777" w:rsidR="004F3659" w:rsidRPr="00EE03AE" w:rsidRDefault="004F3659" w:rsidP="004F3659">
            <w:pPr>
              <w:rPr>
                <w:rFonts w:ascii="Arial" w:hAnsi="Arial" w:cs="Arial"/>
                <w:color w:val="000000" w:themeColor="text1"/>
                <w:sz w:val="16"/>
                <w:szCs w:val="16"/>
                <w:lang w:eastAsia="es-ES"/>
              </w:rPr>
            </w:pPr>
            <w:r w:rsidRPr="00EE03AE">
              <w:rPr>
                <w:rFonts w:ascii="Arial" w:hAnsi="Arial" w:cs="Arial"/>
                <w:color w:val="000000" w:themeColor="text1"/>
                <w:sz w:val="16"/>
                <w:szCs w:val="16"/>
                <w:lang w:eastAsia="es-ES"/>
              </w:rPr>
              <w:t xml:space="preserve">Andrés Ricardo Mancipe González </w:t>
            </w:r>
          </w:p>
          <w:p w14:paraId="01EF6117" w14:textId="79631E43" w:rsidR="004F3659" w:rsidRPr="00414696" w:rsidRDefault="004F3659" w:rsidP="004F3659">
            <w:pPr>
              <w:rPr>
                <w:rFonts w:ascii="Arial" w:eastAsia="Calibri" w:hAnsi="Arial" w:cs="Arial"/>
                <w:sz w:val="16"/>
                <w:szCs w:val="16"/>
                <w:lang w:val="pt-BR" w:eastAsia="es-ES"/>
              </w:rPr>
            </w:pPr>
            <w:r w:rsidRPr="00EE03AE">
              <w:rPr>
                <w:rFonts w:ascii="Arial" w:hAnsi="Arial" w:cs="Arial"/>
                <w:color w:val="000000" w:themeColor="text1"/>
                <w:sz w:val="16"/>
                <w:szCs w:val="16"/>
                <w:lang w:eastAsia="es-ES"/>
              </w:rPr>
              <w:t>Subdirector de Gestión Contractual (E)</w:t>
            </w:r>
          </w:p>
        </w:tc>
      </w:tr>
    </w:tbl>
    <w:p w14:paraId="72733A7E" w14:textId="77777777" w:rsidR="005E7EFB" w:rsidRPr="002873D0" w:rsidRDefault="005E7EFB">
      <w:pPr>
        <w:rPr>
          <w:lang w:val="pt-BR"/>
        </w:rPr>
      </w:pPr>
    </w:p>
    <w:sectPr w:rsidR="005E7EFB" w:rsidRPr="002873D0" w:rsidSect="005A79FE">
      <w:headerReference w:type="default" r:id="rId13"/>
      <w:footerReference w:type="default" r:id="rId14"/>
      <w:pgSz w:w="12240" w:h="15840"/>
      <w:pgMar w:top="1779" w:right="1750"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F88347" w14:textId="77777777" w:rsidR="003D2795" w:rsidRDefault="003D2795" w:rsidP="00663BF6">
      <w:r>
        <w:separator/>
      </w:r>
    </w:p>
  </w:endnote>
  <w:endnote w:type="continuationSeparator" w:id="0">
    <w:p w14:paraId="05A70150" w14:textId="77777777" w:rsidR="003D2795" w:rsidRDefault="003D2795" w:rsidP="00663B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9304F" w14:textId="384DE768" w:rsidR="000126BB" w:rsidRPr="00857761" w:rsidRDefault="00E948EC" w:rsidP="005A79FE">
    <w:pPr>
      <w:pStyle w:val="Piedepgina"/>
      <w:jc w:val="right"/>
      <w:rPr>
        <w:rFonts w:ascii="Arial" w:hAnsi="Arial" w:cs="Arial"/>
        <w:color w:val="7F7F7F"/>
        <w:sz w:val="16"/>
        <w:szCs w:val="16"/>
      </w:rPr>
    </w:pPr>
    <w:r w:rsidRPr="00857761">
      <w:rPr>
        <w:rFonts w:ascii="Arial" w:hAnsi="Arial" w:cs="Arial"/>
        <w:bCs/>
        <w:color w:val="7F7F7F"/>
        <w:sz w:val="16"/>
        <w:szCs w:val="16"/>
      </w:rPr>
      <w:t xml:space="preserve">Página </w:t>
    </w:r>
    <w:r w:rsidRPr="00857761">
      <w:rPr>
        <w:rFonts w:ascii="Arial" w:hAnsi="Arial" w:cs="Arial"/>
        <w:b/>
        <w:bCs/>
        <w:color w:val="7F7F7F"/>
        <w:sz w:val="16"/>
        <w:szCs w:val="16"/>
      </w:rPr>
      <w:fldChar w:fldCharType="begin"/>
    </w:r>
    <w:r w:rsidRPr="00857761">
      <w:rPr>
        <w:rFonts w:ascii="Arial" w:hAnsi="Arial" w:cs="Arial"/>
        <w:b/>
        <w:bCs/>
        <w:color w:val="7F7F7F"/>
        <w:sz w:val="16"/>
        <w:szCs w:val="16"/>
      </w:rPr>
      <w:instrText>PAGE  \* Arabic  \* MERGEFORMAT</w:instrText>
    </w:r>
    <w:r w:rsidRPr="00857761">
      <w:rPr>
        <w:rFonts w:ascii="Arial" w:hAnsi="Arial" w:cs="Arial"/>
        <w:b/>
        <w:bCs/>
        <w:color w:val="7F7F7F"/>
        <w:sz w:val="16"/>
        <w:szCs w:val="16"/>
      </w:rPr>
      <w:fldChar w:fldCharType="separate"/>
    </w:r>
    <w:r w:rsidR="00444673">
      <w:rPr>
        <w:rFonts w:ascii="Arial" w:hAnsi="Arial" w:cs="Arial"/>
        <w:b/>
        <w:bCs/>
        <w:noProof/>
        <w:color w:val="7F7F7F"/>
        <w:sz w:val="16"/>
        <w:szCs w:val="16"/>
      </w:rPr>
      <w:t>1</w:t>
    </w:r>
    <w:r w:rsidRPr="00857761">
      <w:rPr>
        <w:rFonts w:ascii="Arial" w:hAnsi="Arial" w:cs="Arial"/>
        <w:b/>
        <w:bCs/>
        <w:color w:val="7F7F7F"/>
        <w:sz w:val="16"/>
        <w:szCs w:val="16"/>
      </w:rPr>
      <w:fldChar w:fldCharType="end"/>
    </w:r>
    <w:r w:rsidRPr="00857761">
      <w:rPr>
        <w:rFonts w:ascii="Arial" w:hAnsi="Arial" w:cs="Arial"/>
        <w:color w:val="7F7F7F"/>
        <w:sz w:val="16"/>
        <w:szCs w:val="16"/>
      </w:rPr>
      <w:t xml:space="preserve"> de </w:t>
    </w:r>
    <w:r w:rsidRPr="00857761">
      <w:rPr>
        <w:rFonts w:ascii="Arial" w:hAnsi="Arial" w:cs="Arial"/>
        <w:b/>
        <w:bCs/>
        <w:color w:val="7F7F7F"/>
        <w:sz w:val="16"/>
        <w:szCs w:val="16"/>
      </w:rPr>
      <w:fldChar w:fldCharType="begin"/>
    </w:r>
    <w:r w:rsidRPr="00857761">
      <w:rPr>
        <w:rFonts w:ascii="Arial" w:hAnsi="Arial" w:cs="Arial"/>
        <w:b/>
        <w:bCs/>
        <w:color w:val="7F7F7F"/>
        <w:sz w:val="16"/>
        <w:szCs w:val="16"/>
      </w:rPr>
      <w:instrText>NUMPAGES  \* Arabic  \* MERGEFORMAT</w:instrText>
    </w:r>
    <w:r w:rsidRPr="00857761">
      <w:rPr>
        <w:rFonts w:ascii="Arial" w:hAnsi="Arial" w:cs="Arial"/>
        <w:b/>
        <w:bCs/>
        <w:color w:val="7F7F7F"/>
        <w:sz w:val="16"/>
        <w:szCs w:val="16"/>
      </w:rPr>
      <w:fldChar w:fldCharType="separate"/>
    </w:r>
    <w:r w:rsidR="00444673">
      <w:rPr>
        <w:rFonts w:ascii="Arial" w:hAnsi="Arial" w:cs="Arial"/>
        <w:b/>
        <w:bCs/>
        <w:noProof/>
        <w:color w:val="7F7F7F"/>
        <w:sz w:val="16"/>
        <w:szCs w:val="16"/>
      </w:rPr>
      <w:t>1</w:t>
    </w:r>
    <w:r w:rsidRPr="00857761">
      <w:rPr>
        <w:rFonts w:ascii="Arial" w:hAnsi="Arial" w:cs="Arial"/>
        <w:b/>
        <w:bCs/>
        <w:color w:val="7F7F7F"/>
        <w:sz w:val="16"/>
        <w:szCs w:val="16"/>
      </w:rPr>
      <w:fldChar w:fldCharType="end"/>
    </w:r>
  </w:p>
  <w:p w14:paraId="102F33B9" w14:textId="77777777" w:rsidR="000126BB" w:rsidRDefault="00E948EC" w:rsidP="007B0854">
    <w:pPr>
      <w:pStyle w:val="Piedepgina"/>
      <w:jc w:val="center"/>
      <w:rPr>
        <w:lang w:val="es-ES"/>
      </w:rPr>
    </w:pPr>
    <w:r>
      <w:rPr>
        <w:noProof/>
        <w:lang w:val="en-US"/>
      </w:rPr>
      <w:drawing>
        <wp:inline distT="0" distB="0" distL="0" distR="0" wp14:anchorId="029BCD78" wp14:editId="2E263290">
          <wp:extent cx="4241994" cy="595165"/>
          <wp:effectExtent l="0" t="0" r="6350" b="0"/>
          <wp:docPr id="1833779600"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pic:nvPicPr>
                <pic:blipFill>
                  <a:blip r:embed="rId1">
                    <a:extLst>
                      <a:ext uri="{28A0092B-C50C-407E-A947-70E740481C1C}">
                        <a14:useLocalDpi xmlns:a14="http://schemas.microsoft.com/office/drawing/2010/main" val="0"/>
                      </a:ext>
                    </a:extLst>
                  </a:blip>
                  <a:stretch>
                    <a:fillRect/>
                  </a:stretch>
                </pic:blipFill>
                <pic:spPr>
                  <a:xfrm>
                    <a:off x="0" y="0"/>
                    <a:ext cx="4241994" cy="595165"/>
                  </a:xfrm>
                  <a:prstGeom prst="rect">
                    <a:avLst/>
                  </a:prstGeom>
                </pic:spPr>
              </pic:pic>
            </a:graphicData>
          </a:graphic>
        </wp:inline>
      </w:drawing>
    </w:r>
  </w:p>
  <w:p w14:paraId="7DDFFEB2" w14:textId="77777777" w:rsidR="00E17C49" w:rsidRDefault="003D2795" w:rsidP="007B0854">
    <w:pPr>
      <w:pStyle w:val="Piedepgina"/>
      <w:jc w:val="center"/>
      <w:rPr>
        <w:lang w:val="es-ES"/>
      </w:rPr>
    </w:pPr>
  </w:p>
  <w:p w14:paraId="153ADF3D" w14:textId="77777777" w:rsidR="000126BB" w:rsidRPr="007B0854" w:rsidRDefault="003D2795" w:rsidP="00A5235A">
    <w:pPr>
      <w:pStyle w:val="Piedepgina"/>
      <w:spacing w:line="120" w:lineRule="auto"/>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17D9CC" w14:textId="77777777" w:rsidR="003D2795" w:rsidRDefault="003D2795" w:rsidP="00663BF6">
      <w:r>
        <w:separator/>
      </w:r>
    </w:p>
  </w:footnote>
  <w:footnote w:type="continuationSeparator" w:id="0">
    <w:p w14:paraId="1E7F9F2F" w14:textId="77777777" w:rsidR="003D2795" w:rsidRDefault="003D2795" w:rsidP="00663BF6">
      <w:r>
        <w:continuationSeparator/>
      </w:r>
    </w:p>
  </w:footnote>
  <w:footnote w:id="1">
    <w:p w14:paraId="585D77DB" w14:textId="77777777" w:rsidR="00DF5B1C" w:rsidRPr="00DA11A4" w:rsidRDefault="00DF5B1C" w:rsidP="00DF5B1C">
      <w:pPr>
        <w:pStyle w:val="Textonotapie"/>
        <w:ind w:firstLine="709"/>
        <w:jc w:val="both"/>
        <w:rPr>
          <w:rFonts w:ascii="Arial" w:eastAsia="Times New Roman" w:hAnsi="Arial" w:cs="Arial"/>
          <w:color w:val="000000"/>
          <w:sz w:val="19"/>
          <w:szCs w:val="19"/>
          <w:bdr w:val="none" w:sz="0" w:space="0" w:color="auto" w:frame="1"/>
          <w:lang w:eastAsia="es-CO"/>
        </w:rPr>
      </w:pPr>
      <w:r w:rsidRPr="00EE03AE">
        <w:rPr>
          <w:rStyle w:val="Refdenotaalpie"/>
          <w:rFonts w:ascii="Arial" w:hAnsi="Arial" w:cs="Arial"/>
          <w:sz w:val="19"/>
          <w:szCs w:val="19"/>
        </w:rPr>
        <w:footnoteRef/>
      </w:r>
      <w:r w:rsidRPr="00EE03AE">
        <w:rPr>
          <w:rFonts w:ascii="Arial" w:hAnsi="Arial" w:cs="Arial"/>
          <w:sz w:val="19"/>
          <w:szCs w:val="19"/>
        </w:rPr>
        <w:t xml:space="preserve"> </w:t>
      </w:r>
      <w:r w:rsidRPr="00DA11A4">
        <w:rPr>
          <w:rFonts w:ascii="Arial" w:eastAsia="Times New Roman" w:hAnsi="Arial" w:cs="Arial"/>
          <w:color w:val="000000"/>
          <w:sz w:val="19"/>
          <w:szCs w:val="19"/>
          <w:bdr w:val="none" w:sz="0" w:space="0" w:color="auto" w:frame="1"/>
          <w:lang w:eastAsia="es-CO"/>
        </w:rPr>
        <w:t>El parágrafo 3 del artículo 2 de la Ley 1150 de 2007 facultó por primera vez al Gobierno Nacional para adoptar estándares generales en los pliegos de condiciones, razón por la cual dispuso lo siguiente: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 </w:t>
      </w:r>
    </w:p>
    <w:p w14:paraId="14CBF4F0" w14:textId="77777777" w:rsidR="00DF5B1C" w:rsidRPr="00EE03AE" w:rsidRDefault="00DF5B1C" w:rsidP="00DF5B1C">
      <w:pPr>
        <w:pStyle w:val="Textonotapie"/>
        <w:ind w:firstLine="709"/>
        <w:rPr>
          <w:rFonts w:ascii="Arial" w:hAnsi="Arial" w:cs="Arial"/>
          <w:sz w:val="19"/>
          <w:szCs w:val="19"/>
        </w:rPr>
      </w:pPr>
    </w:p>
  </w:footnote>
  <w:footnote w:id="2">
    <w:p w14:paraId="6F804FA2" w14:textId="77777777" w:rsidR="00DF5B1C" w:rsidRPr="00DA11A4" w:rsidRDefault="00DF5B1C" w:rsidP="00DF5B1C">
      <w:pPr>
        <w:pStyle w:val="Textonotapie"/>
        <w:ind w:firstLine="709"/>
        <w:rPr>
          <w:rFonts w:ascii="Arial" w:eastAsia="Times New Roman" w:hAnsi="Arial" w:cs="Arial"/>
          <w:color w:val="000000"/>
          <w:sz w:val="19"/>
          <w:szCs w:val="19"/>
          <w:bdr w:val="none" w:sz="0" w:space="0" w:color="auto" w:frame="1"/>
          <w:lang w:eastAsia="es-CO"/>
        </w:rPr>
      </w:pPr>
      <w:r w:rsidRPr="00EE03AE">
        <w:rPr>
          <w:rStyle w:val="Refdenotaalpie"/>
          <w:rFonts w:ascii="Arial" w:hAnsi="Arial" w:cs="Arial"/>
          <w:sz w:val="19"/>
          <w:szCs w:val="19"/>
        </w:rPr>
        <w:footnoteRef/>
      </w:r>
      <w:r w:rsidRPr="00EE03AE">
        <w:rPr>
          <w:rFonts w:ascii="Arial" w:hAnsi="Arial" w:cs="Arial"/>
          <w:sz w:val="19"/>
          <w:szCs w:val="19"/>
        </w:rPr>
        <w:t xml:space="preserve"> </w:t>
      </w:r>
      <w:r w:rsidRPr="00DA11A4">
        <w:rPr>
          <w:rFonts w:ascii="Arial" w:eastAsia="Times New Roman" w:hAnsi="Arial" w:cs="Arial"/>
          <w:color w:val="000000"/>
          <w:sz w:val="19"/>
          <w:szCs w:val="19"/>
          <w:bdr w:val="none" w:sz="0" w:space="0" w:color="auto" w:frame="1"/>
          <w:lang w:eastAsia="es-CO"/>
        </w:rPr>
        <w:t>Diario Oficial. Gaceta del Congreso 458 de 2005.  </w:t>
      </w:r>
    </w:p>
    <w:p w14:paraId="287BFFC0" w14:textId="77777777" w:rsidR="00DF5B1C" w:rsidRPr="00EE03AE" w:rsidRDefault="00DF5B1C" w:rsidP="00DF5B1C">
      <w:pPr>
        <w:pStyle w:val="Textonotapie"/>
        <w:ind w:firstLine="709"/>
        <w:rPr>
          <w:rFonts w:ascii="Arial" w:hAnsi="Arial" w:cs="Arial"/>
          <w:sz w:val="19"/>
          <w:szCs w:val="19"/>
        </w:rPr>
      </w:pPr>
    </w:p>
  </w:footnote>
  <w:footnote w:id="3">
    <w:p w14:paraId="380F3301" w14:textId="47E1B96D" w:rsidR="00DF5B1C" w:rsidRPr="00EE03AE" w:rsidRDefault="00DF5B1C" w:rsidP="00DF5B1C">
      <w:pPr>
        <w:pStyle w:val="Textonotapie"/>
        <w:ind w:firstLine="709"/>
        <w:rPr>
          <w:rFonts w:ascii="Arial" w:hAnsi="Arial" w:cs="Arial"/>
          <w:sz w:val="19"/>
          <w:szCs w:val="19"/>
        </w:rPr>
      </w:pPr>
      <w:r w:rsidRPr="00EE03AE">
        <w:rPr>
          <w:rStyle w:val="Refdenotaalpie"/>
          <w:rFonts w:ascii="Arial" w:hAnsi="Arial" w:cs="Arial"/>
          <w:sz w:val="19"/>
          <w:szCs w:val="19"/>
        </w:rPr>
        <w:footnoteRef/>
      </w:r>
      <w:r w:rsidRPr="00EE03AE">
        <w:rPr>
          <w:rFonts w:ascii="Arial" w:hAnsi="Arial" w:cs="Arial"/>
          <w:sz w:val="19"/>
          <w:szCs w:val="19"/>
        </w:rPr>
        <w:t xml:space="preserve"> </w:t>
      </w:r>
      <w:r w:rsidRPr="00DA11A4">
        <w:rPr>
          <w:rFonts w:ascii="Arial" w:hAnsi="Arial" w:cs="Arial"/>
          <w:sz w:val="19"/>
          <w:szCs w:val="19"/>
        </w:rPr>
        <w:t>I</w:t>
      </w:r>
      <w:r w:rsidRPr="00EE03AE">
        <w:rPr>
          <w:rFonts w:ascii="Arial" w:hAnsi="Arial" w:cs="Arial"/>
          <w:i/>
          <w:iCs/>
          <w:sz w:val="19"/>
          <w:szCs w:val="19"/>
        </w:rPr>
        <w:t>bíd</w:t>
      </w:r>
      <w:r w:rsidR="00DA11A4" w:rsidRPr="00EE03AE">
        <w:rPr>
          <w:rFonts w:ascii="Arial" w:hAnsi="Arial" w:cs="Arial"/>
          <w:i/>
          <w:iCs/>
          <w:sz w:val="19"/>
          <w:szCs w:val="19"/>
        </w:rPr>
        <w:t>.</w:t>
      </w:r>
      <w:r w:rsidRPr="00DA11A4">
        <w:rPr>
          <w:rFonts w:ascii="Arial" w:hAnsi="Arial" w:cs="Arial"/>
          <w:sz w:val="19"/>
          <w:szCs w:val="19"/>
        </w:rPr>
        <w:t>.</w:t>
      </w:r>
      <w:r w:rsidRPr="00EE03AE">
        <w:rPr>
          <w:rFonts w:ascii="Arial" w:hAnsi="Arial" w:cs="Arial"/>
          <w:sz w:val="19"/>
          <w:szCs w:val="19"/>
        </w:rPr>
        <w:t xml:space="preserve">  </w:t>
      </w:r>
    </w:p>
    <w:p w14:paraId="3A24876E" w14:textId="77777777" w:rsidR="00DF5B1C" w:rsidRPr="00EE03AE" w:rsidRDefault="00DF5B1C" w:rsidP="00DF5B1C">
      <w:pPr>
        <w:pStyle w:val="Textonotapie"/>
        <w:ind w:firstLine="709"/>
        <w:rPr>
          <w:rFonts w:ascii="Arial" w:hAnsi="Arial" w:cs="Arial"/>
          <w:sz w:val="19"/>
          <w:szCs w:val="19"/>
        </w:rPr>
      </w:pPr>
    </w:p>
  </w:footnote>
  <w:footnote w:id="4">
    <w:p w14:paraId="266C472D" w14:textId="77777777" w:rsidR="00DF5B1C" w:rsidRPr="00DA11A4" w:rsidRDefault="00DF5B1C" w:rsidP="00DF5B1C">
      <w:pPr>
        <w:shd w:val="clear" w:color="auto" w:fill="FFFFFF"/>
        <w:ind w:firstLine="709"/>
        <w:jc w:val="both"/>
        <w:textAlignment w:val="baseline"/>
        <w:rPr>
          <w:rFonts w:ascii="Arial" w:hAnsi="Arial" w:cs="Arial"/>
          <w:color w:val="000000"/>
          <w:sz w:val="19"/>
          <w:szCs w:val="19"/>
          <w:bdr w:val="none" w:sz="0" w:space="0" w:color="auto" w:frame="1"/>
          <w:lang w:eastAsia="es-CO"/>
        </w:rPr>
      </w:pPr>
      <w:r w:rsidRPr="00EE03AE">
        <w:rPr>
          <w:rStyle w:val="Refdenotaalpie"/>
          <w:rFonts w:ascii="Arial" w:hAnsi="Arial" w:cs="Arial"/>
          <w:sz w:val="19"/>
          <w:szCs w:val="19"/>
        </w:rPr>
        <w:footnoteRef/>
      </w:r>
      <w:r w:rsidRPr="00EE03AE">
        <w:rPr>
          <w:rFonts w:ascii="Arial" w:hAnsi="Arial" w:cs="Arial"/>
          <w:sz w:val="19"/>
          <w:szCs w:val="19"/>
        </w:rPr>
        <w:t xml:space="preserve"> </w:t>
      </w:r>
      <w:r w:rsidRPr="00DA11A4">
        <w:rPr>
          <w:rFonts w:ascii="Arial" w:hAnsi="Arial" w:cs="Arial"/>
          <w:color w:val="000000"/>
          <w:sz w:val="19"/>
          <w:szCs w:val="19"/>
          <w:bdr w:val="none" w:sz="0" w:space="0" w:color="auto" w:frame="1"/>
          <w:lang w:eastAsia="es-CO"/>
        </w:rPr>
        <w:t>Diario Oficial. Gaceta del Congreso 416 de 2007, Informe de Conciliación Senado. </w:t>
      </w:r>
    </w:p>
    <w:p w14:paraId="22F35660" w14:textId="77777777" w:rsidR="00DF5B1C" w:rsidRPr="00EE03AE" w:rsidRDefault="00DF5B1C" w:rsidP="00DF5B1C">
      <w:pPr>
        <w:shd w:val="clear" w:color="auto" w:fill="FFFFFF"/>
        <w:ind w:firstLine="709"/>
        <w:jc w:val="both"/>
        <w:textAlignment w:val="baseline"/>
        <w:rPr>
          <w:rFonts w:ascii="Arial" w:hAnsi="Arial" w:cs="Arial"/>
          <w:color w:val="000000"/>
          <w:sz w:val="19"/>
          <w:szCs w:val="19"/>
          <w:lang w:eastAsia="es-CO"/>
        </w:rPr>
      </w:pPr>
    </w:p>
  </w:footnote>
  <w:footnote w:id="5">
    <w:p w14:paraId="6C457039" w14:textId="77777777" w:rsidR="00DF5B1C" w:rsidRPr="00EE03AE" w:rsidRDefault="00DF5B1C" w:rsidP="00DF5B1C">
      <w:pPr>
        <w:shd w:val="clear" w:color="auto" w:fill="FFFFFF"/>
        <w:ind w:firstLine="709"/>
        <w:jc w:val="both"/>
        <w:textAlignment w:val="baseline"/>
        <w:rPr>
          <w:rFonts w:ascii="Arial" w:hAnsi="Arial" w:cs="Arial"/>
          <w:color w:val="000000"/>
          <w:sz w:val="19"/>
          <w:szCs w:val="19"/>
          <w:lang w:eastAsia="es-CO"/>
        </w:rPr>
      </w:pPr>
      <w:r w:rsidRPr="00EE03AE">
        <w:rPr>
          <w:rStyle w:val="Refdenotaalpie"/>
          <w:rFonts w:ascii="Arial" w:hAnsi="Arial" w:cs="Arial"/>
          <w:sz w:val="19"/>
          <w:szCs w:val="19"/>
        </w:rPr>
        <w:footnoteRef/>
      </w:r>
      <w:r w:rsidRPr="00EE03AE">
        <w:rPr>
          <w:rFonts w:ascii="Arial" w:hAnsi="Arial" w:cs="Arial"/>
          <w:sz w:val="19"/>
          <w:szCs w:val="19"/>
        </w:rPr>
        <w:t xml:space="preserve"> </w:t>
      </w:r>
      <w:r w:rsidRPr="00DA11A4">
        <w:rPr>
          <w:rFonts w:ascii="Arial" w:hAnsi="Arial" w:cs="Arial"/>
          <w:color w:val="000000"/>
          <w:sz w:val="19"/>
          <w:szCs w:val="19"/>
          <w:bdr w:val="none" w:sz="0" w:space="0" w:color="auto" w:frame="1"/>
          <w:lang w:eastAsia="es-CO"/>
        </w:rPr>
        <w:t>El artículo 1 de la Ley 2022 de 2020 modifica el artículo 4 de la Ley 1882 de 2018, el cual adiciona el parágrafo 7 al artículo 2 de la Ley 1150 de 2007 y dispone que: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 </w:t>
      </w:r>
    </w:p>
    <w:p w14:paraId="3EEF2242" w14:textId="77777777" w:rsidR="00DF5B1C" w:rsidRPr="00EE03AE" w:rsidRDefault="00DF5B1C" w:rsidP="00DF5B1C">
      <w:pPr>
        <w:shd w:val="clear" w:color="auto" w:fill="FFFFFF"/>
        <w:ind w:firstLine="709"/>
        <w:jc w:val="both"/>
        <w:textAlignment w:val="baseline"/>
        <w:rPr>
          <w:rFonts w:ascii="Arial" w:hAnsi="Arial" w:cs="Arial"/>
          <w:color w:val="000000"/>
          <w:sz w:val="19"/>
          <w:szCs w:val="19"/>
          <w:lang w:eastAsia="es-CO"/>
        </w:rPr>
      </w:pPr>
      <w:r w:rsidRPr="00DA11A4">
        <w:rPr>
          <w:rFonts w:ascii="Arial" w:hAnsi="Arial" w:cs="Arial"/>
          <w:color w:val="000000"/>
          <w:sz w:val="19"/>
          <w:szCs w:val="19"/>
          <w:bdr w:val="none" w:sz="0" w:space="0" w:color="auto" w:frame="1"/>
          <w:lang w:eastAsia="es-CO"/>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 </w:t>
      </w:r>
    </w:p>
    <w:p w14:paraId="77021903" w14:textId="77777777" w:rsidR="00DF5B1C" w:rsidRPr="00EE03AE" w:rsidRDefault="00DF5B1C" w:rsidP="00DF5B1C">
      <w:pPr>
        <w:shd w:val="clear" w:color="auto" w:fill="FFFFFF"/>
        <w:ind w:firstLine="709"/>
        <w:jc w:val="both"/>
        <w:textAlignment w:val="baseline"/>
        <w:rPr>
          <w:rFonts w:ascii="Arial" w:hAnsi="Arial" w:cs="Arial"/>
          <w:color w:val="000000"/>
          <w:sz w:val="19"/>
          <w:szCs w:val="19"/>
          <w:lang w:eastAsia="es-CO"/>
        </w:rPr>
      </w:pPr>
      <w:r w:rsidRPr="00DA11A4">
        <w:rPr>
          <w:rFonts w:ascii="Arial" w:hAnsi="Arial" w:cs="Arial"/>
          <w:color w:val="000000"/>
          <w:sz w:val="19"/>
          <w:szCs w:val="19"/>
          <w:bdr w:val="none" w:sz="0" w:space="0" w:color="auto" w:frame="1"/>
          <w:lang w:eastAsia="es-CO"/>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 </w:t>
      </w:r>
    </w:p>
    <w:p w14:paraId="26867C88" w14:textId="77777777" w:rsidR="00DF5B1C" w:rsidRPr="00EE03AE" w:rsidRDefault="00DF5B1C" w:rsidP="00DF5B1C">
      <w:pPr>
        <w:shd w:val="clear" w:color="auto" w:fill="FFFFFF"/>
        <w:ind w:firstLine="709"/>
        <w:jc w:val="both"/>
        <w:textAlignment w:val="baseline"/>
        <w:rPr>
          <w:rFonts w:ascii="Arial" w:hAnsi="Arial" w:cs="Arial"/>
          <w:color w:val="000000"/>
          <w:sz w:val="19"/>
          <w:szCs w:val="19"/>
          <w:lang w:eastAsia="es-CO"/>
        </w:rPr>
      </w:pPr>
      <w:r w:rsidRPr="00DA11A4">
        <w:rPr>
          <w:rFonts w:ascii="Arial" w:hAnsi="Arial" w:cs="Arial"/>
          <w:color w:val="000000"/>
          <w:sz w:val="19"/>
          <w:szCs w:val="19"/>
          <w:bdr w:val="none" w:sz="0" w:space="0" w:color="auto" w:frame="1"/>
          <w:lang w:eastAsia="es-CO"/>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 </w:t>
      </w:r>
    </w:p>
    <w:p w14:paraId="10642B60" w14:textId="77777777" w:rsidR="00DF5B1C" w:rsidRPr="00EE03AE" w:rsidRDefault="00DF5B1C" w:rsidP="00DF5B1C">
      <w:pPr>
        <w:shd w:val="clear" w:color="auto" w:fill="FFFFFF"/>
        <w:ind w:firstLine="708"/>
        <w:jc w:val="both"/>
        <w:textAlignment w:val="baseline"/>
        <w:rPr>
          <w:rFonts w:ascii="Arial" w:hAnsi="Arial" w:cs="Arial"/>
          <w:color w:val="000000"/>
          <w:sz w:val="19"/>
          <w:szCs w:val="19"/>
          <w:lang w:eastAsia="es-CO"/>
        </w:rPr>
      </w:pPr>
      <w:r w:rsidRPr="00DA11A4">
        <w:rPr>
          <w:rFonts w:ascii="Arial" w:hAnsi="Arial" w:cs="Arial"/>
          <w:color w:val="000000"/>
          <w:sz w:val="19"/>
          <w:szCs w:val="19"/>
          <w:bdr w:val="none" w:sz="0" w:space="0" w:color="auto" w:frame="1"/>
          <w:lang w:eastAsia="es-CO"/>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 </w:t>
      </w:r>
    </w:p>
    <w:p w14:paraId="6DE0BDAA" w14:textId="77777777" w:rsidR="00DF5B1C" w:rsidRPr="00EE03AE" w:rsidRDefault="00DF5B1C" w:rsidP="00DF5B1C">
      <w:pPr>
        <w:pStyle w:val="Textonotapie"/>
        <w:rPr>
          <w:rFonts w:ascii="Arial" w:hAnsi="Arial" w:cs="Arial"/>
          <w:sz w:val="19"/>
          <w:szCs w:val="19"/>
        </w:rPr>
      </w:pPr>
    </w:p>
  </w:footnote>
  <w:footnote w:id="6">
    <w:p w14:paraId="694A8852" w14:textId="1CBD8357" w:rsidR="001E4604" w:rsidRPr="00EE03AE" w:rsidRDefault="001E4604" w:rsidP="00EE03AE">
      <w:pPr>
        <w:pStyle w:val="Textonotapie"/>
        <w:ind w:firstLine="708"/>
        <w:jc w:val="both"/>
        <w:rPr>
          <w:rFonts w:ascii="Arial" w:hAnsi="Arial" w:cs="Arial"/>
          <w:sz w:val="19"/>
          <w:szCs w:val="19"/>
        </w:rPr>
      </w:pPr>
      <w:r w:rsidRPr="00EE03AE">
        <w:rPr>
          <w:rStyle w:val="Refdenotaalpie"/>
          <w:rFonts w:ascii="Arial" w:hAnsi="Arial" w:cs="Arial"/>
          <w:sz w:val="19"/>
          <w:szCs w:val="19"/>
        </w:rPr>
        <w:footnoteRef/>
      </w:r>
      <w:r w:rsidRPr="00EE03AE">
        <w:rPr>
          <w:rFonts w:ascii="Arial" w:hAnsi="Arial" w:cs="Arial"/>
          <w:sz w:val="19"/>
          <w:szCs w:val="19"/>
        </w:rPr>
        <w:t xml:space="preserve"> </w:t>
      </w:r>
      <w:r w:rsidR="000B28E1" w:rsidRPr="00EE03AE">
        <w:rPr>
          <w:rFonts w:ascii="Arial" w:hAnsi="Arial" w:cs="Arial"/>
          <w:sz w:val="19"/>
          <w:szCs w:val="19"/>
        </w:rPr>
        <w:t xml:space="preserve">Real Academia Española. Consultado el 8 de abril de 2022 en: </w:t>
      </w:r>
      <w:hyperlink r:id="rId1" w:history="1">
        <w:r w:rsidR="000B28E1" w:rsidRPr="00EE03AE">
          <w:rPr>
            <w:rStyle w:val="Hipervnculo"/>
            <w:rFonts w:ascii="Arial" w:hAnsi="Arial" w:cs="Arial"/>
            <w:sz w:val="19"/>
            <w:szCs w:val="19"/>
          </w:rPr>
          <w:t>https://dle.rae.es/conjunci%C3%B3n</w:t>
        </w:r>
      </w:hyperlink>
    </w:p>
  </w:footnote>
  <w:footnote w:id="7">
    <w:p w14:paraId="0DEE2426" w14:textId="77777777" w:rsidR="00F57BF1" w:rsidRPr="00EE03AE" w:rsidRDefault="00F57BF1" w:rsidP="00F57BF1">
      <w:pPr>
        <w:pStyle w:val="Textonotapie"/>
        <w:ind w:firstLine="708"/>
        <w:rPr>
          <w:rFonts w:ascii="Arial" w:hAnsi="Arial" w:cs="Arial"/>
          <w:sz w:val="19"/>
          <w:szCs w:val="19"/>
        </w:rPr>
      </w:pPr>
    </w:p>
    <w:p w14:paraId="782AA039" w14:textId="398DB8F1" w:rsidR="00F57BF1" w:rsidRPr="00EE03AE" w:rsidRDefault="00F57BF1" w:rsidP="00EE03AE">
      <w:pPr>
        <w:pStyle w:val="Textonotapie"/>
        <w:ind w:firstLine="708"/>
        <w:rPr>
          <w:rFonts w:ascii="Arial" w:hAnsi="Arial" w:cs="Arial"/>
          <w:sz w:val="19"/>
          <w:szCs w:val="19"/>
        </w:rPr>
      </w:pPr>
      <w:r w:rsidRPr="00EE03AE">
        <w:rPr>
          <w:rStyle w:val="Refdenotaalpie"/>
          <w:rFonts w:ascii="Arial" w:hAnsi="Arial" w:cs="Arial"/>
          <w:sz w:val="19"/>
          <w:szCs w:val="19"/>
        </w:rPr>
        <w:footnoteRef/>
      </w:r>
      <w:r w:rsidRPr="00EE03AE">
        <w:rPr>
          <w:rFonts w:ascii="Arial" w:hAnsi="Arial" w:cs="Arial"/>
          <w:sz w:val="19"/>
          <w:szCs w:val="19"/>
        </w:rPr>
        <w:t xml:space="preserve"> </w:t>
      </w:r>
      <w:r w:rsidRPr="00EE03AE">
        <w:rPr>
          <w:rFonts w:ascii="Arial" w:hAnsi="Arial" w:cs="Arial"/>
          <w:i/>
          <w:iCs/>
          <w:sz w:val="19"/>
          <w:szCs w:val="19"/>
        </w:rPr>
        <w:t>Ibí</w:t>
      </w:r>
      <w:r w:rsidR="00D914A6" w:rsidRPr="00EE03AE">
        <w:rPr>
          <w:rFonts w:ascii="Arial" w:hAnsi="Arial" w:cs="Arial"/>
          <w:i/>
          <w:iCs/>
          <w:sz w:val="19"/>
          <w:szCs w:val="19"/>
        </w:rPr>
        <w:t>d.</w:t>
      </w:r>
      <w:r w:rsidRPr="00EE03AE">
        <w:rPr>
          <w:rFonts w:ascii="Arial" w:hAnsi="Arial" w:cs="Arial"/>
          <w:sz w:val="19"/>
          <w:szCs w:val="19"/>
        </w:rPr>
        <w:t xml:space="preserve"> </w:t>
      </w:r>
    </w:p>
  </w:footnote>
  <w:footnote w:id="8">
    <w:p w14:paraId="7D551907" w14:textId="77777777" w:rsidR="00D914A6" w:rsidRPr="00EE03AE" w:rsidRDefault="00D914A6" w:rsidP="00D914A6">
      <w:pPr>
        <w:pStyle w:val="Textonotapie"/>
        <w:ind w:firstLine="708"/>
        <w:rPr>
          <w:rFonts w:ascii="Arial" w:hAnsi="Arial" w:cs="Arial"/>
          <w:sz w:val="19"/>
          <w:szCs w:val="19"/>
        </w:rPr>
      </w:pPr>
    </w:p>
    <w:p w14:paraId="58C42B79" w14:textId="5B4FD4A9" w:rsidR="00D914A6" w:rsidRPr="00EE03AE" w:rsidRDefault="00D914A6" w:rsidP="00EE03AE">
      <w:pPr>
        <w:pStyle w:val="Textonotapie"/>
        <w:ind w:firstLine="708"/>
        <w:rPr>
          <w:rFonts w:ascii="Arial" w:hAnsi="Arial" w:cs="Arial"/>
          <w:sz w:val="19"/>
          <w:szCs w:val="19"/>
        </w:rPr>
      </w:pPr>
      <w:r w:rsidRPr="00EE03AE">
        <w:rPr>
          <w:rStyle w:val="Refdenotaalpie"/>
          <w:rFonts w:ascii="Arial" w:hAnsi="Arial" w:cs="Arial"/>
          <w:sz w:val="19"/>
          <w:szCs w:val="19"/>
        </w:rPr>
        <w:footnoteRef/>
      </w:r>
      <w:r w:rsidRPr="00EE03AE">
        <w:rPr>
          <w:rFonts w:ascii="Arial" w:hAnsi="Arial" w:cs="Arial"/>
          <w:sz w:val="19"/>
          <w:szCs w:val="19"/>
        </w:rPr>
        <w:t xml:space="preserve"> </w:t>
      </w:r>
      <w:r w:rsidRPr="00EE03AE">
        <w:rPr>
          <w:rFonts w:ascii="Arial" w:hAnsi="Arial" w:cs="Arial"/>
          <w:i/>
          <w:iCs/>
          <w:sz w:val="19"/>
          <w:szCs w:val="19"/>
        </w:rPr>
        <w:t>Ibíd.</w:t>
      </w:r>
      <w:r w:rsidRPr="00EE03AE">
        <w:rPr>
          <w:rFonts w:ascii="Arial" w:hAnsi="Arial" w:cs="Arial"/>
          <w:sz w:val="19"/>
          <w:szCs w:val="19"/>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CC83B7" w14:textId="77777777" w:rsidR="000126BB" w:rsidRDefault="003D2795">
    <w:pPr>
      <w:pStyle w:val="Encabezado"/>
    </w:pPr>
  </w:p>
  <w:p w14:paraId="77E5BA1A" w14:textId="77777777" w:rsidR="000126BB" w:rsidRDefault="003D2795">
    <w:pPr>
      <w:pStyle w:val="Encabezado"/>
    </w:pPr>
  </w:p>
  <w:p w14:paraId="4321613F" w14:textId="77777777" w:rsidR="000126BB" w:rsidRDefault="00E948EC">
    <w:pPr>
      <w:pStyle w:val="Encabezado"/>
    </w:pPr>
    <w:r>
      <w:rPr>
        <w:noProof/>
        <w:lang w:val="en-US"/>
      </w:rPr>
      <w:drawing>
        <wp:anchor distT="0" distB="0" distL="114300" distR="114300" simplePos="0" relativeHeight="251659264" behindDoc="1" locked="0" layoutInCell="1" allowOverlap="1" wp14:anchorId="33FFA3B2" wp14:editId="7137BEB3">
          <wp:simplePos x="0" y="0"/>
          <wp:positionH relativeFrom="margin">
            <wp:align>right</wp:align>
          </wp:positionH>
          <wp:positionV relativeFrom="paragraph">
            <wp:posOffset>50165</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29C73A4" w14:textId="77777777" w:rsidR="000126BB" w:rsidRDefault="003D2795">
    <w:pPr>
      <w:pStyle w:val="Encabezado"/>
    </w:pPr>
  </w:p>
  <w:p w14:paraId="770D5EE6" w14:textId="77777777" w:rsidR="000126BB" w:rsidRDefault="003D2795">
    <w:pPr>
      <w:pStyle w:val="Encabezado"/>
    </w:pPr>
  </w:p>
  <w:p w14:paraId="56FE955D" w14:textId="77777777" w:rsidR="000126BB" w:rsidRDefault="003D279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923CB4E6"/>
    <w:lvl w:ilvl="0">
      <w:start w:val="1"/>
      <w:numFmt w:val="decimal"/>
      <w:lvlText w:val="%1."/>
      <w:lvlJc w:val="left"/>
      <w:pPr>
        <w:ind w:left="6601" w:hanging="360"/>
      </w:pPr>
      <w:rPr>
        <w:b/>
        <w:color w:val="aut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236752BB"/>
    <w:multiLevelType w:val="multilevel"/>
    <w:tmpl w:val="219A6F0E"/>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578B3D84"/>
    <w:multiLevelType w:val="multilevel"/>
    <w:tmpl w:val="17FEB804"/>
    <w:lvl w:ilvl="0">
      <w:start w:val="1"/>
      <w:numFmt w:val="decimal"/>
      <w:lvlText w:val="%1."/>
      <w:lvlJc w:val="left"/>
      <w:pPr>
        <w:ind w:left="360" w:hanging="360"/>
      </w:pPr>
      <w:rPr>
        <w:rFonts w:hint="default"/>
      </w:rPr>
    </w:lvl>
    <w:lvl w:ilvl="1">
      <w:start w:val="1"/>
      <w:numFmt w:val="decimal"/>
      <w:pStyle w:val="Ttulo2"/>
      <w:lvlText w:val="%1.%2."/>
      <w:lvlJc w:val="left"/>
      <w:pPr>
        <w:ind w:left="360" w:hanging="360"/>
      </w:pPr>
      <w:rPr>
        <w:rFonts w:hint="default"/>
      </w:rPr>
    </w:lvl>
    <w:lvl w:ilvl="2">
      <w:start w:val="1"/>
      <w:numFmt w:val="decimal"/>
      <w:pStyle w:val="Ttulo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70554F51"/>
    <w:multiLevelType w:val="hybridMultilevel"/>
    <w:tmpl w:val="72EC3C56"/>
    <w:lvl w:ilvl="0" w:tplc="08227622">
      <w:start w:val="2"/>
      <w:numFmt w:val="decimal"/>
      <w:lvlText w:val="%1."/>
      <w:lvlJc w:val="left"/>
      <w:pPr>
        <w:ind w:left="6601" w:hanging="360"/>
      </w:pPr>
      <w:rPr>
        <w:rFonts w:hint="default"/>
      </w:rPr>
    </w:lvl>
    <w:lvl w:ilvl="1" w:tplc="240A0019" w:tentative="1">
      <w:start w:val="1"/>
      <w:numFmt w:val="lowerLetter"/>
      <w:lvlText w:val="%2."/>
      <w:lvlJc w:val="left"/>
      <w:pPr>
        <w:ind w:left="7321" w:hanging="360"/>
      </w:pPr>
    </w:lvl>
    <w:lvl w:ilvl="2" w:tplc="240A001B" w:tentative="1">
      <w:start w:val="1"/>
      <w:numFmt w:val="lowerRoman"/>
      <w:lvlText w:val="%3."/>
      <w:lvlJc w:val="right"/>
      <w:pPr>
        <w:ind w:left="8041" w:hanging="180"/>
      </w:pPr>
    </w:lvl>
    <w:lvl w:ilvl="3" w:tplc="240A000F" w:tentative="1">
      <w:start w:val="1"/>
      <w:numFmt w:val="decimal"/>
      <w:lvlText w:val="%4."/>
      <w:lvlJc w:val="left"/>
      <w:pPr>
        <w:ind w:left="8761" w:hanging="360"/>
      </w:pPr>
    </w:lvl>
    <w:lvl w:ilvl="4" w:tplc="240A0019" w:tentative="1">
      <w:start w:val="1"/>
      <w:numFmt w:val="lowerLetter"/>
      <w:lvlText w:val="%5."/>
      <w:lvlJc w:val="left"/>
      <w:pPr>
        <w:ind w:left="9481" w:hanging="360"/>
      </w:pPr>
    </w:lvl>
    <w:lvl w:ilvl="5" w:tplc="240A001B" w:tentative="1">
      <w:start w:val="1"/>
      <w:numFmt w:val="lowerRoman"/>
      <w:lvlText w:val="%6."/>
      <w:lvlJc w:val="right"/>
      <w:pPr>
        <w:ind w:left="10201" w:hanging="180"/>
      </w:pPr>
    </w:lvl>
    <w:lvl w:ilvl="6" w:tplc="240A000F" w:tentative="1">
      <w:start w:val="1"/>
      <w:numFmt w:val="decimal"/>
      <w:lvlText w:val="%7."/>
      <w:lvlJc w:val="left"/>
      <w:pPr>
        <w:ind w:left="10921" w:hanging="360"/>
      </w:pPr>
    </w:lvl>
    <w:lvl w:ilvl="7" w:tplc="240A0019" w:tentative="1">
      <w:start w:val="1"/>
      <w:numFmt w:val="lowerLetter"/>
      <w:lvlText w:val="%8."/>
      <w:lvlJc w:val="left"/>
      <w:pPr>
        <w:ind w:left="11641" w:hanging="360"/>
      </w:pPr>
    </w:lvl>
    <w:lvl w:ilvl="8" w:tplc="240A001B" w:tentative="1">
      <w:start w:val="1"/>
      <w:numFmt w:val="lowerRoman"/>
      <w:lvlText w:val="%9."/>
      <w:lvlJc w:val="right"/>
      <w:pPr>
        <w:ind w:left="12361" w:hanging="180"/>
      </w:pPr>
    </w:lvl>
  </w:abstractNum>
  <w:abstractNum w:abstractNumId="4" w15:restartNumberingAfterBreak="0">
    <w:nsid w:val="7B066B07"/>
    <w:multiLevelType w:val="multilevel"/>
    <w:tmpl w:val="11E03A5E"/>
    <w:lvl w:ilvl="0">
      <w:start w:val="3"/>
      <w:numFmt w:val="decimal"/>
      <w:lvlText w:val="%1"/>
      <w:lvlJc w:val="left"/>
      <w:pPr>
        <w:ind w:left="375" w:hanging="375"/>
      </w:pPr>
      <w:rPr>
        <w:rFonts w:hint="default"/>
        <w:b/>
        <w:bCs/>
      </w:rPr>
    </w:lvl>
    <w:lvl w:ilvl="1">
      <w:start w:val="10"/>
      <w:numFmt w:val="decimal"/>
      <w:lvlText w:val="%1.%2"/>
      <w:lvlJc w:val="left"/>
      <w:pPr>
        <w:ind w:left="1509"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45833198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17802683">
    <w:abstractNumId w:val="4"/>
  </w:num>
  <w:num w:numId="3" w16cid:durableId="1503819053">
    <w:abstractNumId w:val="3"/>
  </w:num>
  <w:num w:numId="4" w16cid:durableId="1450929550">
    <w:abstractNumId w:val="2"/>
  </w:num>
  <w:num w:numId="5" w16cid:durableId="10225845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3BF6"/>
    <w:rsid w:val="00000545"/>
    <w:rsid w:val="00001874"/>
    <w:rsid w:val="0000547F"/>
    <w:rsid w:val="0001077E"/>
    <w:rsid w:val="00015AC6"/>
    <w:rsid w:val="000169F9"/>
    <w:rsid w:val="000241EA"/>
    <w:rsid w:val="00025CAD"/>
    <w:rsid w:val="00027136"/>
    <w:rsid w:val="0003458F"/>
    <w:rsid w:val="00036A5C"/>
    <w:rsid w:val="000445AA"/>
    <w:rsid w:val="000526D2"/>
    <w:rsid w:val="00053532"/>
    <w:rsid w:val="00054769"/>
    <w:rsid w:val="00057B04"/>
    <w:rsid w:val="00057F5A"/>
    <w:rsid w:val="000631F0"/>
    <w:rsid w:val="000651CE"/>
    <w:rsid w:val="000722CD"/>
    <w:rsid w:val="0007382B"/>
    <w:rsid w:val="000769D0"/>
    <w:rsid w:val="00080781"/>
    <w:rsid w:val="00087C6D"/>
    <w:rsid w:val="00090BF4"/>
    <w:rsid w:val="00092E03"/>
    <w:rsid w:val="000A5CE3"/>
    <w:rsid w:val="000B0DA9"/>
    <w:rsid w:val="000B28E1"/>
    <w:rsid w:val="000C286E"/>
    <w:rsid w:val="000C587C"/>
    <w:rsid w:val="000D02EA"/>
    <w:rsid w:val="000D0B6E"/>
    <w:rsid w:val="000D15F3"/>
    <w:rsid w:val="000D1BC3"/>
    <w:rsid w:val="000D4243"/>
    <w:rsid w:val="000F0A99"/>
    <w:rsid w:val="00103A1D"/>
    <w:rsid w:val="00105237"/>
    <w:rsid w:val="00105872"/>
    <w:rsid w:val="0012134E"/>
    <w:rsid w:val="0012428E"/>
    <w:rsid w:val="001569FC"/>
    <w:rsid w:val="00157677"/>
    <w:rsid w:val="001661C0"/>
    <w:rsid w:val="00166280"/>
    <w:rsid w:val="0017039C"/>
    <w:rsid w:val="0017066F"/>
    <w:rsid w:val="00180C90"/>
    <w:rsid w:val="00185149"/>
    <w:rsid w:val="00192402"/>
    <w:rsid w:val="0019706B"/>
    <w:rsid w:val="001972CA"/>
    <w:rsid w:val="001A34E8"/>
    <w:rsid w:val="001A6AAE"/>
    <w:rsid w:val="001B1918"/>
    <w:rsid w:val="001B1B49"/>
    <w:rsid w:val="001B353F"/>
    <w:rsid w:val="001C3816"/>
    <w:rsid w:val="001D2FE7"/>
    <w:rsid w:val="001D4CAE"/>
    <w:rsid w:val="001E2881"/>
    <w:rsid w:val="001E4604"/>
    <w:rsid w:val="001F532F"/>
    <w:rsid w:val="00240859"/>
    <w:rsid w:val="002472F5"/>
    <w:rsid w:val="0025445D"/>
    <w:rsid w:val="00256539"/>
    <w:rsid w:val="00261204"/>
    <w:rsid w:val="002703C0"/>
    <w:rsid w:val="00275BC7"/>
    <w:rsid w:val="00286F66"/>
    <w:rsid w:val="002873D0"/>
    <w:rsid w:val="002941DE"/>
    <w:rsid w:val="00296D78"/>
    <w:rsid w:val="002B1018"/>
    <w:rsid w:val="002B3824"/>
    <w:rsid w:val="002B678B"/>
    <w:rsid w:val="002C2B0E"/>
    <w:rsid w:val="002C761A"/>
    <w:rsid w:val="002D1A61"/>
    <w:rsid w:val="002D2D41"/>
    <w:rsid w:val="002E6F13"/>
    <w:rsid w:val="00303AA2"/>
    <w:rsid w:val="00307B49"/>
    <w:rsid w:val="003117A3"/>
    <w:rsid w:val="0031683F"/>
    <w:rsid w:val="00321F54"/>
    <w:rsid w:val="00327D3E"/>
    <w:rsid w:val="00331C7F"/>
    <w:rsid w:val="0034592E"/>
    <w:rsid w:val="003514BB"/>
    <w:rsid w:val="00352AEB"/>
    <w:rsid w:val="0035613C"/>
    <w:rsid w:val="00362E61"/>
    <w:rsid w:val="003764D4"/>
    <w:rsid w:val="00387565"/>
    <w:rsid w:val="003A1F48"/>
    <w:rsid w:val="003A2E3D"/>
    <w:rsid w:val="003A4E1E"/>
    <w:rsid w:val="003B1F8C"/>
    <w:rsid w:val="003B7D9B"/>
    <w:rsid w:val="003C1AD5"/>
    <w:rsid w:val="003C4F93"/>
    <w:rsid w:val="003C7081"/>
    <w:rsid w:val="003D2795"/>
    <w:rsid w:val="003D4410"/>
    <w:rsid w:val="003F1F8C"/>
    <w:rsid w:val="003F2B02"/>
    <w:rsid w:val="00400351"/>
    <w:rsid w:val="00416D46"/>
    <w:rsid w:val="00425D90"/>
    <w:rsid w:val="00430C0B"/>
    <w:rsid w:val="00431688"/>
    <w:rsid w:val="00433FDC"/>
    <w:rsid w:val="00444673"/>
    <w:rsid w:val="00450FDD"/>
    <w:rsid w:val="004530AD"/>
    <w:rsid w:val="00453397"/>
    <w:rsid w:val="004545FC"/>
    <w:rsid w:val="00456F65"/>
    <w:rsid w:val="00465B52"/>
    <w:rsid w:val="00466C6F"/>
    <w:rsid w:val="00484876"/>
    <w:rsid w:val="0048508B"/>
    <w:rsid w:val="00491886"/>
    <w:rsid w:val="00491EC1"/>
    <w:rsid w:val="00492971"/>
    <w:rsid w:val="0049398E"/>
    <w:rsid w:val="004A5E02"/>
    <w:rsid w:val="004B73B6"/>
    <w:rsid w:val="004C1806"/>
    <w:rsid w:val="004D2E51"/>
    <w:rsid w:val="004E2FD8"/>
    <w:rsid w:val="004F3659"/>
    <w:rsid w:val="00502E32"/>
    <w:rsid w:val="00507021"/>
    <w:rsid w:val="005167A8"/>
    <w:rsid w:val="00524790"/>
    <w:rsid w:val="00524CE3"/>
    <w:rsid w:val="00527F0F"/>
    <w:rsid w:val="0053481F"/>
    <w:rsid w:val="00541A6F"/>
    <w:rsid w:val="00551325"/>
    <w:rsid w:val="00562918"/>
    <w:rsid w:val="005765A3"/>
    <w:rsid w:val="00580A5C"/>
    <w:rsid w:val="00581BB8"/>
    <w:rsid w:val="00581FE7"/>
    <w:rsid w:val="00583288"/>
    <w:rsid w:val="00586D51"/>
    <w:rsid w:val="00595F8D"/>
    <w:rsid w:val="005A6C78"/>
    <w:rsid w:val="005B0BD5"/>
    <w:rsid w:val="005B3E05"/>
    <w:rsid w:val="005B5A64"/>
    <w:rsid w:val="005B77DF"/>
    <w:rsid w:val="005C575D"/>
    <w:rsid w:val="005D34E2"/>
    <w:rsid w:val="005E3E2E"/>
    <w:rsid w:val="005E7EFB"/>
    <w:rsid w:val="005F3E1A"/>
    <w:rsid w:val="005F4FBC"/>
    <w:rsid w:val="006114EA"/>
    <w:rsid w:val="006230C7"/>
    <w:rsid w:val="00624924"/>
    <w:rsid w:val="00627C86"/>
    <w:rsid w:val="00645BB7"/>
    <w:rsid w:val="0066040D"/>
    <w:rsid w:val="00663BF6"/>
    <w:rsid w:val="00665F61"/>
    <w:rsid w:val="00677226"/>
    <w:rsid w:val="00680471"/>
    <w:rsid w:val="00694901"/>
    <w:rsid w:val="006A00FD"/>
    <w:rsid w:val="006A1A68"/>
    <w:rsid w:val="006A53F3"/>
    <w:rsid w:val="006A6273"/>
    <w:rsid w:val="006B39F5"/>
    <w:rsid w:val="006C341E"/>
    <w:rsid w:val="006C441C"/>
    <w:rsid w:val="006C5056"/>
    <w:rsid w:val="006D3741"/>
    <w:rsid w:val="006F47B7"/>
    <w:rsid w:val="006F55AF"/>
    <w:rsid w:val="007032CB"/>
    <w:rsid w:val="0071004F"/>
    <w:rsid w:val="0072212D"/>
    <w:rsid w:val="00722382"/>
    <w:rsid w:val="007234B9"/>
    <w:rsid w:val="00727847"/>
    <w:rsid w:val="007304F1"/>
    <w:rsid w:val="007401F4"/>
    <w:rsid w:val="007423E7"/>
    <w:rsid w:val="00753298"/>
    <w:rsid w:val="007575A5"/>
    <w:rsid w:val="00770721"/>
    <w:rsid w:val="0077690E"/>
    <w:rsid w:val="00780974"/>
    <w:rsid w:val="007819A7"/>
    <w:rsid w:val="007B43D6"/>
    <w:rsid w:val="007B73B0"/>
    <w:rsid w:val="007D5088"/>
    <w:rsid w:val="007E3C84"/>
    <w:rsid w:val="007F25C3"/>
    <w:rsid w:val="008047D8"/>
    <w:rsid w:val="008073A7"/>
    <w:rsid w:val="00816251"/>
    <w:rsid w:val="00824D19"/>
    <w:rsid w:val="00837449"/>
    <w:rsid w:val="008459FB"/>
    <w:rsid w:val="008471F9"/>
    <w:rsid w:val="00847FA1"/>
    <w:rsid w:val="00855F38"/>
    <w:rsid w:val="008574FE"/>
    <w:rsid w:val="00857761"/>
    <w:rsid w:val="008600E3"/>
    <w:rsid w:val="00863009"/>
    <w:rsid w:val="00867E98"/>
    <w:rsid w:val="00875DFB"/>
    <w:rsid w:val="0089293A"/>
    <w:rsid w:val="00895101"/>
    <w:rsid w:val="008A0782"/>
    <w:rsid w:val="008A107E"/>
    <w:rsid w:val="008A4BC0"/>
    <w:rsid w:val="008B577C"/>
    <w:rsid w:val="008B7785"/>
    <w:rsid w:val="008C0E14"/>
    <w:rsid w:val="008C67EF"/>
    <w:rsid w:val="008E34F7"/>
    <w:rsid w:val="008E4F2E"/>
    <w:rsid w:val="008F3766"/>
    <w:rsid w:val="0091550F"/>
    <w:rsid w:val="00921BC1"/>
    <w:rsid w:val="00924DCB"/>
    <w:rsid w:val="00927538"/>
    <w:rsid w:val="00934E74"/>
    <w:rsid w:val="00936750"/>
    <w:rsid w:val="00937CE7"/>
    <w:rsid w:val="00940C75"/>
    <w:rsid w:val="00947057"/>
    <w:rsid w:val="00947602"/>
    <w:rsid w:val="00955232"/>
    <w:rsid w:val="00955558"/>
    <w:rsid w:val="009566C8"/>
    <w:rsid w:val="0096734B"/>
    <w:rsid w:val="00970769"/>
    <w:rsid w:val="009707F0"/>
    <w:rsid w:val="00973C5D"/>
    <w:rsid w:val="00974640"/>
    <w:rsid w:val="00976F3A"/>
    <w:rsid w:val="00983B34"/>
    <w:rsid w:val="00994C7B"/>
    <w:rsid w:val="00995481"/>
    <w:rsid w:val="009A6899"/>
    <w:rsid w:val="009B34F3"/>
    <w:rsid w:val="009B6280"/>
    <w:rsid w:val="009D118F"/>
    <w:rsid w:val="009D78F1"/>
    <w:rsid w:val="009E079A"/>
    <w:rsid w:val="009E1E80"/>
    <w:rsid w:val="009E6E20"/>
    <w:rsid w:val="009F3CAD"/>
    <w:rsid w:val="009F4129"/>
    <w:rsid w:val="00A011ED"/>
    <w:rsid w:val="00A030C7"/>
    <w:rsid w:val="00A03B88"/>
    <w:rsid w:val="00A03C8D"/>
    <w:rsid w:val="00A042AC"/>
    <w:rsid w:val="00A102EF"/>
    <w:rsid w:val="00A356A9"/>
    <w:rsid w:val="00A41898"/>
    <w:rsid w:val="00A5124F"/>
    <w:rsid w:val="00A540DC"/>
    <w:rsid w:val="00A604AD"/>
    <w:rsid w:val="00A61720"/>
    <w:rsid w:val="00A67195"/>
    <w:rsid w:val="00A733C0"/>
    <w:rsid w:val="00A76686"/>
    <w:rsid w:val="00A860A3"/>
    <w:rsid w:val="00A91AA3"/>
    <w:rsid w:val="00A92E3E"/>
    <w:rsid w:val="00A940DB"/>
    <w:rsid w:val="00A95C05"/>
    <w:rsid w:val="00AB3C5A"/>
    <w:rsid w:val="00AB44DD"/>
    <w:rsid w:val="00AB5723"/>
    <w:rsid w:val="00AD1511"/>
    <w:rsid w:val="00AD6073"/>
    <w:rsid w:val="00AE4548"/>
    <w:rsid w:val="00AE4BF7"/>
    <w:rsid w:val="00AE7C5D"/>
    <w:rsid w:val="00AF3ADF"/>
    <w:rsid w:val="00B03408"/>
    <w:rsid w:val="00B0373C"/>
    <w:rsid w:val="00B055E5"/>
    <w:rsid w:val="00B21FC4"/>
    <w:rsid w:val="00B25383"/>
    <w:rsid w:val="00B26BEA"/>
    <w:rsid w:val="00B365A7"/>
    <w:rsid w:val="00B406BE"/>
    <w:rsid w:val="00B44825"/>
    <w:rsid w:val="00B50926"/>
    <w:rsid w:val="00B50E61"/>
    <w:rsid w:val="00B62E6B"/>
    <w:rsid w:val="00B652D1"/>
    <w:rsid w:val="00B65F75"/>
    <w:rsid w:val="00B67AFC"/>
    <w:rsid w:val="00B67F56"/>
    <w:rsid w:val="00B75A43"/>
    <w:rsid w:val="00B87EFE"/>
    <w:rsid w:val="00B91FFD"/>
    <w:rsid w:val="00B949BF"/>
    <w:rsid w:val="00B966EE"/>
    <w:rsid w:val="00BA0FBD"/>
    <w:rsid w:val="00BA1F71"/>
    <w:rsid w:val="00BA258A"/>
    <w:rsid w:val="00BB1746"/>
    <w:rsid w:val="00BB2CD4"/>
    <w:rsid w:val="00BC163A"/>
    <w:rsid w:val="00BC168D"/>
    <w:rsid w:val="00BC45CC"/>
    <w:rsid w:val="00BC473A"/>
    <w:rsid w:val="00BE2B14"/>
    <w:rsid w:val="00BE60F5"/>
    <w:rsid w:val="00BF07C7"/>
    <w:rsid w:val="00BF2CDD"/>
    <w:rsid w:val="00BF3827"/>
    <w:rsid w:val="00C03DB9"/>
    <w:rsid w:val="00C07A57"/>
    <w:rsid w:val="00C130D5"/>
    <w:rsid w:val="00C1494A"/>
    <w:rsid w:val="00C14AA3"/>
    <w:rsid w:val="00C21621"/>
    <w:rsid w:val="00C31C48"/>
    <w:rsid w:val="00C5005D"/>
    <w:rsid w:val="00C60C9D"/>
    <w:rsid w:val="00C60F97"/>
    <w:rsid w:val="00C81142"/>
    <w:rsid w:val="00C86B22"/>
    <w:rsid w:val="00C91993"/>
    <w:rsid w:val="00C9629E"/>
    <w:rsid w:val="00C9671B"/>
    <w:rsid w:val="00C9711C"/>
    <w:rsid w:val="00CA7789"/>
    <w:rsid w:val="00CD22BA"/>
    <w:rsid w:val="00CE00CD"/>
    <w:rsid w:val="00CE4852"/>
    <w:rsid w:val="00CF5DCC"/>
    <w:rsid w:val="00CF6FFF"/>
    <w:rsid w:val="00D01B52"/>
    <w:rsid w:val="00D23835"/>
    <w:rsid w:val="00D24DE8"/>
    <w:rsid w:val="00D32DA5"/>
    <w:rsid w:val="00D35933"/>
    <w:rsid w:val="00D3629C"/>
    <w:rsid w:val="00D36562"/>
    <w:rsid w:val="00D40344"/>
    <w:rsid w:val="00D413DC"/>
    <w:rsid w:val="00D43B9E"/>
    <w:rsid w:val="00D44521"/>
    <w:rsid w:val="00D447F2"/>
    <w:rsid w:val="00D507F2"/>
    <w:rsid w:val="00D66247"/>
    <w:rsid w:val="00D7465E"/>
    <w:rsid w:val="00D83B3E"/>
    <w:rsid w:val="00D914A6"/>
    <w:rsid w:val="00D93C60"/>
    <w:rsid w:val="00D97CF8"/>
    <w:rsid w:val="00DA11A4"/>
    <w:rsid w:val="00DB1F06"/>
    <w:rsid w:val="00DB299B"/>
    <w:rsid w:val="00DB4ED3"/>
    <w:rsid w:val="00DB5583"/>
    <w:rsid w:val="00DB5FF2"/>
    <w:rsid w:val="00DC1278"/>
    <w:rsid w:val="00DC331D"/>
    <w:rsid w:val="00DC35C2"/>
    <w:rsid w:val="00DE039E"/>
    <w:rsid w:val="00DE19F5"/>
    <w:rsid w:val="00DE4FD8"/>
    <w:rsid w:val="00DE78D6"/>
    <w:rsid w:val="00DF3590"/>
    <w:rsid w:val="00DF49B5"/>
    <w:rsid w:val="00DF5A73"/>
    <w:rsid w:val="00DF5B1C"/>
    <w:rsid w:val="00DF6CB4"/>
    <w:rsid w:val="00E00800"/>
    <w:rsid w:val="00E06B2F"/>
    <w:rsid w:val="00E22AAE"/>
    <w:rsid w:val="00E30DDE"/>
    <w:rsid w:val="00E40EB1"/>
    <w:rsid w:val="00E51757"/>
    <w:rsid w:val="00E55A85"/>
    <w:rsid w:val="00E6187C"/>
    <w:rsid w:val="00E67A57"/>
    <w:rsid w:val="00E7784C"/>
    <w:rsid w:val="00E81C31"/>
    <w:rsid w:val="00E821AA"/>
    <w:rsid w:val="00E872B7"/>
    <w:rsid w:val="00E948EC"/>
    <w:rsid w:val="00EA2F96"/>
    <w:rsid w:val="00EA3C6A"/>
    <w:rsid w:val="00EA4B14"/>
    <w:rsid w:val="00EA6FC9"/>
    <w:rsid w:val="00EB05C1"/>
    <w:rsid w:val="00EB1409"/>
    <w:rsid w:val="00EB6A67"/>
    <w:rsid w:val="00EB73CC"/>
    <w:rsid w:val="00EB7608"/>
    <w:rsid w:val="00EC352D"/>
    <w:rsid w:val="00EC4BFD"/>
    <w:rsid w:val="00ED1ED0"/>
    <w:rsid w:val="00ED6B6E"/>
    <w:rsid w:val="00EE03AE"/>
    <w:rsid w:val="00EE3B37"/>
    <w:rsid w:val="00EE5825"/>
    <w:rsid w:val="00EF219E"/>
    <w:rsid w:val="00F12A41"/>
    <w:rsid w:val="00F13156"/>
    <w:rsid w:val="00F13513"/>
    <w:rsid w:val="00F16B30"/>
    <w:rsid w:val="00F26C08"/>
    <w:rsid w:val="00F340DF"/>
    <w:rsid w:val="00F34257"/>
    <w:rsid w:val="00F57BF1"/>
    <w:rsid w:val="00F64D29"/>
    <w:rsid w:val="00F80C3A"/>
    <w:rsid w:val="00F954F5"/>
    <w:rsid w:val="00FA7028"/>
    <w:rsid w:val="00FC34D1"/>
    <w:rsid w:val="00FC5DB3"/>
    <w:rsid w:val="00FD42A5"/>
    <w:rsid w:val="00FD51B9"/>
    <w:rsid w:val="00FD53EA"/>
    <w:rsid w:val="00FE14DF"/>
    <w:rsid w:val="00FE1B68"/>
    <w:rsid w:val="00FF5539"/>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6E79A"/>
  <w15:chartTrackingRefBased/>
  <w15:docId w15:val="{2EF210C6-A013-4393-BDA5-3A3ED0ACE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4E1E"/>
    <w:pPr>
      <w:spacing w:after="0" w:line="240" w:lineRule="auto"/>
    </w:pPr>
    <w:rPr>
      <w:rFonts w:ascii="Times New Roman" w:eastAsia="Times New Roman" w:hAnsi="Times New Roman" w:cs="Times New Roman"/>
      <w:sz w:val="24"/>
      <w:szCs w:val="24"/>
      <w:lang w:eastAsia="es-ES_tradnl"/>
    </w:rPr>
  </w:style>
  <w:style w:type="paragraph" w:styleId="Ttulo2">
    <w:name w:val="heading 2"/>
    <w:basedOn w:val="Normal"/>
    <w:next w:val="Normal"/>
    <w:link w:val="Ttulo2Car"/>
    <w:uiPriority w:val="9"/>
    <w:unhideWhenUsed/>
    <w:qFormat/>
    <w:rsid w:val="009A6899"/>
    <w:pPr>
      <w:keepNext/>
      <w:keepLines/>
      <w:numPr>
        <w:ilvl w:val="1"/>
        <w:numId w:val="4"/>
      </w:numPr>
      <w:spacing w:before="40" w:after="120" w:line="259" w:lineRule="auto"/>
      <w:ind w:left="357" w:hanging="357"/>
      <w:jc w:val="both"/>
      <w:outlineLvl w:val="1"/>
    </w:pPr>
    <w:rPr>
      <w:rFonts w:ascii="Arial" w:eastAsiaTheme="majorEastAsia" w:hAnsi="Arial" w:cstheme="majorBidi"/>
      <w:b/>
      <w:caps/>
      <w:color w:val="000000" w:themeColor="text1"/>
      <w:sz w:val="20"/>
      <w:szCs w:val="26"/>
      <w:lang w:val="es-MX" w:eastAsia="en-US"/>
    </w:rPr>
  </w:style>
  <w:style w:type="paragraph" w:styleId="Ttulo3">
    <w:name w:val="heading 3"/>
    <w:basedOn w:val="Normal"/>
    <w:next w:val="Normal"/>
    <w:link w:val="Ttulo3Car"/>
    <w:uiPriority w:val="9"/>
    <w:unhideWhenUsed/>
    <w:qFormat/>
    <w:rsid w:val="009A6899"/>
    <w:pPr>
      <w:keepNext/>
      <w:keepLines/>
      <w:numPr>
        <w:ilvl w:val="2"/>
        <w:numId w:val="4"/>
      </w:numPr>
      <w:spacing w:before="40" w:after="120" w:line="259" w:lineRule="auto"/>
      <w:jc w:val="both"/>
      <w:outlineLvl w:val="2"/>
    </w:pPr>
    <w:rPr>
      <w:rFonts w:ascii="Arial" w:eastAsiaTheme="majorEastAsia" w:hAnsi="Arial" w:cstheme="majorBidi"/>
      <w:b/>
      <w:caps/>
      <w:color w:val="000000" w:themeColor="text1"/>
      <w:sz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663BF6"/>
    <w:pPr>
      <w:tabs>
        <w:tab w:val="center" w:pos="4419"/>
        <w:tab w:val="right" w:pos="8838"/>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663BF6"/>
  </w:style>
  <w:style w:type="paragraph" w:styleId="Encabezado">
    <w:name w:val="header"/>
    <w:basedOn w:val="Normal"/>
    <w:link w:val="EncabezadoCar"/>
    <w:uiPriority w:val="99"/>
    <w:unhideWhenUsed/>
    <w:rsid w:val="00663BF6"/>
    <w:pPr>
      <w:tabs>
        <w:tab w:val="center" w:pos="4419"/>
        <w:tab w:val="right" w:pos="8838"/>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663BF6"/>
  </w:style>
  <w:style w:type="paragraph" w:styleId="NormalWeb">
    <w:name w:val="Normal (Web)"/>
    <w:basedOn w:val="Normal"/>
    <w:link w:val="NormalWebCar"/>
    <w:uiPriority w:val="99"/>
    <w:unhideWhenUsed/>
    <w:rsid w:val="00663BF6"/>
    <w:pPr>
      <w:spacing w:after="160" w:line="259" w:lineRule="auto"/>
    </w:pPr>
    <w:rPr>
      <w:rFonts w:eastAsiaTheme="minorHAnsi"/>
      <w:lang w:eastAsia="en-US"/>
    </w:rPr>
  </w:style>
  <w:style w:type="table" w:styleId="Tablaconcuadrcula">
    <w:name w:val="Table Grid"/>
    <w:basedOn w:val="Tablanormal"/>
    <w:uiPriority w:val="59"/>
    <w:qFormat/>
    <w:rsid w:val="00663B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63BF6"/>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663BF6"/>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663BF6"/>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63BF6"/>
    <w:rPr>
      <w:vertAlign w:val="superscript"/>
    </w:rPr>
  </w:style>
  <w:style w:type="paragraph" w:customStyle="1" w:styleId="Appelnotedebasde">
    <w:name w:val="Appel note de bas de..."/>
    <w:basedOn w:val="Normal"/>
    <w:link w:val="Refdenotaalpie"/>
    <w:uiPriority w:val="99"/>
    <w:rsid w:val="00663BF6"/>
    <w:pPr>
      <w:spacing w:after="160" w:line="240" w:lineRule="exact"/>
    </w:pPr>
    <w:rPr>
      <w:rFonts w:asciiTheme="minorHAnsi" w:eastAsiaTheme="minorHAnsi" w:hAnsiTheme="minorHAnsi" w:cstheme="minorBidi"/>
      <w:sz w:val="22"/>
      <w:szCs w:val="22"/>
      <w:vertAlign w:val="superscript"/>
      <w:lang w:eastAsia="en-US"/>
    </w:rPr>
  </w:style>
  <w:style w:type="character" w:customStyle="1" w:styleId="NormalWebCar">
    <w:name w:val="Normal (Web) Car"/>
    <w:link w:val="NormalWeb"/>
    <w:uiPriority w:val="99"/>
    <w:rsid w:val="00663BF6"/>
    <w:rPr>
      <w:rFonts w:ascii="Times New Roman" w:hAnsi="Times New Roman" w:cs="Times New Roman"/>
      <w:sz w:val="24"/>
      <w:szCs w:val="24"/>
    </w:rPr>
  </w:style>
  <w:style w:type="paragraph" w:styleId="Sinespaciado">
    <w:name w:val="No Spacing"/>
    <w:uiPriority w:val="1"/>
    <w:qFormat/>
    <w:rsid w:val="00663BF6"/>
    <w:pPr>
      <w:spacing w:after="0" w:line="240" w:lineRule="auto"/>
    </w:pPr>
  </w:style>
  <w:style w:type="character" w:customStyle="1" w:styleId="normaltextrun">
    <w:name w:val="normaltextrun"/>
    <w:basedOn w:val="Fuentedeprrafopredeter"/>
    <w:rsid w:val="00663BF6"/>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940C75"/>
    <w:pPr>
      <w:spacing w:after="160" w:line="259" w:lineRule="auto"/>
      <w:ind w:left="720"/>
      <w:contextualSpacing/>
    </w:pPr>
    <w:rPr>
      <w:rFonts w:asciiTheme="minorHAnsi" w:eastAsiaTheme="minorHAnsi" w:hAnsiTheme="minorHAnsi" w:cstheme="minorBidi"/>
      <w:sz w:val="22"/>
      <w:szCs w:val="22"/>
      <w:lang w:eastAsia="en-US"/>
    </w:rPr>
  </w:style>
  <w:style w:type="paragraph" w:styleId="Revisin">
    <w:name w:val="Revision"/>
    <w:hidden/>
    <w:uiPriority w:val="99"/>
    <w:semiHidden/>
    <w:rsid w:val="004E2FD8"/>
    <w:pPr>
      <w:spacing w:after="0" w:line="240" w:lineRule="auto"/>
    </w:pPr>
  </w:style>
  <w:style w:type="character" w:styleId="Refdecomentario">
    <w:name w:val="annotation reference"/>
    <w:basedOn w:val="Fuentedeprrafopredeter"/>
    <w:uiPriority w:val="99"/>
    <w:semiHidden/>
    <w:unhideWhenUsed/>
    <w:rsid w:val="0031683F"/>
    <w:rPr>
      <w:sz w:val="16"/>
      <w:szCs w:val="16"/>
    </w:rPr>
  </w:style>
  <w:style w:type="paragraph" w:styleId="Textocomentario">
    <w:name w:val="annotation text"/>
    <w:basedOn w:val="Normal"/>
    <w:link w:val="TextocomentarioCar"/>
    <w:uiPriority w:val="99"/>
    <w:unhideWhenUsed/>
    <w:rsid w:val="0031683F"/>
    <w:pPr>
      <w:spacing w:after="160"/>
    </w:pPr>
    <w:rPr>
      <w:rFonts w:asciiTheme="minorHAnsi" w:eastAsiaTheme="minorHAnsi" w:hAnsiTheme="minorHAnsi" w:cstheme="minorBidi"/>
      <w:sz w:val="20"/>
      <w:szCs w:val="20"/>
      <w:lang w:eastAsia="en-US"/>
    </w:rPr>
  </w:style>
  <w:style w:type="character" w:customStyle="1" w:styleId="TextocomentarioCar">
    <w:name w:val="Texto comentario Car"/>
    <w:basedOn w:val="Fuentedeprrafopredeter"/>
    <w:link w:val="Textocomentario"/>
    <w:uiPriority w:val="99"/>
    <w:rsid w:val="0031683F"/>
    <w:rPr>
      <w:sz w:val="20"/>
      <w:szCs w:val="20"/>
    </w:rPr>
  </w:style>
  <w:style w:type="paragraph" w:styleId="Asuntodelcomentario">
    <w:name w:val="annotation subject"/>
    <w:basedOn w:val="Textocomentario"/>
    <w:next w:val="Textocomentario"/>
    <w:link w:val="AsuntodelcomentarioCar"/>
    <w:uiPriority w:val="99"/>
    <w:semiHidden/>
    <w:unhideWhenUsed/>
    <w:rsid w:val="0031683F"/>
    <w:rPr>
      <w:b/>
      <w:bCs/>
    </w:rPr>
  </w:style>
  <w:style w:type="character" w:customStyle="1" w:styleId="AsuntodelcomentarioCar">
    <w:name w:val="Asunto del comentario Car"/>
    <w:basedOn w:val="TextocomentarioCar"/>
    <w:link w:val="Asuntodelcomentario"/>
    <w:uiPriority w:val="99"/>
    <w:semiHidden/>
    <w:rsid w:val="0031683F"/>
    <w:rPr>
      <w:b/>
      <w:bCs/>
      <w:sz w:val="20"/>
      <w:szCs w:val="20"/>
    </w:rPr>
  </w:style>
  <w:style w:type="character" w:customStyle="1" w:styleId="eop">
    <w:name w:val="eop"/>
    <w:basedOn w:val="Fuentedeprrafopredeter"/>
    <w:rsid w:val="001D4CAE"/>
  </w:style>
  <w:style w:type="character" w:customStyle="1" w:styleId="Ttulo2Car">
    <w:name w:val="Título 2 Car"/>
    <w:basedOn w:val="Fuentedeprrafopredeter"/>
    <w:link w:val="Ttulo2"/>
    <w:uiPriority w:val="9"/>
    <w:rsid w:val="009A6899"/>
    <w:rPr>
      <w:rFonts w:ascii="Arial" w:eastAsiaTheme="majorEastAsia" w:hAnsi="Arial" w:cstheme="majorBidi"/>
      <w:b/>
      <w:caps/>
      <w:color w:val="000000" w:themeColor="text1"/>
      <w:sz w:val="20"/>
      <w:szCs w:val="26"/>
      <w:lang w:val="es-MX"/>
    </w:rPr>
  </w:style>
  <w:style w:type="character" w:customStyle="1" w:styleId="Ttulo3Car">
    <w:name w:val="Título 3 Car"/>
    <w:basedOn w:val="Fuentedeprrafopredeter"/>
    <w:link w:val="Ttulo3"/>
    <w:uiPriority w:val="9"/>
    <w:rsid w:val="009A6899"/>
    <w:rPr>
      <w:rFonts w:ascii="Arial" w:eastAsiaTheme="majorEastAsia" w:hAnsi="Arial" w:cstheme="majorBidi"/>
      <w:b/>
      <w:caps/>
      <w:color w:val="000000" w:themeColor="text1"/>
      <w:sz w:val="20"/>
      <w:szCs w:val="24"/>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001874"/>
  </w:style>
  <w:style w:type="character" w:styleId="Hipervnculo">
    <w:name w:val="Hyperlink"/>
    <w:basedOn w:val="Fuentedeprrafopredeter"/>
    <w:uiPriority w:val="99"/>
    <w:unhideWhenUsed/>
    <w:rsid w:val="000B28E1"/>
    <w:rPr>
      <w:color w:val="0563C1" w:themeColor="hyperlink"/>
      <w:u w:val="single"/>
    </w:rPr>
  </w:style>
  <w:style w:type="character" w:styleId="Mencinsinresolver">
    <w:name w:val="Unresolved Mention"/>
    <w:basedOn w:val="Fuentedeprrafopredeter"/>
    <w:uiPriority w:val="99"/>
    <w:semiHidden/>
    <w:unhideWhenUsed/>
    <w:rsid w:val="000B28E1"/>
    <w:rPr>
      <w:color w:val="605E5C"/>
      <w:shd w:val="clear" w:color="auto" w:fill="E1DFDD"/>
    </w:rPr>
  </w:style>
  <w:style w:type="paragraph" w:customStyle="1" w:styleId="Normal11pt">
    <w:name w:val="Normal + 11 pt"/>
    <w:aliases w:val="Negro,Justificado,Izquierda:  -0,95 cm,Derecha:  0,04 cm"/>
    <w:basedOn w:val="Normal"/>
    <w:uiPriority w:val="99"/>
    <w:rsid w:val="00DF5B1C"/>
    <w:pPr>
      <w:ind w:left="-540"/>
      <w:jc w:val="both"/>
    </w:pPr>
    <w:rPr>
      <w:rFonts w:ascii="Arial" w:hAnsi="Arial" w:cs="Arial"/>
      <w:color w:val="000000"/>
      <w:sz w:val="22"/>
      <w:szCs w:val="22"/>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392363">
      <w:bodyDiv w:val="1"/>
      <w:marLeft w:val="0"/>
      <w:marRight w:val="0"/>
      <w:marTop w:val="0"/>
      <w:marBottom w:val="0"/>
      <w:divBdr>
        <w:top w:val="none" w:sz="0" w:space="0" w:color="auto"/>
        <w:left w:val="none" w:sz="0" w:space="0" w:color="auto"/>
        <w:bottom w:val="none" w:sz="0" w:space="0" w:color="auto"/>
        <w:right w:val="none" w:sz="0" w:space="0" w:color="auto"/>
      </w:divBdr>
    </w:div>
    <w:div w:id="1820416237">
      <w:bodyDiv w:val="1"/>
      <w:marLeft w:val="0"/>
      <w:marRight w:val="0"/>
      <w:marTop w:val="0"/>
      <w:marBottom w:val="0"/>
      <w:divBdr>
        <w:top w:val="none" w:sz="0" w:space="0" w:color="auto"/>
        <w:left w:val="none" w:sz="0" w:space="0" w:color="auto"/>
        <w:bottom w:val="none" w:sz="0" w:space="0" w:color="auto"/>
        <w:right w:val="none" w:sz="0" w:space="0" w:color="auto"/>
      </w:divBdr>
    </w:div>
    <w:div w:id="2083334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https://dle.rae.es/conjunci%C3%B3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A0CB4D8-1BC6-46BA-AED4-869D45E8E6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7DBF57-A5F2-4AE0-BE1B-F7C876264960}">
  <ds:schemaRefs>
    <ds:schemaRef ds:uri="http://schemas.openxmlformats.org/officeDocument/2006/bibliography"/>
  </ds:schemaRefs>
</ds:datastoreItem>
</file>

<file path=customXml/itemProps3.xml><?xml version="1.0" encoding="utf-8"?>
<ds:datastoreItem xmlns:ds="http://schemas.openxmlformats.org/officeDocument/2006/customXml" ds:itemID="{CDD3448D-E2F9-458A-92D0-C23D165945A5}">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89700B98-A978-40E9-A213-1F9AAD3D83B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2184</TotalTime>
  <Pages>16</Pages>
  <Words>6393</Words>
  <Characters>35163</Characters>
  <Application>Microsoft Office Word</Application>
  <DocSecurity>0</DocSecurity>
  <Lines>293</Lines>
  <Paragraphs>82</Paragraphs>
  <ScaleCrop>false</ScaleCrop>
  <HeadingPairs>
    <vt:vector size="4" baseType="variant">
      <vt:variant>
        <vt:lpstr>Título</vt:lpstr>
      </vt:variant>
      <vt:variant>
        <vt:i4>1</vt:i4>
      </vt:variant>
      <vt:variant>
        <vt:lpstr>Títulos</vt:lpstr>
      </vt:variant>
      <vt:variant>
        <vt:i4>2</vt:i4>
      </vt:variant>
    </vt:vector>
  </HeadingPairs>
  <TitlesOfParts>
    <vt:vector size="3" baseType="lpstr">
      <vt:lpstr/>
      <vt:lpstr>        3.5.2. CARACTERÍSTICAS DE LOS CONTRATOS PRESENTADOS PARA ACREDITAR LA EXPERIENCI</vt:lpstr>
      <vt:lpstr>        3.5.8. RELACIÓN DE LOS CONTRATOS FRENTE AL PRESUPUESTO OFICIAL</vt:lpstr>
    </vt:vector>
  </TitlesOfParts>
  <Company/>
  <LinksUpToDate>false</LinksUpToDate>
  <CharactersWithSpaces>41474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Milena Nuñez Aldana</dc:creator>
  <cp:keywords/>
  <dc:description/>
  <cp:lastModifiedBy>Martin Rojas Mejia</cp:lastModifiedBy>
  <cp:revision>120</cp:revision>
  <dcterms:created xsi:type="dcterms:W3CDTF">2022-03-10T16:05:00Z</dcterms:created>
  <dcterms:modified xsi:type="dcterms:W3CDTF">2022-05-25T14:14:00Z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