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896566B" w14:textId="77777777" w:rsidR="0082011E" w:rsidRPr="00691AAC" w:rsidRDefault="0082011E" w:rsidP="0082011E">
      <w:pPr>
        <w:jc w:val="right"/>
        <w:rPr>
          <w:rFonts w:ascii="Arial" w:eastAsia="Calibri" w:hAnsi="Arial" w:cs="Arial"/>
          <w:b/>
          <w:color w:val="000000" w:themeColor="text1"/>
          <w:sz w:val="20"/>
          <w:szCs w:val="20"/>
          <w:lang w:val="es-ES_tradnl"/>
        </w:rPr>
      </w:pPr>
      <w:bookmarkStart w:id="0" w:name="_Hlk28946138"/>
      <w:bookmarkStart w:id="1" w:name="_Hlk29548183"/>
      <w:bookmarkStart w:id="2" w:name="_Hlk47949675"/>
      <w:r w:rsidRPr="00691AAC">
        <w:rPr>
          <w:rFonts w:ascii="Arial" w:hAnsi="Arial" w:cs="Arial"/>
          <w:bCs/>
          <w:color w:val="000000" w:themeColor="text1"/>
          <w:sz w:val="16"/>
          <w:szCs w:val="16"/>
          <w:lang w:val="es-ES_tradnl" w:eastAsia="es-ES"/>
        </w:rPr>
        <w:t>CCE-DES-FM-17</w:t>
      </w:r>
      <w:bookmarkEnd w:id="0"/>
      <w:bookmarkEnd w:id="1"/>
    </w:p>
    <w:p w14:paraId="3E5A2E8F" w14:textId="78B165AB" w:rsidR="00FE4C26" w:rsidRPr="00691AAC" w:rsidRDefault="00FE4C26" w:rsidP="0022167B">
      <w:pPr>
        <w:jc w:val="right"/>
        <w:rPr>
          <w:rFonts w:ascii="Arial" w:eastAsia="Calibri" w:hAnsi="Arial" w:cs="Arial"/>
          <w:b/>
          <w:bCs/>
          <w:color w:val="161616" w:themeColor="background1" w:themeShade="1A"/>
          <w:sz w:val="22"/>
          <w:szCs w:val="22"/>
          <w:lang w:val="es-ES_tradnl"/>
        </w:rPr>
      </w:pPr>
    </w:p>
    <w:p w14:paraId="706978B7" w14:textId="1059AFB3" w:rsidR="00D04192" w:rsidRPr="00946A8B" w:rsidRDefault="00D04192" w:rsidP="00D04192">
      <w:pPr>
        <w:tabs>
          <w:tab w:val="left" w:pos="426"/>
        </w:tabs>
        <w:rPr>
          <w:rFonts w:ascii="Arial" w:hAnsi="Arial" w:cs="Arial"/>
          <w:b/>
          <w:sz w:val="20"/>
          <w:szCs w:val="20"/>
          <w:lang w:val="es-ES" w:eastAsia="es-CO"/>
        </w:rPr>
      </w:pPr>
      <w:bookmarkStart w:id="3" w:name="_Hlk77152637"/>
      <w:bookmarkStart w:id="4" w:name="_Hlk77157066"/>
      <w:bookmarkEnd w:id="2"/>
      <w:r w:rsidRPr="00946A8B">
        <w:rPr>
          <w:rFonts w:ascii="Arial" w:hAnsi="Arial" w:cs="Arial"/>
          <w:b/>
          <w:sz w:val="20"/>
          <w:szCs w:val="20"/>
          <w:lang w:val="es-ES" w:eastAsia="es-CO"/>
        </w:rPr>
        <w:t>LEY DE GARANTÍAS ELECTORALES ‒</w:t>
      </w:r>
      <w:bookmarkEnd w:id="3"/>
      <w:r w:rsidRPr="00946A8B">
        <w:rPr>
          <w:rFonts w:ascii="Arial" w:hAnsi="Arial" w:cs="Arial"/>
          <w:b/>
          <w:sz w:val="20"/>
          <w:szCs w:val="20"/>
          <w:lang w:val="es-ES" w:eastAsia="es-CO"/>
        </w:rPr>
        <w:t xml:space="preserve"> </w:t>
      </w:r>
      <w:r w:rsidR="004102D2" w:rsidRPr="00946A8B">
        <w:rPr>
          <w:rFonts w:ascii="Arial" w:hAnsi="Arial" w:cs="Arial"/>
          <w:b/>
          <w:sz w:val="20"/>
          <w:szCs w:val="20"/>
          <w:lang w:val="es-ES" w:eastAsia="es-CO"/>
        </w:rPr>
        <w:t>Definición</w:t>
      </w:r>
      <w:r w:rsidRPr="00946A8B">
        <w:rPr>
          <w:rFonts w:ascii="Arial" w:hAnsi="Arial" w:cs="Arial"/>
          <w:b/>
          <w:sz w:val="20"/>
          <w:szCs w:val="20"/>
          <w:lang w:val="es-ES" w:eastAsia="es-CO"/>
        </w:rPr>
        <w:t xml:space="preserve"> </w:t>
      </w:r>
      <w:r w:rsidR="008D36DB" w:rsidRPr="00946A8B">
        <w:rPr>
          <w:rFonts w:ascii="Arial" w:hAnsi="Arial" w:cs="Arial"/>
          <w:b/>
          <w:sz w:val="20"/>
          <w:szCs w:val="20"/>
          <w:lang w:val="es-ES" w:eastAsia="es-CO"/>
        </w:rPr>
        <w:t>– Finalidad</w:t>
      </w:r>
    </w:p>
    <w:p w14:paraId="1948F999" w14:textId="77777777" w:rsidR="00D04192" w:rsidRPr="00691AAC" w:rsidRDefault="00D04192" w:rsidP="00D04192">
      <w:pPr>
        <w:tabs>
          <w:tab w:val="left" w:pos="426"/>
        </w:tabs>
        <w:rPr>
          <w:rFonts w:ascii="Arial" w:eastAsia="Calibri" w:hAnsi="Arial" w:cs="Arial"/>
          <w:b/>
          <w:bCs/>
          <w:sz w:val="20"/>
          <w:szCs w:val="20"/>
        </w:rPr>
      </w:pPr>
    </w:p>
    <w:bookmarkEnd w:id="4"/>
    <w:p w14:paraId="20618E72" w14:textId="29835829" w:rsidR="00423405" w:rsidRPr="00691AAC" w:rsidRDefault="00D04192" w:rsidP="00423405">
      <w:pPr>
        <w:tabs>
          <w:tab w:val="left" w:pos="426"/>
        </w:tabs>
        <w:jc w:val="both"/>
        <w:rPr>
          <w:rFonts w:ascii="Arial" w:eastAsia="Calibri" w:hAnsi="Arial" w:cs="Arial"/>
          <w:noProof/>
          <w:sz w:val="20"/>
          <w:szCs w:val="20"/>
          <w:lang w:val="es-ES_tradnl"/>
        </w:rPr>
      </w:pPr>
      <w:r w:rsidRPr="00691AAC">
        <w:rPr>
          <w:rFonts w:ascii="Arial" w:eastAsia="Calibri" w:hAnsi="Arial" w:cs="Arial"/>
          <w:noProof/>
          <w:sz w:val="20"/>
          <w:szCs w:val="20"/>
          <w:lang w:val="es-ES_tradnl"/>
        </w:rPr>
        <w:t>[…] la Ley 996 de 2005 establece dos (2) tipos de restricciones en materia de contratación, las cuales coinciden parcialmente. En primer lugar, la del artículo 33 que opera solo respecto de las elecciones presidenciales, en virtud de la cual queda proscrita la contratación directa dentro de los cuatro (4) meses anteriores a la celebración de los comicios, salvo las citadas excepciones. Sin embargo, si ningún candidato obtiene la mitad más uno de los votos que, de manera secreta y directa, depositen los ciudadanos, se celebrará una nueva votación que tendrá lugar tres semanas más tarde, en la que sólo participarán los dos candidatos que hubieren obtenido las  votaciones más altas, de conformidad con el artículo 190 de la Constitución Política. Para estos efectos, la restricción se extenderá hasta la fecha en la que se realice la segunda vuelta. En segundo lugar, también se encuentra la prohibición del parágrafo del artículo 38, el cual debe aplicarse respecto de cualquier tipo de contienda electoral, y que prohíbe la celebración de convenios interadministrativos que impliquen la ejecución de recursos públicos dentro de los cuatro (4) meses anteriores a la respectiva jornada de votaciones.</w:t>
      </w:r>
      <w:r w:rsidR="00423405" w:rsidRPr="00691AAC">
        <w:rPr>
          <w:rFonts w:ascii="Arial" w:eastAsia="Calibri" w:hAnsi="Arial" w:cs="Arial"/>
          <w:noProof/>
          <w:color w:val="161616" w:themeColor="background1" w:themeShade="1A"/>
          <w:sz w:val="20"/>
          <w:szCs w:val="20"/>
        </w:rPr>
        <w:t xml:space="preserve"> </w:t>
      </w:r>
    </w:p>
    <w:p w14:paraId="59A27F42" w14:textId="77777777" w:rsidR="00423405" w:rsidRPr="00691AAC" w:rsidRDefault="00423405" w:rsidP="00423405">
      <w:pPr>
        <w:tabs>
          <w:tab w:val="left" w:pos="426"/>
        </w:tabs>
        <w:jc w:val="both"/>
        <w:rPr>
          <w:rFonts w:ascii="Arial" w:eastAsia="Calibri" w:hAnsi="Arial" w:cs="Arial"/>
          <w:b/>
          <w:bCs/>
          <w:color w:val="161616" w:themeColor="background1" w:themeShade="1A"/>
          <w:sz w:val="22"/>
          <w:szCs w:val="22"/>
          <w:lang w:val="es-ES_tradnl"/>
        </w:rPr>
      </w:pPr>
      <w:bookmarkStart w:id="5" w:name="_Hlk77165666"/>
      <w:bookmarkStart w:id="6" w:name="_Hlk97039670"/>
    </w:p>
    <w:p w14:paraId="49F8EAA2" w14:textId="77777777" w:rsidR="00423405" w:rsidRPr="00691AAC" w:rsidRDefault="00423405" w:rsidP="00423405">
      <w:pPr>
        <w:tabs>
          <w:tab w:val="left" w:pos="426"/>
        </w:tabs>
        <w:jc w:val="both"/>
        <w:rPr>
          <w:rFonts w:ascii="Arial" w:eastAsia="Calibri" w:hAnsi="Arial" w:cs="Arial"/>
          <w:b/>
          <w:bCs/>
          <w:color w:val="161616" w:themeColor="background1" w:themeShade="1A"/>
          <w:sz w:val="20"/>
          <w:szCs w:val="20"/>
          <w:lang w:val="es-ES_tradnl"/>
        </w:rPr>
      </w:pPr>
      <w:r w:rsidRPr="00691AAC">
        <w:rPr>
          <w:rFonts w:ascii="Arial" w:eastAsia="Calibri" w:hAnsi="Arial" w:cs="Arial"/>
          <w:b/>
          <w:bCs/>
          <w:color w:val="161616" w:themeColor="background1" w:themeShade="1A"/>
          <w:sz w:val="20"/>
          <w:szCs w:val="20"/>
          <w:lang w:val="es-ES_tradnl"/>
        </w:rPr>
        <w:t>LEY DE GARANTÍAS ELECTORALES</w:t>
      </w:r>
      <w:r w:rsidRPr="00691AAC">
        <w:rPr>
          <w:rFonts w:ascii="Arial" w:eastAsia="Calibri" w:hAnsi="Arial" w:cs="Arial"/>
          <w:b/>
          <w:color w:val="161616" w:themeColor="background1" w:themeShade="1A"/>
          <w:sz w:val="20"/>
          <w:szCs w:val="20"/>
          <w:lang w:val="es-ES_tradnl"/>
        </w:rPr>
        <w:t xml:space="preserve"> –</w:t>
      </w:r>
      <w:r w:rsidRPr="00691AAC">
        <w:rPr>
          <w:rFonts w:ascii="Arial" w:eastAsia="Calibri" w:hAnsi="Arial" w:cs="Arial"/>
          <w:b/>
          <w:bCs/>
          <w:color w:val="161616" w:themeColor="background1" w:themeShade="1A"/>
          <w:sz w:val="20"/>
          <w:szCs w:val="20"/>
          <w:lang w:val="es-ES_tradnl"/>
        </w:rPr>
        <w:t xml:space="preserve"> P</w:t>
      </w:r>
      <w:r w:rsidRPr="00691AAC">
        <w:rPr>
          <w:rFonts w:ascii="Arial" w:hAnsi="Arial" w:cs="Arial"/>
          <w:b/>
          <w:sz w:val="20"/>
          <w:szCs w:val="20"/>
          <w:lang w:val="es-ES" w:eastAsia="es-CO"/>
        </w:rPr>
        <w:t>rohibición</w:t>
      </w:r>
      <w:bookmarkEnd w:id="5"/>
      <w:r w:rsidRPr="00691AAC">
        <w:rPr>
          <w:rFonts w:ascii="Arial" w:hAnsi="Arial" w:cs="Arial"/>
          <w:b/>
          <w:sz w:val="20"/>
          <w:szCs w:val="20"/>
          <w:lang w:val="es-ES" w:eastAsia="es-CO"/>
        </w:rPr>
        <w:t xml:space="preserve"> – Contratación directa – Alcance – Excepciones </w:t>
      </w:r>
    </w:p>
    <w:bookmarkEnd w:id="6"/>
    <w:p w14:paraId="6D4E12A7" w14:textId="77777777" w:rsidR="00423405" w:rsidRPr="00691AAC" w:rsidRDefault="00423405" w:rsidP="00423405">
      <w:pPr>
        <w:tabs>
          <w:tab w:val="left" w:pos="426"/>
        </w:tabs>
        <w:rPr>
          <w:rFonts w:ascii="Arial" w:eastAsia="Calibri" w:hAnsi="Arial" w:cs="Arial"/>
          <w:noProof/>
          <w:color w:val="161616" w:themeColor="background1" w:themeShade="1A"/>
          <w:sz w:val="22"/>
          <w:szCs w:val="22"/>
          <w:lang w:val="es-ES_tradnl"/>
        </w:rPr>
      </w:pPr>
    </w:p>
    <w:p w14:paraId="672E8DA5" w14:textId="77777777" w:rsidR="00423405" w:rsidRPr="00691AAC" w:rsidRDefault="00423405" w:rsidP="00423405">
      <w:pPr>
        <w:tabs>
          <w:tab w:val="left" w:pos="426"/>
        </w:tabs>
        <w:jc w:val="both"/>
        <w:rPr>
          <w:rFonts w:ascii="Arial" w:eastAsia="Calibri" w:hAnsi="Arial" w:cs="Arial"/>
          <w:noProof/>
          <w:color w:val="161616" w:themeColor="background1" w:themeShade="1A"/>
          <w:sz w:val="20"/>
          <w:szCs w:val="20"/>
          <w:lang w:val="es-ES_tradnl"/>
        </w:rPr>
      </w:pPr>
      <w:r w:rsidRPr="00691AAC">
        <w:rPr>
          <w:rFonts w:ascii="Arial" w:eastAsia="Calibri" w:hAnsi="Arial" w:cs="Arial"/>
          <w:noProof/>
          <w:color w:val="161616" w:themeColor="background1" w:themeShade="1A"/>
          <w:sz w:val="20"/>
          <w:szCs w:val="20"/>
          <w:lang w:val="es-ES_tradnl"/>
        </w:rPr>
        <w:t>[…] la prohibición del artículo 33 de la Ley de Garantías Electorales se refiere a «cualquier sistema que no implique convocatoria pública y posibilidad de pluralidad de oferentes», por lo que excluye las demás modalidades de contratación previstas en la Ley 1150 de 2007, es decir, la licitación pública, la selección abreviada y el concurso de méritos u otros previstos en normas especiales.</w:t>
      </w:r>
    </w:p>
    <w:p w14:paraId="7FFCF23E" w14:textId="77777777" w:rsidR="00423405" w:rsidRPr="00691AAC" w:rsidRDefault="00423405" w:rsidP="00423405">
      <w:pPr>
        <w:tabs>
          <w:tab w:val="left" w:pos="426"/>
        </w:tabs>
        <w:jc w:val="both"/>
        <w:rPr>
          <w:rFonts w:ascii="Arial" w:eastAsia="Calibri" w:hAnsi="Arial" w:cs="Arial"/>
          <w:noProof/>
          <w:color w:val="161616" w:themeColor="background1" w:themeShade="1A"/>
          <w:sz w:val="20"/>
          <w:szCs w:val="20"/>
          <w:lang w:val="es-ES_tradnl"/>
        </w:rPr>
      </w:pPr>
    </w:p>
    <w:p w14:paraId="69DF0670" w14:textId="2D75A5A3" w:rsidR="00423405" w:rsidRPr="000164B2" w:rsidRDefault="00423405" w:rsidP="00423405">
      <w:pPr>
        <w:tabs>
          <w:tab w:val="left" w:pos="426"/>
        </w:tabs>
        <w:jc w:val="both"/>
        <w:rPr>
          <w:rFonts w:ascii="Arial" w:eastAsia="Calibri" w:hAnsi="Arial" w:cs="Arial"/>
          <w:noProof/>
          <w:color w:val="161616" w:themeColor="background1" w:themeShade="1A"/>
          <w:sz w:val="20"/>
          <w:szCs w:val="20"/>
          <w:lang w:val="es-ES_tradnl"/>
        </w:rPr>
      </w:pPr>
      <w:r w:rsidRPr="00691AAC">
        <w:rPr>
          <w:rFonts w:ascii="Arial" w:eastAsia="Calibri" w:hAnsi="Arial" w:cs="Arial"/>
          <w:noProof/>
          <w:color w:val="161616" w:themeColor="background1" w:themeShade="1A"/>
          <w:sz w:val="20"/>
          <w:szCs w:val="20"/>
          <w:lang w:val="es-ES_tradnl"/>
        </w:rPr>
        <w:t>[…] las excepciones a la restricción prevista en la Ley de Garantías, con fundamento en las cuales podrán las entidades públicas adelantar procedimientos de selección directa en períodos previos a la contienda electoral por la Presidencia, se encuentran consagradas de manera taxativa en el inciso final del citado artículo 33 de la Ley 996 de 2005 en lo referente a i) la defensa y seguridad del Estado; ii) los contratos de crédito público; iii) los requeridos para cubrir las emergencias educativas, sanitarias y desastres; iv)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w:t>
      </w:r>
    </w:p>
    <w:p w14:paraId="093FCF64" w14:textId="77777777" w:rsidR="00423405" w:rsidRPr="00691AAC" w:rsidRDefault="00423405" w:rsidP="00423405">
      <w:pPr>
        <w:rPr>
          <w:rFonts w:ascii="Arial" w:hAnsi="Arial" w:cs="Arial"/>
          <w:b/>
          <w:bCs/>
          <w:sz w:val="20"/>
          <w:szCs w:val="20"/>
          <w:lang w:eastAsia="es-CO"/>
        </w:rPr>
      </w:pPr>
    </w:p>
    <w:p w14:paraId="7003E0A1" w14:textId="77777777" w:rsidR="00423405" w:rsidRPr="00691AAC" w:rsidRDefault="00423405" w:rsidP="00423405">
      <w:pPr>
        <w:rPr>
          <w:rFonts w:ascii="Arial" w:hAnsi="Arial" w:cs="Arial"/>
          <w:b/>
          <w:sz w:val="20"/>
          <w:szCs w:val="20"/>
          <w:lang w:val="es-ES" w:eastAsia="es-CO"/>
        </w:rPr>
      </w:pPr>
      <w:r w:rsidRPr="00691AAC">
        <w:rPr>
          <w:rFonts w:ascii="Arial" w:hAnsi="Arial" w:cs="Arial"/>
          <w:b/>
          <w:bCs/>
          <w:sz w:val="20"/>
          <w:szCs w:val="20"/>
          <w:lang w:eastAsia="es-CO"/>
        </w:rPr>
        <w:t xml:space="preserve">LEY DE GARANTÍAS ELECTORALES </w:t>
      </w:r>
      <w:bookmarkStart w:id="7" w:name="_Hlk77166669"/>
      <w:r w:rsidRPr="00691AAC">
        <w:rPr>
          <w:rFonts w:ascii="Arial" w:hAnsi="Arial" w:cs="Arial"/>
          <w:b/>
          <w:bCs/>
          <w:sz w:val="20"/>
          <w:szCs w:val="20"/>
          <w:lang w:eastAsia="es-CO"/>
        </w:rPr>
        <w:t>‒</w:t>
      </w:r>
      <w:bookmarkEnd w:id="7"/>
      <w:r w:rsidRPr="00691AAC">
        <w:rPr>
          <w:rFonts w:ascii="Arial" w:hAnsi="Arial" w:cs="Arial"/>
          <w:b/>
          <w:bCs/>
          <w:sz w:val="20"/>
          <w:szCs w:val="20"/>
          <w:lang w:eastAsia="es-CO"/>
        </w:rPr>
        <w:t xml:space="preserve"> </w:t>
      </w:r>
      <w:r w:rsidRPr="00691AAC">
        <w:rPr>
          <w:rFonts w:ascii="Arial" w:hAnsi="Arial" w:cs="Arial"/>
          <w:b/>
          <w:sz w:val="20"/>
          <w:szCs w:val="20"/>
          <w:lang w:val="es-ES" w:eastAsia="es-CO"/>
        </w:rPr>
        <w:t xml:space="preserve">Prohibición del artículo 33 </w:t>
      </w:r>
      <w:r w:rsidRPr="00691AAC">
        <w:rPr>
          <w:rFonts w:ascii="Arial" w:hAnsi="Arial" w:cs="Arial"/>
          <w:b/>
          <w:bCs/>
          <w:sz w:val="20"/>
          <w:szCs w:val="20"/>
          <w:lang w:eastAsia="es-CO"/>
        </w:rPr>
        <w:t>‒ Destinatarios</w:t>
      </w:r>
    </w:p>
    <w:p w14:paraId="5FCD6E42" w14:textId="77777777" w:rsidR="00423405" w:rsidRPr="00691AAC" w:rsidRDefault="00423405" w:rsidP="00423405">
      <w:pPr>
        <w:tabs>
          <w:tab w:val="left" w:pos="426"/>
        </w:tabs>
        <w:rPr>
          <w:rFonts w:ascii="Arial" w:eastAsia="Calibri" w:hAnsi="Arial" w:cs="Arial"/>
          <w:noProof/>
          <w:sz w:val="20"/>
          <w:szCs w:val="20"/>
          <w:lang w:val="es-ES" w:eastAsia="en-US"/>
        </w:rPr>
      </w:pPr>
    </w:p>
    <w:p w14:paraId="670BB7DC" w14:textId="77777777" w:rsidR="00423405" w:rsidRPr="00691AAC" w:rsidRDefault="00423405" w:rsidP="00423405">
      <w:pPr>
        <w:tabs>
          <w:tab w:val="left" w:pos="426"/>
        </w:tabs>
        <w:jc w:val="both"/>
        <w:rPr>
          <w:rFonts w:ascii="Arial" w:eastAsia="Calibri" w:hAnsi="Arial" w:cs="Arial"/>
          <w:noProof/>
          <w:sz w:val="20"/>
          <w:szCs w:val="20"/>
        </w:rPr>
      </w:pPr>
      <w:r w:rsidRPr="00691AAC">
        <w:rPr>
          <w:rFonts w:ascii="Arial" w:eastAsia="Calibri" w:hAnsi="Arial" w:cs="Arial"/>
          <w:noProof/>
          <w:color w:val="161616" w:themeColor="background1" w:themeShade="1A"/>
          <w:sz w:val="20"/>
          <w:szCs w:val="20"/>
          <w:lang w:val="es-ES_tradnl"/>
        </w:rPr>
        <w:t xml:space="preserve">[…] </w:t>
      </w:r>
      <w:r w:rsidRPr="00691AAC">
        <w:rPr>
          <w:rFonts w:ascii="Arial" w:eastAsia="Calibri" w:hAnsi="Arial" w:cs="Arial"/>
          <w:noProof/>
          <w:sz w:val="20"/>
          <w:szCs w:val="20"/>
        </w:rPr>
        <w:t>El artículo 33 de la Ley 996 de 2005 señala expresamente a los destinatarios de la prohibición, en el sentido de que son «todos los entes del Estado», expresión que contempla a los diferentes organismos o entidades autorizadas por la ley para suscribir contratos. En efecto, tal como lo ha sostenido el Consejo de Estado, el vocablo «todos» utilizado por el legislador comprende a la totalidad de los entes del Estado, sin distinción del régimen jurídico, forma de organización o naturaleza, su pertenencia a una u otra rama del poder público o su autonomía, e incluso si las entidades estatales tienen régimen especial de contratación y están exceptuadas del ámbito de aplicación del Estatuto General de Contratación de la Administración Pública.</w:t>
      </w:r>
    </w:p>
    <w:p w14:paraId="4799639D" w14:textId="77777777" w:rsidR="00423405" w:rsidRPr="00691AAC" w:rsidRDefault="00423405" w:rsidP="00423405">
      <w:pPr>
        <w:tabs>
          <w:tab w:val="left" w:pos="426"/>
        </w:tabs>
        <w:jc w:val="both"/>
        <w:rPr>
          <w:rFonts w:ascii="Arial" w:eastAsia="Calibri" w:hAnsi="Arial" w:cs="Arial"/>
          <w:noProof/>
          <w:sz w:val="20"/>
          <w:szCs w:val="20"/>
        </w:rPr>
      </w:pPr>
    </w:p>
    <w:p w14:paraId="6D40FAB7" w14:textId="77777777" w:rsidR="00423405" w:rsidRPr="00691AAC" w:rsidRDefault="00423405" w:rsidP="00423405">
      <w:pPr>
        <w:shd w:val="clear" w:color="auto" w:fill="FFFFFF"/>
        <w:jc w:val="both"/>
        <w:rPr>
          <w:rFonts w:ascii="Arial" w:eastAsia="Arial" w:hAnsi="Arial" w:cs="Arial"/>
          <w:sz w:val="20"/>
          <w:szCs w:val="20"/>
          <w:lang w:eastAsia="es-ES_tradnl"/>
        </w:rPr>
      </w:pPr>
      <w:r w:rsidRPr="00691AAC">
        <w:rPr>
          <w:rFonts w:ascii="Arial" w:eastAsia="Arial" w:hAnsi="Arial" w:cs="Arial"/>
          <w:b/>
          <w:sz w:val="20"/>
          <w:szCs w:val="20"/>
        </w:rPr>
        <w:lastRenderedPageBreak/>
        <w:t xml:space="preserve">LEY DE GARANTÍAS ELECTORALES ‒ Excepciones </w:t>
      </w:r>
      <w:r w:rsidRPr="00691AAC">
        <w:rPr>
          <w:rFonts w:ascii="Arial" w:hAnsi="Arial" w:cs="Arial"/>
          <w:b/>
          <w:bCs/>
          <w:sz w:val="20"/>
          <w:szCs w:val="20"/>
          <w:lang w:eastAsia="es-CO"/>
        </w:rPr>
        <w:t xml:space="preserve">‒ </w:t>
      </w:r>
      <w:r w:rsidRPr="00691AAC">
        <w:rPr>
          <w:rFonts w:ascii="Arial" w:eastAsia="Arial" w:hAnsi="Arial" w:cs="Arial"/>
          <w:b/>
          <w:sz w:val="20"/>
          <w:szCs w:val="20"/>
        </w:rPr>
        <w:t xml:space="preserve">Entidades hospitalarias </w:t>
      </w:r>
      <w:r w:rsidRPr="00691AAC">
        <w:rPr>
          <w:rFonts w:ascii="Arial" w:hAnsi="Arial" w:cs="Arial"/>
          <w:b/>
          <w:bCs/>
          <w:sz w:val="20"/>
          <w:szCs w:val="20"/>
          <w:lang w:eastAsia="es-CO"/>
        </w:rPr>
        <w:t>‒ Departamentos</w:t>
      </w:r>
    </w:p>
    <w:p w14:paraId="70DF3A42" w14:textId="77777777" w:rsidR="00423405" w:rsidRPr="00691AAC" w:rsidRDefault="00423405" w:rsidP="00423405">
      <w:pPr>
        <w:ind w:right="49"/>
        <w:jc w:val="both"/>
        <w:rPr>
          <w:rFonts w:ascii="Arial" w:eastAsia="Calibri" w:hAnsi="Arial" w:cs="Arial"/>
          <w:b/>
          <w:color w:val="000000" w:themeColor="text1"/>
          <w:sz w:val="20"/>
          <w:szCs w:val="20"/>
          <w:lang w:val="es-MX" w:eastAsia="en-US"/>
        </w:rPr>
      </w:pPr>
    </w:p>
    <w:p w14:paraId="46793FC2" w14:textId="77777777" w:rsidR="00203B55" w:rsidRPr="00203B55" w:rsidRDefault="00203B55" w:rsidP="00203B55">
      <w:pPr>
        <w:tabs>
          <w:tab w:val="left" w:pos="426"/>
        </w:tabs>
        <w:spacing w:before="120"/>
        <w:jc w:val="both"/>
        <w:rPr>
          <w:rFonts w:ascii="Arial" w:eastAsia="Calibri" w:hAnsi="Arial" w:cs="Arial"/>
          <w:bCs/>
          <w:noProof/>
          <w:sz w:val="20"/>
          <w:szCs w:val="20"/>
          <w:lang w:eastAsia="en-US"/>
        </w:rPr>
      </w:pPr>
      <w:r w:rsidRPr="00203B55">
        <w:rPr>
          <w:rFonts w:ascii="Arial" w:eastAsia="Calibri" w:hAnsi="Arial" w:cs="Arial"/>
          <w:bCs/>
          <w:noProof/>
          <w:sz w:val="20"/>
          <w:szCs w:val="20"/>
          <w:lang w:eastAsia="en-US"/>
        </w:rPr>
        <w:t xml:space="preserve">Para efectos de la consulta es relevante el quinto evento exceptuado de la prohibición, relacionado con la contratación por parte de las entidades sanitarias y hospitalarias. La aplicación de esta excepción a la restricción impuesta como regla general por el primer inciso del artículo 33, permite que las entidades sanitarias y hospitalarias, ante la importancia de los servicios que prestan para el grueso de la ciudadanía, puedan seguir realizando las compras y adquisiciones que requieren para prestarlos, incluso de manera directa, durante los periodos prelectorales, con lo que se busca garantizar que el interés público no se vea afectado por el rigor de la regla general. </w:t>
      </w:r>
    </w:p>
    <w:p w14:paraId="0E614D76" w14:textId="77777777" w:rsidR="00203B55" w:rsidRDefault="00203B55" w:rsidP="00423405">
      <w:pPr>
        <w:ind w:right="51"/>
        <w:jc w:val="both"/>
        <w:rPr>
          <w:rFonts w:ascii="Arial" w:eastAsia="Calibri" w:hAnsi="Arial" w:cs="Arial"/>
          <w:bCs/>
          <w:noProof/>
          <w:sz w:val="20"/>
          <w:szCs w:val="20"/>
          <w:lang w:val="es-ES_tradnl" w:eastAsia="en-US"/>
        </w:rPr>
      </w:pPr>
    </w:p>
    <w:p w14:paraId="0F2B90EE" w14:textId="17CAEB60" w:rsidR="00423405" w:rsidRPr="00691AAC" w:rsidRDefault="00203B55" w:rsidP="00423405">
      <w:pPr>
        <w:ind w:right="51"/>
        <w:jc w:val="both"/>
        <w:rPr>
          <w:rFonts w:ascii="Arial" w:eastAsia="Calibri" w:hAnsi="Arial" w:cs="Arial"/>
          <w:bCs/>
          <w:noProof/>
          <w:sz w:val="20"/>
          <w:szCs w:val="20"/>
          <w:lang w:val="es-ES_tradnl" w:eastAsia="en-US"/>
        </w:rPr>
      </w:pPr>
      <w:r>
        <w:rPr>
          <w:rFonts w:ascii="Arial" w:eastAsia="Calibri" w:hAnsi="Arial" w:cs="Arial"/>
          <w:bCs/>
          <w:noProof/>
          <w:sz w:val="20"/>
          <w:szCs w:val="20"/>
          <w:lang w:val="es-ES_tradnl" w:eastAsia="en-US"/>
        </w:rPr>
        <w:t xml:space="preserve">Esta </w:t>
      </w:r>
      <w:r w:rsidRPr="00203B55">
        <w:rPr>
          <w:rFonts w:ascii="Arial" w:eastAsia="Calibri" w:hAnsi="Arial" w:cs="Arial"/>
          <w:bCs/>
          <w:noProof/>
          <w:sz w:val="20"/>
          <w:szCs w:val="20"/>
          <w:lang w:val="es-ES_tradnl" w:eastAsia="en-US"/>
        </w:rPr>
        <w:t>Agencia ha explicado que entidades como las Empresas Sociales del Estado se encuentran cobijadas por la excepción en comento, en la medida en que por expresa disposición de la ley son entidades encargadas de la prestación de servicios de salud , lo que las ubica dentro de la referida noción de entidad sanitaria. Por el contrario, respecto de los departamentos se ha reconocido que, a pesar de jugar importante en la materia a través de sus secretarías de salud, no prestan un servicio directo, sino que coordinan las políticas de esta naturaleza desde un punto de vista administrativo para efectos del control y vigilancia, por lo que no se encuentran cobijados por la excepción</w:t>
      </w:r>
      <w:r w:rsidR="00423405" w:rsidRPr="00691AAC">
        <w:rPr>
          <w:rFonts w:ascii="Arial" w:eastAsia="Calibri" w:hAnsi="Arial" w:cs="Arial"/>
          <w:bCs/>
          <w:noProof/>
          <w:sz w:val="20"/>
          <w:szCs w:val="20"/>
          <w:lang w:val="es-ES_tradnl" w:eastAsia="en-US"/>
        </w:rPr>
        <w:t xml:space="preserve">. </w:t>
      </w:r>
    </w:p>
    <w:p w14:paraId="1563ABB1" w14:textId="77777777" w:rsidR="00423405" w:rsidRPr="00691AAC" w:rsidRDefault="00423405" w:rsidP="00423405">
      <w:pPr>
        <w:ind w:right="51"/>
        <w:jc w:val="both"/>
        <w:rPr>
          <w:rFonts w:ascii="Arial" w:eastAsia="Calibri" w:hAnsi="Arial" w:cs="Arial"/>
          <w:bCs/>
          <w:noProof/>
          <w:sz w:val="20"/>
          <w:szCs w:val="20"/>
          <w:lang w:eastAsia="en-US"/>
        </w:rPr>
      </w:pPr>
    </w:p>
    <w:p w14:paraId="2BBE65BE" w14:textId="77777777" w:rsidR="00423405" w:rsidRPr="00691AAC" w:rsidRDefault="00423405" w:rsidP="00423405">
      <w:pPr>
        <w:shd w:val="clear" w:color="auto" w:fill="FFFFFF"/>
        <w:jc w:val="both"/>
        <w:rPr>
          <w:rFonts w:ascii="Arial" w:eastAsia="Arial" w:hAnsi="Arial" w:cs="Arial"/>
          <w:sz w:val="20"/>
          <w:szCs w:val="20"/>
          <w:lang w:eastAsia="es-ES_tradnl"/>
        </w:rPr>
      </w:pPr>
      <w:r w:rsidRPr="00691AAC">
        <w:rPr>
          <w:rFonts w:ascii="Arial" w:eastAsia="Arial" w:hAnsi="Arial" w:cs="Arial"/>
          <w:b/>
          <w:sz w:val="20"/>
          <w:szCs w:val="20"/>
        </w:rPr>
        <w:t xml:space="preserve">LEY DE GARANTÍAS ELECTORALES ‒ Excepciones </w:t>
      </w:r>
      <w:r w:rsidRPr="00691AAC">
        <w:rPr>
          <w:rFonts w:ascii="Arial" w:hAnsi="Arial" w:cs="Arial"/>
          <w:b/>
          <w:bCs/>
          <w:sz w:val="20"/>
          <w:szCs w:val="20"/>
          <w:lang w:eastAsia="es-CO"/>
        </w:rPr>
        <w:t xml:space="preserve">‒ </w:t>
      </w:r>
      <w:r w:rsidRPr="00691AAC">
        <w:rPr>
          <w:rFonts w:ascii="Arial" w:eastAsia="Arial" w:hAnsi="Arial" w:cs="Arial"/>
          <w:b/>
          <w:sz w:val="20"/>
          <w:szCs w:val="20"/>
        </w:rPr>
        <w:t xml:space="preserve">Entidades sanitarias </w:t>
      </w:r>
      <w:r w:rsidRPr="00691AAC">
        <w:rPr>
          <w:rFonts w:ascii="Arial" w:hAnsi="Arial" w:cs="Arial"/>
          <w:b/>
          <w:bCs/>
          <w:sz w:val="20"/>
          <w:szCs w:val="20"/>
          <w:lang w:eastAsia="es-CO"/>
        </w:rPr>
        <w:t>‒ Departamentos</w:t>
      </w:r>
    </w:p>
    <w:p w14:paraId="4251E597" w14:textId="77777777" w:rsidR="00423405" w:rsidRPr="00691AAC" w:rsidRDefault="00423405" w:rsidP="00423405">
      <w:pPr>
        <w:ind w:right="51"/>
        <w:jc w:val="both"/>
        <w:rPr>
          <w:rFonts w:ascii="Arial" w:hAnsi="Arial" w:cs="Arial"/>
          <w:bCs/>
          <w:sz w:val="20"/>
          <w:szCs w:val="20"/>
          <w:lang w:val="es-MX" w:eastAsia="es-CO"/>
        </w:rPr>
      </w:pPr>
    </w:p>
    <w:p w14:paraId="20D7A291" w14:textId="0F935A21" w:rsidR="00423405" w:rsidRPr="00691AAC" w:rsidRDefault="008A7EB2" w:rsidP="00423405">
      <w:pPr>
        <w:ind w:right="51"/>
        <w:jc w:val="both"/>
        <w:rPr>
          <w:rFonts w:ascii="Arial" w:hAnsi="Arial" w:cs="Arial"/>
          <w:bCs/>
          <w:sz w:val="20"/>
          <w:szCs w:val="20"/>
          <w:lang w:eastAsia="es-CO"/>
        </w:rPr>
      </w:pPr>
      <w:r w:rsidRPr="008A7EB2">
        <w:rPr>
          <w:rFonts w:ascii="Arial" w:hAnsi="Arial" w:cs="Arial"/>
          <w:bCs/>
          <w:sz w:val="20"/>
          <w:szCs w:val="20"/>
          <w:lang w:eastAsia="es-CO"/>
        </w:rPr>
        <w:t>El alcance de esta excepción está determinado por la prestación de servicios sanitarios y hospitalarios, por lo que son las entidades públicas directamente encargadas de prestar estos servicios quienes estarían cobijadas por la excepción. Al respecto conviene diferenciar los conceptos de entidad sanitaria y autoridad sanitaria, ya que, en efecto, el artículo 2.8.8.1.1.3 del Decreto 780 de 2016, «Por medio del cual se expide el Decreto Único Reglamentario del Sector Salud y Protección Social», define las entidades sanitarias como «Entidades del Estado que prestan servicios sanitarios o de sanidad con el propósito de preservar la salud humana y la salud pública», mientras que a las autoridades sanitarias como «Entidades jurídicas de carácter público con atribuciones para ejercer funciones de rectoría, regulación, inspección, vigilancia y control de los sectores público y privado en salud y adoptar medidas de prevención y seguimiento que garanticen la protección de la salud pública</w:t>
      </w:r>
      <w:r>
        <w:rPr>
          <w:rFonts w:ascii="Arial" w:hAnsi="Arial" w:cs="Arial"/>
          <w:bCs/>
          <w:sz w:val="20"/>
          <w:szCs w:val="20"/>
          <w:lang w:eastAsia="es-CO"/>
        </w:rPr>
        <w:t xml:space="preserve">. </w:t>
      </w:r>
    </w:p>
    <w:p w14:paraId="0B846501" w14:textId="77777777" w:rsidR="00423405" w:rsidRPr="00691AAC" w:rsidRDefault="00423405" w:rsidP="00423405">
      <w:pPr>
        <w:ind w:right="51"/>
        <w:jc w:val="both"/>
        <w:rPr>
          <w:rFonts w:ascii="Arial" w:hAnsi="Arial" w:cs="Arial"/>
          <w:bCs/>
          <w:sz w:val="20"/>
          <w:szCs w:val="20"/>
          <w:lang w:val="es-MX" w:eastAsia="es-CO"/>
        </w:rPr>
      </w:pPr>
    </w:p>
    <w:p w14:paraId="3A491CB1" w14:textId="77777777" w:rsidR="000164B2" w:rsidRDefault="0032144D" w:rsidP="000164B2">
      <w:pPr>
        <w:spacing w:before="120" w:after="120" w:line="276" w:lineRule="auto"/>
        <w:jc w:val="both"/>
        <w:rPr>
          <w:rFonts w:ascii="Arial" w:hAnsi="Arial" w:cs="Arial"/>
          <w:color w:val="161616" w:themeColor="background1" w:themeShade="1A"/>
          <w:sz w:val="22"/>
          <w:szCs w:val="22"/>
          <w:lang w:val="es-ES_tradnl"/>
        </w:rPr>
      </w:pPr>
      <w:bookmarkStart w:id="8" w:name="_Hlk70510939"/>
      <w:r w:rsidRPr="00691AAC">
        <w:rPr>
          <w:rFonts w:ascii="Arial" w:hAnsi="Arial" w:cs="Arial"/>
          <w:color w:val="161616" w:themeColor="background1" w:themeShade="1A"/>
          <w:sz w:val="22"/>
          <w:szCs w:val="22"/>
          <w:lang w:val="es-ES_tradnl"/>
        </w:rPr>
        <w:br w:type="page"/>
      </w:r>
    </w:p>
    <w:p w14:paraId="6EB0CC69" w14:textId="1AC67DA0" w:rsidR="000164B2" w:rsidRDefault="000502EC" w:rsidP="000502EC">
      <w:pPr>
        <w:spacing w:before="120" w:after="120" w:line="276" w:lineRule="auto"/>
        <w:jc w:val="right"/>
        <w:rPr>
          <w:rFonts w:ascii="Arial" w:hAnsi="Arial" w:cs="Arial"/>
          <w:color w:val="161616" w:themeColor="background1" w:themeShade="1A"/>
          <w:sz w:val="22"/>
          <w:szCs w:val="22"/>
          <w:lang w:val="es-ES_tradnl"/>
        </w:rPr>
      </w:pPr>
      <w:r>
        <w:rPr>
          <w:noProof/>
        </w:rPr>
        <w:lastRenderedPageBreak/>
        <w:drawing>
          <wp:inline distT="0" distB="0" distL="0" distR="0" wp14:anchorId="4BCE21EA" wp14:editId="451DF86F">
            <wp:extent cx="3086100" cy="800100"/>
            <wp:effectExtent l="0" t="0" r="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1"/>
                    <a:srcRect l="29573" t="46178" r="14719" b="28134"/>
                    <a:stretch/>
                  </pic:blipFill>
                  <pic:spPr bwMode="auto">
                    <a:xfrm>
                      <a:off x="0" y="0"/>
                      <a:ext cx="3086100" cy="800100"/>
                    </a:xfrm>
                    <a:prstGeom prst="rect">
                      <a:avLst/>
                    </a:prstGeom>
                    <a:ln>
                      <a:noFill/>
                    </a:ln>
                    <a:extLst>
                      <a:ext uri="{53640926-AAD7-44D8-BBD7-CCE9431645EC}">
                        <a14:shadowObscured xmlns:a14="http://schemas.microsoft.com/office/drawing/2010/main"/>
                      </a:ext>
                    </a:extLst>
                  </pic:spPr>
                </pic:pic>
              </a:graphicData>
            </a:graphic>
          </wp:inline>
        </w:drawing>
      </w:r>
    </w:p>
    <w:p w14:paraId="6094F54B" w14:textId="5DFED611" w:rsidR="000164B2" w:rsidRDefault="00563655" w:rsidP="000164B2">
      <w:pPr>
        <w:spacing w:before="120"/>
        <w:jc w:val="both"/>
        <w:rPr>
          <w:rFonts w:ascii="Arial" w:hAnsi="Arial" w:cs="Arial"/>
          <w:color w:val="161616" w:themeColor="background1" w:themeShade="1A"/>
          <w:sz w:val="22"/>
          <w:szCs w:val="22"/>
          <w:lang w:val="es-ES_tradnl"/>
        </w:rPr>
      </w:pPr>
      <w:r>
        <w:rPr>
          <w:rFonts w:ascii="Arial" w:hAnsi="Arial" w:cs="Arial"/>
          <w:color w:val="161616" w:themeColor="background1" w:themeShade="1A"/>
          <w:sz w:val="22"/>
          <w:szCs w:val="22"/>
          <w:lang w:val="es-ES_tradnl"/>
        </w:rPr>
        <w:t>Bogotá, 7 abril 2022</w:t>
      </w:r>
    </w:p>
    <w:p w14:paraId="14673A0C" w14:textId="77777777" w:rsidR="00563655" w:rsidRDefault="00563655" w:rsidP="000164B2">
      <w:pPr>
        <w:spacing w:before="120"/>
        <w:jc w:val="both"/>
        <w:rPr>
          <w:rFonts w:ascii="Arial" w:hAnsi="Arial" w:cs="Arial"/>
          <w:color w:val="161616" w:themeColor="background1" w:themeShade="1A"/>
          <w:sz w:val="22"/>
          <w:szCs w:val="22"/>
          <w:lang w:val="es-ES_tradnl"/>
        </w:rPr>
      </w:pPr>
    </w:p>
    <w:p w14:paraId="6E444D61" w14:textId="4A9F693C" w:rsidR="00E54365" w:rsidRPr="00691AAC" w:rsidRDefault="00E54365" w:rsidP="000164B2">
      <w:pPr>
        <w:spacing w:before="120"/>
        <w:jc w:val="both"/>
        <w:rPr>
          <w:rFonts w:ascii="Arial" w:hAnsi="Arial" w:cs="Arial"/>
          <w:color w:val="161616" w:themeColor="background1" w:themeShade="1A"/>
          <w:sz w:val="22"/>
          <w:szCs w:val="22"/>
          <w:lang w:val="es-ES_tradnl"/>
        </w:rPr>
      </w:pPr>
      <w:r w:rsidRPr="00691AAC">
        <w:rPr>
          <w:rFonts w:ascii="Arial" w:hAnsi="Arial" w:cs="Arial"/>
          <w:color w:val="161616" w:themeColor="background1" w:themeShade="1A"/>
          <w:sz w:val="22"/>
          <w:szCs w:val="22"/>
          <w:lang w:val="es-ES_tradnl"/>
        </w:rPr>
        <w:t>Señor</w:t>
      </w:r>
      <w:r w:rsidR="009900DC" w:rsidRPr="00691AAC">
        <w:rPr>
          <w:rFonts w:ascii="Arial" w:hAnsi="Arial" w:cs="Arial"/>
          <w:color w:val="161616" w:themeColor="background1" w:themeShade="1A"/>
          <w:sz w:val="22"/>
          <w:szCs w:val="22"/>
          <w:lang w:val="es-ES_tradnl"/>
        </w:rPr>
        <w:t>a</w:t>
      </w:r>
    </w:p>
    <w:p w14:paraId="1CB0E71B" w14:textId="06BB8BC0" w:rsidR="00C64E43" w:rsidRPr="00691AAC" w:rsidRDefault="009900DC" w:rsidP="000164B2">
      <w:pPr>
        <w:rPr>
          <w:rFonts w:ascii="Arial" w:hAnsi="Arial" w:cs="Arial"/>
          <w:b/>
          <w:color w:val="000000" w:themeColor="text1"/>
          <w:sz w:val="22"/>
          <w:szCs w:val="22"/>
          <w:lang w:val="es-ES_tradnl"/>
        </w:rPr>
      </w:pPr>
      <w:r w:rsidRPr="00691AAC">
        <w:rPr>
          <w:rFonts w:ascii="Arial" w:hAnsi="Arial" w:cs="Arial"/>
          <w:b/>
          <w:color w:val="000000" w:themeColor="text1"/>
          <w:sz w:val="22"/>
          <w:szCs w:val="22"/>
          <w:lang w:val="es-ES_tradnl"/>
        </w:rPr>
        <w:t xml:space="preserve">Sandra Elena Martínez Archila </w:t>
      </w:r>
    </w:p>
    <w:p w14:paraId="7D2AC42E" w14:textId="1A9F0FF9" w:rsidR="00C64E43" w:rsidRPr="00691AAC" w:rsidRDefault="009900DC" w:rsidP="000164B2">
      <w:pPr>
        <w:rPr>
          <w:rFonts w:ascii="Arial" w:hAnsi="Arial" w:cs="Arial"/>
          <w:bCs/>
          <w:color w:val="161616" w:themeColor="background1" w:themeShade="1A"/>
          <w:sz w:val="22"/>
          <w:szCs w:val="22"/>
          <w:lang w:val="es-ES_tradnl"/>
        </w:rPr>
      </w:pPr>
      <w:r w:rsidRPr="00691AAC">
        <w:rPr>
          <w:rFonts w:ascii="Arial" w:hAnsi="Arial" w:cs="Arial"/>
          <w:bCs/>
          <w:color w:val="161616" w:themeColor="background1" w:themeShade="1A"/>
          <w:sz w:val="22"/>
          <w:szCs w:val="22"/>
          <w:lang w:val="es-ES_tradnl"/>
        </w:rPr>
        <w:t xml:space="preserve">Directora (E) U.A.E de Salud de Arauca </w:t>
      </w:r>
    </w:p>
    <w:p w14:paraId="190AC816" w14:textId="6403B27D" w:rsidR="00C64E43" w:rsidRPr="00691AAC" w:rsidRDefault="009900DC" w:rsidP="000164B2">
      <w:pPr>
        <w:rPr>
          <w:rFonts w:ascii="Arial" w:hAnsi="Arial" w:cs="Arial"/>
          <w:color w:val="161616" w:themeColor="background1" w:themeShade="1A"/>
          <w:sz w:val="22"/>
          <w:szCs w:val="22"/>
          <w:lang w:val="es-ES_tradnl"/>
        </w:rPr>
      </w:pPr>
      <w:r w:rsidRPr="00691AAC">
        <w:rPr>
          <w:rFonts w:ascii="Arial" w:hAnsi="Arial" w:cs="Arial"/>
          <w:bCs/>
          <w:color w:val="161616" w:themeColor="background1" w:themeShade="1A"/>
          <w:sz w:val="22"/>
          <w:szCs w:val="22"/>
          <w:lang w:val="es-ES_tradnl"/>
        </w:rPr>
        <w:t>Arauca</w:t>
      </w:r>
      <w:r w:rsidR="00691AAC" w:rsidRPr="00691AAC">
        <w:rPr>
          <w:rFonts w:ascii="Arial" w:hAnsi="Arial" w:cs="Arial"/>
          <w:bCs/>
          <w:color w:val="161616" w:themeColor="background1" w:themeShade="1A"/>
          <w:sz w:val="22"/>
          <w:szCs w:val="22"/>
          <w:lang w:val="es-ES_tradnl"/>
        </w:rPr>
        <w:t xml:space="preserve">, Arauca </w:t>
      </w:r>
    </w:p>
    <w:p w14:paraId="207B3DB4" w14:textId="77777777" w:rsidR="00C64E43" w:rsidRPr="00691AAC" w:rsidRDefault="00C64E43" w:rsidP="0022167B">
      <w:pPr>
        <w:rPr>
          <w:rFonts w:ascii="Arial" w:hAnsi="Arial" w:cs="Arial"/>
          <w:color w:val="161616" w:themeColor="background1" w:themeShade="1A"/>
          <w:sz w:val="22"/>
          <w:szCs w:val="22"/>
          <w:lang w:val="es-ES_tradnl"/>
        </w:rPr>
      </w:pPr>
    </w:p>
    <w:p w14:paraId="462F7397" w14:textId="77777777" w:rsidR="0076432E" w:rsidRPr="00691AAC" w:rsidRDefault="0076432E" w:rsidP="0022167B">
      <w:pPr>
        <w:ind w:left="2124" w:firstLine="708"/>
        <w:rPr>
          <w:rFonts w:ascii="Arial" w:hAnsi="Arial" w:cs="Arial"/>
          <w:b/>
          <w:bCs/>
          <w:color w:val="161616" w:themeColor="background1" w:themeShade="1A"/>
          <w:sz w:val="22"/>
          <w:szCs w:val="22"/>
          <w:lang w:val="es-ES_tradnl"/>
        </w:rPr>
      </w:pPr>
    </w:p>
    <w:p w14:paraId="17BA6817" w14:textId="382327B6" w:rsidR="00E54365" w:rsidRPr="00691AAC" w:rsidRDefault="00E54365" w:rsidP="0022167B">
      <w:pPr>
        <w:ind w:left="2124" w:firstLine="708"/>
        <w:rPr>
          <w:rFonts w:ascii="Arial" w:hAnsi="Arial" w:cs="Arial"/>
          <w:b/>
          <w:bCs/>
          <w:color w:val="161616" w:themeColor="background1" w:themeShade="1A"/>
          <w:sz w:val="22"/>
          <w:szCs w:val="22"/>
          <w:lang w:val="es-ES_tradnl"/>
        </w:rPr>
      </w:pPr>
      <w:r w:rsidRPr="00691AAC">
        <w:rPr>
          <w:rFonts w:ascii="Arial" w:hAnsi="Arial" w:cs="Arial"/>
          <w:b/>
          <w:bCs/>
          <w:color w:val="161616" w:themeColor="background1" w:themeShade="1A"/>
          <w:sz w:val="22"/>
          <w:szCs w:val="22"/>
          <w:lang w:val="es-ES_tradnl"/>
        </w:rPr>
        <w:t>Concepto</w:t>
      </w:r>
      <w:r w:rsidR="006559E3" w:rsidRPr="00691AAC">
        <w:rPr>
          <w:rFonts w:ascii="Arial" w:hAnsi="Arial" w:cs="Arial"/>
          <w:b/>
          <w:bCs/>
          <w:color w:val="161616" w:themeColor="background1" w:themeShade="1A"/>
          <w:sz w:val="22"/>
          <w:szCs w:val="22"/>
          <w:lang w:val="es-ES_tradnl"/>
        </w:rPr>
        <w:t xml:space="preserve"> </w:t>
      </w:r>
      <w:r w:rsidRPr="00691AAC">
        <w:rPr>
          <w:rFonts w:ascii="Arial" w:hAnsi="Arial" w:cs="Arial"/>
          <w:b/>
          <w:bCs/>
          <w:color w:val="161616" w:themeColor="background1" w:themeShade="1A"/>
          <w:sz w:val="22"/>
          <w:szCs w:val="22"/>
          <w:lang w:val="es-ES_tradnl"/>
        </w:rPr>
        <w:t>C</w:t>
      </w:r>
      <w:r w:rsidR="00766A70" w:rsidRPr="00691AAC">
        <w:rPr>
          <w:rFonts w:ascii="Arial" w:hAnsi="Arial" w:cs="Arial"/>
          <w:b/>
          <w:bCs/>
          <w:color w:val="161616" w:themeColor="background1" w:themeShade="1A"/>
          <w:sz w:val="22"/>
          <w:szCs w:val="22"/>
          <w:lang w:val="es-ES_tradnl"/>
        </w:rPr>
        <w:t xml:space="preserve"> </w:t>
      </w:r>
      <w:r w:rsidR="00DD5A52" w:rsidRPr="00691AAC">
        <w:rPr>
          <w:rFonts w:ascii="Arial" w:hAnsi="Arial" w:cs="Arial"/>
          <w:b/>
          <w:bCs/>
          <w:color w:val="161616" w:themeColor="background1" w:themeShade="1A"/>
          <w:sz w:val="22"/>
          <w:szCs w:val="22"/>
          <w:lang w:val="es-ES_tradnl"/>
        </w:rPr>
        <w:t>-</w:t>
      </w:r>
      <w:r w:rsidR="00423405" w:rsidRPr="00691AAC">
        <w:rPr>
          <w:rFonts w:ascii="Arial" w:hAnsi="Arial" w:cs="Arial"/>
          <w:b/>
          <w:bCs/>
          <w:color w:val="161616" w:themeColor="background1" w:themeShade="1A"/>
          <w:sz w:val="22"/>
          <w:szCs w:val="22"/>
          <w:lang w:val="es-ES_tradnl"/>
        </w:rPr>
        <w:t>183 de 2022</w:t>
      </w:r>
    </w:p>
    <w:p w14:paraId="3C57C781" w14:textId="77777777" w:rsidR="00FE4C26" w:rsidRPr="00691AAC" w:rsidRDefault="00FE4C26" w:rsidP="0022167B">
      <w:pPr>
        <w:ind w:left="2824" w:hanging="2818"/>
        <w:jc w:val="both"/>
        <w:rPr>
          <w:rFonts w:ascii="Arial" w:eastAsia="Calibri" w:hAnsi="Arial" w:cs="Arial"/>
          <w:b/>
          <w:noProof/>
          <w:color w:val="161616" w:themeColor="background1" w:themeShade="1A"/>
          <w:sz w:val="22"/>
          <w:szCs w:val="22"/>
          <w:lang w:val="es-ES_tradnl" w:eastAsia="en-US"/>
        </w:rPr>
      </w:pPr>
    </w:p>
    <w:p w14:paraId="2795527E" w14:textId="2B933024" w:rsidR="00160CB0" w:rsidRPr="00691AAC" w:rsidRDefault="00E54365" w:rsidP="0022167B">
      <w:pPr>
        <w:ind w:left="2824" w:hanging="2818"/>
        <w:jc w:val="both"/>
        <w:rPr>
          <w:rFonts w:ascii="Arial" w:eastAsia="Calibri" w:hAnsi="Arial" w:cs="Arial"/>
          <w:bCs/>
          <w:color w:val="161616" w:themeColor="background1" w:themeShade="1A"/>
          <w:sz w:val="22"/>
          <w:szCs w:val="22"/>
          <w:lang w:val="es-MX"/>
        </w:rPr>
      </w:pPr>
      <w:r w:rsidRPr="00691AAC">
        <w:rPr>
          <w:rFonts w:ascii="Arial" w:eastAsia="Calibri" w:hAnsi="Arial" w:cs="Arial"/>
          <w:b/>
          <w:noProof/>
          <w:color w:val="161616" w:themeColor="background1" w:themeShade="1A"/>
          <w:sz w:val="22"/>
          <w:szCs w:val="22"/>
          <w:lang w:val="es-ES_tradnl" w:eastAsia="en-US"/>
        </w:rPr>
        <w:t>Temas</w:t>
      </w:r>
      <w:r w:rsidRPr="00691AAC">
        <w:rPr>
          <w:rFonts w:ascii="Arial" w:eastAsia="Calibri" w:hAnsi="Arial" w:cs="Arial"/>
          <w:bCs/>
          <w:noProof/>
          <w:color w:val="161616" w:themeColor="background1" w:themeShade="1A"/>
          <w:sz w:val="22"/>
          <w:szCs w:val="22"/>
          <w:lang w:val="es-ES_tradnl" w:eastAsia="en-US"/>
        </w:rPr>
        <w:t xml:space="preserve">: </w:t>
      </w:r>
      <w:r w:rsidRPr="00691AAC">
        <w:rPr>
          <w:rFonts w:ascii="Arial" w:eastAsia="Calibri" w:hAnsi="Arial" w:cs="Arial"/>
          <w:bCs/>
          <w:noProof/>
          <w:color w:val="161616" w:themeColor="background1" w:themeShade="1A"/>
          <w:sz w:val="22"/>
          <w:szCs w:val="22"/>
          <w:lang w:val="es-ES_tradnl" w:eastAsia="en-US"/>
        </w:rPr>
        <w:tab/>
      </w:r>
      <w:r w:rsidR="008B5BDA" w:rsidRPr="00691AAC">
        <w:rPr>
          <w:rFonts w:ascii="Arial" w:eastAsia="Calibri" w:hAnsi="Arial" w:cs="Arial"/>
          <w:bCs/>
          <w:color w:val="161616" w:themeColor="background1" w:themeShade="1A"/>
          <w:sz w:val="22"/>
          <w:szCs w:val="22"/>
          <w:lang w:val="es-ES_tradnl"/>
        </w:rPr>
        <w:t xml:space="preserve">LEY DE GARANTÍAS ELECTORALES ‒ Definición ‒ Finalidad / LEY DE GARANTÍAS ELECTORALES ‒ Prohibición ‒ Contratación directa ‒ Alcance – Excepciones </w:t>
      </w:r>
      <w:r w:rsidR="00423405" w:rsidRPr="00691AAC">
        <w:rPr>
          <w:rFonts w:ascii="Arial" w:eastAsia="Calibri" w:hAnsi="Arial" w:cs="Arial"/>
          <w:bCs/>
          <w:color w:val="161616" w:themeColor="background1" w:themeShade="1A"/>
          <w:sz w:val="22"/>
          <w:szCs w:val="22"/>
          <w:lang w:val="es-ES_tradnl"/>
        </w:rPr>
        <w:t xml:space="preserve">/ LEY DE GARANTÍAS ELECTORALES ‒ Prohibición del artículo 33 ‒ Destinatarios / LEY DE GARANTÍAS ELECTORALES ‒ Excepciones ‒ Entidades hospitalarias ‒ Departamentos / LEY DE GARANTÍAS ELECTORALES ‒ Excepciones ‒ Entidades sanitarias ‒ Departamentos. </w:t>
      </w:r>
    </w:p>
    <w:p w14:paraId="18EF2AD1" w14:textId="0F9EC6BE" w:rsidR="0076432E" w:rsidRDefault="0076432E" w:rsidP="0022167B">
      <w:pPr>
        <w:ind w:left="2824" w:hanging="2818"/>
        <w:jc w:val="both"/>
        <w:rPr>
          <w:rFonts w:ascii="Arial" w:eastAsia="Calibri" w:hAnsi="Arial" w:cs="Arial"/>
          <w:bCs/>
          <w:noProof/>
          <w:color w:val="161616" w:themeColor="background1" w:themeShade="1A"/>
          <w:sz w:val="22"/>
          <w:szCs w:val="22"/>
          <w:lang w:val="es-ES_tradnl" w:eastAsia="en-US"/>
        </w:rPr>
      </w:pPr>
    </w:p>
    <w:p w14:paraId="339A5DB0" w14:textId="77777777" w:rsidR="000164B2" w:rsidRPr="00691AAC" w:rsidRDefault="000164B2" w:rsidP="0022167B">
      <w:pPr>
        <w:ind w:left="2824" w:hanging="2818"/>
        <w:jc w:val="both"/>
        <w:rPr>
          <w:rFonts w:ascii="Arial" w:eastAsia="Calibri" w:hAnsi="Arial" w:cs="Arial"/>
          <w:bCs/>
          <w:noProof/>
          <w:color w:val="161616" w:themeColor="background1" w:themeShade="1A"/>
          <w:sz w:val="22"/>
          <w:szCs w:val="22"/>
          <w:lang w:val="es-ES_tradnl" w:eastAsia="en-US"/>
        </w:rPr>
      </w:pPr>
    </w:p>
    <w:p w14:paraId="30A873A7" w14:textId="2F1A0B01" w:rsidR="00E54365" w:rsidRPr="00691AAC" w:rsidRDefault="00E54365" w:rsidP="0022167B">
      <w:pPr>
        <w:ind w:left="2835" w:hanging="2835"/>
        <w:jc w:val="both"/>
        <w:rPr>
          <w:rFonts w:ascii="Arial" w:eastAsia="Calibri" w:hAnsi="Arial" w:cs="Arial"/>
          <w:bCs/>
          <w:noProof/>
          <w:color w:val="161616" w:themeColor="background1" w:themeShade="1A"/>
          <w:sz w:val="22"/>
          <w:szCs w:val="22"/>
          <w:lang w:val="es-ES_tradnl" w:eastAsia="en-US"/>
        </w:rPr>
      </w:pPr>
      <w:r w:rsidRPr="00691AAC">
        <w:rPr>
          <w:rFonts w:ascii="Arial" w:eastAsia="Calibri" w:hAnsi="Arial" w:cs="Arial"/>
          <w:b/>
          <w:noProof/>
          <w:color w:val="161616" w:themeColor="background1" w:themeShade="1A"/>
          <w:sz w:val="22"/>
          <w:szCs w:val="22"/>
          <w:lang w:val="es-ES_tradnl" w:eastAsia="en-US"/>
        </w:rPr>
        <w:t>Radicación</w:t>
      </w:r>
      <w:r w:rsidRPr="00691AAC">
        <w:rPr>
          <w:rFonts w:ascii="Arial" w:eastAsia="Calibri" w:hAnsi="Arial" w:cs="Arial"/>
          <w:bCs/>
          <w:noProof/>
          <w:color w:val="161616" w:themeColor="background1" w:themeShade="1A"/>
          <w:sz w:val="22"/>
          <w:szCs w:val="22"/>
          <w:lang w:val="es-ES_tradnl" w:eastAsia="en-US"/>
        </w:rPr>
        <w:t>:</w:t>
      </w:r>
      <w:r w:rsidRPr="00691AAC">
        <w:rPr>
          <w:rFonts w:ascii="Arial" w:eastAsia="Calibri" w:hAnsi="Arial" w:cs="Arial"/>
          <w:bCs/>
          <w:noProof/>
          <w:color w:val="161616" w:themeColor="background1" w:themeShade="1A"/>
          <w:sz w:val="22"/>
          <w:szCs w:val="22"/>
          <w:lang w:val="es-ES_tradnl" w:eastAsia="en-US"/>
        </w:rPr>
        <w:tab/>
        <w:t>Respuesta a consulta</w:t>
      </w:r>
      <w:r w:rsidR="00FB5E3B" w:rsidRPr="00691AAC">
        <w:rPr>
          <w:rFonts w:ascii="Arial" w:eastAsia="Calibri" w:hAnsi="Arial" w:cs="Arial"/>
          <w:bCs/>
          <w:noProof/>
          <w:color w:val="161616" w:themeColor="background1" w:themeShade="1A"/>
          <w:sz w:val="22"/>
          <w:szCs w:val="22"/>
          <w:lang w:val="es-ES_tradnl" w:eastAsia="en-US"/>
        </w:rPr>
        <w:t xml:space="preserve"> </w:t>
      </w:r>
      <w:r w:rsidR="007168C5" w:rsidRPr="00691AAC">
        <w:rPr>
          <w:rFonts w:ascii="Arial" w:eastAsia="Calibri" w:hAnsi="Arial" w:cs="Arial"/>
          <w:bCs/>
          <w:noProof/>
          <w:color w:val="161616" w:themeColor="background1" w:themeShade="1A"/>
          <w:sz w:val="22"/>
          <w:szCs w:val="22"/>
          <w:lang w:val="es-ES_tradnl" w:eastAsia="en-US"/>
        </w:rPr>
        <w:t>P20220225001884</w:t>
      </w:r>
    </w:p>
    <w:p w14:paraId="6502F989" w14:textId="77777777" w:rsidR="00C366C4" w:rsidRPr="00691AAC" w:rsidRDefault="00C366C4" w:rsidP="0022167B">
      <w:pPr>
        <w:rPr>
          <w:rFonts w:ascii="Arial" w:hAnsi="Arial" w:cs="Arial"/>
          <w:color w:val="161616" w:themeColor="background1" w:themeShade="1A"/>
          <w:sz w:val="22"/>
          <w:szCs w:val="22"/>
          <w:lang w:val="es-ES_tradnl"/>
        </w:rPr>
      </w:pPr>
    </w:p>
    <w:p w14:paraId="430D12B4" w14:textId="77777777" w:rsidR="000502EC" w:rsidRDefault="000502EC" w:rsidP="0022167B">
      <w:pPr>
        <w:rPr>
          <w:rFonts w:ascii="Arial" w:hAnsi="Arial" w:cs="Arial"/>
          <w:color w:val="161616" w:themeColor="background1" w:themeShade="1A"/>
          <w:sz w:val="22"/>
          <w:szCs w:val="22"/>
          <w:lang w:val="es-ES_tradnl"/>
        </w:rPr>
      </w:pPr>
    </w:p>
    <w:p w14:paraId="71ED9EB2" w14:textId="29D09C68" w:rsidR="00E54365" w:rsidRPr="00691AAC" w:rsidRDefault="00E54365" w:rsidP="0022167B">
      <w:pPr>
        <w:rPr>
          <w:rFonts w:ascii="Arial" w:hAnsi="Arial" w:cs="Arial"/>
          <w:color w:val="161616" w:themeColor="background1" w:themeShade="1A"/>
          <w:sz w:val="22"/>
          <w:szCs w:val="22"/>
          <w:lang w:val="es-ES_tradnl"/>
        </w:rPr>
      </w:pPr>
      <w:r w:rsidRPr="00691AAC">
        <w:rPr>
          <w:rFonts w:ascii="Arial" w:hAnsi="Arial" w:cs="Arial"/>
          <w:color w:val="161616" w:themeColor="background1" w:themeShade="1A"/>
          <w:sz w:val="22"/>
          <w:szCs w:val="22"/>
          <w:lang w:val="es-ES_tradnl"/>
        </w:rPr>
        <w:t>Estimad</w:t>
      </w:r>
      <w:r w:rsidR="007168C5" w:rsidRPr="00691AAC">
        <w:rPr>
          <w:rFonts w:ascii="Arial" w:hAnsi="Arial" w:cs="Arial"/>
          <w:color w:val="161616" w:themeColor="background1" w:themeShade="1A"/>
          <w:sz w:val="22"/>
          <w:szCs w:val="22"/>
          <w:lang w:val="es-ES_tradnl"/>
        </w:rPr>
        <w:t xml:space="preserve">a Señora Martínez, </w:t>
      </w:r>
      <w:r w:rsidR="006D2519" w:rsidRPr="00691AAC">
        <w:rPr>
          <w:rFonts w:ascii="Arial" w:hAnsi="Arial" w:cs="Arial"/>
          <w:color w:val="161616" w:themeColor="background1" w:themeShade="1A"/>
          <w:sz w:val="22"/>
          <w:szCs w:val="22"/>
          <w:lang w:val="es-ES_tradnl"/>
        </w:rPr>
        <w:t xml:space="preserve"> </w:t>
      </w:r>
      <w:r w:rsidRPr="00691AAC">
        <w:rPr>
          <w:rFonts w:ascii="Arial" w:hAnsi="Arial" w:cs="Arial"/>
          <w:color w:val="161616" w:themeColor="background1" w:themeShade="1A"/>
          <w:sz w:val="22"/>
          <w:szCs w:val="22"/>
          <w:lang w:val="es-ES_tradnl"/>
        </w:rPr>
        <w:t xml:space="preserve"> </w:t>
      </w:r>
    </w:p>
    <w:p w14:paraId="60D2C28E" w14:textId="77777777" w:rsidR="006F56C4" w:rsidRPr="00691AAC" w:rsidRDefault="006F56C4" w:rsidP="0022167B">
      <w:pPr>
        <w:rPr>
          <w:rFonts w:ascii="Arial" w:hAnsi="Arial" w:cs="Arial"/>
          <w:color w:val="161616" w:themeColor="background1" w:themeShade="1A"/>
          <w:sz w:val="22"/>
          <w:szCs w:val="22"/>
          <w:lang w:val="es-ES_tradnl"/>
        </w:rPr>
      </w:pPr>
    </w:p>
    <w:p w14:paraId="43EDF4BF" w14:textId="65F7B729" w:rsidR="00E54365" w:rsidRPr="00691AAC" w:rsidRDefault="00E54365" w:rsidP="004102D2">
      <w:pPr>
        <w:spacing w:line="276" w:lineRule="auto"/>
        <w:jc w:val="both"/>
        <w:rPr>
          <w:rFonts w:ascii="Arial" w:hAnsi="Arial" w:cs="Arial"/>
          <w:color w:val="161616" w:themeColor="background1" w:themeShade="1A"/>
          <w:sz w:val="22"/>
          <w:szCs w:val="22"/>
          <w:lang w:val="es-ES_tradnl"/>
        </w:rPr>
      </w:pPr>
      <w:r w:rsidRPr="00691AAC">
        <w:rPr>
          <w:rFonts w:ascii="Arial" w:hAnsi="Arial" w:cs="Arial"/>
          <w:color w:val="161616" w:themeColor="background1" w:themeShade="1A"/>
          <w:sz w:val="22"/>
          <w:szCs w:val="22"/>
          <w:lang w:val="es-ES_tradnl"/>
        </w:rPr>
        <w:t xml:space="preserve">En ejercicio de la competencia otorgada por el numeral 8 del artículo 11 y el numeral 5 del artículo 3 del Decreto Ley 4170 de 2011, la Agencia Nacional de Contratación Pública− Colombia Compra Eficiente responde su consulta </w:t>
      </w:r>
      <w:r w:rsidR="00584D9E" w:rsidRPr="00691AAC">
        <w:rPr>
          <w:rFonts w:ascii="Arial" w:hAnsi="Arial" w:cs="Arial"/>
          <w:color w:val="161616" w:themeColor="background1" w:themeShade="1A"/>
          <w:sz w:val="22"/>
          <w:szCs w:val="22"/>
          <w:lang w:val="es-ES_tradnl"/>
        </w:rPr>
        <w:t xml:space="preserve">remitida el </w:t>
      </w:r>
      <w:r w:rsidR="00EA2015" w:rsidRPr="00691AAC">
        <w:rPr>
          <w:rFonts w:ascii="Arial" w:hAnsi="Arial" w:cs="Arial"/>
          <w:color w:val="161616" w:themeColor="background1" w:themeShade="1A"/>
          <w:sz w:val="22"/>
          <w:szCs w:val="22"/>
          <w:lang w:val="es-ES_tradnl"/>
        </w:rPr>
        <w:t xml:space="preserve">24 de febrero de 2022, </w:t>
      </w:r>
      <w:r w:rsidR="00584D9E" w:rsidRPr="00691AAC">
        <w:rPr>
          <w:rFonts w:ascii="Arial" w:hAnsi="Arial" w:cs="Arial"/>
          <w:color w:val="161616" w:themeColor="background1" w:themeShade="1A"/>
          <w:sz w:val="22"/>
          <w:szCs w:val="22"/>
          <w:lang w:val="es-ES_tradnl"/>
        </w:rPr>
        <w:t xml:space="preserve">por </w:t>
      </w:r>
      <w:r w:rsidR="009A0F94" w:rsidRPr="00691AAC">
        <w:rPr>
          <w:rFonts w:ascii="Arial" w:hAnsi="Arial" w:cs="Arial"/>
          <w:color w:val="161616" w:themeColor="background1" w:themeShade="1A"/>
          <w:sz w:val="22"/>
          <w:szCs w:val="22"/>
          <w:lang w:val="es-ES_tradnl"/>
        </w:rPr>
        <w:t>la Contraloría General de la República.</w:t>
      </w:r>
    </w:p>
    <w:p w14:paraId="7163A7AF" w14:textId="77777777" w:rsidR="00015E80" w:rsidRPr="00691AAC" w:rsidRDefault="00015E80" w:rsidP="0022167B">
      <w:pPr>
        <w:rPr>
          <w:rFonts w:ascii="Arial" w:hAnsi="Arial" w:cs="Arial"/>
          <w:color w:val="161616" w:themeColor="background1" w:themeShade="1A"/>
          <w:sz w:val="22"/>
          <w:szCs w:val="22"/>
          <w:lang w:val="es-ES_tradnl"/>
        </w:rPr>
      </w:pPr>
    </w:p>
    <w:p w14:paraId="4CDB27A1" w14:textId="23AF4B73" w:rsidR="00FB5E3B" w:rsidRPr="00691AAC" w:rsidRDefault="00E54365" w:rsidP="0022167B">
      <w:pPr>
        <w:rPr>
          <w:rFonts w:ascii="Arial" w:hAnsi="Arial" w:cs="Arial"/>
          <w:b/>
          <w:color w:val="161616" w:themeColor="background1" w:themeShade="1A"/>
          <w:sz w:val="22"/>
          <w:szCs w:val="22"/>
          <w:lang w:val="es-ES_tradnl"/>
        </w:rPr>
      </w:pPr>
      <w:r w:rsidRPr="00691AAC">
        <w:rPr>
          <w:rFonts w:ascii="Arial" w:hAnsi="Arial" w:cs="Arial"/>
          <w:b/>
          <w:color w:val="161616" w:themeColor="background1" w:themeShade="1A"/>
          <w:sz w:val="22"/>
          <w:szCs w:val="22"/>
          <w:lang w:val="es-ES_tradnl"/>
        </w:rPr>
        <w:t xml:space="preserve">1. Problema planteado </w:t>
      </w:r>
    </w:p>
    <w:p w14:paraId="5834083C" w14:textId="5B5F17F3" w:rsidR="00695B70" w:rsidRPr="00691AAC" w:rsidRDefault="00695B70" w:rsidP="0022167B">
      <w:pPr>
        <w:rPr>
          <w:rFonts w:ascii="Arial" w:hAnsi="Arial" w:cs="Arial"/>
          <w:b/>
          <w:color w:val="161616" w:themeColor="background1" w:themeShade="1A"/>
          <w:sz w:val="22"/>
          <w:szCs w:val="22"/>
          <w:lang w:val="es-ES_tradnl"/>
        </w:rPr>
      </w:pPr>
    </w:p>
    <w:p w14:paraId="14D7785A" w14:textId="154DBDC4" w:rsidR="00C76212" w:rsidRPr="00691AAC" w:rsidRDefault="00FB5E3B" w:rsidP="0022167B">
      <w:pPr>
        <w:jc w:val="both"/>
        <w:rPr>
          <w:rFonts w:ascii="Arial" w:hAnsi="Arial" w:cs="Arial"/>
          <w:color w:val="161616" w:themeColor="background1" w:themeShade="1A"/>
          <w:sz w:val="22"/>
          <w:szCs w:val="22"/>
          <w:lang w:val="es-ES_tradnl"/>
        </w:rPr>
      </w:pPr>
      <w:r w:rsidRPr="00691AAC">
        <w:rPr>
          <w:rFonts w:ascii="Arial" w:hAnsi="Arial" w:cs="Arial"/>
          <w:color w:val="161616" w:themeColor="background1" w:themeShade="1A"/>
          <w:sz w:val="22"/>
          <w:szCs w:val="22"/>
          <w:lang w:val="es-ES_tradnl"/>
        </w:rPr>
        <w:t xml:space="preserve">Usted </w:t>
      </w:r>
      <w:r w:rsidR="00EF64D8" w:rsidRPr="00691AAC">
        <w:rPr>
          <w:rFonts w:ascii="Arial" w:hAnsi="Arial" w:cs="Arial"/>
          <w:color w:val="161616" w:themeColor="background1" w:themeShade="1A"/>
          <w:sz w:val="22"/>
          <w:szCs w:val="22"/>
          <w:lang w:val="es-ES_tradnl"/>
        </w:rPr>
        <w:t>formula</w:t>
      </w:r>
      <w:r w:rsidRPr="00691AAC">
        <w:rPr>
          <w:rFonts w:ascii="Arial" w:hAnsi="Arial" w:cs="Arial"/>
          <w:color w:val="161616" w:themeColor="background1" w:themeShade="1A"/>
          <w:sz w:val="22"/>
          <w:szCs w:val="22"/>
          <w:lang w:val="es-ES_tradnl"/>
        </w:rPr>
        <w:t xml:space="preserve"> la siguiente consulta</w:t>
      </w:r>
      <w:r w:rsidR="00A74544" w:rsidRPr="00691AAC">
        <w:rPr>
          <w:rFonts w:ascii="Arial" w:hAnsi="Arial" w:cs="Arial"/>
          <w:color w:val="161616" w:themeColor="background1" w:themeShade="1A"/>
          <w:sz w:val="22"/>
          <w:szCs w:val="22"/>
          <w:lang w:val="es-ES_tradnl"/>
        </w:rPr>
        <w:t>:</w:t>
      </w:r>
      <w:r w:rsidR="00880D11" w:rsidRPr="00691AAC">
        <w:rPr>
          <w:rFonts w:ascii="Arial" w:hAnsi="Arial" w:cs="Arial"/>
          <w:color w:val="161616" w:themeColor="background1" w:themeShade="1A"/>
          <w:sz w:val="22"/>
          <w:szCs w:val="22"/>
          <w:lang w:val="es-ES_tradnl"/>
        </w:rPr>
        <w:t xml:space="preserve"> </w:t>
      </w:r>
    </w:p>
    <w:p w14:paraId="6275C7F7" w14:textId="77777777" w:rsidR="00F26F3C" w:rsidRPr="00691AAC" w:rsidRDefault="00F26F3C" w:rsidP="0022167B">
      <w:pPr>
        <w:jc w:val="both"/>
        <w:rPr>
          <w:rFonts w:ascii="Arial" w:hAnsi="Arial" w:cs="Arial"/>
          <w:color w:val="161616" w:themeColor="background1" w:themeShade="1A"/>
          <w:sz w:val="22"/>
          <w:szCs w:val="22"/>
          <w:lang w:val="es-ES_tradnl"/>
        </w:rPr>
      </w:pPr>
    </w:p>
    <w:p w14:paraId="635C0945" w14:textId="2AFB9BB6" w:rsidR="006D2519" w:rsidRPr="00691AAC" w:rsidRDefault="00B94548" w:rsidP="0022167B">
      <w:pPr>
        <w:ind w:left="709" w:right="709"/>
        <w:jc w:val="both"/>
        <w:rPr>
          <w:rFonts w:ascii="Arial" w:hAnsi="Arial" w:cs="Arial"/>
          <w:color w:val="161616" w:themeColor="background1" w:themeShade="1A"/>
          <w:sz w:val="21"/>
          <w:szCs w:val="21"/>
          <w:lang w:val="es-ES_tradnl"/>
        </w:rPr>
      </w:pPr>
      <w:r w:rsidRPr="00691AAC">
        <w:rPr>
          <w:rFonts w:ascii="Arial" w:hAnsi="Arial" w:cs="Arial"/>
          <w:color w:val="161616" w:themeColor="background1" w:themeShade="1A"/>
          <w:sz w:val="21"/>
          <w:szCs w:val="21"/>
          <w:lang w:val="es-ES_tradnl"/>
        </w:rPr>
        <w:t>«</w:t>
      </w:r>
      <w:r w:rsidR="004B7D5F" w:rsidRPr="00691AAC">
        <w:rPr>
          <w:rFonts w:ascii="Arial" w:hAnsi="Arial" w:cs="Arial"/>
          <w:color w:val="161616" w:themeColor="background1" w:themeShade="1A"/>
          <w:sz w:val="21"/>
          <w:szCs w:val="21"/>
          <w:lang w:val="es-ES_tradnl"/>
        </w:rPr>
        <w:t>[…]</w:t>
      </w:r>
      <w:r w:rsidR="00074D1E" w:rsidRPr="00691AAC">
        <w:rPr>
          <w:rFonts w:ascii="Arial" w:hAnsi="Arial" w:cs="Arial"/>
          <w:color w:val="161616" w:themeColor="background1" w:themeShade="1A"/>
          <w:sz w:val="21"/>
          <w:szCs w:val="21"/>
          <w:lang w:val="es-ES_tradnl"/>
        </w:rPr>
        <w:t xml:space="preserve"> ¿Puede la UAE de Salud de Arauca, aplicar la excepción a que se refiere el artículo 33 de la citada ley 996 de 2005?»</w:t>
      </w:r>
    </w:p>
    <w:p w14:paraId="0816DA8D" w14:textId="77777777" w:rsidR="00074D1E" w:rsidRPr="00691AAC" w:rsidRDefault="00074D1E" w:rsidP="0022167B">
      <w:pPr>
        <w:ind w:left="709" w:right="709"/>
        <w:jc w:val="both"/>
        <w:rPr>
          <w:rFonts w:ascii="Arial" w:hAnsi="Arial" w:cs="Arial"/>
          <w:color w:val="161616" w:themeColor="background1" w:themeShade="1A"/>
          <w:sz w:val="21"/>
          <w:szCs w:val="21"/>
          <w:lang w:val="es-ES_tradnl"/>
        </w:rPr>
      </w:pPr>
    </w:p>
    <w:p w14:paraId="122CAC42" w14:textId="37B747A9" w:rsidR="00074D1E" w:rsidRPr="00691AAC" w:rsidRDefault="00074D1E" w:rsidP="00074D1E">
      <w:pPr>
        <w:ind w:left="709" w:right="709"/>
        <w:jc w:val="both"/>
        <w:rPr>
          <w:rFonts w:ascii="Arial" w:hAnsi="Arial" w:cs="Arial"/>
          <w:color w:val="161616" w:themeColor="background1" w:themeShade="1A"/>
          <w:sz w:val="21"/>
          <w:szCs w:val="21"/>
          <w:lang w:val="es-ES_tradnl"/>
        </w:rPr>
      </w:pPr>
      <w:r w:rsidRPr="00691AAC">
        <w:rPr>
          <w:rFonts w:ascii="Arial" w:hAnsi="Arial" w:cs="Arial"/>
          <w:color w:val="161616" w:themeColor="background1" w:themeShade="1A"/>
          <w:sz w:val="21"/>
          <w:szCs w:val="21"/>
          <w:lang w:val="es-ES_tradnl"/>
        </w:rPr>
        <w:lastRenderedPageBreak/>
        <w:t>[…] ¿ Puede la UAE de Salud de Arauca, contratar el personal profesional y de apoyo necesario para cumplir con sus deberes misionales y administrativos de la Entidad?»</w:t>
      </w:r>
      <w:r w:rsidR="00DD5A52" w:rsidRPr="00691AAC">
        <w:rPr>
          <w:rFonts w:ascii="Arial" w:hAnsi="Arial" w:cs="Arial"/>
          <w:color w:val="161616" w:themeColor="background1" w:themeShade="1A"/>
          <w:sz w:val="21"/>
          <w:szCs w:val="21"/>
          <w:lang w:val="es-ES_tradnl"/>
        </w:rPr>
        <w:t>.</w:t>
      </w:r>
    </w:p>
    <w:p w14:paraId="45977BEA" w14:textId="77777777" w:rsidR="00EA4714" w:rsidRPr="00691AAC" w:rsidRDefault="00EA4714" w:rsidP="00074D1E">
      <w:pPr>
        <w:ind w:left="709" w:right="709"/>
        <w:jc w:val="both"/>
        <w:rPr>
          <w:rFonts w:ascii="Arial" w:hAnsi="Arial" w:cs="Arial"/>
          <w:color w:val="161616" w:themeColor="background1" w:themeShade="1A"/>
          <w:sz w:val="21"/>
          <w:szCs w:val="21"/>
          <w:lang w:val="es-ES_tradnl"/>
        </w:rPr>
      </w:pPr>
    </w:p>
    <w:p w14:paraId="22C81704" w14:textId="2F0AB490" w:rsidR="00FB5E3B" w:rsidRPr="00691AAC" w:rsidRDefault="00E54365" w:rsidP="0022167B">
      <w:pPr>
        <w:rPr>
          <w:rFonts w:ascii="Arial" w:hAnsi="Arial" w:cs="Arial"/>
          <w:b/>
          <w:color w:val="161616" w:themeColor="background1" w:themeShade="1A"/>
          <w:sz w:val="22"/>
          <w:szCs w:val="22"/>
          <w:lang w:val="es-ES_tradnl"/>
        </w:rPr>
      </w:pPr>
      <w:r w:rsidRPr="00691AAC">
        <w:rPr>
          <w:rFonts w:ascii="Arial" w:hAnsi="Arial" w:cs="Arial"/>
          <w:b/>
          <w:color w:val="161616" w:themeColor="background1" w:themeShade="1A"/>
          <w:sz w:val="22"/>
          <w:szCs w:val="22"/>
          <w:lang w:val="es-ES_tradnl"/>
        </w:rPr>
        <w:t xml:space="preserve">2. Consideraciones </w:t>
      </w:r>
    </w:p>
    <w:p w14:paraId="48BDC962" w14:textId="33E3A2F9" w:rsidR="00A91BEA" w:rsidRPr="00691AAC" w:rsidRDefault="00A91BEA" w:rsidP="0022167B">
      <w:pPr>
        <w:rPr>
          <w:rFonts w:ascii="Arial" w:hAnsi="Arial" w:cs="Arial"/>
          <w:b/>
          <w:color w:val="161616" w:themeColor="background1" w:themeShade="1A"/>
          <w:sz w:val="22"/>
          <w:szCs w:val="22"/>
          <w:lang w:val="es-ES_tradnl"/>
        </w:rPr>
      </w:pPr>
    </w:p>
    <w:p w14:paraId="1CF877E2" w14:textId="77777777" w:rsidR="0032144D" w:rsidRPr="00691AAC" w:rsidRDefault="0032144D" w:rsidP="0032144D">
      <w:pPr>
        <w:tabs>
          <w:tab w:val="left" w:pos="426"/>
        </w:tabs>
        <w:spacing w:line="276" w:lineRule="auto"/>
        <w:jc w:val="both"/>
        <w:rPr>
          <w:rFonts w:ascii="Arial" w:hAnsi="Arial" w:cs="Arial"/>
          <w:bCs/>
          <w:sz w:val="22"/>
        </w:rPr>
      </w:pPr>
      <w:r w:rsidRPr="00691AAC">
        <w:rPr>
          <w:rFonts w:ascii="Arial" w:hAnsi="Arial" w:cs="Arial"/>
          <w:sz w:val="22"/>
          <w:lang w:val="es-ES"/>
        </w:rPr>
        <w:t>Es necesario tener en cuenta que esta entidad solo tiene competencia para responder solicitudes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w:t>
      </w:r>
      <w:r w:rsidRPr="00691AAC">
        <w:rPr>
          <w:rFonts w:ascii="Arial" w:hAnsi="Arial" w:cs="Arial"/>
          <w:bCs/>
          <w:sz w:val="22"/>
        </w:rPr>
        <w:t xml:space="preserve"> de todos los partícipes de la contratación estatal.</w:t>
      </w:r>
    </w:p>
    <w:p w14:paraId="031BDA85" w14:textId="77777777" w:rsidR="0032144D" w:rsidRPr="00691AAC" w:rsidRDefault="0032144D" w:rsidP="0032144D">
      <w:pPr>
        <w:tabs>
          <w:tab w:val="left" w:pos="426"/>
        </w:tabs>
        <w:spacing w:line="276" w:lineRule="auto"/>
        <w:jc w:val="both"/>
        <w:rPr>
          <w:rFonts w:ascii="Arial" w:hAnsi="Arial" w:cs="Arial"/>
          <w:bCs/>
          <w:sz w:val="22"/>
        </w:rPr>
      </w:pPr>
    </w:p>
    <w:p w14:paraId="66A08A34" w14:textId="5E9AC362" w:rsidR="00FD2088" w:rsidRPr="00691AAC" w:rsidRDefault="0032144D" w:rsidP="0032144D">
      <w:pPr>
        <w:spacing w:line="276" w:lineRule="auto"/>
        <w:ind w:firstLine="709"/>
        <w:jc w:val="both"/>
        <w:rPr>
          <w:rFonts w:ascii="Arial" w:eastAsia="Calibri" w:hAnsi="Arial" w:cs="Arial"/>
          <w:color w:val="161616" w:themeColor="background1" w:themeShade="1A"/>
          <w:sz w:val="22"/>
          <w:szCs w:val="22"/>
          <w:lang w:val="es-ES_tradnl"/>
        </w:rPr>
      </w:pPr>
      <w:r w:rsidRPr="00691AAC">
        <w:rPr>
          <w:rFonts w:ascii="Arial" w:hAnsi="Arial" w:cs="Arial"/>
          <w:sz w:val="22"/>
          <w:lang w:val="es-ES"/>
        </w:rPr>
        <w:t>La competencia de esta entidad se fija con límites claros, con el objeto de evitar que la Agencia actúe como una instancia de validación de las actuaciones de las entidades sujetas a la Ley 80 de 1993 o de los demás participantes de la contratación pública</w:t>
      </w:r>
      <w:r w:rsidRPr="00691AAC">
        <w:rPr>
          <w:rStyle w:val="Refdenotaalpie"/>
          <w:rFonts w:ascii="Arial" w:hAnsi="Arial" w:cs="Arial"/>
          <w:sz w:val="22"/>
          <w:lang w:val="es-ES"/>
        </w:rPr>
        <w:footnoteReference w:id="1"/>
      </w:r>
      <w:r w:rsidRPr="00691AAC">
        <w:rPr>
          <w:rFonts w:ascii="Arial" w:hAnsi="Arial" w:cs="Arial"/>
          <w:sz w:val="22"/>
          <w:lang w:val="es-ES"/>
        </w:rPr>
        <w:t>. Esta competencia de interpretación de normas generales, por definición, no puede extenderse a la resolución de controversias, ni a brindar asesorías sobre casos puntuales. Por lo anterior, previo concepto de sus órganos asesores, la solución de estos temas corresponde a la entidad que adelanta el procedimiento de selección y, en caso de conflicto, a las autoridades judiciales, fiscales y disciplinarias; razón por la cual, corresponde cada entidad estatal definir la viabilidad técnica, jurídica y financiera de celebrar determinado negocio jurídico en específico.</w:t>
      </w:r>
    </w:p>
    <w:p w14:paraId="572FEBDA" w14:textId="79D8BA29" w:rsidR="007C0AB3" w:rsidRPr="00691AAC" w:rsidRDefault="00554A77" w:rsidP="00515D32">
      <w:pPr>
        <w:tabs>
          <w:tab w:val="left" w:pos="426"/>
        </w:tabs>
        <w:spacing w:before="120" w:line="276" w:lineRule="auto"/>
        <w:ind w:firstLine="709"/>
        <w:jc w:val="both"/>
        <w:rPr>
          <w:rFonts w:ascii="Arial" w:hAnsi="Arial" w:cs="Arial"/>
          <w:color w:val="161616" w:themeColor="background1" w:themeShade="1A"/>
          <w:sz w:val="22"/>
          <w:szCs w:val="22"/>
          <w:lang w:val="es-ES_tradnl"/>
        </w:rPr>
      </w:pPr>
      <w:r w:rsidRPr="00691AAC">
        <w:rPr>
          <w:rFonts w:ascii="Arial" w:eastAsia="Calibri" w:hAnsi="Arial" w:cs="Arial"/>
          <w:color w:val="161616" w:themeColor="background1" w:themeShade="1A"/>
          <w:sz w:val="22"/>
          <w:szCs w:val="22"/>
          <w:lang w:val="es-ES_tradnl"/>
        </w:rPr>
        <w:t xml:space="preserve">Es </w:t>
      </w:r>
      <w:r w:rsidR="00A91BEA" w:rsidRPr="00691AAC">
        <w:rPr>
          <w:rFonts w:ascii="Arial" w:eastAsia="Calibri" w:hAnsi="Arial" w:cs="Arial"/>
          <w:color w:val="161616" w:themeColor="background1" w:themeShade="1A"/>
          <w:sz w:val="22"/>
          <w:szCs w:val="22"/>
          <w:lang w:val="es-ES_tradnl"/>
        </w:rPr>
        <w:t>preciso advertir que los conceptos contienen la posición hermenéutica de la Subdirección de Gestión Contractual</w:t>
      </w:r>
      <w:r w:rsidR="001041A9" w:rsidRPr="00691AAC">
        <w:rPr>
          <w:rFonts w:ascii="Arial" w:eastAsia="Calibri" w:hAnsi="Arial" w:cs="Arial"/>
          <w:color w:val="161616" w:themeColor="background1" w:themeShade="1A"/>
          <w:sz w:val="22"/>
          <w:szCs w:val="22"/>
          <w:lang w:val="es-ES_tradnl"/>
        </w:rPr>
        <w:t>,</w:t>
      </w:r>
      <w:r w:rsidR="00A91BEA" w:rsidRPr="00691AAC">
        <w:rPr>
          <w:rFonts w:ascii="Arial" w:eastAsia="Calibri" w:hAnsi="Arial" w:cs="Arial"/>
          <w:color w:val="161616" w:themeColor="background1" w:themeShade="1A"/>
          <w:sz w:val="22"/>
          <w:szCs w:val="22"/>
          <w:lang w:val="es-ES_tradnl"/>
        </w:rPr>
        <w:t xml:space="preserve"> en relación con determinado aspecto del ordenamiento jurídico. Esta competencia de interpretación de normas generales, por definición, no puede extenderse a la resolución de controversias, ni a brindar asesorías sobre casos puntuales. En otras palabras, los conceptos de esta Agencia tienen como objeto la interpretación de normas de carácter general, esto es, del ordenamiento jurídico </w:t>
      </w:r>
      <w:r w:rsidR="00A91BEA" w:rsidRPr="00691AAC">
        <w:rPr>
          <w:rFonts w:ascii="Arial" w:eastAsia="Calibri" w:hAnsi="Arial" w:cs="Arial"/>
          <w:color w:val="161616" w:themeColor="background1" w:themeShade="1A"/>
          <w:sz w:val="22"/>
          <w:szCs w:val="22"/>
          <w:lang w:val="es-ES_tradnl"/>
        </w:rPr>
        <w:lastRenderedPageBreak/>
        <w:t xml:space="preserve">en abstracto, no la resolución de controversias o la asesoría para casos concretos, de acuerdo con lo indicado respecto a las normas que otorgan competencia consultiva a esta Subdirección. Además, no son vinculantes o </w:t>
      </w:r>
      <w:r w:rsidRPr="00691AAC">
        <w:rPr>
          <w:rFonts w:ascii="Arial" w:eastAsia="Arial" w:hAnsi="Arial" w:cs="Arial"/>
          <w:color w:val="161616" w:themeColor="background1" w:themeShade="1A"/>
          <w:sz w:val="22"/>
          <w:szCs w:val="22"/>
          <w:lang w:val="es-ES_tradnl"/>
        </w:rPr>
        <w:t>de obligatorio cumplimiento para el destinatario, sino que expresan la posición interpretativa del ente que elabora el concepto.</w:t>
      </w:r>
    </w:p>
    <w:p w14:paraId="15C81BF1" w14:textId="29C2AFAF" w:rsidR="00256CE7" w:rsidRPr="00691AAC" w:rsidRDefault="00B16829" w:rsidP="00515D32">
      <w:pPr>
        <w:tabs>
          <w:tab w:val="left" w:pos="426"/>
        </w:tabs>
        <w:spacing w:before="120" w:line="276" w:lineRule="auto"/>
        <w:ind w:firstLine="709"/>
        <w:jc w:val="both"/>
        <w:rPr>
          <w:rFonts w:ascii="Arial" w:eastAsia="Calibri" w:hAnsi="Arial" w:cs="Arial"/>
          <w:color w:val="161616" w:themeColor="background1" w:themeShade="1A"/>
          <w:sz w:val="22"/>
          <w:szCs w:val="22"/>
          <w:lang w:val="es-ES_tradnl"/>
        </w:rPr>
      </w:pPr>
      <w:r w:rsidRPr="00691AAC">
        <w:rPr>
          <w:rFonts w:ascii="Arial" w:eastAsia="Calibri" w:hAnsi="Arial" w:cs="Arial"/>
          <w:color w:val="161616" w:themeColor="background1" w:themeShade="1A"/>
          <w:sz w:val="22"/>
          <w:szCs w:val="22"/>
          <w:lang w:val="es-ES_tradnl"/>
        </w:rPr>
        <w:t xml:space="preserve">La Agencia Nacional de Contratación Pública ‒ Colombia Compra Eficiente </w:t>
      </w:r>
      <w:r w:rsidR="00B04E6F" w:rsidRPr="00691AAC">
        <w:rPr>
          <w:rFonts w:ascii="Arial" w:eastAsia="Calibri" w:hAnsi="Arial" w:cs="Arial"/>
          <w:color w:val="161616" w:themeColor="background1" w:themeShade="1A"/>
          <w:sz w:val="22"/>
          <w:szCs w:val="22"/>
          <w:lang w:val="es-ES_tradnl"/>
        </w:rPr>
        <w:t>estudió el ámbito de aplicación de la ley 996 de 2005 y la restricción específica contenida en su artículo 33</w:t>
      </w:r>
      <w:r w:rsidRPr="00691AAC">
        <w:rPr>
          <w:rFonts w:ascii="Arial" w:eastAsia="Calibri" w:hAnsi="Arial" w:cs="Arial"/>
          <w:color w:val="161616" w:themeColor="background1" w:themeShade="1A"/>
          <w:sz w:val="22"/>
          <w:szCs w:val="22"/>
          <w:lang w:val="es-ES_tradnl"/>
        </w:rPr>
        <w:t>, entre otros</w:t>
      </w:r>
      <w:r w:rsidR="00B04E6F" w:rsidRPr="00691AAC">
        <w:rPr>
          <w:rFonts w:ascii="Arial" w:eastAsia="Calibri" w:hAnsi="Arial" w:cs="Arial"/>
          <w:color w:val="161616" w:themeColor="background1" w:themeShade="1A"/>
          <w:sz w:val="22"/>
          <w:szCs w:val="22"/>
          <w:lang w:val="es-ES_tradnl"/>
        </w:rPr>
        <w:t xml:space="preserve"> pronunciamientos</w:t>
      </w:r>
      <w:r w:rsidRPr="00691AAC">
        <w:rPr>
          <w:rFonts w:ascii="Arial" w:eastAsia="Calibri" w:hAnsi="Arial" w:cs="Arial"/>
          <w:color w:val="161616" w:themeColor="background1" w:themeShade="1A"/>
          <w:sz w:val="22"/>
          <w:szCs w:val="22"/>
          <w:lang w:val="es-ES_tradnl"/>
        </w:rPr>
        <w:t>, en los conceptos</w:t>
      </w:r>
      <w:r w:rsidR="001A217F" w:rsidRPr="00691AAC">
        <w:rPr>
          <w:rFonts w:ascii="Arial" w:eastAsia="Calibri" w:hAnsi="Arial" w:cs="Arial"/>
          <w:color w:val="161616" w:themeColor="background1" w:themeShade="1A"/>
          <w:sz w:val="22"/>
          <w:szCs w:val="22"/>
          <w:lang w:val="es-ES_tradnl"/>
        </w:rPr>
        <w:t>:</w:t>
      </w:r>
      <w:r w:rsidRPr="00691AAC">
        <w:rPr>
          <w:rFonts w:ascii="Arial" w:eastAsia="Calibri" w:hAnsi="Arial" w:cs="Arial"/>
          <w:color w:val="161616" w:themeColor="background1" w:themeShade="1A"/>
          <w:sz w:val="22"/>
          <w:szCs w:val="22"/>
          <w:lang w:val="es-ES_tradnl"/>
        </w:rPr>
        <w:t xml:space="preserve"> </w:t>
      </w:r>
      <w:r w:rsidRPr="00691AAC">
        <w:rPr>
          <w:rFonts w:ascii="Arial" w:eastAsia="Arial" w:hAnsi="Arial" w:cs="Arial"/>
          <w:color w:val="161616" w:themeColor="background1" w:themeShade="1A"/>
          <w:sz w:val="22"/>
          <w:szCs w:val="22"/>
          <w:lang w:val="es-ES_tradnl"/>
        </w:rPr>
        <w:t xml:space="preserve">4201912000004632 del 6 de agosto de 2019, 2201913000005655 del 8 de agosto de 2019, 2201913000006283 del 27 de agosto de 2019, 2201913000006521 del 3 de septiembre de 2019, 2201913000006634 del 6 de septiembre de 2019, 2201913000006639 del 9 de septiembre de 2019, 2201913000007430 del 7 de octubre de 2019, 2201913000007565 del 10 de octubre de 2019, 2201913000008259 del 6 de noviembre de 2019, </w:t>
      </w:r>
      <w:r w:rsidR="001B6E10" w:rsidRPr="00691AAC">
        <w:rPr>
          <w:rFonts w:ascii="Arial" w:eastAsia="Arial" w:hAnsi="Arial" w:cs="Arial"/>
          <w:color w:val="161616" w:themeColor="background1" w:themeShade="1A"/>
          <w:sz w:val="22"/>
          <w:szCs w:val="22"/>
          <w:lang w:val="es-ES_tradnl"/>
        </w:rPr>
        <w:t xml:space="preserve">2201913000009312 del 17 de diciembre de 2019, </w:t>
      </w:r>
      <w:r w:rsidRPr="00691AAC">
        <w:rPr>
          <w:rFonts w:ascii="Arial" w:eastAsia="Calibri" w:hAnsi="Arial" w:cs="Arial"/>
          <w:bCs/>
          <w:color w:val="161616" w:themeColor="background1" w:themeShade="1A"/>
          <w:sz w:val="22"/>
          <w:szCs w:val="22"/>
          <w:lang w:val="es-ES_tradnl"/>
        </w:rPr>
        <w:t>C-074 del 17 de marzo de 2021, C-075 del 16 de marzo de 2021, C-227 de 2021 del 5 de mayo de 2021, C-259 del 2 de junio de 2021, C-296 del 22 de junio de 2021, C-337 del 13 de julio de 2021, C-350 del 16 de julio de 2021, C-352 del 27 de julio de 2021, C-374 del 16 de septiembre de 2021, C-381 del 2 de agosto de 2021, C-391 del 11 de agosto de 2021, C-396 del 13 de agosto de 2021, C-401 del 10 de agosto de 2021, C-413 del 17 de agosto de 2021, C-439  del 27 de agosto de 2021, C-456 del 3 de septiembre de 2021, C-481 del 98 de septiembre de 2021, C-495 del 15 de septiembre de 2021, C-497 del 15 de septiembre de 2021, C-499 del 15 de septiembre de 2021, C-523 del 10 de octubre de 2021, C-528 del 27 de septiembre de 2021, C-543 del 9 de noviembre de 2021, C-550 del 5 de octubre de 2021, C-557 del 7 de octubre de 2021, C-563 del 8 de octubre de 2021, C-606 del 3 de noviembre de 2021, C-614 del 2 de noviembre de 2021, C-633 del 11 de noviembre de 2021, C-634 del 11 de noviembre de 2021, C-636 del 16 de noviembre de 2021, C-677 del 4 de diciembre de 2021, C-695 del 22 de diciembre de 2021</w:t>
      </w:r>
      <w:r w:rsidR="001A217F" w:rsidRPr="00691AAC">
        <w:rPr>
          <w:rFonts w:ascii="Arial" w:eastAsia="Calibri" w:hAnsi="Arial" w:cs="Arial"/>
          <w:bCs/>
          <w:color w:val="161616" w:themeColor="background1" w:themeShade="1A"/>
          <w:sz w:val="22"/>
          <w:szCs w:val="22"/>
          <w:lang w:val="es-ES_tradnl"/>
        </w:rPr>
        <w:t>,</w:t>
      </w:r>
      <w:r w:rsidRPr="00691AAC">
        <w:rPr>
          <w:rFonts w:ascii="Arial" w:eastAsia="Calibri" w:hAnsi="Arial" w:cs="Arial"/>
          <w:bCs/>
          <w:color w:val="161616" w:themeColor="background1" w:themeShade="1A"/>
          <w:sz w:val="22"/>
          <w:szCs w:val="22"/>
          <w:lang w:val="es-ES_tradnl"/>
        </w:rPr>
        <w:t xml:space="preserve"> </w:t>
      </w:r>
      <w:r w:rsidR="00D17985" w:rsidRPr="00691AAC">
        <w:rPr>
          <w:rFonts w:ascii="Arial" w:eastAsia="Calibri" w:hAnsi="Arial" w:cs="Arial"/>
          <w:bCs/>
          <w:sz w:val="22"/>
        </w:rPr>
        <w:t xml:space="preserve">C-015 del 12 de enero de 2022, C-037 del 21 de enero de 2022, </w:t>
      </w:r>
      <w:r w:rsidR="00D17985" w:rsidRPr="00691AAC">
        <w:rPr>
          <w:rFonts w:ascii="Arial" w:eastAsia="Calibri" w:hAnsi="Arial" w:cs="Arial"/>
          <w:color w:val="161616" w:themeColor="background1" w:themeShade="1A"/>
          <w:sz w:val="22"/>
          <w:szCs w:val="22"/>
          <w:lang w:val="es-ES_tradnl"/>
        </w:rPr>
        <w:t xml:space="preserve">C-715 del 21 de enero de 2022, C-718 del 24 de enero de 2022, C-726 del 24 de enero de 2022, C- 023 del 22 de febrero de 2022, </w:t>
      </w:r>
      <w:r w:rsidR="00D17985" w:rsidRPr="00691AAC">
        <w:rPr>
          <w:rFonts w:ascii="Arial" w:eastAsia="Calibri" w:hAnsi="Arial" w:cs="Arial"/>
          <w:bCs/>
          <w:sz w:val="22"/>
        </w:rPr>
        <w:t>C-107 del 18 de marzo de 2022, C-122 del 18 de marzo de 2022 y C-156 del 28 de marzo de 2022</w:t>
      </w:r>
      <w:r w:rsidR="00D17985" w:rsidRPr="00691AAC">
        <w:rPr>
          <w:rFonts w:ascii="Arial" w:eastAsia="Calibri" w:hAnsi="Arial" w:cs="Arial"/>
          <w:color w:val="161616" w:themeColor="background1" w:themeShade="1A"/>
          <w:sz w:val="22"/>
          <w:szCs w:val="22"/>
          <w:lang w:val="es-ES_tradnl"/>
        </w:rPr>
        <w:t>. La tesis desarrollada en estos conceptos se reitera y complementa a continuación</w:t>
      </w:r>
      <w:r w:rsidR="00FD3E1B" w:rsidRPr="00691AAC">
        <w:rPr>
          <w:rFonts w:ascii="Arial" w:eastAsia="Calibri" w:hAnsi="Arial" w:cs="Arial"/>
          <w:color w:val="161616" w:themeColor="background1" w:themeShade="1A"/>
          <w:sz w:val="22"/>
          <w:szCs w:val="22"/>
          <w:lang w:val="es-ES_tradnl"/>
        </w:rPr>
        <w:t>.</w:t>
      </w:r>
    </w:p>
    <w:p w14:paraId="4F11C367" w14:textId="77777777" w:rsidR="00C50170" w:rsidRPr="00691AAC" w:rsidRDefault="00C50170" w:rsidP="0022167B">
      <w:pPr>
        <w:jc w:val="both"/>
        <w:rPr>
          <w:rFonts w:ascii="Arial" w:eastAsia="Calibri" w:hAnsi="Arial" w:cs="Arial"/>
          <w:color w:val="161616" w:themeColor="background1" w:themeShade="1A"/>
          <w:sz w:val="22"/>
          <w:szCs w:val="22"/>
          <w:lang w:val="es-ES_tradnl"/>
        </w:rPr>
      </w:pPr>
    </w:p>
    <w:p w14:paraId="58039A6D" w14:textId="1D6E2C3B" w:rsidR="00B40486" w:rsidRPr="00691AAC" w:rsidRDefault="00532B96" w:rsidP="00B40486">
      <w:pPr>
        <w:spacing w:line="276" w:lineRule="auto"/>
        <w:jc w:val="both"/>
        <w:rPr>
          <w:rFonts w:ascii="Arial" w:eastAsia="Calibri" w:hAnsi="Arial" w:cs="Arial"/>
          <w:b/>
          <w:color w:val="161616" w:themeColor="background1" w:themeShade="1A"/>
          <w:sz w:val="22"/>
          <w:szCs w:val="22"/>
          <w:lang w:val="es-ES_tradnl"/>
        </w:rPr>
      </w:pPr>
      <w:r w:rsidRPr="00691AAC">
        <w:rPr>
          <w:rFonts w:ascii="Arial" w:eastAsia="Calibri" w:hAnsi="Arial" w:cs="Arial"/>
          <w:b/>
          <w:bCs/>
          <w:color w:val="161616" w:themeColor="background1" w:themeShade="1A"/>
          <w:sz w:val="22"/>
          <w:szCs w:val="22"/>
          <w:lang w:val="es-ES_tradnl"/>
        </w:rPr>
        <w:t xml:space="preserve">2.1. </w:t>
      </w:r>
      <w:bookmarkStart w:id="9" w:name="_Hlk75783800"/>
      <w:r w:rsidR="00B40486" w:rsidRPr="00691AAC">
        <w:rPr>
          <w:rFonts w:ascii="Arial" w:eastAsia="Calibri" w:hAnsi="Arial" w:cs="Arial"/>
          <w:b/>
          <w:color w:val="161616" w:themeColor="background1" w:themeShade="1A"/>
          <w:sz w:val="22"/>
          <w:szCs w:val="22"/>
          <w:lang w:val="es-ES_tradnl"/>
        </w:rPr>
        <w:t xml:space="preserve">Definición y finalidad de la Ley de Garantías Electorales: alcance de las restricciones </w:t>
      </w:r>
    </w:p>
    <w:p w14:paraId="7AB551AA" w14:textId="77777777" w:rsidR="00612C53" w:rsidRPr="00691AAC" w:rsidRDefault="00612C53" w:rsidP="00B40486">
      <w:pPr>
        <w:spacing w:after="120" w:line="276" w:lineRule="auto"/>
        <w:ind w:firstLine="708"/>
        <w:jc w:val="both"/>
        <w:rPr>
          <w:rFonts w:ascii="Arial" w:eastAsia="Calibri" w:hAnsi="Arial" w:cs="Arial"/>
          <w:bCs/>
          <w:color w:val="161616" w:themeColor="background1" w:themeShade="1A"/>
          <w:sz w:val="12"/>
          <w:szCs w:val="12"/>
          <w:lang w:val="es-ES_tradnl"/>
        </w:rPr>
      </w:pPr>
    </w:p>
    <w:p w14:paraId="1D482BA1" w14:textId="1DE1CE55" w:rsidR="00B40486" w:rsidRPr="00691AAC" w:rsidRDefault="00B40486" w:rsidP="00FD3E1B">
      <w:pPr>
        <w:spacing w:after="120" w:line="276" w:lineRule="auto"/>
        <w:jc w:val="both"/>
        <w:rPr>
          <w:rFonts w:ascii="Arial" w:eastAsia="Calibri" w:hAnsi="Arial" w:cs="Arial"/>
          <w:bCs/>
          <w:color w:val="161616" w:themeColor="background1" w:themeShade="1A"/>
          <w:sz w:val="22"/>
          <w:szCs w:val="22"/>
          <w:lang w:val="es-ES_tradnl"/>
        </w:rPr>
      </w:pPr>
      <w:r w:rsidRPr="00691AAC">
        <w:rPr>
          <w:rFonts w:ascii="Arial" w:eastAsia="Calibri" w:hAnsi="Arial" w:cs="Arial"/>
          <w:bCs/>
          <w:color w:val="161616" w:themeColor="background1" w:themeShade="1A"/>
          <w:sz w:val="22"/>
          <w:szCs w:val="22"/>
          <w:lang w:val="es-ES_tradnl"/>
        </w:rPr>
        <w:t>El ordenamiento jurídico colombiano contempla previsiones claras para evitar la obtención de beneficios personales en asuntos propios de la administración pública. Por ejemplo, el artículo 127 de la Constitución</w:t>
      </w:r>
      <w:r w:rsidRPr="00691AAC">
        <w:rPr>
          <w:rFonts w:ascii="Arial" w:eastAsia="Arial" w:hAnsi="Arial" w:cs="Arial"/>
          <w:color w:val="161616" w:themeColor="background1" w:themeShade="1A"/>
          <w:sz w:val="22"/>
          <w:szCs w:val="22"/>
          <w:lang w:val="es-ES_tradnl"/>
        </w:rPr>
        <w:t xml:space="preserve"> Política establece una prohibición contractual a los </w:t>
      </w:r>
      <w:r w:rsidRPr="00691AAC">
        <w:rPr>
          <w:rFonts w:ascii="Arial" w:eastAsia="Arial" w:hAnsi="Arial" w:cs="Arial"/>
          <w:color w:val="161616" w:themeColor="background1" w:themeShade="1A"/>
          <w:sz w:val="22"/>
          <w:szCs w:val="22"/>
          <w:lang w:val="es-ES_tradnl"/>
        </w:rPr>
        <w:lastRenderedPageBreak/>
        <w:t>servidores públicos y, en cuanto a aspectos políticos, prevé restricciones a ciertos empleados del Estado, incluso en época no electoral</w:t>
      </w:r>
      <w:r w:rsidRPr="004102D2">
        <w:rPr>
          <w:rStyle w:val="Refdenotaalpie"/>
          <w:rFonts w:ascii="Arial" w:eastAsia="Arial" w:hAnsi="Arial" w:cs="Arial"/>
          <w:sz w:val="20"/>
          <w:szCs w:val="20"/>
        </w:rPr>
        <w:footnoteReference w:id="2"/>
      </w:r>
    </w:p>
    <w:p w14:paraId="74BE85C5" w14:textId="77777777" w:rsidR="00B40486" w:rsidRPr="00691AAC" w:rsidRDefault="00B40486" w:rsidP="00B40486">
      <w:pPr>
        <w:spacing w:before="120" w:after="120" w:line="276" w:lineRule="auto"/>
        <w:ind w:firstLine="709"/>
        <w:jc w:val="both"/>
        <w:rPr>
          <w:rFonts w:ascii="Arial" w:eastAsia="Calibri" w:hAnsi="Arial" w:cs="Arial"/>
          <w:bCs/>
          <w:color w:val="161616" w:themeColor="background1" w:themeShade="1A"/>
          <w:sz w:val="22"/>
          <w:szCs w:val="22"/>
          <w:lang w:val="es-ES_tradnl"/>
        </w:rPr>
      </w:pPr>
      <w:r w:rsidRPr="00691AAC">
        <w:rPr>
          <w:rFonts w:ascii="Arial" w:eastAsia="Arial" w:hAnsi="Arial" w:cs="Arial"/>
          <w:color w:val="161616" w:themeColor="background1" w:themeShade="1A"/>
          <w:sz w:val="22"/>
          <w:szCs w:val="22"/>
          <w:lang w:val="es-ES_tradnl"/>
        </w:rPr>
        <w:t xml:space="preserve">En el mismo sentido, la Ley 996 de 2005, conocida como «Ley de Garantías </w:t>
      </w:r>
      <w:r w:rsidRPr="00691AAC">
        <w:rPr>
          <w:rFonts w:ascii="Arial" w:eastAsia="Calibri" w:hAnsi="Arial" w:cs="Arial"/>
          <w:bCs/>
          <w:color w:val="161616" w:themeColor="background1" w:themeShade="1A"/>
          <w:sz w:val="22"/>
          <w:szCs w:val="22"/>
          <w:lang w:val="es-ES_tradnl"/>
        </w:rPr>
        <w:t>Electorales», se suma al andamiaje de orden constitucional y legal que se ha ocupado de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w:t>
      </w:r>
      <w:r w:rsidRPr="00691AAC">
        <w:rPr>
          <w:rStyle w:val="Refdenotaalpie"/>
          <w:rFonts w:ascii="Arial" w:eastAsia="Calibri" w:hAnsi="Arial" w:cs="Arial"/>
          <w:bCs/>
          <w:color w:val="161616" w:themeColor="background1" w:themeShade="1A"/>
          <w:sz w:val="22"/>
          <w:szCs w:val="22"/>
          <w:lang w:val="es-ES_tradnl"/>
        </w:rPr>
        <w:footnoteReference w:id="3"/>
      </w:r>
      <w:r w:rsidRPr="00691AAC">
        <w:rPr>
          <w:rFonts w:ascii="Arial" w:eastAsia="Calibri" w:hAnsi="Arial" w:cs="Arial"/>
          <w:bCs/>
          <w:color w:val="161616" w:themeColor="background1" w:themeShade="1A"/>
          <w:sz w:val="22"/>
          <w:szCs w:val="22"/>
          <w:lang w:val="es-ES_tradnl"/>
        </w:rPr>
        <w:t xml:space="preserve">. En esta medida, introduce limitaciones para realizar nombramientos, postulaciones, contrataciones o cualquier otro tipo de actividad que implique destinación de recursos públicos bajo el devenir propio de las entidades estatales. </w:t>
      </w:r>
    </w:p>
    <w:p w14:paraId="4C1EBEF1" w14:textId="77777777" w:rsidR="00B40486" w:rsidRPr="00691AAC" w:rsidRDefault="00B40486" w:rsidP="00B40486">
      <w:pPr>
        <w:spacing w:before="120" w:after="120" w:line="276" w:lineRule="auto"/>
        <w:ind w:firstLine="709"/>
        <w:jc w:val="both"/>
        <w:rPr>
          <w:rFonts w:ascii="Arial" w:eastAsia="Calibri" w:hAnsi="Arial" w:cs="Arial"/>
          <w:bCs/>
          <w:color w:val="161616" w:themeColor="background1" w:themeShade="1A"/>
          <w:sz w:val="22"/>
          <w:szCs w:val="22"/>
          <w:lang w:val="es-ES_tradnl"/>
        </w:rPr>
      </w:pPr>
      <w:r w:rsidRPr="00691AAC">
        <w:rPr>
          <w:rFonts w:ascii="Arial" w:eastAsia="Calibri" w:hAnsi="Arial" w:cs="Arial"/>
          <w:bCs/>
          <w:color w:val="161616" w:themeColor="background1" w:themeShade="1A"/>
          <w:sz w:val="22"/>
          <w:szCs w:val="22"/>
          <w:lang w:val="es-ES_tradnl"/>
        </w:rPr>
        <w:t>En armonía con lo anterior, la Corte Constitucional ha abordado la definición de la Ley de Garantías Electorales. De esta manera, explica que tiene como propósito:</w:t>
      </w:r>
    </w:p>
    <w:p w14:paraId="528FFE70" w14:textId="77777777" w:rsidR="00B40486" w:rsidRPr="00691AAC" w:rsidRDefault="00B40486" w:rsidP="00B40486">
      <w:pPr>
        <w:spacing w:before="120" w:after="120" w:line="276" w:lineRule="auto"/>
        <w:ind w:left="567" w:right="786"/>
        <w:jc w:val="both"/>
        <w:rPr>
          <w:rFonts w:ascii="Arial" w:eastAsia="Arial" w:hAnsi="Arial" w:cs="Arial"/>
          <w:color w:val="161616" w:themeColor="background1" w:themeShade="1A"/>
          <w:sz w:val="21"/>
          <w:szCs w:val="21"/>
          <w:lang w:val="es-ES_tradnl"/>
        </w:rPr>
      </w:pPr>
      <w:r w:rsidRPr="00691AAC">
        <w:rPr>
          <w:rFonts w:ascii="Arial" w:eastAsia="Arial" w:hAnsi="Arial" w:cs="Arial"/>
          <w:color w:val="161616" w:themeColor="background1" w:themeShade="1A"/>
          <w:sz w:val="21"/>
          <w:szCs w:val="21"/>
          <w:lang w:val="es-ES_tradnl"/>
        </w:rPr>
        <w:t>La definición de reglas claras que permitan acceder a los canales de expresión democrática de manera efectiva e igualitaria. El objetivo de una ley de garantías es definir esas reglas.</w:t>
      </w:r>
    </w:p>
    <w:p w14:paraId="7920F530" w14:textId="77777777" w:rsidR="00B40486" w:rsidRPr="00691AAC" w:rsidRDefault="00B40486" w:rsidP="00B40486">
      <w:pPr>
        <w:spacing w:before="120" w:after="120" w:line="276" w:lineRule="auto"/>
        <w:ind w:left="567" w:right="786"/>
        <w:jc w:val="both"/>
        <w:rPr>
          <w:rFonts w:ascii="Arial" w:eastAsia="Arial" w:hAnsi="Arial" w:cs="Arial"/>
          <w:color w:val="161616" w:themeColor="background1" w:themeShade="1A"/>
          <w:sz w:val="21"/>
          <w:szCs w:val="21"/>
          <w:lang w:val="es-ES_tradnl"/>
        </w:rPr>
      </w:pPr>
      <w:r w:rsidRPr="00691AAC">
        <w:rPr>
          <w:rFonts w:ascii="Arial" w:eastAsia="Arial" w:hAnsi="Arial" w:cs="Arial"/>
          <w:color w:val="161616" w:themeColor="background1" w:themeShade="1A"/>
          <w:sz w:val="21"/>
          <w:szCs w:val="21"/>
          <w:lang w:val="es-ES_tradnl"/>
        </w:rPr>
        <w:t xml:space="preserve">[…] </w:t>
      </w:r>
    </w:p>
    <w:p w14:paraId="006B1EDD" w14:textId="77777777" w:rsidR="00B40486" w:rsidRPr="00691AAC" w:rsidRDefault="00B40486" w:rsidP="00B40486">
      <w:pPr>
        <w:spacing w:before="120" w:after="120" w:line="276" w:lineRule="auto"/>
        <w:ind w:left="567" w:right="786"/>
        <w:jc w:val="both"/>
        <w:rPr>
          <w:rFonts w:ascii="Arial" w:eastAsia="Calibri" w:hAnsi="Arial" w:cs="Arial"/>
          <w:bCs/>
          <w:color w:val="161616" w:themeColor="background1" w:themeShade="1A"/>
          <w:sz w:val="21"/>
          <w:szCs w:val="21"/>
          <w:lang w:val="es-ES_tradnl"/>
        </w:rPr>
      </w:pPr>
      <w:r w:rsidRPr="00691AAC">
        <w:rPr>
          <w:rFonts w:ascii="Arial" w:eastAsia="Arial" w:hAnsi="Arial" w:cs="Arial"/>
          <w:color w:val="161616" w:themeColor="background1" w:themeShade="1A"/>
          <w:sz w:val="21"/>
          <w:szCs w:val="21"/>
          <w:lang w:val="es-ES_tradnl"/>
        </w:rPr>
        <w:t>Una ley de garantías electorales es una guía para el ejercicio equitativo y transparente de la democracia representativa. Un estatuto diseñado para asegurar que la contienda democrática se cumpla en condiciones igualitarias y transparentes para a los electores. Una ley de garantías busca afianzar la neutralidad de los servidores públicos que organizan y supervisan las disputas electorales, e intenta garantizar el acceso igualitario a los canales de comunicación de los candidatos. Igualmente, una ley de garantías debe permitir que, en el debate democrático, sean las ideas y las propuestas las que definan el ascenso al poder, y no el músculo económico de los que se lo disputan</w:t>
      </w:r>
      <w:r w:rsidRPr="004102D2">
        <w:rPr>
          <w:rStyle w:val="Refdenotaalpie"/>
          <w:rFonts w:ascii="Arial" w:eastAsia="Arial" w:hAnsi="Arial" w:cs="Arial"/>
        </w:rPr>
        <w:footnoteReference w:id="4"/>
      </w:r>
      <w:r w:rsidRPr="00691AAC">
        <w:rPr>
          <w:rFonts w:ascii="Arial" w:eastAsia="Calibri" w:hAnsi="Arial" w:cs="Arial"/>
          <w:bCs/>
          <w:color w:val="161616" w:themeColor="background1" w:themeShade="1A"/>
          <w:sz w:val="21"/>
          <w:szCs w:val="21"/>
          <w:lang w:val="es-ES_tradnl"/>
        </w:rPr>
        <w:t>.</w:t>
      </w:r>
      <w:bookmarkStart w:id="11" w:name="_17dp8vu" w:colFirst="0" w:colLast="0"/>
      <w:bookmarkEnd w:id="11"/>
    </w:p>
    <w:p w14:paraId="12241061" w14:textId="0F1A84F7" w:rsidR="00B40486" w:rsidRPr="00691AAC" w:rsidRDefault="00B40486" w:rsidP="00565AA1">
      <w:pPr>
        <w:spacing w:before="120" w:after="120" w:line="276" w:lineRule="auto"/>
        <w:ind w:right="77" w:firstLine="709"/>
        <w:jc w:val="both"/>
        <w:rPr>
          <w:rFonts w:ascii="Arial" w:eastAsia="Arial" w:hAnsi="Arial" w:cs="Arial"/>
          <w:color w:val="161616" w:themeColor="background1" w:themeShade="1A"/>
          <w:sz w:val="22"/>
          <w:szCs w:val="22"/>
          <w:lang w:val="es-ES_tradnl"/>
        </w:rPr>
      </w:pPr>
      <w:r w:rsidRPr="00691AAC">
        <w:rPr>
          <w:rFonts w:ascii="Arial" w:eastAsia="Arial" w:hAnsi="Arial" w:cs="Arial"/>
          <w:color w:val="161616" w:themeColor="background1" w:themeShade="1A"/>
          <w:sz w:val="22"/>
          <w:szCs w:val="22"/>
          <w:lang w:val="es-ES_tradnl"/>
        </w:rPr>
        <w:lastRenderedPageBreak/>
        <w:t>En este contexto, la Ley de Garantías Electorales establece el marco jurídico para el desarrollo de las elecciones, procurando condiciones de igualdad y transparencia para los aspirantes, y paralelamente incluye restricciones en el actuar de los servidores públicos, evitando interferencias en la contienda electoral, así como la posible desviación de recursos públicos en aspiraciones electorales. Por ello, varias de las disposiciones de la Ley 996 de 2005, al contener normas prohibitivas, no admiten una interpretación amplia, sino que deben interpretarse restrictivamente. En efecto, la Sala de Consulta y Servicio Civil del Consejo de Estado, al analizar la referida ley, precisó lo siguiente:</w:t>
      </w:r>
    </w:p>
    <w:p w14:paraId="5F2F4D24" w14:textId="77777777" w:rsidR="00612C53" w:rsidRPr="00691AAC" w:rsidRDefault="00B40486" w:rsidP="00B40486">
      <w:pPr>
        <w:spacing w:before="120" w:after="120" w:line="276" w:lineRule="auto"/>
        <w:ind w:left="567" w:right="709"/>
        <w:jc w:val="both"/>
        <w:rPr>
          <w:rFonts w:ascii="Arial" w:eastAsia="Arial" w:hAnsi="Arial" w:cs="Arial"/>
          <w:color w:val="161616" w:themeColor="background1" w:themeShade="1A"/>
          <w:sz w:val="21"/>
          <w:szCs w:val="21"/>
          <w:lang w:val="es-ES_tradnl"/>
        </w:rPr>
      </w:pPr>
      <w:r w:rsidRPr="00691AAC">
        <w:rPr>
          <w:rFonts w:ascii="Arial" w:eastAsia="Arial" w:hAnsi="Arial" w:cs="Arial"/>
          <w:color w:val="161616" w:themeColor="background1" w:themeShade="1A"/>
          <w:sz w:val="21"/>
          <w:szCs w:val="21"/>
          <w:lang w:val="es-ES_tradnl"/>
        </w:rPr>
        <w:t>No está de más recordar que las prohibiciones, en tanto limitan la libertad y los derechos de las personas, son de origen constitucional y legal; la tipificación de sus causas, vigencia, naturaleza y efectos es rígida y taxativa; y su aplicación es restrictiva, de manera que excluye la analogía legis o iuris y la interpretación extensiva. Las normas legales de contenido prohibitivo hacen parte de un conjunto de disposiciones que integran un régimen jurídico imperativo y de orden público, razón por la cual no son disponibles ni pueden ser derogadas, modificadas, ampliadas o adicionadas por acuerdo o convenio o acto unilateral.</w:t>
      </w:r>
    </w:p>
    <w:p w14:paraId="4EE01586" w14:textId="0D7BF41C" w:rsidR="00B40486" w:rsidRPr="00691AAC" w:rsidRDefault="00B40486" w:rsidP="008A2523">
      <w:pPr>
        <w:spacing w:before="120" w:line="276" w:lineRule="auto"/>
        <w:ind w:left="567" w:right="709"/>
        <w:jc w:val="both"/>
        <w:rPr>
          <w:rFonts w:ascii="Arial" w:eastAsia="Arial" w:hAnsi="Arial" w:cs="Arial"/>
          <w:color w:val="161616" w:themeColor="background1" w:themeShade="1A"/>
          <w:sz w:val="21"/>
          <w:szCs w:val="21"/>
          <w:lang w:val="es-ES_tradnl"/>
        </w:rPr>
      </w:pPr>
      <w:r w:rsidRPr="00691AAC">
        <w:rPr>
          <w:rFonts w:ascii="Arial" w:eastAsia="Arial" w:hAnsi="Arial" w:cs="Arial"/>
          <w:color w:val="161616" w:themeColor="background1" w:themeShade="1A"/>
          <w:sz w:val="21"/>
          <w:szCs w:val="21"/>
          <w:lang w:val="es-ES_tradnl"/>
        </w:rPr>
        <w:t>La jurisprudencia de la Corte Constitucional</w:t>
      </w:r>
      <w:r w:rsidRPr="004102D2">
        <w:rPr>
          <w:rStyle w:val="Refdenotaalpie"/>
          <w:rFonts w:ascii="Arial" w:eastAsia="Arial" w:hAnsi="Arial" w:cs="Arial"/>
        </w:rPr>
        <w:footnoteReference w:id="5"/>
      </w:r>
      <w:r w:rsidRPr="00691AAC">
        <w:rPr>
          <w:rFonts w:ascii="Arial" w:eastAsia="Arial" w:hAnsi="Arial" w:cs="Arial"/>
          <w:color w:val="161616" w:themeColor="background1" w:themeShade="1A"/>
          <w:sz w:val="21"/>
          <w:szCs w:val="21"/>
          <w:lang w:val="es-ES_tradnl"/>
        </w:rPr>
        <w:t> y del Consejo de Estado</w:t>
      </w:r>
      <w:r w:rsidRPr="004102D2">
        <w:rPr>
          <w:rStyle w:val="Refdenotaalpie"/>
          <w:rFonts w:ascii="Arial" w:eastAsia="Arial" w:hAnsi="Arial" w:cs="Arial"/>
        </w:rPr>
        <w:footnoteReference w:id="6"/>
      </w:r>
      <w:r w:rsidRPr="00691AAC">
        <w:rPr>
          <w:rFonts w:ascii="Arial" w:eastAsia="Arial" w:hAnsi="Arial" w:cs="Arial"/>
          <w:color w:val="161616" w:themeColor="background1" w:themeShade="1A"/>
          <w:sz w:val="21"/>
          <w:szCs w:val="21"/>
          <w:lang w:val="es-ES_tradnl"/>
        </w:rPr>
        <w:t>, coinciden en que las normas que establecen prohibiciones deben estar de manera explícita en la Constitución o en la ley y no podrán ser excesivas ni desproporcionadas. No pueden interpretarse extensivamente sino siempre en forma restrictiva o estricta; es decir, en la aplicación de las normas prohibitivas, el intérprete solamente habrá de tener en cuenta lo que en ellas expresamente se menciona y, por tanto, no le es permitido ampliar el natural y obvio alcance de los supuestos que contemplan, pues como entrañan una limitación -así fuere justificada- a la libertad de actuar o capacidad de obrar, sobrepasar sus precisos términos comporta el desconocimiento de la voluntad del legislador</w:t>
      </w:r>
      <w:r w:rsidRPr="004102D2">
        <w:rPr>
          <w:rStyle w:val="Refdenotaalpie"/>
          <w:rFonts w:ascii="Arial" w:eastAsia="Arial" w:hAnsi="Arial" w:cs="Arial"/>
        </w:rPr>
        <w:footnoteReference w:id="7"/>
      </w:r>
      <w:r w:rsidRPr="00691AAC">
        <w:rPr>
          <w:rFonts w:ascii="Arial" w:eastAsia="Arial" w:hAnsi="Arial" w:cs="Arial"/>
          <w:color w:val="161616" w:themeColor="background1" w:themeShade="1A"/>
          <w:sz w:val="21"/>
          <w:szCs w:val="21"/>
          <w:lang w:val="es-ES_tradnl"/>
        </w:rPr>
        <w:t>.</w:t>
      </w:r>
    </w:p>
    <w:p w14:paraId="67508B4B" w14:textId="77777777" w:rsidR="008A2523" w:rsidRPr="00691AAC" w:rsidRDefault="008A2523" w:rsidP="004102D2">
      <w:pPr>
        <w:spacing w:line="276" w:lineRule="auto"/>
        <w:ind w:left="567" w:right="709"/>
        <w:jc w:val="both"/>
        <w:rPr>
          <w:rFonts w:ascii="Arial" w:hAnsi="Arial" w:cs="Arial"/>
          <w:color w:val="161616" w:themeColor="background1" w:themeShade="1A"/>
          <w:sz w:val="21"/>
          <w:szCs w:val="21"/>
          <w:lang w:val="es-ES_tradnl"/>
        </w:rPr>
      </w:pPr>
    </w:p>
    <w:p w14:paraId="63E66B8D" w14:textId="4A572D9F" w:rsidR="00B40486" w:rsidRPr="00691AAC" w:rsidRDefault="00B40486" w:rsidP="004102D2">
      <w:pPr>
        <w:spacing w:after="120" w:line="276" w:lineRule="auto"/>
        <w:ind w:firstLine="709"/>
        <w:jc w:val="both"/>
        <w:rPr>
          <w:rFonts w:ascii="Arial" w:eastAsia="Arial" w:hAnsi="Arial" w:cs="Arial"/>
          <w:color w:val="161616" w:themeColor="background1" w:themeShade="1A"/>
          <w:sz w:val="22"/>
          <w:szCs w:val="22"/>
          <w:lang w:val="es-ES_tradnl"/>
        </w:rPr>
      </w:pPr>
      <w:bookmarkStart w:id="12" w:name="_3rdcrjn" w:colFirst="0" w:colLast="0"/>
      <w:bookmarkEnd w:id="12"/>
      <w:r w:rsidRPr="00691AAC">
        <w:rPr>
          <w:rFonts w:ascii="Arial" w:eastAsia="Arial" w:hAnsi="Arial" w:cs="Arial"/>
          <w:color w:val="161616" w:themeColor="background1" w:themeShade="1A"/>
          <w:sz w:val="22"/>
          <w:szCs w:val="22"/>
          <w:lang w:val="es-ES_tradnl"/>
        </w:rPr>
        <w:lastRenderedPageBreak/>
        <w:t>De conformidad con lo anterior, la Ley de Garantías Electorales fijó una serie de regulaciones y prohibiciones dirigidas a los servidores públicos. Así, con la finalidad de preservar la igualdad entre los candidatos en las elecciones, aumentó las garantías en materia de contratación, de forma que no exista siquiera sospecha de que, por ese medio, en los periodos previos a la contienda electoral, se alteren las condiciones de igualdad entre los candidatos.</w:t>
      </w:r>
      <w:r w:rsidR="00565AA1" w:rsidRPr="00691AAC">
        <w:rPr>
          <w:rFonts w:ascii="Arial" w:eastAsia="Arial" w:hAnsi="Arial" w:cs="Arial"/>
          <w:color w:val="161616" w:themeColor="background1" w:themeShade="1A"/>
          <w:sz w:val="22"/>
          <w:szCs w:val="22"/>
          <w:lang w:val="es-ES_tradnl"/>
        </w:rPr>
        <w:t xml:space="preserve"> </w:t>
      </w:r>
      <w:r w:rsidRPr="00691AAC">
        <w:rPr>
          <w:rFonts w:ascii="Arial" w:eastAsia="Arial" w:hAnsi="Arial" w:cs="Arial"/>
          <w:color w:val="161616" w:themeColor="background1" w:themeShade="1A"/>
          <w:sz w:val="22"/>
          <w:szCs w:val="22"/>
          <w:lang w:val="es-ES_tradnl"/>
        </w:rPr>
        <w:t>Específicamente, las restricciones consagradas en la citada ley se dirigen a dos (2) tipos de campañas electorales claramente diferenciadas: las presidenciales y las demás que se adelanten para la elección de los demás cargos de elección popular, tanto a nivel nacional como a nivel territorial.</w:t>
      </w:r>
    </w:p>
    <w:p w14:paraId="19B8F065" w14:textId="77777777" w:rsidR="00B40486" w:rsidRPr="00691AAC" w:rsidRDefault="00B40486" w:rsidP="00B40486">
      <w:pPr>
        <w:spacing w:before="120" w:after="120" w:line="276" w:lineRule="auto"/>
        <w:ind w:firstLine="709"/>
        <w:jc w:val="both"/>
        <w:rPr>
          <w:rFonts w:ascii="Arial" w:eastAsia="Arial" w:hAnsi="Arial" w:cs="Arial"/>
          <w:color w:val="161616" w:themeColor="background1" w:themeShade="1A"/>
          <w:sz w:val="22"/>
          <w:szCs w:val="22"/>
          <w:lang w:val="es-ES_tradnl"/>
        </w:rPr>
      </w:pPr>
      <w:r w:rsidRPr="00691AAC">
        <w:rPr>
          <w:rFonts w:ascii="Arial" w:eastAsia="Arial" w:hAnsi="Arial" w:cs="Arial"/>
          <w:color w:val="161616" w:themeColor="background1" w:themeShade="1A"/>
          <w:sz w:val="22"/>
          <w:szCs w:val="22"/>
          <w:lang w:val="es-ES_tradnl"/>
        </w:rPr>
        <w:t xml:space="preserve">Por un lado, el artículo 33 de la Ley 996 de 2005 prohíbe «[…] la contratación directa por parte de todos los entes del Estado» durante los cuatro (4) meses anteriores a las elecciones presidenciales, salvo </w:t>
      </w:r>
      <w:r w:rsidRPr="00691AAC">
        <w:rPr>
          <w:rFonts w:ascii="Arial" w:eastAsia="Arial" w:hAnsi="Arial" w:cs="Arial"/>
          <w:color w:val="161616" w:themeColor="background1" w:themeShade="1A"/>
          <w:sz w:val="21"/>
          <w:szCs w:val="21"/>
          <w:lang w:val="es-ES_tradnl"/>
        </w:rPr>
        <w:t>«[…]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sidRPr="00691AAC">
        <w:rPr>
          <w:rFonts w:ascii="Arial" w:eastAsia="Arial" w:hAnsi="Arial" w:cs="Arial"/>
          <w:color w:val="161616" w:themeColor="background1" w:themeShade="1A"/>
          <w:sz w:val="22"/>
          <w:szCs w:val="22"/>
          <w:lang w:val="es-ES_tradnl"/>
        </w:rPr>
        <w:t>»</w:t>
      </w:r>
      <w:r w:rsidRPr="004102D2">
        <w:rPr>
          <w:rStyle w:val="Refdenotaalpie"/>
          <w:rFonts w:ascii="Arial" w:eastAsia="Arial" w:hAnsi="Arial" w:cs="Arial"/>
        </w:rPr>
        <w:footnoteReference w:id="8"/>
      </w:r>
      <w:r w:rsidRPr="00691AAC">
        <w:rPr>
          <w:rFonts w:ascii="Arial" w:eastAsia="Arial" w:hAnsi="Arial" w:cs="Arial"/>
          <w:color w:val="161616" w:themeColor="background1" w:themeShade="1A"/>
          <w:sz w:val="22"/>
          <w:szCs w:val="22"/>
          <w:lang w:val="es-ES_tradnl"/>
        </w:rPr>
        <w:t>.</w:t>
      </w:r>
    </w:p>
    <w:p w14:paraId="66EB02F1" w14:textId="77777777" w:rsidR="00B40486" w:rsidRPr="00691AAC" w:rsidRDefault="00B40486" w:rsidP="00B40486">
      <w:pPr>
        <w:spacing w:before="120" w:after="120" w:line="276" w:lineRule="auto"/>
        <w:ind w:firstLine="709"/>
        <w:jc w:val="both"/>
        <w:rPr>
          <w:rFonts w:ascii="Arial" w:eastAsia="Arial" w:hAnsi="Arial" w:cs="Arial"/>
          <w:color w:val="161616" w:themeColor="background1" w:themeShade="1A"/>
          <w:sz w:val="22"/>
          <w:szCs w:val="22"/>
          <w:lang w:val="es-ES_tradnl"/>
        </w:rPr>
      </w:pPr>
      <w:r w:rsidRPr="00691AAC">
        <w:rPr>
          <w:rFonts w:ascii="Arial" w:eastAsia="Arial" w:hAnsi="Arial" w:cs="Arial"/>
          <w:color w:val="161616" w:themeColor="background1" w:themeShade="1A"/>
          <w:sz w:val="22"/>
          <w:szCs w:val="22"/>
          <w:lang w:val="es-ES_tradnl"/>
        </w:rPr>
        <w:t xml:space="preserve">Por otro lado, el parágrafo del artículo 38 de la Ley 996 de 2005 prevé una restricción aplicable respecto de cualquier tipo de contienda electoral, que prohíbe a los gobernadores, alcaldes municipales o distritales, secretarios, gerentes y directores de entidades descentralizadas del orden municipal, departamental o distrital </w:t>
      </w:r>
      <w:r w:rsidRPr="00691AAC">
        <w:rPr>
          <w:rFonts w:ascii="Arial" w:eastAsia="Arial" w:hAnsi="Arial" w:cs="Arial"/>
          <w:color w:val="161616" w:themeColor="background1" w:themeShade="1A"/>
          <w:sz w:val="21"/>
          <w:szCs w:val="21"/>
          <w:lang w:val="es-ES_tradnl"/>
        </w:rPr>
        <w:t>«[…]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4102D2">
        <w:rPr>
          <w:rStyle w:val="Refdenotaalpie"/>
          <w:rFonts w:ascii="Arial" w:eastAsia="Arial" w:hAnsi="Arial" w:cs="Arial"/>
        </w:rPr>
        <w:footnoteReference w:id="9"/>
      </w:r>
      <w:r w:rsidRPr="00691AAC">
        <w:rPr>
          <w:rFonts w:ascii="Arial" w:eastAsia="Arial" w:hAnsi="Arial" w:cs="Arial"/>
          <w:color w:val="161616" w:themeColor="background1" w:themeShade="1A"/>
          <w:sz w:val="22"/>
          <w:szCs w:val="22"/>
          <w:lang w:val="es-ES_tradnl"/>
        </w:rPr>
        <w:t xml:space="preserve">. Esta </w:t>
      </w:r>
      <w:r w:rsidRPr="00691AAC">
        <w:rPr>
          <w:rFonts w:ascii="Arial" w:eastAsia="Arial" w:hAnsi="Arial" w:cs="Arial"/>
          <w:color w:val="161616" w:themeColor="background1" w:themeShade="1A"/>
          <w:sz w:val="22"/>
          <w:szCs w:val="22"/>
          <w:lang w:val="es-ES_tradnl"/>
        </w:rPr>
        <w:lastRenderedPageBreak/>
        <w:t>prohibición debe analizarse en armonía con el artículo 124 de la Ley 2159 de 2021</w:t>
      </w:r>
      <w:r w:rsidRPr="00691AAC">
        <w:rPr>
          <w:rStyle w:val="Refdenotaalpie"/>
          <w:rFonts w:ascii="Arial" w:eastAsia="Arial" w:hAnsi="Arial" w:cs="Arial"/>
          <w:color w:val="161616" w:themeColor="background1" w:themeShade="1A"/>
          <w:sz w:val="22"/>
          <w:szCs w:val="22"/>
          <w:lang w:val="es-ES_tradnl"/>
        </w:rPr>
        <w:footnoteReference w:id="10"/>
      </w:r>
      <w:r w:rsidRPr="00691AAC">
        <w:rPr>
          <w:rFonts w:ascii="Arial" w:eastAsia="Arial" w:hAnsi="Arial" w:cs="Arial"/>
          <w:color w:val="161616" w:themeColor="background1" w:themeShade="1A"/>
          <w:sz w:val="22"/>
          <w:szCs w:val="22"/>
          <w:lang w:val="es-ES_tradnl"/>
        </w:rPr>
        <w:t>. La Sala de Consulta y Servicio Civil del Consejo de Estado ha aclarado la distinción en la aplicación de las prohibiciones de la Ley 996 de 2005, dependiendo del tipo de elección que se trate. Al respecto, considera que:</w:t>
      </w:r>
    </w:p>
    <w:p w14:paraId="60DCD6DA" w14:textId="77777777" w:rsidR="00B40486" w:rsidRPr="00691AAC" w:rsidRDefault="00B40486" w:rsidP="00B40486">
      <w:pPr>
        <w:widowControl w:val="0"/>
        <w:spacing w:before="120" w:after="120" w:line="276" w:lineRule="auto"/>
        <w:ind w:left="567" w:right="786"/>
        <w:jc w:val="both"/>
        <w:rPr>
          <w:rFonts w:ascii="Arial" w:hAnsi="Arial" w:cs="Arial"/>
          <w:color w:val="161616" w:themeColor="background1" w:themeShade="1A"/>
          <w:sz w:val="22"/>
          <w:szCs w:val="22"/>
          <w:lang w:val="es-ES_tradnl"/>
        </w:rPr>
      </w:pPr>
      <w:bookmarkStart w:id="15" w:name="_26in1rg" w:colFirst="0" w:colLast="0"/>
      <w:bookmarkEnd w:id="15"/>
      <w:r w:rsidRPr="00691AAC">
        <w:rPr>
          <w:rFonts w:ascii="Arial" w:eastAsia="Arial" w:hAnsi="Arial" w:cs="Arial"/>
          <w:color w:val="161616" w:themeColor="background1" w:themeShade="1A"/>
          <w:sz w:val="21"/>
          <w:szCs w:val="21"/>
          <w:lang w:val="es-ES_tradnl"/>
        </w:rPr>
        <w:t>La interpretación sistemática de las disposiciones consagradas en los artículos 32, 33 y el parágrafo del artículo 38 de la ley 996 de 2.005 lleva a concluir que dichas normas contienen restricciones y prohibiciones para periodos preelectorales diferentes; las dos primeras, de manera específica para los cuatro meses anteriores a la elección presidencial; el último, de manera más genérica para los cuatro meses anteriores a las elecciones para cualquier cargo de elección popular a que se refiere la ley –incluido el de Presidente de la República-; de manera que dichas restricciones no se excluyen sino que se integran parcialmente, lo que permite concluir que en periodo preelectoral para elección de Presidente de la República, a todos los entes del Estado, incluidos los territoriales, se aplican las restricciones de los artículos 32 y 33 con sus excepciones, así como las del parágrafo del artículo 38. En cambio, para elecciones en general, excluyendo las correspondientes a Presidente de la República, a las autoridades territoriales allí mencionadas sólo se aplican las restricciones contenidas en el parágrafo del artículo 38</w:t>
      </w:r>
      <w:r w:rsidRPr="004102D2">
        <w:rPr>
          <w:rStyle w:val="Refdenotaalpie"/>
          <w:rFonts w:ascii="Arial" w:eastAsia="Arial" w:hAnsi="Arial" w:cs="Arial"/>
        </w:rPr>
        <w:footnoteReference w:id="11"/>
      </w:r>
      <w:r w:rsidRPr="00691AAC">
        <w:rPr>
          <w:rFonts w:ascii="Arial" w:eastAsia="Arial" w:hAnsi="Arial" w:cs="Arial"/>
          <w:color w:val="161616" w:themeColor="background1" w:themeShade="1A"/>
          <w:sz w:val="22"/>
          <w:szCs w:val="22"/>
          <w:lang w:val="es-ES_tradnl"/>
        </w:rPr>
        <w:t>.</w:t>
      </w:r>
    </w:p>
    <w:p w14:paraId="132B5A57" w14:textId="77777777" w:rsidR="00B40486" w:rsidRPr="00691AAC" w:rsidRDefault="00B40486" w:rsidP="00B40486">
      <w:pPr>
        <w:spacing w:before="120" w:after="120" w:line="276" w:lineRule="auto"/>
        <w:ind w:firstLine="709"/>
        <w:jc w:val="both"/>
        <w:rPr>
          <w:rFonts w:ascii="Arial" w:eastAsia="Arial" w:hAnsi="Arial" w:cs="Arial"/>
          <w:color w:val="161616" w:themeColor="background1" w:themeShade="1A"/>
          <w:sz w:val="22"/>
          <w:szCs w:val="22"/>
          <w:lang w:val="es-ES_tradnl"/>
        </w:rPr>
      </w:pPr>
      <w:bookmarkStart w:id="16" w:name="_lnxbz9" w:colFirst="0" w:colLast="0"/>
      <w:bookmarkEnd w:id="16"/>
      <w:r w:rsidRPr="00691AAC">
        <w:rPr>
          <w:rFonts w:ascii="Arial" w:eastAsia="Arial" w:hAnsi="Arial" w:cs="Arial"/>
          <w:color w:val="161616" w:themeColor="background1" w:themeShade="1A"/>
          <w:sz w:val="22"/>
          <w:szCs w:val="22"/>
          <w:lang w:val="es-ES_tradnl"/>
        </w:rPr>
        <w:t xml:space="preserve">De conformidad con lo anterior, la Ley 996 de 2005 establece dos (2) tipos de restricciones en materia de contratación, las cuales coinciden parcialmente. </w:t>
      </w:r>
      <w:r w:rsidRPr="00691AAC">
        <w:rPr>
          <w:rFonts w:ascii="Arial" w:eastAsia="Arial" w:hAnsi="Arial" w:cs="Arial"/>
          <w:i/>
          <w:color w:val="161616" w:themeColor="background1" w:themeShade="1A"/>
          <w:sz w:val="22"/>
          <w:szCs w:val="22"/>
          <w:lang w:val="es-ES_tradnl"/>
        </w:rPr>
        <w:t>En primer lugar</w:t>
      </w:r>
      <w:r w:rsidRPr="00691AAC">
        <w:rPr>
          <w:rFonts w:ascii="Arial" w:eastAsia="Arial" w:hAnsi="Arial" w:cs="Arial"/>
          <w:color w:val="161616" w:themeColor="background1" w:themeShade="1A"/>
          <w:sz w:val="22"/>
          <w:szCs w:val="22"/>
          <w:lang w:val="es-ES_tradnl"/>
        </w:rPr>
        <w:t xml:space="preserve">, la del artículo 33 que opera solo respecto de las elecciones presidenciales, en virtud de la cual queda proscrita la contratación directa dentro de los cuatro (4) meses anteriores a la celebración de los comicios, salvo las citadas excepciones. Sin embargo, si ningún candidato obtiene la mitad más uno de los votos que, de manera secreta y directa, depositen los ciudadanos, se celebrará una nueva votación que tendrá lugar tres semanas más tarde, en la que solo participarán los dos candidatos que hubieren obtenido las votaciones más altas, de conformidad con el artículo 190 de la Constitución Política. Para estos efectos, la restricción se extenderá hasta la fecha en la que se realice la segunda vuelta. </w:t>
      </w:r>
      <w:r w:rsidRPr="00691AAC">
        <w:rPr>
          <w:rFonts w:ascii="Arial" w:eastAsia="Arial" w:hAnsi="Arial" w:cs="Arial"/>
          <w:i/>
          <w:color w:val="161616" w:themeColor="background1" w:themeShade="1A"/>
          <w:sz w:val="22"/>
          <w:szCs w:val="22"/>
          <w:lang w:val="es-ES_tradnl"/>
        </w:rPr>
        <w:t>En segundo lugar</w:t>
      </w:r>
      <w:r w:rsidRPr="00691AAC">
        <w:rPr>
          <w:rFonts w:ascii="Arial" w:eastAsia="Arial" w:hAnsi="Arial" w:cs="Arial"/>
          <w:color w:val="161616" w:themeColor="background1" w:themeShade="1A"/>
          <w:sz w:val="22"/>
          <w:szCs w:val="22"/>
          <w:lang w:val="es-ES_tradnl"/>
        </w:rPr>
        <w:t xml:space="preserve">, también se encuentra la prohibición del parágrafo del artículo </w:t>
      </w:r>
      <w:r w:rsidRPr="00691AAC">
        <w:rPr>
          <w:rFonts w:ascii="Arial" w:eastAsia="Arial" w:hAnsi="Arial" w:cs="Arial"/>
          <w:color w:val="161616" w:themeColor="background1" w:themeShade="1A"/>
          <w:sz w:val="22"/>
          <w:szCs w:val="22"/>
          <w:lang w:val="es-ES_tradnl"/>
        </w:rPr>
        <w:lastRenderedPageBreak/>
        <w:t>38, el cual debe aplicarse respecto de cualquier tipo de contienda electoral, y que prohíbe la celebración de convenios interadministrativos que impliquen la ejecución de recursos públicos dentro de los cuatro (4) meses anteriores a la respectiva jornada de votaciones.</w:t>
      </w:r>
    </w:p>
    <w:p w14:paraId="013579BA" w14:textId="77777777" w:rsidR="00B40486" w:rsidRPr="00691AAC" w:rsidRDefault="00B40486" w:rsidP="00B40486">
      <w:pPr>
        <w:spacing w:after="120" w:line="276" w:lineRule="auto"/>
        <w:ind w:firstLine="709"/>
        <w:contextualSpacing/>
        <w:jc w:val="both"/>
        <w:rPr>
          <w:rFonts w:ascii="Arial" w:eastAsia="Arial" w:hAnsi="Arial" w:cs="Arial"/>
          <w:color w:val="161616" w:themeColor="background1" w:themeShade="1A"/>
          <w:sz w:val="22"/>
          <w:szCs w:val="22"/>
          <w:lang w:val="es-ES_tradnl"/>
        </w:rPr>
      </w:pPr>
      <w:r w:rsidRPr="00691AAC">
        <w:rPr>
          <w:rFonts w:ascii="Arial" w:eastAsia="Arial" w:hAnsi="Arial" w:cs="Arial"/>
          <w:color w:val="161616" w:themeColor="background1" w:themeShade="1A"/>
          <w:sz w:val="22"/>
          <w:szCs w:val="22"/>
          <w:lang w:val="es-ES_tradnl"/>
        </w:rPr>
        <w:t>Ambas restricciones no son excluyentes, lo que permite concluir que en el período preelectoral para la elección del Presidente de la República, a todos los entes del Estado, incluidos los territoriales, les aplican las restricciones del artículo 33 con sus excepciones, así como las del parágrafo del artículo 38. En cambio, tratándose de elecciones en general, excluyendo las correspondientes al Presidente de la República, las autoridades allí mencionadas solo deben aplicar las restricciones contenidas en el parágrafo del artículo 38.</w:t>
      </w:r>
    </w:p>
    <w:p w14:paraId="7B8B77EF" w14:textId="77777777" w:rsidR="00B40486" w:rsidRPr="00691AAC" w:rsidRDefault="00B40486" w:rsidP="00B40486">
      <w:pPr>
        <w:spacing w:after="120" w:line="276" w:lineRule="auto"/>
        <w:ind w:firstLine="709"/>
        <w:contextualSpacing/>
        <w:jc w:val="both"/>
        <w:rPr>
          <w:rFonts w:ascii="Arial" w:eastAsia="Arial" w:hAnsi="Arial" w:cs="Arial"/>
          <w:color w:val="161616" w:themeColor="background1" w:themeShade="1A"/>
          <w:sz w:val="22"/>
          <w:szCs w:val="22"/>
          <w:lang w:val="es-ES"/>
        </w:rPr>
      </w:pPr>
      <w:r w:rsidRPr="00691AAC">
        <w:rPr>
          <w:rFonts w:ascii="Arial" w:eastAsia="Arial" w:hAnsi="Arial" w:cs="Arial"/>
          <w:color w:val="161616" w:themeColor="background1" w:themeShade="1A"/>
          <w:sz w:val="22"/>
          <w:szCs w:val="22"/>
          <w:lang w:val="es-ES_tradnl"/>
        </w:rPr>
        <w:t>La Corte Constitucional, en la Sentencia C-1153 del 11 de noviembre de 2005, señaló que, para que la garantía sea plena, era necesario que la prohibición se aplicara para el Presidente o el Vicepresidente desde que éstos –estando en ejercicio de su cargo– manifiesten el interés de ser candidato presidencial, lo cual debe ocurrir seis meses antes de la elección en primera vuelta, de acuerdo con el artículo 9 de la Ley 996 de 2005. Sin</w:t>
      </w:r>
      <w:r w:rsidRPr="00691AAC">
        <w:rPr>
          <w:rFonts w:ascii="Arial" w:eastAsia="Arial" w:hAnsi="Arial" w:cs="Arial"/>
          <w:color w:val="161616" w:themeColor="background1" w:themeShade="1A"/>
          <w:sz w:val="22"/>
          <w:szCs w:val="22"/>
          <w:lang w:val="es-ES"/>
        </w:rPr>
        <w:t xml:space="preserve"> embargo, el condicionamiento impuesto por la Corte Constitucional, relacionado con el momento en que estas restricciones empiezan a regir para el Presidente y el Vicepresidente de la República, ha perdido vigencia ante la prohibición de la reelección presidencial, restablecida por el Acto Legislativo 2 de 2015, excepto para el Vicepresidente que no haya ejercido la presidencia o que la haya ejercido por un tiempo inferior a tres (3) meses durante el respectivo cuatrienio, en forma continua o discontinua, conforme al artículo 197 de la Constitución Política.  </w:t>
      </w:r>
    </w:p>
    <w:p w14:paraId="308501D7" w14:textId="77777777" w:rsidR="00B40486" w:rsidRPr="00691AAC" w:rsidRDefault="00B40486" w:rsidP="00B40486">
      <w:pPr>
        <w:spacing w:after="120" w:line="276" w:lineRule="auto"/>
        <w:ind w:firstLine="709"/>
        <w:contextualSpacing/>
        <w:jc w:val="both"/>
        <w:rPr>
          <w:rFonts w:ascii="Arial" w:eastAsia="Arial" w:hAnsi="Arial" w:cs="Arial"/>
          <w:color w:val="161616" w:themeColor="background1" w:themeShade="1A"/>
          <w:sz w:val="22"/>
          <w:szCs w:val="22"/>
          <w:lang w:val="es-ES_tradnl"/>
        </w:rPr>
      </w:pPr>
    </w:p>
    <w:p w14:paraId="79A4576A" w14:textId="19C71447" w:rsidR="00B40486" w:rsidRPr="00691AAC" w:rsidRDefault="00B40486" w:rsidP="00691AAC">
      <w:pPr>
        <w:tabs>
          <w:tab w:val="left" w:pos="426"/>
        </w:tabs>
        <w:spacing w:line="276" w:lineRule="auto"/>
        <w:jc w:val="both"/>
        <w:rPr>
          <w:rFonts w:ascii="Arial" w:hAnsi="Arial" w:cs="Arial"/>
          <w:b/>
          <w:color w:val="161616" w:themeColor="background1" w:themeShade="1A"/>
          <w:sz w:val="22"/>
          <w:szCs w:val="22"/>
          <w:lang w:val="es-ES_tradnl" w:eastAsia="es-CO"/>
        </w:rPr>
      </w:pPr>
      <w:r w:rsidRPr="00691AAC">
        <w:rPr>
          <w:rFonts w:ascii="Arial" w:hAnsi="Arial" w:cs="Arial"/>
          <w:b/>
          <w:color w:val="161616" w:themeColor="background1" w:themeShade="1A"/>
          <w:sz w:val="22"/>
          <w:szCs w:val="22"/>
          <w:lang w:val="es-ES_tradnl" w:eastAsia="es-CO"/>
        </w:rPr>
        <w:t xml:space="preserve">2.2. </w:t>
      </w:r>
      <w:r w:rsidR="00565AA1" w:rsidRPr="00691AAC">
        <w:rPr>
          <w:rFonts w:ascii="Arial" w:hAnsi="Arial" w:cs="Arial"/>
          <w:b/>
          <w:color w:val="161616" w:themeColor="background1" w:themeShade="1A"/>
          <w:sz w:val="22"/>
          <w:szCs w:val="22"/>
          <w:lang w:val="es-ES_tradnl" w:eastAsia="es-CO"/>
        </w:rPr>
        <w:t>Restricciones en elecciones presidenciales</w:t>
      </w:r>
    </w:p>
    <w:p w14:paraId="0561B32D" w14:textId="77777777" w:rsidR="00691AAC" w:rsidRPr="00691AAC" w:rsidRDefault="00691AAC" w:rsidP="004102D2">
      <w:pPr>
        <w:tabs>
          <w:tab w:val="left" w:pos="426"/>
        </w:tabs>
        <w:spacing w:line="276" w:lineRule="auto"/>
        <w:jc w:val="both"/>
        <w:rPr>
          <w:rFonts w:ascii="Arial" w:eastAsia="Calibri" w:hAnsi="Arial" w:cs="Arial"/>
          <w:b/>
          <w:bCs/>
          <w:color w:val="161616" w:themeColor="background1" w:themeShade="1A"/>
          <w:sz w:val="22"/>
          <w:szCs w:val="22"/>
          <w:lang w:val="es-ES_tradnl"/>
        </w:rPr>
      </w:pPr>
    </w:p>
    <w:p w14:paraId="30BA7432" w14:textId="75DA6C22" w:rsidR="00B40486" w:rsidRPr="00691AAC" w:rsidRDefault="00B40486" w:rsidP="00AA69BC">
      <w:pPr>
        <w:spacing w:line="276" w:lineRule="auto"/>
        <w:jc w:val="both"/>
        <w:rPr>
          <w:rFonts w:ascii="Arial" w:hAnsi="Arial" w:cs="Arial"/>
          <w:color w:val="161616" w:themeColor="background1" w:themeShade="1A"/>
          <w:sz w:val="22"/>
          <w:szCs w:val="22"/>
          <w:lang w:val="es-ES_tradnl" w:eastAsia="es-CO"/>
        </w:rPr>
      </w:pPr>
      <w:r w:rsidRPr="00691AAC">
        <w:rPr>
          <w:rFonts w:ascii="Arial" w:hAnsi="Arial" w:cs="Arial"/>
          <w:bCs/>
          <w:color w:val="161616" w:themeColor="background1" w:themeShade="1A"/>
          <w:sz w:val="22"/>
          <w:szCs w:val="22"/>
          <w:lang w:val="es-ES_tradnl" w:eastAsia="x-none"/>
        </w:rPr>
        <w:t xml:space="preserve">El ámbito material de la prohibición contenida </w:t>
      </w:r>
      <w:bookmarkStart w:id="17" w:name="_Hlk75628761"/>
      <w:r w:rsidRPr="00691AAC">
        <w:rPr>
          <w:rFonts w:ascii="Arial" w:hAnsi="Arial" w:cs="Arial"/>
          <w:bCs/>
          <w:color w:val="161616" w:themeColor="background1" w:themeShade="1A"/>
          <w:sz w:val="22"/>
          <w:szCs w:val="22"/>
          <w:lang w:val="es-ES_tradnl" w:eastAsia="x-none"/>
        </w:rPr>
        <w:t>en el artículo 33 de la ley 996 de 2005</w:t>
      </w:r>
      <w:bookmarkEnd w:id="17"/>
      <w:r w:rsidRPr="00691AAC">
        <w:rPr>
          <w:rFonts w:ascii="Arial" w:hAnsi="Arial" w:cs="Arial"/>
          <w:bCs/>
          <w:color w:val="161616" w:themeColor="background1" w:themeShade="1A"/>
          <w:sz w:val="22"/>
          <w:szCs w:val="22"/>
          <w:lang w:val="es-ES_tradnl" w:eastAsia="x-none"/>
        </w:rPr>
        <w:t xml:space="preserve">, está delimitado por la expresión </w:t>
      </w:r>
      <w:r w:rsidRPr="00691AAC">
        <w:rPr>
          <w:rFonts w:ascii="Arial" w:eastAsia="Calibri" w:hAnsi="Arial" w:cs="Arial"/>
          <w:bCs/>
          <w:color w:val="161616" w:themeColor="background1" w:themeShade="1A"/>
          <w:sz w:val="22"/>
          <w:szCs w:val="22"/>
          <w:lang w:val="es-ES_tradnl"/>
        </w:rPr>
        <w:t>«</w:t>
      </w:r>
      <w:r w:rsidRPr="00691AAC">
        <w:rPr>
          <w:rFonts w:ascii="Arial" w:hAnsi="Arial" w:cs="Arial"/>
          <w:bCs/>
          <w:color w:val="161616" w:themeColor="background1" w:themeShade="1A"/>
          <w:sz w:val="22"/>
          <w:szCs w:val="22"/>
          <w:lang w:val="es-ES_tradnl" w:eastAsia="x-none"/>
        </w:rPr>
        <w:t>queda prohibida la contratación directa</w:t>
      </w:r>
      <w:r w:rsidRPr="00691AAC">
        <w:rPr>
          <w:rFonts w:ascii="Arial" w:hAnsi="Arial" w:cs="Arial"/>
          <w:color w:val="161616" w:themeColor="background1" w:themeShade="1A"/>
          <w:sz w:val="22"/>
          <w:szCs w:val="22"/>
          <w:lang w:val="es-ES_tradnl"/>
        </w:rPr>
        <w:t>»</w:t>
      </w:r>
      <w:r w:rsidRPr="00691AAC">
        <w:rPr>
          <w:rFonts w:ascii="Arial" w:hAnsi="Arial" w:cs="Arial"/>
          <w:bCs/>
          <w:color w:val="161616" w:themeColor="background1" w:themeShade="1A"/>
          <w:sz w:val="22"/>
          <w:szCs w:val="22"/>
          <w:lang w:val="es-ES_tradnl" w:eastAsia="x-none"/>
        </w:rPr>
        <w:t xml:space="preserve">. </w:t>
      </w:r>
      <w:r w:rsidRPr="00691AAC">
        <w:rPr>
          <w:rFonts w:ascii="Arial" w:hAnsi="Arial" w:cs="Arial"/>
          <w:color w:val="161616" w:themeColor="background1" w:themeShade="1A"/>
          <w:sz w:val="22"/>
          <w:szCs w:val="22"/>
          <w:lang w:val="es-ES_tradnl" w:eastAsia="es-CO"/>
        </w:rPr>
        <w:t>A propósito de esta restricción de la Ley de Garantías Electorales, la Sala de Consulta y Servicio Civil del Consejo de Estado ha considerado que:</w:t>
      </w:r>
    </w:p>
    <w:p w14:paraId="57735873" w14:textId="77777777" w:rsidR="00AA69BC" w:rsidRPr="00691AAC" w:rsidRDefault="00AA69BC" w:rsidP="004102D2">
      <w:pPr>
        <w:spacing w:line="276" w:lineRule="auto"/>
        <w:jc w:val="both"/>
        <w:rPr>
          <w:rFonts w:ascii="Arial" w:hAnsi="Arial" w:cs="Arial"/>
          <w:bCs/>
          <w:color w:val="161616" w:themeColor="background1" w:themeShade="1A"/>
          <w:sz w:val="22"/>
          <w:szCs w:val="22"/>
          <w:lang w:val="es-ES_tradnl" w:eastAsia="es-CO"/>
        </w:rPr>
      </w:pPr>
    </w:p>
    <w:p w14:paraId="7C087136" w14:textId="77777777" w:rsidR="00B40486" w:rsidRPr="00691AAC" w:rsidRDefault="00B40486" w:rsidP="004102D2">
      <w:pPr>
        <w:spacing w:after="120"/>
        <w:ind w:left="567" w:right="709"/>
        <w:jc w:val="both"/>
        <w:rPr>
          <w:rFonts w:ascii="Arial" w:hAnsi="Arial" w:cs="Arial"/>
          <w:color w:val="161616" w:themeColor="background1" w:themeShade="1A"/>
          <w:sz w:val="21"/>
          <w:szCs w:val="21"/>
          <w:lang w:val="es-ES_tradnl"/>
        </w:rPr>
      </w:pPr>
      <w:r w:rsidRPr="00691AAC">
        <w:rPr>
          <w:rFonts w:ascii="Arial" w:hAnsi="Arial" w:cs="Arial"/>
          <w:color w:val="161616" w:themeColor="background1" w:themeShade="1A"/>
          <w:sz w:val="21"/>
          <w:szCs w:val="21"/>
          <w:lang w:val="es-ES_tradnl"/>
        </w:rPr>
        <w:t>La contratación directa es un mecanismo de selección de carácter excepcional, en virtud del cual las entidades públicas pueden contratar mediante un trámite simplificado, ágil y expedito sin necesidad de realizar previamente un proceso de licitación pública o concurso, únicamente en los casos en que expresa y taxativamente señale la ley (numeral 4, artículo 2, ley 1150 de 2007), y cumpliendo siempre los principios que rigen la contratación pública</w:t>
      </w:r>
      <w:r w:rsidRPr="004102D2">
        <w:rPr>
          <w:rStyle w:val="Refdenotaalpie"/>
          <w:rFonts w:ascii="Arial" w:hAnsi="Arial" w:cs="Arial"/>
        </w:rPr>
        <w:footnoteReference w:id="12"/>
      </w:r>
      <w:r w:rsidRPr="00691AAC">
        <w:rPr>
          <w:rFonts w:ascii="Arial" w:hAnsi="Arial" w:cs="Arial"/>
          <w:color w:val="161616" w:themeColor="background1" w:themeShade="1A"/>
          <w:sz w:val="21"/>
          <w:szCs w:val="21"/>
          <w:lang w:val="es-ES_tradnl"/>
        </w:rPr>
        <w:t>.</w:t>
      </w:r>
    </w:p>
    <w:p w14:paraId="7E2E168D" w14:textId="6E92E905" w:rsidR="00B40486" w:rsidRPr="00691AAC" w:rsidRDefault="00B40486" w:rsidP="00691AAC">
      <w:pPr>
        <w:ind w:left="567" w:right="709"/>
        <w:jc w:val="both"/>
        <w:rPr>
          <w:rFonts w:ascii="Arial" w:hAnsi="Arial" w:cs="Arial"/>
          <w:color w:val="161616" w:themeColor="background1" w:themeShade="1A"/>
          <w:sz w:val="21"/>
          <w:szCs w:val="21"/>
          <w:lang w:val="es-ES_tradnl"/>
        </w:rPr>
      </w:pPr>
      <w:r w:rsidRPr="00691AAC">
        <w:rPr>
          <w:rFonts w:ascii="Arial" w:hAnsi="Arial" w:cs="Arial"/>
          <w:color w:val="161616" w:themeColor="background1" w:themeShade="1A"/>
          <w:sz w:val="21"/>
          <w:szCs w:val="21"/>
          <w:lang w:val="es-ES_tradnl"/>
        </w:rPr>
        <w:lastRenderedPageBreak/>
        <w:t xml:space="preserve">Esta Sala ha entendido que para los efectos de la ley de garantías, y dada su finalidad, el enunciado «contratación directa» es sinónimo </w:t>
      </w:r>
      <w:bookmarkStart w:id="20" w:name="_Hlk75741738"/>
      <w:r w:rsidRPr="00691AAC">
        <w:rPr>
          <w:rFonts w:ascii="Arial" w:hAnsi="Arial" w:cs="Arial"/>
          <w:color w:val="161616" w:themeColor="background1" w:themeShade="1A"/>
          <w:sz w:val="21"/>
          <w:szCs w:val="21"/>
          <w:lang w:val="es-ES_tradnl"/>
        </w:rPr>
        <w:t xml:space="preserve">de cualquier sistema que no implique convocatoria pública y posibilidad de pluralidad de oferentes, </w:t>
      </w:r>
      <w:bookmarkEnd w:id="20"/>
      <w:r w:rsidRPr="00691AAC">
        <w:rPr>
          <w:rFonts w:ascii="Arial" w:hAnsi="Arial" w:cs="Arial"/>
          <w:color w:val="161616" w:themeColor="background1" w:themeShade="1A"/>
          <w:sz w:val="21"/>
          <w:szCs w:val="21"/>
          <w:lang w:val="es-ES_tradnl"/>
        </w:rPr>
        <w:t>y que, además, no necesariamente hace referencia al procedimiento especial regulado por la ley de contratación estatal, sino a cualquier otro que prescinda de un proceso de licitación pública o concurso</w:t>
      </w:r>
      <w:r w:rsidRPr="004102D2">
        <w:rPr>
          <w:rStyle w:val="Refdenotaalpie"/>
          <w:rFonts w:ascii="Arial" w:hAnsi="Arial" w:cs="Arial"/>
        </w:rPr>
        <w:footnoteReference w:id="13"/>
      </w:r>
      <w:r w:rsidRPr="00691AAC">
        <w:rPr>
          <w:rFonts w:ascii="Arial" w:hAnsi="Arial" w:cs="Arial"/>
          <w:color w:val="161616" w:themeColor="background1" w:themeShade="1A"/>
          <w:sz w:val="21"/>
          <w:szCs w:val="21"/>
          <w:vertAlign w:val="superscript"/>
          <w:lang w:val="es-ES_tradnl"/>
        </w:rPr>
        <w:t>.</w:t>
      </w:r>
      <w:r w:rsidRPr="00691AAC">
        <w:rPr>
          <w:rFonts w:ascii="Arial" w:hAnsi="Arial" w:cs="Arial"/>
          <w:color w:val="161616" w:themeColor="background1" w:themeShade="1A"/>
          <w:sz w:val="21"/>
          <w:szCs w:val="21"/>
          <w:lang w:val="es-ES_tradnl"/>
        </w:rPr>
        <w:t xml:space="preserve"> Por tanto, no son materia de la prohibición las demás modalidades de selección previstas en la ley 1150 de 2007, siendo estas, la licitación pública, el concurso de méritos y la selección abreviada, razón por la cual en ese periodo preelectoral de que trata la disposición pueden las entidades públicas seguir contratando bajo estos sistemas.</w:t>
      </w:r>
      <w:r w:rsidRPr="004102D2">
        <w:rPr>
          <w:rStyle w:val="Refdenotaalpie"/>
          <w:rFonts w:ascii="Arial" w:hAnsi="Arial" w:cs="Arial"/>
        </w:rPr>
        <w:footnoteReference w:id="14"/>
      </w:r>
      <w:r w:rsidRPr="00691AAC">
        <w:rPr>
          <w:rFonts w:ascii="Arial" w:hAnsi="Arial" w:cs="Arial"/>
          <w:color w:val="161616" w:themeColor="background1" w:themeShade="1A"/>
          <w:sz w:val="21"/>
          <w:szCs w:val="21"/>
          <w:lang w:val="es-ES_tradnl"/>
        </w:rPr>
        <w:t xml:space="preserve"> </w:t>
      </w:r>
    </w:p>
    <w:p w14:paraId="15026219" w14:textId="77777777" w:rsidR="00691AAC" w:rsidRPr="00691AAC" w:rsidRDefault="00691AAC" w:rsidP="004102D2">
      <w:pPr>
        <w:ind w:left="567" w:right="709"/>
        <w:jc w:val="both"/>
        <w:rPr>
          <w:rFonts w:ascii="Arial" w:hAnsi="Arial" w:cs="Arial"/>
          <w:color w:val="161616" w:themeColor="background1" w:themeShade="1A"/>
          <w:sz w:val="21"/>
          <w:szCs w:val="21"/>
          <w:lang w:val="es-ES_tradnl"/>
        </w:rPr>
      </w:pPr>
    </w:p>
    <w:p w14:paraId="4924123D" w14:textId="77777777" w:rsidR="00B40486" w:rsidRPr="00691AAC" w:rsidRDefault="00B40486" w:rsidP="004102D2">
      <w:pPr>
        <w:spacing w:after="120" w:line="276" w:lineRule="auto"/>
        <w:ind w:firstLine="709"/>
        <w:jc w:val="both"/>
        <w:rPr>
          <w:rFonts w:ascii="Arial" w:hAnsi="Arial" w:cs="Arial"/>
          <w:color w:val="161616" w:themeColor="background1" w:themeShade="1A"/>
          <w:sz w:val="22"/>
          <w:szCs w:val="22"/>
          <w:lang w:val="es-ES_tradnl" w:eastAsia="x-none"/>
        </w:rPr>
      </w:pPr>
      <w:r w:rsidRPr="00691AAC">
        <w:rPr>
          <w:rFonts w:ascii="Arial" w:hAnsi="Arial" w:cs="Arial"/>
          <w:color w:val="161616" w:themeColor="background1" w:themeShade="1A"/>
          <w:sz w:val="22"/>
          <w:szCs w:val="22"/>
          <w:lang w:val="es-ES_tradnl" w:eastAsia="x-none"/>
        </w:rPr>
        <w:t xml:space="preserve">De conformidad con el citado concepto, </w:t>
      </w:r>
      <w:bookmarkStart w:id="22" w:name="_Hlk78818702"/>
      <w:r w:rsidRPr="00691AAC">
        <w:rPr>
          <w:rFonts w:ascii="Arial" w:hAnsi="Arial" w:cs="Arial"/>
          <w:color w:val="161616" w:themeColor="background1" w:themeShade="1A"/>
          <w:sz w:val="22"/>
          <w:szCs w:val="22"/>
          <w:lang w:val="es-ES_tradnl" w:eastAsia="x-none"/>
        </w:rPr>
        <w:t xml:space="preserve">la prohibición del artículo 33 de la Ley de Garantías Electorales se refiere a </w:t>
      </w:r>
      <w:bookmarkStart w:id="23" w:name="_Hlk74294635"/>
      <w:r w:rsidRPr="00691AAC">
        <w:rPr>
          <w:rFonts w:ascii="Arial" w:hAnsi="Arial" w:cs="Arial"/>
          <w:color w:val="161616" w:themeColor="background1" w:themeShade="1A"/>
          <w:sz w:val="22"/>
          <w:szCs w:val="22"/>
          <w:lang w:val="es-ES_tradnl"/>
        </w:rPr>
        <w:t>«</w:t>
      </w:r>
      <w:bookmarkEnd w:id="23"/>
      <w:r w:rsidRPr="00691AAC">
        <w:rPr>
          <w:rFonts w:ascii="Arial" w:hAnsi="Arial" w:cs="Arial"/>
          <w:color w:val="161616" w:themeColor="background1" w:themeShade="1A"/>
          <w:sz w:val="22"/>
          <w:szCs w:val="22"/>
          <w:lang w:val="es-ES_tradnl" w:eastAsia="x-none"/>
        </w:rPr>
        <w:t>cualquier sistema que no implique convocatoria pública y posibilidad de pluralidad de oferentes</w:t>
      </w:r>
      <w:bookmarkStart w:id="24" w:name="_Hlk74404754"/>
      <w:r w:rsidRPr="00691AAC">
        <w:rPr>
          <w:rFonts w:ascii="Arial" w:hAnsi="Arial" w:cs="Arial"/>
          <w:color w:val="161616" w:themeColor="background1" w:themeShade="1A"/>
          <w:sz w:val="22"/>
          <w:szCs w:val="22"/>
          <w:lang w:val="es-ES_tradnl"/>
        </w:rPr>
        <w:t>»</w:t>
      </w:r>
      <w:bookmarkEnd w:id="24"/>
      <w:r w:rsidRPr="00691AAC">
        <w:rPr>
          <w:rFonts w:ascii="Arial" w:hAnsi="Arial" w:cs="Arial"/>
          <w:color w:val="161616" w:themeColor="background1" w:themeShade="1A"/>
          <w:sz w:val="22"/>
          <w:szCs w:val="22"/>
          <w:lang w:val="es-ES_tradnl" w:eastAsia="x-none"/>
        </w:rPr>
        <w:t xml:space="preserve">, por lo que excluye las demás modalidades de contratación previstas en la Ley 1150 de 2007, es decir, la licitación pública, la selección abreviada, el concurso de méritos, la contratación de mínima cuantía u otros previstos en normas especiales. </w:t>
      </w:r>
      <w:bookmarkEnd w:id="22"/>
      <w:r w:rsidRPr="00691AAC">
        <w:rPr>
          <w:rFonts w:ascii="Arial" w:hAnsi="Arial" w:cs="Arial"/>
          <w:color w:val="161616" w:themeColor="background1" w:themeShade="1A"/>
          <w:sz w:val="22"/>
          <w:szCs w:val="22"/>
          <w:lang w:val="es-ES_tradnl" w:eastAsia="x-none"/>
        </w:rPr>
        <w:t>Esta posición es congruente con la expedición de la Ley 1150 de 2007 que, entre otras reformas, introdujo la selección abreviada, rediseñó el concurso de méritos</w:t>
      </w:r>
      <w:r w:rsidRPr="004102D2">
        <w:rPr>
          <w:rStyle w:val="Refdenotaalpie"/>
          <w:rFonts w:ascii="Arial" w:hAnsi="Arial" w:cs="Arial"/>
        </w:rPr>
        <w:footnoteReference w:id="15"/>
      </w:r>
      <w:r w:rsidRPr="00691AAC">
        <w:rPr>
          <w:rFonts w:ascii="Arial" w:hAnsi="Arial" w:cs="Arial"/>
          <w:color w:val="161616" w:themeColor="background1" w:themeShade="1A"/>
          <w:sz w:val="22"/>
          <w:szCs w:val="22"/>
          <w:lang w:val="es-ES_tradnl" w:eastAsia="x-none"/>
        </w:rPr>
        <w:t xml:space="preserve"> y sistematizó las causales de contratación directa</w:t>
      </w:r>
      <w:r w:rsidRPr="004102D2">
        <w:rPr>
          <w:rStyle w:val="Refdenotaalpie"/>
          <w:rFonts w:ascii="Arial" w:hAnsi="Arial" w:cs="Arial"/>
        </w:rPr>
        <w:footnoteReference w:id="16"/>
      </w:r>
      <w:r w:rsidRPr="00691AAC">
        <w:rPr>
          <w:rFonts w:ascii="Arial" w:hAnsi="Arial" w:cs="Arial"/>
          <w:color w:val="161616" w:themeColor="background1" w:themeShade="1A"/>
          <w:sz w:val="22"/>
          <w:szCs w:val="22"/>
          <w:lang w:val="es-ES_tradnl" w:eastAsia="x-none"/>
        </w:rPr>
        <w:t xml:space="preserve">. </w:t>
      </w:r>
    </w:p>
    <w:p w14:paraId="07DC811C" w14:textId="77777777" w:rsidR="00B40486" w:rsidRPr="00691AAC" w:rsidRDefault="00B40486" w:rsidP="00B40486">
      <w:pPr>
        <w:spacing w:before="120" w:after="120" w:line="276" w:lineRule="auto"/>
        <w:ind w:firstLine="709"/>
        <w:jc w:val="both"/>
        <w:rPr>
          <w:rFonts w:ascii="Arial" w:hAnsi="Arial" w:cs="Arial"/>
          <w:color w:val="161616" w:themeColor="background1" w:themeShade="1A"/>
          <w:sz w:val="22"/>
          <w:szCs w:val="22"/>
          <w:lang w:val="es-ES_tradnl" w:eastAsia="x-none"/>
        </w:rPr>
      </w:pPr>
      <w:r w:rsidRPr="00691AAC">
        <w:rPr>
          <w:rFonts w:ascii="Arial" w:hAnsi="Arial" w:cs="Arial"/>
          <w:color w:val="161616" w:themeColor="background1" w:themeShade="1A"/>
          <w:sz w:val="22"/>
          <w:szCs w:val="22"/>
          <w:lang w:val="es-ES_tradnl" w:eastAsia="x-none"/>
        </w:rPr>
        <w:t xml:space="preserve">De esta forma, con fundamento en la evolución de la normativa sobre la contratación pública, se ha depurado la noción de </w:t>
      </w:r>
      <w:r w:rsidRPr="00691AAC">
        <w:rPr>
          <w:rFonts w:ascii="Arial" w:hAnsi="Arial" w:cs="Arial"/>
          <w:color w:val="161616" w:themeColor="background1" w:themeShade="1A"/>
          <w:sz w:val="22"/>
          <w:szCs w:val="22"/>
          <w:lang w:val="es-ES_tradnl"/>
        </w:rPr>
        <w:t>«</w:t>
      </w:r>
      <w:r w:rsidRPr="00691AAC">
        <w:rPr>
          <w:rFonts w:ascii="Arial" w:hAnsi="Arial" w:cs="Arial"/>
          <w:color w:val="161616" w:themeColor="background1" w:themeShade="1A"/>
          <w:sz w:val="22"/>
          <w:szCs w:val="22"/>
          <w:lang w:val="es-ES_tradnl" w:eastAsia="x-none"/>
        </w:rPr>
        <w:t>contratación directa</w:t>
      </w:r>
      <w:r w:rsidRPr="00691AAC">
        <w:rPr>
          <w:rFonts w:ascii="Arial" w:hAnsi="Arial" w:cs="Arial"/>
          <w:color w:val="161616" w:themeColor="background1" w:themeShade="1A"/>
          <w:sz w:val="22"/>
          <w:szCs w:val="22"/>
          <w:lang w:val="es-ES_tradnl"/>
        </w:rPr>
        <w:t>»</w:t>
      </w:r>
      <w:r w:rsidRPr="00691AAC">
        <w:rPr>
          <w:rFonts w:ascii="Arial" w:hAnsi="Arial" w:cs="Arial"/>
          <w:color w:val="161616" w:themeColor="background1" w:themeShade="1A"/>
          <w:sz w:val="22"/>
          <w:szCs w:val="22"/>
          <w:lang w:val="es-ES_tradnl" w:eastAsia="x-none"/>
        </w:rPr>
        <w:t>, precisando el Consejo de Estado –en el concepto citado– que, «aun cuando no coincide única y exactamente con la regulación que de dicho sistema de selección hace el artículo 2º de la Ley 1150 de 2007, tampoco puede afirmarse que sea cualquier procedimiento de contratación distinto de la licitación pública, pues esto sería tanto como desconocer que el legislador, no solo en el Estatuto General de la Contratación de la Administración Pública, sino también en leyes especiales e, incluso, en el derecho privado</w:t>
      </w:r>
      <w:r w:rsidRPr="004102D2">
        <w:rPr>
          <w:rStyle w:val="Refdenotaalpie"/>
          <w:rFonts w:ascii="Arial" w:hAnsi="Arial" w:cs="Arial"/>
        </w:rPr>
        <w:footnoteReference w:id="17"/>
      </w:r>
      <w:r w:rsidRPr="00691AAC">
        <w:rPr>
          <w:rFonts w:ascii="Arial" w:hAnsi="Arial" w:cs="Arial"/>
          <w:color w:val="161616" w:themeColor="background1" w:themeShade="1A"/>
          <w:sz w:val="22"/>
          <w:szCs w:val="22"/>
          <w:lang w:val="es-ES_tradnl" w:eastAsia="x-none"/>
        </w:rPr>
        <w:t>, han establecido sistemas de contratación que implican convocatoria pública y participación de varios oferentes</w:t>
      </w:r>
      <w:r w:rsidRPr="00691AAC">
        <w:rPr>
          <w:rFonts w:ascii="Arial" w:hAnsi="Arial" w:cs="Arial"/>
          <w:color w:val="161616" w:themeColor="background1" w:themeShade="1A"/>
          <w:sz w:val="22"/>
          <w:szCs w:val="22"/>
          <w:lang w:val="es-ES_tradnl"/>
        </w:rPr>
        <w:t>»</w:t>
      </w:r>
      <w:r w:rsidRPr="00691AAC">
        <w:rPr>
          <w:rFonts w:ascii="Arial" w:hAnsi="Arial" w:cs="Arial"/>
          <w:color w:val="161616" w:themeColor="background1" w:themeShade="1A"/>
          <w:sz w:val="22"/>
          <w:szCs w:val="22"/>
          <w:lang w:val="es-ES_tradnl" w:eastAsia="x-none"/>
        </w:rPr>
        <w:t xml:space="preserve">. </w:t>
      </w:r>
    </w:p>
    <w:p w14:paraId="3151C592" w14:textId="77777777" w:rsidR="00B40486" w:rsidRPr="00691AAC" w:rsidRDefault="00B40486" w:rsidP="00B40486">
      <w:pPr>
        <w:spacing w:before="120" w:after="120" w:line="276" w:lineRule="auto"/>
        <w:ind w:firstLine="709"/>
        <w:jc w:val="both"/>
        <w:rPr>
          <w:rFonts w:ascii="Arial" w:hAnsi="Arial" w:cs="Arial"/>
          <w:color w:val="161616" w:themeColor="background1" w:themeShade="1A"/>
          <w:sz w:val="22"/>
          <w:szCs w:val="22"/>
          <w:lang w:val="es-ES_tradnl" w:eastAsia="x-none"/>
        </w:rPr>
      </w:pPr>
      <w:r w:rsidRPr="00691AAC">
        <w:rPr>
          <w:rFonts w:ascii="Arial" w:hAnsi="Arial" w:cs="Arial"/>
          <w:bCs/>
          <w:color w:val="161616" w:themeColor="background1" w:themeShade="1A"/>
          <w:sz w:val="22"/>
          <w:szCs w:val="22"/>
          <w:lang w:val="es-ES_tradnl" w:eastAsia="x-none"/>
        </w:rPr>
        <w:lastRenderedPageBreak/>
        <w:t>E</w:t>
      </w:r>
      <w:r w:rsidRPr="00691AAC">
        <w:rPr>
          <w:rFonts w:ascii="Arial" w:hAnsi="Arial" w:cs="Arial"/>
          <w:color w:val="161616" w:themeColor="background1" w:themeShade="1A"/>
          <w:sz w:val="22"/>
          <w:szCs w:val="22"/>
          <w:lang w:val="es-ES_tradnl" w:eastAsia="x-none"/>
        </w:rPr>
        <w:t xml:space="preserve">n efecto, vale la pena mencionar que, </w:t>
      </w:r>
      <w:bookmarkStart w:id="26" w:name="_Hlk75636073"/>
      <w:r w:rsidRPr="00691AAC">
        <w:rPr>
          <w:rFonts w:ascii="Arial" w:hAnsi="Arial" w:cs="Arial"/>
          <w:color w:val="161616" w:themeColor="background1" w:themeShade="1A"/>
          <w:sz w:val="22"/>
          <w:szCs w:val="22"/>
          <w:lang w:val="es-ES_tradnl" w:eastAsia="x-none"/>
        </w:rPr>
        <w:t>en algunos sistemas de contratación, utilizados por entidades públicas con regímenes especiales, o sujetas al derecho privado, la convocatoria o invitación para contratar puede limitarse a aquellas personas que previamente se hayan inscrito en una lista de precalificados o de simples interesados, o en un determinado registro o banco de datos de proveedores. En estos casos, lo determinante para considerar que dicho sistema no constituye «contratación directa», es que la convocatoria para inscribirse en forma previa se haga de manera pública, y que se permita la participación de una pluralidad de oferentes</w:t>
      </w:r>
      <w:bookmarkEnd w:id="26"/>
      <w:r w:rsidRPr="004102D2">
        <w:rPr>
          <w:rStyle w:val="Refdenotaalpie"/>
          <w:rFonts w:ascii="Arial" w:hAnsi="Arial" w:cs="Arial"/>
        </w:rPr>
        <w:footnoteReference w:id="18"/>
      </w:r>
      <w:r w:rsidRPr="00691AAC">
        <w:rPr>
          <w:rFonts w:ascii="Arial" w:hAnsi="Arial" w:cs="Arial"/>
          <w:color w:val="161616" w:themeColor="background1" w:themeShade="1A"/>
          <w:sz w:val="22"/>
          <w:szCs w:val="22"/>
          <w:lang w:val="es-ES_tradnl" w:eastAsia="x-none"/>
        </w:rPr>
        <w:t xml:space="preserve">. </w:t>
      </w:r>
    </w:p>
    <w:p w14:paraId="291546EF" w14:textId="77777777" w:rsidR="00B40486" w:rsidRPr="00691AAC" w:rsidRDefault="00B40486" w:rsidP="00B40486">
      <w:pPr>
        <w:spacing w:before="120" w:after="120" w:line="276" w:lineRule="auto"/>
        <w:ind w:firstLine="709"/>
        <w:jc w:val="both"/>
        <w:rPr>
          <w:rFonts w:ascii="Arial" w:hAnsi="Arial" w:cs="Arial"/>
          <w:bCs/>
          <w:color w:val="161616" w:themeColor="background1" w:themeShade="1A"/>
          <w:sz w:val="22"/>
          <w:szCs w:val="22"/>
          <w:lang w:val="es-ES_tradnl" w:eastAsia="es-CO"/>
        </w:rPr>
      </w:pPr>
      <w:r w:rsidRPr="00691AAC">
        <w:rPr>
          <w:rFonts w:ascii="Arial" w:hAnsi="Arial" w:cs="Arial"/>
          <w:bCs/>
          <w:color w:val="161616" w:themeColor="background1" w:themeShade="1A"/>
          <w:sz w:val="22"/>
          <w:szCs w:val="22"/>
          <w:lang w:val="es-ES_tradnl" w:eastAsia="es-CO"/>
        </w:rPr>
        <w:t>Como se advierte de lo anterior, el Consejo de Estado realiza una interpretación amplia de la contratación directa, para efectos de aplicar las restricciones establecidas en la Ley de Garantías, al señalar que no solo aplica frente a las entidades sometidas al Estatuto general de Contratación de la Administración Pública, sino también frente a las entidades que tengan un régimen especial de contratación. No obstante, también se observa que luego de la expedición de Ley 1150 de 2007, el Consejo de Estado comenzó a delimitar con mayor precisión el término de «contratación directa».</w:t>
      </w:r>
    </w:p>
    <w:p w14:paraId="304F10F2" w14:textId="77777777" w:rsidR="00B40486" w:rsidRPr="00691AAC" w:rsidRDefault="00B40486" w:rsidP="00B40486">
      <w:pPr>
        <w:spacing w:before="120" w:after="120" w:line="276" w:lineRule="auto"/>
        <w:ind w:firstLine="709"/>
        <w:jc w:val="both"/>
        <w:rPr>
          <w:rFonts w:ascii="Arial" w:hAnsi="Arial" w:cs="Arial"/>
          <w:color w:val="161616" w:themeColor="background1" w:themeShade="1A"/>
          <w:sz w:val="22"/>
          <w:szCs w:val="22"/>
          <w:vertAlign w:val="superscript"/>
          <w:lang w:val="es-ES_tradnl" w:eastAsia="x-none"/>
        </w:rPr>
      </w:pPr>
      <w:bookmarkStart w:id="27" w:name="_Hlk78818796"/>
      <w:r w:rsidRPr="00691AAC">
        <w:rPr>
          <w:rFonts w:ascii="Arial" w:hAnsi="Arial" w:cs="Arial"/>
          <w:bCs/>
          <w:color w:val="161616" w:themeColor="background1" w:themeShade="1A"/>
          <w:sz w:val="22"/>
          <w:szCs w:val="22"/>
          <w:lang w:val="es-ES_tradnl" w:eastAsia="x-none"/>
        </w:rPr>
        <w:t>Así las cosas, ha de entenderse que, para los efectos de la Ley de Garantías Electorales y, en particular, para la prohibición o restricción temporal contenida en su artículo 33, «contratación directa» es cualquier sistema de selección o procedimiento de contratación utilizado por las entidades estatales que no incluya la convocatoria pública en alguna de sus etapas, ni permita la participación de una pluralidad de oferentes</w:t>
      </w:r>
      <w:r w:rsidRPr="004102D2">
        <w:rPr>
          <w:rStyle w:val="Refdenotaalpie"/>
          <w:rFonts w:ascii="Arial" w:hAnsi="Arial" w:cs="Arial"/>
        </w:rPr>
        <w:footnoteReference w:id="19"/>
      </w:r>
      <w:r w:rsidRPr="00691AAC">
        <w:rPr>
          <w:rFonts w:ascii="Arial" w:hAnsi="Arial" w:cs="Arial"/>
          <w:bCs/>
          <w:color w:val="161616" w:themeColor="background1" w:themeShade="1A"/>
          <w:sz w:val="22"/>
          <w:szCs w:val="22"/>
          <w:lang w:val="es-ES_tradnl" w:eastAsia="x-none"/>
        </w:rPr>
        <w:t>.</w:t>
      </w:r>
      <w:r w:rsidRPr="00691AAC">
        <w:rPr>
          <w:rFonts w:ascii="Arial" w:hAnsi="Arial" w:cs="Arial"/>
          <w:color w:val="161616" w:themeColor="background1" w:themeShade="1A"/>
          <w:sz w:val="22"/>
          <w:szCs w:val="22"/>
          <w:vertAlign w:val="superscript"/>
          <w:lang w:val="es-ES_tradnl" w:eastAsia="x-none"/>
        </w:rPr>
        <w:t xml:space="preserve"> </w:t>
      </w:r>
    </w:p>
    <w:bookmarkEnd w:id="27"/>
    <w:p w14:paraId="6449F0C0" w14:textId="77777777" w:rsidR="00B40486" w:rsidRPr="00691AAC" w:rsidRDefault="00B40486" w:rsidP="00B40486">
      <w:pPr>
        <w:spacing w:before="120" w:after="120" w:line="276" w:lineRule="auto"/>
        <w:ind w:firstLine="709"/>
        <w:jc w:val="both"/>
        <w:rPr>
          <w:rFonts w:ascii="Arial" w:hAnsi="Arial" w:cs="Arial"/>
          <w:color w:val="161616" w:themeColor="background1" w:themeShade="1A"/>
          <w:sz w:val="22"/>
          <w:szCs w:val="22"/>
          <w:lang w:val="es-ES_tradnl" w:eastAsia="x-none"/>
        </w:rPr>
      </w:pPr>
      <w:r w:rsidRPr="00691AAC">
        <w:rPr>
          <w:rFonts w:ascii="Arial" w:hAnsi="Arial" w:cs="Arial"/>
          <w:bCs/>
          <w:color w:val="161616" w:themeColor="background1" w:themeShade="1A"/>
          <w:sz w:val="22"/>
          <w:szCs w:val="22"/>
          <w:lang w:val="es-ES_tradnl" w:eastAsia="x-none"/>
        </w:rPr>
        <w:t>De lo anterior se desprende que la restricción aplica, sin perjuicio de las excepciones establecidas en la misma ley, para celebrar cualquier contrato de forma directa, esto es, sin que exista un proceso abierto y competitivo.</w:t>
      </w:r>
      <w:r w:rsidRPr="00691AAC">
        <w:rPr>
          <w:rFonts w:ascii="Arial" w:hAnsi="Arial" w:cs="Arial"/>
          <w:color w:val="161616" w:themeColor="background1" w:themeShade="1A"/>
          <w:sz w:val="22"/>
          <w:szCs w:val="22"/>
          <w:lang w:val="es-ES_tradnl" w:eastAsia="x-none"/>
        </w:rPr>
        <w:t xml:space="preserve"> Por tanto, no son materia de la prohibición las demás modalidades de selección previstas en la Ley 1150 de 2007, es decir, la licitación pública, el concurso de méritos, la selección abreviada y la mínima cuantía, razón por la cual en ese período preelectoral de que trata la disposición pueden las entidades públicas seguir contratando bajo estos sistemas.</w:t>
      </w:r>
    </w:p>
    <w:p w14:paraId="03A5D19E" w14:textId="77777777" w:rsidR="00B40486" w:rsidRPr="00691AAC" w:rsidRDefault="00B40486" w:rsidP="00B40486">
      <w:pPr>
        <w:spacing w:before="120" w:after="120" w:line="276" w:lineRule="auto"/>
        <w:ind w:firstLine="709"/>
        <w:jc w:val="both"/>
        <w:rPr>
          <w:rFonts w:ascii="Arial" w:hAnsi="Arial" w:cs="Arial"/>
          <w:color w:val="161616" w:themeColor="background1" w:themeShade="1A"/>
          <w:sz w:val="22"/>
          <w:szCs w:val="22"/>
          <w:lang w:eastAsia="x-none"/>
        </w:rPr>
      </w:pPr>
      <w:r w:rsidRPr="00691AAC">
        <w:rPr>
          <w:rFonts w:ascii="Arial" w:hAnsi="Arial" w:cs="Arial"/>
          <w:color w:val="161616" w:themeColor="background1" w:themeShade="1A"/>
          <w:sz w:val="22"/>
          <w:szCs w:val="22"/>
          <w:lang w:eastAsia="x-none"/>
        </w:rPr>
        <w:t xml:space="preserve">Como en otras oportunidades lo ha manifestado esta Agencia, las prórrogas, modificaciones o adiciones de los contratos suscritos antes de la entrada en vigencia de las prohibiciones anotadas, así como la cesión de los mismos, pueden tener lugar en el período de aplicación de la Ley de Garantías, sin que ello haga nugatoria la restricción de </w:t>
      </w:r>
      <w:r w:rsidRPr="00691AAC">
        <w:rPr>
          <w:rFonts w:ascii="Arial" w:hAnsi="Arial" w:cs="Arial"/>
          <w:color w:val="161616" w:themeColor="background1" w:themeShade="1A"/>
          <w:sz w:val="22"/>
          <w:szCs w:val="22"/>
          <w:lang w:eastAsia="x-none"/>
        </w:rPr>
        <w:lastRenderedPageBreak/>
        <w:t>la contratación directa y siempre que cumplan los principios de planeación, transparencia y responsabilidad.</w:t>
      </w:r>
    </w:p>
    <w:p w14:paraId="67446720" w14:textId="77777777" w:rsidR="00565AA1" w:rsidRPr="00691AAC" w:rsidRDefault="00565AA1" w:rsidP="00565AA1">
      <w:pPr>
        <w:spacing w:line="276" w:lineRule="auto"/>
        <w:ind w:firstLine="708"/>
        <w:jc w:val="both"/>
        <w:rPr>
          <w:rFonts w:ascii="Arial" w:eastAsia="Arial" w:hAnsi="Arial" w:cs="Arial"/>
          <w:sz w:val="22"/>
          <w:szCs w:val="22"/>
          <w:lang w:eastAsia="es-ES_tradnl"/>
        </w:rPr>
      </w:pPr>
      <w:r w:rsidRPr="00691AAC">
        <w:rPr>
          <w:rFonts w:ascii="Arial" w:eastAsia="Arial" w:hAnsi="Arial" w:cs="Arial"/>
          <w:sz w:val="22"/>
          <w:szCs w:val="22"/>
        </w:rPr>
        <w:t>De otro lado, las excepciones a la restricción prevista en la Ley de Garantías, con fundamento en las cuales podrán las entidades públicas adelantar procedimientos de selección directa en períodos previos a la contienda electoral por la Presidencia, se encuentran consagradas de manera taxativa en el inciso final del citado artículo 33 de la Ley 996 de 2005 en lo referente a i) la defensa y seguridad del Estado; ii) los contratos de crédito público; iii) los requeridos para cubrir las emergencias educativas, sanitarias y desastres; iv)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 Es responsabilidad del respectivo ente del Estado, examinar en cada caso la naturaleza de las actividades que adelanta y determinar si las mismas se enmarcan en alguna de las mencionadas excepciones, de manera que se le permita realizar la contratación que necesite en forma directa.</w:t>
      </w:r>
    </w:p>
    <w:p w14:paraId="46351A94" w14:textId="77777777" w:rsidR="00565AA1" w:rsidRPr="00691AAC" w:rsidRDefault="00565AA1" w:rsidP="00565AA1">
      <w:pPr>
        <w:spacing w:before="120" w:line="276" w:lineRule="auto"/>
        <w:ind w:firstLine="709"/>
        <w:jc w:val="both"/>
        <w:rPr>
          <w:rFonts w:ascii="Arial" w:eastAsia="Arial" w:hAnsi="Arial" w:cs="Arial"/>
          <w:sz w:val="22"/>
          <w:szCs w:val="22"/>
        </w:rPr>
      </w:pPr>
      <w:r w:rsidRPr="00691AAC">
        <w:rPr>
          <w:rFonts w:ascii="Arial" w:eastAsia="Arial" w:hAnsi="Arial" w:cs="Arial"/>
          <w:sz w:val="22"/>
          <w:szCs w:val="22"/>
        </w:rPr>
        <w:t>En esta labor es importante tener en cuenta, como lo anotó la Corte Constitucional, en Sentencia C-1153 de noviembre 11 de 2005</w:t>
      </w:r>
      <w:r w:rsidRPr="004102D2">
        <w:rPr>
          <w:rFonts w:ascii="Arial" w:hAnsi="Arial" w:cs="Arial"/>
          <w:vertAlign w:val="superscript"/>
        </w:rPr>
        <w:t>,</w:t>
      </w:r>
      <w:r w:rsidRPr="00691AAC">
        <w:rPr>
          <w:rFonts w:ascii="Arial" w:eastAsia="Arial" w:hAnsi="Arial" w:cs="Arial"/>
          <w:sz w:val="22"/>
          <w:szCs w:val="22"/>
        </w:rPr>
        <w:t xml:space="preserve"> que «si bien la limitación garantiza la igualdad de condiciones, también es necesario que tal limitación que pretende la igualdad no termine yendo en detrimento de intereses públicos, cuya garantía está en cabeza del ejecutivo, como son los inmersos en las excepciones para la prohibición de contratación»</w:t>
      </w:r>
      <w:r w:rsidRPr="00691AAC">
        <w:rPr>
          <w:rFonts w:ascii="Arial" w:eastAsia="Arial" w:hAnsi="Arial" w:cs="Arial"/>
          <w:sz w:val="22"/>
          <w:szCs w:val="22"/>
          <w:vertAlign w:val="superscript"/>
        </w:rPr>
        <w:footnoteReference w:id="20"/>
      </w:r>
      <w:r w:rsidRPr="00691AAC">
        <w:rPr>
          <w:rFonts w:ascii="Arial" w:eastAsia="Arial" w:hAnsi="Arial" w:cs="Arial"/>
          <w:sz w:val="22"/>
          <w:szCs w:val="22"/>
        </w:rPr>
        <w:t>. De ahí que la Corte hizo hincapié en que las excepciones a la restricción protegen diversos tipos de urgencias de defensa, salud, educación, infraestructura vial y de servicios públicos y ecológicas, que tienden a no limitar desproporcionadamente la acción del Estado en el cumplimiento de sus fines, en procura de la igualdad entre los candidatos como garantía electoral.</w:t>
      </w:r>
    </w:p>
    <w:p w14:paraId="7E498571" w14:textId="77777777" w:rsidR="00565AA1" w:rsidRPr="00691AAC" w:rsidRDefault="00565AA1" w:rsidP="00565AA1">
      <w:pPr>
        <w:spacing w:before="120" w:line="276" w:lineRule="auto"/>
        <w:ind w:firstLine="709"/>
        <w:jc w:val="both"/>
        <w:rPr>
          <w:rFonts w:ascii="Arial" w:eastAsia="Arial" w:hAnsi="Arial" w:cs="Arial"/>
          <w:sz w:val="22"/>
          <w:szCs w:val="22"/>
        </w:rPr>
      </w:pPr>
      <w:r w:rsidRPr="00691AAC">
        <w:rPr>
          <w:rFonts w:ascii="Arial" w:eastAsia="Arial" w:hAnsi="Arial" w:cs="Arial"/>
          <w:sz w:val="22"/>
          <w:szCs w:val="22"/>
        </w:rPr>
        <w:t xml:space="preserve">Como se puede apreciar, el inciso segundo del artículo 33 dispone de dos (2) grandes grupos de excepciones a la prohibición de contratar directamente en la época preelectoral. </w:t>
      </w:r>
      <w:r w:rsidRPr="00691AAC">
        <w:rPr>
          <w:rFonts w:ascii="Arial" w:eastAsia="Arial" w:hAnsi="Arial" w:cs="Arial"/>
          <w:i/>
          <w:iCs/>
          <w:sz w:val="22"/>
          <w:szCs w:val="22"/>
        </w:rPr>
        <w:t>Por un lado</w:t>
      </w:r>
      <w:r w:rsidRPr="00691AAC">
        <w:rPr>
          <w:rFonts w:ascii="Arial" w:eastAsia="Arial" w:hAnsi="Arial" w:cs="Arial"/>
          <w:sz w:val="22"/>
          <w:szCs w:val="22"/>
        </w:rPr>
        <w:t xml:space="preserve">, las que atienden el ejercicio de cierta función o la atención de determinada actividad particular y sin importar la calidad del ente que la cumpla o desarrolle. </w:t>
      </w:r>
      <w:r w:rsidRPr="00691AAC">
        <w:rPr>
          <w:rFonts w:ascii="Arial" w:eastAsia="Arial" w:hAnsi="Arial" w:cs="Arial"/>
          <w:i/>
          <w:iCs/>
          <w:sz w:val="22"/>
          <w:szCs w:val="22"/>
        </w:rPr>
        <w:t>Por otra parte</w:t>
      </w:r>
      <w:r w:rsidRPr="00691AAC">
        <w:rPr>
          <w:rFonts w:ascii="Arial" w:eastAsia="Arial" w:hAnsi="Arial" w:cs="Arial"/>
          <w:sz w:val="22"/>
          <w:szCs w:val="22"/>
        </w:rPr>
        <w:t>, las que aluden a las entidades sanitarias y hospitalarias acudiendo a un criterio eminentemente subjetivo, pese a que no limita la excepción a un tipo de entidad en particular, sino que ata su aplicación a la naturaleza del respectivo ente.</w:t>
      </w:r>
    </w:p>
    <w:p w14:paraId="65912C8C" w14:textId="77777777" w:rsidR="00565AA1" w:rsidRPr="00691AAC" w:rsidRDefault="00565AA1" w:rsidP="00565AA1">
      <w:pPr>
        <w:spacing w:before="120" w:line="276" w:lineRule="auto"/>
        <w:ind w:firstLine="709"/>
        <w:jc w:val="both"/>
        <w:rPr>
          <w:rFonts w:ascii="Arial" w:eastAsia="Arial" w:hAnsi="Arial" w:cs="Arial"/>
          <w:sz w:val="22"/>
          <w:szCs w:val="22"/>
        </w:rPr>
      </w:pPr>
      <w:r w:rsidRPr="00691AAC">
        <w:rPr>
          <w:rFonts w:ascii="Arial" w:eastAsia="Arial" w:hAnsi="Arial" w:cs="Arial"/>
          <w:sz w:val="22"/>
          <w:szCs w:val="22"/>
        </w:rPr>
        <w:lastRenderedPageBreak/>
        <w:t xml:space="preserve">Así, para determinar si la contratación de una entidad pública está exceptuada de la prohibición general para la contratación directa, el intérprete deberá analizar el caso concreto para establecer que se trata de una actividad de las descritas en la norma o que se encuentra frente a una entidad de sanidad u hospitalaria. En este punto, dado que la norma no lo establece, no es posible limitar la excepción a cierto tipo de entidades públicas o hacer depender la aplicación de la excepción al nivel u orden administrativo en el que se encuentre. Como se explicó, lo relevante será verificar la naturaleza de la entidad para determinar si tiene carácter sanitario u hospitalario. </w:t>
      </w:r>
    </w:p>
    <w:p w14:paraId="0D66D14D" w14:textId="77777777" w:rsidR="00565AA1" w:rsidRPr="00691AAC" w:rsidRDefault="00565AA1" w:rsidP="00565AA1">
      <w:pPr>
        <w:spacing w:line="276" w:lineRule="auto"/>
        <w:ind w:right="49"/>
        <w:jc w:val="both"/>
        <w:rPr>
          <w:rFonts w:ascii="Arial" w:hAnsi="Arial" w:cs="Arial"/>
          <w:bCs/>
          <w:sz w:val="22"/>
          <w:szCs w:val="22"/>
          <w:lang w:val="es-ES" w:eastAsia="es-CO"/>
        </w:rPr>
      </w:pPr>
    </w:p>
    <w:p w14:paraId="6A8F40F0" w14:textId="2C6C3816" w:rsidR="00B40486" w:rsidRPr="00691AAC" w:rsidRDefault="00B40486" w:rsidP="00B40486">
      <w:pPr>
        <w:spacing w:after="120" w:line="276" w:lineRule="auto"/>
        <w:jc w:val="both"/>
        <w:rPr>
          <w:rFonts w:ascii="Arial" w:hAnsi="Arial" w:cs="Arial"/>
          <w:b/>
          <w:sz w:val="22"/>
          <w:lang w:eastAsia="x-none"/>
        </w:rPr>
      </w:pPr>
      <w:r w:rsidRPr="00691AAC">
        <w:rPr>
          <w:rFonts w:ascii="Arial" w:hAnsi="Arial" w:cs="Arial"/>
          <w:b/>
          <w:color w:val="161616" w:themeColor="background1" w:themeShade="1A"/>
          <w:sz w:val="22"/>
          <w:szCs w:val="22"/>
          <w:lang w:val="es-ES_tradnl" w:eastAsia="es-CO"/>
        </w:rPr>
        <w:t xml:space="preserve">2.3. </w:t>
      </w:r>
      <w:r w:rsidRPr="00691AAC">
        <w:rPr>
          <w:rFonts w:ascii="Arial" w:hAnsi="Arial" w:cs="Arial"/>
          <w:b/>
          <w:sz w:val="22"/>
          <w:lang w:eastAsia="x-none"/>
        </w:rPr>
        <w:t>Destinatarios de la restricción del artículo 33 de la Ley 996 de 2005</w:t>
      </w:r>
      <w:r w:rsidR="00F223B3" w:rsidRPr="00691AAC">
        <w:rPr>
          <w:rFonts w:ascii="Arial" w:hAnsi="Arial" w:cs="Arial"/>
          <w:b/>
          <w:sz w:val="22"/>
          <w:lang w:eastAsia="x-none"/>
        </w:rPr>
        <w:t xml:space="preserve"> </w:t>
      </w:r>
    </w:p>
    <w:p w14:paraId="07100D06" w14:textId="77777777" w:rsidR="00C55B65" w:rsidRPr="00691AAC" w:rsidRDefault="00C55B65" w:rsidP="00B40486">
      <w:pPr>
        <w:spacing w:after="120" w:line="276" w:lineRule="auto"/>
        <w:jc w:val="both"/>
        <w:rPr>
          <w:rFonts w:ascii="Arial" w:hAnsi="Arial" w:cs="Arial"/>
          <w:b/>
          <w:sz w:val="12"/>
          <w:szCs w:val="12"/>
          <w:lang w:eastAsia="x-none"/>
        </w:rPr>
      </w:pPr>
    </w:p>
    <w:p w14:paraId="36D1EA4A" w14:textId="77777777" w:rsidR="00B40486" w:rsidRPr="00691AAC" w:rsidRDefault="00B40486" w:rsidP="003B4202">
      <w:pPr>
        <w:spacing w:line="276" w:lineRule="auto"/>
        <w:jc w:val="both"/>
        <w:rPr>
          <w:rFonts w:ascii="Arial" w:eastAsia="Arial" w:hAnsi="Arial" w:cs="Arial"/>
          <w:sz w:val="22"/>
          <w:szCs w:val="22"/>
          <w:lang w:eastAsia="es-ES_tradnl"/>
        </w:rPr>
      </w:pPr>
      <w:r w:rsidRPr="00691AAC">
        <w:rPr>
          <w:rFonts w:ascii="Arial" w:eastAsia="Arial" w:hAnsi="Arial" w:cs="Arial"/>
          <w:sz w:val="22"/>
          <w:szCs w:val="22"/>
        </w:rPr>
        <w:t>El artículo 33 de la Ley 996 de 2005 señala expresamente a los destinatarios de la prohibición, en el sentido de que son «todos los entes del Estado», expresión que contempla a los diferentes organismos o entidades autorizadas por la ley para suscribir contratos.</w:t>
      </w:r>
      <w:r w:rsidRPr="004102D2">
        <w:rPr>
          <w:rFonts w:ascii="Arial" w:hAnsi="Arial" w:cs="Arial"/>
        </w:rPr>
        <w:t xml:space="preserve"> </w:t>
      </w:r>
      <w:r w:rsidRPr="00691AAC">
        <w:rPr>
          <w:rFonts w:ascii="Arial" w:eastAsia="Arial" w:hAnsi="Arial" w:cs="Arial"/>
          <w:sz w:val="22"/>
          <w:szCs w:val="22"/>
        </w:rPr>
        <w:t>En efecto, tal como lo ha sostenido el Consejo de Estado, el vocablo «todos» utilizado por el legislador comprende</w:t>
      </w:r>
      <w:r w:rsidRPr="004102D2">
        <w:rPr>
          <w:rFonts w:ascii="Arial" w:hAnsi="Arial" w:cs="Arial"/>
        </w:rPr>
        <w:t xml:space="preserve"> </w:t>
      </w:r>
      <w:r w:rsidRPr="00691AAC">
        <w:rPr>
          <w:rFonts w:ascii="Arial" w:eastAsia="Arial" w:hAnsi="Arial" w:cs="Arial"/>
          <w:sz w:val="22"/>
          <w:szCs w:val="22"/>
        </w:rPr>
        <w:t xml:space="preserve">a la totalidad de los entes del Estado, sin distinción del régimen jurídico, forma de organización o naturaleza, su pertenencia a una u otra rama del poder público o su autonomía, e incluso si las entidades estatales tienen régimen especial de contratación y están exceptuadas del ámbito de aplicación del Estatuto General de Contratación de la Administración Pública. El Consejo de Estado, en Concepto con radicado 1727 de fecha 20 de febrero de 2006, consideró que: </w:t>
      </w:r>
    </w:p>
    <w:p w14:paraId="2E15EDA1" w14:textId="77777777" w:rsidR="00B40486" w:rsidRPr="00691AAC" w:rsidRDefault="00B40486" w:rsidP="00B40486">
      <w:pPr>
        <w:spacing w:line="276" w:lineRule="auto"/>
        <w:ind w:firstLine="708"/>
        <w:jc w:val="both"/>
        <w:rPr>
          <w:rFonts w:ascii="Arial" w:eastAsia="Arial" w:hAnsi="Arial" w:cs="Arial"/>
          <w:sz w:val="22"/>
          <w:szCs w:val="22"/>
        </w:rPr>
      </w:pPr>
    </w:p>
    <w:p w14:paraId="1A49FDAD" w14:textId="77777777" w:rsidR="00B40486" w:rsidRPr="004102D2" w:rsidRDefault="00B40486" w:rsidP="00B40486">
      <w:pPr>
        <w:ind w:left="709" w:right="709"/>
        <w:jc w:val="both"/>
        <w:rPr>
          <w:rFonts w:ascii="Arial" w:hAnsi="Arial" w:cs="Arial"/>
        </w:rPr>
      </w:pPr>
      <w:r w:rsidRPr="00691AAC">
        <w:rPr>
          <w:rFonts w:ascii="Arial" w:eastAsia="Arial" w:hAnsi="Arial" w:cs="Arial"/>
          <w:sz w:val="21"/>
          <w:szCs w:val="21"/>
        </w:rPr>
        <w:t>El artículo 33 de la ley 996 de 2005, efectivamente se aplica incluso a las entidades estatales con régimen especial de contratación y que están exceptuadas del ámbito de aplicación del Estatuto General de Contratación de la Administración Pública, como por ejemplo los prestadores de servicios públicos domiciliarios (empresas de servicios públicos oficiales y empresas industriales y comerciales del Estado) y a los municipios prestadores directos, incluyendo las excepciones contenidas en el segundo inciso de esta norma</w:t>
      </w:r>
      <w:r w:rsidRPr="00691AAC">
        <w:rPr>
          <w:rFonts w:ascii="Arial" w:eastAsia="Arial" w:hAnsi="Arial" w:cs="Arial"/>
          <w:sz w:val="21"/>
          <w:szCs w:val="21"/>
          <w:vertAlign w:val="superscript"/>
        </w:rPr>
        <w:footnoteReference w:id="21"/>
      </w:r>
      <w:r w:rsidRPr="00691AAC">
        <w:rPr>
          <w:rFonts w:ascii="Arial" w:eastAsia="Arial" w:hAnsi="Arial" w:cs="Arial"/>
          <w:sz w:val="21"/>
          <w:szCs w:val="21"/>
        </w:rPr>
        <w:t xml:space="preserve">. </w:t>
      </w:r>
    </w:p>
    <w:p w14:paraId="23959491" w14:textId="77777777" w:rsidR="00B40486" w:rsidRPr="00691AAC" w:rsidRDefault="00B40486" w:rsidP="00B40486">
      <w:pPr>
        <w:spacing w:line="276" w:lineRule="auto"/>
        <w:jc w:val="both"/>
        <w:rPr>
          <w:rFonts w:ascii="Arial" w:eastAsia="Arial" w:hAnsi="Arial" w:cs="Arial"/>
          <w:sz w:val="22"/>
          <w:szCs w:val="22"/>
        </w:rPr>
      </w:pPr>
    </w:p>
    <w:p w14:paraId="3C71336D" w14:textId="77777777" w:rsidR="00B40486" w:rsidRPr="00691AAC" w:rsidRDefault="00B40486" w:rsidP="00B40486">
      <w:pPr>
        <w:spacing w:line="276" w:lineRule="auto"/>
        <w:ind w:firstLine="709"/>
        <w:jc w:val="both"/>
        <w:rPr>
          <w:rFonts w:ascii="Arial" w:eastAsia="Arial" w:hAnsi="Arial" w:cs="Arial"/>
          <w:bCs/>
          <w:sz w:val="22"/>
          <w:szCs w:val="22"/>
        </w:rPr>
      </w:pPr>
      <w:bookmarkStart w:id="28" w:name="_3as4poj"/>
      <w:bookmarkStart w:id="29" w:name="_1pxezwc"/>
      <w:bookmarkEnd w:id="28"/>
      <w:bookmarkEnd w:id="29"/>
      <w:r w:rsidRPr="00691AAC">
        <w:rPr>
          <w:rFonts w:ascii="Arial" w:eastAsia="Arial" w:hAnsi="Arial" w:cs="Arial"/>
          <w:sz w:val="22"/>
          <w:szCs w:val="22"/>
        </w:rPr>
        <w:t xml:space="preserve">Por lo tanto, la restricción prevista en la Ley 996 de 2005, teniendo en cuenta la finalidad de la ley de garantías electorales, cobija a cualquier ente público que pueda a </w:t>
      </w:r>
      <w:r w:rsidRPr="00691AAC">
        <w:rPr>
          <w:rFonts w:ascii="Arial" w:eastAsia="Arial" w:hAnsi="Arial" w:cs="Arial"/>
          <w:sz w:val="22"/>
          <w:szCs w:val="22"/>
        </w:rPr>
        <w:lastRenderedPageBreak/>
        <w:t>través de la contratación directa romper el equilibrio entre los partidos y los candidatos en las elecciones presidenciales. Tampoco existe un supuesto de exoneración a la prohibición por tener un régimen especial de los actos o contratos, pues, la posibilidad de que los entes del Estado utilicen la contratación con fines políticos, esto es, con la intención de influir a los electores y alterar la voluntad popular en las contiendas electorales, se puede presentar tanto en la contratación regulada por la Ley 80 de 1993 como en la regida por el Derecho Privado.</w:t>
      </w:r>
    </w:p>
    <w:p w14:paraId="5DCEB1A4" w14:textId="77777777" w:rsidR="00B40486" w:rsidRPr="00691AAC" w:rsidRDefault="00B40486" w:rsidP="00B40486">
      <w:pPr>
        <w:spacing w:before="120" w:line="276" w:lineRule="auto"/>
        <w:ind w:firstLine="709"/>
        <w:jc w:val="both"/>
        <w:rPr>
          <w:rFonts w:ascii="Arial" w:eastAsia="Arial" w:hAnsi="Arial" w:cs="Arial"/>
          <w:bCs/>
          <w:sz w:val="22"/>
          <w:szCs w:val="22"/>
        </w:rPr>
      </w:pPr>
      <w:bookmarkStart w:id="30" w:name="_49x2ik5"/>
      <w:bookmarkEnd w:id="30"/>
      <w:r w:rsidRPr="00691AAC">
        <w:rPr>
          <w:rFonts w:ascii="Arial" w:eastAsia="Arial" w:hAnsi="Arial" w:cs="Arial"/>
          <w:bCs/>
          <w:sz w:val="22"/>
          <w:szCs w:val="22"/>
        </w:rPr>
        <w:t xml:space="preserve">En este punto, debe tenerse en cuenta que los departamentos estarían cobijados por la prohibición para contratar directamente establecida en el artículo 33 de la Ley de Garantías. Sin embargo, es necesario señalar que el inciso 2 del mismo artículo consagra excepciones a dicha prohibición sin hacer distingo entre entidades </w:t>
      </w:r>
      <w:proofErr w:type="gramStart"/>
      <w:r w:rsidRPr="00691AAC">
        <w:rPr>
          <w:rFonts w:ascii="Arial" w:eastAsia="Arial" w:hAnsi="Arial" w:cs="Arial"/>
          <w:bCs/>
          <w:sz w:val="22"/>
          <w:szCs w:val="22"/>
        </w:rPr>
        <w:t>sino</w:t>
      </w:r>
      <w:proofErr w:type="gramEnd"/>
      <w:r w:rsidRPr="00691AAC">
        <w:rPr>
          <w:rFonts w:ascii="Arial" w:eastAsia="Arial" w:hAnsi="Arial" w:cs="Arial"/>
          <w:bCs/>
          <w:sz w:val="22"/>
          <w:szCs w:val="22"/>
        </w:rPr>
        <w:t>, como se explicó, atendiendo a la naturaleza de las funciones y actividades que ellas desarrollen. Así las cosas, no es relevante ni la nominación ni el régimen aplicable para la respectiva entidad, sino que basta con que la misma desarrolle cierto tipo de actividades cuya contratación, por su naturaleza especialmente sensible, no admiten postergación, entre ellas las realizadas por entidades sanitarias u hospitalarias.</w:t>
      </w:r>
    </w:p>
    <w:p w14:paraId="5D81C0A2" w14:textId="77777777" w:rsidR="00B40486" w:rsidRPr="00691AAC" w:rsidRDefault="00B40486" w:rsidP="00B40486">
      <w:pPr>
        <w:tabs>
          <w:tab w:val="left" w:pos="426"/>
        </w:tabs>
        <w:spacing w:before="120" w:line="276" w:lineRule="auto"/>
        <w:jc w:val="both"/>
        <w:rPr>
          <w:rFonts w:ascii="Arial" w:hAnsi="Arial" w:cs="Arial"/>
          <w:bCs/>
          <w:sz w:val="22"/>
          <w:lang w:val="es-ES_tradnl"/>
        </w:rPr>
      </w:pPr>
      <w:r w:rsidRPr="00691AAC">
        <w:rPr>
          <w:rFonts w:ascii="Arial" w:eastAsia="Arial" w:hAnsi="Arial" w:cs="Arial"/>
          <w:bCs/>
          <w:sz w:val="22"/>
          <w:szCs w:val="22"/>
        </w:rPr>
        <w:tab/>
      </w:r>
      <w:r w:rsidRPr="00691AAC">
        <w:rPr>
          <w:rFonts w:ascii="Arial" w:eastAsia="Arial" w:hAnsi="Arial" w:cs="Arial"/>
          <w:bCs/>
          <w:sz w:val="22"/>
          <w:szCs w:val="22"/>
        </w:rPr>
        <w:tab/>
        <w:t xml:space="preserve">Al respecto, es importante reiterar que </w:t>
      </w:r>
      <w:r w:rsidRPr="00691AAC">
        <w:rPr>
          <w:rFonts w:ascii="Arial" w:hAnsi="Arial" w:cs="Arial"/>
          <w:bCs/>
          <w:sz w:val="22"/>
          <w:lang w:val="es-ES_tradnl"/>
        </w:rPr>
        <w:t>el segundo inciso del artículo 33 de la Ley de Garantías Electorales consagró las excepciones aplicables a la prohibición de contratación directa establecida en el mismo artículo. Como se indicó, las excepciones a la prohibición del artículo 33 de la norma mencionada son las siguientes:</w:t>
      </w:r>
    </w:p>
    <w:p w14:paraId="55C801CF" w14:textId="77777777" w:rsidR="00B40486" w:rsidRPr="00691AAC" w:rsidRDefault="00B40486" w:rsidP="00B40486">
      <w:pPr>
        <w:tabs>
          <w:tab w:val="left" w:pos="709"/>
        </w:tabs>
        <w:spacing w:before="120" w:line="276" w:lineRule="auto"/>
        <w:jc w:val="both"/>
        <w:rPr>
          <w:rFonts w:ascii="Arial" w:hAnsi="Arial" w:cs="Arial"/>
          <w:bCs/>
          <w:sz w:val="22"/>
          <w:lang w:val="es-ES_tradnl"/>
        </w:rPr>
      </w:pPr>
      <w:r w:rsidRPr="00691AAC">
        <w:rPr>
          <w:rFonts w:ascii="Arial" w:hAnsi="Arial" w:cs="Arial"/>
          <w:bCs/>
          <w:sz w:val="22"/>
          <w:lang w:val="es-ES_tradnl"/>
        </w:rPr>
        <w:tab/>
        <w:t>i) La contratación referente a la defensa y seguridad del Estado;</w:t>
      </w:r>
    </w:p>
    <w:p w14:paraId="74FA3ECF" w14:textId="77777777" w:rsidR="00B40486" w:rsidRPr="00691AAC" w:rsidRDefault="00B40486" w:rsidP="00B40486">
      <w:pPr>
        <w:tabs>
          <w:tab w:val="left" w:pos="709"/>
        </w:tabs>
        <w:spacing w:before="120" w:line="276" w:lineRule="auto"/>
        <w:jc w:val="both"/>
        <w:rPr>
          <w:rFonts w:ascii="Arial" w:hAnsi="Arial" w:cs="Arial"/>
          <w:bCs/>
          <w:sz w:val="22"/>
          <w:lang w:val="es-ES_tradnl"/>
        </w:rPr>
      </w:pPr>
      <w:r w:rsidRPr="00691AAC">
        <w:rPr>
          <w:rFonts w:ascii="Arial" w:hAnsi="Arial" w:cs="Arial"/>
          <w:bCs/>
          <w:sz w:val="22"/>
          <w:lang w:val="es-ES_tradnl"/>
        </w:rPr>
        <w:tab/>
        <w:t>ii) Los contratos de crédito público;</w:t>
      </w:r>
    </w:p>
    <w:p w14:paraId="3F487885" w14:textId="77777777" w:rsidR="00B40486" w:rsidRPr="00691AAC" w:rsidRDefault="00B40486" w:rsidP="00B40486">
      <w:pPr>
        <w:tabs>
          <w:tab w:val="left" w:pos="709"/>
        </w:tabs>
        <w:spacing w:before="120" w:line="276" w:lineRule="auto"/>
        <w:jc w:val="both"/>
        <w:rPr>
          <w:rFonts w:ascii="Arial" w:hAnsi="Arial" w:cs="Arial"/>
          <w:bCs/>
          <w:sz w:val="22"/>
          <w:lang w:val="es-ES_tradnl"/>
        </w:rPr>
      </w:pPr>
      <w:r w:rsidRPr="00691AAC">
        <w:rPr>
          <w:rFonts w:ascii="Arial" w:hAnsi="Arial" w:cs="Arial"/>
          <w:bCs/>
          <w:sz w:val="22"/>
          <w:lang w:val="es-ES_tradnl"/>
        </w:rPr>
        <w:tab/>
        <w:t xml:space="preserve">iii) Los contratos requeridos para cubrir las emergencias educativas, sanitarias y desastres; </w:t>
      </w:r>
    </w:p>
    <w:p w14:paraId="5A4460C1" w14:textId="77777777" w:rsidR="00B40486" w:rsidRPr="00691AAC" w:rsidRDefault="00B40486" w:rsidP="00B40486">
      <w:pPr>
        <w:tabs>
          <w:tab w:val="left" w:pos="709"/>
        </w:tabs>
        <w:spacing w:before="120" w:line="276" w:lineRule="auto"/>
        <w:jc w:val="both"/>
        <w:rPr>
          <w:rFonts w:ascii="Arial" w:hAnsi="Arial" w:cs="Arial"/>
          <w:bCs/>
          <w:sz w:val="22"/>
          <w:lang w:val="es-ES_tradnl"/>
        </w:rPr>
      </w:pPr>
      <w:r w:rsidRPr="00691AAC">
        <w:rPr>
          <w:rFonts w:ascii="Arial" w:hAnsi="Arial" w:cs="Arial"/>
          <w:bCs/>
          <w:sz w:val="22"/>
          <w:lang w:val="es-ES_tradnl"/>
        </w:rPr>
        <w:tab/>
        <w:t>iv) La contratación para la reconstrucción de vías, puentes, carreteras, infraestructura energética y de comunicaciones, en caso de que hayan sido objeto de atentados, acciones terroristas, desastres naturales o casos de fuerza mayor y;</w:t>
      </w:r>
    </w:p>
    <w:p w14:paraId="0C40AF2C" w14:textId="77777777" w:rsidR="00B40486" w:rsidRPr="00691AAC" w:rsidRDefault="00B40486" w:rsidP="00B40486">
      <w:pPr>
        <w:tabs>
          <w:tab w:val="left" w:pos="709"/>
        </w:tabs>
        <w:spacing w:before="120" w:line="276" w:lineRule="auto"/>
        <w:jc w:val="both"/>
        <w:rPr>
          <w:rFonts w:ascii="Arial" w:hAnsi="Arial" w:cs="Arial"/>
          <w:bCs/>
          <w:sz w:val="22"/>
          <w:lang w:val="es-ES_tradnl"/>
        </w:rPr>
      </w:pPr>
      <w:r w:rsidRPr="00691AAC">
        <w:rPr>
          <w:rFonts w:ascii="Arial" w:hAnsi="Arial" w:cs="Arial"/>
          <w:bCs/>
          <w:sz w:val="22"/>
          <w:lang w:val="es-ES_tradnl"/>
        </w:rPr>
        <w:tab/>
        <w:t xml:space="preserve">v) La contratación que deban realizar las entidades sanitarias y hospitalarias. </w:t>
      </w:r>
    </w:p>
    <w:p w14:paraId="288CE368" w14:textId="77777777" w:rsidR="00B40486" w:rsidRPr="00691AAC" w:rsidRDefault="00B40486" w:rsidP="00B40486">
      <w:pPr>
        <w:tabs>
          <w:tab w:val="left" w:pos="426"/>
        </w:tabs>
        <w:spacing w:before="120" w:line="276" w:lineRule="auto"/>
        <w:ind w:firstLine="709"/>
        <w:jc w:val="both"/>
        <w:rPr>
          <w:rFonts w:ascii="Arial" w:hAnsi="Arial" w:cs="Arial"/>
          <w:bCs/>
          <w:sz w:val="22"/>
          <w:lang w:val="es-ES_tradnl"/>
        </w:rPr>
      </w:pPr>
      <w:r w:rsidRPr="00691AAC">
        <w:rPr>
          <w:rFonts w:ascii="Arial" w:hAnsi="Arial" w:cs="Arial"/>
          <w:bCs/>
          <w:sz w:val="22"/>
          <w:lang w:val="es-ES_tradnl"/>
        </w:rPr>
        <w:t xml:space="preserve">La Sala de Consulta y Servicio Civil del Consejo de Estado, en concepto del 4 de febrero de 2010, se pronunció frente a las razones por las que el legislador consagró excepciones al artículo 33 de la Ley de Garantías Electorales: </w:t>
      </w:r>
    </w:p>
    <w:p w14:paraId="3FFCDE01" w14:textId="77777777" w:rsidR="00B40486" w:rsidRPr="00691AAC" w:rsidRDefault="00B40486" w:rsidP="00B40486">
      <w:pPr>
        <w:tabs>
          <w:tab w:val="left" w:pos="426"/>
        </w:tabs>
        <w:ind w:firstLine="709"/>
        <w:jc w:val="both"/>
        <w:rPr>
          <w:rFonts w:ascii="Arial" w:hAnsi="Arial" w:cs="Arial"/>
          <w:bCs/>
          <w:sz w:val="22"/>
          <w:lang w:val="es-ES_tradnl"/>
        </w:rPr>
      </w:pPr>
    </w:p>
    <w:p w14:paraId="62DDA24E" w14:textId="77777777" w:rsidR="00B40486" w:rsidRPr="00691AAC" w:rsidRDefault="00B40486" w:rsidP="00B40486">
      <w:pPr>
        <w:shd w:val="clear" w:color="auto" w:fill="FFFFFF"/>
        <w:ind w:left="709" w:right="709"/>
        <w:jc w:val="both"/>
        <w:rPr>
          <w:rFonts w:ascii="Arial" w:hAnsi="Arial" w:cs="Arial"/>
          <w:sz w:val="21"/>
          <w:szCs w:val="21"/>
          <w:lang w:val="es-ES_tradnl" w:eastAsia="es-CO"/>
        </w:rPr>
      </w:pPr>
      <w:r w:rsidRPr="00691AAC">
        <w:rPr>
          <w:rFonts w:ascii="Arial" w:hAnsi="Arial" w:cs="Arial"/>
          <w:sz w:val="21"/>
          <w:szCs w:val="21"/>
          <w:lang w:val="es-ES_tradnl" w:eastAsia="es-CO"/>
        </w:rPr>
        <w:t xml:space="preserve">[…] Las excepciones establecidas en los artículos 32 y 33 en comento, guardan relación, exclusivamente, con algunos servicios públicos que por su naturaleza </w:t>
      </w:r>
      <w:r w:rsidRPr="00691AAC">
        <w:rPr>
          <w:rFonts w:ascii="Arial" w:hAnsi="Arial" w:cs="Arial"/>
          <w:sz w:val="21"/>
          <w:szCs w:val="21"/>
          <w:lang w:val="es-ES_tradnl" w:eastAsia="es-CO"/>
        </w:rPr>
        <w:lastRenderedPageBreak/>
        <w:t>no admiten postergaciones en la atención de sus necesidades de personal, bienes y servicios [...]</w:t>
      </w:r>
      <w:r w:rsidRPr="00691AAC">
        <w:rPr>
          <w:rStyle w:val="Refdenotaalpie"/>
          <w:rFonts w:ascii="Arial" w:hAnsi="Arial" w:cs="Arial"/>
          <w:sz w:val="21"/>
          <w:szCs w:val="21"/>
          <w:lang w:val="es-ES_tradnl" w:eastAsia="es-CO"/>
        </w:rPr>
        <w:footnoteReference w:id="22"/>
      </w:r>
      <w:r w:rsidRPr="00691AAC">
        <w:rPr>
          <w:rFonts w:ascii="Arial" w:hAnsi="Arial" w:cs="Arial"/>
          <w:sz w:val="21"/>
          <w:szCs w:val="21"/>
          <w:lang w:val="es-ES_tradnl" w:eastAsia="es-CO"/>
        </w:rPr>
        <w:t xml:space="preserve">. </w:t>
      </w:r>
    </w:p>
    <w:p w14:paraId="6BA87149" w14:textId="77777777" w:rsidR="00B40486" w:rsidRPr="00691AAC" w:rsidRDefault="00B40486" w:rsidP="00B40486">
      <w:pPr>
        <w:shd w:val="clear" w:color="auto" w:fill="FFFFFF"/>
        <w:spacing w:line="276" w:lineRule="auto"/>
        <w:ind w:left="709" w:right="709"/>
        <w:jc w:val="both"/>
        <w:rPr>
          <w:rFonts w:ascii="Arial" w:hAnsi="Arial" w:cs="Arial"/>
          <w:sz w:val="21"/>
          <w:szCs w:val="21"/>
          <w:lang w:val="es-ES_tradnl" w:eastAsia="es-CO"/>
        </w:rPr>
      </w:pPr>
    </w:p>
    <w:p w14:paraId="380EED63" w14:textId="77777777" w:rsidR="00B40486" w:rsidRPr="00691AAC" w:rsidRDefault="00B40486" w:rsidP="00B40486">
      <w:pPr>
        <w:shd w:val="clear" w:color="auto" w:fill="FFFFFF"/>
        <w:spacing w:line="276" w:lineRule="auto"/>
        <w:ind w:firstLine="709"/>
        <w:jc w:val="both"/>
        <w:rPr>
          <w:rFonts w:ascii="Arial" w:hAnsi="Arial" w:cs="Arial"/>
          <w:sz w:val="22"/>
          <w:lang w:val="es-ES_tradnl" w:eastAsia="es-CO"/>
        </w:rPr>
      </w:pPr>
      <w:r w:rsidRPr="00691AAC">
        <w:rPr>
          <w:rFonts w:ascii="Arial" w:hAnsi="Arial" w:cs="Arial"/>
          <w:sz w:val="22"/>
          <w:lang w:val="es-ES_tradnl" w:eastAsia="es-CO"/>
        </w:rPr>
        <w:t>A su vez, la Corte Constitucional, al analizar la constitucionalidad de la Ley de Garantías Electorales, consideró que las prohibiciones consagradas en los artículos 32 y 33 de la ley mencionada no pueden ir en detrimento de intereses públicos. Por lo anterior, la Alta Corte consideró que las excepciones para la prohibición de contratación se encontraban justificadas, declarando su exequibilidad. Así, por ejemplo, la Corte Constitucional explicó que «las excepciones de limitación protegen diversos tipos de urgencias de defensa, salud, educación, infraestructura vial y de servicios públicos y ecológicas tienden a no limitar desproporcionadamente la acción del Estado en el cumplimiento de sus fines, en procura de la igualdad entre candidatos como garantía electoral»</w:t>
      </w:r>
      <w:r w:rsidRPr="00691AAC">
        <w:rPr>
          <w:rStyle w:val="Refdenotaalpie"/>
          <w:rFonts w:ascii="Arial" w:hAnsi="Arial" w:cs="Arial"/>
          <w:sz w:val="22"/>
          <w:lang w:val="es-ES_tradnl" w:eastAsia="es-CO"/>
        </w:rPr>
        <w:footnoteReference w:id="23"/>
      </w:r>
      <w:r w:rsidRPr="00691AAC">
        <w:rPr>
          <w:rFonts w:ascii="Arial" w:hAnsi="Arial" w:cs="Arial"/>
          <w:sz w:val="22"/>
          <w:lang w:val="es-ES_tradnl" w:eastAsia="es-CO"/>
        </w:rPr>
        <w:t xml:space="preserve">. </w:t>
      </w:r>
    </w:p>
    <w:p w14:paraId="2FB5D026" w14:textId="77777777" w:rsidR="00B40486" w:rsidRPr="00691AAC" w:rsidRDefault="00B40486" w:rsidP="00B40486">
      <w:pPr>
        <w:tabs>
          <w:tab w:val="left" w:pos="426"/>
        </w:tabs>
        <w:spacing w:before="120" w:line="276" w:lineRule="auto"/>
        <w:ind w:firstLine="709"/>
        <w:jc w:val="both"/>
        <w:rPr>
          <w:rFonts w:ascii="Arial" w:hAnsi="Arial" w:cs="Arial"/>
          <w:sz w:val="22"/>
          <w:lang w:val="es-ES_tradnl" w:eastAsia="es-ES_tradnl"/>
        </w:rPr>
      </w:pPr>
      <w:r w:rsidRPr="00691AAC">
        <w:rPr>
          <w:rFonts w:ascii="Arial" w:hAnsi="Arial" w:cs="Arial"/>
          <w:bCs/>
          <w:sz w:val="22"/>
          <w:lang w:val="es-ES_tradnl"/>
        </w:rPr>
        <w:t>Por tanto, las excepciones a la prohibición contenida en el inciso segundo de artículo 33 de la ley de garantías electorales tienen por finalidad garantizar la prestación ininterrumpida de algunos servicios públicos, que dada su importancia en el orden interno, se verían irrazonablemente afectados por la restricción explicada. De igual forma, la Sala de Consulta y Servicio Civil del Consejo de Estado, en concepto del 2 de septiembre de 2013</w:t>
      </w:r>
      <w:r w:rsidRPr="00691AAC">
        <w:rPr>
          <w:rFonts w:ascii="Arial" w:hAnsi="Arial" w:cs="Arial"/>
          <w:sz w:val="22"/>
          <w:lang w:val="es-ES_tradnl"/>
        </w:rPr>
        <w:t xml:space="preserve">, mencionó las excepciones a la prohibición del artículo 33 de la Ley de Garantías Electorales, resaltando el carácter taxativo de la regla de excepción referida, y señalando la independencia de los supuestos establecidos allí, así: </w:t>
      </w:r>
    </w:p>
    <w:p w14:paraId="6CFF0BD5" w14:textId="77777777" w:rsidR="00B40486" w:rsidRPr="00691AAC" w:rsidRDefault="00B40486" w:rsidP="00B40486">
      <w:pPr>
        <w:tabs>
          <w:tab w:val="left" w:pos="426"/>
        </w:tabs>
        <w:spacing w:line="276" w:lineRule="auto"/>
        <w:ind w:firstLine="709"/>
        <w:jc w:val="both"/>
        <w:rPr>
          <w:rFonts w:ascii="Arial" w:hAnsi="Arial" w:cs="Arial"/>
          <w:bCs/>
          <w:sz w:val="22"/>
          <w:lang w:val="es-ES_tradnl"/>
        </w:rPr>
      </w:pPr>
    </w:p>
    <w:p w14:paraId="0F75D5E8" w14:textId="77777777" w:rsidR="00B40486" w:rsidRPr="00691AAC" w:rsidRDefault="00B40486" w:rsidP="001F21B5">
      <w:pPr>
        <w:tabs>
          <w:tab w:val="left" w:pos="426"/>
        </w:tabs>
        <w:ind w:right="709"/>
        <w:jc w:val="both"/>
        <w:rPr>
          <w:rFonts w:ascii="Arial" w:hAnsi="Arial" w:cs="Arial"/>
          <w:sz w:val="21"/>
          <w:szCs w:val="21"/>
          <w:lang w:val="es-ES_tradnl"/>
        </w:rPr>
      </w:pPr>
      <w:r w:rsidRPr="00691AAC">
        <w:rPr>
          <w:rFonts w:ascii="Arial" w:hAnsi="Arial" w:cs="Arial"/>
          <w:sz w:val="21"/>
          <w:szCs w:val="21"/>
          <w:lang w:val="es-ES_tradnl"/>
        </w:rPr>
        <w:tab/>
      </w:r>
      <w:r w:rsidRPr="00691AAC">
        <w:rPr>
          <w:rFonts w:ascii="Arial" w:hAnsi="Arial" w:cs="Arial"/>
          <w:sz w:val="21"/>
          <w:szCs w:val="21"/>
          <w:lang w:val="es-ES_tradnl"/>
        </w:rPr>
        <w:tab/>
        <w:t>[…]</w:t>
      </w:r>
    </w:p>
    <w:p w14:paraId="369BCB92" w14:textId="77777777" w:rsidR="00B40486" w:rsidRPr="00691AAC" w:rsidRDefault="00B40486" w:rsidP="001F21B5">
      <w:pPr>
        <w:tabs>
          <w:tab w:val="left" w:pos="426"/>
        </w:tabs>
        <w:ind w:right="709"/>
        <w:jc w:val="both"/>
        <w:rPr>
          <w:rFonts w:ascii="Arial" w:hAnsi="Arial" w:cs="Arial"/>
          <w:sz w:val="21"/>
          <w:szCs w:val="21"/>
          <w:lang w:val="es-ES_tradnl"/>
        </w:rPr>
      </w:pPr>
    </w:p>
    <w:p w14:paraId="11DD72EA" w14:textId="77777777" w:rsidR="00B40486" w:rsidRPr="00691AAC" w:rsidRDefault="00B40486" w:rsidP="001F21B5">
      <w:pPr>
        <w:ind w:left="709" w:right="709"/>
        <w:jc w:val="both"/>
        <w:rPr>
          <w:rFonts w:ascii="Arial" w:hAnsi="Arial" w:cs="Arial"/>
          <w:i/>
          <w:sz w:val="21"/>
          <w:szCs w:val="21"/>
          <w:lang w:val="es-ES_tradnl"/>
        </w:rPr>
      </w:pPr>
      <w:r w:rsidRPr="00691AAC">
        <w:rPr>
          <w:rFonts w:ascii="Arial" w:hAnsi="Arial" w:cs="Arial"/>
          <w:i/>
          <w:sz w:val="21"/>
          <w:szCs w:val="21"/>
          <w:lang w:val="es-ES_tradnl"/>
        </w:rPr>
        <w:t>Las excepciones aplicables a la restricción de contratación pública</w:t>
      </w:r>
    </w:p>
    <w:p w14:paraId="778E2A6F" w14:textId="77777777" w:rsidR="00B40486" w:rsidRPr="00691AAC" w:rsidRDefault="00B40486" w:rsidP="001F21B5">
      <w:pPr>
        <w:ind w:left="709" w:right="709"/>
        <w:jc w:val="both"/>
        <w:rPr>
          <w:rFonts w:ascii="Arial" w:hAnsi="Arial" w:cs="Arial"/>
          <w:i/>
          <w:sz w:val="21"/>
          <w:szCs w:val="21"/>
          <w:lang w:val="es-ES_tradnl"/>
        </w:rPr>
      </w:pPr>
    </w:p>
    <w:p w14:paraId="23FEE3B4" w14:textId="77777777" w:rsidR="00B40486" w:rsidRPr="00691AAC" w:rsidRDefault="00B40486" w:rsidP="001F21B5">
      <w:pPr>
        <w:ind w:left="709" w:right="709"/>
        <w:jc w:val="both"/>
        <w:rPr>
          <w:rFonts w:ascii="Arial" w:hAnsi="Arial" w:cs="Arial"/>
          <w:sz w:val="21"/>
          <w:szCs w:val="21"/>
          <w:shd w:val="clear" w:color="auto" w:fill="FFFFFF"/>
          <w:lang w:val="es-ES_tradnl"/>
        </w:rPr>
      </w:pPr>
      <w:r w:rsidRPr="00691AAC">
        <w:rPr>
          <w:rFonts w:ascii="Arial" w:hAnsi="Arial" w:cs="Arial"/>
          <w:sz w:val="21"/>
          <w:szCs w:val="21"/>
          <w:shd w:val="clear" w:color="auto" w:fill="FFFFFF"/>
          <w:lang w:val="es-ES_tradnl"/>
        </w:rPr>
        <w:t>Ahora bien, las únicas excepciones a las disposiciones previstas en la Ley de Garantías se encuentran numeradas taxativamente en el último inciso del artículo 33 de la ley 996 de 2005, dentro de las que se encuentran:</w:t>
      </w:r>
    </w:p>
    <w:p w14:paraId="04724224" w14:textId="77777777" w:rsidR="00B40486" w:rsidRPr="00691AAC" w:rsidRDefault="00B40486" w:rsidP="001F21B5">
      <w:pPr>
        <w:ind w:left="709" w:right="709"/>
        <w:jc w:val="both"/>
        <w:rPr>
          <w:rFonts w:ascii="Arial" w:hAnsi="Arial" w:cs="Arial"/>
          <w:sz w:val="21"/>
          <w:szCs w:val="21"/>
          <w:shd w:val="clear" w:color="auto" w:fill="FFFFFF"/>
          <w:lang w:val="es-ES_tradnl"/>
        </w:rPr>
      </w:pPr>
    </w:p>
    <w:p w14:paraId="2E601913" w14:textId="77777777" w:rsidR="00B40486" w:rsidRPr="00691AAC" w:rsidRDefault="00B40486" w:rsidP="001F21B5">
      <w:pPr>
        <w:ind w:left="709" w:right="709"/>
        <w:jc w:val="both"/>
        <w:rPr>
          <w:rFonts w:ascii="Arial" w:hAnsi="Arial" w:cs="Arial"/>
          <w:sz w:val="21"/>
          <w:szCs w:val="21"/>
          <w:shd w:val="clear" w:color="auto" w:fill="FFFFFF"/>
          <w:lang w:val="es-ES_tradnl"/>
        </w:rPr>
      </w:pPr>
      <w:r w:rsidRPr="00691AAC">
        <w:rPr>
          <w:rFonts w:ascii="Arial" w:hAnsi="Arial" w:cs="Arial"/>
          <w:sz w:val="21"/>
          <w:szCs w:val="21"/>
          <w:shd w:val="clear" w:color="auto" w:fill="FFFFFF"/>
          <w:lang w:val="es-ES_tradnl"/>
        </w:rPr>
        <w:t xml:space="preserve">[…] </w:t>
      </w:r>
    </w:p>
    <w:p w14:paraId="37AEB802" w14:textId="77777777" w:rsidR="00B40486" w:rsidRPr="00691AAC" w:rsidRDefault="00B40486" w:rsidP="001F21B5">
      <w:pPr>
        <w:ind w:left="709" w:right="709"/>
        <w:jc w:val="both"/>
        <w:rPr>
          <w:rFonts w:ascii="Arial" w:hAnsi="Arial" w:cs="Arial"/>
          <w:sz w:val="21"/>
          <w:szCs w:val="21"/>
          <w:shd w:val="clear" w:color="auto" w:fill="FFFFFF"/>
          <w:lang w:val="es-ES_tradnl"/>
        </w:rPr>
      </w:pPr>
    </w:p>
    <w:p w14:paraId="44D5F0DB" w14:textId="77777777" w:rsidR="00B40486" w:rsidRPr="00691AAC" w:rsidRDefault="00B40486" w:rsidP="001F21B5">
      <w:pPr>
        <w:ind w:left="709" w:right="709"/>
        <w:jc w:val="both"/>
        <w:rPr>
          <w:rFonts w:ascii="Arial" w:hAnsi="Arial" w:cs="Arial"/>
          <w:sz w:val="21"/>
          <w:szCs w:val="21"/>
          <w:shd w:val="clear" w:color="auto" w:fill="FFFFFF"/>
          <w:lang w:val="es-ES_tradnl"/>
        </w:rPr>
      </w:pPr>
      <w:r w:rsidRPr="00691AAC">
        <w:rPr>
          <w:rFonts w:ascii="Arial" w:hAnsi="Arial" w:cs="Arial"/>
          <w:sz w:val="21"/>
          <w:szCs w:val="21"/>
          <w:shd w:val="clear" w:color="auto" w:fill="FFFFFF"/>
          <w:lang w:val="es-ES_tradnl"/>
        </w:rPr>
        <w:lastRenderedPageBreak/>
        <w:t>5. Los que deban realizar las entidades sanitarias y hospitalarias […]</w:t>
      </w:r>
      <w:r w:rsidRPr="00691AAC">
        <w:rPr>
          <w:rStyle w:val="Refdenotaalpie"/>
          <w:rFonts w:ascii="Arial" w:hAnsi="Arial" w:cs="Arial"/>
          <w:sz w:val="21"/>
          <w:szCs w:val="21"/>
          <w:shd w:val="clear" w:color="auto" w:fill="FFFFFF"/>
          <w:lang w:val="es-ES_tradnl"/>
        </w:rPr>
        <w:footnoteReference w:id="24"/>
      </w:r>
      <w:r w:rsidRPr="00691AAC">
        <w:rPr>
          <w:rFonts w:ascii="Arial" w:hAnsi="Arial" w:cs="Arial"/>
          <w:sz w:val="21"/>
          <w:szCs w:val="21"/>
          <w:shd w:val="clear" w:color="auto" w:fill="FFFFFF"/>
          <w:lang w:val="es-ES_tradnl"/>
        </w:rPr>
        <w:t>.</w:t>
      </w:r>
    </w:p>
    <w:p w14:paraId="5E85CA03" w14:textId="77777777" w:rsidR="00B40486" w:rsidRPr="00691AAC" w:rsidRDefault="00B40486" w:rsidP="00B40486">
      <w:pPr>
        <w:spacing w:line="276" w:lineRule="auto"/>
        <w:ind w:left="709" w:right="709"/>
        <w:jc w:val="both"/>
        <w:rPr>
          <w:rFonts w:ascii="Arial" w:hAnsi="Arial" w:cs="Arial"/>
          <w:sz w:val="21"/>
          <w:szCs w:val="21"/>
          <w:shd w:val="clear" w:color="auto" w:fill="FFFFFF"/>
          <w:lang w:val="es-ES_tradnl"/>
        </w:rPr>
      </w:pPr>
    </w:p>
    <w:p w14:paraId="4DA3C7BB" w14:textId="249C7CEE" w:rsidR="00B40486" w:rsidRPr="00691AAC" w:rsidRDefault="00B40486" w:rsidP="00B40486">
      <w:pPr>
        <w:tabs>
          <w:tab w:val="left" w:pos="426"/>
        </w:tabs>
        <w:spacing w:line="276" w:lineRule="auto"/>
        <w:ind w:firstLine="709"/>
        <w:jc w:val="both"/>
        <w:rPr>
          <w:rFonts w:ascii="Arial" w:hAnsi="Arial" w:cs="Arial"/>
          <w:bCs/>
          <w:sz w:val="22"/>
          <w:lang w:val="es-ES_tradnl"/>
        </w:rPr>
      </w:pPr>
      <w:r w:rsidRPr="00691AAC">
        <w:rPr>
          <w:rFonts w:ascii="Arial" w:hAnsi="Arial" w:cs="Arial"/>
          <w:bCs/>
          <w:sz w:val="22"/>
          <w:lang w:val="es-ES_tradnl"/>
        </w:rPr>
        <w:t>Lo anterior implica que las excepciones al artículo 33 en comento deben interpretarse y aplicarse manera restrictiva. En otras palabras, que no sería factible hacer interpretaciones extensivas</w:t>
      </w:r>
      <w:r w:rsidRPr="00691AAC">
        <w:rPr>
          <w:rFonts w:ascii="Arial" w:hAnsi="Arial" w:cs="Arial"/>
          <w:bCs/>
          <w:i/>
          <w:iCs/>
          <w:sz w:val="22"/>
          <w:lang w:val="es-ES_tradnl"/>
        </w:rPr>
        <w:t xml:space="preserve"> </w:t>
      </w:r>
      <w:r w:rsidRPr="00691AAC">
        <w:rPr>
          <w:rFonts w:ascii="Arial" w:hAnsi="Arial" w:cs="Arial"/>
          <w:bCs/>
          <w:sz w:val="22"/>
          <w:lang w:val="es-ES_tradnl"/>
        </w:rPr>
        <w:t xml:space="preserve">para incluir otros supuestos de hecho similares a las circunstancias previstas en dicho artículo, pues el carácter taxativo implica que solo en los eventos consagrados expresamente en la norma permiten que ciertas entidades estatales se vean exceptuadas de la prohibición. </w:t>
      </w:r>
    </w:p>
    <w:p w14:paraId="58E4B689" w14:textId="17AF48CB" w:rsidR="001F5F41" w:rsidRPr="00691AAC" w:rsidRDefault="001F5F41" w:rsidP="001F5F41">
      <w:pPr>
        <w:tabs>
          <w:tab w:val="left" w:pos="426"/>
        </w:tabs>
        <w:spacing w:before="120" w:line="276" w:lineRule="auto"/>
        <w:ind w:firstLine="709"/>
        <w:jc w:val="both"/>
        <w:rPr>
          <w:rFonts w:ascii="Arial" w:hAnsi="Arial" w:cs="Arial"/>
          <w:bCs/>
          <w:sz w:val="22"/>
          <w:lang w:val="es-ES_tradnl"/>
        </w:rPr>
      </w:pPr>
      <w:r w:rsidRPr="00691AAC">
        <w:rPr>
          <w:rFonts w:ascii="Arial" w:hAnsi="Arial" w:cs="Arial"/>
          <w:bCs/>
          <w:sz w:val="22"/>
          <w:lang w:val="es-ES_tradnl"/>
        </w:rPr>
        <w:t>Para efectos de la consulta es relevante el quinto evento</w:t>
      </w:r>
      <w:r w:rsidRPr="00691AAC">
        <w:rPr>
          <w:rFonts w:ascii="Arial" w:hAnsi="Arial" w:cs="Arial"/>
          <w:bCs/>
          <w:i/>
          <w:sz w:val="22"/>
          <w:lang w:val="es-ES_tradnl"/>
        </w:rPr>
        <w:t xml:space="preserve"> </w:t>
      </w:r>
      <w:r w:rsidRPr="00691AAC">
        <w:rPr>
          <w:rFonts w:ascii="Arial" w:hAnsi="Arial" w:cs="Arial"/>
          <w:bCs/>
          <w:iCs/>
          <w:sz w:val="22"/>
          <w:lang w:val="es-ES_tradnl"/>
        </w:rPr>
        <w:t xml:space="preserve">exceptuado de la prohibición, relacionado con la contratación por parte de las </w:t>
      </w:r>
      <w:r w:rsidRPr="00691AAC">
        <w:rPr>
          <w:rFonts w:ascii="Arial" w:hAnsi="Arial" w:cs="Arial"/>
          <w:bCs/>
          <w:i/>
          <w:iCs/>
          <w:sz w:val="22"/>
          <w:lang w:val="es-ES_tradnl"/>
        </w:rPr>
        <w:t>entidades sanitarias y hospitalarias</w:t>
      </w:r>
      <w:r w:rsidRPr="00691AAC">
        <w:rPr>
          <w:rFonts w:ascii="Arial" w:hAnsi="Arial" w:cs="Arial"/>
          <w:bCs/>
          <w:sz w:val="22"/>
          <w:lang w:val="es-ES_tradnl"/>
        </w:rPr>
        <w:t xml:space="preserve">. La aplicación de esta excepción a la restricción impuesta como regla general por el primer inciso del artículo 33, permite que las entidades sanitarias y hospitalarias, ante la importancia de los servicios que prestan para el grueso de la ciudadanía, puedan seguir realizando las compras y adquisiciones que requieren para prestarlos, incluso de manera directa, durante los periodos prelectorales, con lo que se busca garantizar que el interés público no se vea afectado por el rigor de la regla general. </w:t>
      </w:r>
    </w:p>
    <w:p w14:paraId="593B7A10" w14:textId="7A40F843" w:rsidR="001F5F41" w:rsidRPr="00691AAC" w:rsidRDefault="00C843D2" w:rsidP="001F5F41">
      <w:pPr>
        <w:tabs>
          <w:tab w:val="left" w:pos="426"/>
        </w:tabs>
        <w:spacing w:before="120" w:line="276" w:lineRule="auto"/>
        <w:ind w:firstLine="709"/>
        <w:jc w:val="both"/>
        <w:rPr>
          <w:rFonts w:ascii="Arial" w:eastAsia="Arial" w:hAnsi="Arial" w:cs="Arial"/>
          <w:bCs/>
          <w:sz w:val="22"/>
          <w:szCs w:val="22"/>
        </w:rPr>
      </w:pPr>
      <w:r w:rsidRPr="00691AAC">
        <w:rPr>
          <w:rFonts w:ascii="Arial" w:hAnsi="Arial" w:cs="Arial"/>
          <w:bCs/>
          <w:sz w:val="22"/>
          <w:lang w:val="es-ES_tradnl"/>
        </w:rPr>
        <w:t>E</w:t>
      </w:r>
      <w:r w:rsidR="001F5F41" w:rsidRPr="00691AAC">
        <w:rPr>
          <w:rFonts w:ascii="Arial" w:hAnsi="Arial" w:cs="Arial"/>
          <w:bCs/>
          <w:sz w:val="22"/>
          <w:lang w:val="es-ES_tradnl"/>
        </w:rPr>
        <w:t xml:space="preserve">l alcance de esta excepción está determinado por la prestación de servicios sanitarios y hospitalarios, </w:t>
      </w:r>
      <w:r w:rsidRPr="00691AAC">
        <w:rPr>
          <w:rFonts w:ascii="Arial" w:hAnsi="Arial" w:cs="Arial"/>
          <w:bCs/>
          <w:sz w:val="22"/>
          <w:lang w:val="es-ES_tradnl"/>
        </w:rPr>
        <w:t>por lo que son</w:t>
      </w:r>
      <w:r w:rsidR="001F5F41" w:rsidRPr="00691AAC">
        <w:rPr>
          <w:rFonts w:ascii="Arial" w:hAnsi="Arial" w:cs="Arial"/>
          <w:bCs/>
          <w:sz w:val="22"/>
          <w:lang w:val="es-ES_tradnl"/>
        </w:rPr>
        <w:t xml:space="preserve"> las entidades públicas directamente encargadas de prestar estos servicios quienes estarían cobijadas por la excepción.</w:t>
      </w:r>
      <w:r w:rsidR="004102D2">
        <w:rPr>
          <w:rFonts w:ascii="Arial" w:hAnsi="Arial" w:cs="Arial"/>
          <w:bCs/>
          <w:sz w:val="22"/>
          <w:lang w:val="es-ES_tradnl"/>
        </w:rPr>
        <w:t xml:space="preserve"> </w:t>
      </w:r>
      <w:r w:rsidR="001F5F41" w:rsidRPr="00691AAC">
        <w:rPr>
          <w:rFonts w:ascii="Arial" w:eastAsia="Arial" w:hAnsi="Arial" w:cs="Arial"/>
          <w:bCs/>
          <w:sz w:val="22"/>
          <w:szCs w:val="22"/>
        </w:rPr>
        <w:t>Al respecto conviene diferenciar los conceptos de entidad sanitaria y autoridad sanitar</w:t>
      </w:r>
      <w:r w:rsidR="004102D2">
        <w:rPr>
          <w:rFonts w:ascii="Arial" w:eastAsia="Arial" w:hAnsi="Arial" w:cs="Arial"/>
          <w:bCs/>
          <w:sz w:val="22"/>
          <w:szCs w:val="22"/>
        </w:rPr>
        <w:t>i</w:t>
      </w:r>
      <w:r w:rsidR="001F5F41" w:rsidRPr="00691AAC">
        <w:rPr>
          <w:rFonts w:ascii="Arial" w:eastAsia="Arial" w:hAnsi="Arial" w:cs="Arial"/>
          <w:bCs/>
          <w:sz w:val="22"/>
          <w:szCs w:val="22"/>
        </w:rPr>
        <w:t xml:space="preserve">a, ya que, en efecto, el artículo 2.8.8.1.1.3 del Decreto 780 de 2016, «Por medio del cual se expide el Decreto Único Reglamentario del Sector Salud y Protección Social», define las </w:t>
      </w:r>
      <w:r w:rsidR="001F5F41" w:rsidRPr="00691AAC">
        <w:rPr>
          <w:rFonts w:ascii="Arial" w:eastAsia="Arial" w:hAnsi="Arial" w:cs="Arial"/>
          <w:bCs/>
          <w:i/>
          <w:iCs/>
          <w:sz w:val="22"/>
          <w:szCs w:val="22"/>
        </w:rPr>
        <w:t>entidades sanitarias</w:t>
      </w:r>
      <w:r w:rsidR="001F5F41" w:rsidRPr="00691AAC">
        <w:rPr>
          <w:rFonts w:ascii="Arial" w:eastAsia="Arial" w:hAnsi="Arial" w:cs="Arial"/>
          <w:bCs/>
          <w:sz w:val="22"/>
          <w:szCs w:val="22"/>
        </w:rPr>
        <w:t xml:space="preserve"> como «Entidades del Estado que prestan servicios sanitarios o de sanidad con el propósito de preservar la salud humana y la salud pública», mientras que a las </w:t>
      </w:r>
      <w:r w:rsidR="001F5F41" w:rsidRPr="00691AAC">
        <w:rPr>
          <w:rFonts w:ascii="Arial" w:eastAsia="Arial" w:hAnsi="Arial" w:cs="Arial"/>
          <w:bCs/>
          <w:i/>
          <w:iCs/>
          <w:sz w:val="22"/>
          <w:szCs w:val="22"/>
        </w:rPr>
        <w:t>autoridades sanitarias</w:t>
      </w:r>
      <w:r w:rsidR="001F5F41" w:rsidRPr="00691AAC">
        <w:rPr>
          <w:rFonts w:ascii="Arial" w:eastAsia="Arial" w:hAnsi="Arial" w:cs="Arial"/>
          <w:bCs/>
          <w:sz w:val="22"/>
          <w:szCs w:val="22"/>
        </w:rPr>
        <w:t xml:space="preserve"> como «Entidades jurídicas de carácter público con atribuciones para ejercer funciones de rectoría, regulación, inspección, vigilancia y control de los sectores público y privado en salud y adoptar medidas de prevención y seguimiento que garanticen la protección de la salud pública»</w:t>
      </w:r>
      <w:r w:rsidR="001F5F41" w:rsidRPr="00691AAC">
        <w:rPr>
          <w:rStyle w:val="Refdenotaalpie"/>
          <w:rFonts w:ascii="Arial" w:eastAsia="Arial" w:hAnsi="Arial" w:cs="Arial"/>
          <w:bCs/>
          <w:sz w:val="22"/>
          <w:szCs w:val="22"/>
        </w:rPr>
        <w:footnoteReference w:id="25"/>
      </w:r>
      <w:r w:rsidR="001F5F41" w:rsidRPr="00691AAC">
        <w:rPr>
          <w:rFonts w:ascii="Arial" w:eastAsia="Arial" w:hAnsi="Arial" w:cs="Arial"/>
          <w:bCs/>
          <w:sz w:val="22"/>
          <w:szCs w:val="22"/>
        </w:rPr>
        <w:t>.</w:t>
      </w:r>
    </w:p>
    <w:p w14:paraId="59C69EEA" w14:textId="56C333FE" w:rsidR="001F5F41" w:rsidRPr="00691AAC" w:rsidRDefault="001F5F41" w:rsidP="001F5F41">
      <w:pPr>
        <w:tabs>
          <w:tab w:val="left" w:pos="426"/>
        </w:tabs>
        <w:spacing w:before="120" w:after="120" w:line="276" w:lineRule="auto"/>
        <w:ind w:firstLine="709"/>
        <w:jc w:val="both"/>
        <w:rPr>
          <w:rFonts w:ascii="Arial" w:eastAsia="Arial" w:hAnsi="Arial" w:cs="Arial"/>
          <w:bCs/>
          <w:sz w:val="22"/>
          <w:szCs w:val="22"/>
          <w:lang w:val="es-ES_tradnl"/>
        </w:rPr>
      </w:pPr>
      <w:r w:rsidRPr="00691AAC">
        <w:rPr>
          <w:rFonts w:ascii="Arial" w:eastAsia="Arial" w:hAnsi="Arial" w:cs="Arial"/>
          <w:bCs/>
          <w:sz w:val="22"/>
          <w:szCs w:val="22"/>
        </w:rPr>
        <w:lastRenderedPageBreak/>
        <w:t xml:space="preserve">Vistas las anteriores definiciones, es necesario tener en cuenta que la excepción del artículo 33 de la Ley de Garantías solo aplica a las </w:t>
      </w:r>
      <w:r w:rsidRPr="00691AAC">
        <w:rPr>
          <w:rFonts w:ascii="Arial" w:eastAsia="Arial" w:hAnsi="Arial" w:cs="Arial"/>
          <w:bCs/>
          <w:i/>
          <w:iCs/>
          <w:sz w:val="22"/>
          <w:szCs w:val="22"/>
        </w:rPr>
        <w:t>entidades sanitarias</w:t>
      </w:r>
      <w:r w:rsidRPr="00691AAC">
        <w:rPr>
          <w:rFonts w:ascii="Arial" w:eastAsia="Arial" w:hAnsi="Arial" w:cs="Arial"/>
          <w:bCs/>
          <w:sz w:val="22"/>
          <w:szCs w:val="22"/>
        </w:rPr>
        <w:t xml:space="preserve">, no a las </w:t>
      </w:r>
      <w:r w:rsidRPr="00691AAC">
        <w:rPr>
          <w:rFonts w:ascii="Arial" w:eastAsia="Arial" w:hAnsi="Arial" w:cs="Arial"/>
          <w:bCs/>
          <w:i/>
          <w:iCs/>
          <w:sz w:val="22"/>
          <w:szCs w:val="22"/>
        </w:rPr>
        <w:t>autoridades sanitarias</w:t>
      </w:r>
      <w:r w:rsidRPr="00691AAC">
        <w:rPr>
          <w:rFonts w:ascii="Arial" w:eastAsia="Arial" w:hAnsi="Arial" w:cs="Arial"/>
          <w:bCs/>
          <w:sz w:val="22"/>
          <w:szCs w:val="22"/>
        </w:rPr>
        <w:t>. Esto por cuanto,</w:t>
      </w:r>
      <w:r w:rsidRPr="00691AAC">
        <w:rPr>
          <w:rFonts w:ascii="Arial" w:eastAsia="Arial" w:hAnsi="Arial" w:cs="Arial"/>
          <w:bCs/>
          <w:sz w:val="22"/>
          <w:szCs w:val="22"/>
          <w:lang w:val="es-ES_tradnl"/>
        </w:rPr>
        <w:t xml:space="preserve"> para efectos de la excepción del artículo 33 es indiferente que la entidad estatal tenga funciones de </w:t>
      </w:r>
      <w:r w:rsidRPr="00691AAC">
        <w:rPr>
          <w:rFonts w:ascii="Arial" w:eastAsia="Arial" w:hAnsi="Arial" w:cs="Arial"/>
          <w:bCs/>
          <w:i/>
          <w:iCs/>
          <w:sz w:val="22"/>
          <w:szCs w:val="22"/>
          <w:lang w:val="es-ES_tradnl"/>
        </w:rPr>
        <w:t>autoridad sanitaria</w:t>
      </w:r>
      <w:r w:rsidRPr="00691AAC">
        <w:rPr>
          <w:rFonts w:ascii="Arial" w:eastAsia="Arial" w:hAnsi="Arial" w:cs="Arial"/>
          <w:bCs/>
          <w:sz w:val="22"/>
          <w:szCs w:val="22"/>
          <w:lang w:val="es-ES_tradnl"/>
        </w:rPr>
        <w:t xml:space="preserve">, pues lo relevante para determinar si la contratación está exceptuada de la prohibición general no es el carácter de autoridad sanitaria, sino que se trate de una </w:t>
      </w:r>
      <w:r w:rsidRPr="00691AAC">
        <w:rPr>
          <w:rFonts w:ascii="Arial" w:eastAsia="Arial" w:hAnsi="Arial" w:cs="Arial"/>
          <w:bCs/>
          <w:i/>
          <w:iCs/>
          <w:sz w:val="22"/>
          <w:szCs w:val="22"/>
          <w:lang w:val="es-ES_tradnl"/>
        </w:rPr>
        <w:t>entidad sanitaria</w:t>
      </w:r>
      <w:r w:rsidRPr="00691AAC">
        <w:rPr>
          <w:rFonts w:ascii="Arial" w:eastAsia="Arial" w:hAnsi="Arial" w:cs="Arial"/>
          <w:bCs/>
          <w:sz w:val="22"/>
          <w:szCs w:val="22"/>
          <w:lang w:val="es-ES_tradnl"/>
        </w:rPr>
        <w:t xml:space="preserve">. </w:t>
      </w:r>
    </w:p>
    <w:p w14:paraId="44492C22" w14:textId="75397EBE" w:rsidR="0086121D" w:rsidRPr="00691AAC" w:rsidRDefault="000636F3" w:rsidP="000636F3">
      <w:pPr>
        <w:tabs>
          <w:tab w:val="left" w:pos="426"/>
        </w:tabs>
        <w:spacing w:before="120" w:after="120" w:line="276" w:lineRule="auto"/>
        <w:jc w:val="both"/>
        <w:rPr>
          <w:rFonts w:ascii="Arial" w:eastAsia="Calibri" w:hAnsi="Arial" w:cs="Arial"/>
          <w:sz w:val="22"/>
        </w:rPr>
      </w:pPr>
      <w:r w:rsidRPr="00691AAC">
        <w:rPr>
          <w:rFonts w:ascii="Arial" w:eastAsia="Calibri" w:hAnsi="Arial" w:cs="Arial"/>
          <w:sz w:val="22"/>
        </w:rPr>
        <w:tab/>
      </w:r>
      <w:r w:rsidRPr="00691AAC">
        <w:rPr>
          <w:rFonts w:ascii="Arial" w:eastAsia="Calibri" w:hAnsi="Arial" w:cs="Arial"/>
          <w:sz w:val="22"/>
        </w:rPr>
        <w:tab/>
        <w:t>De acuerdo con esto,</w:t>
      </w:r>
      <w:r w:rsidR="0086121D" w:rsidRPr="00691AAC">
        <w:rPr>
          <w:rFonts w:ascii="Arial" w:eastAsia="Calibri" w:hAnsi="Arial" w:cs="Arial"/>
          <w:sz w:val="22"/>
        </w:rPr>
        <w:t xml:space="preserve"> </w:t>
      </w:r>
      <w:r w:rsidR="008403F6" w:rsidRPr="00691AAC">
        <w:rPr>
          <w:rFonts w:ascii="Arial" w:eastAsia="Calibri" w:hAnsi="Arial" w:cs="Arial"/>
          <w:sz w:val="22"/>
        </w:rPr>
        <w:t>esta Agencia ha explicad</w:t>
      </w:r>
      <w:r w:rsidR="009B031D" w:rsidRPr="00691AAC">
        <w:rPr>
          <w:rFonts w:ascii="Arial" w:eastAsia="Calibri" w:hAnsi="Arial" w:cs="Arial"/>
          <w:sz w:val="22"/>
        </w:rPr>
        <w:t>o</w:t>
      </w:r>
      <w:r w:rsidR="008403F6" w:rsidRPr="00691AAC">
        <w:rPr>
          <w:rFonts w:ascii="Arial" w:eastAsia="Calibri" w:hAnsi="Arial" w:cs="Arial"/>
          <w:sz w:val="22"/>
        </w:rPr>
        <w:t xml:space="preserve"> que entidades como las Empresas Sociales del Estado</w:t>
      </w:r>
      <w:r w:rsidR="00E701D8" w:rsidRPr="00691AAC">
        <w:rPr>
          <w:rFonts w:ascii="Arial" w:eastAsia="Calibri" w:hAnsi="Arial" w:cs="Arial"/>
          <w:sz w:val="22"/>
        </w:rPr>
        <w:t xml:space="preserve"> se encuentran cobijadas por la excepción en comento,</w:t>
      </w:r>
      <w:r w:rsidR="0086121D" w:rsidRPr="00691AAC">
        <w:rPr>
          <w:rFonts w:ascii="Arial" w:eastAsia="Calibri" w:hAnsi="Arial" w:cs="Arial"/>
          <w:sz w:val="22"/>
        </w:rPr>
        <w:t xml:space="preserve"> </w:t>
      </w:r>
      <w:r w:rsidR="00E701D8" w:rsidRPr="00691AAC">
        <w:rPr>
          <w:rFonts w:ascii="Arial" w:eastAsia="Calibri" w:hAnsi="Arial" w:cs="Arial"/>
          <w:sz w:val="22"/>
        </w:rPr>
        <w:t xml:space="preserve">en la medida en que por </w:t>
      </w:r>
      <w:r w:rsidR="001E1D46" w:rsidRPr="00691AAC">
        <w:rPr>
          <w:rFonts w:ascii="Arial" w:eastAsia="Calibri" w:hAnsi="Arial" w:cs="Arial"/>
          <w:sz w:val="22"/>
        </w:rPr>
        <w:t xml:space="preserve">expresa disposición de la ley </w:t>
      </w:r>
      <w:r w:rsidR="00E701D8" w:rsidRPr="00691AAC">
        <w:rPr>
          <w:rFonts w:ascii="Arial" w:eastAsia="Calibri" w:hAnsi="Arial" w:cs="Arial"/>
          <w:sz w:val="22"/>
        </w:rPr>
        <w:t xml:space="preserve">son entidades </w:t>
      </w:r>
      <w:r w:rsidR="001E1D46" w:rsidRPr="00691AAC">
        <w:rPr>
          <w:rFonts w:ascii="Arial" w:eastAsia="Calibri" w:hAnsi="Arial" w:cs="Arial"/>
          <w:sz w:val="22"/>
        </w:rPr>
        <w:t>encargadas de la prestación de servicios de salud</w:t>
      </w:r>
      <w:r w:rsidR="00FB1473" w:rsidRPr="00691AAC">
        <w:rPr>
          <w:rStyle w:val="Refdenotaalpie"/>
          <w:rFonts w:ascii="Arial" w:eastAsia="Calibri" w:hAnsi="Arial" w:cs="Arial"/>
          <w:sz w:val="22"/>
        </w:rPr>
        <w:footnoteReference w:id="26"/>
      </w:r>
      <w:r w:rsidR="00216AAF" w:rsidRPr="00691AAC">
        <w:rPr>
          <w:rFonts w:ascii="Arial" w:eastAsia="Calibri" w:hAnsi="Arial" w:cs="Arial"/>
          <w:sz w:val="22"/>
        </w:rPr>
        <w:t xml:space="preserve">, </w:t>
      </w:r>
      <w:r w:rsidR="00092542" w:rsidRPr="00691AAC">
        <w:rPr>
          <w:rFonts w:ascii="Arial" w:eastAsia="Calibri" w:hAnsi="Arial" w:cs="Arial"/>
          <w:sz w:val="22"/>
        </w:rPr>
        <w:t xml:space="preserve">lo que las ubica dentro de la referida noción de </w:t>
      </w:r>
      <w:r w:rsidR="009F246D" w:rsidRPr="00691AAC">
        <w:rPr>
          <w:rFonts w:ascii="Arial" w:eastAsia="Calibri" w:hAnsi="Arial" w:cs="Arial"/>
          <w:sz w:val="22"/>
        </w:rPr>
        <w:t xml:space="preserve">entidad sanitaria. Por el contrario, </w:t>
      </w:r>
      <w:r w:rsidR="00D24920" w:rsidRPr="004102D2">
        <w:rPr>
          <w:rFonts w:ascii="Arial" w:eastAsia="Arial" w:hAnsi="Arial" w:cs="Arial"/>
          <w:bCs/>
          <w:sz w:val="22"/>
          <w:szCs w:val="22"/>
        </w:rPr>
        <w:t>respecto de los departamentos se ha reconocido que</w:t>
      </w:r>
      <w:r w:rsidR="00840A52" w:rsidRPr="004102D2">
        <w:rPr>
          <w:rFonts w:ascii="Arial" w:eastAsia="Arial" w:hAnsi="Arial" w:cs="Arial"/>
          <w:bCs/>
          <w:sz w:val="22"/>
          <w:szCs w:val="22"/>
        </w:rPr>
        <w:t>,</w:t>
      </w:r>
      <w:r w:rsidR="00D24920" w:rsidRPr="004102D2">
        <w:rPr>
          <w:rFonts w:ascii="Arial" w:eastAsia="Arial" w:hAnsi="Arial" w:cs="Arial"/>
          <w:bCs/>
          <w:sz w:val="22"/>
          <w:szCs w:val="22"/>
        </w:rPr>
        <w:t xml:space="preserve"> a pesar de </w:t>
      </w:r>
      <w:r w:rsidR="007E3638" w:rsidRPr="004102D2">
        <w:rPr>
          <w:rFonts w:ascii="Arial" w:eastAsia="Arial" w:hAnsi="Arial" w:cs="Arial"/>
          <w:bCs/>
          <w:sz w:val="22"/>
          <w:szCs w:val="22"/>
        </w:rPr>
        <w:t xml:space="preserve">jugar importante en la materia a través de sus </w:t>
      </w:r>
      <w:r w:rsidR="00D24920" w:rsidRPr="004102D2">
        <w:rPr>
          <w:rFonts w:ascii="Arial" w:eastAsia="Arial" w:hAnsi="Arial" w:cs="Arial"/>
          <w:bCs/>
          <w:sz w:val="22"/>
          <w:szCs w:val="22"/>
        </w:rPr>
        <w:t>secretar</w:t>
      </w:r>
      <w:r w:rsidR="007E3638" w:rsidRPr="004102D2">
        <w:rPr>
          <w:rFonts w:ascii="Arial" w:eastAsia="Arial" w:hAnsi="Arial" w:cs="Arial"/>
          <w:bCs/>
          <w:sz w:val="22"/>
          <w:szCs w:val="22"/>
        </w:rPr>
        <w:t>í</w:t>
      </w:r>
      <w:r w:rsidR="00D24920" w:rsidRPr="004102D2">
        <w:rPr>
          <w:rFonts w:ascii="Arial" w:eastAsia="Arial" w:hAnsi="Arial" w:cs="Arial"/>
          <w:bCs/>
          <w:sz w:val="22"/>
          <w:szCs w:val="22"/>
        </w:rPr>
        <w:t xml:space="preserve">as de salud, no prestan un servicio directo, </w:t>
      </w:r>
      <w:r w:rsidR="00840A52" w:rsidRPr="004102D2">
        <w:rPr>
          <w:rFonts w:ascii="Arial" w:eastAsia="Arial" w:hAnsi="Arial" w:cs="Arial"/>
          <w:bCs/>
          <w:sz w:val="22"/>
          <w:szCs w:val="22"/>
        </w:rPr>
        <w:t>sino que</w:t>
      </w:r>
      <w:r w:rsidR="00D24920" w:rsidRPr="004102D2">
        <w:rPr>
          <w:rFonts w:ascii="Arial" w:eastAsia="Arial" w:hAnsi="Arial" w:cs="Arial"/>
          <w:bCs/>
          <w:sz w:val="22"/>
          <w:szCs w:val="22"/>
        </w:rPr>
        <w:t xml:space="preserve"> coordinan las políticas de esta naturaleza desde un punto de vista administrativo para efectos del control y vigilancia</w:t>
      </w:r>
      <w:r w:rsidR="00840A52" w:rsidRPr="004102D2">
        <w:rPr>
          <w:rFonts w:ascii="Arial" w:eastAsia="Arial" w:hAnsi="Arial" w:cs="Arial"/>
          <w:bCs/>
          <w:sz w:val="22"/>
          <w:szCs w:val="22"/>
        </w:rPr>
        <w:t xml:space="preserve">, </w:t>
      </w:r>
      <w:r w:rsidR="008326A3" w:rsidRPr="004102D2">
        <w:rPr>
          <w:rFonts w:ascii="Arial" w:eastAsia="Arial" w:hAnsi="Arial" w:cs="Arial"/>
          <w:bCs/>
          <w:sz w:val="22"/>
          <w:szCs w:val="22"/>
        </w:rPr>
        <w:t xml:space="preserve">por lo que no </w:t>
      </w:r>
      <w:r w:rsidR="003B415C" w:rsidRPr="004102D2">
        <w:rPr>
          <w:rFonts w:ascii="Arial" w:eastAsia="Arial" w:hAnsi="Arial" w:cs="Arial"/>
          <w:bCs/>
          <w:sz w:val="22"/>
          <w:szCs w:val="22"/>
        </w:rPr>
        <w:t>se encuentran cobijados por la excepción</w:t>
      </w:r>
      <w:r w:rsidR="003B415C" w:rsidRPr="004102D2">
        <w:rPr>
          <w:rStyle w:val="Refdenotaalpie"/>
          <w:rFonts w:ascii="Arial" w:eastAsia="Arial" w:hAnsi="Arial" w:cs="Arial"/>
          <w:bCs/>
          <w:sz w:val="22"/>
          <w:szCs w:val="22"/>
        </w:rPr>
        <w:footnoteReference w:id="27"/>
      </w:r>
      <w:r w:rsidR="003B415C" w:rsidRPr="004102D2">
        <w:rPr>
          <w:rFonts w:ascii="Arial" w:eastAsia="Arial" w:hAnsi="Arial" w:cs="Arial"/>
          <w:bCs/>
          <w:sz w:val="22"/>
          <w:szCs w:val="22"/>
        </w:rPr>
        <w:t xml:space="preserve">. </w:t>
      </w:r>
    </w:p>
    <w:p w14:paraId="1101A4A6" w14:textId="75586B9D" w:rsidR="0086121D" w:rsidRPr="00691AAC" w:rsidRDefault="00EF7AD6" w:rsidP="000636F3">
      <w:pPr>
        <w:tabs>
          <w:tab w:val="left" w:pos="426"/>
        </w:tabs>
        <w:spacing w:before="120" w:after="120" w:line="276" w:lineRule="auto"/>
        <w:jc w:val="both"/>
        <w:rPr>
          <w:rFonts w:ascii="Arial" w:eastAsia="Calibri" w:hAnsi="Arial" w:cs="Arial"/>
          <w:sz w:val="22"/>
        </w:rPr>
      </w:pPr>
      <w:r w:rsidRPr="00691AAC">
        <w:rPr>
          <w:rFonts w:ascii="Arial" w:eastAsia="Calibri" w:hAnsi="Arial" w:cs="Arial"/>
          <w:sz w:val="22"/>
        </w:rPr>
        <w:tab/>
      </w:r>
      <w:r w:rsidR="00806A11" w:rsidRPr="00691AAC">
        <w:rPr>
          <w:rFonts w:ascii="Arial" w:eastAsia="Calibri" w:hAnsi="Arial" w:cs="Arial"/>
          <w:sz w:val="22"/>
        </w:rPr>
        <w:tab/>
      </w:r>
      <w:r w:rsidRPr="00691AAC">
        <w:rPr>
          <w:rFonts w:ascii="Arial" w:eastAsia="Calibri" w:hAnsi="Arial" w:cs="Arial"/>
          <w:sz w:val="22"/>
        </w:rPr>
        <w:t>Consultado el Decreto 333 del 2005 expedido por el Gobernador de Arauca, se advierte que la U</w:t>
      </w:r>
      <w:r w:rsidR="00ED1D54" w:rsidRPr="00691AAC">
        <w:rPr>
          <w:rFonts w:ascii="Arial" w:eastAsia="Calibri" w:hAnsi="Arial" w:cs="Arial"/>
          <w:sz w:val="22"/>
        </w:rPr>
        <w:t xml:space="preserve">nidad Administrativa Especial de Salud de Arauca, es una entidad descentralizada </w:t>
      </w:r>
      <w:r w:rsidR="00FE0F74" w:rsidRPr="00691AAC">
        <w:rPr>
          <w:rFonts w:ascii="Arial" w:eastAsia="Calibri" w:hAnsi="Arial" w:cs="Arial"/>
          <w:sz w:val="22"/>
        </w:rPr>
        <w:t xml:space="preserve">adscrita a la Secretaría Departamental de Planeación </w:t>
      </w:r>
      <w:r w:rsidR="000C5766" w:rsidRPr="00691AAC">
        <w:rPr>
          <w:rFonts w:ascii="Arial" w:eastAsia="Calibri" w:hAnsi="Arial" w:cs="Arial"/>
          <w:sz w:val="22"/>
        </w:rPr>
        <w:t>Departamental,</w:t>
      </w:r>
      <w:r w:rsidR="00FD6C0B" w:rsidRPr="00691AAC">
        <w:rPr>
          <w:rFonts w:ascii="Arial" w:eastAsia="Calibri" w:hAnsi="Arial" w:cs="Arial"/>
          <w:sz w:val="22"/>
        </w:rPr>
        <w:t xml:space="preserve"> cuyo </w:t>
      </w:r>
      <w:r w:rsidR="000C5766" w:rsidRPr="00691AAC">
        <w:rPr>
          <w:rFonts w:ascii="Arial" w:eastAsia="Calibri" w:hAnsi="Arial" w:cs="Arial"/>
          <w:sz w:val="22"/>
        </w:rPr>
        <w:t xml:space="preserve">objeto es </w:t>
      </w:r>
      <w:r w:rsidR="00FD6C0B" w:rsidRPr="00691AAC">
        <w:rPr>
          <w:rFonts w:ascii="Arial" w:eastAsia="Calibri" w:hAnsi="Arial" w:cs="Arial"/>
          <w:sz w:val="22"/>
        </w:rPr>
        <w:t>«[…] dirigir, coordinar y vigilar el sector salud y el Sistema General de Seguridad Social en Salud en el Departamento de Arauca atendiendo los disposiciones nacionales sobre la materia»</w:t>
      </w:r>
      <w:r w:rsidR="001A556D" w:rsidRPr="00691AAC">
        <w:rPr>
          <w:rStyle w:val="Refdenotaalpie"/>
          <w:rFonts w:ascii="Arial" w:eastAsia="Calibri" w:hAnsi="Arial" w:cs="Arial"/>
          <w:sz w:val="22"/>
        </w:rPr>
        <w:footnoteReference w:id="28"/>
      </w:r>
      <w:r w:rsidR="00FD6C0B" w:rsidRPr="00691AAC">
        <w:rPr>
          <w:rFonts w:ascii="Arial" w:eastAsia="Calibri" w:hAnsi="Arial" w:cs="Arial"/>
          <w:sz w:val="22"/>
        </w:rPr>
        <w:t>.</w:t>
      </w:r>
      <w:r w:rsidR="000C5766" w:rsidRPr="00691AAC">
        <w:rPr>
          <w:rFonts w:ascii="Arial" w:eastAsia="Calibri" w:hAnsi="Arial" w:cs="Arial"/>
          <w:sz w:val="22"/>
        </w:rPr>
        <w:t xml:space="preserve"> </w:t>
      </w:r>
      <w:r w:rsidR="00681971" w:rsidRPr="00691AAC">
        <w:rPr>
          <w:rFonts w:ascii="Arial" w:eastAsia="Calibri" w:hAnsi="Arial" w:cs="Arial"/>
          <w:sz w:val="22"/>
        </w:rPr>
        <w:t xml:space="preserve">Esto indica que la referida entidad no tiene un objeto </w:t>
      </w:r>
      <w:r w:rsidR="00EE432C" w:rsidRPr="00691AAC">
        <w:rPr>
          <w:rFonts w:ascii="Arial" w:eastAsia="Calibri" w:hAnsi="Arial" w:cs="Arial"/>
          <w:sz w:val="22"/>
        </w:rPr>
        <w:lastRenderedPageBreak/>
        <w:t>misional que involucre la prestación directa de servicios de salud, sino que tie</w:t>
      </w:r>
      <w:r w:rsidR="003E4819" w:rsidRPr="00691AAC">
        <w:rPr>
          <w:rFonts w:ascii="Arial" w:eastAsia="Calibri" w:hAnsi="Arial" w:cs="Arial"/>
          <w:sz w:val="22"/>
        </w:rPr>
        <w:t>ne a su cargo funciones de control y vigilancia</w:t>
      </w:r>
      <w:r w:rsidR="001833D0" w:rsidRPr="00691AAC">
        <w:rPr>
          <w:rFonts w:ascii="Arial" w:eastAsia="Calibri" w:hAnsi="Arial" w:cs="Arial"/>
          <w:sz w:val="22"/>
        </w:rPr>
        <w:t xml:space="preserve"> del sector salud en el ámbito territorial</w:t>
      </w:r>
      <w:r w:rsidR="00E17EA3" w:rsidRPr="00691AAC">
        <w:rPr>
          <w:rFonts w:ascii="Arial" w:eastAsia="Calibri" w:hAnsi="Arial" w:cs="Arial"/>
          <w:sz w:val="22"/>
        </w:rPr>
        <w:t xml:space="preserve">, </w:t>
      </w:r>
      <w:r w:rsidR="00723E02" w:rsidRPr="00691AAC">
        <w:rPr>
          <w:rFonts w:ascii="Arial" w:eastAsia="Calibri" w:hAnsi="Arial" w:cs="Arial"/>
          <w:sz w:val="22"/>
        </w:rPr>
        <w:t>que,</w:t>
      </w:r>
      <w:r w:rsidR="00E17EA3" w:rsidRPr="00691AAC">
        <w:rPr>
          <w:rFonts w:ascii="Arial" w:eastAsia="Calibri" w:hAnsi="Arial" w:cs="Arial"/>
          <w:sz w:val="22"/>
        </w:rPr>
        <w:t xml:space="preserve"> en virtud del fenómeno de la descentralización, </w:t>
      </w:r>
      <w:r w:rsidR="001833D0" w:rsidRPr="00691AAC">
        <w:rPr>
          <w:rFonts w:ascii="Arial" w:eastAsia="Calibri" w:hAnsi="Arial" w:cs="Arial"/>
          <w:sz w:val="22"/>
        </w:rPr>
        <w:t xml:space="preserve">ejerce en </w:t>
      </w:r>
      <w:r w:rsidR="00723E02" w:rsidRPr="00691AAC">
        <w:rPr>
          <w:rFonts w:ascii="Arial" w:eastAsia="Calibri" w:hAnsi="Arial" w:cs="Arial"/>
          <w:sz w:val="22"/>
        </w:rPr>
        <w:t xml:space="preserve">representación del Departamento de Arauca. </w:t>
      </w:r>
    </w:p>
    <w:p w14:paraId="401B905F" w14:textId="33A9B5BF" w:rsidR="00F4315D" w:rsidRPr="004102D2" w:rsidRDefault="00F223B3" w:rsidP="001218B7">
      <w:pPr>
        <w:spacing w:before="120" w:line="276" w:lineRule="auto"/>
        <w:ind w:firstLine="708"/>
        <w:jc w:val="both"/>
        <w:rPr>
          <w:rFonts w:ascii="Arial" w:hAnsi="Arial" w:cs="Arial"/>
          <w:bCs/>
          <w:sz w:val="22"/>
          <w:szCs w:val="22"/>
          <w:lang w:val="es-ES_tradnl" w:eastAsia="es-CO"/>
        </w:rPr>
      </w:pPr>
      <w:r w:rsidRPr="004102D2">
        <w:rPr>
          <w:rFonts w:ascii="Arial" w:hAnsi="Arial" w:cs="Arial"/>
          <w:bCs/>
          <w:sz w:val="22"/>
          <w:lang w:val="es-ES_tradnl"/>
        </w:rPr>
        <w:t xml:space="preserve">Por </w:t>
      </w:r>
      <w:r w:rsidR="00691AAC" w:rsidRPr="00691AAC">
        <w:rPr>
          <w:rFonts w:ascii="Arial" w:hAnsi="Arial" w:cs="Arial"/>
          <w:bCs/>
          <w:sz w:val="22"/>
          <w:lang w:val="es-ES_tradnl"/>
        </w:rPr>
        <w:t>último,</w:t>
      </w:r>
      <w:r w:rsidRPr="004102D2">
        <w:rPr>
          <w:rFonts w:ascii="Arial" w:hAnsi="Arial" w:cs="Arial"/>
          <w:bCs/>
          <w:sz w:val="22"/>
          <w:lang w:val="es-ES_tradnl"/>
        </w:rPr>
        <w:t xml:space="preserve"> es importante advertir que</w:t>
      </w:r>
      <w:r w:rsidRPr="00691AAC">
        <w:rPr>
          <w:rFonts w:ascii="Arial" w:hAnsi="Arial" w:cs="Arial"/>
          <w:bCs/>
          <w:sz w:val="22"/>
          <w:szCs w:val="22"/>
          <w:lang w:val="es-ES_tradnl" w:eastAsia="es-CO"/>
        </w:rPr>
        <w:t>,</w:t>
      </w:r>
      <w:r w:rsidR="00570F08" w:rsidRPr="004102D2">
        <w:rPr>
          <w:rFonts w:ascii="Arial" w:hAnsi="Arial" w:cs="Arial"/>
          <w:bCs/>
          <w:sz w:val="22"/>
          <w:szCs w:val="22"/>
          <w:lang w:val="es-ES_tradnl" w:eastAsia="es-CO"/>
        </w:rPr>
        <w:t xml:space="preserve"> </w:t>
      </w:r>
      <w:r w:rsidR="00E75BB9" w:rsidRPr="004102D2">
        <w:rPr>
          <w:rFonts w:ascii="Arial" w:hAnsi="Arial" w:cs="Arial"/>
          <w:bCs/>
          <w:sz w:val="22"/>
          <w:szCs w:val="22"/>
          <w:lang w:val="es-ES_tradnl" w:eastAsia="es-CO"/>
        </w:rPr>
        <w:t xml:space="preserve">corresponde a cada entidad </w:t>
      </w:r>
      <w:r w:rsidR="0098623D" w:rsidRPr="004102D2">
        <w:rPr>
          <w:rFonts w:ascii="Arial" w:hAnsi="Arial" w:cs="Arial"/>
          <w:bCs/>
          <w:sz w:val="22"/>
          <w:szCs w:val="22"/>
          <w:lang w:val="es-ES_tradnl" w:eastAsia="es-CO"/>
        </w:rPr>
        <w:t xml:space="preserve">estatal </w:t>
      </w:r>
      <w:r w:rsidR="00E75BB9" w:rsidRPr="004102D2">
        <w:rPr>
          <w:rFonts w:ascii="Arial" w:hAnsi="Arial" w:cs="Arial"/>
          <w:bCs/>
          <w:sz w:val="22"/>
          <w:szCs w:val="22"/>
          <w:lang w:val="es-ES_tradnl" w:eastAsia="es-CO"/>
        </w:rPr>
        <w:t>realizar el correspondiente</w:t>
      </w:r>
      <w:r w:rsidR="00570F08" w:rsidRPr="004102D2">
        <w:rPr>
          <w:rFonts w:ascii="Arial" w:hAnsi="Arial" w:cs="Arial"/>
          <w:bCs/>
          <w:sz w:val="22"/>
          <w:szCs w:val="22"/>
          <w:lang w:val="es-ES_tradnl" w:eastAsia="es-CO"/>
        </w:rPr>
        <w:t xml:space="preserve"> análisis </w:t>
      </w:r>
      <w:r w:rsidR="00E75BB9" w:rsidRPr="004102D2">
        <w:rPr>
          <w:rFonts w:ascii="Arial" w:hAnsi="Arial" w:cs="Arial"/>
          <w:bCs/>
          <w:sz w:val="22"/>
          <w:szCs w:val="22"/>
          <w:lang w:val="es-ES_tradnl" w:eastAsia="es-CO"/>
        </w:rPr>
        <w:t>para determinar si aplica o no una determinada</w:t>
      </w:r>
      <w:r w:rsidR="00570F08" w:rsidRPr="004102D2">
        <w:rPr>
          <w:rFonts w:ascii="Arial" w:hAnsi="Arial" w:cs="Arial"/>
          <w:bCs/>
          <w:sz w:val="22"/>
          <w:szCs w:val="22"/>
          <w:lang w:val="es-ES_tradnl" w:eastAsia="es-CO"/>
        </w:rPr>
        <w:t xml:space="preserve"> excepci</w:t>
      </w:r>
      <w:r w:rsidR="00E75BB9" w:rsidRPr="004102D2">
        <w:rPr>
          <w:rFonts w:ascii="Arial" w:hAnsi="Arial" w:cs="Arial"/>
          <w:bCs/>
          <w:sz w:val="22"/>
          <w:szCs w:val="22"/>
          <w:lang w:val="es-ES_tradnl" w:eastAsia="es-CO"/>
        </w:rPr>
        <w:t>ón</w:t>
      </w:r>
      <w:r w:rsidR="00570F08" w:rsidRPr="004102D2">
        <w:rPr>
          <w:rFonts w:ascii="Arial" w:hAnsi="Arial" w:cs="Arial"/>
          <w:bCs/>
          <w:sz w:val="22"/>
          <w:szCs w:val="22"/>
          <w:lang w:val="es-ES_tradnl" w:eastAsia="es-CO"/>
        </w:rPr>
        <w:t xml:space="preserve"> de acuerdo con la situación fáctica y jurídica</w:t>
      </w:r>
      <w:r w:rsidR="007B2D7A" w:rsidRPr="004102D2">
        <w:rPr>
          <w:rFonts w:ascii="Arial" w:hAnsi="Arial" w:cs="Arial"/>
          <w:bCs/>
          <w:sz w:val="22"/>
          <w:szCs w:val="22"/>
          <w:lang w:val="es-ES_tradnl" w:eastAsia="es-CO"/>
        </w:rPr>
        <w:t xml:space="preserve"> particular</w:t>
      </w:r>
      <w:r w:rsidR="00F4315D" w:rsidRPr="004102D2">
        <w:rPr>
          <w:rFonts w:ascii="Arial" w:hAnsi="Arial" w:cs="Arial"/>
          <w:bCs/>
          <w:sz w:val="22"/>
          <w:szCs w:val="22"/>
          <w:lang w:val="es-ES_tradnl" w:eastAsia="es-CO"/>
        </w:rPr>
        <w:t xml:space="preserve"> </w:t>
      </w:r>
      <w:r w:rsidR="0098623D" w:rsidRPr="004102D2">
        <w:rPr>
          <w:rFonts w:ascii="Arial" w:hAnsi="Arial" w:cs="Arial"/>
          <w:bCs/>
          <w:sz w:val="22"/>
          <w:szCs w:val="22"/>
          <w:lang w:val="es-ES_tradnl" w:eastAsia="es-CO"/>
        </w:rPr>
        <w:t>del caso concreto</w:t>
      </w:r>
      <w:r w:rsidR="001A69BA" w:rsidRPr="004102D2">
        <w:rPr>
          <w:rFonts w:ascii="Arial" w:hAnsi="Arial" w:cs="Arial"/>
          <w:bCs/>
          <w:sz w:val="22"/>
          <w:szCs w:val="22"/>
          <w:lang w:val="es-ES_tradnl" w:eastAsia="es-CO"/>
        </w:rPr>
        <w:t>, para lo cual las consideraciones expuestas en el presente concepto constituye</w:t>
      </w:r>
      <w:r w:rsidR="009443C9" w:rsidRPr="004102D2">
        <w:rPr>
          <w:rFonts w:ascii="Arial" w:hAnsi="Arial" w:cs="Arial"/>
          <w:bCs/>
          <w:sz w:val="22"/>
          <w:szCs w:val="22"/>
          <w:lang w:val="es-ES_tradnl" w:eastAsia="es-CO"/>
        </w:rPr>
        <w:t>n</w:t>
      </w:r>
      <w:r w:rsidR="001A69BA" w:rsidRPr="004102D2">
        <w:rPr>
          <w:rFonts w:ascii="Arial" w:hAnsi="Arial" w:cs="Arial"/>
          <w:bCs/>
          <w:sz w:val="22"/>
          <w:szCs w:val="22"/>
          <w:lang w:val="es-ES_tradnl" w:eastAsia="es-CO"/>
        </w:rPr>
        <w:t xml:space="preserve"> un </w:t>
      </w:r>
      <w:r w:rsidR="009443C9" w:rsidRPr="004102D2">
        <w:rPr>
          <w:rFonts w:ascii="Arial" w:hAnsi="Arial" w:cs="Arial"/>
          <w:bCs/>
          <w:sz w:val="22"/>
          <w:szCs w:val="22"/>
          <w:lang w:val="es-ES_tradnl" w:eastAsia="es-CO"/>
        </w:rPr>
        <w:t xml:space="preserve">instrumento orientador. </w:t>
      </w:r>
      <w:r w:rsidRPr="00691AAC">
        <w:rPr>
          <w:rFonts w:ascii="Arial" w:hAnsi="Arial" w:cs="Arial"/>
          <w:bCs/>
          <w:sz w:val="22"/>
          <w:szCs w:val="22"/>
          <w:lang w:val="es-ES_tradnl" w:eastAsia="es-CO"/>
        </w:rPr>
        <w:t>Si es</w:t>
      </w:r>
      <w:r w:rsidR="0098623D" w:rsidRPr="004102D2">
        <w:rPr>
          <w:rFonts w:ascii="Arial" w:hAnsi="Arial" w:cs="Arial"/>
          <w:bCs/>
          <w:sz w:val="22"/>
          <w:szCs w:val="22"/>
          <w:lang w:val="es-ES_tradnl" w:eastAsia="es-CO"/>
        </w:rPr>
        <w:t xml:space="preserve"> </w:t>
      </w:r>
      <w:r w:rsidR="009443C9" w:rsidRPr="004102D2">
        <w:rPr>
          <w:rFonts w:ascii="Arial" w:hAnsi="Arial" w:cs="Arial"/>
          <w:bCs/>
          <w:sz w:val="22"/>
          <w:szCs w:val="22"/>
          <w:lang w:val="es-ES_tradnl" w:eastAsia="es-CO"/>
        </w:rPr>
        <w:t>procedente la excepci</w:t>
      </w:r>
      <w:r w:rsidR="00F35599" w:rsidRPr="004102D2">
        <w:rPr>
          <w:rFonts w:ascii="Arial" w:hAnsi="Arial" w:cs="Arial"/>
          <w:bCs/>
          <w:sz w:val="22"/>
          <w:szCs w:val="22"/>
          <w:lang w:val="es-ES_tradnl" w:eastAsia="es-CO"/>
        </w:rPr>
        <w:t>ón, podrá la entidad realizar la contratación directa</w:t>
      </w:r>
      <w:r w:rsidR="002F61C9" w:rsidRPr="004102D2">
        <w:rPr>
          <w:rFonts w:ascii="Arial" w:hAnsi="Arial" w:cs="Arial"/>
          <w:bCs/>
          <w:sz w:val="22"/>
          <w:szCs w:val="22"/>
          <w:lang w:val="es-ES_tradnl" w:eastAsia="es-CO"/>
        </w:rPr>
        <w:t xml:space="preserve"> </w:t>
      </w:r>
      <w:r w:rsidRPr="00691AAC">
        <w:rPr>
          <w:rFonts w:ascii="Arial" w:hAnsi="Arial" w:cs="Arial"/>
          <w:bCs/>
          <w:sz w:val="22"/>
          <w:szCs w:val="22"/>
          <w:lang w:val="es-ES_tradnl" w:eastAsia="es-CO"/>
        </w:rPr>
        <w:t>justificando</w:t>
      </w:r>
      <w:r w:rsidR="002F61C9" w:rsidRPr="004102D2">
        <w:rPr>
          <w:rFonts w:ascii="Arial" w:hAnsi="Arial" w:cs="Arial"/>
          <w:bCs/>
          <w:sz w:val="22"/>
          <w:szCs w:val="22"/>
          <w:lang w:val="es-ES_tradnl" w:eastAsia="es-CO"/>
        </w:rPr>
        <w:t xml:space="preserve"> las razones que </w:t>
      </w:r>
      <w:r w:rsidRPr="00691AAC">
        <w:rPr>
          <w:rFonts w:ascii="Arial" w:hAnsi="Arial" w:cs="Arial"/>
          <w:bCs/>
          <w:sz w:val="22"/>
          <w:szCs w:val="22"/>
          <w:lang w:val="es-ES_tradnl" w:eastAsia="es-CO"/>
        </w:rPr>
        <w:t xml:space="preserve">avalan </w:t>
      </w:r>
      <w:r w:rsidR="002F61C9" w:rsidRPr="004102D2">
        <w:rPr>
          <w:rFonts w:ascii="Arial" w:hAnsi="Arial" w:cs="Arial"/>
          <w:bCs/>
          <w:sz w:val="22"/>
          <w:szCs w:val="22"/>
          <w:lang w:val="es-ES_tradnl" w:eastAsia="es-CO"/>
        </w:rPr>
        <w:t xml:space="preserve">su procedencia. </w:t>
      </w:r>
      <w:r w:rsidR="009E0147" w:rsidRPr="004102D2">
        <w:rPr>
          <w:rFonts w:ascii="Arial" w:hAnsi="Arial" w:cs="Arial"/>
          <w:bCs/>
          <w:sz w:val="22"/>
          <w:szCs w:val="22"/>
          <w:lang w:val="es-ES_tradnl" w:eastAsia="es-CO"/>
        </w:rPr>
        <w:t>P</w:t>
      </w:r>
      <w:r w:rsidR="009E4C7C" w:rsidRPr="004102D2">
        <w:rPr>
          <w:rFonts w:ascii="Arial" w:hAnsi="Arial" w:cs="Arial"/>
          <w:bCs/>
          <w:sz w:val="22"/>
          <w:szCs w:val="22"/>
          <w:lang w:val="es-ES_tradnl" w:eastAsia="es-CO"/>
        </w:rPr>
        <w:t xml:space="preserve">or el contrario </w:t>
      </w:r>
      <w:r w:rsidR="009E0147" w:rsidRPr="004102D2">
        <w:rPr>
          <w:rFonts w:ascii="Arial" w:hAnsi="Arial" w:cs="Arial"/>
          <w:bCs/>
          <w:sz w:val="22"/>
          <w:szCs w:val="22"/>
          <w:lang w:val="es-ES_tradnl" w:eastAsia="es-CO"/>
        </w:rPr>
        <w:t xml:space="preserve">si </w:t>
      </w:r>
      <w:r w:rsidR="009E4C7C" w:rsidRPr="004102D2">
        <w:rPr>
          <w:rFonts w:ascii="Arial" w:hAnsi="Arial" w:cs="Arial"/>
          <w:bCs/>
          <w:sz w:val="22"/>
          <w:szCs w:val="22"/>
          <w:lang w:val="es-ES_tradnl" w:eastAsia="es-CO"/>
        </w:rPr>
        <w:t>el estudio determina que no aplica excepción</w:t>
      </w:r>
      <w:r w:rsidR="009E0147" w:rsidRPr="004102D2">
        <w:rPr>
          <w:rFonts w:ascii="Arial" w:hAnsi="Arial" w:cs="Arial"/>
          <w:bCs/>
          <w:sz w:val="22"/>
          <w:szCs w:val="22"/>
          <w:lang w:val="es-ES_tradnl" w:eastAsia="es-CO"/>
        </w:rPr>
        <w:t xml:space="preserve"> alguna</w:t>
      </w:r>
      <w:r w:rsidR="009E4C7C" w:rsidRPr="004102D2">
        <w:rPr>
          <w:rFonts w:ascii="Arial" w:hAnsi="Arial" w:cs="Arial"/>
          <w:bCs/>
          <w:sz w:val="22"/>
          <w:szCs w:val="22"/>
          <w:lang w:val="es-ES_tradnl" w:eastAsia="es-CO"/>
        </w:rPr>
        <w:t xml:space="preserve"> </w:t>
      </w:r>
      <w:r w:rsidRPr="00691AAC">
        <w:rPr>
          <w:rFonts w:ascii="Arial" w:hAnsi="Arial" w:cs="Arial"/>
          <w:bCs/>
          <w:sz w:val="22"/>
          <w:szCs w:val="22"/>
          <w:lang w:val="es-ES_tradnl" w:eastAsia="es-CO"/>
        </w:rPr>
        <w:t>estará</w:t>
      </w:r>
      <w:r w:rsidR="009E4C7C" w:rsidRPr="004102D2">
        <w:rPr>
          <w:rFonts w:ascii="Arial" w:hAnsi="Arial" w:cs="Arial"/>
          <w:bCs/>
          <w:sz w:val="22"/>
          <w:szCs w:val="22"/>
          <w:lang w:val="es-ES_tradnl" w:eastAsia="es-CO"/>
        </w:rPr>
        <w:t xml:space="preserve"> </w:t>
      </w:r>
      <w:r w:rsidRPr="00691AAC">
        <w:rPr>
          <w:rFonts w:ascii="Arial" w:hAnsi="Arial" w:cs="Arial"/>
          <w:bCs/>
          <w:sz w:val="22"/>
          <w:szCs w:val="22"/>
          <w:lang w:val="es-ES_tradnl" w:eastAsia="es-CO"/>
        </w:rPr>
        <w:t>vedada</w:t>
      </w:r>
      <w:r w:rsidR="009E4C7C" w:rsidRPr="004102D2">
        <w:rPr>
          <w:rFonts w:ascii="Arial" w:hAnsi="Arial" w:cs="Arial"/>
          <w:bCs/>
          <w:sz w:val="22"/>
          <w:szCs w:val="22"/>
          <w:lang w:val="es-ES_tradnl" w:eastAsia="es-CO"/>
        </w:rPr>
        <w:t xml:space="preserve"> </w:t>
      </w:r>
      <w:r w:rsidRPr="00691AAC">
        <w:rPr>
          <w:rFonts w:ascii="Arial" w:hAnsi="Arial" w:cs="Arial"/>
          <w:bCs/>
          <w:sz w:val="22"/>
          <w:szCs w:val="22"/>
          <w:lang w:val="es-ES_tradnl" w:eastAsia="es-CO"/>
        </w:rPr>
        <w:t xml:space="preserve">la </w:t>
      </w:r>
      <w:r w:rsidR="009E4C7C" w:rsidRPr="004102D2">
        <w:rPr>
          <w:rFonts w:ascii="Arial" w:hAnsi="Arial" w:cs="Arial"/>
          <w:bCs/>
          <w:sz w:val="22"/>
          <w:szCs w:val="22"/>
          <w:lang w:val="es-ES_tradnl" w:eastAsia="es-CO"/>
        </w:rPr>
        <w:t>celebra</w:t>
      </w:r>
      <w:r w:rsidRPr="00691AAC">
        <w:rPr>
          <w:rFonts w:ascii="Arial" w:hAnsi="Arial" w:cs="Arial"/>
          <w:bCs/>
          <w:sz w:val="22"/>
          <w:szCs w:val="22"/>
          <w:lang w:val="es-ES_tradnl" w:eastAsia="es-CO"/>
        </w:rPr>
        <w:t>ción de</w:t>
      </w:r>
      <w:r w:rsidR="009E4C7C" w:rsidRPr="004102D2">
        <w:rPr>
          <w:rFonts w:ascii="Arial" w:hAnsi="Arial" w:cs="Arial"/>
          <w:bCs/>
          <w:sz w:val="22"/>
          <w:szCs w:val="22"/>
          <w:lang w:val="es-ES_tradnl" w:eastAsia="es-CO"/>
        </w:rPr>
        <w:t xml:space="preserve"> contratos de manera directa, </w:t>
      </w:r>
      <w:r w:rsidRPr="00691AAC">
        <w:rPr>
          <w:rFonts w:ascii="Arial" w:hAnsi="Arial" w:cs="Arial"/>
          <w:bCs/>
          <w:sz w:val="22"/>
          <w:szCs w:val="22"/>
          <w:lang w:val="es-ES_tradnl" w:eastAsia="es-CO"/>
        </w:rPr>
        <w:t xml:space="preserve">sin perjuicio de la posibilidad aplicar modalidades </w:t>
      </w:r>
      <w:r w:rsidR="001218B7" w:rsidRPr="004102D2">
        <w:rPr>
          <w:rFonts w:ascii="Arial" w:hAnsi="Arial" w:cs="Arial"/>
          <w:bCs/>
          <w:sz w:val="22"/>
          <w:szCs w:val="22"/>
          <w:lang w:val="es-ES_tradnl" w:eastAsia="es-CO"/>
        </w:rPr>
        <w:t>competitiv</w:t>
      </w:r>
      <w:r w:rsidRPr="00691AAC">
        <w:rPr>
          <w:rFonts w:ascii="Arial" w:hAnsi="Arial" w:cs="Arial"/>
          <w:bCs/>
          <w:sz w:val="22"/>
          <w:szCs w:val="22"/>
          <w:lang w:val="es-ES_tradnl" w:eastAsia="es-CO"/>
        </w:rPr>
        <w:t>as</w:t>
      </w:r>
      <w:r w:rsidR="001218B7" w:rsidRPr="004102D2">
        <w:rPr>
          <w:rFonts w:ascii="Arial" w:hAnsi="Arial" w:cs="Arial"/>
          <w:bCs/>
          <w:sz w:val="22"/>
          <w:szCs w:val="22"/>
          <w:lang w:val="es-ES_tradnl" w:eastAsia="es-CO"/>
        </w:rPr>
        <w:t>, l</w:t>
      </w:r>
      <w:r w:rsidRPr="00691AAC">
        <w:rPr>
          <w:rFonts w:ascii="Arial" w:hAnsi="Arial" w:cs="Arial"/>
          <w:bCs/>
          <w:sz w:val="22"/>
          <w:szCs w:val="22"/>
          <w:lang w:val="es-ES_tradnl" w:eastAsia="es-CO"/>
        </w:rPr>
        <w:t>as</w:t>
      </w:r>
      <w:r w:rsidR="001218B7" w:rsidRPr="004102D2">
        <w:rPr>
          <w:rFonts w:ascii="Arial" w:hAnsi="Arial" w:cs="Arial"/>
          <w:bCs/>
          <w:sz w:val="22"/>
          <w:szCs w:val="22"/>
          <w:lang w:val="es-ES_tradnl" w:eastAsia="es-CO"/>
        </w:rPr>
        <w:t xml:space="preserve"> cuales no se encuentran restringid</w:t>
      </w:r>
      <w:r w:rsidRPr="00691AAC">
        <w:rPr>
          <w:rFonts w:ascii="Arial" w:hAnsi="Arial" w:cs="Arial"/>
          <w:bCs/>
          <w:sz w:val="22"/>
          <w:szCs w:val="22"/>
          <w:lang w:val="es-ES_tradnl" w:eastAsia="es-CO"/>
        </w:rPr>
        <w:t>a</w:t>
      </w:r>
      <w:r w:rsidR="001218B7" w:rsidRPr="004102D2">
        <w:rPr>
          <w:rFonts w:ascii="Arial" w:hAnsi="Arial" w:cs="Arial"/>
          <w:bCs/>
          <w:sz w:val="22"/>
          <w:szCs w:val="22"/>
          <w:lang w:val="es-ES_tradnl" w:eastAsia="es-CO"/>
        </w:rPr>
        <w:t>s por el artículo 33 de la Ley 996 de 2005</w:t>
      </w:r>
      <w:r w:rsidRPr="00691AAC">
        <w:rPr>
          <w:rFonts w:ascii="Arial" w:hAnsi="Arial" w:cs="Arial"/>
          <w:bCs/>
          <w:sz w:val="22"/>
          <w:szCs w:val="22"/>
          <w:lang w:val="es-ES_tradnl" w:eastAsia="es-CO"/>
        </w:rPr>
        <w:t xml:space="preserve">, que, según lo explicado, solo restringe procesos de selección sin pluralidad de oferentes. </w:t>
      </w:r>
    </w:p>
    <w:p w14:paraId="1391484C" w14:textId="77777777" w:rsidR="001218B7" w:rsidRPr="004102D2" w:rsidRDefault="001218B7" w:rsidP="004102D2">
      <w:pPr>
        <w:spacing w:line="276" w:lineRule="auto"/>
        <w:ind w:firstLine="708"/>
        <w:jc w:val="both"/>
        <w:rPr>
          <w:rFonts w:ascii="Arial" w:hAnsi="Arial" w:cs="Arial"/>
          <w:bCs/>
          <w:sz w:val="22"/>
          <w:szCs w:val="22"/>
          <w:lang w:val="es-ES_tradnl" w:eastAsia="es-CO"/>
        </w:rPr>
      </w:pPr>
    </w:p>
    <w:p w14:paraId="0B5723FA" w14:textId="77777777" w:rsidR="00C32018" w:rsidRPr="00691AAC" w:rsidRDefault="00E54365" w:rsidP="004102D2">
      <w:pPr>
        <w:spacing w:line="360" w:lineRule="auto"/>
        <w:rPr>
          <w:rFonts w:ascii="Arial" w:eastAsia="Calibri" w:hAnsi="Arial" w:cs="Arial"/>
          <w:b/>
          <w:noProof/>
          <w:color w:val="161616" w:themeColor="background1" w:themeShade="1A"/>
          <w:sz w:val="22"/>
          <w:szCs w:val="22"/>
          <w:lang w:val="es-ES_tradnl"/>
        </w:rPr>
      </w:pPr>
      <w:bookmarkStart w:id="31" w:name="_1y810tw" w:colFirst="0" w:colLast="0"/>
      <w:bookmarkStart w:id="32" w:name="_2xcytpi" w:colFirst="0" w:colLast="0"/>
      <w:bookmarkStart w:id="33" w:name="_1ci93xb" w:colFirst="0" w:colLast="0"/>
      <w:bookmarkStart w:id="34" w:name="_3whwml4" w:colFirst="0" w:colLast="0"/>
      <w:bookmarkEnd w:id="9"/>
      <w:bookmarkEnd w:id="31"/>
      <w:bookmarkEnd w:id="32"/>
      <w:bookmarkEnd w:id="33"/>
      <w:bookmarkEnd w:id="34"/>
      <w:r w:rsidRPr="00691AAC">
        <w:rPr>
          <w:rFonts w:ascii="Arial" w:eastAsia="Calibri" w:hAnsi="Arial" w:cs="Arial"/>
          <w:b/>
          <w:noProof/>
          <w:color w:val="161616" w:themeColor="background1" w:themeShade="1A"/>
          <w:sz w:val="22"/>
          <w:szCs w:val="22"/>
          <w:lang w:val="es-ES_tradnl"/>
        </w:rPr>
        <w:t>3. Respuesta</w:t>
      </w:r>
    </w:p>
    <w:p w14:paraId="059B54FE" w14:textId="77777777" w:rsidR="00C32018" w:rsidRPr="00691AAC" w:rsidRDefault="00C32018" w:rsidP="00C32018">
      <w:pPr>
        <w:ind w:left="709" w:right="709"/>
        <w:jc w:val="both"/>
        <w:rPr>
          <w:rFonts w:ascii="Arial" w:hAnsi="Arial" w:cs="Arial"/>
          <w:color w:val="161616" w:themeColor="background1" w:themeShade="1A"/>
          <w:sz w:val="21"/>
          <w:szCs w:val="21"/>
          <w:lang w:val="es-ES_tradnl"/>
        </w:rPr>
      </w:pPr>
      <w:r w:rsidRPr="00691AAC">
        <w:rPr>
          <w:rFonts w:ascii="Arial" w:hAnsi="Arial" w:cs="Arial"/>
          <w:color w:val="161616" w:themeColor="background1" w:themeShade="1A"/>
          <w:sz w:val="21"/>
          <w:szCs w:val="21"/>
          <w:lang w:val="es-ES_tradnl"/>
        </w:rPr>
        <w:t>«[…] ¿Puede la UAE de Salud de Arauca, aplicar la excepción a que se refiere el artículo 33 de la citada ley 996 de 2005?»</w:t>
      </w:r>
    </w:p>
    <w:p w14:paraId="3318485A" w14:textId="77777777" w:rsidR="00C32018" w:rsidRPr="00691AAC" w:rsidRDefault="00C32018" w:rsidP="00C32018">
      <w:pPr>
        <w:ind w:left="709" w:right="709"/>
        <w:jc w:val="both"/>
        <w:rPr>
          <w:rFonts w:ascii="Arial" w:hAnsi="Arial" w:cs="Arial"/>
          <w:color w:val="161616" w:themeColor="background1" w:themeShade="1A"/>
          <w:sz w:val="21"/>
          <w:szCs w:val="21"/>
          <w:lang w:val="es-ES_tradnl"/>
        </w:rPr>
      </w:pPr>
    </w:p>
    <w:p w14:paraId="459C6163" w14:textId="77777777" w:rsidR="00C32018" w:rsidRPr="00691AAC" w:rsidRDefault="00C32018" w:rsidP="00C32018">
      <w:pPr>
        <w:ind w:left="709" w:right="709"/>
        <w:jc w:val="both"/>
        <w:rPr>
          <w:rFonts w:ascii="Arial" w:hAnsi="Arial" w:cs="Arial"/>
          <w:color w:val="161616" w:themeColor="background1" w:themeShade="1A"/>
          <w:sz w:val="21"/>
          <w:szCs w:val="21"/>
          <w:lang w:val="es-ES_tradnl"/>
        </w:rPr>
      </w:pPr>
      <w:r w:rsidRPr="00691AAC">
        <w:rPr>
          <w:rFonts w:ascii="Arial" w:hAnsi="Arial" w:cs="Arial"/>
          <w:color w:val="161616" w:themeColor="background1" w:themeShade="1A"/>
          <w:sz w:val="21"/>
          <w:szCs w:val="21"/>
          <w:lang w:val="es-ES_tradnl"/>
        </w:rPr>
        <w:t>«[…] ¿ Puede la UAE de Salud de Arauca, contratar el personal profesional y de apoyo necesario para cumplir con sus deberes misionales y administrativos de la Entidad?»</w:t>
      </w:r>
    </w:p>
    <w:p w14:paraId="3A415E19" w14:textId="2AD3AB43" w:rsidR="00853AE0" w:rsidRPr="00691AAC" w:rsidRDefault="00853AE0" w:rsidP="0022167B">
      <w:pPr>
        <w:ind w:right="760"/>
        <w:rPr>
          <w:rFonts w:ascii="Arial" w:hAnsi="Arial" w:cs="Arial"/>
          <w:color w:val="161616" w:themeColor="background1" w:themeShade="1A"/>
          <w:sz w:val="22"/>
          <w:szCs w:val="22"/>
          <w:lang w:val="es-ES_tradnl"/>
        </w:rPr>
      </w:pPr>
    </w:p>
    <w:p w14:paraId="116F213B" w14:textId="77777777" w:rsidR="00D93661" w:rsidRPr="00691AAC" w:rsidRDefault="00D93661" w:rsidP="00D93661">
      <w:pPr>
        <w:spacing w:line="276" w:lineRule="auto"/>
        <w:jc w:val="both"/>
        <w:rPr>
          <w:rFonts w:ascii="Arial" w:eastAsia="Arial" w:hAnsi="Arial" w:cs="Arial"/>
          <w:sz w:val="22"/>
          <w:szCs w:val="22"/>
        </w:rPr>
      </w:pPr>
      <w:bookmarkStart w:id="35" w:name="_Hlk50986665"/>
      <w:bookmarkStart w:id="36" w:name="_Hlk52766744"/>
      <w:r w:rsidRPr="00691AAC">
        <w:rPr>
          <w:rFonts w:ascii="Arial" w:eastAsia="Arial" w:hAnsi="Arial" w:cs="Arial"/>
          <w:sz w:val="22"/>
          <w:szCs w:val="22"/>
        </w:rPr>
        <w:t xml:space="preserve">El inciso segundo del artículo 33 dispone de dos (2) grandes grupos de excepciones a la prohibición de contratar directamente en la época preelectoral. </w:t>
      </w:r>
      <w:r w:rsidRPr="00691AAC">
        <w:rPr>
          <w:rFonts w:ascii="Arial" w:eastAsia="Arial" w:hAnsi="Arial" w:cs="Arial"/>
          <w:i/>
          <w:iCs/>
          <w:sz w:val="22"/>
          <w:szCs w:val="22"/>
        </w:rPr>
        <w:t>Por un lado</w:t>
      </w:r>
      <w:r w:rsidRPr="00691AAC">
        <w:rPr>
          <w:rFonts w:ascii="Arial" w:eastAsia="Arial" w:hAnsi="Arial" w:cs="Arial"/>
          <w:sz w:val="22"/>
          <w:szCs w:val="22"/>
        </w:rPr>
        <w:t xml:space="preserve">, las que atienden el ejercicio de cierta función o la atención de determinada actividad particular y sin importar la calidad del ente que la cumpla o desarrolle. </w:t>
      </w:r>
      <w:r w:rsidRPr="00691AAC">
        <w:rPr>
          <w:rFonts w:ascii="Arial" w:eastAsia="Arial" w:hAnsi="Arial" w:cs="Arial"/>
          <w:i/>
          <w:iCs/>
          <w:sz w:val="22"/>
          <w:szCs w:val="22"/>
        </w:rPr>
        <w:t>Por otra parte</w:t>
      </w:r>
      <w:r w:rsidRPr="00691AAC">
        <w:rPr>
          <w:rFonts w:ascii="Arial" w:eastAsia="Arial" w:hAnsi="Arial" w:cs="Arial"/>
          <w:sz w:val="22"/>
          <w:szCs w:val="22"/>
        </w:rPr>
        <w:t xml:space="preserve">, las que aluden a las entidades sanitarias y hospitalarias acudiendo a un criterio eminentemente subjetivo, pese a que no limita la excepción a un tipo de entidad en particular, sino que ata su aplicación a la naturaleza del respectivo ente. Así, para determinar si la contratación de una entidad pública está exceptuada de la prohibición general para la contratación directa, el intérprete deberá analizar el caso concreto para establecer que se trata de una actividad </w:t>
      </w:r>
      <w:r w:rsidRPr="00691AAC">
        <w:rPr>
          <w:rFonts w:ascii="Arial" w:eastAsia="Arial" w:hAnsi="Arial" w:cs="Arial"/>
          <w:sz w:val="22"/>
          <w:szCs w:val="22"/>
        </w:rPr>
        <w:lastRenderedPageBreak/>
        <w:t>de las descritas en la norma o que se encuentra frente a una entidad de sanidad u hospitalaria.</w:t>
      </w:r>
    </w:p>
    <w:p w14:paraId="6F5A9552" w14:textId="77777777" w:rsidR="00D93661" w:rsidRPr="00691AAC" w:rsidRDefault="00D93661" w:rsidP="00D93661">
      <w:pPr>
        <w:spacing w:before="120" w:line="276" w:lineRule="auto"/>
        <w:ind w:firstLine="709"/>
        <w:jc w:val="both"/>
        <w:rPr>
          <w:rFonts w:ascii="Arial" w:eastAsia="Arial" w:hAnsi="Arial" w:cs="Arial"/>
          <w:sz w:val="22"/>
          <w:szCs w:val="22"/>
        </w:rPr>
      </w:pPr>
      <w:r w:rsidRPr="00691AAC">
        <w:rPr>
          <w:rFonts w:ascii="Arial" w:eastAsia="Arial" w:hAnsi="Arial" w:cs="Arial"/>
          <w:sz w:val="22"/>
          <w:szCs w:val="22"/>
        </w:rPr>
        <w:t xml:space="preserve"> En relación con las actividades descritas en el inciso segundo del artículo 33,</w:t>
      </w:r>
      <w:r w:rsidRPr="00691AAC">
        <w:rPr>
          <w:rFonts w:ascii="Arial" w:eastAsia="Arial" w:hAnsi="Arial" w:cs="Arial"/>
          <w:bCs/>
          <w:sz w:val="22"/>
          <w:szCs w:val="22"/>
        </w:rPr>
        <w:t xml:space="preserve"> no resulta relevante ni la nominación ni el régimen aplicable para la respectiva entidad, sino que basta con que la misma desarrolle cierto tipo de actividades cuya contratación, por su naturaleza especialmente sensible, no admiten postergación. Por ello, los departamentos podrán contratar directamente bajo esta excepción en la medida en que las actividades a ejecutar se traten de: </w:t>
      </w:r>
      <w:r w:rsidRPr="00691AAC">
        <w:rPr>
          <w:rFonts w:ascii="Arial" w:eastAsia="Arial" w:hAnsi="Arial" w:cs="Arial"/>
          <w:sz w:val="22"/>
          <w:szCs w:val="22"/>
        </w:rPr>
        <w:t>i) defensa y seguridad del Estado; ii) contratos de crédito público; iii) cubrir emergencias educativas, sanitarias y desastres; iv) reconstrucción de vías, puentes, carreteras, infraestructura energética y de comunicaciones, en caso de que hayan sido objeto de atentados, acciones terroristas, desastres naturales o casos de fuerza mayor.</w:t>
      </w:r>
    </w:p>
    <w:p w14:paraId="45CF0C4D" w14:textId="77150DA0" w:rsidR="00BE5743" w:rsidRPr="00691AAC" w:rsidRDefault="00D93661" w:rsidP="001F21B5">
      <w:pPr>
        <w:spacing w:before="120" w:line="276" w:lineRule="auto"/>
        <w:ind w:firstLine="709"/>
        <w:jc w:val="both"/>
        <w:rPr>
          <w:rFonts w:ascii="Arial" w:eastAsia="Arial" w:hAnsi="Arial" w:cs="Arial"/>
          <w:bCs/>
          <w:sz w:val="22"/>
          <w:szCs w:val="22"/>
        </w:rPr>
      </w:pPr>
      <w:r w:rsidRPr="00691AAC">
        <w:rPr>
          <w:rFonts w:ascii="Arial" w:hAnsi="Arial" w:cs="Arial"/>
          <w:bCs/>
          <w:sz w:val="22"/>
          <w:lang w:val="es-ES_tradnl"/>
        </w:rPr>
        <w:t xml:space="preserve"> </w:t>
      </w:r>
      <w:r w:rsidR="00BD47CA" w:rsidRPr="00691AAC">
        <w:rPr>
          <w:rFonts w:ascii="Arial" w:hAnsi="Arial" w:cs="Arial"/>
          <w:bCs/>
          <w:sz w:val="22"/>
          <w:lang w:val="es-ES_tradnl"/>
        </w:rPr>
        <w:t>Sobre el particular debe tenerse en cuenta que, c</w:t>
      </w:r>
      <w:r w:rsidRPr="00691AAC">
        <w:rPr>
          <w:rFonts w:ascii="Arial" w:hAnsi="Arial" w:cs="Arial"/>
          <w:bCs/>
          <w:sz w:val="22"/>
          <w:lang w:val="es-ES_tradnl"/>
        </w:rPr>
        <w:t xml:space="preserve">onforme al </w:t>
      </w:r>
      <w:r w:rsidRPr="00691AAC">
        <w:rPr>
          <w:rFonts w:ascii="Arial" w:eastAsia="Arial" w:hAnsi="Arial" w:cs="Arial"/>
          <w:bCs/>
          <w:sz w:val="22"/>
          <w:szCs w:val="22"/>
        </w:rPr>
        <w:t xml:space="preserve">artículo 2.8.8.1.1.3 del Decreto 780 de 2016, las </w:t>
      </w:r>
      <w:r w:rsidRPr="00691AAC">
        <w:rPr>
          <w:rFonts w:ascii="Arial" w:eastAsia="Arial" w:hAnsi="Arial" w:cs="Arial"/>
          <w:bCs/>
          <w:i/>
          <w:iCs/>
          <w:sz w:val="22"/>
          <w:szCs w:val="22"/>
        </w:rPr>
        <w:t>entidades sanitarias</w:t>
      </w:r>
      <w:r w:rsidRPr="00691AAC">
        <w:rPr>
          <w:rFonts w:ascii="Arial" w:eastAsia="Arial" w:hAnsi="Arial" w:cs="Arial"/>
          <w:bCs/>
          <w:sz w:val="22"/>
          <w:szCs w:val="22"/>
        </w:rPr>
        <w:t xml:space="preserve"> se definen como «Entidades del Estado que prestan servicios sanitarios o de sanidad con el propósito de preservar la salud humana y la salud pública» y las </w:t>
      </w:r>
      <w:r w:rsidRPr="00691AAC">
        <w:rPr>
          <w:rFonts w:ascii="Arial" w:eastAsia="Arial" w:hAnsi="Arial" w:cs="Arial"/>
          <w:bCs/>
          <w:i/>
          <w:iCs/>
          <w:sz w:val="22"/>
          <w:szCs w:val="22"/>
        </w:rPr>
        <w:t>autoridades sanitarias</w:t>
      </w:r>
      <w:r w:rsidRPr="00691AAC">
        <w:rPr>
          <w:rFonts w:ascii="Arial" w:eastAsia="Arial" w:hAnsi="Arial" w:cs="Arial"/>
          <w:bCs/>
          <w:sz w:val="22"/>
          <w:szCs w:val="22"/>
        </w:rPr>
        <w:t xml:space="preserve"> son «Entidades jurídicas de carácter público con atribuciones para ejercer funciones de rectoría, regulación, inspección, vigilancia y control de los sectores público y privado en salud y adoptar medidas de prevención y seguimiento que garanticen la protección de la salud pública». Sin embargo, es necesario tener en cuenta que la excepción del artículo 33 de la Ley de Garantías solo aplica a las </w:t>
      </w:r>
      <w:r w:rsidRPr="00691AAC">
        <w:rPr>
          <w:rFonts w:ascii="Arial" w:eastAsia="Arial" w:hAnsi="Arial" w:cs="Arial"/>
          <w:bCs/>
          <w:i/>
          <w:iCs/>
          <w:sz w:val="22"/>
          <w:szCs w:val="22"/>
        </w:rPr>
        <w:t>entidades sanitarias</w:t>
      </w:r>
      <w:r w:rsidRPr="00691AAC">
        <w:rPr>
          <w:rFonts w:ascii="Arial" w:eastAsia="Arial" w:hAnsi="Arial" w:cs="Arial"/>
          <w:bCs/>
          <w:sz w:val="22"/>
          <w:szCs w:val="22"/>
        </w:rPr>
        <w:t xml:space="preserve">, no a las </w:t>
      </w:r>
      <w:r w:rsidRPr="00691AAC">
        <w:rPr>
          <w:rFonts w:ascii="Arial" w:eastAsia="Arial" w:hAnsi="Arial" w:cs="Arial"/>
          <w:bCs/>
          <w:i/>
          <w:iCs/>
          <w:sz w:val="22"/>
          <w:szCs w:val="22"/>
        </w:rPr>
        <w:t>autoridades sanitarias</w:t>
      </w:r>
      <w:r w:rsidRPr="00691AAC">
        <w:rPr>
          <w:rFonts w:ascii="Arial" w:eastAsia="Arial" w:hAnsi="Arial" w:cs="Arial"/>
          <w:bCs/>
          <w:sz w:val="22"/>
          <w:szCs w:val="22"/>
        </w:rPr>
        <w:t xml:space="preserve">. </w:t>
      </w:r>
    </w:p>
    <w:p w14:paraId="665C3333" w14:textId="570DED8B" w:rsidR="00BD47CA" w:rsidRPr="00691AAC" w:rsidRDefault="00425D74" w:rsidP="001F21B5">
      <w:pPr>
        <w:spacing w:before="120" w:line="276" w:lineRule="auto"/>
        <w:ind w:firstLine="709"/>
        <w:jc w:val="both"/>
        <w:rPr>
          <w:rFonts w:ascii="Arial" w:eastAsia="Calibri" w:hAnsi="Arial" w:cs="Arial"/>
          <w:sz w:val="22"/>
        </w:rPr>
      </w:pPr>
      <w:r w:rsidRPr="00691AAC">
        <w:rPr>
          <w:rFonts w:ascii="Arial" w:eastAsia="Arial" w:hAnsi="Arial" w:cs="Arial"/>
          <w:bCs/>
          <w:sz w:val="22"/>
          <w:szCs w:val="22"/>
        </w:rPr>
        <w:t>E</w:t>
      </w:r>
      <w:r w:rsidR="00876C3A" w:rsidRPr="00691AAC">
        <w:rPr>
          <w:rFonts w:ascii="Arial" w:eastAsia="Arial" w:hAnsi="Arial" w:cs="Arial"/>
          <w:bCs/>
          <w:sz w:val="22"/>
          <w:szCs w:val="22"/>
        </w:rPr>
        <w:t xml:space="preserve">s necesario tener en cuenta que la excepción del artículo 33 de la Ley de Garantías solo aplica a las </w:t>
      </w:r>
      <w:r w:rsidR="00876C3A" w:rsidRPr="00691AAC">
        <w:rPr>
          <w:rFonts w:ascii="Arial" w:eastAsia="Arial" w:hAnsi="Arial" w:cs="Arial"/>
          <w:bCs/>
          <w:i/>
          <w:iCs/>
          <w:sz w:val="22"/>
          <w:szCs w:val="22"/>
        </w:rPr>
        <w:t>entidades sanitarias</w:t>
      </w:r>
      <w:r w:rsidR="00876C3A" w:rsidRPr="00691AAC">
        <w:rPr>
          <w:rFonts w:ascii="Arial" w:eastAsia="Arial" w:hAnsi="Arial" w:cs="Arial"/>
          <w:bCs/>
          <w:sz w:val="22"/>
          <w:szCs w:val="22"/>
        </w:rPr>
        <w:t xml:space="preserve">, no a las </w:t>
      </w:r>
      <w:r w:rsidR="00876C3A" w:rsidRPr="00691AAC">
        <w:rPr>
          <w:rFonts w:ascii="Arial" w:eastAsia="Arial" w:hAnsi="Arial" w:cs="Arial"/>
          <w:bCs/>
          <w:i/>
          <w:iCs/>
          <w:sz w:val="22"/>
          <w:szCs w:val="22"/>
        </w:rPr>
        <w:t>autoridades sanitarias</w:t>
      </w:r>
      <w:r w:rsidR="00876C3A" w:rsidRPr="00691AAC">
        <w:rPr>
          <w:rFonts w:ascii="Arial" w:eastAsia="Arial" w:hAnsi="Arial" w:cs="Arial"/>
          <w:bCs/>
          <w:sz w:val="22"/>
          <w:szCs w:val="22"/>
        </w:rPr>
        <w:t xml:space="preserve">. </w:t>
      </w:r>
      <w:r w:rsidRPr="00691AAC">
        <w:rPr>
          <w:rFonts w:ascii="Arial" w:eastAsia="Arial" w:hAnsi="Arial" w:cs="Arial"/>
          <w:bCs/>
          <w:sz w:val="22"/>
          <w:szCs w:val="22"/>
          <w:lang w:val="es-ES_tradnl"/>
        </w:rPr>
        <w:t>Por lo tanto</w:t>
      </w:r>
      <w:r w:rsidR="00BE5743" w:rsidRPr="00691AAC">
        <w:rPr>
          <w:rFonts w:ascii="Arial" w:eastAsia="Arial" w:hAnsi="Arial" w:cs="Arial"/>
          <w:bCs/>
          <w:sz w:val="22"/>
          <w:szCs w:val="22"/>
          <w:lang w:val="es-ES_tradnl"/>
        </w:rPr>
        <w:t xml:space="preserve">, para efectos de la excepción del artículo 33 es indiferente que la entidad estatal tenga funciones de </w:t>
      </w:r>
      <w:r w:rsidR="00BE5743" w:rsidRPr="00691AAC">
        <w:rPr>
          <w:rFonts w:ascii="Arial" w:eastAsia="Arial" w:hAnsi="Arial" w:cs="Arial"/>
          <w:bCs/>
          <w:i/>
          <w:iCs/>
          <w:sz w:val="22"/>
          <w:szCs w:val="22"/>
          <w:lang w:val="es-ES_tradnl"/>
        </w:rPr>
        <w:t>autoridad sanitaria</w:t>
      </w:r>
      <w:r w:rsidR="00BE5743" w:rsidRPr="00691AAC">
        <w:rPr>
          <w:rFonts w:ascii="Arial" w:eastAsia="Arial" w:hAnsi="Arial" w:cs="Arial"/>
          <w:bCs/>
          <w:sz w:val="22"/>
          <w:szCs w:val="22"/>
          <w:lang w:val="es-ES_tradnl"/>
        </w:rPr>
        <w:t xml:space="preserve">, pues lo relevante para determinar si la contratación está exceptuada de la prohibición general no es el carácter de autoridad sanitaria, sino que se trate de una </w:t>
      </w:r>
      <w:r w:rsidR="00BE5743" w:rsidRPr="00691AAC">
        <w:rPr>
          <w:rFonts w:ascii="Arial" w:eastAsia="Arial" w:hAnsi="Arial" w:cs="Arial"/>
          <w:bCs/>
          <w:i/>
          <w:iCs/>
          <w:sz w:val="22"/>
          <w:szCs w:val="22"/>
          <w:lang w:val="es-ES_tradnl"/>
        </w:rPr>
        <w:t>entidad sanitaria</w:t>
      </w:r>
      <w:r w:rsidR="00BE5743" w:rsidRPr="00691AAC">
        <w:rPr>
          <w:rFonts w:ascii="Arial" w:eastAsia="Arial" w:hAnsi="Arial" w:cs="Arial"/>
          <w:bCs/>
          <w:sz w:val="22"/>
          <w:szCs w:val="22"/>
          <w:lang w:val="es-ES_tradnl"/>
        </w:rPr>
        <w:t>.</w:t>
      </w:r>
      <w:r w:rsidRPr="00691AAC">
        <w:rPr>
          <w:rFonts w:ascii="Arial" w:eastAsia="Arial" w:hAnsi="Arial" w:cs="Arial"/>
          <w:bCs/>
          <w:sz w:val="22"/>
          <w:szCs w:val="22"/>
          <w:lang w:val="es-ES_tradnl"/>
        </w:rPr>
        <w:t xml:space="preserve"> </w:t>
      </w:r>
      <w:r w:rsidRPr="00691AAC">
        <w:rPr>
          <w:rFonts w:ascii="Arial" w:eastAsia="Calibri" w:hAnsi="Arial" w:cs="Arial"/>
          <w:sz w:val="22"/>
        </w:rPr>
        <w:t xml:space="preserve">De acuerdo con </w:t>
      </w:r>
      <w:r w:rsidR="00BD47CA" w:rsidRPr="00691AAC">
        <w:rPr>
          <w:rFonts w:ascii="Arial" w:eastAsia="Calibri" w:hAnsi="Arial" w:cs="Arial"/>
          <w:sz w:val="22"/>
        </w:rPr>
        <w:t>el Decreto 333 del 2005 expedido por el Gobernador de Arauca, la Unidad Administrativa Especial de Salud de Arauca es una entidad descentralizada adscrita a la Secretaría Departamental de Planeación Departamental, cuyo objeto es «[…] dirigir, coordinar y vigilar el sector salud y el Sistema General de Seguridad Social en Salud en el Departamento de Arauca atendiendo los disposiciones nacionales sobre la materia»</w:t>
      </w:r>
      <w:r w:rsidR="00B36832">
        <w:rPr>
          <w:rFonts w:ascii="Arial" w:eastAsia="Calibri" w:hAnsi="Arial" w:cs="Arial"/>
          <w:sz w:val="22"/>
        </w:rPr>
        <w:t xml:space="preserve">. </w:t>
      </w:r>
      <w:r w:rsidR="00CB0F85" w:rsidRPr="00691AAC">
        <w:rPr>
          <w:rFonts w:ascii="Arial" w:eastAsia="Calibri" w:hAnsi="Arial" w:cs="Arial"/>
          <w:sz w:val="22"/>
        </w:rPr>
        <w:t xml:space="preserve"> </w:t>
      </w:r>
      <w:r w:rsidR="00810C5F" w:rsidRPr="00691AAC">
        <w:rPr>
          <w:rFonts w:ascii="Arial" w:eastAsia="Calibri" w:hAnsi="Arial" w:cs="Arial"/>
          <w:sz w:val="22"/>
        </w:rPr>
        <w:t xml:space="preserve"> </w:t>
      </w:r>
      <w:r w:rsidRPr="00691AAC">
        <w:rPr>
          <w:rFonts w:ascii="Arial" w:eastAsia="Calibri" w:hAnsi="Arial" w:cs="Arial"/>
          <w:sz w:val="22"/>
        </w:rPr>
        <w:t xml:space="preserve"> </w:t>
      </w:r>
      <w:r w:rsidR="00BD47CA" w:rsidRPr="00691AAC">
        <w:rPr>
          <w:rFonts w:ascii="Arial" w:eastAsia="Calibri" w:hAnsi="Arial" w:cs="Arial"/>
          <w:sz w:val="22"/>
        </w:rPr>
        <w:t xml:space="preserve"> </w:t>
      </w:r>
    </w:p>
    <w:p w14:paraId="4522D473" w14:textId="3A480A0C" w:rsidR="00612C53" w:rsidRPr="00691AAC" w:rsidRDefault="00CB0F85" w:rsidP="004102D2">
      <w:pPr>
        <w:spacing w:before="120" w:line="276" w:lineRule="auto"/>
        <w:ind w:firstLine="708"/>
        <w:jc w:val="both"/>
        <w:rPr>
          <w:rFonts w:ascii="Arial" w:eastAsia="Arial" w:hAnsi="Arial" w:cs="Arial"/>
          <w:color w:val="161616" w:themeColor="background1" w:themeShade="1A"/>
          <w:sz w:val="22"/>
          <w:szCs w:val="22"/>
          <w:lang w:val="es-ES_tradnl"/>
        </w:rPr>
      </w:pPr>
      <w:r w:rsidRPr="00691AAC">
        <w:rPr>
          <w:rFonts w:ascii="Arial" w:hAnsi="Arial" w:cs="Arial"/>
          <w:bCs/>
          <w:sz w:val="22"/>
          <w:szCs w:val="22"/>
          <w:lang w:val="es-ES_tradnl" w:eastAsia="es-CO"/>
        </w:rPr>
        <w:t xml:space="preserve">En todo caso, corresponde a cada entidad estatal realizar el correspondiente análisis para determinar si aplica o no una determinada excepción de acuerdo con la situación fáctica y jurídica particular del caso concreto, para lo cual las consideraciones expuestas en el presente concepto constituyen un instrumento orientador. </w:t>
      </w:r>
      <w:r w:rsidR="00F64376" w:rsidRPr="00691AAC">
        <w:rPr>
          <w:rFonts w:ascii="Arial" w:hAnsi="Arial" w:cs="Arial"/>
          <w:bCs/>
          <w:sz w:val="22"/>
          <w:szCs w:val="22"/>
          <w:lang w:val="es-ES_tradnl" w:eastAsia="es-CO"/>
        </w:rPr>
        <w:t>De</w:t>
      </w:r>
      <w:r w:rsidRPr="00691AAC">
        <w:rPr>
          <w:rFonts w:ascii="Arial" w:hAnsi="Arial" w:cs="Arial"/>
          <w:bCs/>
          <w:sz w:val="22"/>
          <w:szCs w:val="22"/>
          <w:lang w:val="es-ES_tradnl" w:eastAsia="es-CO"/>
        </w:rPr>
        <w:t xml:space="preserve"> encontrar</w:t>
      </w:r>
      <w:r w:rsidR="00F64376" w:rsidRPr="00691AAC">
        <w:rPr>
          <w:rFonts w:ascii="Arial" w:hAnsi="Arial" w:cs="Arial"/>
          <w:bCs/>
          <w:sz w:val="22"/>
          <w:szCs w:val="22"/>
          <w:lang w:val="es-ES_tradnl" w:eastAsia="es-CO"/>
        </w:rPr>
        <w:t>se</w:t>
      </w:r>
      <w:r w:rsidRPr="00691AAC">
        <w:rPr>
          <w:rFonts w:ascii="Arial" w:hAnsi="Arial" w:cs="Arial"/>
          <w:bCs/>
          <w:sz w:val="22"/>
          <w:szCs w:val="22"/>
          <w:lang w:val="es-ES_tradnl" w:eastAsia="es-CO"/>
        </w:rPr>
        <w:t xml:space="preserve"> procedente la excepción, bien podrá la entidad realizar la contratación directa, dejando constancia de las razones que justifican su </w:t>
      </w:r>
      <w:r w:rsidR="00F64376" w:rsidRPr="00691AAC">
        <w:rPr>
          <w:rFonts w:ascii="Arial" w:hAnsi="Arial" w:cs="Arial"/>
          <w:bCs/>
          <w:sz w:val="22"/>
          <w:szCs w:val="22"/>
          <w:lang w:val="es-ES_tradnl" w:eastAsia="es-CO"/>
        </w:rPr>
        <w:t>viabilidad</w:t>
      </w:r>
      <w:r w:rsidRPr="00691AAC">
        <w:rPr>
          <w:rFonts w:ascii="Arial" w:hAnsi="Arial" w:cs="Arial"/>
          <w:bCs/>
          <w:sz w:val="22"/>
          <w:szCs w:val="22"/>
          <w:lang w:val="es-ES_tradnl" w:eastAsia="es-CO"/>
        </w:rPr>
        <w:t xml:space="preserve"> a pesar de la restricción. Por el </w:t>
      </w:r>
      <w:r w:rsidR="00691AAC" w:rsidRPr="00691AAC">
        <w:rPr>
          <w:rFonts w:ascii="Arial" w:hAnsi="Arial" w:cs="Arial"/>
          <w:bCs/>
          <w:sz w:val="22"/>
          <w:szCs w:val="22"/>
          <w:lang w:val="es-ES_tradnl" w:eastAsia="es-CO"/>
        </w:rPr>
        <w:lastRenderedPageBreak/>
        <w:t>contrario,</w:t>
      </w:r>
      <w:r w:rsidR="00F64376" w:rsidRPr="00691AAC">
        <w:rPr>
          <w:rFonts w:ascii="Arial" w:hAnsi="Arial" w:cs="Arial"/>
          <w:bCs/>
          <w:sz w:val="22"/>
          <w:szCs w:val="22"/>
          <w:lang w:val="es-ES_tradnl" w:eastAsia="es-CO"/>
        </w:rPr>
        <w:t xml:space="preserve"> </w:t>
      </w:r>
      <w:r w:rsidRPr="00691AAC">
        <w:rPr>
          <w:rFonts w:ascii="Arial" w:hAnsi="Arial" w:cs="Arial"/>
          <w:bCs/>
          <w:sz w:val="22"/>
          <w:szCs w:val="22"/>
          <w:lang w:val="es-ES_tradnl" w:eastAsia="es-CO"/>
        </w:rPr>
        <w:t>si el estudio determina que no aplica excepción alguna, deberá abstenerse la respectiva entidad de celebrar contratos de manera directa, pero bien podrá acudir a los procesos competitivos que resulten procedentes, los cuales no se encuentran restringidos por el artículo 33 de la Ley 996 de 2005.</w:t>
      </w:r>
      <w:r w:rsidR="00A568F2" w:rsidRPr="00691AAC">
        <w:rPr>
          <w:rFonts w:ascii="Arial" w:hAnsi="Arial" w:cs="Arial"/>
          <w:bCs/>
          <w:sz w:val="22"/>
          <w:szCs w:val="22"/>
          <w:lang w:val="es-ES_tradnl" w:eastAsia="es-CO"/>
        </w:rPr>
        <w:t xml:space="preserve"> Por demás se advierte que, </w:t>
      </w:r>
      <w:r w:rsidR="006421F8" w:rsidRPr="00691AAC">
        <w:rPr>
          <w:rFonts w:ascii="Arial" w:hAnsi="Arial" w:cs="Arial"/>
          <w:bCs/>
          <w:sz w:val="22"/>
          <w:szCs w:val="22"/>
          <w:lang w:val="es-ES_tradnl" w:eastAsia="es-CO"/>
        </w:rPr>
        <w:t xml:space="preserve">los límites de </w:t>
      </w:r>
      <w:r w:rsidR="00A568F2" w:rsidRPr="00691AAC">
        <w:rPr>
          <w:rFonts w:ascii="Arial" w:eastAsia="Arial" w:hAnsi="Arial" w:cs="Arial"/>
          <w:color w:val="161616" w:themeColor="background1" w:themeShade="1A"/>
          <w:sz w:val="22"/>
          <w:szCs w:val="22"/>
          <w:lang w:val="es-ES_tradnl"/>
        </w:rPr>
        <w:t xml:space="preserve">la competencia consultiva atribuida por los </w:t>
      </w:r>
      <w:r w:rsidR="00D93661" w:rsidRPr="00691AAC">
        <w:rPr>
          <w:rFonts w:ascii="Arial" w:eastAsia="Arial" w:hAnsi="Arial" w:cs="Arial"/>
          <w:color w:val="161616" w:themeColor="background1" w:themeShade="1A"/>
          <w:sz w:val="22"/>
          <w:szCs w:val="22"/>
          <w:lang w:val="es-ES_tradnl"/>
        </w:rPr>
        <w:t xml:space="preserve">artículos 3, numeral 5, 11, numeral 8, 12, numeral 6, y 13, numeral 4, del Decreto 4170 de 2011, </w:t>
      </w:r>
      <w:r w:rsidR="006421F8" w:rsidRPr="00691AAC">
        <w:rPr>
          <w:rFonts w:ascii="Arial" w:eastAsia="Arial" w:hAnsi="Arial" w:cs="Arial"/>
          <w:color w:val="161616" w:themeColor="background1" w:themeShade="1A"/>
          <w:sz w:val="22"/>
          <w:szCs w:val="22"/>
          <w:lang w:val="es-ES_tradnl"/>
        </w:rPr>
        <w:t xml:space="preserve">no le permiten a esta Agencia </w:t>
      </w:r>
      <w:r w:rsidR="00691AAC">
        <w:rPr>
          <w:rFonts w:ascii="Arial" w:eastAsia="Arial" w:hAnsi="Arial" w:cs="Arial"/>
          <w:color w:val="161616" w:themeColor="background1" w:themeShade="1A"/>
          <w:sz w:val="22"/>
          <w:szCs w:val="22"/>
          <w:lang w:val="es-ES_tradnl"/>
        </w:rPr>
        <w:t xml:space="preserve">establecer </w:t>
      </w:r>
      <w:r w:rsidR="006421F8" w:rsidRPr="00691AAC">
        <w:rPr>
          <w:rFonts w:ascii="Arial" w:eastAsia="Arial" w:hAnsi="Arial" w:cs="Arial"/>
          <w:color w:val="161616" w:themeColor="background1" w:themeShade="1A"/>
          <w:sz w:val="22"/>
          <w:szCs w:val="22"/>
          <w:lang w:val="es-ES_tradnl"/>
        </w:rPr>
        <w:t>que contratos puede o no celebrar un</w:t>
      </w:r>
      <w:r w:rsidR="00691AAC">
        <w:rPr>
          <w:rFonts w:ascii="Arial" w:eastAsia="Arial" w:hAnsi="Arial" w:cs="Arial"/>
          <w:color w:val="161616" w:themeColor="background1" w:themeShade="1A"/>
          <w:sz w:val="22"/>
          <w:szCs w:val="22"/>
          <w:lang w:val="es-ES_tradnl"/>
        </w:rPr>
        <w:t>a</w:t>
      </w:r>
      <w:r w:rsidR="006421F8" w:rsidRPr="00691AAC">
        <w:rPr>
          <w:rFonts w:ascii="Arial" w:eastAsia="Arial" w:hAnsi="Arial" w:cs="Arial"/>
          <w:color w:val="161616" w:themeColor="background1" w:themeShade="1A"/>
          <w:sz w:val="22"/>
          <w:szCs w:val="22"/>
          <w:lang w:val="es-ES_tradnl"/>
        </w:rPr>
        <w:t xml:space="preserve"> entidad pública</w:t>
      </w:r>
      <w:r w:rsidR="00691AAC">
        <w:rPr>
          <w:rFonts w:ascii="Arial" w:eastAsia="Arial" w:hAnsi="Arial" w:cs="Arial"/>
          <w:color w:val="161616" w:themeColor="background1" w:themeShade="1A"/>
          <w:sz w:val="22"/>
          <w:szCs w:val="22"/>
          <w:lang w:val="es-ES_tradnl"/>
        </w:rPr>
        <w:t xml:space="preserve"> en el marco de sus gestión contractual</w:t>
      </w:r>
      <w:r w:rsidR="006421F8" w:rsidRPr="00691AAC">
        <w:rPr>
          <w:rFonts w:ascii="Arial" w:eastAsia="Arial" w:hAnsi="Arial" w:cs="Arial"/>
          <w:color w:val="161616" w:themeColor="background1" w:themeShade="1A"/>
          <w:sz w:val="22"/>
          <w:szCs w:val="22"/>
          <w:lang w:val="es-ES_tradnl"/>
        </w:rPr>
        <w:t xml:space="preserve">. </w:t>
      </w:r>
    </w:p>
    <w:p w14:paraId="33EE2493" w14:textId="586FBAC3" w:rsidR="001218B7" w:rsidRDefault="001218B7" w:rsidP="004102D2">
      <w:pPr>
        <w:spacing w:line="276" w:lineRule="auto"/>
        <w:ind w:right="77" w:firstLine="708"/>
        <w:jc w:val="both"/>
        <w:rPr>
          <w:rFonts w:ascii="Arial" w:eastAsia="Arial" w:hAnsi="Arial" w:cs="Arial"/>
          <w:color w:val="161616" w:themeColor="background1" w:themeShade="1A"/>
          <w:sz w:val="22"/>
          <w:szCs w:val="22"/>
          <w:lang w:val="es-ES_tradnl"/>
        </w:rPr>
      </w:pPr>
    </w:p>
    <w:p w14:paraId="78532118" w14:textId="77777777" w:rsidR="00C516B0" w:rsidRPr="00691AAC" w:rsidRDefault="00C516B0" w:rsidP="00D441AC">
      <w:pPr>
        <w:spacing w:line="300" w:lineRule="auto"/>
        <w:jc w:val="both"/>
        <w:rPr>
          <w:rFonts w:ascii="Arial" w:eastAsia="Arial" w:hAnsi="Arial" w:cs="Arial"/>
          <w:color w:val="161616" w:themeColor="background1" w:themeShade="1A"/>
          <w:sz w:val="22"/>
          <w:szCs w:val="22"/>
          <w:lang w:val="es-ES_tradnl"/>
        </w:rPr>
      </w:pPr>
      <w:r w:rsidRPr="00691AAC">
        <w:rPr>
          <w:rFonts w:ascii="Arial" w:eastAsia="Arial" w:hAnsi="Arial" w:cs="Arial"/>
          <w:color w:val="161616" w:themeColor="background1" w:themeShade="1A"/>
          <w:sz w:val="22"/>
          <w:szCs w:val="22"/>
          <w:lang w:val="es-ES_tradnl"/>
        </w:rPr>
        <w:t>Este concepto tiene el alcance previsto en el artículo 28 del Código de Procedimiento Administrativo y de lo Contencioso Administrativo.</w:t>
      </w:r>
    </w:p>
    <w:p w14:paraId="73353508" w14:textId="7D7D7DD5" w:rsidR="00EE6A82" w:rsidRPr="00691AAC" w:rsidRDefault="00EE6A82" w:rsidP="001F21B5">
      <w:pPr>
        <w:spacing w:before="120" w:line="300" w:lineRule="auto"/>
        <w:jc w:val="both"/>
        <w:rPr>
          <w:rFonts w:ascii="Arial" w:hAnsi="Arial" w:cs="Arial"/>
          <w:color w:val="161616" w:themeColor="background1" w:themeShade="1A"/>
          <w:sz w:val="22"/>
          <w:szCs w:val="22"/>
          <w:lang w:val="es-ES_tradnl" w:eastAsia="es-CO"/>
        </w:rPr>
      </w:pPr>
      <w:r w:rsidRPr="00691AAC">
        <w:rPr>
          <w:rFonts w:ascii="Arial" w:hAnsi="Arial" w:cs="Arial"/>
          <w:color w:val="161616" w:themeColor="background1" w:themeShade="1A"/>
          <w:sz w:val="22"/>
          <w:szCs w:val="22"/>
          <w:lang w:val="es-ES_tradnl" w:eastAsia="es-CO"/>
        </w:rPr>
        <w:t>Atentamente,</w:t>
      </w:r>
    </w:p>
    <w:bookmarkEnd w:id="8"/>
    <w:bookmarkEnd w:id="35"/>
    <w:bookmarkEnd w:id="36"/>
    <w:p w14:paraId="35B56F46" w14:textId="281A51DC" w:rsidR="00746E08" w:rsidRPr="00691AAC" w:rsidRDefault="00267C8B" w:rsidP="0022167B">
      <w:pPr>
        <w:jc w:val="center"/>
        <w:rPr>
          <w:rFonts w:ascii="Arial" w:hAnsi="Arial" w:cs="Arial"/>
          <w:color w:val="161616" w:themeColor="background1" w:themeShade="1A"/>
          <w:sz w:val="22"/>
          <w:szCs w:val="22"/>
          <w:lang w:val="es-ES_tradnl" w:eastAsia="es-CO"/>
        </w:rPr>
      </w:pPr>
      <w:r>
        <w:rPr>
          <w:rFonts w:ascii="Arial" w:hAnsi="Arial" w:cs="Arial"/>
          <w:noProof/>
          <w:color w:val="000000"/>
          <w:sz w:val="22"/>
          <w:shd w:val="clear" w:color="auto" w:fill="FFFFFF"/>
          <w:lang w:val="es-ES"/>
        </w:rPr>
        <w:drawing>
          <wp:inline distT="0" distB="0" distL="0" distR="0" wp14:anchorId="14C32AE8" wp14:editId="1E51D2C9">
            <wp:extent cx="2466975" cy="1049546"/>
            <wp:effectExtent l="0" t="0" r="0" b="0"/>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487860" cy="1058431"/>
                    </a:xfrm>
                    <a:prstGeom prst="rect">
                      <a:avLst/>
                    </a:prstGeom>
                    <a:noFill/>
                    <a:ln>
                      <a:noFill/>
                    </a:ln>
                  </pic:spPr>
                </pic:pic>
              </a:graphicData>
            </a:graphic>
          </wp:inline>
        </w:drawing>
      </w:r>
    </w:p>
    <w:tbl>
      <w:tblPr>
        <w:tblStyle w:val="Tablaconcuadrcula1"/>
        <w:tblpPr w:leftFromText="141" w:rightFromText="141" w:vertAnchor="text" w:horzAnchor="margin" w:tblpY="26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17"/>
        <w:gridCol w:w="4445"/>
      </w:tblGrid>
      <w:tr w:rsidR="00365559" w:rsidRPr="00691AAC" w14:paraId="4CCF77F6" w14:textId="77777777" w:rsidTr="00EA4372">
        <w:trPr>
          <w:trHeight w:val="286"/>
        </w:trPr>
        <w:tc>
          <w:tcPr>
            <w:tcW w:w="817" w:type="dxa"/>
            <w:vAlign w:val="center"/>
          </w:tcPr>
          <w:p w14:paraId="5E8C42ED" w14:textId="77777777" w:rsidR="00365559" w:rsidRPr="00691AAC" w:rsidRDefault="00365559" w:rsidP="00EA4372">
            <w:pPr>
              <w:rPr>
                <w:rFonts w:ascii="Arial" w:hAnsi="Arial" w:cs="Arial"/>
                <w:sz w:val="16"/>
                <w:szCs w:val="16"/>
                <w:lang w:eastAsia="es-ES"/>
              </w:rPr>
            </w:pPr>
            <w:r w:rsidRPr="00691AAC">
              <w:rPr>
                <w:rFonts w:ascii="Arial" w:hAnsi="Arial" w:cs="Arial"/>
                <w:sz w:val="16"/>
                <w:szCs w:val="16"/>
                <w:lang w:eastAsia="es-ES"/>
              </w:rPr>
              <w:t>Elaboró:</w:t>
            </w:r>
          </w:p>
        </w:tc>
        <w:tc>
          <w:tcPr>
            <w:tcW w:w="4445" w:type="dxa"/>
            <w:tcBorders>
              <w:bottom w:val="dotted" w:sz="4" w:space="0" w:color="7F7F7F"/>
            </w:tcBorders>
            <w:vAlign w:val="center"/>
          </w:tcPr>
          <w:p w14:paraId="45F069FF" w14:textId="77777777" w:rsidR="00365559" w:rsidRPr="00691AAC" w:rsidRDefault="00365559" w:rsidP="00EA4372">
            <w:pPr>
              <w:rPr>
                <w:rFonts w:ascii="Arial" w:hAnsi="Arial" w:cs="Arial"/>
                <w:sz w:val="16"/>
                <w:szCs w:val="16"/>
                <w:lang w:eastAsia="es-ES"/>
              </w:rPr>
            </w:pPr>
            <w:r w:rsidRPr="00691AAC">
              <w:rPr>
                <w:rFonts w:ascii="Arial" w:hAnsi="Arial" w:cs="Arial"/>
                <w:sz w:val="16"/>
                <w:szCs w:val="16"/>
                <w:lang w:eastAsia="es-ES"/>
              </w:rPr>
              <w:t xml:space="preserve">Diana Fabiola Herrera Hernández </w:t>
            </w:r>
          </w:p>
          <w:p w14:paraId="331F24B1" w14:textId="77777777" w:rsidR="00365559" w:rsidRPr="00691AAC" w:rsidRDefault="00365559" w:rsidP="00EA4372">
            <w:pPr>
              <w:rPr>
                <w:rFonts w:ascii="Arial" w:hAnsi="Arial" w:cs="Arial"/>
                <w:sz w:val="16"/>
                <w:szCs w:val="16"/>
                <w:lang w:eastAsia="es-ES"/>
              </w:rPr>
            </w:pPr>
            <w:r w:rsidRPr="00691AAC">
              <w:rPr>
                <w:rFonts w:ascii="Arial" w:hAnsi="Arial" w:cs="Arial"/>
                <w:sz w:val="16"/>
                <w:szCs w:val="16"/>
                <w:lang w:eastAsia="es-ES"/>
              </w:rPr>
              <w:t>Contratista de la Subdirección de Gestión Contractual</w:t>
            </w:r>
          </w:p>
        </w:tc>
      </w:tr>
      <w:tr w:rsidR="00365559" w:rsidRPr="00691AAC" w14:paraId="15F783E9" w14:textId="77777777" w:rsidTr="00EA4372">
        <w:trPr>
          <w:trHeight w:val="299"/>
        </w:trPr>
        <w:tc>
          <w:tcPr>
            <w:tcW w:w="817" w:type="dxa"/>
            <w:vAlign w:val="center"/>
          </w:tcPr>
          <w:p w14:paraId="4E39F427" w14:textId="77777777" w:rsidR="00365559" w:rsidRPr="00691AAC" w:rsidRDefault="00365559" w:rsidP="00EA4372">
            <w:pPr>
              <w:rPr>
                <w:rFonts w:ascii="Arial" w:hAnsi="Arial" w:cs="Arial"/>
                <w:sz w:val="16"/>
                <w:szCs w:val="16"/>
                <w:lang w:eastAsia="es-ES"/>
              </w:rPr>
            </w:pPr>
            <w:r w:rsidRPr="00691AAC">
              <w:rPr>
                <w:rFonts w:ascii="Arial" w:hAnsi="Arial" w:cs="Arial"/>
                <w:sz w:val="16"/>
                <w:szCs w:val="16"/>
                <w:lang w:eastAsia="es-ES"/>
              </w:rPr>
              <w:t>Revisó:</w:t>
            </w:r>
          </w:p>
        </w:tc>
        <w:tc>
          <w:tcPr>
            <w:tcW w:w="4445" w:type="dxa"/>
            <w:tcBorders>
              <w:top w:val="dotted" w:sz="4" w:space="0" w:color="7F7F7F"/>
              <w:bottom w:val="dotted" w:sz="4" w:space="0" w:color="7F7F7F"/>
            </w:tcBorders>
            <w:vAlign w:val="center"/>
          </w:tcPr>
          <w:p w14:paraId="20586991" w14:textId="77777777" w:rsidR="00365559" w:rsidRPr="00691AAC" w:rsidRDefault="00365559" w:rsidP="00EA4372">
            <w:pPr>
              <w:rPr>
                <w:rFonts w:ascii="Arial" w:hAnsi="Arial" w:cs="Arial"/>
                <w:sz w:val="16"/>
                <w:szCs w:val="16"/>
                <w:lang w:eastAsia="es-ES"/>
              </w:rPr>
            </w:pPr>
            <w:r w:rsidRPr="00691AAC">
              <w:rPr>
                <w:rFonts w:ascii="Arial" w:hAnsi="Arial" w:cs="Arial"/>
                <w:sz w:val="16"/>
                <w:szCs w:val="16"/>
                <w:lang w:eastAsia="es-ES"/>
              </w:rPr>
              <w:t>Alejandro Sarmiento Cantillo</w:t>
            </w:r>
          </w:p>
          <w:p w14:paraId="7AD69AA4" w14:textId="77777777" w:rsidR="00365559" w:rsidRPr="00691AAC" w:rsidRDefault="00365559" w:rsidP="00EA4372">
            <w:pPr>
              <w:rPr>
                <w:rFonts w:ascii="Arial" w:hAnsi="Arial" w:cs="Arial"/>
                <w:sz w:val="16"/>
                <w:szCs w:val="16"/>
                <w:lang w:eastAsia="es-ES"/>
              </w:rPr>
            </w:pPr>
            <w:r w:rsidRPr="00691AAC">
              <w:rPr>
                <w:rFonts w:ascii="Arial" w:hAnsi="Arial" w:cs="Arial"/>
                <w:sz w:val="16"/>
                <w:szCs w:val="16"/>
                <w:lang w:eastAsia="es-ES"/>
              </w:rPr>
              <w:t>Gestor T1-15 de la Subdirección de Gestión Contractual</w:t>
            </w:r>
          </w:p>
        </w:tc>
      </w:tr>
      <w:tr w:rsidR="00365559" w:rsidRPr="00691AAC" w14:paraId="641F9728" w14:textId="77777777" w:rsidTr="00EA4372">
        <w:trPr>
          <w:trHeight w:val="272"/>
        </w:trPr>
        <w:tc>
          <w:tcPr>
            <w:tcW w:w="817" w:type="dxa"/>
            <w:vAlign w:val="center"/>
          </w:tcPr>
          <w:p w14:paraId="538C3EB6" w14:textId="77777777" w:rsidR="00365559" w:rsidRPr="00691AAC" w:rsidRDefault="00365559" w:rsidP="00EA4372">
            <w:pPr>
              <w:rPr>
                <w:rFonts w:ascii="Arial" w:hAnsi="Arial" w:cs="Arial"/>
                <w:sz w:val="16"/>
                <w:szCs w:val="16"/>
                <w:lang w:eastAsia="es-ES"/>
              </w:rPr>
            </w:pPr>
            <w:r w:rsidRPr="00691AAC">
              <w:rPr>
                <w:rFonts w:ascii="Arial" w:hAnsi="Arial" w:cs="Arial"/>
                <w:sz w:val="16"/>
                <w:szCs w:val="16"/>
                <w:lang w:eastAsia="es-ES"/>
              </w:rPr>
              <w:t>Aprobó:</w:t>
            </w:r>
          </w:p>
        </w:tc>
        <w:tc>
          <w:tcPr>
            <w:tcW w:w="4445" w:type="dxa"/>
            <w:tcBorders>
              <w:top w:val="dotted" w:sz="4" w:space="0" w:color="7F7F7F"/>
              <w:bottom w:val="dotted" w:sz="4" w:space="0" w:color="7F7F7F"/>
            </w:tcBorders>
            <w:vAlign w:val="center"/>
          </w:tcPr>
          <w:p w14:paraId="5BD5396C" w14:textId="77777777" w:rsidR="00DC0208" w:rsidRPr="00E21A8A" w:rsidRDefault="00DC0208" w:rsidP="00DC0208">
            <w:pPr>
              <w:jc w:val="both"/>
              <w:rPr>
                <w:rFonts w:ascii="Arial" w:hAnsi="Arial" w:cs="Arial"/>
                <w:color w:val="000000" w:themeColor="text1"/>
                <w:sz w:val="16"/>
                <w:szCs w:val="16"/>
                <w:lang w:val="es-ES_tradnl" w:eastAsia="es-ES"/>
              </w:rPr>
            </w:pPr>
            <w:r w:rsidRPr="00E21A8A">
              <w:rPr>
                <w:rFonts w:ascii="Arial" w:hAnsi="Arial" w:cs="Arial"/>
                <w:color w:val="000000" w:themeColor="text1"/>
                <w:sz w:val="16"/>
                <w:szCs w:val="16"/>
                <w:lang w:val="es-ES_tradnl" w:eastAsia="es-ES"/>
              </w:rPr>
              <w:t>Andrés Ricardo Mancipe González</w:t>
            </w:r>
          </w:p>
          <w:p w14:paraId="52781738" w14:textId="1B3868FA" w:rsidR="00365559" w:rsidRPr="00691AAC" w:rsidRDefault="00DC0208" w:rsidP="00EA4372">
            <w:pPr>
              <w:rPr>
                <w:rFonts w:ascii="Arial" w:hAnsi="Arial" w:cs="Arial"/>
                <w:sz w:val="16"/>
                <w:szCs w:val="16"/>
                <w:lang w:eastAsia="es-ES"/>
              </w:rPr>
            </w:pPr>
            <w:r w:rsidRPr="00E21A8A">
              <w:rPr>
                <w:rFonts w:ascii="Arial" w:hAnsi="Arial" w:cs="Arial"/>
                <w:color w:val="000000" w:themeColor="text1"/>
                <w:sz w:val="16"/>
                <w:szCs w:val="16"/>
                <w:lang w:val="es-ES_tradnl" w:eastAsia="es-ES"/>
              </w:rPr>
              <w:t>Subdirector de Gestión Contractual ANCP – CCE (E)</w:t>
            </w:r>
          </w:p>
        </w:tc>
      </w:tr>
    </w:tbl>
    <w:p w14:paraId="46A2D6C9" w14:textId="77777777" w:rsidR="00123BE2" w:rsidRPr="00691AAC" w:rsidRDefault="00123BE2" w:rsidP="0022167B">
      <w:pPr>
        <w:rPr>
          <w:rFonts w:ascii="Arial" w:hAnsi="Arial" w:cs="Arial"/>
          <w:color w:val="161616" w:themeColor="background1" w:themeShade="1A"/>
          <w:sz w:val="22"/>
          <w:szCs w:val="22"/>
          <w:lang w:val="es-ES_tradnl"/>
        </w:rPr>
      </w:pPr>
    </w:p>
    <w:sectPr w:rsidR="00123BE2" w:rsidRPr="00691AAC" w:rsidSect="00D650B5">
      <w:headerReference w:type="default" r:id="rId13"/>
      <w:footerReference w:type="default" r:id="rId14"/>
      <w:pgSz w:w="12240" w:h="15840"/>
      <w:pgMar w:top="2041" w:right="1758" w:bottom="1474" w:left="1758" w:header="340" w:footer="22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0BDD90A" w14:textId="77777777" w:rsidR="00DA2124" w:rsidRDefault="00DA2124">
      <w:r>
        <w:separator/>
      </w:r>
    </w:p>
  </w:endnote>
  <w:endnote w:type="continuationSeparator" w:id="0">
    <w:p w14:paraId="2805F027" w14:textId="77777777" w:rsidR="00DA2124" w:rsidRDefault="00DA212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A3785F3" w14:textId="5F905D24" w:rsidR="00EF64D8" w:rsidRPr="008217B7" w:rsidRDefault="00EF64D8" w:rsidP="00FE42ED">
    <w:pPr>
      <w:pStyle w:val="Piedepgina"/>
      <w:jc w:val="right"/>
      <w:rPr>
        <w:rFonts w:ascii="Arial" w:hAnsi="Arial" w:cs="Arial"/>
        <w:color w:val="7F7F7F" w:themeColor="text1" w:themeTint="80"/>
        <w:sz w:val="16"/>
        <w:szCs w:val="16"/>
      </w:rPr>
    </w:pPr>
    <w:r w:rsidRPr="008217B7">
      <w:rPr>
        <w:rFonts w:ascii="Arial" w:hAnsi="Arial" w:cs="Arial"/>
        <w:bCs/>
        <w:color w:val="7F7F7F" w:themeColor="text1" w:themeTint="80"/>
        <w:sz w:val="16"/>
        <w:szCs w:val="16"/>
      </w:rPr>
      <w:t xml:space="preserve">Página </w:t>
    </w:r>
    <w:r w:rsidRPr="00084B97">
      <w:rPr>
        <w:rFonts w:ascii="Arial" w:hAnsi="Arial" w:cs="Arial"/>
        <w:b/>
        <w:bCs/>
        <w:color w:val="7F7F7F" w:themeColor="text1" w:themeTint="80"/>
        <w:sz w:val="16"/>
        <w:szCs w:val="16"/>
      </w:rPr>
      <w:fldChar w:fldCharType="begin"/>
    </w:r>
    <w:r w:rsidRPr="00084B97">
      <w:rPr>
        <w:rFonts w:ascii="Arial" w:hAnsi="Arial" w:cs="Arial"/>
        <w:b/>
        <w:bCs/>
        <w:color w:val="7F7F7F" w:themeColor="text1" w:themeTint="80"/>
        <w:sz w:val="16"/>
        <w:szCs w:val="16"/>
      </w:rPr>
      <w:instrText>PAGE  \* Arabic  \* MERGEFORMAT</w:instrText>
    </w:r>
    <w:r w:rsidRPr="00084B97">
      <w:rPr>
        <w:rFonts w:ascii="Arial" w:hAnsi="Arial" w:cs="Arial"/>
        <w:b/>
        <w:bCs/>
        <w:color w:val="7F7F7F" w:themeColor="text1" w:themeTint="80"/>
        <w:sz w:val="16"/>
        <w:szCs w:val="16"/>
      </w:rPr>
      <w:fldChar w:fldCharType="separate"/>
    </w:r>
    <w:r w:rsidR="002801C7">
      <w:rPr>
        <w:rFonts w:ascii="Arial" w:hAnsi="Arial" w:cs="Arial"/>
        <w:b/>
        <w:bCs/>
        <w:noProof/>
        <w:color w:val="7F7F7F" w:themeColor="text1" w:themeTint="80"/>
        <w:sz w:val="16"/>
        <w:szCs w:val="16"/>
      </w:rPr>
      <w:t>9</w:t>
    </w:r>
    <w:r w:rsidRPr="00084B97">
      <w:rPr>
        <w:rFonts w:ascii="Arial" w:hAnsi="Arial" w:cs="Arial"/>
        <w:b/>
        <w:bCs/>
        <w:color w:val="7F7F7F" w:themeColor="text1" w:themeTint="80"/>
        <w:sz w:val="16"/>
        <w:szCs w:val="16"/>
      </w:rPr>
      <w:fldChar w:fldCharType="end"/>
    </w:r>
    <w:r w:rsidRPr="008217B7">
      <w:rPr>
        <w:rFonts w:ascii="Arial" w:hAnsi="Arial" w:cs="Arial"/>
        <w:color w:val="7F7F7F" w:themeColor="text1" w:themeTint="80"/>
        <w:sz w:val="16"/>
        <w:szCs w:val="16"/>
      </w:rPr>
      <w:t xml:space="preserve"> de </w:t>
    </w:r>
    <w:r w:rsidRPr="00084B97">
      <w:rPr>
        <w:rFonts w:ascii="Arial" w:hAnsi="Arial" w:cs="Arial"/>
        <w:b/>
        <w:bCs/>
        <w:color w:val="7F7F7F" w:themeColor="text1" w:themeTint="80"/>
        <w:sz w:val="16"/>
        <w:szCs w:val="16"/>
      </w:rPr>
      <w:fldChar w:fldCharType="begin"/>
    </w:r>
    <w:r w:rsidRPr="00084B97">
      <w:rPr>
        <w:rFonts w:ascii="Arial" w:hAnsi="Arial" w:cs="Arial"/>
        <w:b/>
        <w:bCs/>
        <w:color w:val="7F7F7F" w:themeColor="text1" w:themeTint="80"/>
        <w:sz w:val="16"/>
        <w:szCs w:val="16"/>
      </w:rPr>
      <w:instrText>NUMPAGES  \* Arabic  \* MERGEFORMAT</w:instrText>
    </w:r>
    <w:r w:rsidRPr="00084B97">
      <w:rPr>
        <w:rFonts w:ascii="Arial" w:hAnsi="Arial" w:cs="Arial"/>
        <w:b/>
        <w:bCs/>
        <w:color w:val="7F7F7F" w:themeColor="text1" w:themeTint="80"/>
        <w:sz w:val="16"/>
        <w:szCs w:val="16"/>
      </w:rPr>
      <w:fldChar w:fldCharType="separate"/>
    </w:r>
    <w:r w:rsidR="002801C7">
      <w:rPr>
        <w:rFonts w:ascii="Arial" w:hAnsi="Arial" w:cs="Arial"/>
        <w:b/>
        <w:bCs/>
        <w:noProof/>
        <w:color w:val="7F7F7F" w:themeColor="text1" w:themeTint="80"/>
        <w:sz w:val="16"/>
        <w:szCs w:val="16"/>
      </w:rPr>
      <w:t>16</w:t>
    </w:r>
    <w:r w:rsidRPr="00084B97">
      <w:rPr>
        <w:rFonts w:ascii="Arial" w:hAnsi="Arial" w:cs="Arial"/>
        <w:b/>
        <w:bCs/>
        <w:color w:val="7F7F7F" w:themeColor="text1" w:themeTint="80"/>
        <w:sz w:val="16"/>
        <w:szCs w:val="16"/>
      </w:rPr>
      <w:fldChar w:fldCharType="end"/>
    </w:r>
  </w:p>
  <w:p w14:paraId="48FC6A04" w14:textId="5FD1A7C9" w:rsidR="00EF64D8" w:rsidRDefault="434D2F1C" w:rsidP="00322937">
    <w:pPr>
      <w:pStyle w:val="Piedepgina"/>
      <w:jc w:val="center"/>
      <w:rPr>
        <w:lang w:val="es-ES"/>
      </w:rPr>
    </w:pPr>
    <w:r>
      <w:rPr>
        <w:noProof/>
        <w:lang w:val="es-CO" w:eastAsia="es-CO"/>
      </w:rPr>
      <w:drawing>
        <wp:inline distT="0" distB="0" distL="0" distR="0" wp14:anchorId="608B196D" wp14:editId="40ED6A14">
          <wp:extent cx="3700130" cy="519139"/>
          <wp:effectExtent l="0" t="0" r="0" b="0"/>
          <wp:docPr id="358603876"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3"/>
                  <pic:cNvPicPr/>
                </pic:nvPicPr>
                <pic:blipFill>
                  <a:blip r:embed="rId1">
                    <a:extLst>
                      <a:ext uri="{28A0092B-C50C-407E-A947-70E740481C1C}">
                        <a14:useLocalDpi xmlns:a14="http://schemas.microsoft.com/office/drawing/2010/main" val="0"/>
                      </a:ext>
                    </a:extLst>
                  </a:blip>
                  <a:stretch>
                    <a:fillRect/>
                  </a:stretch>
                </pic:blipFill>
                <pic:spPr>
                  <a:xfrm>
                    <a:off x="0" y="0"/>
                    <a:ext cx="3700130" cy="519139"/>
                  </a:xfrm>
                  <a:prstGeom prst="rect">
                    <a:avLst/>
                  </a:prstGeom>
                </pic:spPr>
              </pic:pic>
            </a:graphicData>
          </a:graphic>
        </wp:inline>
      </w:drawing>
    </w:r>
  </w:p>
  <w:p w14:paraId="5D0E988C" w14:textId="77777777" w:rsidR="00EF64D8" w:rsidRDefault="00EF64D8" w:rsidP="007B0854">
    <w:pPr>
      <w:pStyle w:val="Piedepgina"/>
      <w:jc w:val="center"/>
      <w:rPr>
        <w:lang w:val="es-ES"/>
      </w:rPr>
    </w:pPr>
  </w:p>
  <w:p w14:paraId="6C0EFC49" w14:textId="77777777" w:rsidR="00EF64D8" w:rsidRPr="007B0854" w:rsidRDefault="00EF64D8" w:rsidP="007B0854">
    <w:pPr>
      <w:pStyle w:val="Piedepgina"/>
      <w:jc w:val="center"/>
      <w:rPr>
        <w:lang w:val="es-E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6BF7B3B" w14:textId="77777777" w:rsidR="00DA2124" w:rsidRDefault="00DA2124">
      <w:r>
        <w:separator/>
      </w:r>
    </w:p>
  </w:footnote>
  <w:footnote w:type="continuationSeparator" w:id="0">
    <w:p w14:paraId="35A23A6D" w14:textId="77777777" w:rsidR="00DA2124" w:rsidRDefault="00DA2124">
      <w:r>
        <w:continuationSeparator/>
      </w:r>
    </w:p>
  </w:footnote>
  <w:footnote w:id="1">
    <w:p w14:paraId="10FA3736" w14:textId="5E20058D" w:rsidR="0032144D" w:rsidRPr="004102D2" w:rsidRDefault="0032144D" w:rsidP="004102D2">
      <w:pPr>
        <w:pStyle w:val="Textonotapie"/>
        <w:spacing w:line="240" w:lineRule="auto"/>
        <w:ind w:firstLine="709"/>
        <w:rPr>
          <w:rFonts w:ascii="Arial" w:hAnsi="Arial" w:cs="Arial"/>
          <w:sz w:val="19"/>
          <w:szCs w:val="19"/>
        </w:rPr>
      </w:pPr>
      <w:r w:rsidRPr="004102D2">
        <w:rPr>
          <w:rStyle w:val="Refdenotaalpie"/>
          <w:rFonts w:ascii="Arial" w:hAnsi="Arial" w:cs="Arial"/>
          <w:sz w:val="19"/>
          <w:szCs w:val="19"/>
        </w:rPr>
        <w:footnoteRef/>
      </w:r>
      <w:r w:rsidRPr="004102D2">
        <w:rPr>
          <w:rFonts w:ascii="Arial" w:hAnsi="Arial" w:cs="Arial"/>
          <w:sz w:val="19"/>
          <w:szCs w:val="19"/>
        </w:rPr>
        <w:t xml:space="preserve"> </w:t>
      </w:r>
      <w:r w:rsidRPr="00F223B3">
        <w:rPr>
          <w:rFonts w:ascii="Arial" w:hAnsi="Arial" w:cs="Arial"/>
          <w:sz w:val="19"/>
          <w:szCs w:val="19"/>
        </w:rPr>
        <w:t xml:space="preserve">La Agencia Nacional de Contratación Pública ‒ Colombia Compra Eficiente fue creada por el Decreto Ley 4170 de 2011. Su objetivo es servir como ente rector de la política de compras y contratación del Estado. Para tales fines, como órgano técnico especializado, le corresponde formular políticas públicas y normas y unificar los procesos de contratación estatal, con el fin de lograr una mayor eficiencia, transparencia y optimización de los recursos del Estado. El artículo 3 </w:t>
      </w:r>
      <w:r w:rsidRPr="00F223B3">
        <w:rPr>
          <w:rFonts w:ascii="Arial" w:hAnsi="Arial" w:cs="Arial"/>
          <w:i/>
          <w:iCs/>
          <w:sz w:val="19"/>
          <w:szCs w:val="19"/>
        </w:rPr>
        <w:t xml:space="preserve">ibidem </w:t>
      </w:r>
      <w:r w:rsidRPr="00F223B3">
        <w:rPr>
          <w:rFonts w:ascii="Arial" w:hAnsi="Arial" w:cs="Arial"/>
          <w:sz w:val="19"/>
          <w:szCs w:val="19"/>
        </w:rPr>
        <w:t>señala, de manera precisa, las funciones de Colombia Compra Eficiente. Concretamente, el numeral 5º de este artículo establece que le corresponde a esta entidad: «[a]bsolver consultas sobre la aplicación de normas de carácter general y expedir circulares externas en materia de compras y contratación pública». Seguidamente, el numeral 8º del artículo 11 ibidem señala que es función de la Subdirección de Gestión Contractual: «[a]bsolver consultas sobre la aplicación de normas de carácter general».</w:t>
      </w:r>
    </w:p>
  </w:footnote>
  <w:footnote w:id="2">
    <w:p w14:paraId="3A666D33" w14:textId="77777777" w:rsidR="00B40486" w:rsidRPr="00F223B3" w:rsidRDefault="00B40486" w:rsidP="004102D2">
      <w:pPr>
        <w:pBdr>
          <w:top w:val="nil"/>
          <w:left w:val="nil"/>
          <w:bottom w:val="nil"/>
          <w:right w:val="nil"/>
          <w:between w:val="nil"/>
        </w:pBdr>
        <w:spacing w:after="120"/>
        <w:ind w:firstLine="709"/>
        <w:jc w:val="both"/>
        <w:rPr>
          <w:rFonts w:ascii="Arial" w:eastAsia="Arial" w:hAnsi="Arial" w:cs="Arial"/>
          <w:color w:val="000000" w:themeColor="text1"/>
          <w:sz w:val="19"/>
          <w:szCs w:val="19"/>
        </w:rPr>
      </w:pPr>
      <w:r w:rsidRPr="00F223B3">
        <w:rPr>
          <w:rStyle w:val="Refdenotaalpie"/>
          <w:rFonts w:ascii="Arial" w:hAnsi="Arial" w:cs="Arial"/>
          <w:color w:val="000000" w:themeColor="text1"/>
          <w:sz w:val="19"/>
          <w:szCs w:val="19"/>
        </w:rPr>
        <w:footnoteRef/>
      </w:r>
      <w:r w:rsidRPr="00F223B3">
        <w:rPr>
          <w:rFonts w:ascii="Arial" w:eastAsia="Arial" w:hAnsi="Arial" w:cs="Arial"/>
          <w:color w:val="000000" w:themeColor="text1"/>
          <w:sz w:val="19"/>
          <w:szCs w:val="19"/>
        </w:rPr>
        <w:t xml:space="preserve"> El artículo 127 de la Constitución Política señala</w:t>
      </w:r>
      <w:bookmarkStart w:id="10" w:name="_Hlk98878101"/>
      <w:r w:rsidRPr="00F223B3">
        <w:rPr>
          <w:rFonts w:ascii="Arial" w:eastAsia="Arial" w:hAnsi="Arial" w:cs="Arial"/>
          <w:color w:val="000000" w:themeColor="text1"/>
          <w:sz w:val="19"/>
          <w:szCs w:val="19"/>
        </w:rPr>
        <w:t xml:space="preserve">: «Los servidores públicos no podrán celebrar, por si o por interpuesta persona, o en representación de otro, contrato alguno con entidades públicas o con personas privadas que manejen o administren recursos públicos, salvo las excepciones legales. </w:t>
      </w:r>
    </w:p>
    <w:p w14:paraId="06781E30" w14:textId="51A884BD" w:rsidR="00B40486" w:rsidRPr="00F223B3" w:rsidRDefault="00B40486">
      <w:pPr>
        <w:pBdr>
          <w:top w:val="nil"/>
          <w:left w:val="nil"/>
          <w:bottom w:val="nil"/>
          <w:right w:val="nil"/>
          <w:between w:val="nil"/>
        </w:pBdr>
        <w:ind w:firstLine="709"/>
        <w:jc w:val="both"/>
        <w:rPr>
          <w:rFonts w:ascii="Arial" w:eastAsia="Arial" w:hAnsi="Arial" w:cs="Arial"/>
          <w:color w:val="000000" w:themeColor="text1"/>
          <w:sz w:val="19"/>
          <w:szCs w:val="19"/>
        </w:rPr>
      </w:pPr>
      <w:r w:rsidRPr="00F223B3">
        <w:rPr>
          <w:rFonts w:ascii="Arial" w:eastAsia="Arial" w:hAnsi="Arial" w:cs="Arial"/>
          <w:color w:val="000000" w:themeColor="text1"/>
          <w:sz w:val="19"/>
          <w:szCs w:val="19"/>
        </w:rPr>
        <w:t>»A los empleados del Estado que se desempeñen en la Rama Judicial, en los órganos electorales, de control y de seguridad les está prohibido tomar parte en las actividades de los partidos y movimientos y en las controversias políticas, sin perjuicio de ejercer libremente el derecho al sufragio. A los miembros de la Fuerza Pública en servicio activo se les aplican las limitaciones contempladas en el artículo 219 de la Constitución. Los empleados no contemplados en esta prohibición solo podrán participar en dichas actividades y controversias en las condiciones que señale la Ley Estatutaria».</w:t>
      </w:r>
      <w:bookmarkEnd w:id="10"/>
    </w:p>
    <w:p w14:paraId="48F938ED" w14:textId="77777777" w:rsidR="008A2523" w:rsidRPr="00F223B3" w:rsidRDefault="008A2523">
      <w:pPr>
        <w:pBdr>
          <w:top w:val="nil"/>
          <w:left w:val="nil"/>
          <w:bottom w:val="nil"/>
          <w:right w:val="nil"/>
          <w:between w:val="nil"/>
        </w:pBdr>
        <w:ind w:firstLine="709"/>
        <w:jc w:val="both"/>
        <w:rPr>
          <w:rFonts w:ascii="Arial" w:eastAsia="Arial" w:hAnsi="Arial" w:cs="Arial"/>
          <w:color w:val="000000" w:themeColor="text1"/>
          <w:sz w:val="19"/>
          <w:szCs w:val="19"/>
        </w:rPr>
      </w:pPr>
    </w:p>
  </w:footnote>
  <w:footnote w:id="3">
    <w:p w14:paraId="492AD70D" w14:textId="77777777" w:rsidR="00B40486" w:rsidRPr="00F223B3" w:rsidRDefault="00B40486">
      <w:pPr>
        <w:pBdr>
          <w:top w:val="nil"/>
          <w:left w:val="nil"/>
          <w:bottom w:val="nil"/>
          <w:right w:val="nil"/>
          <w:between w:val="nil"/>
        </w:pBdr>
        <w:ind w:firstLine="709"/>
        <w:jc w:val="both"/>
        <w:rPr>
          <w:rFonts w:ascii="Arial" w:eastAsia="Arial" w:hAnsi="Arial" w:cs="Arial"/>
          <w:color w:val="000000" w:themeColor="text1"/>
          <w:sz w:val="19"/>
          <w:szCs w:val="19"/>
        </w:rPr>
      </w:pPr>
      <w:r w:rsidRPr="004102D2">
        <w:rPr>
          <w:rStyle w:val="Refdenotaalpie"/>
          <w:rFonts w:ascii="Arial" w:hAnsi="Arial" w:cs="Arial"/>
          <w:sz w:val="19"/>
          <w:szCs w:val="19"/>
        </w:rPr>
        <w:footnoteRef/>
      </w:r>
      <w:r w:rsidRPr="004102D2">
        <w:rPr>
          <w:rFonts w:ascii="Arial" w:hAnsi="Arial" w:cs="Arial"/>
          <w:sz w:val="19"/>
          <w:szCs w:val="19"/>
        </w:rPr>
        <w:t xml:space="preserve"> </w:t>
      </w:r>
      <w:r w:rsidRPr="00F223B3">
        <w:rPr>
          <w:rFonts w:ascii="Arial" w:eastAsia="Arial" w:hAnsi="Arial" w:cs="Arial"/>
          <w:color w:val="000000" w:themeColor="text1"/>
          <w:sz w:val="19"/>
          <w:szCs w:val="19"/>
        </w:rPr>
        <w:t>Gaceta del Congreso de la República No. 71 del 2005.</w:t>
      </w:r>
    </w:p>
  </w:footnote>
  <w:footnote w:id="4">
    <w:p w14:paraId="3B9869BB" w14:textId="77777777" w:rsidR="008A2523" w:rsidRPr="00F223B3" w:rsidRDefault="008A2523">
      <w:pPr>
        <w:pBdr>
          <w:top w:val="nil"/>
          <w:left w:val="nil"/>
          <w:bottom w:val="nil"/>
          <w:right w:val="nil"/>
          <w:between w:val="nil"/>
        </w:pBdr>
        <w:ind w:firstLine="709"/>
        <w:jc w:val="both"/>
        <w:rPr>
          <w:rFonts w:ascii="Arial" w:eastAsia="Arial" w:hAnsi="Arial" w:cs="Arial"/>
          <w:color w:val="000000" w:themeColor="text1"/>
          <w:sz w:val="19"/>
          <w:szCs w:val="19"/>
        </w:rPr>
      </w:pPr>
    </w:p>
    <w:p w14:paraId="0B88EFBB" w14:textId="1C09B604" w:rsidR="00B40486" w:rsidRPr="00F223B3" w:rsidRDefault="00B40486">
      <w:pPr>
        <w:pBdr>
          <w:top w:val="nil"/>
          <w:left w:val="nil"/>
          <w:bottom w:val="nil"/>
          <w:right w:val="nil"/>
          <w:between w:val="nil"/>
        </w:pBdr>
        <w:ind w:firstLine="709"/>
        <w:jc w:val="both"/>
        <w:rPr>
          <w:rFonts w:ascii="Arial" w:eastAsia="Arial" w:hAnsi="Arial" w:cs="Arial"/>
          <w:color w:val="000000" w:themeColor="text1"/>
          <w:sz w:val="19"/>
          <w:szCs w:val="19"/>
        </w:rPr>
      </w:pPr>
      <w:r w:rsidRPr="00F223B3">
        <w:rPr>
          <w:rStyle w:val="Refdenotaalpie"/>
          <w:rFonts w:ascii="Arial" w:hAnsi="Arial" w:cs="Arial"/>
          <w:color w:val="000000" w:themeColor="text1"/>
          <w:sz w:val="19"/>
          <w:szCs w:val="19"/>
        </w:rPr>
        <w:footnoteRef/>
      </w:r>
      <w:r w:rsidRPr="00F223B3">
        <w:rPr>
          <w:rFonts w:ascii="Arial" w:eastAsia="Arial" w:hAnsi="Arial" w:cs="Arial"/>
          <w:color w:val="000000" w:themeColor="text1"/>
          <w:sz w:val="19"/>
          <w:szCs w:val="19"/>
        </w:rPr>
        <w:t xml:space="preserve"> Corte Constitucional, Sentencia C- 1153 de 2005, M.P. Marco Gerardo Monroy Cabra.</w:t>
      </w:r>
    </w:p>
  </w:footnote>
  <w:footnote w:id="5">
    <w:p w14:paraId="1F61A2E4" w14:textId="29163F02" w:rsidR="00B40486" w:rsidRPr="00F223B3" w:rsidRDefault="00B40486">
      <w:pPr>
        <w:pBdr>
          <w:top w:val="nil"/>
          <w:left w:val="nil"/>
          <w:bottom w:val="nil"/>
          <w:right w:val="nil"/>
          <w:between w:val="nil"/>
        </w:pBdr>
        <w:ind w:firstLine="709"/>
        <w:jc w:val="both"/>
        <w:rPr>
          <w:rFonts w:ascii="Arial" w:eastAsia="Arial" w:hAnsi="Arial" w:cs="Arial"/>
          <w:color w:val="000000" w:themeColor="text1"/>
          <w:sz w:val="19"/>
          <w:szCs w:val="19"/>
        </w:rPr>
      </w:pPr>
      <w:r w:rsidRPr="00F223B3">
        <w:rPr>
          <w:rStyle w:val="Refdenotaalpie"/>
          <w:rFonts w:ascii="Arial" w:hAnsi="Arial" w:cs="Arial"/>
          <w:color w:val="000000" w:themeColor="text1"/>
          <w:sz w:val="19"/>
          <w:szCs w:val="19"/>
        </w:rPr>
        <w:footnoteRef/>
      </w:r>
      <w:r w:rsidRPr="00F223B3">
        <w:rPr>
          <w:rFonts w:ascii="Arial" w:eastAsia="Arial" w:hAnsi="Arial" w:cs="Arial"/>
          <w:color w:val="000000" w:themeColor="text1"/>
          <w:sz w:val="19"/>
          <w:szCs w:val="19"/>
        </w:rPr>
        <w:t xml:space="preserve"> Corte Constitucional. Sentencias: C-233 de 4 de abril de 2002, expediente: D-3704; C-551 de 9 de julio de 2003, expediente: CRF-001 de 9 de julio de 2003; C-652 de 5 de agosto de 2003, expediente: D-4330; C-353 de 20 de mayo de 2009, expediente: D-7518, C-541 de 30 de junio de 2010, expediente: DD7966; entre otras.</w:t>
      </w:r>
    </w:p>
    <w:p w14:paraId="557BE719" w14:textId="77777777" w:rsidR="008A2523" w:rsidRPr="00F223B3" w:rsidRDefault="008A2523">
      <w:pPr>
        <w:pBdr>
          <w:top w:val="nil"/>
          <w:left w:val="nil"/>
          <w:bottom w:val="nil"/>
          <w:right w:val="nil"/>
          <w:between w:val="nil"/>
        </w:pBdr>
        <w:ind w:firstLine="709"/>
        <w:jc w:val="both"/>
        <w:rPr>
          <w:rFonts w:ascii="Arial" w:eastAsia="Arial" w:hAnsi="Arial" w:cs="Arial"/>
          <w:color w:val="000000" w:themeColor="text1"/>
          <w:sz w:val="19"/>
          <w:szCs w:val="19"/>
        </w:rPr>
      </w:pPr>
    </w:p>
  </w:footnote>
  <w:footnote w:id="6">
    <w:p w14:paraId="7FB2C304" w14:textId="0D5D8CD7" w:rsidR="00B40486" w:rsidRPr="00F223B3" w:rsidRDefault="00B40486">
      <w:pPr>
        <w:pBdr>
          <w:top w:val="nil"/>
          <w:left w:val="nil"/>
          <w:bottom w:val="nil"/>
          <w:right w:val="nil"/>
          <w:between w:val="nil"/>
        </w:pBdr>
        <w:ind w:firstLine="709"/>
        <w:jc w:val="both"/>
        <w:rPr>
          <w:rFonts w:ascii="Arial" w:eastAsia="Arial" w:hAnsi="Arial" w:cs="Arial"/>
          <w:color w:val="000000" w:themeColor="text1"/>
          <w:sz w:val="19"/>
          <w:szCs w:val="19"/>
        </w:rPr>
      </w:pPr>
      <w:r w:rsidRPr="00F223B3">
        <w:rPr>
          <w:rStyle w:val="Refdenotaalpie"/>
          <w:rFonts w:ascii="Arial" w:hAnsi="Arial" w:cs="Arial"/>
          <w:color w:val="000000" w:themeColor="text1"/>
          <w:sz w:val="19"/>
          <w:szCs w:val="19"/>
        </w:rPr>
        <w:footnoteRef/>
      </w:r>
      <w:r w:rsidRPr="00F223B3">
        <w:rPr>
          <w:rFonts w:ascii="Arial" w:eastAsia="Arial" w:hAnsi="Arial" w:cs="Arial"/>
          <w:color w:val="000000" w:themeColor="text1"/>
          <w:sz w:val="19"/>
          <w:szCs w:val="19"/>
        </w:rPr>
        <w:t xml:space="preserve"> Consejo de Estado, Sala de lo Contencioso Administrativo, Sección Primera. Sentencia de 3 de marzo de 2005, expediente número 2004-00823-01(PI). Ver también, de la Sección Tercera. Sentencia de 22 de enero de 2002, expediente número 2001-0148-01 y, Sección Tercera. Sentencia de 20 de noviembre de 2001, expediente número 2001-0130-01(PI), entre otras.</w:t>
      </w:r>
    </w:p>
    <w:p w14:paraId="58F0D704" w14:textId="77777777" w:rsidR="008A2523" w:rsidRPr="00F223B3" w:rsidRDefault="008A2523">
      <w:pPr>
        <w:pBdr>
          <w:top w:val="nil"/>
          <w:left w:val="nil"/>
          <w:bottom w:val="nil"/>
          <w:right w:val="nil"/>
          <w:between w:val="nil"/>
        </w:pBdr>
        <w:ind w:firstLine="709"/>
        <w:jc w:val="both"/>
        <w:rPr>
          <w:rFonts w:ascii="Arial" w:eastAsia="Arial" w:hAnsi="Arial" w:cs="Arial"/>
          <w:color w:val="000000" w:themeColor="text1"/>
          <w:sz w:val="19"/>
          <w:szCs w:val="19"/>
        </w:rPr>
      </w:pPr>
    </w:p>
  </w:footnote>
  <w:footnote w:id="7">
    <w:p w14:paraId="07F06785" w14:textId="77777777" w:rsidR="00B40486" w:rsidRPr="00F223B3" w:rsidRDefault="00B40486">
      <w:pPr>
        <w:pBdr>
          <w:top w:val="nil"/>
          <w:left w:val="nil"/>
          <w:bottom w:val="nil"/>
          <w:right w:val="nil"/>
          <w:between w:val="nil"/>
        </w:pBdr>
        <w:ind w:firstLine="709"/>
        <w:jc w:val="both"/>
        <w:rPr>
          <w:rFonts w:ascii="Arial" w:eastAsia="Arial" w:hAnsi="Arial" w:cs="Arial"/>
          <w:color w:val="000000" w:themeColor="text1"/>
          <w:sz w:val="19"/>
          <w:szCs w:val="19"/>
        </w:rPr>
      </w:pPr>
      <w:r w:rsidRPr="00F223B3">
        <w:rPr>
          <w:rStyle w:val="Refdenotaalpie"/>
          <w:rFonts w:ascii="Arial" w:hAnsi="Arial" w:cs="Arial"/>
          <w:color w:val="000000" w:themeColor="text1"/>
          <w:sz w:val="19"/>
          <w:szCs w:val="19"/>
        </w:rPr>
        <w:footnoteRef/>
      </w:r>
      <w:r w:rsidRPr="00F223B3">
        <w:rPr>
          <w:rFonts w:ascii="Arial" w:eastAsia="Arial" w:hAnsi="Arial" w:cs="Arial"/>
          <w:color w:val="000000" w:themeColor="text1"/>
          <w:sz w:val="19"/>
          <w:szCs w:val="19"/>
        </w:rPr>
        <w:t xml:space="preserve"> Consejo de Estado, Sala de Consulta y Servicio Civil de fecha 24 de julio de 2013, radicado 2166, Consejero Ponente: Álvaro Namén Vargas.  </w:t>
      </w:r>
    </w:p>
  </w:footnote>
  <w:footnote w:id="8">
    <w:p w14:paraId="2CBFFE8F" w14:textId="77777777" w:rsidR="00B40486" w:rsidRPr="00F223B3" w:rsidRDefault="00B40486">
      <w:pPr>
        <w:ind w:firstLine="709"/>
        <w:jc w:val="both"/>
        <w:rPr>
          <w:rFonts w:ascii="Arial" w:eastAsia="Arial" w:hAnsi="Arial" w:cs="Arial"/>
          <w:color w:val="000000" w:themeColor="text1"/>
          <w:sz w:val="19"/>
          <w:szCs w:val="19"/>
        </w:rPr>
      </w:pPr>
      <w:r w:rsidRPr="00F223B3">
        <w:rPr>
          <w:rStyle w:val="Refdenotaalpie"/>
          <w:rFonts w:ascii="Arial" w:hAnsi="Arial" w:cs="Arial"/>
          <w:color w:val="000000" w:themeColor="text1"/>
          <w:sz w:val="19"/>
          <w:szCs w:val="19"/>
        </w:rPr>
        <w:footnoteRef/>
      </w:r>
      <w:r w:rsidRPr="00F223B3">
        <w:rPr>
          <w:rFonts w:ascii="Arial" w:eastAsia="Arial" w:hAnsi="Arial" w:cs="Arial"/>
          <w:color w:val="000000" w:themeColor="text1"/>
          <w:sz w:val="19"/>
          <w:szCs w:val="19"/>
        </w:rPr>
        <w:t xml:space="preserve"> </w:t>
      </w:r>
      <w:bookmarkStart w:id="13" w:name="qsh70q" w:colFirst="0" w:colLast="0"/>
      <w:bookmarkEnd w:id="13"/>
      <w:r w:rsidRPr="00F223B3">
        <w:rPr>
          <w:rFonts w:ascii="Arial" w:eastAsia="Arial" w:hAnsi="Arial" w:cs="Arial"/>
          <w:color w:val="000000" w:themeColor="text1"/>
          <w:sz w:val="19"/>
          <w:szCs w:val="19"/>
        </w:rPr>
        <w:t>«Artículo 33. Restricciones a la contratación pública. Durante los cuatro (4) meses anteriores a la elección presidencial y hasta la realización de la elección en la segunda vuelta, si fuere el caso, queda prohibida la contratación directa por parte de todos los entes del Estado.</w:t>
      </w:r>
    </w:p>
    <w:p w14:paraId="5C9571FD" w14:textId="77777777" w:rsidR="00B40486" w:rsidRPr="00F223B3" w:rsidRDefault="00B40486">
      <w:pPr>
        <w:ind w:firstLine="709"/>
        <w:jc w:val="both"/>
        <w:rPr>
          <w:rFonts w:ascii="Arial" w:eastAsia="Arial" w:hAnsi="Arial" w:cs="Arial"/>
          <w:color w:val="000000" w:themeColor="text1"/>
          <w:sz w:val="19"/>
          <w:szCs w:val="19"/>
        </w:rPr>
      </w:pPr>
      <w:r w:rsidRPr="00F223B3">
        <w:rPr>
          <w:rFonts w:ascii="Arial" w:eastAsia="Arial" w:hAnsi="Arial" w:cs="Arial"/>
          <w:color w:val="000000" w:themeColor="text1"/>
          <w:sz w:val="19"/>
          <w:szCs w:val="19"/>
        </w:rPr>
        <w:t>» Queda exceptuado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p>
  </w:footnote>
  <w:footnote w:id="9">
    <w:p w14:paraId="6C42E008" w14:textId="77777777" w:rsidR="00B40486" w:rsidRPr="00F223B3" w:rsidRDefault="00B40486">
      <w:pPr>
        <w:pBdr>
          <w:top w:val="nil"/>
          <w:left w:val="nil"/>
          <w:bottom w:val="nil"/>
          <w:right w:val="nil"/>
          <w:between w:val="nil"/>
        </w:pBdr>
        <w:ind w:firstLine="709"/>
        <w:jc w:val="both"/>
        <w:rPr>
          <w:rFonts w:ascii="Arial" w:eastAsia="Arial" w:hAnsi="Arial" w:cs="Arial"/>
          <w:color w:val="000000" w:themeColor="text1"/>
          <w:sz w:val="19"/>
          <w:szCs w:val="19"/>
        </w:rPr>
      </w:pPr>
      <w:r w:rsidRPr="00F223B3">
        <w:rPr>
          <w:rStyle w:val="Refdenotaalpie"/>
          <w:rFonts w:ascii="Arial" w:hAnsi="Arial" w:cs="Arial"/>
          <w:color w:val="000000" w:themeColor="text1"/>
          <w:sz w:val="19"/>
          <w:szCs w:val="19"/>
        </w:rPr>
        <w:footnoteRef/>
      </w:r>
      <w:r w:rsidRPr="00F223B3">
        <w:rPr>
          <w:rFonts w:ascii="Arial" w:eastAsia="Arial" w:hAnsi="Arial" w:cs="Arial"/>
          <w:color w:val="000000" w:themeColor="text1"/>
          <w:sz w:val="19"/>
          <w:szCs w:val="19"/>
        </w:rPr>
        <w:t xml:space="preserve"> </w:t>
      </w:r>
      <w:bookmarkStart w:id="14" w:name="3as4poj" w:colFirst="0" w:colLast="0"/>
      <w:bookmarkEnd w:id="14"/>
      <w:r w:rsidRPr="00F223B3">
        <w:rPr>
          <w:rFonts w:ascii="Arial" w:eastAsia="Arial" w:hAnsi="Arial" w:cs="Arial"/>
          <w:color w:val="000000" w:themeColor="text1"/>
          <w:sz w:val="19"/>
          <w:szCs w:val="19"/>
        </w:rPr>
        <w:t>«Artículo 38. Prohibiciones para los servidores públicos. A los empleados del Estado les está prohibido:</w:t>
      </w:r>
    </w:p>
    <w:p w14:paraId="5C998D0A" w14:textId="77777777" w:rsidR="00B40486" w:rsidRPr="00F223B3" w:rsidRDefault="00B40486">
      <w:pPr>
        <w:pBdr>
          <w:top w:val="nil"/>
          <w:left w:val="nil"/>
          <w:bottom w:val="nil"/>
          <w:right w:val="nil"/>
          <w:between w:val="nil"/>
        </w:pBdr>
        <w:ind w:firstLine="709"/>
        <w:jc w:val="both"/>
        <w:rPr>
          <w:rFonts w:ascii="Arial" w:eastAsia="Arial" w:hAnsi="Arial" w:cs="Arial"/>
          <w:color w:val="000000" w:themeColor="text1"/>
          <w:sz w:val="19"/>
          <w:szCs w:val="19"/>
        </w:rPr>
      </w:pPr>
      <w:r w:rsidRPr="00F223B3">
        <w:rPr>
          <w:rFonts w:ascii="Arial" w:eastAsia="Arial" w:hAnsi="Arial" w:cs="Arial"/>
          <w:color w:val="000000" w:themeColor="text1"/>
          <w:sz w:val="19"/>
          <w:szCs w:val="19"/>
        </w:rPr>
        <w:t>» […]</w:t>
      </w:r>
    </w:p>
    <w:p w14:paraId="09C49579" w14:textId="77777777" w:rsidR="00B40486" w:rsidRPr="00F223B3" w:rsidRDefault="00B40486">
      <w:pPr>
        <w:pBdr>
          <w:top w:val="nil"/>
          <w:left w:val="nil"/>
          <w:bottom w:val="nil"/>
          <w:right w:val="nil"/>
          <w:between w:val="nil"/>
        </w:pBdr>
        <w:ind w:firstLine="709"/>
        <w:jc w:val="both"/>
        <w:rPr>
          <w:rFonts w:ascii="Arial" w:eastAsia="Arial" w:hAnsi="Arial" w:cs="Arial"/>
          <w:color w:val="000000" w:themeColor="text1"/>
          <w:sz w:val="19"/>
          <w:szCs w:val="19"/>
        </w:rPr>
      </w:pPr>
      <w:r w:rsidRPr="00F223B3">
        <w:rPr>
          <w:rFonts w:ascii="Arial" w:eastAsia="Arial" w:hAnsi="Arial" w:cs="Arial"/>
          <w:color w:val="000000" w:themeColor="text1"/>
          <w:sz w:val="19"/>
          <w:szCs w:val="19"/>
        </w:rPr>
        <w:t>» Parágrafo. Los gobernadores, alcaldes municipales y/o distritales, secretarios, gerentes y directores de entidades descentralizadas del orden municipal, departamental o distrital, dentro de los cuatro (4) meses anteriores a las elecciones, no podrán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p>
    <w:p w14:paraId="55A6F874" w14:textId="77777777" w:rsidR="00B40486" w:rsidRPr="00F223B3" w:rsidRDefault="00B40486">
      <w:pPr>
        <w:pBdr>
          <w:top w:val="nil"/>
          <w:left w:val="nil"/>
          <w:bottom w:val="nil"/>
          <w:right w:val="nil"/>
          <w:between w:val="nil"/>
        </w:pBdr>
        <w:ind w:firstLine="709"/>
        <w:jc w:val="both"/>
        <w:rPr>
          <w:rFonts w:ascii="Arial" w:eastAsia="Arial" w:hAnsi="Arial" w:cs="Arial"/>
          <w:color w:val="000000" w:themeColor="text1"/>
          <w:sz w:val="19"/>
          <w:szCs w:val="19"/>
        </w:rPr>
      </w:pPr>
    </w:p>
  </w:footnote>
  <w:footnote w:id="10">
    <w:p w14:paraId="01966E82" w14:textId="77777777" w:rsidR="00B40486" w:rsidRPr="00F223B3" w:rsidRDefault="00B40486">
      <w:pPr>
        <w:ind w:firstLine="709"/>
        <w:jc w:val="both"/>
        <w:rPr>
          <w:rFonts w:ascii="Arial" w:hAnsi="Arial" w:cs="Arial"/>
          <w:color w:val="161616" w:themeColor="background1" w:themeShade="1A"/>
          <w:sz w:val="19"/>
          <w:szCs w:val="19"/>
          <w:lang w:val="es-ES"/>
        </w:rPr>
      </w:pPr>
      <w:r w:rsidRPr="00F223B3">
        <w:rPr>
          <w:rStyle w:val="Refdenotaalpie"/>
          <w:rFonts w:ascii="Arial" w:hAnsi="Arial" w:cs="Arial"/>
          <w:sz w:val="19"/>
          <w:szCs w:val="19"/>
        </w:rPr>
        <w:footnoteRef/>
      </w:r>
      <w:r w:rsidRPr="00F223B3">
        <w:rPr>
          <w:rFonts w:ascii="Arial" w:hAnsi="Arial" w:cs="Arial"/>
          <w:sz w:val="19"/>
          <w:szCs w:val="19"/>
        </w:rPr>
        <w:t xml:space="preserve"> </w:t>
      </w:r>
      <w:r w:rsidRPr="00F223B3">
        <w:rPr>
          <w:rFonts w:ascii="Arial" w:hAnsi="Arial" w:cs="Arial"/>
          <w:color w:val="161616" w:themeColor="background1" w:themeShade="1A"/>
          <w:sz w:val="19"/>
          <w:szCs w:val="19"/>
          <w:lang w:val="es-ES"/>
        </w:rPr>
        <w:t>«</w:t>
      </w:r>
      <w:r w:rsidRPr="00F223B3">
        <w:rPr>
          <w:rFonts w:ascii="Arial" w:hAnsi="Arial" w:cs="Arial"/>
          <w:color w:val="161616" w:themeColor="background1" w:themeShade="1A"/>
          <w:sz w:val="19"/>
          <w:szCs w:val="19"/>
          <w:shd w:val="clear" w:color="auto" w:fill="FFFFFF"/>
        </w:rPr>
        <w:t>Con el propósito de promover la reactivación económica y la generación de empleo en las regiones, a partir de la publicación de la presente ley y durante la vigencia fiscal 2022, la Nación podrá celebrar convenios interadministrativos con las entidades territoriales para ejecutar programas y proyectos correspondientes al Presupuesto General de la Nación. La presente disposición modifica únicamente en la parte pertinente el inciso primero del parágrafo del artículo </w:t>
      </w:r>
      <w:hyperlink r:id="rId1" w:anchor="38" w:history="1">
        <w:r w:rsidRPr="00F223B3">
          <w:rPr>
            <w:rFonts w:ascii="Arial" w:hAnsi="Arial" w:cs="Arial"/>
            <w:color w:val="161616" w:themeColor="background1" w:themeShade="1A"/>
            <w:sz w:val="19"/>
            <w:szCs w:val="19"/>
            <w:shd w:val="clear" w:color="auto" w:fill="FFFFFF"/>
          </w:rPr>
          <w:t>38</w:t>
        </w:r>
      </w:hyperlink>
      <w:r w:rsidRPr="00F223B3">
        <w:rPr>
          <w:rFonts w:ascii="Arial" w:hAnsi="Arial" w:cs="Arial"/>
          <w:color w:val="161616" w:themeColor="background1" w:themeShade="1A"/>
          <w:sz w:val="19"/>
          <w:szCs w:val="19"/>
          <w:shd w:val="clear" w:color="auto" w:fill="FFFFFF"/>
        </w:rPr>
        <w:t> de la Ley 996 de 2005».</w:t>
      </w:r>
    </w:p>
  </w:footnote>
  <w:footnote w:id="11">
    <w:p w14:paraId="031A2814" w14:textId="77777777" w:rsidR="00B40486" w:rsidRPr="00F223B3" w:rsidRDefault="00B40486">
      <w:pPr>
        <w:ind w:firstLine="709"/>
        <w:jc w:val="both"/>
        <w:rPr>
          <w:rFonts w:ascii="Arial" w:eastAsia="Arial" w:hAnsi="Arial" w:cs="Arial"/>
          <w:color w:val="000000" w:themeColor="text1"/>
          <w:sz w:val="19"/>
          <w:szCs w:val="19"/>
        </w:rPr>
      </w:pPr>
      <w:r w:rsidRPr="00F223B3">
        <w:rPr>
          <w:rStyle w:val="Refdenotaalpie"/>
          <w:rFonts w:ascii="Arial" w:hAnsi="Arial" w:cs="Arial"/>
          <w:color w:val="161616" w:themeColor="background1" w:themeShade="1A"/>
          <w:sz w:val="19"/>
          <w:szCs w:val="19"/>
        </w:rPr>
        <w:footnoteRef/>
      </w:r>
      <w:r w:rsidRPr="00F223B3">
        <w:rPr>
          <w:rFonts w:ascii="Arial" w:eastAsia="Arial" w:hAnsi="Arial" w:cs="Arial"/>
          <w:color w:val="161616" w:themeColor="background1" w:themeShade="1A"/>
          <w:sz w:val="19"/>
          <w:szCs w:val="19"/>
        </w:rPr>
        <w:t xml:space="preserve"> Consejo de Estado. Sala de Consulta y Servicio Civil. Concepto del 17 de febrero de 2015. </w:t>
      </w:r>
      <w:r w:rsidRPr="00F223B3">
        <w:rPr>
          <w:rFonts w:ascii="Arial" w:eastAsia="Arial" w:hAnsi="Arial" w:cs="Arial"/>
          <w:color w:val="000000" w:themeColor="text1"/>
          <w:sz w:val="19"/>
          <w:szCs w:val="19"/>
        </w:rPr>
        <w:t>C.P. William Zambrano Cetina. Radicación No. 11001-03-06-000-2015-00164-00(2269).</w:t>
      </w:r>
    </w:p>
    <w:p w14:paraId="1D80393F" w14:textId="77777777" w:rsidR="00B40486" w:rsidRPr="00F223B3" w:rsidRDefault="00B40486">
      <w:pPr>
        <w:pBdr>
          <w:top w:val="nil"/>
          <w:left w:val="nil"/>
          <w:bottom w:val="nil"/>
          <w:right w:val="nil"/>
          <w:between w:val="nil"/>
        </w:pBdr>
        <w:ind w:firstLine="709"/>
        <w:jc w:val="both"/>
        <w:rPr>
          <w:rFonts w:ascii="Arial" w:eastAsia="Arial" w:hAnsi="Arial" w:cs="Arial"/>
          <w:color w:val="000000" w:themeColor="text1"/>
          <w:sz w:val="19"/>
          <w:szCs w:val="19"/>
        </w:rPr>
      </w:pPr>
    </w:p>
  </w:footnote>
  <w:footnote w:id="12">
    <w:p w14:paraId="5B20EAC8" w14:textId="17DF8ABE" w:rsidR="00B40486" w:rsidRPr="00F223B3" w:rsidRDefault="00B40486">
      <w:pPr>
        <w:pStyle w:val="Textonotapie"/>
        <w:spacing w:before="0" w:after="0" w:line="240" w:lineRule="auto"/>
        <w:ind w:firstLine="709"/>
        <w:rPr>
          <w:rFonts w:ascii="Arial" w:hAnsi="Arial" w:cs="Arial"/>
          <w:color w:val="000000" w:themeColor="text1"/>
          <w:sz w:val="19"/>
          <w:szCs w:val="19"/>
        </w:rPr>
      </w:pPr>
      <w:r w:rsidRPr="00F223B3">
        <w:rPr>
          <w:rStyle w:val="Refdenotaalpie"/>
          <w:rFonts w:ascii="Arial" w:hAnsi="Arial" w:cs="Arial"/>
          <w:color w:val="000000" w:themeColor="text1"/>
          <w:sz w:val="19"/>
          <w:szCs w:val="19"/>
        </w:rPr>
        <w:footnoteRef/>
      </w:r>
      <w:r w:rsidRPr="00F223B3">
        <w:rPr>
          <w:rFonts w:ascii="Arial" w:hAnsi="Arial" w:cs="Arial"/>
          <w:color w:val="000000" w:themeColor="text1"/>
          <w:sz w:val="19"/>
          <w:szCs w:val="19"/>
        </w:rPr>
        <w:t xml:space="preserve"> </w:t>
      </w:r>
      <w:bookmarkStart w:id="18" w:name="_Hlk74272731"/>
      <w:r w:rsidRPr="00F223B3">
        <w:rPr>
          <w:rFonts w:ascii="Arial" w:hAnsi="Arial" w:cs="Arial"/>
          <w:color w:val="000000" w:themeColor="text1"/>
          <w:sz w:val="19"/>
          <w:szCs w:val="19"/>
        </w:rPr>
        <w:t>«</w:t>
      </w:r>
      <w:bookmarkEnd w:id="18"/>
      <w:r w:rsidRPr="00F223B3">
        <w:rPr>
          <w:rFonts w:ascii="Arial" w:hAnsi="Arial" w:cs="Arial"/>
          <w:color w:val="000000" w:themeColor="text1"/>
          <w:sz w:val="19"/>
          <w:szCs w:val="19"/>
          <w:lang w:val="es-ES"/>
        </w:rPr>
        <w:t xml:space="preserve">[25] </w:t>
      </w:r>
      <w:r w:rsidRPr="00F223B3">
        <w:rPr>
          <w:rFonts w:ascii="Arial" w:hAnsi="Arial" w:cs="Arial"/>
          <w:color w:val="000000" w:themeColor="text1"/>
          <w:sz w:val="19"/>
          <w:szCs w:val="19"/>
        </w:rPr>
        <w:t>Cfr. Consejo de Estado. Sección Tercera. Sentencia de 3 de diciembre de 2007. Radicados: 24.715, 25.206, 25.409, 24.524, 27.834, 25.410, 26.105, 28.244, 31.447 -acumulados-</w:t>
      </w:r>
      <w:bookmarkStart w:id="19" w:name="_Hlk74271358"/>
      <w:r w:rsidRPr="00F223B3">
        <w:rPr>
          <w:rFonts w:ascii="Arial" w:hAnsi="Arial" w:cs="Arial"/>
          <w:color w:val="000000" w:themeColor="text1"/>
          <w:sz w:val="19"/>
          <w:szCs w:val="19"/>
        </w:rPr>
        <w:t>»</w:t>
      </w:r>
      <w:bookmarkEnd w:id="19"/>
      <w:r w:rsidRPr="00F223B3">
        <w:rPr>
          <w:rFonts w:ascii="Arial" w:hAnsi="Arial" w:cs="Arial"/>
          <w:color w:val="000000" w:themeColor="text1"/>
          <w:sz w:val="19"/>
          <w:szCs w:val="19"/>
        </w:rPr>
        <w:t>.</w:t>
      </w:r>
    </w:p>
    <w:p w14:paraId="75DA6340" w14:textId="77777777" w:rsidR="00AA69BC" w:rsidRPr="00F223B3" w:rsidRDefault="00AA69BC">
      <w:pPr>
        <w:pStyle w:val="Textonotapie"/>
        <w:spacing w:before="0" w:after="0" w:line="240" w:lineRule="auto"/>
        <w:ind w:firstLine="709"/>
        <w:rPr>
          <w:rFonts w:ascii="Arial" w:hAnsi="Arial" w:cs="Arial"/>
          <w:color w:val="000000" w:themeColor="text1"/>
          <w:sz w:val="19"/>
          <w:szCs w:val="19"/>
        </w:rPr>
      </w:pPr>
    </w:p>
  </w:footnote>
  <w:footnote w:id="13">
    <w:p w14:paraId="18DBD163" w14:textId="77777777" w:rsidR="00B40486" w:rsidRPr="00F223B3" w:rsidRDefault="00B40486">
      <w:pPr>
        <w:pStyle w:val="Textonotapie"/>
        <w:spacing w:before="0" w:after="0" w:line="240" w:lineRule="auto"/>
        <w:ind w:firstLine="709"/>
        <w:rPr>
          <w:rFonts w:ascii="Arial" w:hAnsi="Arial" w:cs="Arial"/>
          <w:color w:val="000000" w:themeColor="text1"/>
          <w:sz w:val="19"/>
          <w:szCs w:val="19"/>
        </w:rPr>
      </w:pPr>
      <w:r w:rsidRPr="00F223B3">
        <w:rPr>
          <w:rStyle w:val="Refdenotaalpie"/>
          <w:rFonts w:ascii="Arial" w:hAnsi="Arial" w:cs="Arial"/>
          <w:color w:val="000000" w:themeColor="text1"/>
          <w:sz w:val="19"/>
          <w:szCs w:val="19"/>
        </w:rPr>
        <w:footnoteRef/>
      </w:r>
      <w:r w:rsidRPr="00F223B3">
        <w:rPr>
          <w:rFonts w:ascii="Arial" w:hAnsi="Arial" w:cs="Arial"/>
          <w:color w:val="000000" w:themeColor="text1"/>
          <w:sz w:val="19"/>
          <w:szCs w:val="19"/>
        </w:rPr>
        <w:t xml:space="preserve"> </w:t>
      </w:r>
      <w:bookmarkStart w:id="21" w:name="_Hlk74294506"/>
      <w:r w:rsidRPr="00F223B3">
        <w:rPr>
          <w:rFonts w:ascii="Arial" w:hAnsi="Arial" w:cs="Arial"/>
          <w:color w:val="000000" w:themeColor="text1"/>
          <w:sz w:val="19"/>
          <w:szCs w:val="19"/>
        </w:rPr>
        <w:t>«</w:t>
      </w:r>
      <w:r w:rsidRPr="00F223B3">
        <w:rPr>
          <w:rFonts w:ascii="Arial" w:hAnsi="Arial" w:cs="Arial"/>
          <w:color w:val="000000" w:themeColor="text1"/>
          <w:sz w:val="19"/>
          <w:szCs w:val="19"/>
          <w:lang w:val="es-ES"/>
        </w:rPr>
        <w:t xml:space="preserve">[26] </w:t>
      </w:r>
      <w:bookmarkEnd w:id="21"/>
      <w:r w:rsidRPr="00F223B3">
        <w:rPr>
          <w:rFonts w:ascii="Arial" w:hAnsi="Arial" w:cs="Arial"/>
          <w:color w:val="000000" w:themeColor="text1"/>
          <w:sz w:val="19"/>
          <w:szCs w:val="19"/>
        </w:rPr>
        <w:t>Al respecto ver el concepto 1712 de 2 de febrero de 2006. Consejo de Estado Sala de Consulta y Servicio Civil».</w:t>
      </w:r>
    </w:p>
  </w:footnote>
  <w:footnote w:id="14">
    <w:p w14:paraId="43FC9323" w14:textId="77777777" w:rsidR="00B40486" w:rsidRPr="00F223B3" w:rsidRDefault="00B40486">
      <w:pPr>
        <w:pStyle w:val="Textonotapie"/>
        <w:spacing w:before="0" w:after="0" w:line="240" w:lineRule="auto"/>
        <w:ind w:firstLine="709"/>
        <w:rPr>
          <w:rFonts w:ascii="Arial" w:hAnsi="Arial" w:cs="Arial"/>
          <w:color w:val="000000" w:themeColor="text1"/>
          <w:sz w:val="19"/>
          <w:szCs w:val="19"/>
        </w:rPr>
      </w:pPr>
      <w:r w:rsidRPr="00F223B3">
        <w:rPr>
          <w:rStyle w:val="Refdenotaalpie"/>
          <w:rFonts w:ascii="Arial" w:hAnsi="Arial" w:cs="Arial"/>
          <w:color w:val="000000" w:themeColor="text1"/>
          <w:sz w:val="19"/>
          <w:szCs w:val="19"/>
        </w:rPr>
        <w:footnoteRef/>
      </w:r>
      <w:r w:rsidRPr="00F223B3">
        <w:rPr>
          <w:rFonts w:ascii="Arial" w:hAnsi="Arial" w:cs="Arial"/>
          <w:color w:val="000000" w:themeColor="text1"/>
          <w:sz w:val="19"/>
          <w:szCs w:val="19"/>
        </w:rPr>
        <w:t xml:space="preserve"> Consejo de Estado. Sala de Consulta y Servicio Civil. Concepto del 2 de septiembre de 2013. Radicación número: 11001-03-06-000-2013-00412-00 (2168). Consejero Ponente: Álvaro Namén Vargas.</w:t>
      </w:r>
    </w:p>
  </w:footnote>
  <w:footnote w:id="15">
    <w:p w14:paraId="4BA58D31" w14:textId="77777777" w:rsidR="00B40486" w:rsidRPr="00F223B3" w:rsidRDefault="00B40486">
      <w:pPr>
        <w:pStyle w:val="Textonotapie"/>
        <w:spacing w:before="0" w:after="0" w:line="240" w:lineRule="auto"/>
        <w:ind w:firstLine="709"/>
        <w:rPr>
          <w:rFonts w:ascii="Arial" w:hAnsi="Arial" w:cs="Arial"/>
          <w:color w:val="000000" w:themeColor="text1"/>
          <w:sz w:val="19"/>
          <w:szCs w:val="19"/>
          <w:lang w:val="es-ES"/>
        </w:rPr>
      </w:pPr>
      <w:r w:rsidRPr="00F223B3">
        <w:rPr>
          <w:rStyle w:val="Refdenotaalpie"/>
          <w:rFonts w:ascii="Arial" w:hAnsi="Arial" w:cs="Arial"/>
          <w:color w:val="000000" w:themeColor="text1"/>
          <w:sz w:val="19"/>
          <w:szCs w:val="19"/>
        </w:rPr>
        <w:footnoteRef/>
      </w:r>
      <w:r w:rsidRPr="00F223B3">
        <w:rPr>
          <w:rFonts w:ascii="Arial" w:hAnsi="Arial" w:cs="Arial"/>
          <w:color w:val="000000" w:themeColor="text1"/>
          <w:sz w:val="19"/>
          <w:szCs w:val="19"/>
        </w:rPr>
        <w:t xml:space="preserve"> </w:t>
      </w:r>
      <w:r w:rsidRPr="00F223B3">
        <w:rPr>
          <w:rFonts w:ascii="Arial" w:hAnsi="Arial" w:cs="Arial"/>
          <w:color w:val="000000" w:themeColor="text1"/>
          <w:sz w:val="19"/>
          <w:szCs w:val="19"/>
          <w:lang w:val="es-ES"/>
        </w:rPr>
        <w:t>Artículo 2.</w:t>
      </w:r>
    </w:p>
  </w:footnote>
  <w:footnote w:id="16">
    <w:p w14:paraId="292664B9" w14:textId="77777777" w:rsidR="00B40486" w:rsidRPr="00F223B3" w:rsidRDefault="00B40486">
      <w:pPr>
        <w:pStyle w:val="Textonotapie"/>
        <w:spacing w:before="0" w:after="0" w:line="240" w:lineRule="auto"/>
        <w:ind w:firstLine="709"/>
        <w:rPr>
          <w:rFonts w:ascii="Arial" w:hAnsi="Arial" w:cs="Arial"/>
          <w:color w:val="000000" w:themeColor="text1"/>
          <w:sz w:val="19"/>
          <w:szCs w:val="19"/>
          <w:lang w:val="es-ES"/>
        </w:rPr>
      </w:pPr>
      <w:r w:rsidRPr="00F223B3">
        <w:rPr>
          <w:rStyle w:val="Refdenotaalpie"/>
          <w:rFonts w:ascii="Arial" w:hAnsi="Arial" w:cs="Arial"/>
          <w:color w:val="000000" w:themeColor="text1"/>
          <w:sz w:val="19"/>
          <w:szCs w:val="19"/>
        </w:rPr>
        <w:footnoteRef/>
      </w:r>
      <w:r w:rsidRPr="00F223B3">
        <w:rPr>
          <w:rFonts w:ascii="Arial" w:hAnsi="Arial" w:cs="Arial"/>
          <w:color w:val="000000" w:themeColor="text1"/>
          <w:sz w:val="19"/>
          <w:szCs w:val="19"/>
        </w:rPr>
        <w:t xml:space="preserve"> </w:t>
      </w:r>
      <w:r w:rsidRPr="00F223B3">
        <w:rPr>
          <w:rFonts w:ascii="Arial" w:hAnsi="Arial" w:cs="Arial"/>
          <w:iCs/>
          <w:color w:val="000000" w:themeColor="text1"/>
          <w:sz w:val="19"/>
          <w:szCs w:val="19"/>
          <w:lang w:val="es-ES"/>
        </w:rPr>
        <w:t>Ídem</w:t>
      </w:r>
    </w:p>
  </w:footnote>
  <w:footnote w:id="17">
    <w:p w14:paraId="40F2D178" w14:textId="77777777" w:rsidR="00B40486" w:rsidRPr="00F223B3" w:rsidRDefault="00B40486">
      <w:pPr>
        <w:pStyle w:val="Textonotapie"/>
        <w:spacing w:before="0" w:after="0" w:line="240" w:lineRule="auto"/>
        <w:ind w:firstLine="709"/>
        <w:rPr>
          <w:rFonts w:ascii="Arial" w:hAnsi="Arial" w:cs="Arial"/>
          <w:color w:val="000000" w:themeColor="text1"/>
          <w:sz w:val="19"/>
          <w:szCs w:val="19"/>
          <w:lang w:val="es-ES"/>
        </w:rPr>
      </w:pPr>
      <w:r w:rsidRPr="00F223B3">
        <w:rPr>
          <w:rStyle w:val="Refdenotaalpie"/>
          <w:rFonts w:ascii="Arial" w:hAnsi="Arial" w:cs="Arial"/>
          <w:color w:val="000000" w:themeColor="text1"/>
          <w:sz w:val="19"/>
          <w:szCs w:val="19"/>
        </w:rPr>
        <w:footnoteRef/>
      </w:r>
      <w:r w:rsidRPr="00F223B3">
        <w:rPr>
          <w:rStyle w:val="Refdenotaalpie"/>
          <w:rFonts w:ascii="Arial" w:hAnsi="Arial" w:cs="Arial"/>
          <w:color w:val="000000" w:themeColor="text1"/>
          <w:sz w:val="19"/>
          <w:szCs w:val="19"/>
        </w:rPr>
        <w:t xml:space="preserve"> </w:t>
      </w:r>
      <w:bookmarkStart w:id="25" w:name="_Hlk74297130"/>
      <w:r w:rsidRPr="00F223B3">
        <w:rPr>
          <w:rFonts w:ascii="Arial" w:hAnsi="Arial" w:cs="Arial"/>
          <w:color w:val="000000" w:themeColor="text1"/>
          <w:sz w:val="19"/>
          <w:szCs w:val="19"/>
          <w:lang w:val="es-ES"/>
        </w:rPr>
        <w:t>«</w:t>
      </w:r>
      <w:bookmarkEnd w:id="25"/>
      <w:r w:rsidRPr="00F223B3">
        <w:rPr>
          <w:rFonts w:ascii="Arial" w:hAnsi="Arial" w:cs="Arial"/>
          <w:color w:val="000000" w:themeColor="text1"/>
          <w:sz w:val="19"/>
          <w:szCs w:val="19"/>
          <w:lang w:val="es-ES"/>
        </w:rPr>
        <w:t xml:space="preserve">[…] A este respecto, cabe recordar que el artículo 860 del Código de Comercio regula la licitación en el derecho privado». </w:t>
      </w:r>
    </w:p>
  </w:footnote>
  <w:footnote w:id="18">
    <w:p w14:paraId="3E5AAE47" w14:textId="77777777" w:rsidR="00B40486" w:rsidRPr="00F223B3" w:rsidRDefault="00B40486">
      <w:pPr>
        <w:shd w:val="clear" w:color="auto" w:fill="FFFFFF"/>
        <w:ind w:firstLine="709"/>
        <w:jc w:val="both"/>
        <w:rPr>
          <w:rFonts w:ascii="Arial" w:hAnsi="Arial" w:cs="Arial"/>
          <w:color w:val="000000" w:themeColor="text1"/>
          <w:sz w:val="19"/>
          <w:szCs w:val="19"/>
          <w:lang w:val="es-ES"/>
        </w:rPr>
      </w:pPr>
      <w:r w:rsidRPr="00F223B3">
        <w:rPr>
          <w:rStyle w:val="Refdenotaalpie"/>
          <w:rFonts w:ascii="Arial" w:hAnsi="Arial" w:cs="Arial"/>
          <w:color w:val="000000" w:themeColor="text1"/>
          <w:sz w:val="19"/>
          <w:szCs w:val="19"/>
        </w:rPr>
        <w:footnoteRef/>
      </w:r>
      <w:r w:rsidRPr="00F223B3">
        <w:rPr>
          <w:rStyle w:val="Refdenotaalpie"/>
          <w:rFonts w:ascii="Arial" w:hAnsi="Arial" w:cs="Arial"/>
          <w:color w:val="000000" w:themeColor="text1"/>
          <w:sz w:val="19"/>
          <w:szCs w:val="19"/>
        </w:rPr>
        <w:t xml:space="preserve"> </w:t>
      </w:r>
      <w:r w:rsidRPr="00F223B3">
        <w:rPr>
          <w:rFonts w:ascii="Arial" w:hAnsi="Arial" w:cs="Arial"/>
          <w:color w:val="000000" w:themeColor="text1"/>
          <w:sz w:val="19"/>
          <w:szCs w:val="19"/>
          <w:lang w:val="es-ES"/>
        </w:rPr>
        <w:t>Consejo de Estado. Sala de Consulta y Servicio Civil, Concepto de 8 de mayo de 2018. Radicación Número: 11001-03-06-000-2018-00095-00(2382). Consejero Ponente: Álvaro Namén Vargas.</w:t>
      </w:r>
    </w:p>
  </w:footnote>
  <w:footnote w:id="19">
    <w:p w14:paraId="37DCB0C9" w14:textId="77777777" w:rsidR="00B40486" w:rsidRPr="00F223B3" w:rsidRDefault="00B40486">
      <w:pPr>
        <w:pStyle w:val="Textonotapie"/>
        <w:spacing w:before="0" w:after="0" w:line="240" w:lineRule="auto"/>
        <w:ind w:firstLine="709"/>
        <w:rPr>
          <w:rFonts w:ascii="Arial" w:hAnsi="Arial" w:cs="Arial"/>
          <w:color w:val="000000" w:themeColor="text1"/>
          <w:sz w:val="19"/>
          <w:szCs w:val="19"/>
        </w:rPr>
      </w:pPr>
      <w:r w:rsidRPr="00F223B3">
        <w:rPr>
          <w:rStyle w:val="Refdenotaalpie"/>
          <w:rFonts w:ascii="Arial" w:hAnsi="Arial" w:cs="Arial"/>
          <w:color w:val="000000" w:themeColor="text1"/>
          <w:sz w:val="19"/>
          <w:szCs w:val="19"/>
        </w:rPr>
        <w:footnoteRef/>
      </w:r>
      <w:r w:rsidRPr="00F223B3">
        <w:rPr>
          <w:rFonts w:ascii="Arial" w:hAnsi="Arial" w:cs="Arial"/>
          <w:color w:val="000000" w:themeColor="text1"/>
          <w:sz w:val="19"/>
          <w:szCs w:val="19"/>
        </w:rPr>
        <w:t xml:space="preserve"> Consejo de Estado. Sala de Consulta y Servicio Civil. Concepto del 08 de mayo de 2018. Exp. 2.382. C.P. Álvaro Namén Vargas.</w:t>
      </w:r>
    </w:p>
  </w:footnote>
  <w:footnote w:id="20">
    <w:p w14:paraId="3C7833AA" w14:textId="77777777" w:rsidR="00565AA1" w:rsidRPr="00F223B3" w:rsidRDefault="00565AA1">
      <w:pPr>
        <w:ind w:firstLine="709"/>
        <w:jc w:val="both"/>
        <w:rPr>
          <w:rFonts w:ascii="Arial" w:eastAsia="Arial" w:hAnsi="Arial" w:cs="Arial"/>
          <w:color w:val="000000"/>
          <w:sz w:val="19"/>
          <w:szCs w:val="19"/>
          <w:lang w:eastAsia="es-ES_tradnl"/>
        </w:rPr>
      </w:pPr>
      <w:r w:rsidRPr="00F223B3">
        <w:rPr>
          <w:rFonts w:ascii="Arial" w:hAnsi="Arial" w:cs="Arial"/>
          <w:sz w:val="19"/>
          <w:szCs w:val="19"/>
          <w:vertAlign w:val="superscript"/>
        </w:rPr>
        <w:footnoteRef/>
      </w:r>
      <w:r w:rsidRPr="00F223B3">
        <w:rPr>
          <w:rFonts w:ascii="Arial" w:eastAsia="Arial" w:hAnsi="Arial" w:cs="Arial"/>
          <w:color w:val="000000"/>
          <w:sz w:val="19"/>
          <w:szCs w:val="19"/>
        </w:rPr>
        <w:t xml:space="preserve"> La Corte Constitucional mediante Sentencia C-1153-05 de 11 de noviembre de 2005, Magistrado Ponente Marco Gerardo Monroy Cabra, efectuó el Control constitucional al Proyecto de Ley Estatutaria N° 216/05 Senado, N° 235-Cámara que dio lugar a la Ley de Garantías Electorales.</w:t>
      </w:r>
    </w:p>
  </w:footnote>
  <w:footnote w:id="21">
    <w:p w14:paraId="094D416C" w14:textId="77777777" w:rsidR="00B40486" w:rsidRPr="00F223B3" w:rsidRDefault="00B40486">
      <w:pPr>
        <w:ind w:firstLine="709"/>
        <w:jc w:val="both"/>
        <w:rPr>
          <w:rFonts w:ascii="Arial" w:eastAsia="Arial" w:hAnsi="Arial" w:cs="Arial"/>
          <w:sz w:val="19"/>
          <w:szCs w:val="19"/>
        </w:rPr>
      </w:pPr>
      <w:r w:rsidRPr="00F223B3">
        <w:rPr>
          <w:rFonts w:ascii="Arial" w:hAnsi="Arial" w:cs="Arial"/>
          <w:sz w:val="19"/>
          <w:szCs w:val="19"/>
          <w:vertAlign w:val="superscript"/>
        </w:rPr>
        <w:footnoteRef/>
      </w:r>
      <w:r w:rsidRPr="00F223B3">
        <w:rPr>
          <w:rFonts w:ascii="Arial" w:eastAsia="Arial" w:hAnsi="Arial" w:cs="Arial"/>
          <w:sz w:val="19"/>
          <w:szCs w:val="19"/>
        </w:rPr>
        <w:t xml:space="preserve"> Consejo de Estado. Sala de Consulta y Servicio Civil. Concepto de 20 de febrero de 2006. Radicación Número: 11001-03-06-000-2006-00026-00(1727). Consejero Ponente: Enrique José Arboleda Perdomo. Conceptuó que para las entidades que contratan por el derecho privado, estaba prohibida la contratación diferente de la licitación pública regulada por el código de comercio, criterio que luego se extendió para aquellos procesos que, en algunos sistemas de contratación utilizados por entidades públicas con regímenes especiales y establecidos en sus manuales de contratación, utilicen convocatoria de manera pública y se permita la participación de una pluralidad de oferentes.</w:t>
      </w:r>
    </w:p>
    <w:p w14:paraId="73D38C25" w14:textId="77777777" w:rsidR="00B40486" w:rsidRPr="00F223B3" w:rsidRDefault="00B40486">
      <w:pPr>
        <w:ind w:firstLine="709"/>
        <w:jc w:val="both"/>
        <w:rPr>
          <w:rFonts w:ascii="Arial" w:eastAsia="Arial" w:hAnsi="Arial" w:cs="Arial"/>
          <w:sz w:val="19"/>
          <w:szCs w:val="19"/>
        </w:rPr>
      </w:pPr>
    </w:p>
  </w:footnote>
  <w:footnote w:id="22">
    <w:p w14:paraId="15B46553" w14:textId="77777777" w:rsidR="00B40486" w:rsidRPr="00F223B3" w:rsidRDefault="00B40486" w:rsidP="004102D2">
      <w:pPr>
        <w:pStyle w:val="Textonotapie"/>
        <w:spacing w:line="240" w:lineRule="auto"/>
        <w:ind w:firstLine="708"/>
        <w:rPr>
          <w:rFonts w:ascii="Arial" w:hAnsi="Arial" w:cs="Arial"/>
          <w:sz w:val="19"/>
          <w:szCs w:val="19"/>
        </w:rPr>
      </w:pPr>
      <w:r w:rsidRPr="00F223B3">
        <w:rPr>
          <w:rStyle w:val="Refdenotaalpie"/>
          <w:rFonts w:ascii="Arial" w:hAnsi="Arial" w:cs="Arial"/>
          <w:sz w:val="19"/>
          <w:szCs w:val="19"/>
        </w:rPr>
        <w:footnoteRef/>
      </w:r>
      <w:r w:rsidRPr="00F223B3">
        <w:rPr>
          <w:rFonts w:ascii="Arial" w:hAnsi="Arial" w:cs="Arial"/>
          <w:sz w:val="19"/>
          <w:szCs w:val="19"/>
        </w:rPr>
        <w:t xml:space="preserve"> Consejo de Estado. Sala de Consulta y Servicio Civil. Concepto del 18 de febrero 2010. Rad. 11001-03-06-000-2010-00006-00 (1985). C.P. Enrique José Arboleda Perdomo.</w:t>
      </w:r>
    </w:p>
    <w:p w14:paraId="449FDA9F" w14:textId="77777777" w:rsidR="00B40486" w:rsidRPr="00F223B3" w:rsidRDefault="00B40486" w:rsidP="004102D2">
      <w:pPr>
        <w:pStyle w:val="Textonotapie"/>
        <w:spacing w:line="240" w:lineRule="auto"/>
        <w:ind w:firstLine="708"/>
        <w:rPr>
          <w:rFonts w:ascii="Arial" w:hAnsi="Arial" w:cs="Arial"/>
          <w:sz w:val="19"/>
          <w:szCs w:val="19"/>
        </w:rPr>
      </w:pPr>
    </w:p>
  </w:footnote>
  <w:footnote w:id="23">
    <w:p w14:paraId="4392EBD0" w14:textId="77777777" w:rsidR="00B40486" w:rsidRPr="00F223B3" w:rsidRDefault="00B40486" w:rsidP="004102D2">
      <w:pPr>
        <w:pStyle w:val="Textonotapie"/>
        <w:spacing w:line="240" w:lineRule="auto"/>
        <w:ind w:firstLine="708"/>
        <w:rPr>
          <w:rFonts w:ascii="Arial" w:hAnsi="Arial" w:cs="Arial"/>
          <w:sz w:val="19"/>
          <w:szCs w:val="19"/>
        </w:rPr>
      </w:pPr>
      <w:r w:rsidRPr="00F223B3">
        <w:rPr>
          <w:rStyle w:val="Refdenotaalpie"/>
          <w:rFonts w:ascii="Arial" w:hAnsi="Arial" w:cs="Arial"/>
          <w:sz w:val="19"/>
          <w:szCs w:val="19"/>
        </w:rPr>
        <w:footnoteRef/>
      </w:r>
      <w:r w:rsidRPr="00F223B3">
        <w:rPr>
          <w:rFonts w:ascii="Arial" w:hAnsi="Arial" w:cs="Arial"/>
          <w:sz w:val="19"/>
          <w:szCs w:val="19"/>
        </w:rPr>
        <w:t xml:space="preserve"> Corte Constitucional. Sentencia C-1153 de 2005 M.P. Marco Gerardo Monroy Cabra. </w:t>
      </w:r>
    </w:p>
  </w:footnote>
  <w:footnote w:id="24">
    <w:p w14:paraId="766D7389" w14:textId="77777777" w:rsidR="00B40486" w:rsidRPr="00F223B3" w:rsidRDefault="00B40486" w:rsidP="004102D2">
      <w:pPr>
        <w:pStyle w:val="Textonotapie"/>
        <w:spacing w:line="240" w:lineRule="auto"/>
        <w:ind w:firstLine="708"/>
        <w:rPr>
          <w:rFonts w:ascii="Arial" w:hAnsi="Arial" w:cs="Arial"/>
          <w:sz w:val="19"/>
          <w:szCs w:val="19"/>
        </w:rPr>
      </w:pPr>
      <w:r w:rsidRPr="00F223B3">
        <w:rPr>
          <w:rStyle w:val="Refdenotaalpie"/>
          <w:rFonts w:ascii="Arial" w:hAnsi="Arial" w:cs="Arial"/>
          <w:sz w:val="19"/>
          <w:szCs w:val="19"/>
        </w:rPr>
        <w:footnoteRef/>
      </w:r>
      <w:r w:rsidRPr="00F223B3">
        <w:rPr>
          <w:rFonts w:ascii="Arial" w:hAnsi="Arial" w:cs="Arial"/>
          <w:sz w:val="19"/>
          <w:szCs w:val="19"/>
        </w:rPr>
        <w:t xml:space="preserve"> Consejo de Estado. Sala de Consulta y Servicio Civil. Concepto del 02 de septiembre de 2013. Rad. 11001-03-06-000-2013-00412-00 (2168). C.P. Álvaro Namén Vargas.</w:t>
      </w:r>
    </w:p>
    <w:p w14:paraId="5FF63AF7" w14:textId="77777777" w:rsidR="00B40486" w:rsidRPr="00F223B3" w:rsidRDefault="00B40486" w:rsidP="004102D2">
      <w:pPr>
        <w:pStyle w:val="Textonotapie"/>
        <w:spacing w:line="240" w:lineRule="auto"/>
        <w:rPr>
          <w:rFonts w:ascii="Arial" w:hAnsi="Arial" w:cs="Arial"/>
          <w:sz w:val="19"/>
          <w:szCs w:val="19"/>
        </w:rPr>
      </w:pPr>
    </w:p>
  </w:footnote>
  <w:footnote w:id="25">
    <w:p w14:paraId="33CB4E73" w14:textId="77777777" w:rsidR="001F5F41" w:rsidRPr="00F223B3" w:rsidRDefault="001F5F41" w:rsidP="004102D2">
      <w:pPr>
        <w:pStyle w:val="Textonotapie"/>
        <w:spacing w:line="240" w:lineRule="auto"/>
        <w:ind w:firstLine="708"/>
        <w:rPr>
          <w:rFonts w:ascii="Arial" w:hAnsi="Arial" w:cs="Arial"/>
          <w:sz w:val="19"/>
          <w:szCs w:val="19"/>
        </w:rPr>
      </w:pPr>
      <w:r w:rsidRPr="00F223B3">
        <w:rPr>
          <w:rStyle w:val="Refdenotaalpie"/>
          <w:rFonts w:ascii="Arial" w:hAnsi="Arial" w:cs="Arial"/>
          <w:sz w:val="19"/>
          <w:szCs w:val="19"/>
        </w:rPr>
        <w:footnoteRef/>
      </w:r>
      <w:r w:rsidRPr="00F223B3">
        <w:rPr>
          <w:rFonts w:ascii="Arial" w:hAnsi="Arial" w:cs="Arial"/>
          <w:sz w:val="19"/>
          <w:szCs w:val="19"/>
        </w:rPr>
        <w:t xml:space="preserve"> El artículo 2.8.8.1.4.2 del Decreto 780 de 2016 dispone que «Para efectos de la aplicación del presente Capítulo, entiéndase por Autoridades Sanitarias del Sivigila, el Ministerio de Salud y Protección Social; el Instituto Nacional de Salud (INS); el Instituto Nacional de Vigilancia de Medicamentos y Alimentos (Invima), las Direcciones Territoriales de Salud, </w:t>
      </w:r>
      <w:r w:rsidRPr="00F223B3">
        <w:rPr>
          <w:rFonts w:ascii="Arial" w:hAnsi="Arial" w:cs="Arial"/>
          <w:i/>
          <w:iCs/>
          <w:sz w:val="19"/>
          <w:szCs w:val="19"/>
        </w:rPr>
        <w:t>y todas aquellas entidades que de acuerdo con la ley ejerzan funciones de vigilancia y control sanitario</w:t>
      </w:r>
      <w:r w:rsidRPr="00F223B3">
        <w:rPr>
          <w:rFonts w:ascii="Arial" w:hAnsi="Arial" w:cs="Arial"/>
          <w:sz w:val="19"/>
          <w:szCs w:val="19"/>
        </w:rPr>
        <w:t xml:space="preserve">, las cuales deben adoptar medidas sanitarias que garanticen la protección de la salud pública y el cumplimiento de lo dispuesto en esta norma, así como adelantar los procedimientos y aplicar las sanciones a que hubiere lugar» (Énfasis fuera de texto).  </w:t>
      </w:r>
    </w:p>
  </w:footnote>
  <w:footnote w:id="26">
    <w:p w14:paraId="00464177" w14:textId="0D161269" w:rsidR="00FB1473" w:rsidRPr="00F223B3" w:rsidRDefault="00FB1473">
      <w:pPr>
        <w:pStyle w:val="Textonotapie"/>
        <w:spacing w:after="0" w:line="240" w:lineRule="auto"/>
        <w:ind w:firstLine="708"/>
        <w:rPr>
          <w:rFonts w:ascii="Arial" w:hAnsi="Arial" w:cs="Arial"/>
          <w:sz w:val="19"/>
          <w:szCs w:val="19"/>
        </w:rPr>
      </w:pPr>
      <w:r w:rsidRPr="004102D2">
        <w:rPr>
          <w:rStyle w:val="Refdenotaalpie"/>
          <w:rFonts w:ascii="Arial" w:hAnsi="Arial" w:cs="Arial"/>
          <w:sz w:val="19"/>
          <w:szCs w:val="19"/>
        </w:rPr>
        <w:footnoteRef/>
      </w:r>
      <w:r w:rsidRPr="004102D2">
        <w:rPr>
          <w:rFonts w:ascii="Arial" w:hAnsi="Arial" w:cs="Arial"/>
          <w:sz w:val="19"/>
          <w:szCs w:val="19"/>
        </w:rPr>
        <w:t>Ley 100 de 1993: «</w:t>
      </w:r>
      <w:r w:rsidR="001326C7" w:rsidRPr="00F223B3">
        <w:rPr>
          <w:rFonts w:ascii="Arial" w:hAnsi="Arial" w:cs="Arial"/>
          <w:sz w:val="19"/>
          <w:szCs w:val="19"/>
        </w:rPr>
        <w:t xml:space="preserve">Artículo </w:t>
      </w:r>
      <w:r w:rsidRPr="004102D2">
        <w:rPr>
          <w:rFonts w:ascii="Arial" w:hAnsi="Arial" w:cs="Arial"/>
          <w:sz w:val="19"/>
          <w:szCs w:val="19"/>
        </w:rPr>
        <w:t>194. Naturaleza. La prestación de servicios de salud en forma directa por la Nación o por las entidades territoriales, se hará a través de las Empresas Sociales del Estado, que constituyen una categoría especial de entidad pública descentralizada, con personería jurídica, patrimonio propio y autonomía administrativa, creadas por la Ley o por las asambleas o concejos, según el caso, sometidas al régimen jurídico previsto en este capítulo».</w:t>
      </w:r>
    </w:p>
    <w:p w14:paraId="22CCF1D5" w14:textId="77777777" w:rsidR="009E0B9D" w:rsidRPr="004102D2" w:rsidRDefault="009E0B9D" w:rsidP="004102D2">
      <w:pPr>
        <w:pStyle w:val="Textonotapie"/>
        <w:spacing w:after="0" w:line="240" w:lineRule="auto"/>
        <w:ind w:firstLine="708"/>
        <w:rPr>
          <w:rFonts w:ascii="Arial" w:hAnsi="Arial" w:cs="Arial"/>
          <w:sz w:val="19"/>
          <w:szCs w:val="19"/>
        </w:rPr>
      </w:pPr>
    </w:p>
  </w:footnote>
  <w:footnote w:id="27">
    <w:p w14:paraId="18C2C973" w14:textId="03C05AE9" w:rsidR="003B415C" w:rsidRPr="00F223B3" w:rsidRDefault="003B415C">
      <w:pPr>
        <w:pStyle w:val="Textonotapie"/>
        <w:spacing w:before="0" w:after="0" w:line="240" w:lineRule="auto"/>
        <w:ind w:firstLine="708"/>
        <w:rPr>
          <w:rFonts w:ascii="Arial" w:hAnsi="Arial" w:cs="Arial"/>
          <w:sz w:val="19"/>
          <w:szCs w:val="19"/>
        </w:rPr>
      </w:pPr>
      <w:r w:rsidRPr="004102D2">
        <w:rPr>
          <w:rStyle w:val="Refdenotaalpie"/>
          <w:rFonts w:ascii="Arial" w:hAnsi="Arial" w:cs="Arial"/>
          <w:sz w:val="19"/>
          <w:szCs w:val="19"/>
        </w:rPr>
        <w:footnoteRef/>
      </w:r>
      <w:r w:rsidRPr="004102D2">
        <w:rPr>
          <w:rFonts w:ascii="Arial" w:hAnsi="Arial" w:cs="Arial"/>
          <w:sz w:val="19"/>
          <w:szCs w:val="19"/>
        </w:rPr>
        <w:t xml:space="preserve"> </w:t>
      </w:r>
      <w:r w:rsidR="00210366" w:rsidRPr="004102D2">
        <w:rPr>
          <w:rFonts w:ascii="Arial" w:hAnsi="Arial" w:cs="Arial"/>
          <w:sz w:val="19"/>
          <w:szCs w:val="19"/>
        </w:rPr>
        <w:t xml:space="preserve">Agencia Nacional de Contratación Pública – Colombia Compra Eficiente. Concepto C-014 del </w:t>
      </w:r>
      <w:r w:rsidR="00611365" w:rsidRPr="004102D2">
        <w:rPr>
          <w:rFonts w:ascii="Arial" w:hAnsi="Arial" w:cs="Arial"/>
          <w:sz w:val="19"/>
          <w:szCs w:val="19"/>
        </w:rPr>
        <w:t xml:space="preserve">18 de febrero de 2022. </w:t>
      </w:r>
      <w:r w:rsidR="009E0B9D" w:rsidRPr="004102D2">
        <w:rPr>
          <w:rFonts w:ascii="Arial" w:hAnsi="Arial" w:cs="Arial"/>
          <w:sz w:val="19"/>
          <w:szCs w:val="19"/>
        </w:rPr>
        <w:t xml:space="preserve">Radicado de entrada No. P20220106000098. </w:t>
      </w:r>
      <w:r w:rsidR="00611365" w:rsidRPr="004102D2">
        <w:rPr>
          <w:rFonts w:ascii="Arial" w:hAnsi="Arial" w:cs="Arial"/>
          <w:sz w:val="19"/>
          <w:szCs w:val="19"/>
        </w:rPr>
        <w:t>Radicado de salida No. RS20220218001642</w:t>
      </w:r>
    </w:p>
    <w:p w14:paraId="056C3DB1" w14:textId="77777777" w:rsidR="0005748B" w:rsidRPr="004102D2" w:rsidRDefault="0005748B" w:rsidP="004102D2">
      <w:pPr>
        <w:pStyle w:val="Textonotapie"/>
        <w:spacing w:before="0" w:after="0" w:line="240" w:lineRule="auto"/>
        <w:ind w:firstLine="708"/>
        <w:rPr>
          <w:rFonts w:ascii="Arial" w:hAnsi="Arial" w:cs="Arial"/>
          <w:sz w:val="19"/>
          <w:szCs w:val="19"/>
        </w:rPr>
      </w:pPr>
    </w:p>
  </w:footnote>
  <w:footnote w:id="28">
    <w:p w14:paraId="504B9221" w14:textId="70D65692" w:rsidR="001A556D" w:rsidRPr="004102D2" w:rsidRDefault="001A556D" w:rsidP="004102D2">
      <w:pPr>
        <w:pStyle w:val="Textonotapie"/>
        <w:spacing w:before="0" w:line="240" w:lineRule="auto"/>
        <w:ind w:firstLine="708"/>
        <w:rPr>
          <w:rFonts w:ascii="Arial" w:hAnsi="Arial" w:cs="Arial"/>
          <w:sz w:val="19"/>
          <w:szCs w:val="19"/>
        </w:rPr>
      </w:pPr>
      <w:r w:rsidRPr="004102D2">
        <w:rPr>
          <w:rStyle w:val="Refdenotaalpie"/>
          <w:rFonts w:ascii="Arial" w:hAnsi="Arial" w:cs="Arial"/>
          <w:sz w:val="19"/>
          <w:szCs w:val="19"/>
        </w:rPr>
        <w:footnoteRef/>
      </w:r>
      <w:r w:rsidRPr="004102D2">
        <w:rPr>
          <w:rFonts w:ascii="Arial" w:hAnsi="Arial" w:cs="Arial"/>
          <w:sz w:val="19"/>
          <w:szCs w:val="19"/>
        </w:rPr>
        <w:t xml:space="preserve"> </w:t>
      </w:r>
      <w:r w:rsidR="0005748B" w:rsidRPr="004102D2">
        <w:rPr>
          <w:rFonts w:ascii="Arial" w:hAnsi="Arial" w:cs="Arial"/>
          <w:sz w:val="19"/>
          <w:szCs w:val="19"/>
        </w:rPr>
        <w:t xml:space="preserve">Decreto 333 de 2005: «Artículo </w:t>
      </w:r>
      <w:r w:rsidRPr="004102D2">
        <w:rPr>
          <w:rFonts w:ascii="Arial" w:hAnsi="Arial" w:cs="Arial"/>
          <w:sz w:val="19"/>
          <w:szCs w:val="19"/>
        </w:rPr>
        <w:t xml:space="preserve">2o. </w:t>
      </w:r>
      <w:r w:rsidR="0005748B" w:rsidRPr="004102D2">
        <w:rPr>
          <w:rFonts w:ascii="Arial" w:hAnsi="Arial" w:cs="Arial"/>
          <w:sz w:val="19"/>
          <w:szCs w:val="19"/>
        </w:rPr>
        <w:t xml:space="preserve">Naturaleza jurídica de la UAE salud de </w:t>
      </w:r>
      <w:r w:rsidR="000C5766" w:rsidRPr="00F223B3">
        <w:rPr>
          <w:rFonts w:ascii="Arial" w:hAnsi="Arial" w:cs="Arial"/>
          <w:sz w:val="19"/>
          <w:szCs w:val="19"/>
        </w:rPr>
        <w:t>Arauca</w:t>
      </w:r>
      <w:r w:rsidR="0005748B" w:rsidRPr="004102D2">
        <w:rPr>
          <w:rFonts w:ascii="Arial" w:hAnsi="Arial" w:cs="Arial"/>
          <w:sz w:val="19"/>
          <w:szCs w:val="19"/>
        </w:rPr>
        <w:t>.</w:t>
      </w:r>
      <w:r w:rsidRPr="004102D2">
        <w:rPr>
          <w:rFonts w:ascii="Arial" w:hAnsi="Arial" w:cs="Arial"/>
          <w:sz w:val="19"/>
          <w:szCs w:val="19"/>
        </w:rPr>
        <w:t xml:space="preserve"> la UAE Salud de Arauca. es una unidad administrativa especial, constituida como una entidad de carácter técnico adscrita a la Secretaría de Planeación Departamental o quien haga sus veces, la cual cuenta con personería jurídica, autonomía financiera y administrativa, patrimonio propio y régimen supletorio de los establecimientos públicos, de conformidad con lo ley 489 de 1998 y el código de régimen departamental. </w:t>
      </w:r>
    </w:p>
    <w:p w14:paraId="5985F072" w14:textId="285F019E" w:rsidR="001A556D" w:rsidRPr="004102D2" w:rsidRDefault="001A556D" w:rsidP="004102D2">
      <w:pPr>
        <w:pStyle w:val="Textonotapie"/>
        <w:spacing w:line="240" w:lineRule="auto"/>
        <w:ind w:firstLine="708"/>
        <w:rPr>
          <w:rFonts w:ascii="Arial" w:hAnsi="Arial" w:cs="Arial"/>
          <w:sz w:val="19"/>
          <w:szCs w:val="19"/>
        </w:rPr>
      </w:pPr>
      <w:r w:rsidRPr="004102D2">
        <w:rPr>
          <w:rFonts w:ascii="Arial" w:hAnsi="Arial" w:cs="Arial"/>
          <w:sz w:val="19"/>
          <w:szCs w:val="19"/>
        </w:rPr>
        <w:t>»Artículo 3°. Objeto.</w:t>
      </w:r>
      <w:r w:rsidR="004102D2">
        <w:rPr>
          <w:rFonts w:ascii="Arial" w:hAnsi="Arial" w:cs="Arial"/>
          <w:sz w:val="19"/>
          <w:szCs w:val="19"/>
        </w:rPr>
        <w:t xml:space="preserve"> </w:t>
      </w:r>
      <w:r w:rsidRPr="004102D2">
        <w:rPr>
          <w:rFonts w:ascii="Arial" w:hAnsi="Arial" w:cs="Arial"/>
          <w:sz w:val="19"/>
          <w:szCs w:val="19"/>
        </w:rPr>
        <w:t xml:space="preserve">La UAE Salud de Arauca. operará en el campo de la salud y tendrá como objetivos principales dirigir, coordinar y vigilar el sector salud y el Sistema General de Seguridad Social en Salud en el Departamento de </w:t>
      </w:r>
      <w:r w:rsidR="000C5766" w:rsidRPr="00F223B3">
        <w:rPr>
          <w:rFonts w:ascii="Arial" w:hAnsi="Arial" w:cs="Arial"/>
          <w:sz w:val="19"/>
          <w:szCs w:val="19"/>
        </w:rPr>
        <w:t>Arauca atendiendo</w:t>
      </w:r>
      <w:r w:rsidRPr="004102D2">
        <w:rPr>
          <w:rFonts w:ascii="Arial" w:hAnsi="Arial" w:cs="Arial"/>
          <w:sz w:val="19"/>
          <w:szCs w:val="19"/>
        </w:rPr>
        <w:t xml:space="preserve"> los disposiciones nacionales sobre la materia. </w:t>
      </w:r>
    </w:p>
    <w:p w14:paraId="4FECDCDC" w14:textId="46AE8360" w:rsidR="001A556D" w:rsidRPr="004102D2" w:rsidRDefault="001A556D" w:rsidP="004102D2">
      <w:pPr>
        <w:pStyle w:val="Textonotapie"/>
        <w:spacing w:after="0" w:line="240" w:lineRule="auto"/>
        <w:ind w:firstLine="708"/>
        <w:rPr>
          <w:sz w:val="19"/>
          <w:szCs w:val="19"/>
        </w:rPr>
      </w:pPr>
      <w:r w:rsidRPr="004102D2">
        <w:rPr>
          <w:rFonts w:ascii="Arial" w:hAnsi="Arial" w:cs="Arial"/>
          <w:sz w:val="19"/>
          <w:szCs w:val="19"/>
        </w:rPr>
        <w:t>»Artículo 4°. Competencia, jurisdicción y domicilio. A la UAE de Salud de Arauca le compele dirigir coordinar y vigilar el sector salud y el sistema general de seguridad social de salud en el departamento de Arauca, atendiendo las disposiciones legales sobre la materia en especial las estipuladas en la ley 715 de 2001, normas que la complementen, adicionen, modifiquen o sustituyan».</w:t>
      </w:r>
      <w:r w:rsidR="0005748B" w:rsidRPr="00F223B3">
        <w:rPr>
          <w:rFonts w:ascii="Arial" w:hAnsi="Arial" w:cs="Arial"/>
          <w:sz w:val="19"/>
          <w:szCs w:val="19"/>
        </w:rPr>
        <w:t xml:space="preserve"> Consultado el 6 de abril de 2022 en: </w:t>
      </w:r>
      <w:hyperlink r:id="rId2" w:history="1">
        <w:r w:rsidR="000C5766" w:rsidRPr="004102D2">
          <w:rPr>
            <w:rStyle w:val="Hipervnculo"/>
            <w:rFonts w:ascii="Arial" w:hAnsi="Arial" w:cs="Arial"/>
            <w:color w:val="auto"/>
            <w:sz w:val="18"/>
            <w:szCs w:val="18"/>
          </w:rPr>
          <w:t>https://unidad-administrativa-especial-de-salud-de-arauca.micolombiadigital.gov.co/sites/unidad-administrativa-especial-de-salud-de-arauca/content/files/000043/2105_decreto-no-333-de-2005-por-medio-del-cual-se-crea-la-uaesa.pdf</w:t>
        </w:r>
      </w:hyperlink>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520770B" w14:textId="1A2BB94C" w:rsidR="00EF64D8" w:rsidRDefault="00EF64D8">
    <w:pPr>
      <w:pStyle w:val="Encabezado"/>
    </w:pPr>
    <w:r>
      <w:rPr>
        <w:noProof/>
        <w:lang w:val="es-CO" w:eastAsia="es-CO"/>
      </w:rPr>
      <w:drawing>
        <wp:anchor distT="0" distB="0" distL="114300" distR="114300" simplePos="0" relativeHeight="251661312" behindDoc="1" locked="0" layoutInCell="1" allowOverlap="1" wp14:anchorId="1A706351" wp14:editId="1A8F82B0">
          <wp:simplePos x="0" y="0"/>
          <wp:positionH relativeFrom="column">
            <wp:posOffset>4382135</wp:posOffset>
          </wp:positionH>
          <wp:positionV relativeFrom="paragraph">
            <wp:posOffset>483226</wp:posOffset>
          </wp:positionV>
          <wp:extent cx="1257300" cy="516255"/>
          <wp:effectExtent l="0" t="0" r="0" b="0"/>
          <wp:wrapTight wrapText="bothSides">
            <wp:wrapPolygon edited="0">
              <wp:start x="327" y="0"/>
              <wp:lineTo x="327" y="18332"/>
              <wp:lineTo x="1964" y="19129"/>
              <wp:lineTo x="11127" y="20723"/>
              <wp:lineTo x="12764" y="20723"/>
              <wp:lineTo x="19636" y="19129"/>
              <wp:lineTo x="21273" y="18332"/>
              <wp:lineTo x="20945" y="0"/>
              <wp:lineTo x="327" y="0"/>
            </wp:wrapPolygon>
          </wp:wrapTight>
          <wp:docPr id="2"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CE Logo.jpg"/>
                  <pic:cNvPicPr/>
                </pic:nvPicPr>
                <pic:blipFill>
                  <a:blip r:embed="rId1">
                    <a:extLst>
                      <a:ext uri="{28A0092B-C50C-407E-A947-70E740481C1C}">
                        <a14:useLocalDpi xmlns:a14="http://schemas.microsoft.com/office/drawing/2010/main" val="0"/>
                      </a:ext>
                    </a:extLst>
                  </a:blip>
                  <a:stretch>
                    <a:fillRect/>
                  </a:stretch>
                </pic:blipFill>
                <pic:spPr bwMode="auto">
                  <a:xfrm>
                    <a:off x="0" y="0"/>
                    <a:ext cx="1257300" cy="51625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C06310"/>
    <w:multiLevelType w:val="multilevel"/>
    <w:tmpl w:val="1AF6C7A8"/>
    <w:lvl w:ilvl="0">
      <w:start w:val="1"/>
      <w:numFmt w:val="decimal"/>
      <w:lvlText w:val="%1."/>
      <w:lvlJc w:val="left"/>
      <w:pPr>
        <w:ind w:left="6601" w:hanging="360"/>
      </w:pPr>
      <w:rPr>
        <w:b/>
        <w:color w:val="4E4D4D"/>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DC73F5C"/>
    <w:multiLevelType w:val="multilevel"/>
    <w:tmpl w:val="AA5C0016"/>
    <w:lvl w:ilvl="0">
      <w:start w:val="1"/>
      <w:numFmt w:val="decimal"/>
      <w:lvlText w:val="%1."/>
      <w:lvlJc w:val="left"/>
      <w:pPr>
        <w:ind w:left="360" w:hanging="360"/>
      </w:pPr>
      <w:rPr>
        <w:rFonts w:hint="default"/>
        <w:b/>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2" w15:restartNumberingAfterBreak="0">
    <w:nsid w:val="142F02B9"/>
    <w:multiLevelType w:val="hybridMultilevel"/>
    <w:tmpl w:val="64F6ABCA"/>
    <w:lvl w:ilvl="0" w:tplc="0C0A0017">
      <w:start w:val="1"/>
      <w:numFmt w:val="lowerLetter"/>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 w15:restartNumberingAfterBreak="0">
    <w:nsid w:val="1B8A2D41"/>
    <w:multiLevelType w:val="hybridMultilevel"/>
    <w:tmpl w:val="B8CC0D42"/>
    <w:lvl w:ilvl="0" w:tplc="0C0A0017">
      <w:start w:val="1"/>
      <w:numFmt w:val="lowerLetter"/>
      <w:lvlText w:val="%1)"/>
      <w:lvlJc w:val="left"/>
      <w:pPr>
        <w:ind w:left="1429" w:hanging="360"/>
      </w:pPr>
    </w:lvl>
    <w:lvl w:ilvl="1" w:tplc="0C0A0019" w:tentative="1">
      <w:start w:val="1"/>
      <w:numFmt w:val="lowerLetter"/>
      <w:lvlText w:val="%2."/>
      <w:lvlJc w:val="left"/>
      <w:pPr>
        <w:ind w:left="2149" w:hanging="360"/>
      </w:pPr>
    </w:lvl>
    <w:lvl w:ilvl="2" w:tplc="0C0A001B" w:tentative="1">
      <w:start w:val="1"/>
      <w:numFmt w:val="lowerRoman"/>
      <w:lvlText w:val="%3."/>
      <w:lvlJc w:val="right"/>
      <w:pPr>
        <w:ind w:left="2869" w:hanging="180"/>
      </w:pPr>
    </w:lvl>
    <w:lvl w:ilvl="3" w:tplc="0C0A000F" w:tentative="1">
      <w:start w:val="1"/>
      <w:numFmt w:val="decimal"/>
      <w:lvlText w:val="%4."/>
      <w:lvlJc w:val="left"/>
      <w:pPr>
        <w:ind w:left="3589" w:hanging="360"/>
      </w:pPr>
    </w:lvl>
    <w:lvl w:ilvl="4" w:tplc="0C0A0019" w:tentative="1">
      <w:start w:val="1"/>
      <w:numFmt w:val="lowerLetter"/>
      <w:lvlText w:val="%5."/>
      <w:lvlJc w:val="left"/>
      <w:pPr>
        <w:ind w:left="4309" w:hanging="360"/>
      </w:pPr>
    </w:lvl>
    <w:lvl w:ilvl="5" w:tplc="0C0A001B" w:tentative="1">
      <w:start w:val="1"/>
      <w:numFmt w:val="lowerRoman"/>
      <w:lvlText w:val="%6."/>
      <w:lvlJc w:val="right"/>
      <w:pPr>
        <w:ind w:left="5029" w:hanging="180"/>
      </w:pPr>
    </w:lvl>
    <w:lvl w:ilvl="6" w:tplc="0C0A000F" w:tentative="1">
      <w:start w:val="1"/>
      <w:numFmt w:val="decimal"/>
      <w:lvlText w:val="%7."/>
      <w:lvlJc w:val="left"/>
      <w:pPr>
        <w:ind w:left="5749" w:hanging="360"/>
      </w:pPr>
    </w:lvl>
    <w:lvl w:ilvl="7" w:tplc="0C0A0019" w:tentative="1">
      <w:start w:val="1"/>
      <w:numFmt w:val="lowerLetter"/>
      <w:lvlText w:val="%8."/>
      <w:lvlJc w:val="left"/>
      <w:pPr>
        <w:ind w:left="6469" w:hanging="360"/>
      </w:pPr>
    </w:lvl>
    <w:lvl w:ilvl="8" w:tplc="0C0A001B" w:tentative="1">
      <w:start w:val="1"/>
      <w:numFmt w:val="lowerRoman"/>
      <w:lvlText w:val="%9."/>
      <w:lvlJc w:val="right"/>
      <w:pPr>
        <w:ind w:left="7189" w:hanging="180"/>
      </w:pPr>
    </w:lvl>
  </w:abstractNum>
  <w:abstractNum w:abstractNumId="4" w15:restartNumberingAfterBreak="0">
    <w:nsid w:val="29380B19"/>
    <w:multiLevelType w:val="hybridMultilevel"/>
    <w:tmpl w:val="1F66EDE8"/>
    <w:lvl w:ilvl="0" w:tplc="60226B48">
      <w:start w:val="1"/>
      <w:numFmt w:val="decimal"/>
      <w:lvlText w:val="%1."/>
      <w:lvlJc w:val="left"/>
      <w:pPr>
        <w:ind w:left="1069" w:hanging="360"/>
      </w:pPr>
      <w:rPr>
        <w:rFonts w:eastAsia="Arial" w:hint="default"/>
      </w:rPr>
    </w:lvl>
    <w:lvl w:ilvl="1" w:tplc="0C0A0019" w:tentative="1">
      <w:start w:val="1"/>
      <w:numFmt w:val="lowerLetter"/>
      <w:lvlText w:val="%2."/>
      <w:lvlJc w:val="left"/>
      <w:pPr>
        <w:ind w:left="1789" w:hanging="360"/>
      </w:pPr>
    </w:lvl>
    <w:lvl w:ilvl="2" w:tplc="0C0A001B" w:tentative="1">
      <w:start w:val="1"/>
      <w:numFmt w:val="lowerRoman"/>
      <w:lvlText w:val="%3."/>
      <w:lvlJc w:val="right"/>
      <w:pPr>
        <w:ind w:left="2509" w:hanging="180"/>
      </w:pPr>
    </w:lvl>
    <w:lvl w:ilvl="3" w:tplc="0C0A000F" w:tentative="1">
      <w:start w:val="1"/>
      <w:numFmt w:val="decimal"/>
      <w:lvlText w:val="%4."/>
      <w:lvlJc w:val="left"/>
      <w:pPr>
        <w:ind w:left="3229" w:hanging="360"/>
      </w:pPr>
    </w:lvl>
    <w:lvl w:ilvl="4" w:tplc="0C0A0019" w:tentative="1">
      <w:start w:val="1"/>
      <w:numFmt w:val="lowerLetter"/>
      <w:lvlText w:val="%5."/>
      <w:lvlJc w:val="left"/>
      <w:pPr>
        <w:ind w:left="3949" w:hanging="360"/>
      </w:pPr>
    </w:lvl>
    <w:lvl w:ilvl="5" w:tplc="0C0A001B" w:tentative="1">
      <w:start w:val="1"/>
      <w:numFmt w:val="lowerRoman"/>
      <w:lvlText w:val="%6."/>
      <w:lvlJc w:val="right"/>
      <w:pPr>
        <w:ind w:left="4669" w:hanging="180"/>
      </w:pPr>
    </w:lvl>
    <w:lvl w:ilvl="6" w:tplc="0C0A000F" w:tentative="1">
      <w:start w:val="1"/>
      <w:numFmt w:val="decimal"/>
      <w:lvlText w:val="%7."/>
      <w:lvlJc w:val="left"/>
      <w:pPr>
        <w:ind w:left="5389" w:hanging="360"/>
      </w:pPr>
    </w:lvl>
    <w:lvl w:ilvl="7" w:tplc="0C0A0019" w:tentative="1">
      <w:start w:val="1"/>
      <w:numFmt w:val="lowerLetter"/>
      <w:lvlText w:val="%8."/>
      <w:lvlJc w:val="left"/>
      <w:pPr>
        <w:ind w:left="6109" w:hanging="360"/>
      </w:pPr>
    </w:lvl>
    <w:lvl w:ilvl="8" w:tplc="0C0A001B" w:tentative="1">
      <w:start w:val="1"/>
      <w:numFmt w:val="lowerRoman"/>
      <w:lvlText w:val="%9."/>
      <w:lvlJc w:val="right"/>
      <w:pPr>
        <w:ind w:left="6829" w:hanging="180"/>
      </w:pPr>
    </w:lvl>
  </w:abstractNum>
  <w:abstractNum w:abstractNumId="5" w15:restartNumberingAfterBreak="0">
    <w:nsid w:val="2C625574"/>
    <w:multiLevelType w:val="hybridMultilevel"/>
    <w:tmpl w:val="7EA03DE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2CCF3319"/>
    <w:multiLevelType w:val="hybridMultilevel"/>
    <w:tmpl w:val="D42C505A"/>
    <w:lvl w:ilvl="0" w:tplc="FC5637A6">
      <w:start w:val="1"/>
      <w:numFmt w:val="decimal"/>
      <w:lvlText w:val="%1."/>
      <w:lvlJc w:val="left"/>
      <w:pPr>
        <w:ind w:left="720" w:hanging="360"/>
      </w:pPr>
      <w:rPr>
        <w:rFonts w:ascii="Calibri" w:hAnsi="Calibri" w:cs="Calibri" w:hint="default"/>
        <w:sz w:val="22"/>
        <w:szCs w:val="22"/>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7" w15:restartNumberingAfterBreak="0">
    <w:nsid w:val="2F3B1499"/>
    <w:multiLevelType w:val="hybridMultilevel"/>
    <w:tmpl w:val="B5BA0E08"/>
    <w:lvl w:ilvl="0" w:tplc="EC46EAB4">
      <w:start w:val="1"/>
      <w:numFmt w:val="lowerRoman"/>
      <w:lvlText w:val="%1)"/>
      <w:lvlJc w:val="left"/>
      <w:pPr>
        <w:ind w:left="1429" w:hanging="720"/>
      </w:pPr>
      <w:rPr>
        <w:rFonts w:eastAsia="Arial" w:hint="default"/>
      </w:rPr>
    </w:lvl>
    <w:lvl w:ilvl="1" w:tplc="0C0A0019" w:tentative="1">
      <w:start w:val="1"/>
      <w:numFmt w:val="lowerLetter"/>
      <w:lvlText w:val="%2."/>
      <w:lvlJc w:val="left"/>
      <w:pPr>
        <w:ind w:left="1789" w:hanging="360"/>
      </w:pPr>
    </w:lvl>
    <w:lvl w:ilvl="2" w:tplc="0C0A001B" w:tentative="1">
      <w:start w:val="1"/>
      <w:numFmt w:val="lowerRoman"/>
      <w:lvlText w:val="%3."/>
      <w:lvlJc w:val="right"/>
      <w:pPr>
        <w:ind w:left="2509" w:hanging="180"/>
      </w:pPr>
    </w:lvl>
    <w:lvl w:ilvl="3" w:tplc="0C0A000F" w:tentative="1">
      <w:start w:val="1"/>
      <w:numFmt w:val="decimal"/>
      <w:lvlText w:val="%4."/>
      <w:lvlJc w:val="left"/>
      <w:pPr>
        <w:ind w:left="3229" w:hanging="360"/>
      </w:pPr>
    </w:lvl>
    <w:lvl w:ilvl="4" w:tplc="0C0A0019" w:tentative="1">
      <w:start w:val="1"/>
      <w:numFmt w:val="lowerLetter"/>
      <w:lvlText w:val="%5."/>
      <w:lvlJc w:val="left"/>
      <w:pPr>
        <w:ind w:left="3949" w:hanging="360"/>
      </w:pPr>
    </w:lvl>
    <w:lvl w:ilvl="5" w:tplc="0C0A001B" w:tentative="1">
      <w:start w:val="1"/>
      <w:numFmt w:val="lowerRoman"/>
      <w:lvlText w:val="%6."/>
      <w:lvlJc w:val="right"/>
      <w:pPr>
        <w:ind w:left="4669" w:hanging="180"/>
      </w:pPr>
    </w:lvl>
    <w:lvl w:ilvl="6" w:tplc="0C0A000F" w:tentative="1">
      <w:start w:val="1"/>
      <w:numFmt w:val="decimal"/>
      <w:lvlText w:val="%7."/>
      <w:lvlJc w:val="left"/>
      <w:pPr>
        <w:ind w:left="5389" w:hanging="360"/>
      </w:pPr>
    </w:lvl>
    <w:lvl w:ilvl="7" w:tplc="0C0A0019" w:tentative="1">
      <w:start w:val="1"/>
      <w:numFmt w:val="lowerLetter"/>
      <w:lvlText w:val="%8."/>
      <w:lvlJc w:val="left"/>
      <w:pPr>
        <w:ind w:left="6109" w:hanging="360"/>
      </w:pPr>
    </w:lvl>
    <w:lvl w:ilvl="8" w:tplc="0C0A001B" w:tentative="1">
      <w:start w:val="1"/>
      <w:numFmt w:val="lowerRoman"/>
      <w:lvlText w:val="%9."/>
      <w:lvlJc w:val="right"/>
      <w:pPr>
        <w:ind w:left="6829" w:hanging="180"/>
      </w:pPr>
    </w:lvl>
  </w:abstractNum>
  <w:abstractNum w:abstractNumId="8" w15:restartNumberingAfterBreak="0">
    <w:nsid w:val="310D7E6C"/>
    <w:multiLevelType w:val="multilevel"/>
    <w:tmpl w:val="836404E2"/>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9" w15:restartNumberingAfterBreak="0">
    <w:nsid w:val="317B7BA6"/>
    <w:multiLevelType w:val="hybridMultilevel"/>
    <w:tmpl w:val="0A9A12A0"/>
    <w:lvl w:ilvl="0" w:tplc="0C0A0017">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0" w15:restartNumberingAfterBreak="0">
    <w:nsid w:val="31B41044"/>
    <w:multiLevelType w:val="hybridMultilevel"/>
    <w:tmpl w:val="836404E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1" w15:restartNumberingAfterBreak="0">
    <w:nsid w:val="35C1658E"/>
    <w:multiLevelType w:val="hybridMultilevel"/>
    <w:tmpl w:val="6BB45F22"/>
    <w:lvl w:ilvl="0" w:tplc="324E2A2C">
      <w:start w:val="1"/>
      <w:numFmt w:val="upperRoman"/>
      <w:lvlText w:val="%1."/>
      <w:lvlJc w:val="right"/>
      <w:pPr>
        <w:ind w:left="1429" w:hanging="360"/>
      </w:pPr>
      <w:rPr>
        <w:sz w:val="22"/>
        <w:szCs w:val="22"/>
      </w:rPr>
    </w:lvl>
    <w:lvl w:ilvl="1" w:tplc="0C0A0019" w:tentative="1">
      <w:start w:val="1"/>
      <w:numFmt w:val="lowerLetter"/>
      <w:lvlText w:val="%2."/>
      <w:lvlJc w:val="left"/>
      <w:pPr>
        <w:ind w:left="2149" w:hanging="360"/>
      </w:pPr>
    </w:lvl>
    <w:lvl w:ilvl="2" w:tplc="0C0A001B" w:tentative="1">
      <w:start w:val="1"/>
      <w:numFmt w:val="lowerRoman"/>
      <w:lvlText w:val="%3."/>
      <w:lvlJc w:val="right"/>
      <w:pPr>
        <w:ind w:left="2869" w:hanging="180"/>
      </w:pPr>
    </w:lvl>
    <w:lvl w:ilvl="3" w:tplc="0C0A000F" w:tentative="1">
      <w:start w:val="1"/>
      <w:numFmt w:val="decimal"/>
      <w:lvlText w:val="%4."/>
      <w:lvlJc w:val="left"/>
      <w:pPr>
        <w:ind w:left="3589" w:hanging="360"/>
      </w:pPr>
    </w:lvl>
    <w:lvl w:ilvl="4" w:tplc="0C0A0019" w:tentative="1">
      <w:start w:val="1"/>
      <w:numFmt w:val="lowerLetter"/>
      <w:lvlText w:val="%5."/>
      <w:lvlJc w:val="left"/>
      <w:pPr>
        <w:ind w:left="4309" w:hanging="360"/>
      </w:pPr>
    </w:lvl>
    <w:lvl w:ilvl="5" w:tplc="0C0A001B" w:tentative="1">
      <w:start w:val="1"/>
      <w:numFmt w:val="lowerRoman"/>
      <w:lvlText w:val="%6."/>
      <w:lvlJc w:val="right"/>
      <w:pPr>
        <w:ind w:left="5029" w:hanging="180"/>
      </w:pPr>
    </w:lvl>
    <w:lvl w:ilvl="6" w:tplc="0C0A000F" w:tentative="1">
      <w:start w:val="1"/>
      <w:numFmt w:val="decimal"/>
      <w:lvlText w:val="%7."/>
      <w:lvlJc w:val="left"/>
      <w:pPr>
        <w:ind w:left="5749" w:hanging="360"/>
      </w:pPr>
    </w:lvl>
    <w:lvl w:ilvl="7" w:tplc="0C0A0019" w:tentative="1">
      <w:start w:val="1"/>
      <w:numFmt w:val="lowerLetter"/>
      <w:lvlText w:val="%8."/>
      <w:lvlJc w:val="left"/>
      <w:pPr>
        <w:ind w:left="6469" w:hanging="360"/>
      </w:pPr>
    </w:lvl>
    <w:lvl w:ilvl="8" w:tplc="0C0A001B" w:tentative="1">
      <w:start w:val="1"/>
      <w:numFmt w:val="lowerRoman"/>
      <w:lvlText w:val="%9."/>
      <w:lvlJc w:val="right"/>
      <w:pPr>
        <w:ind w:left="7189" w:hanging="180"/>
      </w:pPr>
    </w:lvl>
  </w:abstractNum>
  <w:abstractNum w:abstractNumId="12" w15:restartNumberingAfterBreak="0">
    <w:nsid w:val="3642528B"/>
    <w:multiLevelType w:val="hybridMultilevel"/>
    <w:tmpl w:val="D408B580"/>
    <w:lvl w:ilvl="0" w:tplc="15DE398A">
      <w:start w:val="1"/>
      <w:numFmt w:val="lowerLetter"/>
      <w:lvlText w:val="%1)"/>
      <w:lvlJc w:val="left"/>
      <w:pPr>
        <w:ind w:left="1069" w:hanging="360"/>
      </w:pPr>
      <w:rPr>
        <w:rFonts w:eastAsia="Arial" w:hint="default"/>
      </w:rPr>
    </w:lvl>
    <w:lvl w:ilvl="1" w:tplc="0C0A0019" w:tentative="1">
      <w:start w:val="1"/>
      <w:numFmt w:val="lowerLetter"/>
      <w:lvlText w:val="%2."/>
      <w:lvlJc w:val="left"/>
      <w:pPr>
        <w:ind w:left="1789" w:hanging="360"/>
      </w:pPr>
    </w:lvl>
    <w:lvl w:ilvl="2" w:tplc="0C0A001B" w:tentative="1">
      <w:start w:val="1"/>
      <w:numFmt w:val="lowerRoman"/>
      <w:lvlText w:val="%3."/>
      <w:lvlJc w:val="right"/>
      <w:pPr>
        <w:ind w:left="2509" w:hanging="180"/>
      </w:pPr>
    </w:lvl>
    <w:lvl w:ilvl="3" w:tplc="0C0A000F" w:tentative="1">
      <w:start w:val="1"/>
      <w:numFmt w:val="decimal"/>
      <w:lvlText w:val="%4."/>
      <w:lvlJc w:val="left"/>
      <w:pPr>
        <w:ind w:left="3229" w:hanging="360"/>
      </w:pPr>
    </w:lvl>
    <w:lvl w:ilvl="4" w:tplc="0C0A0019" w:tentative="1">
      <w:start w:val="1"/>
      <w:numFmt w:val="lowerLetter"/>
      <w:lvlText w:val="%5."/>
      <w:lvlJc w:val="left"/>
      <w:pPr>
        <w:ind w:left="3949" w:hanging="360"/>
      </w:pPr>
    </w:lvl>
    <w:lvl w:ilvl="5" w:tplc="0C0A001B" w:tentative="1">
      <w:start w:val="1"/>
      <w:numFmt w:val="lowerRoman"/>
      <w:lvlText w:val="%6."/>
      <w:lvlJc w:val="right"/>
      <w:pPr>
        <w:ind w:left="4669" w:hanging="180"/>
      </w:pPr>
    </w:lvl>
    <w:lvl w:ilvl="6" w:tplc="0C0A000F" w:tentative="1">
      <w:start w:val="1"/>
      <w:numFmt w:val="decimal"/>
      <w:lvlText w:val="%7."/>
      <w:lvlJc w:val="left"/>
      <w:pPr>
        <w:ind w:left="5389" w:hanging="360"/>
      </w:pPr>
    </w:lvl>
    <w:lvl w:ilvl="7" w:tplc="0C0A0019" w:tentative="1">
      <w:start w:val="1"/>
      <w:numFmt w:val="lowerLetter"/>
      <w:lvlText w:val="%8."/>
      <w:lvlJc w:val="left"/>
      <w:pPr>
        <w:ind w:left="6109" w:hanging="360"/>
      </w:pPr>
    </w:lvl>
    <w:lvl w:ilvl="8" w:tplc="0C0A001B" w:tentative="1">
      <w:start w:val="1"/>
      <w:numFmt w:val="lowerRoman"/>
      <w:lvlText w:val="%9."/>
      <w:lvlJc w:val="right"/>
      <w:pPr>
        <w:ind w:left="6829" w:hanging="180"/>
      </w:pPr>
    </w:lvl>
  </w:abstractNum>
  <w:abstractNum w:abstractNumId="13" w15:restartNumberingAfterBreak="0">
    <w:nsid w:val="3DF77F05"/>
    <w:multiLevelType w:val="hybridMultilevel"/>
    <w:tmpl w:val="0E90E834"/>
    <w:lvl w:ilvl="0" w:tplc="073E4240">
      <w:start w:val="1"/>
      <w:numFmt w:val="lowerRoman"/>
      <w:lvlText w:val="%1)"/>
      <w:lvlJc w:val="left"/>
      <w:pPr>
        <w:ind w:left="1429" w:hanging="720"/>
      </w:pPr>
      <w:rPr>
        <w:rFonts w:eastAsia="Arial" w:hint="default"/>
      </w:rPr>
    </w:lvl>
    <w:lvl w:ilvl="1" w:tplc="0C0A0019" w:tentative="1">
      <w:start w:val="1"/>
      <w:numFmt w:val="lowerLetter"/>
      <w:lvlText w:val="%2."/>
      <w:lvlJc w:val="left"/>
      <w:pPr>
        <w:ind w:left="1789" w:hanging="360"/>
      </w:pPr>
    </w:lvl>
    <w:lvl w:ilvl="2" w:tplc="0C0A001B" w:tentative="1">
      <w:start w:val="1"/>
      <w:numFmt w:val="lowerRoman"/>
      <w:lvlText w:val="%3."/>
      <w:lvlJc w:val="right"/>
      <w:pPr>
        <w:ind w:left="2509" w:hanging="180"/>
      </w:pPr>
    </w:lvl>
    <w:lvl w:ilvl="3" w:tplc="0C0A000F" w:tentative="1">
      <w:start w:val="1"/>
      <w:numFmt w:val="decimal"/>
      <w:lvlText w:val="%4."/>
      <w:lvlJc w:val="left"/>
      <w:pPr>
        <w:ind w:left="3229" w:hanging="360"/>
      </w:pPr>
    </w:lvl>
    <w:lvl w:ilvl="4" w:tplc="0C0A0019" w:tentative="1">
      <w:start w:val="1"/>
      <w:numFmt w:val="lowerLetter"/>
      <w:lvlText w:val="%5."/>
      <w:lvlJc w:val="left"/>
      <w:pPr>
        <w:ind w:left="3949" w:hanging="360"/>
      </w:pPr>
    </w:lvl>
    <w:lvl w:ilvl="5" w:tplc="0C0A001B" w:tentative="1">
      <w:start w:val="1"/>
      <w:numFmt w:val="lowerRoman"/>
      <w:lvlText w:val="%6."/>
      <w:lvlJc w:val="right"/>
      <w:pPr>
        <w:ind w:left="4669" w:hanging="180"/>
      </w:pPr>
    </w:lvl>
    <w:lvl w:ilvl="6" w:tplc="0C0A000F" w:tentative="1">
      <w:start w:val="1"/>
      <w:numFmt w:val="decimal"/>
      <w:lvlText w:val="%7."/>
      <w:lvlJc w:val="left"/>
      <w:pPr>
        <w:ind w:left="5389" w:hanging="360"/>
      </w:pPr>
    </w:lvl>
    <w:lvl w:ilvl="7" w:tplc="0C0A0019" w:tentative="1">
      <w:start w:val="1"/>
      <w:numFmt w:val="lowerLetter"/>
      <w:lvlText w:val="%8."/>
      <w:lvlJc w:val="left"/>
      <w:pPr>
        <w:ind w:left="6109" w:hanging="360"/>
      </w:pPr>
    </w:lvl>
    <w:lvl w:ilvl="8" w:tplc="0C0A001B" w:tentative="1">
      <w:start w:val="1"/>
      <w:numFmt w:val="lowerRoman"/>
      <w:lvlText w:val="%9."/>
      <w:lvlJc w:val="right"/>
      <w:pPr>
        <w:ind w:left="6829" w:hanging="180"/>
      </w:pPr>
    </w:lvl>
  </w:abstractNum>
  <w:abstractNum w:abstractNumId="14" w15:restartNumberingAfterBreak="0">
    <w:nsid w:val="444D0259"/>
    <w:multiLevelType w:val="hybridMultilevel"/>
    <w:tmpl w:val="77FC860C"/>
    <w:lvl w:ilvl="0" w:tplc="0C0A0017">
      <w:start w:val="1"/>
      <w:numFmt w:val="lowerLetter"/>
      <w:lvlText w:val="%1)"/>
      <w:lvlJc w:val="left"/>
      <w:pPr>
        <w:ind w:left="1429" w:hanging="360"/>
      </w:pPr>
    </w:lvl>
    <w:lvl w:ilvl="1" w:tplc="0C0A0019" w:tentative="1">
      <w:start w:val="1"/>
      <w:numFmt w:val="lowerLetter"/>
      <w:lvlText w:val="%2."/>
      <w:lvlJc w:val="left"/>
      <w:pPr>
        <w:ind w:left="2149" w:hanging="360"/>
      </w:pPr>
    </w:lvl>
    <w:lvl w:ilvl="2" w:tplc="0C0A001B" w:tentative="1">
      <w:start w:val="1"/>
      <w:numFmt w:val="lowerRoman"/>
      <w:lvlText w:val="%3."/>
      <w:lvlJc w:val="right"/>
      <w:pPr>
        <w:ind w:left="2869" w:hanging="180"/>
      </w:pPr>
    </w:lvl>
    <w:lvl w:ilvl="3" w:tplc="0C0A000F" w:tentative="1">
      <w:start w:val="1"/>
      <w:numFmt w:val="decimal"/>
      <w:lvlText w:val="%4."/>
      <w:lvlJc w:val="left"/>
      <w:pPr>
        <w:ind w:left="3589" w:hanging="360"/>
      </w:pPr>
    </w:lvl>
    <w:lvl w:ilvl="4" w:tplc="0C0A0019" w:tentative="1">
      <w:start w:val="1"/>
      <w:numFmt w:val="lowerLetter"/>
      <w:lvlText w:val="%5."/>
      <w:lvlJc w:val="left"/>
      <w:pPr>
        <w:ind w:left="4309" w:hanging="360"/>
      </w:pPr>
    </w:lvl>
    <w:lvl w:ilvl="5" w:tplc="0C0A001B" w:tentative="1">
      <w:start w:val="1"/>
      <w:numFmt w:val="lowerRoman"/>
      <w:lvlText w:val="%6."/>
      <w:lvlJc w:val="right"/>
      <w:pPr>
        <w:ind w:left="5029" w:hanging="180"/>
      </w:pPr>
    </w:lvl>
    <w:lvl w:ilvl="6" w:tplc="0C0A000F" w:tentative="1">
      <w:start w:val="1"/>
      <w:numFmt w:val="decimal"/>
      <w:lvlText w:val="%7."/>
      <w:lvlJc w:val="left"/>
      <w:pPr>
        <w:ind w:left="5749" w:hanging="360"/>
      </w:pPr>
    </w:lvl>
    <w:lvl w:ilvl="7" w:tplc="0C0A0019" w:tentative="1">
      <w:start w:val="1"/>
      <w:numFmt w:val="lowerLetter"/>
      <w:lvlText w:val="%8."/>
      <w:lvlJc w:val="left"/>
      <w:pPr>
        <w:ind w:left="6469" w:hanging="360"/>
      </w:pPr>
    </w:lvl>
    <w:lvl w:ilvl="8" w:tplc="0C0A001B" w:tentative="1">
      <w:start w:val="1"/>
      <w:numFmt w:val="lowerRoman"/>
      <w:lvlText w:val="%9."/>
      <w:lvlJc w:val="right"/>
      <w:pPr>
        <w:ind w:left="7189" w:hanging="180"/>
      </w:pPr>
    </w:lvl>
  </w:abstractNum>
  <w:abstractNum w:abstractNumId="15" w15:restartNumberingAfterBreak="0">
    <w:nsid w:val="482459AB"/>
    <w:multiLevelType w:val="hybridMultilevel"/>
    <w:tmpl w:val="F7E4801A"/>
    <w:lvl w:ilvl="0" w:tplc="07686820">
      <w:start w:val="1"/>
      <w:numFmt w:val="bullet"/>
      <w:lvlText w:val=""/>
      <w:lvlJc w:val="left"/>
      <w:pPr>
        <w:ind w:left="720" w:hanging="360"/>
      </w:pPr>
      <w:rPr>
        <w:rFonts w:ascii="Wingdings" w:hAnsi="Wingdings" w:hint="default"/>
        <w:color w:val="0E63A8"/>
        <w:sz w:val="28"/>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6" w15:restartNumberingAfterBreak="0">
    <w:nsid w:val="59112A3E"/>
    <w:multiLevelType w:val="hybridMultilevel"/>
    <w:tmpl w:val="C2A4B150"/>
    <w:lvl w:ilvl="0" w:tplc="8C620734">
      <w:start w:val="1"/>
      <w:numFmt w:val="decimal"/>
      <w:lvlText w:val="%1."/>
      <w:lvlJc w:val="left"/>
      <w:pPr>
        <w:ind w:left="677" w:hanging="360"/>
      </w:pPr>
      <w:rPr>
        <w:rFonts w:hint="default"/>
      </w:rPr>
    </w:lvl>
    <w:lvl w:ilvl="1" w:tplc="240A0019" w:tentative="1">
      <w:start w:val="1"/>
      <w:numFmt w:val="lowerLetter"/>
      <w:lvlText w:val="%2."/>
      <w:lvlJc w:val="left"/>
      <w:pPr>
        <w:ind w:left="1397" w:hanging="360"/>
      </w:pPr>
    </w:lvl>
    <w:lvl w:ilvl="2" w:tplc="240A001B" w:tentative="1">
      <w:start w:val="1"/>
      <w:numFmt w:val="lowerRoman"/>
      <w:lvlText w:val="%3."/>
      <w:lvlJc w:val="right"/>
      <w:pPr>
        <w:ind w:left="2117" w:hanging="180"/>
      </w:pPr>
    </w:lvl>
    <w:lvl w:ilvl="3" w:tplc="240A000F" w:tentative="1">
      <w:start w:val="1"/>
      <w:numFmt w:val="decimal"/>
      <w:lvlText w:val="%4."/>
      <w:lvlJc w:val="left"/>
      <w:pPr>
        <w:ind w:left="2837" w:hanging="360"/>
      </w:pPr>
    </w:lvl>
    <w:lvl w:ilvl="4" w:tplc="240A0019" w:tentative="1">
      <w:start w:val="1"/>
      <w:numFmt w:val="lowerLetter"/>
      <w:lvlText w:val="%5."/>
      <w:lvlJc w:val="left"/>
      <w:pPr>
        <w:ind w:left="3557" w:hanging="360"/>
      </w:pPr>
    </w:lvl>
    <w:lvl w:ilvl="5" w:tplc="240A001B" w:tentative="1">
      <w:start w:val="1"/>
      <w:numFmt w:val="lowerRoman"/>
      <w:lvlText w:val="%6."/>
      <w:lvlJc w:val="right"/>
      <w:pPr>
        <w:ind w:left="4277" w:hanging="180"/>
      </w:pPr>
    </w:lvl>
    <w:lvl w:ilvl="6" w:tplc="240A000F" w:tentative="1">
      <w:start w:val="1"/>
      <w:numFmt w:val="decimal"/>
      <w:lvlText w:val="%7."/>
      <w:lvlJc w:val="left"/>
      <w:pPr>
        <w:ind w:left="4997" w:hanging="360"/>
      </w:pPr>
    </w:lvl>
    <w:lvl w:ilvl="7" w:tplc="240A0019" w:tentative="1">
      <w:start w:val="1"/>
      <w:numFmt w:val="lowerLetter"/>
      <w:lvlText w:val="%8."/>
      <w:lvlJc w:val="left"/>
      <w:pPr>
        <w:ind w:left="5717" w:hanging="360"/>
      </w:pPr>
    </w:lvl>
    <w:lvl w:ilvl="8" w:tplc="240A001B" w:tentative="1">
      <w:start w:val="1"/>
      <w:numFmt w:val="lowerRoman"/>
      <w:lvlText w:val="%9."/>
      <w:lvlJc w:val="right"/>
      <w:pPr>
        <w:ind w:left="6437" w:hanging="180"/>
      </w:pPr>
    </w:lvl>
  </w:abstractNum>
  <w:abstractNum w:abstractNumId="17" w15:restartNumberingAfterBreak="0">
    <w:nsid w:val="5A9A2200"/>
    <w:multiLevelType w:val="multilevel"/>
    <w:tmpl w:val="614E70D0"/>
    <w:lvl w:ilvl="0">
      <w:start w:val="1"/>
      <w:numFmt w:val="decimal"/>
      <w:lvlText w:val="%1."/>
      <w:lvlJc w:val="left"/>
      <w:pPr>
        <w:ind w:left="360" w:hanging="360"/>
      </w:pPr>
      <w:rPr>
        <w:rFonts w:hint="default"/>
        <w:b/>
        <w:sz w:val="22"/>
      </w:r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18" w15:restartNumberingAfterBreak="0">
    <w:nsid w:val="632B27AF"/>
    <w:multiLevelType w:val="hybridMultilevel"/>
    <w:tmpl w:val="BA34E780"/>
    <w:lvl w:ilvl="0" w:tplc="56241FF8">
      <w:start w:val="1"/>
      <w:numFmt w:val="lowerLetter"/>
      <w:lvlText w:val="%1)"/>
      <w:lvlJc w:val="left"/>
      <w:pPr>
        <w:ind w:left="1069" w:hanging="360"/>
      </w:pPr>
      <w:rPr>
        <w:rFonts w:eastAsia="Arial" w:hint="default"/>
      </w:rPr>
    </w:lvl>
    <w:lvl w:ilvl="1" w:tplc="0C0A0019" w:tentative="1">
      <w:start w:val="1"/>
      <w:numFmt w:val="lowerLetter"/>
      <w:lvlText w:val="%2."/>
      <w:lvlJc w:val="left"/>
      <w:pPr>
        <w:ind w:left="1789" w:hanging="360"/>
      </w:pPr>
    </w:lvl>
    <w:lvl w:ilvl="2" w:tplc="0C0A001B" w:tentative="1">
      <w:start w:val="1"/>
      <w:numFmt w:val="lowerRoman"/>
      <w:lvlText w:val="%3."/>
      <w:lvlJc w:val="right"/>
      <w:pPr>
        <w:ind w:left="2509" w:hanging="180"/>
      </w:pPr>
    </w:lvl>
    <w:lvl w:ilvl="3" w:tplc="0C0A000F" w:tentative="1">
      <w:start w:val="1"/>
      <w:numFmt w:val="decimal"/>
      <w:lvlText w:val="%4."/>
      <w:lvlJc w:val="left"/>
      <w:pPr>
        <w:ind w:left="3229" w:hanging="360"/>
      </w:pPr>
    </w:lvl>
    <w:lvl w:ilvl="4" w:tplc="0C0A0019" w:tentative="1">
      <w:start w:val="1"/>
      <w:numFmt w:val="lowerLetter"/>
      <w:lvlText w:val="%5."/>
      <w:lvlJc w:val="left"/>
      <w:pPr>
        <w:ind w:left="3949" w:hanging="360"/>
      </w:pPr>
    </w:lvl>
    <w:lvl w:ilvl="5" w:tplc="0C0A001B" w:tentative="1">
      <w:start w:val="1"/>
      <w:numFmt w:val="lowerRoman"/>
      <w:lvlText w:val="%6."/>
      <w:lvlJc w:val="right"/>
      <w:pPr>
        <w:ind w:left="4669" w:hanging="180"/>
      </w:pPr>
    </w:lvl>
    <w:lvl w:ilvl="6" w:tplc="0C0A000F" w:tentative="1">
      <w:start w:val="1"/>
      <w:numFmt w:val="decimal"/>
      <w:lvlText w:val="%7."/>
      <w:lvlJc w:val="left"/>
      <w:pPr>
        <w:ind w:left="5389" w:hanging="360"/>
      </w:pPr>
    </w:lvl>
    <w:lvl w:ilvl="7" w:tplc="0C0A0019" w:tentative="1">
      <w:start w:val="1"/>
      <w:numFmt w:val="lowerLetter"/>
      <w:lvlText w:val="%8."/>
      <w:lvlJc w:val="left"/>
      <w:pPr>
        <w:ind w:left="6109" w:hanging="360"/>
      </w:pPr>
    </w:lvl>
    <w:lvl w:ilvl="8" w:tplc="0C0A001B" w:tentative="1">
      <w:start w:val="1"/>
      <w:numFmt w:val="lowerRoman"/>
      <w:lvlText w:val="%9."/>
      <w:lvlJc w:val="right"/>
      <w:pPr>
        <w:ind w:left="6829" w:hanging="180"/>
      </w:pPr>
    </w:lvl>
  </w:abstractNum>
  <w:abstractNum w:abstractNumId="19" w15:restartNumberingAfterBreak="0">
    <w:nsid w:val="6A9B7B46"/>
    <w:multiLevelType w:val="hybridMultilevel"/>
    <w:tmpl w:val="103E82C4"/>
    <w:lvl w:ilvl="0" w:tplc="0C0A0013">
      <w:start w:val="1"/>
      <w:numFmt w:val="upperRoman"/>
      <w:lvlText w:val="%1."/>
      <w:lvlJc w:val="right"/>
      <w:pPr>
        <w:ind w:left="1429" w:hanging="360"/>
      </w:pPr>
    </w:lvl>
    <w:lvl w:ilvl="1" w:tplc="0C0A0019" w:tentative="1">
      <w:start w:val="1"/>
      <w:numFmt w:val="lowerLetter"/>
      <w:lvlText w:val="%2."/>
      <w:lvlJc w:val="left"/>
      <w:pPr>
        <w:ind w:left="2149" w:hanging="360"/>
      </w:pPr>
    </w:lvl>
    <w:lvl w:ilvl="2" w:tplc="0C0A001B" w:tentative="1">
      <w:start w:val="1"/>
      <w:numFmt w:val="lowerRoman"/>
      <w:lvlText w:val="%3."/>
      <w:lvlJc w:val="right"/>
      <w:pPr>
        <w:ind w:left="2869" w:hanging="180"/>
      </w:pPr>
    </w:lvl>
    <w:lvl w:ilvl="3" w:tplc="0C0A000F" w:tentative="1">
      <w:start w:val="1"/>
      <w:numFmt w:val="decimal"/>
      <w:lvlText w:val="%4."/>
      <w:lvlJc w:val="left"/>
      <w:pPr>
        <w:ind w:left="3589" w:hanging="360"/>
      </w:pPr>
    </w:lvl>
    <w:lvl w:ilvl="4" w:tplc="0C0A0019" w:tentative="1">
      <w:start w:val="1"/>
      <w:numFmt w:val="lowerLetter"/>
      <w:lvlText w:val="%5."/>
      <w:lvlJc w:val="left"/>
      <w:pPr>
        <w:ind w:left="4309" w:hanging="360"/>
      </w:pPr>
    </w:lvl>
    <w:lvl w:ilvl="5" w:tplc="0C0A001B" w:tentative="1">
      <w:start w:val="1"/>
      <w:numFmt w:val="lowerRoman"/>
      <w:lvlText w:val="%6."/>
      <w:lvlJc w:val="right"/>
      <w:pPr>
        <w:ind w:left="5029" w:hanging="180"/>
      </w:pPr>
    </w:lvl>
    <w:lvl w:ilvl="6" w:tplc="0C0A000F" w:tentative="1">
      <w:start w:val="1"/>
      <w:numFmt w:val="decimal"/>
      <w:lvlText w:val="%7."/>
      <w:lvlJc w:val="left"/>
      <w:pPr>
        <w:ind w:left="5749" w:hanging="360"/>
      </w:pPr>
    </w:lvl>
    <w:lvl w:ilvl="7" w:tplc="0C0A0019" w:tentative="1">
      <w:start w:val="1"/>
      <w:numFmt w:val="lowerLetter"/>
      <w:lvlText w:val="%8."/>
      <w:lvlJc w:val="left"/>
      <w:pPr>
        <w:ind w:left="6469" w:hanging="360"/>
      </w:pPr>
    </w:lvl>
    <w:lvl w:ilvl="8" w:tplc="0C0A001B" w:tentative="1">
      <w:start w:val="1"/>
      <w:numFmt w:val="lowerRoman"/>
      <w:lvlText w:val="%9."/>
      <w:lvlJc w:val="right"/>
      <w:pPr>
        <w:ind w:left="7189" w:hanging="180"/>
      </w:pPr>
    </w:lvl>
  </w:abstractNum>
  <w:abstractNum w:abstractNumId="20" w15:restartNumberingAfterBreak="0">
    <w:nsid w:val="6BFF7097"/>
    <w:multiLevelType w:val="hybridMultilevel"/>
    <w:tmpl w:val="C2A4B150"/>
    <w:lvl w:ilvl="0" w:tplc="8C620734">
      <w:start w:val="1"/>
      <w:numFmt w:val="decimal"/>
      <w:lvlText w:val="%1."/>
      <w:lvlJc w:val="left"/>
      <w:pPr>
        <w:ind w:left="677" w:hanging="360"/>
      </w:pPr>
      <w:rPr>
        <w:rFonts w:hint="default"/>
      </w:rPr>
    </w:lvl>
    <w:lvl w:ilvl="1" w:tplc="240A0019" w:tentative="1">
      <w:start w:val="1"/>
      <w:numFmt w:val="lowerLetter"/>
      <w:lvlText w:val="%2."/>
      <w:lvlJc w:val="left"/>
      <w:pPr>
        <w:ind w:left="1397" w:hanging="360"/>
      </w:pPr>
    </w:lvl>
    <w:lvl w:ilvl="2" w:tplc="240A001B" w:tentative="1">
      <w:start w:val="1"/>
      <w:numFmt w:val="lowerRoman"/>
      <w:lvlText w:val="%3."/>
      <w:lvlJc w:val="right"/>
      <w:pPr>
        <w:ind w:left="2117" w:hanging="180"/>
      </w:pPr>
    </w:lvl>
    <w:lvl w:ilvl="3" w:tplc="240A000F" w:tentative="1">
      <w:start w:val="1"/>
      <w:numFmt w:val="decimal"/>
      <w:lvlText w:val="%4."/>
      <w:lvlJc w:val="left"/>
      <w:pPr>
        <w:ind w:left="2837" w:hanging="360"/>
      </w:pPr>
    </w:lvl>
    <w:lvl w:ilvl="4" w:tplc="240A0019" w:tentative="1">
      <w:start w:val="1"/>
      <w:numFmt w:val="lowerLetter"/>
      <w:lvlText w:val="%5."/>
      <w:lvlJc w:val="left"/>
      <w:pPr>
        <w:ind w:left="3557" w:hanging="360"/>
      </w:pPr>
    </w:lvl>
    <w:lvl w:ilvl="5" w:tplc="240A001B" w:tentative="1">
      <w:start w:val="1"/>
      <w:numFmt w:val="lowerRoman"/>
      <w:lvlText w:val="%6."/>
      <w:lvlJc w:val="right"/>
      <w:pPr>
        <w:ind w:left="4277" w:hanging="180"/>
      </w:pPr>
    </w:lvl>
    <w:lvl w:ilvl="6" w:tplc="240A000F" w:tentative="1">
      <w:start w:val="1"/>
      <w:numFmt w:val="decimal"/>
      <w:lvlText w:val="%7."/>
      <w:lvlJc w:val="left"/>
      <w:pPr>
        <w:ind w:left="4997" w:hanging="360"/>
      </w:pPr>
    </w:lvl>
    <w:lvl w:ilvl="7" w:tplc="240A0019" w:tentative="1">
      <w:start w:val="1"/>
      <w:numFmt w:val="lowerLetter"/>
      <w:lvlText w:val="%8."/>
      <w:lvlJc w:val="left"/>
      <w:pPr>
        <w:ind w:left="5717" w:hanging="360"/>
      </w:pPr>
    </w:lvl>
    <w:lvl w:ilvl="8" w:tplc="240A001B" w:tentative="1">
      <w:start w:val="1"/>
      <w:numFmt w:val="lowerRoman"/>
      <w:lvlText w:val="%9."/>
      <w:lvlJc w:val="right"/>
      <w:pPr>
        <w:ind w:left="6437" w:hanging="180"/>
      </w:pPr>
    </w:lvl>
  </w:abstractNum>
  <w:abstractNum w:abstractNumId="21" w15:restartNumberingAfterBreak="0">
    <w:nsid w:val="6FEE5641"/>
    <w:multiLevelType w:val="hybridMultilevel"/>
    <w:tmpl w:val="CE064F6E"/>
    <w:lvl w:ilvl="0" w:tplc="0C0A0017">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2" w15:restartNumberingAfterBreak="0">
    <w:nsid w:val="70966857"/>
    <w:multiLevelType w:val="hybridMultilevel"/>
    <w:tmpl w:val="2EB8A274"/>
    <w:lvl w:ilvl="0" w:tplc="0C0A000F">
      <w:start w:val="1"/>
      <w:numFmt w:val="decimal"/>
      <w:lvlText w:val="%1."/>
      <w:lvlJc w:val="left"/>
      <w:pPr>
        <w:ind w:left="1429" w:hanging="360"/>
      </w:pPr>
    </w:lvl>
    <w:lvl w:ilvl="1" w:tplc="0C0A0019" w:tentative="1">
      <w:start w:val="1"/>
      <w:numFmt w:val="lowerLetter"/>
      <w:lvlText w:val="%2."/>
      <w:lvlJc w:val="left"/>
      <w:pPr>
        <w:ind w:left="2149" w:hanging="360"/>
      </w:pPr>
    </w:lvl>
    <w:lvl w:ilvl="2" w:tplc="0C0A001B" w:tentative="1">
      <w:start w:val="1"/>
      <w:numFmt w:val="lowerRoman"/>
      <w:lvlText w:val="%3."/>
      <w:lvlJc w:val="right"/>
      <w:pPr>
        <w:ind w:left="2869" w:hanging="180"/>
      </w:pPr>
    </w:lvl>
    <w:lvl w:ilvl="3" w:tplc="0C0A000F" w:tentative="1">
      <w:start w:val="1"/>
      <w:numFmt w:val="decimal"/>
      <w:lvlText w:val="%4."/>
      <w:lvlJc w:val="left"/>
      <w:pPr>
        <w:ind w:left="3589" w:hanging="360"/>
      </w:pPr>
    </w:lvl>
    <w:lvl w:ilvl="4" w:tplc="0C0A0019" w:tentative="1">
      <w:start w:val="1"/>
      <w:numFmt w:val="lowerLetter"/>
      <w:lvlText w:val="%5."/>
      <w:lvlJc w:val="left"/>
      <w:pPr>
        <w:ind w:left="4309" w:hanging="360"/>
      </w:pPr>
    </w:lvl>
    <w:lvl w:ilvl="5" w:tplc="0C0A001B" w:tentative="1">
      <w:start w:val="1"/>
      <w:numFmt w:val="lowerRoman"/>
      <w:lvlText w:val="%6."/>
      <w:lvlJc w:val="right"/>
      <w:pPr>
        <w:ind w:left="5029" w:hanging="180"/>
      </w:pPr>
    </w:lvl>
    <w:lvl w:ilvl="6" w:tplc="0C0A000F" w:tentative="1">
      <w:start w:val="1"/>
      <w:numFmt w:val="decimal"/>
      <w:lvlText w:val="%7."/>
      <w:lvlJc w:val="left"/>
      <w:pPr>
        <w:ind w:left="5749" w:hanging="360"/>
      </w:pPr>
    </w:lvl>
    <w:lvl w:ilvl="7" w:tplc="0C0A0019" w:tentative="1">
      <w:start w:val="1"/>
      <w:numFmt w:val="lowerLetter"/>
      <w:lvlText w:val="%8."/>
      <w:lvlJc w:val="left"/>
      <w:pPr>
        <w:ind w:left="6469" w:hanging="360"/>
      </w:pPr>
    </w:lvl>
    <w:lvl w:ilvl="8" w:tplc="0C0A001B" w:tentative="1">
      <w:start w:val="1"/>
      <w:numFmt w:val="lowerRoman"/>
      <w:lvlText w:val="%9."/>
      <w:lvlJc w:val="right"/>
      <w:pPr>
        <w:ind w:left="7189" w:hanging="180"/>
      </w:pPr>
    </w:lvl>
  </w:abstractNum>
  <w:abstractNum w:abstractNumId="23" w15:restartNumberingAfterBreak="0">
    <w:nsid w:val="7C703690"/>
    <w:multiLevelType w:val="hybridMultilevel"/>
    <w:tmpl w:val="F9862FC0"/>
    <w:lvl w:ilvl="0" w:tplc="0C0A0017">
      <w:start w:val="1"/>
      <w:numFmt w:val="lowerLetter"/>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16cid:durableId="1266112881">
    <w:abstractNumId w:val="10"/>
  </w:num>
  <w:num w:numId="2" w16cid:durableId="176508438">
    <w:abstractNumId w:val="8"/>
  </w:num>
  <w:num w:numId="3" w16cid:durableId="783228293">
    <w:abstractNumId w:val="15"/>
  </w:num>
  <w:num w:numId="4" w16cid:durableId="180440169">
    <w:abstractNumId w:val="16"/>
  </w:num>
  <w:num w:numId="5" w16cid:durableId="159196182">
    <w:abstractNumId w:val="20"/>
  </w:num>
  <w:num w:numId="6" w16cid:durableId="1671635853">
    <w:abstractNumId w:val="0"/>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739403010">
    <w:abstractNumId w:val="17"/>
  </w:num>
  <w:num w:numId="8" w16cid:durableId="403383885">
    <w:abstractNumId w:val="5"/>
  </w:num>
  <w:num w:numId="9" w16cid:durableId="1132212436">
    <w:abstractNumId w:val="1"/>
  </w:num>
  <w:num w:numId="10" w16cid:durableId="1679580103">
    <w:abstractNumId w:val="6"/>
  </w:num>
  <w:num w:numId="11" w16cid:durableId="1450314619">
    <w:abstractNumId w:val="2"/>
  </w:num>
  <w:num w:numId="12" w16cid:durableId="879362334">
    <w:abstractNumId w:val="9"/>
  </w:num>
  <w:num w:numId="13" w16cid:durableId="1194805675">
    <w:abstractNumId w:val="3"/>
  </w:num>
  <w:num w:numId="14" w16cid:durableId="1374116934">
    <w:abstractNumId w:val="18"/>
  </w:num>
  <w:num w:numId="15" w16cid:durableId="1057439600">
    <w:abstractNumId w:val="14"/>
  </w:num>
  <w:num w:numId="16" w16cid:durableId="1978340728">
    <w:abstractNumId w:val="12"/>
  </w:num>
  <w:num w:numId="17" w16cid:durableId="884216526">
    <w:abstractNumId w:val="22"/>
  </w:num>
  <w:num w:numId="18" w16cid:durableId="1464539760">
    <w:abstractNumId w:val="4"/>
  </w:num>
  <w:num w:numId="19" w16cid:durableId="1687977974">
    <w:abstractNumId w:val="11"/>
  </w:num>
  <w:num w:numId="20" w16cid:durableId="551380406">
    <w:abstractNumId w:val="13"/>
  </w:num>
  <w:num w:numId="21" w16cid:durableId="1439788626">
    <w:abstractNumId w:val="19"/>
  </w:num>
  <w:num w:numId="22" w16cid:durableId="872036610">
    <w:abstractNumId w:val="7"/>
  </w:num>
  <w:num w:numId="23" w16cid:durableId="206767772">
    <w:abstractNumId w:val="23"/>
  </w:num>
  <w:num w:numId="24" w16cid:durableId="1199780995">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4"/>
  <w:proofState w:spelling="clean" w:grammar="clean"/>
  <w:attachedTemplate r:id="rId1"/>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5385A"/>
    <w:rsid w:val="00000416"/>
    <w:rsid w:val="0000126D"/>
    <w:rsid w:val="000019A6"/>
    <w:rsid w:val="000025E0"/>
    <w:rsid w:val="000034EE"/>
    <w:rsid w:val="000070A8"/>
    <w:rsid w:val="0001231C"/>
    <w:rsid w:val="000135A1"/>
    <w:rsid w:val="00013F7C"/>
    <w:rsid w:val="00015BF3"/>
    <w:rsid w:val="00015E80"/>
    <w:rsid w:val="00015F78"/>
    <w:rsid w:val="000164B2"/>
    <w:rsid w:val="000169A0"/>
    <w:rsid w:val="00016D26"/>
    <w:rsid w:val="00016D2E"/>
    <w:rsid w:val="00017245"/>
    <w:rsid w:val="00017253"/>
    <w:rsid w:val="00017C1D"/>
    <w:rsid w:val="000205F1"/>
    <w:rsid w:val="000210DF"/>
    <w:rsid w:val="0002271C"/>
    <w:rsid w:val="000229A9"/>
    <w:rsid w:val="00023CD9"/>
    <w:rsid w:val="00024653"/>
    <w:rsid w:val="000268E2"/>
    <w:rsid w:val="0002739B"/>
    <w:rsid w:val="000300C6"/>
    <w:rsid w:val="00030271"/>
    <w:rsid w:val="00032989"/>
    <w:rsid w:val="00032A51"/>
    <w:rsid w:val="00033802"/>
    <w:rsid w:val="00033C14"/>
    <w:rsid w:val="00033D8C"/>
    <w:rsid w:val="00034398"/>
    <w:rsid w:val="00034663"/>
    <w:rsid w:val="00040044"/>
    <w:rsid w:val="000414BE"/>
    <w:rsid w:val="000432DF"/>
    <w:rsid w:val="00044D8C"/>
    <w:rsid w:val="000502EC"/>
    <w:rsid w:val="00050C64"/>
    <w:rsid w:val="0005181E"/>
    <w:rsid w:val="00053136"/>
    <w:rsid w:val="000540E1"/>
    <w:rsid w:val="00054817"/>
    <w:rsid w:val="0005748B"/>
    <w:rsid w:val="000636F3"/>
    <w:rsid w:val="000641A8"/>
    <w:rsid w:val="0006467C"/>
    <w:rsid w:val="0006474E"/>
    <w:rsid w:val="00065205"/>
    <w:rsid w:val="00066517"/>
    <w:rsid w:val="00071132"/>
    <w:rsid w:val="00071351"/>
    <w:rsid w:val="000716B2"/>
    <w:rsid w:val="0007405A"/>
    <w:rsid w:val="00074BEE"/>
    <w:rsid w:val="00074D1E"/>
    <w:rsid w:val="00075D07"/>
    <w:rsid w:val="00076B31"/>
    <w:rsid w:val="000770DB"/>
    <w:rsid w:val="0008228E"/>
    <w:rsid w:val="000822A6"/>
    <w:rsid w:val="00082CE0"/>
    <w:rsid w:val="00084B97"/>
    <w:rsid w:val="00086D8D"/>
    <w:rsid w:val="000877B5"/>
    <w:rsid w:val="000902BC"/>
    <w:rsid w:val="00091AC6"/>
    <w:rsid w:val="00092542"/>
    <w:rsid w:val="00092617"/>
    <w:rsid w:val="00092B6A"/>
    <w:rsid w:val="000942EB"/>
    <w:rsid w:val="000943FC"/>
    <w:rsid w:val="00095B25"/>
    <w:rsid w:val="00096C01"/>
    <w:rsid w:val="0009763D"/>
    <w:rsid w:val="000A4DD7"/>
    <w:rsid w:val="000A5915"/>
    <w:rsid w:val="000B076C"/>
    <w:rsid w:val="000B0E61"/>
    <w:rsid w:val="000B103F"/>
    <w:rsid w:val="000B14BA"/>
    <w:rsid w:val="000B2D9A"/>
    <w:rsid w:val="000B5C13"/>
    <w:rsid w:val="000C00A2"/>
    <w:rsid w:val="000C1515"/>
    <w:rsid w:val="000C3232"/>
    <w:rsid w:val="000C394F"/>
    <w:rsid w:val="000C3F9B"/>
    <w:rsid w:val="000C4E3E"/>
    <w:rsid w:val="000C5512"/>
    <w:rsid w:val="000C5766"/>
    <w:rsid w:val="000C5D99"/>
    <w:rsid w:val="000D1837"/>
    <w:rsid w:val="000D186A"/>
    <w:rsid w:val="000D25BC"/>
    <w:rsid w:val="000D7953"/>
    <w:rsid w:val="000D7A0F"/>
    <w:rsid w:val="000E0DED"/>
    <w:rsid w:val="000E3909"/>
    <w:rsid w:val="000E6563"/>
    <w:rsid w:val="000E739D"/>
    <w:rsid w:val="000F091C"/>
    <w:rsid w:val="000F14E8"/>
    <w:rsid w:val="000F2AA2"/>
    <w:rsid w:val="000F2EE1"/>
    <w:rsid w:val="000F4695"/>
    <w:rsid w:val="000F7FC3"/>
    <w:rsid w:val="00100D69"/>
    <w:rsid w:val="00101018"/>
    <w:rsid w:val="00103915"/>
    <w:rsid w:val="001041A9"/>
    <w:rsid w:val="001072DB"/>
    <w:rsid w:val="001078AA"/>
    <w:rsid w:val="00110CE1"/>
    <w:rsid w:val="001112FD"/>
    <w:rsid w:val="0011178C"/>
    <w:rsid w:val="00111CDF"/>
    <w:rsid w:val="001124EB"/>
    <w:rsid w:val="00113157"/>
    <w:rsid w:val="00114327"/>
    <w:rsid w:val="00114900"/>
    <w:rsid w:val="0011520A"/>
    <w:rsid w:val="001155B8"/>
    <w:rsid w:val="00116C84"/>
    <w:rsid w:val="0011766B"/>
    <w:rsid w:val="00120D67"/>
    <w:rsid w:val="001214BC"/>
    <w:rsid w:val="001218B7"/>
    <w:rsid w:val="00122B23"/>
    <w:rsid w:val="00122B9A"/>
    <w:rsid w:val="00123BE2"/>
    <w:rsid w:val="00124A82"/>
    <w:rsid w:val="00130457"/>
    <w:rsid w:val="001326C7"/>
    <w:rsid w:val="001336B2"/>
    <w:rsid w:val="00133F8F"/>
    <w:rsid w:val="00134D65"/>
    <w:rsid w:val="0013770F"/>
    <w:rsid w:val="001377EC"/>
    <w:rsid w:val="00137E66"/>
    <w:rsid w:val="00137FFA"/>
    <w:rsid w:val="0014071F"/>
    <w:rsid w:val="00141B41"/>
    <w:rsid w:val="00141CCA"/>
    <w:rsid w:val="00141E25"/>
    <w:rsid w:val="0014214B"/>
    <w:rsid w:val="00142560"/>
    <w:rsid w:val="001429C2"/>
    <w:rsid w:val="00143D03"/>
    <w:rsid w:val="00144D68"/>
    <w:rsid w:val="00150CB3"/>
    <w:rsid w:val="00151129"/>
    <w:rsid w:val="00151936"/>
    <w:rsid w:val="00152FDA"/>
    <w:rsid w:val="00154785"/>
    <w:rsid w:val="00155B3D"/>
    <w:rsid w:val="00155C13"/>
    <w:rsid w:val="00156216"/>
    <w:rsid w:val="00160CB0"/>
    <w:rsid w:val="00161A37"/>
    <w:rsid w:val="001643A4"/>
    <w:rsid w:val="00165347"/>
    <w:rsid w:val="00165995"/>
    <w:rsid w:val="00171685"/>
    <w:rsid w:val="0017335A"/>
    <w:rsid w:val="00173B85"/>
    <w:rsid w:val="00180188"/>
    <w:rsid w:val="001824DD"/>
    <w:rsid w:val="001827CB"/>
    <w:rsid w:val="00182A86"/>
    <w:rsid w:val="00182EEE"/>
    <w:rsid w:val="0018335C"/>
    <w:rsid w:val="001833D0"/>
    <w:rsid w:val="0018635C"/>
    <w:rsid w:val="00190961"/>
    <w:rsid w:val="00191C4D"/>
    <w:rsid w:val="00192CDC"/>
    <w:rsid w:val="00192CE0"/>
    <w:rsid w:val="001961C8"/>
    <w:rsid w:val="00197BB3"/>
    <w:rsid w:val="001A0A19"/>
    <w:rsid w:val="001A0E7A"/>
    <w:rsid w:val="001A1753"/>
    <w:rsid w:val="001A217F"/>
    <w:rsid w:val="001A40A1"/>
    <w:rsid w:val="001A556D"/>
    <w:rsid w:val="001A69BA"/>
    <w:rsid w:val="001A78DE"/>
    <w:rsid w:val="001A7FD7"/>
    <w:rsid w:val="001B0444"/>
    <w:rsid w:val="001B0BE3"/>
    <w:rsid w:val="001B2F08"/>
    <w:rsid w:val="001B39FA"/>
    <w:rsid w:val="001B5217"/>
    <w:rsid w:val="001B5D90"/>
    <w:rsid w:val="001B6E10"/>
    <w:rsid w:val="001C01AF"/>
    <w:rsid w:val="001C24BF"/>
    <w:rsid w:val="001C47C8"/>
    <w:rsid w:val="001C6F95"/>
    <w:rsid w:val="001C763E"/>
    <w:rsid w:val="001D0C03"/>
    <w:rsid w:val="001D1560"/>
    <w:rsid w:val="001D17C2"/>
    <w:rsid w:val="001D2F93"/>
    <w:rsid w:val="001D2FC9"/>
    <w:rsid w:val="001D30D8"/>
    <w:rsid w:val="001D33DD"/>
    <w:rsid w:val="001D4EA4"/>
    <w:rsid w:val="001D567B"/>
    <w:rsid w:val="001D612F"/>
    <w:rsid w:val="001E01F9"/>
    <w:rsid w:val="001E074F"/>
    <w:rsid w:val="001E1959"/>
    <w:rsid w:val="001E1D46"/>
    <w:rsid w:val="001E1EEE"/>
    <w:rsid w:val="001E2866"/>
    <w:rsid w:val="001E2A7A"/>
    <w:rsid w:val="001E4B0D"/>
    <w:rsid w:val="001E7D79"/>
    <w:rsid w:val="001F21B5"/>
    <w:rsid w:val="001F4D43"/>
    <w:rsid w:val="001F4F5C"/>
    <w:rsid w:val="001F5388"/>
    <w:rsid w:val="001F5745"/>
    <w:rsid w:val="001F5F41"/>
    <w:rsid w:val="001F6290"/>
    <w:rsid w:val="001F6378"/>
    <w:rsid w:val="001F7341"/>
    <w:rsid w:val="001F774C"/>
    <w:rsid w:val="0020001F"/>
    <w:rsid w:val="0020059F"/>
    <w:rsid w:val="00200651"/>
    <w:rsid w:val="002025CC"/>
    <w:rsid w:val="0020324E"/>
    <w:rsid w:val="00203B55"/>
    <w:rsid w:val="00203E16"/>
    <w:rsid w:val="00204675"/>
    <w:rsid w:val="00205185"/>
    <w:rsid w:val="00205753"/>
    <w:rsid w:val="00205CAE"/>
    <w:rsid w:val="0020632A"/>
    <w:rsid w:val="002075B6"/>
    <w:rsid w:val="002076CC"/>
    <w:rsid w:val="00210366"/>
    <w:rsid w:val="00210A2D"/>
    <w:rsid w:val="00210DF2"/>
    <w:rsid w:val="002110EB"/>
    <w:rsid w:val="00211338"/>
    <w:rsid w:val="00213541"/>
    <w:rsid w:val="0021518A"/>
    <w:rsid w:val="00215618"/>
    <w:rsid w:val="00215B97"/>
    <w:rsid w:val="00216AAF"/>
    <w:rsid w:val="00216AEE"/>
    <w:rsid w:val="00216E64"/>
    <w:rsid w:val="002177D9"/>
    <w:rsid w:val="00217988"/>
    <w:rsid w:val="00217C7F"/>
    <w:rsid w:val="00220120"/>
    <w:rsid w:val="00220E20"/>
    <w:rsid w:val="0022167B"/>
    <w:rsid w:val="002232F5"/>
    <w:rsid w:val="002249BC"/>
    <w:rsid w:val="002270C0"/>
    <w:rsid w:val="002309D1"/>
    <w:rsid w:val="00230F89"/>
    <w:rsid w:val="00233909"/>
    <w:rsid w:val="002339D3"/>
    <w:rsid w:val="00234113"/>
    <w:rsid w:val="00234B84"/>
    <w:rsid w:val="00234C1A"/>
    <w:rsid w:val="0023589B"/>
    <w:rsid w:val="002364D4"/>
    <w:rsid w:val="0023691B"/>
    <w:rsid w:val="002379B1"/>
    <w:rsid w:val="002409B6"/>
    <w:rsid w:val="00243EE8"/>
    <w:rsid w:val="002456DB"/>
    <w:rsid w:val="00246944"/>
    <w:rsid w:val="00247C35"/>
    <w:rsid w:val="0025069C"/>
    <w:rsid w:val="0025151A"/>
    <w:rsid w:val="002534F1"/>
    <w:rsid w:val="002538B5"/>
    <w:rsid w:val="00254711"/>
    <w:rsid w:val="00255215"/>
    <w:rsid w:val="00255D2C"/>
    <w:rsid w:val="00256CE7"/>
    <w:rsid w:val="002576FD"/>
    <w:rsid w:val="002627A8"/>
    <w:rsid w:val="0026362F"/>
    <w:rsid w:val="00263755"/>
    <w:rsid w:val="0026403D"/>
    <w:rsid w:val="002647F7"/>
    <w:rsid w:val="00264E94"/>
    <w:rsid w:val="002654C1"/>
    <w:rsid w:val="0026616C"/>
    <w:rsid w:val="00267A47"/>
    <w:rsid w:val="00267C8B"/>
    <w:rsid w:val="00267DDA"/>
    <w:rsid w:val="002708A2"/>
    <w:rsid w:val="00271043"/>
    <w:rsid w:val="002725EE"/>
    <w:rsid w:val="002737FD"/>
    <w:rsid w:val="00273E83"/>
    <w:rsid w:val="00274DDF"/>
    <w:rsid w:val="00275E86"/>
    <w:rsid w:val="002801C7"/>
    <w:rsid w:val="00285503"/>
    <w:rsid w:val="00285AC8"/>
    <w:rsid w:val="00285AC9"/>
    <w:rsid w:val="00286089"/>
    <w:rsid w:val="00287343"/>
    <w:rsid w:val="00287741"/>
    <w:rsid w:val="00290E9F"/>
    <w:rsid w:val="002914E1"/>
    <w:rsid w:val="00291C4F"/>
    <w:rsid w:val="00291FE3"/>
    <w:rsid w:val="002938BD"/>
    <w:rsid w:val="00293BBD"/>
    <w:rsid w:val="002941C6"/>
    <w:rsid w:val="00296B40"/>
    <w:rsid w:val="002A2E12"/>
    <w:rsid w:val="002A3C35"/>
    <w:rsid w:val="002A4F9E"/>
    <w:rsid w:val="002A5498"/>
    <w:rsid w:val="002A5F87"/>
    <w:rsid w:val="002A695B"/>
    <w:rsid w:val="002B3433"/>
    <w:rsid w:val="002B41FB"/>
    <w:rsid w:val="002B4390"/>
    <w:rsid w:val="002B55C7"/>
    <w:rsid w:val="002C216A"/>
    <w:rsid w:val="002C28E1"/>
    <w:rsid w:val="002C2B56"/>
    <w:rsid w:val="002C2D1E"/>
    <w:rsid w:val="002C32E1"/>
    <w:rsid w:val="002C40FB"/>
    <w:rsid w:val="002C4C0C"/>
    <w:rsid w:val="002C57C8"/>
    <w:rsid w:val="002C6821"/>
    <w:rsid w:val="002D08FE"/>
    <w:rsid w:val="002D155C"/>
    <w:rsid w:val="002D2CD0"/>
    <w:rsid w:val="002D3589"/>
    <w:rsid w:val="002D481A"/>
    <w:rsid w:val="002D65E2"/>
    <w:rsid w:val="002D7275"/>
    <w:rsid w:val="002E06A1"/>
    <w:rsid w:val="002E7979"/>
    <w:rsid w:val="002F334B"/>
    <w:rsid w:val="002F4470"/>
    <w:rsid w:val="002F61C9"/>
    <w:rsid w:val="002F7BD7"/>
    <w:rsid w:val="003016E2"/>
    <w:rsid w:val="003033BA"/>
    <w:rsid w:val="00304580"/>
    <w:rsid w:val="00304B38"/>
    <w:rsid w:val="0030589C"/>
    <w:rsid w:val="00306C30"/>
    <w:rsid w:val="00307067"/>
    <w:rsid w:val="003073C0"/>
    <w:rsid w:val="00307855"/>
    <w:rsid w:val="003078D7"/>
    <w:rsid w:val="003108EF"/>
    <w:rsid w:val="0031206F"/>
    <w:rsid w:val="00312204"/>
    <w:rsid w:val="00312D89"/>
    <w:rsid w:val="00314C7D"/>
    <w:rsid w:val="00316214"/>
    <w:rsid w:val="003162C8"/>
    <w:rsid w:val="00316B16"/>
    <w:rsid w:val="00321018"/>
    <w:rsid w:val="0032144D"/>
    <w:rsid w:val="00322937"/>
    <w:rsid w:val="0032350A"/>
    <w:rsid w:val="003238A9"/>
    <w:rsid w:val="00327549"/>
    <w:rsid w:val="00327CEB"/>
    <w:rsid w:val="00330722"/>
    <w:rsid w:val="00334638"/>
    <w:rsid w:val="003404C6"/>
    <w:rsid w:val="0034096E"/>
    <w:rsid w:val="0034177C"/>
    <w:rsid w:val="00341D52"/>
    <w:rsid w:val="003429F6"/>
    <w:rsid w:val="00344B03"/>
    <w:rsid w:val="00345705"/>
    <w:rsid w:val="0034680A"/>
    <w:rsid w:val="00347024"/>
    <w:rsid w:val="00350AA9"/>
    <w:rsid w:val="00350DA7"/>
    <w:rsid w:val="00353653"/>
    <w:rsid w:val="00353DD5"/>
    <w:rsid w:val="00353EE8"/>
    <w:rsid w:val="00355084"/>
    <w:rsid w:val="00355E8C"/>
    <w:rsid w:val="00357167"/>
    <w:rsid w:val="00361495"/>
    <w:rsid w:val="00364EF6"/>
    <w:rsid w:val="003652E7"/>
    <w:rsid w:val="00365559"/>
    <w:rsid w:val="00366283"/>
    <w:rsid w:val="00366693"/>
    <w:rsid w:val="00366F76"/>
    <w:rsid w:val="00367828"/>
    <w:rsid w:val="00371F43"/>
    <w:rsid w:val="00372E26"/>
    <w:rsid w:val="003754D2"/>
    <w:rsid w:val="003757C2"/>
    <w:rsid w:val="00376930"/>
    <w:rsid w:val="00381C32"/>
    <w:rsid w:val="00384C43"/>
    <w:rsid w:val="00385CF3"/>
    <w:rsid w:val="00386456"/>
    <w:rsid w:val="003901B3"/>
    <w:rsid w:val="003903B0"/>
    <w:rsid w:val="00390C02"/>
    <w:rsid w:val="003912A3"/>
    <w:rsid w:val="0039143D"/>
    <w:rsid w:val="003949EE"/>
    <w:rsid w:val="003964D5"/>
    <w:rsid w:val="00396918"/>
    <w:rsid w:val="003A0878"/>
    <w:rsid w:val="003A0EBE"/>
    <w:rsid w:val="003A4CA4"/>
    <w:rsid w:val="003A581E"/>
    <w:rsid w:val="003A5E90"/>
    <w:rsid w:val="003A6751"/>
    <w:rsid w:val="003A7F89"/>
    <w:rsid w:val="003B027A"/>
    <w:rsid w:val="003B2341"/>
    <w:rsid w:val="003B267F"/>
    <w:rsid w:val="003B415C"/>
    <w:rsid w:val="003B4202"/>
    <w:rsid w:val="003B43DB"/>
    <w:rsid w:val="003B49DA"/>
    <w:rsid w:val="003B73DE"/>
    <w:rsid w:val="003C01B1"/>
    <w:rsid w:val="003C6CBA"/>
    <w:rsid w:val="003C75FC"/>
    <w:rsid w:val="003D1BE9"/>
    <w:rsid w:val="003D33FF"/>
    <w:rsid w:val="003D3D29"/>
    <w:rsid w:val="003D3D9D"/>
    <w:rsid w:val="003D43B0"/>
    <w:rsid w:val="003D45AC"/>
    <w:rsid w:val="003D527E"/>
    <w:rsid w:val="003D7E29"/>
    <w:rsid w:val="003E0D9E"/>
    <w:rsid w:val="003E1992"/>
    <w:rsid w:val="003E4819"/>
    <w:rsid w:val="003E4A30"/>
    <w:rsid w:val="003E6423"/>
    <w:rsid w:val="003E6884"/>
    <w:rsid w:val="003E7AA5"/>
    <w:rsid w:val="003F00C3"/>
    <w:rsid w:val="003F0161"/>
    <w:rsid w:val="003F18DE"/>
    <w:rsid w:val="003F1D3C"/>
    <w:rsid w:val="0040246E"/>
    <w:rsid w:val="004030F2"/>
    <w:rsid w:val="00405913"/>
    <w:rsid w:val="00406251"/>
    <w:rsid w:val="00406A1A"/>
    <w:rsid w:val="00407705"/>
    <w:rsid w:val="0040799E"/>
    <w:rsid w:val="004102D2"/>
    <w:rsid w:val="004129BB"/>
    <w:rsid w:val="00413C8D"/>
    <w:rsid w:val="00413E61"/>
    <w:rsid w:val="00414152"/>
    <w:rsid w:val="00415DDE"/>
    <w:rsid w:val="00416308"/>
    <w:rsid w:val="00416996"/>
    <w:rsid w:val="00417025"/>
    <w:rsid w:val="00421624"/>
    <w:rsid w:val="00421DF6"/>
    <w:rsid w:val="004228D3"/>
    <w:rsid w:val="00423405"/>
    <w:rsid w:val="00423F66"/>
    <w:rsid w:val="00423F9F"/>
    <w:rsid w:val="00425D74"/>
    <w:rsid w:val="00425FD7"/>
    <w:rsid w:val="00427F2F"/>
    <w:rsid w:val="00430D86"/>
    <w:rsid w:val="00432AD1"/>
    <w:rsid w:val="00432B52"/>
    <w:rsid w:val="00433494"/>
    <w:rsid w:val="00434140"/>
    <w:rsid w:val="00435826"/>
    <w:rsid w:val="0043612C"/>
    <w:rsid w:val="004376B9"/>
    <w:rsid w:val="00437BA7"/>
    <w:rsid w:val="00440848"/>
    <w:rsid w:val="00441DC6"/>
    <w:rsid w:val="00441EE4"/>
    <w:rsid w:val="004422D6"/>
    <w:rsid w:val="0044490E"/>
    <w:rsid w:val="00446E21"/>
    <w:rsid w:val="00447165"/>
    <w:rsid w:val="00447729"/>
    <w:rsid w:val="00452F9A"/>
    <w:rsid w:val="00457110"/>
    <w:rsid w:val="00460D1C"/>
    <w:rsid w:val="00464311"/>
    <w:rsid w:val="00466026"/>
    <w:rsid w:val="0046603E"/>
    <w:rsid w:val="00466082"/>
    <w:rsid w:val="0046653B"/>
    <w:rsid w:val="0046694E"/>
    <w:rsid w:val="00472B78"/>
    <w:rsid w:val="0047380F"/>
    <w:rsid w:val="0047426F"/>
    <w:rsid w:val="0047453E"/>
    <w:rsid w:val="004746AD"/>
    <w:rsid w:val="00475F18"/>
    <w:rsid w:val="00477514"/>
    <w:rsid w:val="004779F8"/>
    <w:rsid w:val="00480824"/>
    <w:rsid w:val="00480D03"/>
    <w:rsid w:val="00480ECA"/>
    <w:rsid w:val="004861E4"/>
    <w:rsid w:val="0048674D"/>
    <w:rsid w:val="004870BB"/>
    <w:rsid w:val="004872D8"/>
    <w:rsid w:val="0048754A"/>
    <w:rsid w:val="00487C10"/>
    <w:rsid w:val="00490A62"/>
    <w:rsid w:val="0049241A"/>
    <w:rsid w:val="004956F3"/>
    <w:rsid w:val="004974CD"/>
    <w:rsid w:val="004A0085"/>
    <w:rsid w:val="004A0106"/>
    <w:rsid w:val="004A0F49"/>
    <w:rsid w:val="004A34D2"/>
    <w:rsid w:val="004A4F76"/>
    <w:rsid w:val="004A6841"/>
    <w:rsid w:val="004A7B59"/>
    <w:rsid w:val="004B0B42"/>
    <w:rsid w:val="004B353C"/>
    <w:rsid w:val="004B6500"/>
    <w:rsid w:val="004B6E7D"/>
    <w:rsid w:val="004B7D5F"/>
    <w:rsid w:val="004C246A"/>
    <w:rsid w:val="004C31AF"/>
    <w:rsid w:val="004C3ADF"/>
    <w:rsid w:val="004C3BA4"/>
    <w:rsid w:val="004C59F7"/>
    <w:rsid w:val="004C60C5"/>
    <w:rsid w:val="004C755C"/>
    <w:rsid w:val="004C7603"/>
    <w:rsid w:val="004D087D"/>
    <w:rsid w:val="004D22DE"/>
    <w:rsid w:val="004D4A87"/>
    <w:rsid w:val="004D52FA"/>
    <w:rsid w:val="004D53FA"/>
    <w:rsid w:val="004D5756"/>
    <w:rsid w:val="004D63F7"/>
    <w:rsid w:val="004D65AC"/>
    <w:rsid w:val="004D702B"/>
    <w:rsid w:val="004D7944"/>
    <w:rsid w:val="004D7D21"/>
    <w:rsid w:val="004D7FB4"/>
    <w:rsid w:val="004E07A4"/>
    <w:rsid w:val="004E4C6D"/>
    <w:rsid w:val="004E5463"/>
    <w:rsid w:val="004F1425"/>
    <w:rsid w:val="004F16DB"/>
    <w:rsid w:val="004F30F8"/>
    <w:rsid w:val="004F3492"/>
    <w:rsid w:val="004F3517"/>
    <w:rsid w:val="004F3CDF"/>
    <w:rsid w:val="004F510B"/>
    <w:rsid w:val="004F5B24"/>
    <w:rsid w:val="004F6048"/>
    <w:rsid w:val="00501473"/>
    <w:rsid w:val="005051F8"/>
    <w:rsid w:val="0051074C"/>
    <w:rsid w:val="00510CF8"/>
    <w:rsid w:val="005112E4"/>
    <w:rsid w:val="00511922"/>
    <w:rsid w:val="00513AF2"/>
    <w:rsid w:val="00514439"/>
    <w:rsid w:val="00514D99"/>
    <w:rsid w:val="00514E3C"/>
    <w:rsid w:val="00515D32"/>
    <w:rsid w:val="0051759B"/>
    <w:rsid w:val="005216C1"/>
    <w:rsid w:val="00523703"/>
    <w:rsid w:val="00525997"/>
    <w:rsid w:val="00525FE7"/>
    <w:rsid w:val="005265E4"/>
    <w:rsid w:val="00526943"/>
    <w:rsid w:val="00527E3C"/>
    <w:rsid w:val="0053038B"/>
    <w:rsid w:val="0053170C"/>
    <w:rsid w:val="00531D5C"/>
    <w:rsid w:val="00532B96"/>
    <w:rsid w:val="00535106"/>
    <w:rsid w:val="005355D8"/>
    <w:rsid w:val="00535A34"/>
    <w:rsid w:val="0054155D"/>
    <w:rsid w:val="00542B62"/>
    <w:rsid w:val="00542BA7"/>
    <w:rsid w:val="0054413A"/>
    <w:rsid w:val="0054713D"/>
    <w:rsid w:val="005472F5"/>
    <w:rsid w:val="00550567"/>
    <w:rsid w:val="00550D93"/>
    <w:rsid w:val="005514ED"/>
    <w:rsid w:val="00554A77"/>
    <w:rsid w:val="005564CA"/>
    <w:rsid w:val="005601A8"/>
    <w:rsid w:val="00561506"/>
    <w:rsid w:val="0056182B"/>
    <w:rsid w:val="005622EB"/>
    <w:rsid w:val="00562332"/>
    <w:rsid w:val="00563655"/>
    <w:rsid w:val="00565AA1"/>
    <w:rsid w:val="0056728F"/>
    <w:rsid w:val="00567F3B"/>
    <w:rsid w:val="00570F08"/>
    <w:rsid w:val="005721B3"/>
    <w:rsid w:val="005756AA"/>
    <w:rsid w:val="00575A1C"/>
    <w:rsid w:val="0057646F"/>
    <w:rsid w:val="00577148"/>
    <w:rsid w:val="00582AE3"/>
    <w:rsid w:val="00584D9E"/>
    <w:rsid w:val="0058674C"/>
    <w:rsid w:val="0058679D"/>
    <w:rsid w:val="00586BDB"/>
    <w:rsid w:val="005879CA"/>
    <w:rsid w:val="00590380"/>
    <w:rsid w:val="005930B1"/>
    <w:rsid w:val="00596896"/>
    <w:rsid w:val="00597412"/>
    <w:rsid w:val="005A0414"/>
    <w:rsid w:val="005A119F"/>
    <w:rsid w:val="005A1645"/>
    <w:rsid w:val="005A2130"/>
    <w:rsid w:val="005A4FC5"/>
    <w:rsid w:val="005A6AB9"/>
    <w:rsid w:val="005A7DBD"/>
    <w:rsid w:val="005B1144"/>
    <w:rsid w:val="005B4267"/>
    <w:rsid w:val="005B5BE2"/>
    <w:rsid w:val="005B753A"/>
    <w:rsid w:val="005C00FA"/>
    <w:rsid w:val="005C343C"/>
    <w:rsid w:val="005C3BE4"/>
    <w:rsid w:val="005C5C9A"/>
    <w:rsid w:val="005C6A48"/>
    <w:rsid w:val="005C6C85"/>
    <w:rsid w:val="005C7184"/>
    <w:rsid w:val="005D1BC0"/>
    <w:rsid w:val="005D3155"/>
    <w:rsid w:val="005D35B6"/>
    <w:rsid w:val="005D36B1"/>
    <w:rsid w:val="005D4AEF"/>
    <w:rsid w:val="005D4E8A"/>
    <w:rsid w:val="005D50CE"/>
    <w:rsid w:val="005D51FA"/>
    <w:rsid w:val="005D5B90"/>
    <w:rsid w:val="005D791B"/>
    <w:rsid w:val="005E01CE"/>
    <w:rsid w:val="005E09A6"/>
    <w:rsid w:val="005E139E"/>
    <w:rsid w:val="005E1974"/>
    <w:rsid w:val="005E3B5B"/>
    <w:rsid w:val="005E4765"/>
    <w:rsid w:val="005E5697"/>
    <w:rsid w:val="005E7B52"/>
    <w:rsid w:val="005F055F"/>
    <w:rsid w:val="005F1B0F"/>
    <w:rsid w:val="005F317C"/>
    <w:rsid w:val="005F37CD"/>
    <w:rsid w:val="005F3CD0"/>
    <w:rsid w:val="005F51FB"/>
    <w:rsid w:val="005F53B6"/>
    <w:rsid w:val="005F599B"/>
    <w:rsid w:val="005F650A"/>
    <w:rsid w:val="005F68F7"/>
    <w:rsid w:val="005F788C"/>
    <w:rsid w:val="0060070B"/>
    <w:rsid w:val="00602708"/>
    <w:rsid w:val="00603E4D"/>
    <w:rsid w:val="00603FBE"/>
    <w:rsid w:val="00604893"/>
    <w:rsid w:val="00604B04"/>
    <w:rsid w:val="006058F6"/>
    <w:rsid w:val="00611365"/>
    <w:rsid w:val="00611ED9"/>
    <w:rsid w:val="00612C51"/>
    <w:rsid w:val="00612C53"/>
    <w:rsid w:val="00613FDA"/>
    <w:rsid w:val="006146F1"/>
    <w:rsid w:val="00614817"/>
    <w:rsid w:val="00616E1F"/>
    <w:rsid w:val="00620FE8"/>
    <w:rsid w:val="00621021"/>
    <w:rsid w:val="00621A1E"/>
    <w:rsid w:val="006230B0"/>
    <w:rsid w:val="00623D2C"/>
    <w:rsid w:val="00624498"/>
    <w:rsid w:val="0062724E"/>
    <w:rsid w:val="00630D7C"/>
    <w:rsid w:val="006318E7"/>
    <w:rsid w:val="00631CE1"/>
    <w:rsid w:val="0063224F"/>
    <w:rsid w:val="0063269D"/>
    <w:rsid w:val="00633DBF"/>
    <w:rsid w:val="00633DC6"/>
    <w:rsid w:val="006341BB"/>
    <w:rsid w:val="00635DED"/>
    <w:rsid w:val="0063667E"/>
    <w:rsid w:val="006421F8"/>
    <w:rsid w:val="00643B51"/>
    <w:rsid w:val="006441CE"/>
    <w:rsid w:val="006447B9"/>
    <w:rsid w:val="00644D7F"/>
    <w:rsid w:val="0064514E"/>
    <w:rsid w:val="00650FE8"/>
    <w:rsid w:val="006518DC"/>
    <w:rsid w:val="00652BAA"/>
    <w:rsid w:val="00653CA3"/>
    <w:rsid w:val="00654069"/>
    <w:rsid w:val="00655371"/>
    <w:rsid w:val="006559E3"/>
    <w:rsid w:val="00657259"/>
    <w:rsid w:val="00657446"/>
    <w:rsid w:val="00660D51"/>
    <w:rsid w:val="00662C7E"/>
    <w:rsid w:val="0066325D"/>
    <w:rsid w:val="00667768"/>
    <w:rsid w:val="006678A3"/>
    <w:rsid w:val="00667E0E"/>
    <w:rsid w:val="00670466"/>
    <w:rsid w:val="0067148D"/>
    <w:rsid w:val="0067157B"/>
    <w:rsid w:val="00672272"/>
    <w:rsid w:val="006728A0"/>
    <w:rsid w:val="006734E6"/>
    <w:rsid w:val="006748E0"/>
    <w:rsid w:val="00674F99"/>
    <w:rsid w:val="006807C6"/>
    <w:rsid w:val="00680B58"/>
    <w:rsid w:val="00681971"/>
    <w:rsid w:val="00681EED"/>
    <w:rsid w:val="00682E7B"/>
    <w:rsid w:val="006852F3"/>
    <w:rsid w:val="006906D4"/>
    <w:rsid w:val="0069141C"/>
    <w:rsid w:val="006919EA"/>
    <w:rsid w:val="00691AAC"/>
    <w:rsid w:val="00692992"/>
    <w:rsid w:val="00692F57"/>
    <w:rsid w:val="006954E4"/>
    <w:rsid w:val="00695B70"/>
    <w:rsid w:val="00697665"/>
    <w:rsid w:val="00697742"/>
    <w:rsid w:val="00697C55"/>
    <w:rsid w:val="00697DD0"/>
    <w:rsid w:val="006A0EB7"/>
    <w:rsid w:val="006A6ACB"/>
    <w:rsid w:val="006A7BB4"/>
    <w:rsid w:val="006A7CB5"/>
    <w:rsid w:val="006A7FD0"/>
    <w:rsid w:val="006B064B"/>
    <w:rsid w:val="006B08EC"/>
    <w:rsid w:val="006B0C4E"/>
    <w:rsid w:val="006B2398"/>
    <w:rsid w:val="006B24DE"/>
    <w:rsid w:val="006B2D45"/>
    <w:rsid w:val="006B318A"/>
    <w:rsid w:val="006B39D4"/>
    <w:rsid w:val="006B5051"/>
    <w:rsid w:val="006B5FA9"/>
    <w:rsid w:val="006C06E6"/>
    <w:rsid w:val="006C116D"/>
    <w:rsid w:val="006C132E"/>
    <w:rsid w:val="006C1463"/>
    <w:rsid w:val="006C18C1"/>
    <w:rsid w:val="006C1A72"/>
    <w:rsid w:val="006C2A51"/>
    <w:rsid w:val="006C2B00"/>
    <w:rsid w:val="006C3B52"/>
    <w:rsid w:val="006C6EE9"/>
    <w:rsid w:val="006C771B"/>
    <w:rsid w:val="006C7CD4"/>
    <w:rsid w:val="006C7EC1"/>
    <w:rsid w:val="006C7F3D"/>
    <w:rsid w:val="006D0BAE"/>
    <w:rsid w:val="006D2519"/>
    <w:rsid w:val="006D5552"/>
    <w:rsid w:val="006D5B2B"/>
    <w:rsid w:val="006D7687"/>
    <w:rsid w:val="006D7CF6"/>
    <w:rsid w:val="006E0572"/>
    <w:rsid w:val="006E131E"/>
    <w:rsid w:val="006E170C"/>
    <w:rsid w:val="006E19D3"/>
    <w:rsid w:val="006E1E98"/>
    <w:rsid w:val="006E37FA"/>
    <w:rsid w:val="006E4AF7"/>
    <w:rsid w:val="006E66D9"/>
    <w:rsid w:val="006F3617"/>
    <w:rsid w:val="006F4EB3"/>
    <w:rsid w:val="006F56C4"/>
    <w:rsid w:val="006F6168"/>
    <w:rsid w:val="006F7679"/>
    <w:rsid w:val="00700B57"/>
    <w:rsid w:val="007014F8"/>
    <w:rsid w:val="00705403"/>
    <w:rsid w:val="00705631"/>
    <w:rsid w:val="00706C8B"/>
    <w:rsid w:val="00707531"/>
    <w:rsid w:val="00710134"/>
    <w:rsid w:val="00711205"/>
    <w:rsid w:val="007136AC"/>
    <w:rsid w:val="00715437"/>
    <w:rsid w:val="00715EAA"/>
    <w:rsid w:val="007168C5"/>
    <w:rsid w:val="00716CC3"/>
    <w:rsid w:val="00720050"/>
    <w:rsid w:val="007213F0"/>
    <w:rsid w:val="00722293"/>
    <w:rsid w:val="00723B38"/>
    <w:rsid w:val="00723E02"/>
    <w:rsid w:val="00724D11"/>
    <w:rsid w:val="00726F60"/>
    <w:rsid w:val="00733BCA"/>
    <w:rsid w:val="0073441F"/>
    <w:rsid w:val="0073589B"/>
    <w:rsid w:val="00735AEF"/>
    <w:rsid w:val="007412B8"/>
    <w:rsid w:val="00741A9E"/>
    <w:rsid w:val="00742281"/>
    <w:rsid w:val="00742DD2"/>
    <w:rsid w:val="00746E08"/>
    <w:rsid w:val="00747C96"/>
    <w:rsid w:val="007503E9"/>
    <w:rsid w:val="0075094E"/>
    <w:rsid w:val="007522E8"/>
    <w:rsid w:val="00755CC4"/>
    <w:rsid w:val="0075647A"/>
    <w:rsid w:val="007572F9"/>
    <w:rsid w:val="00760166"/>
    <w:rsid w:val="00762948"/>
    <w:rsid w:val="00762F48"/>
    <w:rsid w:val="007634AD"/>
    <w:rsid w:val="00764011"/>
    <w:rsid w:val="0076432E"/>
    <w:rsid w:val="007668D9"/>
    <w:rsid w:val="00766A70"/>
    <w:rsid w:val="0077057C"/>
    <w:rsid w:val="007707A7"/>
    <w:rsid w:val="00770B28"/>
    <w:rsid w:val="00771DF3"/>
    <w:rsid w:val="00773CB2"/>
    <w:rsid w:val="00775563"/>
    <w:rsid w:val="00776689"/>
    <w:rsid w:val="0078122E"/>
    <w:rsid w:val="00783A83"/>
    <w:rsid w:val="00792E66"/>
    <w:rsid w:val="00792F13"/>
    <w:rsid w:val="007930A5"/>
    <w:rsid w:val="00793373"/>
    <w:rsid w:val="00793E57"/>
    <w:rsid w:val="00794007"/>
    <w:rsid w:val="00795647"/>
    <w:rsid w:val="007973B1"/>
    <w:rsid w:val="007A174B"/>
    <w:rsid w:val="007A3611"/>
    <w:rsid w:val="007A4FE3"/>
    <w:rsid w:val="007A5737"/>
    <w:rsid w:val="007A6125"/>
    <w:rsid w:val="007A76FC"/>
    <w:rsid w:val="007B0854"/>
    <w:rsid w:val="007B1ACE"/>
    <w:rsid w:val="007B27D7"/>
    <w:rsid w:val="007B2D7A"/>
    <w:rsid w:val="007B4F45"/>
    <w:rsid w:val="007B4F4C"/>
    <w:rsid w:val="007B660A"/>
    <w:rsid w:val="007C0AB3"/>
    <w:rsid w:val="007C15C8"/>
    <w:rsid w:val="007C209F"/>
    <w:rsid w:val="007C22B6"/>
    <w:rsid w:val="007C2357"/>
    <w:rsid w:val="007C2D7E"/>
    <w:rsid w:val="007C33A6"/>
    <w:rsid w:val="007C4A1C"/>
    <w:rsid w:val="007C4BE5"/>
    <w:rsid w:val="007C58BD"/>
    <w:rsid w:val="007C5C1C"/>
    <w:rsid w:val="007D00BD"/>
    <w:rsid w:val="007D01F0"/>
    <w:rsid w:val="007D0B72"/>
    <w:rsid w:val="007D3671"/>
    <w:rsid w:val="007D4919"/>
    <w:rsid w:val="007D4DBE"/>
    <w:rsid w:val="007D5C3E"/>
    <w:rsid w:val="007D6C71"/>
    <w:rsid w:val="007D7901"/>
    <w:rsid w:val="007D7DD8"/>
    <w:rsid w:val="007E02AE"/>
    <w:rsid w:val="007E0C58"/>
    <w:rsid w:val="007E1312"/>
    <w:rsid w:val="007E25A3"/>
    <w:rsid w:val="007E3638"/>
    <w:rsid w:val="007E3ACA"/>
    <w:rsid w:val="007E5C16"/>
    <w:rsid w:val="007E676C"/>
    <w:rsid w:val="007E7A93"/>
    <w:rsid w:val="007F15AE"/>
    <w:rsid w:val="007F1C69"/>
    <w:rsid w:val="007F51B0"/>
    <w:rsid w:val="007F54FB"/>
    <w:rsid w:val="007F5623"/>
    <w:rsid w:val="007F573F"/>
    <w:rsid w:val="007F6A64"/>
    <w:rsid w:val="007F6B46"/>
    <w:rsid w:val="007F6D80"/>
    <w:rsid w:val="007F72CB"/>
    <w:rsid w:val="00800C47"/>
    <w:rsid w:val="0080224B"/>
    <w:rsid w:val="0080370F"/>
    <w:rsid w:val="0080514C"/>
    <w:rsid w:val="00806A11"/>
    <w:rsid w:val="00806AD5"/>
    <w:rsid w:val="00810C5F"/>
    <w:rsid w:val="008132FA"/>
    <w:rsid w:val="00813988"/>
    <w:rsid w:val="00814E0D"/>
    <w:rsid w:val="0081553B"/>
    <w:rsid w:val="00815BCC"/>
    <w:rsid w:val="008160B2"/>
    <w:rsid w:val="00817744"/>
    <w:rsid w:val="00817C29"/>
    <w:rsid w:val="0082011E"/>
    <w:rsid w:val="0082065D"/>
    <w:rsid w:val="00820A37"/>
    <w:rsid w:val="008217B7"/>
    <w:rsid w:val="00824BF9"/>
    <w:rsid w:val="00830018"/>
    <w:rsid w:val="00830303"/>
    <w:rsid w:val="0083119B"/>
    <w:rsid w:val="008326A3"/>
    <w:rsid w:val="00833039"/>
    <w:rsid w:val="00835917"/>
    <w:rsid w:val="00836A52"/>
    <w:rsid w:val="00836EAB"/>
    <w:rsid w:val="0083782B"/>
    <w:rsid w:val="008403F6"/>
    <w:rsid w:val="00840960"/>
    <w:rsid w:val="00840A52"/>
    <w:rsid w:val="008420C6"/>
    <w:rsid w:val="008445AD"/>
    <w:rsid w:val="00844864"/>
    <w:rsid w:val="00845AF5"/>
    <w:rsid w:val="00846235"/>
    <w:rsid w:val="00846B3D"/>
    <w:rsid w:val="0085092D"/>
    <w:rsid w:val="00850F79"/>
    <w:rsid w:val="00851723"/>
    <w:rsid w:val="00851D62"/>
    <w:rsid w:val="00853074"/>
    <w:rsid w:val="00853AE0"/>
    <w:rsid w:val="00853AF8"/>
    <w:rsid w:val="00854D44"/>
    <w:rsid w:val="00854DB7"/>
    <w:rsid w:val="00857EEA"/>
    <w:rsid w:val="0086121D"/>
    <w:rsid w:val="00861F54"/>
    <w:rsid w:val="0086218A"/>
    <w:rsid w:val="008632AF"/>
    <w:rsid w:val="00864821"/>
    <w:rsid w:val="008654BA"/>
    <w:rsid w:val="00870AF9"/>
    <w:rsid w:val="00871990"/>
    <w:rsid w:val="00872A2E"/>
    <w:rsid w:val="008749A9"/>
    <w:rsid w:val="00876146"/>
    <w:rsid w:val="0087668B"/>
    <w:rsid w:val="00876868"/>
    <w:rsid w:val="00876C3A"/>
    <w:rsid w:val="008770F7"/>
    <w:rsid w:val="00880378"/>
    <w:rsid w:val="00880D11"/>
    <w:rsid w:val="00881812"/>
    <w:rsid w:val="00881A23"/>
    <w:rsid w:val="00882C43"/>
    <w:rsid w:val="00882F5E"/>
    <w:rsid w:val="0088409B"/>
    <w:rsid w:val="0088434E"/>
    <w:rsid w:val="0088605D"/>
    <w:rsid w:val="00886E97"/>
    <w:rsid w:val="00887C57"/>
    <w:rsid w:val="00890D42"/>
    <w:rsid w:val="00891FB0"/>
    <w:rsid w:val="008927F9"/>
    <w:rsid w:val="0089306D"/>
    <w:rsid w:val="00894211"/>
    <w:rsid w:val="00894D5C"/>
    <w:rsid w:val="0089774F"/>
    <w:rsid w:val="008A18EE"/>
    <w:rsid w:val="008A1C35"/>
    <w:rsid w:val="008A1C99"/>
    <w:rsid w:val="008A1E91"/>
    <w:rsid w:val="008A2523"/>
    <w:rsid w:val="008A2550"/>
    <w:rsid w:val="008A2823"/>
    <w:rsid w:val="008A3153"/>
    <w:rsid w:val="008A383B"/>
    <w:rsid w:val="008A4934"/>
    <w:rsid w:val="008A519B"/>
    <w:rsid w:val="008A7EB2"/>
    <w:rsid w:val="008B1829"/>
    <w:rsid w:val="008B2C6A"/>
    <w:rsid w:val="008B3AED"/>
    <w:rsid w:val="008B5BDA"/>
    <w:rsid w:val="008B6265"/>
    <w:rsid w:val="008B6B7E"/>
    <w:rsid w:val="008C30C7"/>
    <w:rsid w:val="008C34B5"/>
    <w:rsid w:val="008C3736"/>
    <w:rsid w:val="008C4741"/>
    <w:rsid w:val="008C4BF8"/>
    <w:rsid w:val="008C6F87"/>
    <w:rsid w:val="008C7C2E"/>
    <w:rsid w:val="008D1EFE"/>
    <w:rsid w:val="008D271F"/>
    <w:rsid w:val="008D36DB"/>
    <w:rsid w:val="008D46D3"/>
    <w:rsid w:val="008D56BF"/>
    <w:rsid w:val="008D572E"/>
    <w:rsid w:val="008D711B"/>
    <w:rsid w:val="008D7643"/>
    <w:rsid w:val="008D79F4"/>
    <w:rsid w:val="008D7EE7"/>
    <w:rsid w:val="008E1C15"/>
    <w:rsid w:val="008E35DC"/>
    <w:rsid w:val="008E3C08"/>
    <w:rsid w:val="008E4E6A"/>
    <w:rsid w:val="008E5687"/>
    <w:rsid w:val="008E7DBB"/>
    <w:rsid w:val="008F0B5E"/>
    <w:rsid w:val="008F2D5F"/>
    <w:rsid w:val="008F39C7"/>
    <w:rsid w:val="008F538E"/>
    <w:rsid w:val="008F5551"/>
    <w:rsid w:val="008F6CB0"/>
    <w:rsid w:val="008F7712"/>
    <w:rsid w:val="00900304"/>
    <w:rsid w:val="00900817"/>
    <w:rsid w:val="009008CF"/>
    <w:rsid w:val="00900F40"/>
    <w:rsid w:val="009037EE"/>
    <w:rsid w:val="00904534"/>
    <w:rsid w:val="00904785"/>
    <w:rsid w:val="009047C5"/>
    <w:rsid w:val="009065BE"/>
    <w:rsid w:val="00906A56"/>
    <w:rsid w:val="0091187A"/>
    <w:rsid w:val="00911E11"/>
    <w:rsid w:val="009139FF"/>
    <w:rsid w:val="00913DEE"/>
    <w:rsid w:val="00914DA0"/>
    <w:rsid w:val="00914F6A"/>
    <w:rsid w:val="00915799"/>
    <w:rsid w:val="00915933"/>
    <w:rsid w:val="00915B66"/>
    <w:rsid w:val="00916D58"/>
    <w:rsid w:val="009173EE"/>
    <w:rsid w:val="0091758D"/>
    <w:rsid w:val="00917D8E"/>
    <w:rsid w:val="00920A32"/>
    <w:rsid w:val="00921674"/>
    <w:rsid w:val="009224E5"/>
    <w:rsid w:val="00922597"/>
    <w:rsid w:val="00922786"/>
    <w:rsid w:val="009234B9"/>
    <w:rsid w:val="00923802"/>
    <w:rsid w:val="009246D0"/>
    <w:rsid w:val="00924C63"/>
    <w:rsid w:val="00927D00"/>
    <w:rsid w:val="009350C1"/>
    <w:rsid w:val="009368B9"/>
    <w:rsid w:val="00937020"/>
    <w:rsid w:val="00940DB9"/>
    <w:rsid w:val="009443C9"/>
    <w:rsid w:val="0094567D"/>
    <w:rsid w:val="009458F0"/>
    <w:rsid w:val="00946A8B"/>
    <w:rsid w:val="009471A0"/>
    <w:rsid w:val="00947622"/>
    <w:rsid w:val="00951621"/>
    <w:rsid w:val="00952E98"/>
    <w:rsid w:val="0095385A"/>
    <w:rsid w:val="00955202"/>
    <w:rsid w:val="00955B44"/>
    <w:rsid w:val="00956821"/>
    <w:rsid w:val="00964425"/>
    <w:rsid w:val="00964942"/>
    <w:rsid w:val="009658C0"/>
    <w:rsid w:val="00967268"/>
    <w:rsid w:val="00967CD8"/>
    <w:rsid w:val="00970437"/>
    <w:rsid w:val="00971F9D"/>
    <w:rsid w:val="00971FAB"/>
    <w:rsid w:val="009726BB"/>
    <w:rsid w:val="0097606C"/>
    <w:rsid w:val="00976295"/>
    <w:rsid w:val="00981216"/>
    <w:rsid w:val="00982027"/>
    <w:rsid w:val="009820DB"/>
    <w:rsid w:val="0098238F"/>
    <w:rsid w:val="0098489D"/>
    <w:rsid w:val="00984AB9"/>
    <w:rsid w:val="0098623D"/>
    <w:rsid w:val="009900DC"/>
    <w:rsid w:val="009906BE"/>
    <w:rsid w:val="0099095D"/>
    <w:rsid w:val="009916A7"/>
    <w:rsid w:val="00992127"/>
    <w:rsid w:val="009922C8"/>
    <w:rsid w:val="0099237F"/>
    <w:rsid w:val="0099262B"/>
    <w:rsid w:val="00994DF5"/>
    <w:rsid w:val="00994E2D"/>
    <w:rsid w:val="009976EE"/>
    <w:rsid w:val="009A0F94"/>
    <w:rsid w:val="009A2B57"/>
    <w:rsid w:val="009A3569"/>
    <w:rsid w:val="009A4826"/>
    <w:rsid w:val="009A60FC"/>
    <w:rsid w:val="009A758C"/>
    <w:rsid w:val="009B031D"/>
    <w:rsid w:val="009B4776"/>
    <w:rsid w:val="009B512E"/>
    <w:rsid w:val="009B5190"/>
    <w:rsid w:val="009B61A4"/>
    <w:rsid w:val="009C0D78"/>
    <w:rsid w:val="009C31BE"/>
    <w:rsid w:val="009C37DC"/>
    <w:rsid w:val="009C57EF"/>
    <w:rsid w:val="009C6959"/>
    <w:rsid w:val="009C713B"/>
    <w:rsid w:val="009D3CF6"/>
    <w:rsid w:val="009D4945"/>
    <w:rsid w:val="009D4B2F"/>
    <w:rsid w:val="009D5C7D"/>
    <w:rsid w:val="009D6E69"/>
    <w:rsid w:val="009E0147"/>
    <w:rsid w:val="009E0B9D"/>
    <w:rsid w:val="009E30D4"/>
    <w:rsid w:val="009E4C7C"/>
    <w:rsid w:val="009E54F2"/>
    <w:rsid w:val="009E5853"/>
    <w:rsid w:val="009E64D5"/>
    <w:rsid w:val="009F246D"/>
    <w:rsid w:val="009F261D"/>
    <w:rsid w:val="009F3602"/>
    <w:rsid w:val="009F5096"/>
    <w:rsid w:val="009F59C2"/>
    <w:rsid w:val="009F78A0"/>
    <w:rsid w:val="00A0103E"/>
    <w:rsid w:val="00A010FC"/>
    <w:rsid w:val="00A02213"/>
    <w:rsid w:val="00A03425"/>
    <w:rsid w:val="00A04977"/>
    <w:rsid w:val="00A04B5C"/>
    <w:rsid w:val="00A05140"/>
    <w:rsid w:val="00A0528D"/>
    <w:rsid w:val="00A066BD"/>
    <w:rsid w:val="00A10053"/>
    <w:rsid w:val="00A11895"/>
    <w:rsid w:val="00A13886"/>
    <w:rsid w:val="00A14415"/>
    <w:rsid w:val="00A146B7"/>
    <w:rsid w:val="00A16FAB"/>
    <w:rsid w:val="00A1798B"/>
    <w:rsid w:val="00A2084E"/>
    <w:rsid w:val="00A21B32"/>
    <w:rsid w:val="00A228C5"/>
    <w:rsid w:val="00A23693"/>
    <w:rsid w:val="00A23CE5"/>
    <w:rsid w:val="00A2433B"/>
    <w:rsid w:val="00A2439B"/>
    <w:rsid w:val="00A24560"/>
    <w:rsid w:val="00A24834"/>
    <w:rsid w:val="00A27708"/>
    <w:rsid w:val="00A32B79"/>
    <w:rsid w:val="00A3420B"/>
    <w:rsid w:val="00A34538"/>
    <w:rsid w:val="00A350AF"/>
    <w:rsid w:val="00A35AD8"/>
    <w:rsid w:val="00A37C18"/>
    <w:rsid w:val="00A37FB6"/>
    <w:rsid w:val="00A40A28"/>
    <w:rsid w:val="00A42365"/>
    <w:rsid w:val="00A426EC"/>
    <w:rsid w:val="00A462AB"/>
    <w:rsid w:val="00A500EF"/>
    <w:rsid w:val="00A51659"/>
    <w:rsid w:val="00A5350E"/>
    <w:rsid w:val="00A5539A"/>
    <w:rsid w:val="00A568F2"/>
    <w:rsid w:val="00A568F6"/>
    <w:rsid w:val="00A57160"/>
    <w:rsid w:val="00A6121B"/>
    <w:rsid w:val="00A61297"/>
    <w:rsid w:val="00A612F6"/>
    <w:rsid w:val="00A62322"/>
    <w:rsid w:val="00A65AD5"/>
    <w:rsid w:val="00A7090A"/>
    <w:rsid w:val="00A734C1"/>
    <w:rsid w:val="00A73C6F"/>
    <w:rsid w:val="00A74544"/>
    <w:rsid w:val="00A757E2"/>
    <w:rsid w:val="00A771A5"/>
    <w:rsid w:val="00A82473"/>
    <w:rsid w:val="00A83087"/>
    <w:rsid w:val="00A83E55"/>
    <w:rsid w:val="00A83F78"/>
    <w:rsid w:val="00A8570E"/>
    <w:rsid w:val="00A87ECD"/>
    <w:rsid w:val="00A91BEA"/>
    <w:rsid w:val="00A944C2"/>
    <w:rsid w:val="00A9502E"/>
    <w:rsid w:val="00A95095"/>
    <w:rsid w:val="00A95142"/>
    <w:rsid w:val="00A957B9"/>
    <w:rsid w:val="00A9641E"/>
    <w:rsid w:val="00A97125"/>
    <w:rsid w:val="00A97234"/>
    <w:rsid w:val="00AA08E7"/>
    <w:rsid w:val="00AA0B78"/>
    <w:rsid w:val="00AA0BE1"/>
    <w:rsid w:val="00AA2094"/>
    <w:rsid w:val="00AA442B"/>
    <w:rsid w:val="00AA669D"/>
    <w:rsid w:val="00AA69BC"/>
    <w:rsid w:val="00AA7403"/>
    <w:rsid w:val="00AA7503"/>
    <w:rsid w:val="00AB0808"/>
    <w:rsid w:val="00AB3212"/>
    <w:rsid w:val="00AB35A6"/>
    <w:rsid w:val="00AB5852"/>
    <w:rsid w:val="00AB5969"/>
    <w:rsid w:val="00AB5C7F"/>
    <w:rsid w:val="00AB628F"/>
    <w:rsid w:val="00AB6591"/>
    <w:rsid w:val="00AC146A"/>
    <w:rsid w:val="00AC27E8"/>
    <w:rsid w:val="00AC4829"/>
    <w:rsid w:val="00AC514C"/>
    <w:rsid w:val="00AC5690"/>
    <w:rsid w:val="00AC5F3A"/>
    <w:rsid w:val="00AD1A73"/>
    <w:rsid w:val="00AD45E3"/>
    <w:rsid w:val="00AE08F9"/>
    <w:rsid w:val="00AE1539"/>
    <w:rsid w:val="00AE2D2E"/>
    <w:rsid w:val="00AE32F2"/>
    <w:rsid w:val="00AE4B35"/>
    <w:rsid w:val="00AE4C20"/>
    <w:rsid w:val="00AE5ABF"/>
    <w:rsid w:val="00AE61E1"/>
    <w:rsid w:val="00AE6434"/>
    <w:rsid w:val="00AE69A5"/>
    <w:rsid w:val="00AE6C09"/>
    <w:rsid w:val="00AE7779"/>
    <w:rsid w:val="00AF0BEC"/>
    <w:rsid w:val="00AF373E"/>
    <w:rsid w:val="00AF561D"/>
    <w:rsid w:val="00B000D8"/>
    <w:rsid w:val="00B012D7"/>
    <w:rsid w:val="00B02774"/>
    <w:rsid w:val="00B04012"/>
    <w:rsid w:val="00B04E6F"/>
    <w:rsid w:val="00B050B8"/>
    <w:rsid w:val="00B05411"/>
    <w:rsid w:val="00B0753B"/>
    <w:rsid w:val="00B12F06"/>
    <w:rsid w:val="00B13EC0"/>
    <w:rsid w:val="00B16829"/>
    <w:rsid w:val="00B179C1"/>
    <w:rsid w:val="00B20525"/>
    <w:rsid w:val="00B21442"/>
    <w:rsid w:val="00B22E22"/>
    <w:rsid w:val="00B2513E"/>
    <w:rsid w:val="00B2548B"/>
    <w:rsid w:val="00B25E66"/>
    <w:rsid w:val="00B27AD4"/>
    <w:rsid w:val="00B30086"/>
    <w:rsid w:val="00B31F22"/>
    <w:rsid w:val="00B32BCD"/>
    <w:rsid w:val="00B35625"/>
    <w:rsid w:val="00B359ED"/>
    <w:rsid w:val="00B36260"/>
    <w:rsid w:val="00B36832"/>
    <w:rsid w:val="00B37C00"/>
    <w:rsid w:val="00B40486"/>
    <w:rsid w:val="00B426AA"/>
    <w:rsid w:val="00B44270"/>
    <w:rsid w:val="00B44AD6"/>
    <w:rsid w:val="00B44E8E"/>
    <w:rsid w:val="00B46C42"/>
    <w:rsid w:val="00B51003"/>
    <w:rsid w:val="00B512FD"/>
    <w:rsid w:val="00B525CB"/>
    <w:rsid w:val="00B5487A"/>
    <w:rsid w:val="00B552B6"/>
    <w:rsid w:val="00B5546E"/>
    <w:rsid w:val="00B5566E"/>
    <w:rsid w:val="00B55851"/>
    <w:rsid w:val="00B5758A"/>
    <w:rsid w:val="00B57B27"/>
    <w:rsid w:val="00B60461"/>
    <w:rsid w:val="00B61B4F"/>
    <w:rsid w:val="00B62A61"/>
    <w:rsid w:val="00B62F95"/>
    <w:rsid w:val="00B633F9"/>
    <w:rsid w:val="00B63872"/>
    <w:rsid w:val="00B63CB2"/>
    <w:rsid w:val="00B641D9"/>
    <w:rsid w:val="00B64EDB"/>
    <w:rsid w:val="00B654E7"/>
    <w:rsid w:val="00B66578"/>
    <w:rsid w:val="00B71C79"/>
    <w:rsid w:val="00B7315F"/>
    <w:rsid w:val="00B750D9"/>
    <w:rsid w:val="00B76967"/>
    <w:rsid w:val="00B77F95"/>
    <w:rsid w:val="00B81F6E"/>
    <w:rsid w:val="00B84416"/>
    <w:rsid w:val="00B84BA7"/>
    <w:rsid w:val="00B85186"/>
    <w:rsid w:val="00B91AF0"/>
    <w:rsid w:val="00B91B8E"/>
    <w:rsid w:val="00B9384C"/>
    <w:rsid w:val="00B93C9A"/>
    <w:rsid w:val="00B94548"/>
    <w:rsid w:val="00B955AB"/>
    <w:rsid w:val="00B95AC8"/>
    <w:rsid w:val="00B9618B"/>
    <w:rsid w:val="00B97E63"/>
    <w:rsid w:val="00BA19D8"/>
    <w:rsid w:val="00BA3286"/>
    <w:rsid w:val="00BA3871"/>
    <w:rsid w:val="00BA4D28"/>
    <w:rsid w:val="00BA4E77"/>
    <w:rsid w:val="00BB00BC"/>
    <w:rsid w:val="00BB3B04"/>
    <w:rsid w:val="00BB3EE8"/>
    <w:rsid w:val="00BB584D"/>
    <w:rsid w:val="00BB7084"/>
    <w:rsid w:val="00BB7E79"/>
    <w:rsid w:val="00BC2704"/>
    <w:rsid w:val="00BC7280"/>
    <w:rsid w:val="00BD120E"/>
    <w:rsid w:val="00BD2036"/>
    <w:rsid w:val="00BD2700"/>
    <w:rsid w:val="00BD47CA"/>
    <w:rsid w:val="00BD78FE"/>
    <w:rsid w:val="00BE0AD3"/>
    <w:rsid w:val="00BE15DA"/>
    <w:rsid w:val="00BE16E8"/>
    <w:rsid w:val="00BE1CEA"/>
    <w:rsid w:val="00BE5743"/>
    <w:rsid w:val="00BE5EA8"/>
    <w:rsid w:val="00BE642B"/>
    <w:rsid w:val="00BE67A9"/>
    <w:rsid w:val="00BE72D6"/>
    <w:rsid w:val="00BF31BA"/>
    <w:rsid w:val="00BF5E9C"/>
    <w:rsid w:val="00BF6D9D"/>
    <w:rsid w:val="00BF7724"/>
    <w:rsid w:val="00C00B9C"/>
    <w:rsid w:val="00C014AB"/>
    <w:rsid w:val="00C0241E"/>
    <w:rsid w:val="00C02CA7"/>
    <w:rsid w:val="00C0362B"/>
    <w:rsid w:val="00C03773"/>
    <w:rsid w:val="00C0469E"/>
    <w:rsid w:val="00C055D5"/>
    <w:rsid w:val="00C06A57"/>
    <w:rsid w:val="00C06B30"/>
    <w:rsid w:val="00C07B9B"/>
    <w:rsid w:val="00C126E0"/>
    <w:rsid w:val="00C1486D"/>
    <w:rsid w:val="00C170AF"/>
    <w:rsid w:val="00C17E35"/>
    <w:rsid w:val="00C20738"/>
    <w:rsid w:val="00C20AB9"/>
    <w:rsid w:val="00C220CE"/>
    <w:rsid w:val="00C22BB6"/>
    <w:rsid w:val="00C24150"/>
    <w:rsid w:val="00C245B6"/>
    <w:rsid w:val="00C24D7E"/>
    <w:rsid w:val="00C269AB"/>
    <w:rsid w:val="00C27711"/>
    <w:rsid w:val="00C3033B"/>
    <w:rsid w:val="00C309CE"/>
    <w:rsid w:val="00C32018"/>
    <w:rsid w:val="00C32119"/>
    <w:rsid w:val="00C34208"/>
    <w:rsid w:val="00C366C4"/>
    <w:rsid w:val="00C373C2"/>
    <w:rsid w:val="00C374F0"/>
    <w:rsid w:val="00C404E4"/>
    <w:rsid w:val="00C42508"/>
    <w:rsid w:val="00C42C10"/>
    <w:rsid w:val="00C42D9F"/>
    <w:rsid w:val="00C4437C"/>
    <w:rsid w:val="00C50170"/>
    <w:rsid w:val="00C50A4B"/>
    <w:rsid w:val="00C516B0"/>
    <w:rsid w:val="00C5372F"/>
    <w:rsid w:val="00C54BAF"/>
    <w:rsid w:val="00C55B65"/>
    <w:rsid w:val="00C633A9"/>
    <w:rsid w:val="00C6465E"/>
    <w:rsid w:val="00C64A86"/>
    <w:rsid w:val="00C64E43"/>
    <w:rsid w:val="00C6552A"/>
    <w:rsid w:val="00C65533"/>
    <w:rsid w:val="00C70B9D"/>
    <w:rsid w:val="00C75629"/>
    <w:rsid w:val="00C758C6"/>
    <w:rsid w:val="00C76212"/>
    <w:rsid w:val="00C76AD9"/>
    <w:rsid w:val="00C77849"/>
    <w:rsid w:val="00C77F03"/>
    <w:rsid w:val="00C818AF"/>
    <w:rsid w:val="00C81ADC"/>
    <w:rsid w:val="00C81F3D"/>
    <w:rsid w:val="00C822C2"/>
    <w:rsid w:val="00C841DD"/>
    <w:rsid w:val="00C843D2"/>
    <w:rsid w:val="00C8458D"/>
    <w:rsid w:val="00C8725E"/>
    <w:rsid w:val="00C90701"/>
    <w:rsid w:val="00C9106A"/>
    <w:rsid w:val="00C91242"/>
    <w:rsid w:val="00C91E8D"/>
    <w:rsid w:val="00C9585F"/>
    <w:rsid w:val="00C96C1B"/>
    <w:rsid w:val="00C97AAA"/>
    <w:rsid w:val="00CA059D"/>
    <w:rsid w:val="00CA2C72"/>
    <w:rsid w:val="00CA4651"/>
    <w:rsid w:val="00CA6FB7"/>
    <w:rsid w:val="00CA7385"/>
    <w:rsid w:val="00CB0765"/>
    <w:rsid w:val="00CB0F85"/>
    <w:rsid w:val="00CB2B36"/>
    <w:rsid w:val="00CB2C0F"/>
    <w:rsid w:val="00CB31A0"/>
    <w:rsid w:val="00CB42FC"/>
    <w:rsid w:val="00CB5943"/>
    <w:rsid w:val="00CB619A"/>
    <w:rsid w:val="00CB63B3"/>
    <w:rsid w:val="00CC00CD"/>
    <w:rsid w:val="00CC0339"/>
    <w:rsid w:val="00CC0B3D"/>
    <w:rsid w:val="00CC0E85"/>
    <w:rsid w:val="00CC4DF1"/>
    <w:rsid w:val="00CC748E"/>
    <w:rsid w:val="00CD2B8C"/>
    <w:rsid w:val="00CD4A86"/>
    <w:rsid w:val="00CD5576"/>
    <w:rsid w:val="00CD7E27"/>
    <w:rsid w:val="00CE12E2"/>
    <w:rsid w:val="00CE15B5"/>
    <w:rsid w:val="00CE2805"/>
    <w:rsid w:val="00CE4E6E"/>
    <w:rsid w:val="00CE7A1A"/>
    <w:rsid w:val="00CF02E0"/>
    <w:rsid w:val="00CF0701"/>
    <w:rsid w:val="00CF600D"/>
    <w:rsid w:val="00CF7275"/>
    <w:rsid w:val="00CF7A13"/>
    <w:rsid w:val="00D01760"/>
    <w:rsid w:val="00D01EBF"/>
    <w:rsid w:val="00D04192"/>
    <w:rsid w:val="00D06596"/>
    <w:rsid w:val="00D077EB"/>
    <w:rsid w:val="00D078B8"/>
    <w:rsid w:val="00D10800"/>
    <w:rsid w:val="00D12085"/>
    <w:rsid w:val="00D13D5F"/>
    <w:rsid w:val="00D15B95"/>
    <w:rsid w:val="00D16E39"/>
    <w:rsid w:val="00D170B9"/>
    <w:rsid w:val="00D17379"/>
    <w:rsid w:val="00D17985"/>
    <w:rsid w:val="00D1798A"/>
    <w:rsid w:val="00D21C43"/>
    <w:rsid w:val="00D220D3"/>
    <w:rsid w:val="00D2214A"/>
    <w:rsid w:val="00D223B6"/>
    <w:rsid w:val="00D22BEB"/>
    <w:rsid w:val="00D23AD8"/>
    <w:rsid w:val="00D2423E"/>
    <w:rsid w:val="00D24920"/>
    <w:rsid w:val="00D2686C"/>
    <w:rsid w:val="00D26B57"/>
    <w:rsid w:val="00D32A50"/>
    <w:rsid w:val="00D350DE"/>
    <w:rsid w:val="00D35FC1"/>
    <w:rsid w:val="00D41655"/>
    <w:rsid w:val="00D41EE1"/>
    <w:rsid w:val="00D42298"/>
    <w:rsid w:val="00D4320D"/>
    <w:rsid w:val="00D441AC"/>
    <w:rsid w:val="00D44E97"/>
    <w:rsid w:val="00D460D9"/>
    <w:rsid w:val="00D47709"/>
    <w:rsid w:val="00D506C0"/>
    <w:rsid w:val="00D525F7"/>
    <w:rsid w:val="00D53894"/>
    <w:rsid w:val="00D53C6C"/>
    <w:rsid w:val="00D54876"/>
    <w:rsid w:val="00D54C45"/>
    <w:rsid w:val="00D60327"/>
    <w:rsid w:val="00D641C3"/>
    <w:rsid w:val="00D64981"/>
    <w:rsid w:val="00D650B5"/>
    <w:rsid w:val="00D66C4F"/>
    <w:rsid w:val="00D679D8"/>
    <w:rsid w:val="00D7075B"/>
    <w:rsid w:val="00D710B9"/>
    <w:rsid w:val="00D71D22"/>
    <w:rsid w:val="00D72126"/>
    <w:rsid w:val="00D72E9D"/>
    <w:rsid w:val="00D73FA7"/>
    <w:rsid w:val="00D74765"/>
    <w:rsid w:val="00D7568C"/>
    <w:rsid w:val="00D7727A"/>
    <w:rsid w:val="00D805AB"/>
    <w:rsid w:val="00D82CE5"/>
    <w:rsid w:val="00D84FE0"/>
    <w:rsid w:val="00D85C8F"/>
    <w:rsid w:val="00D87181"/>
    <w:rsid w:val="00D8736E"/>
    <w:rsid w:val="00D90EFA"/>
    <w:rsid w:val="00D914DB"/>
    <w:rsid w:val="00D92770"/>
    <w:rsid w:val="00D93287"/>
    <w:rsid w:val="00D93661"/>
    <w:rsid w:val="00D94D04"/>
    <w:rsid w:val="00D970D3"/>
    <w:rsid w:val="00D978B4"/>
    <w:rsid w:val="00D97DDD"/>
    <w:rsid w:val="00DA2124"/>
    <w:rsid w:val="00DA41EF"/>
    <w:rsid w:val="00DA583D"/>
    <w:rsid w:val="00DA5AB1"/>
    <w:rsid w:val="00DA7B6E"/>
    <w:rsid w:val="00DA7CCA"/>
    <w:rsid w:val="00DB0DFA"/>
    <w:rsid w:val="00DB1542"/>
    <w:rsid w:val="00DB28B8"/>
    <w:rsid w:val="00DB3D31"/>
    <w:rsid w:val="00DB6234"/>
    <w:rsid w:val="00DB68F9"/>
    <w:rsid w:val="00DC0208"/>
    <w:rsid w:val="00DC02B2"/>
    <w:rsid w:val="00DC1562"/>
    <w:rsid w:val="00DC2AFD"/>
    <w:rsid w:val="00DC3544"/>
    <w:rsid w:val="00DC3A87"/>
    <w:rsid w:val="00DC4E41"/>
    <w:rsid w:val="00DC62E5"/>
    <w:rsid w:val="00DC743F"/>
    <w:rsid w:val="00DC78DC"/>
    <w:rsid w:val="00DD0BB0"/>
    <w:rsid w:val="00DD32A0"/>
    <w:rsid w:val="00DD3E02"/>
    <w:rsid w:val="00DD3E55"/>
    <w:rsid w:val="00DD451F"/>
    <w:rsid w:val="00DD47A2"/>
    <w:rsid w:val="00DD5A52"/>
    <w:rsid w:val="00DD652D"/>
    <w:rsid w:val="00DD6845"/>
    <w:rsid w:val="00DD6847"/>
    <w:rsid w:val="00DD735D"/>
    <w:rsid w:val="00DD7FA8"/>
    <w:rsid w:val="00DE247F"/>
    <w:rsid w:val="00DE308A"/>
    <w:rsid w:val="00DE3119"/>
    <w:rsid w:val="00DE3139"/>
    <w:rsid w:val="00DE5BCA"/>
    <w:rsid w:val="00DE6872"/>
    <w:rsid w:val="00DF20FB"/>
    <w:rsid w:val="00DF2128"/>
    <w:rsid w:val="00DF236B"/>
    <w:rsid w:val="00DF2804"/>
    <w:rsid w:val="00DF28C7"/>
    <w:rsid w:val="00DF3553"/>
    <w:rsid w:val="00DF3F8D"/>
    <w:rsid w:val="00DF6078"/>
    <w:rsid w:val="00DF64F5"/>
    <w:rsid w:val="00DF6AA5"/>
    <w:rsid w:val="00DF7086"/>
    <w:rsid w:val="00DF7F9E"/>
    <w:rsid w:val="00E00221"/>
    <w:rsid w:val="00E0048D"/>
    <w:rsid w:val="00E018F9"/>
    <w:rsid w:val="00E04A52"/>
    <w:rsid w:val="00E057C5"/>
    <w:rsid w:val="00E0677C"/>
    <w:rsid w:val="00E06A8D"/>
    <w:rsid w:val="00E10879"/>
    <w:rsid w:val="00E13AB8"/>
    <w:rsid w:val="00E13D3F"/>
    <w:rsid w:val="00E1640E"/>
    <w:rsid w:val="00E16924"/>
    <w:rsid w:val="00E17EA3"/>
    <w:rsid w:val="00E234D7"/>
    <w:rsid w:val="00E25CB3"/>
    <w:rsid w:val="00E27E15"/>
    <w:rsid w:val="00E3074B"/>
    <w:rsid w:val="00E31A47"/>
    <w:rsid w:val="00E32A49"/>
    <w:rsid w:val="00E335EF"/>
    <w:rsid w:val="00E33B62"/>
    <w:rsid w:val="00E34106"/>
    <w:rsid w:val="00E34DEB"/>
    <w:rsid w:val="00E354CF"/>
    <w:rsid w:val="00E356D7"/>
    <w:rsid w:val="00E36139"/>
    <w:rsid w:val="00E40D14"/>
    <w:rsid w:val="00E4143A"/>
    <w:rsid w:val="00E41823"/>
    <w:rsid w:val="00E41943"/>
    <w:rsid w:val="00E42461"/>
    <w:rsid w:val="00E42761"/>
    <w:rsid w:val="00E43624"/>
    <w:rsid w:val="00E44610"/>
    <w:rsid w:val="00E46137"/>
    <w:rsid w:val="00E50774"/>
    <w:rsid w:val="00E510C7"/>
    <w:rsid w:val="00E5199E"/>
    <w:rsid w:val="00E51CF8"/>
    <w:rsid w:val="00E53B77"/>
    <w:rsid w:val="00E54365"/>
    <w:rsid w:val="00E5462E"/>
    <w:rsid w:val="00E56EC0"/>
    <w:rsid w:val="00E57652"/>
    <w:rsid w:val="00E62C10"/>
    <w:rsid w:val="00E631C7"/>
    <w:rsid w:val="00E65BDD"/>
    <w:rsid w:val="00E66455"/>
    <w:rsid w:val="00E701D8"/>
    <w:rsid w:val="00E70C4B"/>
    <w:rsid w:val="00E73728"/>
    <w:rsid w:val="00E73C2F"/>
    <w:rsid w:val="00E73F9E"/>
    <w:rsid w:val="00E742E7"/>
    <w:rsid w:val="00E75BB9"/>
    <w:rsid w:val="00E76013"/>
    <w:rsid w:val="00E76D64"/>
    <w:rsid w:val="00E76DD0"/>
    <w:rsid w:val="00E81CD9"/>
    <w:rsid w:val="00E81FD0"/>
    <w:rsid w:val="00E87FB5"/>
    <w:rsid w:val="00E91B88"/>
    <w:rsid w:val="00E9622C"/>
    <w:rsid w:val="00E96F1A"/>
    <w:rsid w:val="00EA0C86"/>
    <w:rsid w:val="00EA2015"/>
    <w:rsid w:val="00EA2E7A"/>
    <w:rsid w:val="00EA3761"/>
    <w:rsid w:val="00EA3B8E"/>
    <w:rsid w:val="00EA4714"/>
    <w:rsid w:val="00EA4951"/>
    <w:rsid w:val="00EB03A0"/>
    <w:rsid w:val="00EB0D38"/>
    <w:rsid w:val="00EB23D0"/>
    <w:rsid w:val="00EB2CBD"/>
    <w:rsid w:val="00EB5263"/>
    <w:rsid w:val="00EB5408"/>
    <w:rsid w:val="00EB55EE"/>
    <w:rsid w:val="00EB5A79"/>
    <w:rsid w:val="00EC238B"/>
    <w:rsid w:val="00EC5592"/>
    <w:rsid w:val="00EC5B1B"/>
    <w:rsid w:val="00EC77E0"/>
    <w:rsid w:val="00ED0181"/>
    <w:rsid w:val="00ED05A8"/>
    <w:rsid w:val="00ED0D83"/>
    <w:rsid w:val="00ED18C9"/>
    <w:rsid w:val="00ED1921"/>
    <w:rsid w:val="00ED1A5E"/>
    <w:rsid w:val="00ED1D54"/>
    <w:rsid w:val="00ED21E1"/>
    <w:rsid w:val="00ED2C7A"/>
    <w:rsid w:val="00ED5E7E"/>
    <w:rsid w:val="00ED6D48"/>
    <w:rsid w:val="00EE084F"/>
    <w:rsid w:val="00EE2C9C"/>
    <w:rsid w:val="00EE336A"/>
    <w:rsid w:val="00EE432C"/>
    <w:rsid w:val="00EE4DB1"/>
    <w:rsid w:val="00EE59B5"/>
    <w:rsid w:val="00EE6A82"/>
    <w:rsid w:val="00EE75CC"/>
    <w:rsid w:val="00EE7C1A"/>
    <w:rsid w:val="00EF0420"/>
    <w:rsid w:val="00EF169E"/>
    <w:rsid w:val="00EF1F7B"/>
    <w:rsid w:val="00EF28A9"/>
    <w:rsid w:val="00EF2D58"/>
    <w:rsid w:val="00EF3258"/>
    <w:rsid w:val="00EF3F42"/>
    <w:rsid w:val="00EF4E3B"/>
    <w:rsid w:val="00EF5547"/>
    <w:rsid w:val="00EF5E27"/>
    <w:rsid w:val="00EF64D8"/>
    <w:rsid w:val="00EF6FEA"/>
    <w:rsid w:val="00EF7AD6"/>
    <w:rsid w:val="00F0076F"/>
    <w:rsid w:val="00F01990"/>
    <w:rsid w:val="00F04156"/>
    <w:rsid w:val="00F04D40"/>
    <w:rsid w:val="00F05E5B"/>
    <w:rsid w:val="00F0608C"/>
    <w:rsid w:val="00F06296"/>
    <w:rsid w:val="00F074DD"/>
    <w:rsid w:val="00F0774D"/>
    <w:rsid w:val="00F077AE"/>
    <w:rsid w:val="00F10954"/>
    <w:rsid w:val="00F11955"/>
    <w:rsid w:val="00F11D29"/>
    <w:rsid w:val="00F128BC"/>
    <w:rsid w:val="00F16AE2"/>
    <w:rsid w:val="00F172E0"/>
    <w:rsid w:val="00F2035B"/>
    <w:rsid w:val="00F2107D"/>
    <w:rsid w:val="00F21B2C"/>
    <w:rsid w:val="00F21BA2"/>
    <w:rsid w:val="00F21D09"/>
    <w:rsid w:val="00F223B3"/>
    <w:rsid w:val="00F24230"/>
    <w:rsid w:val="00F26F3C"/>
    <w:rsid w:val="00F26F4E"/>
    <w:rsid w:val="00F301AD"/>
    <w:rsid w:val="00F3110C"/>
    <w:rsid w:val="00F33364"/>
    <w:rsid w:val="00F34431"/>
    <w:rsid w:val="00F34C8E"/>
    <w:rsid w:val="00F34CBA"/>
    <w:rsid w:val="00F3533F"/>
    <w:rsid w:val="00F35599"/>
    <w:rsid w:val="00F3791E"/>
    <w:rsid w:val="00F42CA4"/>
    <w:rsid w:val="00F4315D"/>
    <w:rsid w:val="00F43A17"/>
    <w:rsid w:val="00F43A68"/>
    <w:rsid w:val="00F476A9"/>
    <w:rsid w:val="00F5101F"/>
    <w:rsid w:val="00F51E02"/>
    <w:rsid w:val="00F520D5"/>
    <w:rsid w:val="00F536CD"/>
    <w:rsid w:val="00F55F3A"/>
    <w:rsid w:val="00F574CC"/>
    <w:rsid w:val="00F6029C"/>
    <w:rsid w:val="00F6064F"/>
    <w:rsid w:val="00F61B1D"/>
    <w:rsid w:val="00F61C41"/>
    <w:rsid w:val="00F61F32"/>
    <w:rsid w:val="00F64376"/>
    <w:rsid w:val="00F64812"/>
    <w:rsid w:val="00F65EC5"/>
    <w:rsid w:val="00F6751F"/>
    <w:rsid w:val="00F71AE6"/>
    <w:rsid w:val="00F72DC9"/>
    <w:rsid w:val="00F73D70"/>
    <w:rsid w:val="00F764CE"/>
    <w:rsid w:val="00F77855"/>
    <w:rsid w:val="00F80D0F"/>
    <w:rsid w:val="00F80E8A"/>
    <w:rsid w:val="00F84899"/>
    <w:rsid w:val="00F859F0"/>
    <w:rsid w:val="00F90DB0"/>
    <w:rsid w:val="00F91287"/>
    <w:rsid w:val="00F91CA1"/>
    <w:rsid w:val="00F92D53"/>
    <w:rsid w:val="00F93250"/>
    <w:rsid w:val="00F94805"/>
    <w:rsid w:val="00F94B44"/>
    <w:rsid w:val="00F95598"/>
    <w:rsid w:val="00F95FAB"/>
    <w:rsid w:val="00FA0BE5"/>
    <w:rsid w:val="00FA1420"/>
    <w:rsid w:val="00FA15DA"/>
    <w:rsid w:val="00FA1947"/>
    <w:rsid w:val="00FA28BF"/>
    <w:rsid w:val="00FA3221"/>
    <w:rsid w:val="00FA63A7"/>
    <w:rsid w:val="00FA6B54"/>
    <w:rsid w:val="00FB1473"/>
    <w:rsid w:val="00FB48C5"/>
    <w:rsid w:val="00FB5E3B"/>
    <w:rsid w:val="00FC08AD"/>
    <w:rsid w:val="00FC16AE"/>
    <w:rsid w:val="00FC4AF7"/>
    <w:rsid w:val="00FC5EB6"/>
    <w:rsid w:val="00FD1C4A"/>
    <w:rsid w:val="00FD2088"/>
    <w:rsid w:val="00FD2829"/>
    <w:rsid w:val="00FD2EA3"/>
    <w:rsid w:val="00FD3E1B"/>
    <w:rsid w:val="00FD3F65"/>
    <w:rsid w:val="00FD461D"/>
    <w:rsid w:val="00FD46B4"/>
    <w:rsid w:val="00FD4AA4"/>
    <w:rsid w:val="00FD5F1B"/>
    <w:rsid w:val="00FD6C0B"/>
    <w:rsid w:val="00FD7084"/>
    <w:rsid w:val="00FD7D17"/>
    <w:rsid w:val="00FE07B7"/>
    <w:rsid w:val="00FE094E"/>
    <w:rsid w:val="00FE0B32"/>
    <w:rsid w:val="00FE0F74"/>
    <w:rsid w:val="00FE141E"/>
    <w:rsid w:val="00FE1C75"/>
    <w:rsid w:val="00FE1E34"/>
    <w:rsid w:val="00FE38FF"/>
    <w:rsid w:val="00FE42ED"/>
    <w:rsid w:val="00FE4C26"/>
    <w:rsid w:val="00FE4EF2"/>
    <w:rsid w:val="00FE63C7"/>
    <w:rsid w:val="00FE759E"/>
    <w:rsid w:val="00FE7664"/>
    <w:rsid w:val="00FF1C68"/>
    <w:rsid w:val="00FF4164"/>
    <w:rsid w:val="00FF485B"/>
    <w:rsid w:val="00FF4CB9"/>
    <w:rsid w:val="19D94649"/>
    <w:rsid w:val="3B1BF6E6"/>
    <w:rsid w:val="434D2F1C"/>
    <w:rsid w:val="489DAED3"/>
  </w:rsids>
  <m:mathPr>
    <m:mathFont m:val="Cambria Math"/>
    <m:brkBin m:val="before"/>
    <m:brkBinSub m:val="--"/>
    <m:smallFrac m:val="0"/>
    <m:dispDef/>
    <m:lMargin m:val="0"/>
    <m:rMargin m:val="0"/>
    <m:defJc m:val="centerGroup"/>
    <m:wrapIndent m:val="1440"/>
    <m:intLim m:val="subSup"/>
    <m:naryLim m:val="undOvr"/>
  </m:mathPr>
  <w:themeFontLang w:val="es-CO"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48FC69B5"/>
  <w15:docId w15:val="{C31D0A22-2FF0-4CBA-A8CA-3DB18456D5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before="120" w:after="120" w:line="276"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42B62"/>
    <w:pPr>
      <w:spacing w:before="0" w:after="0" w:line="240" w:lineRule="auto"/>
      <w:jc w:val="left"/>
    </w:pPr>
    <w:rPr>
      <w:rFonts w:ascii="Times New Roman" w:eastAsia="Times New Roman" w:hAnsi="Times New Roman" w:cs="Times New Roman"/>
      <w:sz w:val="24"/>
      <w:szCs w:val="24"/>
      <w:lang w:eastAsia="en-GB"/>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uiPriority w:val="99"/>
    <w:unhideWhenUsed/>
    <w:rsid w:val="00A34538"/>
    <w:pPr>
      <w:tabs>
        <w:tab w:val="center" w:pos="4419"/>
        <w:tab w:val="right" w:pos="8838"/>
      </w:tabs>
      <w:spacing w:before="120" w:after="120" w:line="276" w:lineRule="auto"/>
      <w:jc w:val="both"/>
    </w:pPr>
    <w:rPr>
      <w:rFonts w:asciiTheme="minorHAnsi" w:eastAsiaTheme="minorHAnsi" w:hAnsiTheme="minorHAnsi" w:cstheme="minorBidi"/>
      <w:szCs w:val="22"/>
      <w:lang w:val="es-MX" w:eastAsia="en-US"/>
    </w:rPr>
  </w:style>
  <w:style w:type="character" w:customStyle="1" w:styleId="PiedepginaCar">
    <w:name w:val="Pie de página Car"/>
    <w:basedOn w:val="Fuentedeprrafopredeter"/>
    <w:link w:val="Piedepgina"/>
    <w:uiPriority w:val="99"/>
    <w:rsid w:val="00A34538"/>
    <w:rPr>
      <w:sz w:val="24"/>
      <w:lang w:val="es-MX"/>
    </w:rPr>
  </w:style>
  <w:style w:type="paragraph" w:styleId="Textodeglobo">
    <w:name w:val="Balloon Text"/>
    <w:basedOn w:val="Normal"/>
    <w:link w:val="TextodegloboCar"/>
    <w:uiPriority w:val="99"/>
    <w:semiHidden/>
    <w:unhideWhenUsed/>
    <w:rsid w:val="00A34538"/>
    <w:pPr>
      <w:spacing w:before="120" w:after="120" w:line="276" w:lineRule="auto"/>
      <w:jc w:val="both"/>
    </w:pPr>
    <w:rPr>
      <w:rFonts w:ascii="Tahoma" w:eastAsiaTheme="minorHAnsi" w:hAnsi="Tahoma" w:cs="Tahoma"/>
      <w:sz w:val="16"/>
      <w:szCs w:val="16"/>
      <w:lang w:val="es-MX" w:eastAsia="en-US"/>
    </w:rPr>
  </w:style>
  <w:style w:type="character" w:customStyle="1" w:styleId="TextodegloboCar">
    <w:name w:val="Texto de globo Car"/>
    <w:basedOn w:val="Fuentedeprrafopredeter"/>
    <w:link w:val="Textodeglobo"/>
    <w:uiPriority w:val="99"/>
    <w:semiHidden/>
    <w:rsid w:val="00A34538"/>
    <w:rPr>
      <w:rFonts w:ascii="Tahoma" w:hAnsi="Tahoma" w:cs="Tahoma"/>
      <w:sz w:val="16"/>
      <w:szCs w:val="16"/>
      <w:lang w:val="es-MX"/>
    </w:rPr>
  </w:style>
  <w:style w:type="paragraph" w:styleId="Encabezado">
    <w:name w:val="header"/>
    <w:basedOn w:val="Normal"/>
    <w:link w:val="EncabezadoCar"/>
    <w:uiPriority w:val="99"/>
    <w:unhideWhenUsed/>
    <w:rsid w:val="009047C5"/>
    <w:pPr>
      <w:tabs>
        <w:tab w:val="center" w:pos="4252"/>
        <w:tab w:val="right" w:pos="8504"/>
      </w:tabs>
      <w:spacing w:before="120" w:after="120" w:line="276" w:lineRule="auto"/>
      <w:jc w:val="both"/>
    </w:pPr>
    <w:rPr>
      <w:rFonts w:asciiTheme="minorHAnsi" w:eastAsiaTheme="minorHAnsi" w:hAnsiTheme="minorHAnsi" w:cstheme="minorBidi"/>
      <w:szCs w:val="22"/>
      <w:lang w:val="es-MX" w:eastAsia="en-US"/>
    </w:rPr>
  </w:style>
  <w:style w:type="character" w:customStyle="1" w:styleId="EncabezadoCar">
    <w:name w:val="Encabezado Car"/>
    <w:basedOn w:val="Fuentedeprrafopredeter"/>
    <w:link w:val="Encabezado"/>
    <w:uiPriority w:val="99"/>
    <w:rsid w:val="009047C5"/>
    <w:rPr>
      <w:sz w:val="24"/>
      <w:lang w:val="es-MX"/>
    </w:rPr>
  </w:style>
  <w:style w:type="table" w:styleId="Tablaconcuadrcula">
    <w:name w:val="Table Grid"/>
    <w:basedOn w:val="Tablanormal"/>
    <w:uiPriority w:val="39"/>
    <w:rsid w:val="009047C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
    <w:basedOn w:val="Normal"/>
    <w:link w:val="PrrafodelistaCar"/>
    <w:uiPriority w:val="34"/>
    <w:qFormat/>
    <w:rsid w:val="009047C5"/>
    <w:pPr>
      <w:spacing w:before="120" w:after="120" w:line="276" w:lineRule="auto"/>
      <w:ind w:left="720"/>
      <w:contextualSpacing/>
      <w:jc w:val="both"/>
    </w:pPr>
    <w:rPr>
      <w:rFonts w:asciiTheme="minorHAnsi" w:eastAsiaTheme="minorHAnsi" w:hAnsiTheme="minorHAnsi" w:cstheme="minorBidi"/>
      <w:szCs w:val="22"/>
      <w:lang w:val="es-MX" w:eastAsia="en-US"/>
    </w:rPr>
  </w:style>
  <w:style w:type="character" w:styleId="Refdecomentario">
    <w:name w:val="annotation reference"/>
    <w:basedOn w:val="Fuentedeprrafopredeter"/>
    <w:uiPriority w:val="99"/>
    <w:semiHidden/>
    <w:unhideWhenUsed/>
    <w:rsid w:val="00DA5AB1"/>
    <w:rPr>
      <w:sz w:val="16"/>
      <w:szCs w:val="16"/>
    </w:rPr>
  </w:style>
  <w:style w:type="paragraph" w:styleId="Textocomentario">
    <w:name w:val="annotation text"/>
    <w:basedOn w:val="Normal"/>
    <w:link w:val="TextocomentarioCar"/>
    <w:uiPriority w:val="99"/>
    <w:unhideWhenUsed/>
    <w:rsid w:val="00DA5AB1"/>
    <w:pPr>
      <w:spacing w:before="120" w:after="120" w:line="276" w:lineRule="auto"/>
      <w:jc w:val="both"/>
    </w:pPr>
    <w:rPr>
      <w:rFonts w:asciiTheme="minorHAnsi" w:eastAsiaTheme="minorHAnsi" w:hAnsiTheme="minorHAnsi" w:cstheme="minorBidi"/>
      <w:sz w:val="20"/>
      <w:szCs w:val="20"/>
      <w:lang w:val="es-MX" w:eastAsia="en-US"/>
    </w:rPr>
  </w:style>
  <w:style w:type="character" w:customStyle="1" w:styleId="TextocomentarioCar">
    <w:name w:val="Texto comentario Car"/>
    <w:basedOn w:val="Fuentedeprrafopredeter"/>
    <w:link w:val="Textocomentario"/>
    <w:uiPriority w:val="99"/>
    <w:rsid w:val="00DA5AB1"/>
    <w:rPr>
      <w:sz w:val="20"/>
      <w:szCs w:val="20"/>
      <w:lang w:val="es-MX"/>
    </w:rPr>
  </w:style>
  <w:style w:type="paragraph" w:styleId="Asuntodelcomentario">
    <w:name w:val="annotation subject"/>
    <w:basedOn w:val="Textocomentario"/>
    <w:next w:val="Textocomentario"/>
    <w:link w:val="AsuntodelcomentarioCar"/>
    <w:uiPriority w:val="99"/>
    <w:semiHidden/>
    <w:unhideWhenUsed/>
    <w:rsid w:val="00DA5AB1"/>
    <w:rPr>
      <w:b/>
      <w:bCs/>
    </w:rPr>
  </w:style>
  <w:style w:type="character" w:customStyle="1" w:styleId="AsuntodelcomentarioCar">
    <w:name w:val="Asunto del comentario Car"/>
    <w:basedOn w:val="TextocomentarioCar"/>
    <w:link w:val="Asuntodelcomentario"/>
    <w:uiPriority w:val="99"/>
    <w:semiHidden/>
    <w:rsid w:val="00DA5AB1"/>
    <w:rPr>
      <w:b/>
      <w:bCs/>
      <w:sz w:val="20"/>
      <w:szCs w:val="20"/>
      <w:lang w:val="es-MX"/>
    </w:rPr>
  </w:style>
  <w:style w:type="character" w:styleId="Hipervnculo">
    <w:name w:val="Hyperlink"/>
    <w:basedOn w:val="Fuentedeprrafopredeter"/>
    <w:uiPriority w:val="99"/>
    <w:unhideWhenUsed/>
    <w:rsid w:val="0085092D"/>
    <w:rPr>
      <w:color w:val="F2F2F2" w:themeColor="hyperlink"/>
      <w:u w:val="single"/>
    </w:rPr>
  </w:style>
  <w:style w:type="paragraph" w:styleId="NormalWeb">
    <w:name w:val="Normal (Web)"/>
    <w:basedOn w:val="Normal"/>
    <w:link w:val="NormalWebCar"/>
    <w:uiPriority w:val="99"/>
    <w:unhideWhenUsed/>
    <w:rsid w:val="00122B23"/>
    <w:pPr>
      <w:spacing w:before="100" w:beforeAutospacing="1" w:after="100" w:afterAutospacing="1" w:line="276" w:lineRule="auto"/>
      <w:jc w:val="both"/>
    </w:pPr>
    <w:rPr>
      <w:lang w:eastAsia="es-CO"/>
    </w:rPr>
  </w:style>
  <w:style w:type="paragraph" w:styleId="Sinespaciado">
    <w:name w:val="No Spacing"/>
    <w:uiPriority w:val="1"/>
    <w:qFormat/>
    <w:rsid w:val="007B0854"/>
    <w:pPr>
      <w:spacing w:after="0" w:line="240" w:lineRule="auto"/>
    </w:pPr>
    <w:rPr>
      <w:sz w:val="24"/>
      <w:lang w:val="es-MX"/>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7B0854"/>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Car"/>
    <w:basedOn w:val="Normal"/>
    <w:link w:val="TextonotapieCar"/>
    <w:uiPriority w:val="99"/>
    <w:unhideWhenUsed/>
    <w:qFormat/>
    <w:rsid w:val="007B0854"/>
    <w:pPr>
      <w:spacing w:before="120" w:after="120" w:line="276" w:lineRule="auto"/>
      <w:jc w:val="both"/>
    </w:pPr>
    <w:rPr>
      <w:rFonts w:asciiTheme="minorHAnsi" w:eastAsiaTheme="minorHAnsi" w:hAnsiTheme="minorHAnsi" w:cstheme="minorBidi"/>
      <w:sz w:val="20"/>
      <w:szCs w:val="20"/>
      <w:lang w:val="es-MX" w:eastAsia="en-US"/>
    </w:rPr>
  </w:style>
  <w:style w:type="character" w:customStyle="1" w:styleId="TextonotapieCar1">
    <w:name w:val="Texto nota pie Car1"/>
    <w:basedOn w:val="Fuentedeprrafopredeter"/>
    <w:uiPriority w:val="99"/>
    <w:semiHidden/>
    <w:rsid w:val="007B0854"/>
    <w:rPr>
      <w:sz w:val="20"/>
      <w:szCs w:val="20"/>
      <w:lang w:val="es-MX"/>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7B0854"/>
    <w:rPr>
      <w:sz w:val="24"/>
      <w:lang w:val="es-MX"/>
    </w:rPr>
  </w:style>
  <w:style w:type="paragraph" w:customStyle="1" w:styleId="Capitulo1">
    <w:name w:val="Capitulo 1"/>
    <w:basedOn w:val="Normal"/>
    <w:qFormat/>
    <w:rsid w:val="007B0854"/>
    <w:pPr>
      <w:keepNext/>
      <w:spacing w:before="120" w:after="200" w:line="276" w:lineRule="auto"/>
      <w:ind w:left="720" w:hanging="360"/>
      <w:jc w:val="both"/>
      <w:outlineLvl w:val="1"/>
    </w:pPr>
    <w:rPr>
      <w:rFonts w:ascii="Arial" w:hAnsi="Arial" w:cs="Arial"/>
      <w:b/>
      <w:color w:val="000000"/>
      <w:sz w:val="20"/>
      <w:szCs w:val="20"/>
      <w:lang w:eastAsia="es-CO"/>
    </w:rPr>
  </w:style>
  <w:style w:type="character" w:styleId="Refdenotaalpie">
    <w:name w:val="footnote reference"/>
    <w:aliases w:val="Ref. de nota al pie 2,Ref,de nota al pie,FC,Appel note de bas de p,f,4_G,16 Point,Superscript 6 Point,Texto nota al pie,Pie de Página,Texto de nota al pi,Nota de pie,Footnote symbol,Footnote,Ref. de nota al pie2,Pie de pagina,F,R,Re"/>
    <w:basedOn w:val="Fuentedeprrafopredeter"/>
    <w:link w:val="Appelnotedebasde"/>
    <w:uiPriority w:val="99"/>
    <w:unhideWhenUsed/>
    <w:qFormat/>
    <w:rsid w:val="007B0854"/>
    <w:rPr>
      <w:vertAlign w:val="superscript"/>
    </w:rPr>
  </w:style>
  <w:style w:type="table" w:customStyle="1" w:styleId="Tablaconcuadrcula1">
    <w:name w:val="Tabla con cuadrícula1"/>
    <w:basedOn w:val="Tablanormal"/>
    <w:next w:val="Tablaconcuadrcula"/>
    <w:uiPriority w:val="59"/>
    <w:rsid w:val="0079564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aj">
    <w:name w:val="b_aj"/>
    <w:basedOn w:val="Fuentedeprrafopredeter"/>
    <w:rsid w:val="00984AB9"/>
  </w:style>
  <w:style w:type="character" w:styleId="Textoennegrita">
    <w:name w:val="Strong"/>
    <w:basedOn w:val="Fuentedeprrafopredeter"/>
    <w:uiPriority w:val="22"/>
    <w:qFormat/>
    <w:rsid w:val="00792E66"/>
    <w:rPr>
      <w:b/>
      <w:bCs/>
    </w:rPr>
  </w:style>
  <w:style w:type="character" w:styleId="nfasis">
    <w:name w:val="Emphasis"/>
    <w:basedOn w:val="Fuentedeprrafopredeter"/>
    <w:uiPriority w:val="20"/>
    <w:qFormat/>
    <w:rsid w:val="00792E66"/>
    <w:rPr>
      <w:i/>
      <w:iCs/>
    </w:rPr>
  </w:style>
  <w:style w:type="paragraph" w:customStyle="1" w:styleId="Appelnotedebasde">
    <w:name w:val="Appel note de bas de..."/>
    <w:basedOn w:val="Normal"/>
    <w:link w:val="Refdenotaalpie"/>
    <w:uiPriority w:val="99"/>
    <w:rsid w:val="00E54365"/>
    <w:pPr>
      <w:spacing w:after="160" w:line="240" w:lineRule="exact"/>
    </w:pPr>
    <w:rPr>
      <w:rFonts w:asciiTheme="minorHAnsi" w:eastAsiaTheme="minorHAnsi" w:hAnsiTheme="minorHAnsi" w:cstheme="minorBidi"/>
      <w:sz w:val="22"/>
      <w:szCs w:val="22"/>
      <w:vertAlign w:val="superscript"/>
      <w:lang w:eastAsia="en-US"/>
    </w:rPr>
  </w:style>
  <w:style w:type="character" w:customStyle="1" w:styleId="NormalWebCar">
    <w:name w:val="Normal (Web) Car"/>
    <w:link w:val="NormalWeb"/>
    <w:uiPriority w:val="99"/>
    <w:rsid w:val="00A957B9"/>
    <w:rPr>
      <w:rFonts w:ascii="Times New Roman" w:eastAsia="Times New Roman" w:hAnsi="Times New Roman" w:cs="Times New Roman"/>
      <w:sz w:val="24"/>
      <w:szCs w:val="24"/>
      <w:lang w:eastAsia="es-CO"/>
    </w:rPr>
  </w:style>
  <w:style w:type="character" w:customStyle="1" w:styleId="Mencinsinresolver1">
    <w:name w:val="Mención sin resolver1"/>
    <w:basedOn w:val="Fuentedeprrafopredeter"/>
    <w:uiPriority w:val="99"/>
    <w:semiHidden/>
    <w:unhideWhenUsed/>
    <w:rsid w:val="00AE4C20"/>
    <w:rPr>
      <w:color w:val="605E5C"/>
      <w:shd w:val="clear" w:color="auto" w:fill="E1DFDD"/>
    </w:rPr>
  </w:style>
  <w:style w:type="paragraph" w:styleId="Textoindependiente">
    <w:name w:val="Body Text"/>
    <w:basedOn w:val="Normal"/>
    <w:link w:val="TextoindependienteCar"/>
    <w:uiPriority w:val="99"/>
    <w:semiHidden/>
    <w:unhideWhenUsed/>
    <w:rsid w:val="00A16FAB"/>
    <w:pPr>
      <w:spacing w:before="100" w:beforeAutospacing="1" w:after="100" w:afterAutospacing="1"/>
    </w:pPr>
    <w:rPr>
      <w:lang w:eastAsia="es-CO"/>
    </w:rPr>
  </w:style>
  <w:style w:type="character" w:customStyle="1" w:styleId="TextoindependienteCar">
    <w:name w:val="Texto independiente Car"/>
    <w:basedOn w:val="Fuentedeprrafopredeter"/>
    <w:link w:val="Textoindependiente"/>
    <w:uiPriority w:val="99"/>
    <w:semiHidden/>
    <w:rsid w:val="00A16FAB"/>
    <w:rPr>
      <w:rFonts w:ascii="Times New Roman" w:eastAsia="Times New Roman" w:hAnsi="Times New Roman" w:cs="Times New Roman"/>
      <w:sz w:val="24"/>
      <w:szCs w:val="24"/>
      <w:lang w:eastAsia="es-CO"/>
    </w:rPr>
  </w:style>
  <w:style w:type="character" w:customStyle="1" w:styleId="Mencinsinresolver2">
    <w:name w:val="Mención sin resolver2"/>
    <w:basedOn w:val="Fuentedeprrafopredeter"/>
    <w:uiPriority w:val="99"/>
    <w:semiHidden/>
    <w:unhideWhenUsed/>
    <w:rsid w:val="0076432E"/>
    <w:rPr>
      <w:color w:val="605E5C"/>
      <w:shd w:val="clear" w:color="auto" w:fill="E1DFDD"/>
    </w:rPr>
  </w:style>
  <w:style w:type="character" w:styleId="Refdenotaalfinal">
    <w:name w:val="endnote reference"/>
    <w:basedOn w:val="Fuentedeprrafopredeter"/>
    <w:uiPriority w:val="99"/>
    <w:semiHidden/>
    <w:unhideWhenUsed/>
    <w:rsid w:val="00FE1E34"/>
    <w:rPr>
      <w:vertAlign w:val="superscript"/>
    </w:rPr>
  </w:style>
  <w:style w:type="paragraph" w:styleId="Revisin">
    <w:name w:val="Revision"/>
    <w:hidden/>
    <w:uiPriority w:val="99"/>
    <w:semiHidden/>
    <w:rsid w:val="009246D0"/>
    <w:pPr>
      <w:spacing w:before="0" w:after="0" w:line="240" w:lineRule="auto"/>
      <w:jc w:val="left"/>
    </w:pPr>
    <w:rPr>
      <w:rFonts w:ascii="Times New Roman" w:eastAsia="Times New Roman" w:hAnsi="Times New Roman" w:cs="Times New Roman"/>
      <w:sz w:val="24"/>
      <w:szCs w:val="24"/>
      <w:lang w:eastAsia="en-GB"/>
    </w:rPr>
  </w:style>
  <w:style w:type="character" w:styleId="Mencinsinresolver">
    <w:name w:val="Unresolved Mention"/>
    <w:basedOn w:val="Fuentedeprrafopredeter"/>
    <w:uiPriority w:val="99"/>
    <w:semiHidden/>
    <w:unhideWhenUsed/>
    <w:rsid w:val="00B552B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6376757">
      <w:bodyDiv w:val="1"/>
      <w:marLeft w:val="0"/>
      <w:marRight w:val="0"/>
      <w:marTop w:val="0"/>
      <w:marBottom w:val="0"/>
      <w:divBdr>
        <w:top w:val="none" w:sz="0" w:space="0" w:color="auto"/>
        <w:left w:val="none" w:sz="0" w:space="0" w:color="auto"/>
        <w:bottom w:val="none" w:sz="0" w:space="0" w:color="auto"/>
        <w:right w:val="none" w:sz="0" w:space="0" w:color="auto"/>
      </w:divBdr>
    </w:div>
    <w:div w:id="40833272">
      <w:bodyDiv w:val="1"/>
      <w:marLeft w:val="0"/>
      <w:marRight w:val="0"/>
      <w:marTop w:val="0"/>
      <w:marBottom w:val="0"/>
      <w:divBdr>
        <w:top w:val="none" w:sz="0" w:space="0" w:color="auto"/>
        <w:left w:val="none" w:sz="0" w:space="0" w:color="auto"/>
        <w:bottom w:val="none" w:sz="0" w:space="0" w:color="auto"/>
        <w:right w:val="none" w:sz="0" w:space="0" w:color="auto"/>
      </w:divBdr>
    </w:div>
    <w:div w:id="49504353">
      <w:bodyDiv w:val="1"/>
      <w:marLeft w:val="0"/>
      <w:marRight w:val="0"/>
      <w:marTop w:val="0"/>
      <w:marBottom w:val="0"/>
      <w:divBdr>
        <w:top w:val="none" w:sz="0" w:space="0" w:color="auto"/>
        <w:left w:val="none" w:sz="0" w:space="0" w:color="auto"/>
        <w:bottom w:val="none" w:sz="0" w:space="0" w:color="auto"/>
        <w:right w:val="none" w:sz="0" w:space="0" w:color="auto"/>
      </w:divBdr>
    </w:div>
    <w:div w:id="85808315">
      <w:bodyDiv w:val="1"/>
      <w:marLeft w:val="0"/>
      <w:marRight w:val="0"/>
      <w:marTop w:val="0"/>
      <w:marBottom w:val="0"/>
      <w:divBdr>
        <w:top w:val="none" w:sz="0" w:space="0" w:color="auto"/>
        <w:left w:val="none" w:sz="0" w:space="0" w:color="auto"/>
        <w:bottom w:val="none" w:sz="0" w:space="0" w:color="auto"/>
        <w:right w:val="none" w:sz="0" w:space="0" w:color="auto"/>
      </w:divBdr>
    </w:div>
    <w:div w:id="93744512">
      <w:bodyDiv w:val="1"/>
      <w:marLeft w:val="0"/>
      <w:marRight w:val="0"/>
      <w:marTop w:val="0"/>
      <w:marBottom w:val="0"/>
      <w:divBdr>
        <w:top w:val="none" w:sz="0" w:space="0" w:color="auto"/>
        <w:left w:val="none" w:sz="0" w:space="0" w:color="auto"/>
        <w:bottom w:val="none" w:sz="0" w:space="0" w:color="auto"/>
        <w:right w:val="none" w:sz="0" w:space="0" w:color="auto"/>
      </w:divBdr>
    </w:div>
    <w:div w:id="94375242">
      <w:bodyDiv w:val="1"/>
      <w:marLeft w:val="0"/>
      <w:marRight w:val="0"/>
      <w:marTop w:val="0"/>
      <w:marBottom w:val="0"/>
      <w:divBdr>
        <w:top w:val="none" w:sz="0" w:space="0" w:color="auto"/>
        <w:left w:val="none" w:sz="0" w:space="0" w:color="auto"/>
        <w:bottom w:val="none" w:sz="0" w:space="0" w:color="auto"/>
        <w:right w:val="none" w:sz="0" w:space="0" w:color="auto"/>
      </w:divBdr>
    </w:div>
    <w:div w:id="108739752">
      <w:bodyDiv w:val="1"/>
      <w:marLeft w:val="0"/>
      <w:marRight w:val="0"/>
      <w:marTop w:val="0"/>
      <w:marBottom w:val="0"/>
      <w:divBdr>
        <w:top w:val="none" w:sz="0" w:space="0" w:color="auto"/>
        <w:left w:val="none" w:sz="0" w:space="0" w:color="auto"/>
        <w:bottom w:val="none" w:sz="0" w:space="0" w:color="auto"/>
        <w:right w:val="none" w:sz="0" w:space="0" w:color="auto"/>
      </w:divBdr>
    </w:div>
    <w:div w:id="125897397">
      <w:bodyDiv w:val="1"/>
      <w:marLeft w:val="0"/>
      <w:marRight w:val="0"/>
      <w:marTop w:val="0"/>
      <w:marBottom w:val="0"/>
      <w:divBdr>
        <w:top w:val="none" w:sz="0" w:space="0" w:color="auto"/>
        <w:left w:val="none" w:sz="0" w:space="0" w:color="auto"/>
        <w:bottom w:val="none" w:sz="0" w:space="0" w:color="auto"/>
        <w:right w:val="none" w:sz="0" w:space="0" w:color="auto"/>
      </w:divBdr>
    </w:div>
    <w:div w:id="156462446">
      <w:bodyDiv w:val="1"/>
      <w:marLeft w:val="0"/>
      <w:marRight w:val="0"/>
      <w:marTop w:val="0"/>
      <w:marBottom w:val="0"/>
      <w:divBdr>
        <w:top w:val="none" w:sz="0" w:space="0" w:color="auto"/>
        <w:left w:val="none" w:sz="0" w:space="0" w:color="auto"/>
        <w:bottom w:val="none" w:sz="0" w:space="0" w:color="auto"/>
        <w:right w:val="none" w:sz="0" w:space="0" w:color="auto"/>
      </w:divBdr>
    </w:div>
    <w:div w:id="157501031">
      <w:bodyDiv w:val="1"/>
      <w:marLeft w:val="0"/>
      <w:marRight w:val="0"/>
      <w:marTop w:val="0"/>
      <w:marBottom w:val="0"/>
      <w:divBdr>
        <w:top w:val="none" w:sz="0" w:space="0" w:color="auto"/>
        <w:left w:val="none" w:sz="0" w:space="0" w:color="auto"/>
        <w:bottom w:val="none" w:sz="0" w:space="0" w:color="auto"/>
        <w:right w:val="none" w:sz="0" w:space="0" w:color="auto"/>
      </w:divBdr>
    </w:div>
    <w:div w:id="166599726">
      <w:bodyDiv w:val="1"/>
      <w:marLeft w:val="0"/>
      <w:marRight w:val="0"/>
      <w:marTop w:val="0"/>
      <w:marBottom w:val="0"/>
      <w:divBdr>
        <w:top w:val="none" w:sz="0" w:space="0" w:color="auto"/>
        <w:left w:val="none" w:sz="0" w:space="0" w:color="auto"/>
        <w:bottom w:val="none" w:sz="0" w:space="0" w:color="auto"/>
        <w:right w:val="none" w:sz="0" w:space="0" w:color="auto"/>
      </w:divBdr>
    </w:div>
    <w:div w:id="179442121">
      <w:bodyDiv w:val="1"/>
      <w:marLeft w:val="0"/>
      <w:marRight w:val="0"/>
      <w:marTop w:val="0"/>
      <w:marBottom w:val="0"/>
      <w:divBdr>
        <w:top w:val="none" w:sz="0" w:space="0" w:color="auto"/>
        <w:left w:val="none" w:sz="0" w:space="0" w:color="auto"/>
        <w:bottom w:val="none" w:sz="0" w:space="0" w:color="auto"/>
        <w:right w:val="none" w:sz="0" w:space="0" w:color="auto"/>
      </w:divBdr>
    </w:div>
    <w:div w:id="179929087">
      <w:bodyDiv w:val="1"/>
      <w:marLeft w:val="0"/>
      <w:marRight w:val="0"/>
      <w:marTop w:val="0"/>
      <w:marBottom w:val="0"/>
      <w:divBdr>
        <w:top w:val="none" w:sz="0" w:space="0" w:color="auto"/>
        <w:left w:val="none" w:sz="0" w:space="0" w:color="auto"/>
        <w:bottom w:val="none" w:sz="0" w:space="0" w:color="auto"/>
        <w:right w:val="none" w:sz="0" w:space="0" w:color="auto"/>
      </w:divBdr>
      <w:divsChild>
        <w:div w:id="404572909">
          <w:marLeft w:val="0"/>
          <w:marRight w:val="0"/>
          <w:marTop w:val="0"/>
          <w:marBottom w:val="0"/>
          <w:divBdr>
            <w:top w:val="none" w:sz="0" w:space="0" w:color="auto"/>
            <w:left w:val="none" w:sz="0" w:space="0" w:color="auto"/>
            <w:bottom w:val="none" w:sz="0" w:space="0" w:color="auto"/>
            <w:right w:val="none" w:sz="0" w:space="0" w:color="auto"/>
          </w:divBdr>
        </w:div>
        <w:div w:id="2088721344">
          <w:marLeft w:val="0"/>
          <w:marRight w:val="0"/>
          <w:marTop w:val="0"/>
          <w:marBottom w:val="0"/>
          <w:divBdr>
            <w:top w:val="none" w:sz="0" w:space="0" w:color="auto"/>
            <w:left w:val="none" w:sz="0" w:space="0" w:color="auto"/>
            <w:bottom w:val="none" w:sz="0" w:space="0" w:color="auto"/>
            <w:right w:val="none" w:sz="0" w:space="0" w:color="auto"/>
          </w:divBdr>
        </w:div>
        <w:div w:id="1807044410">
          <w:marLeft w:val="0"/>
          <w:marRight w:val="0"/>
          <w:marTop w:val="0"/>
          <w:marBottom w:val="0"/>
          <w:divBdr>
            <w:top w:val="none" w:sz="0" w:space="0" w:color="auto"/>
            <w:left w:val="none" w:sz="0" w:space="0" w:color="auto"/>
            <w:bottom w:val="none" w:sz="0" w:space="0" w:color="auto"/>
            <w:right w:val="none" w:sz="0" w:space="0" w:color="auto"/>
          </w:divBdr>
        </w:div>
      </w:divsChild>
    </w:div>
    <w:div w:id="216203386">
      <w:bodyDiv w:val="1"/>
      <w:marLeft w:val="0"/>
      <w:marRight w:val="0"/>
      <w:marTop w:val="0"/>
      <w:marBottom w:val="0"/>
      <w:divBdr>
        <w:top w:val="none" w:sz="0" w:space="0" w:color="auto"/>
        <w:left w:val="none" w:sz="0" w:space="0" w:color="auto"/>
        <w:bottom w:val="none" w:sz="0" w:space="0" w:color="auto"/>
        <w:right w:val="none" w:sz="0" w:space="0" w:color="auto"/>
      </w:divBdr>
    </w:div>
    <w:div w:id="290482433">
      <w:bodyDiv w:val="1"/>
      <w:marLeft w:val="0"/>
      <w:marRight w:val="0"/>
      <w:marTop w:val="0"/>
      <w:marBottom w:val="0"/>
      <w:divBdr>
        <w:top w:val="none" w:sz="0" w:space="0" w:color="auto"/>
        <w:left w:val="none" w:sz="0" w:space="0" w:color="auto"/>
        <w:bottom w:val="none" w:sz="0" w:space="0" w:color="auto"/>
        <w:right w:val="none" w:sz="0" w:space="0" w:color="auto"/>
      </w:divBdr>
    </w:div>
    <w:div w:id="297952074">
      <w:bodyDiv w:val="1"/>
      <w:marLeft w:val="0"/>
      <w:marRight w:val="0"/>
      <w:marTop w:val="0"/>
      <w:marBottom w:val="0"/>
      <w:divBdr>
        <w:top w:val="none" w:sz="0" w:space="0" w:color="auto"/>
        <w:left w:val="none" w:sz="0" w:space="0" w:color="auto"/>
        <w:bottom w:val="none" w:sz="0" w:space="0" w:color="auto"/>
        <w:right w:val="none" w:sz="0" w:space="0" w:color="auto"/>
      </w:divBdr>
    </w:div>
    <w:div w:id="308289970">
      <w:bodyDiv w:val="1"/>
      <w:marLeft w:val="0"/>
      <w:marRight w:val="0"/>
      <w:marTop w:val="0"/>
      <w:marBottom w:val="0"/>
      <w:divBdr>
        <w:top w:val="none" w:sz="0" w:space="0" w:color="auto"/>
        <w:left w:val="none" w:sz="0" w:space="0" w:color="auto"/>
        <w:bottom w:val="none" w:sz="0" w:space="0" w:color="auto"/>
        <w:right w:val="none" w:sz="0" w:space="0" w:color="auto"/>
      </w:divBdr>
    </w:div>
    <w:div w:id="346564690">
      <w:bodyDiv w:val="1"/>
      <w:marLeft w:val="0"/>
      <w:marRight w:val="0"/>
      <w:marTop w:val="0"/>
      <w:marBottom w:val="0"/>
      <w:divBdr>
        <w:top w:val="none" w:sz="0" w:space="0" w:color="auto"/>
        <w:left w:val="none" w:sz="0" w:space="0" w:color="auto"/>
        <w:bottom w:val="none" w:sz="0" w:space="0" w:color="auto"/>
        <w:right w:val="none" w:sz="0" w:space="0" w:color="auto"/>
      </w:divBdr>
    </w:div>
    <w:div w:id="362751634">
      <w:bodyDiv w:val="1"/>
      <w:marLeft w:val="0"/>
      <w:marRight w:val="0"/>
      <w:marTop w:val="0"/>
      <w:marBottom w:val="0"/>
      <w:divBdr>
        <w:top w:val="none" w:sz="0" w:space="0" w:color="auto"/>
        <w:left w:val="none" w:sz="0" w:space="0" w:color="auto"/>
        <w:bottom w:val="none" w:sz="0" w:space="0" w:color="auto"/>
        <w:right w:val="none" w:sz="0" w:space="0" w:color="auto"/>
      </w:divBdr>
    </w:div>
    <w:div w:id="388193450">
      <w:bodyDiv w:val="1"/>
      <w:marLeft w:val="0"/>
      <w:marRight w:val="0"/>
      <w:marTop w:val="0"/>
      <w:marBottom w:val="0"/>
      <w:divBdr>
        <w:top w:val="none" w:sz="0" w:space="0" w:color="auto"/>
        <w:left w:val="none" w:sz="0" w:space="0" w:color="auto"/>
        <w:bottom w:val="none" w:sz="0" w:space="0" w:color="auto"/>
        <w:right w:val="none" w:sz="0" w:space="0" w:color="auto"/>
      </w:divBdr>
    </w:div>
    <w:div w:id="389693172">
      <w:bodyDiv w:val="1"/>
      <w:marLeft w:val="0"/>
      <w:marRight w:val="0"/>
      <w:marTop w:val="0"/>
      <w:marBottom w:val="0"/>
      <w:divBdr>
        <w:top w:val="none" w:sz="0" w:space="0" w:color="auto"/>
        <w:left w:val="none" w:sz="0" w:space="0" w:color="auto"/>
        <w:bottom w:val="none" w:sz="0" w:space="0" w:color="auto"/>
        <w:right w:val="none" w:sz="0" w:space="0" w:color="auto"/>
      </w:divBdr>
      <w:divsChild>
        <w:div w:id="1247421476">
          <w:marLeft w:val="0"/>
          <w:marRight w:val="0"/>
          <w:marTop w:val="0"/>
          <w:marBottom w:val="0"/>
          <w:divBdr>
            <w:top w:val="none" w:sz="0" w:space="0" w:color="auto"/>
            <w:left w:val="none" w:sz="0" w:space="0" w:color="auto"/>
            <w:bottom w:val="none" w:sz="0" w:space="0" w:color="auto"/>
            <w:right w:val="none" w:sz="0" w:space="0" w:color="auto"/>
          </w:divBdr>
        </w:div>
      </w:divsChild>
    </w:div>
    <w:div w:id="394553061">
      <w:bodyDiv w:val="1"/>
      <w:marLeft w:val="0"/>
      <w:marRight w:val="0"/>
      <w:marTop w:val="0"/>
      <w:marBottom w:val="0"/>
      <w:divBdr>
        <w:top w:val="none" w:sz="0" w:space="0" w:color="auto"/>
        <w:left w:val="none" w:sz="0" w:space="0" w:color="auto"/>
        <w:bottom w:val="none" w:sz="0" w:space="0" w:color="auto"/>
        <w:right w:val="none" w:sz="0" w:space="0" w:color="auto"/>
      </w:divBdr>
    </w:div>
    <w:div w:id="410006999">
      <w:bodyDiv w:val="1"/>
      <w:marLeft w:val="0"/>
      <w:marRight w:val="0"/>
      <w:marTop w:val="0"/>
      <w:marBottom w:val="0"/>
      <w:divBdr>
        <w:top w:val="none" w:sz="0" w:space="0" w:color="auto"/>
        <w:left w:val="none" w:sz="0" w:space="0" w:color="auto"/>
        <w:bottom w:val="none" w:sz="0" w:space="0" w:color="auto"/>
        <w:right w:val="none" w:sz="0" w:space="0" w:color="auto"/>
      </w:divBdr>
      <w:divsChild>
        <w:div w:id="1549413466">
          <w:marLeft w:val="0"/>
          <w:marRight w:val="0"/>
          <w:marTop w:val="0"/>
          <w:marBottom w:val="0"/>
          <w:divBdr>
            <w:top w:val="none" w:sz="0" w:space="0" w:color="auto"/>
            <w:left w:val="none" w:sz="0" w:space="0" w:color="auto"/>
            <w:bottom w:val="none" w:sz="0" w:space="0" w:color="auto"/>
            <w:right w:val="none" w:sz="0" w:space="0" w:color="auto"/>
          </w:divBdr>
          <w:divsChild>
            <w:div w:id="1668316938">
              <w:marLeft w:val="0"/>
              <w:marRight w:val="0"/>
              <w:marTop w:val="0"/>
              <w:marBottom w:val="0"/>
              <w:divBdr>
                <w:top w:val="none" w:sz="0" w:space="0" w:color="auto"/>
                <w:left w:val="none" w:sz="0" w:space="0" w:color="auto"/>
                <w:bottom w:val="none" w:sz="0" w:space="0" w:color="auto"/>
                <w:right w:val="none" w:sz="0" w:space="0" w:color="auto"/>
              </w:divBdr>
              <w:divsChild>
                <w:div w:id="972055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7503571">
      <w:bodyDiv w:val="1"/>
      <w:marLeft w:val="0"/>
      <w:marRight w:val="0"/>
      <w:marTop w:val="0"/>
      <w:marBottom w:val="0"/>
      <w:divBdr>
        <w:top w:val="none" w:sz="0" w:space="0" w:color="auto"/>
        <w:left w:val="none" w:sz="0" w:space="0" w:color="auto"/>
        <w:bottom w:val="none" w:sz="0" w:space="0" w:color="auto"/>
        <w:right w:val="none" w:sz="0" w:space="0" w:color="auto"/>
      </w:divBdr>
    </w:div>
    <w:div w:id="469787518">
      <w:bodyDiv w:val="1"/>
      <w:marLeft w:val="0"/>
      <w:marRight w:val="0"/>
      <w:marTop w:val="0"/>
      <w:marBottom w:val="0"/>
      <w:divBdr>
        <w:top w:val="none" w:sz="0" w:space="0" w:color="auto"/>
        <w:left w:val="none" w:sz="0" w:space="0" w:color="auto"/>
        <w:bottom w:val="none" w:sz="0" w:space="0" w:color="auto"/>
        <w:right w:val="none" w:sz="0" w:space="0" w:color="auto"/>
      </w:divBdr>
    </w:div>
    <w:div w:id="496309153">
      <w:bodyDiv w:val="1"/>
      <w:marLeft w:val="0"/>
      <w:marRight w:val="0"/>
      <w:marTop w:val="0"/>
      <w:marBottom w:val="0"/>
      <w:divBdr>
        <w:top w:val="none" w:sz="0" w:space="0" w:color="auto"/>
        <w:left w:val="none" w:sz="0" w:space="0" w:color="auto"/>
        <w:bottom w:val="none" w:sz="0" w:space="0" w:color="auto"/>
        <w:right w:val="none" w:sz="0" w:space="0" w:color="auto"/>
      </w:divBdr>
    </w:div>
    <w:div w:id="531654358">
      <w:bodyDiv w:val="1"/>
      <w:marLeft w:val="0"/>
      <w:marRight w:val="0"/>
      <w:marTop w:val="0"/>
      <w:marBottom w:val="0"/>
      <w:divBdr>
        <w:top w:val="none" w:sz="0" w:space="0" w:color="auto"/>
        <w:left w:val="none" w:sz="0" w:space="0" w:color="auto"/>
        <w:bottom w:val="none" w:sz="0" w:space="0" w:color="auto"/>
        <w:right w:val="none" w:sz="0" w:space="0" w:color="auto"/>
      </w:divBdr>
      <w:divsChild>
        <w:div w:id="1821338746">
          <w:marLeft w:val="0"/>
          <w:marRight w:val="0"/>
          <w:marTop w:val="0"/>
          <w:marBottom w:val="0"/>
          <w:divBdr>
            <w:top w:val="none" w:sz="0" w:space="0" w:color="auto"/>
            <w:left w:val="none" w:sz="0" w:space="0" w:color="auto"/>
            <w:bottom w:val="none" w:sz="0" w:space="0" w:color="auto"/>
            <w:right w:val="none" w:sz="0" w:space="0" w:color="auto"/>
          </w:divBdr>
          <w:divsChild>
            <w:div w:id="1848402016">
              <w:marLeft w:val="0"/>
              <w:marRight w:val="0"/>
              <w:marTop w:val="0"/>
              <w:marBottom w:val="0"/>
              <w:divBdr>
                <w:top w:val="none" w:sz="0" w:space="0" w:color="auto"/>
                <w:left w:val="none" w:sz="0" w:space="0" w:color="auto"/>
                <w:bottom w:val="none" w:sz="0" w:space="0" w:color="auto"/>
                <w:right w:val="none" w:sz="0" w:space="0" w:color="auto"/>
              </w:divBdr>
              <w:divsChild>
                <w:div w:id="17512722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72352670">
      <w:bodyDiv w:val="1"/>
      <w:marLeft w:val="0"/>
      <w:marRight w:val="0"/>
      <w:marTop w:val="0"/>
      <w:marBottom w:val="0"/>
      <w:divBdr>
        <w:top w:val="none" w:sz="0" w:space="0" w:color="auto"/>
        <w:left w:val="none" w:sz="0" w:space="0" w:color="auto"/>
        <w:bottom w:val="none" w:sz="0" w:space="0" w:color="auto"/>
        <w:right w:val="none" w:sz="0" w:space="0" w:color="auto"/>
      </w:divBdr>
    </w:div>
    <w:div w:id="610358860">
      <w:bodyDiv w:val="1"/>
      <w:marLeft w:val="0"/>
      <w:marRight w:val="0"/>
      <w:marTop w:val="0"/>
      <w:marBottom w:val="0"/>
      <w:divBdr>
        <w:top w:val="none" w:sz="0" w:space="0" w:color="auto"/>
        <w:left w:val="none" w:sz="0" w:space="0" w:color="auto"/>
        <w:bottom w:val="none" w:sz="0" w:space="0" w:color="auto"/>
        <w:right w:val="none" w:sz="0" w:space="0" w:color="auto"/>
      </w:divBdr>
    </w:div>
    <w:div w:id="614942659">
      <w:bodyDiv w:val="1"/>
      <w:marLeft w:val="0"/>
      <w:marRight w:val="0"/>
      <w:marTop w:val="0"/>
      <w:marBottom w:val="0"/>
      <w:divBdr>
        <w:top w:val="none" w:sz="0" w:space="0" w:color="auto"/>
        <w:left w:val="none" w:sz="0" w:space="0" w:color="auto"/>
        <w:bottom w:val="none" w:sz="0" w:space="0" w:color="auto"/>
        <w:right w:val="none" w:sz="0" w:space="0" w:color="auto"/>
      </w:divBdr>
    </w:div>
    <w:div w:id="616374217">
      <w:bodyDiv w:val="1"/>
      <w:marLeft w:val="0"/>
      <w:marRight w:val="0"/>
      <w:marTop w:val="0"/>
      <w:marBottom w:val="0"/>
      <w:divBdr>
        <w:top w:val="none" w:sz="0" w:space="0" w:color="auto"/>
        <w:left w:val="none" w:sz="0" w:space="0" w:color="auto"/>
        <w:bottom w:val="none" w:sz="0" w:space="0" w:color="auto"/>
        <w:right w:val="none" w:sz="0" w:space="0" w:color="auto"/>
      </w:divBdr>
    </w:div>
    <w:div w:id="636760311">
      <w:bodyDiv w:val="1"/>
      <w:marLeft w:val="0"/>
      <w:marRight w:val="0"/>
      <w:marTop w:val="0"/>
      <w:marBottom w:val="0"/>
      <w:divBdr>
        <w:top w:val="none" w:sz="0" w:space="0" w:color="auto"/>
        <w:left w:val="none" w:sz="0" w:space="0" w:color="auto"/>
        <w:bottom w:val="none" w:sz="0" w:space="0" w:color="auto"/>
        <w:right w:val="none" w:sz="0" w:space="0" w:color="auto"/>
      </w:divBdr>
    </w:div>
    <w:div w:id="660500369">
      <w:bodyDiv w:val="1"/>
      <w:marLeft w:val="0"/>
      <w:marRight w:val="0"/>
      <w:marTop w:val="0"/>
      <w:marBottom w:val="0"/>
      <w:divBdr>
        <w:top w:val="none" w:sz="0" w:space="0" w:color="auto"/>
        <w:left w:val="none" w:sz="0" w:space="0" w:color="auto"/>
        <w:bottom w:val="none" w:sz="0" w:space="0" w:color="auto"/>
        <w:right w:val="none" w:sz="0" w:space="0" w:color="auto"/>
      </w:divBdr>
    </w:div>
    <w:div w:id="674454366">
      <w:bodyDiv w:val="1"/>
      <w:marLeft w:val="0"/>
      <w:marRight w:val="0"/>
      <w:marTop w:val="0"/>
      <w:marBottom w:val="0"/>
      <w:divBdr>
        <w:top w:val="none" w:sz="0" w:space="0" w:color="auto"/>
        <w:left w:val="none" w:sz="0" w:space="0" w:color="auto"/>
        <w:bottom w:val="none" w:sz="0" w:space="0" w:color="auto"/>
        <w:right w:val="none" w:sz="0" w:space="0" w:color="auto"/>
      </w:divBdr>
    </w:div>
    <w:div w:id="686492545">
      <w:bodyDiv w:val="1"/>
      <w:marLeft w:val="0"/>
      <w:marRight w:val="0"/>
      <w:marTop w:val="0"/>
      <w:marBottom w:val="0"/>
      <w:divBdr>
        <w:top w:val="none" w:sz="0" w:space="0" w:color="auto"/>
        <w:left w:val="none" w:sz="0" w:space="0" w:color="auto"/>
        <w:bottom w:val="none" w:sz="0" w:space="0" w:color="auto"/>
        <w:right w:val="none" w:sz="0" w:space="0" w:color="auto"/>
      </w:divBdr>
    </w:div>
    <w:div w:id="695346960">
      <w:bodyDiv w:val="1"/>
      <w:marLeft w:val="0"/>
      <w:marRight w:val="0"/>
      <w:marTop w:val="0"/>
      <w:marBottom w:val="0"/>
      <w:divBdr>
        <w:top w:val="none" w:sz="0" w:space="0" w:color="auto"/>
        <w:left w:val="none" w:sz="0" w:space="0" w:color="auto"/>
        <w:bottom w:val="none" w:sz="0" w:space="0" w:color="auto"/>
        <w:right w:val="none" w:sz="0" w:space="0" w:color="auto"/>
      </w:divBdr>
      <w:divsChild>
        <w:div w:id="1337732821">
          <w:marLeft w:val="0"/>
          <w:marRight w:val="0"/>
          <w:marTop w:val="0"/>
          <w:marBottom w:val="0"/>
          <w:divBdr>
            <w:top w:val="none" w:sz="0" w:space="0" w:color="auto"/>
            <w:left w:val="none" w:sz="0" w:space="0" w:color="auto"/>
            <w:bottom w:val="none" w:sz="0" w:space="0" w:color="auto"/>
            <w:right w:val="none" w:sz="0" w:space="0" w:color="auto"/>
          </w:divBdr>
          <w:divsChild>
            <w:div w:id="1048838927">
              <w:marLeft w:val="0"/>
              <w:marRight w:val="0"/>
              <w:marTop w:val="0"/>
              <w:marBottom w:val="0"/>
              <w:divBdr>
                <w:top w:val="none" w:sz="0" w:space="0" w:color="auto"/>
                <w:left w:val="none" w:sz="0" w:space="0" w:color="auto"/>
                <w:bottom w:val="none" w:sz="0" w:space="0" w:color="auto"/>
                <w:right w:val="none" w:sz="0" w:space="0" w:color="auto"/>
              </w:divBdr>
              <w:divsChild>
                <w:div w:id="12870028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0516826">
      <w:bodyDiv w:val="1"/>
      <w:marLeft w:val="0"/>
      <w:marRight w:val="0"/>
      <w:marTop w:val="0"/>
      <w:marBottom w:val="0"/>
      <w:divBdr>
        <w:top w:val="none" w:sz="0" w:space="0" w:color="auto"/>
        <w:left w:val="none" w:sz="0" w:space="0" w:color="auto"/>
        <w:bottom w:val="none" w:sz="0" w:space="0" w:color="auto"/>
        <w:right w:val="none" w:sz="0" w:space="0" w:color="auto"/>
      </w:divBdr>
    </w:div>
    <w:div w:id="704867754">
      <w:bodyDiv w:val="1"/>
      <w:marLeft w:val="0"/>
      <w:marRight w:val="0"/>
      <w:marTop w:val="0"/>
      <w:marBottom w:val="0"/>
      <w:divBdr>
        <w:top w:val="none" w:sz="0" w:space="0" w:color="auto"/>
        <w:left w:val="none" w:sz="0" w:space="0" w:color="auto"/>
        <w:bottom w:val="none" w:sz="0" w:space="0" w:color="auto"/>
        <w:right w:val="none" w:sz="0" w:space="0" w:color="auto"/>
      </w:divBdr>
    </w:div>
    <w:div w:id="758253688">
      <w:bodyDiv w:val="1"/>
      <w:marLeft w:val="0"/>
      <w:marRight w:val="0"/>
      <w:marTop w:val="0"/>
      <w:marBottom w:val="0"/>
      <w:divBdr>
        <w:top w:val="none" w:sz="0" w:space="0" w:color="auto"/>
        <w:left w:val="none" w:sz="0" w:space="0" w:color="auto"/>
        <w:bottom w:val="none" w:sz="0" w:space="0" w:color="auto"/>
        <w:right w:val="none" w:sz="0" w:space="0" w:color="auto"/>
      </w:divBdr>
    </w:div>
    <w:div w:id="761217209">
      <w:bodyDiv w:val="1"/>
      <w:marLeft w:val="0"/>
      <w:marRight w:val="0"/>
      <w:marTop w:val="0"/>
      <w:marBottom w:val="0"/>
      <w:divBdr>
        <w:top w:val="none" w:sz="0" w:space="0" w:color="auto"/>
        <w:left w:val="none" w:sz="0" w:space="0" w:color="auto"/>
        <w:bottom w:val="none" w:sz="0" w:space="0" w:color="auto"/>
        <w:right w:val="none" w:sz="0" w:space="0" w:color="auto"/>
      </w:divBdr>
    </w:div>
    <w:div w:id="780993557">
      <w:bodyDiv w:val="1"/>
      <w:marLeft w:val="0"/>
      <w:marRight w:val="0"/>
      <w:marTop w:val="0"/>
      <w:marBottom w:val="0"/>
      <w:divBdr>
        <w:top w:val="none" w:sz="0" w:space="0" w:color="auto"/>
        <w:left w:val="none" w:sz="0" w:space="0" w:color="auto"/>
        <w:bottom w:val="none" w:sz="0" w:space="0" w:color="auto"/>
        <w:right w:val="none" w:sz="0" w:space="0" w:color="auto"/>
      </w:divBdr>
    </w:div>
    <w:div w:id="783965500">
      <w:bodyDiv w:val="1"/>
      <w:marLeft w:val="0"/>
      <w:marRight w:val="0"/>
      <w:marTop w:val="0"/>
      <w:marBottom w:val="0"/>
      <w:divBdr>
        <w:top w:val="none" w:sz="0" w:space="0" w:color="auto"/>
        <w:left w:val="none" w:sz="0" w:space="0" w:color="auto"/>
        <w:bottom w:val="none" w:sz="0" w:space="0" w:color="auto"/>
        <w:right w:val="none" w:sz="0" w:space="0" w:color="auto"/>
      </w:divBdr>
    </w:div>
    <w:div w:id="816410699">
      <w:bodyDiv w:val="1"/>
      <w:marLeft w:val="0"/>
      <w:marRight w:val="0"/>
      <w:marTop w:val="0"/>
      <w:marBottom w:val="0"/>
      <w:divBdr>
        <w:top w:val="none" w:sz="0" w:space="0" w:color="auto"/>
        <w:left w:val="none" w:sz="0" w:space="0" w:color="auto"/>
        <w:bottom w:val="none" w:sz="0" w:space="0" w:color="auto"/>
        <w:right w:val="none" w:sz="0" w:space="0" w:color="auto"/>
      </w:divBdr>
      <w:divsChild>
        <w:div w:id="232158434">
          <w:marLeft w:val="0"/>
          <w:marRight w:val="0"/>
          <w:marTop w:val="0"/>
          <w:marBottom w:val="0"/>
          <w:divBdr>
            <w:top w:val="none" w:sz="0" w:space="0" w:color="auto"/>
            <w:left w:val="none" w:sz="0" w:space="0" w:color="auto"/>
            <w:bottom w:val="none" w:sz="0" w:space="0" w:color="auto"/>
            <w:right w:val="none" w:sz="0" w:space="0" w:color="auto"/>
          </w:divBdr>
          <w:divsChild>
            <w:div w:id="1337803968">
              <w:marLeft w:val="0"/>
              <w:marRight w:val="0"/>
              <w:marTop w:val="0"/>
              <w:marBottom w:val="0"/>
              <w:divBdr>
                <w:top w:val="none" w:sz="0" w:space="0" w:color="auto"/>
                <w:left w:val="none" w:sz="0" w:space="0" w:color="auto"/>
                <w:bottom w:val="none" w:sz="0" w:space="0" w:color="auto"/>
                <w:right w:val="none" w:sz="0" w:space="0" w:color="auto"/>
              </w:divBdr>
              <w:divsChild>
                <w:div w:id="14115818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20007151">
      <w:bodyDiv w:val="1"/>
      <w:marLeft w:val="0"/>
      <w:marRight w:val="0"/>
      <w:marTop w:val="0"/>
      <w:marBottom w:val="0"/>
      <w:divBdr>
        <w:top w:val="none" w:sz="0" w:space="0" w:color="auto"/>
        <w:left w:val="none" w:sz="0" w:space="0" w:color="auto"/>
        <w:bottom w:val="none" w:sz="0" w:space="0" w:color="auto"/>
        <w:right w:val="none" w:sz="0" w:space="0" w:color="auto"/>
      </w:divBdr>
    </w:div>
    <w:div w:id="901673658">
      <w:bodyDiv w:val="1"/>
      <w:marLeft w:val="0"/>
      <w:marRight w:val="0"/>
      <w:marTop w:val="0"/>
      <w:marBottom w:val="0"/>
      <w:divBdr>
        <w:top w:val="none" w:sz="0" w:space="0" w:color="auto"/>
        <w:left w:val="none" w:sz="0" w:space="0" w:color="auto"/>
        <w:bottom w:val="none" w:sz="0" w:space="0" w:color="auto"/>
        <w:right w:val="none" w:sz="0" w:space="0" w:color="auto"/>
      </w:divBdr>
    </w:div>
    <w:div w:id="932467858">
      <w:bodyDiv w:val="1"/>
      <w:marLeft w:val="0"/>
      <w:marRight w:val="0"/>
      <w:marTop w:val="0"/>
      <w:marBottom w:val="0"/>
      <w:divBdr>
        <w:top w:val="none" w:sz="0" w:space="0" w:color="auto"/>
        <w:left w:val="none" w:sz="0" w:space="0" w:color="auto"/>
        <w:bottom w:val="none" w:sz="0" w:space="0" w:color="auto"/>
        <w:right w:val="none" w:sz="0" w:space="0" w:color="auto"/>
      </w:divBdr>
    </w:div>
    <w:div w:id="933126585">
      <w:bodyDiv w:val="1"/>
      <w:marLeft w:val="0"/>
      <w:marRight w:val="0"/>
      <w:marTop w:val="0"/>
      <w:marBottom w:val="0"/>
      <w:divBdr>
        <w:top w:val="none" w:sz="0" w:space="0" w:color="auto"/>
        <w:left w:val="none" w:sz="0" w:space="0" w:color="auto"/>
        <w:bottom w:val="none" w:sz="0" w:space="0" w:color="auto"/>
        <w:right w:val="none" w:sz="0" w:space="0" w:color="auto"/>
      </w:divBdr>
    </w:div>
    <w:div w:id="937715469">
      <w:bodyDiv w:val="1"/>
      <w:marLeft w:val="0"/>
      <w:marRight w:val="0"/>
      <w:marTop w:val="0"/>
      <w:marBottom w:val="0"/>
      <w:divBdr>
        <w:top w:val="none" w:sz="0" w:space="0" w:color="auto"/>
        <w:left w:val="none" w:sz="0" w:space="0" w:color="auto"/>
        <w:bottom w:val="none" w:sz="0" w:space="0" w:color="auto"/>
        <w:right w:val="none" w:sz="0" w:space="0" w:color="auto"/>
      </w:divBdr>
    </w:div>
    <w:div w:id="939676729">
      <w:bodyDiv w:val="1"/>
      <w:marLeft w:val="0"/>
      <w:marRight w:val="0"/>
      <w:marTop w:val="0"/>
      <w:marBottom w:val="0"/>
      <w:divBdr>
        <w:top w:val="none" w:sz="0" w:space="0" w:color="auto"/>
        <w:left w:val="none" w:sz="0" w:space="0" w:color="auto"/>
        <w:bottom w:val="none" w:sz="0" w:space="0" w:color="auto"/>
        <w:right w:val="none" w:sz="0" w:space="0" w:color="auto"/>
      </w:divBdr>
    </w:div>
    <w:div w:id="941376504">
      <w:bodyDiv w:val="1"/>
      <w:marLeft w:val="0"/>
      <w:marRight w:val="0"/>
      <w:marTop w:val="0"/>
      <w:marBottom w:val="0"/>
      <w:divBdr>
        <w:top w:val="none" w:sz="0" w:space="0" w:color="auto"/>
        <w:left w:val="none" w:sz="0" w:space="0" w:color="auto"/>
        <w:bottom w:val="none" w:sz="0" w:space="0" w:color="auto"/>
        <w:right w:val="none" w:sz="0" w:space="0" w:color="auto"/>
      </w:divBdr>
    </w:div>
    <w:div w:id="954755376">
      <w:bodyDiv w:val="1"/>
      <w:marLeft w:val="0"/>
      <w:marRight w:val="0"/>
      <w:marTop w:val="0"/>
      <w:marBottom w:val="0"/>
      <w:divBdr>
        <w:top w:val="none" w:sz="0" w:space="0" w:color="auto"/>
        <w:left w:val="none" w:sz="0" w:space="0" w:color="auto"/>
        <w:bottom w:val="none" w:sz="0" w:space="0" w:color="auto"/>
        <w:right w:val="none" w:sz="0" w:space="0" w:color="auto"/>
      </w:divBdr>
    </w:div>
    <w:div w:id="998535819">
      <w:bodyDiv w:val="1"/>
      <w:marLeft w:val="0"/>
      <w:marRight w:val="0"/>
      <w:marTop w:val="0"/>
      <w:marBottom w:val="0"/>
      <w:divBdr>
        <w:top w:val="none" w:sz="0" w:space="0" w:color="auto"/>
        <w:left w:val="none" w:sz="0" w:space="0" w:color="auto"/>
        <w:bottom w:val="none" w:sz="0" w:space="0" w:color="auto"/>
        <w:right w:val="none" w:sz="0" w:space="0" w:color="auto"/>
      </w:divBdr>
      <w:divsChild>
        <w:div w:id="1582371669">
          <w:marLeft w:val="0"/>
          <w:marRight w:val="0"/>
          <w:marTop w:val="120"/>
          <w:marBottom w:val="120"/>
          <w:divBdr>
            <w:top w:val="none" w:sz="0" w:space="0" w:color="auto"/>
            <w:left w:val="none" w:sz="0" w:space="0" w:color="auto"/>
            <w:bottom w:val="none" w:sz="0" w:space="0" w:color="auto"/>
            <w:right w:val="none" w:sz="0" w:space="0" w:color="auto"/>
          </w:divBdr>
          <w:divsChild>
            <w:div w:id="1431854296">
              <w:marLeft w:val="0"/>
              <w:marRight w:val="0"/>
              <w:marTop w:val="0"/>
              <w:marBottom w:val="0"/>
              <w:divBdr>
                <w:top w:val="none" w:sz="0" w:space="0" w:color="auto"/>
                <w:left w:val="none" w:sz="0" w:space="0" w:color="auto"/>
                <w:bottom w:val="none" w:sz="0" w:space="0" w:color="auto"/>
                <w:right w:val="none" w:sz="0" w:space="0" w:color="auto"/>
              </w:divBdr>
            </w:div>
          </w:divsChild>
        </w:div>
        <w:div w:id="190846579">
          <w:marLeft w:val="0"/>
          <w:marRight w:val="0"/>
          <w:marTop w:val="0"/>
          <w:marBottom w:val="120"/>
          <w:divBdr>
            <w:top w:val="none" w:sz="0" w:space="0" w:color="auto"/>
            <w:left w:val="none" w:sz="0" w:space="0" w:color="auto"/>
            <w:bottom w:val="none" w:sz="0" w:space="0" w:color="auto"/>
            <w:right w:val="none" w:sz="0" w:space="0" w:color="auto"/>
          </w:divBdr>
          <w:divsChild>
            <w:div w:id="647245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6054996">
      <w:bodyDiv w:val="1"/>
      <w:marLeft w:val="0"/>
      <w:marRight w:val="0"/>
      <w:marTop w:val="0"/>
      <w:marBottom w:val="0"/>
      <w:divBdr>
        <w:top w:val="none" w:sz="0" w:space="0" w:color="auto"/>
        <w:left w:val="none" w:sz="0" w:space="0" w:color="auto"/>
        <w:bottom w:val="none" w:sz="0" w:space="0" w:color="auto"/>
        <w:right w:val="none" w:sz="0" w:space="0" w:color="auto"/>
      </w:divBdr>
    </w:div>
    <w:div w:id="1036738959">
      <w:bodyDiv w:val="1"/>
      <w:marLeft w:val="0"/>
      <w:marRight w:val="0"/>
      <w:marTop w:val="0"/>
      <w:marBottom w:val="0"/>
      <w:divBdr>
        <w:top w:val="none" w:sz="0" w:space="0" w:color="auto"/>
        <w:left w:val="none" w:sz="0" w:space="0" w:color="auto"/>
        <w:bottom w:val="none" w:sz="0" w:space="0" w:color="auto"/>
        <w:right w:val="none" w:sz="0" w:space="0" w:color="auto"/>
      </w:divBdr>
    </w:div>
    <w:div w:id="1046875568">
      <w:bodyDiv w:val="1"/>
      <w:marLeft w:val="0"/>
      <w:marRight w:val="0"/>
      <w:marTop w:val="0"/>
      <w:marBottom w:val="0"/>
      <w:divBdr>
        <w:top w:val="none" w:sz="0" w:space="0" w:color="auto"/>
        <w:left w:val="none" w:sz="0" w:space="0" w:color="auto"/>
        <w:bottom w:val="none" w:sz="0" w:space="0" w:color="auto"/>
        <w:right w:val="none" w:sz="0" w:space="0" w:color="auto"/>
      </w:divBdr>
      <w:divsChild>
        <w:div w:id="1765883146">
          <w:marLeft w:val="0"/>
          <w:marRight w:val="0"/>
          <w:marTop w:val="0"/>
          <w:marBottom w:val="0"/>
          <w:divBdr>
            <w:top w:val="none" w:sz="0" w:space="0" w:color="auto"/>
            <w:left w:val="none" w:sz="0" w:space="0" w:color="auto"/>
            <w:bottom w:val="none" w:sz="0" w:space="0" w:color="auto"/>
            <w:right w:val="none" w:sz="0" w:space="0" w:color="auto"/>
          </w:divBdr>
          <w:divsChild>
            <w:div w:id="1214732987">
              <w:marLeft w:val="0"/>
              <w:marRight w:val="0"/>
              <w:marTop w:val="0"/>
              <w:marBottom w:val="0"/>
              <w:divBdr>
                <w:top w:val="none" w:sz="0" w:space="0" w:color="auto"/>
                <w:left w:val="none" w:sz="0" w:space="0" w:color="auto"/>
                <w:bottom w:val="none" w:sz="0" w:space="0" w:color="auto"/>
                <w:right w:val="none" w:sz="0" w:space="0" w:color="auto"/>
              </w:divBdr>
              <w:divsChild>
                <w:div w:id="589043789">
                  <w:marLeft w:val="0"/>
                  <w:marRight w:val="0"/>
                  <w:marTop w:val="0"/>
                  <w:marBottom w:val="0"/>
                  <w:divBdr>
                    <w:top w:val="none" w:sz="0" w:space="0" w:color="auto"/>
                    <w:left w:val="none" w:sz="0" w:space="0" w:color="auto"/>
                    <w:bottom w:val="none" w:sz="0" w:space="0" w:color="auto"/>
                    <w:right w:val="none" w:sz="0" w:space="0" w:color="auto"/>
                  </w:divBdr>
                  <w:divsChild>
                    <w:div w:id="7917469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60254862">
      <w:bodyDiv w:val="1"/>
      <w:marLeft w:val="0"/>
      <w:marRight w:val="0"/>
      <w:marTop w:val="0"/>
      <w:marBottom w:val="0"/>
      <w:divBdr>
        <w:top w:val="none" w:sz="0" w:space="0" w:color="auto"/>
        <w:left w:val="none" w:sz="0" w:space="0" w:color="auto"/>
        <w:bottom w:val="none" w:sz="0" w:space="0" w:color="auto"/>
        <w:right w:val="none" w:sz="0" w:space="0" w:color="auto"/>
      </w:divBdr>
    </w:div>
    <w:div w:id="1089816314">
      <w:bodyDiv w:val="1"/>
      <w:marLeft w:val="0"/>
      <w:marRight w:val="0"/>
      <w:marTop w:val="0"/>
      <w:marBottom w:val="0"/>
      <w:divBdr>
        <w:top w:val="none" w:sz="0" w:space="0" w:color="auto"/>
        <w:left w:val="none" w:sz="0" w:space="0" w:color="auto"/>
        <w:bottom w:val="none" w:sz="0" w:space="0" w:color="auto"/>
        <w:right w:val="none" w:sz="0" w:space="0" w:color="auto"/>
      </w:divBdr>
    </w:div>
    <w:div w:id="1099066427">
      <w:bodyDiv w:val="1"/>
      <w:marLeft w:val="0"/>
      <w:marRight w:val="0"/>
      <w:marTop w:val="0"/>
      <w:marBottom w:val="0"/>
      <w:divBdr>
        <w:top w:val="none" w:sz="0" w:space="0" w:color="auto"/>
        <w:left w:val="none" w:sz="0" w:space="0" w:color="auto"/>
        <w:bottom w:val="none" w:sz="0" w:space="0" w:color="auto"/>
        <w:right w:val="none" w:sz="0" w:space="0" w:color="auto"/>
      </w:divBdr>
    </w:div>
    <w:div w:id="1099907042">
      <w:bodyDiv w:val="1"/>
      <w:marLeft w:val="0"/>
      <w:marRight w:val="0"/>
      <w:marTop w:val="0"/>
      <w:marBottom w:val="0"/>
      <w:divBdr>
        <w:top w:val="none" w:sz="0" w:space="0" w:color="auto"/>
        <w:left w:val="none" w:sz="0" w:space="0" w:color="auto"/>
        <w:bottom w:val="none" w:sz="0" w:space="0" w:color="auto"/>
        <w:right w:val="none" w:sz="0" w:space="0" w:color="auto"/>
      </w:divBdr>
      <w:divsChild>
        <w:div w:id="2032756475">
          <w:marLeft w:val="0"/>
          <w:marRight w:val="0"/>
          <w:marTop w:val="0"/>
          <w:marBottom w:val="0"/>
          <w:divBdr>
            <w:top w:val="none" w:sz="0" w:space="0" w:color="auto"/>
            <w:left w:val="none" w:sz="0" w:space="0" w:color="auto"/>
            <w:bottom w:val="none" w:sz="0" w:space="0" w:color="auto"/>
            <w:right w:val="none" w:sz="0" w:space="0" w:color="auto"/>
          </w:divBdr>
          <w:divsChild>
            <w:div w:id="242109588">
              <w:marLeft w:val="0"/>
              <w:marRight w:val="0"/>
              <w:marTop w:val="0"/>
              <w:marBottom w:val="0"/>
              <w:divBdr>
                <w:top w:val="none" w:sz="0" w:space="0" w:color="auto"/>
                <w:left w:val="none" w:sz="0" w:space="0" w:color="auto"/>
                <w:bottom w:val="none" w:sz="0" w:space="0" w:color="auto"/>
                <w:right w:val="none" w:sz="0" w:space="0" w:color="auto"/>
              </w:divBdr>
              <w:divsChild>
                <w:div w:id="5516234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16750964">
      <w:bodyDiv w:val="1"/>
      <w:marLeft w:val="0"/>
      <w:marRight w:val="0"/>
      <w:marTop w:val="0"/>
      <w:marBottom w:val="0"/>
      <w:divBdr>
        <w:top w:val="none" w:sz="0" w:space="0" w:color="auto"/>
        <w:left w:val="none" w:sz="0" w:space="0" w:color="auto"/>
        <w:bottom w:val="none" w:sz="0" w:space="0" w:color="auto"/>
        <w:right w:val="none" w:sz="0" w:space="0" w:color="auto"/>
      </w:divBdr>
    </w:div>
    <w:div w:id="1129082876">
      <w:bodyDiv w:val="1"/>
      <w:marLeft w:val="0"/>
      <w:marRight w:val="0"/>
      <w:marTop w:val="0"/>
      <w:marBottom w:val="0"/>
      <w:divBdr>
        <w:top w:val="none" w:sz="0" w:space="0" w:color="auto"/>
        <w:left w:val="none" w:sz="0" w:space="0" w:color="auto"/>
        <w:bottom w:val="none" w:sz="0" w:space="0" w:color="auto"/>
        <w:right w:val="none" w:sz="0" w:space="0" w:color="auto"/>
      </w:divBdr>
    </w:div>
    <w:div w:id="1142768902">
      <w:bodyDiv w:val="1"/>
      <w:marLeft w:val="0"/>
      <w:marRight w:val="0"/>
      <w:marTop w:val="0"/>
      <w:marBottom w:val="0"/>
      <w:divBdr>
        <w:top w:val="none" w:sz="0" w:space="0" w:color="auto"/>
        <w:left w:val="none" w:sz="0" w:space="0" w:color="auto"/>
        <w:bottom w:val="none" w:sz="0" w:space="0" w:color="auto"/>
        <w:right w:val="none" w:sz="0" w:space="0" w:color="auto"/>
      </w:divBdr>
      <w:divsChild>
        <w:div w:id="206242">
          <w:marLeft w:val="0"/>
          <w:marRight w:val="0"/>
          <w:marTop w:val="0"/>
          <w:marBottom w:val="0"/>
          <w:divBdr>
            <w:top w:val="none" w:sz="0" w:space="0" w:color="auto"/>
            <w:left w:val="none" w:sz="0" w:space="0" w:color="auto"/>
            <w:bottom w:val="none" w:sz="0" w:space="0" w:color="auto"/>
            <w:right w:val="none" w:sz="0" w:space="0" w:color="auto"/>
          </w:divBdr>
          <w:divsChild>
            <w:div w:id="1143624910">
              <w:marLeft w:val="0"/>
              <w:marRight w:val="0"/>
              <w:marTop w:val="0"/>
              <w:marBottom w:val="0"/>
              <w:divBdr>
                <w:top w:val="none" w:sz="0" w:space="0" w:color="auto"/>
                <w:left w:val="none" w:sz="0" w:space="0" w:color="auto"/>
                <w:bottom w:val="none" w:sz="0" w:space="0" w:color="auto"/>
                <w:right w:val="none" w:sz="0" w:space="0" w:color="auto"/>
              </w:divBdr>
              <w:divsChild>
                <w:div w:id="267198057">
                  <w:marLeft w:val="0"/>
                  <w:marRight w:val="0"/>
                  <w:marTop w:val="0"/>
                  <w:marBottom w:val="0"/>
                  <w:divBdr>
                    <w:top w:val="none" w:sz="0" w:space="0" w:color="auto"/>
                    <w:left w:val="none" w:sz="0" w:space="0" w:color="auto"/>
                    <w:bottom w:val="none" w:sz="0" w:space="0" w:color="auto"/>
                    <w:right w:val="none" w:sz="0" w:space="0" w:color="auto"/>
                  </w:divBdr>
                  <w:divsChild>
                    <w:div w:id="14826988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3106961">
      <w:bodyDiv w:val="1"/>
      <w:marLeft w:val="0"/>
      <w:marRight w:val="0"/>
      <w:marTop w:val="0"/>
      <w:marBottom w:val="0"/>
      <w:divBdr>
        <w:top w:val="none" w:sz="0" w:space="0" w:color="auto"/>
        <w:left w:val="none" w:sz="0" w:space="0" w:color="auto"/>
        <w:bottom w:val="none" w:sz="0" w:space="0" w:color="auto"/>
        <w:right w:val="none" w:sz="0" w:space="0" w:color="auto"/>
      </w:divBdr>
    </w:div>
    <w:div w:id="1170565204">
      <w:bodyDiv w:val="1"/>
      <w:marLeft w:val="0"/>
      <w:marRight w:val="0"/>
      <w:marTop w:val="0"/>
      <w:marBottom w:val="0"/>
      <w:divBdr>
        <w:top w:val="none" w:sz="0" w:space="0" w:color="auto"/>
        <w:left w:val="none" w:sz="0" w:space="0" w:color="auto"/>
        <w:bottom w:val="none" w:sz="0" w:space="0" w:color="auto"/>
        <w:right w:val="none" w:sz="0" w:space="0" w:color="auto"/>
      </w:divBdr>
    </w:div>
    <w:div w:id="1205874501">
      <w:bodyDiv w:val="1"/>
      <w:marLeft w:val="0"/>
      <w:marRight w:val="0"/>
      <w:marTop w:val="0"/>
      <w:marBottom w:val="0"/>
      <w:divBdr>
        <w:top w:val="none" w:sz="0" w:space="0" w:color="auto"/>
        <w:left w:val="none" w:sz="0" w:space="0" w:color="auto"/>
        <w:bottom w:val="none" w:sz="0" w:space="0" w:color="auto"/>
        <w:right w:val="none" w:sz="0" w:space="0" w:color="auto"/>
      </w:divBdr>
    </w:div>
    <w:div w:id="1261793452">
      <w:bodyDiv w:val="1"/>
      <w:marLeft w:val="0"/>
      <w:marRight w:val="0"/>
      <w:marTop w:val="0"/>
      <w:marBottom w:val="0"/>
      <w:divBdr>
        <w:top w:val="none" w:sz="0" w:space="0" w:color="auto"/>
        <w:left w:val="none" w:sz="0" w:space="0" w:color="auto"/>
        <w:bottom w:val="none" w:sz="0" w:space="0" w:color="auto"/>
        <w:right w:val="none" w:sz="0" w:space="0" w:color="auto"/>
      </w:divBdr>
    </w:div>
    <w:div w:id="1267542854">
      <w:bodyDiv w:val="1"/>
      <w:marLeft w:val="0"/>
      <w:marRight w:val="0"/>
      <w:marTop w:val="0"/>
      <w:marBottom w:val="0"/>
      <w:divBdr>
        <w:top w:val="none" w:sz="0" w:space="0" w:color="auto"/>
        <w:left w:val="none" w:sz="0" w:space="0" w:color="auto"/>
        <w:bottom w:val="none" w:sz="0" w:space="0" w:color="auto"/>
        <w:right w:val="none" w:sz="0" w:space="0" w:color="auto"/>
      </w:divBdr>
    </w:div>
    <w:div w:id="1279216317">
      <w:bodyDiv w:val="1"/>
      <w:marLeft w:val="0"/>
      <w:marRight w:val="0"/>
      <w:marTop w:val="0"/>
      <w:marBottom w:val="0"/>
      <w:divBdr>
        <w:top w:val="none" w:sz="0" w:space="0" w:color="auto"/>
        <w:left w:val="none" w:sz="0" w:space="0" w:color="auto"/>
        <w:bottom w:val="none" w:sz="0" w:space="0" w:color="auto"/>
        <w:right w:val="none" w:sz="0" w:space="0" w:color="auto"/>
      </w:divBdr>
      <w:divsChild>
        <w:div w:id="2591251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284966155">
      <w:bodyDiv w:val="1"/>
      <w:marLeft w:val="0"/>
      <w:marRight w:val="0"/>
      <w:marTop w:val="0"/>
      <w:marBottom w:val="0"/>
      <w:divBdr>
        <w:top w:val="none" w:sz="0" w:space="0" w:color="auto"/>
        <w:left w:val="none" w:sz="0" w:space="0" w:color="auto"/>
        <w:bottom w:val="none" w:sz="0" w:space="0" w:color="auto"/>
        <w:right w:val="none" w:sz="0" w:space="0" w:color="auto"/>
      </w:divBdr>
    </w:div>
    <w:div w:id="1286958942">
      <w:bodyDiv w:val="1"/>
      <w:marLeft w:val="0"/>
      <w:marRight w:val="0"/>
      <w:marTop w:val="0"/>
      <w:marBottom w:val="0"/>
      <w:divBdr>
        <w:top w:val="none" w:sz="0" w:space="0" w:color="auto"/>
        <w:left w:val="none" w:sz="0" w:space="0" w:color="auto"/>
        <w:bottom w:val="none" w:sz="0" w:space="0" w:color="auto"/>
        <w:right w:val="none" w:sz="0" w:space="0" w:color="auto"/>
      </w:divBdr>
    </w:div>
    <w:div w:id="1290744797">
      <w:bodyDiv w:val="1"/>
      <w:marLeft w:val="0"/>
      <w:marRight w:val="0"/>
      <w:marTop w:val="0"/>
      <w:marBottom w:val="0"/>
      <w:divBdr>
        <w:top w:val="none" w:sz="0" w:space="0" w:color="auto"/>
        <w:left w:val="none" w:sz="0" w:space="0" w:color="auto"/>
        <w:bottom w:val="none" w:sz="0" w:space="0" w:color="auto"/>
        <w:right w:val="none" w:sz="0" w:space="0" w:color="auto"/>
      </w:divBdr>
    </w:div>
    <w:div w:id="1316910807">
      <w:bodyDiv w:val="1"/>
      <w:marLeft w:val="0"/>
      <w:marRight w:val="0"/>
      <w:marTop w:val="0"/>
      <w:marBottom w:val="0"/>
      <w:divBdr>
        <w:top w:val="none" w:sz="0" w:space="0" w:color="auto"/>
        <w:left w:val="none" w:sz="0" w:space="0" w:color="auto"/>
        <w:bottom w:val="none" w:sz="0" w:space="0" w:color="auto"/>
        <w:right w:val="none" w:sz="0" w:space="0" w:color="auto"/>
      </w:divBdr>
    </w:div>
    <w:div w:id="1341734028">
      <w:bodyDiv w:val="1"/>
      <w:marLeft w:val="0"/>
      <w:marRight w:val="0"/>
      <w:marTop w:val="0"/>
      <w:marBottom w:val="0"/>
      <w:divBdr>
        <w:top w:val="none" w:sz="0" w:space="0" w:color="auto"/>
        <w:left w:val="none" w:sz="0" w:space="0" w:color="auto"/>
        <w:bottom w:val="none" w:sz="0" w:space="0" w:color="auto"/>
        <w:right w:val="none" w:sz="0" w:space="0" w:color="auto"/>
      </w:divBdr>
    </w:div>
    <w:div w:id="1358236228">
      <w:bodyDiv w:val="1"/>
      <w:marLeft w:val="0"/>
      <w:marRight w:val="0"/>
      <w:marTop w:val="0"/>
      <w:marBottom w:val="0"/>
      <w:divBdr>
        <w:top w:val="none" w:sz="0" w:space="0" w:color="auto"/>
        <w:left w:val="none" w:sz="0" w:space="0" w:color="auto"/>
        <w:bottom w:val="none" w:sz="0" w:space="0" w:color="auto"/>
        <w:right w:val="none" w:sz="0" w:space="0" w:color="auto"/>
      </w:divBdr>
    </w:div>
    <w:div w:id="1386833543">
      <w:bodyDiv w:val="1"/>
      <w:marLeft w:val="0"/>
      <w:marRight w:val="0"/>
      <w:marTop w:val="0"/>
      <w:marBottom w:val="0"/>
      <w:divBdr>
        <w:top w:val="none" w:sz="0" w:space="0" w:color="auto"/>
        <w:left w:val="none" w:sz="0" w:space="0" w:color="auto"/>
        <w:bottom w:val="none" w:sz="0" w:space="0" w:color="auto"/>
        <w:right w:val="none" w:sz="0" w:space="0" w:color="auto"/>
      </w:divBdr>
    </w:div>
    <w:div w:id="1432697115">
      <w:bodyDiv w:val="1"/>
      <w:marLeft w:val="0"/>
      <w:marRight w:val="0"/>
      <w:marTop w:val="0"/>
      <w:marBottom w:val="0"/>
      <w:divBdr>
        <w:top w:val="none" w:sz="0" w:space="0" w:color="auto"/>
        <w:left w:val="none" w:sz="0" w:space="0" w:color="auto"/>
        <w:bottom w:val="none" w:sz="0" w:space="0" w:color="auto"/>
        <w:right w:val="none" w:sz="0" w:space="0" w:color="auto"/>
      </w:divBdr>
    </w:div>
    <w:div w:id="1460761140">
      <w:bodyDiv w:val="1"/>
      <w:marLeft w:val="0"/>
      <w:marRight w:val="0"/>
      <w:marTop w:val="0"/>
      <w:marBottom w:val="0"/>
      <w:divBdr>
        <w:top w:val="none" w:sz="0" w:space="0" w:color="auto"/>
        <w:left w:val="none" w:sz="0" w:space="0" w:color="auto"/>
        <w:bottom w:val="none" w:sz="0" w:space="0" w:color="auto"/>
        <w:right w:val="none" w:sz="0" w:space="0" w:color="auto"/>
      </w:divBdr>
    </w:div>
    <w:div w:id="1502820155">
      <w:bodyDiv w:val="1"/>
      <w:marLeft w:val="0"/>
      <w:marRight w:val="0"/>
      <w:marTop w:val="0"/>
      <w:marBottom w:val="0"/>
      <w:divBdr>
        <w:top w:val="none" w:sz="0" w:space="0" w:color="auto"/>
        <w:left w:val="none" w:sz="0" w:space="0" w:color="auto"/>
        <w:bottom w:val="none" w:sz="0" w:space="0" w:color="auto"/>
        <w:right w:val="none" w:sz="0" w:space="0" w:color="auto"/>
      </w:divBdr>
      <w:divsChild>
        <w:div w:id="1332176088">
          <w:marLeft w:val="0"/>
          <w:marRight w:val="0"/>
          <w:marTop w:val="0"/>
          <w:marBottom w:val="0"/>
          <w:divBdr>
            <w:top w:val="none" w:sz="0" w:space="0" w:color="auto"/>
            <w:left w:val="none" w:sz="0" w:space="0" w:color="auto"/>
            <w:bottom w:val="none" w:sz="0" w:space="0" w:color="auto"/>
            <w:right w:val="none" w:sz="0" w:space="0" w:color="auto"/>
          </w:divBdr>
          <w:divsChild>
            <w:div w:id="2085176547">
              <w:marLeft w:val="0"/>
              <w:marRight w:val="0"/>
              <w:marTop w:val="0"/>
              <w:marBottom w:val="0"/>
              <w:divBdr>
                <w:top w:val="none" w:sz="0" w:space="0" w:color="auto"/>
                <w:left w:val="none" w:sz="0" w:space="0" w:color="auto"/>
                <w:bottom w:val="none" w:sz="0" w:space="0" w:color="auto"/>
                <w:right w:val="none" w:sz="0" w:space="0" w:color="auto"/>
              </w:divBdr>
              <w:divsChild>
                <w:div w:id="13598122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5509482">
      <w:bodyDiv w:val="1"/>
      <w:marLeft w:val="0"/>
      <w:marRight w:val="0"/>
      <w:marTop w:val="0"/>
      <w:marBottom w:val="0"/>
      <w:divBdr>
        <w:top w:val="none" w:sz="0" w:space="0" w:color="auto"/>
        <w:left w:val="none" w:sz="0" w:space="0" w:color="auto"/>
        <w:bottom w:val="none" w:sz="0" w:space="0" w:color="auto"/>
        <w:right w:val="none" w:sz="0" w:space="0" w:color="auto"/>
      </w:divBdr>
    </w:div>
    <w:div w:id="1510022868">
      <w:bodyDiv w:val="1"/>
      <w:marLeft w:val="0"/>
      <w:marRight w:val="0"/>
      <w:marTop w:val="0"/>
      <w:marBottom w:val="0"/>
      <w:divBdr>
        <w:top w:val="none" w:sz="0" w:space="0" w:color="auto"/>
        <w:left w:val="none" w:sz="0" w:space="0" w:color="auto"/>
        <w:bottom w:val="none" w:sz="0" w:space="0" w:color="auto"/>
        <w:right w:val="none" w:sz="0" w:space="0" w:color="auto"/>
      </w:divBdr>
    </w:div>
    <w:div w:id="1513495103">
      <w:bodyDiv w:val="1"/>
      <w:marLeft w:val="0"/>
      <w:marRight w:val="0"/>
      <w:marTop w:val="0"/>
      <w:marBottom w:val="0"/>
      <w:divBdr>
        <w:top w:val="none" w:sz="0" w:space="0" w:color="auto"/>
        <w:left w:val="none" w:sz="0" w:space="0" w:color="auto"/>
        <w:bottom w:val="none" w:sz="0" w:space="0" w:color="auto"/>
        <w:right w:val="none" w:sz="0" w:space="0" w:color="auto"/>
      </w:divBdr>
      <w:divsChild>
        <w:div w:id="651714656">
          <w:marLeft w:val="0"/>
          <w:marRight w:val="0"/>
          <w:marTop w:val="0"/>
          <w:marBottom w:val="0"/>
          <w:divBdr>
            <w:top w:val="none" w:sz="0" w:space="0" w:color="auto"/>
            <w:left w:val="none" w:sz="0" w:space="0" w:color="auto"/>
            <w:bottom w:val="none" w:sz="0" w:space="0" w:color="auto"/>
            <w:right w:val="none" w:sz="0" w:space="0" w:color="auto"/>
          </w:divBdr>
          <w:divsChild>
            <w:div w:id="691537461">
              <w:marLeft w:val="0"/>
              <w:marRight w:val="0"/>
              <w:marTop w:val="0"/>
              <w:marBottom w:val="0"/>
              <w:divBdr>
                <w:top w:val="none" w:sz="0" w:space="0" w:color="auto"/>
                <w:left w:val="none" w:sz="0" w:space="0" w:color="auto"/>
                <w:bottom w:val="none" w:sz="0" w:space="0" w:color="auto"/>
                <w:right w:val="none" w:sz="0" w:space="0" w:color="auto"/>
              </w:divBdr>
              <w:divsChild>
                <w:div w:id="5153147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19078415">
      <w:bodyDiv w:val="1"/>
      <w:marLeft w:val="0"/>
      <w:marRight w:val="0"/>
      <w:marTop w:val="0"/>
      <w:marBottom w:val="0"/>
      <w:divBdr>
        <w:top w:val="none" w:sz="0" w:space="0" w:color="auto"/>
        <w:left w:val="none" w:sz="0" w:space="0" w:color="auto"/>
        <w:bottom w:val="none" w:sz="0" w:space="0" w:color="auto"/>
        <w:right w:val="none" w:sz="0" w:space="0" w:color="auto"/>
      </w:divBdr>
    </w:div>
    <w:div w:id="1519924469">
      <w:bodyDiv w:val="1"/>
      <w:marLeft w:val="0"/>
      <w:marRight w:val="0"/>
      <w:marTop w:val="0"/>
      <w:marBottom w:val="0"/>
      <w:divBdr>
        <w:top w:val="none" w:sz="0" w:space="0" w:color="auto"/>
        <w:left w:val="none" w:sz="0" w:space="0" w:color="auto"/>
        <w:bottom w:val="none" w:sz="0" w:space="0" w:color="auto"/>
        <w:right w:val="none" w:sz="0" w:space="0" w:color="auto"/>
      </w:divBdr>
    </w:div>
    <w:div w:id="1522891932">
      <w:bodyDiv w:val="1"/>
      <w:marLeft w:val="0"/>
      <w:marRight w:val="0"/>
      <w:marTop w:val="0"/>
      <w:marBottom w:val="0"/>
      <w:divBdr>
        <w:top w:val="none" w:sz="0" w:space="0" w:color="auto"/>
        <w:left w:val="none" w:sz="0" w:space="0" w:color="auto"/>
        <w:bottom w:val="none" w:sz="0" w:space="0" w:color="auto"/>
        <w:right w:val="none" w:sz="0" w:space="0" w:color="auto"/>
      </w:divBdr>
    </w:div>
    <w:div w:id="1553615896">
      <w:bodyDiv w:val="1"/>
      <w:marLeft w:val="0"/>
      <w:marRight w:val="0"/>
      <w:marTop w:val="0"/>
      <w:marBottom w:val="0"/>
      <w:divBdr>
        <w:top w:val="none" w:sz="0" w:space="0" w:color="auto"/>
        <w:left w:val="none" w:sz="0" w:space="0" w:color="auto"/>
        <w:bottom w:val="none" w:sz="0" w:space="0" w:color="auto"/>
        <w:right w:val="none" w:sz="0" w:space="0" w:color="auto"/>
      </w:divBdr>
    </w:div>
    <w:div w:id="1563558216">
      <w:bodyDiv w:val="1"/>
      <w:marLeft w:val="0"/>
      <w:marRight w:val="0"/>
      <w:marTop w:val="0"/>
      <w:marBottom w:val="0"/>
      <w:divBdr>
        <w:top w:val="none" w:sz="0" w:space="0" w:color="auto"/>
        <w:left w:val="none" w:sz="0" w:space="0" w:color="auto"/>
        <w:bottom w:val="none" w:sz="0" w:space="0" w:color="auto"/>
        <w:right w:val="none" w:sz="0" w:space="0" w:color="auto"/>
      </w:divBdr>
    </w:div>
    <w:div w:id="1567372477">
      <w:bodyDiv w:val="1"/>
      <w:marLeft w:val="0"/>
      <w:marRight w:val="0"/>
      <w:marTop w:val="0"/>
      <w:marBottom w:val="0"/>
      <w:divBdr>
        <w:top w:val="none" w:sz="0" w:space="0" w:color="auto"/>
        <w:left w:val="none" w:sz="0" w:space="0" w:color="auto"/>
        <w:bottom w:val="none" w:sz="0" w:space="0" w:color="auto"/>
        <w:right w:val="none" w:sz="0" w:space="0" w:color="auto"/>
      </w:divBdr>
    </w:div>
    <w:div w:id="1594165652">
      <w:bodyDiv w:val="1"/>
      <w:marLeft w:val="0"/>
      <w:marRight w:val="0"/>
      <w:marTop w:val="0"/>
      <w:marBottom w:val="0"/>
      <w:divBdr>
        <w:top w:val="none" w:sz="0" w:space="0" w:color="auto"/>
        <w:left w:val="none" w:sz="0" w:space="0" w:color="auto"/>
        <w:bottom w:val="none" w:sz="0" w:space="0" w:color="auto"/>
        <w:right w:val="none" w:sz="0" w:space="0" w:color="auto"/>
      </w:divBdr>
    </w:div>
    <w:div w:id="1609851624">
      <w:bodyDiv w:val="1"/>
      <w:marLeft w:val="0"/>
      <w:marRight w:val="0"/>
      <w:marTop w:val="0"/>
      <w:marBottom w:val="0"/>
      <w:divBdr>
        <w:top w:val="none" w:sz="0" w:space="0" w:color="auto"/>
        <w:left w:val="none" w:sz="0" w:space="0" w:color="auto"/>
        <w:bottom w:val="none" w:sz="0" w:space="0" w:color="auto"/>
        <w:right w:val="none" w:sz="0" w:space="0" w:color="auto"/>
      </w:divBdr>
    </w:div>
    <w:div w:id="1611543459">
      <w:bodyDiv w:val="1"/>
      <w:marLeft w:val="0"/>
      <w:marRight w:val="0"/>
      <w:marTop w:val="0"/>
      <w:marBottom w:val="0"/>
      <w:divBdr>
        <w:top w:val="none" w:sz="0" w:space="0" w:color="auto"/>
        <w:left w:val="none" w:sz="0" w:space="0" w:color="auto"/>
        <w:bottom w:val="none" w:sz="0" w:space="0" w:color="auto"/>
        <w:right w:val="none" w:sz="0" w:space="0" w:color="auto"/>
      </w:divBdr>
    </w:div>
    <w:div w:id="1617979677">
      <w:bodyDiv w:val="1"/>
      <w:marLeft w:val="0"/>
      <w:marRight w:val="0"/>
      <w:marTop w:val="0"/>
      <w:marBottom w:val="0"/>
      <w:divBdr>
        <w:top w:val="none" w:sz="0" w:space="0" w:color="auto"/>
        <w:left w:val="none" w:sz="0" w:space="0" w:color="auto"/>
        <w:bottom w:val="none" w:sz="0" w:space="0" w:color="auto"/>
        <w:right w:val="none" w:sz="0" w:space="0" w:color="auto"/>
      </w:divBdr>
      <w:divsChild>
        <w:div w:id="1186483161">
          <w:marLeft w:val="0"/>
          <w:marRight w:val="0"/>
          <w:marTop w:val="0"/>
          <w:marBottom w:val="0"/>
          <w:divBdr>
            <w:top w:val="none" w:sz="0" w:space="0" w:color="auto"/>
            <w:left w:val="none" w:sz="0" w:space="0" w:color="auto"/>
            <w:bottom w:val="none" w:sz="0" w:space="0" w:color="auto"/>
            <w:right w:val="none" w:sz="0" w:space="0" w:color="auto"/>
          </w:divBdr>
          <w:divsChild>
            <w:div w:id="1722049108">
              <w:marLeft w:val="0"/>
              <w:marRight w:val="0"/>
              <w:marTop w:val="0"/>
              <w:marBottom w:val="0"/>
              <w:divBdr>
                <w:top w:val="none" w:sz="0" w:space="0" w:color="auto"/>
                <w:left w:val="none" w:sz="0" w:space="0" w:color="auto"/>
                <w:bottom w:val="none" w:sz="0" w:space="0" w:color="auto"/>
                <w:right w:val="none" w:sz="0" w:space="0" w:color="auto"/>
              </w:divBdr>
              <w:divsChild>
                <w:div w:id="1396734033">
                  <w:marLeft w:val="0"/>
                  <w:marRight w:val="0"/>
                  <w:marTop w:val="0"/>
                  <w:marBottom w:val="0"/>
                  <w:divBdr>
                    <w:top w:val="none" w:sz="0" w:space="0" w:color="auto"/>
                    <w:left w:val="none" w:sz="0" w:space="0" w:color="auto"/>
                    <w:bottom w:val="none" w:sz="0" w:space="0" w:color="auto"/>
                    <w:right w:val="none" w:sz="0" w:space="0" w:color="auto"/>
                  </w:divBdr>
                  <w:divsChild>
                    <w:div w:id="1297569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63971608">
      <w:bodyDiv w:val="1"/>
      <w:marLeft w:val="0"/>
      <w:marRight w:val="0"/>
      <w:marTop w:val="0"/>
      <w:marBottom w:val="0"/>
      <w:divBdr>
        <w:top w:val="none" w:sz="0" w:space="0" w:color="auto"/>
        <w:left w:val="none" w:sz="0" w:space="0" w:color="auto"/>
        <w:bottom w:val="none" w:sz="0" w:space="0" w:color="auto"/>
        <w:right w:val="none" w:sz="0" w:space="0" w:color="auto"/>
      </w:divBdr>
    </w:div>
    <w:div w:id="1682732533">
      <w:bodyDiv w:val="1"/>
      <w:marLeft w:val="0"/>
      <w:marRight w:val="0"/>
      <w:marTop w:val="0"/>
      <w:marBottom w:val="0"/>
      <w:divBdr>
        <w:top w:val="none" w:sz="0" w:space="0" w:color="auto"/>
        <w:left w:val="none" w:sz="0" w:space="0" w:color="auto"/>
        <w:bottom w:val="none" w:sz="0" w:space="0" w:color="auto"/>
        <w:right w:val="none" w:sz="0" w:space="0" w:color="auto"/>
      </w:divBdr>
    </w:div>
    <w:div w:id="1699315397">
      <w:bodyDiv w:val="1"/>
      <w:marLeft w:val="0"/>
      <w:marRight w:val="0"/>
      <w:marTop w:val="0"/>
      <w:marBottom w:val="0"/>
      <w:divBdr>
        <w:top w:val="none" w:sz="0" w:space="0" w:color="auto"/>
        <w:left w:val="none" w:sz="0" w:space="0" w:color="auto"/>
        <w:bottom w:val="none" w:sz="0" w:space="0" w:color="auto"/>
        <w:right w:val="none" w:sz="0" w:space="0" w:color="auto"/>
      </w:divBdr>
    </w:div>
    <w:div w:id="1701280684">
      <w:bodyDiv w:val="1"/>
      <w:marLeft w:val="0"/>
      <w:marRight w:val="0"/>
      <w:marTop w:val="0"/>
      <w:marBottom w:val="0"/>
      <w:divBdr>
        <w:top w:val="none" w:sz="0" w:space="0" w:color="auto"/>
        <w:left w:val="none" w:sz="0" w:space="0" w:color="auto"/>
        <w:bottom w:val="none" w:sz="0" w:space="0" w:color="auto"/>
        <w:right w:val="none" w:sz="0" w:space="0" w:color="auto"/>
      </w:divBdr>
    </w:div>
    <w:div w:id="1724064044">
      <w:bodyDiv w:val="1"/>
      <w:marLeft w:val="0"/>
      <w:marRight w:val="0"/>
      <w:marTop w:val="0"/>
      <w:marBottom w:val="0"/>
      <w:divBdr>
        <w:top w:val="none" w:sz="0" w:space="0" w:color="auto"/>
        <w:left w:val="none" w:sz="0" w:space="0" w:color="auto"/>
        <w:bottom w:val="none" w:sz="0" w:space="0" w:color="auto"/>
        <w:right w:val="none" w:sz="0" w:space="0" w:color="auto"/>
      </w:divBdr>
    </w:div>
    <w:div w:id="1724600835">
      <w:bodyDiv w:val="1"/>
      <w:marLeft w:val="0"/>
      <w:marRight w:val="0"/>
      <w:marTop w:val="0"/>
      <w:marBottom w:val="0"/>
      <w:divBdr>
        <w:top w:val="none" w:sz="0" w:space="0" w:color="auto"/>
        <w:left w:val="none" w:sz="0" w:space="0" w:color="auto"/>
        <w:bottom w:val="none" w:sz="0" w:space="0" w:color="auto"/>
        <w:right w:val="none" w:sz="0" w:space="0" w:color="auto"/>
      </w:divBdr>
    </w:div>
    <w:div w:id="1744134616">
      <w:bodyDiv w:val="1"/>
      <w:marLeft w:val="0"/>
      <w:marRight w:val="0"/>
      <w:marTop w:val="0"/>
      <w:marBottom w:val="0"/>
      <w:divBdr>
        <w:top w:val="none" w:sz="0" w:space="0" w:color="auto"/>
        <w:left w:val="none" w:sz="0" w:space="0" w:color="auto"/>
        <w:bottom w:val="none" w:sz="0" w:space="0" w:color="auto"/>
        <w:right w:val="none" w:sz="0" w:space="0" w:color="auto"/>
      </w:divBdr>
    </w:div>
    <w:div w:id="1744721494">
      <w:bodyDiv w:val="1"/>
      <w:marLeft w:val="0"/>
      <w:marRight w:val="0"/>
      <w:marTop w:val="0"/>
      <w:marBottom w:val="0"/>
      <w:divBdr>
        <w:top w:val="none" w:sz="0" w:space="0" w:color="auto"/>
        <w:left w:val="none" w:sz="0" w:space="0" w:color="auto"/>
        <w:bottom w:val="none" w:sz="0" w:space="0" w:color="auto"/>
        <w:right w:val="none" w:sz="0" w:space="0" w:color="auto"/>
      </w:divBdr>
    </w:div>
    <w:div w:id="1757818829">
      <w:bodyDiv w:val="1"/>
      <w:marLeft w:val="0"/>
      <w:marRight w:val="0"/>
      <w:marTop w:val="0"/>
      <w:marBottom w:val="0"/>
      <w:divBdr>
        <w:top w:val="none" w:sz="0" w:space="0" w:color="auto"/>
        <w:left w:val="none" w:sz="0" w:space="0" w:color="auto"/>
        <w:bottom w:val="none" w:sz="0" w:space="0" w:color="auto"/>
        <w:right w:val="none" w:sz="0" w:space="0" w:color="auto"/>
      </w:divBdr>
    </w:div>
    <w:div w:id="1831631735">
      <w:bodyDiv w:val="1"/>
      <w:marLeft w:val="0"/>
      <w:marRight w:val="0"/>
      <w:marTop w:val="0"/>
      <w:marBottom w:val="0"/>
      <w:divBdr>
        <w:top w:val="none" w:sz="0" w:space="0" w:color="auto"/>
        <w:left w:val="none" w:sz="0" w:space="0" w:color="auto"/>
        <w:bottom w:val="none" w:sz="0" w:space="0" w:color="auto"/>
        <w:right w:val="none" w:sz="0" w:space="0" w:color="auto"/>
      </w:divBdr>
    </w:div>
    <w:div w:id="1869488785">
      <w:bodyDiv w:val="1"/>
      <w:marLeft w:val="0"/>
      <w:marRight w:val="0"/>
      <w:marTop w:val="0"/>
      <w:marBottom w:val="0"/>
      <w:divBdr>
        <w:top w:val="none" w:sz="0" w:space="0" w:color="auto"/>
        <w:left w:val="none" w:sz="0" w:space="0" w:color="auto"/>
        <w:bottom w:val="none" w:sz="0" w:space="0" w:color="auto"/>
        <w:right w:val="none" w:sz="0" w:space="0" w:color="auto"/>
      </w:divBdr>
    </w:div>
    <w:div w:id="1882009544">
      <w:bodyDiv w:val="1"/>
      <w:marLeft w:val="0"/>
      <w:marRight w:val="0"/>
      <w:marTop w:val="0"/>
      <w:marBottom w:val="0"/>
      <w:divBdr>
        <w:top w:val="none" w:sz="0" w:space="0" w:color="auto"/>
        <w:left w:val="none" w:sz="0" w:space="0" w:color="auto"/>
        <w:bottom w:val="none" w:sz="0" w:space="0" w:color="auto"/>
        <w:right w:val="none" w:sz="0" w:space="0" w:color="auto"/>
      </w:divBdr>
    </w:div>
    <w:div w:id="1889685721">
      <w:bodyDiv w:val="1"/>
      <w:marLeft w:val="0"/>
      <w:marRight w:val="0"/>
      <w:marTop w:val="0"/>
      <w:marBottom w:val="0"/>
      <w:divBdr>
        <w:top w:val="none" w:sz="0" w:space="0" w:color="auto"/>
        <w:left w:val="none" w:sz="0" w:space="0" w:color="auto"/>
        <w:bottom w:val="none" w:sz="0" w:space="0" w:color="auto"/>
        <w:right w:val="none" w:sz="0" w:space="0" w:color="auto"/>
      </w:divBdr>
    </w:div>
    <w:div w:id="1954940571">
      <w:bodyDiv w:val="1"/>
      <w:marLeft w:val="0"/>
      <w:marRight w:val="0"/>
      <w:marTop w:val="0"/>
      <w:marBottom w:val="0"/>
      <w:divBdr>
        <w:top w:val="none" w:sz="0" w:space="0" w:color="auto"/>
        <w:left w:val="none" w:sz="0" w:space="0" w:color="auto"/>
        <w:bottom w:val="none" w:sz="0" w:space="0" w:color="auto"/>
        <w:right w:val="none" w:sz="0" w:space="0" w:color="auto"/>
      </w:divBdr>
    </w:div>
    <w:div w:id="2016108594">
      <w:bodyDiv w:val="1"/>
      <w:marLeft w:val="0"/>
      <w:marRight w:val="0"/>
      <w:marTop w:val="0"/>
      <w:marBottom w:val="0"/>
      <w:divBdr>
        <w:top w:val="none" w:sz="0" w:space="0" w:color="auto"/>
        <w:left w:val="none" w:sz="0" w:space="0" w:color="auto"/>
        <w:bottom w:val="none" w:sz="0" w:space="0" w:color="auto"/>
        <w:right w:val="none" w:sz="0" w:space="0" w:color="auto"/>
      </w:divBdr>
    </w:div>
    <w:div w:id="2041316034">
      <w:bodyDiv w:val="1"/>
      <w:marLeft w:val="0"/>
      <w:marRight w:val="0"/>
      <w:marTop w:val="0"/>
      <w:marBottom w:val="0"/>
      <w:divBdr>
        <w:top w:val="none" w:sz="0" w:space="0" w:color="auto"/>
        <w:left w:val="none" w:sz="0" w:space="0" w:color="auto"/>
        <w:bottom w:val="none" w:sz="0" w:space="0" w:color="auto"/>
        <w:right w:val="none" w:sz="0" w:space="0" w:color="auto"/>
      </w:divBdr>
    </w:div>
    <w:div w:id="2082019158">
      <w:bodyDiv w:val="1"/>
      <w:marLeft w:val="0"/>
      <w:marRight w:val="0"/>
      <w:marTop w:val="0"/>
      <w:marBottom w:val="0"/>
      <w:divBdr>
        <w:top w:val="none" w:sz="0" w:space="0" w:color="auto"/>
        <w:left w:val="none" w:sz="0" w:space="0" w:color="auto"/>
        <w:bottom w:val="none" w:sz="0" w:space="0" w:color="auto"/>
        <w:right w:val="none" w:sz="0" w:space="0" w:color="auto"/>
      </w:divBdr>
    </w:div>
    <w:div w:id="2094011783">
      <w:bodyDiv w:val="1"/>
      <w:marLeft w:val="0"/>
      <w:marRight w:val="0"/>
      <w:marTop w:val="0"/>
      <w:marBottom w:val="0"/>
      <w:divBdr>
        <w:top w:val="none" w:sz="0" w:space="0" w:color="auto"/>
        <w:left w:val="none" w:sz="0" w:space="0" w:color="auto"/>
        <w:bottom w:val="none" w:sz="0" w:space="0" w:color="auto"/>
        <w:right w:val="none" w:sz="0" w:space="0" w:color="auto"/>
      </w:divBdr>
    </w:div>
    <w:div w:id="2097166973">
      <w:bodyDiv w:val="1"/>
      <w:marLeft w:val="0"/>
      <w:marRight w:val="0"/>
      <w:marTop w:val="0"/>
      <w:marBottom w:val="0"/>
      <w:divBdr>
        <w:top w:val="none" w:sz="0" w:space="0" w:color="auto"/>
        <w:left w:val="none" w:sz="0" w:space="0" w:color="auto"/>
        <w:bottom w:val="none" w:sz="0" w:space="0" w:color="auto"/>
        <w:right w:val="none" w:sz="0" w:space="0" w:color="auto"/>
      </w:divBdr>
      <w:divsChild>
        <w:div w:id="1772432827">
          <w:marLeft w:val="0"/>
          <w:marRight w:val="0"/>
          <w:marTop w:val="0"/>
          <w:marBottom w:val="0"/>
          <w:divBdr>
            <w:top w:val="none" w:sz="0" w:space="0" w:color="auto"/>
            <w:left w:val="none" w:sz="0" w:space="0" w:color="auto"/>
            <w:bottom w:val="none" w:sz="0" w:space="0" w:color="auto"/>
            <w:right w:val="none" w:sz="0" w:space="0" w:color="auto"/>
          </w:divBdr>
          <w:divsChild>
            <w:div w:id="835607488">
              <w:marLeft w:val="0"/>
              <w:marRight w:val="0"/>
              <w:marTop w:val="0"/>
              <w:marBottom w:val="0"/>
              <w:divBdr>
                <w:top w:val="none" w:sz="0" w:space="0" w:color="auto"/>
                <w:left w:val="none" w:sz="0" w:space="0" w:color="auto"/>
                <w:bottom w:val="none" w:sz="0" w:space="0" w:color="auto"/>
                <w:right w:val="none" w:sz="0" w:space="0" w:color="auto"/>
              </w:divBdr>
              <w:divsChild>
                <w:div w:id="9163284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0373238">
      <w:bodyDiv w:val="1"/>
      <w:marLeft w:val="0"/>
      <w:marRight w:val="0"/>
      <w:marTop w:val="0"/>
      <w:marBottom w:val="0"/>
      <w:divBdr>
        <w:top w:val="none" w:sz="0" w:space="0" w:color="auto"/>
        <w:left w:val="none" w:sz="0" w:space="0" w:color="auto"/>
        <w:bottom w:val="none" w:sz="0" w:space="0" w:color="auto"/>
        <w:right w:val="none" w:sz="0" w:space="0" w:color="auto"/>
      </w:divBdr>
    </w:div>
    <w:div w:id="2111855061">
      <w:bodyDiv w:val="1"/>
      <w:marLeft w:val="0"/>
      <w:marRight w:val="0"/>
      <w:marTop w:val="0"/>
      <w:marBottom w:val="0"/>
      <w:divBdr>
        <w:top w:val="none" w:sz="0" w:space="0" w:color="auto"/>
        <w:left w:val="none" w:sz="0" w:space="0" w:color="auto"/>
        <w:bottom w:val="none" w:sz="0" w:space="0" w:color="auto"/>
        <w:right w:val="none" w:sz="0" w:space="0" w:color="auto"/>
      </w:divBdr>
    </w:div>
    <w:div w:id="2134707431">
      <w:bodyDiv w:val="1"/>
      <w:marLeft w:val="0"/>
      <w:marRight w:val="0"/>
      <w:marTop w:val="0"/>
      <w:marBottom w:val="0"/>
      <w:divBdr>
        <w:top w:val="none" w:sz="0" w:space="0" w:color="auto"/>
        <w:left w:val="none" w:sz="0" w:space="0" w:color="auto"/>
        <w:bottom w:val="none" w:sz="0" w:space="0" w:color="auto"/>
        <w:right w:val="none" w:sz="0" w:space="0" w:color="auto"/>
      </w:divBdr>
    </w:div>
    <w:div w:id="21436906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png"/><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4.png"/></Relationships>
</file>

<file path=word/_rels/footnotes.xml.rels><?xml version="1.0" encoding="UTF-8" standalone="yes"?>
<Relationships xmlns="http://schemas.openxmlformats.org/package/2006/relationships"><Relationship Id="rId2" Type="http://schemas.openxmlformats.org/officeDocument/2006/relationships/hyperlink" Target="https://unidad-administrativa-especial-de-salud-de-arauca.micolombiadigital.gov.co/sites/unidad-administrativa-especial-de-salud-de-arauca/content/files/000043/2105_decreto-no-333-de-2005-por-medio-del-cual-se-crea-la-uaesa.pdf" TargetMode="External"/><Relationship Id="rId1" Type="http://schemas.openxmlformats.org/officeDocument/2006/relationships/hyperlink" Target="https://www.funcionpublica.gov.co/eva/gestornormativo/norma.php?i=18232"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ximena.cabezas\AppData\Local\Microsoft\Windows\INetCache\Content.Outlook\N37DCYCK\Respuesta%20a%20consultas.dotm" TargetMode="External"/></Relationships>
</file>

<file path=word/theme/theme1.xml><?xml version="1.0" encoding="utf-8"?>
<a:theme xmlns:a="http://schemas.openxmlformats.org/drawingml/2006/main" name="Tema de Office">
  <a:themeElements>
    <a:clrScheme name="Personalizado 2">
      <a:dk1>
        <a:sysClr val="windowText" lastClr="000000"/>
      </a:dk1>
      <a:lt1>
        <a:srgbClr val="DBDBDB"/>
      </a:lt1>
      <a:dk2>
        <a:srgbClr val="0E63A8"/>
      </a:dk2>
      <a:lt2>
        <a:srgbClr val="F2F2F2"/>
      </a:lt2>
      <a:accent1>
        <a:srgbClr val="4F81BD"/>
      </a:accent1>
      <a:accent2>
        <a:srgbClr val="FFFFFF"/>
      </a:accent2>
      <a:accent3>
        <a:srgbClr val="DBDBDB"/>
      </a:accent3>
      <a:accent4>
        <a:srgbClr val="F2F2F2"/>
      </a:accent4>
      <a:accent5>
        <a:srgbClr val="F2F2F2"/>
      </a:accent5>
      <a:accent6>
        <a:srgbClr val="F2F2F2"/>
      </a:accent6>
      <a:hlink>
        <a:srgbClr val="F2F2F2"/>
      </a:hlink>
      <a:folHlink>
        <a:srgbClr val="F2F2F2"/>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13" ma:contentTypeDescription="Crear nuevo documento." ma:contentTypeScope="" ma:versionID="5ce307a3737c73d7fc56b8c56af85e28">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23b5beffdcd85b5c8f742a4950b070b"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No xmlns="9d85dbaf-23eb-4e57-a637-93dcacc8b1a1" xsi:nil="true"/>
  </documentManagement>
</p:properties>
</file>

<file path=customXml/itemProps1.xml><?xml version="1.0" encoding="utf-8"?>
<ds:datastoreItem xmlns:ds="http://schemas.openxmlformats.org/officeDocument/2006/customXml" ds:itemID="{108AACCB-338D-4E1C-91B3-8763C3BB18FA}">
  <ds:schemaRefs>
    <ds:schemaRef ds:uri="http://schemas.microsoft.com/sharepoint/v3/contenttype/forms"/>
  </ds:schemaRefs>
</ds:datastoreItem>
</file>

<file path=customXml/itemProps2.xml><?xml version="1.0" encoding="utf-8"?>
<ds:datastoreItem xmlns:ds="http://schemas.openxmlformats.org/officeDocument/2006/customXml" ds:itemID="{AAF0AFB6-3159-40A6-84C9-AF29F4D53222}">
  <ds:schemaRefs>
    <ds:schemaRef ds:uri="http://schemas.openxmlformats.org/officeDocument/2006/bibliography"/>
  </ds:schemaRefs>
</ds:datastoreItem>
</file>

<file path=customXml/itemProps3.xml><?xml version="1.0" encoding="utf-8"?>
<ds:datastoreItem xmlns:ds="http://schemas.openxmlformats.org/officeDocument/2006/customXml" ds:itemID="{129D3626-F99A-40D3-B9BA-AF94C7B223B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E4D51A68-FED2-4540-A566-D7B47EE01F53}">
  <ds:schemaRefs>
    <ds:schemaRef ds:uri="http://schemas.microsoft.com/office/2006/metadata/properties"/>
    <ds:schemaRef ds:uri="http://schemas.microsoft.com/office/infopath/2007/PartnerControls"/>
    <ds:schemaRef ds:uri="9d85dbaf-23eb-4e57-a637-93dcacc8b1a1"/>
  </ds:schemaRefs>
</ds:datastoreItem>
</file>

<file path=docProps/app.xml><?xml version="1.0" encoding="utf-8"?>
<Properties xmlns="http://schemas.openxmlformats.org/officeDocument/2006/extended-properties" xmlns:vt="http://schemas.openxmlformats.org/officeDocument/2006/docPropsVTypes">
  <Template>Respuesta a consultas</Template>
  <TotalTime>3</TotalTime>
  <Pages>21</Pages>
  <Words>7324</Words>
  <Characters>40286</Characters>
  <Application>Microsoft Office Word</Application>
  <DocSecurity>0</DocSecurity>
  <Lines>335</Lines>
  <Paragraphs>95</Paragraphs>
  <ScaleCrop>false</ScaleCrop>
  <HeadingPairs>
    <vt:vector size="2" baseType="variant">
      <vt:variant>
        <vt:lpstr>Título</vt:lpstr>
      </vt:variant>
      <vt:variant>
        <vt:i4>1</vt:i4>
      </vt:variant>
    </vt:vector>
  </HeadingPairs>
  <TitlesOfParts>
    <vt:vector size="1" baseType="lpstr">
      <vt:lpstr>RESPUESTA DIRECCIÓN CONTRACTUAL</vt:lpstr>
    </vt:vector>
  </TitlesOfParts>
  <Company/>
  <LinksUpToDate>false</LinksUpToDate>
  <CharactersWithSpaces>47515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RESPUESTA DIRECCIÓN CONTRACTUAL</dc:title>
  <dc:creator>Ximena Alejandra Cabezas Valencia</dc:creator>
  <cp:lastModifiedBy>Edwin Johan Chocontá Quintero</cp:lastModifiedBy>
  <cp:revision>2</cp:revision>
  <cp:lastPrinted>2020-01-30T15:05:00Z</cp:lastPrinted>
  <dcterms:created xsi:type="dcterms:W3CDTF">2022-05-25T16:41:00Z</dcterms:created>
  <dcterms:modified xsi:type="dcterms:W3CDTF">2022-05-25T16:41:00Z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ies>
</file>