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26BB0" w14:textId="77777777" w:rsidR="009F0A44" w:rsidRPr="00BC2EF4" w:rsidRDefault="003C7067" w:rsidP="009F0A44">
      <w:pPr>
        <w:jc w:val="right"/>
        <w:rPr>
          <w:rFonts w:ascii="Arial" w:hAnsi="Arial" w:cs="Arial"/>
          <w:b/>
          <w:sz w:val="16"/>
          <w:szCs w:val="16"/>
          <w:lang w:val="es-ES" w:eastAsia="es-ES"/>
        </w:rPr>
      </w:pPr>
      <w:r w:rsidRPr="00BC2EF4">
        <w:rPr>
          <w:rFonts w:ascii="Arial" w:hAnsi="Arial" w:cs="Arial"/>
          <w:b/>
          <w:sz w:val="16"/>
          <w:szCs w:val="16"/>
          <w:lang w:val="es-ES" w:eastAsia="es-ES"/>
        </w:rPr>
        <w:t>CCE-DES-FM-17</w:t>
      </w:r>
    </w:p>
    <w:p w14:paraId="36E91C65" w14:textId="5BA4536D" w:rsidR="00385A96" w:rsidRPr="00BC2EF4" w:rsidRDefault="00385A96" w:rsidP="00385A96">
      <w:pPr>
        <w:tabs>
          <w:tab w:val="left" w:pos="0"/>
        </w:tabs>
        <w:jc w:val="both"/>
        <w:rPr>
          <w:rFonts w:ascii="Arial" w:eastAsia="Calibri" w:hAnsi="Arial" w:cs="Arial"/>
          <w:bCs/>
          <w:color w:val="000000" w:themeColor="text1"/>
          <w:sz w:val="20"/>
          <w:szCs w:val="20"/>
          <w:lang w:val="es-ES"/>
        </w:rPr>
      </w:pPr>
    </w:p>
    <w:p w14:paraId="1AAF183F" w14:textId="77777777" w:rsidR="005338C2" w:rsidRPr="00BC2EF4" w:rsidRDefault="005338C2" w:rsidP="00EA6399">
      <w:pPr>
        <w:jc w:val="both"/>
        <w:rPr>
          <w:rFonts w:ascii="Arial" w:eastAsia="Calibri" w:hAnsi="Arial" w:cs="Arial"/>
          <w:b/>
          <w:bCs/>
          <w:color w:val="000000" w:themeColor="text1"/>
          <w:sz w:val="20"/>
          <w:szCs w:val="20"/>
          <w:lang w:val="es-ES_tradnl"/>
        </w:rPr>
      </w:pPr>
    </w:p>
    <w:p w14:paraId="2EEA862E" w14:textId="17D327EB" w:rsidR="00EA6399" w:rsidRPr="00BC2EF4" w:rsidRDefault="00EA6399" w:rsidP="00EA6399">
      <w:pPr>
        <w:jc w:val="both"/>
        <w:rPr>
          <w:rFonts w:ascii="Arial" w:eastAsia="Calibri" w:hAnsi="Arial" w:cs="Arial"/>
          <w:b/>
          <w:bCs/>
          <w:color w:val="000000" w:themeColor="text1"/>
          <w:sz w:val="20"/>
          <w:szCs w:val="20"/>
          <w:lang w:val="es-ES_tradnl"/>
        </w:rPr>
      </w:pPr>
      <w:r w:rsidRPr="00BC2EF4">
        <w:rPr>
          <w:rFonts w:ascii="Arial" w:eastAsia="Calibri" w:hAnsi="Arial" w:cs="Arial"/>
          <w:b/>
          <w:bCs/>
          <w:color w:val="000000" w:themeColor="text1"/>
          <w:sz w:val="20"/>
          <w:szCs w:val="20"/>
          <w:lang w:val="es-ES_tradnl"/>
        </w:rPr>
        <w:t xml:space="preserve">TRATO NACIONAL </w:t>
      </w:r>
      <w:r w:rsidRPr="00BC2EF4">
        <w:rPr>
          <w:rFonts w:ascii="Arial" w:eastAsia="Arial" w:hAnsi="Arial" w:cs="Arial"/>
          <w:b/>
          <w:bCs/>
          <w:sz w:val="20"/>
          <w:szCs w:val="20"/>
          <w:lang w:val="es-ES_tradnl"/>
        </w:rPr>
        <w:t>–</w:t>
      </w:r>
      <w:r w:rsidRPr="00BC2EF4">
        <w:rPr>
          <w:rFonts w:ascii="Arial" w:eastAsia="Calibri" w:hAnsi="Arial" w:cs="Arial"/>
          <w:b/>
          <w:bCs/>
          <w:color w:val="000000" w:themeColor="text1"/>
          <w:sz w:val="20"/>
          <w:szCs w:val="20"/>
          <w:lang w:val="es-ES_tradnl"/>
        </w:rPr>
        <w:t xml:space="preserve"> Concepto </w:t>
      </w:r>
      <w:r w:rsidRPr="00BC2EF4">
        <w:rPr>
          <w:rFonts w:ascii="Arial" w:eastAsia="Arial" w:hAnsi="Arial" w:cs="Arial"/>
          <w:b/>
          <w:bCs/>
          <w:sz w:val="20"/>
          <w:szCs w:val="20"/>
          <w:lang w:val="es-ES_tradnl"/>
        </w:rPr>
        <w:t>–</w:t>
      </w:r>
      <w:r w:rsidRPr="00BC2EF4">
        <w:rPr>
          <w:rFonts w:ascii="Arial" w:eastAsia="Calibri" w:hAnsi="Arial" w:cs="Arial"/>
          <w:b/>
          <w:bCs/>
          <w:color w:val="000000" w:themeColor="text1"/>
          <w:sz w:val="20"/>
          <w:szCs w:val="20"/>
          <w:lang w:val="es-ES_tradnl"/>
        </w:rPr>
        <w:t xml:space="preserve"> Contratación pública </w:t>
      </w:r>
      <w:r w:rsidRPr="00BC2EF4">
        <w:rPr>
          <w:rFonts w:ascii="Arial" w:eastAsia="Arial" w:hAnsi="Arial" w:cs="Arial"/>
          <w:b/>
          <w:bCs/>
          <w:sz w:val="20"/>
          <w:szCs w:val="20"/>
          <w:lang w:val="es-ES_tradnl"/>
        </w:rPr>
        <w:t>–</w:t>
      </w:r>
      <w:r w:rsidRPr="00BC2EF4">
        <w:rPr>
          <w:rFonts w:ascii="Arial" w:eastAsia="Calibri" w:hAnsi="Arial" w:cs="Arial"/>
          <w:b/>
          <w:bCs/>
          <w:color w:val="000000" w:themeColor="text1"/>
          <w:sz w:val="20"/>
          <w:szCs w:val="20"/>
          <w:lang w:val="es-ES_tradnl"/>
        </w:rPr>
        <w:t xml:space="preserve"> Principio de reciprocidad</w:t>
      </w:r>
    </w:p>
    <w:p w14:paraId="762A6B0C" w14:textId="77777777" w:rsidR="00EA6399" w:rsidRPr="00BC2EF4" w:rsidRDefault="00EA6399" w:rsidP="00EA6399">
      <w:pPr>
        <w:rPr>
          <w:rFonts w:ascii="Arial" w:eastAsia="Calibri" w:hAnsi="Arial" w:cs="Arial"/>
          <w:b/>
          <w:bCs/>
          <w:color w:val="000000" w:themeColor="text1"/>
          <w:sz w:val="20"/>
          <w:szCs w:val="20"/>
          <w:lang w:val="es-ES_tradnl"/>
        </w:rPr>
      </w:pPr>
    </w:p>
    <w:p w14:paraId="5459B17B" w14:textId="77777777" w:rsidR="00EA6399" w:rsidRPr="00BC2EF4" w:rsidRDefault="00EA6399" w:rsidP="00EA6399">
      <w:pPr>
        <w:spacing w:after="120"/>
        <w:jc w:val="both"/>
        <w:rPr>
          <w:rFonts w:ascii="Arial" w:eastAsia="Calibri" w:hAnsi="Arial" w:cs="Arial"/>
          <w:color w:val="000000" w:themeColor="text1"/>
          <w:sz w:val="20"/>
          <w:szCs w:val="20"/>
          <w:lang w:val="es-ES_tradnl"/>
        </w:rPr>
      </w:pPr>
      <w:r w:rsidRPr="00BC2EF4">
        <w:rPr>
          <w:rFonts w:ascii="Arial" w:eastAsia="Calibri" w:hAnsi="Arial" w:cs="Arial"/>
          <w:color w:val="000000" w:themeColor="text1"/>
          <w:sz w:val="20"/>
          <w:szCs w:val="20"/>
          <w:lang w:val="es-ES_tradnl"/>
        </w:rPr>
        <w:t>El artículo 20 de la Ley 80 de 1993 consagra el principio de reciprocidad en la contratación estatal, entendido como el compromiso asumido por el Estado de brindar a los oferentes de bienes y servicios de origen extranjero un trato semejante al que les conceden a los colombianos en otros Estados con los cuales se ha celebrado acuerdo o tratado comercial, cuando, en ausencia de tratado, se certifica dicha reciprocidad, o en virtud de procesos de integración regional.</w:t>
      </w:r>
    </w:p>
    <w:p w14:paraId="524C89C8" w14:textId="705CF134" w:rsidR="00EA6399" w:rsidRPr="00BC2EF4" w:rsidRDefault="00EA6399" w:rsidP="00EA6399">
      <w:pPr>
        <w:spacing w:after="120"/>
        <w:jc w:val="both"/>
        <w:rPr>
          <w:rFonts w:ascii="Arial" w:eastAsia="Calibri" w:hAnsi="Arial" w:cs="Arial"/>
          <w:color w:val="000000" w:themeColor="text1"/>
          <w:sz w:val="20"/>
          <w:szCs w:val="20"/>
          <w:lang w:val="es-ES_tradnl"/>
        </w:rPr>
      </w:pPr>
      <w:r w:rsidRPr="00BC2EF4">
        <w:rPr>
          <w:rFonts w:ascii="Arial" w:eastAsia="Calibri" w:hAnsi="Arial" w:cs="Arial"/>
          <w:color w:val="000000" w:themeColor="text1"/>
          <w:sz w:val="20"/>
          <w:szCs w:val="20"/>
          <w:lang w:val="es-ES_tradnl"/>
        </w:rPr>
        <w:t xml:space="preserve">En otras palabras, el trato nacional consiste en la consideración especial en la asignación de puntaje, que se tiene sobre los oferentes, bienes y servicios colombianos, en los procedimientos de selección, pero que, en virtud del principio de reciprocidad, se extiende a los oferentes, bienes o servicios extranjeros. Este privilegio puede provenir de alguna de tres fuentes: i) un tratado o acuerdo comercial en el que se haya negociado dicho trato nacional, </w:t>
      </w:r>
      <w:proofErr w:type="spellStart"/>
      <w:r w:rsidRPr="00BC2EF4">
        <w:rPr>
          <w:rFonts w:ascii="Arial" w:eastAsia="Calibri" w:hAnsi="Arial" w:cs="Arial"/>
          <w:color w:val="000000" w:themeColor="text1"/>
          <w:sz w:val="20"/>
          <w:szCs w:val="20"/>
          <w:lang w:val="es-ES_tradnl"/>
        </w:rPr>
        <w:t>ii</w:t>
      </w:r>
      <w:proofErr w:type="spellEnd"/>
      <w:r w:rsidRPr="00BC2EF4">
        <w:rPr>
          <w:rFonts w:ascii="Arial" w:eastAsia="Calibri" w:hAnsi="Arial" w:cs="Arial"/>
          <w:color w:val="000000" w:themeColor="text1"/>
          <w:sz w:val="20"/>
          <w:szCs w:val="20"/>
          <w:lang w:val="es-ES_tradnl"/>
        </w:rPr>
        <w:t xml:space="preserve">) un certificado de reciprocidad expedido por el Ministerio de Relaciones Exteriores –ante la ausencia de un tratado o acuerdo comercial– o </w:t>
      </w:r>
      <w:proofErr w:type="spellStart"/>
      <w:r w:rsidRPr="00BC2EF4">
        <w:rPr>
          <w:rFonts w:ascii="Arial" w:eastAsia="Calibri" w:hAnsi="Arial" w:cs="Arial"/>
          <w:color w:val="000000" w:themeColor="text1"/>
          <w:sz w:val="20"/>
          <w:szCs w:val="20"/>
          <w:lang w:val="es-ES_tradnl"/>
        </w:rPr>
        <w:t>iii</w:t>
      </w:r>
      <w:proofErr w:type="spellEnd"/>
      <w:r w:rsidRPr="00BC2EF4">
        <w:rPr>
          <w:rFonts w:ascii="Arial" w:eastAsia="Calibri" w:hAnsi="Arial" w:cs="Arial"/>
          <w:color w:val="000000" w:themeColor="text1"/>
          <w:sz w:val="20"/>
          <w:szCs w:val="20"/>
          <w:lang w:val="es-ES_tradnl"/>
        </w:rPr>
        <w:t>) la regulación andina. Las tres fuentes se reconocen no solo en el precitado artículo 20 de la Ley 80 de 1993, sino en el artículo 2.2.1.2.4.1.3. del Decreto 1082 de 2015.</w:t>
      </w:r>
    </w:p>
    <w:p w14:paraId="0364C291" w14:textId="77777777" w:rsidR="00EA6399" w:rsidRPr="00BC2EF4" w:rsidRDefault="00EA6399" w:rsidP="00EA6399">
      <w:pPr>
        <w:jc w:val="both"/>
        <w:rPr>
          <w:rFonts w:ascii="Arial" w:eastAsia="Calibri" w:hAnsi="Arial" w:cs="Arial"/>
          <w:color w:val="000000" w:themeColor="text1"/>
          <w:sz w:val="20"/>
          <w:szCs w:val="20"/>
          <w:lang w:val="es-ES_tradnl"/>
        </w:rPr>
      </w:pPr>
    </w:p>
    <w:p w14:paraId="191ACB8D" w14:textId="431C08B8" w:rsidR="00452C65" w:rsidRPr="00607635" w:rsidRDefault="00B31F6C" w:rsidP="00B31F6C">
      <w:pPr>
        <w:tabs>
          <w:tab w:val="left" w:pos="0"/>
        </w:tabs>
        <w:jc w:val="both"/>
        <w:rPr>
          <w:rFonts w:ascii="Arial" w:eastAsia="Calibri" w:hAnsi="Arial" w:cs="Arial"/>
          <w:b/>
          <w:sz w:val="22"/>
          <w:szCs w:val="22"/>
          <w:lang w:val="es-ES"/>
        </w:rPr>
      </w:pPr>
      <w:r w:rsidRPr="00607635">
        <w:rPr>
          <w:rFonts w:ascii="Arial" w:eastAsia="Calibri" w:hAnsi="Arial" w:cs="Arial"/>
          <w:b/>
          <w:sz w:val="22"/>
          <w:szCs w:val="22"/>
          <w:lang w:val="es-ES"/>
        </w:rPr>
        <w:t xml:space="preserve">BIENES NACIONALES RELEVANTES – Determinación – Criterios – Artículo </w:t>
      </w:r>
      <w:r w:rsidRPr="00607635">
        <w:rPr>
          <w:rFonts w:ascii="Arial" w:hAnsi="Arial" w:cs="Arial"/>
          <w:b/>
          <w:sz w:val="22"/>
          <w:szCs w:val="22"/>
        </w:rPr>
        <w:t>2.2.1.2.4.2.9. – Decreto 1082 de 2015 – Decreto 680 de 2021</w:t>
      </w:r>
    </w:p>
    <w:p w14:paraId="04CECD8B" w14:textId="77777777" w:rsidR="00B31F6C" w:rsidRPr="00607635" w:rsidRDefault="00B31F6C" w:rsidP="00607635">
      <w:pPr>
        <w:spacing w:after="120"/>
        <w:jc w:val="both"/>
        <w:rPr>
          <w:rFonts w:ascii="Arial" w:eastAsia="Calibri" w:hAnsi="Arial" w:cs="Arial"/>
          <w:color w:val="000000" w:themeColor="text1"/>
          <w:sz w:val="20"/>
          <w:szCs w:val="20"/>
          <w:lang w:val="es-ES_tradnl"/>
        </w:rPr>
      </w:pPr>
      <w:r w:rsidRPr="00607635">
        <w:rPr>
          <w:rFonts w:ascii="Arial" w:eastAsia="Calibri" w:hAnsi="Arial" w:cs="Arial"/>
          <w:color w:val="000000" w:themeColor="text1"/>
          <w:sz w:val="20"/>
          <w:szCs w:val="20"/>
          <w:lang w:val="es-ES_tradnl"/>
        </w:rPr>
        <w:t xml:space="preserve">Conforme a la explicación precedente, para determinar uno o varios bienes nacionales relevantes la entidad estatal debe aplicar los criterios establecidos en el artículo 2.2.1.2.4.2.9. del Decreto 1082 de 2015 adicionado por el Decreto 680 de 2021, a saber: i) «el análisis del sector económico y de los oferentes, y, toda aquella información adicional con la que cuente la entidad estatal en la etapa de planeación del Proceso de Contratación», </w:t>
      </w:r>
      <w:proofErr w:type="spellStart"/>
      <w:r w:rsidRPr="00607635">
        <w:rPr>
          <w:rFonts w:ascii="Arial" w:eastAsia="Calibri" w:hAnsi="Arial" w:cs="Arial"/>
          <w:color w:val="000000" w:themeColor="text1"/>
          <w:sz w:val="20"/>
          <w:szCs w:val="20"/>
          <w:lang w:val="es-ES_tradnl"/>
        </w:rPr>
        <w:t>ii</w:t>
      </w:r>
      <w:proofErr w:type="spellEnd"/>
      <w:r w:rsidRPr="00607635">
        <w:rPr>
          <w:rFonts w:ascii="Arial" w:eastAsia="Calibri" w:hAnsi="Arial" w:cs="Arial"/>
          <w:color w:val="000000" w:themeColor="text1"/>
          <w:sz w:val="20"/>
          <w:szCs w:val="20"/>
          <w:lang w:val="es-ES_tradnl"/>
        </w:rPr>
        <w:t xml:space="preserve">) el porcentaje de participación de los bienes en el presupuesto del Proceso de Contratación y </w:t>
      </w:r>
      <w:proofErr w:type="spellStart"/>
      <w:r w:rsidRPr="00607635">
        <w:rPr>
          <w:rFonts w:ascii="Arial" w:eastAsia="Calibri" w:hAnsi="Arial" w:cs="Arial"/>
          <w:color w:val="000000" w:themeColor="text1"/>
          <w:sz w:val="20"/>
          <w:szCs w:val="20"/>
          <w:lang w:val="es-ES_tradnl"/>
        </w:rPr>
        <w:t>iii</w:t>
      </w:r>
      <w:proofErr w:type="spellEnd"/>
      <w:r w:rsidRPr="00607635">
        <w:rPr>
          <w:rFonts w:ascii="Arial" w:eastAsia="Calibri" w:hAnsi="Arial" w:cs="Arial"/>
          <w:color w:val="000000" w:themeColor="text1"/>
          <w:sz w:val="20"/>
          <w:szCs w:val="20"/>
          <w:lang w:val="es-ES_tradnl"/>
        </w:rPr>
        <w:t xml:space="preserve">) la existencia de los bienes en el Registro de Productores de Bienes Nacionales, en los términos del Decreto 2680 de 2009. Además de estos tres criterios, la entidad estatal deberá aplicar los parámetros contenidos en la Matriz 4 – Bienes nacionales relevantes para la obra pública del sector transporte, en la que se desarrolla una metodología para identificar los bienes nacionales relevantes para la ejecución del objeto a contratar. </w:t>
      </w:r>
    </w:p>
    <w:p w14:paraId="401FAA8D" w14:textId="6424E101" w:rsidR="00607635" w:rsidRDefault="00607635" w:rsidP="00607635">
      <w:pPr>
        <w:widowControl w:val="0"/>
        <w:autoSpaceDE w:val="0"/>
        <w:autoSpaceDN w:val="0"/>
        <w:spacing w:after="120" w:line="276" w:lineRule="auto"/>
        <w:jc w:val="both"/>
        <w:rPr>
          <w:rFonts w:ascii="Arial" w:eastAsia="Calibri" w:hAnsi="Arial" w:cs="Arial"/>
          <w:bCs/>
          <w:color w:val="000000" w:themeColor="text1"/>
          <w:sz w:val="22"/>
          <w:szCs w:val="22"/>
          <w:lang w:val="es-ES_tradnl"/>
        </w:rPr>
      </w:pPr>
    </w:p>
    <w:p w14:paraId="133B4724" w14:textId="5A66F6DA" w:rsidR="00607635" w:rsidRPr="00607635" w:rsidRDefault="00607635" w:rsidP="00607635">
      <w:pPr>
        <w:widowControl w:val="0"/>
        <w:autoSpaceDE w:val="0"/>
        <w:autoSpaceDN w:val="0"/>
        <w:spacing w:after="120" w:line="276" w:lineRule="auto"/>
        <w:jc w:val="both"/>
        <w:rPr>
          <w:rFonts w:ascii="Arial" w:eastAsia="Calibri" w:hAnsi="Arial" w:cs="Arial"/>
          <w:b/>
          <w:color w:val="000000" w:themeColor="text1"/>
          <w:sz w:val="22"/>
          <w:szCs w:val="22"/>
          <w:lang w:val="es-ES_tradnl"/>
        </w:rPr>
      </w:pPr>
      <w:r>
        <w:rPr>
          <w:rFonts w:ascii="Arial" w:eastAsia="Calibri" w:hAnsi="Arial" w:cs="Arial"/>
          <w:b/>
          <w:color w:val="000000" w:themeColor="text1"/>
          <w:sz w:val="22"/>
          <w:szCs w:val="22"/>
          <w:lang w:val="es-ES_tradnl"/>
        </w:rPr>
        <w:t xml:space="preserve">BIENES NACIONALES RELEVANTES – Documentos tipo – Infraestructura de transporte – Matriz 4 – Metodología – Aplicativo </w:t>
      </w:r>
    </w:p>
    <w:p w14:paraId="6182DEF2" w14:textId="77777777" w:rsidR="00607635" w:rsidRPr="00607635" w:rsidRDefault="00B31F6C" w:rsidP="00607635">
      <w:pPr>
        <w:widowControl w:val="0"/>
        <w:autoSpaceDE w:val="0"/>
        <w:autoSpaceDN w:val="0"/>
        <w:spacing w:after="120" w:line="276" w:lineRule="auto"/>
        <w:jc w:val="both"/>
        <w:rPr>
          <w:rFonts w:ascii="Arial" w:eastAsia="Calibri" w:hAnsi="Arial" w:cs="Arial"/>
          <w:bCs/>
          <w:color w:val="000000" w:themeColor="text1"/>
          <w:sz w:val="20"/>
          <w:szCs w:val="20"/>
          <w:lang w:val="es-ES_tradnl"/>
        </w:rPr>
      </w:pPr>
      <w:r w:rsidRPr="00607635">
        <w:rPr>
          <w:rFonts w:ascii="Arial" w:eastAsia="Calibri" w:hAnsi="Arial" w:cs="Arial"/>
          <w:bCs/>
          <w:color w:val="000000" w:themeColor="text1"/>
          <w:sz w:val="20"/>
          <w:szCs w:val="20"/>
          <w:lang w:val="es-ES_tradnl"/>
        </w:rPr>
        <w:t xml:space="preserve">Aplicando la metodología prevista en la Matriz 4 las entidades estatales obligadas a observar los documentos tipo deben definir los bienes nacionales que resultan relevantes para el cumplimiento del objeto contractual, que, en cumplimiento de lo dispuesto en el Decreto 680 de 2021, son relevantes para considerar un servicio como nacional y, por tanto, para determinar la aplicabilidad del puntaje por apoyo a la industria nacional regulado por el artículo 2 de la Ley 816 de 2003. </w:t>
      </w:r>
    </w:p>
    <w:p w14:paraId="59278AD9" w14:textId="46F2891C" w:rsidR="00B31F6C" w:rsidRPr="00607635" w:rsidRDefault="00B31F6C" w:rsidP="00607635">
      <w:pPr>
        <w:widowControl w:val="0"/>
        <w:autoSpaceDE w:val="0"/>
        <w:autoSpaceDN w:val="0"/>
        <w:spacing w:after="120" w:line="276" w:lineRule="auto"/>
        <w:jc w:val="both"/>
        <w:rPr>
          <w:rFonts w:ascii="Arial" w:eastAsia="Calibri" w:hAnsi="Arial" w:cs="Arial"/>
          <w:bCs/>
          <w:color w:val="000000" w:themeColor="text1"/>
          <w:sz w:val="20"/>
          <w:szCs w:val="20"/>
          <w:lang w:val="es-ES_tradnl"/>
        </w:rPr>
      </w:pPr>
      <w:r w:rsidRPr="00607635">
        <w:rPr>
          <w:rFonts w:ascii="Arial" w:eastAsia="Calibri" w:hAnsi="Arial" w:cs="Arial"/>
          <w:bCs/>
          <w:color w:val="000000" w:themeColor="text1"/>
          <w:sz w:val="20"/>
          <w:szCs w:val="20"/>
          <w:lang w:val="es-ES_tradnl"/>
        </w:rPr>
        <w:t xml:space="preserve">Para facilitar la aplicación del Decreto 680 de 2021, la Agencia Nacional de Contratación Pública – Colombia Compra Eficiente puso a disposición de los partícipes del sistema de compras y contratación pública el «Aplicativo de Consulta de Bien Nacional Relevante», el cual se encuentra en la página web </w:t>
      </w:r>
      <w:hyperlink r:id="rId11" w:history="1">
        <w:r w:rsidRPr="00607635">
          <w:rPr>
            <w:rStyle w:val="Hipervnculo"/>
            <w:rFonts w:ascii="Arial" w:eastAsia="Calibri" w:hAnsi="Arial" w:cs="Arial"/>
            <w:bCs/>
            <w:sz w:val="20"/>
            <w:szCs w:val="20"/>
            <w:lang w:val="es-ES_tradnl"/>
          </w:rPr>
          <w:t>https://bienesrelevantes.colombiacompra.gov.co/upload</w:t>
        </w:r>
      </w:hyperlink>
      <w:r w:rsidRPr="00607635">
        <w:rPr>
          <w:rFonts w:ascii="Arial" w:eastAsia="Calibri" w:hAnsi="Arial" w:cs="Arial"/>
          <w:bCs/>
          <w:color w:val="000000" w:themeColor="text1"/>
          <w:sz w:val="20"/>
          <w:szCs w:val="20"/>
          <w:lang w:val="es-ES_tradnl"/>
        </w:rPr>
        <w:t xml:space="preserve">. Es necesario tener en cuenta que </w:t>
      </w:r>
      <w:r w:rsidRPr="00607635">
        <w:rPr>
          <w:rFonts w:ascii="Arial" w:eastAsia="Calibri" w:hAnsi="Arial" w:cs="Arial"/>
          <w:color w:val="000000" w:themeColor="text1"/>
          <w:sz w:val="20"/>
          <w:szCs w:val="20"/>
        </w:rPr>
        <w:t xml:space="preserve">el uso de esta herramienta es de carácter facultativo, no obligatorio. Esta plataforma es un criterio orientador en la materia, el cual sirve de insumo para individualizar posteriormente los </w:t>
      </w:r>
      <w:r w:rsidRPr="00607635">
        <w:rPr>
          <w:rFonts w:ascii="Arial" w:eastAsia="Calibri" w:hAnsi="Arial" w:cs="Arial"/>
          <w:color w:val="000000" w:themeColor="text1"/>
          <w:sz w:val="20"/>
          <w:szCs w:val="20"/>
        </w:rPr>
        <w:lastRenderedPageBreak/>
        <w:t>bienes que se encuentran el Registro de Productores de Bienes Nacionales. Por tanto, su utilización no exime a las Entidades Estatales de cumplir con las reglas del artículo 2.2.1.2.4.2.9 del Decreto 1082 de 2015 ni de la metodología prevista en los Documentos Tipo para los Procesos de Contratación regidos por la Ley 2022 de 2020</w:t>
      </w:r>
      <w:r w:rsidRPr="00607635">
        <w:rPr>
          <w:rFonts w:ascii="Arial" w:eastAsia="Calibri" w:hAnsi="Arial" w:cs="Arial"/>
          <w:bCs/>
          <w:color w:val="000000" w:themeColor="text1"/>
          <w:sz w:val="20"/>
          <w:szCs w:val="20"/>
          <w:lang w:val="es-ES_tradnl"/>
        </w:rPr>
        <w:t>.</w:t>
      </w:r>
    </w:p>
    <w:p w14:paraId="193FCEE5" w14:textId="77777777" w:rsidR="00607635" w:rsidRDefault="00607635" w:rsidP="00607635">
      <w:pPr>
        <w:spacing w:before="120" w:after="120" w:line="276" w:lineRule="auto"/>
        <w:jc w:val="both"/>
        <w:rPr>
          <w:rFonts w:ascii="Arial" w:eastAsia="Calibri" w:hAnsi="Arial" w:cs="Arial"/>
          <w:bCs/>
          <w:color w:val="000000" w:themeColor="text1"/>
          <w:sz w:val="22"/>
          <w:szCs w:val="22"/>
          <w:lang w:val="es-ES_tradnl"/>
        </w:rPr>
      </w:pPr>
    </w:p>
    <w:p w14:paraId="665ACE78" w14:textId="76C5388B" w:rsidR="00607635" w:rsidRPr="00607635" w:rsidRDefault="00607635" w:rsidP="00607635">
      <w:pPr>
        <w:widowControl w:val="0"/>
        <w:autoSpaceDE w:val="0"/>
        <w:autoSpaceDN w:val="0"/>
        <w:spacing w:after="120" w:line="276" w:lineRule="auto"/>
        <w:jc w:val="both"/>
        <w:rPr>
          <w:rFonts w:ascii="Arial" w:eastAsia="Calibri" w:hAnsi="Arial" w:cs="Arial"/>
          <w:b/>
          <w:color w:val="000000" w:themeColor="text1"/>
          <w:sz w:val="22"/>
          <w:szCs w:val="22"/>
          <w:lang w:val="es-ES_tradnl"/>
        </w:rPr>
      </w:pPr>
      <w:r>
        <w:rPr>
          <w:rFonts w:ascii="Arial" w:eastAsia="Calibri" w:hAnsi="Arial" w:cs="Arial"/>
          <w:b/>
          <w:color w:val="000000" w:themeColor="text1"/>
          <w:sz w:val="22"/>
          <w:szCs w:val="22"/>
          <w:lang w:val="es-ES_tradnl"/>
        </w:rPr>
        <w:t xml:space="preserve">BIENES NACIONALES RELEVANTES – Documentos tipo – Infraestructura de transporte – Matriz 4 – Metodología – Aplicativo – Fecha de inscripción – Fecha de vigencia </w:t>
      </w:r>
      <w:proofErr w:type="gramStart"/>
      <w:r>
        <w:rPr>
          <w:rFonts w:ascii="Arial" w:eastAsia="Calibri" w:hAnsi="Arial" w:cs="Arial"/>
          <w:b/>
          <w:color w:val="000000" w:themeColor="text1"/>
          <w:sz w:val="22"/>
          <w:szCs w:val="22"/>
          <w:lang w:val="es-ES_tradnl"/>
        </w:rPr>
        <w:t>-  porcentaje</w:t>
      </w:r>
      <w:proofErr w:type="gramEnd"/>
      <w:r>
        <w:rPr>
          <w:rFonts w:ascii="Arial" w:eastAsia="Calibri" w:hAnsi="Arial" w:cs="Arial"/>
          <w:b/>
          <w:color w:val="000000" w:themeColor="text1"/>
          <w:sz w:val="22"/>
          <w:szCs w:val="22"/>
          <w:lang w:val="es-ES_tradnl"/>
        </w:rPr>
        <w:t xml:space="preserve"> de participación – Determinación </w:t>
      </w:r>
    </w:p>
    <w:p w14:paraId="18F881A7" w14:textId="77777777" w:rsidR="00607635" w:rsidRDefault="00607635" w:rsidP="00607635">
      <w:pPr>
        <w:spacing w:before="120" w:after="120" w:line="276" w:lineRule="auto"/>
        <w:jc w:val="both"/>
        <w:rPr>
          <w:rFonts w:ascii="Arial" w:eastAsia="Calibri" w:hAnsi="Arial" w:cs="Arial"/>
          <w:bCs/>
          <w:color w:val="000000" w:themeColor="text1"/>
          <w:sz w:val="22"/>
          <w:szCs w:val="22"/>
          <w:lang w:val="es-ES_tradnl"/>
        </w:rPr>
      </w:pPr>
    </w:p>
    <w:p w14:paraId="5D0699B2" w14:textId="3FF0EE73" w:rsidR="00B31F6C" w:rsidRPr="00BC2EF4" w:rsidRDefault="00B31F6C" w:rsidP="00607635">
      <w:pPr>
        <w:spacing w:before="120" w:after="120" w:line="276" w:lineRule="auto"/>
        <w:jc w:val="both"/>
        <w:rPr>
          <w:rFonts w:ascii="Arial" w:eastAsia="Arial" w:hAnsi="Arial" w:cs="Arial"/>
          <w:bCs/>
          <w:sz w:val="22"/>
          <w:szCs w:val="22"/>
          <w:lang w:eastAsia="es-ES" w:bidi="es-ES"/>
        </w:rPr>
      </w:pPr>
      <w:r w:rsidRPr="00BC2EF4">
        <w:rPr>
          <w:rFonts w:ascii="Arial" w:eastAsia="Calibri" w:hAnsi="Arial" w:cs="Arial"/>
          <w:bCs/>
          <w:color w:val="000000" w:themeColor="text1"/>
          <w:sz w:val="22"/>
          <w:szCs w:val="22"/>
          <w:lang w:val="es-ES_tradnl"/>
        </w:rPr>
        <w:t xml:space="preserve">Si luego de aplicar la metodología para determinar los bienes nacionales relevantes −descrita con anterioridad− , la entidad determina uno o varios bienes nacionales relevantes para el proceso de contratación, deberá incluir la </w:t>
      </w:r>
      <w:r w:rsidRPr="00BC2EF4">
        <w:rPr>
          <w:rFonts w:ascii="Arial" w:eastAsia="Calibri" w:hAnsi="Arial" w:cs="Arial"/>
          <w:b/>
          <w:i/>
          <w:iCs/>
          <w:color w:val="000000" w:themeColor="text1"/>
          <w:sz w:val="22"/>
          <w:szCs w:val="22"/>
          <w:lang w:val="es-ES_tradnl"/>
        </w:rPr>
        <w:t>opción 1</w:t>
      </w:r>
      <w:r w:rsidRPr="00BC2EF4">
        <w:rPr>
          <w:rFonts w:ascii="Arial" w:eastAsia="Calibri" w:hAnsi="Arial" w:cs="Arial"/>
          <w:bCs/>
          <w:color w:val="000000" w:themeColor="text1"/>
          <w:sz w:val="22"/>
          <w:szCs w:val="22"/>
          <w:lang w:val="es-ES_tradnl"/>
        </w:rPr>
        <w:t xml:space="preserve"> del numeral </w:t>
      </w:r>
      <w:r w:rsidRPr="00BC2EF4">
        <w:rPr>
          <w:rFonts w:ascii="Arial" w:hAnsi="Arial" w:cs="Arial"/>
          <w:sz w:val="22"/>
          <w:szCs w:val="22"/>
          <w:lang w:val="es-MX"/>
        </w:rPr>
        <w:t>4</w:t>
      </w:r>
      <w:r w:rsidRPr="00BC2EF4">
        <w:rPr>
          <w:rFonts w:ascii="Arial" w:eastAsia="Arial" w:hAnsi="Arial" w:cs="Arial"/>
          <w:bCs/>
          <w:sz w:val="22"/>
          <w:szCs w:val="22"/>
          <w:lang w:eastAsia="es-ES" w:bidi="es-ES"/>
        </w:rPr>
        <w:t xml:space="preserve">.3.1 «Promoción de servicios nacionales o con trato nacional», en la que se señalarán los bienes nacionales relevantes en el proceso de contratación, diligenciando una tabla con la información tomada del Registro de Productores de Bienes Nacionales, en la que se señalará: i) el bien nacional relevante, </w:t>
      </w:r>
      <w:proofErr w:type="spellStart"/>
      <w:r w:rsidRPr="00BC2EF4">
        <w:rPr>
          <w:rFonts w:ascii="Arial" w:eastAsia="Arial" w:hAnsi="Arial" w:cs="Arial"/>
          <w:bCs/>
          <w:sz w:val="22"/>
          <w:szCs w:val="22"/>
          <w:lang w:eastAsia="es-ES" w:bidi="es-ES"/>
        </w:rPr>
        <w:t>ii</w:t>
      </w:r>
      <w:proofErr w:type="spellEnd"/>
      <w:r w:rsidRPr="00BC2EF4">
        <w:rPr>
          <w:rFonts w:ascii="Arial" w:eastAsia="Arial" w:hAnsi="Arial" w:cs="Arial"/>
          <w:bCs/>
          <w:sz w:val="22"/>
          <w:szCs w:val="22"/>
          <w:lang w:eastAsia="es-ES" w:bidi="es-ES"/>
        </w:rPr>
        <w:t xml:space="preserve">) la fecha de inscripción, </w:t>
      </w:r>
      <w:proofErr w:type="spellStart"/>
      <w:r w:rsidRPr="00BC2EF4">
        <w:rPr>
          <w:rFonts w:ascii="Arial" w:eastAsia="Arial" w:hAnsi="Arial" w:cs="Arial"/>
          <w:bCs/>
          <w:sz w:val="22"/>
          <w:szCs w:val="22"/>
          <w:lang w:eastAsia="es-ES" w:bidi="es-ES"/>
        </w:rPr>
        <w:t>iii</w:t>
      </w:r>
      <w:proofErr w:type="spellEnd"/>
      <w:r w:rsidRPr="00BC2EF4">
        <w:rPr>
          <w:rFonts w:ascii="Arial" w:eastAsia="Arial" w:hAnsi="Arial" w:cs="Arial"/>
          <w:bCs/>
          <w:sz w:val="22"/>
          <w:szCs w:val="22"/>
          <w:lang w:eastAsia="es-ES" w:bidi="es-ES"/>
        </w:rPr>
        <w:t xml:space="preserve">) la fecha de vigencia, </w:t>
      </w:r>
      <w:proofErr w:type="spellStart"/>
      <w:r w:rsidRPr="00BC2EF4">
        <w:rPr>
          <w:rFonts w:ascii="Arial" w:eastAsia="Arial" w:hAnsi="Arial" w:cs="Arial"/>
          <w:bCs/>
          <w:sz w:val="22"/>
          <w:szCs w:val="22"/>
          <w:lang w:eastAsia="es-ES" w:bidi="es-ES"/>
        </w:rPr>
        <w:t>iv</w:t>
      </w:r>
      <w:proofErr w:type="spellEnd"/>
      <w:r w:rsidRPr="00BC2EF4">
        <w:rPr>
          <w:rFonts w:ascii="Arial" w:eastAsia="Arial" w:hAnsi="Arial" w:cs="Arial"/>
          <w:bCs/>
          <w:sz w:val="22"/>
          <w:szCs w:val="22"/>
          <w:lang w:eastAsia="es-ES" w:bidi="es-ES"/>
        </w:rPr>
        <w:t xml:space="preserve">) el número de partida arancelaria, v) el porcentaje (%) de participación del bien y vi) el puntaje individual de cada bien. </w:t>
      </w:r>
    </w:p>
    <w:p w14:paraId="61432CF6" w14:textId="77777777" w:rsidR="00B31F6C" w:rsidRPr="00BC2EF4" w:rsidRDefault="00B31F6C" w:rsidP="00B31F6C">
      <w:pPr>
        <w:spacing w:before="120" w:after="120" w:line="276" w:lineRule="auto"/>
        <w:ind w:firstLine="709"/>
        <w:jc w:val="both"/>
        <w:rPr>
          <w:rFonts w:ascii="Arial" w:hAnsi="Arial" w:cs="Arial"/>
          <w:sz w:val="22"/>
          <w:szCs w:val="22"/>
        </w:rPr>
      </w:pPr>
      <w:r w:rsidRPr="00BC2EF4">
        <w:rPr>
          <w:rFonts w:ascii="Arial" w:eastAsia="Arial" w:hAnsi="Arial" w:cs="Arial"/>
          <w:bCs/>
          <w:sz w:val="22"/>
          <w:szCs w:val="22"/>
          <w:lang w:eastAsia="es-ES" w:bidi="es-ES"/>
        </w:rPr>
        <w:t xml:space="preserve">Respecto a cada «Bien nacional relevante» identificado, </w:t>
      </w:r>
      <w:r w:rsidRPr="00BC2EF4">
        <w:rPr>
          <w:rFonts w:ascii="Arial" w:hAnsi="Arial" w:cs="Arial"/>
          <w:sz w:val="22"/>
          <w:szCs w:val="22"/>
        </w:rPr>
        <w:t>para diligenciar las casillas «fecha de inscripción» y «fecha de vigencia» en la tabla anterior, debe tenerse en cuenta que cada una corresponde a los datos contenidos en las columnas tituladas «radicado» y «fecha de vencimiento», respectivamente, del Registro de Productores y Bienes Nacionales del Ministerio de Comercio, Industria y Turismo. Específicamente, la «fecha de inscripción» corresponde a los 8 primeros dígitos de la columna de «radicado» y, por su parte, la «fecha de vigencia» corresponde a la información de la columna «fecha de vencimiento», según el resultado que arroja la búsqueda en la página web de la ventanilla única de comercio exterior. Por otra parte, con la consulta en el mencionado registro, también es posible acceder al «No. de partida arancelaria». Finalmente, el «porcentaje (%) de participación» y el «puntaje individual de cada bien» se determinan con la metodología prevista en la Matriz 4 y las fórmulas previstas en el pliego de condiciones.</w:t>
      </w:r>
    </w:p>
    <w:p w14:paraId="2CBE158F" w14:textId="134DC726" w:rsidR="00F76318" w:rsidRPr="00BC2EF4" w:rsidRDefault="00F76318" w:rsidP="00F76318">
      <w:pPr>
        <w:spacing w:before="120" w:after="120"/>
        <w:jc w:val="both"/>
        <w:rPr>
          <w:rFonts w:ascii="Arial" w:eastAsia="Calibri" w:hAnsi="Arial" w:cs="Arial"/>
          <w:bCs/>
          <w:color w:val="000000" w:themeColor="text1"/>
          <w:sz w:val="20"/>
          <w:szCs w:val="20"/>
          <w:lang w:val="es-ES_tradnl"/>
        </w:rPr>
      </w:pPr>
    </w:p>
    <w:p w14:paraId="2A131EA1" w14:textId="3A8AC0C8" w:rsidR="00581905" w:rsidRPr="00BC2EF4" w:rsidRDefault="00581905" w:rsidP="000A22E0">
      <w:pPr>
        <w:rPr>
          <w:rFonts w:ascii="Arial" w:eastAsia="Calibri" w:hAnsi="Arial" w:cs="Arial"/>
          <w:sz w:val="22"/>
          <w:szCs w:val="22"/>
          <w:lang w:val="es-ES"/>
        </w:rPr>
      </w:pPr>
    </w:p>
    <w:p w14:paraId="5F4F7DC9" w14:textId="77777777" w:rsidR="00AF772E" w:rsidRPr="00BC2EF4" w:rsidRDefault="00677657" w:rsidP="00AF772E">
      <w:pPr>
        <w:rPr>
          <w:rFonts w:ascii="Arial" w:eastAsia="Calibri" w:hAnsi="Arial" w:cs="Arial"/>
          <w:sz w:val="22"/>
          <w:szCs w:val="22"/>
          <w:lang w:val="es-ES"/>
        </w:rPr>
      </w:pPr>
      <w:r w:rsidRPr="00BC2EF4">
        <w:rPr>
          <w:rFonts w:ascii="Arial" w:eastAsia="Calibri" w:hAnsi="Arial" w:cs="Arial"/>
          <w:sz w:val="22"/>
          <w:szCs w:val="22"/>
          <w:lang w:val="es-ES"/>
        </w:rPr>
        <w:br w:type="page"/>
      </w:r>
    </w:p>
    <w:p w14:paraId="79093BFD" w14:textId="6D8A93F3" w:rsidR="004440C0" w:rsidRDefault="004440C0" w:rsidP="004440C0">
      <w:pPr>
        <w:jc w:val="right"/>
        <w:rPr>
          <w:rFonts w:ascii="Arial" w:eastAsia="Calibri" w:hAnsi="Arial" w:cs="Arial"/>
          <w:sz w:val="22"/>
          <w:szCs w:val="22"/>
          <w:lang w:val="es-ES"/>
        </w:rPr>
      </w:pPr>
      <w:r w:rsidRPr="004440C0">
        <w:rPr>
          <w:rFonts w:ascii="Arial" w:eastAsia="Calibri" w:hAnsi="Arial" w:cs="Arial"/>
          <w:sz w:val="22"/>
          <w:szCs w:val="22"/>
          <w:lang w:val="es-ES"/>
        </w:rPr>
        <w:drawing>
          <wp:inline distT="0" distB="0" distL="0" distR="0" wp14:anchorId="785AC8DC" wp14:editId="14B7438F">
            <wp:extent cx="2476846" cy="695422"/>
            <wp:effectExtent l="0" t="0" r="0"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2"/>
                    <a:stretch>
                      <a:fillRect/>
                    </a:stretch>
                  </pic:blipFill>
                  <pic:spPr>
                    <a:xfrm>
                      <a:off x="0" y="0"/>
                      <a:ext cx="2476846" cy="695422"/>
                    </a:xfrm>
                    <a:prstGeom prst="rect">
                      <a:avLst/>
                    </a:prstGeom>
                  </pic:spPr>
                </pic:pic>
              </a:graphicData>
            </a:graphic>
          </wp:inline>
        </w:drawing>
      </w:r>
    </w:p>
    <w:p w14:paraId="68A4A4A8" w14:textId="77777777" w:rsidR="004440C0" w:rsidRDefault="004440C0" w:rsidP="00AF772E">
      <w:pPr>
        <w:rPr>
          <w:rFonts w:ascii="Arial" w:eastAsia="Calibri" w:hAnsi="Arial" w:cs="Arial"/>
          <w:sz w:val="22"/>
          <w:szCs w:val="22"/>
          <w:lang w:val="es-ES"/>
        </w:rPr>
      </w:pPr>
    </w:p>
    <w:p w14:paraId="663D3DEC" w14:textId="5E522736" w:rsidR="00AF772E" w:rsidRDefault="00AF772E" w:rsidP="00AF772E">
      <w:pPr>
        <w:rPr>
          <w:rFonts w:ascii="Arial" w:eastAsia="Calibri" w:hAnsi="Arial" w:cs="Arial"/>
          <w:sz w:val="22"/>
          <w:szCs w:val="22"/>
          <w:lang w:val="es-ES"/>
        </w:rPr>
      </w:pPr>
      <w:r w:rsidRPr="00BC2EF4">
        <w:rPr>
          <w:rFonts w:ascii="Arial" w:eastAsia="Calibri" w:hAnsi="Arial" w:cs="Arial"/>
          <w:sz w:val="22"/>
          <w:szCs w:val="22"/>
          <w:lang w:val="es-ES"/>
        </w:rPr>
        <w:t>Bogot</w:t>
      </w:r>
      <w:r w:rsidR="004440C0">
        <w:rPr>
          <w:rFonts w:ascii="Arial" w:eastAsia="Calibri" w:hAnsi="Arial" w:cs="Arial"/>
          <w:sz w:val="22"/>
          <w:szCs w:val="22"/>
          <w:lang w:val="es-ES"/>
        </w:rPr>
        <w:t xml:space="preserve">á, 06 </w:t>
      </w:r>
      <w:proofErr w:type="gramStart"/>
      <w:r w:rsidR="004440C0">
        <w:rPr>
          <w:rFonts w:ascii="Arial" w:eastAsia="Calibri" w:hAnsi="Arial" w:cs="Arial"/>
          <w:sz w:val="22"/>
          <w:szCs w:val="22"/>
          <w:lang w:val="es-ES"/>
        </w:rPr>
        <w:t>Mayo</w:t>
      </w:r>
      <w:proofErr w:type="gramEnd"/>
      <w:r w:rsidR="004440C0">
        <w:rPr>
          <w:rFonts w:ascii="Arial" w:eastAsia="Calibri" w:hAnsi="Arial" w:cs="Arial"/>
          <w:sz w:val="22"/>
          <w:szCs w:val="22"/>
          <w:lang w:val="es-ES"/>
        </w:rPr>
        <w:t xml:space="preserve"> 2022</w:t>
      </w:r>
    </w:p>
    <w:p w14:paraId="61F7BC8D" w14:textId="77777777" w:rsidR="00AF772E" w:rsidRPr="00BC2EF4" w:rsidRDefault="00AF772E" w:rsidP="00AF772E">
      <w:pPr>
        <w:rPr>
          <w:rFonts w:ascii="Arial" w:eastAsia="Calibri" w:hAnsi="Arial" w:cs="Arial"/>
          <w:sz w:val="22"/>
          <w:szCs w:val="22"/>
          <w:lang w:val="es-ES"/>
        </w:rPr>
      </w:pPr>
    </w:p>
    <w:p w14:paraId="40267C8D" w14:textId="77777777" w:rsidR="00AF772E" w:rsidRPr="00BC2EF4" w:rsidRDefault="00AF772E" w:rsidP="00AF772E">
      <w:pPr>
        <w:rPr>
          <w:rFonts w:ascii="Arial" w:eastAsia="Calibri" w:hAnsi="Arial" w:cs="Arial"/>
          <w:sz w:val="22"/>
          <w:szCs w:val="22"/>
          <w:lang w:val="es-ES"/>
        </w:rPr>
      </w:pPr>
    </w:p>
    <w:p w14:paraId="563C3818" w14:textId="15DFA76B" w:rsidR="003E702F" w:rsidRPr="00BC2EF4" w:rsidRDefault="003C7067" w:rsidP="00AF772E">
      <w:pPr>
        <w:rPr>
          <w:rFonts w:ascii="Arial" w:eastAsia="Calibri" w:hAnsi="Arial" w:cs="Arial"/>
          <w:sz w:val="22"/>
          <w:szCs w:val="22"/>
          <w:lang w:val="es-ES"/>
        </w:rPr>
      </w:pPr>
      <w:r w:rsidRPr="00BC2EF4">
        <w:rPr>
          <w:rFonts w:ascii="Arial" w:eastAsia="Calibri" w:hAnsi="Arial" w:cs="Arial"/>
          <w:sz w:val="22"/>
          <w:szCs w:val="22"/>
          <w:lang w:val="es-ES"/>
        </w:rPr>
        <w:t>Señor</w:t>
      </w:r>
      <w:r w:rsidR="003E702F" w:rsidRPr="00BC2EF4">
        <w:rPr>
          <w:rFonts w:ascii="Arial" w:eastAsia="Calibri" w:hAnsi="Arial" w:cs="Arial"/>
          <w:sz w:val="22"/>
          <w:szCs w:val="22"/>
          <w:lang w:val="es-ES"/>
        </w:rPr>
        <w:t>a</w:t>
      </w:r>
    </w:p>
    <w:p w14:paraId="10837C8F" w14:textId="74727F5A" w:rsidR="003C7067" w:rsidRPr="00BC2EF4" w:rsidRDefault="003C18A8" w:rsidP="003E702F">
      <w:pPr>
        <w:rPr>
          <w:rFonts w:ascii="Arial" w:eastAsia="Calibri" w:hAnsi="Arial" w:cs="Arial"/>
          <w:b/>
          <w:bCs/>
          <w:sz w:val="22"/>
          <w:szCs w:val="22"/>
          <w:lang w:val="es-ES"/>
        </w:rPr>
      </w:pPr>
      <w:r w:rsidRPr="00BC2EF4">
        <w:rPr>
          <w:rFonts w:ascii="Arial" w:eastAsia="Calibri" w:hAnsi="Arial" w:cs="Arial"/>
          <w:b/>
          <w:bCs/>
          <w:sz w:val="22"/>
          <w:szCs w:val="22"/>
          <w:lang w:val="es-ES"/>
        </w:rPr>
        <w:t>Diana Valentina Varela Buitrago</w:t>
      </w:r>
    </w:p>
    <w:p w14:paraId="628350EA" w14:textId="3966DA7C" w:rsidR="003E702F" w:rsidRPr="00BC2EF4" w:rsidRDefault="003C18A8" w:rsidP="003E702F">
      <w:pPr>
        <w:rPr>
          <w:rFonts w:ascii="Arial" w:eastAsia="Calibri" w:hAnsi="Arial" w:cs="Arial"/>
          <w:sz w:val="22"/>
          <w:szCs w:val="22"/>
          <w:lang w:val="es-ES"/>
        </w:rPr>
      </w:pPr>
      <w:r w:rsidRPr="00BC2EF4">
        <w:rPr>
          <w:rFonts w:ascii="Arial" w:eastAsia="Calibri" w:hAnsi="Arial" w:cs="Arial"/>
          <w:sz w:val="22"/>
          <w:szCs w:val="22"/>
          <w:lang w:val="es-ES"/>
        </w:rPr>
        <w:t xml:space="preserve">Chiquinquirá, Boyacá </w:t>
      </w:r>
    </w:p>
    <w:p w14:paraId="15C6E9E5" w14:textId="2F5F3BC9" w:rsidR="0004470C" w:rsidRPr="00BC2EF4" w:rsidRDefault="0004470C" w:rsidP="003C7067">
      <w:pPr>
        <w:rPr>
          <w:rFonts w:ascii="Arial" w:eastAsia="Calibri" w:hAnsi="Arial" w:cs="Arial"/>
          <w:b/>
          <w:sz w:val="22"/>
          <w:szCs w:val="22"/>
          <w:lang w:val="es-ES"/>
        </w:rPr>
      </w:pPr>
    </w:p>
    <w:p w14:paraId="73854AB5" w14:textId="77777777" w:rsidR="00AF772E" w:rsidRPr="00BC2EF4" w:rsidRDefault="00AF772E" w:rsidP="003C7067">
      <w:pPr>
        <w:rPr>
          <w:rFonts w:ascii="Arial" w:eastAsia="Calibri" w:hAnsi="Arial" w:cs="Arial"/>
          <w:b/>
          <w:sz w:val="22"/>
          <w:szCs w:val="22"/>
          <w:lang w:val="es-ES"/>
        </w:rPr>
      </w:pPr>
    </w:p>
    <w:p w14:paraId="1F4E36CB" w14:textId="47D68223" w:rsidR="003C7067" w:rsidRPr="00BC2EF4" w:rsidRDefault="003C7067" w:rsidP="003C7067">
      <w:pPr>
        <w:rPr>
          <w:rFonts w:ascii="Arial" w:eastAsia="Calibri" w:hAnsi="Arial" w:cs="Arial"/>
          <w:b/>
          <w:sz w:val="22"/>
          <w:szCs w:val="22"/>
          <w:lang w:val="es-ES"/>
        </w:rPr>
      </w:pPr>
      <w:r w:rsidRPr="00BC2EF4">
        <w:rPr>
          <w:rFonts w:ascii="Arial" w:eastAsia="Calibri" w:hAnsi="Arial" w:cs="Arial"/>
          <w:b/>
          <w:sz w:val="22"/>
          <w:szCs w:val="22"/>
          <w:lang w:val="es-ES"/>
        </w:rPr>
        <w:t xml:space="preserve">                                       Concepto C – </w:t>
      </w:r>
      <w:r w:rsidR="007E0A5C" w:rsidRPr="00BC2EF4">
        <w:rPr>
          <w:rFonts w:ascii="Arial" w:eastAsia="Calibri" w:hAnsi="Arial" w:cs="Arial"/>
          <w:b/>
          <w:sz w:val="22"/>
          <w:szCs w:val="22"/>
          <w:lang w:val="es-ES"/>
        </w:rPr>
        <w:t>266 de 2022</w:t>
      </w:r>
    </w:p>
    <w:p w14:paraId="1698D01B" w14:textId="77777777" w:rsidR="003C7067" w:rsidRPr="00BC2EF4" w:rsidRDefault="003C7067" w:rsidP="003C7067">
      <w:pPr>
        <w:rPr>
          <w:rFonts w:ascii="Arial" w:eastAsia="Calibri" w:hAnsi="Arial" w:cs="Arial"/>
          <w:b/>
          <w:sz w:val="22"/>
          <w:szCs w:val="22"/>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516"/>
      </w:tblGrid>
      <w:tr w:rsidR="003C7067" w:rsidRPr="00BC2EF4" w14:paraId="7C1768E2" w14:textId="77777777" w:rsidTr="00E74412">
        <w:trPr>
          <w:trHeight w:val="823"/>
        </w:trPr>
        <w:tc>
          <w:tcPr>
            <w:tcW w:w="2410" w:type="dxa"/>
          </w:tcPr>
          <w:p w14:paraId="7F7464C9" w14:textId="77777777" w:rsidR="003C7067" w:rsidRPr="00BC2EF4" w:rsidRDefault="003C7067" w:rsidP="00D81E5B">
            <w:pPr>
              <w:rPr>
                <w:rFonts w:ascii="Arial" w:eastAsia="Calibri" w:hAnsi="Arial" w:cs="Arial"/>
                <w:lang w:val="es-ES"/>
              </w:rPr>
            </w:pPr>
            <w:r w:rsidRPr="00BC2EF4">
              <w:rPr>
                <w:rFonts w:ascii="Arial" w:eastAsia="Calibri" w:hAnsi="Arial" w:cs="Arial" w:hint="cs"/>
                <w:b/>
                <w:lang w:val="es-ES"/>
              </w:rPr>
              <w:t>Temas:</w:t>
            </w:r>
            <w:r w:rsidRPr="00BC2EF4">
              <w:rPr>
                <w:rFonts w:ascii="Arial" w:eastAsia="Calibri" w:hAnsi="Arial" w:cs="Arial" w:hint="cs"/>
                <w:lang w:val="es-ES"/>
              </w:rPr>
              <w:t xml:space="preserve">                                      </w:t>
            </w:r>
          </w:p>
        </w:tc>
        <w:tc>
          <w:tcPr>
            <w:tcW w:w="6516" w:type="dxa"/>
          </w:tcPr>
          <w:p w14:paraId="2F4B7014" w14:textId="3288684B" w:rsidR="001048AE" w:rsidRPr="00607635" w:rsidRDefault="00B31F6C" w:rsidP="00607635">
            <w:pPr>
              <w:widowControl w:val="0"/>
              <w:autoSpaceDE w:val="0"/>
              <w:autoSpaceDN w:val="0"/>
              <w:spacing w:after="120"/>
              <w:jc w:val="both"/>
              <w:rPr>
                <w:rFonts w:ascii="Arial" w:eastAsia="Calibri" w:hAnsi="Arial" w:cs="Arial"/>
                <w:color w:val="000000" w:themeColor="text1"/>
                <w:sz w:val="20"/>
                <w:szCs w:val="20"/>
                <w:lang w:val="es-ES_tradnl"/>
              </w:rPr>
            </w:pPr>
            <w:r w:rsidRPr="00607635">
              <w:rPr>
                <w:rFonts w:ascii="Arial" w:eastAsia="Calibri" w:hAnsi="Arial" w:cs="Arial"/>
                <w:color w:val="000000" w:themeColor="text1"/>
                <w:sz w:val="20"/>
                <w:szCs w:val="20"/>
                <w:lang w:val="es-ES_tradnl"/>
              </w:rPr>
              <w:t xml:space="preserve">TRATO NACIONAL </w:t>
            </w:r>
            <w:r w:rsidRPr="00607635">
              <w:rPr>
                <w:rFonts w:ascii="Arial" w:eastAsia="Arial" w:hAnsi="Arial" w:cs="Arial"/>
                <w:sz w:val="20"/>
                <w:szCs w:val="20"/>
                <w:lang w:val="es-ES_tradnl"/>
              </w:rPr>
              <w:t>–</w:t>
            </w:r>
            <w:r w:rsidRPr="00607635">
              <w:rPr>
                <w:rFonts w:ascii="Arial" w:eastAsia="Calibri" w:hAnsi="Arial" w:cs="Arial"/>
                <w:color w:val="000000" w:themeColor="text1"/>
                <w:sz w:val="20"/>
                <w:szCs w:val="20"/>
                <w:lang w:val="es-ES_tradnl"/>
              </w:rPr>
              <w:t xml:space="preserve"> Concepto </w:t>
            </w:r>
            <w:r w:rsidRPr="00607635">
              <w:rPr>
                <w:rFonts w:ascii="Arial" w:eastAsia="Arial" w:hAnsi="Arial" w:cs="Arial"/>
                <w:sz w:val="20"/>
                <w:szCs w:val="20"/>
                <w:lang w:val="es-ES_tradnl"/>
              </w:rPr>
              <w:t>–</w:t>
            </w:r>
            <w:r w:rsidRPr="00607635">
              <w:rPr>
                <w:rFonts w:ascii="Arial" w:eastAsia="Calibri" w:hAnsi="Arial" w:cs="Arial"/>
                <w:color w:val="000000" w:themeColor="text1"/>
                <w:sz w:val="20"/>
                <w:szCs w:val="20"/>
                <w:lang w:val="es-ES_tradnl"/>
              </w:rPr>
              <w:t xml:space="preserve"> Contratación pública </w:t>
            </w:r>
            <w:r w:rsidRPr="00607635">
              <w:rPr>
                <w:rFonts w:ascii="Arial" w:eastAsia="Arial" w:hAnsi="Arial" w:cs="Arial"/>
                <w:sz w:val="20"/>
                <w:szCs w:val="20"/>
                <w:lang w:val="es-ES_tradnl"/>
              </w:rPr>
              <w:t>–</w:t>
            </w:r>
            <w:r w:rsidRPr="00607635">
              <w:rPr>
                <w:rFonts w:ascii="Arial" w:eastAsia="Calibri" w:hAnsi="Arial" w:cs="Arial"/>
                <w:color w:val="000000" w:themeColor="text1"/>
                <w:sz w:val="20"/>
                <w:szCs w:val="20"/>
                <w:lang w:val="es-ES_tradnl"/>
              </w:rPr>
              <w:t xml:space="preserve"> Principio de reciprocidad / </w:t>
            </w:r>
            <w:r w:rsidR="00607635" w:rsidRPr="00607635">
              <w:rPr>
                <w:rFonts w:ascii="Arial" w:eastAsia="Calibri" w:hAnsi="Arial" w:cs="Arial"/>
                <w:color w:val="000000" w:themeColor="text1"/>
                <w:sz w:val="20"/>
                <w:szCs w:val="20"/>
                <w:lang w:val="es-ES_tradnl"/>
              </w:rPr>
              <w:t xml:space="preserve">BIENES NACIONALES RELEVANTES – Determinación – Criterios – Artículo 2.2.1.2.4.2.9. – Decreto 1082 de 2015 – Decreto 680 de 2021/ BIENES NACIONALES RELEVANTES – Documentos tipo – Infraestructura de transporte – Matriz 4 </w:t>
            </w:r>
            <w:proofErr w:type="gramStart"/>
            <w:r w:rsidR="00607635" w:rsidRPr="00607635">
              <w:rPr>
                <w:rFonts w:ascii="Arial" w:eastAsia="Calibri" w:hAnsi="Arial" w:cs="Arial"/>
                <w:color w:val="000000" w:themeColor="text1"/>
                <w:sz w:val="20"/>
                <w:szCs w:val="20"/>
                <w:lang w:val="es-ES_tradnl"/>
              </w:rPr>
              <w:t>-  Metodología</w:t>
            </w:r>
            <w:proofErr w:type="gramEnd"/>
            <w:r w:rsidR="00607635" w:rsidRPr="00607635">
              <w:rPr>
                <w:rFonts w:ascii="Arial" w:eastAsia="Calibri" w:hAnsi="Arial" w:cs="Arial"/>
                <w:color w:val="000000" w:themeColor="text1"/>
                <w:sz w:val="20"/>
                <w:szCs w:val="20"/>
                <w:lang w:val="es-ES_tradnl"/>
              </w:rPr>
              <w:t xml:space="preserve"> – Aplicativo/ BIENES NACIONALES RELEVANTES – Documentos tipo – Infraestructura de transporte – Matriz 4 – Metodología – Aplicativo – Fecha de inscripción – Fecha de vigencia -  porcentaje de participación – Determinación/ </w:t>
            </w:r>
          </w:p>
        </w:tc>
      </w:tr>
      <w:tr w:rsidR="003C7067" w:rsidRPr="00BC2EF4" w14:paraId="60D249F0" w14:textId="77777777" w:rsidTr="00E74412">
        <w:tc>
          <w:tcPr>
            <w:tcW w:w="2410" w:type="dxa"/>
          </w:tcPr>
          <w:p w14:paraId="291F9A18" w14:textId="0EAF4683" w:rsidR="003C7067" w:rsidRPr="00BC2EF4" w:rsidRDefault="003C7067" w:rsidP="00D81E5B">
            <w:pPr>
              <w:rPr>
                <w:rFonts w:ascii="Arial" w:eastAsia="Calibri" w:hAnsi="Arial" w:cs="Arial"/>
                <w:lang w:val="es-ES"/>
              </w:rPr>
            </w:pPr>
            <w:r w:rsidRPr="00BC2EF4">
              <w:rPr>
                <w:rFonts w:ascii="Arial" w:eastAsia="Calibri" w:hAnsi="Arial" w:cs="Arial"/>
                <w:b/>
                <w:lang w:val="es-ES"/>
              </w:rPr>
              <w:t>Radicación:</w:t>
            </w:r>
            <w:r w:rsidRPr="00BC2EF4">
              <w:rPr>
                <w:rFonts w:ascii="Arial" w:eastAsia="Calibri" w:hAnsi="Arial" w:cs="Arial"/>
                <w:lang w:val="es-ES"/>
              </w:rPr>
              <w:t xml:space="preserve">                              </w:t>
            </w:r>
          </w:p>
        </w:tc>
        <w:tc>
          <w:tcPr>
            <w:tcW w:w="6516" w:type="dxa"/>
          </w:tcPr>
          <w:p w14:paraId="3C674517" w14:textId="6B02E933" w:rsidR="003C7067" w:rsidRPr="00BC2EF4" w:rsidRDefault="003C7067" w:rsidP="00D81E5B">
            <w:pPr>
              <w:rPr>
                <w:rFonts w:ascii="Arial" w:hAnsi="Arial" w:cs="Arial"/>
              </w:rPr>
            </w:pPr>
            <w:r w:rsidRPr="00BC2EF4">
              <w:rPr>
                <w:rFonts w:ascii="Arial" w:eastAsia="Calibri" w:hAnsi="Arial" w:cs="Arial"/>
                <w:lang w:val="es-ES"/>
              </w:rPr>
              <w:t xml:space="preserve">Respuesta a consulta </w:t>
            </w:r>
            <w:r w:rsidR="003E702F" w:rsidRPr="00BC2EF4">
              <w:rPr>
                <w:rFonts w:ascii="Arial" w:hAnsi="Arial" w:cs="Arial"/>
              </w:rPr>
              <w:t>P2022</w:t>
            </w:r>
            <w:r w:rsidR="003C18A8" w:rsidRPr="00BC2EF4">
              <w:rPr>
                <w:rFonts w:ascii="Arial" w:hAnsi="Arial" w:cs="Arial"/>
              </w:rPr>
              <w:t xml:space="preserve">0322002820 </w:t>
            </w:r>
          </w:p>
        </w:tc>
      </w:tr>
    </w:tbl>
    <w:p w14:paraId="776B553A" w14:textId="1E5ECA65" w:rsidR="003C7067" w:rsidRPr="00BC2EF4" w:rsidRDefault="003C7067" w:rsidP="003C7067">
      <w:pPr>
        <w:spacing w:line="276" w:lineRule="auto"/>
        <w:rPr>
          <w:rFonts w:ascii="Arial" w:eastAsia="Calibri" w:hAnsi="Arial" w:cs="Arial"/>
          <w:sz w:val="22"/>
          <w:szCs w:val="22"/>
          <w:lang w:val="es-ES"/>
        </w:rPr>
      </w:pPr>
    </w:p>
    <w:p w14:paraId="35873A1E" w14:textId="77777777" w:rsidR="007374F5" w:rsidRPr="00BC2EF4" w:rsidRDefault="007374F5" w:rsidP="003C7067">
      <w:pPr>
        <w:spacing w:line="276" w:lineRule="auto"/>
        <w:rPr>
          <w:rFonts w:ascii="Arial" w:eastAsia="Calibri" w:hAnsi="Arial" w:cs="Arial"/>
          <w:sz w:val="22"/>
          <w:szCs w:val="22"/>
          <w:lang w:val="es-ES"/>
        </w:rPr>
      </w:pPr>
    </w:p>
    <w:p w14:paraId="6BB19977" w14:textId="527E8452" w:rsidR="003C7067" w:rsidRPr="00BC2EF4" w:rsidRDefault="003C7067" w:rsidP="003C7067">
      <w:pPr>
        <w:tabs>
          <w:tab w:val="left" w:pos="3736"/>
        </w:tabs>
        <w:spacing w:line="276" w:lineRule="auto"/>
        <w:rPr>
          <w:rFonts w:ascii="Arial" w:eastAsia="Calibri" w:hAnsi="Arial" w:cs="Arial"/>
          <w:sz w:val="22"/>
          <w:szCs w:val="22"/>
          <w:lang w:val="es-ES"/>
        </w:rPr>
      </w:pPr>
      <w:r w:rsidRPr="00BC2EF4">
        <w:rPr>
          <w:rFonts w:ascii="Arial" w:eastAsia="Calibri" w:hAnsi="Arial" w:cs="Arial"/>
          <w:sz w:val="22"/>
          <w:szCs w:val="22"/>
          <w:lang w:val="es-ES"/>
        </w:rPr>
        <w:t>Estimad</w:t>
      </w:r>
      <w:r w:rsidR="00543E14" w:rsidRPr="00BC2EF4">
        <w:rPr>
          <w:rFonts w:ascii="Arial" w:eastAsia="Calibri" w:hAnsi="Arial" w:cs="Arial"/>
          <w:sz w:val="22"/>
          <w:szCs w:val="22"/>
          <w:lang w:val="es-ES"/>
        </w:rPr>
        <w:t>a</w:t>
      </w:r>
      <w:r w:rsidR="007A5F2D" w:rsidRPr="00BC2EF4">
        <w:rPr>
          <w:rFonts w:ascii="Arial" w:eastAsia="Calibri" w:hAnsi="Arial" w:cs="Arial"/>
          <w:sz w:val="22"/>
          <w:szCs w:val="22"/>
          <w:lang w:val="es-ES"/>
        </w:rPr>
        <w:t xml:space="preserve"> </w:t>
      </w:r>
      <w:r w:rsidRPr="00BC2EF4">
        <w:rPr>
          <w:rFonts w:ascii="Arial" w:eastAsia="Calibri" w:hAnsi="Arial" w:cs="Arial"/>
          <w:sz w:val="22"/>
          <w:szCs w:val="22"/>
          <w:lang w:val="es-ES"/>
        </w:rPr>
        <w:t>señor</w:t>
      </w:r>
      <w:r w:rsidR="00543E14" w:rsidRPr="00BC2EF4">
        <w:rPr>
          <w:rFonts w:ascii="Arial" w:eastAsia="Calibri" w:hAnsi="Arial" w:cs="Arial"/>
          <w:sz w:val="22"/>
          <w:szCs w:val="22"/>
          <w:lang w:val="es-ES"/>
        </w:rPr>
        <w:t>a</w:t>
      </w:r>
      <w:r w:rsidR="00DA07F3" w:rsidRPr="00BC2EF4">
        <w:rPr>
          <w:rFonts w:ascii="Arial" w:eastAsia="Calibri" w:hAnsi="Arial" w:cs="Arial"/>
          <w:sz w:val="22"/>
          <w:szCs w:val="22"/>
          <w:lang w:val="es-ES"/>
        </w:rPr>
        <w:t xml:space="preserve"> </w:t>
      </w:r>
      <w:r w:rsidR="007E0A5C" w:rsidRPr="00BC2EF4">
        <w:rPr>
          <w:rFonts w:ascii="Arial" w:eastAsia="Calibri" w:hAnsi="Arial" w:cs="Arial"/>
          <w:sz w:val="22"/>
          <w:szCs w:val="22"/>
          <w:lang w:val="es-ES"/>
        </w:rPr>
        <w:t>Varela</w:t>
      </w:r>
      <w:r w:rsidR="00543E14" w:rsidRPr="00BC2EF4">
        <w:rPr>
          <w:rFonts w:ascii="Arial" w:eastAsia="Calibri" w:hAnsi="Arial" w:cs="Arial"/>
          <w:sz w:val="22"/>
          <w:szCs w:val="22"/>
          <w:lang w:val="es-ES"/>
        </w:rPr>
        <w:t xml:space="preserve">: </w:t>
      </w:r>
    </w:p>
    <w:p w14:paraId="17594CC4" w14:textId="77777777" w:rsidR="003C7067" w:rsidRPr="00BC2EF4" w:rsidRDefault="003C7067" w:rsidP="003C7067">
      <w:pPr>
        <w:spacing w:line="276" w:lineRule="auto"/>
        <w:rPr>
          <w:rFonts w:ascii="Arial" w:eastAsia="Calibri" w:hAnsi="Arial" w:cs="Arial"/>
          <w:sz w:val="22"/>
          <w:szCs w:val="22"/>
          <w:lang w:val="es-ES"/>
        </w:rPr>
      </w:pPr>
    </w:p>
    <w:p w14:paraId="57E2A948" w14:textId="0117BFAA" w:rsidR="003C7067" w:rsidRPr="00BC2EF4" w:rsidRDefault="003C7067" w:rsidP="003C7067">
      <w:pPr>
        <w:spacing w:line="276" w:lineRule="auto"/>
        <w:jc w:val="both"/>
        <w:rPr>
          <w:rFonts w:ascii="Arial" w:eastAsia="Calibri" w:hAnsi="Arial" w:cs="Arial"/>
          <w:sz w:val="22"/>
          <w:szCs w:val="22"/>
          <w:lang w:val="es-ES"/>
        </w:rPr>
      </w:pPr>
      <w:r w:rsidRPr="00BC2EF4">
        <w:rPr>
          <w:rFonts w:ascii="Arial" w:eastAsia="Calibri" w:hAnsi="Arial" w:cs="Arial"/>
          <w:sz w:val="22"/>
          <w:szCs w:val="22"/>
          <w:lang w:val="es-ES"/>
        </w:rPr>
        <w:t>La Agencia Nacional de Contratación Pública – Colombia Compra Eficiente, en ejercicio de la competencia otorgada por el numeral 8 del artículo 11 y el numeral 5 del artículo 3 del Decreto Ley 4170 de 2011</w:t>
      </w:r>
      <w:r w:rsidR="008D47BC" w:rsidRPr="00BC2EF4">
        <w:rPr>
          <w:rFonts w:ascii="Arial" w:eastAsia="Calibri" w:hAnsi="Arial" w:cs="Arial"/>
          <w:sz w:val="22"/>
          <w:szCs w:val="22"/>
          <w:lang w:val="es-ES"/>
        </w:rPr>
        <w:t>, responde su consulta del 22 de marzo de 2022</w:t>
      </w:r>
      <w:r w:rsidRPr="00BC2EF4">
        <w:rPr>
          <w:rFonts w:ascii="Arial" w:eastAsia="Calibri" w:hAnsi="Arial" w:cs="Arial"/>
          <w:sz w:val="22"/>
          <w:szCs w:val="22"/>
          <w:lang w:val="es-ES"/>
        </w:rPr>
        <w:t xml:space="preserve">. </w:t>
      </w:r>
    </w:p>
    <w:p w14:paraId="2D852432" w14:textId="2FF22211" w:rsidR="003C7067" w:rsidRPr="00BC2EF4" w:rsidRDefault="003C7067" w:rsidP="003C7067">
      <w:pPr>
        <w:pStyle w:val="Prrafodelista"/>
        <w:spacing w:line="276" w:lineRule="auto"/>
        <w:ind w:left="0"/>
        <w:rPr>
          <w:rFonts w:ascii="Arial" w:eastAsia="Calibri" w:hAnsi="Arial" w:cs="Arial"/>
          <w:sz w:val="22"/>
          <w:lang w:val="es-ES"/>
        </w:rPr>
      </w:pPr>
    </w:p>
    <w:p w14:paraId="67CA615C" w14:textId="2BCAB440" w:rsidR="003C7067" w:rsidRPr="00BC2EF4" w:rsidRDefault="003C7067" w:rsidP="003C7067">
      <w:pPr>
        <w:tabs>
          <w:tab w:val="left" w:pos="0"/>
        </w:tabs>
        <w:spacing w:line="276" w:lineRule="auto"/>
        <w:jc w:val="both"/>
        <w:rPr>
          <w:rFonts w:ascii="Arial" w:eastAsia="Calibri" w:hAnsi="Arial" w:cs="Arial"/>
          <w:b/>
          <w:sz w:val="22"/>
          <w:szCs w:val="22"/>
          <w:lang w:val="es-ES"/>
        </w:rPr>
      </w:pPr>
      <w:r w:rsidRPr="00BC2EF4">
        <w:rPr>
          <w:rFonts w:ascii="Arial" w:eastAsia="Calibri" w:hAnsi="Arial" w:cs="Arial"/>
          <w:b/>
          <w:sz w:val="22"/>
          <w:szCs w:val="22"/>
          <w:lang w:val="es-ES"/>
        </w:rPr>
        <w:t>1. Problema</w:t>
      </w:r>
      <w:r w:rsidR="006D182F" w:rsidRPr="00BC2EF4">
        <w:rPr>
          <w:rFonts w:ascii="Arial" w:eastAsia="Calibri" w:hAnsi="Arial" w:cs="Arial"/>
          <w:b/>
          <w:sz w:val="22"/>
          <w:szCs w:val="22"/>
          <w:lang w:val="es-ES"/>
        </w:rPr>
        <w:t>s</w:t>
      </w:r>
      <w:r w:rsidRPr="00BC2EF4">
        <w:rPr>
          <w:rFonts w:ascii="Arial" w:eastAsia="Calibri" w:hAnsi="Arial" w:cs="Arial"/>
          <w:b/>
          <w:sz w:val="22"/>
          <w:szCs w:val="22"/>
          <w:lang w:val="es-ES"/>
        </w:rPr>
        <w:t xml:space="preserve"> planteado</w:t>
      </w:r>
      <w:r w:rsidR="006D182F" w:rsidRPr="00BC2EF4">
        <w:rPr>
          <w:rFonts w:ascii="Arial" w:eastAsia="Calibri" w:hAnsi="Arial" w:cs="Arial"/>
          <w:b/>
          <w:sz w:val="22"/>
          <w:szCs w:val="22"/>
          <w:lang w:val="es-ES"/>
        </w:rPr>
        <w:t>s</w:t>
      </w:r>
    </w:p>
    <w:p w14:paraId="5A060666" w14:textId="77777777" w:rsidR="003C7067" w:rsidRPr="00BC2EF4" w:rsidRDefault="003C7067" w:rsidP="003C7067">
      <w:pPr>
        <w:rPr>
          <w:rFonts w:ascii="Arial" w:eastAsia="Calibri" w:hAnsi="Arial" w:cs="Arial"/>
          <w:sz w:val="22"/>
          <w:szCs w:val="22"/>
          <w:lang w:val="es-ES"/>
        </w:rPr>
      </w:pPr>
    </w:p>
    <w:p w14:paraId="097D7A16" w14:textId="08B72F0D" w:rsidR="00B22B1D" w:rsidRPr="00BC2EF4" w:rsidRDefault="00E3308F" w:rsidP="006F1DEB">
      <w:pPr>
        <w:spacing w:line="276" w:lineRule="auto"/>
        <w:jc w:val="both"/>
        <w:rPr>
          <w:rFonts w:ascii="Arial" w:hAnsi="Arial" w:cs="Arial"/>
          <w:sz w:val="22"/>
          <w:szCs w:val="22"/>
        </w:rPr>
      </w:pPr>
      <w:r w:rsidRPr="00BC2EF4">
        <w:rPr>
          <w:rFonts w:ascii="Arial" w:hAnsi="Arial" w:cs="Arial"/>
          <w:sz w:val="22"/>
          <w:szCs w:val="22"/>
        </w:rPr>
        <w:t>Us</w:t>
      </w:r>
      <w:r w:rsidR="006D182F" w:rsidRPr="00BC2EF4">
        <w:rPr>
          <w:rFonts w:ascii="Arial" w:hAnsi="Arial" w:cs="Arial"/>
          <w:sz w:val="22"/>
          <w:szCs w:val="22"/>
        </w:rPr>
        <w:t>ted realiza las siguientes preguntas</w:t>
      </w:r>
      <w:r w:rsidR="00B22B1D" w:rsidRPr="00BC2EF4">
        <w:rPr>
          <w:rFonts w:ascii="Arial" w:hAnsi="Arial" w:cs="Arial"/>
          <w:sz w:val="22"/>
          <w:szCs w:val="22"/>
        </w:rPr>
        <w:t>:</w:t>
      </w:r>
      <w:r w:rsidR="006D182F" w:rsidRPr="00BC2EF4">
        <w:rPr>
          <w:rFonts w:ascii="Arial" w:hAnsi="Arial" w:cs="Arial"/>
          <w:sz w:val="22"/>
          <w:szCs w:val="22"/>
        </w:rPr>
        <w:t xml:space="preserve">  i) «</w:t>
      </w:r>
      <w:r w:rsidR="00E55CFA" w:rsidRPr="00BC2EF4">
        <w:rPr>
          <w:rFonts w:ascii="Arial" w:hAnsi="Arial" w:cs="Arial"/>
          <w:sz w:val="22"/>
          <w:szCs w:val="22"/>
        </w:rPr>
        <w:t>Solicito de manera respetuosa se me informe en los pliego</w:t>
      </w:r>
      <w:r w:rsidR="006F1DEB" w:rsidRPr="00BC2EF4">
        <w:rPr>
          <w:rFonts w:ascii="Arial" w:hAnsi="Arial" w:cs="Arial"/>
          <w:sz w:val="22"/>
          <w:szCs w:val="22"/>
        </w:rPr>
        <w:t>s</w:t>
      </w:r>
      <w:r w:rsidR="00E55CFA" w:rsidRPr="00BC2EF4">
        <w:rPr>
          <w:rFonts w:ascii="Arial" w:hAnsi="Arial" w:cs="Arial"/>
          <w:sz w:val="22"/>
          <w:szCs w:val="22"/>
        </w:rPr>
        <w:t xml:space="preserve"> tipo de infraestructura de transporte y demás en el aparte del documento base referente a bienes relevantes nacionales cual es la información que debe ingresar la entidad en porcentaje de participación, si es un 100% o si debe ser conforme a los cálculos realizados para determinar la existencia de bienes nacionales relevantes en determinado proceso de contratación» y </w:t>
      </w:r>
      <w:proofErr w:type="spellStart"/>
      <w:r w:rsidR="00E55CFA" w:rsidRPr="00BC2EF4">
        <w:rPr>
          <w:rFonts w:ascii="Arial" w:hAnsi="Arial" w:cs="Arial"/>
          <w:sz w:val="22"/>
          <w:szCs w:val="22"/>
        </w:rPr>
        <w:t>ii</w:t>
      </w:r>
      <w:proofErr w:type="spellEnd"/>
      <w:r w:rsidR="00E55CFA" w:rsidRPr="00BC2EF4">
        <w:rPr>
          <w:rFonts w:ascii="Arial" w:hAnsi="Arial" w:cs="Arial"/>
          <w:sz w:val="22"/>
          <w:szCs w:val="22"/>
        </w:rPr>
        <w:t>) «</w:t>
      </w:r>
      <w:r w:rsidR="006F1DEB" w:rsidRPr="00BC2EF4">
        <w:rPr>
          <w:rFonts w:ascii="Arial" w:hAnsi="Arial" w:cs="Arial"/>
          <w:sz w:val="22"/>
          <w:szCs w:val="22"/>
        </w:rPr>
        <w:t>[…] se me informe la forma en que las entidades deben llenar dicho cuadro teniendo en cuenta que la matriz 4 solo explica la forma de determinación de dichos bienes nacionales pero no la forma de diligencia el cuadro conforme a la información d</w:t>
      </w:r>
      <w:r w:rsidR="00991279" w:rsidRPr="00BC2EF4">
        <w:rPr>
          <w:rFonts w:ascii="Arial" w:hAnsi="Arial" w:cs="Arial"/>
          <w:sz w:val="22"/>
          <w:szCs w:val="22"/>
        </w:rPr>
        <w:t>el</w:t>
      </w:r>
      <w:r w:rsidR="006F1DEB" w:rsidRPr="00BC2EF4">
        <w:rPr>
          <w:rFonts w:ascii="Arial" w:hAnsi="Arial" w:cs="Arial"/>
          <w:sz w:val="22"/>
          <w:szCs w:val="22"/>
        </w:rPr>
        <w:t xml:space="preserve"> registro nacional de productores de bienes nacionales</w:t>
      </w:r>
      <w:r w:rsidR="00991279" w:rsidRPr="00BC2EF4">
        <w:rPr>
          <w:rFonts w:ascii="Arial" w:hAnsi="Arial" w:cs="Arial"/>
          <w:sz w:val="22"/>
          <w:szCs w:val="22"/>
        </w:rPr>
        <w:t>».</w:t>
      </w:r>
    </w:p>
    <w:p w14:paraId="052223DB" w14:textId="77777777" w:rsidR="00892874" w:rsidRPr="00BC2EF4" w:rsidRDefault="003E702F" w:rsidP="00892874">
      <w:pPr>
        <w:ind w:left="709" w:right="709"/>
        <w:jc w:val="both"/>
        <w:rPr>
          <w:rFonts w:ascii="Arial" w:hAnsi="Arial" w:cs="Arial"/>
          <w:sz w:val="22"/>
          <w:szCs w:val="22"/>
        </w:rPr>
      </w:pPr>
      <w:r w:rsidRPr="00BC2EF4">
        <w:rPr>
          <w:rFonts w:ascii="Arial" w:hAnsi="Arial" w:cs="Arial"/>
          <w:sz w:val="21"/>
          <w:szCs w:val="21"/>
        </w:rPr>
        <w:t xml:space="preserve"> </w:t>
      </w:r>
    </w:p>
    <w:p w14:paraId="25DC51CC" w14:textId="50F4EBD3" w:rsidR="0016321F" w:rsidRPr="00BC2EF4" w:rsidRDefault="003C7067" w:rsidP="00F14E3E">
      <w:pPr>
        <w:spacing w:line="276" w:lineRule="auto"/>
        <w:jc w:val="both"/>
        <w:rPr>
          <w:rFonts w:ascii="Arial" w:eastAsia="Calibri" w:hAnsi="Arial" w:cs="Arial"/>
          <w:b/>
          <w:sz w:val="22"/>
          <w:szCs w:val="22"/>
          <w:lang w:val="es-ES"/>
        </w:rPr>
      </w:pPr>
      <w:r w:rsidRPr="00BC2EF4">
        <w:rPr>
          <w:rFonts w:ascii="Arial" w:eastAsia="Calibri" w:hAnsi="Arial" w:cs="Arial"/>
          <w:b/>
          <w:sz w:val="22"/>
          <w:szCs w:val="22"/>
          <w:lang w:val="es-ES"/>
        </w:rPr>
        <w:t>2. Consideraciones</w:t>
      </w:r>
    </w:p>
    <w:p w14:paraId="5CB858F3" w14:textId="77777777" w:rsidR="00C85573" w:rsidRPr="00BC2EF4" w:rsidRDefault="00C85573" w:rsidP="00C85573">
      <w:pPr>
        <w:spacing w:line="276" w:lineRule="auto"/>
        <w:jc w:val="both"/>
        <w:rPr>
          <w:rFonts w:ascii="Arial" w:eastAsia="Calibri" w:hAnsi="Arial" w:cs="Arial"/>
          <w:color w:val="000000" w:themeColor="text1"/>
          <w:sz w:val="22"/>
          <w:szCs w:val="22"/>
          <w:lang w:val="es-ES_tradnl"/>
        </w:rPr>
      </w:pPr>
    </w:p>
    <w:p w14:paraId="3A3F4BF9" w14:textId="1A6ACD74" w:rsidR="00E91691" w:rsidRPr="00BC2EF4" w:rsidRDefault="00E109FE" w:rsidP="00BC2EF4">
      <w:pPr>
        <w:spacing w:after="120" w:line="276" w:lineRule="auto"/>
        <w:jc w:val="both"/>
        <w:rPr>
          <w:rFonts w:ascii="Arial" w:eastAsia="Calibri" w:hAnsi="Arial" w:cs="Arial"/>
          <w:color w:val="000000" w:themeColor="text1"/>
          <w:sz w:val="22"/>
          <w:szCs w:val="22"/>
          <w:lang w:val="es-ES_tradnl"/>
        </w:rPr>
      </w:pPr>
      <w:r w:rsidRPr="00BC2EF4">
        <w:rPr>
          <w:rFonts w:ascii="Arial" w:eastAsia="Calibri" w:hAnsi="Arial" w:cs="Arial"/>
          <w:sz w:val="22"/>
          <w:szCs w:val="22"/>
          <w:lang w:val="es-ES"/>
        </w:rPr>
        <w:t>Para resolver la consulta,</w:t>
      </w:r>
      <w:r w:rsidR="00E91691" w:rsidRPr="00BC2EF4">
        <w:rPr>
          <w:rFonts w:ascii="Arial" w:eastAsia="Calibri" w:hAnsi="Arial" w:cs="Arial"/>
          <w:sz w:val="22"/>
          <w:szCs w:val="22"/>
          <w:lang w:val="es-ES"/>
        </w:rPr>
        <w:t xml:space="preserve"> se analizarán los siguientes temas: i) trato nacional en la contratación estatal, </w:t>
      </w:r>
      <w:proofErr w:type="spellStart"/>
      <w:r w:rsidR="00E91691" w:rsidRPr="00BC2EF4">
        <w:rPr>
          <w:rFonts w:ascii="Arial" w:eastAsia="Calibri" w:hAnsi="Arial" w:cs="Arial"/>
          <w:sz w:val="22"/>
          <w:szCs w:val="22"/>
          <w:lang w:val="es-ES"/>
        </w:rPr>
        <w:t>ii</w:t>
      </w:r>
      <w:proofErr w:type="spellEnd"/>
      <w:r w:rsidR="00E91691" w:rsidRPr="00BC2EF4">
        <w:rPr>
          <w:rFonts w:ascii="Arial" w:eastAsia="Calibri" w:hAnsi="Arial" w:cs="Arial"/>
          <w:sz w:val="22"/>
          <w:szCs w:val="22"/>
          <w:lang w:val="es-ES"/>
        </w:rPr>
        <w:t xml:space="preserve">) otorgamiento de puntaje para apoyar la industria nacional y </w:t>
      </w:r>
      <w:proofErr w:type="spellStart"/>
      <w:r w:rsidR="00E91691" w:rsidRPr="00BC2EF4">
        <w:rPr>
          <w:rFonts w:ascii="Arial" w:eastAsia="Calibri" w:hAnsi="Arial" w:cs="Arial"/>
          <w:sz w:val="22"/>
          <w:szCs w:val="22"/>
          <w:lang w:val="es-ES"/>
        </w:rPr>
        <w:t>iii</w:t>
      </w:r>
      <w:proofErr w:type="spellEnd"/>
      <w:r w:rsidR="00E91691" w:rsidRPr="00BC2EF4">
        <w:rPr>
          <w:rFonts w:ascii="Arial" w:eastAsia="Calibri" w:hAnsi="Arial" w:cs="Arial"/>
          <w:sz w:val="22"/>
          <w:szCs w:val="22"/>
          <w:lang w:val="es-ES"/>
        </w:rPr>
        <w:t xml:space="preserve">) </w:t>
      </w:r>
      <w:r w:rsidR="001862AA" w:rsidRPr="00BC2EF4">
        <w:rPr>
          <w:rFonts w:ascii="Arial" w:eastAsia="Calibri" w:hAnsi="Arial" w:cs="Arial"/>
          <w:sz w:val="22"/>
          <w:szCs w:val="22"/>
          <w:lang w:val="es-ES"/>
        </w:rPr>
        <w:t>r</w:t>
      </w:r>
      <w:r w:rsidR="00F245DF" w:rsidRPr="00BC2EF4">
        <w:rPr>
          <w:rFonts w:ascii="Arial" w:eastAsia="Calibri" w:hAnsi="Arial" w:cs="Arial"/>
          <w:sz w:val="22"/>
          <w:szCs w:val="22"/>
          <w:lang w:val="es-ES"/>
        </w:rPr>
        <w:t>egulación del puntaje por apoyo a la industria nacional en procesos adelantados con documentos tipo</w:t>
      </w:r>
      <w:r w:rsidR="00A300F4" w:rsidRPr="00BC2EF4">
        <w:rPr>
          <w:rFonts w:ascii="Arial" w:eastAsia="Calibri" w:hAnsi="Arial" w:cs="Arial"/>
          <w:color w:val="000000" w:themeColor="text1"/>
          <w:sz w:val="22"/>
          <w:szCs w:val="22"/>
          <w:lang w:val="es-ES_tradnl"/>
        </w:rPr>
        <w:t>.</w:t>
      </w:r>
    </w:p>
    <w:p w14:paraId="0328D825" w14:textId="773B2141" w:rsidR="007374F5" w:rsidRPr="00BC2EF4" w:rsidRDefault="00A300F4" w:rsidP="00BC2EF4">
      <w:pPr>
        <w:spacing w:line="276" w:lineRule="auto"/>
        <w:ind w:firstLine="708"/>
        <w:jc w:val="both"/>
        <w:rPr>
          <w:rFonts w:ascii="Arial" w:hAnsi="Arial" w:cs="Arial"/>
          <w:bCs/>
          <w:color w:val="000000" w:themeColor="text1"/>
          <w:sz w:val="22"/>
        </w:rPr>
      </w:pPr>
      <w:r w:rsidRPr="00BC2EF4">
        <w:rPr>
          <w:rFonts w:ascii="Arial" w:eastAsia="Calibri" w:hAnsi="Arial" w:cs="Arial"/>
          <w:color w:val="000000" w:themeColor="text1"/>
          <w:sz w:val="22"/>
          <w:szCs w:val="22"/>
          <w:lang w:val="es-ES_tradnl"/>
        </w:rPr>
        <w:t>L</w:t>
      </w:r>
      <w:r w:rsidR="007374F5" w:rsidRPr="00BC2EF4">
        <w:rPr>
          <w:rFonts w:ascii="Arial" w:eastAsia="Calibri" w:hAnsi="Arial" w:cs="Arial"/>
          <w:color w:val="000000" w:themeColor="text1"/>
          <w:sz w:val="22"/>
          <w:szCs w:val="22"/>
          <w:lang w:val="es-ES_tradnl"/>
        </w:rPr>
        <w:t xml:space="preserve">a Agencia Nacional de Contratación Pública – Colombia Compra Eficiente </w:t>
      </w:r>
      <w:r w:rsidR="006B040D" w:rsidRPr="00BC2EF4">
        <w:rPr>
          <w:rFonts w:ascii="Arial" w:eastAsia="Calibri" w:hAnsi="Arial" w:cs="Arial"/>
          <w:sz w:val="22"/>
          <w:lang w:val="es-ES_tradnl"/>
        </w:rPr>
        <w:t>se ha pronunciado en diferentes oportunidades</w:t>
      </w:r>
      <w:r w:rsidR="00EA6399" w:rsidRPr="00BC2EF4">
        <w:rPr>
          <w:rFonts w:ascii="Arial" w:eastAsia="Calibri" w:hAnsi="Arial" w:cs="Arial"/>
          <w:color w:val="000000" w:themeColor="text1"/>
          <w:sz w:val="22"/>
          <w:lang w:val="es-ES_tradnl"/>
        </w:rPr>
        <w:t xml:space="preserve">, mediante los </w:t>
      </w:r>
      <w:r w:rsidR="0002191C" w:rsidRPr="00BC2EF4">
        <w:rPr>
          <w:rFonts w:ascii="Arial" w:eastAsia="Calibri" w:hAnsi="Arial" w:cs="Arial"/>
          <w:color w:val="000000" w:themeColor="text1"/>
          <w:sz w:val="22"/>
          <w:lang w:val="es-ES_tradnl"/>
        </w:rPr>
        <w:t>C</w:t>
      </w:r>
      <w:r w:rsidR="00EA6399" w:rsidRPr="00BC2EF4">
        <w:rPr>
          <w:rFonts w:ascii="Arial" w:eastAsia="Calibri" w:hAnsi="Arial" w:cs="Arial"/>
          <w:color w:val="000000" w:themeColor="text1"/>
          <w:sz w:val="22"/>
          <w:lang w:val="es-ES_tradnl"/>
        </w:rPr>
        <w:t>onceptos C-043 del 15 de enero de 2020, C-073 del 28 de febrero de 2020, C-114 del 6 de marzo de 2020, C-033 del 13 de marzo de 2020, C-119 del 18 de marzo de 2020, C-360</w:t>
      </w:r>
      <w:r w:rsidR="0002191C" w:rsidRPr="00BC2EF4">
        <w:rPr>
          <w:rFonts w:ascii="Arial" w:eastAsia="Calibri" w:hAnsi="Arial" w:cs="Arial"/>
          <w:color w:val="000000" w:themeColor="text1"/>
          <w:sz w:val="22"/>
          <w:lang w:val="es-ES_tradnl"/>
        </w:rPr>
        <w:t xml:space="preserve"> del 16 de julio de 2020,</w:t>
      </w:r>
      <w:r w:rsidR="00EA6399" w:rsidRPr="00BC2EF4">
        <w:rPr>
          <w:rFonts w:ascii="Arial" w:eastAsia="Calibri" w:hAnsi="Arial" w:cs="Arial"/>
          <w:color w:val="000000" w:themeColor="text1"/>
          <w:sz w:val="22"/>
          <w:lang w:val="es-ES_tradnl"/>
        </w:rPr>
        <w:t xml:space="preserve"> C-417</w:t>
      </w:r>
      <w:r w:rsidR="0002191C" w:rsidRPr="00BC2EF4">
        <w:rPr>
          <w:rFonts w:ascii="Arial" w:eastAsia="Calibri" w:hAnsi="Arial" w:cs="Arial"/>
          <w:color w:val="000000" w:themeColor="text1"/>
          <w:sz w:val="22"/>
          <w:lang w:val="es-ES_tradnl"/>
        </w:rPr>
        <w:t xml:space="preserve"> del 16 de julio de 2020</w:t>
      </w:r>
      <w:r w:rsidR="006F79C0" w:rsidRPr="00BC2EF4">
        <w:rPr>
          <w:rFonts w:ascii="Arial" w:eastAsia="Calibri" w:hAnsi="Arial" w:cs="Arial"/>
          <w:color w:val="000000" w:themeColor="text1"/>
          <w:sz w:val="22"/>
          <w:lang w:val="es-ES_tradnl"/>
        </w:rPr>
        <w:t xml:space="preserve">, </w:t>
      </w:r>
      <w:r w:rsidR="00EA6399" w:rsidRPr="00BC2EF4">
        <w:rPr>
          <w:rFonts w:ascii="Arial" w:eastAsia="Calibri" w:hAnsi="Arial" w:cs="Arial"/>
          <w:color w:val="000000" w:themeColor="text1"/>
          <w:sz w:val="22"/>
          <w:lang w:val="es-ES_tradnl"/>
        </w:rPr>
        <w:t>C-041 del 26 de enero de 2021,</w:t>
      </w:r>
      <w:r w:rsidR="004859E4" w:rsidRPr="00BC2EF4">
        <w:rPr>
          <w:rFonts w:ascii="Arial" w:eastAsia="Calibri" w:hAnsi="Arial" w:cs="Arial"/>
          <w:color w:val="000000" w:themeColor="text1"/>
          <w:sz w:val="22"/>
          <w:lang w:val="es-ES_tradnl"/>
        </w:rPr>
        <w:t xml:space="preserve"> C-684</w:t>
      </w:r>
      <w:r w:rsidR="00A113E9" w:rsidRPr="00BC2EF4">
        <w:rPr>
          <w:rFonts w:ascii="Arial" w:eastAsia="Calibri" w:hAnsi="Arial" w:cs="Arial"/>
          <w:color w:val="000000" w:themeColor="text1"/>
          <w:sz w:val="22"/>
          <w:lang w:val="es-ES_tradnl"/>
        </w:rPr>
        <w:t xml:space="preserve"> del 20 de diciembre de 2021,</w:t>
      </w:r>
      <w:r w:rsidR="00EA6399" w:rsidRPr="00BC2EF4">
        <w:rPr>
          <w:rFonts w:ascii="Arial" w:eastAsia="Calibri" w:hAnsi="Arial" w:cs="Arial"/>
          <w:color w:val="000000" w:themeColor="text1"/>
          <w:sz w:val="22"/>
          <w:lang w:val="es-ES_tradnl"/>
        </w:rPr>
        <w:t xml:space="preserve"> </w:t>
      </w:r>
      <w:r w:rsidR="001130DA" w:rsidRPr="00BC2EF4">
        <w:rPr>
          <w:rFonts w:ascii="Arial" w:eastAsia="Calibri" w:hAnsi="Arial" w:cs="Arial"/>
          <w:color w:val="000000" w:themeColor="text1"/>
          <w:sz w:val="22"/>
          <w:lang w:val="es-ES_tradnl"/>
        </w:rPr>
        <w:t>C-020 del 22 de febrero de 2022,</w:t>
      </w:r>
      <w:r w:rsidR="00996E5A" w:rsidRPr="00BC2EF4">
        <w:rPr>
          <w:rFonts w:ascii="Arial" w:eastAsia="Calibri" w:hAnsi="Arial" w:cs="Arial"/>
          <w:color w:val="000000" w:themeColor="text1"/>
          <w:sz w:val="22"/>
          <w:lang w:val="es-ES_tradnl"/>
        </w:rPr>
        <w:t xml:space="preserve"> C-050</w:t>
      </w:r>
      <w:r w:rsidR="008A203F" w:rsidRPr="00BC2EF4">
        <w:rPr>
          <w:rFonts w:ascii="Arial" w:eastAsia="Calibri" w:hAnsi="Arial" w:cs="Arial"/>
          <w:color w:val="000000" w:themeColor="text1"/>
          <w:sz w:val="22"/>
          <w:lang w:val="es-ES_tradnl"/>
        </w:rPr>
        <w:t xml:space="preserve"> del 7 de marzo de 2022,</w:t>
      </w:r>
      <w:r w:rsidR="001130DA" w:rsidRPr="00BC2EF4">
        <w:rPr>
          <w:rFonts w:ascii="Arial" w:eastAsia="Calibri" w:hAnsi="Arial" w:cs="Arial"/>
          <w:color w:val="000000" w:themeColor="text1"/>
          <w:sz w:val="22"/>
          <w:lang w:val="es-ES_tradnl"/>
        </w:rPr>
        <w:t xml:space="preserve"> C-</w:t>
      </w:r>
      <w:r w:rsidR="00A5481A" w:rsidRPr="00BC2EF4">
        <w:rPr>
          <w:rFonts w:ascii="Arial" w:eastAsia="Calibri" w:hAnsi="Arial" w:cs="Arial"/>
          <w:color w:val="000000" w:themeColor="text1"/>
          <w:sz w:val="22"/>
          <w:lang w:val="es-ES_tradnl"/>
        </w:rPr>
        <w:t xml:space="preserve">166 del 5 de abril de 2022, </w:t>
      </w:r>
      <w:r w:rsidR="005C5A50" w:rsidRPr="00BC2EF4">
        <w:rPr>
          <w:rFonts w:ascii="Arial" w:eastAsia="Calibri" w:hAnsi="Arial" w:cs="Arial"/>
          <w:color w:val="000000" w:themeColor="text1"/>
          <w:sz w:val="22"/>
          <w:lang w:val="es-ES_tradnl"/>
        </w:rPr>
        <w:t xml:space="preserve">C-196 del </w:t>
      </w:r>
      <w:r w:rsidR="00F34D13" w:rsidRPr="00BC2EF4">
        <w:rPr>
          <w:rFonts w:ascii="Arial" w:eastAsia="Calibri" w:hAnsi="Arial" w:cs="Arial"/>
          <w:color w:val="000000" w:themeColor="text1"/>
          <w:sz w:val="22"/>
          <w:lang w:val="es-ES_tradnl"/>
        </w:rPr>
        <w:t xml:space="preserve">13 de abril de 2022, </w:t>
      </w:r>
      <w:r w:rsidR="00384F0F" w:rsidRPr="00BC2EF4">
        <w:rPr>
          <w:rFonts w:ascii="Arial" w:eastAsia="Calibri" w:hAnsi="Arial" w:cs="Arial"/>
          <w:color w:val="000000" w:themeColor="text1"/>
          <w:sz w:val="22"/>
          <w:lang w:val="es-ES_tradnl"/>
        </w:rPr>
        <w:t>C-201 del 13 de abril de 2022</w:t>
      </w:r>
      <w:r w:rsidR="00531CCB" w:rsidRPr="00BC2EF4">
        <w:rPr>
          <w:rFonts w:ascii="Arial" w:eastAsia="Calibri" w:hAnsi="Arial" w:cs="Arial"/>
          <w:color w:val="000000" w:themeColor="text1"/>
          <w:sz w:val="22"/>
          <w:lang w:val="es-ES_tradnl"/>
        </w:rPr>
        <w:t>, C-219 del 21 de abril de 2022,</w:t>
      </w:r>
      <w:r w:rsidR="00384F0F" w:rsidRPr="00BC2EF4">
        <w:rPr>
          <w:rFonts w:ascii="Arial" w:eastAsia="Calibri" w:hAnsi="Arial" w:cs="Arial"/>
          <w:color w:val="000000" w:themeColor="text1"/>
          <w:sz w:val="22"/>
          <w:lang w:val="es-ES_tradnl"/>
        </w:rPr>
        <w:t xml:space="preserve"> </w:t>
      </w:r>
      <w:r w:rsidR="00EA6399" w:rsidRPr="00BC2EF4">
        <w:rPr>
          <w:rFonts w:ascii="Arial" w:eastAsia="Calibri" w:hAnsi="Arial" w:cs="Arial"/>
          <w:color w:val="000000" w:themeColor="text1"/>
          <w:sz w:val="22"/>
          <w:lang w:val="es-ES_tradnl"/>
        </w:rPr>
        <w:t xml:space="preserve">sobre el entendimiento del concepto de trato nacional y sobre el apoyo a la industria nacional en los procedimientos de selección. Algunas de </w:t>
      </w:r>
      <w:r w:rsidR="00EA6399" w:rsidRPr="00BC2EF4">
        <w:rPr>
          <w:rFonts w:ascii="Arial" w:hAnsi="Arial" w:cs="Arial"/>
          <w:color w:val="000000" w:themeColor="text1"/>
          <w:sz w:val="22"/>
          <w:lang w:val="es-ES_tradnl"/>
        </w:rPr>
        <w:t>las tesis expuestas en dichas oportunidades se reiteran a continuación</w:t>
      </w:r>
      <w:r w:rsidR="00FC4151" w:rsidRPr="00BC2EF4">
        <w:rPr>
          <w:rFonts w:ascii="Arial" w:eastAsia="Calibri" w:hAnsi="Arial" w:cs="Arial"/>
          <w:sz w:val="22"/>
          <w:szCs w:val="22"/>
          <w:lang w:val="es-ES"/>
        </w:rPr>
        <w:t>:</w:t>
      </w:r>
      <w:r w:rsidR="003C18A8" w:rsidRPr="00BC2EF4">
        <w:rPr>
          <w:rFonts w:ascii="Arial" w:eastAsia="Calibri" w:hAnsi="Arial" w:cs="Arial"/>
          <w:sz w:val="22"/>
          <w:szCs w:val="22"/>
          <w:lang w:val="es-ES"/>
        </w:rPr>
        <w:t xml:space="preserve"> </w:t>
      </w:r>
    </w:p>
    <w:p w14:paraId="35ED992F" w14:textId="77777777" w:rsidR="006E280E" w:rsidRPr="00BC2EF4" w:rsidRDefault="006E280E" w:rsidP="004963B0">
      <w:pPr>
        <w:jc w:val="both"/>
        <w:rPr>
          <w:rFonts w:ascii="Arial" w:eastAsia="Calibri" w:hAnsi="Arial" w:cs="Arial"/>
          <w:sz w:val="22"/>
          <w:szCs w:val="22"/>
          <w:lang w:val="es-ES"/>
        </w:rPr>
      </w:pPr>
    </w:p>
    <w:p w14:paraId="0A27510B" w14:textId="5F3E62A6" w:rsidR="003E702F" w:rsidRPr="00BC2EF4" w:rsidRDefault="00EA6399" w:rsidP="003E702F">
      <w:pPr>
        <w:tabs>
          <w:tab w:val="left" w:pos="0"/>
        </w:tabs>
        <w:spacing w:line="276" w:lineRule="auto"/>
        <w:jc w:val="both"/>
        <w:rPr>
          <w:rFonts w:ascii="Arial" w:eastAsia="Calibri" w:hAnsi="Arial" w:cs="Arial"/>
          <w:b/>
          <w:color w:val="000000" w:themeColor="text1"/>
          <w:sz w:val="22"/>
          <w:szCs w:val="22"/>
          <w:lang w:val="es-ES_tradnl"/>
        </w:rPr>
      </w:pPr>
      <w:bookmarkStart w:id="0" w:name="_Hlk84855017"/>
      <w:r w:rsidRPr="00BC2EF4">
        <w:rPr>
          <w:rFonts w:ascii="Arial" w:eastAsia="Calibri" w:hAnsi="Arial" w:cs="Arial"/>
          <w:b/>
          <w:color w:val="000000" w:themeColor="text1"/>
          <w:sz w:val="22"/>
          <w:szCs w:val="22"/>
          <w:lang w:val="es-ES_tradnl"/>
        </w:rPr>
        <w:t>2.</w:t>
      </w:r>
      <w:r w:rsidR="00714C48" w:rsidRPr="00BC2EF4">
        <w:rPr>
          <w:rFonts w:ascii="Arial" w:eastAsia="Calibri" w:hAnsi="Arial" w:cs="Arial"/>
          <w:b/>
          <w:color w:val="000000" w:themeColor="text1"/>
          <w:sz w:val="22"/>
          <w:szCs w:val="22"/>
          <w:lang w:val="es-ES_tradnl"/>
        </w:rPr>
        <w:t>1</w:t>
      </w:r>
      <w:r w:rsidR="003E702F" w:rsidRPr="00BC2EF4">
        <w:rPr>
          <w:rFonts w:ascii="Arial" w:eastAsia="Calibri" w:hAnsi="Arial" w:cs="Arial"/>
          <w:b/>
          <w:color w:val="000000" w:themeColor="text1"/>
          <w:sz w:val="22"/>
          <w:szCs w:val="22"/>
          <w:lang w:val="es-ES_tradnl"/>
        </w:rPr>
        <w:t>. Trato nacional en la contratación estatal. Fuentes y acreditación</w:t>
      </w:r>
    </w:p>
    <w:p w14:paraId="215CC619" w14:textId="77777777" w:rsidR="003E702F" w:rsidRPr="00BC2EF4" w:rsidRDefault="003E702F" w:rsidP="003E702F">
      <w:pPr>
        <w:tabs>
          <w:tab w:val="left" w:pos="0"/>
        </w:tabs>
        <w:spacing w:line="276" w:lineRule="auto"/>
        <w:jc w:val="both"/>
        <w:rPr>
          <w:rFonts w:ascii="Arial" w:eastAsia="Calibri" w:hAnsi="Arial" w:cs="Arial"/>
          <w:bCs/>
          <w:color w:val="000000" w:themeColor="text1"/>
          <w:sz w:val="22"/>
          <w:szCs w:val="22"/>
          <w:lang w:val="es-ES_tradnl"/>
        </w:rPr>
      </w:pPr>
    </w:p>
    <w:p w14:paraId="59B3A001" w14:textId="77777777" w:rsidR="000E542B" w:rsidRPr="00BC2EF4" w:rsidRDefault="000E542B" w:rsidP="000E542B">
      <w:pPr>
        <w:tabs>
          <w:tab w:val="left" w:pos="0"/>
        </w:tabs>
        <w:spacing w:line="276" w:lineRule="auto"/>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 xml:space="preserve">El artículo 20 de la Ley 80 de 1993 consagra el </w:t>
      </w:r>
      <w:r w:rsidRPr="00BC2EF4">
        <w:rPr>
          <w:rFonts w:ascii="Arial" w:eastAsia="Calibri" w:hAnsi="Arial" w:cs="Arial"/>
          <w:bCs/>
          <w:i/>
          <w:iCs/>
          <w:color w:val="000000" w:themeColor="text1"/>
          <w:sz w:val="22"/>
          <w:lang w:val="es-ES_tradnl"/>
        </w:rPr>
        <w:t>principio de reciprocidad</w:t>
      </w:r>
      <w:r w:rsidRPr="00BC2EF4">
        <w:rPr>
          <w:rFonts w:ascii="Arial" w:eastAsia="Calibri" w:hAnsi="Arial" w:cs="Arial"/>
          <w:bCs/>
          <w:color w:val="000000" w:themeColor="text1"/>
          <w:sz w:val="22"/>
          <w:lang w:val="es-ES_tradnl"/>
        </w:rPr>
        <w:t xml:space="preserve"> en la contratación estatal, entendido como el compromiso asumido por el Estado de brindar a los oferentes de bienes y servicios de origen extranjero un trato semejante al que les conceden a los colombianos en otros Estados con los cuales se ha celebrado acuerdo o tratado comercial, cuando, en ausencia de tratado, se certifica dicha reciprocidad</w:t>
      </w:r>
      <w:r w:rsidRPr="00BC2EF4">
        <w:rPr>
          <w:rStyle w:val="Refdenotaalpie"/>
          <w:rFonts w:ascii="Arial" w:eastAsia="Calibri" w:hAnsi="Arial" w:cs="Arial"/>
          <w:bCs/>
          <w:color w:val="000000" w:themeColor="text1"/>
          <w:sz w:val="22"/>
          <w:lang w:val="es-ES_tradnl"/>
        </w:rPr>
        <w:footnoteReference w:id="1"/>
      </w:r>
      <w:r w:rsidRPr="00BC2EF4">
        <w:rPr>
          <w:rFonts w:ascii="Arial" w:eastAsia="Calibri" w:hAnsi="Arial" w:cs="Arial"/>
          <w:bCs/>
          <w:color w:val="000000" w:themeColor="text1"/>
          <w:sz w:val="22"/>
          <w:lang w:val="es-ES_tradnl"/>
        </w:rPr>
        <w:t>, o en virtud de procesos de integración regional</w:t>
      </w:r>
      <w:r w:rsidRPr="00BC2EF4">
        <w:rPr>
          <w:rStyle w:val="Refdenotaalpie"/>
          <w:rFonts w:ascii="Arial" w:eastAsia="Calibri" w:hAnsi="Arial" w:cs="Arial"/>
          <w:bCs/>
          <w:color w:val="000000" w:themeColor="text1"/>
          <w:sz w:val="22"/>
          <w:lang w:val="es-ES_tradnl"/>
        </w:rPr>
        <w:footnoteReference w:id="2"/>
      </w:r>
      <w:r w:rsidRPr="00BC2EF4">
        <w:rPr>
          <w:rFonts w:ascii="Arial" w:eastAsia="Calibri" w:hAnsi="Arial" w:cs="Arial"/>
          <w:bCs/>
          <w:color w:val="000000" w:themeColor="text1"/>
          <w:sz w:val="22"/>
          <w:lang w:val="es-ES_tradnl"/>
        </w:rPr>
        <w:t>.</w:t>
      </w:r>
    </w:p>
    <w:p w14:paraId="5B0E25BF" w14:textId="77777777" w:rsidR="000E542B" w:rsidRPr="00BC2EF4" w:rsidRDefault="000E542B" w:rsidP="000E542B">
      <w:pPr>
        <w:tabs>
          <w:tab w:val="left" w:pos="0"/>
        </w:tabs>
        <w:spacing w:before="120" w:line="276" w:lineRule="auto"/>
        <w:ind w:firstLine="709"/>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 xml:space="preserve">En otras palabras, el </w:t>
      </w:r>
      <w:r w:rsidRPr="00BC2EF4">
        <w:rPr>
          <w:rFonts w:ascii="Arial" w:eastAsia="Calibri" w:hAnsi="Arial" w:cs="Arial"/>
          <w:bCs/>
          <w:i/>
          <w:iCs/>
          <w:color w:val="000000" w:themeColor="text1"/>
          <w:sz w:val="22"/>
          <w:lang w:val="es-ES_tradnl"/>
        </w:rPr>
        <w:t xml:space="preserve">trato nacional </w:t>
      </w:r>
      <w:r w:rsidRPr="00BC2EF4">
        <w:rPr>
          <w:rFonts w:ascii="Arial" w:eastAsia="Calibri" w:hAnsi="Arial" w:cs="Arial"/>
          <w:bCs/>
          <w:color w:val="000000" w:themeColor="text1"/>
          <w:sz w:val="22"/>
          <w:lang w:val="es-ES_tradnl"/>
        </w:rPr>
        <w:t xml:space="preserve">consiste en la consideración especial en la asignación de puntaje, que se tiene sobre los oferentes, bienes y servicios colombianos, en los procedimientos de selección, pero que, en virtud del principio de reciprocidad, se extiende a los oferentes, bienes o servicios extranjeros; privilegio que puede provenir de alguna de tres fuentes: i) un tratado o acuerdo comercial en el que se haya negociado dicho trato nacional, </w:t>
      </w:r>
      <w:proofErr w:type="spellStart"/>
      <w:r w:rsidRPr="00BC2EF4">
        <w:rPr>
          <w:rFonts w:ascii="Arial" w:eastAsia="Calibri" w:hAnsi="Arial" w:cs="Arial"/>
          <w:bCs/>
          <w:color w:val="000000" w:themeColor="text1"/>
          <w:sz w:val="22"/>
          <w:lang w:val="es-ES_tradnl"/>
        </w:rPr>
        <w:t>ii</w:t>
      </w:r>
      <w:proofErr w:type="spellEnd"/>
      <w:r w:rsidRPr="00BC2EF4">
        <w:rPr>
          <w:rFonts w:ascii="Arial" w:eastAsia="Calibri" w:hAnsi="Arial" w:cs="Arial"/>
          <w:bCs/>
          <w:color w:val="000000" w:themeColor="text1"/>
          <w:sz w:val="22"/>
          <w:lang w:val="es-ES_tradnl"/>
        </w:rPr>
        <w:t xml:space="preserve">) un certificado de reciprocidad expedido por el Ministerio de Relaciones Exteriores –ante la ausencia de un tratado o acuerdo comercial– o </w:t>
      </w:r>
      <w:proofErr w:type="spellStart"/>
      <w:r w:rsidRPr="00BC2EF4">
        <w:rPr>
          <w:rFonts w:ascii="Arial" w:eastAsia="Calibri" w:hAnsi="Arial" w:cs="Arial"/>
          <w:bCs/>
          <w:color w:val="000000" w:themeColor="text1"/>
          <w:sz w:val="22"/>
          <w:lang w:val="es-ES_tradnl"/>
        </w:rPr>
        <w:t>iii</w:t>
      </w:r>
      <w:proofErr w:type="spellEnd"/>
      <w:r w:rsidRPr="00BC2EF4">
        <w:rPr>
          <w:rFonts w:ascii="Arial" w:eastAsia="Calibri" w:hAnsi="Arial" w:cs="Arial"/>
          <w:bCs/>
          <w:color w:val="000000" w:themeColor="text1"/>
          <w:sz w:val="22"/>
          <w:lang w:val="es-ES_tradnl"/>
        </w:rPr>
        <w:t>) la regulación andina. Las tres fuentes se reconocen no solo en el precitado artículo 20 de la Ley 80 de 1993, sino también en el artículo 2.2.1.2.4.1.3. del Decreto 1082 de 2015</w:t>
      </w:r>
      <w:r w:rsidRPr="00BC2EF4">
        <w:rPr>
          <w:rStyle w:val="Refdenotaalpie"/>
          <w:rFonts w:ascii="Arial" w:eastAsia="Calibri" w:hAnsi="Arial" w:cs="Arial"/>
          <w:bCs/>
          <w:color w:val="000000" w:themeColor="text1"/>
          <w:sz w:val="22"/>
          <w:lang w:val="es-ES_tradnl"/>
        </w:rPr>
        <w:footnoteReference w:id="3"/>
      </w:r>
      <w:r w:rsidRPr="00BC2EF4">
        <w:rPr>
          <w:rFonts w:ascii="Arial" w:eastAsia="Calibri" w:hAnsi="Arial" w:cs="Arial"/>
          <w:bCs/>
          <w:color w:val="000000" w:themeColor="text1"/>
          <w:sz w:val="22"/>
          <w:lang w:val="es-ES_tradnl"/>
        </w:rPr>
        <w:t>.</w:t>
      </w:r>
    </w:p>
    <w:p w14:paraId="48CAF2FE" w14:textId="77777777" w:rsidR="000E542B" w:rsidRPr="00BC2EF4" w:rsidRDefault="000E542B" w:rsidP="000E542B">
      <w:pPr>
        <w:tabs>
          <w:tab w:val="left" w:pos="0"/>
        </w:tabs>
        <w:spacing w:before="120" w:line="276" w:lineRule="auto"/>
        <w:ind w:firstLine="709"/>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 xml:space="preserve">En cuanto a la primera de ellas, cabe señalar que el trato nacional puede estar estipulado en un </w:t>
      </w:r>
      <w:r w:rsidRPr="00BC2EF4">
        <w:rPr>
          <w:rFonts w:ascii="Arial" w:eastAsia="Calibri" w:hAnsi="Arial" w:cs="Arial"/>
          <w:bCs/>
          <w:i/>
          <w:iCs/>
          <w:color w:val="000000" w:themeColor="text1"/>
          <w:sz w:val="22"/>
          <w:lang w:val="es-ES_tradnl"/>
        </w:rPr>
        <w:t>tratado o acuerdo comercial</w:t>
      </w:r>
      <w:r w:rsidRPr="00BC2EF4">
        <w:rPr>
          <w:rFonts w:ascii="Arial" w:eastAsia="Calibri" w:hAnsi="Arial" w:cs="Arial"/>
          <w:bCs/>
          <w:color w:val="000000" w:themeColor="text1"/>
          <w:sz w:val="22"/>
          <w:lang w:val="es-ES_tradnl"/>
        </w:rPr>
        <w:t xml:space="preserve"> suscrito entre Colombia y uno o varios Estados, adoptando como cláusula que a los oferentes, bienes o servicios extranjeros de dichos Estados se les considerará en nuestro país como nacionales, bajo las condiciones establecidas en la respectiva negociación</w:t>
      </w:r>
      <w:r w:rsidRPr="00BC2EF4">
        <w:rPr>
          <w:rStyle w:val="Refdenotaalpie"/>
          <w:rFonts w:ascii="Arial" w:eastAsia="Calibri" w:hAnsi="Arial" w:cs="Arial"/>
          <w:bCs/>
          <w:color w:val="000000" w:themeColor="text1"/>
          <w:sz w:val="22"/>
          <w:lang w:val="es-ES_tradnl"/>
        </w:rPr>
        <w:footnoteReference w:id="4"/>
      </w:r>
      <w:r w:rsidRPr="00BC2EF4">
        <w:rPr>
          <w:rFonts w:ascii="Arial" w:eastAsia="Calibri" w:hAnsi="Arial" w:cs="Arial"/>
          <w:bCs/>
          <w:color w:val="000000" w:themeColor="text1"/>
          <w:sz w:val="22"/>
          <w:lang w:val="es-ES_tradnl"/>
        </w:rPr>
        <w:t>. Así, el tratado correspondiente puede contener un acápite en el que se establezca que determinados bienes o servicios cubiertos se beneficiarán por el trato nacional; lo que a veces también puede suceder con los proveedores. A título de ejemplo, la cláusula 11.2 del tratado de libre comercio suscrito entre Colombia y los países del Triángulo Norte de Centroamérica –El Salvador, Guatemala y Honduras–</w:t>
      </w:r>
      <w:r w:rsidRPr="00BC2EF4">
        <w:rPr>
          <w:rStyle w:val="Refdenotaalpie"/>
          <w:rFonts w:ascii="Arial" w:eastAsia="Calibri" w:hAnsi="Arial" w:cs="Arial"/>
          <w:bCs/>
          <w:color w:val="000000" w:themeColor="text1"/>
          <w:sz w:val="22"/>
          <w:lang w:val="es-ES_tradnl"/>
        </w:rPr>
        <w:footnoteReference w:id="5"/>
      </w:r>
      <w:r w:rsidRPr="00BC2EF4">
        <w:rPr>
          <w:rFonts w:ascii="Arial" w:eastAsia="Calibri" w:hAnsi="Arial" w:cs="Arial"/>
          <w:bCs/>
          <w:color w:val="000000" w:themeColor="text1"/>
          <w:sz w:val="22"/>
          <w:lang w:val="es-ES_tradnl"/>
        </w:rPr>
        <w:t xml:space="preserve"> establece que, con respecto a la cobertura negociada en dicho acuerdo, «cada Parte concederá a las mercancías, servicios, incluidos los servicios de construcción, y proveedores de la otra Parte, un trato no menos favorable que el que conceda a sus propias mercancías, servicios y proveedores». Así mismo, el artículo 9.2 del tratado de libre comercio celebrado entre Colombia y los Estados Unidos de Norteamérica</w:t>
      </w:r>
      <w:r w:rsidRPr="00BC2EF4">
        <w:rPr>
          <w:rStyle w:val="Refdenotaalpie"/>
          <w:rFonts w:ascii="Arial" w:eastAsia="Calibri" w:hAnsi="Arial" w:cs="Arial"/>
          <w:bCs/>
          <w:color w:val="000000" w:themeColor="text1"/>
          <w:sz w:val="22"/>
          <w:lang w:val="es-ES_tradnl"/>
        </w:rPr>
        <w:footnoteReference w:id="6"/>
      </w:r>
      <w:r w:rsidRPr="00BC2EF4">
        <w:rPr>
          <w:rFonts w:ascii="Arial" w:eastAsia="Calibri" w:hAnsi="Arial" w:cs="Arial"/>
          <w:bCs/>
          <w:color w:val="000000" w:themeColor="text1"/>
          <w:sz w:val="22"/>
          <w:lang w:val="es-ES_tradnl"/>
        </w:rPr>
        <w:t>, prevé que «Con respecto a cualquier medida cubierta por este Capítulo [es decir, el capítulo 9], cada Parte otorgará incondicionalmente a las mercancías y servicios de la otra Parte y a los proveedores de tales mercancías y servicios, un trato no menos favorable que el trato más favorable otorgado por dicha Parte a sus propias mercancías, servicios y proveedores» (nota entre corchetes fuera de texto).</w:t>
      </w:r>
    </w:p>
    <w:p w14:paraId="2CD8D59D" w14:textId="77777777" w:rsidR="000E542B" w:rsidRPr="00BC2EF4" w:rsidRDefault="000E542B" w:rsidP="000E542B">
      <w:pPr>
        <w:tabs>
          <w:tab w:val="left" w:pos="0"/>
        </w:tabs>
        <w:spacing w:before="120" w:line="276" w:lineRule="auto"/>
        <w:ind w:firstLine="709"/>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 xml:space="preserve">En consecuencia, para que pueda aplicarse el trato nacional en virtud del pacto contenido en un tratado o acuerdo comercial, la contratación debe versar sobre los bienes, servicios o proveedores </w:t>
      </w:r>
      <w:r w:rsidRPr="00BC2EF4">
        <w:rPr>
          <w:rFonts w:ascii="Arial" w:eastAsia="Calibri" w:hAnsi="Arial" w:cs="Arial"/>
          <w:bCs/>
          <w:i/>
          <w:iCs/>
          <w:color w:val="000000" w:themeColor="text1"/>
          <w:sz w:val="22"/>
          <w:lang w:val="es-ES_tradnl"/>
        </w:rPr>
        <w:t>cubiertos</w:t>
      </w:r>
      <w:r w:rsidRPr="00BC2EF4">
        <w:rPr>
          <w:rFonts w:ascii="Arial" w:eastAsia="Calibri" w:hAnsi="Arial" w:cs="Arial"/>
          <w:bCs/>
          <w:color w:val="000000" w:themeColor="text1"/>
          <w:sz w:val="22"/>
          <w:lang w:val="es-ES_tradnl"/>
        </w:rPr>
        <w:t xml:space="preserve"> por dicho tratado, pues la autonomía de la voluntad de los Estados, que es expresión de su soberanía, les permite negociar en el acuerdo comercial un alcance o cobertura </w:t>
      </w:r>
      <w:proofErr w:type="gramStart"/>
      <w:r w:rsidRPr="00BC2EF4">
        <w:rPr>
          <w:rFonts w:ascii="Arial" w:eastAsia="Calibri" w:hAnsi="Arial" w:cs="Arial"/>
          <w:bCs/>
          <w:color w:val="000000" w:themeColor="text1"/>
          <w:sz w:val="22"/>
          <w:lang w:val="es-ES_tradnl"/>
        </w:rPr>
        <w:t>del mismo</w:t>
      </w:r>
      <w:proofErr w:type="gramEnd"/>
      <w:r w:rsidRPr="00BC2EF4">
        <w:rPr>
          <w:rFonts w:ascii="Arial" w:eastAsia="Calibri" w:hAnsi="Arial" w:cs="Arial"/>
          <w:bCs/>
          <w:color w:val="000000" w:themeColor="text1"/>
          <w:sz w:val="22"/>
          <w:lang w:val="es-ES_tradnl"/>
        </w:rPr>
        <w:t xml:space="preserve">, según razones de oportunidad o conveniencia. Es por esto </w:t>
      </w:r>
      <w:proofErr w:type="gramStart"/>
      <w:r w:rsidRPr="00BC2EF4">
        <w:rPr>
          <w:rFonts w:ascii="Arial" w:eastAsia="Calibri" w:hAnsi="Arial" w:cs="Arial"/>
          <w:bCs/>
          <w:color w:val="000000" w:themeColor="text1"/>
          <w:sz w:val="22"/>
          <w:lang w:val="es-ES_tradnl"/>
        </w:rPr>
        <w:t>que</w:t>
      </w:r>
      <w:proofErr w:type="gramEnd"/>
      <w:r w:rsidRPr="00BC2EF4">
        <w:rPr>
          <w:rFonts w:ascii="Arial" w:eastAsia="Calibri" w:hAnsi="Arial" w:cs="Arial"/>
          <w:bCs/>
          <w:color w:val="000000" w:themeColor="text1"/>
          <w:sz w:val="22"/>
          <w:lang w:val="es-ES_tradnl"/>
        </w:rPr>
        <w:t xml:space="preserve"> en los tratados se establecen las entidades cubiertas, así como los umbrales, es decir, los valores o montos que, al igualarse o superarse en un procedimiento de contratación, hacen que este quede amparado por el tratado</w:t>
      </w:r>
      <w:r w:rsidRPr="00BC2EF4">
        <w:rPr>
          <w:rStyle w:val="Refdenotaalpie"/>
          <w:rFonts w:ascii="Arial" w:eastAsia="Calibri" w:hAnsi="Arial" w:cs="Arial"/>
          <w:bCs/>
          <w:color w:val="000000" w:themeColor="text1"/>
          <w:sz w:val="22"/>
          <w:lang w:val="es-ES_tradnl"/>
        </w:rPr>
        <w:footnoteReference w:id="7"/>
      </w:r>
      <w:r w:rsidRPr="00BC2EF4">
        <w:rPr>
          <w:rFonts w:ascii="Arial" w:eastAsia="Calibri" w:hAnsi="Arial" w:cs="Arial"/>
          <w:bCs/>
          <w:color w:val="000000" w:themeColor="text1"/>
          <w:sz w:val="22"/>
          <w:lang w:val="es-ES_tradnl"/>
        </w:rPr>
        <w:t>. De igual manera, este también puede contener exclusiones explícitas a su cobertura</w:t>
      </w:r>
      <w:r w:rsidRPr="00BC2EF4">
        <w:rPr>
          <w:rStyle w:val="Refdenotaalpie"/>
          <w:rFonts w:ascii="Arial" w:eastAsia="Calibri" w:hAnsi="Arial" w:cs="Arial"/>
          <w:bCs/>
          <w:color w:val="000000" w:themeColor="text1"/>
          <w:sz w:val="22"/>
          <w:lang w:val="es-ES_tradnl"/>
        </w:rPr>
        <w:footnoteReference w:id="8"/>
      </w:r>
      <w:r w:rsidRPr="00BC2EF4">
        <w:rPr>
          <w:rFonts w:ascii="Arial" w:eastAsia="Calibri" w:hAnsi="Arial" w:cs="Arial"/>
          <w:bCs/>
          <w:color w:val="000000" w:themeColor="text1"/>
          <w:sz w:val="22"/>
          <w:lang w:val="es-ES_tradnl"/>
        </w:rPr>
        <w:t>.</w:t>
      </w:r>
    </w:p>
    <w:p w14:paraId="1587ABA0" w14:textId="77777777" w:rsidR="000E542B" w:rsidRPr="00BC2EF4" w:rsidRDefault="000E542B" w:rsidP="000E542B">
      <w:pPr>
        <w:tabs>
          <w:tab w:val="left" w:pos="0"/>
        </w:tabs>
        <w:spacing w:before="120" w:line="276" w:lineRule="auto"/>
        <w:ind w:firstLine="709"/>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 xml:space="preserve">En relación con la segunda fuente del trato nacional, esto es, el </w:t>
      </w:r>
      <w:r w:rsidRPr="00BC2EF4">
        <w:rPr>
          <w:rFonts w:ascii="Arial" w:eastAsia="Calibri" w:hAnsi="Arial" w:cs="Arial"/>
          <w:bCs/>
          <w:i/>
          <w:iCs/>
          <w:color w:val="000000" w:themeColor="text1"/>
          <w:sz w:val="22"/>
          <w:lang w:val="es-ES_tradnl"/>
        </w:rPr>
        <w:t>certificado de reciprocidad</w:t>
      </w:r>
      <w:r w:rsidRPr="00BC2EF4">
        <w:rPr>
          <w:rFonts w:ascii="Arial" w:eastAsia="Calibri" w:hAnsi="Arial" w:cs="Arial"/>
          <w:bCs/>
          <w:color w:val="000000" w:themeColor="text1"/>
          <w:sz w:val="22"/>
          <w:lang w:val="es-ES_tradnl"/>
        </w:rPr>
        <w:t xml:space="preserve">, el artículo 20 de la Ley 80 de 1993 establece que cuando «[…]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Esto significa que la ausencia de tratado o acuerdo comercial no inhabilita por ese solo hecho al oferente extranjero para participar en el procedimiento de selección abierto por una entidad estatal colombiana, ni le impide ser tratado como nacional de nuestro país, pero, si pretende gozar de este último beneficio, debe contar con un certificado de reciprocidad. Este certificado es un documento que, según el artículo 2.2.1.2.4.1.3. del Decreto 1082 de 2015, debe expedir el Ministerio de Relaciones Exteriores frente «a los bienes y servicios provenientes de Estados con los cuales no exista un Acuerdo </w:t>
      </w:r>
      <w:proofErr w:type="gramStart"/>
      <w:r w:rsidRPr="00BC2EF4">
        <w:rPr>
          <w:rFonts w:ascii="Arial" w:eastAsia="Calibri" w:hAnsi="Arial" w:cs="Arial"/>
          <w:bCs/>
          <w:color w:val="000000" w:themeColor="text1"/>
          <w:sz w:val="22"/>
          <w:lang w:val="es-ES_tradnl"/>
        </w:rPr>
        <w:t>Comercial</w:t>
      </w:r>
      <w:proofErr w:type="gramEnd"/>
      <w:r w:rsidRPr="00BC2EF4">
        <w:rPr>
          <w:rFonts w:ascii="Arial" w:eastAsia="Calibri" w:hAnsi="Arial" w:cs="Arial"/>
          <w:bCs/>
          <w:color w:val="000000" w:themeColor="text1"/>
          <w:sz w:val="22"/>
          <w:lang w:val="es-ES_tradnl"/>
        </w:rPr>
        <w:t xml:space="preserve"> pero respecto de los cuales el Gobierno Nacional haya certificado que los oferentes de Bienes y Servicios Nacionales gozan de trato nacional, con base en la revisión y comparación de la normativa en materia de compras y contratación pública de dicho Estado». Tal certificado solo puede expedirse, entonces, cuando no exista tratado o acuerdo comercial suscrito con el Estado del que provenga el oferente, bien o servicio</w:t>
      </w:r>
      <w:r w:rsidRPr="00BC2EF4">
        <w:rPr>
          <w:rStyle w:val="Refdenotaalpie"/>
          <w:rFonts w:ascii="Arial" w:eastAsia="Calibri" w:hAnsi="Arial" w:cs="Arial"/>
          <w:bCs/>
          <w:color w:val="000000" w:themeColor="text1"/>
          <w:sz w:val="22"/>
          <w:lang w:val="es-ES_tradnl"/>
        </w:rPr>
        <w:footnoteReference w:id="9"/>
      </w:r>
      <w:r w:rsidRPr="00BC2EF4">
        <w:rPr>
          <w:rFonts w:ascii="Arial" w:eastAsia="Calibri" w:hAnsi="Arial" w:cs="Arial"/>
          <w:bCs/>
          <w:color w:val="000000" w:themeColor="text1"/>
          <w:sz w:val="22"/>
          <w:lang w:val="es-ES_tradnl"/>
        </w:rPr>
        <w:t>.</w:t>
      </w:r>
    </w:p>
    <w:p w14:paraId="10CFC676" w14:textId="77777777" w:rsidR="000E542B" w:rsidRPr="00BC2EF4" w:rsidRDefault="000E542B" w:rsidP="000E542B">
      <w:pPr>
        <w:tabs>
          <w:tab w:val="left" w:pos="0"/>
        </w:tabs>
        <w:spacing w:before="120" w:line="276" w:lineRule="auto"/>
        <w:ind w:firstLine="709"/>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La tercera fuente del deber de trato nacional es el conjunto de las disposiciones de la Comunidad Andina</w:t>
      </w:r>
      <w:r w:rsidRPr="00BC2EF4">
        <w:rPr>
          <w:rStyle w:val="Refdenotaalpie"/>
          <w:rFonts w:ascii="Arial" w:eastAsia="Calibri" w:hAnsi="Arial" w:cs="Arial"/>
          <w:bCs/>
          <w:color w:val="000000" w:themeColor="text1"/>
          <w:sz w:val="22"/>
          <w:lang w:val="es-ES_tradnl"/>
        </w:rPr>
        <w:footnoteReference w:id="10"/>
      </w:r>
      <w:r w:rsidRPr="00BC2EF4">
        <w:rPr>
          <w:rFonts w:ascii="Arial" w:eastAsia="Calibri" w:hAnsi="Arial" w:cs="Arial"/>
          <w:bCs/>
          <w:color w:val="000000" w:themeColor="text1"/>
          <w:sz w:val="22"/>
          <w:lang w:val="es-ES_tradnl"/>
        </w:rPr>
        <w:t xml:space="preserve"> que consagran este principio. Así lo reconoce el literal c) del mencionado artículo del Decreto 1082 de 2015, al establecer que las entidades estatales también deben conceder trato nacional «[…] a los servicios prestados por oferentes miembros de la Comunidad Andina de Naciones teniendo en cuenta la regulación andina aplicable a la materia». Así, por ejemplo, el artículo 4 de la Decisión 439 de la Comisión de la Comunidad Andina, dispuso que «La adquisición de servicios por parte de organismos gubernamentales o de entidades públicas de los Países Miembros estará sujeta al principio de trato nacional entre los Países Miembros, mediante Decisión que será adoptada a más tardar el 1º de enero del año 2002. En caso de no adoptarse dicha Decisión en el plazo señalado, los Países Miembros otorgarán trato nacional en forma inmediata».</w:t>
      </w:r>
    </w:p>
    <w:p w14:paraId="0DFD4C3A" w14:textId="77777777" w:rsidR="000E542B" w:rsidRPr="00BC2EF4" w:rsidRDefault="000E542B" w:rsidP="000E542B">
      <w:pPr>
        <w:tabs>
          <w:tab w:val="left" w:pos="0"/>
        </w:tabs>
        <w:spacing w:before="120" w:line="276" w:lineRule="auto"/>
        <w:ind w:firstLine="709"/>
        <w:jc w:val="both"/>
        <w:rPr>
          <w:rFonts w:ascii="Arial" w:eastAsia="Calibri" w:hAnsi="Arial" w:cs="Arial"/>
          <w:bCs/>
          <w:color w:val="000000" w:themeColor="text1"/>
          <w:sz w:val="22"/>
          <w:lang w:val="es-ES_tradnl"/>
        </w:rPr>
      </w:pPr>
      <w:r w:rsidRPr="00BC2EF4">
        <w:rPr>
          <w:rFonts w:ascii="Arial" w:eastAsia="Calibri" w:hAnsi="Arial" w:cs="Arial"/>
          <w:bCs/>
          <w:color w:val="000000" w:themeColor="text1"/>
          <w:sz w:val="22"/>
          <w:lang w:val="es-ES_tradnl"/>
        </w:rPr>
        <w:t>Actualmente el artículo 20 de la Ley 80 de 1993, así como los artículos 2.2.1.2.4.1.1. y 2.2.1.2.4.1.2. del Decreto 1082 de 2015, consagran la prevalencia de los compromisos contenidos en los tratados o acuerdos comerciales suscritos por Colombia con otros Estados, sobre lo que establezca el derecho interno, el cual no puede ser contrario a los tratados. Esto se deduce de los artículos 26 y 27 de la Convención de Viena sobre el derecho de los tratados</w:t>
      </w:r>
      <w:r w:rsidRPr="00BC2EF4">
        <w:rPr>
          <w:rStyle w:val="Refdenotaalpie"/>
          <w:rFonts w:ascii="Arial" w:eastAsia="Calibri" w:hAnsi="Arial" w:cs="Arial"/>
          <w:bCs/>
          <w:color w:val="000000" w:themeColor="text1"/>
          <w:sz w:val="22"/>
          <w:lang w:val="es-ES_tradnl"/>
        </w:rPr>
        <w:footnoteReference w:id="11"/>
      </w:r>
      <w:r w:rsidRPr="00BC2EF4">
        <w:rPr>
          <w:rFonts w:ascii="Arial" w:eastAsia="Calibri" w:hAnsi="Arial" w:cs="Arial"/>
          <w:bCs/>
          <w:color w:val="000000" w:themeColor="text1"/>
          <w:sz w:val="22"/>
          <w:lang w:val="es-ES_tradnl"/>
        </w:rPr>
        <w:t>.</w:t>
      </w:r>
    </w:p>
    <w:p w14:paraId="4C609B6C" w14:textId="77777777" w:rsidR="003E702F" w:rsidRPr="00BC2EF4" w:rsidRDefault="003E702F" w:rsidP="003E702F">
      <w:pPr>
        <w:tabs>
          <w:tab w:val="left" w:pos="0"/>
        </w:tabs>
        <w:spacing w:line="276" w:lineRule="auto"/>
        <w:jc w:val="both"/>
        <w:rPr>
          <w:rFonts w:ascii="Arial" w:eastAsia="Calibri" w:hAnsi="Arial" w:cs="Arial"/>
          <w:b/>
          <w:color w:val="000000" w:themeColor="text1"/>
          <w:sz w:val="22"/>
          <w:szCs w:val="22"/>
          <w:lang w:val="es-ES_tradnl"/>
        </w:rPr>
      </w:pPr>
    </w:p>
    <w:p w14:paraId="31376796" w14:textId="681DFD9D" w:rsidR="003E702F" w:rsidRPr="00BC2EF4" w:rsidRDefault="00EA6399" w:rsidP="00C6749C">
      <w:pPr>
        <w:tabs>
          <w:tab w:val="left" w:pos="0"/>
        </w:tabs>
        <w:spacing w:line="276" w:lineRule="auto"/>
        <w:jc w:val="both"/>
        <w:rPr>
          <w:rFonts w:ascii="Arial" w:eastAsia="Calibri" w:hAnsi="Arial" w:cs="Arial"/>
          <w:b/>
          <w:color w:val="000000" w:themeColor="text1"/>
          <w:sz w:val="22"/>
          <w:szCs w:val="22"/>
          <w:lang w:val="es-ES_tradnl"/>
        </w:rPr>
      </w:pPr>
      <w:r w:rsidRPr="00BC2EF4">
        <w:rPr>
          <w:rFonts w:ascii="Arial" w:eastAsia="Calibri" w:hAnsi="Arial" w:cs="Arial"/>
          <w:b/>
          <w:color w:val="000000" w:themeColor="text1"/>
          <w:sz w:val="22"/>
          <w:szCs w:val="22"/>
          <w:lang w:val="es-ES_tradnl"/>
        </w:rPr>
        <w:t>2.</w:t>
      </w:r>
      <w:r w:rsidR="002B4042" w:rsidRPr="00BC2EF4">
        <w:rPr>
          <w:rFonts w:ascii="Arial" w:eastAsia="Calibri" w:hAnsi="Arial" w:cs="Arial"/>
          <w:b/>
          <w:color w:val="000000" w:themeColor="text1"/>
          <w:sz w:val="22"/>
          <w:szCs w:val="22"/>
          <w:lang w:val="es-ES_tradnl"/>
        </w:rPr>
        <w:t>2</w:t>
      </w:r>
      <w:r w:rsidR="003E702F" w:rsidRPr="00BC2EF4">
        <w:rPr>
          <w:rFonts w:ascii="Arial" w:eastAsia="Calibri" w:hAnsi="Arial" w:cs="Arial"/>
          <w:b/>
          <w:color w:val="000000" w:themeColor="text1"/>
          <w:sz w:val="22"/>
          <w:szCs w:val="22"/>
          <w:lang w:val="es-ES_tradnl"/>
        </w:rPr>
        <w:t xml:space="preserve">. </w:t>
      </w:r>
      <w:r w:rsidR="00C6749C" w:rsidRPr="00BC2EF4">
        <w:rPr>
          <w:rFonts w:ascii="Arial" w:eastAsia="Calibri" w:hAnsi="Arial" w:cs="Arial"/>
          <w:b/>
          <w:color w:val="000000" w:themeColor="text1"/>
          <w:sz w:val="22"/>
          <w:szCs w:val="22"/>
          <w:lang w:val="es-ES_tradnl"/>
        </w:rPr>
        <w:t>Otorgamiento de puntaje por apoyo a la industria nacional de conformidad con la Ley 816 de 2003</w:t>
      </w:r>
      <w:r w:rsidR="00802EDB" w:rsidRPr="00BC2EF4">
        <w:rPr>
          <w:rFonts w:ascii="Arial" w:eastAsia="Calibri" w:hAnsi="Arial" w:cs="Arial"/>
          <w:b/>
          <w:color w:val="000000" w:themeColor="text1"/>
          <w:sz w:val="22"/>
          <w:szCs w:val="22"/>
          <w:lang w:val="es-ES_tradnl"/>
        </w:rPr>
        <w:t xml:space="preserve">: </w:t>
      </w:r>
      <w:r w:rsidR="00C6749C" w:rsidRPr="00BC2EF4">
        <w:rPr>
          <w:rFonts w:ascii="Arial" w:eastAsia="Calibri" w:hAnsi="Arial" w:cs="Arial"/>
          <w:b/>
          <w:color w:val="000000" w:themeColor="text1"/>
          <w:sz w:val="22"/>
          <w:szCs w:val="22"/>
          <w:lang w:val="es-ES_tradnl"/>
        </w:rPr>
        <w:t xml:space="preserve">noción de </w:t>
      </w:r>
      <w:r w:rsidR="00C6749C" w:rsidRPr="00BC2EF4">
        <w:rPr>
          <w:rFonts w:ascii="Arial" w:eastAsia="Calibri" w:hAnsi="Arial" w:cs="Arial"/>
          <w:b/>
          <w:i/>
          <w:iCs/>
          <w:color w:val="000000" w:themeColor="text1"/>
          <w:sz w:val="22"/>
          <w:szCs w:val="22"/>
          <w:lang w:val="es-ES_tradnl"/>
        </w:rPr>
        <w:t>Servicios Nacionales</w:t>
      </w:r>
      <w:r w:rsidR="00C6749C" w:rsidRPr="00BC2EF4">
        <w:rPr>
          <w:rFonts w:ascii="Arial" w:eastAsia="Calibri" w:hAnsi="Arial" w:cs="Arial"/>
          <w:b/>
          <w:color w:val="000000" w:themeColor="text1"/>
          <w:sz w:val="22"/>
          <w:szCs w:val="22"/>
          <w:lang w:val="es-ES_tradnl"/>
        </w:rPr>
        <w:t xml:space="preserve"> introducida por el Decreto 680 de 2021 </w:t>
      </w:r>
      <w:r w:rsidR="003E702F" w:rsidRPr="00BC2EF4">
        <w:rPr>
          <w:rFonts w:ascii="Arial" w:eastAsia="Calibri" w:hAnsi="Arial" w:cs="Arial"/>
          <w:b/>
          <w:color w:val="000000" w:themeColor="text1"/>
          <w:sz w:val="22"/>
          <w:szCs w:val="22"/>
          <w:lang w:val="es-ES_tradnl"/>
        </w:rPr>
        <w:t xml:space="preserve"> </w:t>
      </w:r>
    </w:p>
    <w:p w14:paraId="358DA7CE" w14:textId="01D894A4" w:rsidR="003E702F" w:rsidRPr="00BC2EF4" w:rsidRDefault="003E702F" w:rsidP="003E702F">
      <w:pPr>
        <w:tabs>
          <w:tab w:val="left" w:pos="0"/>
        </w:tabs>
        <w:spacing w:line="276" w:lineRule="auto"/>
        <w:jc w:val="both"/>
        <w:rPr>
          <w:rFonts w:ascii="Arial" w:eastAsia="Calibri" w:hAnsi="Arial" w:cs="Arial"/>
          <w:bCs/>
          <w:color w:val="000000" w:themeColor="text1"/>
          <w:sz w:val="22"/>
          <w:szCs w:val="22"/>
          <w:lang w:val="es-ES_tradnl"/>
        </w:rPr>
      </w:pPr>
    </w:p>
    <w:p w14:paraId="372D9517" w14:textId="7D2063FC" w:rsidR="00406B39" w:rsidRPr="00BC2EF4" w:rsidRDefault="00406B39" w:rsidP="00406B39">
      <w:pPr>
        <w:spacing w:after="120" w:line="276" w:lineRule="auto"/>
        <w:ind w:right="51"/>
        <w:jc w:val="both"/>
        <w:rPr>
          <w:rFonts w:ascii="Arial" w:eastAsia="Arial" w:hAnsi="Arial" w:cs="Arial"/>
          <w:color w:val="000000"/>
          <w:sz w:val="22"/>
          <w:lang w:val="es-ES" w:eastAsia="es-CO"/>
        </w:rPr>
      </w:pPr>
      <w:r w:rsidRPr="00BC2EF4">
        <w:rPr>
          <w:rFonts w:ascii="Arial" w:eastAsia="Arial" w:hAnsi="Arial" w:cs="Arial"/>
          <w:color w:val="000000"/>
          <w:sz w:val="22"/>
          <w:lang w:val="es-ES" w:eastAsia="es-CO"/>
        </w:rPr>
        <w:t>La Ley 816 de 2003, «Por medio de la cual se apoya a la industria nacional a través de la contratación pública», tiene como objetivo promover una mayor participación de los proveedores de bienes y servicios de origen colombiano en las compras de las entidades públicas. De igual manera, se adoptó con el propósito de crear un factor de preferencia para las propuestas que ofrezcan productos o servicios nacionales</w:t>
      </w:r>
      <w:r w:rsidRPr="00BC2EF4">
        <w:rPr>
          <w:rFonts w:ascii="Arial" w:eastAsia="Arial" w:hAnsi="Arial" w:cs="Arial"/>
          <w:color w:val="000000"/>
          <w:sz w:val="22"/>
          <w:vertAlign w:val="superscript"/>
          <w:lang w:eastAsia="es-CO"/>
        </w:rPr>
        <w:footnoteReference w:id="12"/>
      </w:r>
      <w:r w:rsidRPr="00BC2EF4">
        <w:rPr>
          <w:rFonts w:ascii="Arial" w:eastAsia="Arial" w:hAnsi="Arial" w:cs="Arial"/>
          <w:color w:val="000000"/>
          <w:sz w:val="22"/>
          <w:lang w:val="es-ES" w:eastAsia="es-CO"/>
        </w:rPr>
        <w:t xml:space="preserve">. </w:t>
      </w:r>
    </w:p>
    <w:p w14:paraId="6ABD62B4" w14:textId="77777777" w:rsidR="00406B39" w:rsidRPr="00BC2EF4" w:rsidRDefault="00406B39" w:rsidP="00406B39">
      <w:pPr>
        <w:tabs>
          <w:tab w:val="left" w:pos="0"/>
        </w:tabs>
        <w:spacing w:line="276" w:lineRule="auto"/>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ab/>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7E807AF0" w14:textId="77777777" w:rsidR="00406B39" w:rsidRPr="00BC2EF4" w:rsidRDefault="00406B39" w:rsidP="00406B39">
      <w:pPr>
        <w:tabs>
          <w:tab w:val="left" w:pos="0"/>
        </w:tabs>
        <w:spacing w:line="276" w:lineRule="auto"/>
        <w:ind w:left="709" w:right="709"/>
        <w:jc w:val="both"/>
        <w:rPr>
          <w:rFonts w:ascii="Arial" w:eastAsia="Calibri" w:hAnsi="Arial" w:cs="Arial"/>
          <w:bCs/>
          <w:color w:val="000000"/>
          <w:sz w:val="22"/>
          <w:lang w:val="es-ES_tradnl"/>
        </w:rPr>
      </w:pPr>
    </w:p>
    <w:p w14:paraId="21F94A71" w14:textId="77777777" w:rsidR="00406B39" w:rsidRPr="00BC2EF4" w:rsidRDefault="00406B39" w:rsidP="00406B39">
      <w:pPr>
        <w:tabs>
          <w:tab w:val="left" w:pos="0"/>
        </w:tabs>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p>
    <w:p w14:paraId="73A99143" w14:textId="77777777" w:rsidR="00406B39" w:rsidRPr="00BC2EF4" w:rsidRDefault="00406B39" w:rsidP="00406B39">
      <w:pPr>
        <w:tabs>
          <w:tab w:val="left" w:pos="0"/>
        </w:tabs>
        <w:spacing w:line="276" w:lineRule="auto"/>
        <w:jc w:val="both"/>
        <w:rPr>
          <w:rFonts w:ascii="Arial" w:eastAsia="Calibri" w:hAnsi="Arial" w:cs="Arial"/>
          <w:bCs/>
          <w:color w:val="000000"/>
          <w:sz w:val="22"/>
          <w:lang w:val="es-ES_tradnl"/>
        </w:rPr>
      </w:pPr>
    </w:p>
    <w:p w14:paraId="4B36AABB" w14:textId="77777777" w:rsidR="00406B39" w:rsidRPr="00BC2EF4" w:rsidRDefault="00406B39" w:rsidP="00406B39">
      <w:pPr>
        <w:tabs>
          <w:tab w:val="left" w:pos="0"/>
        </w:tabs>
        <w:spacing w:line="276" w:lineRule="auto"/>
        <w:ind w:firstLine="709"/>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BC2EF4">
        <w:rPr>
          <w:rFonts w:ascii="Arial" w:eastAsia="Calibri" w:hAnsi="Arial" w:cs="Arial"/>
          <w:bCs/>
          <w:color w:val="000000"/>
          <w:sz w:val="22"/>
          <w:vertAlign w:val="superscript"/>
          <w:lang w:val="es-ES_tradnl"/>
        </w:rPr>
        <w:footnoteReference w:id="13"/>
      </w:r>
      <w:r w:rsidRPr="00BC2EF4">
        <w:rPr>
          <w:rFonts w:ascii="Arial" w:eastAsia="Calibri" w:hAnsi="Arial" w:cs="Arial"/>
          <w:bCs/>
          <w:color w:val="000000"/>
          <w:sz w:val="22"/>
          <w:lang w:val="es-ES_tradnl"/>
        </w:rPr>
        <w:t>, en el que se establece la forma como se debe acreditar la existencia de trato nacional para extranjeros, dependiendo del fundamento de este y exigiendo el certificado expedido por el Ministerio de Relaciones Exteriores, cuando no exista tratado, ni regulación andina aplicable. Por otra parte, las entidades estatales deben aplicar en sus procedimientos de selección lo previsto en el artículo 2 de la Ley 816 de 2003, que establece un criterio de calificación diferencial, en los siguientes términos:</w:t>
      </w:r>
    </w:p>
    <w:p w14:paraId="0B409749" w14:textId="77777777" w:rsidR="00406B39" w:rsidRPr="00BC2EF4" w:rsidRDefault="00406B39" w:rsidP="00406B39">
      <w:pPr>
        <w:tabs>
          <w:tab w:val="left" w:pos="0"/>
        </w:tabs>
        <w:spacing w:line="276" w:lineRule="auto"/>
        <w:ind w:left="709" w:right="709"/>
        <w:jc w:val="both"/>
        <w:rPr>
          <w:rFonts w:ascii="Arial" w:eastAsia="Calibri" w:hAnsi="Arial" w:cs="Arial"/>
          <w:bCs/>
          <w:color w:val="000000"/>
          <w:sz w:val="22"/>
          <w:lang w:val="es-ES_tradnl"/>
        </w:rPr>
      </w:pPr>
    </w:p>
    <w:p w14:paraId="47F88CB5"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253AD6A5"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5D493814" w14:textId="77777777" w:rsidR="00406B39" w:rsidRPr="00BC2EF4" w:rsidRDefault="00406B39" w:rsidP="00406B39">
      <w:pPr>
        <w:tabs>
          <w:tab w:val="left" w:pos="0"/>
        </w:tabs>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Si una vez efectuada la calificación correspondiente, la oferta de un proponente extranjero se encuentra en igualdad de condiciones con la de un proponente nacional, se adjudicará al nacional.</w:t>
      </w:r>
    </w:p>
    <w:p w14:paraId="5CF943AF" w14:textId="77777777" w:rsidR="00406B39" w:rsidRPr="00BC2EF4" w:rsidRDefault="00406B39" w:rsidP="00406B39">
      <w:pPr>
        <w:tabs>
          <w:tab w:val="left" w:pos="0"/>
        </w:tabs>
        <w:spacing w:line="276" w:lineRule="auto"/>
        <w:jc w:val="both"/>
        <w:rPr>
          <w:rFonts w:ascii="Arial" w:eastAsia="Calibri" w:hAnsi="Arial" w:cs="Arial"/>
          <w:bCs/>
          <w:color w:val="000000"/>
          <w:sz w:val="22"/>
          <w:lang w:val="es-ES_tradnl"/>
        </w:rPr>
      </w:pPr>
      <w:r w:rsidRPr="00BC2EF4">
        <w:rPr>
          <w:rFonts w:ascii="Arial" w:eastAsia="Calibri" w:hAnsi="Arial" w:cs="Arial"/>
          <w:bCs/>
          <w:color w:val="000000"/>
          <w:lang w:val="es-ES_tradnl"/>
        </w:rPr>
        <w:tab/>
      </w:r>
    </w:p>
    <w:p w14:paraId="61A68A68" w14:textId="77777777" w:rsidR="00406B39" w:rsidRPr="00BC2EF4" w:rsidRDefault="00406B39" w:rsidP="00406B39">
      <w:pPr>
        <w:tabs>
          <w:tab w:val="left" w:pos="0"/>
        </w:tabs>
        <w:spacing w:after="120" w:line="276" w:lineRule="auto"/>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ab/>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4D189EF5" w14:textId="77777777" w:rsidR="00406B39" w:rsidRPr="00BC2EF4" w:rsidRDefault="00406B39" w:rsidP="00406B39">
      <w:pPr>
        <w:tabs>
          <w:tab w:val="left" w:pos="0"/>
        </w:tabs>
        <w:spacing w:before="120" w:after="120" w:line="276" w:lineRule="auto"/>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ab/>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BC2EF4">
        <w:rPr>
          <w:rFonts w:ascii="Arial" w:eastAsia="Calibri" w:hAnsi="Arial" w:cs="Arial"/>
          <w:sz w:val="22"/>
          <w:lang w:val="es-ES_tradnl"/>
        </w:rPr>
        <w:t xml:space="preserve">[…] </w:t>
      </w:r>
      <w:r w:rsidRPr="00BC2EF4">
        <w:rPr>
          <w:rFonts w:ascii="Arial" w:eastAsia="Calibri" w:hAnsi="Arial" w:cs="Arial"/>
          <w:bCs/>
          <w:color w:val="000000"/>
          <w:sz w:val="22"/>
          <w:lang w:val="es-ES_tradnl"/>
        </w:rPr>
        <w:t xml:space="preserve">un puntaje comprendido entre el diez (10) y el veinte por ciento (20%)» para estimular la industria nacional, cuando se oferten bienes o servicios nacionales» –inciso primero o «Franja 1»–. Adicionalmente, la norma indica </w:t>
      </w:r>
      <w:proofErr w:type="gramStart"/>
      <w:r w:rsidRPr="00BC2EF4">
        <w:rPr>
          <w:rFonts w:ascii="Arial" w:eastAsia="Calibri" w:hAnsi="Arial" w:cs="Arial"/>
          <w:bCs/>
          <w:color w:val="000000"/>
          <w:sz w:val="22"/>
          <w:lang w:val="es-ES_tradnl"/>
        </w:rPr>
        <w:t>que</w:t>
      </w:r>
      <w:proofErr w:type="gramEnd"/>
      <w:r w:rsidRPr="00BC2EF4">
        <w:rPr>
          <w:rFonts w:ascii="Arial" w:eastAsia="Calibri" w:hAnsi="Arial" w:cs="Arial"/>
          <w:bCs/>
          <w:color w:val="000000"/>
          <w:sz w:val="22"/>
          <w:lang w:val="es-ES_tradnl"/>
        </w:rPr>
        <w:t xml:space="preserve"> si no se ofertan bienes o servicios nacionales, sino bienes o servicios </w:t>
      </w:r>
      <w:r w:rsidRPr="00BC2EF4">
        <w:rPr>
          <w:rFonts w:ascii="Arial" w:eastAsia="Calibri" w:hAnsi="Arial" w:cs="Arial"/>
          <w:bCs/>
          <w:i/>
          <w:iCs/>
          <w:color w:val="000000"/>
          <w:sz w:val="22"/>
          <w:lang w:val="es-ES_tradnl"/>
        </w:rPr>
        <w:t>extranjeros</w:t>
      </w:r>
      <w:r w:rsidRPr="00BC2EF4">
        <w:rPr>
          <w:rFonts w:ascii="Arial" w:eastAsia="Calibri" w:hAnsi="Arial" w:cs="Arial"/>
          <w:bCs/>
          <w:color w:val="000000"/>
          <w:sz w:val="22"/>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BC2EF4">
        <w:rPr>
          <w:rFonts w:ascii="Arial" w:eastAsia="Calibri" w:hAnsi="Arial" w:cs="Arial"/>
          <w:bCs/>
          <w:color w:val="000000"/>
          <w:sz w:val="22"/>
        </w:rPr>
        <w:t>«</w:t>
      </w:r>
      <w:r w:rsidRPr="00BC2EF4">
        <w:rPr>
          <w:rFonts w:ascii="Arial" w:eastAsia="Calibri" w:hAnsi="Arial" w:cs="Arial"/>
          <w:bCs/>
          <w:color w:val="000000"/>
          <w:sz w:val="22"/>
          <w:lang w:val="es-ES_tradnl"/>
        </w:rPr>
        <w:t xml:space="preserve">Franja 2»–. </w:t>
      </w:r>
    </w:p>
    <w:p w14:paraId="4496FB6A" w14:textId="77777777" w:rsidR="00406B39" w:rsidRPr="00BC2EF4" w:rsidRDefault="00406B39" w:rsidP="00406B39">
      <w:pPr>
        <w:spacing w:before="120" w:line="276" w:lineRule="auto"/>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ab/>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BC2EF4">
        <w:rPr>
          <w:rFonts w:ascii="Arial" w:eastAsia="Calibri" w:hAnsi="Arial" w:cs="Arial"/>
          <w:bCs/>
          <w:i/>
          <w:iCs/>
          <w:color w:val="000000"/>
          <w:sz w:val="22"/>
          <w:lang w:val="es-ES_tradnl"/>
        </w:rPr>
        <w:t>Servicios Nacionales</w:t>
      </w:r>
      <w:r w:rsidRPr="00BC2EF4">
        <w:rPr>
          <w:rFonts w:ascii="Arial" w:eastAsia="Calibri" w:hAnsi="Arial" w:cs="Arial"/>
          <w:bCs/>
          <w:color w:val="000000"/>
          <w:sz w:val="22"/>
          <w:lang w:val="es-ES_tradnl"/>
        </w:rPr>
        <w:t xml:space="preserve"> en forma distinta, así:</w:t>
      </w:r>
    </w:p>
    <w:p w14:paraId="6F37E640" w14:textId="77777777" w:rsidR="00406B39" w:rsidRPr="00BC2EF4" w:rsidRDefault="00406B39" w:rsidP="00406B39">
      <w:pPr>
        <w:spacing w:line="276" w:lineRule="auto"/>
        <w:jc w:val="both"/>
        <w:rPr>
          <w:rFonts w:ascii="Arial" w:eastAsia="Calibri" w:hAnsi="Arial" w:cs="Arial"/>
          <w:bCs/>
          <w:color w:val="000000"/>
          <w:sz w:val="22"/>
          <w:lang w:val="es-ES_tradnl"/>
        </w:rPr>
      </w:pPr>
    </w:p>
    <w:p w14:paraId="4E890FCC"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«Servicios Nacionales. 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7B2FEA56"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783DCE4A" w14:textId="77777777" w:rsidR="00406B39" w:rsidRPr="00BC2EF4" w:rsidRDefault="00406B39" w:rsidP="00406B39">
      <w:pPr>
        <w:tabs>
          <w:tab w:val="left" w:pos="0"/>
        </w:tabs>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p>
    <w:p w14:paraId="761FE032" w14:textId="77777777" w:rsidR="00406B39" w:rsidRPr="00BC2EF4" w:rsidRDefault="00406B39" w:rsidP="00406B39">
      <w:pPr>
        <w:tabs>
          <w:tab w:val="left" w:pos="0"/>
        </w:tabs>
        <w:spacing w:line="276" w:lineRule="auto"/>
        <w:jc w:val="both"/>
        <w:rPr>
          <w:rFonts w:ascii="Arial" w:eastAsia="Calibri" w:hAnsi="Arial" w:cs="Arial"/>
          <w:bCs/>
          <w:color w:val="000000"/>
          <w:sz w:val="22"/>
          <w:lang w:val="es-ES_tradnl"/>
        </w:rPr>
      </w:pPr>
    </w:p>
    <w:p w14:paraId="3FE8CCFC" w14:textId="77777777" w:rsidR="00406B39" w:rsidRPr="00BC2EF4" w:rsidRDefault="00406B39" w:rsidP="00406B39">
      <w:pPr>
        <w:tabs>
          <w:tab w:val="left" w:pos="0"/>
        </w:tabs>
        <w:spacing w:after="120" w:line="276" w:lineRule="auto"/>
        <w:ind w:firstLine="709"/>
        <w:jc w:val="both"/>
        <w:rPr>
          <w:rFonts w:ascii="Arial" w:eastAsia="Calibri" w:hAnsi="Arial" w:cs="Arial"/>
          <w:bCs/>
          <w:color w:val="000000"/>
          <w:sz w:val="22"/>
          <w:lang w:val="es-ES_tradnl"/>
        </w:rPr>
      </w:pPr>
      <w:bookmarkStart w:id="2" w:name="_Hlk86820071"/>
      <w:r w:rsidRPr="00BC2EF4">
        <w:rPr>
          <w:rFonts w:ascii="Arial" w:eastAsia="Calibri" w:hAnsi="Arial" w:cs="Arial"/>
          <w:bCs/>
          <w:color w:val="000000"/>
          <w:sz w:val="22"/>
          <w:lang w:val="es-ES_tradnl"/>
        </w:rPr>
        <w:t xml:space="preserve">De acuerdo con lo anterior, la noción de </w:t>
      </w:r>
      <w:r w:rsidRPr="00BC2EF4">
        <w:rPr>
          <w:rFonts w:ascii="Arial" w:eastAsia="Calibri" w:hAnsi="Arial" w:cs="Arial"/>
          <w:bCs/>
          <w:i/>
          <w:iCs/>
          <w:color w:val="000000"/>
          <w:sz w:val="22"/>
          <w:lang w:val="es-ES_tradnl"/>
        </w:rPr>
        <w:t>Servicios Nacionales</w:t>
      </w:r>
      <w:r w:rsidRPr="00BC2EF4">
        <w:rPr>
          <w:rFonts w:ascii="Arial" w:eastAsia="Calibri" w:hAnsi="Arial" w:cs="Arial"/>
          <w:bCs/>
          <w:color w:val="000000"/>
          <w:sz w:val="22"/>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BC2EF4">
        <w:rPr>
          <w:rFonts w:ascii="Arial" w:eastAsia="Calibri" w:hAnsi="Arial" w:cs="Arial"/>
          <w:bCs/>
          <w:i/>
          <w:iCs/>
          <w:color w:val="000000"/>
          <w:sz w:val="22"/>
          <w:lang w:val="es-ES_tradnl"/>
        </w:rPr>
        <w:t xml:space="preserve">Servicios Nacionales </w:t>
      </w:r>
      <w:r w:rsidRPr="00BC2EF4">
        <w:rPr>
          <w:rFonts w:ascii="Arial" w:eastAsia="Calibri" w:hAnsi="Arial" w:cs="Arial"/>
          <w:bCs/>
          <w:color w:val="000000"/>
          <w:sz w:val="22"/>
          <w:lang w:val="es-ES_tradnl"/>
        </w:rPr>
        <w:t xml:space="preserve">remite a la noción de </w:t>
      </w:r>
      <w:r w:rsidRPr="00BC2EF4">
        <w:rPr>
          <w:rFonts w:ascii="Arial" w:eastAsia="Calibri" w:hAnsi="Arial" w:cs="Arial"/>
          <w:bCs/>
          <w:i/>
          <w:iCs/>
          <w:color w:val="000000"/>
          <w:sz w:val="22"/>
          <w:lang w:val="es-ES_tradnl"/>
        </w:rPr>
        <w:t>Bienes Nacionales</w:t>
      </w:r>
      <w:r w:rsidRPr="00BC2EF4">
        <w:rPr>
          <w:rFonts w:ascii="Arial" w:eastAsia="Calibri" w:hAnsi="Arial" w:cs="Arial"/>
          <w:bCs/>
          <w:color w:val="000000"/>
          <w:sz w:val="22"/>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bookmarkEnd w:id="2"/>
      <w:r w:rsidRPr="00BC2EF4">
        <w:rPr>
          <w:rFonts w:ascii="Arial" w:eastAsia="Calibri" w:hAnsi="Arial" w:cs="Arial"/>
          <w:bCs/>
          <w:color w:val="000000"/>
          <w:sz w:val="22"/>
          <w:lang w:val="es-ES_tradnl"/>
        </w:rPr>
        <w:t>».</w:t>
      </w:r>
    </w:p>
    <w:p w14:paraId="610CABE6" w14:textId="77777777" w:rsidR="00406B39" w:rsidRPr="00BC2EF4" w:rsidRDefault="00406B39" w:rsidP="00406B39">
      <w:pPr>
        <w:tabs>
          <w:tab w:val="left" w:pos="0"/>
        </w:tabs>
        <w:spacing w:before="120" w:after="120" w:line="276" w:lineRule="auto"/>
        <w:ind w:firstLine="709"/>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En consecuencia, si el contrato debe cumplirse en Colombia, la entidad estatal debe definir los bienes nacionales relevantes, pues el uso de estos por parte del proponente es uno de los criterios que permiten establecer si el servicio puede calificarse como nacional –el otro criterio es la vinculación del porcentaje mínimo de personal colombiano, según corresponda–. Si el contrato no debe cumplirse en Colombia, para que el servicio sea nacional, no es necesario que se usen bienes o personal colombianos, sino que basta con que sea prestado «por una persona natural colombiana o por un residente en Colombia, por una persona jurídica constituida de conformidad con la legislación colombiana o un proponente plural conformado por estos». Lo anterior en consonancia con el artículo 1 del Decreto 680 de 2021.</w:t>
      </w:r>
    </w:p>
    <w:p w14:paraId="3E2B73EA" w14:textId="77777777" w:rsidR="00406B39" w:rsidRPr="00BC2EF4" w:rsidRDefault="00406B39" w:rsidP="00406B39">
      <w:pPr>
        <w:tabs>
          <w:tab w:val="left" w:pos="0"/>
        </w:tabs>
        <w:spacing w:before="120" w:after="120" w:line="276" w:lineRule="auto"/>
        <w:ind w:firstLine="709"/>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 xml:space="preserve">De otra parte, el último inciso de la definición transcrita establece una prerrogativa aplicable solo a los proponentes extranjeros con derecho a trato nacional. Conforme a esta, es posible establecer si se acoge la regla de origen establecida en el Decreto 1082 de 2015, o si por el contrario se acredita el origen de los servicios conforme a las reglas de sus correspondientes países o las contemplada en los respectivos Acuerdos Comerciales. Esto es aplicable oferentes de países con Acuerdos Comerciales vigentes, los provenientes de países que tengan trato nacional por reciprocidad y a los miembros de la Comunidad Andina de Naciones.  </w:t>
      </w:r>
    </w:p>
    <w:p w14:paraId="240ABE49" w14:textId="77777777" w:rsidR="00406B39" w:rsidRPr="00BC2EF4" w:rsidRDefault="00406B39" w:rsidP="00406B39">
      <w:pPr>
        <w:tabs>
          <w:tab w:val="left" w:pos="0"/>
        </w:tabs>
        <w:spacing w:line="276" w:lineRule="auto"/>
        <w:ind w:firstLine="709"/>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 xml:space="preserve">De otra parte, el Decreto 680 de 2021 consagra, en el artículo 2, unos lineamientos que deben seguir las entidades estatales para definir los </w:t>
      </w:r>
      <w:r w:rsidRPr="00BC2EF4">
        <w:rPr>
          <w:rFonts w:ascii="Arial" w:eastAsia="Calibri" w:hAnsi="Arial" w:cs="Arial"/>
          <w:bCs/>
          <w:i/>
          <w:iCs/>
          <w:color w:val="000000"/>
          <w:sz w:val="22"/>
          <w:lang w:val="es-ES_tradnl"/>
        </w:rPr>
        <w:t>bienes colombianos relevantes</w:t>
      </w:r>
      <w:r w:rsidRPr="00BC2EF4">
        <w:rPr>
          <w:rFonts w:ascii="Arial" w:eastAsia="Calibri" w:hAnsi="Arial" w:cs="Arial"/>
          <w:bCs/>
          <w:color w:val="000000"/>
          <w:sz w:val="22"/>
          <w:lang w:val="es-ES_tradnl"/>
        </w:rPr>
        <w:t xml:space="preserve"> y otorgar el puntaje de que trata el inciso 1 del artículo 2 de la Ley 816 de 2003. En efecto, el artículo 2 del Decreto en comento, establece: </w:t>
      </w:r>
    </w:p>
    <w:p w14:paraId="4B32CE09" w14:textId="77777777" w:rsidR="00406B39" w:rsidRPr="00BC2EF4" w:rsidRDefault="00406B39" w:rsidP="00406B39">
      <w:pPr>
        <w:tabs>
          <w:tab w:val="left" w:pos="0"/>
        </w:tabs>
        <w:spacing w:line="276" w:lineRule="auto"/>
        <w:ind w:left="709" w:right="709"/>
        <w:jc w:val="both"/>
        <w:rPr>
          <w:rFonts w:ascii="Arial" w:eastAsia="Calibri" w:hAnsi="Arial" w:cs="Arial"/>
          <w:bCs/>
          <w:color w:val="000000"/>
          <w:sz w:val="22"/>
          <w:lang w:val="es-ES_tradnl"/>
        </w:rPr>
      </w:pPr>
    </w:p>
    <w:p w14:paraId="77170F1A" w14:textId="77777777" w:rsidR="00406B39" w:rsidRPr="00BC2EF4" w:rsidRDefault="00406B39" w:rsidP="00406B39">
      <w:pPr>
        <w:tabs>
          <w:tab w:val="left" w:pos="0"/>
        </w:tabs>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4AAB3E7F" w14:textId="77777777" w:rsidR="00406B39" w:rsidRPr="00BC2EF4" w:rsidRDefault="00406B39" w:rsidP="00406B39">
      <w:pPr>
        <w:tabs>
          <w:tab w:val="left" w:pos="0"/>
        </w:tabs>
        <w:ind w:right="709"/>
        <w:jc w:val="both"/>
        <w:rPr>
          <w:rFonts w:ascii="Arial" w:eastAsia="Calibri" w:hAnsi="Arial" w:cs="Arial"/>
          <w:bCs/>
          <w:color w:val="000000"/>
          <w:sz w:val="21"/>
          <w:szCs w:val="21"/>
          <w:lang w:val="es-ES_tradnl"/>
        </w:rPr>
      </w:pPr>
    </w:p>
    <w:p w14:paraId="26897743"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02B1191D"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En los contratos que deban cumplirse en Colombia, la Entidad Estatal definirá de manera razonable y proporcionada los bienes colombianos relevantes teniendo en cuenta:</w:t>
      </w:r>
    </w:p>
    <w:p w14:paraId="5F1D23DB"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1. El análisis del sector económico y de los oferentes, y, toda aquella información adicional con la que cuente la Entidad Estatal en la etapa de planeación del Proceso de Contratación;</w:t>
      </w:r>
    </w:p>
    <w:p w14:paraId="7BF57CD9"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2. El porcentaje de participación de los bienes en el presupuesto del Proceso de Contratación; y</w:t>
      </w:r>
    </w:p>
    <w:p w14:paraId="13C37E15"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3. La existencia de los bienes en el Registro de Productores de Bienes Nacionales, en los términos del Decreto 2680 de 2009 o las normas que lo modifiquen, aclaren, adicionen o sustituyan.</w:t>
      </w:r>
    </w:p>
    <w:p w14:paraId="4DC898CF" w14:textId="77777777" w:rsidR="00406B39" w:rsidRPr="00BC2EF4" w:rsidRDefault="00406B39" w:rsidP="00406B39">
      <w:pPr>
        <w:tabs>
          <w:tab w:val="left" w:pos="0"/>
        </w:tabs>
        <w:spacing w:after="120"/>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14:paraId="239B2B59" w14:textId="77777777" w:rsidR="00406B39" w:rsidRPr="00BC2EF4" w:rsidRDefault="00406B39" w:rsidP="00406B39">
      <w:pPr>
        <w:tabs>
          <w:tab w:val="left" w:pos="0"/>
        </w:tabs>
        <w:ind w:left="709" w:right="709"/>
        <w:jc w:val="both"/>
        <w:rPr>
          <w:rFonts w:ascii="Arial" w:eastAsia="Calibri" w:hAnsi="Arial" w:cs="Arial"/>
          <w:bCs/>
          <w:color w:val="000000"/>
          <w:sz w:val="21"/>
          <w:szCs w:val="21"/>
          <w:lang w:val="es-ES_tradnl"/>
        </w:rPr>
      </w:pPr>
      <w:r w:rsidRPr="00BC2EF4">
        <w:rPr>
          <w:rFonts w:ascii="Arial" w:eastAsia="Calibri" w:hAnsi="Arial" w:cs="Arial"/>
          <w:bCs/>
          <w:color w:val="000000"/>
          <w:sz w:val="21"/>
          <w:szCs w:val="21"/>
          <w:lang w:val="es-ES_tradnl"/>
        </w:rPr>
        <w:t>La Entidad Estatal documentará este análisis y dejará constancia en los Documentos del Proceso».</w:t>
      </w:r>
    </w:p>
    <w:p w14:paraId="12DAA943" w14:textId="77777777" w:rsidR="00406B39" w:rsidRPr="00BC2EF4" w:rsidRDefault="00406B39" w:rsidP="00406B39">
      <w:pPr>
        <w:tabs>
          <w:tab w:val="left" w:pos="0"/>
        </w:tabs>
        <w:spacing w:line="276" w:lineRule="auto"/>
        <w:ind w:left="709" w:right="709"/>
        <w:jc w:val="both"/>
        <w:rPr>
          <w:rFonts w:ascii="Arial" w:eastAsia="Calibri" w:hAnsi="Arial" w:cs="Arial"/>
          <w:bCs/>
          <w:color w:val="000000"/>
          <w:sz w:val="22"/>
          <w:lang w:val="es-ES_tradnl"/>
        </w:rPr>
      </w:pPr>
    </w:p>
    <w:p w14:paraId="699C1E18" w14:textId="77777777" w:rsidR="00406B39" w:rsidRPr="00BC2EF4" w:rsidRDefault="00406B39" w:rsidP="00406B39">
      <w:pPr>
        <w:tabs>
          <w:tab w:val="left" w:pos="0"/>
        </w:tabs>
        <w:spacing w:after="120" w:line="276" w:lineRule="auto"/>
        <w:ind w:firstLine="709"/>
        <w:jc w:val="both"/>
        <w:rPr>
          <w:rFonts w:ascii="Arial" w:eastAsia="Calibri" w:hAnsi="Arial" w:cs="Arial"/>
          <w:bCs/>
          <w:color w:val="000000"/>
          <w:sz w:val="22"/>
          <w:lang w:val="es-ES_tradnl"/>
        </w:rPr>
      </w:pPr>
      <w:bookmarkStart w:id="3" w:name="_Hlk86820149"/>
      <w:bookmarkStart w:id="4" w:name="_Hlk87025682"/>
      <w:r w:rsidRPr="00BC2EF4">
        <w:rPr>
          <w:rFonts w:ascii="Arial" w:eastAsia="Calibri" w:hAnsi="Arial" w:cs="Arial"/>
          <w:bCs/>
          <w:color w:val="000000"/>
          <w:sz w:val="22"/>
          <w:lang w:val="es-ES_tradnl"/>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toda la  aquella información recabada en la etapa de planeación proceso, </w:t>
      </w:r>
      <w:proofErr w:type="spellStart"/>
      <w:r w:rsidRPr="00BC2EF4">
        <w:rPr>
          <w:rFonts w:ascii="Arial" w:eastAsia="Calibri" w:hAnsi="Arial" w:cs="Arial"/>
          <w:bCs/>
          <w:color w:val="000000"/>
          <w:sz w:val="22"/>
          <w:lang w:val="es-ES_tradnl"/>
        </w:rPr>
        <w:t>ii</w:t>
      </w:r>
      <w:proofErr w:type="spellEnd"/>
      <w:r w:rsidRPr="00BC2EF4">
        <w:rPr>
          <w:rFonts w:ascii="Arial" w:eastAsia="Calibri" w:hAnsi="Arial" w:cs="Arial"/>
          <w:bCs/>
          <w:color w:val="000000"/>
          <w:sz w:val="22"/>
          <w:lang w:val="es-ES_tradnl"/>
        </w:rPr>
        <w:t xml:space="preserve">) el porcentaje de participación de los bienes en el presupuesto del contratos y </w:t>
      </w:r>
      <w:proofErr w:type="spellStart"/>
      <w:r w:rsidRPr="00BC2EF4">
        <w:rPr>
          <w:rFonts w:ascii="Arial" w:eastAsia="Calibri" w:hAnsi="Arial" w:cs="Arial"/>
          <w:bCs/>
          <w:color w:val="000000"/>
          <w:sz w:val="22"/>
          <w:lang w:val="es-ES_tradnl"/>
        </w:rPr>
        <w:t>iii</w:t>
      </w:r>
      <w:proofErr w:type="spellEnd"/>
      <w:r w:rsidRPr="00BC2EF4">
        <w:rPr>
          <w:rFonts w:ascii="Arial" w:eastAsia="Calibri" w:hAnsi="Arial" w:cs="Arial"/>
          <w:bCs/>
          <w:color w:val="000000"/>
          <w:sz w:val="22"/>
          <w:lang w:val="es-ES_tradnl"/>
        </w:rPr>
        <w:t xml:space="preserve">) la existencia de los bienes en el Registro de Productores de Bienes Nacionales, en los términos del Decreto 2680 de 2009. Las entidades estatales deben valerse de estos criterios para analizar los insumos requeridos para la ejecución del objeto contractual ofertado y establecer cuales constituyen los bienes nacionales relevantes, análisis que debe constar en los Documentos del Proceso.  Se considera importante que en los pliegos de condiciones o documentos equivalentes se establezca con claridad que bienes colombianos deben incluir en las propuestas para que puedan ser consideradas de origen nacional, y, en consecuencia, optar al puntaje por apoyo a la industria nacional.   </w:t>
      </w:r>
    </w:p>
    <w:bookmarkEnd w:id="3"/>
    <w:p w14:paraId="253B65BF" w14:textId="77777777" w:rsidR="00406B39" w:rsidRPr="00BC2EF4" w:rsidRDefault="00406B39" w:rsidP="00406B39">
      <w:pPr>
        <w:tabs>
          <w:tab w:val="left" w:pos="0"/>
        </w:tabs>
        <w:spacing w:after="120" w:line="276" w:lineRule="auto"/>
        <w:ind w:firstLine="709"/>
        <w:jc w:val="both"/>
        <w:rPr>
          <w:rFonts w:ascii="Arial" w:eastAsia="Calibri" w:hAnsi="Arial" w:cs="Arial"/>
          <w:bCs/>
          <w:color w:val="000000"/>
          <w:sz w:val="22"/>
          <w:lang w:val="es-ES_tradnl"/>
        </w:rPr>
      </w:pPr>
      <w:r w:rsidRPr="00BC2EF4">
        <w:rPr>
          <w:rFonts w:ascii="Arial" w:eastAsia="Calibri" w:hAnsi="Arial" w:cs="Arial"/>
          <w:bCs/>
          <w:color w:val="000000"/>
          <w:sz w:val="22"/>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cumplimiento del contrato. Conforme a esta regla residual, cuando en el marco de la planeación, la entidad estatal no logre establecer que el objeto contractual requiera de bienes nacionales que se ajusten a los referidos criterios, deberá otorgar el puntaje por apoyo a la industria nacional a los proponentes que ejecuten el contrato garantizando la participación de personal colombiano en el correspondiente porcentaje mínimo.    </w:t>
      </w:r>
    </w:p>
    <w:bookmarkEnd w:id="4"/>
    <w:p w14:paraId="72BB20DB" w14:textId="77777777" w:rsidR="00406B39" w:rsidRPr="00BC2EF4" w:rsidRDefault="00406B39" w:rsidP="00406B39">
      <w:pPr>
        <w:tabs>
          <w:tab w:val="left" w:pos="0"/>
        </w:tabs>
        <w:spacing w:before="120" w:line="276" w:lineRule="auto"/>
        <w:jc w:val="both"/>
        <w:rPr>
          <w:rFonts w:ascii="Arial" w:eastAsia="Calibri" w:hAnsi="Arial" w:cs="Arial"/>
          <w:bCs/>
          <w:color w:val="000000"/>
          <w:sz w:val="22"/>
        </w:rPr>
      </w:pPr>
      <w:r w:rsidRPr="00BC2EF4">
        <w:rPr>
          <w:rFonts w:ascii="Arial" w:eastAsia="Calibri" w:hAnsi="Arial" w:cs="Arial"/>
          <w:bCs/>
          <w:color w:val="000000"/>
          <w:sz w:val="22"/>
        </w:rPr>
        <w:tab/>
        <w:t>De acuerdo con lo anterior, corresponde a las entidades estatales dentro de la planeación de los procesos de selección competitivos que adelantan, establecer cuál de las dos alternativas para el otorgamiento de puntaje por apoyo a la industria nacional tendrá aplicación, para lo cual deben realizar un análisis que conste en los Documentos del Proceso. Adicionalmente, en la medida en que el Decreto 680 de 2021 no establece ninguna regla especifica al respecto, se estima indispensable que las entidades estatales, de conformidad con el artículo 2.2.1.1.2.1.3 del Decreto 1082 de 2015</w:t>
      </w:r>
      <w:r w:rsidRPr="00BC2EF4">
        <w:rPr>
          <w:rStyle w:val="Refdenotaalpie"/>
          <w:rFonts w:ascii="Arial" w:eastAsia="Calibri" w:hAnsi="Arial" w:cs="Arial"/>
          <w:bCs/>
          <w:color w:val="000000"/>
          <w:sz w:val="22"/>
        </w:rPr>
        <w:footnoteReference w:id="14"/>
      </w:r>
      <w:r w:rsidRPr="00BC2EF4">
        <w:rPr>
          <w:rFonts w:ascii="Arial" w:eastAsia="Calibri" w:hAnsi="Arial" w:cs="Arial"/>
          <w:bCs/>
          <w:color w:val="000000"/>
          <w:sz w:val="22"/>
        </w:rPr>
        <w:t xml:space="preserve">, establezcan en los pliegos de condiciones las reglas por las que deben seguirse los proponentes al momento de presentar sus ofertas para poder obtener el puntaje por apoyo a la industria nacional. </w:t>
      </w:r>
    </w:p>
    <w:p w14:paraId="6CCB0030" w14:textId="70FF4054" w:rsidR="00406B39" w:rsidRPr="00BC2EF4" w:rsidRDefault="00406B39" w:rsidP="00BC2EF4">
      <w:pPr>
        <w:tabs>
          <w:tab w:val="left" w:pos="0"/>
        </w:tabs>
        <w:spacing w:before="120" w:line="276" w:lineRule="auto"/>
        <w:jc w:val="both"/>
        <w:rPr>
          <w:rFonts w:ascii="Arial" w:eastAsia="Calibri" w:hAnsi="Arial" w:cs="Arial"/>
          <w:bCs/>
          <w:color w:val="000000"/>
          <w:sz w:val="22"/>
        </w:rPr>
      </w:pPr>
      <w:r w:rsidRPr="00BC2EF4">
        <w:rPr>
          <w:rFonts w:ascii="Arial" w:eastAsia="Calibri" w:hAnsi="Arial" w:cs="Arial"/>
          <w:bCs/>
          <w:color w:val="000000"/>
          <w:sz w:val="22"/>
        </w:rPr>
        <w:tab/>
        <w:t xml:space="preserve">En consonancia con lo aquí explicado, tales reglas aplicables a la asignación del puntaje por apoyo a la industria nacional no solo deberán reparar en si el oferente es una persona natural colombiana, una persona jurídica constituida conforme a la ley nacional, un proponente extranjero con derecho a trata nacional o un proponente plural conformado por estos, sino que además deben procurar en que se satisfaga el criterio adicional necesario para hablar de </w:t>
      </w:r>
      <w:r w:rsidRPr="00BC2EF4">
        <w:rPr>
          <w:rFonts w:ascii="Arial" w:eastAsia="Calibri" w:hAnsi="Arial" w:cs="Arial"/>
          <w:bCs/>
          <w:i/>
          <w:iCs/>
          <w:color w:val="000000"/>
          <w:sz w:val="22"/>
        </w:rPr>
        <w:t>Servicio Nacional</w:t>
      </w:r>
      <w:r w:rsidRPr="00BC2EF4">
        <w:rPr>
          <w:rFonts w:ascii="Arial" w:eastAsia="Calibri" w:hAnsi="Arial" w:cs="Arial"/>
          <w:bCs/>
          <w:color w:val="000000"/>
          <w:sz w:val="22"/>
        </w:rPr>
        <w:t xml:space="preserve">, en cualquiera de las dos alternativas por las que se haya decantado la entidad tras aplicar el </w:t>
      </w:r>
      <w:r w:rsidRPr="00BC2EF4">
        <w:rPr>
          <w:rFonts w:ascii="Arial" w:eastAsia="Calibri" w:hAnsi="Arial" w:cs="Arial"/>
          <w:bCs/>
          <w:color w:val="000000"/>
          <w:sz w:val="22"/>
          <w:lang w:val="es-ES_tradnl"/>
        </w:rPr>
        <w:t xml:space="preserve">artículo del 2.2.1.2.4.2.9 del Decreto 1082 de 2015, adicionado por el Decreto 680 de 2021. En ese sentido, si se determinó que existen bienes con una participación importante en el presupuesto incluidos en el Registro de Productores de Bienes Nacionales, para otorgar el puntaje la entidad deberá verificar que el oferente efectivamente se haya comprometido a hacer uso de esos bienes en la ejecución del contrato en caso de resultar adjudicatario, o en su defecto, que se haya hecho el compromiso de vincular el personal mínimo establecido por la entidad, el cual, se reitera, no podrá ser inferior al 40%.    </w:t>
      </w:r>
    </w:p>
    <w:p w14:paraId="38CFD20F" w14:textId="77777777" w:rsidR="00406B39" w:rsidRPr="00BC2EF4" w:rsidRDefault="00406B39" w:rsidP="003E702F">
      <w:pPr>
        <w:tabs>
          <w:tab w:val="left" w:pos="0"/>
        </w:tabs>
        <w:spacing w:line="276" w:lineRule="auto"/>
        <w:jc w:val="both"/>
        <w:rPr>
          <w:rFonts w:ascii="Arial" w:eastAsia="Calibri" w:hAnsi="Arial" w:cs="Arial"/>
          <w:bCs/>
          <w:color w:val="000000" w:themeColor="text1"/>
          <w:sz w:val="22"/>
          <w:szCs w:val="22"/>
          <w:lang w:val="es-ES_tradnl"/>
        </w:rPr>
      </w:pPr>
    </w:p>
    <w:p w14:paraId="101626EE" w14:textId="7C003C59" w:rsidR="003E702F" w:rsidRPr="00BC2EF4" w:rsidRDefault="008F6E5F" w:rsidP="003E702F">
      <w:pPr>
        <w:jc w:val="both"/>
        <w:rPr>
          <w:rFonts w:ascii="Arial" w:hAnsi="Arial" w:cs="Arial"/>
          <w:b/>
          <w:bCs/>
          <w:sz w:val="22"/>
          <w:szCs w:val="22"/>
        </w:rPr>
      </w:pPr>
      <w:r w:rsidRPr="00BC2EF4">
        <w:rPr>
          <w:rFonts w:ascii="Arial" w:hAnsi="Arial" w:cs="Arial"/>
          <w:b/>
          <w:bCs/>
          <w:sz w:val="22"/>
          <w:szCs w:val="22"/>
        </w:rPr>
        <w:t>2.</w:t>
      </w:r>
      <w:r w:rsidR="00A56303" w:rsidRPr="00BC2EF4">
        <w:rPr>
          <w:rFonts w:ascii="Arial" w:hAnsi="Arial" w:cs="Arial"/>
          <w:b/>
          <w:bCs/>
          <w:sz w:val="22"/>
          <w:szCs w:val="22"/>
        </w:rPr>
        <w:t>3</w:t>
      </w:r>
      <w:r w:rsidR="003E702F" w:rsidRPr="00BC2EF4">
        <w:rPr>
          <w:rFonts w:ascii="Arial" w:hAnsi="Arial" w:cs="Arial"/>
          <w:b/>
          <w:bCs/>
          <w:sz w:val="22"/>
          <w:szCs w:val="22"/>
        </w:rPr>
        <w:t xml:space="preserve">. </w:t>
      </w:r>
      <w:bookmarkStart w:id="5" w:name="_Hlk102552524"/>
      <w:r w:rsidR="006A0CCB" w:rsidRPr="00BC2EF4">
        <w:rPr>
          <w:rFonts w:ascii="Arial" w:hAnsi="Arial" w:cs="Arial"/>
          <w:b/>
          <w:bCs/>
          <w:sz w:val="22"/>
          <w:szCs w:val="22"/>
        </w:rPr>
        <w:t>Regulación del puntaje por apoyo a la industria nacional en procesos adelantados con documentos tipo después de la expedición del Decreto 680 de 2021</w:t>
      </w:r>
      <w:bookmarkEnd w:id="5"/>
    </w:p>
    <w:p w14:paraId="3CE03634" w14:textId="77777777" w:rsidR="003E702F" w:rsidRPr="00BC2EF4" w:rsidRDefault="003E702F" w:rsidP="003E702F">
      <w:pPr>
        <w:jc w:val="both"/>
        <w:rPr>
          <w:rFonts w:ascii="Arial" w:hAnsi="Arial" w:cs="Arial"/>
          <w:b/>
          <w:bCs/>
          <w:sz w:val="22"/>
          <w:szCs w:val="22"/>
        </w:rPr>
      </w:pPr>
    </w:p>
    <w:p w14:paraId="3FDAE5AA" w14:textId="7C5B0858" w:rsidR="001D1F01" w:rsidRPr="00BC2EF4" w:rsidRDefault="001D1F01" w:rsidP="001D1F01">
      <w:pPr>
        <w:spacing w:line="276" w:lineRule="auto"/>
        <w:jc w:val="both"/>
        <w:rPr>
          <w:rFonts w:ascii="Arial" w:eastAsia="Calibri" w:hAnsi="Arial" w:cs="Arial"/>
          <w:bCs/>
          <w:color w:val="000000" w:themeColor="text1"/>
          <w:sz w:val="22"/>
          <w:szCs w:val="22"/>
          <w:lang w:val="es-ES_tradnl"/>
        </w:rPr>
      </w:pPr>
      <w:r w:rsidRPr="00BC2EF4">
        <w:rPr>
          <w:rFonts w:ascii="Arial" w:eastAsia="Arial" w:hAnsi="Arial" w:cs="Arial"/>
          <w:sz w:val="22"/>
          <w:szCs w:val="22"/>
          <w:lang w:val="es-ES" w:eastAsia="es-ES" w:bidi="es-ES"/>
        </w:rPr>
        <w:t xml:space="preserve">Con </w:t>
      </w:r>
      <w:r w:rsidRPr="00BC2EF4">
        <w:rPr>
          <w:rFonts w:ascii="Arial" w:eastAsia="Calibri" w:hAnsi="Arial" w:cs="Arial"/>
          <w:bCs/>
          <w:color w:val="000000" w:themeColor="text1"/>
          <w:sz w:val="22"/>
          <w:szCs w:val="22"/>
          <w:lang w:val="es-ES_tradnl"/>
        </w:rPr>
        <w:t xml:space="preserve">la vigencia del Decreto 680 de 2021, al modificar la noción de </w:t>
      </w:r>
      <w:r w:rsidRPr="00BC2EF4">
        <w:rPr>
          <w:rFonts w:ascii="Arial" w:eastAsia="Calibri" w:hAnsi="Arial" w:cs="Arial"/>
          <w:bCs/>
          <w:i/>
          <w:iCs/>
          <w:color w:val="000000" w:themeColor="text1"/>
          <w:sz w:val="22"/>
          <w:szCs w:val="22"/>
          <w:lang w:val="es-ES_tradnl"/>
        </w:rPr>
        <w:t xml:space="preserve">Servicios Nacionales </w:t>
      </w:r>
      <w:r w:rsidRPr="00BC2EF4">
        <w:rPr>
          <w:rFonts w:ascii="Arial" w:eastAsia="Calibri" w:hAnsi="Arial" w:cs="Arial"/>
          <w:bCs/>
          <w:color w:val="000000" w:themeColor="text1"/>
          <w:sz w:val="22"/>
          <w:szCs w:val="22"/>
          <w:lang w:val="es-ES_tradnl"/>
        </w:rPr>
        <w:t xml:space="preserve">contenida en el Decreto 1082 de 2015, se generó la necesidad de adecuar los documentos tipo expedidos por la Agencia Nacional de Contratación Pública – Colombia Compra Eficiente en ejercicio de las potestades conferidas por la Ley 2022 de 2020. Esto comoquiera que en los documentos vigentes antes de dicho Decreto el puntaje por apoyo a la industria nacional y la verificación de la procedencia del trato nacional se encontraban desarrolladas conforme con la antigua concepción de servicio nacional, por lo que para acceder al máximo puntaje bastaba con acreditar ser una persona natural colombiana o una persona jurídica constituida de acuerdo con la ley colombiana. Debido a esto, el parágrafo 2 del artículo 3 de tal Decreto contempló un plazo de tres meses para que esta Agencia realizara la adecuación de los documentos tipo. </w:t>
      </w:r>
    </w:p>
    <w:p w14:paraId="4BA96FFE" w14:textId="77777777" w:rsidR="001D1F01" w:rsidRPr="00BC2EF4" w:rsidRDefault="001D1F01" w:rsidP="001D1F01">
      <w:pPr>
        <w:widowControl w:val="0"/>
        <w:autoSpaceDE w:val="0"/>
        <w:autoSpaceDN w:val="0"/>
        <w:spacing w:before="120" w:after="120" w:line="276" w:lineRule="auto"/>
        <w:ind w:firstLine="709"/>
        <w:jc w:val="both"/>
        <w:rPr>
          <w:rFonts w:ascii="Arial" w:eastAsia="Calibri" w:hAnsi="Arial" w:cs="Arial"/>
          <w:bCs/>
          <w:color w:val="000000" w:themeColor="text1"/>
          <w:sz w:val="22"/>
          <w:szCs w:val="22"/>
          <w:lang w:val="es-ES_tradnl"/>
        </w:rPr>
      </w:pPr>
      <w:r w:rsidRPr="00BC2EF4">
        <w:rPr>
          <w:rFonts w:ascii="Arial" w:eastAsia="Calibri" w:hAnsi="Arial" w:cs="Arial"/>
          <w:bCs/>
          <w:color w:val="000000" w:themeColor="text1"/>
          <w:sz w:val="22"/>
          <w:szCs w:val="22"/>
          <w:lang w:val="es-ES_tradnl"/>
        </w:rPr>
        <w:t xml:space="preserve">En atención a este mandato, la Agencia Nacional de Contratación Pública, en desarrollo del procedimiento de actualización regulado por la Resolución 160 de 2020, expidió la Resolución 304 de 2021, «Por la cual se modifican los Documentos Tipo adoptados por la Agencia Nacional de Contratación Pública – Colombia Compra Eficiente». Esta resolución modificó y adicionó los documentos base, formatos y matrices de los documentos tipo de infraestructura de transporte –en sus distintas modalidades–, agua potable y saneamiento básico e infraestructura social, introduciendo una metodología común a todos estos procedimientos, a partir de la cual, en aplicación de la definición de Servicios Nacionales del Decreto 680, se otorga el puntaje por apoyo a la industria nacional en consideración al ofrecimiento de los bienes nacionales relevantes. De acuerdo con esta metodología, las entidades pueden establecer de manera objetiva los bienes nacionales que resultan relevantes para el desarrollo del objeto contractual, que, al estar incluidos en el Registro de Productores de Bienes Nacionales, son determinantes para la asignación del puntaje por apoyo a la industria nacional. </w:t>
      </w:r>
    </w:p>
    <w:p w14:paraId="3E3A36D2" w14:textId="77777777" w:rsidR="001D1F01" w:rsidRPr="00BC2EF4" w:rsidRDefault="001D1F01" w:rsidP="001D1F01">
      <w:pPr>
        <w:widowControl w:val="0"/>
        <w:autoSpaceDE w:val="0"/>
        <w:autoSpaceDN w:val="0"/>
        <w:spacing w:after="120"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Concretamente, el Capítulo I de la Resolución modifica los documentos tipo de infraestructura de transporte. En relación con las disposiciones del Decreto 680 de 2021, se modifican los siguientes numerales del documento base: 4.3 «Apoyo a la industria nacional», 4.3.1 «Promoción de servicios nacionales o con trato nacional», 4.3.1.1 «Acreditación del puntaje por servicios nacionales o con trato nacional» y 4.3.2. «Incorporación de componente nacional en servicios extranjeros». Además, se incluye la Matriz 4 - Bienes nacionales relevantes para la obra pública del sector transporte y se modifican los formatos y anexos respectivos. </w:t>
      </w:r>
    </w:p>
    <w:p w14:paraId="5A55DE12" w14:textId="77777777" w:rsidR="001D1F01" w:rsidRPr="00BC2EF4" w:rsidRDefault="001D1F01" w:rsidP="001D1F01">
      <w:pPr>
        <w:widowControl w:val="0"/>
        <w:autoSpaceDE w:val="0"/>
        <w:autoSpaceDN w:val="0"/>
        <w:spacing w:after="120"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Teniendo en cuenta que en su consulta usted indaga sobre el modo de aplicación del numeral «4.3.1 Promoción de servicios nacionales o con trato nacional», de los documentos tipo de licitación de obra pública de infraestructura de transporte – Versión 3, a continuación, se analizará el alcance de ese numeral con la modificación introducida por la Resolución 304 de 2021. </w:t>
      </w:r>
    </w:p>
    <w:p w14:paraId="2B3532D4" w14:textId="77777777" w:rsidR="001D1F01" w:rsidRPr="00BC2EF4" w:rsidRDefault="001D1F01" w:rsidP="001D1F01">
      <w:pPr>
        <w:widowControl w:val="0"/>
        <w:autoSpaceDE w:val="0"/>
        <w:autoSpaceDN w:val="0"/>
        <w:spacing w:line="276" w:lineRule="auto"/>
        <w:ind w:firstLine="708"/>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El numeral «4.3.1 Promoción de servicios nacionales o con trato nacional», de los documentos tipo de obra pública de infraestructura de transporte – Versión 3, en sus tres (3) primeros incisos, </w:t>
      </w:r>
      <w:r w:rsidRPr="00BC2EF4">
        <w:rPr>
          <w:rFonts w:ascii="Arial" w:eastAsia="Calibri" w:hAnsi="Arial" w:cs="Arial"/>
          <w:bCs/>
          <w:color w:val="000000" w:themeColor="text1"/>
          <w:sz w:val="22"/>
          <w:szCs w:val="22"/>
          <w:lang w:val="es-ES_tradnl"/>
        </w:rPr>
        <w:t xml:space="preserve">dispone la modificación parcial que introdujo el artículo 1 del Decreto 680 de 2021 al artículo 2.2.1.1.1.3.1. del Decreto 1082 de 2015, para definir los </w:t>
      </w:r>
      <w:r w:rsidRPr="00BC2EF4">
        <w:rPr>
          <w:rFonts w:ascii="Arial" w:eastAsia="Calibri" w:hAnsi="Arial" w:cs="Arial"/>
          <w:bCs/>
          <w:i/>
          <w:iCs/>
          <w:color w:val="000000" w:themeColor="text1"/>
          <w:sz w:val="22"/>
          <w:szCs w:val="22"/>
          <w:lang w:val="es-ES_tradnl"/>
        </w:rPr>
        <w:t>servicios nacionales</w:t>
      </w:r>
      <w:r w:rsidRPr="00BC2EF4">
        <w:rPr>
          <w:rFonts w:ascii="Arial" w:eastAsia="Calibri" w:hAnsi="Arial" w:cs="Arial"/>
          <w:bCs/>
          <w:color w:val="000000" w:themeColor="text1"/>
          <w:sz w:val="22"/>
          <w:szCs w:val="22"/>
          <w:lang w:val="es-ES_tradnl"/>
        </w:rPr>
        <w:t xml:space="preserve"> en forma distinta, así:</w:t>
      </w:r>
    </w:p>
    <w:p w14:paraId="32EBC423" w14:textId="77777777" w:rsidR="001D1F01" w:rsidRPr="00BC2EF4" w:rsidRDefault="001D1F01" w:rsidP="001D1F01">
      <w:pPr>
        <w:widowControl w:val="0"/>
        <w:autoSpaceDE w:val="0"/>
        <w:autoSpaceDN w:val="0"/>
        <w:spacing w:line="276" w:lineRule="auto"/>
        <w:jc w:val="both"/>
        <w:rPr>
          <w:rFonts w:ascii="Arial" w:eastAsia="Arial" w:hAnsi="Arial" w:cs="Arial"/>
          <w:bCs/>
          <w:sz w:val="22"/>
          <w:szCs w:val="22"/>
          <w:lang w:eastAsia="es-ES" w:bidi="es-ES"/>
        </w:rPr>
      </w:pPr>
    </w:p>
    <w:p w14:paraId="19D03361" w14:textId="77777777" w:rsidR="001D1F01" w:rsidRPr="00BC2EF4" w:rsidRDefault="001D1F01" w:rsidP="00BC2EF4">
      <w:pPr>
        <w:widowControl w:val="0"/>
        <w:autoSpaceDE w:val="0"/>
        <w:autoSpaceDN w:val="0"/>
        <w:spacing w:after="120"/>
        <w:ind w:left="709" w:right="709"/>
        <w:jc w:val="both"/>
        <w:rPr>
          <w:rFonts w:ascii="Arial" w:hAnsi="Arial" w:cs="Arial"/>
          <w:b/>
          <w:bCs/>
          <w:sz w:val="21"/>
          <w:szCs w:val="21"/>
          <w:lang w:val="es-MX"/>
        </w:rPr>
      </w:pPr>
      <w:r w:rsidRPr="00BC2EF4">
        <w:rPr>
          <w:rFonts w:ascii="Arial" w:hAnsi="Arial" w:cs="Arial"/>
          <w:b/>
          <w:bCs/>
          <w:sz w:val="21"/>
          <w:szCs w:val="21"/>
          <w:lang w:val="es-MX"/>
        </w:rPr>
        <w:t>4.3.1 Promoción de servicios nacionales o con trato nacional</w:t>
      </w:r>
    </w:p>
    <w:p w14:paraId="634FE0B6" w14:textId="77777777" w:rsidR="001D1F01" w:rsidRPr="00BC2EF4" w:rsidRDefault="001D1F01" w:rsidP="001D1F01">
      <w:pPr>
        <w:spacing w:after="120"/>
        <w:ind w:left="709" w:right="709"/>
        <w:jc w:val="both"/>
        <w:rPr>
          <w:rFonts w:ascii="Arial" w:hAnsi="Arial" w:cs="Arial"/>
          <w:sz w:val="21"/>
          <w:szCs w:val="21"/>
          <w:lang w:val="es-MX"/>
        </w:rPr>
      </w:pPr>
      <w:r w:rsidRPr="00BC2EF4">
        <w:rPr>
          <w:rFonts w:ascii="Arial" w:hAnsi="Arial" w:cs="Arial"/>
          <w:sz w:val="21"/>
          <w:szCs w:val="21"/>
          <w:lang w:val="es-MX"/>
        </w:rPr>
        <w:t>En los contratos que deban cumplirse en Colombia, el servicio es nacional cuando además de ofertarse por una persona natural colombiana o por un residente en Colombia, por una persona jurídica constituida de conformidad con la legislación colombiana o por un Proponente Plural conformado por estos o por estos y un extranjero con Trato Nacional, (i) usa el o los bienes nacionales relevantes definidos por la Entidad Estatal para el desarrollo de la obra o (</w:t>
      </w:r>
      <w:proofErr w:type="spellStart"/>
      <w:r w:rsidRPr="00BC2EF4">
        <w:rPr>
          <w:rFonts w:ascii="Arial" w:hAnsi="Arial" w:cs="Arial"/>
          <w:sz w:val="21"/>
          <w:szCs w:val="21"/>
          <w:lang w:val="es-MX"/>
        </w:rPr>
        <w:t>ii</w:t>
      </w:r>
      <w:proofErr w:type="spellEnd"/>
      <w:r w:rsidRPr="00BC2EF4">
        <w:rPr>
          <w:rFonts w:ascii="Arial" w:hAnsi="Arial" w:cs="Arial"/>
          <w:sz w:val="21"/>
          <w:szCs w:val="21"/>
          <w:lang w:val="es-MX"/>
        </w:rPr>
        <w:t>) vincula el porcentaje mínimo de personal colombiano, según corresponda.</w:t>
      </w:r>
    </w:p>
    <w:p w14:paraId="0A6C831B" w14:textId="77777777" w:rsidR="001D1F01" w:rsidRPr="00BC2EF4" w:rsidRDefault="001D1F01" w:rsidP="001D1F01">
      <w:pPr>
        <w:spacing w:after="120"/>
        <w:ind w:left="709" w:right="709"/>
        <w:jc w:val="both"/>
        <w:rPr>
          <w:rFonts w:ascii="Arial" w:hAnsi="Arial" w:cs="Arial"/>
          <w:sz w:val="21"/>
          <w:szCs w:val="21"/>
          <w:lang w:val="es-MX"/>
        </w:rPr>
      </w:pPr>
      <w:r w:rsidRPr="00BC2EF4">
        <w:rPr>
          <w:rFonts w:ascii="Arial" w:hAnsi="Arial" w:cs="Arial"/>
          <w:sz w:val="21"/>
          <w:szCs w:val="21"/>
          <w:lang w:val="es-MX"/>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por un Proponente Plural conformado por estos, sin que sea necesario el uso de bienes colombianos o la vinculación de personal colombiano.</w:t>
      </w:r>
    </w:p>
    <w:p w14:paraId="7FEE663E" w14:textId="77777777" w:rsidR="001D1F01" w:rsidRPr="00BC2EF4" w:rsidRDefault="001D1F01" w:rsidP="00BC2EF4">
      <w:pPr>
        <w:ind w:left="709" w:right="709"/>
        <w:jc w:val="both"/>
        <w:rPr>
          <w:rFonts w:ascii="Arial" w:hAnsi="Arial" w:cs="Arial"/>
          <w:sz w:val="21"/>
          <w:szCs w:val="21"/>
          <w:lang w:val="es-MX"/>
        </w:rPr>
      </w:pPr>
      <w:r w:rsidRPr="00BC2EF4">
        <w:rPr>
          <w:rFonts w:ascii="Arial" w:hAnsi="Arial" w:cs="Arial"/>
          <w:sz w:val="21"/>
          <w:szCs w:val="21"/>
          <w:lang w:val="es-MX"/>
        </w:rPr>
        <w:t xml:space="preserve">En el caso de los Proponentes extranjeros con trato nacional que participen en el Proceso de Contratación de manera singular o mediante la conformación de un Proponente Plural podrán definir si aplican las reglas previstas en este numeral o, </w:t>
      </w:r>
      <w:proofErr w:type="gramStart"/>
      <w:r w:rsidRPr="00BC2EF4">
        <w:rPr>
          <w:rFonts w:ascii="Arial" w:hAnsi="Arial" w:cs="Arial"/>
          <w:sz w:val="21"/>
          <w:szCs w:val="21"/>
          <w:lang w:val="es-MX"/>
        </w:rPr>
        <w:t>si</w:t>
      </w:r>
      <w:proofErr w:type="gramEnd"/>
      <w:r w:rsidRPr="00BC2EF4">
        <w:rPr>
          <w:rFonts w:ascii="Arial" w:hAnsi="Arial" w:cs="Arial"/>
          <w:sz w:val="21"/>
          <w:szCs w:val="21"/>
          <w:lang w:val="es-MX"/>
        </w:rPr>
        <w:t xml:space="preserve"> por el contrario, deciden acogerse a la regla de origen de su país. Para definir la regla aplicable al proceso, el Proponente extranjero con trato nacional así lo manifestará con el diligenciamiento de la opción 3 del Formato 9A – Promoción de Servicios Nacionales o con Trato Nacional. En el caso que no se diligencie la opción 3 del Formato 9A – Promoción de Servicios Nacionales o con Trato Nacional, la Entidad Estatal deberá evaluar la oferta de acuerdo con las reglas previstas en este numeral. </w:t>
      </w:r>
    </w:p>
    <w:p w14:paraId="77D544A4" w14:textId="77777777" w:rsidR="001D1F01" w:rsidRPr="00BC2EF4" w:rsidRDefault="001D1F01" w:rsidP="001D1F01">
      <w:pPr>
        <w:ind w:left="709"/>
        <w:jc w:val="both"/>
        <w:rPr>
          <w:rFonts w:ascii="Arial" w:hAnsi="Arial" w:cs="Arial"/>
          <w:sz w:val="21"/>
          <w:szCs w:val="21"/>
          <w:lang w:val="es-MX"/>
        </w:rPr>
      </w:pPr>
      <w:r w:rsidRPr="00BC2EF4">
        <w:rPr>
          <w:rFonts w:ascii="Arial" w:hAnsi="Arial" w:cs="Arial"/>
          <w:sz w:val="21"/>
          <w:szCs w:val="21"/>
          <w:lang w:val="es-MX"/>
        </w:rPr>
        <w:t>[…]</w:t>
      </w:r>
    </w:p>
    <w:p w14:paraId="4BB74BFA" w14:textId="77777777" w:rsidR="001D1F01" w:rsidRPr="00BC2EF4" w:rsidRDefault="001D1F01" w:rsidP="00BC2EF4">
      <w:pPr>
        <w:spacing w:line="276" w:lineRule="auto"/>
        <w:ind w:left="708"/>
        <w:jc w:val="both"/>
        <w:rPr>
          <w:rFonts w:ascii="Arial" w:hAnsi="Arial" w:cs="Arial"/>
          <w:sz w:val="22"/>
          <w:szCs w:val="22"/>
          <w:lang w:val="es-MX"/>
        </w:rPr>
      </w:pPr>
    </w:p>
    <w:p w14:paraId="51EA8E29" w14:textId="77777777" w:rsidR="001D1F01" w:rsidRPr="00BC2EF4" w:rsidRDefault="001D1F01" w:rsidP="001D1F01">
      <w:pPr>
        <w:widowControl w:val="0"/>
        <w:autoSpaceDE w:val="0"/>
        <w:autoSpaceDN w:val="0"/>
        <w:spacing w:after="120" w:line="276" w:lineRule="auto"/>
        <w:jc w:val="both"/>
        <w:rPr>
          <w:rFonts w:ascii="Arial" w:eastAsia="Calibri" w:hAnsi="Arial" w:cs="Arial"/>
          <w:bCs/>
          <w:color w:val="000000"/>
          <w:sz w:val="22"/>
          <w:szCs w:val="22"/>
          <w:lang w:val="es-ES_tradnl"/>
        </w:rPr>
      </w:pPr>
      <w:r w:rsidRPr="00BC2EF4">
        <w:rPr>
          <w:rFonts w:ascii="Arial" w:eastAsia="Arial" w:hAnsi="Arial" w:cs="Arial"/>
          <w:bCs/>
          <w:lang w:eastAsia="es-ES" w:bidi="es-ES"/>
        </w:rPr>
        <w:tab/>
      </w:r>
      <w:r w:rsidRPr="00BC2EF4">
        <w:rPr>
          <w:rFonts w:ascii="Arial" w:eastAsia="Arial" w:hAnsi="Arial" w:cs="Arial"/>
          <w:bCs/>
          <w:sz w:val="22"/>
          <w:szCs w:val="22"/>
          <w:lang w:eastAsia="es-ES" w:bidi="es-ES"/>
        </w:rPr>
        <w:t xml:space="preserve">Conforme con lo anterior, se adecuan los documentos tipo de tal manera que el puntaje de industria nacional sea otorgado a los proponentes que presten servicios nacionales en los términos del Decreto 680 de 2021. </w:t>
      </w:r>
      <w:r w:rsidRPr="00BC2EF4">
        <w:rPr>
          <w:rFonts w:ascii="Arial" w:eastAsia="Calibri" w:hAnsi="Arial" w:cs="Arial"/>
          <w:bCs/>
          <w:color w:val="000000" w:themeColor="text1"/>
          <w:sz w:val="22"/>
          <w:szCs w:val="22"/>
          <w:lang w:val="es-ES_tradnl"/>
        </w:rPr>
        <w:t xml:space="preserve">Mediante esta modificación, la noción de Servicios Nacionales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w:t>
      </w:r>
      <w:r w:rsidRPr="00BC2EF4">
        <w:rPr>
          <w:rFonts w:ascii="Arial" w:eastAsia="Calibri" w:hAnsi="Arial" w:cs="Arial"/>
          <w:bCs/>
          <w:color w:val="000000"/>
          <w:sz w:val="22"/>
          <w:szCs w:val="22"/>
          <w:lang w:val="es-ES_tradnl"/>
        </w:rPr>
        <w:t>En consecuencia, si el contrato debe cumplirse en Colombia, la entidad estatal debe definir los bienes nacionales relevantes, pues el uso de estos por parte del proponente es uno de los criterios que permiten establecer si el servicio puede calificarse como nacional –el otro criterio es la vinculación del porcentaje mínimo de personal colombiano, según corresponda–. Si el contrato no debe cumplirse en Colombia, no es necesario que se usen bienes o personal colombianos, para que el servicio sea nacional, sino que basta con que sea prestado «por una persona natural colombiana o por un residente en Colombia, por una persona jurídica constituida de conformidad con la legislación colombiana o un proponente plural conformado por estos». Lo anterior en consonancia con el artículo 1 del Decreto 680 de 2021.</w:t>
      </w:r>
    </w:p>
    <w:p w14:paraId="2E5C9AA7" w14:textId="77777777" w:rsidR="001D1F01" w:rsidRPr="00BC2EF4" w:rsidRDefault="001D1F01" w:rsidP="001D1F01">
      <w:pPr>
        <w:spacing w:after="120" w:line="276" w:lineRule="auto"/>
        <w:ind w:firstLine="708"/>
        <w:jc w:val="both"/>
        <w:rPr>
          <w:rFonts w:ascii="Arial" w:hAnsi="Arial" w:cs="Arial"/>
          <w:sz w:val="22"/>
          <w:szCs w:val="22"/>
          <w:lang w:val="es-MX"/>
        </w:rPr>
      </w:pPr>
      <w:r w:rsidRPr="00BC2EF4">
        <w:rPr>
          <w:rFonts w:ascii="Arial" w:eastAsia="Arial" w:hAnsi="Arial" w:cs="Arial"/>
          <w:bCs/>
          <w:sz w:val="22"/>
          <w:szCs w:val="22"/>
          <w:lang w:eastAsia="es-ES" w:bidi="es-ES"/>
        </w:rPr>
        <w:t xml:space="preserve">Para los </w:t>
      </w:r>
      <w:r w:rsidRPr="00BC2EF4">
        <w:rPr>
          <w:rFonts w:ascii="Arial" w:hAnsi="Arial" w:cs="Arial"/>
          <w:sz w:val="22"/>
          <w:szCs w:val="22"/>
          <w:lang w:val="es-MX"/>
        </w:rPr>
        <w:t>Proponentes extranjeros con trato nacional que participen en el Proceso de Contratación de manera singular o mediante la conformación de un Proponente Plural −según se dispone en el inciso tercero del numeral 4.3.1−, estos podrán definir si aplican las reglas previstas en el numeral 4</w:t>
      </w:r>
      <w:r w:rsidRPr="00BC2EF4">
        <w:rPr>
          <w:rFonts w:ascii="Arial" w:eastAsia="Arial" w:hAnsi="Arial" w:cs="Arial"/>
          <w:bCs/>
          <w:sz w:val="22"/>
          <w:szCs w:val="22"/>
          <w:lang w:eastAsia="es-ES" w:bidi="es-ES"/>
        </w:rPr>
        <w:t xml:space="preserve">.3.1 «Promoción de servicios nacionales o con trato nacional», de los documentos tipo de obra pública de infraestructura de transporte – Versión 3, </w:t>
      </w:r>
      <w:r w:rsidRPr="00BC2EF4">
        <w:rPr>
          <w:rFonts w:ascii="Arial" w:hAnsi="Arial" w:cs="Arial"/>
          <w:sz w:val="22"/>
          <w:szCs w:val="22"/>
          <w:lang w:val="es-MX"/>
        </w:rPr>
        <w:t>o, si por el contrario, se acogen a la regla de origen de su país. Para definir la regla aplicable al proceso, los Proponentes extranjeros deben manifestarlo con el diligenciamiento de la opción 3 del Formato 9A – Promoción de Servicios Nacionales o con Trato Nacional, en la que manifiestan su voluntad de acogerse a la regla de origen de su país</w:t>
      </w:r>
      <w:r w:rsidRPr="00BC2EF4">
        <w:rPr>
          <w:rStyle w:val="Refdenotaalpie"/>
          <w:rFonts w:ascii="Arial" w:hAnsi="Arial" w:cs="Arial"/>
          <w:sz w:val="22"/>
          <w:szCs w:val="22"/>
          <w:lang w:val="es-MX"/>
        </w:rPr>
        <w:footnoteReference w:id="15"/>
      </w:r>
      <w:r w:rsidRPr="00BC2EF4">
        <w:rPr>
          <w:rFonts w:ascii="Arial" w:hAnsi="Arial" w:cs="Arial"/>
          <w:sz w:val="22"/>
          <w:szCs w:val="22"/>
          <w:lang w:val="es-MX"/>
        </w:rPr>
        <w:t xml:space="preserve">. Por otra parte, si no se diligencia este formato, la Entidad Estatal deberá evaluar la oferta de acuerdo con las reglas previstas en el numeral </w:t>
      </w:r>
      <w:r w:rsidRPr="00BC2EF4">
        <w:rPr>
          <w:rFonts w:ascii="Arial" w:eastAsia="Arial" w:hAnsi="Arial" w:cs="Arial"/>
          <w:bCs/>
          <w:sz w:val="22"/>
          <w:szCs w:val="22"/>
          <w:lang w:eastAsia="es-ES" w:bidi="es-ES"/>
        </w:rPr>
        <w:t>4.3.1 «Promoción de servicios nacionales o con trato nacional» del documento base o pliego tipo.</w:t>
      </w:r>
    </w:p>
    <w:p w14:paraId="31A5D7C1" w14:textId="77777777" w:rsidR="001D1F01" w:rsidRPr="00BC2EF4" w:rsidRDefault="001D1F01" w:rsidP="001D1F01">
      <w:pPr>
        <w:widowControl w:val="0"/>
        <w:autoSpaceDE w:val="0"/>
        <w:autoSpaceDN w:val="0"/>
        <w:spacing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Asimismo, en el numeral </w:t>
      </w:r>
      <w:r w:rsidRPr="00BC2EF4">
        <w:rPr>
          <w:rFonts w:ascii="Arial" w:hAnsi="Arial" w:cs="Arial"/>
          <w:sz w:val="22"/>
          <w:szCs w:val="22"/>
          <w:lang w:val="es-MX"/>
        </w:rPr>
        <w:t>4</w:t>
      </w:r>
      <w:r w:rsidRPr="00BC2EF4">
        <w:rPr>
          <w:rFonts w:ascii="Arial" w:eastAsia="Arial" w:hAnsi="Arial" w:cs="Arial"/>
          <w:bCs/>
          <w:sz w:val="22"/>
          <w:szCs w:val="22"/>
          <w:lang w:eastAsia="es-ES" w:bidi="es-ES"/>
        </w:rPr>
        <w:t>.3.1 «Promoción de servicios nacionales o con trato nacional», de los documentos tipo de licitación de obra pública de infraestructura de transporte – Versión 3, se implementan reglas que garantizan que las entidades estatales en sus procesos de contratación definan de manera razonable y proporcional los bienes nacionales relevantes. En este sentido, en el citado numeral se establece que:</w:t>
      </w:r>
    </w:p>
    <w:p w14:paraId="4252CDD9" w14:textId="77777777" w:rsidR="001D1F01" w:rsidRPr="00BC2EF4" w:rsidRDefault="001D1F01" w:rsidP="001D1F01">
      <w:pPr>
        <w:widowControl w:val="0"/>
        <w:autoSpaceDE w:val="0"/>
        <w:autoSpaceDN w:val="0"/>
        <w:spacing w:line="276" w:lineRule="auto"/>
        <w:ind w:firstLine="709"/>
        <w:jc w:val="both"/>
        <w:rPr>
          <w:rFonts w:ascii="Arial" w:eastAsia="Arial" w:hAnsi="Arial" w:cs="Arial"/>
          <w:bCs/>
          <w:sz w:val="22"/>
          <w:szCs w:val="22"/>
          <w:lang w:eastAsia="es-ES" w:bidi="es-ES"/>
        </w:rPr>
      </w:pPr>
    </w:p>
    <w:p w14:paraId="7DAFC34A" w14:textId="3A9FEDE6" w:rsidR="001D1F01" w:rsidRPr="00BC2EF4" w:rsidRDefault="001D1F01" w:rsidP="001D1F01">
      <w:pPr>
        <w:ind w:left="709" w:right="709"/>
        <w:jc w:val="both"/>
        <w:rPr>
          <w:rFonts w:ascii="Arial" w:hAnsi="Arial"/>
          <w:color w:val="000000" w:themeColor="text1"/>
          <w:sz w:val="21"/>
          <w:szCs w:val="21"/>
          <w:lang w:val="es-MX"/>
        </w:rPr>
      </w:pPr>
      <w:r w:rsidRPr="00BC2EF4">
        <w:rPr>
          <w:rFonts w:ascii="Arial" w:hAnsi="Arial"/>
          <w:color w:val="000000" w:themeColor="text1"/>
          <w:sz w:val="21"/>
          <w:szCs w:val="21"/>
          <w:lang w:val="es-MX"/>
        </w:rPr>
        <w:t>[Para determinar uno o varios bienes nacionales relevantes, la Entidad Estatal debe aplicar los criterios establecidos en el artículo 2.2.1.2.4.2.9. del Decreto 1082 de 2015, lo cual constará en los estudios y documentos previos y en las reglas definidas en la Matriz 4 – Bienes nacionales relevantes para la obra pública del sector transporte]</w:t>
      </w:r>
    </w:p>
    <w:p w14:paraId="5AE3D655" w14:textId="77777777" w:rsidR="001D1F01" w:rsidRPr="00BC2EF4" w:rsidRDefault="001D1F01" w:rsidP="001D1F01">
      <w:pPr>
        <w:widowControl w:val="0"/>
        <w:autoSpaceDE w:val="0"/>
        <w:autoSpaceDN w:val="0"/>
        <w:spacing w:line="276" w:lineRule="auto"/>
        <w:jc w:val="both"/>
        <w:rPr>
          <w:rFonts w:ascii="Arial" w:eastAsia="Arial" w:hAnsi="Arial" w:cs="Arial"/>
          <w:bCs/>
          <w:sz w:val="22"/>
          <w:szCs w:val="22"/>
          <w:lang w:eastAsia="es-ES" w:bidi="es-ES"/>
        </w:rPr>
      </w:pPr>
    </w:p>
    <w:p w14:paraId="71A25CCF" w14:textId="77777777" w:rsidR="001D1F01" w:rsidRPr="00BC2EF4" w:rsidRDefault="001D1F01" w:rsidP="001D1F01">
      <w:pPr>
        <w:widowControl w:val="0"/>
        <w:autoSpaceDE w:val="0"/>
        <w:autoSpaceDN w:val="0"/>
        <w:spacing w:after="120"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Lo anterior guarda relación con los dispuesto en el artículo 2 del Decreto 680 de 2021, en donde se consagra la metodología con fundamento en la cual la entidad estatal debe definir los bienes colombianos relevantes y otorgar el puntaje de que trata el inciso 1 del artículo 2 de la Ley 816 de 2003. </w:t>
      </w:r>
    </w:p>
    <w:p w14:paraId="7CCF5A8C" w14:textId="77777777" w:rsidR="001D1F01" w:rsidRPr="00BC2EF4" w:rsidRDefault="001D1F01" w:rsidP="001D1F01">
      <w:pPr>
        <w:widowControl w:val="0"/>
        <w:autoSpaceDE w:val="0"/>
        <w:autoSpaceDN w:val="0"/>
        <w:spacing w:after="120" w:line="276" w:lineRule="auto"/>
        <w:ind w:firstLine="709"/>
        <w:jc w:val="both"/>
        <w:rPr>
          <w:rFonts w:ascii="Arial" w:eastAsia="Calibri" w:hAnsi="Arial" w:cs="Arial"/>
          <w:bCs/>
          <w:color w:val="000000" w:themeColor="text1"/>
          <w:sz w:val="22"/>
          <w:szCs w:val="22"/>
          <w:lang w:val="es-ES_tradnl"/>
        </w:rPr>
      </w:pPr>
      <w:bookmarkStart w:id="6" w:name="_Hlk102568124"/>
      <w:r w:rsidRPr="00BC2EF4">
        <w:rPr>
          <w:rFonts w:ascii="Arial" w:eastAsia="Arial" w:hAnsi="Arial" w:cs="Arial"/>
          <w:bCs/>
          <w:sz w:val="22"/>
          <w:szCs w:val="22"/>
          <w:lang w:eastAsia="es-ES" w:bidi="es-ES"/>
        </w:rPr>
        <w:t xml:space="preserve">Para determinar uno o varios bienes nacionales relevantes la entidad estatal debe aplicar los criterios establecidos en el artículo </w:t>
      </w:r>
      <w:r w:rsidRPr="00BC2EF4">
        <w:rPr>
          <w:rFonts w:ascii="Arial" w:eastAsia="Arial" w:hAnsi="Arial" w:cs="Arial"/>
          <w:sz w:val="22"/>
          <w:szCs w:val="22"/>
          <w:lang w:val="es-419"/>
        </w:rPr>
        <w:t xml:space="preserve">2.2.1.2.4.2.9. del Decreto 1082 de 2015 </w:t>
      </w:r>
      <w:r w:rsidRPr="00BC2EF4">
        <w:rPr>
          <w:rFonts w:ascii="Arial" w:eastAsia="Calibri" w:hAnsi="Arial" w:cs="Arial"/>
          <w:bCs/>
          <w:color w:val="000000" w:themeColor="text1"/>
          <w:sz w:val="22"/>
          <w:szCs w:val="22"/>
          <w:lang w:val="es-ES_tradnl"/>
        </w:rPr>
        <w:t xml:space="preserve">adicionado por el Decreto 680 de 2021, a saber: i) «el análisis del sector económico y de los oferentes, y, toda aquella información adicional con la que cuente la entidad estatal en la etapa de planeación del Proceso de Contratación», </w:t>
      </w:r>
      <w:proofErr w:type="spellStart"/>
      <w:r w:rsidRPr="00BC2EF4">
        <w:rPr>
          <w:rFonts w:ascii="Arial" w:eastAsia="Calibri" w:hAnsi="Arial" w:cs="Arial"/>
          <w:bCs/>
          <w:color w:val="000000" w:themeColor="text1"/>
          <w:sz w:val="22"/>
          <w:szCs w:val="22"/>
          <w:lang w:val="es-ES_tradnl"/>
        </w:rPr>
        <w:t>ii</w:t>
      </w:r>
      <w:proofErr w:type="spellEnd"/>
      <w:r w:rsidRPr="00BC2EF4">
        <w:rPr>
          <w:rFonts w:ascii="Arial" w:eastAsia="Calibri" w:hAnsi="Arial" w:cs="Arial"/>
          <w:bCs/>
          <w:color w:val="000000" w:themeColor="text1"/>
          <w:sz w:val="22"/>
          <w:szCs w:val="22"/>
          <w:lang w:val="es-ES_tradnl"/>
        </w:rPr>
        <w:t xml:space="preserve">) el porcentaje de participación de los bienes en el presupuesto del Proceso de Contratación y </w:t>
      </w:r>
      <w:proofErr w:type="spellStart"/>
      <w:r w:rsidRPr="00BC2EF4">
        <w:rPr>
          <w:rFonts w:ascii="Arial" w:eastAsia="Calibri" w:hAnsi="Arial" w:cs="Arial"/>
          <w:bCs/>
          <w:color w:val="000000" w:themeColor="text1"/>
          <w:sz w:val="22"/>
          <w:szCs w:val="22"/>
          <w:lang w:val="es-ES_tradnl"/>
        </w:rPr>
        <w:t>iii</w:t>
      </w:r>
      <w:proofErr w:type="spellEnd"/>
      <w:r w:rsidRPr="00BC2EF4">
        <w:rPr>
          <w:rFonts w:ascii="Arial" w:eastAsia="Calibri" w:hAnsi="Arial" w:cs="Arial"/>
          <w:bCs/>
          <w:color w:val="000000" w:themeColor="text1"/>
          <w:sz w:val="22"/>
          <w:szCs w:val="22"/>
          <w:lang w:val="es-ES_tradnl"/>
        </w:rPr>
        <w:t xml:space="preserve">) la existencia de los bienes en el Registro de Productores de Bienes Nacionales, en los términos del Decreto 2680 de 2009. </w:t>
      </w:r>
      <w:r w:rsidRPr="00BC2EF4">
        <w:rPr>
          <w:rFonts w:ascii="Arial" w:eastAsia="Arial" w:hAnsi="Arial" w:cs="Arial"/>
          <w:sz w:val="22"/>
          <w:szCs w:val="22"/>
          <w:lang w:val="es-419"/>
        </w:rPr>
        <w:t xml:space="preserve">Además de estos tres criterios, la entidad estatal deberá aplicar los parámetros contenidos en la </w:t>
      </w:r>
      <w:r w:rsidRPr="00BC2EF4">
        <w:rPr>
          <w:rFonts w:ascii="Arial" w:eastAsia="Arial" w:hAnsi="Arial" w:cs="Arial"/>
          <w:bCs/>
          <w:sz w:val="22"/>
          <w:szCs w:val="22"/>
          <w:lang w:eastAsia="es-ES" w:bidi="es-ES"/>
        </w:rPr>
        <w:t>Matriz 4 – Bienes nacionales relevantes para la obra pública del sector transporte, en la que s</w:t>
      </w:r>
      <w:proofErr w:type="spellStart"/>
      <w:r w:rsidRPr="00BC2EF4">
        <w:rPr>
          <w:rFonts w:ascii="Arial" w:eastAsia="Calibri" w:hAnsi="Arial" w:cs="Arial"/>
          <w:bCs/>
          <w:color w:val="000000" w:themeColor="text1"/>
          <w:sz w:val="22"/>
          <w:szCs w:val="22"/>
          <w:lang w:val="es-ES_tradnl"/>
        </w:rPr>
        <w:t>e</w:t>
      </w:r>
      <w:proofErr w:type="spellEnd"/>
      <w:r w:rsidRPr="00BC2EF4">
        <w:rPr>
          <w:rFonts w:ascii="Arial" w:eastAsia="Calibri" w:hAnsi="Arial" w:cs="Arial"/>
          <w:bCs/>
          <w:color w:val="000000" w:themeColor="text1"/>
          <w:sz w:val="22"/>
          <w:szCs w:val="22"/>
          <w:lang w:val="es-ES_tradnl"/>
        </w:rPr>
        <w:t xml:space="preserve"> desarrolla una metodología para identificar los bienes nacionales relevantes para la ejecución del objeto a contratar</w:t>
      </w:r>
      <w:bookmarkEnd w:id="6"/>
      <w:r w:rsidRPr="00BC2EF4">
        <w:rPr>
          <w:rFonts w:ascii="Arial" w:eastAsia="Calibri" w:hAnsi="Arial" w:cs="Arial"/>
          <w:bCs/>
          <w:color w:val="000000" w:themeColor="text1"/>
          <w:sz w:val="22"/>
          <w:szCs w:val="22"/>
          <w:lang w:val="es-ES_tradnl"/>
        </w:rPr>
        <w:t xml:space="preserve">. </w:t>
      </w:r>
    </w:p>
    <w:p w14:paraId="39D195AF" w14:textId="77777777" w:rsidR="001D1F01" w:rsidRPr="00BC2EF4" w:rsidRDefault="001D1F01" w:rsidP="00BC2EF4">
      <w:pPr>
        <w:autoSpaceDE w:val="0"/>
        <w:autoSpaceDN w:val="0"/>
        <w:adjustRightInd w:val="0"/>
        <w:spacing w:line="276" w:lineRule="auto"/>
        <w:ind w:firstLine="708"/>
        <w:jc w:val="both"/>
        <w:rPr>
          <w:rFonts w:ascii="Arial" w:eastAsia="Calibri" w:hAnsi="Arial" w:cs="Arial"/>
          <w:bCs/>
          <w:color w:val="000000" w:themeColor="text1"/>
          <w:sz w:val="22"/>
          <w:szCs w:val="22"/>
          <w:lang w:val="es-ES_tradnl"/>
        </w:rPr>
      </w:pPr>
      <w:r w:rsidRPr="00BC2EF4">
        <w:rPr>
          <w:rFonts w:ascii="Arial" w:eastAsia="Calibri" w:hAnsi="Arial" w:cs="Arial"/>
          <w:bCs/>
          <w:color w:val="000000" w:themeColor="text1"/>
          <w:sz w:val="22"/>
          <w:szCs w:val="22"/>
          <w:lang w:val="es-ES_tradnl"/>
        </w:rPr>
        <w:t>A continuación, se enuncian los pasos a seguir que contiene la Matriz 4 – Bienes nacionales relevantes para la obra pública del sector transporte, para la identificación de los bienes nacionales relevantes:</w:t>
      </w:r>
    </w:p>
    <w:p w14:paraId="386838E9" w14:textId="77777777" w:rsidR="001D1F01" w:rsidRPr="00BC2EF4" w:rsidRDefault="001D1F01" w:rsidP="00BC2EF4">
      <w:pPr>
        <w:autoSpaceDE w:val="0"/>
        <w:autoSpaceDN w:val="0"/>
        <w:adjustRightInd w:val="0"/>
        <w:spacing w:line="276" w:lineRule="auto"/>
        <w:ind w:firstLine="708"/>
        <w:jc w:val="both"/>
        <w:rPr>
          <w:rFonts w:ascii="Arial" w:eastAsia="Calibri" w:hAnsi="Arial" w:cs="Arial"/>
          <w:bCs/>
          <w:color w:val="000000" w:themeColor="text1"/>
          <w:sz w:val="22"/>
          <w:szCs w:val="22"/>
          <w:lang w:val="es-ES_tradnl"/>
        </w:rPr>
      </w:pPr>
    </w:p>
    <w:p w14:paraId="115C106C" w14:textId="77777777" w:rsidR="001D1F01" w:rsidRPr="00BC2EF4" w:rsidRDefault="001D1F01" w:rsidP="001D1F01">
      <w:pPr>
        <w:numPr>
          <w:ilvl w:val="0"/>
          <w:numId w:val="7"/>
        </w:numPr>
        <w:tabs>
          <w:tab w:val="left" w:pos="1134"/>
        </w:tabs>
        <w:spacing w:after="120"/>
        <w:ind w:left="1069" w:right="709"/>
        <w:contextualSpacing/>
        <w:jc w:val="both"/>
        <w:rPr>
          <w:rFonts w:ascii="Arial" w:eastAsia="Arial" w:hAnsi="Arial" w:cs="Arial"/>
          <w:i/>
          <w:color w:val="000000"/>
          <w:sz w:val="21"/>
          <w:szCs w:val="21"/>
        </w:rPr>
      </w:pPr>
      <w:r w:rsidRPr="00BC2EF4">
        <w:rPr>
          <w:rFonts w:ascii="Arial" w:eastAsia="Arial" w:hAnsi="Arial" w:cs="Arial"/>
          <w:iCs/>
          <w:color w:val="000000"/>
          <w:sz w:val="21"/>
          <w:szCs w:val="21"/>
        </w:rPr>
        <w:t xml:space="preserve">Identificar dentro del Presupuesto </w:t>
      </w:r>
      <w:r w:rsidRPr="00BC2EF4">
        <w:rPr>
          <w:rFonts w:ascii="Arial" w:eastAsia="Arial" w:hAnsi="Arial" w:cs="Arial"/>
          <w:color w:val="000000"/>
          <w:sz w:val="21"/>
          <w:szCs w:val="21"/>
        </w:rPr>
        <w:t>O</w:t>
      </w:r>
      <w:r w:rsidRPr="00BC2EF4">
        <w:rPr>
          <w:rFonts w:ascii="Arial" w:eastAsia="Arial" w:hAnsi="Arial" w:cs="Arial"/>
          <w:iCs/>
          <w:color w:val="000000"/>
          <w:sz w:val="21"/>
          <w:szCs w:val="21"/>
        </w:rPr>
        <w:t>ficial los bienes o insumos requeridos para la ejecución del proyecto.</w:t>
      </w:r>
    </w:p>
    <w:p w14:paraId="13EEC78B" w14:textId="77777777" w:rsidR="001D1F01" w:rsidRPr="00BC2EF4" w:rsidRDefault="001D1F01" w:rsidP="001D1F01">
      <w:pPr>
        <w:pStyle w:val="Prrafodelista"/>
        <w:numPr>
          <w:ilvl w:val="0"/>
          <w:numId w:val="7"/>
        </w:numPr>
        <w:tabs>
          <w:tab w:val="left" w:pos="1134"/>
        </w:tabs>
        <w:spacing w:after="120"/>
        <w:ind w:left="1069" w:right="709"/>
        <w:jc w:val="both"/>
        <w:rPr>
          <w:rFonts w:ascii="Arial" w:hAnsi="Arial" w:cs="Arial"/>
          <w:i/>
          <w:color w:val="000000"/>
          <w:sz w:val="21"/>
          <w:szCs w:val="21"/>
          <w:lang w:val="es-CO"/>
        </w:rPr>
      </w:pPr>
      <w:r w:rsidRPr="00BC2EF4">
        <w:rPr>
          <w:rFonts w:ascii="Arial" w:hAnsi="Arial" w:cs="Arial"/>
          <w:color w:val="000000"/>
          <w:sz w:val="21"/>
          <w:szCs w:val="21"/>
          <w:lang w:val="es-CO"/>
        </w:rPr>
        <w:t xml:space="preserve">Calcular el </w:t>
      </w:r>
      <w:r w:rsidRPr="00BC2EF4">
        <w:rPr>
          <w:rFonts w:ascii="Arial" w:hAnsi="Arial" w:cs="Arial"/>
          <w:b/>
          <w:i/>
          <w:color w:val="000000"/>
          <w:sz w:val="21"/>
          <w:szCs w:val="21"/>
          <w:lang w:val="es-CO"/>
        </w:rPr>
        <w:t xml:space="preserve">valor parcial </w:t>
      </w:r>
      <w:r w:rsidRPr="00BC2EF4">
        <w:rPr>
          <w:rFonts w:ascii="Arial" w:hAnsi="Arial" w:cs="Arial"/>
          <w:color w:val="000000"/>
          <w:sz w:val="21"/>
          <w:szCs w:val="21"/>
          <w:lang w:val="es-CO"/>
        </w:rPr>
        <w:t>de los bienes o insumos identificados, para lo cual se deberá multiplicar el valor unitario de cada uno por la cantidad requerida.</w:t>
      </w:r>
    </w:p>
    <w:p w14:paraId="4A69DDD6" w14:textId="77777777" w:rsidR="001D1F01" w:rsidRPr="00BC2EF4" w:rsidRDefault="001D1F01" w:rsidP="001D1F01">
      <w:pPr>
        <w:pStyle w:val="Prrafodelista"/>
        <w:spacing w:after="120"/>
        <w:ind w:left="709" w:right="709"/>
        <w:rPr>
          <w:rFonts w:cs="Arial"/>
          <w:i/>
          <w:color w:val="000000"/>
          <w:sz w:val="21"/>
          <w:szCs w:val="21"/>
          <w:lang w:val="es-CO"/>
        </w:rPr>
      </w:pPr>
    </w:p>
    <w:p w14:paraId="5A703960" w14:textId="77777777" w:rsidR="001D1F01" w:rsidRPr="00BC2EF4" w:rsidRDefault="001D1F01" w:rsidP="001D1F01">
      <w:pPr>
        <w:pStyle w:val="Prrafodelista"/>
        <w:numPr>
          <w:ilvl w:val="0"/>
          <w:numId w:val="7"/>
        </w:numPr>
        <w:tabs>
          <w:tab w:val="left" w:pos="1134"/>
        </w:tabs>
        <w:spacing w:after="120"/>
        <w:ind w:left="1069" w:right="709"/>
        <w:jc w:val="both"/>
        <w:rPr>
          <w:rFonts w:ascii="Arial" w:hAnsi="Arial" w:cs="Arial"/>
          <w:i/>
          <w:color w:val="000000"/>
          <w:sz w:val="21"/>
          <w:szCs w:val="21"/>
          <w:lang w:val="es-CO"/>
        </w:rPr>
      </w:pPr>
      <w:r w:rsidRPr="00BC2EF4">
        <w:rPr>
          <w:rFonts w:ascii="Arial" w:hAnsi="Arial" w:cs="Arial"/>
          <w:color w:val="000000"/>
          <w:sz w:val="21"/>
          <w:szCs w:val="21"/>
          <w:lang w:val="es-CO"/>
        </w:rPr>
        <w:t>Calcular el</w:t>
      </w:r>
      <w:r w:rsidRPr="00BC2EF4">
        <w:rPr>
          <w:rFonts w:ascii="Arial" w:hAnsi="Arial" w:cs="Arial"/>
          <w:b/>
          <w:i/>
          <w:color w:val="000000"/>
          <w:sz w:val="21"/>
          <w:szCs w:val="21"/>
          <w:lang w:val="es-CO"/>
        </w:rPr>
        <w:t xml:space="preserve"> valor total</w:t>
      </w:r>
      <w:r w:rsidRPr="00BC2EF4">
        <w:rPr>
          <w:rFonts w:ascii="Arial" w:hAnsi="Arial" w:cs="Arial"/>
          <w:bCs/>
          <w:iCs/>
          <w:color w:val="000000"/>
          <w:sz w:val="21"/>
          <w:szCs w:val="21"/>
          <w:lang w:val="es-CO"/>
        </w:rPr>
        <w:t xml:space="preserve"> </w:t>
      </w:r>
      <w:r w:rsidRPr="00BC2EF4">
        <w:rPr>
          <w:rFonts w:ascii="Arial" w:hAnsi="Arial" w:cs="Arial"/>
          <w:color w:val="000000"/>
          <w:sz w:val="21"/>
          <w:szCs w:val="21"/>
          <w:lang w:val="es-CO"/>
        </w:rPr>
        <w:t>realizando la sumatoria</w:t>
      </w:r>
      <w:r w:rsidRPr="00BC2EF4">
        <w:rPr>
          <w:rFonts w:ascii="Arial" w:hAnsi="Arial" w:cs="Arial"/>
          <w:b/>
          <w:i/>
          <w:color w:val="000000"/>
          <w:sz w:val="21"/>
          <w:szCs w:val="21"/>
          <w:lang w:val="es-CO"/>
        </w:rPr>
        <w:t xml:space="preserve"> </w:t>
      </w:r>
      <w:r w:rsidRPr="00BC2EF4">
        <w:rPr>
          <w:rFonts w:ascii="Arial" w:hAnsi="Arial" w:cs="Arial"/>
          <w:color w:val="000000"/>
          <w:sz w:val="21"/>
          <w:szCs w:val="21"/>
          <w:lang w:val="es-CO"/>
        </w:rPr>
        <w:t xml:space="preserve">de los </w:t>
      </w:r>
      <w:r w:rsidRPr="00BC2EF4">
        <w:rPr>
          <w:rFonts w:ascii="Arial" w:hAnsi="Arial" w:cs="Arial"/>
          <w:b/>
          <w:i/>
          <w:color w:val="000000"/>
          <w:sz w:val="21"/>
          <w:szCs w:val="21"/>
          <w:lang w:val="es-CO"/>
        </w:rPr>
        <w:t>valores parciales</w:t>
      </w:r>
      <w:r w:rsidRPr="00BC2EF4">
        <w:rPr>
          <w:rFonts w:ascii="Arial" w:hAnsi="Arial" w:cs="Arial"/>
          <w:color w:val="000000"/>
          <w:sz w:val="21"/>
          <w:szCs w:val="21"/>
          <w:lang w:val="es-CO"/>
        </w:rPr>
        <w:t xml:space="preserve"> de los bienes o insumos requeridos en el proyecto.</w:t>
      </w:r>
    </w:p>
    <w:p w14:paraId="1E560187" w14:textId="77777777" w:rsidR="001D1F01" w:rsidRPr="00BC2EF4" w:rsidRDefault="001D1F01" w:rsidP="001D1F01">
      <w:pPr>
        <w:pStyle w:val="Prrafodelista"/>
        <w:spacing w:after="120"/>
        <w:ind w:left="709" w:right="709"/>
        <w:rPr>
          <w:rFonts w:cs="Arial"/>
          <w:i/>
          <w:color w:val="000000"/>
          <w:sz w:val="21"/>
          <w:szCs w:val="21"/>
          <w:lang w:val="es-CO"/>
        </w:rPr>
      </w:pPr>
    </w:p>
    <w:p w14:paraId="64854FDD" w14:textId="77777777" w:rsidR="001D1F01" w:rsidRPr="00BC2EF4" w:rsidRDefault="001D1F01" w:rsidP="001D1F01">
      <w:pPr>
        <w:pStyle w:val="Prrafodelista"/>
        <w:numPr>
          <w:ilvl w:val="0"/>
          <w:numId w:val="7"/>
        </w:numPr>
        <w:tabs>
          <w:tab w:val="left" w:pos="1134"/>
        </w:tabs>
        <w:spacing w:after="120"/>
        <w:ind w:left="1069" w:right="709"/>
        <w:jc w:val="both"/>
        <w:rPr>
          <w:rFonts w:ascii="Arial" w:hAnsi="Arial" w:cs="Arial"/>
          <w:i/>
          <w:color w:val="000000"/>
          <w:sz w:val="21"/>
          <w:szCs w:val="21"/>
          <w:lang w:val="es-CO"/>
        </w:rPr>
      </w:pPr>
      <w:r w:rsidRPr="00BC2EF4">
        <w:rPr>
          <w:rFonts w:ascii="Arial" w:hAnsi="Arial" w:cs="Arial"/>
          <w:color w:val="000000"/>
          <w:sz w:val="21"/>
          <w:szCs w:val="21"/>
          <w:lang w:val="es-CO"/>
        </w:rPr>
        <w:t xml:space="preserve">Determinar el </w:t>
      </w:r>
      <w:r w:rsidRPr="00BC2EF4">
        <w:rPr>
          <w:rFonts w:ascii="Arial" w:hAnsi="Arial" w:cs="Arial"/>
          <w:b/>
          <w:i/>
          <w:color w:val="000000"/>
          <w:sz w:val="21"/>
          <w:szCs w:val="21"/>
          <w:lang w:val="es-CO"/>
        </w:rPr>
        <w:t>porcentaje de participación</w:t>
      </w:r>
      <w:r w:rsidRPr="00BC2EF4">
        <w:rPr>
          <w:rFonts w:ascii="Arial" w:hAnsi="Arial" w:cs="Arial"/>
          <w:i/>
          <w:color w:val="000000"/>
          <w:sz w:val="21"/>
          <w:szCs w:val="21"/>
          <w:lang w:val="es-CO"/>
        </w:rPr>
        <w:t xml:space="preserve"> </w:t>
      </w:r>
      <w:r w:rsidRPr="00BC2EF4">
        <w:rPr>
          <w:rFonts w:ascii="Arial" w:hAnsi="Arial" w:cs="Arial"/>
          <w:color w:val="000000"/>
          <w:sz w:val="21"/>
          <w:szCs w:val="21"/>
          <w:lang w:val="es-CO"/>
        </w:rPr>
        <w:t xml:space="preserve">de cada bien o insumo usando su </w:t>
      </w:r>
      <w:r w:rsidRPr="00BC2EF4">
        <w:rPr>
          <w:rFonts w:ascii="Arial" w:hAnsi="Arial" w:cs="Arial"/>
          <w:b/>
          <w:i/>
          <w:color w:val="000000"/>
          <w:sz w:val="21"/>
          <w:szCs w:val="21"/>
          <w:lang w:val="es-CO"/>
        </w:rPr>
        <w:t>valor parcial</w:t>
      </w:r>
      <w:r w:rsidRPr="00BC2EF4">
        <w:rPr>
          <w:rFonts w:ascii="Arial" w:hAnsi="Arial" w:cs="Arial"/>
          <w:color w:val="000000"/>
          <w:sz w:val="21"/>
          <w:szCs w:val="21"/>
          <w:lang w:val="es-CO"/>
        </w:rPr>
        <w:t xml:space="preserve"> divido por el </w:t>
      </w:r>
      <w:r w:rsidRPr="00BC2EF4">
        <w:rPr>
          <w:rFonts w:ascii="Arial" w:hAnsi="Arial" w:cs="Arial"/>
          <w:b/>
          <w:i/>
          <w:color w:val="000000"/>
          <w:sz w:val="21"/>
          <w:szCs w:val="21"/>
          <w:lang w:val="es-CO"/>
        </w:rPr>
        <w:t>valor total</w:t>
      </w:r>
      <w:r w:rsidRPr="00BC2EF4">
        <w:rPr>
          <w:rFonts w:ascii="Arial" w:hAnsi="Arial" w:cs="Arial"/>
          <w:color w:val="000000"/>
          <w:sz w:val="21"/>
          <w:szCs w:val="21"/>
          <w:lang w:val="es-CO"/>
        </w:rPr>
        <w:t>, cociente que deberá ser multiplicado por cien (100). Para esto se aplicará la siguiente fórmula:</w:t>
      </w:r>
    </w:p>
    <w:p w14:paraId="6955B77C" w14:textId="77777777" w:rsidR="001D1F01" w:rsidRPr="00BC2EF4" w:rsidRDefault="001D1F01" w:rsidP="001D1F01">
      <w:pPr>
        <w:pStyle w:val="Prrafodelista"/>
        <w:tabs>
          <w:tab w:val="left" w:pos="1134"/>
        </w:tabs>
        <w:spacing w:after="120"/>
        <w:ind w:left="709" w:right="709"/>
        <w:rPr>
          <w:rFonts w:cs="Arial"/>
          <w:i/>
          <w:color w:val="000000"/>
          <w:sz w:val="21"/>
          <w:szCs w:val="21"/>
          <w:lang w:val="es-CO"/>
        </w:rPr>
      </w:pPr>
    </w:p>
    <w:p w14:paraId="186D06F6" w14:textId="77777777" w:rsidR="001D1F01" w:rsidRPr="00BC2EF4" w:rsidRDefault="001D1F01" w:rsidP="001D1F01">
      <w:pPr>
        <w:tabs>
          <w:tab w:val="left" w:pos="1134"/>
        </w:tabs>
        <w:spacing w:after="120"/>
        <w:ind w:left="709" w:right="709"/>
        <w:contextualSpacing/>
        <w:jc w:val="center"/>
        <w:rPr>
          <w:rFonts w:ascii="Arial" w:eastAsia="Arial" w:hAnsi="Arial" w:cs="Arial"/>
          <w:i/>
          <w:color w:val="000000"/>
          <w:sz w:val="21"/>
          <w:szCs w:val="21"/>
        </w:rPr>
      </w:pPr>
      <w:r w:rsidRPr="00BC2EF4">
        <w:rPr>
          <w:rFonts w:ascii="Arial" w:hAnsi="Arial" w:cs="Arial"/>
          <w:noProof/>
          <w:sz w:val="21"/>
          <w:szCs w:val="21"/>
        </w:rPr>
        <w:drawing>
          <wp:inline distT="0" distB="0" distL="0" distR="0" wp14:anchorId="0C991593" wp14:editId="67DD61B8">
            <wp:extent cx="2668905" cy="4254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8905" cy="425450"/>
                    </a:xfrm>
                    <a:prstGeom prst="rect">
                      <a:avLst/>
                    </a:prstGeom>
                    <a:noFill/>
                    <a:ln>
                      <a:noFill/>
                    </a:ln>
                  </pic:spPr>
                </pic:pic>
              </a:graphicData>
            </a:graphic>
          </wp:inline>
        </w:drawing>
      </w:r>
    </w:p>
    <w:p w14:paraId="29B0C8F6" w14:textId="77777777" w:rsidR="001D1F01" w:rsidRPr="00BC2EF4" w:rsidRDefault="001D1F01" w:rsidP="001D1F01">
      <w:pPr>
        <w:spacing w:after="120"/>
        <w:ind w:left="709" w:right="709"/>
        <w:rPr>
          <w:rFonts w:ascii="Arial" w:hAnsi="Arial" w:cs="Arial"/>
          <w:sz w:val="21"/>
          <w:szCs w:val="21"/>
          <w:lang w:val="es-ES"/>
        </w:rPr>
      </w:pPr>
    </w:p>
    <w:p w14:paraId="7E1A44AE" w14:textId="77777777" w:rsidR="001D1F01" w:rsidRPr="00BC2EF4" w:rsidRDefault="001D1F01" w:rsidP="001D1F01">
      <w:pPr>
        <w:numPr>
          <w:ilvl w:val="0"/>
          <w:numId w:val="7"/>
        </w:numPr>
        <w:tabs>
          <w:tab w:val="left" w:pos="1134"/>
        </w:tabs>
        <w:spacing w:after="120"/>
        <w:ind w:left="1069" w:right="709"/>
        <w:contextualSpacing/>
        <w:jc w:val="both"/>
        <w:rPr>
          <w:rFonts w:ascii="Arial" w:eastAsia="Arial" w:hAnsi="Arial" w:cs="Arial"/>
          <w:iCs/>
          <w:color w:val="000000"/>
          <w:sz w:val="21"/>
          <w:szCs w:val="21"/>
        </w:rPr>
      </w:pPr>
      <w:r w:rsidRPr="00BC2EF4">
        <w:rPr>
          <w:rFonts w:ascii="Arial" w:eastAsia="Arial" w:hAnsi="Arial" w:cs="Arial"/>
          <w:color w:val="000000"/>
          <w:sz w:val="21"/>
          <w:szCs w:val="21"/>
        </w:rPr>
        <w:t>Determinar el</w:t>
      </w:r>
      <w:r w:rsidRPr="00BC2EF4">
        <w:rPr>
          <w:rFonts w:ascii="Arial" w:eastAsia="Arial" w:hAnsi="Arial" w:cs="Arial"/>
          <w:b/>
          <w:i/>
          <w:color w:val="000000"/>
          <w:sz w:val="21"/>
          <w:szCs w:val="21"/>
        </w:rPr>
        <w:t xml:space="preserve"> porcentaje acumulado </w:t>
      </w:r>
      <w:r w:rsidRPr="00BC2EF4">
        <w:rPr>
          <w:rFonts w:ascii="Arial" w:eastAsia="Arial" w:hAnsi="Arial" w:cs="Arial"/>
          <w:bCs/>
          <w:iCs/>
          <w:color w:val="000000"/>
          <w:sz w:val="21"/>
          <w:szCs w:val="21"/>
        </w:rPr>
        <w:t>entendido como la sumatoria de los porcentajes de participación definidos en el numeral anterior. P</w:t>
      </w:r>
      <w:r w:rsidRPr="00BC2EF4">
        <w:rPr>
          <w:rFonts w:ascii="Arial" w:eastAsia="Arial" w:hAnsi="Arial" w:cs="Arial"/>
          <w:color w:val="000000"/>
          <w:sz w:val="21"/>
          <w:szCs w:val="21"/>
        </w:rPr>
        <w:t xml:space="preserve">ara lo cual, se sugiere, organizar los bienes en una tabla, en orden descendente según su </w:t>
      </w:r>
      <w:r w:rsidRPr="00BC2EF4">
        <w:rPr>
          <w:rFonts w:ascii="Arial" w:eastAsia="Arial" w:hAnsi="Arial" w:cs="Arial"/>
          <w:b/>
          <w:i/>
          <w:color w:val="000000"/>
          <w:sz w:val="21"/>
          <w:szCs w:val="21"/>
        </w:rPr>
        <w:t>porcentaje de participación,</w:t>
      </w:r>
      <w:r w:rsidRPr="00BC2EF4">
        <w:rPr>
          <w:rFonts w:ascii="Arial" w:eastAsia="Arial" w:hAnsi="Arial" w:cs="Arial"/>
          <w:color w:val="000000"/>
          <w:sz w:val="21"/>
          <w:szCs w:val="21"/>
        </w:rPr>
        <w:t xml:space="preserve"> disponiendo una fila por cada bien, una columna para el nombre o descripción del bien, otra para el </w:t>
      </w:r>
      <w:r w:rsidRPr="00BC2EF4">
        <w:rPr>
          <w:rFonts w:ascii="Arial" w:eastAsia="Arial" w:hAnsi="Arial" w:cs="Arial"/>
          <w:b/>
          <w:i/>
          <w:color w:val="000000"/>
          <w:sz w:val="21"/>
          <w:szCs w:val="21"/>
        </w:rPr>
        <w:t>porcentaje de participación</w:t>
      </w:r>
      <w:r w:rsidRPr="00BC2EF4">
        <w:rPr>
          <w:rFonts w:ascii="Arial" w:eastAsia="Arial" w:hAnsi="Arial" w:cs="Arial"/>
          <w:b/>
          <w:color w:val="000000"/>
          <w:sz w:val="21"/>
          <w:szCs w:val="21"/>
        </w:rPr>
        <w:t xml:space="preserve"> </w:t>
      </w:r>
      <w:r w:rsidRPr="00BC2EF4">
        <w:rPr>
          <w:rFonts w:ascii="Arial" w:eastAsia="Arial" w:hAnsi="Arial" w:cs="Arial"/>
          <w:color w:val="000000"/>
          <w:sz w:val="21"/>
          <w:szCs w:val="21"/>
        </w:rPr>
        <w:t xml:space="preserve">y otra en la que se consignará el </w:t>
      </w:r>
      <w:r w:rsidRPr="00BC2EF4">
        <w:rPr>
          <w:rFonts w:ascii="Arial" w:eastAsia="Arial" w:hAnsi="Arial" w:cs="Arial"/>
          <w:b/>
          <w:i/>
          <w:color w:val="000000"/>
          <w:sz w:val="21"/>
          <w:szCs w:val="21"/>
        </w:rPr>
        <w:t>porcentaje acumulado.</w:t>
      </w:r>
      <w:r w:rsidRPr="00BC2EF4">
        <w:rPr>
          <w:rFonts w:ascii="Arial" w:eastAsia="Arial" w:hAnsi="Arial" w:cs="Arial"/>
          <w:b/>
          <w:color w:val="000000"/>
          <w:sz w:val="21"/>
          <w:szCs w:val="21"/>
        </w:rPr>
        <w:t xml:space="preserve"> </w:t>
      </w:r>
    </w:p>
    <w:p w14:paraId="50C9B3B5" w14:textId="77777777" w:rsidR="001D1F01" w:rsidRPr="00BC2EF4" w:rsidRDefault="001D1F01" w:rsidP="001D1F01">
      <w:pPr>
        <w:tabs>
          <w:tab w:val="left" w:pos="1134"/>
        </w:tabs>
        <w:spacing w:after="120"/>
        <w:ind w:left="709" w:right="709"/>
        <w:contextualSpacing/>
        <w:jc w:val="both"/>
        <w:rPr>
          <w:rFonts w:ascii="Arial" w:eastAsia="Arial" w:hAnsi="Arial" w:cs="Arial"/>
          <w:iCs/>
          <w:color w:val="000000"/>
          <w:sz w:val="21"/>
          <w:szCs w:val="21"/>
        </w:rPr>
      </w:pPr>
    </w:p>
    <w:p w14:paraId="65000131" w14:textId="77777777" w:rsidR="001D1F01" w:rsidRPr="00BC2EF4" w:rsidRDefault="001D1F01" w:rsidP="001D1F01">
      <w:pPr>
        <w:tabs>
          <w:tab w:val="left" w:pos="1134"/>
        </w:tabs>
        <w:spacing w:after="120"/>
        <w:ind w:left="1069" w:right="709"/>
        <w:contextualSpacing/>
        <w:jc w:val="both"/>
        <w:rPr>
          <w:rFonts w:ascii="Arial" w:eastAsia="Arial" w:hAnsi="Arial" w:cs="Arial"/>
          <w:color w:val="000000"/>
          <w:sz w:val="21"/>
          <w:szCs w:val="21"/>
        </w:rPr>
      </w:pPr>
      <w:r w:rsidRPr="00BC2EF4">
        <w:rPr>
          <w:rFonts w:ascii="Arial" w:eastAsia="Arial" w:hAnsi="Arial" w:cs="Arial"/>
          <w:color w:val="000000"/>
          <w:sz w:val="21"/>
          <w:szCs w:val="21"/>
        </w:rPr>
        <w:tab/>
        <w:t xml:space="preserve">Al bien o insumo que tiene la mayor participación, es decir, el que ocupa el primer lugar en el listado, le corresponderá como </w:t>
      </w:r>
      <w:r w:rsidRPr="00BC2EF4">
        <w:rPr>
          <w:rFonts w:ascii="Arial" w:eastAsia="Arial" w:hAnsi="Arial" w:cs="Arial"/>
          <w:b/>
          <w:i/>
          <w:color w:val="000000"/>
          <w:sz w:val="21"/>
          <w:szCs w:val="21"/>
        </w:rPr>
        <w:t>porcentaje acumulado</w:t>
      </w:r>
      <w:r w:rsidRPr="00BC2EF4">
        <w:rPr>
          <w:rFonts w:ascii="Arial" w:eastAsia="Arial" w:hAnsi="Arial" w:cs="Arial"/>
          <w:color w:val="000000"/>
          <w:sz w:val="21"/>
          <w:szCs w:val="21"/>
        </w:rPr>
        <w:t xml:space="preserve"> el valor asignado como </w:t>
      </w:r>
      <w:r w:rsidRPr="00BC2EF4">
        <w:rPr>
          <w:rFonts w:ascii="Arial" w:eastAsia="Arial" w:hAnsi="Arial" w:cs="Arial"/>
          <w:b/>
          <w:i/>
          <w:color w:val="000000"/>
          <w:sz w:val="21"/>
          <w:szCs w:val="21"/>
        </w:rPr>
        <w:t>porcentaje de participación</w:t>
      </w:r>
      <w:r w:rsidRPr="00BC2EF4">
        <w:rPr>
          <w:rFonts w:ascii="Arial" w:eastAsia="Arial" w:hAnsi="Arial" w:cs="Arial"/>
          <w:color w:val="000000"/>
          <w:sz w:val="21"/>
          <w:szCs w:val="21"/>
        </w:rPr>
        <w:t xml:space="preserve">. Para el segundo bien el </w:t>
      </w:r>
      <w:r w:rsidRPr="00BC2EF4">
        <w:rPr>
          <w:rFonts w:ascii="Arial" w:eastAsia="Arial" w:hAnsi="Arial" w:cs="Arial"/>
          <w:b/>
          <w:bCs/>
          <w:i/>
          <w:iCs/>
          <w:color w:val="000000"/>
          <w:sz w:val="21"/>
          <w:szCs w:val="21"/>
        </w:rPr>
        <w:t xml:space="preserve">porcentaje acumulado </w:t>
      </w:r>
      <w:r w:rsidRPr="00BC2EF4">
        <w:rPr>
          <w:rFonts w:ascii="Arial" w:eastAsia="Arial" w:hAnsi="Arial" w:cs="Arial"/>
          <w:color w:val="000000"/>
          <w:sz w:val="21"/>
          <w:szCs w:val="21"/>
        </w:rPr>
        <w:t xml:space="preserve">será la suma de su porcentaje de participación con el </w:t>
      </w:r>
      <w:r w:rsidRPr="00BC2EF4">
        <w:rPr>
          <w:rFonts w:ascii="Arial" w:eastAsia="Arial" w:hAnsi="Arial" w:cs="Arial"/>
          <w:b/>
          <w:bCs/>
          <w:i/>
          <w:iCs/>
          <w:color w:val="000000"/>
          <w:sz w:val="21"/>
          <w:szCs w:val="21"/>
        </w:rPr>
        <w:t>porcentaje acumulado</w:t>
      </w:r>
      <w:r w:rsidRPr="00BC2EF4">
        <w:rPr>
          <w:rFonts w:ascii="Arial" w:eastAsia="Arial" w:hAnsi="Arial" w:cs="Arial"/>
          <w:color w:val="000000"/>
          <w:sz w:val="21"/>
          <w:szCs w:val="21"/>
        </w:rPr>
        <w:t xml:space="preserve"> asignado al bien que lo antecede en el listado. Del mismo modo, para el tercer bien el </w:t>
      </w:r>
      <w:r w:rsidRPr="00BC2EF4">
        <w:rPr>
          <w:rFonts w:ascii="Arial" w:eastAsia="Arial" w:hAnsi="Arial" w:cs="Arial"/>
          <w:b/>
          <w:bCs/>
          <w:i/>
          <w:iCs/>
          <w:color w:val="000000"/>
          <w:sz w:val="21"/>
          <w:szCs w:val="21"/>
        </w:rPr>
        <w:t>porcentaje acumulado</w:t>
      </w:r>
      <w:r w:rsidRPr="00BC2EF4">
        <w:rPr>
          <w:rFonts w:ascii="Arial" w:eastAsia="Arial" w:hAnsi="Arial" w:cs="Arial"/>
          <w:color w:val="000000"/>
          <w:sz w:val="21"/>
          <w:szCs w:val="21"/>
        </w:rPr>
        <w:t xml:space="preserve"> será la suma de su porcentaje de participación con el </w:t>
      </w:r>
      <w:r w:rsidRPr="00BC2EF4">
        <w:rPr>
          <w:rFonts w:ascii="Arial" w:eastAsia="Arial" w:hAnsi="Arial" w:cs="Arial"/>
          <w:b/>
          <w:bCs/>
          <w:i/>
          <w:iCs/>
          <w:color w:val="000000"/>
          <w:sz w:val="21"/>
          <w:szCs w:val="21"/>
        </w:rPr>
        <w:t>porcentaje acumulado</w:t>
      </w:r>
      <w:r w:rsidRPr="00BC2EF4">
        <w:rPr>
          <w:rFonts w:ascii="Arial" w:eastAsia="Arial" w:hAnsi="Arial" w:cs="Arial"/>
          <w:color w:val="000000"/>
          <w:sz w:val="21"/>
          <w:szCs w:val="21"/>
        </w:rPr>
        <w:t xml:space="preserve"> calculado para el anterior bien, y así sucesivamente deberá procederse respecto de los demás bienes hasta completar todos los porcentajes acumulados. Para mayor claridad se aplicará la siguiente fórmula.</w:t>
      </w:r>
    </w:p>
    <w:p w14:paraId="4C3A97DB" w14:textId="77777777" w:rsidR="001D1F01" w:rsidRPr="00BC2EF4" w:rsidRDefault="001D1F01" w:rsidP="001D1F01">
      <w:pPr>
        <w:tabs>
          <w:tab w:val="left" w:pos="1134"/>
        </w:tabs>
        <w:spacing w:after="120"/>
        <w:ind w:left="709" w:right="709"/>
        <w:contextualSpacing/>
        <w:jc w:val="both"/>
        <w:rPr>
          <w:rFonts w:ascii="Arial" w:eastAsia="Arial" w:hAnsi="Arial" w:cs="Arial"/>
          <w:color w:val="000000"/>
          <w:sz w:val="21"/>
          <w:szCs w:val="21"/>
        </w:rPr>
      </w:pPr>
    </w:p>
    <w:p w14:paraId="7EE08B57" w14:textId="77777777" w:rsidR="001D1F01" w:rsidRPr="00BC2EF4" w:rsidRDefault="001D1F01" w:rsidP="001D1F01">
      <w:pPr>
        <w:tabs>
          <w:tab w:val="left" w:pos="1134"/>
        </w:tabs>
        <w:spacing w:after="120"/>
        <w:ind w:left="709" w:right="709"/>
        <w:contextualSpacing/>
        <w:jc w:val="center"/>
        <w:rPr>
          <w:rFonts w:ascii="Arial" w:eastAsia="Arial" w:hAnsi="Arial" w:cs="Arial"/>
          <w:iCs/>
          <w:color w:val="000000"/>
          <w:sz w:val="21"/>
          <w:szCs w:val="21"/>
        </w:rPr>
      </w:pPr>
      <w:r w:rsidRPr="00BC2EF4">
        <w:rPr>
          <w:rFonts w:ascii="Arial" w:hAnsi="Arial" w:cs="Arial"/>
          <w:noProof/>
          <w:sz w:val="21"/>
          <w:szCs w:val="21"/>
        </w:rPr>
        <w:drawing>
          <wp:inline distT="0" distB="0" distL="0" distR="0" wp14:anchorId="32FACE53" wp14:editId="5ACA1101">
            <wp:extent cx="3061970" cy="510540"/>
            <wp:effectExtent l="0" t="0" r="5080" b="3810"/>
            <wp:docPr id="10" name="Imagen 10" descr="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ibujo de una persona&#10;&#10;Descripción generada automáticamente con confianza m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1970" cy="510540"/>
                    </a:xfrm>
                    <a:prstGeom prst="rect">
                      <a:avLst/>
                    </a:prstGeom>
                    <a:noFill/>
                    <a:ln>
                      <a:noFill/>
                    </a:ln>
                  </pic:spPr>
                </pic:pic>
              </a:graphicData>
            </a:graphic>
          </wp:inline>
        </w:drawing>
      </w:r>
    </w:p>
    <w:p w14:paraId="074E8032" w14:textId="77777777" w:rsidR="001D1F01" w:rsidRPr="00BC2EF4" w:rsidRDefault="001D1F01" w:rsidP="001D1F01">
      <w:pPr>
        <w:tabs>
          <w:tab w:val="left" w:pos="1134"/>
        </w:tabs>
        <w:spacing w:after="120"/>
        <w:ind w:left="709" w:right="709"/>
        <w:contextualSpacing/>
        <w:jc w:val="center"/>
        <w:rPr>
          <w:rFonts w:ascii="Arial" w:eastAsia="Arial" w:hAnsi="Arial" w:cs="Arial"/>
          <w:iCs/>
          <w:color w:val="000000"/>
          <w:sz w:val="21"/>
          <w:szCs w:val="21"/>
        </w:rPr>
      </w:pPr>
    </w:p>
    <w:p w14:paraId="6998ADBE" w14:textId="77777777" w:rsidR="001D1F01" w:rsidRPr="00BC2EF4" w:rsidRDefault="001D1F01" w:rsidP="001D1F01">
      <w:pPr>
        <w:tabs>
          <w:tab w:val="left" w:pos="1134"/>
        </w:tabs>
        <w:spacing w:after="120"/>
        <w:ind w:left="1134" w:right="709"/>
        <w:contextualSpacing/>
        <w:jc w:val="both"/>
        <w:rPr>
          <w:rFonts w:ascii="Arial" w:eastAsia="Arial" w:hAnsi="Arial" w:cs="Arial"/>
          <w:color w:val="000000"/>
          <w:sz w:val="21"/>
          <w:szCs w:val="21"/>
        </w:rPr>
      </w:pPr>
      <w:r w:rsidRPr="00BC2EF4">
        <w:rPr>
          <w:rFonts w:ascii="Arial" w:eastAsia="Arial" w:hAnsi="Arial" w:cs="Arial"/>
          <w:color w:val="000000"/>
          <w:sz w:val="21"/>
          <w:szCs w:val="21"/>
        </w:rPr>
        <w:t xml:space="preserve">Donde </w:t>
      </w:r>
      <m:oMath>
        <m:sSub>
          <m:sSubPr>
            <m:ctrlPr>
              <w:rPr>
                <w:rFonts w:ascii="Cambria Math" w:eastAsia="Arial" w:hAnsi="Cambria Math" w:cs="Arial"/>
                <w:color w:val="000000"/>
                <w:sz w:val="21"/>
                <w:szCs w:val="21"/>
              </w:rPr>
            </m:ctrlPr>
          </m:sSubPr>
          <m:e>
            <m:r>
              <w:rPr>
                <w:rFonts w:ascii="Cambria Math" w:eastAsia="Arial" w:hAnsi="Cambria Math" w:cs="Arial"/>
                <w:color w:val="000000"/>
                <w:sz w:val="21"/>
                <w:szCs w:val="21"/>
              </w:rPr>
              <m:t>participacion</m:t>
            </m:r>
            <m:r>
              <m:rPr>
                <m:sty m:val="p"/>
              </m:rPr>
              <w:rPr>
                <w:rFonts w:ascii="Cambria Math" w:eastAsia="Arial" w:hAnsi="Cambria Math" w:cs="Arial"/>
                <w:color w:val="000000"/>
                <w:sz w:val="21"/>
                <w:szCs w:val="21"/>
              </w:rPr>
              <m:t xml:space="preserve"> (%)</m:t>
            </m:r>
          </m:e>
          <m:sub>
            <m:r>
              <w:rPr>
                <w:rFonts w:ascii="Cambria Math" w:eastAsia="Arial" w:hAnsi="Cambria Math" w:cs="Arial"/>
                <w:color w:val="000000"/>
                <w:sz w:val="21"/>
                <w:szCs w:val="21"/>
              </w:rPr>
              <m:t>i</m:t>
            </m:r>
          </m:sub>
        </m:sSub>
      </m:oMath>
      <w:r w:rsidRPr="00BC2EF4">
        <w:rPr>
          <w:rFonts w:ascii="Arial" w:eastAsia="Arial" w:hAnsi="Arial" w:cs="Arial"/>
          <w:color w:val="000000"/>
          <w:sz w:val="21"/>
          <w:szCs w:val="21"/>
        </w:rPr>
        <w:t xml:space="preserve"> son las frecuencias acumuladas o porcentaje de participación (%) calculado.</w:t>
      </w:r>
    </w:p>
    <w:p w14:paraId="214E38FA" w14:textId="77777777" w:rsidR="001D1F01" w:rsidRPr="00BC2EF4" w:rsidRDefault="001D1F01" w:rsidP="001D1F01">
      <w:pPr>
        <w:tabs>
          <w:tab w:val="left" w:pos="1134"/>
        </w:tabs>
        <w:spacing w:after="120"/>
        <w:ind w:left="709" w:right="709"/>
        <w:contextualSpacing/>
        <w:jc w:val="both"/>
        <w:rPr>
          <w:rFonts w:ascii="Arial" w:eastAsia="Arial" w:hAnsi="Arial" w:cs="Arial"/>
          <w:iCs/>
          <w:color w:val="000000"/>
          <w:sz w:val="21"/>
          <w:szCs w:val="21"/>
        </w:rPr>
      </w:pPr>
    </w:p>
    <w:p w14:paraId="50EC9853" w14:textId="77777777" w:rsidR="001D1F01" w:rsidRPr="00BC2EF4" w:rsidRDefault="001D1F01" w:rsidP="001D1F01">
      <w:pPr>
        <w:numPr>
          <w:ilvl w:val="0"/>
          <w:numId w:val="7"/>
        </w:numPr>
        <w:tabs>
          <w:tab w:val="left" w:pos="1134"/>
        </w:tabs>
        <w:spacing w:after="120"/>
        <w:ind w:left="1069" w:right="709"/>
        <w:contextualSpacing/>
        <w:jc w:val="both"/>
        <w:rPr>
          <w:rFonts w:ascii="Arial" w:eastAsia="Arial" w:hAnsi="Arial" w:cs="Arial"/>
          <w:iCs/>
          <w:color w:val="000000"/>
          <w:sz w:val="21"/>
          <w:szCs w:val="21"/>
        </w:rPr>
      </w:pPr>
      <w:r w:rsidRPr="00BC2EF4">
        <w:rPr>
          <w:rFonts w:ascii="Arial" w:eastAsia="Arial" w:hAnsi="Arial" w:cs="Arial"/>
          <w:iCs/>
          <w:color w:val="000000"/>
          <w:sz w:val="21"/>
          <w:szCs w:val="21"/>
        </w:rPr>
        <w:t>Identificar los bienes o insumos cuyo porcentaje acumulado esté dentro del ochenta por ciento (80%) o un valor aproximado por debajo.</w:t>
      </w:r>
    </w:p>
    <w:p w14:paraId="1F9C8943" w14:textId="77777777" w:rsidR="001D1F01" w:rsidRPr="00BC2EF4" w:rsidRDefault="001D1F01" w:rsidP="001D1F01">
      <w:pPr>
        <w:tabs>
          <w:tab w:val="left" w:pos="1134"/>
        </w:tabs>
        <w:spacing w:after="120"/>
        <w:ind w:left="709" w:right="709"/>
        <w:contextualSpacing/>
        <w:jc w:val="both"/>
        <w:rPr>
          <w:rFonts w:ascii="Arial" w:eastAsia="Arial" w:hAnsi="Arial" w:cs="Arial"/>
          <w:iCs/>
          <w:color w:val="000000"/>
          <w:sz w:val="21"/>
          <w:szCs w:val="21"/>
        </w:rPr>
      </w:pPr>
    </w:p>
    <w:p w14:paraId="534A9266" w14:textId="77777777" w:rsidR="001D1F01" w:rsidRPr="00BC2EF4" w:rsidRDefault="001D1F01" w:rsidP="001D1F01">
      <w:pPr>
        <w:numPr>
          <w:ilvl w:val="0"/>
          <w:numId w:val="7"/>
        </w:numPr>
        <w:tabs>
          <w:tab w:val="left" w:pos="1134"/>
        </w:tabs>
        <w:spacing w:after="120"/>
        <w:ind w:left="1069" w:right="709"/>
        <w:contextualSpacing/>
        <w:jc w:val="both"/>
        <w:rPr>
          <w:rFonts w:ascii="Arial" w:eastAsia="Arial" w:hAnsi="Arial" w:cs="Arial"/>
          <w:iCs/>
          <w:color w:val="000000"/>
          <w:sz w:val="21"/>
          <w:szCs w:val="21"/>
        </w:rPr>
      </w:pPr>
      <w:r w:rsidRPr="00BC2EF4">
        <w:rPr>
          <w:rFonts w:ascii="Arial" w:eastAsia="Arial" w:hAnsi="Arial" w:cs="Arial"/>
          <w:iCs/>
          <w:color w:val="000000"/>
          <w:sz w:val="21"/>
          <w:szCs w:val="21"/>
        </w:rPr>
        <w:t xml:space="preserve">Identificar los bienes o insumos que cumplan con la condición anterior y en relación con estos se calculará el promedio de su porcentaje de participación. El promedio se calculará realizando la sumatoria de los porcentajes de participación de cada bien, resultado que luego se dividirá entre el número de bienes que se promedian. </w:t>
      </w:r>
    </w:p>
    <w:p w14:paraId="6EDF42B2" w14:textId="77777777" w:rsidR="001D1F01" w:rsidRPr="00BC2EF4" w:rsidRDefault="001D1F01" w:rsidP="001D1F01">
      <w:pPr>
        <w:tabs>
          <w:tab w:val="left" w:pos="1134"/>
        </w:tabs>
        <w:spacing w:after="120"/>
        <w:ind w:left="709" w:right="709"/>
        <w:contextualSpacing/>
        <w:jc w:val="both"/>
        <w:rPr>
          <w:rFonts w:ascii="Arial" w:eastAsia="Arial" w:hAnsi="Arial" w:cs="Arial"/>
          <w:iCs/>
          <w:color w:val="000000"/>
          <w:sz w:val="21"/>
          <w:szCs w:val="21"/>
        </w:rPr>
      </w:pPr>
    </w:p>
    <w:p w14:paraId="060E993C" w14:textId="77777777" w:rsidR="001D1F01" w:rsidRPr="00BC2EF4" w:rsidRDefault="001D1F01" w:rsidP="001D1F01">
      <w:pPr>
        <w:numPr>
          <w:ilvl w:val="0"/>
          <w:numId w:val="7"/>
        </w:numPr>
        <w:tabs>
          <w:tab w:val="left" w:pos="1134"/>
        </w:tabs>
        <w:spacing w:after="120"/>
        <w:ind w:left="1069" w:right="709"/>
        <w:contextualSpacing/>
        <w:jc w:val="both"/>
        <w:rPr>
          <w:rFonts w:ascii="Arial" w:eastAsia="Arial" w:hAnsi="Arial" w:cs="Arial"/>
          <w:iCs/>
          <w:color w:val="000000"/>
          <w:sz w:val="21"/>
          <w:szCs w:val="21"/>
        </w:rPr>
      </w:pPr>
      <w:r w:rsidRPr="00BC2EF4">
        <w:rPr>
          <w:rFonts w:ascii="Arial" w:eastAsia="Arial" w:hAnsi="Arial" w:cs="Arial"/>
          <w:iCs/>
          <w:color w:val="000000"/>
          <w:sz w:val="21"/>
          <w:szCs w:val="21"/>
        </w:rPr>
        <w:t xml:space="preserve">Los bienes relevantes serán aquellos cuyo porcentaje de participación sea igual o superior al promedio calculado en el paso anterior. </w:t>
      </w:r>
    </w:p>
    <w:p w14:paraId="79193BEE" w14:textId="77777777" w:rsidR="001D1F01" w:rsidRPr="00BC2EF4" w:rsidRDefault="001D1F01" w:rsidP="001D1F01">
      <w:pPr>
        <w:tabs>
          <w:tab w:val="left" w:pos="1134"/>
        </w:tabs>
        <w:spacing w:after="120"/>
        <w:ind w:left="709" w:right="709"/>
        <w:contextualSpacing/>
        <w:jc w:val="both"/>
        <w:rPr>
          <w:rFonts w:ascii="Arial" w:eastAsia="Arial" w:hAnsi="Arial" w:cs="Arial"/>
          <w:iCs/>
          <w:color w:val="000000"/>
          <w:sz w:val="21"/>
          <w:szCs w:val="21"/>
        </w:rPr>
      </w:pPr>
    </w:p>
    <w:p w14:paraId="581D0EF3" w14:textId="77777777" w:rsidR="001D1F01" w:rsidRPr="00BC2EF4" w:rsidRDefault="001D1F01" w:rsidP="001D1F01">
      <w:pPr>
        <w:numPr>
          <w:ilvl w:val="0"/>
          <w:numId w:val="7"/>
        </w:numPr>
        <w:tabs>
          <w:tab w:val="left" w:pos="1134"/>
        </w:tabs>
        <w:spacing w:after="120"/>
        <w:ind w:left="1069" w:right="709"/>
        <w:contextualSpacing/>
        <w:jc w:val="both"/>
        <w:rPr>
          <w:rFonts w:ascii="Arial" w:eastAsia="Arial" w:hAnsi="Arial" w:cs="Arial"/>
          <w:iCs/>
          <w:color w:val="000000"/>
          <w:sz w:val="21"/>
          <w:szCs w:val="21"/>
        </w:rPr>
      </w:pPr>
      <w:r w:rsidRPr="00BC2EF4">
        <w:rPr>
          <w:rFonts w:ascii="Arial" w:eastAsia="Arial" w:hAnsi="Arial" w:cs="Arial"/>
          <w:iCs/>
          <w:color w:val="000000"/>
          <w:sz w:val="21"/>
          <w:szCs w:val="21"/>
        </w:rPr>
        <w:t>Verificar si uno o varios bienes que cumplan con lo previsto en el numeral anterior se encuentran incluidos en el Registro de Productores de Bienes Nacionales, en los términos del Decreto 2680 de 2009. De estar incorporados, la Entidad Estatal verificará al momento de publicar el pliego de condiciones definitivo que el registro del bien o insumo esté vigente hasta una fecha posterior a la del cierre del proceso. Para tal efecto, se entiende por fecha del cierre la publicada en el pliego de condiciones definitivo. Verificada la fecha de registro de estos bienes estos serán los que incluya en el numeral 4.3.1 del Pliego de Condiciones.</w:t>
      </w:r>
    </w:p>
    <w:p w14:paraId="6DD352EC" w14:textId="77777777" w:rsidR="001D1F01" w:rsidRPr="00BC2EF4" w:rsidRDefault="001D1F01" w:rsidP="001D1F01">
      <w:pPr>
        <w:tabs>
          <w:tab w:val="left" w:pos="1134"/>
        </w:tabs>
        <w:spacing w:after="120"/>
        <w:ind w:left="709" w:right="709"/>
        <w:contextualSpacing/>
        <w:jc w:val="both"/>
        <w:rPr>
          <w:rFonts w:ascii="Arial" w:eastAsia="Arial" w:hAnsi="Arial" w:cs="Arial"/>
          <w:iCs/>
          <w:color w:val="000000"/>
          <w:sz w:val="21"/>
          <w:szCs w:val="21"/>
        </w:rPr>
      </w:pPr>
    </w:p>
    <w:p w14:paraId="5F210EFC" w14:textId="77777777" w:rsidR="001D1F01" w:rsidRPr="00BC2EF4" w:rsidRDefault="001D1F01" w:rsidP="001D1F01">
      <w:pPr>
        <w:numPr>
          <w:ilvl w:val="0"/>
          <w:numId w:val="7"/>
        </w:numPr>
        <w:spacing w:after="120"/>
        <w:ind w:left="1069" w:right="709"/>
        <w:contextualSpacing/>
        <w:jc w:val="both"/>
        <w:rPr>
          <w:rFonts w:ascii="Arial" w:eastAsia="Arial" w:hAnsi="Arial" w:cs="Arial"/>
          <w:sz w:val="21"/>
          <w:szCs w:val="21"/>
        </w:rPr>
      </w:pPr>
      <w:r w:rsidRPr="00BC2EF4">
        <w:rPr>
          <w:rFonts w:ascii="Arial" w:eastAsia="Arial" w:hAnsi="Arial" w:cs="Arial"/>
          <w:color w:val="000000"/>
          <w:sz w:val="21"/>
          <w:szCs w:val="21"/>
        </w:rPr>
        <w:t xml:space="preserve">Si </w:t>
      </w:r>
      <w:proofErr w:type="gramStart"/>
      <w:r w:rsidRPr="00BC2EF4">
        <w:rPr>
          <w:rFonts w:ascii="Arial" w:eastAsia="Arial" w:hAnsi="Arial" w:cs="Arial"/>
          <w:color w:val="000000"/>
          <w:sz w:val="21"/>
          <w:szCs w:val="21"/>
        </w:rPr>
        <w:t>ninguno de los bienes relevantes están</w:t>
      </w:r>
      <w:proofErr w:type="gramEnd"/>
      <w:r w:rsidRPr="00BC2EF4">
        <w:rPr>
          <w:rFonts w:ascii="Arial" w:eastAsia="Arial" w:hAnsi="Arial" w:cs="Arial"/>
          <w:color w:val="000000"/>
          <w:sz w:val="21"/>
          <w:szCs w:val="21"/>
        </w:rPr>
        <w:t xml:space="preserve"> incluidos en el Registro de Productores de Bienes Nacionales, la Entidad Estatal otorgará el puntaje a los Proponentes que se comprometan a vincular un porcentaje de empleados o contratistas por prestación de servicios colombianos de al menos el [</w:t>
      </w:r>
      <w:r w:rsidRPr="00BC2EF4">
        <w:rPr>
          <w:rFonts w:ascii="Arial" w:eastAsia="Arial" w:hAnsi="Arial" w:cs="Arial"/>
          <w:sz w:val="21"/>
          <w:szCs w:val="21"/>
          <w:lang w:val="es-MX" w:bidi="en-US"/>
        </w:rPr>
        <w:t>l</w:t>
      </w:r>
      <w:r w:rsidRPr="00BC2EF4">
        <w:rPr>
          <w:rFonts w:ascii="Arial" w:eastAsia="Arial" w:hAnsi="Arial" w:cs="Arial"/>
          <w:color w:val="000000"/>
          <w:sz w:val="21"/>
          <w:szCs w:val="21"/>
        </w:rPr>
        <w:t xml:space="preserve">a Entidad Estatal incluirá el porcentaje definido en el numeral 4.3.1 del documento base] del personal requerido para el cumplimiento del contrato. </w:t>
      </w:r>
    </w:p>
    <w:p w14:paraId="1248BF14" w14:textId="77777777" w:rsidR="001D1F01" w:rsidRPr="00BC2EF4" w:rsidRDefault="001D1F01" w:rsidP="001D1F01">
      <w:pPr>
        <w:autoSpaceDE w:val="0"/>
        <w:autoSpaceDN w:val="0"/>
        <w:adjustRightInd w:val="0"/>
        <w:jc w:val="both"/>
        <w:rPr>
          <w:rFonts w:ascii="Arial" w:eastAsia="Calibri" w:hAnsi="Arial" w:cs="Arial"/>
          <w:bCs/>
          <w:color w:val="000000" w:themeColor="text1"/>
          <w:lang w:val="es-ES_tradnl"/>
        </w:rPr>
      </w:pPr>
    </w:p>
    <w:p w14:paraId="0BD71A77" w14:textId="435C4C64" w:rsidR="001D1F01" w:rsidRPr="00BC2EF4" w:rsidRDefault="001D1F01" w:rsidP="001D1F01">
      <w:pPr>
        <w:widowControl w:val="0"/>
        <w:autoSpaceDE w:val="0"/>
        <w:autoSpaceDN w:val="0"/>
        <w:spacing w:after="120" w:line="276" w:lineRule="auto"/>
        <w:ind w:firstLine="709"/>
        <w:jc w:val="both"/>
        <w:rPr>
          <w:rFonts w:ascii="Arial" w:eastAsia="Calibri" w:hAnsi="Arial" w:cs="Arial"/>
          <w:bCs/>
          <w:color w:val="000000" w:themeColor="text1"/>
          <w:sz w:val="22"/>
          <w:szCs w:val="22"/>
          <w:lang w:val="es-ES_tradnl"/>
        </w:rPr>
      </w:pPr>
      <w:r w:rsidRPr="00BC2EF4">
        <w:rPr>
          <w:rFonts w:ascii="Arial" w:eastAsia="Calibri" w:hAnsi="Arial" w:cs="Arial"/>
          <w:bCs/>
          <w:color w:val="000000" w:themeColor="text1"/>
          <w:sz w:val="22"/>
          <w:szCs w:val="22"/>
          <w:lang w:val="es-ES_tradnl"/>
        </w:rPr>
        <w:t xml:space="preserve">Aplicando estos numerales las entidades estatales obligadas a observar los documentos tipo </w:t>
      </w:r>
      <w:bookmarkStart w:id="7" w:name="_Hlk89626908"/>
      <w:r w:rsidRPr="00BC2EF4">
        <w:rPr>
          <w:rFonts w:ascii="Arial" w:eastAsia="Calibri" w:hAnsi="Arial" w:cs="Arial"/>
          <w:bCs/>
          <w:color w:val="000000" w:themeColor="text1"/>
          <w:sz w:val="22"/>
          <w:szCs w:val="22"/>
          <w:lang w:val="es-ES_tradnl"/>
        </w:rPr>
        <w:t>deben definir los bienes nacionales que resultan relevantes para el cumplimiento del objeto contractual, que, en cumplimiento de lo dispuesto en el Decreto 680 de 2021, son relevantes para considerar un servicio como nacional y, por tanto, para determinar la aplicabilidad del puntaje por apoyo a la industria nacional regulado por el artículo 2 de la Ley 816 de 2003</w:t>
      </w:r>
      <w:bookmarkEnd w:id="7"/>
      <w:r w:rsidRPr="00BC2EF4">
        <w:rPr>
          <w:rFonts w:ascii="Arial" w:eastAsia="Calibri" w:hAnsi="Arial" w:cs="Arial"/>
          <w:bCs/>
          <w:color w:val="000000" w:themeColor="text1"/>
          <w:sz w:val="22"/>
          <w:szCs w:val="22"/>
          <w:lang w:val="es-ES_tradnl"/>
        </w:rPr>
        <w:t xml:space="preserve">. </w:t>
      </w:r>
    </w:p>
    <w:p w14:paraId="46EB771D" w14:textId="6BA86C95" w:rsidR="00101884" w:rsidRPr="00BC2EF4" w:rsidRDefault="00104C55" w:rsidP="002C19F0">
      <w:pPr>
        <w:widowControl w:val="0"/>
        <w:autoSpaceDE w:val="0"/>
        <w:autoSpaceDN w:val="0"/>
        <w:spacing w:after="120" w:line="276" w:lineRule="auto"/>
        <w:ind w:firstLine="709"/>
        <w:jc w:val="both"/>
        <w:rPr>
          <w:rFonts w:ascii="Arial" w:eastAsia="Calibri" w:hAnsi="Arial" w:cs="Arial"/>
          <w:bCs/>
          <w:color w:val="000000" w:themeColor="text1"/>
          <w:sz w:val="22"/>
          <w:szCs w:val="22"/>
          <w:lang w:val="es-ES_tradnl"/>
        </w:rPr>
      </w:pPr>
      <w:r w:rsidRPr="00BC2EF4">
        <w:rPr>
          <w:rFonts w:ascii="Arial" w:eastAsia="Calibri" w:hAnsi="Arial" w:cs="Arial"/>
          <w:bCs/>
          <w:color w:val="000000" w:themeColor="text1"/>
          <w:sz w:val="22"/>
          <w:szCs w:val="22"/>
          <w:lang w:val="es-ES_tradnl"/>
        </w:rPr>
        <w:t xml:space="preserve">Para facilitar la aplicación del Decreto </w:t>
      </w:r>
      <w:r w:rsidR="00BD1845" w:rsidRPr="00BC2EF4">
        <w:rPr>
          <w:rFonts w:ascii="Arial" w:eastAsia="Calibri" w:hAnsi="Arial" w:cs="Arial"/>
          <w:bCs/>
          <w:color w:val="000000" w:themeColor="text1"/>
          <w:sz w:val="22"/>
          <w:szCs w:val="22"/>
          <w:lang w:val="es-ES_tradnl"/>
        </w:rPr>
        <w:t xml:space="preserve">680 de 2021, la Agencia Nacional </w:t>
      </w:r>
      <w:r w:rsidR="0002444F" w:rsidRPr="00BC2EF4">
        <w:rPr>
          <w:rFonts w:ascii="Arial" w:eastAsia="Calibri" w:hAnsi="Arial" w:cs="Arial"/>
          <w:bCs/>
          <w:color w:val="000000" w:themeColor="text1"/>
          <w:sz w:val="22"/>
          <w:szCs w:val="22"/>
          <w:lang w:val="es-ES_tradnl"/>
        </w:rPr>
        <w:t>de Contratac</w:t>
      </w:r>
      <w:r w:rsidR="00D96BD8" w:rsidRPr="00BC2EF4">
        <w:rPr>
          <w:rFonts w:ascii="Arial" w:eastAsia="Calibri" w:hAnsi="Arial" w:cs="Arial"/>
          <w:bCs/>
          <w:color w:val="000000" w:themeColor="text1"/>
          <w:sz w:val="22"/>
          <w:szCs w:val="22"/>
          <w:lang w:val="es-ES_tradnl"/>
        </w:rPr>
        <w:t xml:space="preserve">ión Pública </w:t>
      </w:r>
      <w:r w:rsidR="00A659E2" w:rsidRPr="00BC2EF4">
        <w:rPr>
          <w:rFonts w:ascii="Arial" w:eastAsia="Calibri" w:hAnsi="Arial" w:cs="Arial"/>
          <w:bCs/>
          <w:color w:val="000000" w:themeColor="text1"/>
          <w:sz w:val="22"/>
          <w:szCs w:val="22"/>
          <w:lang w:val="es-ES_tradnl"/>
        </w:rPr>
        <w:t>– Colombia Compra Eficiente</w:t>
      </w:r>
      <w:r w:rsidR="003576E3" w:rsidRPr="00BC2EF4">
        <w:rPr>
          <w:rFonts w:ascii="Arial" w:eastAsia="Calibri" w:hAnsi="Arial" w:cs="Arial"/>
          <w:bCs/>
          <w:color w:val="000000" w:themeColor="text1"/>
          <w:sz w:val="22"/>
          <w:szCs w:val="22"/>
          <w:lang w:val="es-ES_tradnl"/>
        </w:rPr>
        <w:t xml:space="preserve"> puso a disposición de los partícipes del sistema de com</w:t>
      </w:r>
      <w:r w:rsidR="00214856" w:rsidRPr="00BC2EF4">
        <w:rPr>
          <w:rFonts w:ascii="Arial" w:eastAsia="Calibri" w:hAnsi="Arial" w:cs="Arial"/>
          <w:bCs/>
          <w:color w:val="000000" w:themeColor="text1"/>
          <w:sz w:val="22"/>
          <w:szCs w:val="22"/>
          <w:lang w:val="es-ES_tradnl"/>
        </w:rPr>
        <w:t>pras y contratación pública el «</w:t>
      </w:r>
      <w:r w:rsidR="00230008" w:rsidRPr="00BC2EF4">
        <w:rPr>
          <w:rFonts w:ascii="Arial" w:eastAsia="Calibri" w:hAnsi="Arial" w:cs="Arial"/>
          <w:bCs/>
          <w:color w:val="000000" w:themeColor="text1"/>
          <w:sz w:val="22"/>
          <w:szCs w:val="22"/>
          <w:lang w:val="es-ES_tradnl"/>
        </w:rPr>
        <w:t>A</w:t>
      </w:r>
      <w:r w:rsidR="00214856" w:rsidRPr="00BC2EF4">
        <w:rPr>
          <w:rFonts w:ascii="Arial" w:eastAsia="Calibri" w:hAnsi="Arial" w:cs="Arial"/>
          <w:bCs/>
          <w:color w:val="000000" w:themeColor="text1"/>
          <w:sz w:val="22"/>
          <w:szCs w:val="22"/>
          <w:lang w:val="es-ES_tradnl"/>
        </w:rPr>
        <w:t xml:space="preserve">plicativo </w:t>
      </w:r>
      <w:r w:rsidR="00230008" w:rsidRPr="00BC2EF4">
        <w:rPr>
          <w:rFonts w:ascii="Arial" w:eastAsia="Calibri" w:hAnsi="Arial" w:cs="Arial"/>
          <w:bCs/>
          <w:color w:val="000000" w:themeColor="text1"/>
          <w:sz w:val="22"/>
          <w:szCs w:val="22"/>
          <w:lang w:val="es-ES_tradnl"/>
        </w:rPr>
        <w:t xml:space="preserve">de Consulta </w:t>
      </w:r>
      <w:r w:rsidR="00F246C2" w:rsidRPr="00BC2EF4">
        <w:rPr>
          <w:rFonts w:ascii="Arial" w:eastAsia="Calibri" w:hAnsi="Arial" w:cs="Arial"/>
          <w:bCs/>
          <w:color w:val="000000" w:themeColor="text1"/>
          <w:sz w:val="22"/>
          <w:szCs w:val="22"/>
          <w:lang w:val="es-ES_tradnl"/>
        </w:rPr>
        <w:t xml:space="preserve">de Bien Nacional Relevante», el cual se encuentra en la página web </w:t>
      </w:r>
      <w:hyperlink r:id="rId15" w:history="1">
        <w:r w:rsidR="00F246C2" w:rsidRPr="00BC2EF4">
          <w:rPr>
            <w:rStyle w:val="Hipervnculo"/>
            <w:rFonts w:ascii="Arial" w:eastAsia="Calibri" w:hAnsi="Arial" w:cs="Arial"/>
            <w:bCs/>
            <w:sz w:val="22"/>
            <w:szCs w:val="22"/>
            <w:lang w:val="es-ES_tradnl"/>
          </w:rPr>
          <w:t>https://bienesrelevantes.colombiacompra.gov.co/upload</w:t>
        </w:r>
      </w:hyperlink>
      <w:r w:rsidR="00F246C2" w:rsidRPr="00BC2EF4">
        <w:rPr>
          <w:rFonts w:ascii="Arial" w:eastAsia="Calibri" w:hAnsi="Arial" w:cs="Arial"/>
          <w:bCs/>
          <w:color w:val="000000" w:themeColor="text1"/>
          <w:sz w:val="22"/>
          <w:szCs w:val="22"/>
          <w:lang w:val="es-ES_tradnl"/>
        </w:rPr>
        <w:t xml:space="preserve">. </w:t>
      </w:r>
      <w:r w:rsidR="002C19F0" w:rsidRPr="00BC2EF4">
        <w:rPr>
          <w:rFonts w:ascii="Arial" w:eastAsia="Calibri" w:hAnsi="Arial" w:cs="Arial"/>
          <w:bCs/>
          <w:color w:val="000000" w:themeColor="text1"/>
          <w:sz w:val="22"/>
          <w:szCs w:val="22"/>
          <w:lang w:val="es-ES_tradnl"/>
        </w:rPr>
        <w:t xml:space="preserve">Es necesario tener en cuenta que </w:t>
      </w:r>
      <w:r w:rsidR="002C19F0" w:rsidRPr="00BC2EF4">
        <w:rPr>
          <w:rFonts w:ascii="Arial" w:eastAsia="Calibri" w:hAnsi="Arial" w:cs="Arial"/>
          <w:color w:val="000000" w:themeColor="text1"/>
          <w:sz w:val="22"/>
          <w:szCs w:val="22"/>
        </w:rPr>
        <w:t>el uso de esta herramienta es de carácter facultativo, no obligatorio. Esta plataforma es un criterio orientador en la materia, el cual sirve de insumo para individualizar posteriormente los bienes que se encuentran el Registro de Productores de Bienes Nacionales. Por tanto, su utilización no exime a las Entidades Estatales de cumplir con las reglas del artículo 2.2.1.2.4.2.9 del Decreto 1082 de 2015 ni de la metodología prevista en los Documentos Tipo para los Procesos de Contratación regidos por la Ley 2022 de 2020</w:t>
      </w:r>
      <w:r w:rsidR="002C19F0" w:rsidRPr="00BC2EF4">
        <w:rPr>
          <w:rFonts w:ascii="Arial" w:eastAsia="Calibri" w:hAnsi="Arial" w:cs="Arial"/>
          <w:bCs/>
          <w:color w:val="000000" w:themeColor="text1"/>
          <w:sz w:val="22"/>
          <w:szCs w:val="22"/>
          <w:lang w:val="es-ES_tradnl"/>
        </w:rPr>
        <w:t>.</w:t>
      </w:r>
    </w:p>
    <w:p w14:paraId="561F038C" w14:textId="6F4E937C" w:rsidR="001D1F01" w:rsidRPr="00BC2EF4" w:rsidRDefault="001D1F01" w:rsidP="00BC2EF4">
      <w:pPr>
        <w:widowControl w:val="0"/>
        <w:autoSpaceDE w:val="0"/>
        <w:autoSpaceDN w:val="0"/>
        <w:spacing w:line="276" w:lineRule="auto"/>
        <w:ind w:firstLine="709"/>
        <w:jc w:val="both"/>
        <w:rPr>
          <w:rFonts w:ascii="Arial" w:eastAsia="Arial" w:hAnsi="Arial" w:cs="Arial"/>
          <w:bCs/>
          <w:sz w:val="22"/>
          <w:szCs w:val="22"/>
          <w:lang w:eastAsia="es-ES" w:bidi="es-ES"/>
        </w:rPr>
      </w:pPr>
      <w:r w:rsidRPr="00BC2EF4">
        <w:rPr>
          <w:rFonts w:ascii="Arial" w:eastAsia="Calibri" w:hAnsi="Arial" w:cs="Arial"/>
          <w:bCs/>
          <w:color w:val="000000" w:themeColor="text1"/>
          <w:sz w:val="22"/>
          <w:szCs w:val="22"/>
          <w:lang w:val="es-ES_tradnl"/>
        </w:rPr>
        <w:t xml:space="preserve">Si luego de aplicar la metodología para determinar los bienes nacionales relevantes −descrita con anterioridad− , la entidad determina uno o varios bienes nacionales relevantes para el proceso de contratación, deberá incluir la </w:t>
      </w:r>
      <w:r w:rsidRPr="00BC2EF4">
        <w:rPr>
          <w:rFonts w:ascii="Arial" w:eastAsia="Calibri" w:hAnsi="Arial" w:cs="Arial"/>
          <w:b/>
          <w:i/>
          <w:iCs/>
          <w:color w:val="000000" w:themeColor="text1"/>
          <w:sz w:val="22"/>
          <w:szCs w:val="22"/>
          <w:lang w:val="es-ES_tradnl"/>
        </w:rPr>
        <w:t>opción 1</w:t>
      </w:r>
      <w:r w:rsidRPr="00BC2EF4">
        <w:rPr>
          <w:rFonts w:ascii="Arial" w:eastAsia="Calibri" w:hAnsi="Arial" w:cs="Arial"/>
          <w:bCs/>
          <w:color w:val="000000" w:themeColor="text1"/>
          <w:sz w:val="22"/>
          <w:szCs w:val="22"/>
          <w:lang w:val="es-ES_tradnl"/>
        </w:rPr>
        <w:t xml:space="preserve"> del numeral </w:t>
      </w:r>
      <w:r w:rsidRPr="00BC2EF4">
        <w:rPr>
          <w:rFonts w:ascii="Arial" w:hAnsi="Arial" w:cs="Arial"/>
          <w:sz w:val="22"/>
          <w:szCs w:val="22"/>
          <w:lang w:val="es-MX"/>
        </w:rPr>
        <w:t>4</w:t>
      </w:r>
      <w:r w:rsidRPr="00BC2EF4">
        <w:rPr>
          <w:rFonts w:ascii="Arial" w:eastAsia="Arial" w:hAnsi="Arial" w:cs="Arial"/>
          <w:bCs/>
          <w:sz w:val="22"/>
          <w:szCs w:val="22"/>
          <w:lang w:eastAsia="es-ES" w:bidi="es-ES"/>
        </w:rPr>
        <w:t xml:space="preserve">.3.1 «Promoción de servicios nacionales o con trato nacional», en la que se señalarán los bienes nacionales relevantes en el proceso de contratación, diligenciando una tabla con la información tomada del Registro de Productores de Bienes Nacionales, en la que se señalará: i) el bien nacional relevante, </w:t>
      </w:r>
      <w:proofErr w:type="spellStart"/>
      <w:r w:rsidRPr="00BC2EF4">
        <w:rPr>
          <w:rFonts w:ascii="Arial" w:eastAsia="Arial" w:hAnsi="Arial" w:cs="Arial"/>
          <w:bCs/>
          <w:sz w:val="22"/>
          <w:szCs w:val="22"/>
          <w:lang w:eastAsia="es-ES" w:bidi="es-ES"/>
        </w:rPr>
        <w:t>ii</w:t>
      </w:r>
      <w:proofErr w:type="spellEnd"/>
      <w:r w:rsidRPr="00BC2EF4">
        <w:rPr>
          <w:rFonts w:ascii="Arial" w:eastAsia="Arial" w:hAnsi="Arial" w:cs="Arial"/>
          <w:bCs/>
          <w:sz w:val="22"/>
          <w:szCs w:val="22"/>
          <w:lang w:eastAsia="es-ES" w:bidi="es-ES"/>
        </w:rPr>
        <w:t xml:space="preserve">) la fecha de inscripción, </w:t>
      </w:r>
      <w:proofErr w:type="spellStart"/>
      <w:r w:rsidRPr="00BC2EF4">
        <w:rPr>
          <w:rFonts w:ascii="Arial" w:eastAsia="Arial" w:hAnsi="Arial" w:cs="Arial"/>
          <w:bCs/>
          <w:sz w:val="22"/>
          <w:szCs w:val="22"/>
          <w:lang w:eastAsia="es-ES" w:bidi="es-ES"/>
        </w:rPr>
        <w:t>iii</w:t>
      </w:r>
      <w:proofErr w:type="spellEnd"/>
      <w:r w:rsidRPr="00BC2EF4">
        <w:rPr>
          <w:rFonts w:ascii="Arial" w:eastAsia="Arial" w:hAnsi="Arial" w:cs="Arial"/>
          <w:bCs/>
          <w:sz w:val="22"/>
          <w:szCs w:val="22"/>
          <w:lang w:eastAsia="es-ES" w:bidi="es-ES"/>
        </w:rPr>
        <w:t xml:space="preserve">) la fecha de vigencia, </w:t>
      </w:r>
      <w:proofErr w:type="spellStart"/>
      <w:r w:rsidRPr="00BC2EF4">
        <w:rPr>
          <w:rFonts w:ascii="Arial" w:eastAsia="Arial" w:hAnsi="Arial" w:cs="Arial"/>
          <w:bCs/>
          <w:sz w:val="22"/>
          <w:szCs w:val="22"/>
          <w:lang w:eastAsia="es-ES" w:bidi="es-ES"/>
        </w:rPr>
        <w:t>iv</w:t>
      </w:r>
      <w:proofErr w:type="spellEnd"/>
      <w:r w:rsidRPr="00BC2EF4">
        <w:rPr>
          <w:rFonts w:ascii="Arial" w:eastAsia="Arial" w:hAnsi="Arial" w:cs="Arial"/>
          <w:bCs/>
          <w:sz w:val="22"/>
          <w:szCs w:val="22"/>
          <w:lang w:eastAsia="es-ES" w:bidi="es-ES"/>
        </w:rPr>
        <w:t>) el número de partida arancelaria, v) el porcentaje (%) de participación del bien y vi) el puntaje individual de cada bien, de la siguiente forma:</w:t>
      </w:r>
    </w:p>
    <w:p w14:paraId="347CF26F" w14:textId="77777777" w:rsidR="00680ED0" w:rsidRPr="00BC2EF4" w:rsidRDefault="00680ED0" w:rsidP="00BC2EF4">
      <w:pPr>
        <w:widowControl w:val="0"/>
        <w:autoSpaceDE w:val="0"/>
        <w:autoSpaceDN w:val="0"/>
        <w:spacing w:line="276" w:lineRule="auto"/>
        <w:ind w:firstLine="709"/>
        <w:jc w:val="both"/>
        <w:rPr>
          <w:rFonts w:ascii="Arial" w:eastAsia="Arial" w:hAnsi="Arial" w:cs="Arial"/>
          <w:bCs/>
          <w:sz w:val="22"/>
          <w:szCs w:val="22"/>
          <w:lang w:eastAsia="es-ES" w:bidi="es-ES"/>
        </w:rPr>
      </w:pPr>
    </w:p>
    <w:p w14:paraId="7ED7F429" w14:textId="77777777" w:rsidR="001D1F01" w:rsidRPr="00BC2EF4" w:rsidRDefault="001D1F01" w:rsidP="00BC2EF4">
      <w:pPr>
        <w:spacing w:after="120"/>
        <w:ind w:left="709" w:right="709"/>
        <w:jc w:val="both"/>
        <w:rPr>
          <w:rFonts w:ascii="Arial" w:hAnsi="Arial" w:cs="Arial"/>
          <w:sz w:val="21"/>
          <w:szCs w:val="21"/>
          <w:lang w:val="es-MX"/>
        </w:rPr>
      </w:pPr>
      <w:r w:rsidRPr="00BC2EF4">
        <w:rPr>
          <w:rFonts w:ascii="Arial" w:hAnsi="Arial" w:cs="Arial"/>
          <w:sz w:val="19"/>
          <w:szCs w:val="19"/>
          <w:lang w:val="es-MX"/>
        </w:rPr>
        <w:t>[</w:t>
      </w:r>
      <w:r w:rsidRPr="00BC2EF4">
        <w:rPr>
          <w:rFonts w:ascii="Arial" w:hAnsi="Arial" w:cs="Arial"/>
          <w:b/>
          <w:bCs/>
          <w:sz w:val="21"/>
          <w:szCs w:val="21"/>
          <w:lang w:val="es-MX"/>
        </w:rPr>
        <w:t>Opción 1.</w:t>
      </w:r>
      <w:r w:rsidRPr="00BC2EF4">
        <w:rPr>
          <w:rFonts w:ascii="Arial" w:hAnsi="Arial" w:cs="Arial"/>
          <w:sz w:val="21"/>
          <w:szCs w:val="21"/>
          <w:lang w:val="es-MX"/>
        </w:rPr>
        <w:t xml:space="preserve"> Si la Entidad Estatal luego de aplicar la metodología para identificar los bienes nacionales relevantes prevista en la Matriz 4, determina uno o varios bienes nacionales relevantes para el Proceso de Contratación, incluirá los siguientes párrafos:]</w:t>
      </w:r>
    </w:p>
    <w:p w14:paraId="3DBED516" w14:textId="77777777" w:rsidR="001D1F01" w:rsidRPr="00BC2EF4" w:rsidRDefault="001D1F01" w:rsidP="00BC2EF4">
      <w:pPr>
        <w:spacing w:after="120"/>
        <w:ind w:left="709" w:right="709"/>
        <w:jc w:val="both"/>
        <w:rPr>
          <w:rFonts w:ascii="Arial" w:hAnsi="Arial" w:cs="Arial"/>
          <w:sz w:val="21"/>
          <w:szCs w:val="21"/>
          <w:lang w:val="es-MX"/>
        </w:rPr>
      </w:pPr>
      <w:r w:rsidRPr="00BC2EF4">
        <w:rPr>
          <w:rFonts w:ascii="Arial" w:hAnsi="Arial" w:cs="Arial"/>
          <w:sz w:val="21"/>
          <w:szCs w:val="21"/>
          <w:lang w:val="es-MX"/>
        </w:rPr>
        <w:t xml:space="preserve">En el presente Proceso de Contratación los bienes nacionales relevantes son: </w:t>
      </w:r>
    </w:p>
    <w:p w14:paraId="5D018123" w14:textId="77777777" w:rsidR="001D1F01" w:rsidRPr="00BC2EF4" w:rsidRDefault="001D1F01" w:rsidP="00BC2EF4">
      <w:pPr>
        <w:spacing w:after="120"/>
        <w:ind w:left="709" w:right="709"/>
        <w:jc w:val="both"/>
        <w:rPr>
          <w:rFonts w:ascii="Arial" w:hAnsi="Arial" w:cs="Arial"/>
          <w:sz w:val="21"/>
          <w:szCs w:val="21"/>
          <w:lang w:val="es-MX"/>
        </w:rPr>
      </w:pPr>
      <w:r w:rsidRPr="00BC2EF4">
        <w:rPr>
          <w:rFonts w:ascii="Arial" w:hAnsi="Arial" w:cs="Arial"/>
          <w:sz w:val="21"/>
          <w:szCs w:val="21"/>
          <w:lang w:val="es-MX"/>
        </w:rPr>
        <w:t>[La Entidad debe diligenciar la siguiente tabla con la información tomada del Registro de Productores de Bienes Nacionales]</w:t>
      </w:r>
    </w:p>
    <w:tbl>
      <w:tblPr>
        <w:tblW w:w="569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447"/>
        <w:gridCol w:w="975"/>
        <w:gridCol w:w="1154"/>
        <w:gridCol w:w="901"/>
        <w:gridCol w:w="1144"/>
        <w:gridCol w:w="1323"/>
        <w:gridCol w:w="1027"/>
      </w:tblGrid>
      <w:tr w:rsidR="001D1F01" w:rsidRPr="00BC2EF4" w14:paraId="12B80912" w14:textId="77777777" w:rsidTr="009D5A8C">
        <w:trPr>
          <w:trHeight w:val="248"/>
          <w:tblHeader/>
          <w:jc w:val="center"/>
        </w:trPr>
        <w:tc>
          <w:tcPr>
            <w:tcW w:w="365" w:type="dxa"/>
            <w:tcBorders>
              <w:top w:val="double" w:sz="4" w:space="0" w:color="auto"/>
              <w:left w:val="double" w:sz="4" w:space="0" w:color="auto"/>
              <w:bottom w:val="single" w:sz="4" w:space="0" w:color="000000"/>
              <w:right w:val="single" w:sz="6" w:space="0" w:color="auto"/>
            </w:tcBorders>
            <w:shd w:val="clear" w:color="auto" w:fill="3B3838" w:themeFill="background2" w:themeFillShade="40"/>
            <w:vAlign w:val="center"/>
            <w:hideMark/>
          </w:tcPr>
          <w:p w14:paraId="1DC3F4E2" w14:textId="77777777" w:rsidR="001D1F01" w:rsidRPr="00BC2EF4" w:rsidRDefault="001D1F01" w:rsidP="009D5A8C">
            <w:pPr>
              <w:jc w:val="both"/>
              <w:rPr>
                <w:rFonts w:ascii="Arial" w:hAnsi="Arial" w:cs="Arial"/>
                <w:b/>
                <w:caps/>
                <w:color w:val="FFFFFF" w:themeColor="background1"/>
                <w:sz w:val="19"/>
                <w:szCs w:val="19"/>
              </w:rPr>
            </w:pPr>
            <w:r w:rsidRPr="00BC2EF4">
              <w:rPr>
                <w:rFonts w:ascii="Arial" w:hAnsi="Arial" w:cs="Arial"/>
                <w:b/>
                <w:color w:val="FFFFFF" w:themeColor="background1"/>
                <w:sz w:val="19"/>
                <w:szCs w:val="19"/>
              </w:rPr>
              <w:t>No.</w:t>
            </w:r>
          </w:p>
        </w:tc>
        <w:tc>
          <w:tcPr>
            <w:tcW w:w="796" w:type="dxa"/>
            <w:tcBorders>
              <w:top w:val="double" w:sz="4" w:space="0" w:color="auto"/>
              <w:left w:val="single" w:sz="6" w:space="0" w:color="auto"/>
              <w:bottom w:val="single" w:sz="4" w:space="0" w:color="000000"/>
              <w:right w:val="single" w:sz="4" w:space="0" w:color="000000"/>
            </w:tcBorders>
            <w:shd w:val="clear" w:color="auto" w:fill="3B3838" w:themeFill="background2" w:themeFillShade="40"/>
            <w:vAlign w:val="center"/>
            <w:hideMark/>
          </w:tcPr>
          <w:p w14:paraId="01963B6D" w14:textId="77777777" w:rsidR="001D1F01" w:rsidRPr="00BC2EF4" w:rsidRDefault="001D1F01" w:rsidP="009D5A8C">
            <w:pPr>
              <w:jc w:val="both"/>
              <w:rPr>
                <w:rFonts w:ascii="Arial" w:hAnsi="Arial" w:cs="Arial"/>
                <w:b/>
                <w:caps/>
                <w:color w:val="FFFFFF" w:themeColor="background1"/>
                <w:sz w:val="19"/>
                <w:szCs w:val="19"/>
              </w:rPr>
            </w:pPr>
            <w:r w:rsidRPr="00BC2EF4">
              <w:rPr>
                <w:rFonts w:ascii="Arial" w:hAnsi="Arial" w:cs="Arial"/>
                <w:b/>
                <w:color w:val="FFFFFF" w:themeColor="background1"/>
                <w:sz w:val="19"/>
                <w:szCs w:val="19"/>
              </w:rPr>
              <w:t>Bien nacional relevante</w:t>
            </w:r>
          </w:p>
        </w:tc>
        <w:tc>
          <w:tcPr>
            <w:tcW w:w="942" w:type="dxa"/>
            <w:tcBorders>
              <w:top w:val="double" w:sz="4" w:space="0" w:color="auto"/>
              <w:left w:val="single" w:sz="6" w:space="0" w:color="auto"/>
              <w:bottom w:val="single" w:sz="4" w:space="0" w:color="000000"/>
              <w:right w:val="single" w:sz="4" w:space="0" w:color="000000"/>
            </w:tcBorders>
            <w:shd w:val="clear" w:color="auto" w:fill="3B3838" w:themeFill="background2" w:themeFillShade="40"/>
            <w:vAlign w:val="center"/>
          </w:tcPr>
          <w:p w14:paraId="7B727659" w14:textId="77777777" w:rsidR="001D1F01" w:rsidRPr="00BC2EF4" w:rsidRDefault="001D1F01" w:rsidP="009D5A8C">
            <w:pPr>
              <w:jc w:val="both"/>
              <w:rPr>
                <w:rFonts w:ascii="Arial" w:hAnsi="Arial" w:cs="Arial"/>
                <w:b/>
                <w:color w:val="FFFFFF" w:themeColor="background1"/>
                <w:sz w:val="19"/>
                <w:szCs w:val="19"/>
              </w:rPr>
            </w:pPr>
            <w:r w:rsidRPr="00BC2EF4">
              <w:rPr>
                <w:rFonts w:ascii="Arial" w:hAnsi="Arial" w:cs="Arial"/>
                <w:b/>
                <w:color w:val="FFFFFF" w:themeColor="background1"/>
                <w:sz w:val="19"/>
                <w:szCs w:val="19"/>
              </w:rPr>
              <w:t>Fecha de inscripción</w:t>
            </w:r>
          </w:p>
        </w:tc>
        <w:tc>
          <w:tcPr>
            <w:tcW w:w="736" w:type="dxa"/>
            <w:tcBorders>
              <w:top w:val="double" w:sz="4" w:space="0" w:color="auto"/>
              <w:left w:val="single" w:sz="4" w:space="0" w:color="000000"/>
              <w:bottom w:val="single" w:sz="4" w:space="0" w:color="000000"/>
              <w:right w:val="single" w:sz="4" w:space="0" w:color="000000"/>
            </w:tcBorders>
            <w:shd w:val="clear" w:color="auto" w:fill="3B3838" w:themeFill="background2" w:themeFillShade="40"/>
            <w:vAlign w:val="center"/>
          </w:tcPr>
          <w:p w14:paraId="7133258C" w14:textId="77777777" w:rsidR="001D1F01" w:rsidRPr="00BC2EF4" w:rsidRDefault="001D1F01" w:rsidP="009D5A8C">
            <w:pPr>
              <w:jc w:val="both"/>
              <w:rPr>
                <w:rFonts w:ascii="Arial" w:hAnsi="Arial" w:cs="Arial"/>
                <w:b/>
                <w:color w:val="FFFFFF" w:themeColor="background1"/>
                <w:sz w:val="19"/>
                <w:szCs w:val="19"/>
              </w:rPr>
            </w:pPr>
            <w:r w:rsidRPr="00BC2EF4">
              <w:rPr>
                <w:rFonts w:ascii="Arial" w:hAnsi="Arial" w:cs="Arial"/>
                <w:b/>
                <w:color w:val="FFFFFF" w:themeColor="background1"/>
                <w:sz w:val="19"/>
                <w:szCs w:val="19"/>
              </w:rPr>
              <w:t>Fecha de vigencia</w:t>
            </w:r>
          </w:p>
        </w:tc>
        <w:tc>
          <w:tcPr>
            <w:tcW w:w="934" w:type="dxa"/>
            <w:tcBorders>
              <w:top w:val="double" w:sz="4" w:space="0" w:color="auto"/>
              <w:left w:val="single" w:sz="4" w:space="0" w:color="000000"/>
              <w:bottom w:val="single" w:sz="4" w:space="0" w:color="000000"/>
              <w:right w:val="single" w:sz="4" w:space="0" w:color="000000"/>
            </w:tcBorders>
            <w:shd w:val="clear" w:color="auto" w:fill="3B3838" w:themeFill="background2" w:themeFillShade="40"/>
            <w:vAlign w:val="center"/>
          </w:tcPr>
          <w:p w14:paraId="523462EB" w14:textId="77777777" w:rsidR="001D1F01" w:rsidRPr="00BC2EF4" w:rsidRDefault="001D1F01" w:rsidP="009D5A8C">
            <w:pPr>
              <w:jc w:val="both"/>
              <w:rPr>
                <w:rFonts w:ascii="Arial" w:hAnsi="Arial" w:cs="Arial"/>
                <w:b/>
                <w:color w:val="FFFFFF" w:themeColor="background1"/>
                <w:sz w:val="19"/>
                <w:szCs w:val="19"/>
              </w:rPr>
            </w:pPr>
            <w:r w:rsidRPr="00BC2EF4">
              <w:rPr>
                <w:rFonts w:ascii="Arial" w:hAnsi="Arial" w:cs="Arial"/>
                <w:b/>
                <w:color w:val="FFFFFF" w:themeColor="background1"/>
                <w:sz w:val="19"/>
                <w:szCs w:val="19"/>
              </w:rPr>
              <w:t>No. de partida arancelaria</w:t>
            </w:r>
          </w:p>
        </w:tc>
        <w:tc>
          <w:tcPr>
            <w:tcW w:w="1081" w:type="dxa"/>
            <w:tcBorders>
              <w:top w:val="double" w:sz="4" w:space="0" w:color="auto"/>
              <w:left w:val="single" w:sz="4" w:space="0" w:color="000000"/>
              <w:bottom w:val="single" w:sz="4" w:space="0" w:color="000000"/>
              <w:right w:val="double" w:sz="4" w:space="0" w:color="auto"/>
            </w:tcBorders>
            <w:shd w:val="clear" w:color="auto" w:fill="3B3838" w:themeFill="background2" w:themeFillShade="40"/>
            <w:vAlign w:val="center"/>
          </w:tcPr>
          <w:p w14:paraId="3EC3C356" w14:textId="77777777" w:rsidR="001D1F01" w:rsidRPr="00BC2EF4" w:rsidRDefault="001D1F01" w:rsidP="009D5A8C">
            <w:pPr>
              <w:jc w:val="both"/>
              <w:rPr>
                <w:rFonts w:ascii="Arial" w:hAnsi="Arial" w:cs="Arial"/>
                <w:b/>
                <w:color w:val="FFFFFF" w:themeColor="background1"/>
                <w:sz w:val="19"/>
                <w:szCs w:val="19"/>
              </w:rPr>
            </w:pPr>
            <w:r w:rsidRPr="00BC2EF4">
              <w:rPr>
                <w:rFonts w:ascii="Arial" w:hAnsi="Arial" w:cs="Arial"/>
                <w:b/>
                <w:color w:val="FFFFFF" w:themeColor="background1"/>
                <w:sz w:val="19"/>
                <w:szCs w:val="19"/>
              </w:rPr>
              <w:t>% de participación</w:t>
            </w:r>
          </w:p>
        </w:tc>
        <w:tc>
          <w:tcPr>
            <w:tcW w:w="839" w:type="dxa"/>
            <w:tcBorders>
              <w:top w:val="double" w:sz="4" w:space="0" w:color="auto"/>
              <w:left w:val="single" w:sz="4" w:space="0" w:color="000000"/>
              <w:bottom w:val="single" w:sz="4" w:space="0" w:color="000000"/>
              <w:right w:val="double" w:sz="4" w:space="0" w:color="auto"/>
            </w:tcBorders>
            <w:shd w:val="clear" w:color="auto" w:fill="3B3838" w:themeFill="background2" w:themeFillShade="40"/>
          </w:tcPr>
          <w:p w14:paraId="77299EA5" w14:textId="77777777" w:rsidR="001D1F01" w:rsidRPr="00BC2EF4" w:rsidRDefault="001D1F01" w:rsidP="009D5A8C">
            <w:pPr>
              <w:jc w:val="both"/>
              <w:rPr>
                <w:rFonts w:ascii="Arial" w:hAnsi="Arial" w:cs="Arial"/>
                <w:b/>
                <w:color w:val="FFFFFF" w:themeColor="background1"/>
                <w:sz w:val="19"/>
                <w:szCs w:val="19"/>
              </w:rPr>
            </w:pPr>
            <w:r w:rsidRPr="00BC2EF4">
              <w:rPr>
                <w:rFonts w:ascii="Arial" w:hAnsi="Arial" w:cs="Arial"/>
                <w:b/>
                <w:color w:val="FFFFFF" w:themeColor="background1"/>
                <w:sz w:val="19"/>
                <w:szCs w:val="19"/>
              </w:rPr>
              <w:t xml:space="preserve">Puntaje individual de cada bien </w:t>
            </w:r>
          </w:p>
        </w:tc>
      </w:tr>
      <w:tr w:rsidR="001D1F01" w:rsidRPr="00BC2EF4" w14:paraId="0A5F6BDE" w14:textId="77777777" w:rsidTr="009D5A8C">
        <w:trPr>
          <w:trHeight w:val="177"/>
          <w:tblHeader/>
          <w:jc w:val="center"/>
        </w:trPr>
        <w:tc>
          <w:tcPr>
            <w:tcW w:w="365" w:type="dxa"/>
            <w:tcBorders>
              <w:top w:val="single" w:sz="4" w:space="0" w:color="000000"/>
              <w:left w:val="double" w:sz="4" w:space="0" w:color="auto"/>
              <w:right w:val="single" w:sz="6" w:space="0" w:color="auto"/>
            </w:tcBorders>
            <w:shd w:val="clear" w:color="auto" w:fill="auto"/>
            <w:vAlign w:val="center"/>
          </w:tcPr>
          <w:p w14:paraId="3940A505" w14:textId="77777777" w:rsidR="001D1F01" w:rsidRPr="00BC2EF4" w:rsidRDefault="001D1F01" w:rsidP="009D5A8C">
            <w:pPr>
              <w:jc w:val="both"/>
              <w:rPr>
                <w:rFonts w:ascii="Arial" w:hAnsi="Arial" w:cs="Arial"/>
                <w:caps/>
                <w:sz w:val="19"/>
                <w:szCs w:val="19"/>
              </w:rPr>
            </w:pPr>
            <w:r w:rsidRPr="00BC2EF4">
              <w:rPr>
                <w:rFonts w:ascii="Arial" w:hAnsi="Arial" w:cs="Arial"/>
                <w:caps/>
                <w:sz w:val="19"/>
                <w:szCs w:val="19"/>
              </w:rPr>
              <w:t>1.</w:t>
            </w:r>
          </w:p>
        </w:tc>
        <w:tc>
          <w:tcPr>
            <w:tcW w:w="796" w:type="dxa"/>
            <w:tcBorders>
              <w:top w:val="single" w:sz="4" w:space="0" w:color="000000"/>
              <w:left w:val="single" w:sz="6" w:space="0" w:color="auto"/>
              <w:right w:val="single" w:sz="4" w:space="0" w:color="000000"/>
            </w:tcBorders>
            <w:shd w:val="clear" w:color="auto" w:fill="auto"/>
            <w:vAlign w:val="center"/>
          </w:tcPr>
          <w:p w14:paraId="0007947A" w14:textId="77777777" w:rsidR="001D1F01" w:rsidRPr="00BC2EF4" w:rsidRDefault="001D1F01" w:rsidP="009D5A8C">
            <w:pPr>
              <w:jc w:val="both"/>
              <w:rPr>
                <w:rFonts w:ascii="Arial" w:hAnsi="Arial" w:cs="Arial"/>
                <w:b/>
                <w:color w:val="FFFFFF" w:themeColor="background1"/>
                <w:sz w:val="19"/>
                <w:szCs w:val="19"/>
              </w:rPr>
            </w:pPr>
          </w:p>
        </w:tc>
        <w:tc>
          <w:tcPr>
            <w:tcW w:w="942" w:type="dxa"/>
            <w:tcBorders>
              <w:top w:val="single" w:sz="4" w:space="0" w:color="000000"/>
              <w:left w:val="single" w:sz="6" w:space="0" w:color="auto"/>
              <w:right w:val="single" w:sz="4" w:space="0" w:color="000000"/>
            </w:tcBorders>
            <w:shd w:val="clear" w:color="auto" w:fill="auto"/>
          </w:tcPr>
          <w:p w14:paraId="3DD7AFC3" w14:textId="77777777" w:rsidR="001D1F01" w:rsidRPr="00BC2EF4" w:rsidRDefault="001D1F01" w:rsidP="009D5A8C">
            <w:pPr>
              <w:jc w:val="both"/>
              <w:rPr>
                <w:rFonts w:ascii="Arial" w:hAnsi="Arial" w:cs="Arial"/>
                <w:b/>
                <w:color w:val="FFFFFF" w:themeColor="background1"/>
                <w:sz w:val="19"/>
                <w:szCs w:val="19"/>
              </w:rPr>
            </w:pPr>
          </w:p>
        </w:tc>
        <w:tc>
          <w:tcPr>
            <w:tcW w:w="736" w:type="dxa"/>
            <w:tcBorders>
              <w:top w:val="single" w:sz="4" w:space="0" w:color="000000"/>
              <w:left w:val="single" w:sz="4" w:space="0" w:color="000000"/>
              <w:right w:val="single" w:sz="4" w:space="0" w:color="000000"/>
            </w:tcBorders>
            <w:shd w:val="clear" w:color="auto" w:fill="auto"/>
          </w:tcPr>
          <w:p w14:paraId="167EA276" w14:textId="77777777" w:rsidR="001D1F01" w:rsidRPr="00BC2EF4" w:rsidRDefault="001D1F01" w:rsidP="009D5A8C">
            <w:pPr>
              <w:jc w:val="both"/>
              <w:rPr>
                <w:rFonts w:ascii="Arial" w:hAnsi="Arial" w:cs="Arial"/>
                <w:b/>
                <w:color w:val="FFFFFF" w:themeColor="background1"/>
                <w:sz w:val="19"/>
                <w:szCs w:val="19"/>
              </w:rPr>
            </w:pPr>
          </w:p>
        </w:tc>
        <w:tc>
          <w:tcPr>
            <w:tcW w:w="934" w:type="dxa"/>
            <w:tcBorders>
              <w:top w:val="single" w:sz="4" w:space="0" w:color="000000"/>
              <w:left w:val="single" w:sz="4" w:space="0" w:color="000000"/>
              <w:right w:val="single" w:sz="4" w:space="0" w:color="000000"/>
            </w:tcBorders>
            <w:shd w:val="clear" w:color="auto" w:fill="auto"/>
          </w:tcPr>
          <w:p w14:paraId="132B4915" w14:textId="77777777" w:rsidR="001D1F01" w:rsidRPr="00BC2EF4" w:rsidRDefault="001D1F01" w:rsidP="009D5A8C">
            <w:pPr>
              <w:jc w:val="both"/>
              <w:rPr>
                <w:rFonts w:ascii="Arial" w:hAnsi="Arial" w:cs="Arial"/>
                <w:b/>
                <w:color w:val="FFFFFF" w:themeColor="background1"/>
                <w:sz w:val="19"/>
                <w:szCs w:val="19"/>
              </w:rPr>
            </w:pPr>
          </w:p>
        </w:tc>
        <w:tc>
          <w:tcPr>
            <w:tcW w:w="1081" w:type="dxa"/>
            <w:tcBorders>
              <w:top w:val="single" w:sz="4" w:space="0" w:color="000000"/>
              <w:left w:val="single" w:sz="4" w:space="0" w:color="000000"/>
              <w:right w:val="double" w:sz="4" w:space="0" w:color="auto"/>
            </w:tcBorders>
            <w:shd w:val="clear" w:color="auto" w:fill="auto"/>
          </w:tcPr>
          <w:p w14:paraId="7E9F77A7" w14:textId="77777777" w:rsidR="001D1F01" w:rsidRPr="00BC2EF4" w:rsidRDefault="001D1F01" w:rsidP="009D5A8C">
            <w:pPr>
              <w:jc w:val="both"/>
              <w:rPr>
                <w:rFonts w:ascii="Arial" w:hAnsi="Arial" w:cs="Arial"/>
                <w:b/>
                <w:color w:val="FFFFFF" w:themeColor="background1"/>
                <w:sz w:val="19"/>
                <w:szCs w:val="19"/>
              </w:rPr>
            </w:pPr>
          </w:p>
        </w:tc>
        <w:tc>
          <w:tcPr>
            <w:tcW w:w="839" w:type="dxa"/>
            <w:tcBorders>
              <w:top w:val="single" w:sz="4" w:space="0" w:color="000000"/>
              <w:left w:val="single" w:sz="4" w:space="0" w:color="000000"/>
              <w:right w:val="double" w:sz="4" w:space="0" w:color="auto"/>
            </w:tcBorders>
          </w:tcPr>
          <w:p w14:paraId="46BE3761" w14:textId="77777777" w:rsidR="001D1F01" w:rsidRPr="00BC2EF4" w:rsidRDefault="001D1F01" w:rsidP="009D5A8C">
            <w:pPr>
              <w:jc w:val="both"/>
              <w:rPr>
                <w:rFonts w:ascii="Arial" w:hAnsi="Arial" w:cs="Arial"/>
                <w:b/>
                <w:color w:val="FFFFFF" w:themeColor="background1"/>
                <w:sz w:val="19"/>
                <w:szCs w:val="19"/>
              </w:rPr>
            </w:pPr>
          </w:p>
        </w:tc>
      </w:tr>
      <w:tr w:rsidR="001D1F01" w:rsidRPr="00BC2EF4" w14:paraId="0F1EF9CE" w14:textId="77777777" w:rsidTr="009D5A8C">
        <w:trPr>
          <w:trHeight w:val="193"/>
          <w:tblHeader/>
          <w:jc w:val="center"/>
        </w:trPr>
        <w:tc>
          <w:tcPr>
            <w:tcW w:w="365" w:type="dxa"/>
            <w:tcBorders>
              <w:top w:val="double" w:sz="4" w:space="0" w:color="auto"/>
              <w:left w:val="double" w:sz="4" w:space="0" w:color="auto"/>
              <w:bottom w:val="double" w:sz="4" w:space="0" w:color="auto"/>
              <w:right w:val="single" w:sz="6" w:space="0" w:color="auto"/>
            </w:tcBorders>
            <w:shd w:val="clear" w:color="auto" w:fill="auto"/>
            <w:vAlign w:val="center"/>
          </w:tcPr>
          <w:p w14:paraId="09B9DF25" w14:textId="77777777" w:rsidR="001D1F01" w:rsidRPr="00BC2EF4" w:rsidRDefault="001D1F01" w:rsidP="009D5A8C">
            <w:pPr>
              <w:jc w:val="both"/>
              <w:rPr>
                <w:rFonts w:ascii="Arial" w:hAnsi="Arial" w:cs="Arial"/>
                <w:b/>
                <w:color w:val="FFFFFF" w:themeColor="background1"/>
                <w:sz w:val="19"/>
                <w:szCs w:val="19"/>
              </w:rPr>
            </w:pPr>
            <w:r w:rsidRPr="00BC2EF4">
              <w:rPr>
                <w:rFonts w:ascii="Arial" w:hAnsi="Arial" w:cs="Arial"/>
                <w:caps/>
                <w:sz w:val="19"/>
                <w:szCs w:val="19"/>
              </w:rPr>
              <w:t>2.</w:t>
            </w:r>
          </w:p>
        </w:tc>
        <w:tc>
          <w:tcPr>
            <w:tcW w:w="796" w:type="dxa"/>
            <w:tcBorders>
              <w:top w:val="double" w:sz="4" w:space="0" w:color="auto"/>
              <w:left w:val="single" w:sz="6" w:space="0" w:color="auto"/>
              <w:bottom w:val="double" w:sz="4" w:space="0" w:color="auto"/>
              <w:right w:val="single" w:sz="4" w:space="0" w:color="000000"/>
            </w:tcBorders>
            <w:shd w:val="clear" w:color="auto" w:fill="auto"/>
            <w:vAlign w:val="center"/>
          </w:tcPr>
          <w:p w14:paraId="3AB24A76" w14:textId="77777777" w:rsidR="001D1F01" w:rsidRPr="00BC2EF4" w:rsidRDefault="001D1F01" w:rsidP="009D5A8C">
            <w:pPr>
              <w:jc w:val="both"/>
              <w:rPr>
                <w:rFonts w:ascii="Arial" w:hAnsi="Arial" w:cs="Arial"/>
                <w:b/>
                <w:color w:val="FFFFFF" w:themeColor="background1"/>
                <w:sz w:val="19"/>
                <w:szCs w:val="19"/>
              </w:rPr>
            </w:pPr>
          </w:p>
        </w:tc>
        <w:tc>
          <w:tcPr>
            <w:tcW w:w="942" w:type="dxa"/>
            <w:tcBorders>
              <w:top w:val="double" w:sz="4" w:space="0" w:color="auto"/>
              <w:left w:val="single" w:sz="6" w:space="0" w:color="auto"/>
              <w:bottom w:val="double" w:sz="4" w:space="0" w:color="auto"/>
              <w:right w:val="single" w:sz="4" w:space="0" w:color="000000"/>
            </w:tcBorders>
            <w:shd w:val="clear" w:color="auto" w:fill="auto"/>
          </w:tcPr>
          <w:p w14:paraId="64DF574C" w14:textId="77777777" w:rsidR="001D1F01" w:rsidRPr="00BC2EF4" w:rsidRDefault="001D1F01" w:rsidP="009D5A8C">
            <w:pPr>
              <w:jc w:val="both"/>
              <w:rPr>
                <w:rFonts w:ascii="Arial" w:hAnsi="Arial" w:cs="Arial"/>
                <w:b/>
                <w:color w:val="FFFFFF" w:themeColor="background1"/>
                <w:sz w:val="19"/>
                <w:szCs w:val="19"/>
              </w:rPr>
            </w:pPr>
          </w:p>
        </w:tc>
        <w:tc>
          <w:tcPr>
            <w:tcW w:w="736" w:type="dxa"/>
            <w:tcBorders>
              <w:top w:val="double" w:sz="4" w:space="0" w:color="auto"/>
              <w:left w:val="single" w:sz="4" w:space="0" w:color="000000"/>
              <w:bottom w:val="double" w:sz="4" w:space="0" w:color="auto"/>
              <w:right w:val="single" w:sz="4" w:space="0" w:color="000000"/>
            </w:tcBorders>
            <w:shd w:val="clear" w:color="auto" w:fill="auto"/>
          </w:tcPr>
          <w:p w14:paraId="6724F4EB" w14:textId="77777777" w:rsidR="001D1F01" w:rsidRPr="00BC2EF4" w:rsidRDefault="001D1F01" w:rsidP="009D5A8C">
            <w:pPr>
              <w:jc w:val="both"/>
              <w:rPr>
                <w:rFonts w:ascii="Arial" w:hAnsi="Arial" w:cs="Arial"/>
                <w:b/>
                <w:color w:val="FFFFFF" w:themeColor="background1"/>
                <w:sz w:val="19"/>
                <w:szCs w:val="19"/>
              </w:rPr>
            </w:pPr>
          </w:p>
        </w:tc>
        <w:tc>
          <w:tcPr>
            <w:tcW w:w="934" w:type="dxa"/>
            <w:tcBorders>
              <w:top w:val="double" w:sz="4" w:space="0" w:color="auto"/>
              <w:left w:val="single" w:sz="4" w:space="0" w:color="000000"/>
              <w:bottom w:val="double" w:sz="4" w:space="0" w:color="auto"/>
              <w:right w:val="double" w:sz="4" w:space="0" w:color="auto"/>
            </w:tcBorders>
            <w:shd w:val="clear" w:color="auto" w:fill="auto"/>
          </w:tcPr>
          <w:p w14:paraId="0FD4D44F" w14:textId="77777777" w:rsidR="001D1F01" w:rsidRPr="00BC2EF4" w:rsidRDefault="001D1F01" w:rsidP="009D5A8C">
            <w:pPr>
              <w:jc w:val="both"/>
              <w:rPr>
                <w:rFonts w:ascii="Arial" w:hAnsi="Arial" w:cs="Arial"/>
                <w:b/>
                <w:color w:val="FFFFFF" w:themeColor="background1"/>
                <w:sz w:val="19"/>
                <w:szCs w:val="19"/>
              </w:rPr>
            </w:pPr>
          </w:p>
        </w:tc>
        <w:tc>
          <w:tcPr>
            <w:tcW w:w="1081" w:type="dxa"/>
            <w:tcBorders>
              <w:top w:val="double" w:sz="4" w:space="0" w:color="auto"/>
              <w:left w:val="single" w:sz="4" w:space="0" w:color="000000"/>
              <w:bottom w:val="double" w:sz="4" w:space="0" w:color="auto"/>
              <w:right w:val="double" w:sz="4" w:space="0" w:color="auto"/>
            </w:tcBorders>
            <w:shd w:val="clear" w:color="auto" w:fill="auto"/>
          </w:tcPr>
          <w:p w14:paraId="72E1949E" w14:textId="77777777" w:rsidR="001D1F01" w:rsidRPr="00BC2EF4" w:rsidRDefault="001D1F01" w:rsidP="009D5A8C">
            <w:pPr>
              <w:jc w:val="both"/>
              <w:rPr>
                <w:rFonts w:ascii="Arial" w:hAnsi="Arial" w:cs="Arial"/>
                <w:b/>
                <w:color w:val="FFFFFF" w:themeColor="background1"/>
                <w:sz w:val="19"/>
                <w:szCs w:val="19"/>
              </w:rPr>
            </w:pPr>
          </w:p>
        </w:tc>
        <w:tc>
          <w:tcPr>
            <w:tcW w:w="839" w:type="dxa"/>
            <w:tcBorders>
              <w:top w:val="double" w:sz="4" w:space="0" w:color="auto"/>
              <w:left w:val="single" w:sz="4" w:space="0" w:color="000000"/>
              <w:bottom w:val="double" w:sz="4" w:space="0" w:color="auto"/>
              <w:right w:val="double" w:sz="4" w:space="0" w:color="auto"/>
            </w:tcBorders>
          </w:tcPr>
          <w:p w14:paraId="530F5AE6" w14:textId="77777777" w:rsidR="001D1F01" w:rsidRPr="00BC2EF4" w:rsidRDefault="001D1F01" w:rsidP="009D5A8C">
            <w:pPr>
              <w:jc w:val="both"/>
              <w:rPr>
                <w:rFonts w:ascii="Arial" w:hAnsi="Arial" w:cs="Arial"/>
                <w:b/>
                <w:color w:val="FFFFFF" w:themeColor="background1"/>
                <w:sz w:val="19"/>
                <w:szCs w:val="19"/>
              </w:rPr>
            </w:pPr>
          </w:p>
        </w:tc>
      </w:tr>
      <w:tr w:rsidR="001D1F01" w:rsidRPr="00BC2EF4" w14:paraId="561338D2" w14:textId="77777777" w:rsidTr="009D5A8C">
        <w:trPr>
          <w:trHeight w:val="193"/>
          <w:tblHeader/>
          <w:jc w:val="center"/>
        </w:trPr>
        <w:tc>
          <w:tcPr>
            <w:tcW w:w="365" w:type="dxa"/>
            <w:tcBorders>
              <w:top w:val="double" w:sz="4" w:space="0" w:color="auto"/>
              <w:left w:val="double" w:sz="4" w:space="0" w:color="auto"/>
              <w:bottom w:val="double" w:sz="4" w:space="0" w:color="auto"/>
              <w:right w:val="single" w:sz="6" w:space="0" w:color="auto"/>
            </w:tcBorders>
            <w:shd w:val="clear" w:color="auto" w:fill="auto"/>
            <w:vAlign w:val="center"/>
          </w:tcPr>
          <w:p w14:paraId="32621BEB" w14:textId="77777777" w:rsidR="001D1F01" w:rsidRPr="00BC2EF4" w:rsidRDefault="001D1F01" w:rsidP="009D5A8C">
            <w:pPr>
              <w:jc w:val="both"/>
              <w:rPr>
                <w:rFonts w:ascii="Arial" w:hAnsi="Arial" w:cs="Arial"/>
                <w:caps/>
                <w:sz w:val="19"/>
                <w:szCs w:val="19"/>
              </w:rPr>
            </w:pPr>
            <w:r w:rsidRPr="00BC2EF4">
              <w:rPr>
                <w:rFonts w:ascii="Arial" w:hAnsi="Arial" w:cs="Arial"/>
                <w:caps/>
                <w:sz w:val="19"/>
                <w:szCs w:val="19"/>
              </w:rPr>
              <w:t>3</w:t>
            </w:r>
          </w:p>
        </w:tc>
        <w:tc>
          <w:tcPr>
            <w:tcW w:w="796" w:type="dxa"/>
            <w:tcBorders>
              <w:top w:val="double" w:sz="4" w:space="0" w:color="auto"/>
              <w:left w:val="single" w:sz="6" w:space="0" w:color="auto"/>
              <w:bottom w:val="double" w:sz="4" w:space="0" w:color="auto"/>
              <w:right w:val="single" w:sz="4" w:space="0" w:color="000000"/>
            </w:tcBorders>
            <w:shd w:val="clear" w:color="auto" w:fill="auto"/>
            <w:vAlign w:val="center"/>
          </w:tcPr>
          <w:p w14:paraId="78D5D62B" w14:textId="77777777" w:rsidR="001D1F01" w:rsidRPr="00BC2EF4" w:rsidRDefault="001D1F01" w:rsidP="009D5A8C">
            <w:pPr>
              <w:jc w:val="both"/>
              <w:rPr>
                <w:rFonts w:ascii="Arial" w:hAnsi="Arial" w:cs="Arial"/>
                <w:b/>
                <w:color w:val="FFFFFF" w:themeColor="background1"/>
                <w:sz w:val="19"/>
                <w:szCs w:val="19"/>
              </w:rPr>
            </w:pPr>
          </w:p>
        </w:tc>
        <w:tc>
          <w:tcPr>
            <w:tcW w:w="942" w:type="dxa"/>
            <w:tcBorders>
              <w:top w:val="double" w:sz="4" w:space="0" w:color="auto"/>
              <w:left w:val="single" w:sz="6" w:space="0" w:color="auto"/>
              <w:bottom w:val="double" w:sz="4" w:space="0" w:color="auto"/>
              <w:right w:val="single" w:sz="4" w:space="0" w:color="000000"/>
            </w:tcBorders>
            <w:shd w:val="clear" w:color="auto" w:fill="auto"/>
          </w:tcPr>
          <w:p w14:paraId="3E861A9E" w14:textId="77777777" w:rsidR="001D1F01" w:rsidRPr="00BC2EF4" w:rsidRDefault="001D1F01" w:rsidP="009D5A8C">
            <w:pPr>
              <w:jc w:val="both"/>
              <w:rPr>
                <w:rFonts w:ascii="Arial" w:hAnsi="Arial" w:cs="Arial"/>
                <w:b/>
                <w:color w:val="FFFFFF" w:themeColor="background1"/>
                <w:sz w:val="19"/>
                <w:szCs w:val="19"/>
              </w:rPr>
            </w:pPr>
          </w:p>
        </w:tc>
        <w:tc>
          <w:tcPr>
            <w:tcW w:w="736" w:type="dxa"/>
            <w:tcBorders>
              <w:top w:val="double" w:sz="4" w:space="0" w:color="auto"/>
              <w:left w:val="single" w:sz="4" w:space="0" w:color="000000"/>
              <w:bottom w:val="double" w:sz="4" w:space="0" w:color="auto"/>
              <w:right w:val="single" w:sz="4" w:space="0" w:color="000000"/>
            </w:tcBorders>
            <w:shd w:val="clear" w:color="auto" w:fill="auto"/>
          </w:tcPr>
          <w:p w14:paraId="39B807ED" w14:textId="77777777" w:rsidR="001D1F01" w:rsidRPr="00BC2EF4" w:rsidRDefault="001D1F01" w:rsidP="009D5A8C">
            <w:pPr>
              <w:jc w:val="both"/>
              <w:rPr>
                <w:rFonts w:ascii="Arial" w:hAnsi="Arial" w:cs="Arial"/>
                <w:b/>
                <w:color w:val="FFFFFF" w:themeColor="background1"/>
                <w:sz w:val="19"/>
                <w:szCs w:val="19"/>
              </w:rPr>
            </w:pPr>
          </w:p>
        </w:tc>
        <w:tc>
          <w:tcPr>
            <w:tcW w:w="934" w:type="dxa"/>
            <w:tcBorders>
              <w:top w:val="double" w:sz="4" w:space="0" w:color="auto"/>
              <w:left w:val="single" w:sz="4" w:space="0" w:color="000000"/>
              <w:bottom w:val="double" w:sz="4" w:space="0" w:color="auto"/>
              <w:right w:val="double" w:sz="4" w:space="0" w:color="auto"/>
            </w:tcBorders>
            <w:shd w:val="clear" w:color="auto" w:fill="auto"/>
          </w:tcPr>
          <w:p w14:paraId="6414D17B" w14:textId="77777777" w:rsidR="001D1F01" w:rsidRPr="00BC2EF4" w:rsidRDefault="001D1F01" w:rsidP="009D5A8C">
            <w:pPr>
              <w:jc w:val="both"/>
              <w:rPr>
                <w:rFonts w:ascii="Arial" w:hAnsi="Arial" w:cs="Arial"/>
                <w:b/>
                <w:color w:val="FFFFFF" w:themeColor="background1"/>
                <w:sz w:val="19"/>
                <w:szCs w:val="19"/>
              </w:rPr>
            </w:pPr>
          </w:p>
        </w:tc>
        <w:tc>
          <w:tcPr>
            <w:tcW w:w="1081" w:type="dxa"/>
            <w:tcBorders>
              <w:top w:val="double" w:sz="4" w:space="0" w:color="auto"/>
              <w:left w:val="single" w:sz="4" w:space="0" w:color="000000"/>
              <w:bottom w:val="double" w:sz="4" w:space="0" w:color="auto"/>
              <w:right w:val="double" w:sz="4" w:space="0" w:color="auto"/>
            </w:tcBorders>
            <w:shd w:val="clear" w:color="auto" w:fill="auto"/>
          </w:tcPr>
          <w:p w14:paraId="0DB55957" w14:textId="77777777" w:rsidR="001D1F01" w:rsidRPr="00BC2EF4" w:rsidRDefault="001D1F01" w:rsidP="009D5A8C">
            <w:pPr>
              <w:jc w:val="both"/>
              <w:rPr>
                <w:rFonts w:ascii="Arial" w:hAnsi="Arial" w:cs="Arial"/>
                <w:b/>
                <w:color w:val="FFFFFF" w:themeColor="background1"/>
                <w:sz w:val="19"/>
                <w:szCs w:val="19"/>
              </w:rPr>
            </w:pPr>
          </w:p>
        </w:tc>
        <w:tc>
          <w:tcPr>
            <w:tcW w:w="839" w:type="dxa"/>
            <w:tcBorders>
              <w:top w:val="double" w:sz="4" w:space="0" w:color="auto"/>
              <w:left w:val="single" w:sz="4" w:space="0" w:color="000000"/>
              <w:bottom w:val="double" w:sz="4" w:space="0" w:color="auto"/>
              <w:right w:val="double" w:sz="4" w:space="0" w:color="auto"/>
            </w:tcBorders>
          </w:tcPr>
          <w:p w14:paraId="0131298A" w14:textId="77777777" w:rsidR="001D1F01" w:rsidRPr="00BC2EF4" w:rsidRDefault="001D1F01" w:rsidP="009D5A8C">
            <w:pPr>
              <w:jc w:val="both"/>
              <w:rPr>
                <w:rFonts w:ascii="Arial" w:hAnsi="Arial" w:cs="Arial"/>
                <w:b/>
                <w:color w:val="FFFFFF" w:themeColor="background1"/>
                <w:sz w:val="19"/>
                <w:szCs w:val="19"/>
              </w:rPr>
            </w:pPr>
          </w:p>
        </w:tc>
      </w:tr>
      <w:tr w:rsidR="001D1F01" w:rsidRPr="00BC2EF4" w14:paraId="509B795D" w14:textId="77777777" w:rsidTr="009D5A8C">
        <w:trPr>
          <w:trHeight w:val="36"/>
          <w:tblHeader/>
          <w:jc w:val="center"/>
        </w:trPr>
        <w:tc>
          <w:tcPr>
            <w:tcW w:w="365" w:type="dxa"/>
            <w:tcBorders>
              <w:top w:val="double" w:sz="4" w:space="0" w:color="auto"/>
              <w:left w:val="double" w:sz="4" w:space="0" w:color="auto"/>
              <w:right w:val="single" w:sz="6" w:space="0" w:color="auto"/>
            </w:tcBorders>
            <w:shd w:val="clear" w:color="auto" w:fill="auto"/>
            <w:vAlign w:val="center"/>
          </w:tcPr>
          <w:p w14:paraId="3A77B824" w14:textId="77777777" w:rsidR="001D1F01" w:rsidRPr="00BC2EF4" w:rsidRDefault="001D1F01" w:rsidP="009D5A8C">
            <w:pPr>
              <w:jc w:val="both"/>
              <w:rPr>
                <w:rFonts w:ascii="Arial" w:hAnsi="Arial" w:cs="Arial"/>
                <w:caps/>
                <w:sz w:val="19"/>
                <w:szCs w:val="19"/>
              </w:rPr>
            </w:pPr>
            <w:r w:rsidRPr="00BC2EF4">
              <w:rPr>
                <w:rFonts w:ascii="Arial" w:hAnsi="Arial" w:cs="Arial"/>
                <w:caps/>
                <w:sz w:val="19"/>
                <w:szCs w:val="19"/>
              </w:rPr>
              <w:t>4</w:t>
            </w:r>
          </w:p>
        </w:tc>
        <w:tc>
          <w:tcPr>
            <w:tcW w:w="796" w:type="dxa"/>
            <w:tcBorders>
              <w:top w:val="double" w:sz="4" w:space="0" w:color="auto"/>
              <w:left w:val="single" w:sz="6" w:space="0" w:color="auto"/>
              <w:right w:val="single" w:sz="4" w:space="0" w:color="000000"/>
            </w:tcBorders>
            <w:shd w:val="clear" w:color="auto" w:fill="auto"/>
            <w:vAlign w:val="center"/>
          </w:tcPr>
          <w:p w14:paraId="1DE018F1" w14:textId="77777777" w:rsidR="001D1F01" w:rsidRPr="00BC2EF4" w:rsidRDefault="001D1F01" w:rsidP="009D5A8C">
            <w:pPr>
              <w:jc w:val="both"/>
              <w:rPr>
                <w:rFonts w:ascii="Arial" w:hAnsi="Arial" w:cs="Arial"/>
                <w:b/>
                <w:i/>
                <w:color w:val="FFFFFF" w:themeColor="background1"/>
                <w:sz w:val="19"/>
                <w:szCs w:val="19"/>
              </w:rPr>
            </w:pPr>
          </w:p>
        </w:tc>
        <w:tc>
          <w:tcPr>
            <w:tcW w:w="942" w:type="dxa"/>
            <w:tcBorders>
              <w:top w:val="double" w:sz="4" w:space="0" w:color="auto"/>
              <w:left w:val="single" w:sz="6" w:space="0" w:color="auto"/>
              <w:right w:val="single" w:sz="4" w:space="0" w:color="000000"/>
            </w:tcBorders>
            <w:shd w:val="clear" w:color="auto" w:fill="auto"/>
          </w:tcPr>
          <w:p w14:paraId="3929A38D" w14:textId="77777777" w:rsidR="001D1F01" w:rsidRPr="00BC2EF4" w:rsidRDefault="001D1F01" w:rsidP="009D5A8C">
            <w:pPr>
              <w:jc w:val="both"/>
              <w:rPr>
                <w:rFonts w:ascii="Arial" w:hAnsi="Arial" w:cs="Arial"/>
                <w:b/>
                <w:i/>
                <w:color w:val="FFFFFF" w:themeColor="background1"/>
                <w:sz w:val="19"/>
                <w:szCs w:val="19"/>
              </w:rPr>
            </w:pPr>
          </w:p>
        </w:tc>
        <w:tc>
          <w:tcPr>
            <w:tcW w:w="736" w:type="dxa"/>
            <w:tcBorders>
              <w:top w:val="double" w:sz="4" w:space="0" w:color="auto"/>
              <w:left w:val="single" w:sz="4" w:space="0" w:color="000000"/>
              <w:right w:val="single" w:sz="4" w:space="0" w:color="000000"/>
            </w:tcBorders>
            <w:shd w:val="clear" w:color="auto" w:fill="auto"/>
          </w:tcPr>
          <w:p w14:paraId="0D743570" w14:textId="77777777" w:rsidR="001D1F01" w:rsidRPr="00BC2EF4" w:rsidRDefault="001D1F01" w:rsidP="009D5A8C">
            <w:pPr>
              <w:jc w:val="both"/>
              <w:rPr>
                <w:rFonts w:ascii="Arial" w:hAnsi="Arial" w:cs="Arial"/>
                <w:b/>
                <w:i/>
                <w:color w:val="FFFFFF" w:themeColor="background1"/>
                <w:sz w:val="19"/>
                <w:szCs w:val="19"/>
              </w:rPr>
            </w:pPr>
          </w:p>
        </w:tc>
        <w:tc>
          <w:tcPr>
            <w:tcW w:w="934" w:type="dxa"/>
            <w:tcBorders>
              <w:top w:val="double" w:sz="4" w:space="0" w:color="auto"/>
              <w:left w:val="single" w:sz="4" w:space="0" w:color="000000"/>
              <w:right w:val="double" w:sz="4" w:space="0" w:color="auto"/>
            </w:tcBorders>
            <w:shd w:val="clear" w:color="auto" w:fill="auto"/>
          </w:tcPr>
          <w:p w14:paraId="3E32BBAA" w14:textId="77777777" w:rsidR="001D1F01" w:rsidRPr="00BC2EF4" w:rsidRDefault="001D1F01" w:rsidP="009D5A8C">
            <w:pPr>
              <w:jc w:val="both"/>
              <w:rPr>
                <w:rFonts w:ascii="Arial" w:hAnsi="Arial" w:cs="Arial"/>
                <w:b/>
                <w:i/>
                <w:color w:val="FFFFFF" w:themeColor="background1"/>
                <w:sz w:val="19"/>
                <w:szCs w:val="19"/>
              </w:rPr>
            </w:pPr>
          </w:p>
        </w:tc>
        <w:tc>
          <w:tcPr>
            <w:tcW w:w="1081" w:type="dxa"/>
            <w:tcBorders>
              <w:top w:val="double" w:sz="4" w:space="0" w:color="auto"/>
              <w:left w:val="single" w:sz="4" w:space="0" w:color="000000"/>
              <w:right w:val="double" w:sz="4" w:space="0" w:color="auto"/>
            </w:tcBorders>
            <w:shd w:val="clear" w:color="auto" w:fill="auto"/>
          </w:tcPr>
          <w:p w14:paraId="3B564884" w14:textId="77777777" w:rsidR="001D1F01" w:rsidRPr="00BC2EF4" w:rsidRDefault="001D1F01" w:rsidP="009D5A8C">
            <w:pPr>
              <w:jc w:val="both"/>
              <w:rPr>
                <w:rFonts w:ascii="Arial" w:hAnsi="Arial" w:cs="Arial"/>
                <w:b/>
                <w:i/>
                <w:color w:val="FFFFFF" w:themeColor="background1"/>
                <w:sz w:val="19"/>
                <w:szCs w:val="19"/>
              </w:rPr>
            </w:pPr>
          </w:p>
        </w:tc>
        <w:tc>
          <w:tcPr>
            <w:tcW w:w="839" w:type="dxa"/>
            <w:tcBorders>
              <w:top w:val="double" w:sz="4" w:space="0" w:color="auto"/>
              <w:left w:val="single" w:sz="4" w:space="0" w:color="000000"/>
              <w:right w:val="double" w:sz="4" w:space="0" w:color="auto"/>
            </w:tcBorders>
          </w:tcPr>
          <w:p w14:paraId="7828CF09" w14:textId="77777777" w:rsidR="001D1F01" w:rsidRPr="00BC2EF4" w:rsidRDefault="001D1F01" w:rsidP="009D5A8C">
            <w:pPr>
              <w:jc w:val="both"/>
              <w:rPr>
                <w:rFonts w:ascii="Arial" w:hAnsi="Arial" w:cs="Arial"/>
                <w:b/>
                <w:i/>
                <w:color w:val="FFFFFF" w:themeColor="background1"/>
                <w:sz w:val="19"/>
                <w:szCs w:val="19"/>
              </w:rPr>
            </w:pPr>
          </w:p>
        </w:tc>
      </w:tr>
    </w:tbl>
    <w:p w14:paraId="778BD09B" w14:textId="77777777" w:rsidR="001D1F01" w:rsidRPr="00BC2EF4" w:rsidRDefault="001D1F01" w:rsidP="00BC2EF4">
      <w:pPr>
        <w:widowControl w:val="0"/>
        <w:autoSpaceDE w:val="0"/>
        <w:autoSpaceDN w:val="0"/>
        <w:spacing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 </w:t>
      </w:r>
    </w:p>
    <w:p w14:paraId="0C37604E" w14:textId="4DD911E4" w:rsidR="00D17F20" w:rsidRPr="00BC2EF4" w:rsidRDefault="00BF4394" w:rsidP="00BC2EF4">
      <w:pPr>
        <w:spacing w:before="120" w:after="120" w:line="276" w:lineRule="auto"/>
        <w:ind w:firstLine="709"/>
        <w:jc w:val="both"/>
        <w:rPr>
          <w:rFonts w:ascii="Arial" w:hAnsi="Arial" w:cs="Arial"/>
          <w:sz w:val="22"/>
          <w:szCs w:val="22"/>
        </w:rPr>
      </w:pPr>
      <w:r w:rsidRPr="00BC2EF4">
        <w:rPr>
          <w:rFonts w:ascii="Arial" w:eastAsia="Arial" w:hAnsi="Arial" w:cs="Arial"/>
          <w:bCs/>
          <w:sz w:val="22"/>
          <w:szCs w:val="22"/>
          <w:lang w:eastAsia="es-ES" w:bidi="es-ES"/>
        </w:rPr>
        <w:t>Respecto a cada</w:t>
      </w:r>
      <w:r w:rsidR="00CF3745" w:rsidRPr="00BC2EF4">
        <w:rPr>
          <w:rFonts w:ascii="Arial" w:eastAsia="Arial" w:hAnsi="Arial" w:cs="Arial"/>
          <w:bCs/>
          <w:sz w:val="22"/>
          <w:szCs w:val="22"/>
          <w:lang w:eastAsia="es-ES" w:bidi="es-ES"/>
        </w:rPr>
        <w:t xml:space="preserve"> «Bien nacional relevante» identificado</w:t>
      </w:r>
      <w:r w:rsidR="00852C83" w:rsidRPr="00BC2EF4">
        <w:rPr>
          <w:rFonts w:ascii="Arial" w:eastAsia="Arial" w:hAnsi="Arial" w:cs="Arial"/>
          <w:bCs/>
          <w:sz w:val="22"/>
          <w:szCs w:val="22"/>
          <w:lang w:eastAsia="es-ES" w:bidi="es-ES"/>
        </w:rPr>
        <w:t xml:space="preserve">, </w:t>
      </w:r>
      <w:r w:rsidR="00970687" w:rsidRPr="00BC2EF4">
        <w:rPr>
          <w:rFonts w:ascii="Arial" w:hAnsi="Arial" w:cs="Arial"/>
          <w:sz w:val="22"/>
          <w:szCs w:val="22"/>
        </w:rPr>
        <w:t xml:space="preserve">para diligenciar las casillas «fecha de inscripción» y «fecha de vigencia» en la tabla </w:t>
      </w:r>
      <w:r w:rsidR="00EB63D8" w:rsidRPr="00BC2EF4">
        <w:rPr>
          <w:rFonts w:ascii="Arial" w:hAnsi="Arial" w:cs="Arial"/>
          <w:sz w:val="22"/>
          <w:szCs w:val="22"/>
        </w:rPr>
        <w:t>anterior</w:t>
      </w:r>
      <w:r w:rsidR="00970687" w:rsidRPr="00BC2EF4">
        <w:rPr>
          <w:rFonts w:ascii="Arial" w:hAnsi="Arial" w:cs="Arial"/>
          <w:sz w:val="22"/>
          <w:szCs w:val="22"/>
        </w:rPr>
        <w:t>, debe tenerse en cuenta que cada una corresponde a los datos contenidos en las columnas tituladas «radicado» y «fecha de vencimiento», respectivamente, del Registro de Productores y Bienes Nacionales del Ministerio de Comercio, Industria y Turismo. Específicamente, la «fecha de inscripción» corresponde a los 8 primeros dígitos de la columna de «radicado» y, por su parte, la «fecha de vigencia» corresponde a la información de la columna «fecha de vencimiento», según el resultado que arroja la búsqueda en la página web de la ventanilla única de comercio exterior.</w:t>
      </w:r>
      <w:r w:rsidR="0045520C" w:rsidRPr="00BC2EF4">
        <w:rPr>
          <w:rFonts w:ascii="Arial" w:hAnsi="Arial" w:cs="Arial"/>
          <w:sz w:val="22"/>
          <w:szCs w:val="22"/>
        </w:rPr>
        <w:t xml:space="preserve"> Por otra parte, con la consulta en el mencionado registro</w:t>
      </w:r>
      <w:r w:rsidR="00096251" w:rsidRPr="00BC2EF4">
        <w:rPr>
          <w:rFonts w:ascii="Arial" w:hAnsi="Arial" w:cs="Arial"/>
          <w:sz w:val="22"/>
          <w:szCs w:val="22"/>
        </w:rPr>
        <w:t xml:space="preserve">, también es posible acceder </w:t>
      </w:r>
      <w:r w:rsidR="00262F55" w:rsidRPr="00BC2EF4">
        <w:rPr>
          <w:rFonts w:ascii="Arial" w:hAnsi="Arial" w:cs="Arial"/>
          <w:sz w:val="22"/>
          <w:szCs w:val="22"/>
        </w:rPr>
        <w:t>al «</w:t>
      </w:r>
      <w:r w:rsidR="00790A2F" w:rsidRPr="00BC2EF4">
        <w:rPr>
          <w:rFonts w:ascii="Arial" w:hAnsi="Arial" w:cs="Arial"/>
          <w:sz w:val="22"/>
          <w:szCs w:val="22"/>
        </w:rPr>
        <w:t>No. de partida arancelaria</w:t>
      </w:r>
      <w:r w:rsidR="008872C0" w:rsidRPr="00BC2EF4">
        <w:rPr>
          <w:rFonts w:ascii="Arial" w:hAnsi="Arial" w:cs="Arial"/>
          <w:sz w:val="22"/>
          <w:szCs w:val="22"/>
        </w:rPr>
        <w:t>»</w:t>
      </w:r>
      <w:r w:rsidR="00702783" w:rsidRPr="00BC2EF4">
        <w:rPr>
          <w:rFonts w:ascii="Arial" w:hAnsi="Arial" w:cs="Arial"/>
          <w:sz w:val="22"/>
          <w:szCs w:val="22"/>
        </w:rPr>
        <w:t>. Finalmente, el «porcentaje (%) de participación</w:t>
      </w:r>
      <w:r w:rsidR="00383F98" w:rsidRPr="00BC2EF4">
        <w:rPr>
          <w:rFonts w:ascii="Arial" w:hAnsi="Arial" w:cs="Arial"/>
          <w:sz w:val="22"/>
          <w:szCs w:val="22"/>
        </w:rPr>
        <w:t xml:space="preserve">» y el «puntaje individual de cada bien» se determinan con la metodología prevista en la Matriz 4 </w:t>
      </w:r>
      <w:r w:rsidR="006234F8" w:rsidRPr="00BC2EF4">
        <w:rPr>
          <w:rFonts w:ascii="Arial" w:hAnsi="Arial" w:cs="Arial"/>
          <w:sz w:val="22"/>
          <w:szCs w:val="22"/>
        </w:rPr>
        <w:t>y las fórmulas previstas en el pliego de condiciones.</w:t>
      </w:r>
    </w:p>
    <w:p w14:paraId="49CEB2C2" w14:textId="47BBD717" w:rsidR="001D1F01" w:rsidRPr="00BC2EF4" w:rsidRDefault="001D1F01" w:rsidP="001D1F01">
      <w:pPr>
        <w:widowControl w:val="0"/>
        <w:tabs>
          <w:tab w:val="left" w:pos="2143"/>
        </w:tabs>
        <w:autoSpaceDE w:val="0"/>
        <w:autoSpaceDN w:val="0"/>
        <w:spacing w:after="120" w:line="276" w:lineRule="auto"/>
        <w:ind w:firstLine="709"/>
        <w:jc w:val="both"/>
        <w:rPr>
          <w:iCs/>
          <w:sz w:val="22"/>
          <w:szCs w:val="22"/>
        </w:rPr>
      </w:pPr>
      <w:r w:rsidRPr="00BC2EF4">
        <w:rPr>
          <w:rFonts w:ascii="Arial" w:eastAsia="Arial" w:hAnsi="Arial" w:cs="Arial"/>
          <w:bCs/>
          <w:sz w:val="22"/>
          <w:szCs w:val="22"/>
          <w:lang w:eastAsia="es-ES" w:bidi="es-ES"/>
        </w:rPr>
        <w:t xml:space="preserve">Para la asignación de puntajes por apoyo a la industria nacional por promoción de servicios o con trato nacional, la entidad estatal deberá tener en cuenta que: i) el puntaje se asignará a los proponentes que se comprometan a adquirir uno, varios o todos los bienes nacionales relevantes, sin someter a condicionamientos la oferta, </w:t>
      </w:r>
      <w:proofErr w:type="spellStart"/>
      <w:r w:rsidRPr="00BC2EF4">
        <w:rPr>
          <w:rFonts w:ascii="Arial" w:eastAsia="Arial" w:hAnsi="Arial" w:cs="Arial"/>
          <w:bCs/>
          <w:sz w:val="22"/>
          <w:szCs w:val="22"/>
          <w:lang w:eastAsia="es-ES" w:bidi="es-ES"/>
        </w:rPr>
        <w:t>ii</w:t>
      </w:r>
      <w:proofErr w:type="spellEnd"/>
      <w:r w:rsidRPr="00BC2EF4">
        <w:rPr>
          <w:rFonts w:ascii="Arial" w:eastAsia="Arial" w:hAnsi="Arial" w:cs="Arial"/>
          <w:bCs/>
          <w:sz w:val="22"/>
          <w:szCs w:val="22"/>
          <w:lang w:eastAsia="es-ES" w:bidi="es-ES"/>
        </w:rPr>
        <w:t xml:space="preserve">) si la entidad determina la existencia de bienes nacionales relevantes, no se otorgará puntaje si el proponente no oferta alguno de esos bienes, </w:t>
      </w:r>
      <w:proofErr w:type="spellStart"/>
      <w:r w:rsidRPr="00BC2EF4">
        <w:rPr>
          <w:rFonts w:ascii="Arial" w:eastAsia="Arial" w:hAnsi="Arial" w:cs="Arial"/>
          <w:bCs/>
          <w:sz w:val="22"/>
          <w:szCs w:val="22"/>
          <w:lang w:eastAsia="es-ES" w:bidi="es-ES"/>
        </w:rPr>
        <w:t>iii</w:t>
      </w:r>
      <w:proofErr w:type="spellEnd"/>
      <w:r w:rsidRPr="00BC2EF4">
        <w:rPr>
          <w:rFonts w:ascii="Arial" w:eastAsia="Arial" w:hAnsi="Arial" w:cs="Arial"/>
          <w:bCs/>
          <w:sz w:val="22"/>
          <w:szCs w:val="22"/>
          <w:lang w:eastAsia="es-ES" w:bidi="es-ES"/>
        </w:rPr>
        <w:t xml:space="preserve">) si hay más de un bien nacional relevante, se otorgará el puntaje de forma proporcional a la cantidad de estos bienes −que el proponente se comprometa a incorporar a la ejecución del contrato− y dependiendo del porcentaje de participación de estos en el proceso de contratación, así mismo, una vez definido el porcentaje de participación de cada bien nacional relevante, entidad estatal otorgará el puntaje a cada proponente, </w:t>
      </w:r>
      <w:r w:rsidRPr="00BC2EF4">
        <w:rPr>
          <w:rFonts w:ascii="Arial" w:hAnsi="Arial" w:cs="Arial"/>
          <w:iCs/>
          <w:sz w:val="22"/>
          <w:szCs w:val="22"/>
        </w:rPr>
        <w:t xml:space="preserve">dependiendo de la cantidad de bienes nacionales relevantes ofertados y el puntaje individual asignado a cada uno de ello, sin que supere los veinte (20) puntos, y </w:t>
      </w:r>
      <w:proofErr w:type="spellStart"/>
      <w:r w:rsidRPr="00BC2EF4">
        <w:rPr>
          <w:rFonts w:ascii="Arial" w:hAnsi="Arial" w:cs="Arial"/>
          <w:iCs/>
          <w:sz w:val="22"/>
          <w:szCs w:val="22"/>
        </w:rPr>
        <w:t>iv</w:t>
      </w:r>
      <w:proofErr w:type="spellEnd"/>
      <w:r w:rsidRPr="00BC2EF4">
        <w:rPr>
          <w:rFonts w:ascii="Arial" w:hAnsi="Arial" w:cs="Arial"/>
          <w:iCs/>
          <w:sz w:val="22"/>
          <w:szCs w:val="22"/>
        </w:rPr>
        <w:t>) para el caso de los proponentes plurales, todos, varios o cualquiera de sus integrantes podrán incorporar todos o algunos de los bienes nacionales relevantes, además su composición, deberá estar acorde con la definición de Servicios Nacionales prevista en el artículo 2.2.1.1.1.3.1 del Decreto 1082 de 2015, de lo que dependerá la franja del puntaje aplicable en lo referente con el apoyo de la industria nacional</w:t>
      </w:r>
      <w:r w:rsidRPr="00BC2EF4">
        <w:rPr>
          <w:rStyle w:val="Refdenotaalpie"/>
          <w:rFonts w:ascii="Arial" w:hAnsi="Arial" w:cs="Arial"/>
          <w:iCs/>
          <w:sz w:val="22"/>
          <w:szCs w:val="22"/>
        </w:rPr>
        <w:footnoteReference w:id="16"/>
      </w:r>
      <w:r w:rsidRPr="00BC2EF4">
        <w:rPr>
          <w:rFonts w:ascii="Arial" w:hAnsi="Arial" w:cs="Arial"/>
          <w:iCs/>
          <w:sz w:val="22"/>
          <w:szCs w:val="22"/>
        </w:rPr>
        <w:t>.</w:t>
      </w:r>
      <w:r w:rsidRPr="00BC2EF4">
        <w:rPr>
          <w:iCs/>
          <w:sz w:val="22"/>
          <w:szCs w:val="22"/>
        </w:rPr>
        <w:t xml:space="preserve"> </w:t>
      </w:r>
    </w:p>
    <w:p w14:paraId="7BF033B6" w14:textId="4BAEA428" w:rsidR="00590D50" w:rsidRPr="00BC2EF4" w:rsidRDefault="00590D50" w:rsidP="001D1F01">
      <w:pPr>
        <w:widowControl w:val="0"/>
        <w:tabs>
          <w:tab w:val="left" w:pos="2143"/>
        </w:tabs>
        <w:autoSpaceDE w:val="0"/>
        <w:autoSpaceDN w:val="0"/>
        <w:spacing w:after="120" w:line="276" w:lineRule="auto"/>
        <w:ind w:firstLine="709"/>
        <w:jc w:val="both"/>
        <w:rPr>
          <w:iCs/>
          <w:sz w:val="22"/>
          <w:szCs w:val="22"/>
        </w:rPr>
      </w:pPr>
    </w:p>
    <w:p w14:paraId="19AC9E69" w14:textId="77777777" w:rsidR="001D1F01" w:rsidRPr="00BC2EF4" w:rsidRDefault="001D1F01" w:rsidP="001D1F01">
      <w:pPr>
        <w:widowControl w:val="0"/>
        <w:tabs>
          <w:tab w:val="left" w:pos="2143"/>
        </w:tabs>
        <w:autoSpaceDE w:val="0"/>
        <w:autoSpaceDN w:val="0"/>
        <w:spacing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Por otra parte, si luego de aplicar la metodología para identificar los bienes nacionales relevantes, prevista en la «Matriz 4 - Bienes nacionales relevantes para la obra pública del sector transporte», la entidad estatal demuestra que los bienes nacionales relevantes no están registrados en el Registro de Productos de Bienes Nacionales Relevantes, deberá aplicar la </w:t>
      </w:r>
      <w:r w:rsidRPr="00BC2EF4">
        <w:rPr>
          <w:rFonts w:ascii="Arial" w:eastAsia="Arial" w:hAnsi="Arial" w:cs="Arial"/>
          <w:b/>
          <w:i/>
          <w:iCs/>
          <w:sz w:val="22"/>
          <w:szCs w:val="22"/>
          <w:lang w:eastAsia="es-ES" w:bidi="es-ES"/>
        </w:rPr>
        <w:t>opción 2</w:t>
      </w:r>
      <w:r w:rsidRPr="00BC2EF4">
        <w:rPr>
          <w:rFonts w:ascii="Arial" w:eastAsia="Arial" w:hAnsi="Arial" w:cs="Arial"/>
          <w:bCs/>
          <w:sz w:val="22"/>
          <w:szCs w:val="22"/>
          <w:lang w:eastAsia="es-ES" w:bidi="es-ES"/>
        </w:rPr>
        <w:t xml:space="preserve"> del numeral 4.3.1 «Promoción de servicios nacionales o con trato nacional». Así, la entidad, otorgará el puntaje a los proponentes que se comprometan a vincular al desarrollo del objeto contractual un porcentaje de empleados o contratistas por prestación de servicios colombianos de al menos el cuarenta (40%) del personal requerido para el cumplimento del contrato, y deberá incluir los siguientes párrafos:</w:t>
      </w:r>
    </w:p>
    <w:p w14:paraId="0E45E522" w14:textId="77777777" w:rsidR="001D1F01" w:rsidRPr="00BC2EF4" w:rsidRDefault="001D1F01" w:rsidP="001D1F01">
      <w:pPr>
        <w:widowControl w:val="0"/>
        <w:tabs>
          <w:tab w:val="left" w:pos="2143"/>
        </w:tabs>
        <w:autoSpaceDE w:val="0"/>
        <w:autoSpaceDN w:val="0"/>
        <w:spacing w:line="276" w:lineRule="auto"/>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ab/>
      </w:r>
    </w:p>
    <w:p w14:paraId="2A740BAA" w14:textId="77777777" w:rsidR="001D1F01" w:rsidRPr="00BC2EF4" w:rsidRDefault="001D1F01" w:rsidP="001D1F01">
      <w:pPr>
        <w:spacing w:after="120"/>
        <w:ind w:left="709" w:right="709"/>
        <w:jc w:val="both"/>
        <w:rPr>
          <w:rFonts w:ascii="Arial" w:hAnsi="Arial" w:cs="Arial"/>
          <w:iCs/>
          <w:color w:val="000000"/>
          <w:sz w:val="21"/>
          <w:szCs w:val="21"/>
        </w:rPr>
      </w:pPr>
      <w:r w:rsidRPr="00BC2EF4">
        <w:rPr>
          <w:rFonts w:ascii="Arial" w:hAnsi="Arial" w:cs="Arial"/>
          <w:iCs/>
          <w:color w:val="000000"/>
          <w:sz w:val="21"/>
          <w:szCs w:val="21"/>
        </w:rPr>
        <w:t xml:space="preserve">De conformidad con la consulta del Registro de Productores de Bienes Nacionales, realizada en fecha [Ingresar fecha en formato DD/MM/AAAA], se determinó que los bienes relevantes para el desarrollo de la obra no se encuentran incluidos en dicho registro de conformidad con el numeral 3 del artículo 2.2.1.2.4.2.9. del Decreto 1082 de 2015. Por tal motivo, se otorgará el puntaje de apoyo a la industria nacional a los Proponentes que se comprometan a vincular al desarrollo del objeto contractual un porcentaje de empleados o contratistas por prestación de servicios colombianos, de al menos el [la Entidad Estatal definirá el porcentaje requerido que sea por lo menos del cuarenta por ciento (40 %), sin perjuicio de incluir uno superior] del personal requerido para el cumplimiento del contrato. </w:t>
      </w:r>
    </w:p>
    <w:p w14:paraId="40F04915" w14:textId="77777777" w:rsidR="001D1F01" w:rsidRPr="00BC2EF4" w:rsidRDefault="001D1F01" w:rsidP="001D1F01">
      <w:pPr>
        <w:ind w:left="705" w:right="709"/>
        <w:jc w:val="both"/>
        <w:rPr>
          <w:rFonts w:ascii="Arial" w:eastAsiaTheme="minorEastAsia" w:hAnsi="Arial" w:cs="Arial"/>
          <w:iCs/>
          <w:color w:val="000000"/>
          <w:sz w:val="21"/>
          <w:szCs w:val="21"/>
        </w:rPr>
      </w:pPr>
      <w:r w:rsidRPr="00BC2EF4">
        <w:rPr>
          <w:rFonts w:ascii="Arial" w:eastAsiaTheme="minorEastAsia" w:hAnsi="Arial" w:cs="Arial"/>
          <w:iCs/>
          <w:sz w:val="21"/>
          <w:szCs w:val="21"/>
        </w:rPr>
        <w:t xml:space="preserve">En el caso de Proponentes Plurales, </w:t>
      </w:r>
      <w:r w:rsidRPr="00BC2EF4">
        <w:rPr>
          <w:rFonts w:ascii="Arial" w:eastAsia="Arial Narrow" w:hAnsi="Arial" w:cs="Arial"/>
          <w:iCs/>
          <w:sz w:val="21"/>
          <w:szCs w:val="21"/>
          <w:lang w:eastAsia="es-ES"/>
        </w:rPr>
        <w:t xml:space="preserve">todos, varios o cualquiera </w:t>
      </w:r>
      <w:r w:rsidRPr="00BC2EF4">
        <w:rPr>
          <w:rFonts w:ascii="Arial" w:eastAsiaTheme="minorEastAsia" w:hAnsi="Arial" w:cs="Arial"/>
          <w:iCs/>
          <w:sz w:val="21"/>
          <w:szCs w:val="21"/>
        </w:rPr>
        <w:t xml:space="preserve">de sus integrantes podrá vincular un porcentaje de empleados o contratistas por prestación de servicios colombianos, de al menos el [la Entidad Estatal definirá el porcentaje requerido que sea por lo menos del cuarenta por ciento (40 %), sin perjuicio de incluir uno superior] del personal requerido para el cumplimiento del contrato. </w:t>
      </w:r>
    </w:p>
    <w:p w14:paraId="5D3079AD" w14:textId="77777777" w:rsidR="001D1F01" w:rsidRPr="00BC2EF4" w:rsidRDefault="001D1F01" w:rsidP="001D1F01">
      <w:pPr>
        <w:ind w:right="709"/>
        <w:jc w:val="both"/>
        <w:rPr>
          <w:rFonts w:ascii="Arial" w:hAnsi="Arial" w:cs="Arial"/>
          <w:iCs/>
          <w:color w:val="000000"/>
          <w:sz w:val="22"/>
          <w:szCs w:val="22"/>
        </w:rPr>
      </w:pPr>
    </w:p>
    <w:p w14:paraId="27B8D3E4" w14:textId="77777777" w:rsidR="001D1F01" w:rsidRPr="00BC2EF4" w:rsidRDefault="001D1F01" w:rsidP="001D1F01">
      <w:pPr>
        <w:spacing w:after="120" w:line="276" w:lineRule="auto"/>
        <w:ind w:firstLine="708"/>
        <w:jc w:val="both"/>
        <w:rPr>
          <w:rFonts w:ascii="Arial" w:hAnsi="Arial" w:cs="Arial"/>
          <w:iCs/>
          <w:color w:val="000000"/>
          <w:sz w:val="22"/>
          <w:szCs w:val="22"/>
        </w:rPr>
      </w:pPr>
      <w:r w:rsidRPr="00BC2EF4">
        <w:rPr>
          <w:rFonts w:ascii="Arial" w:hAnsi="Arial" w:cs="Arial"/>
          <w:iCs/>
          <w:color w:val="000000"/>
          <w:sz w:val="22"/>
          <w:szCs w:val="22"/>
        </w:rPr>
        <w:t xml:space="preserve">Para el caso de los Proponentes Plurales, todos, varios o cualquiera de sus integrantes podrá vincular un porcentaje de empleados o contratistas </w:t>
      </w:r>
      <w:r w:rsidRPr="00BC2EF4">
        <w:rPr>
          <w:rFonts w:ascii="Arial" w:eastAsia="Arial" w:hAnsi="Arial" w:cs="Arial"/>
          <w:bCs/>
          <w:sz w:val="22"/>
          <w:szCs w:val="22"/>
          <w:lang w:eastAsia="es-ES" w:bidi="es-ES"/>
        </w:rPr>
        <w:t xml:space="preserve">por prestación de servicios colombianos de al menos el cuarenta (40%) del personal requerido para el cumplimento del contrato. </w:t>
      </w:r>
      <w:r w:rsidRPr="00BC2EF4">
        <w:rPr>
          <w:rFonts w:ascii="Arial" w:eastAsiaTheme="minorEastAsia" w:hAnsi="Arial" w:cs="Arial"/>
          <w:iCs/>
          <w:color w:val="000000" w:themeColor="text1"/>
          <w:sz w:val="22"/>
          <w:szCs w:val="22"/>
        </w:rPr>
        <w:t xml:space="preserve">Así mismo, </w:t>
      </w:r>
      <w:r w:rsidRPr="00BC2EF4">
        <w:rPr>
          <w:rFonts w:ascii="Arial" w:eastAsia="Arial" w:hAnsi="Arial" w:cs="Arial"/>
          <w:bCs/>
          <w:sz w:val="22"/>
          <w:szCs w:val="22"/>
          <w:lang w:eastAsia="es-ES" w:bidi="es-ES"/>
        </w:rPr>
        <w:t xml:space="preserve">su composición deberá estar acorde con lo exigido por la noción de Servicios Nacionales prevista en el </w:t>
      </w:r>
      <w:r w:rsidRPr="00BC2EF4">
        <w:rPr>
          <w:rFonts w:ascii="Arial" w:hAnsi="Arial" w:cs="Arial"/>
          <w:iCs/>
          <w:color w:val="000000"/>
          <w:sz w:val="22"/>
          <w:szCs w:val="22"/>
        </w:rPr>
        <w:t xml:space="preserve">en el artículo 2.2.1.1.1.3.1 del Decreto 1082 de 2015, de lo que dependerá la franja del puntaje aplicable en lo referente al apoyo de la industria nacional. </w:t>
      </w:r>
    </w:p>
    <w:p w14:paraId="78A596D5" w14:textId="21213924" w:rsidR="001D1F01" w:rsidRPr="00BC2EF4" w:rsidRDefault="001D1F01" w:rsidP="001D1F01">
      <w:pPr>
        <w:shd w:val="clear" w:color="auto" w:fill="FFFFFF"/>
        <w:spacing w:after="120" w:line="276" w:lineRule="auto"/>
        <w:ind w:firstLine="709"/>
        <w:jc w:val="both"/>
        <w:textAlignment w:val="baseline"/>
        <w:rPr>
          <w:rFonts w:ascii="Arial" w:eastAsia="Calibri" w:hAnsi="Arial" w:cs="Arial"/>
          <w:bCs/>
          <w:color w:val="000000" w:themeColor="text1"/>
          <w:sz w:val="22"/>
          <w:szCs w:val="22"/>
          <w:lang w:val="es-ES_tradnl"/>
        </w:rPr>
      </w:pPr>
      <w:r w:rsidRPr="00BC2EF4">
        <w:rPr>
          <w:rFonts w:ascii="Arial" w:eastAsia="Arial" w:hAnsi="Arial" w:cs="Arial"/>
          <w:bCs/>
          <w:sz w:val="22"/>
          <w:szCs w:val="22"/>
          <w:lang w:eastAsia="es-ES" w:bidi="es-ES"/>
        </w:rPr>
        <w:t xml:space="preserve">Finalmente, como se mencionó con anterioridad, </w:t>
      </w:r>
      <w:r w:rsidRPr="00BC2EF4">
        <w:rPr>
          <w:rFonts w:ascii="Arial" w:eastAsia="Calibri" w:hAnsi="Arial" w:cs="Arial"/>
          <w:bCs/>
          <w:color w:val="000000" w:themeColor="text1"/>
          <w:sz w:val="22"/>
          <w:szCs w:val="22"/>
          <w:lang w:val="es-ES_tradnl"/>
        </w:rPr>
        <w:t>Resolución 304 de 2021</w:t>
      </w:r>
      <w:r w:rsidR="000F70F0" w:rsidRPr="00BC2EF4">
        <w:rPr>
          <w:rFonts w:ascii="Arial" w:eastAsia="Calibri" w:hAnsi="Arial" w:cs="Arial"/>
          <w:bCs/>
          <w:color w:val="000000" w:themeColor="text1"/>
          <w:sz w:val="22"/>
          <w:szCs w:val="22"/>
          <w:lang w:val="es-ES_tradnl"/>
        </w:rPr>
        <w:t>,</w:t>
      </w:r>
      <w:r w:rsidRPr="00BC2EF4">
        <w:rPr>
          <w:rFonts w:ascii="Arial" w:eastAsia="Calibri" w:hAnsi="Arial" w:cs="Arial"/>
          <w:bCs/>
          <w:color w:val="000000" w:themeColor="text1"/>
          <w:sz w:val="22"/>
          <w:szCs w:val="22"/>
          <w:lang w:val="es-ES_tradnl"/>
        </w:rPr>
        <w:t xml:space="preserve"> «Por la cual se modifican los Documentos Tipo adoptados por la Agencia Nacional de Contratación Pública – Colombia Compra Eficiente», adicionó los documentos tipo de licitación de obra pública de infraestructura de transporte. Entre estas modificaciones en el documento base, se </w:t>
      </w:r>
      <w:r w:rsidR="00B74A34" w:rsidRPr="00BC2EF4">
        <w:rPr>
          <w:rFonts w:ascii="Arial" w:eastAsia="Calibri" w:hAnsi="Arial" w:cs="Arial"/>
          <w:bCs/>
          <w:color w:val="000000" w:themeColor="text1"/>
          <w:sz w:val="22"/>
          <w:szCs w:val="22"/>
          <w:lang w:val="es-ES_tradnl"/>
        </w:rPr>
        <w:t>incluyó</w:t>
      </w:r>
      <w:r w:rsidRPr="00BC2EF4">
        <w:rPr>
          <w:rFonts w:ascii="Arial" w:eastAsia="Calibri" w:hAnsi="Arial" w:cs="Arial"/>
          <w:bCs/>
          <w:color w:val="000000" w:themeColor="text1"/>
          <w:sz w:val="22"/>
          <w:szCs w:val="22"/>
          <w:lang w:val="es-ES_tradnl"/>
        </w:rPr>
        <w:t xml:space="preserve"> el numeral «4</w:t>
      </w:r>
      <w:r w:rsidRPr="00BC2EF4">
        <w:rPr>
          <w:rFonts w:ascii="Arial" w:eastAsia="Arial" w:hAnsi="Arial" w:cs="Arial"/>
          <w:bCs/>
          <w:sz w:val="22"/>
          <w:szCs w:val="22"/>
          <w:lang w:eastAsia="es-ES" w:bidi="es-ES"/>
        </w:rPr>
        <w:t xml:space="preserve">.3.1 Promoción de servicios nacionales o con trato nacional, </w:t>
      </w:r>
      <w:r w:rsidRPr="00BC2EF4">
        <w:rPr>
          <w:rFonts w:ascii="Arial" w:eastAsia="Calibri" w:hAnsi="Arial" w:cs="Arial"/>
          <w:bCs/>
          <w:color w:val="000000" w:themeColor="text1"/>
          <w:sz w:val="22"/>
          <w:szCs w:val="22"/>
          <w:lang w:val="es-ES_tradnl"/>
        </w:rPr>
        <w:t>respecto de la aplicación de la definición de Servicios Nacionales del Decreto 680</w:t>
      </w:r>
      <w:r w:rsidR="00282F73" w:rsidRPr="00BC2EF4">
        <w:rPr>
          <w:rFonts w:ascii="Arial" w:eastAsia="Calibri" w:hAnsi="Arial" w:cs="Arial"/>
          <w:bCs/>
          <w:color w:val="000000" w:themeColor="text1"/>
          <w:sz w:val="22"/>
          <w:szCs w:val="22"/>
          <w:lang w:val="es-ES_tradnl"/>
        </w:rPr>
        <w:t xml:space="preserve"> de 2021</w:t>
      </w:r>
      <w:r w:rsidRPr="00BC2EF4">
        <w:rPr>
          <w:rFonts w:ascii="Arial" w:eastAsia="Calibri" w:hAnsi="Arial" w:cs="Arial"/>
          <w:bCs/>
          <w:color w:val="000000" w:themeColor="text1"/>
          <w:sz w:val="22"/>
          <w:szCs w:val="22"/>
          <w:lang w:val="es-ES_tradnl"/>
        </w:rPr>
        <w:t xml:space="preserve">.  En tal sentido, estas modificaciones resultan </w:t>
      </w:r>
      <w:r w:rsidRPr="00BC2EF4">
        <w:rPr>
          <w:rFonts w:ascii="Arial" w:eastAsia="Calibri" w:hAnsi="Arial" w:cs="Arial"/>
          <w:color w:val="000000"/>
          <w:sz w:val="22"/>
          <w:szCs w:val="22"/>
          <w:bdr w:val="none" w:sz="0" w:space="0" w:color="auto" w:frame="1"/>
        </w:rPr>
        <w:t>obligatorias para las entidades estatales cuyos contratos se rijan por el Estatuto General de la Contratación de la Administración Pública y que adelanten procesos de contratación mediante la modalidad de selección de licitación de obra pública de infraestructura de transporte, teniendo en cuenta el ámbito de aplicación determinado en la Matriz de Experiencia de los documentos tipo de licitación de obra pública de infraestructura de transporte – Versión 3.</w:t>
      </w:r>
    </w:p>
    <w:p w14:paraId="039874C0" w14:textId="77777777" w:rsidR="001D1F01" w:rsidRPr="00BC2EF4" w:rsidRDefault="001D1F01" w:rsidP="001D1F01">
      <w:pPr>
        <w:widowControl w:val="0"/>
        <w:tabs>
          <w:tab w:val="left" w:pos="2143"/>
        </w:tabs>
        <w:autoSpaceDE w:val="0"/>
        <w:autoSpaceDN w:val="0"/>
        <w:spacing w:line="276" w:lineRule="auto"/>
        <w:ind w:firstLine="709"/>
        <w:jc w:val="both"/>
        <w:rPr>
          <w:rFonts w:ascii="Arial" w:eastAsia="Arial" w:hAnsi="Arial" w:cs="Arial"/>
          <w:bCs/>
          <w:sz w:val="22"/>
          <w:szCs w:val="22"/>
          <w:lang w:eastAsia="es-ES" w:bidi="es-ES"/>
        </w:rPr>
      </w:pPr>
      <w:r w:rsidRPr="00BC2EF4">
        <w:rPr>
          <w:rFonts w:ascii="Arial" w:eastAsia="Arial" w:hAnsi="Arial" w:cs="Arial"/>
          <w:bCs/>
          <w:sz w:val="22"/>
          <w:szCs w:val="22"/>
          <w:lang w:eastAsia="es-ES" w:bidi="es-ES"/>
        </w:rPr>
        <w:t xml:space="preserve">Así mismo, es importante mencionar que en el artículo 50 de la </w:t>
      </w:r>
      <w:r w:rsidRPr="00BC2EF4">
        <w:rPr>
          <w:rFonts w:ascii="Arial" w:eastAsia="Arial" w:hAnsi="Arial" w:cs="Arial"/>
          <w:bCs/>
          <w:sz w:val="22"/>
          <w:szCs w:val="22"/>
          <w:lang w:val="es-ES_tradnl" w:eastAsia="es-ES" w:bidi="es-ES"/>
        </w:rPr>
        <w:t>Resolución 304 del 2021</w:t>
      </w:r>
      <w:r w:rsidRPr="00BC2EF4">
        <w:rPr>
          <w:rFonts w:ascii="Arial" w:eastAsia="Arial" w:hAnsi="Arial" w:cs="Arial"/>
          <w:bCs/>
          <w:sz w:val="22"/>
          <w:szCs w:val="22"/>
          <w:lang w:eastAsia="es-ES" w:bidi="es-ES"/>
        </w:rPr>
        <w:t xml:space="preserve"> se establece</w:t>
      </w:r>
      <w:r w:rsidRPr="00BC2EF4">
        <w:rPr>
          <w:rFonts w:ascii="Arial" w:eastAsia="Arial" w:hAnsi="Arial" w:cs="Arial"/>
          <w:bCs/>
          <w:sz w:val="22"/>
          <w:szCs w:val="22"/>
          <w:lang w:val="es-ES_tradnl" w:eastAsia="es-ES" w:bidi="es-ES"/>
        </w:rPr>
        <w:t xml:space="preserve"> que esta rige a partir de su publicación y aplicará a los procesos de contratación cuyo aviso de convocatoria se publique a partir del 2 de noviembre de 2021. En tal sentido, en los procesos de contratación que deban aplicarse los documentos tipo de licitación de obra pública de infraestructura de transporte, las modificaciones contempladas en la Resolución 304 de 2021 regirán a partir del 2 de noviembre de 2021, siempre que el aviso de convocatoria se haya publicado con posterioridad a esa fecha. </w:t>
      </w:r>
    </w:p>
    <w:p w14:paraId="4F2945EC" w14:textId="77777777" w:rsidR="001D1F01" w:rsidRPr="00BC2EF4" w:rsidRDefault="001D1F01" w:rsidP="003E702F">
      <w:pPr>
        <w:jc w:val="both"/>
        <w:rPr>
          <w:rFonts w:ascii="Arial" w:hAnsi="Arial" w:cs="Arial"/>
          <w:sz w:val="22"/>
          <w:szCs w:val="22"/>
        </w:rPr>
      </w:pPr>
    </w:p>
    <w:bookmarkEnd w:id="0"/>
    <w:p w14:paraId="1C1BEAFF" w14:textId="2D89738F" w:rsidR="003C7067" w:rsidRPr="00BC2EF4" w:rsidRDefault="003C7067" w:rsidP="003C7067">
      <w:pPr>
        <w:tabs>
          <w:tab w:val="left" w:pos="709"/>
        </w:tabs>
        <w:spacing w:line="276" w:lineRule="auto"/>
        <w:jc w:val="both"/>
        <w:rPr>
          <w:rFonts w:ascii="Arial" w:eastAsia="Calibri" w:hAnsi="Arial" w:cs="Arial"/>
          <w:b/>
          <w:sz w:val="22"/>
          <w:szCs w:val="22"/>
          <w:lang w:val="es-ES"/>
        </w:rPr>
      </w:pPr>
      <w:r w:rsidRPr="00BC2EF4">
        <w:rPr>
          <w:rFonts w:ascii="Arial" w:eastAsia="Calibri" w:hAnsi="Arial" w:cs="Arial"/>
          <w:b/>
          <w:sz w:val="22"/>
          <w:szCs w:val="22"/>
          <w:lang w:val="es-ES"/>
        </w:rPr>
        <w:t>3. Respuesta</w:t>
      </w:r>
    </w:p>
    <w:p w14:paraId="0D230B7F" w14:textId="147CB2BF" w:rsidR="006B040D" w:rsidRPr="00BC2EF4" w:rsidRDefault="006B040D" w:rsidP="003C7067">
      <w:pPr>
        <w:tabs>
          <w:tab w:val="left" w:pos="709"/>
        </w:tabs>
        <w:spacing w:line="276" w:lineRule="auto"/>
        <w:jc w:val="both"/>
        <w:rPr>
          <w:rFonts w:ascii="Arial" w:eastAsia="Calibri" w:hAnsi="Arial" w:cs="Arial"/>
          <w:b/>
          <w:sz w:val="22"/>
          <w:szCs w:val="22"/>
          <w:lang w:val="es-ES"/>
        </w:rPr>
      </w:pPr>
    </w:p>
    <w:p w14:paraId="4ED5F00E" w14:textId="77777777" w:rsidR="00DF09A4" w:rsidRPr="00BC2EF4" w:rsidRDefault="00DF09A4" w:rsidP="00BC2EF4">
      <w:pPr>
        <w:spacing w:after="120"/>
        <w:ind w:left="709" w:right="709"/>
        <w:jc w:val="both"/>
        <w:rPr>
          <w:rFonts w:ascii="Arial" w:hAnsi="Arial" w:cs="Arial"/>
          <w:sz w:val="21"/>
          <w:szCs w:val="21"/>
        </w:rPr>
      </w:pPr>
      <w:r w:rsidRPr="00BC2EF4">
        <w:rPr>
          <w:rFonts w:ascii="Arial" w:hAnsi="Arial" w:cs="Arial"/>
          <w:sz w:val="21"/>
          <w:szCs w:val="21"/>
        </w:rPr>
        <w:t>i) «Solicito de manera respetuosa se me informe en los pliegos tipo de infraestructura de transporte y demás en el aparte del documento base referente a bienes relevantes nacionales cual es la información que debe ingresar la entidad en porcentaje de participación, si es un 100% o si debe ser conforme a los cálculos realizados para determinar la existencia de bienes nacionales relevantes en determinado proceso de contratación».</w:t>
      </w:r>
    </w:p>
    <w:p w14:paraId="7835262C" w14:textId="0FA0270E" w:rsidR="00307A13" w:rsidRPr="00BC2EF4" w:rsidRDefault="00DF09A4" w:rsidP="00DF09A4">
      <w:pPr>
        <w:ind w:left="709" w:right="709"/>
        <w:jc w:val="both"/>
        <w:rPr>
          <w:rFonts w:ascii="Arial" w:hAnsi="Arial" w:cs="Arial"/>
          <w:sz w:val="21"/>
          <w:szCs w:val="21"/>
        </w:rPr>
      </w:pPr>
      <w:proofErr w:type="spellStart"/>
      <w:r w:rsidRPr="00BC2EF4">
        <w:rPr>
          <w:rFonts w:ascii="Arial" w:hAnsi="Arial" w:cs="Arial"/>
          <w:sz w:val="21"/>
          <w:szCs w:val="21"/>
        </w:rPr>
        <w:t>ii</w:t>
      </w:r>
      <w:proofErr w:type="spellEnd"/>
      <w:r w:rsidRPr="00BC2EF4">
        <w:rPr>
          <w:rFonts w:ascii="Arial" w:hAnsi="Arial" w:cs="Arial"/>
          <w:sz w:val="21"/>
          <w:szCs w:val="21"/>
        </w:rPr>
        <w:t xml:space="preserve">) «[…] se me informe la forma en que las entidades deben llenar dicho cuadro teniendo en cuenta que la matriz 4 solo explica la forma de determinación de dichos bienes </w:t>
      </w:r>
      <w:proofErr w:type="gramStart"/>
      <w:r w:rsidRPr="00BC2EF4">
        <w:rPr>
          <w:rFonts w:ascii="Arial" w:hAnsi="Arial" w:cs="Arial"/>
          <w:sz w:val="21"/>
          <w:szCs w:val="21"/>
        </w:rPr>
        <w:t>nacionales</w:t>
      </w:r>
      <w:proofErr w:type="gramEnd"/>
      <w:r w:rsidRPr="00BC2EF4">
        <w:rPr>
          <w:rFonts w:ascii="Arial" w:hAnsi="Arial" w:cs="Arial"/>
          <w:sz w:val="21"/>
          <w:szCs w:val="21"/>
        </w:rPr>
        <w:t xml:space="preserve"> pero no la forma de diligencia el cuadro conforme a la información del registro nacional de productores de bienes nacionales»</w:t>
      </w:r>
      <w:r w:rsidR="00307A13" w:rsidRPr="00BC2EF4">
        <w:rPr>
          <w:rFonts w:ascii="Arial" w:hAnsi="Arial" w:cs="Arial"/>
          <w:sz w:val="21"/>
          <w:szCs w:val="21"/>
        </w:rPr>
        <w:t xml:space="preserve">. </w:t>
      </w:r>
    </w:p>
    <w:p w14:paraId="6C22C671" w14:textId="77777777" w:rsidR="006B040D" w:rsidRPr="00BC2EF4" w:rsidRDefault="006B040D" w:rsidP="00BC2EF4">
      <w:pPr>
        <w:spacing w:line="276" w:lineRule="auto"/>
        <w:ind w:left="708" w:right="900"/>
        <w:jc w:val="both"/>
        <w:rPr>
          <w:rFonts w:ascii="Arial" w:hAnsi="Arial" w:cs="Arial"/>
          <w:color w:val="000000"/>
          <w:sz w:val="22"/>
          <w:szCs w:val="22"/>
        </w:rPr>
      </w:pPr>
    </w:p>
    <w:p w14:paraId="209E19F5" w14:textId="482322E2" w:rsidR="001B7A2D" w:rsidRPr="00BC2EF4" w:rsidRDefault="00524E12" w:rsidP="00524E12">
      <w:pPr>
        <w:spacing w:before="120" w:after="120" w:line="276" w:lineRule="auto"/>
        <w:jc w:val="both"/>
        <w:rPr>
          <w:rFonts w:ascii="Arial" w:hAnsi="Arial" w:cs="Arial"/>
          <w:sz w:val="22"/>
          <w:szCs w:val="22"/>
        </w:rPr>
      </w:pPr>
      <w:r w:rsidRPr="00BC2EF4">
        <w:rPr>
          <w:rFonts w:ascii="Arial" w:hAnsi="Arial" w:cs="Arial"/>
          <w:sz w:val="22"/>
          <w:szCs w:val="22"/>
        </w:rPr>
        <w:t xml:space="preserve">Conforme a la explicación precedente, para determinar uno o varios bienes nacionales relevantes la entidad estatal debe aplicar los criterios establecidos en el artículo 2.2.1.2.4.2.9. del Decreto 1082 de 2015 adicionado por el Decreto 680 de 2021, a saber: i) «el análisis del sector económico y de los oferentes, y, toda aquella información adicional con la que cuente la entidad estatal en la etapa de planeación del Proceso de Contratación», </w:t>
      </w:r>
      <w:proofErr w:type="spellStart"/>
      <w:r w:rsidRPr="00BC2EF4">
        <w:rPr>
          <w:rFonts w:ascii="Arial" w:hAnsi="Arial" w:cs="Arial"/>
          <w:sz w:val="22"/>
          <w:szCs w:val="22"/>
        </w:rPr>
        <w:t>ii</w:t>
      </w:r>
      <w:proofErr w:type="spellEnd"/>
      <w:r w:rsidRPr="00BC2EF4">
        <w:rPr>
          <w:rFonts w:ascii="Arial" w:hAnsi="Arial" w:cs="Arial"/>
          <w:sz w:val="22"/>
          <w:szCs w:val="22"/>
        </w:rPr>
        <w:t xml:space="preserve">) el porcentaje de participación de los bienes en el presupuesto del Proceso de Contratación y </w:t>
      </w:r>
      <w:proofErr w:type="spellStart"/>
      <w:r w:rsidRPr="00BC2EF4">
        <w:rPr>
          <w:rFonts w:ascii="Arial" w:hAnsi="Arial" w:cs="Arial"/>
          <w:sz w:val="22"/>
          <w:szCs w:val="22"/>
        </w:rPr>
        <w:t>iii</w:t>
      </w:r>
      <w:proofErr w:type="spellEnd"/>
      <w:r w:rsidRPr="00BC2EF4">
        <w:rPr>
          <w:rFonts w:ascii="Arial" w:hAnsi="Arial" w:cs="Arial"/>
          <w:sz w:val="22"/>
          <w:szCs w:val="22"/>
        </w:rPr>
        <w:t>) la existencia de los bienes en el Registro de Productores de Bienes Nacionales, en los términos del Decreto 2680 de 2009. Además de estos tres criterios, la entidad estatal deberá aplicar los parámetros contenidos en la Matriz 4 – Bienes nacionales relevantes para la obra pública del sector transporte, en la que se desarrolla una metodología para identificar los bienes nacionales relevantes para la ejecución del objeto a contratar</w:t>
      </w:r>
      <w:r w:rsidR="001B7A2D" w:rsidRPr="00BC2EF4">
        <w:rPr>
          <w:rFonts w:ascii="Arial" w:hAnsi="Arial" w:cs="Arial"/>
          <w:sz w:val="22"/>
          <w:szCs w:val="22"/>
        </w:rPr>
        <w:t xml:space="preserve">. </w:t>
      </w:r>
    </w:p>
    <w:p w14:paraId="2C1884DB" w14:textId="1046ED85" w:rsidR="00E31040" w:rsidRPr="00BC2EF4" w:rsidRDefault="00E31040" w:rsidP="00E31040">
      <w:pPr>
        <w:widowControl w:val="0"/>
        <w:autoSpaceDE w:val="0"/>
        <w:autoSpaceDN w:val="0"/>
        <w:spacing w:after="120" w:line="276" w:lineRule="auto"/>
        <w:ind w:firstLine="709"/>
        <w:jc w:val="both"/>
        <w:rPr>
          <w:rFonts w:ascii="Arial" w:eastAsia="Calibri" w:hAnsi="Arial" w:cs="Arial"/>
          <w:bCs/>
          <w:color w:val="000000" w:themeColor="text1"/>
          <w:sz w:val="22"/>
          <w:szCs w:val="22"/>
          <w:lang w:val="es-ES_tradnl"/>
        </w:rPr>
      </w:pPr>
      <w:r w:rsidRPr="00BC2EF4">
        <w:rPr>
          <w:rFonts w:ascii="Arial" w:eastAsia="Calibri" w:hAnsi="Arial" w:cs="Arial"/>
          <w:bCs/>
          <w:color w:val="000000" w:themeColor="text1"/>
          <w:sz w:val="22"/>
          <w:szCs w:val="22"/>
          <w:lang w:val="es-ES_tradnl"/>
        </w:rPr>
        <w:t xml:space="preserve">Aplicando la metodología prevista en la Matriz 4 las entidades estatales obligadas a observar los documentos tipo deben definir los bienes nacionales que resultan relevantes para el cumplimiento del objeto contractual, que, en cumplimiento de lo dispuesto en el Decreto 680 de 2021, son relevantes para considerar un servicio como nacional y, por tanto, para determinar la aplicabilidad del puntaje por apoyo a la industria nacional regulado por el artículo 2 de la Ley 816 de 2003. </w:t>
      </w:r>
    </w:p>
    <w:p w14:paraId="00B73714" w14:textId="251336BA" w:rsidR="00E31040" w:rsidRPr="00BC2EF4" w:rsidRDefault="00E31040" w:rsidP="00E31040">
      <w:pPr>
        <w:spacing w:before="120" w:after="120" w:line="276" w:lineRule="auto"/>
        <w:ind w:firstLine="708"/>
        <w:jc w:val="both"/>
        <w:rPr>
          <w:rFonts w:ascii="Arial" w:eastAsia="Calibri" w:hAnsi="Arial" w:cs="Arial"/>
          <w:bCs/>
          <w:color w:val="000000" w:themeColor="text1"/>
          <w:sz w:val="22"/>
          <w:szCs w:val="22"/>
          <w:lang w:val="es-ES_tradnl"/>
        </w:rPr>
      </w:pPr>
      <w:r w:rsidRPr="00BC2EF4">
        <w:rPr>
          <w:rFonts w:ascii="Arial" w:eastAsia="Calibri" w:hAnsi="Arial" w:cs="Arial"/>
          <w:bCs/>
          <w:color w:val="000000" w:themeColor="text1"/>
          <w:sz w:val="22"/>
          <w:szCs w:val="22"/>
          <w:lang w:val="es-ES_tradnl"/>
        </w:rPr>
        <w:t xml:space="preserve">Para facilitar la aplicación del Decreto 680 de 2021, la Agencia Nacional de Contratación Pública – Colombia Compra Eficiente puso a disposición de los partícipes del sistema de compras y contratación pública el «Aplicativo de Consulta de Bien Nacional Relevante», el cual se encuentra en la página web </w:t>
      </w:r>
      <w:hyperlink r:id="rId16" w:history="1">
        <w:r w:rsidRPr="00BC2EF4">
          <w:rPr>
            <w:rStyle w:val="Hipervnculo"/>
            <w:rFonts w:ascii="Arial" w:eastAsia="Calibri" w:hAnsi="Arial" w:cs="Arial"/>
            <w:bCs/>
            <w:sz w:val="22"/>
            <w:szCs w:val="22"/>
            <w:lang w:val="es-ES_tradnl"/>
          </w:rPr>
          <w:t>https://bienesrelevantes.colombiacompra.gov.co/upload</w:t>
        </w:r>
      </w:hyperlink>
      <w:r w:rsidRPr="00BC2EF4">
        <w:rPr>
          <w:rFonts w:ascii="Arial" w:eastAsia="Calibri" w:hAnsi="Arial" w:cs="Arial"/>
          <w:bCs/>
          <w:color w:val="000000" w:themeColor="text1"/>
          <w:sz w:val="22"/>
          <w:szCs w:val="22"/>
          <w:lang w:val="es-ES_tradnl"/>
        </w:rPr>
        <w:t xml:space="preserve">. Es necesario tener en cuenta que </w:t>
      </w:r>
      <w:r w:rsidRPr="00BC2EF4">
        <w:rPr>
          <w:rFonts w:ascii="Arial" w:eastAsia="Calibri" w:hAnsi="Arial" w:cs="Arial"/>
          <w:color w:val="000000" w:themeColor="text1"/>
          <w:sz w:val="22"/>
          <w:szCs w:val="22"/>
        </w:rPr>
        <w:t>el uso de esta herramienta es de carácter facultativo, no obligatorio. Esta plataforma es un criterio orientador en la materia, el cual sirve de insumo para individualizar posteriormente los bienes que se encuentran el Registro de Productores de Bienes Nacionales. Por tanto, su utilización no exime a las Entidades Estatales de cumplir con las reglas del artículo 2.2.1.2.4.2.9 del Decreto 1082 de 2015 ni de la metodología prevista en los Documentos Tipo para los Procesos de Contratación regidos por la Ley 2022 de 2020</w:t>
      </w:r>
      <w:r w:rsidRPr="00BC2EF4">
        <w:rPr>
          <w:rFonts w:ascii="Arial" w:eastAsia="Calibri" w:hAnsi="Arial" w:cs="Arial"/>
          <w:bCs/>
          <w:color w:val="000000" w:themeColor="text1"/>
          <w:sz w:val="22"/>
          <w:szCs w:val="22"/>
          <w:lang w:val="es-ES_tradnl"/>
        </w:rPr>
        <w:t>.</w:t>
      </w:r>
    </w:p>
    <w:p w14:paraId="6D274AE5" w14:textId="45EFEDCD" w:rsidR="0030222A" w:rsidRPr="00BC2EF4" w:rsidRDefault="0030222A" w:rsidP="00E31040">
      <w:pPr>
        <w:spacing w:before="120" w:after="120" w:line="276" w:lineRule="auto"/>
        <w:ind w:firstLine="708"/>
        <w:jc w:val="both"/>
        <w:rPr>
          <w:rFonts w:ascii="Arial" w:eastAsia="Arial" w:hAnsi="Arial" w:cs="Arial"/>
          <w:bCs/>
          <w:sz w:val="22"/>
          <w:szCs w:val="22"/>
          <w:lang w:eastAsia="es-ES" w:bidi="es-ES"/>
        </w:rPr>
      </w:pPr>
      <w:r w:rsidRPr="00BC2EF4">
        <w:rPr>
          <w:rFonts w:ascii="Arial" w:eastAsia="Calibri" w:hAnsi="Arial" w:cs="Arial"/>
          <w:bCs/>
          <w:color w:val="000000" w:themeColor="text1"/>
          <w:sz w:val="22"/>
          <w:szCs w:val="22"/>
          <w:lang w:val="es-ES_tradnl"/>
        </w:rPr>
        <w:t xml:space="preserve">Si luego de aplicar la metodología para determinar los bienes nacionales relevantes −descrita con anterioridad− , la entidad determina uno o varios bienes nacionales relevantes para el proceso de contratación, deberá incluir la </w:t>
      </w:r>
      <w:r w:rsidRPr="00BC2EF4">
        <w:rPr>
          <w:rFonts w:ascii="Arial" w:eastAsia="Calibri" w:hAnsi="Arial" w:cs="Arial"/>
          <w:b/>
          <w:i/>
          <w:iCs/>
          <w:color w:val="000000" w:themeColor="text1"/>
          <w:sz w:val="22"/>
          <w:szCs w:val="22"/>
          <w:lang w:val="es-ES_tradnl"/>
        </w:rPr>
        <w:t>opción 1</w:t>
      </w:r>
      <w:r w:rsidRPr="00BC2EF4">
        <w:rPr>
          <w:rFonts w:ascii="Arial" w:eastAsia="Calibri" w:hAnsi="Arial" w:cs="Arial"/>
          <w:bCs/>
          <w:color w:val="000000" w:themeColor="text1"/>
          <w:sz w:val="22"/>
          <w:szCs w:val="22"/>
          <w:lang w:val="es-ES_tradnl"/>
        </w:rPr>
        <w:t xml:space="preserve"> del numeral </w:t>
      </w:r>
      <w:r w:rsidRPr="00BC2EF4">
        <w:rPr>
          <w:rFonts w:ascii="Arial" w:hAnsi="Arial" w:cs="Arial"/>
          <w:sz w:val="22"/>
          <w:szCs w:val="22"/>
          <w:lang w:val="es-MX"/>
        </w:rPr>
        <w:t>4</w:t>
      </w:r>
      <w:r w:rsidRPr="00BC2EF4">
        <w:rPr>
          <w:rFonts w:ascii="Arial" w:eastAsia="Arial" w:hAnsi="Arial" w:cs="Arial"/>
          <w:bCs/>
          <w:sz w:val="22"/>
          <w:szCs w:val="22"/>
          <w:lang w:eastAsia="es-ES" w:bidi="es-ES"/>
        </w:rPr>
        <w:t xml:space="preserve">.3.1 «Promoción de servicios nacionales o con trato nacional», en la que se señalarán los bienes nacionales relevantes en el proceso de contratación, diligenciando una tabla con la información tomada del Registro de Productores de Bienes Nacionales, en la que se señalará: i) el bien nacional relevante, </w:t>
      </w:r>
      <w:proofErr w:type="spellStart"/>
      <w:r w:rsidRPr="00BC2EF4">
        <w:rPr>
          <w:rFonts w:ascii="Arial" w:eastAsia="Arial" w:hAnsi="Arial" w:cs="Arial"/>
          <w:bCs/>
          <w:sz w:val="22"/>
          <w:szCs w:val="22"/>
          <w:lang w:eastAsia="es-ES" w:bidi="es-ES"/>
        </w:rPr>
        <w:t>ii</w:t>
      </w:r>
      <w:proofErr w:type="spellEnd"/>
      <w:r w:rsidRPr="00BC2EF4">
        <w:rPr>
          <w:rFonts w:ascii="Arial" w:eastAsia="Arial" w:hAnsi="Arial" w:cs="Arial"/>
          <w:bCs/>
          <w:sz w:val="22"/>
          <w:szCs w:val="22"/>
          <w:lang w:eastAsia="es-ES" w:bidi="es-ES"/>
        </w:rPr>
        <w:t xml:space="preserve">) la fecha de inscripción, </w:t>
      </w:r>
      <w:proofErr w:type="spellStart"/>
      <w:r w:rsidRPr="00BC2EF4">
        <w:rPr>
          <w:rFonts w:ascii="Arial" w:eastAsia="Arial" w:hAnsi="Arial" w:cs="Arial"/>
          <w:bCs/>
          <w:sz w:val="22"/>
          <w:szCs w:val="22"/>
          <w:lang w:eastAsia="es-ES" w:bidi="es-ES"/>
        </w:rPr>
        <w:t>iii</w:t>
      </w:r>
      <w:proofErr w:type="spellEnd"/>
      <w:r w:rsidRPr="00BC2EF4">
        <w:rPr>
          <w:rFonts w:ascii="Arial" w:eastAsia="Arial" w:hAnsi="Arial" w:cs="Arial"/>
          <w:bCs/>
          <w:sz w:val="22"/>
          <w:szCs w:val="22"/>
          <w:lang w:eastAsia="es-ES" w:bidi="es-ES"/>
        </w:rPr>
        <w:t xml:space="preserve">) la fecha de vigencia, </w:t>
      </w:r>
      <w:proofErr w:type="spellStart"/>
      <w:r w:rsidRPr="00BC2EF4">
        <w:rPr>
          <w:rFonts w:ascii="Arial" w:eastAsia="Arial" w:hAnsi="Arial" w:cs="Arial"/>
          <w:bCs/>
          <w:sz w:val="22"/>
          <w:szCs w:val="22"/>
          <w:lang w:eastAsia="es-ES" w:bidi="es-ES"/>
        </w:rPr>
        <w:t>iv</w:t>
      </w:r>
      <w:proofErr w:type="spellEnd"/>
      <w:r w:rsidRPr="00BC2EF4">
        <w:rPr>
          <w:rFonts w:ascii="Arial" w:eastAsia="Arial" w:hAnsi="Arial" w:cs="Arial"/>
          <w:bCs/>
          <w:sz w:val="22"/>
          <w:szCs w:val="22"/>
          <w:lang w:eastAsia="es-ES" w:bidi="es-ES"/>
        </w:rPr>
        <w:t>) el número de partida arancelaria, v) el porcentaje (%) de participación del bien y vi) el puntaje individual de cada bien</w:t>
      </w:r>
      <w:r w:rsidR="00100363" w:rsidRPr="00BC2EF4">
        <w:rPr>
          <w:rFonts w:ascii="Arial" w:eastAsia="Arial" w:hAnsi="Arial" w:cs="Arial"/>
          <w:bCs/>
          <w:sz w:val="22"/>
          <w:szCs w:val="22"/>
          <w:lang w:eastAsia="es-ES" w:bidi="es-ES"/>
        </w:rPr>
        <w:t xml:space="preserve">. </w:t>
      </w:r>
    </w:p>
    <w:p w14:paraId="2082B069" w14:textId="54E33A0F" w:rsidR="008218B3" w:rsidRPr="00BC2EF4" w:rsidRDefault="008218B3" w:rsidP="00BC2EF4">
      <w:pPr>
        <w:spacing w:before="120" w:after="120" w:line="276" w:lineRule="auto"/>
        <w:ind w:firstLine="709"/>
        <w:jc w:val="both"/>
        <w:rPr>
          <w:rFonts w:ascii="Arial" w:hAnsi="Arial" w:cs="Arial"/>
          <w:sz w:val="22"/>
          <w:szCs w:val="22"/>
        </w:rPr>
      </w:pPr>
      <w:r w:rsidRPr="00BC2EF4">
        <w:rPr>
          <w:rFonts w:ascii="Arial" w:eastAsia="Arial" w:hAnsi="Arial" w:cs="Arial"/>
          <w:bCs/>
          <w:sz w:val="22"/>
          <w:szCs w:val="22"/>
          <w:lang w:eastAsia="es-ES" w:bidi="es-ES"/>
        </w:rPr>
        <w:t xml:space="preserve">Respecto a cada «Bien nacional relevante» identificado, </w:t>
      </w:r>
      <w:r w:rsidRPr="00BC2EF4">
        <w:rPr>
          <w:rFonts w:ascii="Arial" w:hAnsi="Arial" w:cs="Arial"/>
          <w:sz w:val="22"/>
          <w:szCs w:val="22"/>
        </w:rPr>
        <w:t>para diligenciar las casillas «fecha de inscripción» y «fecha de vigencia» en la tabla anterior, debe tenerse en cuenta que cada una corresponde a los datos contenidos en las columnas tituladas «radicado» y «fecha de vencimiento», respectivamente, del Registro de Productores y Bienes Nacionales del Ministerio de Comercio, Industria y Turismo. Específicamente, la «fecha de inscripción» corresponde a los 8 primeros dígitos de la columna de «radicado» y, por su parte, la «fecha de vigencia» corresponde a la información de la columna «fecha de vencimiento», según el resultado que arroja la búsqueda en la página web de la ventanilla única de comercio exterior. Por otra parte, con la consulta en el mencionado registro, también es posible acceder al «No. de partida arancelaria». Finalmente, el «porcentaje (%) de participación» y el «puntaje individual de cada bien» se determinan con la metodología prevista en la Matriz 4 y las fórmulas previstas en el pliego de condiciones.</w:t>
      </w:r>
    </w:p>
    <w:p w14:paraId="18A068A9" w14:textId="77777777" w:rsidR="00543E14" w:rsidRPr="00BC2EF4" w:rsidRDefault="00543E14" w:rsidP="00543E14">
      <w:pPr>
        <w:spacing w:line="276" w:lineRule="auto"/>
        <w:ind w:firstLine="708"/>
        <w:jc w:val="both"/>
        <w:rPr>
          <w:rFonts w:ascii="Arial" w:hAnsi="Arial" w:cs="Arial"/>
          <w:sz w:val="22"/>
          <w:szCs w:val="22"/>
        </w:rPr>
      </w:pPr>
    </w:p>
    <w:p w14:paraId="31DA7007" w14:textId="16FA573E" w:rsidR="003C7067" w:rsidRPr="00BC2EF4" w:rsidRDefault="003C7067" w:rsidP="003C7067">
      <w:pPr>
        <w:spacing w:line="276" w:lineRule="auto"/>
        <w:jc w:val="both"/>
        <w:rPr>
          <w:rFonts w:ascii="Arial" w:eastAsia="Calibri" w:hAnsi="Arial" w:cs="Arial"/>
          <w:sz w:val="22"/>
          <w:szCs w:val="22"/>
          <w:lang w:val="es-ES"/>
        </w:rPr>
      </w:pPr>
      <w:r w:rsidRPr="00BC2EF4">
        <w:rPr>
          <w:rFonts w:ascii="Arial" w:eastAsia="Calibri" w:hAnsi="Arial" w:cs="Arial"/>
          <w:sz w:val="22"/>
          <w:szCs w:val="22"/>
          <w:lang w:val="es-ES"/>
        </w:rPr>
        <w:t xml:space="preserve">Este concepto tiene el alcance previsto en el artículo 28 del Código de Procedimiento Administrativo y de lo Contencioso </w:t>
      </w:r>
      <w:r w:rsidR="007566AD" w:rsidRPr="00BC2EF4">
        <w:rPr>
          <w:rFonts w:ascii="Arial" w:eastAsia="Calibri" w:hAnsi="Arial" w:cs="Arial"/>
          <w:sz w:val="22"/>
          <w:szCs w:val="22"/>
          <w:lang w:val="es-ES"/>
        </w:rPr>
        <w:t>Administrativo</w:t>
      </w:r>
      <w:r w:rsidRPr="00BC2EF4">
        <w:rPr>
          <w:rFonts w:ascii="Arial" w:eastAsia="Calibri" w:hAnsi="Arial" w:cs="Arial"/>
          <w:sz w:val="22"/>
          <w:szCs w:val="22"/>
          <w:lang w:val="es-ES"/>
        </w:rPr>
        <w:t>.</w:t>
      </w:r>
    </w:p>
    <w:p w14:paraId="2408787D" w14:textId="77777777" w:rsidR="003C7067" w:rsidRPr="00BC2EF4" w:rsidRDefault="003C7067" w:rsidP="003C7067">
      <w:pPr>
        <w:jc w:val="both"/>
        <w:rPr>
          <w:rFonts w:ascii="Arial" w:eastAsia="Calibri" w:hAnsi="Arial" w:cs="Arial"/>
          <w:sz w:val="22"/>
          <w:szCs w:val="22"/>
          <w:lang w:val="es-ES"/>
        </w:rPr>
      </w:pPr>
    </w:p>
    <w:p w14:paraId="740312DF" w14:textId="57E6437E" w:rsidR="003C7067" w:rsidRPr="00BC2EF4" w:rsidRDefault="003C7067" w:rsidP="003C7067">
      <w:pPr>
        <w:jc w:val="both"/>
        <w:rPr>
          <w:rFonts w:ascii="Arial" w:hAnsi="Arial" w:cs="Arial"/>
          <w:sz w:val="22"/>
          <w:szCs w:val="22"/>
          <w:lang w:val="es-ES" w:eastAsia="es-CO"/>
        </w:rPr>
      </w:pPr>
      <w:r w:rsidRPr="00BC2EF4">
        <w:rPr>
          <w:rFonts w:ascii="Arial" w:hAnsi="Arial" w:cs="Arial"/>
          <w:sz w:val="22"/>
          <w:szCs w:val="22"/>
          <w:lang w:val="es-ES" w:eastAsia="es-CO"/>
        </w:rPr>
        <w:t>Atentamente,</w:t>
      </w:r>
    </w:p>
    <w:p w14:paraId="37B80A85" w14:textId="77777777" w:rsidR="00581905" w:rsidRPr="00BC2EF4" w:rsidRDefault="00581905" w:rsidP="003C7067">
      <w:pPr>
        <w:jc w:val="both"/>
        <w:rPr>
          <w:rFonts w:ascii="Arial" w:hAnsi="Arial" w:cs="Arial"/>
          <w:sz w:val="22"/>
          <w:szCs w:val="22"/>
          <w:lang w:val="es-ES" w:eastAsia="es-CO"/>
        </w:rPr>
      </w:pPr>
    </w:p>
    <w:p w14:paraId="34F7EF72" w14:textId="5165431E" w:rsidR="003C7067" w:rsidRPr="00BC2EF4" w:rsidRDefault="2A882F43" w:rsidP="2A882F43">
      <w:pPr>
        <w:jc w:val="center"/>
        <w:rPr>
          <w:lang w:val="es-ES" w:eastAsia="es-CO"/>
        </w:rPr>
      </w:pPr>
      <w:r>
        <w:rPr>
          <w:noProof/>
        </w:rPr>
        <w:drawing>
          <wp:inline distT="0" distB="0" distL="0" distR="0" wp14:anchorId="5B944490" wp14:editId="2A882F43">
            <wp:extent cx="2514600" cy="1104900"/>
            <wp:effectExtent l="0" t="0" r="0" b="0"/>
            <wp:docPr id="674806643" name="Imagen 67480664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2514600" cy="1104900"/>
                    </a:xfrm>
                    <a:prstGeom prst="rect">
                      <a:avLst/>
                    </a:prstGeom>
                  </pic:spPr>
                </pic:pic>
              </a:graphicData>
            </a:graphic>
          </wp:inline>
        </w:drawing>
      </w:r>
      <w:r w:rsidR="003C7067">
        <w:br/>
      </w:r>
    </w:p>
    <w:p w14:paraId="26A9BAC3" w14:textId="77777777" w:rsidR="003C7067" w:rsidRPr="00BC2EF4" w:rsidRDefault="003C7067" w:rsidP="003C7067">
      <w:pPr>
        <w:jc w:val="center"/>
        <w:rPr>
          <w:rFonts w:ascii="Arial" w:hAnsi="Arial" w:cs="Arial"/>
          <w:sz w:val="18"/>
          <w:szCs w:val="20"/>
          <w:lang w:val="es-ES"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3C7067" w:rsidRPr="00BC2EF4" w14:paraId="67DFEBDD" w14:textId="77777777" w:rsidTr="00D81E5B">
        <w:trPr>
          <w:trHeight w:val="315"/>
        </w:trPr>
        <w:tc>
          <w:tcPr>
            <w:tcW w:w="812" w:type="dxa"/>
            <w:vAlign w:val="center"/>
            <w:hideMark/>
          </w:tcPr>
          <w:p w14:paraId="586E9637" w14:textId="77777777" w:rsidR="003C7067" w:rsidRPr="00BC2EF4" w:rsidRDefault="003C7067" w:rsidP="00D81E5B">
            <w:pPr>
              <w:rPr>
                <w:rFonts w:ascii="Arial" w:hAnsi="Arial" w:cs="Arial"/>
                <w:sz w:val="16"/>
                <w:szCs w:val="16"/>
                <w:lang w:val="es-ES" w:eastAsia="es-ES"/>
              </w:rPr>
            </w:pPr>
            <w:r w:rsidRPr="00BC2EF4">
              <w:rPr>
                <w:rFonts w:ascii="Arial" w:hAnsi="Arial" w:cs="Arial"/>
                <w:sz w:val="16"/>
                <w:szCs w:val="16"/>
                <w:lang w:val="es-ES" w:eastAsia="es-ES"/>
              </w:rPr>
              <w:t>Elaboró:</w:t>
            </w:r>
          </w:p>
        </w:tc>
        <w:tc>
          <w:tcPr>
            <w:tcW w:w="4413" w:type="dxa"/>
            <w:tcBorders>
              <w:top w:val="nil"/>
              <w:left w:val="nil"/>
              <w:bottom w:val="dotted" w:sz="4" w:space="0" w:color="7F7F7F" w:themeColor="text1" w:themeTint="80"/>
              <w:right w:val="nil"/>
            </w:tcBorders>
            <w:vAlign w:val="center"/>
            <w:hideMark/>
          </w:tcPr>
          <w:p w14:paraId="2585B1D8" w14:textId="407E5A4D" w:rsidR="003C7067" w:rsidRPr="00BC2EF4" w:rsidRDefault="00307A13" w:rsidP="00D81E5B">
            <w:pPr>
              <w:rPr>
                <w:rFonts w:ascii="Arial" w:hAnsi="Arial" w:cs="Arial"/>
                <w:sz w:val="16"/>
                <w:szCs w:val="16"/>
                <w:lang w:val="es-ES" w:eastAsia="es-ES"/>
              </w:rPr>
            </w:pPr>
            <w:r w:rsidRPr="00BC2EF4">
              <w:rPr>
                <w:rFonts w:ascii="Arial" w:hAnsi="Arial" w:cs="Arial"/>
                <w:sz w:val="16"/>
                <w:szCs w:val="16"/>
                <w:lang w:val="es-ES" w:eastAsia="es-ES"/>
              </w:rPr>
              <w:t xml:space="preserve">Nina maría Padrón ballestas </w:t>
            </w:r>
          </w:p>
          <w:p w14:paraId="15047A99" w14:textId="77777777" w:rsidR="003C7067" w:rsidRPr="00BC2EF4" w:rsidRDefault="003C7067" w:rsidP="00D81E5B">
            <w:pPr>
              <w:rPr>
                <w:rFonts w:ascii="Arial" w:hAnsi="Arial" w:cs="Arial"/>
                <w:sz w:val="16"/>
                <w:szCs w:val="16"/>
                <w:lang w:val="es-ES" w:eastAsia="es-ES"/>
              </w:rPr>
            </w:pPr>
            <w:r w:rsidRPr="00BC2EF4">
              <w:rPr>
                <w:rFonts w:ascii="Arial" w:hAnsi="Arial" w:cs="Arial"/>
                <w:sz w:val="16"/>
                <w:szCs w:val="16"/>
                <w:lang w:val="es-ES" w:eastAsia="es-ES"/>
              </w:rPr>
              <w:t>Contratista de la Subdirección de Gestión Contractual</w:t>
            </w:r>
          </w:p>
        </w:tc>
      </w:tr>
      <w:tr w:rsidR="003C7067" w:rsidRPr="00BC2EF4" w14:paraId="5E040385" w14:textId="77777777" w:rsidTr="00D81E5B">
        <w:trPr>
          <w:trHeight w:val="330"/>
        </w:trPr>
        <w:tc>
          <w:tcPr>
            <w:tcW w:w="812" w:type="dxa"/>
            <w:vAlign w:val="center"/>
            <w:hideMark/>
          </w:tcPr>
          <w:p w14:paraId="1468648A" w14:textId="77777777" w:rsidR="003C7067" w:rsidRPr="00BC2EF4" w:rsidRDefault="003C7067" w:rsidP="00D81E5B">
            <w:pPr>
              <w:rPr>
                <w:rFonts w:ascii="Arial" w:hAnsi="Arial" w:cs="Arial"/>
                <w:sz w:val="16"/>
                <w:szCs w:val="16"/>
                <w:lang w:val="es-ES" w:eastAsia="es-ES"/>
              </w:rPr>
            </w:pPr>
            <w:r w:rsidRPr="00BC2EF4">
              <w:rPr>
                <w:rFonts w:ascii="Arial" w:hAnsi="Arial" w:cs="Arial"/>
                <w:sz w:val="16"/>
                <w:szCs w:val="16"/>
                <w:lang w:val="es-ES"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98766F3" w14:textId="6692F679" w:rsidR="00581905" w:rsidRPr="00BC2EF4" w:rsidRDefault="00727DEB" w:rsidP="00D81E5B">
            <w:pPr>
              <w:rPr>
                <w:rFonts w:ascii="Arial" w:hAnsi="Arial" w:cs="Arial"/>
                <w:sz w:val="16"/>
                <w:szCs w:val="16"/>
                <w:lang w:val="es-ES" w:eastAsia="es-ES"/>
              </w:rPr>
            </w:pPr>
            <w:r w:rsidRPr="00BC2EF4">
              <w:rPr>
                <w:rFonts w:ascii="Arial" w:hAnsi="Arial" w:cs="Arial"/>
                <w:sz w:val="16"/>
                <w:szCs w:val="16"/>
                <w:lang w:val="es-ES" w:eastAsia="es-ES"/>
              </w:rPr>
              <w:t>Juan David Montoya Penagos</w:t>
            </w:r>
          </w:p>
          <w:p w14:paraId="03E5C127" w14:textId="2F066F27" w:rsidR="003C7067" w:rsidRPr="00BC2EF4" w:rsidRDefault="00727DEB" w:rsidP="00D81E5B">
            <w:pPr>
              <w:rPr>
                <w:rFonts w:ascii="Arial" w:hAnsi="Arial" w:cs="Arial"/>
                <w:sz w:val="16"/>
                <w:szCs w:val="16"/>
                <w:lang w:val="es-ES" w:eastAsia="es-ES"/>
              </w:rPr>
            </w:pPr>
            <w:r w:rsidRPr="00BC2EF4">
              <w:rPr>
                <w:rFonts w:ascii="Arial" w:hAnsi="Arial" w:cs="Arial"/>
                <w:sz w:val="16"/>
                <w:szCs w:val="16"/>
                <w:lang w:val="es-ES" w:eastAsia="es-ES"/>
              </w:rPr>
              <w:t xml:space="preserve">Gestor T1-15 </w:t>
            </w:r>
            <w:r w:rsidR="00581905" w:rsidRPr="00BC2EF4">
              <w:rPr>
                <w:rFonts w:ascii="Arial" w:hAnsi="Arial" w:cs="Arial"/>
                <w:sz w:val="16"/>
                <w:szCs w:val="16"/>
                <w:lang w:val="es-ES" w:eastAsia="es-ES"/>
              </w:rPr>
              <w:t>de la Subdirección de Gestión Contractual</w:t>
            </w:r>
          </w:p>
          <w:p w14:paraId="202F9F6E" w14:textId="1009E55C" w:rsidR="003C7067" w:rsidRPr="00BC2EF4" w:rsidRDefault="003C7067" w:rsidP="00D81E5B">
            <w:pPr>
              <w:rPr>
                <w:rFonts w:ascii="Arial" w:hAnsi="Arial" w:cs="Arial"/>
                <w:sz w:val="16"/>
                <w:szCs w:val="16"/>
                <w:lang w:val="es-ES" w:eastAsia="es-ES"/>
              </w:rPr>
            </w:pPr>
          </w:p>
        </w:tc>
      </w:tr>
      <w:tr w:rsidR="003C7067" w:rsidRPr="0008465D" w14:paraId="65581C44" w14:textId="77777777" w:rsidTr="00D81E5B">
        <w:trPr>
          <w:trHeight w:val="300"/>
        </w:trPr>
        <w:tc>
          <w:tcPr>
            <w:tcW w:w="812" w:type="dxa"/>
            <w:vAlign w:val="center"/>
            <w:hideMark/>
          </w:tcPr>
          <w:p w14:paraId="5B07E6DF" w14:textId="77777777" w:rsidR="003C7067" w:rsidRPr="00BC2EF4" w:rsidRDefault="003C7067" w:rsidP="00D81E5B">
            <w:pPr>
              <w:rPr>
                <w:rFonts w:ascii="Arial" w:hAnsi="Arial" w:cs="Arial"/>
                <w:sz w:val="16"/>
                <w:szCs w:val="16"/>
                <w:lang w:val="es-ES" w:eastAsia="es-ES"/>
              </w:rPr>
            </w:pPr>
            <w:r w:rsidRPr="00BC2EF4">
              <w:rPr>
                <w:rFonts w:ascii="Arial" w:hAnsi="Arial" w:cs="Arial"/>
                <w:sz w:val="16"/>
                <w:szCs w:val="16"/>
                <w:lang w:val="es-ES"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930E5E2" w14:textId="77777777" w:rsidR="003C7067" w:rsidRPr="00BC2EF4" w:rsidRDefault="003C7067" w:rsidP="00D81E5B">
            <w:pPr>
              <w:rPr>
                <w:rFonts w:ascii="Arial" w:hAnsi="Arial" w:cs="Arial"/>
                <w:sz w:val="16"/>
                <w:szCs w:val="16"/>
                <w:lang w:val="es-ES" w:eastAsia="es-ES"/>
              </w:rPr>
            </w:pPr>
            <w:r w:rsidRPr="00BC2EF4">
              <w:rPr>
                <w:rFonts w:ascii="Arial" w:hAnsi="Arial" w:cs="Arial"/>
                <w:sz w:val="16"/>
                <w:szCs w:val="16"/>
                <w:lang w:val="es-ES" w:eastAsia="es-ES"/>
              </w:rPr>
              <w:t>Jorge Augusto Tirado Navarro</w:t>
            </w:r>
          </w:p>
          <w:p w14:paraId="43EFE605" w14:textId="77777777" w:rsidR="003C7067" w:rsidRPr="0008465D" w:rsidRDefault="003C7067" w:rsidP="00D81E5B">
            <w:pPr>
              <w:rPr>
                <w:rFonts w:ascii="Arial" w:hAnsi="Arial" w:cs="Arial"/>
                <w:sz w:val="16"/>
                <w:szCs w:val="16"/>
                <w:lang w:val="es-ES" w:eastAsia="es-ES"/>
              </w:rPr>
            </w:pPr>
            <w:r w:rsidRPr="00BC2EF4">
              <w:rPr>
                <w:rFonts w:ascii="Arial" w:hAnsi="Arial" w:cs="Arial"/>
                <w:sz w:val="16"/>
                <w:szCs w:val="16"/>
                <w:lang w:val="es-ES" w:eastAsia="es-ES"/>
              </w:rPr>
              <w:t>Subdirector de Gestión Contractual ANCP – CCE</w:t>
            </w:r>
          </w:p>
        </w:tc>
      </w:tr>
    </w:tbl>
    <w:p w14:paraId="019B7BEC" w14:textId="77777777" w:rsidR="003C7067" w:rsidRDefault="003C7067"/>
    <w:sectPr w:rsidR="003C7067" w:rsidSect="00D81E5B">
      <w:headerReference w:type="default" r:id="rId18"/>
      <w:footerReference w:type="default" r:id="rId19"/>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ABE74" w14:textId="77777777" w:rsidR="006B6873" w:rsidRDefault="006B6873" w:rsidP="003C7067">
      <w:r>
        <w:separator/>
      </w:r>
    </w:p>
  </w:endnote>
  <w:endnote w:type="continuationSeparator" w:id="0">
    <w:p w14:paraId="1B180CD6" w14:textId="77777777" w:rsidR="006B6873" w:rsidRDefault="006B6873" w:rsidP="003C7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BF19D" w14:textId="77777777" w:rsidR="00D81E5B" w:rsidRDefault="00D81E5B" w:rsidP="00D81E5B">
    <w:pPr>
      <w:pStyle w:val="Sinespaciado"/>
      <w:jc w:val="right"/>
      <w:rPr>
        <w:rFonts w:ascii="Arial" w:hAnsi="Arial" w:cs="Arial"/>
        <w:sz w:val="18"/>
        <w:szCs w:val="18"/>
      </w:rPr>
    </w:pPr>
  </w:p>
  <w:p w14:paraId="7EE0D30C" w14:textId="77777777" w:rsidR="00D81E5B" w:rsidRDefault="00D81E5B" w:rsidP="00D81E5B">
    <w:pPr>
      <w:pStyle w:val="Sinespaciado"/>
      <w:jc w:val="right"/>
      <w:rPr>
        <w:rFonts w:ascii="Arial" w:hAnsi="Arial" w:cs="Arial"/>
        <w:sz w:val="18"/>
        <w:szCs w:val="18"/>
      </w:rPr>
    </w:pPr>
  </w:p>
  <w:p w14:paraId="120D6A59" w14:textId="77777777" w:rsidR="00D81E5B" w:rsidRPr="008217B7" w:rsidRDefault="000965D3" w:rsidP="00D81E5B">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307A13">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307A13">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27B59CE5" w14:textId="77777777" w:rsidR="00D81E5B" w:rsidRDefault="000965D3" w:rsidP="00D81E5B">
    <w:pPr>
      <w:pStyle w:val="Piedepgina"/>
      <w:jc w:val="center"/>
      <w:rPr>
        <w:lang w:val="es-ES"/>
      </w:rPr>
    </w:pPr>
    <w:r>
      <w:rPr>
        <w:noProof/>
        <w:lang w:val="es-CO" w:eastAsia="es-CO"/>
      </w:rPr>
      <w:drawing>
        <wp:inline distT="0" distB="0" distL="0" distR="0" wp14:anchorId="467852E1" wp14:editId="11106060">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7D50B862" w14:textId="77777777" w:rsidR="00D81E5B" w:rsidRPr="00E756AC" w:rsidRDefault="00D81E5B" w:rsidP="00D81E5B">
    <w:pPr>
      <w:pStyle w:val="Piedepgina"/>
      <w:jc w:val="center"/>
      <w:rPr>
        <w:sz w:val="18"/>
        <w:szCs w:val="18"/>
        <w:lang w:val="es-ES"/>
      </w:rPr>
    </w:pPr>
  </w:p>
  <w:p w14:paraId="1CBE747A" w14:textId="77777777" w:rsidR="00D81E5B" w:rsidRPr="00E756AC" w:rsidRDefault="00D81E5B" w:rsidP="00D81E5B">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E89EB" w14:textId="77777777" w:rsidR="006B6873" w:rsidRDefault="006B6873" w:rsidP="003C7067">
      <w:r>
        <w:separator/>
      </w:r>
    </w:p>
  </w:footnote>
  <w:footnote w:type="continuationSeparator" w:id="0">
    <w:p w14:paraId="10526C35" w14:textId="77777777" w:rsidR="006B6873" w:rsidRDefault="006B6873" w:rsidP="003C7067">
      <w:r>
        <w:continuationSeparator/>
      </w:r>
    </w:p>
  </w:footnote>
  <w:footnote w:id="1">
    <w:p w14:paraId="4961F8C1" w14:textId="77777777" w:rsidR="000E542B" w:rsidRPr="00777868" w:rsidRDefault="000E542B" w:rsidP="000E542B">
      <w:pPr>
        <w:pStyle w:val="Textonotapie"/>
        <w:ind w:firstLine="709"/>
        <w:jc w:val="both"/>
        <w:rPr>
          <w:rFonts w:ascii="Arial" w:hAnsi="Arial" w:cs="Arial"/>
          <w:color w:val="000000" w:themeColor="text1"/>
          <w:sz w:val="18"/>
          <w:szCs w:val="18"/>
          <w:lang w:val="es-ES"/>
        </w:rPr>
      </w:pPr>
      <w:r w:rsidRPr="00777868">
        <w:rPr>
          <w:rStyle w:val="Refdenotaalpie"/>
          <w:rFonts w:ascii="Arial" w:hAnsi="Arial" w:cs="Arial"/>
          <w:color w:val="000000" w:themeColor="text1"/>
          <w:sz w:val="18"/>
          <w:szCs w:val="18"/>
        </w:rPr>
        <w:footnoteRef/>
      </w:r>
      <w:r w:rsidRPr="00777868">
        <w:rPr>
          <w:rFonts w:ascii="Arial" w:hAnsi="Arial" w:cs="Arial"/>
          <w:color w:val="000000" w:themeColor="text1"/>
          <w:sz w:val="18"/>
          <w:szCs w:val="18"/>
        </w:rPr>
        <w:t xml:space="preserve"> </w:t>
      </w:r>
      <w:r w:rsidRPr="00777868">
        <w:rPr>
          <w:rFonts w:ascii="Arial" w:hAnsi="Arial" w:cs="Arial"/>
          <w:color w:val="000000" w:themeColor="text1"/>
          <w:sz w:val="18"/>
          <w:szCs w:val="18"/>
          <w:lang w:val="es-ES"/>
        </w:rPr>
        <w:t>El tenor del artículo 20 es el siguiente: «En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4E90D9FB" w14:textId="77777777" w:rsidR="000E542B" w:rsidRPr="00777868" w:rsidRDefault="000E542B" w:rsidP="000E542B">
      <w:pPr>
        <w:pStyle w:val="Textonotapie"/>
        <w:ind w:firstLine="709"/>
        <w:jc w:val="both"/>
        <w:rPr>
          <w:rFonts w:ascii="Arial" w:hAnsi="Arial" w:cs="Arial"/>
          <w:color w:val="000000" w:themeColor="text1"/>
          <w:sz w:val="18"/>
          <w:szCs w:val="18"/>
          <w:lang w:val="es-ES"/>
        </w:rPr>
      </w:pPr>
      <w:proofErr w:type="gramStart"/>
      <w:r w:rsidRPr="00777868">
        <w:rPr>
          <w:rFonts w:ascii="Arial" w:hAnsi="Arial" w:cs="Arial"/>
          <w:color w:val="000000" w:themeColor="text1"/>
          <w:sz w:val="18"/>
          <w:szCs w:val="18"/>
          <w:lang w:val="es-ES"/>
        </w:rPr>
        <w:t>»Se</w:t>
      </w:r>
      <w:proofErr w:type="gramEnd"/>
      <w:r w:rsidRPr="00777868">
        <w:rPr>
          <w:rFonts w:ascii="Arial" w:hAnsi="Arial" w:cs="Arial"/>
          <w:color w:val="000000" w:themeColor="text1"/>
          <w:sz w:val="18"/>
          <w:szCs w:val="18"/>
          <w:lang w:val="es-ES"/>
        </w:rPr>
        <w:t xml:space="preserv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2607522B" w14:textId="77777777" w:rsidR="000E542B" w:rsidRPr="00777868" w:rsidRDefault="000E542B" w:rsidP="000E542B">
      <w:pPr>
        <w:pStyle w:val="Textonotapie"/>
        <w:ind w:firstLine="709"/>
        <w:jc w:val="both"/>
        <w:rPr>
          <w:rFonts w:ascii="Arial" w:hAnsi="Arial" w:cs="Arial"/>
          <w:color w:val="000000" w:themeColor="text1"/>
          <w:sz w:val="18"/>
          <w:szCs w:val="18"/>
          <w:lang w:val="es-ES"/>
        </w:rPr>
      </w:pPr>
      <w:r w:rsidRPr="00777868">
        <w:rPr>
          <w:rFonts w:ascii="Arial" w:hAnsi="Arial" w:cs="Arial"/>
          <w:color w:val="000000" w:themeColor="text1"/>
          <w:sz w:val="18"/>
          <w:szCs w:val="18"/>
          <w:lang w:val="es-ES"/>
        </w:rPr>
        <w:t>»PARÁGRAFO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3DB7969F" w14:textId="3978981B" w:rsidR="000E542B" w:rsidRPr="00BF1930" w:rsidRDefault="000E542B" w:rsidP="00BF1930">
      <w:pPr>
        <w:pStyle w:val="Textonotapie"/>
        <w:ind w:firstLine="709"/>
        <w:jc w:val="both"/>
        <w:rPr>
          <w:rFonts w:ascii="Arial" w:hAnsi="Arial" w:cs="Arial"/>
          <w:color w:val="000000" w:themeColor="text1"/>
          <w:sz w:val="18"/>
          <w:szCs w:val="18"/>
          <w:lang w:val="es-ES"/>
        </w:rPr>
      </w:pPr>
      <w:r w:rsidRPr="00777868">
        <w:rPr>
          <w:rFonts w:ascii="Arial" w:hAnsi="Arial" w:cs="Arial"/>
          <w:color w:val="000000" w:themeColor="text1"/>
          <w:sz w:val="18"/>
          <w:szCs w:val="18"/>
          <w:lang w:val="es-ES"/>
        </w:rPr>
        <w:t>»PARÁGRAFO 2o. Cuando para los efectos previstos en este artículo no se hubiere celebrado acuerdo, tratado o convenio, los proponentes de bienes y servicios de origen extranjero podrán participar en los procesos de contratación en las mismas condiciones y con los mismos requisitos exigidos a los nacionales colombianos, siempre y cuando en sus respectivos países los proponentes de bienes y servicios de origen colombiano gocen de iguales oportunidades. El Gobierno Nacional establecerá los mecanismos para asegurar el cumplimiento de la reciprocidad prevista en este parágrafo».</w:t>
      </w:r>
    </w:p>
  </w:footnote>
  <w:footnote w:id="2">
    <w:p w14:paraId="471A1859" w14:textId="77777777" w:rsidR="000E542B" w:rsidRPr="00A44397" w:rsidRDefault="000E542B" w:rsidP="000E542B">
      <w:pPr>
        <w:pStyle w:val="Textonotapie"/>
        <w:ind w:firstLine="709"/>
        <w:jc w:val="both"/>
        <w:rPr>
          <w:rFonts w:ascii="Arial" w:hAnsi="Arial" w:cs="Arial"/>
          <w:color w:val="000000" w:themeColor="text1"/>
          <w:sz w:val="19"/>
          <w:szCs w:val="19"/>
          <w:lang w:val="es-ES"/>
        </w:rPr>
      </w:pPr>
      <w:r w:rsidRPr="00A44397">
        <w:rPr>
          <w:rStyle w:val="Refdenotaalpie"/>
          <w:rFonts w:ascii="Arial" w:hAnsi="Arial" w:cs="Arial"/>
          <w:color w:val="000000" w:themeColor="text1"/>
          <w:sz w:val="19"/>
          <w:szCs w:val="19"/>
        </w:rPr>
        <w:footnoteRef/>
      </w:r>
      <w:r w:rsidRPr="00A44397">
        <w:rPr>
          <w:rFonts w:ascii="Arial" w:hAnsi="Arial" w:cs="Arial"/>
          <w:color w:val="000000" w:themeColor="text1"/>
          <w:sz w:val="19"/>
          <w:szCs w:val="19"/>
        </w:rPr>
        <w:t xml:space="preserve"> </w:t>
      </w:r>
      <w:r w:rsidRPr="00A44397">
        <w:rPr>
          <w:rFonts w:ascii="Arial" w:hAnsi="Arial" w:cs="Arial"/>
          <w:color w:val="000000" w:themeColor="text1"/>
          <w:sz w:val="19"/>
          <w:szCs w:val="19"/>
          <w:lang w:val="es-ES"/>
        </w:rPr>
        <w:t>Así lo reconoció la Agencia Nacional de Contratación Pública – Colombia Compra Eficiente en el Manual para el Manejo de los Acuerdos Comerciales en Procesos de Contratación, el cual puede consultarse en el siguiente sitio web:</w:t>
      </w:r>
    </w:p>
    <w:p w14:paraId="4F24DCDB" w14:textId="77777777" w:rsidR="000E542B" w:rsidRPr="00A44397" w:rsidRDefault="000E542B" w:rsidP="000E542B">
      <w:pPr>
        <w:pStyle w:val="Textonotapie"/>
        <w:ind w:firstLine="709"/>
        <w:jc w:val="both"/>
        <w:rPr>
          <w:rFonts w:ascii="Arial" w:hAnsi="Arial" w:cs="Arial"/>
          <w:color w:val="000000" w:themeColor="text1"/>
          <w:sz w:val="19"/>
          <w:szCs w:val="19"/>
          <w:lang w:val="es-CO"/>
        </w:rPr>
      </w:pPr>
      <w:r w:rsidRPr="00A44397">
        <w:rPr>
          <w:rFonts w:ascii="Arial" w:hAnsi="Arial" w:cs="Arial"/>
          <w:color w:val="000000" w:themeColor="text1"/>
          <w:sz w:val="19"/>
          <w:szCs w:val="19"/>
          <w:lang w:val="es-ES"/>
        </w:rPr>
        <w:t>https://www.colombiacompra.gov.co/sites/cce_public/files/cce_documents/cce_manual_acuerdos_comerciales.pdf</w:t>
      </w:r>
    </w:p>
  </w:footnote>
  <w:footnote w:id="3">
    <w:p w14:paraId="4282DDEE" w14:textId="77777777" w:rsidR="000E542B" w:rsidRDefault="000E542B" w:rsidP="000E542B">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«Artículo 2.2.1.2.4.1.3. Existencia de trato nacional.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14:paraId="3188D5D8" w14:textId="77777777" w:rsidR="000E542B" w:rsidRDefault="000E542B" w:rsidP="000E542B">
      <w:pPr>
        <w:pStyle w:val="Textonotapie"/>
        <w:ind w:firstLine="709"/>
        <w:jc w:val="both"/>
        <w:rPr>
          <w:rFonts w:ascii="Arial" w:hAnsi="Arial" w:cs="Arial"/>
          <w:color w:val="000000" w:themeColor="text1"/>
          <w:sz w:val="19"/>
          <w:szCs w:val="19"/>
          <w:lang w:val="es-ES"/>
        </w:rPr>
      </w:pPr>
      <w:r>
        <w:rPr>
          <w:rFonts w:ascii="Arial" w:hAnsi="Arial" w:cs="Arial"/>
          <w:color w:val="000000" w:themeColor="text1"/>
          <w:sz w:val="19"/>
          <w:szCs w:val="19"/>
          <w:lang w:val="es-ES"/>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5AC30871" w14:textId="700B26E6" w:rsidR="00BF1930" w:rsidRPr="00BF1930" w:rsidRDefault="000E542B" w:rsidP="00BF1930">
      <w:pPr>
        <w:pStyle w:val="Textonotapie"/>
        <w:ind w:firstLine="709"/>
        <w:jc w:val="both"/>
        <w:rPr>
          <w:rFonts w:ascii="Arial" w:hAnsi="Arial" w:cs="Arial"/>
          <w:color w:val="000000" w:themeColor="text1"/>
          <w:sz w:val="19"/>
          <w:szCs w:val="19"/>
          <w:lang w:val="es-ES"/>
        </w:rPr>
      </w:pPr>
      <w:r>
        <w:rPr>
          <w:rFonts w:ascii="Arial" w:hAnsi="Arial" w:cs="Arial"/>
          <w:color w:val="000000" w:themeColor="text1"/>
          <w:sz w:val="19"/>
          <w:szCs w:val="19"/>
          <w:lang w:val="es-ES"/>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footnote>
  <w:footnote w:id="4">
    <w:p w14:paraId="175DCDA2" w14:textId="37741A04" w:rsidR="000E542B" w:rsidRPr="00BF1930" w:rsidRDefault="000E542B" w:rsidP="00BF1930">
      <w:pPr>
        <w:tabs>
          <w:tab w:val="left" w:pos="0"/>
        </w:tabs>
        <w:ind w:firstLine="709"/>
        <w:jc w:val="both"/>
        <w:rPr>
          <w:rFonts w:ascii="Arial" w:eastAsia="Calibri" w:hAnsi="Arial" w:cs="Arial"/>
          <w:bCs/>
          <w:color w:val="000000" w:themeColor="text1"/>
          <w:sz w:val="19"/>
          <w:szCs w:val="19"/>
          <w:lang w:val="es-ES_tradnl"/>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eastAsia="Calibri" w:hAnsi="Arial" w:cs="Arial"/>
          <w:bCs/>
          <w:color w:val="000000" w:themeColor="text1"/>
          <w:sz w:val="19"/>
          <w:szCs w:val="19"/>
          <w:lang w:val="es-ES_tradnl"/>
        </w:rPr>
        <w:t>Como lo ha indicado la Corte Constitucional, «La cláusula del trato nacional es una clásica manifestación del principio de igualdad en las relaciones internacionales. Su objetivo apunta a que las mercancías que ingresan a un Estado Parte no sean sometidas a un trato discriminatorio en relación con los productos del país receptor. En otras palabras, se busca asegurar la existencia de unas reglas de competencia leal y transparente entre el producto importado y el nacional. La existencia de tales cláusulas-tipo en los tratados internacionales de integración o de inversión extranjera siempre ha sido considerada conforme con la Constitución por la Corte» (Sentencia C-608/10, M.P. Humberto Antonio Sierra Porto).</w:t>
      </w:r>
    </w:p>
  </w:footnote>
  <w:footnote w:id="5">
    <w:p w14:paraId="00AEAEAD" w14:textId="54DD7EAD" w:rsidR="000E542B" w:rsidRDefault="000E542B" w:rsidP="00BF1930">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Aprobado mediante Ley 1241 de 2008.</w:t>
      </w:r>
    </w:p>
  </w:footnote>
  <w:footnote w:id="6">
    <w:p w14:paraId="486FC564" w14:textId="77777777" w:rsidR="000E542B" w:rsidRDefault="000E542B" w:rsidP="000E542B">
      <w:pPr>
        <w:pStyle w:val="Textonotapie"/>
        <w:ind w:firstLine="709"/>
        <w:jc w:val="both"/>
        <w:rPr>
          <w:rFonts w:ascii="Arial" w:hAnsi="Arial" w:cs="Arial"/>
          <w:color w:val="000000" w:themeColor="text1"/>
          <w:sz w:val="19"/>
          <w:szCs w:val="19"/>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Aprobado por la Ley 1143 de 2007.</w:t>
      </w:r>
    </w:p>
  </w:footnote>
  <w:footnote w:id="7">
    <w:p w14:paraId="02F45D0F" w14:textId="77777777" w:rsidR="000E542B" w:rsidRDefault="000E542B" w:rsidP="000E542B">
      <w:pPr>
        <w:pStyle w:val="Textonotapie"/>
        <w:ind w:firstLine="709"/>
        <w:jc w:val="both"/>
        <w:rPr>
          <w:rFonts w:ascii="Arial" w:hAnsi="Arial" w:cs="Arial"/>
          <w:color w:val="000000" w:themeColor="text1"/>
          <w:sz w:val="19"/>
          <w:szCs w:val="19"/>
          <w:lang w:val="es-CO"/>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Esta información puede consultarse en el siguiente enlace: https://www.colombiacompra.gov.co/compradores/acuerdos-comerciales-y-trato-nacional-por-reciprocidad</w:t>
      </w:r>
    </w:p>
  </w:footnote>
  <w:footnote w:id="8">
    <w:p w14:paraId="428F419D" w14:textId="77777777" w:rsidR="000E542B" w:rsidRDefault="000E542B" w:rsidP="000E542B">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Por ejemplo, la nota 2 del Anexo 9.1 del tratado de libre comercio entre Colombia y los Estados Unidos de Norteamérica dispone que, si bien el Ministerio de Defensa Nacional es una entidad cubierta, «No estarán cubiertas por este Capítulo las contrataciones de bienes contenidas en la Sección 2 (Alimentos, Bebidas y Tabaco; Textil y Confección y Productos de Cuero) del Clasificador Central de Productos (CPC versión 1.0) de las Naciones Unidas, para el Comando General de las Fuerzas Militares, el Ejército Nacional, la Armada Nacional, la Fuerza Aérea Colombiana, y la Policía Nacional».</w:t>
      </w:r>
    </w:p>
    <w:p w14:paraId="0CD4EC58" w14:textId="77777777" w:rsidR="000E542B" w:rsidRDefault="000E542B" w:rsidP="000E542B">
      <w:pPr>
        <w:pStyle w:val="Textonotapie"/>
        <w:ind w:firstLine="709"/>
        <w:jc w:val="both"/>
        <w:rPr>
          <w:rFonts w:ascii="Arial" w:hAnsi="Arial" w:cs="Arial"/>
          <w:color w:val="000000" w:themeColor="text1"/>
          <w:sz w:val="19"/>
          <w:szCs w:val="19"/>
          <w:lang w:val="es-ES"/>
        </w:rPr>
      </w:pPr>
    </w:p>
  </w:footnote>
  <w:footnote w:id="9">
    <w:p w14:paraId="5F7BAA4F" w14:textId="77777777" w:rsidR="000E542B" w:rsidRDefault="000E542B" w:rsidP="000E542B">
      <w:pPr>
        <w:ind w:firstLine="709"/>
        <w:jc w:val="both"/>
        <w:rPr>
          <w:rFonts w:ascii="Arial" w:hAnsi="Arial" w:cs="Arial"/>
          <w:color w:val="000000" w:themeColor="text1"/>
          <w:sz w:val="19"/>
          <w:szCs w:val="19"/>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Esta es la tesis que ha prohijado esta Agencia en el Manual para el Manejo de los Acuerdos Comerciales en Procesos de Contratación, en las siguientes palabras: «La Entidad Estatal también debe conceder el mismo trato que da a los bienes y servicios colombianos a aquellos bienes y servicios de Estados con los cuales, a pesar de no existir un Acuerdo Comercial, el Gobierno Nacional ha certificado reciprocidad. Es decir, cuando el Gobierno Nacional con base en la revisión y comparación de la normativa en materia de compra pública de dicho Estado, ha certificado que en ese Estado los bienes y servicios colombianos gozan del mismo trato que los bienes y servicios de dicho Estado o que no existe en dicho Estado ninguna medida que fomente el desarrollo local o mejore las cuentas de la balanza de pagos. Las certificaciones expedidas por el Ministerio de Relaciones Exteriores están publicadas en la página web de Colombia Compra Eficiente (https://www.colombiacompra.gov.co/compradores/secop-i/certificados-de-trato-nacional-por-reciprocidad), y su contenido debe ser verificado pues no en todos los casos la Entidad Estatal debe conceder dicho trato.</w:t>
      </w:r>
    </w:p>
    <w:p w14:paraId="26417756" w14:textId="77777777" w:rsidR="000E542B" w:rsidRDefault="000E542B" w:rsidP="000E542B">
      <w:pPr>
        <w:ind w:firstLine="709"/>
        <w:jc w:val="both"/>
        <w:rPr>
          <w:rFonts w:ascii="Arial" w:hAnsi="Arial" w:cs="Arial"/>
          <w:color w:val="000000" w:themeColor="text1"/>
          <w:sz w:val="19"/>
          <w:szCs w:val="19"/>
        </w:rPr>
      </w:pPr>
      <w:r>
        <w:rPr>
          <w:rFonts w:ascii="Arial" w:hAnsi="Arial" w:cs="Arial"/>
          <w:color w:val="000000" w:themeColor="text1"/>
          <w:sz w:val="19"/>
          <w:szCs w:val="19"/>
        </w:rPr>
        <w:t>»La existencia de un Acuerdo Comercial que prevea trato nacional en materia de contratación pública excluye la posibilidad de que el Gobierno Nacional certifique trato nacional por reciprocidad.</w:t>
      </w:r>
    </w:p>
    <w:p w14:paraId="6957D63A" w14:textId="4F7763F1" w:rsidR="000E542B" w:rsidRDefault="000E542B" w:rsidP="00BF1930">
      <w:pPr>
        <w:ind w:firstLine="709"/>
        <w:jc w:val="both"/>
        <w:rPr>
          <w:rFonts w:ascii="Arial" w:hAnsi="Arial" w:cs="Arial"/>
          <w:color w:val="000000" w:themeColor="text1"/>
          <w:sz w:val="19"/>
          <w:szCs w:val="19"/>
        </w:rPr>
      </w:pPr>
      <w:r>
        <w:rPr>
          <w:rFonts w:ascii="Arial" w:hAnsi="Arial" w:cs="Arial"/>
          <w:color w:val="000000" w:themeColor="text1"/>
          <w:sz w:val="19"/>
          <w:szCs w:val="19"/>
        </w:rPr>
        <w:t xml:space="preserve">»Así, por ejemplo, en ningún caso el Ministerio de Relaciones Exteriores podrá certificar trato nacional por reciprocidad con México, pues existe un Acuerdo Comercial con dicho Estado». </w:t>
      </w:r>
    </w:p>
  </w:footnote>
  <w:footnote w:id="10">
    <w:p w14:paraId="69C25545" w14:textId="77777777" w:rsidR="000E542B" w:rsidRDefault="000E542B" w:rsidP="000E542B">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La Comunidad Andina de Naciones –CAN– es un mecanismo subregional de integración creado mediante el Acuerdo de Cartagena del 26 de mayo de 1969, entre Bolivia, Colombia, Ecuador, Perú y Venezuela. Este último país perteneció a la Comunidad hasta el 2006.</w:t>
      </w:r>
    </w:p>
    <w:p w14:paraId="5F4E2EFA" w14:textId="77777777" w:rsidR="000E542B" w:rsidRDefault="000E542B" w:rsidP="000E542B">
      <w:pPr>
        <w:pStyle w:val="Textonotapie"/>
        <w:ind w:firstLine="709"/>
        <w:jc w:val="both"/>
        <w:rPr>
          <w:rFonts w:ascii="Arial" w:hAnsi="Arial" w:cs="Arial"/>
          <w:color w:val="000000" w:themeColor="text1"/>
          <w:sz w:val="19"/>
          <w:szCs w:val="19"/>
          <w:lang w:val="es-ES"/>
        </w:rPr>
      </w:pPr>
    </w:p>
  </w:footnote>
  <w:footnote w:id="11">
    <w:p w14:paraId="556D10C6" w14:textId="77777777" w:rsidR="000E542B" w:rsidRDefault="000E542B" w:rsidP="000E542B">
      <w:pPr>
        <w:pStyle w:val="Textonotapie"/>
        <w:ind w:firstLine="709"/>
        <w:jc w:val="both"/>
        <w:rPr>
          <w:rFonts w:ascii="Arial" w:hAnsi="Arial" w:cs="Arial"/>
          <w:color w:val="000000" w:themeColor="text1"/>
          <w:sz w:val="19"/>
          <w:szCs w:val="19"/>
          <w:lang w:val="es-ES"/>
        </w:rPr>
      </w:pPr>
      <w:r>
        <w:rPr>
          <w:rStyle w:val="Refdenotaalpie"/>
          <w:rFonts w:ascii="Arial" w:hAnsi="Arial" w:cs="Arial"/>
          <w:color w:val="000000" w:themeColor="text1"/>
          <w:sz w:val="19"/>
          <w:szCs w:val="19"/>
        </w:rPr>
        <w:footnoteRef/>
      </w:r>
      <w:r>
        <w:rPr>
          <w:rFonts w:ascii="Arial" w:hAnsi="Arial" w:cs="Arial"/>
          <w:color w:val="000000" w:themeColor="text1"/>
          <w:sz w:val="19"/>
          <w:szCs w:val="19"/>
        </w:rPr>
        <w:t xml:space="preserve"> </w:t>
      </w:r>
      <w:r>
        <w:rPr>
          <w:rFonts w:ascii="Arial" w:hAnsi="Arial" w:cs="Arial"/>
          <w:color w:val="000000" w:themeColor="text1"/>
          <w:sz w:val="19"/>
          <w:szCs w:val="19"/>
          <w:lang w:val="es-ES"/>
        </w:rPr>
        <w:t xml:space="preserve">«26. "Pacta sunt </w:t>
      </w:r>
      <w:proofErr w:type="spellStart"/>
      <w:r>
        <w:rPr>
          <w:rFonts w:ascii="Arial" w:hAnsi="Arial" w:cs="Arial"/>
          <w:color w:val="000000" w:themeColor="text1"/>
          <w:sz w:val="19"/>
          <w:szCs w:val="19"/>
          <w:lang w:val="es-ES"/>
        </w:rPr>
        <w:t>servanda</w:t>
      </w:r>
      <w:proofErr w:type="spellEnd"/>
      <w:r>
        <w:rPr>
          <w:rFonts w:ascii="Arial" w:hAnsi="Arial" w:cs="Arial"/>
          <w:color w:val="000000" w:themeColor="text1"/>
          <w:sz w:val="19"/>
          <w:szCs w:val="19"/>
          <w:lang w:val="es-ES"/>
        </w:rPr>
        <w:t>". Todo tratado en vigor obliga a las partes y debe ser cumplido por ellas de buena fe.</w:t>
      </w:r>
    </w:p>
    <w:p w14:paraId="5429619B" w14:textId="77777777" w:rsidR="000E542B" w:rsidRDefault="000E542B" w:rsidP="000E542B">
      <w:pPr>
        <w:pStyle w:val="Textonotapie"/>
        <w:ind w:firstLine="709"/>
        <w:jc w:val="both"/>
        <w:rPr>
          <w:rFonts w:ascii="Arial" w:hAnsi="Arial" w:cs="Arial"/>
          <w:color w:val="000000" w:themeColor="text1"/>
          <w:sz w:val="19"/>
          <w:szCs w:val="19"/>
          <w:lang w:val="es-ES"/>
        </w:rPr>
      </w:pPr>
      <w:r>
        <w:rPr>
          <w:rFonts w:ascii="Arial" w:hAnsi="Arial" w:cs="Arial"/>
          <w:color w:val="000000" w:themeColor="text1"/>
          <w:sz w:val="19"/>
          <w:szCs w:val="19"/>
          <w:lang w:val="es-ES"/>
        </w:rPr>
        <w:t>»27. El derecho interno y la observancia de los tratados. Una parte no podrá invocar las disposiciones de su derecho interno como justificación del incumplimiento de un tratado.</w:t>
      </w:r>
    </w:p>
    <w:p w14:paraId="550BB046" w14:textId="498BAA0A" w:rsidR="000E542B" w:rsidRDefault="000E542B" w:rsidP="00BF1930">
      <w:pPr>
        <w:pStyle w:val="Textonotapie"/>
        <w:ind w:firstLine="709"/>
        <w:jc w:val="both"/>
        <w:rPr>
          <w:rFonts w:ascii="Arial" w:hAnsi="Arial" w:cs="Arial"/>
          <w:color w:val="000000" w:themeColor="text1"/>
          <w:sz w:val="19"/>
          <w:szCs w:val="19"/>
          <w:lang w:val="es-ES"/>
        </w:rPr>
      </w:pPr>
      <w:r>
        <w:rPr>
          <w:rFonts w:ascii="Arial" w:hAnsi="Arial" w:cs="Arial"/>
          <w:color w:val="000000" w:themeColor="text1"/>
          <w:sz w:val="19"/>
          <w:szCs w:val="19"/>
          <w:lang w:val="es-ES"/>
        </w:rPr>
        <w:t xml:space="preserve">»[…]». </w:t>
      </w:r>
    </w:p>
  </w:footnote>
  <w:footnote w:id="12">
    <w:p w14:paraId="63D9D227" w14:textId="77777777" w:rsidR="00406B39" w:rsidRDefault="00406B39" w:rsidP="00406B39">
      <w:pPr>
        <w:pStyle w:val="Textonotapie"/>
        <w:ind w:firstLine="708"/>
        <w:jc w:val="both"/>
        <w:rPr>
          <w:rFonts w:ascii="Arial" w:hAnsi="Arial" w:cs="Arial"/>
          <w:sz w:val="19"/>
          <w:szCs w:val="19"/>
          <w:lang w:val="es-ES"/>
        </w:rPr>
      </w:pPr>
      <w:r w:rsidRPr="004103EF">
        <w:rPr>
          <w:rStyle w:val="Refdenotaalpie"/>
          <w:rFonts w:ascii="Arial" w:hAnsi="Arial" w:cs="Arial"/>
          <w:sz w:val="19"/>
          <w:szCs w:val="19"/>
        </w:rPr>
        <w:footnoteRef/>
      </w:r>
      <w:r w:rsidRPr="004103EF">
        <w:rPr>
          <w:rFonts w:ascii="Arial" w:hAnsi="Arial" w:cs="Arial"/>
          <w:sz w:val="19"/>
          <w:szCs w:val="19"/>
        </w:rPr>
        <w:t xml:space="preserve"> </w:t>
      </w:r>
      <w:r w:rsidRPr="004103EF">
        <w:rPr>
          <w:rFonts w:ascii="Arial" w:hAnsi="Arial" w:cs="Arial"/>
          <w:sz w:val="19"/>
          <w:szCs w:val="19"/>
          <w:lang w:val="es-ES"/>
        </w:rPr>
        <w:t xml:space="preserve">Gaceta del Congreso. Cámara de Representantes. Año X – No. 642, 11 de diciembre de 2001. Disponible en: </w:t>
      </w:r>
      <w:hyperlink r:id="rId1" w:history="1">
        <w:r w:rsidRPr="004103EF">
          <w:rPr>
            <w:rFonts w:ascii="Arial" w:hAnsi="Arial" w:cs="Arial"/>
            <w:sz w:val="19"/>
            <w:szCs w:val="19"/>
            <w:lang w:val="es-ES"/>
          </w:rPr>
          <w:t>GACETAS DEL CONGRESO (imprenta.gov.co)</w:t>
        </w:r>
      </w:hyperlink>
    </w:p>
    <w:p w14:paraId="36601542" w14:textId="77777777" w:rsidR="00406B39" w:rsidRPr="004103EF" w:rsidRDefault="00406B39" w:rsidP="00406B39">
      <w:pPr>
        <w:pStyle w:val="Textonotapie"/>
        <w:ind w:firstLine="708"/>
        <w:jc w:val="both"/>
        <w:rPr>
          <w:rFonts w:ascii="Arial" w:hAnsi="Arial" w:cs="Arial"/>
          <w:sz w:val="19"/>
          <w:szCs w:val="19"/>
        </w:rPr>
      </w:pPr>
    </w:p>
  </w:footnote>
  <w:footnote w:id="13">
    <w:p w14:paraId="1F1C5ED1" w14:textId="77777777" w:rsidR="00406B39" w:rsidRPr="004103EF" w:rsidRDefault="00406B39" w:rsidP="00587D29">
      <w:pPr>
        <w:pStyle w:val="NormalWeb"/>
        <w:shd w:val="clear" w:color="auto" w:fill="FFFFFF"/>
        <w:spacing w:before="0" w:beforeAutospacing="0" w:after="0" w:afterAutospacing="0"/>
        <w:ind w:firstLine="709"/>
        <w:jc w:val="both"/>
        <w:rPr>
          <w:rFonts w:ascii="Arial" w:hAnsi="Arial" w:cs="Arial"/>
          <w:sz w:val="19"/>
          <w:szCs w:val="19"/>
        </w:rPr>
      </w:pPr>
      <w:r w:rsidRPr="004103EF">
        <w:rPr>
          <w:rStyle w:val="Refdenotaalpie"/>
          <w:rFonts w:ascii="Arial" w:hAnsi="Arial" w:cs="Arial"/>
          <w:sz w:val="19"/>
          <w:szCs w:val="19"/>
        </w:rPr>
        <w:footnoteRef/>
      </w:r>
      <w:r w:rsidRPr="004103EF">
        <w:rPr>
          <w:rFonts w:ascii="Arial" w:hAnsi="Arial" w:cs="Arial"/>
          <w:sz w:val="19"/>
          <w:szCs w:val="19"/>
        </w:rPr>
        <w:t xml:space="preserve"> Decreto 1082 de 2015: «Artículo </w:t>
      </w:r>
      <w:bookmarkStart w:id="1" w:name="2.2.1.2.4.1.3"/>
      <w:bookmarkEnd w:id="1"/>
      <w:r w:rsidRPr="004103EF">
        <w:rPr>
          <w:rFonts w:ascii="Arial" w:hAnsi="Arial" w:cs="Arial"/>
          <w:sz w:val="19"/>
          <w:szCs w:val="19"/>
        </w:rPr>
        <w:t>2.2.1.2.4.1.3.</w:t>
      </w:r>
      <w:r w:rsidRPr="004103EF">
        <w:rPr>
          <w:rFonts w:ascii="Arial" w:hAnsi="Arial" w:cs="Arial"/>
          <w:i/>
          <w:iCs/>
          <w:sz w:val="19"/>
          <w:szCs w:val="19"/>
        </w:rPr>
        <w:t> </w:t>
      </w:r>
      <w:r w:rsidRPr="004103EF">
        <w:rPr>
          <w:rFonts w:ascii="Arial" w:hAnsi="Arial" w:cs="Arial"/>
          <w:sz w:val="19"/>
          <w:szCs w:val="19"/>
        </w:rPr>
        <w:t>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1E6E499A" w14:textId="77777777" w:rsidR="00406B39" w:rsidRPr="004103EF" w:rsidRDefault="00406B39" w:rsidP="00587D29">
      <w:pPr>
        <w:shd w:val="clear" w:color="auto" w:fill="FFFFFF"/>
        <w:ind w:firstLine="709"/>
        <w:jc w:val="both"/>
        <w:rPr>
          <w:rFonts w:ascii="Arial" w:hAnsi="Arial" w:cs="Arial"/>
          <w:sz w:val="19"/>
          <w:szCs w:val="19"/>
          <w:lang w:eastAsia="es-CO"/>
        </w:rPr>
      </w:pPr>
      <w:r w:rsidRPr="004103EF">
        <w:rPr>
          <w:rFonts w:ascii="Arial" w:hAnsi="Arial" w:cs="Arial"/>
          <w:sz w:val="19"/>
          <w:szCs w:val="19"/>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0E115DAF" w14:textId="0051BDF2" w:rsidR="00406B39" w:rsidRPr="004103EF" w:rsidRDefault="00406B39" w:rsidP="00587D29">
      <w:pPr>
        <w:shd w:val="clear" w:color="auto" w:fill="FFFFFF"/>
        <w:ind w:firstLine="708"/>
        <w:jc w:val="both"/>
        <w:rPr>
          <w:rFonts w:ascii="Arial" w:hAnsi="Arial" w:cs="Arial"/>
          <w:sz w:val="19"/>
          <w:szCs w:val="19"/>
          <w:lang w:eastAsia="es-CO"/>
        </w:rPr>
      </w:pPr>
      <w:r w:rsidRPr="004103EF">
        <w:rPr>
          <w:rFonts w:ascii="Arial" w:hAnsi="Arial" w:cs="Arial"/>
          <w:sz w:val="19"/>
          <w:szCs w:val="19"/>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footnote>
  <w:footnote w:id="14">
    <w:p w14:paraId="4B43CE54" w14:textId="77777777" w:rsidR="00406B39" w:rsidRPr="00203F1C" w:rsidRDefault="00406B39" w:rsidP="00406B39">
      <w:pPr>
        <w:ind w:firstLine="708"/>
        <w:jc w:val="both"/>
        <w:rPr>
          <w:rFonts w:ascii="Arial" w:hAnsi="Arial" w:cs="Arial"/>
          <w:color w:val="000000"/>
          <w:sz w:val="19"/>
          <w:szCs w:val="19"/>
          <w:lang w:eastAsia="es-CO"/>
        </w:rPr>
      </w:pPr>
      <w:r w:rsidRPr="00203F1C">
        <w:rPr>
          <w:rStyle w:val="Refdenotaalpie"/>
          <w:rFonts w:ascii="Arial" w:hAnsi="Arial" w:cs="Arial"/>
          <w:sz w:val="19"/>
          <w:szCs w:val="19"/>
        </w:rPr>
        <w:footnoteRef/>
      </w:r>
      <w:r w:rsidRPr="00203F1C">
        <w:rPr>
          <w:rFonts w:ascii="Arial" w:hAnsi="Arial" w:cs="Arial"/>
          <w:sz w:val="19"/>
          <w:szCs w:val="19"/>
        </w:rPr>
        <w:t xml:space="preserve"> </w:t>
      </w:r>
      <w:r>
        <w:rPr>
          <w:rFonts w:ascii="Arial" w:hAnsi="Arial" w:cs="Arial"/>
          <w:sz w:val="19"/>
          <w:szCs w:val="19"/>
        </w:rPr>
        <w:t xml:space="preserve">Decreto 1082 de 2015: </w:t>
      </w:r>
      <w:r w:rsidRPr="00203F1C">
        <w:rPr>
          <w:rFonts w:ascii="Arial" w:hAnsi="Arial" w:cs="Arial"/>
          <w:b/>
          <w:bCs/>
          <w:color w:val="000000"/>
          <w:sz w:val="19"/>
          <w:szCs w:val="19"/>
          <w:lang w:eastAsia="es-CO"/>
        </w:rPr>
        <w:t>«</w:t>
      </w:r>
      <w:r w:rsidRPr="00203F1C">
        <w:rPr>
          <w:rFonts w:ascii="Arial" w:hAnsi="Arial" w:cs="Arial"/>
          <w:color w:val="000000"/>
          <w:sz w:val="19"/>
          <w:szCs w:val="19"/>
          <w:lang w:eastAsia="es-CO"/>
        </w:rPr>
        <w:t>Artículo 2.2.1.1.2.1.3. Pliegos de condiciones. Los pliegos de condiciones deben contener por lo menos la siguiente información: </w:t>
      </w:r>
    </w:p>
    <w:p w14:paraId="034F387F" w14:textId="77777777" w:rsidR="00406B39" w:rsidRPr="00203F1C" w:rsidRDefault="00406B39" w:rsidP="00406B39">
      <w:pPr>
        <w:ind w:firstLine="708"/>
        <w:jc w:val="both"/>
        <w:rPr>
          <w:rFonts w:ascii="Arial" w:hAnsi="Arial" w:cs="Arial"/>
          <w:color w:val="000000"/>
          <w:sz w:val="19"/>
          <w:szCs w:val="19"/>
          <w:lang w:eastAsia="es-CO"/>
        </w:rPr>
      </w:pPr>
      <w:r w:rsidRPr="00203F1C">
        <w:rPr>
          <w:rFonts w:ascii="Arial" w:hAnsi="Arial" w:cs="Arial"/>
          <w:color w:val="000000"/>
          <w:sz w:val="19"/>
          <w:szCs w:val="19"/>
          <w:lang w:eastAsia="es-CO"/>
        </w:rPr>
        <w:t>[…]</w:t>
      </w:r>
    </w:p>
    <w:p w14:paraId="11371AA9" w14:textId="77777777" w:rsidR="00406B39" w:rsidRPr="00203F1C" w:rsidRDefault="00406B39" w:rsidP="00406B39">
      <w:pPr>
        <w:jc w:val="both"/>
        <w:rPr>
          <w:rFonts w:ascii="Arial" w:hAnsi="Arial" w:cs="Arial"/>
          <w:color w:val="000000"/>
          <w:sz w:val="19"/>
          <w:szCs w:val="19"/>
          <w:lang w:eastAsia="es-CO"/>
        </w:rPr>
      </w:pPr>
      <w:r w:rsidRPr="00203F1C">
        <w:rPr>
          <w:rFonts w:ascii="Arial" w:hAnsi="Arial" w:cs="Arial"/>
          <w:color w:val="000000"/>
          <w:sz w:val="19"/>
          <w:szCs w:val="19"/>
          <w:lang w:eastAsia="es-CO"/>
        </w:rPr>
        <w:t>  </w:t>
      </w:r>
      <w:r w:rsidRPr="00203F1C">
        <w:rPr>
          <w:rFonts w:ascii="Arial" w:hAnsi="Arial" w:cs="Arial"/>
          <w:color w:val="000000"/>
          <w:sz w:val="19"/>
          <w:szCs w:val="19"/>
          <w:lang w:eastAsia="es-CO"/>
        </w:rPr>
        <w:tab/>
        <w:t>»3. Los criterios de selección, incluyendo los factores de desempate y los incentivos cuando a ello haya lugar. </w:t>
      </w:r>
    </w:p>
    <w:p w14:paraId="0A06738E" w14:textId="77777777" w:rsidR="00406B39" w:rsidRPr="00203F1C" w:rsidRDefault="00406B39" w:rsidP="00406B39">
      <w:pPr>
        <w:jc w:val="both"/>
        <w:rPr>
          <w:rFonts w:ascii="Arial" w:hAnsi="Arial" w:cs="Arial"/>
          <w:color w:val="000000"/>
          <w:sz w:val="19"/>
          <w:szCs w:val="19"/>
          <w:lang w:eastAsia="es-CO"/>
        </w:rPr>
      </w:pPr>
      <w:r w:rsidRPr="00203F1C">
        <w:rPr>
          <w:rFonts w:ascii="Arial" w:hAnsi="Arial" w:cs="Arial"/>
          <w:color w:val="000000"/>
          <w:sz w:val="19"/>
          <w:szCs w:val="19"/>
          <w:lang w:eastAsia="es-CO"/>
        </w:rPr>
        <w:t>  </w:t>
      </w:r>
      <w:r w:rsidRPr="00203F1C">
        <w:rPr>
          <w:rFonts w:ascii="Arial" w:hAnsi="Arial" w:cs="Arial"/>
          <w:color w:val="000000"/>
          <w:sz w:val="19"/>
          <w:szCs w:val="19"/>
          <w:lang w:eastAsia="es-CO"/>
        </w:rPr>
        <w:tab/>
        <w:t>[…]</w:t>
      </w:r>
    </w:p>
    <w:p w14:paraId="73723105" w14:textId="70251385" w:rsidR="00406B39" w:rsidRPr="00587D29" w:rsidRDefault="00406B39" w:rsidP="00587D29">
      <w:pPr>
        <w:ind w:firstLine="708"/>
        <w:jc w:val="both"/>
        <w:rPr>
          <w:rFonts w:ascii="Arial" w:hAnsi="Arial" w:cs="Arial"/>
          <w:color w:val="000000"/>
          <w:sz w:val="19"/>
          <w:szCs w:val="19"/>
          <w:lang w:eastAsia="es-CO"/>
        </w:rPr>
      </w:pPr>
      <w:r w:rsidRPr="00203F1C">
        <w:rPr>
          <w:rFonts w:ascii="Arial" w:hAnsi="Arial" w:cs="Arial"/>
          <w:color w:val="000000"/>
          <w:sz w:val="19"/>
          <w:szCs w:val="19"/>
          <w:lang w:eastAsia="es-CO"/>
        </w:rPr>
        <w:t>»5. Las reglas aplicables a la presentación de las ofertas, su evaluación y a la adjudicación del contrato […]».</w:t>
      </w:r>
    </w:p>
  </w:footnote>
  <w:footnote w:id="15">
    <w:p w14:paraId="14FB3ED0" w14:textId="77777777" w:rsidR="001D1F01" w:rsidRPr="002204D9" w:rsidDel="007628C9" w:rsidRDefault="001D1F01" w:rsidP="001D1F01">
      <w:pPr>
        <w:tabs>
          <w:tab w:val="left" w:pos="-142"/>
        </w:tabs>
        <w:autoSpaceDE w:val="0"/>
        <w:autoSpaceDN w:val="0"/>
        <w:adjustRightInd w:val="0"/>
        <w:spacing w:before="120" w:after="120"/>
        <w:outlineLvl w:val="0"/>
        <w:rPr>
          <w:rFonts w:ascii="Arial" w:hAnsi="Arial" w:cs="Arial"/>
          <w:sz w:val="19"/>
          <w:szCs w:val="19"/>
          <w:highlight w:val="lightGray"/>
          <w:lang w:eastAsia="es-ES"/>
        </w:rPr>
      </w:pPr>
      <w:r>
        <w:rPr>
          <w:rFonts w:ascii="Arial" w:hAnsi="Arial" w:cs="Arial"/>
          <w:sz w:val="19"/>
          <w:szCs w:val="19"/>
        </w:rPr>
        <w:tab/>
      </w:r>
      <w:r w:rsidRPr="002204D9">
        <w:rPr>
          <w:rStyle w:val="Refdenotaalpie"/>
          <w:rFonts w:ascii="Arial" w:hAnsi="Arial" w:cs="Arial"/>
          <w:sz w:val="19"/>
          <w:szCs w:val="19"/>
        </w:rPr>
        <w:footnoteRef/>
      </w:r>
      <w:r w:rsidRPr="002204D9">
        <w:rPr>
          <w:rFonts w:ascii="Arial" w:hAnsi="Arial" w:cs="Arial"/>
          <w:sz w:val="19"/>
          <w:szCs w:val="19"/>
        </w:rPr>
        <w:t xml:space="preserve"> </w:t>
      </w:r>
      <w:r w:rsidRPr="002204D9" w:rsidDel="007628C9">
        <w:rPr>
          <w:rFonts w:ascii="Arial" w:hAnsi="Arial" w:cs="Arial"/>
          <w:b/>
          <w:bCs/>
          <w:sz w:val="19"/>
          <w:szCs w:val="19"/>
          <w:lang w:val="es-ES" w:eastAsia="es-ES"/>
        </w:rPr>
        <w:t>FORMATO 9A – PROMOCIÓN DE SERVICIOS NACIONALES O CON TRATO NACIONAL</w:t>
      </w:r>
    </w:p>
    <w:p w14:paraId="05A5772D" w14:textId="77777777" w:rsidR="001D1F01" w:rsidRPr="002204D9" w:rsidRDefault="001D1F01" w:rsidP="001D1F01">
      <w:pPr>
        <w:ind w:firstLine="707"/>
        <w:jc w:val="both"/>
        <w:rPr>
          <w:rFonts w:ascii="Arial" w:hAnsi="Arial" w:cs="Arial"/>
          <w:sz w:val="19"/>
          <w:szCs w:val="19"/>
        </w:rPr>
      </w:pPr>
      <w:r w:rsidRPr="002204D9">
        <w:rPr>
          <w:rFonts w:ascii="Arial" w:hAnsi="Arial" w:cs="Arial"/>
          <w:sz w:val="19"/>
          <w:szCs w:val="19"/>
        </w:rPr>
        <w:t>[…]</w:t>
      </w:r>
    </w:p>
    <w:p w14:paraId="37D9A302" w14:textId="77777777" w:rsidR="001D1F01" w:rsidRPr="002204D9" w:rsidRDefault="001D1F01" w:rsidP="001D1F01">
      <w:pPr>
        <w:jc w:val="both"/>
        <w:rPr>
          <w:rFonts w:ascii="Arial" w:hAnsi="Arial" w:cs="Arial"/>
          <w:sz w:val="19"/>
          <w:szCs w:val="19"/>
        </w:rPr>
      </w:pPr>
    </w:p>
    <w:p w14:paraId="334F5D44" w14:textId="77777777" w:rsidR="001D1F01" w:rsidRPr="002204D9" w:rsidRDefault="001D1F01" w:rsidP="001D1F01">
      <w:pPr>
        <w:jc w:val="both"/>
        <w:rPr>
          <w:rFonts w:ascii="Arial" w:hAnsi="Arial" w:cs="Arial"/>
          <w:color w:val="000000"/>
          <w:sz w:val="19"/>
          <w:szCs w:val="19"/>
          <w:lang w:eastAsia="es-ES"/>
        </w:rPr>
      </w:pPr>
      <w:r w:rsidRPr="002204D9">
        <w:rPr>
          <w:rFonts w:ascii="Arial" w:hAnsi="Arial" w:cs="Arial"/>
          <w:color w:val="000000"/>
          <w:sz w:val="19"/>
          <w:szCs w:val="19"/>
          <w:highlight w:val="lightGray"/>
          <w:lang w:eastAsia="es-ES"/>
        </w:rPr>
        <w:t>[</w:t>
      </w:r>
      <w:r w:rsidRPr="002204D9">
        <w:rPr>
          <w:rFonts w:ascii="Arial" w:hAnsi="Arial" w:cs="Arial"/>
          <w:b/>
          <w:bCs/>
          <w:color w:val="000000"/>
          <w:sz w:val="19"/>
          <w:szCs w:val="19"/>
          <w:highlight w:val="lightGray"/>
          <w:lang w:eastAsia="es-ES"/>
        </w:rPr>
        <w:t>Opción 3.</w:t>
      </w:r>
      <w:r w:rsidRPr="002204D9">
        <w:rPr>
          <w:rFonts w:ascii="Arial" w:hAnsi="Arial" w:cs="Arial"/>
          <w:color w:val="000000"/>
          <w:sz w:val="19"/>
          <w:szCs w:val="19"/>
          <w:highlight w:val="lightGray"/>
          <w:lang w:eastAsia="es-ES"/>
        </w:rPr>
        <w:t xml:space="preserve"> Esta opción ÚNICAMENTE puede ser diligenciada por los proponentes extranjeros con derecho a trato nacional o Proponentes Plurales conformados por estos, que manifiesten su voluntad de acogerse a la regla de origen de su país]</w:t>
      </w:r>
      <w:r w:rsidRPr="002204D9">
        <w:rPr>
          <w:rFonts w:ascii="Arial" w:hAnsi="Arial" w:cs="Arial"/>
          <w:color w:val="000000"/>
          <w:sz w:val="19"/>
          <w:szCs w:val="19"/>
          <w:lang w:eastAsia="es-ES"/>
        </w:rPr>
        <w:t xml:space="preserve"> </w:t>
      </w:r>
    </w:p>
    <w:p w14:paraId="06B9D5DE" w14:textId="77777777" w:rsidR="001D1F01" w:rsidRPr="002204D9" w:rsidRDefault="001D1F01" w:rsidP="001D1F01">
      <w:pPr>
        <w:spacing w:before="120" w:after="120"/>
        <w:jc w:val="both"/>
        <w:rPr>
          <w:rFonts w:ascii="Arial" w:hAnsi="Arial" w:cs="Arial"/>
          <w:sz w:val="19"/>
          <w:szCs w:val="19"/>
          <w:lang w:eastAsia="es-ES" w:bidi="en-US"/>
        </w:rPr>
      </w:pPr>
      <w:r w:rsidRPr="002204D9">
        <w:rPr>
          <w:rFonts w:ascii="Arial" w:hAnsi="Arial" w:cs="Arial"/>
          <w:sz w:val="19"/>
          <w:szCs w:val="19"/>
          <w:lang w:eastAsia="es-ES" w:bidi="en-US"/>
        </w:rPr>
        <w:t xml:space="preserve">Manifiesto que los servicios ofrecidos para la eventual ejecución del objeto contractual son originarios de </w:t>
      </w:r>
      <w:r w:rsidRPr="002204D9">
        <w:rPr>
          <w:rFonts w:ascii="Arial" w:hAnsi="Arial" w:cs="Arial"/>
          <w:sz w:val="19"/>
          <w:szCs w:val="19"/>
          <w:highlight w:val="lightGray"/>
          <w:lang w:eastAsia="es-ES" w:bidi="en-US"/>
        </w:rPr>
        <w:t>[indicar nombre del país de origen de los servicios</w:t>
      </w:r>
      <w:r w:rsidRPr="002204D9">
        <w:rPr>
          <w:rFonts w:ascii="Arial" w:hAnsi="Arial" w:cs="Arial"/>
          <w:sz w:val="19"/>
          <w:szCs w:val="19"/>
          <w:lang w:eastAsia="es-ES" w:bidi="en-US"/>
        </w:rPr>
        <w:t xml:space="preserve">], país con el que la República de Colombia </w:t>
      </w:r>
      <w:r w:rsidRPr="002204D9">
        <w:rPr>
          <w:rFonts w:ascii="Arial" w:hAnsi="Arial" w:cs="Arial"/>
          <w:sz w:val="19"/>
          <w:szCs w:val="19"/>
          <w:highlight w:val="lightGray"/>
          <w:lang w:eastAsia="es-ES" w:bidi="en-US"/>
        </w:rPr>
        <w:t>[indicar si: A) tiene vigente un Acuerdo Comercial, en los términos del Capítulo VI del documento base; B) ha certificado Trato Nacional por reciprocidad; o C) se trata de un país miembro de la Comunidad Andina de Naciones]</w:t>
      </w:r>
      <w:r w:rsidRPr="002204D9">
        <w:rPr>
          <w:rFonts w:ascii="Arial" w:hAnsi="Arial" w:cs="Arial"/>
          <w:sz w:val="19"/>
          <w:szCs w:val="19"/>
          <w:lang w:eastAsia="es-ES" w:bidi="en-US"/>
        </w:rPr>
        <w:t>.</w:t>
      </w:r>
    </w:p>
    <w:p w14:paraId="224E6929" w14:textId="77777777" w:rsidR="001D1F01" w:rsidRPr="002204D9" w:rsidRDefault="001D1F01" w:rsidP="001D1F01">
      <w:pPr>
        <w:jc w:val="both"/>
        <w:rPr>
          <w:rFonts w:ascii="Arial" w:hAnsi="Arial" w:cs="Arial"/>
          <w:sz w:val="19"/>
          <w:szCs w:val="19"/>
          <w:lang w:eastAsia="es-ES" w:bidi="en-US"/>
        </w:rPr>
      </w:pPr>
      <w:r w:rsidRPr="002204D9">
        <w:rPr>
          <w:rFonts w:ascii="Arial" w:hAnsi="Arial" w:cs="Arial"/>
          <w:sz w:val="19"/>
          <w:szCs w:val="19"/>
          <w:lang w:eastAsia="es-ES" w:bidi="en-US"/>
        </w:rPr>
        <w:t xml:space="preserve">A efectos de demostrar el origen de los servicios, me acojo a la regla de origen prevista en </w:t>
      </w:r>
      <w:r w:rsidRPr="002204D9">
        <w:rPr>
          <w:rFonts w:ascii="Arial" w:hAnsi="Arial" w:cs="Arial"/>
          <w:sz w:val="19"/>
          <w:szCs w:val="19"/>
          <w:highlight w:val="lightGray"/>
          <w:lang w:eastAsia="es-ES" w:bidi="en-US"/>
        </w:rPr>
        <w:t>[Indicar el instrumento jurídico o comercial en el que se regula la regla de origen del correspondiente país]</w:t>
      </w:r>
      <w:r w:rsidRPr="002204D9">
        <w:rPr>
          <w:rFonts w:ascii="Arial" w:hAnsi="Arial" w:cs="Arial"/>
          <w:sz w:val="19"/>
          <w:szCs w:val="19"/>
          <w:lang w:eastAsia="es-ES" w:bidi="en-US"/>
        </w:rPr>
        <w:t xml:space="preserve">, para lo cual adjunto la siguiente documentación: </w:t>
      </w:r>
      <w:r w:rsidRPr="002204D9">
        <w:rPr>
          <w:rFonts w:ascii="Arial" w:hAnsi="Arial" w:cs="Arial"/>
          <w:sz w:val="19"/>
          <w:szCs w:val="19"/>
          <w:highlight w:val="lightGray"/>
          <w:lang w:eastAsia="es-ES" w:bidi="en-US"/>
        </w:rPr>
        <w:t>[Señalar anexos al Formato 9, requeridos para demostrar el origen de los servicios en el correspondiente país]</w:t>
      </w:r>
      <w:r w:rsidRPr="002204D9">
        <w:rPr>
          <w:rFonts w:ascii="Arial" w:hAnsi="Arial" w:cs="Arial"/>
          <w:sz w:val="19"/>
          <w:szCs w:val="19"/>
          <w:lang w:eastAsia="es-ES" w:bidi="en-US"/>
        </w:rPr>
        <w:t xml:space="preserve">. </w:t>
      </w:r>
    </w:p>
    <w:p w14:paraId="3525169F" w14:textId="77777777" w:rsidR="001D1F01" w:rsidRPr="002204D9" w:rsidRDefault="001D1F01" w:rsidP="001D1F01">
      <w:pPr>
        <w:pStyle w:val="Textonotapie"/>
        <w:rPr>
          <w:lang w:val="es-CO"/>
        </w:rPr>
      </w:pPr>
    </w:p>
  </w:footnote>
  <w:footnote w:id="16">
    <w:p w14:paraId="6AE1AB99" w14:textId="77777777" w:rsidR="001D1F01" w:rsidRPr="002204D9" w:rsidRDefault="001D1F01" w:rsidP="001D1F01">
      <w:pPr>
        <w:ind w:firstLine="708"/>
        <w:jc w:val="both"/>
        <w:rPr>
          <w:rFonts w:ascii="Arial" w:hAnsi="Arial" w:cs="Arial"/>
          <w:iCs/>
          <w:sz w:val="19"/>
          <w:szCs w:val="19"/>
        </w:rPr>
      </w:pPr>
      <w:r w:rsidRPr="002204D9">
        <w:rPr>
          <w:rStyle w:val="Refdenotaalpie"/>
          <w:rFonts w:ascii="Arial" w:hAnsi="Arial" w:cs="Arial"/>
          <w:sz w:val="19"/>
          <w:szCs w:val="19"/>
        </w:rPr>
        <w:footnoteRef/>
      </w:r>
      <w:r w:rsidRPr="002204D9">
        <w:rPr>
          <w:rFonts w:ascii="Arial" w:hAnsi="Arial" w:cs="Arial"/>
          <w:sz w:val="19"/>
          <w:szCs w:val="19"/>
        </w:rPr>
        <w:t xml:space="preserve"> </w:t>
      </w:r>
      <w:r w:rsidRPr="002204D9">
        <w:rPr>
          <w:rFonts w:ascii="Arial" w:hAnsi="Arial" w:cs="Arial"/>
          <w:iCs/>
          <w:sz w:val="19"/>
          <w:szCs w:val="19"/>
        </w:rPr>
        <w:t xml:space="preserve">Para asignar el puntaje deberán tenerse en cuenta las siguientes consideraciones: </w:t>
      </w:r>
    </w:p>
    <w:p w14:paraId="6E81049D"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A. Los puntajes por apoyo a la industria nacional por promoción de Servicios Nacionales o con Trato Nacional solo se otorgarán a los Proponentes que se comprometan a adquirir uno, varios o todos los bienes nacionales relevantes para el cumplimiento del contrato. Para efectos de obtener el puntaje, la oferta respectiva no podrá someterse a condicionamientos.</w:t>
      </w:r>
    </w:p>
    <w:p w14:paraId="669AFAF0"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B. Cuando se determine la existencia de oferta de los bienes nacionales relevantes requeridos para el desarrollo del presente objeto contractual dentro del Registro de Productores de Bienes Nacionales, no se otorgará puntaje a los Proponentes que no ofrezcan alguno de los bienes mencionados. Esto aunque se comprometan a vincular al cumplimiento del objeto contractual un porcentaje de empleados o contratistas por prestación de servicios colombianos.</w:t>
      </w:r>
    </w:p>
    <w:p w14:paraId="6299A56C"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C. Cuando la Entidad Estatal haya determinado la existencia de más de un bien nacional relevante, se otorgará el puntaje de manera proporcional a la cantidad de bienes nacionales relevantes que los Proponentes se comprometan a incorporar durante la ejecución del contrato y dependiendo del porcentaje de participación de estos bienes, en los términos de la Matriz 4 – Bienes nacionales relevantes para la obra pública del sector transporte:</w:t>
      </w:r>
    </w:p>
    <w:p w14:paraId="3B6C1114"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 xml:space="preserve">Para efectos de la asignación de puntaje, la Entidad Estatal definirá el puntaje de cada bien nacional relevante de acuerdo con su porcentaje de participación, para lo cual aplicará la siguiente fórmula. </w:t>
      </w:r>
    </w:p>
    <w:p w14:paraId="3BD7F4DF" w14:textId="77777777" w:rsidR="001D1F01" w:rsidRPr="002204D9" w:rsidRDefault="001D1F01" w:rsidP="001D1F01">
      <w:pPr>
        <w:jc w:val="both"/>
        <w:rPr>
          <w:rFonts w:ascii="Arial" w:hAnsi="Arial" w:cs="Arial"/>
          <w:i/>
          <w:sz w:val="19"/>
          <w:szCs w:val="19"/>
        </w:rPr>
      </w:pPr>
      <m:oMathPara>
        <m:oMath>
          <m:r>
            <w:rPr>
              <w:rFonts w:ascii="Cambria Math" w:hAnsi="Cambria Math" w:cs="Arial"/>
              <w:sz w:val="19"/>
              <w:szCs w:val="19"/>
            </w:rPr>
            <m:t>Pi=</m:t>
          </m:r>
          <m:f>
            <m:fPr>
              <m:ctrlPr>
                <w:rPr>
                  <w:rFonts w:ascii="Cambria Math" w:hAnsi="Cambria Math" w:cs="Arial"/>
                  <w:i/>
                  <w:sz w:val="19"/>
                  <w:szCs w:val="19"/>
                </w:rPr>
              </m:ctrlPr>
            </m:fPr>
            <m:num>
              <m:sSub>
                <m:sSubPr>
                  <m:ctrlPr>
                    <w:rPr>
                      <w:rFonts w:ascii="Cambria Math" w:hAnsi="Cambria Math" w:cs="Arial"/>
                      <w:i/>
                      <w:sz w:val="19"/>
                      <w:szCs w:val="19"/>
                    </w:rPr>
                  </m:ctrlPr>
                </m:sSubPr>
                <m:e>
                  <m:r>
                    <w:rPr>
                      <w:rFonts w:ascii="Cambria Math" w:hAnsi="Cambria Math" w:cs="Arial"/>
                      <w:sz w:val="19"/>
                      <w:szCs w:val="19"/>
                    </w:rPr>
                    <m:t>Participación (%)</m:t>
                  </m:r>
                </m:e>
                <m:sub>
                  <m:r>
                    <w:rPr>
                      <w:rFonts w:ascii="Cambria Math" w:hAnsi="Cambria Math" w:cs="Arial"/>
                      <w:sz w:val="19"/>
                      <w:szCs w:val="19"/>
                    </w:rPr>
                    <m:t>i</m:t>
                  </m:r>
                </m:sub>
              </m:sSub>
              <m:r>
                <w:rPr>
                  <w:rFonts w:ascii="Cambria Math" w:hAnsi="Cambria Math" w:cs="Arial"/>
                  <w:sz w:val="19"/>
                  <w:szCs w:val="19"/>
                </w:rPr>
                <m:t>*(Pmax)</m:t>
              </m:r>
            </m:num>
            <m:den>
              <m:nary>
                <m:naryPr>
                  <m:chr m:val="∑"/>
                  <m:limLoc m:val="undOvr"/>
                  <m:ctrlPr>
                    <w:rPr>
                      <w:rFonts w:ascii="Cambria Math" w:hAnsi="Cambria Math" w:cs="Arial"/>
                      <w:i/>
                      <w:sz w:val="19"/>
                      <w:szCs w:val="19"/>
                    </w:rPr>
                  </m:ctrlPr>
                </m:naryPr>
                <m:sub>
                  <m:r>
                    <w:rPr>
                      <w:rFonts w:ascii="Cambria Math" w:hAnsi="Cambria Math" w:cs="Arial"/>
                      <w:sz w:val="19"/>
                      <w:szCs w:val="19"/>
                    </w:rPr>
                    <m:t>i</m:t>
                  </m:r>
                </m:sub>
                <m:sup>
                  <m:r>
                    <w:rPr>
                      <w:rFonts w:ascii="Cambria Math" w:hAnsi="Cambria Math" w:cs="Arial"/>
                      <w:sz w:val="19"/>
                      <w:szCs w:val="19"/>
                    </w:rPr>
                    <m:t>n</m:t>
                  </m:r>
                </m:sup>
                <m:e>
                  <m:r>
                    <w:rPr>
                      <w:rFonts w:ascii="Cambria Math" w:hAnsi="Cambria Math" w:cs="Arial"/>
                      <w:sz w:val="19"/>
                      <w:szCs w:val="19"/>
                    </w:rPr>
                    <m:t>Participación (%)</m:t>
                  </m:r>
                </m:e>
              </m:nary>
            </m:den>
          </m:f>
        </m:oMath>
      </m:oMathPara>
    </w:p>
    <w:p w14:paraId="66D9E939"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Donde:</w:t>
      </w:r>
    </w:p>
    <w:p w14:paraId="50D52438"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Pi: Puntaje de cada bien relevante</w:t>
      </w:r>
    </w:p>
    <w:p w14:paraId="1BDB637E"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 xml:space="preserve">i: Bien o bienes nacionales relevantes </w:t>
      </w:r>
    </w:p>
    <w:p w14:paraId="4A84A8DF"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 xml:space="preserve">n: Número de bienes nacionales relevantes </w:t>
      </w:r>
    </w:p>
    <w:p w14:paraId="5E4F5385"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Participación (%)i : Porcentaje de participación del bien</w:t>
      </w:r>
    </w:p>
    <w:p w14:paraId="2443ED5C" w14:textId="77777777" w:rsidR="001D1F01" w:rsidRPr="002204D9" w:rsidRDefault="001D1F01" w:rsidP="001D1F01">
      <w:pPr>
        <w:jc w:val="both"/>
        <w:rPr>
          <w:rFonts w:ascii="Arial" w:hAnsi="Arial" w:cs="Arial"/>
          <w:iCs/>
          <w:sz w:val="19"/>
          <w:szCs w:val="19"/>
        </w:rPr>
      </w:pPr>
      <w:proofErr w:type="spellStart"/>
      <w:r w:rsidRPr="002204D9">
        <w:rPr>
          <w:rFonts w:ascii="Arial" w:hAnsi="Arial" w:cs="Arial"/>
          <w:iCs/>
          <w:sz w:val="19"/>
          <w:szCs w:val="19"/>
        </w:rPr>
        <w:t>Pmax</w:t>
      </w:r>
      <w:proofErr w:type="spellEnd"/>
      <w:r w:rsidRPr="002204D9">
        <w:rPr>
          <w:rFonts w:ascii="Arial" w:hAnsi="Arial" w:cs="Arial"/>
          <w:iCs/>
          <w:sz w:val="19"/>
          <w:szCs w:val="19"/>
        </w:rPr>
        <w:t xml:space="preserve"> =Puntaje máximo para el factor de evaluación de apoyo a la industria nacional (20 puntos) </w:t>
      </w:r>
    </w:p>
    <w:p w14:paraId="5CF5A64E" w14:textId="77777777" w:rsidR="001D1F01" w:rsidRPr="002204D9" w:rsidRDefault="00902111" w:rsidP="001D1F01">
      <w:pPr>
        <w:jc w:val="both"/>
        <w:rPr>
          <w:rFonts w:ascii="Arial" w:hAnsi="Arial" w:cs="Arial"/>
          <w:iCs/>
          <w:sz w:val="19"/>
          <w:szCs w:val="19"/>
        </w:rPr>
      </w:pPr>
      <m:oMath>
        <m:nary>
          <m:naryPr>
            <m:chr m:val="∑"/>
            <m:limLoc m:val="undOvr"/>
            <m:ctrlPr>
              <w:rPr>
                <w:rFonts w:ascii="Cambria Math" w:hAnsi="Cambria Math" w:cs="Arial"/>
                <w:iCs/>
                <w:sz w:val="19"/>
                <w:szCs w:val="19"/>
              </w:rPr>
            </m:ctrlPr>
          </m:naryPr>
          <m:sub>
            <m:r>
              <m:rPr>
                <m:sty m:val="p"/>
              </m:rPr>
              <w:rPr>
                <w:rFonts w:ascii="Cambria Math" w:hAnsi="Cambria Math" w:cs="Arial"/>
                <w:sz w:val="19"/>
                <w:szCs w:val="19"/>
              </w:rPr>
              <m:t>i</m:t>
            </m:r>
          </m:sub>
          <m:sup>
            <m:r>
              <m:rPr>
                <m:sty m:val="p"/>
              </m:rPr>
              <w:rPr>
                <w:rFonts w:ascii="Cambria Math" w:hAnsi="Cambria Math" w:cs="Arial"/>
                <w:sz w:val="19"/>
                <w:szCs w:val="19"/>
              </w:rPr>
              <m:t>n</m:t>
            </m:r>
          </m:sup>
          <m:e>
            <m:r>
              <m:rPr>
                <m:sty m:val="p"/>
              </m:rPr>
              <w:rPr>
                <w:rFonts w:ascii="Cambria Math" w:hAnsi="Cambria Math" w:cs="Arial"/>
                <w:sz w:val="19"/>
                <w:szCs w:val="19"/>
              </w:rPr>
              <m:t>Participación (%)</m:t>
            </m:r>
          </m:e>
        </m:nary>
      </m:oMath>
      <w:r w:rsidR="001D1F01" w:rsidRPr="002204D9">
        <w:rPr>
          <w:rFonts w:ascii="Arial" w:hAnsi="Arial" w:cs="Arial"/>
          <w:iCs/>
          <w:sz w:val="19"/>
          <w:szCs w:val="19"/>
        </w:rPr>
        <w:t xml:space="preserve">: Sumatoria de los porcentajes de participación de los bienes </w:t>
      </w:r>
    </w:p>
    <w:p w14:paraId="56F9EDE7"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 xml:space="preserve">Para efectos de la asignación de los puntajes indicados, la Entidad Estatal tendrá en cuenta hasta el séptimo decimal. </w:t>
      </w:r>
    </w:p>
    <w:p w14:paraId="4D28A284"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Definido el puntaje de cada bien nacional relevante, la Entidad Estatal otorgará el puntaje a cada Proponente dependiendo de la cantidad de bienes nacionales relevantes ofertados y el puntaje individual asignado a cada uno de ellos. Para la asignación de este puntaje se aplicará la siguiente fórmula.</w:t>
      </w:r>
    </w:p>
    <w:p w14:paraId="2AEF7580" w14:textId="77777777" w:rsidR="001D1F01" w:rsidRPr="002204D9" w:rsidRDefault="001D1F01" w:rsidP="001D1F01">
      <w:pPr>
        <w:jc w:val="both"/>
        <w:rPr>
          <w:rFonts w:ascii="Arial" w:hAnsi="Arial" w:cs="Arial"/>
          <w:i/>
          <w:sz w:val="19"/>
          <w:szCs w:val="19"/>
        </w:rPr>
      </w:pPr>
      <m:oMathPara>
        <m:oMath>
          <m:r>
            <w:rPr>
              <w:rFonts w:ascii="Cambria Math" w:hAnsi="Cambria Math" w:cs="Arial"/>
              <w:sz w:val="19"/>
              <w:szCs w:val="19"/>
            </w:rPr>
            <m:t xml:space="preserve">Puntaje proponente= </m:t>
          </m:r>
          <m:nary>
            <m:naryPr>
              <m:chr m:val="∑"/>
              <m:limLoc m:val="undOvr"/>
              <m:ctrlPr>
                <w:rPr>
                  <w:rFonts w:ascii="Cambria Math" w:hAnsi="Cambria Math" w:cs="Arial"/>
                  <w:i/>
                  <w:sz w:val="19"/>
                  <w:szCs w:val="19"/>
                </w:rPr>
              </m:ctrlPr>
            </m:naryPr>
            <m:sub>
              <m:r>
                <w:rPr>
                  <w:rFonts w:ascii="Cambria Math" w:hAnsi="Cambria Math" w:cs="Arial"/>
                  <w:sz w:val="19"/>
                  <w:szCs w:val="19"/>
                </w:rPr>
                <m:t>j=0</m:t>
              </m:r>
            </m:sub>
            <m:sup>
              <m:r>
                <w:rPr>
                  <w:rFonts w:ascii="Cambria Math" w:hAnsi="Cambria Math" w:cs="Arial"/>
                  <w:sz w:val="19"/>
                  <w:szCs w:val="19"/>
                </w:rPr>
                <m:t>i</m:t>
              </m:r>
            </m:sup>
            <m:e>
              <m:sSub>
                <m:sSubPr>
                  <m:ctrlPr>
                    <w:rPr>
                      <w:rFonts w:ascii="Cambria Math" w:hAnsi="Cambria Math" w:cs="Arial"/>
                      <w:i/>
                      <w:sz w:val="19"/>
                      <w:szCs w:val="19"/>
                    </w:rPr>
                  </m:ctrlPr>
                </m:sSubPr>
                <m:e>
                  <m:r>
                    <w:rPr>
                      <w:rFonts w:ascii="Cambria Math" w:hAnsi="Cambria Math" w:cs="Arial"/>
                      <w:sz w:val="19"/>
                      <w:szCs w:val="19"/>
                    </w:rPr>
                    <m:t>P</m:t>
                  </m:r>
                </m:e>
                <m:sub>
                  <m:r>
                    <w:rPr>
                      <w:rFonts w:ascii="Cambria Math" w:hAnsi="Cambria Math" w:cs="Arial"/>
                      <w:sz w:val="19"/>
                      <w:szCs w:val="19"/>
                    </w:rPr>
                    <m:t>i</m:t>
                  </m:r>
                </m:sub>
              </m:sSub>
            </m:e>
          </m:nary>
        </m:oMath>
      </m:oMathPara>
    </w:p>
    <w:p w14:paraId="3F7B7748"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Donde:</w:t>
      </w:r>
    </w:p>
    <w:p w14:paraId="7E9BDF71"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 xml:space="preserve">Puntaje proponente: Puntaje asignado al Proponente </w:t>
      </w:r>
    </w:p>
    <w:p w14:paraId="3CD7ED88" w14:textId="77777777" w:rsidR="001D1F01" w:rsidRPr="002204D9" w:rsidRDefault="00902111" w:rsidP="001D1F01">
      <w:pPr>
        <w:jc w:val="both"/>
        <w:rPr>
          <w:rFonts w:ascii="Arial" w:hAnsi="Arial" w:cs="Arial"/>
          <w:iCs/>
          <w:sz w:val="19"/>
          <w:szCs w:val="19"/>
        </w:rPr>
      </w:pPr>
      <m:oMath>
        <m:nary>
          <m:naryPr>
            <m:chr m:val="∑"/>
            <m:limLoc m:val="undOvr"/>
            <m:ctrlPr>
              <w:rPr>
                <w:rFonts w:ascii="Cambria Math" w:hAnsi="Cambria Math" w:cs="Arial"/>
                <w:iCs/>
                <w:sz w:val="19"/>
                <w:szCs w:val="19"/>
              </w:rPr>
            </m:ctrlPr>
          </m:naryPr>
          <m:sub>
            <m:r>
              <m:rPr>
                <m:sty m:val="p"/>
              </m:rPr>
              <w:rPr>
                <w:rFonts w:ascii="Cambria Math" w:hAnsi="Cambria Math" w:cs="Arial"/>
                <w:sz w:val="19"/>
                <w:szCs w:val="19"/>
              </w:rPr>
              <m:t>j=0</m:t>
            </m:r>
          </m:sub>
          <m:sup>
            <m:r>
              <m:rPr>
                <m:sty m:val="p"/>
              </m:rPr>
              <w:rPr>
                <w:rFonts w:ascii="Cambria Math" w:hAnsi="Cambria Math" w:cs="Arial"/>
                <w:sz w:val="19"/>
                <w:szCs w:val="19"/>
              </w:rPr>
              <m:t>i</m:t>
            </m:r>
          </m:sup>
          <m:e>
            <m:sSub>
              <m:sSubPr>
                <m:ctrlPr>
                  <w:rPr>
                    <w:rFonts w:ascii="Cambria Math" w:hAnsi="Cambria Math" w:cs="Arial"/>
                    <w:iCs/>
                    <w:sz w:val="19"/>
                    <w:szCs w:val="19"/>
                  </w:rPr>
                </m:ctrlPr>
              </m:sSubPr>
              <m:e>
                <m:r>
                  <m:rPr>
                    <m:sty m:val="p"/>
                  </m:rPr>
                  <w:rPr>
                    <w:rFonts w:ascii="Cambria Math" w:hAnsi="Cambria Math" w:cs="Arial"/>
                    <w:sz w:val="19"/>
                    <w:szCs w:val="19"/>
                  </w:rPr>
                  <m:t>P</m:t>
                </m:r>
              </m:e>
              <m:sub>
                <m:r>
                  <m:rPr>
                    <m:sty m:val="p"/>
                  </m:rPr>
                  <w:rPr>
                    <w:rFonts w:ascii="Cambria Math" w:hAnsi="Cambria Math" w:cs="Arial"/>
                    <w:sz w:val="19"/>
                    <w:szCs w:val="19"/>
                  </w:rPr>
                  <m:t>i</m:t>
                </m:r>
              </m:sub>
            </m:sSub>
          </m:e>
        </m:nary>
      </m:oMath>
      <w:r w:rsidR="001D1F01" w:rsidRPr="002204D9">
        <w:rPr>
          <w:rFonts w:ascii="Arial" w:hAnsi="Arial" w:cs="Arial"/>
          <w:iCs/>
          <w:sz w:val="19"/>
          <w:szCs w:val="19"/>
        </w:rPr>
        <w:t>: Sumatoria de los puntajes de los bienes relevantes seleccionados por el Proponente</w:t>
      </w:r>
    </w:p>
    <w:p w14:paraId="42C0616F"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Para efectos de la asignación del puntaje a los Proponentes, la Entidad Estatal tendrá en cuenta hasta el séptimo decimal. En todo caso, el puntaje asignado a los Proponentes no podrá superar los veinte (20) puntos.</w:t>
      </w:r>
    </w:p>
    <w:p w14:paraId="6966AFCC" w14:textId="77777777" w:rsidR="001D1F01" w:rsidRPr="002204D9" w:rsidRDefault="001D1F01" w:rsidP="001D1F01">
      <w:pPr>
        <w:jc w:val="both"/>
        <w:rPr>
          <w:rFonts w:ascii="Arial" w:hAnsi="Arial" w:cs="Arial"/>
          <w:iCs/>
          <w:sz w:val="19"/>
          <w:szCs w:val="19"/>
        </w:rPr>
      </w:pPr>
      <w:r w:rsidRPr="002204D9">
        <w:rPr>
          <w:rFonts w:ascii="Arial" w:hAnsi="Arial" w:cs="Arial"/>
          <w:iCs/>
          <w:sz w:val="19"/>
          <w:szCs w:val="19"/>
        </w:rPr>
        <w:t xml:space="preserve">D. En el caso de Proponentes Plurales, todos, varios o cualquiera de sus integrantes podrá incorporar todos o algunos de los bienes nacionales relevantes. Además de la incorporación del bien nacional relevante, tratándose de Proponentes Plurales, su composición deberá estar acorde con la definición de Servicios Nacionales prevista en el artículo 2.2.1.1.1.3.1 del Decreto 1082 de 2015, de lo que dependerá la franja del puntaje aplicable en lo referente con el apoyo de la industria nacional. </w:t>
      </w:r>
    </w:p>
    <w:p w14:paraId="23730219" w14:textId="77777777" w:rsidR="001D1F01" w:rsidRPr="002204D9" w:rsidRDefault="001D1F01" w:rsidP="001D1F01">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DAC93" w14:textId="77777777" w:rsidR="00D81E5B" w:rsidRDefault="000965D3">
    <w:pPr>
      <w:pStyle w:val="Encabezado"/>
    </w:pPr>
    <w:r>
      <w:rPr>
        <w:noProof/>
        <w:lang w:val="es-CO" w:eastAsia="es-CO"/>
      </w:rPr>
      <w:drawing>
        <wp:anchor distT="0" distB="0" distL="114300" distR="114300" simplePos="0" relativeHeight="251659264" behindDoc="1" locked="0" layoutInCell="1" allowOverlap="1" wp14:anchorId="476E6BB2" wp14:editId="72266833">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E1A38"/>
    <w:multiLevelType w:val="multilevel"/>
    <w:tmpl w:val="1A16062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D1546DC"/>
    <w:multiLevelType w:val="multilevel"/>
    <w:tmpl w:val="AB72A74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 w15:restartNumberingAfterBreak="0">
    <w:nsid w:val="381B32BE"/>
    <w:multiLevelType w:val="hybridMultilevel"/>
    <w:tmpl w:val="1648147C"/>
    <w:lvl w:ilvl="0" w:tplc="1D164DA4">
      <w:start w:val="1"/>
      <w:numFmt w:val="decimal"/>
      <w:lvlText w:val="%1."/>
      <w:lvlJc w:val="left"/>
      <w:pPr>
        <w:ind w:left="502" w:hanging="360"/>
      </w:pPr>
      <w:rPr>
        <w:rFonts w:ascii="Arial" w:eastAsiaTheme="minorHAnsi" w:hAnsi="Arial" w:cs="Arial" w:hint="default"/>
        <w:b/>
        <w:bCs/>
        <w:i w:val="0"/>
        <w:iCs/>
        <w:sz w:val="20"/>
        <w:szCs w:val="20"/>
      </w:rPr>
    </w:lvl>
    <w:lvl w:ilvl="1" w:tplc="240A0019">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3"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644"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7AF848A4"/>
    <w:multiLevelType w:val="multilevel"/>
    <w:tmpl w:val="F412E76C"/>
    <w:lvl w:ilvl="0">
      <w:start w:val="4"/>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num w:numId="1" w16cid:durableId="784428996">
    <w:abstractNumId w:val="1"/>
  </w:num>
  <w:num w:numId="2" w16cid:durableId="1513686414">
    <w:abstractNumId w:val="4"/>
  </w:num>
  <w:num w:numId="3" w16cid:durableId="733893312">
    <w:abstractNumId w:val="3"/>
  </w:num>
  <w:num w:numId="4" w16cid:durableId="77870432">
    <w:abstractNumId w:val="0"/>
  </w:num>
  <w:num w:numId="5" w16cid:durableId="1458766094">
    <w:abstractNumId w:val="5"/>
  </w:num>
  <w:num w:numId="6" w16cid:durableId="1989091434">
    <w:abstractNumId w:val="2"/>
  </w:num>
  <w:num w:numId="7" w16cid:durableId="18598068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067"/>
    <w:rsid w:val="000027AC"/>
    <w:rsid w:val="0000290E"/>
    <w:rsid w:val="00003E7E"/>
    <w:rsid w:val="00004ADF"/>
    <w:rsid w:val="00013A32"/>
    <w:rsid w:val="00015C30"/>
    <w:rsid w:val="0002191C"/>
    <w:rsid w:val="0002444F"/>
    <w:rsid w:val="00027E00"/>
    <w:rsid w:val="00034765"/>
    <w:rsid w:val="000429C8"/>
    <w:rsid w:val="0004470C"/>
    <w:rsid w:val="00051DF9"/>
    <w:rsid w:val="000523E6"/>
    <w:rsid w:val="00063E22"/>
    <w:rsid w:val="0007288C"/>
    <w:rsid w:val="000770A6"/>
    <w:rsid w:val="00081BA3"/>
    <w:rsid w:val="00085187"/>
    <w:rsid w:val="00093ECC"/>
    <w:rsid w:val="00096251"/>
    <w:rsid w:val="000965D3"/>
    <w:rsid w:val="00096796"/>
    <w:rsid w:val="000A16EE"/>
    <w:rsid w:val="000A22E0"/>
    <w:rsid w:val="000A71F8"/>
    <w:rsid w:val="000B06E2"/>
    <w:rsid w:val="000B322A"/>
    <w:rsid w:val="000B5D0E"/>
    <w:rsid w:val="000B5D4D"/>
    <w:rsid w:val="000B6B23"/>
    <w:rsid w:val="000B7A2F"/>
    <w:rsid w:val="000B7CCC"/>
    <w:rsid w:val="000B7D12"/>
    <w:rsid w:val="000C0C5A"/>
    <w:rsid w:val="000C34D5"/>
    <w:rsid w:val="000C41FF"/>
    <w:rsid w:val="000D0870"/>
    <w:rsid w:val="000D31AF"/>
    <w:rsid w:val="000D46AD"/>
    <w:rsid w:val="000D78E9"/>
    <w:rsid w:val="000E4BCC"/>
    <w:rsid w:val="000E542B"/>
    <w:rsid w:val="000E7490"/>
    <w:rsid w:val="000F16C3"/>
    <w:rsid w:val="000F20D6"/>
    <w:rsid w:val="000F70F0"/>
    <w:rsid w:val="00100363"/>
    <w:rsid w:val="0010115C"/>
    <w:rsid w:val="00101884"/>
    <w:rsid w:val="001048AE"/>
    <w:rsid w:val="00104C55"/>
    <w:rsid w:val="0010761C"/>
    <w:rsid w:val="00110547"/>
    <w:rsid w:val="001130DA"/>
    <w:rsid w:val="001138A0"/>
    <w:rsid w:val="001221E5"/>
    <w:rsid w:val="00122D5C"/>
    <w:rsid w:val="0012364B"/>
    <w:rsid w:val="00123C1D"/>
    <w:rsid w:val="00126139"/>
    <w:rsid w:val="00130510"/>
    <w:rsid w:val="00131634"/>
    <w:rsid w:val="0014294A"/>
    <w:rsid w:val="00144D41"/>
    <w:rsid w:val="00145727"/>
    <w:rsid w:val="00145CEA"/>
    <w:rsid w:val="001521F5"/>
    <w:rsid w:val="001542F1"/>
    <w:rsid w:val="00155176"/>
    <w:rsid w:val="00155A6A"/>
    <w:rsid w:val="00156332"/>
    <w:rsid w:val="00156426"/>
    <w:rsid w:val="00160EA4"/>
    <w:rsid w:val="0016321F"/>
    <w:rsid w:val="0016327F"/>
    <w:rsid w:val="00166895"/>
    <w:rsid w:val="00172E23"/>
    <w:rsid w:val="00173EDA"/>
    <w:rsid w:val="001811D9"/>
    <w:rsid w:val="001862AA"/>
    <w:rsid w:val="00191595"/>
    <w:rsid w:val="00193080"/>
    <w:rsid w:val="00196387"/>
    <w:rsid w:val="001A7515"/>
    <w:rsid w:val="001B1ED3"/>
    <w:rsid w:val="001B5043"/>
    <w:rsid w:val="001B57DE"/>
    <w:rsid w:val="001B7A2D"/>
    <w:rsid w:val="001C1570"/>
    <w:rsid w:val="001C7BBF"/>
    <w:rsid w:val="001C7D26"/>
    <w:rsid w:val="001D169F"/>
    <w:rsid w:val="001D1F01"/>
    <w:rsid w:val="001D579D"/>
    <w:rsid w:val="001E51C7"/>
    <w:rsid w:val="001F0BA1"/>
    <w:rsid w:val="001F1036"/>
    <w:rsid w:val="001F14BD"/>
    <w:rsid w:val="001F2FE7"/>
    <w:rsid w:val="001F4A87"/>
    <w:rsid w:val="00207C20"/>
    <w:rsid w:val="0021455A"/>
    <w:rsid w:val="00214856"/>
    <w:rsid w:val="0022027A"/>
    <w:rsid w:val="002203D9"/>
    <w:rsid w:val="00221F0F"/>
    <w:rsid w:val="00222FE7"/>
    <w:rsid w:val="00230008"/>
    <w:rsid w:val="00234C96"/>
    <w:rsid w:val="00236169"/>
    <w:rsid w:val="002370E0"/>
    <w:rsid w:val="00242CF2"/>
    <w:rsid w:val="00244285"/>
    <w:rsid w:val="00246268"/>
    <w:rsid w:val="00251CE6"/>
    <w:rsid w:val="0025667C"/>
    <w:rsid w:val="00262F55"/>
    <w:rsid w:val="00266469"/>
    <w:rsid w:val="00272D76"/>
    <w:rsid w:val="00273DB1"/>
    <w:rsid w:val="002749EA"/>
    <w:rsid w:val="00276E87"/>
    <w:rsid w:val="00276F1D"/>
    <w:rsid w:val="0027789E"/>
    <w:rsid w:val="00277C88"/>
    <w:rsid w:val="00282F73"/>
    <w:rsid w:val="00290872"/>
    <w:rsid w:val="00294A56"/>
    <w:rsid w:val="002A092A"/>
    <w:rsid w:val="002B1E35"/>
    <w:rsid w:val="002B2085"/>
    <w:rsid w:val="002B2C75"/>
    <w:rsid w:val="002B4042"/>
    <w:rsid w:val="002B5D94"/>
    <w:rsid w:val="002B6EDD"/>
    <w:rsid w:val="002C19F0"/>
    <w:rsid w:val="002C3DC8"/>
    <w:rsid w:val="002C406D"/>
    <w:rsid w:val="002D55E0"/>
    <w:rsid w:val="002D6578"/>
    <w:rsid w:val="002D6662"/>
    <w:rsid w:val="002E0539"/>
    <w:rsid w:val="002E4878"/>
    <w:rsid w:val="002F2911"/>
    <w:rsid w:val="002F3B48"/>
    <w:rsid w:val="00301E39"/>
    <w:rsid w:val="0030222A"/>
    <w:rsid w:val="0030436D"/>
    <w:rsid w:val="00305DDD"/>
    <w:rsid w:val="00307A13"/>
    <w:rsid w:val="003119FA"/>
    <w:rsid w:val="00311E48"/>
    <w:rsid w:val="00312CD9"/>
    <w:rsid w:val="00313EFB"/>
    <w:rsid w:val="003142AF"/>
    <w:rsid w:val="003210B5"/>
    <w:rsid w:val="003258E3"/>
    <w:rsid w:val="00333088"/>
    <w:rsid w:val="00333EF9"/>
    <w:rsid w:val="00334B19"/>
    <w:rsid w:val="0034427E"/>
    <w:rsid w:val="00346A03"/>
    <w:rsid w:val="003474F3"/>
    <w:rsid w:val="0035529C"/>
    <w:rsid w:val="00355937"/>
    <w:rsid w:val="003576E3"/>
    <w:rsid w:val="003605EF"/>
    <w:rsid w:val="003702AD"/>
    <w:rsid w:val="0037154B"/>
    <w:rsid w:val="00372146"/>
    <w:rsid w:val="003733F7"/>
    <w:rsid w:val="00375947"/>
    <w:rsid w:val="00377837"/>
    <w:rsid w:val="00381365"/>
    <w:rsid w:val="00383F98"/>
    <w:rsid w:val="0038422A"/>
    <w:rsid w:val="00384F0F"/>
    <w:rsid w:val="00385A96"/>
    <w:rsid w:val="003860AD"/>
    <w:rsid w:val="00386C35"/>
    <w:rsid w:val="00391B62"/>
    <w:rsid w:val="00395260"/>
    <w:rsid w:val="003953A4"/>
    <w:rsid w:val="003A64E5"/>
    <w:rsid w:val="003A6E9B"/>
    <w:rsid w:val="003B13AF"/>
    <w:rsid w:val="003B2E56"/>
    <w:rsid w:val="003B42A6"/>
    <w:rsid w:val="003B44A7"/>
    <w:rsid w:val="003C0050"/>
    <w:rsid w:val="003C18A8"/>
    <w:rsid w:val="003C1B39"/>
    <w:rsid w:val="003C6B38"/>
    <w:rsid w:val="003C7067"/>
    <w:rsid w:val="003C71A9"/>
    <w:rsid w:val="003E060B"/>
    <w:rsid w:val="003E0D83"/>
    <w:rsid w:val="003E2527"/>
    <w:rsid w:val="003E702F"/>
    <w:rsid w:val="003F2CA6"/>
    <w:rsid w:val="003F3C0D"/>
    <w:rsid w:val="00406B39"/>
    <w:rsid w:val="00411E64"/>
    <w:rsid w:val="00412553"/>
    <w:rsid w:val="00417B39"/>
    <w:rsid w:val="004216FF"/>
    <w:rsid w:val="00427639"/>
    <w:rsid w:val="00427DEA"/>
    <w:rsid w:val="0043199D"/>
    <w:rsid w:val="00437520"/>
    <w:rsid w:val="004440C0"/>
    <w:rsid w:val="004501B8"/>
    <w:rsid w:val="004501ED"/>
    <w:rsid w:val="00450F52"/>
    <w:rsid w:val="00452C65"/>
    <w:rsid w:val="004530B5"/>
    <w:rsid w:val="004541BB"/>
    <w:rsid w:val="0045520C"/>
    <w:rsid w:val="00461578"/>
    <w:rsid w:val="004662C1"/>
    <w:rsid w:val="004673A4"/>
    <w:rsid w:val="004708A3"/>
    <w:rsid w:val="00472517"/>
    <w:rsid w:val="004759F2"/>
    <w:rsid w:val="004831EA"/>
    <w:rsid w:val="00484FF9"/>
    <w:rsid w:val="004859E4"/>
    <w:rsid w:val="00487634"/>
    <w:rsid w:val="00495B91"/>
    <w:rsid w:val="004963B0"/>
    <w:rsid w:val="004A0C2B"/>
    <w:rsid w:val="004A2FA1"/>
    <w:rsid w:val="004A6DF7"/>
    <w:rsid w:val="004B2DEB"/>
    <w:rsid w:val="004B3476"/>
    <w:rsid w:val="004B4B83"/>
    <w:rsid w:val="004B4FB7"/>
    <w:rsid w:val="004C1C33"/>
    <w:rsid w:val="004C2569"/>
    <w:rsid w:val="004C6BDA"/>
    <w:rsid w:val="004D4519"/>
    <w:rsid w:val="004D72FF"/>
    <w:rsid w:val="004E4BFA"/>
    <w:rsid w:val="004E5663"/>
    <w:rsid w:val="004E76CB"/>
    <w:rsid w:val="004F1086"/>
    <w:rsid w:val="004F5213"/>
    <w:rsid w:val="004F654F"/>
    <w:rsid w:val="004F7053"/>
    <w:rsid w:val="005013F5"/>
    <w:rsid w:val="0050381C"/>
    <w:rsid w:val="005058EF"/>
    <w:rsid w:val="00505EFB"/>
    <w:rsid w:val="0051003B"/>
    <w:rsid w:val="00513021"/>
    <w:rsid w:val="00514AC6"/>
    <w:rsid w:val="00514AEA"/>
    <w:rsid w:val="005218C5"/>
    <w:rsid w:val="00521AC0"/>
    <w:rsid w:val="00524E12"/>
    <w:rsid w:val="005278E3"/>
    <w:rsid w:val="0053012B"/>
    <w:rsid w:val="005313ED"/>
    <w:rsid w:val="00531CCB"/>
    <w:rsid w:val="00533146"/>
    <w:rsid w:val="005338C2"/>
    <w:rsid w:val="00543797"/>
    <w:rsid w:val="00543E14"/>
    <w:rsid w:val="00545362"/>
    <w:rsid w:val="005463B4"/>
    <w:rsid w:val="00546A01"/>
    <w:rsid w:val="00546BD3"/>
    <w:rsid w:val="005544F5"/>
    <w:rsid w:val="00554FCF"/>
    <w:rsid w:val="005606E7"/>
    <w:rsid w:val="00563AE9"/>
    <w:rsid w:val="005665CF"/>
    <w:rsid w:val="00567846"/>
    <w:rsid w:val="00573E27"/>
    <w:rsid w:val="005771CC"/>
    <w:rsid w:val="00581905"/>
    <w:rsid w:val="00584231"/>
    <w:rsid w:val="00585195"/>
    <w:rsid w:val="005867C9"/>
    <w:rsid w:val="00587D29"/>
    <w:rsid w:val="00590D50"/>
    <w:rsid w:val="00592579"/>
    <w:rsid w:val="00594698"/>
    <w:rsid w:val="005B0578"/>
    <w:rsid w:val="005B44E9"/>
    <w:rsid w:val="005B73A6"/>
    <w:rsid w:val="005C35A2"/>
    <w:rsid w:val="005C5A50"/>
    <w:rsid w:val="005E004A"/>
    <w:rsid w:val="005E0579"/>
    <w:rsid w:val="005E57D6"/>
    <w:rsid w:val="00605B51"/>
    <w:rsid w:val="00607049"/>
    <w:rsid w:val="00607635"/>
    <w:rsid w:val="00612500"/>
    <w:rsid w:val="0062062F"/>
    <w:rsid w:val="006234F8"/>
    <w:rsid w:val="006256F5"/>
    <w:rsid w:val="00625E4A"/>
    <w:rsid w:val="00626DC2"/>
    <w:rsid w:val="00630FCE"/>
    <w:rsid w:val="0063688D"/>
    <w:rsid w:val="00645FB0"/>
    <w:rsid w:val="00646C99"/>
    <w:rsid w:val="00654926"/>
    <w:rsid w:val="00660C19"/>
    <w:rsid w:val="006610BD"/>
    <w:rsid w:val="00664E56"/>
    <w:rsid w:val="006659A4"/>
    <w:rsid w:val="00675DC7"/>
    <w:rsid w:val="00676C2D"/>
    <w:rsid w:val="00677657"/>
    <w:rsid w:val="006777BA"/>
    <w:rsid w:val="00680ED0"/>
    <w:rsid w:val="006815C1"/>
    <w:rsid w:val="0068593A"/>
    <w:rsid w:val="006908AF"/>
    <w:rsid w:val="00696C59"/>
    <w:rsid w:val="00696FE3"/>
    <w:rsid w:val="0069743E"/>
    <w:rsid w:val="00697780"/>
    <w:rsid w:val="006A0CCB"/>
    <w:rsid w:val="006A5786"/>
    <w:rsid w:val="006B040D"/>
    <w:rsid w:val="006B205F"/>
    <w:rsid w:val="006B32B1"/>
    <w:rsid w:val="006B6873"/>
    <w:rsid w:val="006C25DE"/>
    <w:rsid w:val="006C67CE"/>
    <w:rsid w:val="006C730C"/>
    <w:rsid w:val="006D182F"/>
    <w:rsid w:val="006D1DF5"/>
    <w:rsid w:val="006D3A7F"/>
    <w:rsid w:val="006D66D3"/>
    <w:rsid w:val="006D7111"/>
    <w:rsid w:val="006E01E2"/>
    <w:rsid w:val="006E280E"/>
    <w:rsid w:val="006E2E59"/>
    <w:rsid w:val="006E3684"/>
    <w:rsid w:val="006F1DEB"/>
    <w:rsid w:val="006F28CC"/>
    <w:rsid w:val="006F628A"/>
    <w:rsid w:val="006F67E1"/>
    <w:rsid w:val="006F6C29"/>
    <w:rsid w:val="006F79C0"/>
    <w:rsid w:val="007007D0"/>
    <w:rsid w:val="00702783"/>
    <w:rsid w:val="0070319B"/>
    <w:rsid w:val="00703305"/>
    <w:rsid w:val="0071057D"/>
    <w:rsid w:val="00712B3B"/>
    <w:rsid w:val="00714C48"/>
    <w:rsid w:val="00714D49"/>
    <w:rsid w:val="0071587F"/>
    <w:rsid w:val="00727DEB"/>
    <w:rsid w:val="007301A5"/>
    <w:rsid w:val="00733335"/>
    <w:rsid w:val="007374F5"/>
    <w:rsid w:val="007444BB"/>
    <w:rsid w:val="007477FE"/>
    <w:rsid w:val="0075322E"/>
    <w:rsid w:val="007566AD"/>
    <w:rsid w:val="00756F89"/>
    <w:rsid w:val="00763584"/>
    <w:rsid w:val="007653C1"/>
    <w:rsid w:val="00767297"/>
    <w:rsid w:val="007704C1"/>
    <w:rsid w:val="00771994"/>
    <w:rsid w:val="00774E52"/>
    <w:rsid w:val="00774EA0"/>
    <w:rsid w:val="00775789"/>
    <w:rsid w:val="00780BCB"/>
    <w:rsid w:val="00780EF8"/>
    <w:rsid w:val="00781A67"/>
    <w:rsid w:val="00790A2F"/>
    <w:rsid w:val="00795A2C"/>
    <w:rsid w:val="007A09E8"/>
    <w:rsid w:val="007A48A1"/>
    <w:rsid w:val="007A5126"/>
    <w:rsid w:val="007A52B4"/>
    <w:rsid w:val="007A5F2D"/>
    <w:rsid w:val="007A6F08"/>
    <w:rsid w:val="007B0517"/>
    <w:rsid w:val="007B3779"/>
    <w:rsid w:val="007B4AAC"/>
    <w:rsid w:val="007B4CC3"/>
    <w:rsid w:val="007B7C7E"/>
    <w:rsid w:val="007C14A7"/>
    <w:rsid w:val="007C31BF"/>
    <w:rsid w:val="007D2CCB"/>
    <w:rsid w:val="007E0A5C"/>
    <w:rsid w:val="007E2867"/>
    <w:rsid w:val="007E48AE"/>
    <w:rsid w:val="007E666D"/>
    <w:rsid w:val="007F0A9A"/>
    <w:rsid w:val="007F4036"/>
    <w:rsid w:val="00802EDB"/>
    <w:rsid w:val="00810360"/>
    <w:rsid w:val="00812BB2"/>
    <w:rsid w:val="008218B3"/>
    <w:rsid w:val="00826A17"/>
    <w:rsid w:val="0082765D"/>
    <w:rsid w:val="00827741"/>
    <w:rsid w:val="0082778E"/>
    <w:rsid w:val="008402CD"/>
    <w:rsid w:val="00843C7F"/>
    <w:rsid w:val="00844FE6"/>
    <w:rsid w:val="00847A78"/>
    <w:rsid w:val="00852C83"/>
    <w:rsid w:val="00854A55"/>
    <w:rsid w:val="00865417"/>
    <w:rsid w:val="008702BA"/>
    <w:rsid w:val="008708B7"/>
    <w:rsid w:val="00876B78"/>
    <w:rsid w:val="008872C0"/>
    <w:rsid w:val="00890D5F"/>
    <w:rsid w:val="00892874"/>
    <w:rsid w:val="00893807"/>
    <w:rsid w:val="008951CE"/>
    <w:rsid w:val="008958AC"/>
    <w:rsid w:val="008A203F"/>
    <w:rsid w:val="008A6295"/>
    <w:rsid w:val="008B22B3"/>
    <w:rsid w:val="008B6E75"/>
    <w:rsid w:val="008C368A"/>
    <w:rsid w:val="008D2933"/>
    <w:rsid w:val="008D35A4"/>
    <w:rsid w:val="008D468E"/>
    <w:rsid w:val="008D47BC"/>
    <w:rsid w:val="008E33F5"/>
    <w:rsid w:val="008E518E"/>
    <w:rsid w:val="008F21D7"/>
    <w:rsid w:val="008F361A"/>
    <w:rsid w:val="008F6E0C"/>
    <w:rsid w:val="008F6E5F"/>
    <w:rsid w:val="009011E1"/>
    <w:rsid w:val="00902111"/>
    <w:rsid w:val="0090557C"/>
    <w:rsid w:val="00920086"/>
    <w:rsid w:val="0092073B"/>
    <w:rsid w:val="0092111A"/>
    <w:rsid w:val="00924576"/>
    <w:rsid w:val="009346BA"/>
    <w:rsid w:val="0094506A"/>
    <w:rsid w:val="009527E4"/>
    <w:rsid w:val="00960294"/>
    <w:rsid w:val="00961511"/>
    <w:rsid w:val="0096268D"/>
    <w:rsid w:val="00970687"/>
    <w:rsid w:val="00977BC1"/>
    <w:rsid w:val="00984D8B"/>
    <w:rsid w:val="00987493"/>
    <w:rsid w:val="00987861"/>
    <w:rsid w:val="00991279"/>
    <w:rsid w:val="009916A6"/>
    <w:rsid w:val="0099278D"/>
    <w:rsid w:val="0099407E"/>
    <w:rsid w:val="00994D39"/>
    <w:rsid w:val="00996E5A"/>
    <w:rsid w:val="0099787B"/>
    <w:rsid w:val="009A246D"/>
    <w:rsid w:val="009B2D6A"/>
    <w:rsid w:val="009B5641"/>
    <w:rsid w:val="009B5F97"/>
    <w:rsid w:val="009B6276"/>
    <w:rsid w:val="009C0D97"/>
    <w:rsid w:val="009C16B3"/>
    <w:rsid w:val="009C5E1C"/>
    <w:rsid w:val="009C7BBC"/>
    <w:rsid w:val="009D015B"/>
    <w:rsid w:val="009D66B9"/>
    <w:rsid w:val="009D6BD7"/>
    <w:rsid w:val="009F0A44"/>
    <w:rsid w:val="009F2E49"/>
    <w:rsid w:val="009F4002"/>
    <w:rsid w:val="009F5860"/>
    <w:rsid w:val="00A0046D"/>
    <w:rsid w:val="00A009D4"/>
    <w:rsid w:val="00A04819"/>
    <w:rsid w:val="00A1101E"/>
    <w:rsid w:val="00A113E9"/>
    <w:rsid w:val="00A12CD0"/>
    <w:rsid w:val="00A1511A"/>
    <w:rsid w:val="00A15C2A"/>
    <w:rsid w:val="00A16F59"/>
    <w:rsid w:val="00A201B3"/>
    <w:rsid w:val="00A21241"/>
    <w:rsid w:val="00A2369A"/>
    <w:rsid w:val="00A23905"/>
    <w:rsid w:val="00A300F4"/>
    <w:rsid w:val="00A361AF"/>
    <w:rsid w:val="00A40261"/>
    <w:rsid w:val="00A528E0"/>
    <w:rsid w:val="00A5481A"/>
    <w:rsid w:val="00A5524A"/>
    <w:rsid w:val="00A55358"/>
    <w:rsid w:val="00A55366"/>
    <w:rsid w:val="00A56303"/>
    <w:rsid w:val="00A56C33"/>
    <w:rsid w:val="00A57E21"/>
    <w:rsid w:val="00A61C22"/>
    <w:rsid w:val="00A62A39"/>
    <w:rsid w:val="00A63DA3"/>
    <w:rsid w:val="00A659E2"/>
    <w:rsid w:val="00A71F41"/>
    <w:rsid w:val="00A77DEA"/>
    <w:rsid w:val="00A844C4"/>
    <w:rsid w:val="00A86314"/>
    <w:rsid w:val="00A907CD"/>
    <w:rsid w:val="00A92DB2"/>
    <w:rsid w:val="00A977C8"/>
    <w:rsid w:val="00AA6F1F"/>
    <w:rsid w:val="00AB0D5F"/>
    <w:rsid w:val="00AB36B6"/>
    <w:rsid w:val="00AB474C"/>
    <w:rsid w:val="00AC4FE9"/>
    <w:rsid w:val="00AC5A39"/>
    <w:rsid w:val="00AD027E"/>
    <w:rsid w:val="00AD17DB"/>
    <w:rsid w:val="00AE1373"/>
    <w:rsid w:val="00AE3552"/>
    <w:rsid w:val="00AF772E"/>
    <w:rsid w:val="00B0338C"/>
    <w:rsid w:val="00B036EA"/>
    <w:rsid w:val="00B14C4E"/>
    <w:rsid w:val="00B20C13"/>
    <w:rsid w:val="00B22B1D"/>
    <w:rsid w:val="00B238C5"/>
    <w:rsid w:val="00B24B11"/>
    <w:rsid w:val="00B31F6C"/>
    <w:rsid w:val="00B358D3"/>
    <w:rsid w:val="00B35BED"/>
    <w:rsid w:val="00B65EEC"/>
    <w:rsid w:val="00B66E80"/>
    <w:rsid w:val="00B71F0A"/>
    <w:rsid w:val="00B742C2"/>
    <w:rsid w:val="00B74A34"/>
    <w:rsid w:val="00B74E3B"/>
    <w:rsid w:val="00B82D1D"/>
    <w:rsid w:val="00B852CC"/>
    <w:rsid w:val="00BA0AE4"/>
    <w:rsid w:val="00BA5006"/>
    <w:rsid w:val="00BA6AA2"/>
    <w:rsid w:val="00BB1259"/>
    <w:rsid w:val="00BB6EDA"/>
    <w:rsid w:val="00BC08CA"/>
    <w:rsid w:val="00BC2EF4"/>
    <w:rsid w:val="00BC51F1"/>
    <w:rsid w:val="00BD1845"/>
    <w:rsid w:val="00BD3EB2"/>
    <w:rsid w:val="00BD5A6F"/>
    <w:rsid w:val="00BD5ED5"/>
    <w:rsid w:val="00BE065B"/>
    <w:rsid w:val="00BE4819"/>
    <w:rsid w:val="00BF1930"/>
    <w:rsid w:val="00BF1D75"/>
    <w:rsid w:val="00BF39FF"/>
    <w:rsid w:val="00BF4394"/>
    <w:rsid w:val="00BF77EC"/>
    <w:rsid w:val="00C1122A"/>
    <w:rsid w:val="00C12608"/>
    <w:rsid w:val="00C15CFE"/>
    <w:rsid w:val="00C21998"/>
    <w:rsid w:val="00C24E6D"/>
    <w:rsid w:val="00C25BF8"/>
    <w:rsid w:val="00C30F2F"/>
    <w:rsid w:val="00C4291D"/>
    <w:rsid w:val="00C43F7C"/>
    <w:rsid w:val="00C45EFF"/>
    <w:rsid w:val="00C46B18"/>
    <w:rsid w:val="00C46F7C"/>
    <w:rsid w:val="00C47466"/>
    <w:rsid w:val="00C52913"/>
    <w:rsid w:val="00C52F53"/>
    <w:rsid w:val="00C55BD8"/>
    <w:rsid w:val="00C55E13"/>
    <w:rsid w:val="00C57FD7"/>
    <w:rsid w:val="00C630BF"/>
    <w:rsid w:val="00C667F5"/>
    <w:rsid w:val="00C6749C"/>
    <w:rsid w:val="00C7028B"/>
    <w:rsid w:val="00C71F83"/>
    <w:rsid w:val="00C76716"/>
    <w:rsid w:val="00C807B0"/>
    <w:rsid w:val="00C85573"/>
    <w:rsid w:val="00C95355"/>
    <w:rsid w:val="00C9669D"/>
    <w:rsid w:val="00C967B4"/>
    <w:rsid w:val="00CA3135"/>
    <w:rsid w:val="00CA36B1"/>
    <w:rsid w:val="00CB0050"/>
    <w:rsid w:val="00CB0C0E"/>
    <w:rsid w:val="00CB0F73"/>
    <w:rsid w:val="00CB1F67"/>
    <w:rsid w:val="00CB286E"/>
    <w:rsid w:val="00CB763D"/>
    <w:rsid w:val="00CC7452"/>
    <w:rsid w:val="00CC747F"/>
    <w:rsid w:val="00CD1FFB"/>
    <w:rsid w:val="00CD23C7"/>
    <w:rsid w:val="00CE7C14"/>
    <w:rsid w:val="00CE7EB9"/>
    <w:rsid w:val="00CF0623"/>
    <w:rsid w:val="00CF21BD"/>
    <w:rsid w:val="00CF2F2E"/>
    <w:rsid w:val="00CF3745"/>
    <w:rsid w:val="00CF4D94"/>
    <w:rsid w:val="00D052C2"/>
    <w:rsid w:val="00D06B51"/>
    <w:rsid w:val="00D13E49"/>
    <w:rsid w:val="00D14CB4"/>
    <w:rsid w:val="00D16481"/>
    <w:rsid w:val="00D17F20"/>
    <w:rsid w:val="00D20437"/>
    <w:rsid w:val="00D2190E"/>
    <w:rsid w:val="00D251D6"/>
    <w:rsid w:val="00D354FA"/>
    <w:rsid w:val="00D371F4"/>
    <w:rsid w:val="00D43237"/>
    <w:rsid w:val="00D5574A"/>
    <w:rsid w:val="00D56CA2"/>
    <w:rsid w:val="00D62C94"/>
    <w:rsid w:val="00D62F12"/>
    <w:rsid w:val="00D631F3"/>
    <w:rsid w:val="00D64687"/>
    <w:rsid w:val="00D74DB3"/>
    <w:rsid w:val="00D772FD"/>
    <w:rsid w:val="00D81E5B"/>
    <w:rsid w:val="00D8665B"/>
    <w:rsid w:val="00D95F6B"/>
    <w:rsid w:val="00D96BD8"/>
    <w:rsid w:val="00D97105"/>
    <w:rsid w:val="00DA0066"/>
    <w:rsid w:val="00DA07F3"/>
    <w:rsid w:val="00DA10D7"/>
    <w:rsid w:val="00DA310E"/>
    <w:rsid w:val="00DB587E"/>
    <w:rsid w:val="00DB6595"/>
    <w:rsid w:val="00DC7CC6"/>
    <w:rsid w:val="00DD4079"/>
    <w:rsid w:val="00DD50DE"/>
    <w:rsid w:val="00DE6D2B"/>
    <w:rsid w:val="00DE7249"/>
    <w:rsid w:val="00DF09A4"/>
    <w:rsid w:val="00DF79C1"/>
    <w:rsid w:val="00E020AE"/>
    <w:rsid w:val="00E034F2"/>
    <w:rsid w:val="00E0632A"/>
    <w:rsid w:val="00E06A3D"/>
    <w:rsid w:val="00E073F4"/>
    <w:rsid w:val="00E109FE"/>
    <w:rsid w:val="00E1744A"/>
    <w:rsid w:val="00E20EB9"/>
    <w:rsid w:val="00E2370B"/>
    <w:rsid w:val="00E23E14"/>
    <w:rsid w:val="00E27EB1"/>
    <w:rsid w:val="00E31040"/>
    <w:rsid w:val="00E3308F"/>
    <w:rsid w:val="00E35C82"/>
    <w:rsid w:val="00E36420"/>
    <w:rsid w:val="00E377CC"/>
    <w:rsid w:val="00E41B3F"/>
    <w:rsid w:val="00E457BB"/>
    <w:rsid w:val="00E46965"/>
    <w:rsid w:val="00E51954"/>
    <w:rsid w:val="00E55AA2"/>
    <w:rsid w:val="00E55CFA"/>
    <w:rsid w:val="00E60868"/>
    <w:rsid w:val="00E63B8B"/>
    <w:rsid w:val="00E64982"/>
    <w:rsid w:val="00E66248"/>
    <w:rsid w:val="00E724C4"/>
    <w:rsid w:val="00E74412"/>
    <w:rsid w:val="00E74A44"/>
    <w:rsid w:val="00E8342A"/>
    <w:rsid w:val="00E84094"/>
    <w:rsid w:val="00E84A64"/>
    <w:rsid w:val="00E91691"/>
    <w:rsid w:val="00E93DD3"/>
    <w:rsid w:val="00E9754D"/>
    <w:rsid w:val="00EA2A5F"/>
    <w:rsid w:val="00EA6399"/>
    <w:rsid w:val="00EB1DBF"/>
    <w:rsid w:val="00EB2411"/>
    <w:rsid w:val="00EB32BF"/>
    <w:rsid w:val="00EB63D8"/>
    <w:rsid w:val="00EB66C4"/>
    <w:rsid w:val="00EC0D2B"/>
    <w:rsid w:val="00ED55F2"/>
    <w:rsid w:val="00EE054E"/>
    <w:rsid w:val="00EE6E30"/>
    <w:rsid w:val="00EE7B01"/>
    <w:rsid w:val="00F00588"/>
    <w:rsid w:val="00F04B0E"/>
    <w:rsid w:val="00F06CDD"/>
    <w:rsid w:val="00F11E25"/>
    <w:rsid w:val="00F13E1E"/>
    <w:rsid w:val="00F14E3E"/>
    <w:rsid w:val="00F1673C"/>
    <w:rsid w:val="00F17E55"/>
    <w:rsid w:val="00F2234C"/>
    <w:rsid w:val="00F245DF"/>
    <w:rsid w:val="00F246C2"/>
    <w:rsid w:val="00F3200C"/>
    <w:rsid w:val="00F34D13"/>
    <w:rsid w:val="00F37E69"/>
    <w:rsid w:val="00F37FFA"/>
    <w:rsid w:val="00F40435"/>
    <w:rsid w:val="00F4282D"/>
    <w:rsid w:val="00F44EDE"/>
    <w:rsid w:val="00F537D7"/>
    <w:rsid w:val="00F608D1"/>
    <w:rsid w:val="00F62FDA"/>
    <w:rsid w:val="00F641EC"/>
    <w:rsid w:val="00F646A8"/>
    <w:rsid w:val="00F71872"/>
    <w:rsid w:val="00F76318"/>
    <w:rsid w:val="00F825C2"/>
    <w:rsid w:val="00F967CA"/>
    <w:rsid w:val="00FA1DEA"/>
    <w:rsid w:val="00FA3E19"/>
    <w:rsid w:val="00FA4397"/>
    <w:rsid w:val="00FB2D69"/>
    <w:rsid w:val="00FB4302"/>
    <w:rsid w:val="00FB4E9D"/>
    <w:rsid w:val="00FB59B1"/>
    <w:rsid w:val="00FB5F56"/>
    <w:rsid w:val="00FC0382"/>
    <w:rsid w:val="00FC0CA5"/>
    <w:rsid w:val="00FC4151"/>
    <w:rsid w:val="00FC460F"/>
    <w:rsid w:val="00FC53A0"/>
    <w:rsid w:val="00FD26C1"/>
    <w:rsid w:val="00FE1E54"/>
    <w:rsid w:val="00FE7E67"/>
    <w:rsid w:val="00FF2096"/>
    <w:rsid w:val="00FF6970"/>
    <w:rsid w:val="00FF77A6"/>
    <w:rsid w:val="2A882F4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F49E1"/>
  <w15:docId w15:val="{3AA234BB-4D13-49C7-BBBC-CD96B2668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7A13"/>
    <w:rPr>
      <w:rFonts w:ascii="Times New Roman" w:eastAsia="Times New Roman" w:hAnsi="Times New Roman" w:cs="Times New Roman"/>
      <w:lang w:eastAsia="es-MX"/>
    </w:rPr>
  </w:style>
  <w:style w:type="paragraph" w:styleId="Ttulo2">
    <w:name w:val="heading 2"/>
    <w:basedOn w:val="Normal"/>
    <w:next w:val="Normal"/>
    <w:link w:val="Ttulo2Car"/>
    <w:uiPriority w:val="9"/>
    <w:unhideWhenUsed/>
    <w:qFormat/>
    <w:rsid w:val="00775789"/>
    <w:pPr>
      <w:keepNext/>
      <w:keepLines/>
      <w:numPr>
        <w:ilvl w:val="1"/>
        <w:numId w:val="3"/>
      </w:numPr>
      <w:spacing w:before="40" w:after="120" w:line="259" w:lineRule="auto"/>
      <w:jc w:val="both"/>
      <w:outlineLvl w:val="1"/>
    </w:pPr>
    <w:rPr>
      <w:rFonts w:ascii="Arial" w:eastAsiaTheme="majorEastAsia" w:hAnsi="Arial" w:cstheme="majorBidi"/>
      <w:b/>
      <w:caps/>
      <w:color w:val="000000" w:themeColor="text1"/>
      <w:sz w:val="20"/>
      <w:szCs w:val="26"/>
      <w:lang w:val="es-MX" w:eastAsia="en-US"/>
    </w:rPr>
  </w:style>
  <w:style w:type="paragraph" w:styleId="Ttulo3">
    <w:name w:val="heading 3"/>
    <w:basedOn w:val="Normal"/>
    <w:next w:val="Normal"/>
    <w:link w:val="Ttulo3Car"/>
    <w:uiPriority w:val="9"/>
    <w:unhideWhenUsed/>
    <w:qFormat/>
    <w:rsid w:val="00775789"/>
    <w:pPr>
      <w:keepNext/>
      <w:keepLines/>
      <w:numPr>
        <w:ilvl w:val="2"/>
        <w:numId w:val="3"/>
      </w:numPr>
      <w:spacing w:before="40" w:after="120" w:line="259" w:lineRule="auto"/>
      <w:jc w:val="both"/>
      <w:outlineLvl w:val="2"/>
    </w:pPr>
    <w:rPr>
      <w:rFonts w:ascii="Arial" w:eastAsiaTheme="majorEastAsia" w:hAnsi="Arial" w:cstheme="majorBidi"/>
      <w:b/>
      <w:caps/>
      <w:color w:val="000000" w:themeColor="text1"/>
      <w:sz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C7067"/>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3C7067"/>
    <w:rPr>
      <w:szCs w:val="22"/>
      <w:lang w:val="es-MX"/>
    </w:rPr>
  </w:style>
  <w:style w:type="paragraph" w:styleId="Encabezado">
    <w:name w:val="header"/>
    <w:basedOn w:val="Normal"/>
    <w:link w:val="EncabezadoCar"/>
    <w:uiPriority w:val="99"/>
    <w:unhideWhenUsed/>
    <w:rsid w:val="003C7067"/>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3C7067"/>
    <w:rPr>
      <w:szCs w:val="22"/>
      <w:lang w:val="es-MX"/>
    </w:rPr>
  </w:style>
  <w:style w:type="table" w:styleId="Tablaconcuadrcula">
    <w:name w:val="Table Grid"/>
    <w:basedOn w:val="Tablanormal"/>
    <w:uiPriority w:val="39"/>
    <w:qFormat/>
    <w:rsid w:val="003C706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3C7067"/>
    <w:pPr>
      <w:ind w:left="720"/>
      <w:contextualSpacing/>
    </w:pPr>
    <w:rPr>
      <w:rFonts w:asciiTheme="minorHAnsi" w:eastAsiaTheme="minorHAnsi" w:hAnsiTheme="minorHAnsi" w:cstheme="minorBidi"/>
      <w:szCs w:val="22"/>
      <w:lang w:val="es-MX" w:eastAsia="en-US"/>
    </w:rPr>
  </w:style>
  <w:style w:type="paragraph" w:styleId="Sinespaciado">
    <w:name w:val="No Spacing"/>
    <w:aliases w:val="No Indent"/>
    <w:uiPriority w:val="3"/>
    <w:qFormat/>
    <w:rsid w:val="003C7067"/>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C706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3C7067"/>
    <w:rPr>
      <w:rFonts w:asciiTheme="minorHAnsi" w:eastAsiaTheme="minorHAnsi" w:hAnsiTheme="minorHAnsi" w:cstheme="minorBidi"/>
      <w:sz w:val="20"/>
      <w:szCs w:val="20"/>
      <w:lang w:val="es-MX" w:eastAsia="en-US"/>
    </w:rPr>
  </w:style>
  <w:style w:type="character" w:customStyle="1" w:styleId="TextonotapieCar1">
    <w:name w:val="Texto nota pie Car1"/>
    <w:aliases w:val="Texto nota pie Car Car,Footnote Text Char Char Char Char Car,Footnote Text Cha Car,Footnote Text Char Char Char Car,FA Fußnotentext Car,FA Fuﬂnotentext Car"/>
    <w:basedOn w:val="Fuentedeprrafopredeter"/>
    <w:qFormat/>
    <w:rsid w:val="003C7067"/>
    <w:rPr>
      <w:rFonts w:ascii="Times New Roman" w:eastAsia="Times New Roman" w:hAnsi="Times New Roman" w:cs="Times New Roman"/>
      <w:sz w:val="20"/>
      <w:szCs w:val="20"/>
      <w:lang w:eastAsia="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C7067"/>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C7067"/>
    <w:rPr>
      <w:vertAlign w:val="superscript"/>
    </w:rPr>
  </w:style>
  <w:style w:type="paragraph" w:styleId="Textoindependiente">
    <w:name w:val="Body Text"/>
    <w:basedOn w:val="Normal"/>
    <w:link w:val="TextoindependienteCar"/>
    <w:uiPriority w:val="1"/>
    <w:qFormat/>
    <w:rsid w:val="003C7067"/>
    <w:pPr>
      <w:widowControl w:val="0"/>
      <w:autoSpaceDE w:val="0"/>
      <w:autoSpaceDN w:val="0"/>
    </w:pPr>
    <w:rPr>
      <w:rFonts w:ascii="Arial" w:eastAsia="Arial" w:hAnsi="Arial" w:cs="Arial"/>
      <w:sz w:val="20"/>
      <w:szCs w:val="20"/>
      <w:lang w:val="es-ES" w:eastAsia="en-US"/>
    </w:rPr>
  </w:style>
  <w:style w:type="character" w:customStyle="1" w:styleId="TextoindependienteCar">
    <w:name w:val="Texto independiente Car"/>
    <w:basedOn w:val="Fuentedeprrafopredeter"/>
    <w:link w:val="Textoindependiente"/>
    <w:uiPriority w:val="1"/>
    <w:rsid w:val="003C7067"/>
    <w:rPr>
      <w:rFonts w:ascii="Arial" w:eastAsia="Arial" w:hAnsi="Arial" w:cs="Arial"/>
      <w:sz w:val="20"/>
      <w:szCs w:val="20"/>
      <w:lang w:val="es-ES"/>
    </w:rPr>
  </w:style>
  <w:style w:type="paragraph" w:customStyle="1" w:styleId="Appelnotedebasde">
    <w:name w:val="Appel note de bas de..."/>
    <w:basedOn w:val="Normal"/>
    <w:link w:val="Refdenotaalpie"/>
    <w:uiPriority w:val="99"/>
    <w:rsid w:val="003C7067"/>
    <w:pPr>
      <w:spacing w:after="160" w:line="240" w:lineRule="exact"/>
    </w:pPr>
    <w:rPr>
      <w:rFonts w:asciiTheme="minorHAnsi" w:eastAsiaTheme="minorHAnsi" w:hAnsiTheme="minorHAnsi" w:cstheme="minorBidi"/>
      <w:vertAlign w:val="superscript"/>
      <w:lang w:eastAsia="en-US"/>
    </w:rPr>
  </w:style>
  <w:style w:type="paragraph" w:styleId="Textocomentario">
    <w:name w:val="annotation text"/>
    <w:basedOn w:val="Normal"/>
    <w:link w:val="TextocomentarioCar"/>
    <w:uiPriority w:val="99"/>
    <w:unhideWhenUsed/>
    <w:rsid w:val="003C7067"/>
    <w:rPr>
      <w:sz w:val="20"/>
      <w:szCs w:val="20"/>
    </w:rPr>
  </w:style>
  <w:style w:type="character" w:customStyle="1" w:styleId="TextocomentarioCar">
    <w:name w:val="Texto comentario Car"/>
    <w:basedOn w:val="Fuentedeprrafopredeter"/>
    <w:link w:val="Textocomentario"/>
    <w:uiPriority w:val="99"/>
    <w:rsid w:val="003C7067"/>
    <w:rPr>
      <w:rFonts w:ascii="Times New Roman" w:eastAsia="Times New Roman" w:hAnsi="Times New Roman" w:cs="Times New Roman"/>
      <w:sz w:val="20"/>
      <w:szCs w:val="20"/>
      <w:lang w:eastAsia="es-MX"/>
    </w:rPr>
  </w:style>
  <w:style w:type="character" w:customStyle="1" w:styleId="normaltextrun">
    <w:name w:val="normaltextrun"/>
    <w:basedOn w:val="Fuentedeprrafopredeter"/>
    <w:rsid w:val="003C7067"/>
  </w:style>
  <w:style w:type="character" w:customStyle="1" w:styleId="eop">
    <w:name w:val="eop"/>
    <w:basedOn w:val="Fuentedeprrafopredeter"/>
    <w:rsid w:val="003C7067"/>
  </w:style>
  <w:style w:type="paragraph" w:customStyle="1" w:styleId="ql-align-justify">
    <w:name w:val="ql-align-justify"/>
    <w:basedOn w:val="Normal"/>
    <w:rsid w:val="003E060B"/>
    <w:pPr>
      <w:spacing w:before="100" w:beforeAutospacing="1" w:after="100" w:afterAutospacing="1"/>
    </w:pPr>
  </w:style>
  <w:style w:type="character" w:customStyle="1" w:styleId="apple-converted-space">
    <w:name w:val="apple-converted-space"/>
    <w:basedOn w:val="Fuentedeprrafopredeter"/>
    <w:rsid w:val="003E060B"/>
  </w:style>
  <w:style w:type="character" w:styleId="Refdecomentario">
    <w:name w:val="annotation reference"/>
    <w:basedOn w:val="Fuentedeprrafopredeter"/>
    <w:uiPriority w:val="99"/>
    <w:semiHidden/>
    <w:unhideWhenUsed/>
    <w:rsid w:val="0016321F"/>
    <w:rPr>
      <w:sz w:val="16"/>
      <w:szCs w:val="16"/>
    </w:rPr>
  </w:style>
  <w:style w:type="paragraph" w:styleId="Asuntodelcomentario">
    <w:name w:val="annotation subject"/>
    <w:basedOn w:val="Textocomentario"/>
    <w:next w:val="Textocomentario"/>
    <w:link w:val="AsuntodelcomentarioCar"/>
    <w:uiPriority w:val="99"/>
    <w:semiHidden/>
    <w:unhideWhenUsed/>
    <w:rsid w:val="0016321F"/>
    <w:rPr>
      <w:b/>
      <w:bCs/>
    </w:rPr>
  </w:style>
  <w:style w:type="character" w:customStyle="1" w:styleId="AsuntodelcomentarioCar">
    <w:name w:val="Asunto del comentario Car"/>
    <w:basedOn w:val="TextocomentarioCar"/>
    <w:link w:val="Asuntodelcomentario"/>
    <w:uiPriority w:val="99"/>
    <w:semiHidden/>
    <w:rsid w:val="0016321F"/>
    <w:rPr>
      <w:rFonts w:ascii="Times New Roman" w:eastAsia="Times New Roman" w:hAnsi="Times New Roman" w:cs="Times New Roman"/>
      <w:b/>
      <w:bCs/>
      <w:sz w:val="20"/>
      <w:szCs w:val="20"/>
      <w:lang w:eastAsia="es-MX"/>
    </w:rPr>
  </w:style>
  <w:style w:type="paragraph" w:styleId="Revisin">
    <w:name w:val="Revision"/>
    <w:hidden/>
    <w:uiPriority w:val="99"/>
    <w:semiHidden/>
    <w:rsid w:val="001B1ED3"/>
    <w:rPr>
      <w:rFonts w:ascii="Times New Roman" w:eastAsia="Times New Roman" w:hAnsi="Times New Roman" w:cs="Times New Roman"/>
      <w:lang w:eastAsia="es-MX"/>
    </w:rPr>
  </w:style>
  <w:style w:type="paragraph" w:customStyle="1" w:styleId="Normal11pt">
    <w:name w:val="Normal + 11 pt"/>
    <w:aliases w:val="Negro,Justificado,Izquierda:  -0,95 cm,Derecha:  0,04 cm"/>
    <w:basedOn w:val="Normal"/>
    <w:uiPriority w:val="99"/>
    <w:rsid w:val="00236169"/>
    <w:pPr>
      <w:ind w:left="-540"/>
      <w:jc w:val="both"/>
    </w:pPr>
    <w:rPr>
      <w:rFonts w:ascii="Arial" w:hAnsi="Arial" w:cs="Arial"/>
      <w:color w:val="000000"/>
      <w:sz w:val="22"/>
      <w:szCs w:val="22"/>
      <w:lang w:val="es-ES_tradnl" w:eastAsia="es-ES"/>
    </w:rPr>
  </w:style>
  <w:style w:type="character" w:styleId="Hipervnculo">
    <w:name w:val="Hyperlink"/>
    <w:basedOn w:val="Fuentedeprrafopredeter"/>
    <w:uiPriority w:val="99"/>
    <w:unhideWhenUsed/>
    <w:rsid w:val="009D6BD7"/>
    <w:rPr>
      <w:color w:val="0000FF"/>
      <w:u w:val="single"/>
    </w:rPr>
  </w:style>
  <w:style w:type="paragraph" w:styleId="NormalWeb">
    <w:name w:val="Normal (Web)"/>
    <w:basedOn w:val="Normal"/>
    <w:link w:val="NormalWebCar"/>
    <w:uiPriority w:val="99"/>
    <w:unhideWhenUsed/>
    <w:rsid w:val="004963B0"/>
    <w:pPr>
      <w:spacing w:before="100" w:beforeAutospacing="1" w:after="100" w:afterAutospacing="1"/>
    </w:pPr>
  </w:style>
  <w:style w:type="character" w:styleId="Textoennegrita">
    <w:name w:val="Strong"/>
    <w:basedOn w:val="Fuentedeprrafopredeter"/>
    <w:uiPriority w:val="22"/>
    <w:qFormat/>
    <w:rsid w:val="004963B0"/>
    <w:rPr>
      <w:b/>
      <w:bCs/>
    </w:rPr>
  </w:style>
  <w:style w:type="character" w:styleId="nfasis">
    <w:name w:val="Emphasis"/>
    <w:basedOn w:val="Fuentedeprrafopredeter"/>
    <w:uiPriority w:val="20"/>
    <w:qFormat/>
    <w:rsid w:val="004963B0"/>
    <w:rPr>
      <w:i/>
      <w:iCs/>
    </w:rPr>
  </w:style>
  <w:style w:type="character" w:customStyle="1" w:styleId="Mencinsinresolver1">
    <w:name w:val="Mención sin resolver1"/>
    <w:basedOn w:val="Fuentedeprrafopredeter"/>
    <w:uiPriority w:val="99"/>
    <w:semiHidden/>
    <w:unhideWhenUsed/>
    <w:rsid w:val="001F0BA1"/>
    <w:rPr>
      <w:color w:val="605E5C"/>
      <w:shd w:val="clear" w:color="auto" w:fill="E1DFDD"/>
    </w:rPr>
  </w:style>
  <w:style w:type="table" w:customStyle="1" w:styleId="Tablaconcuadrcula2">
    <w:name w:val="Tabla con cuadrícula2"/>
    <w:basedOn w:val="Tablanormal"/>
    <w:next w:val="Tablaconcuadrcula"/>
    <w:uiPriority w:val="39"/>
    <w:rsid w:val="00826A1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826A17"/>
    <w:rPr>
      <w:rFonts w:ascii="Times New Roman" w:eastAsia="Times New Roman" w:hAnsi="Times New Roman" w:cs="Times New Roman"/>
      <w:lang w:eastAsia="es-MX"/>
    </w:rPr>
  </w:style>
  <w:style w:type="character" w:customStyle="1" w:styleId="Ttulo2Car">
    <w:name w:val="Título 2 Car"/>
    <w:basedOn w:val="Fuentedeprrafopredeter"/>
    <w:link w:val="Ttulo2"/>
    <w:uiPriority w:val="9"/>
    <w:rsid w:val="00775789"/>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775789"/>
    <w:rPr>
      <w:rFonts w:ascii="Arial" w:eastAsiaTheme="majorEastAsia" w:hAnsi="Arial" w:cstheme="majorBidi"/>
      <w:b/>
      <w:caps/>
      <w:color w:val="000000" w:themeColor="text1"/>
      <w:sz w:val="20"/>
    </w:rPr>
  </w:style>
  <w:style w:type="character" w:styleId="Mencinsinresolver">
    <w:name w:val="Unresolved Mention"/>
    <w:basedOn w:val="Fuentedeprrafopredeter"/>
    <w:uiPriority w:val="99"/>
    <w:semiHidden/>
    <w:unhideWhenUsed/>
    <w:rsid w:val="00F246C2"/>
    <w:rPr>
      <w:color w:val="605E5C"/>
      <w:shd w:val="clear" w:color="auto" w:fill="E1DFDD"/>
    </w:rPr>
  </w:style>
  <w:style w:type="character" w:styleId="Hipervnculovisitado">
    <w:name w:val="FollowedHyperlink"/>
    <w:basedOn w:val="Fuentedeprrafopredeter"/>
    <w:uiPriority w:val="99"/>
    <w:semiHidden/>
    <w:unhideWhenUsed/>
    <w:rsid w:val="0060763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78968">
      <w:bodyDiv w:val="1"/>
      <w:marLeft w:val="0"/>
      <w:marRight w:val="0"/>
      <w:marTop w:val="0"/>
      <w:marBottom w:val="0"/>
      <w:divBdr>
        <w:top w:val="none" w:sz="0" w:space="0" w:color="auto"/>
        <w:left w:val="none" w:sz="0" w:space="0" w:color="auto"/>
        <w:bottom w:val="none" w:sz="0" w:space="0" w:color="auto"/>
        <w:right w:val="none" w:sz="0" w:space="0" w:color="auto"/>
      </w:divBdr>
      <w:divsChild>
        <w:div w:id="1018432453">
          <w:marLeft w:val="0"/>
          <w:marRight w:val="0"/>
          <w:marTop w:val="0"/>
          <w:marBottom w:val="0"/>
          <w:divBdr>
            <w:top w:val="none" w:sz="0" w:space="0" w:color="auto"/>
            <w:left w:val="none" w:sz="0" w:space="0" w:color="auto"/>
            <w:bottom w:val="none" w:sz="0" w:space="0" w:color="auto"/>
            <w:right w:val="none" w:sz="0" w:space="0" w:color="auto"/>
          </w:divBdr>
        </w:div>
      </w:divsChild>
    </w:div>
    <w:div w:id="232280027">
      <w:bodyDiv w:val="1"/>
      <w:marLeft w:val="0"/>
      <w:marRight w:val="0"/>
      <w:marTop w:val="0"/>
      <w:marBottom w:val="0"/>
      <w:divBdr>
        <w:top w:val="none" w:sz="0" w:space="0" w:color="auto"/>
        <w:left w:val="none" w:sz="0" w:space="0" w:color="auto"/>
        <w:bottom w:val="none" w:sz="0" w:space="0" w:color="auto"/>
        <w:right w:val="none" w:sz="0" w:space="0" w:color="auto"/>
      </w:divBdr>
      <w:divsChild>
        <w:div w:id="399133508">
          <w:marLeft w:val="0"/>
          <w:marRight w:val="0"/>
          <w:marTop w:val="0"/>
          <w:marBottom w:val="0"/>
          <w:divBdr>
            <w:top w:val="none" w:sz="0" w:space="0" w:color="auto"/>
            <w:left w:val="none" w:sz="0" w:space="0" w:color="auto"/>
            <w:bottom w:val="none" w:sz="0" w:space="0" w:color="auto"/>
            <w:right w:val="none" w:sz="0" w:space="0" w:color="auto"/>
          </w:divBdr>
          <w:divsChild>
            <w:div w:id="110511755">
              <w:marLeft w:val="0"/>
              <w:marRight w:val="0"/>
              <w:marTop w:val="0"/>
              <w:marBottom w:val="0"/>
              <w:divBdr>
                <w:top w:val="none" w:sz="0" w:space="0" w:color="auto"/>
                <w:left w:val="none" w:sz="0" w:space="0" w:color="auto"/>
                <w:bottom w:val="none" w:sz="0" w:space="0" w:color="auto"/>
                <w:right w:val="none" w:sz="0" w:space="0" w:color="auto"/>
              </w:divBdr>
            </w:div>
            <w:div w:id="173619910">
              <w:marLeft w:val="0"/>
              <w:marRight w:val="0"/>
              <w:marTop w:val="0"/>
              <w:marBottom w:val="0"/>
              <w:divBdr>
                <w:top w:val="none" w:sz="0" w:space="0" w:color="auto"/>
                <w:left w:val="none" w:sz="0" w:space="0" w:color="auto"/>
                <w:bottom w:val="none" w:sz="0" w:space="0" w:color="auto"/>
                <w:right w:val="none" w:sz="0" w:space="0" w:color="auto"/>
              </w:divBdr>
            </w:div>
            <w:div w:id="579483539">
              <w:marLeft w:val="0"/>
              <w:marRight w:val="0"/>
              <w:marTop w:val="0"/>
              <w:marBottom w:val="0"/>
              <w:divBdr>
                <w:top w:val="none" w:sz="0" w:space="0" w:color="auto"/>
                <w:left w:val="none" w:sz="0" w:space="0" w:color="auto"/>
                <w:bottom w:val="none" w:sz="0" w:space="0" w:color="auto"/>
                <w:right w:val="none" w:sz="0" w:space="0" w:color="auto"/>
              </w:divBdr>
            </w:div>
            <w:div w:id="792556381">
              <w:marLeft w:val="0"/>
              <w:marRight w:val="0"/>
              <w:marTop w:val="0"/>
              <w:marBottom w:val="0"/>
              <w:divBdr>
                <w:top w:val="none" w:sz="0" w:space="0" w:color="auto"/>
                <w:left w:val="none" w:sz="0" w:space="0" w:color="auto"/>
                <w:bottom w:val="none" w:sz="0" w:space="0" w:color="auto"/>
                <w:right w:val="none" w:sz="0" w:space="0" w:color="auto"/>
              </w:divBdr>
            </w:div>
            <w:div w:id="806319965">
              <w:marLeft w:val="0"/>
              <w:marRight w:val="0"/>
              <w:marTop w:val="0"/>
              <w:marBottom w:val="0"/>
              <w:divBdr>
                <w:top w:val="none" w:sz="0" w:space="0" w:color="auto"/>
                <w:left w:val="none" w:sz="0" w:space="0" w:color="auto"/>
                <w:bottom w:val="none" w:sz="0" w:space="0" w:color="auto"/>
                <w:right w:val="none" w:sz="0" w:space="0" w:color="auto"/>
              </w:divBdr>
            </w:div>
            <w:div w:id="1027372752">
              <w:marLeft w:val="0"/>
              <w:marRight w:val="0"/>
              <w:marTop w:val="0"/>
              <w:marBottom w:val="0"/>
              <w:divBdr>
                <w:top w:val="none" w:sz="0" w:space="0" w:color="auto"/>
                <w:left w:val="none" w:sz="0" w:space="0" w:color="auto"/>
                <w:bottom w:val="none" w:sz="0" w:space="0" w:color="auto"/>
                <w:right w:val="none" w:sz="0" w:space="0" w:color="auto"/>
              </w:divBdr>
            </w:div>
            <w:div w:id="1208839404">
              <w:marLeft w:val="0"/>
              <w:marRight w:val="0"/>
              <w:marTop w:val="0"/>
              <w:marBottom w:val="0"/>
              <w:divBdr>
                <w:top w:val="none" w:sz="0" w:space="0" w:color="auto"/>
                <w:left w:val="none" w:sz="0" w:space="0" w:color="auto"/>
                <w:bottom w:val="none" w:sz="0" w:space="0" w:color="auto"/>
                <w:right w:val="none" w:sz="0" w:space="0" w:color="auto"/>
              </w:divBdr>
            </w:div>
            <w:div w:id="1229070665">
              <w:marLeft w:val="0"/>
              <w:marRight w:val="0"/>
              <w:marTop w:val="0"/>
              <w:marBottom w:val="0"/>
              <w:divBdr>
                <w:top w:val="none" w:sz="0" w:space="0" w:color="auto"/>
                <w:left w:val="none" w:sz="0" w:space="0" w:color="auto"/>
                <w:bottom w:val="none" w:sz="0" w:space="0" w:color="auto"/>
                <w:right w:val="none" w:sz="0" w:space="0" w:color="auto"/>
              </w:divBdr>
            </w:div>
            <w:div w:id="1411733568">
              <w:marLeft w:val="0"/>
              <w:marRight w:val="0"/>
              <w:marTop w:val="0"/>
              <w:marBottom w:val="0"/>
              <w:divBdr>
                <w:top w:val="none" w:sz="0" w:space="0" w:color="auto"/>
                <w:left w:val="none" w:sz="0" w:space="0" w:color="auto"/>
                <w:bottom w:val="none" w:sz="0" w:space="0" w:color="auto"/>
                <w:right w:val="none" w:sz="0" w:space="0" w:color="auto"/>
              </w:divBdr>
            </w:div>
            <w:div w:id="1499230849">
              <w:marLeft w:val="0"/>
              <w:marRight w:val="0"/>
              <w:marTop w:val="0"/>
              <w:marBottom w:val="0"/>
              <w:divBdr>
                <w:top w:val="none" w:sz="0" w:space="0" w:color="auto"/>
                <w:left w:val="none" w:sz="0" w:space="0" w:color="auto"/>
                <w:bottom w:val="none" w:sz="0" w:space="0" w:color="auto"/>
                <w:right w:val="none" w:sz="0" w:space="0" w:color="auto"/>
              </w:divBdr>
            </w:div>
            <w:div w:id="1549955371">
              <w:marLeft w:val="0"/>
              <w:marRight w:val="0"/>
              <w:marTop w:val="0"/>
              <w:marBottom w:val="0"/>
              <w:divBdr>
                <w:top w:val="none" w:sz="0" w:space="0" w:color="auto"/>
                <w:left w:val="none" w:sz="0" w:space="0" w:color="auto"/>
                <w:bottom w:val="none" w:sz="0" w:space="0" w:color="auto"/>
                <w:right w:val="none" w:sz="0" w:space="0" w:color="auto"/>
              </w:divBdr>
            </w:div>
            <w:div w:id="1630018027">
              <w:marLeft w:val="0"/>
              <w:marRight w:val="0"/>
              <w:marTop w:val="0"/>
              <w:marBottom w:val="0"/>
              <w:divBdr>
                <w:top w:val="none" w:sz="0" w:space="0" w:color="auto"/>
                <w:left w:val="none" w:sz="0" w:space="0" w:color="auto"/>
                <w:bottom w:val="none" w:sz="0" w:space="0" w:color="auto"/>
                <w:right w:val="none" w:sz="0" w:space="0" w:color="auto"/>
              </w:divBdr>
            </w:div>
            <w:div w:id="1639648031">
              <w:marLeft w:val="0"/>
              <w:marRight w:val="0"/>
              <w:marTop w:val="0"/>
              <w:marBottom w:val="0"/>
              <w:divBdr>
                <w:top w:val="none" w:sz="0" w:space="0" w:color="auto"/>
                <w:left w:val="none" w:sz="0" w:space="0" w:color="auto"/>
                <w:bottom w:val="none" w:sz="0" w:space="0" w:color="auto"/>
                <w:right w:val="none" w:sz="0" w:space="0" w:color="auto"/>
              </w:divBdr>
            </w:div>
            <w:div w:id="1720202991">
              <w:marLeft w:val="0"/>
              <w:marRight w:val="0"/>
              <w:marTop w:val="0"/>
              <w:marBottom w:val="0"/>
              <w:divBdr>
                <w:top w:val="none" w:sz="0" w:space="0" w:color="auto"/>
                <w:left w:val="none" w:sz="0" w:space="0" w:color="auto"/>
                <w:bottom w:val="none" w:sz="0" w:space="0" w:color="auto"/>
                <w:right w:val="none" w:sz="0" w:space="0" w:color="auto"/>
              </w:divBdr>
            </w:div>
            <w:div w:id="200632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21424">
      <w:bodyDiv w:val="1"/>
      <w:marLeft w:val="0"/>
      <w:marRight w:val="0"/>
      <w:marTop w:val="0"/>
      <w:marBottom w:val="0"/>
      <w:divBdr>
        <w:top w:val="none" w:sz="0" w:space="0" w:color="auto"/>
        <w:left w:val="none" w:sz="0" w:space="0" w:color="auto"/>
        <w:bottom w:val="none" w:sz="0" w:space="0" w:color="auto"/>
        <w:right w:val="none" w:sz="0" w:space="0" w:color="auto"/>
      </w:divBdr>
    </w:div>
    <w:div w:id="371344272">
      <w:bodyDiv w:val="1"/>
      <w:marLeft w:val="0"/>
      <w:marRight w:val="0"/>
      <w:marTop w:val="0"/>
      <w:marBottom w:val="0"/>
      <w:divBdr>
        <w:top w:val="none" w:sz="0" w:space="0" w:color="auto"/>
        <w:left w:val="none" w:sz="0" w:space="0" w:color="auto"/>
        <w:bottom w:val="none" w:sz="0" w:space="0" w:color="auto"/>
        <w:right w:val="none" w:sz="0" w:space="0" w:color="auto"/>
      </w:divBdr>
    </w:div>
    <w:div w:id="377316997">
      <w:bodyDiv w:val="1"/>
      <w:marLeft w:val="0"/>
      <w:marRight w:val="0"/>
      <w:marTop w:val="0"/>
      <w:marBottom w:val="0"/>
      <w:divBdr>
        <w:top w:val="none" w:sz="0" w:space="0" w:color="auto"/>
        <w:left w:val="none" w:sz="0" w:space="0" w:color="auto"/>
        <w:bottom w:val="none" w:sz="0" w:space="0" w:color="auto"/>
        <w:right w:val="none" w:sz="0" w:space="0" w:color="auto"/>
      </w:divBdr>
    </w:div>
    <w:div w:id="582421877">
      <w:bodyDiv w:val="1"/>
      <w:marLeft w:val="0"/>
      <w:marRight w:val="0"/>
      <w:marTop w:val="0"/>
      <w:marBottom w:val="0"/>
      <w:divBdr>
        <w:top w:val="none" w:sz="0" w:space="0" w:color="auto"/>
        <w:left w:val="none" w:sz="0" w:space="0" w:color="auto"/>
        <w:bottom w:val="none" w:sz="0" w:space="0" w:color="auto"/>
        <w:right w:val="none" w:sz="0" w:space="0" w:color="auto"/>
      </w:divBdr>
    </w:div>
    <w:div w:id="729768611">
      <w:bodyDiv w:val="1"/>
      <w:marLeft w:val="0"/>
      <w:marRight w:val="0"/>
      <w:marTop w:val="0"/>
      <w:marBottom w:val="0"/>
      <w:divBdr>
        <w:top w:val="none" w:sz="0" w:space="0" w:color="auto"/>
        <w:left w:val="none" w:sz="0" w:space="0" w:color="auto"/>
        <w:bottom w:val="none" w:sz="0" w:space="0" w:color="auto"/>
        <w:right w:val="none" w:sz="0" w:space="0" w:color="auto"/>
      </w:divBdr>
    </w:div>
    <w:div w:id="730270400">
      <w:bodyDiv w:val="1"/>
      <w:marLeft w:val="0"/>
      <w:marRight w:val="0"/>
      <w:marTop w:val="0"/>
      <w:marBottom w:val="0"/>
      <w:divBdr>
        <w:top w:val="none" w:sz="0" w:space="0" w:color="auto"/>
        <w:left w:val="none" w:sz="0" w:space="0" w:color="auto"/>
        <w:bottom w:val="none" w:sz="0" w:space="0" w:color="auto"/>
        <w:right w:val="none" w:sz="0" w:space="0" w:color="auto"/>
      </w:divBdr>
    </w:div>
    <w:div w:id="1403792217">
      <w:bodyDiv w:val="1"/>
      <w:marLeft w:val="0"/>
      <w:marRight w:val="0"/>
      <w:marTop w:val="0"/>
      <w:marBottom w:val="0"/>
      <w:divBdr>
        <w:top w:val="none" w:sz="0" w:space="0" w:color="auto"/>
        <w:left w:val="none" w:sz="0" w:space="0" w:color="auto"/>
        <w:bottom w:val="none" w:sz="0" w:space="0" w:color="auto"/>
        <w:right w:val="none" w:sz="0" w:space="0" w:color="auto"/>
      </w:divBdr>
      <w:divsChild>
        <w:div w:id="1821799566">
          <w:marLeft w:val="0"/>
          <w:marRight w:val="0"/>
          <w:marTop w:val="15"/>
          <w:marBottom w:val="0"/>
          <w:divBdr>
            <w:top w:val="single" w:sz="48" w:space="0" w:color="auto"/>
            <w:left w:val="single" w:sz="48" w:space="0" w:color="auto"/>
            <w:bottom w:val="single" w:sz="48" w:space="0" w:color="auto"/>
            <w:right w:val="single" w:sz="48" w:space="0" w:color="auto"/>
          </w:divBdr>
          <w:divsChild>
            <w:div w:id="161535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425548">
      <w:bodyDiv w:val="1"/>
      <w:marLeft w:val="0"/>
      <w:marRight w:val="0"/>
      <w:marTop w:val="0"/>
      <w:marBottom w:val="0"/>
      <w:divBdr>
        <w:top w:val="none" w:sz="0" w:space="0" w:color="auto"/>
        <w:left w:val="none" w:sz="0" w:space="0" w:color="auto"/>
        <w:bottom w:val="none" w:sz="0" w:space="0" w:color="auto"/>
        <w:right w:val="none" w:sz="0" w:space="0" w:color="auto"/>
      </w:divBdr>
    </w:div>
    <w:div w:id="1768768690">
      <w:bodyDiv w:val="1"/>
      <w:marLeft w:val="0"/>
      <w:marRight w:val="0"/>
      <w:marTop w:val="0"/>
      <w:marBottom w:val="0"/>
      <w:divBdr>
        <w:top w:val="none" w:sz="0" w:space="0" w:color="auto"/>
        <w:left w:val="none" w:sz="0" w:space="0" w:color="auto"/>
        <w:bottom w:val="none" w:sz="0" w:space="0" w:color="auto"/>
        <w:right w:val="none" w:sz="0" w:space="0" w:color="auto"/>
      </w:divBdr>
    </w:div>
    <w:div w:id="1775400689">
      <w:bodyDiv w:val="1"/>
      <w:marLeft w:val="0"/>
      <w:marRight w:val="0"/>
      <w:marTop w:val="0"/>
      <w:marBottom w:val="0"/>
      <w:divBdr>
        <w:top w:val="none" w:sz="0" w:space="0" w:color="auto"/>
        <w:left w:val="none" w:sz="0" w:space="0" w:color="auto"/>
        <w:bottom w:val="none" w:sz="0" w:space="0" w:color="auto"/>
        <w:right w:val="none" w:sz="0" w:space="0" w:color="auto"/>
      </w:divBdr>
      <w:divsChild>
        <w:div w:id="1964850586">
          <w:marLeft w:val="0"/>
          <w:marRight w:val="0"/>
          <w:marTop w:val="0"/>
          <w:marBottom w:val="0"/>
          <w:divBdr>
            <w:top w:val="none" w:sz="0" w:space="0" w:color="auto"/>
            <w:left w:val="none" w:sz="0" w:space="0" w:color="auto"/>
            <w:bottom w:val="none" w:sz="0" w:space="0" w:color="auto"/>
            <w:right w:val="none" w:sz="0" w:space="0" w:color="auto"/>
          </w:divBdr>
        </w:div>
      </w:divsChild>
    </w:div>
    <w:div w:id="2050033785">
      <w:bodyDiv w:val="1"/>
      <w:marLeft w:val="0"/>
      <w:marRight w:val="0"/>
      <w:marTop w:val="0"/>
      <w:marBottom w:val="0"/>
      <w:divBdr>
        <w:top w:val="none" w:sz="0" w:space="0" w:color="auto"/>
        <w:left w:val="none" w:sz="0" w:space="0" w:color="auto"/>
        <w:bottom w:val="none" w:sz="0" w:space="0" w:color="auto"/>
        <w:right w:val="none" w:sz="0" w:space="0" w:color="auto"/>
      </w:divBdr>
    </w:div>
    <w:div w:id="2089690658">
      <w:bodyDiv w:val="1"/>
      <w:marLeft w:val="0"/>
      <w:marRight w:val="0"/>
      <w:marTop w:val="0"/>
      <w:marBottom w:val="0"/>
      <w:divBdr>
        <w:top w:val="none" w:sz="0" w:space="0" w:color="auto"/>
        <w:left w:val="none" w:sz="0" w:space="0" w:color="auto"/>
        <w:bottom w:val="none" w:sz="0" w:space="0" w:color="auto"/>
        <w:right w:val="none" w:sz="0" w:space="0" w:color="auto"/>
      </w:divBdr>
      <w:divsChild>
        <w:div w:id="135414708">
          <w:marLeft w:val="0"/>
          <w:marRight w:val="0"/>
          <w:marTop w:val="0"/>
          <w:marBottom w:val="0"/>
          <w:divBdr>
            <w:top w:val="none" w:sz="0" w:space="0" w:color="auto"/>
            <w:left w:val="none" w:sz="0" w:space="0" w:color="auto"/>
            <w:bottom w:val="none" w:sz="0" w:space="0" w:color="auto"/>
            <w:right w:val="none" w:sz="0" w:space="0" w:color="auto"/>
          </w:divBdr>
          <w:divsChild>
            <w:div w:id="196892328">
              <w:marLeft w:val="0"/>
              <w:marRight w:val="0"/>
              <w:marTop w:val="0"/>
              <w:marBottom w:val="0"/>
              <w:divBdr>
                <w:top w:val="none" w:sz="0" w:space="0" w:color="auto"/>
                <w:left w:val="none" w:sz="0" w:space="0" w:color="auto"/>
                <w:bottom w:val="none" w:sz="0" w:space="0" w:color="auto"/>
                <w:right w:val="none" w:sz="0" w:space="0" w:color="auto"/>
              </w:divBdr>
              <w:divsChild>
                <w:div w:id="13381731">
                  <w:marLeft w:val="0"/>
                  <w:marRight w:val="0"/>
                  <w:marTop w:val="0"/>
                  <w:marBottom w:val="0"/>
                  <w:divBdr>
                    <w:top w:val="none" w:sz="0" w:space="0" w:color="auto"/>
                    <w:left w:val="none" w:sz="0" w:space="0" w:color="auto"/>
                    <w:bottom w:val="none" w:sz="0" w:space="0" w:color="auto"/>
                    <w:right w:val="none" w:sz="0" w:space="0" w:color="auto"/>
                  </w:divBdr>
                </w:div>
                <w:div w:id="133526210">
                  <w:marLeft w:val="0"/>
                  <w:marRight w:val="0"/>
                  <w:marTop w:val="0"/>
                  <w:marBottom w:val="0"/>
                  <w:divBdr>
                    <w:top w:val="none" w:sz="0" w:space="0" w:color="auto"/>
                    <w:left w:val="none" w:sz="0" w:space="0" w:color="auto"/>
                    <w:bottom w:val="none" w:sz="0" w:space="0" w:color="auto"/>
                    <w:right w:val="none" w:sz="0" w:space="0" w:color="auto"/>
                  </w:divBdr>
                </w:div>
                <w:div w:id="164825959">
                  <w:marLeft w:val="0"/>
                  <w:marRight w:val="0"/>
                  <w:marTop w:val="0"/>
                  <w:marBottom w:val="0"/>
                  <w:divBdr>
                    <w:top w:val="none" w:sz="0" w:space="0" w:color="auto"/>
                    <w:left w:val="none" w:sz="0" w:space="0" w:color="auto"/>
                    <w:bottom w:val="none" w:sz="0" w:space="0" w:color="auto"/>
                    <w:right w:val="none" w:sz="0" w:space="0" w:color="auto"/>
                  </w:divBdr>
                </w:div>
                <w:div w:id="681275181">
                  <w:marLeft w:val="0"/>
                  <w:marRight w:val="0"/>
                  <w:marTop w:val="0"/>
                  <w:marBottom w:val="0"/>
                  <w:divBdr>
                    <w:top w:val="none" w:sz="0" w:space="0" w:color="auto"/>
                    <w:left w:val="none" w:sz="0" w:space="0" w:color="auto"/>
                    <w:bottom w:val="none" w:sz="0" w:space="0" w:color="auto"/>
                    <w:right w:val="none" w:sz="0" w:space="0" w:color="auto"/>
                  </w:divBdr>
                </w:div>
                <w:div w:id="723455002">
                  <w:marLeft w:val="0"/>
                  <w:marRight w:val="0"/>
                  <w:marTop w:val="0"/>
                  <w:marBottom w:val="0"/>
                  <w:divBdr>
                    <w:top w:val="none" w:sz="0" w:space="0" w:color="auto"/>
                    <w:left w:val="none" w:sz="0" w:space="0" w:color="auto"/>
                    <w:bottom w:val="none" w:sz="0" w:space="0" w:color="auto"/>
                    <w:right w:val="none" w:sz="0" w:space="0" w:color="auto"/>
                  </w:divBdr>
                </w:div>
                <w:div w:id="815923830">
                  <w:marLeft w:val="0"/>
                  <w:marRight w:val="0"/>
                  <w:marTop w:val="0"/>
                  <w:marBottom w:val="0"/>
                  <w:divBdr>
                    <w:top w:val="none" w:sz="0" w:space="0" w:color="auto"/>
                    <w:left w:val="none" w:sz="0" w:space="0" w:color="auto"/>
                    <w:bottom w:val="none" w:sz="0" w:space="0" w:color="auto"/>
                    <w:right w:val="none" w:sz="0" w:space="0" w:color="auto"/>
                  </w:divBdr>
                </w:div>
                <w:div w:id="819418525">
                  <w:marLeft w:val="0"/>
                  <w:marRight w:val="0"/>
                  <w:marTop w:val="0"/>
                  <w:marBottom w:val="0"/>
                  <w:divBdr>
                    <w:top w:val="none" w:sz="0" w:space="0" w:color="auto"/>
                    <w:left w:val="none" w:sz="0" w:space="0" w:color="auto"/>
                    <w:bottom w:val="none" w:sz="0" w:space="0" w:color="auto"/>
                    <w:right w:val="none" w:sz="0" w:space="0" w:color="auto"/>
                  </w:divBdr>
                </w:div>
                <w:div w:id="1060593502">
                  <w:marLeft w:val="0"/>
                  <w:marRight w:val="0"/>
                  <w:marTop w:val="0"/>
                  <w:marBottom w:val="0"/>
                  <w:divBdr>
                    <w:top w:val="none" w:sz="0" w:space="0" w:color="auto"/>
                    <w:left w:val="none" w:sz="0" w:space="0" w:color="auto"/>
                    <w:bottom w:val="none" w:sz="0" w:space="0" w:color="auto"/>
                    <w:right w:val="none" w:sz="0" w:space="0" w:color="auto"/>
                  </w:divBdr>
                </w:div>
                <w:div w:id="1087651719">
                  <w:marLeft w:val="0"/>
                  <w:marRight w:val="0"/>
                  <w:marTop w:val="0"/>
                  <w:marBottom w:val="0"/>
                  <w:divBdr>
                    <w:top w:val="none" w:sz="0" w:space="0" w:color="auto"/>
                    <w:left w:val="none" w:sz="0" w:space="0" w:color="auto"/>
                    <w:bottom w:val="none" w:sz="0" w:space="0" w:color="auto"/>
                    <w:right w:val="none" w:sz="0" w:space="0" w:color="auto"/>
                  </w:divBdr>
                </w:div>
                <w:div w:id="1153333282">
                  <w:marLeft w:val="0"/>
                  <w:marRight w:val="0"/>
                  <w:marTop w:val="0"/>
                  <w:marBottom w:val="0"/>
                  <w:divBdr>
                    <w:top w:val="none" w:sz="0" w:space="0" w:color="auto"/>
                    <w:left w:val="none" w:sz="0" w:space="0" w:color="auto"/>
                    <w:bottom w:val="none" w:sz="0" w:space="0" w:color="auto"/>
                    <w:right w:val="none" w:sz="0" w:space="0" w:color="auto"/>
                  </w:divBdr>
                </w:div>
                <w:div w:id="1357582108">
                  <w:marLeft w:val="0"/>
                  <w:marRight w:val="0"/>
                  <w:marTop w:val="0"/>
                  <w:marBottom w:val="0"/>
                  <w:divBdr>
                    <w:top w:val="none" w:sz="0" w:space="0" w:color="auto"/>
                    <w:left w:val="none" w:sz="0" w:space="0" w:color="auto"/>
                    <w:bottom w:val="none" w:sz="0" w:space="0" w:color="auto"/>
                    <w:right w:val="none" w:sz="0" w:space="0" w:color="auto"/>
                  </w:divBdr>
                </w:div>
                <w:div w:id="1510556059">
                  <w:marLeft w:val="0"/>
                  <w:marRight w:val="0"/>
                  <w:marTop w:val="0"/>
                  <w:marBottom w:val="0"/>
                  <w:divBdr>
                    <w:top w:val="none" w:sz="0" w:space="0" w:color="auto"/>
                    <w:left w:val="none" w:sz="0" w:space="0" w:color="auto"/>
                    <w:bottom w:val="none" w:sz="0" w:space="0" w:color="auto"/>
                    <w:right w:val="none" w:sz="0" w:space="0" w:color="auto"/>
                  </w:divBdr>
                </w:div>
                <w:div w:id="1685205253">
                  <w:marLeft w:val="0"/>
                  <w:marRight w:val="0"/>
                  <w:marTop w:val="0"/>
                  <w:marBottom w:val="0"/>
                  <w:divBdr>
                    <w:top w:val="none" w:sz="0" w:space="0" w:color="auto"/>
                    <w:left w:val="none" w:sz="0" w:space="0" w:color="auto"/>
                    <w:bottom w:val="none" w:sz="0" w:space="0" w:color="auto"/>
                    <w:right w:val="none" w:sz="0" w:space="0" w:color="auto"/>
                  </w:divBdr>
                </w:div>
                <w:div w:id="1698384643">
                  <w:marLeft w:val="0"/>
                  <w:marRight w:val="0"/>
                  <w:marTop w:val="0"/>
                  <w:marBottom w:val="0"/>
                  <w:divBdr>
                    <w:top w:val="none" w:sz="0" w:space="0" w:color="auto"/>
                    <w:left w:val="none" w:sz="0" w:space="0" w:color="auto"/>
                    <w:bottom w:val="none" w:sz="0" w:space="0" w:color="auto"/>
                    <w:right w:val="none" w:sz="0" w:space="0" w:color="auto"/>
                  </w:divBdr>
                </w:div>
                <w:div w:id="200057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489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bienesrelevantes.colombiacompra.gov.co/uploa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enesrelevantes.colombiacompra.gov.co/upload" TargetMode="External"/><Relationship Id="rId5" Type="http://schemas.openxmlformats.org/officeDocument/2006/relationships/numbering" Target="numbering.xml"/><Relationship Id="rId15" Type="http://schemas.openxmlformats.org/officeDocument/2006/relationships/hyperlink" Target="https://bienesrelevantes.colombiacompra.gov.co/uploa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vrpubindc.imprenta.gov.co/senad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478D5-F865-4E61-B002-1936D0A4DC4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1C002BC9-4873-440C-B107-32BABA11BA1C}">
  <ds:schemaRefs>
    <ds:schemaRef ds:uri="http://schemas.microsoft.com/sharepoint/v3/contenttype/forms"/>
  </ds:schemaRefs>
</ds:datastoreItem>
</file>

<file path=customXml/itemProps3.xml><?xml version="1.0" encoding="utf-8"?>
<ds:datastoreItem xmlns:ds="http://schemas.openxmlformats.org/officeDocument/2006/customXml" ds:itemID="{E1752FEC-760F-46F1-B4A5-9F5077BFFC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933D99-ECEA-4691-8B53-87458091E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9302</Words>
  <Characters>51161</Characters>
  <Application>Microsoft Office Word</Application>
  <DocSecurity>0</DocSecurity>
  <Lines>426</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Edwin Johan Chocontá Quintero</cp:lastModifiedBy>
  <cp:revision>2</cp:revision>
  <dcterms:created xsi:type="dcterms:W3CDTF">2022-05-25T21:07:00Z</dcterms:created>
  <dcterms:modified xsi:type="dcterms:W3CDTF">2022-05-25T21:07:00Z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